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ED298" w14:textId="77777777" w:rsidR="00B50C5D" w:rsidRDefault="00FA0E9F">
      <w:pPr>
        <w:spacing w:line="360" w:lineRule="auto"/>
        <w:jc w:val="center"/>
        <w:rPr>
          <w:rFonts w:ascii="宋体" w:hAnsi="宋体" w:cs="宋体"/>
          <w:b/>
          <w:bCs/>
          <w:sz w:val="30"/>
          <w:szCs w:val="30"/>
        </w:rPr>
      </w:pPr>
      <w:r>
        <w:rPr>
          <w:rFonts w:ascii="宋体" w:hAnsi="宋体" w:cs="宋体" w:hint="eastAsia"/>
          <w:b/>
          <w:bCs/>
          <w:sz w:val="30"/>
          <w:szCs w:val="30"/>
        </w:rPr>
        <w:t>《锡及锡合金生产绿色工厂评价要求》行业标准编制说明</w:t>
      </w:r>
    </w:p>
    <w:p w14:paraId="7AA21128" w14:textId="77777777" w:rsidR="00B50C5D" w:rsidRDefault="00FA0E9F">
      <w:pPr>
        <w:spacing w:line="360" w:lineRule="auto"/>
        <w:jc w:val="center"/>
        <w:rPr>
          <w:rFonts w:ascii="宋体" w:hAnsi="宋体" w:cs="宋体"/>
          <w:b/>
          <w:bCs/>
          <w:sz w:val="30"/>
          <w:szCs w:val="30"/>
        </w:rPr>
      </w:pPr>
      <w:r>
        <w:rPr>
          <w:rFonts w:ascii="宋体" w:hAnsi="宋体" w:cs="宋体" w:hint="eastAsia"/>
          <w:b/>
          <w:bCs/>
          <w:sz w:val="30"/>
          <w:szCs w:val="30"/>
        </w:rPr>
        <w:t>（送审稿）</w:t>
      </w:r>
    </w:p>
    <w:p w14:paraId="36791E66" w14:textId="77777777" w:rsidR="00B50C5D" w:rsidRDefault="00B50C5D">
      <w:pPr>
        <w:spacing w:line="360" w:lineRule="auto"/>
        <w:jc w:val="center"/>
        <w:rPr>
          <w:rFonts w:ascii="宋体" w:hAnsi="宋体" w:cs="宋体"/>
          <w:b/>
          <w:bCs/>
          <w:sz w:val="32"/>
          <w:szCs w:val="32"/>
        </w:rPr>
      </w:pPr>
    </w:p>
    <w:p w14:paraId="5F8FF410" w14:textId="77777777" w:rsidR="00B50C5D" w:rsidRDefault="00FA0E9F">
      <w:pPr>
        <w:pStyle w:val="af1"/>
        <w:spacing w:line="360" w:lineRule="auto"/>
        <w:ind w:firstLineChars="0" w:firstLine="0"/>
        <w:rPr>
          <w:rFonts w:ascii="宋体" w:hAnsi="宋体" w:cs="宋体"/>
          <w:szCs w:val="21"/>
        </w:rPr>
      </w:pPr>
      <w:r>
        <w:rPr>
          <w:rFonts w:ascii="宋体" w:hAnsi="宋体" w:cs="宋体" w:hint="eastAsia"/>
          <w:b/>
          <w:bCs/>
          <w:szCs w:val="21"/>
        </w:rPr>
        <w:t>1.项目来源</w:t>
      </w:r>
      <w:r>
        <w:rPr>
          <w:rFonts w:ascii="宋体" w:hAnsi="宋体" w:cs="宋体" w:hint="eastAsia"/>
          <w:szCs w:val="21"/>
        </w:rPr>
        <w:t xml:space="preserve">    </w:t>
      </w:r>
    </w:p>
    <w:p w14:paraId="3092EED1" w14:textId="77777777" w:rsidR="00B50C5D" w:rsidRDefault="00FA0E9F">
      <w:pPr>
        <w:ind w:firstLineChars="200" w:firstLine="420"/>
        <w:rPr>
          <w:rFonts w:ascii="宋体" w:hAnsi="宋体" w:cs="宋体"/>
          <w:szCs w:val="21"/>
        </w:rPr>
      </w:pPr>
      <w:r>
        <w:rPr>
          <w:rFonts w:ascii="宋体" w:hAnsi="宋体" w:cs="宋体" w:hint="eastAsia"/>
          <w:kern w:val="0"/>
          <w:szCs w:val="21"/>
        </w:rPr>
        <w:t>国家工业和信息化部，以工信厅科函【2021】234号文件下达了《锡及锡合金绿色工厂评价要求》的起草任务，项目计划号为</w:t>
      </w:r>
      <w:hyperlink r:id="rId9" w:history="1">
        <w:r>
          <w:rPr>
            <w:rFonts w:ascii="宋体" w:hAnsi="宋体" w:cs="宋体" w:hint="eastAsia"/>
            <w:kern w:val="0"/>
            <w:szCs w:val="21"/>
          </w:rPr>
          <w:t>2021-1245T-YS</w:t>
        </w:r>
      </w:hyperlink>
      <w:r>
        <w:rPr>
          <w:rFonts w:ascii="宋体" w:hAnsi="宋体" w:cs="宋体" w:hint="eastAsia"/>
          <w:kern w:val="0"/>
          <w:szCs w:val="21"/>
        </w:rPr>
        <w:t>。由云南锡业股份有限公司、</w:t>
      </w:r>
      <w:r>
        <w:rPr>
          <w:rFonts w:ascii="宋体" w:hAnsi="宋体" w:cs="宋体" w:hint="eastAsia"/>
          <w:szCs w:val="21"/>
        </w:rPr>
        <w:t>云南锡业新材料有限公司、</w:t>
      </w:r>
      <w:r>
        <w:rPr>
          <w:rFonts w:ascii="宋体" w:hAnsi="宋体" w:cs="宋体" w:hint="eastAsia"/>
          <w:kern w:val="0"/>
          <w:szCs w:val="21"/>
        </w:rPr>
        <w:t>北京康普锡威科技有限公司、中山翰华锡业有限公司、深圳市亿铖达工业有限公司和浙江亚通焊材有限公司负责起草，完成时间为2023年。</w:t>
      </w:r>
    </w:p>
    <w:p w14:paraId="0FE09C13" w14:textId="77777777" w:rsidR="00B50C5D" w:rsidRDefault="00B50C5D">
      <w:pPr>
        <w:spacing w:line="360" w:lineRule="auto"/>
        <w:jc w:val="left"/>
        <w:rPr>
          <w:rFonts w:ascii="宋体" w:hAnsi="宋体" w:cs="宋体"/>
          <w:kern w:val="0"/>
          <w:szCs w:val="21"/>
        </w:rPr>
      </w:pPr>
    </w:p>
    <w:p w14:paraId="36D037B4" w14:textId="77777777" w:rsidR="00B50C5D" w:rsidRDefault="00FA0E9F">
      <w:pPr>
        <w:pStyle w:val="af1"/>
        <w:spacing w:line="360" w:lineRule="auto"/>
        <w:ind w:firstLineChars="0" w:firstLine="0"/>
        <w:rPr>
          <w:rFonts w:ascii="宋体" w:hAnsi="宋体" w:cs="宋体"/>
          <w:b/>
          <w:bCs/>
          <w:szCs w:val="21"/>
        </w:rPr>
      </w:pPr>
      <w:r>
        <w:rPr>
          <w:rFonts w:ascii="宋体" w:hAnsi="宋体" w:cs="宋体" w:hint="eastAsia"/>
          <w:b/>
          <w:bCs/>
          <w:szCs w:val="21"/>
        </w:rPr>
        <w:t>2.工作简况</w:t>
      </w:r>
    </w:p>
    <w:p w14:paraId="6CF5D412" w14:textId="77777777" w:rsidR="00B50C5D" w:rsidRDefault="00FA0E9F">
      <w:pPr>
        <w:pStyle w:val="af1"/>
        <w:spacing w:line="360" w:lineRule="auto"/>
        <w:ind w:firstLineChars="0" w:firstLine="0"/>
        <w:rPr>
          <w:rFonts w:ascii="宋体" w:hAnsi="宋体" w:cs="宋体"/>
          <w:b/>
          <w:bCs/>
          <w:szCs w:val="21"/>
        </w:rPr>
      </w:pPr>
      <w:r>
        <w:rPr>
          <w:rFonts w:ascii="宋体" w:hAnsi="宋体" w:cs="宋体" w:hint="eastAsia"/>
          <w:b/>
          <w:bCs/>
          <w:szCs w:val="21"/>
        </w:rPr>
        <w:t>2.1项目的目的和意义</w:t>
      </w:r>
    </w:p>
    <w:p w14:paraId="2DD5B505" w14:textId="77777777" w:rsidR="00B50C5D" w:rsidRDefault="00FA0E9F">
      <w:pPr>
        <w:pStyle w:val="af1"/>
        <w:spacing w:line="360" w:lineRule="auto"/>
        <w:jc w:val="left"/>
        <w:rPr>
          <w:rFonts w:ascii="宋体" w:hAnsi="宋体" w:cs="宋体"/>
          <w:kern w:val="0"/>
          <w:szCs w:val="21"/>
        </w:rPr>
      </w:pPr>
      <w:r>
        <w:rPr>
          <w:rFonts w:ascii="宋体" w:hAnsi="宋体" w:cs="宋体" w:hint="eastAsia"/>
          <w:kern w:val="0"/>
          <w:szCs w:val="21"/>
        </w:rPr>
        <w:t>2019年9月，为贯彻和落实《中国制造2025》战略部署，全面推行绿色制造，加快实施绿色制造工程，进一步发挥标准的规范和引领作用，推进绿色制造标准化工作，国家工业和信息化部制定并下发了《绿色制造标准体系建设指南》。指南中指出我国是制造业大国，经过几十年的努力，已建成门类较为齐全、结构较为完整的产业体系，制造业规模稳居世界第一，转型升级初见成效。然而，与世界先进水平相比，我国制造业的资源环境问题仍较为突出，尚未进入可持续发展的良性循环阶段。特别是在产业深度融合背景下，生产制造过程的连续性、相关性特征在不断增强，制造业绿色发展模式朝着系统性、综合性方向发展，需要建立相应的综合性标准体系支撑绿色制造。</w:t>
      </w:r>
    </w:p>
    <w:p w14:paraId="7A8E4BAB" w14:textId="77777777" w:rsidR="00B50C5D" w:rsidRDefault="00FA0E9F">
      <w:pPr>
        <w:spacing w:line="360" w:lineRule="auto"/>
        <w:ind w:firstLineChars="200" w:firstLine="420"/>
        <w:rPr>
          <w:rFonts w:ascii="宋体" w:hAnsi="宋体" w:cs="宋体"/>
          <w:kern w:val="0"/>
          <w:szCs w:val="21"/>
        </w:rPr>
      </w:pPr>
      <w:r>
        <w:rPr>
          <w:rFonts w:ascii="宋体" w:hAnsi="宋体" w:cs="宋体" w:hint="eastAsia"/>
          <w:kern w:val="0"/>
          <w:szCs w:val="21"/>
        </w:rPr>
        <w:t>工厂是绿色制造的主体。《中国制造2025》将“全面推动绿色制造”作为九大战略重点和任务之一，明确提出要“建设绿色工厂，实现厂房集约化、原料无害化、生产洁净化、废物资源化、能源低碳化”。 到2020年，建成千家绿色示范工厂；到2025年，制造业绿色发展和主要产品单耗达到世界先进水平。创建绿色工厂作为构建绿色制造体系的关键一环，是实施绿色制造工程的重点任务，是促进工业结构优化、脱困升级、提质增效的重要途径。锡及锡合金加工材料是人类最早使用的金属材料，因其优异的物理属性和综合性能而被广泛应用于航空航天、电力、电子、通讯、轨道交通、化工、仪器仪表、日用五金、机械制造、家电、汽车、建筑工程及国防工业等领域。我国是世界上锡加工材最大生产和消费国，是世界最大的锡加工生产基地、锡加工产品进出口国家，因生产而消耗的各种能源巨大。锡及锡合金作为规模较大、应用广泛的原材料棒、型、线材，有潜力、也有条件成为绿色发展的实践者、绿色工厂的建设者。制定锡及锡合金绿色工厂评价要求，推动用能结构优化，引导和规范工厂实施绿色制造和绿色发展，具有重要意义。</w:t>
      </w:r>
    </w:p>
    <w:p w14:paraId="3FF9CA92" w14:textId="77777777" w:rsidR="00B50C5D" w:rsidRDefault="00FA0E9F">
      <w:pPr>
        <w:spacing w:line="360" w:lineRule="auto"/>
        <w:rPr>
          <w:rFonts w:ascii="宋体" w:hAnsi="宋体" w:cs="宋体"/>
          <w:kern w:val="0"/>
          <w:szCs w:val="21"/>
        </w:rPr>
      </w:pPr>
      <w:r>
        <w:rPr>
          <w:rFonts w:ascii="宋体" w:hAnsi="宋体" w:cs="宋体" w:hint="eastAsia"/>
          <w:kern w:val="0"/>
          <w:szCs w:val="21"/>
        </w:rPr>
        <w:t>2.2项目编制组成员</w:t>
      </w:r>
    </w:p>
    <w:p w14:paraId="6CDD08CB" w14:textId="77777777" w:rsidR="00B50C5D" w:rsidRDefault="00FA0E9F">
      <w:pPr>
        <w:spacing w:line="360" w:lineRule="auto"/>
        <w:ind w:firstLineChars="200" w:firstLine="420"/>
        <w:rPr>
          <w:rFonts w:ascii="宋体" w:hAnsi="宋体" w:cs="宋体"/>
          <w:kern w:val="0"/>
          <w:szCs w:val="21"/>
        </w:rPr>
      </w:pPr>
      <w:r>
        <w:rPr>
          <w:rFonts w:ascii="宋体" w:hAnsi="宋体" w:cs="宋体" w:hint="eastAsia"/>
          <w:kern w:val="0"/>
          <w:szCs w:val="21"/>
        </w:rPr>
        <w:t>根据任务落实会会议精神，本项目的编制组由云南锡业股份有限公司、云南锡业新材料有限公</w:t>
      </w:r>
      <w:r>
        <w:rPr>
          <w:rFonts w:ascii="宋体" w:hAnsi="宋体" w:cs="宋体" w:hint="eastAsia"/>
          <w:kern w:val="0"/>
          <w:szCs w:val="21"/>
        </w:rPr>
        <w:lastRenderedPageBreak/>
        <w:t xml:space="preserve">司（原云南锡业锡材有限公司），组织国内主要生产企业参加起草，并组建了锡及锡合金绿色工厂评价要求标准修订起草小组。 </w:t>
      </w:r>
    </w:p>
    <w:p w14:paraId="76A75811" w14:textId="77777777" w:rsidR="00B50C5D" w:rsidRDefault="00B50C5D">
      <w:pPr>
        <w:spacing w:line="360" w:lineRule="auto"/>
        <w:ind w:firstLineChars="200" w:firstLine="420"/>
        <w:rPr>
          <w:rFonts w:ascii="宋体" w:hAnsi="宋体" w:cs="宋体"/>
          <w:kern w:val="0"/>
          <w:szCs w:val="21"/>
        </w:rPr>
      </w:pPr>
    </w:p>
    <w:p w14:paraId="0CEA7BFD" w14:textId="77777777" w:rsidR="00B50C5D" w:rsidRDefault="00FA0E9F">
      <w:pPr>
        <w:pStyle w:val="a7"/>
        <w:spacing w:line="360" w:lineRule="auto"/>
        <w:ind w:firstLine="0"/>
        <w:rPr>
          <w:rFonts w:ascii="宋体" w:hAnsi="宋体" w:cs="宋体"/>
          <w:b/>
          <w:sz w:val="21"/>
          <w:szCs w:val="21"/>
        </w:rPr>
      </w:pPr>
      <w:r>
        <w:rPr>
          <w:rFonts w:ascii="宋体" w:hAnsi="宋体" w:cs="宋体" w:hint="eastAsia"/>
          <w:b/>
          <w:sz w:val="21"/>
          <w:szCs w:val="21"/>
        </w:rPr>
        <w:t>3  编制起草单位的技术基础</w:t>
      </w:r>
    </w:p>
    <w:p w14:paraId="1AA35D79" w14:textId="77777777" w:rsidR="00B50C5D" w:rsidRDefault="00FA0E9F">
      <w:pPr>
        <w:pStyle w:val="a7"/>
        <w:spacing w:line="360" w:lineRule="auto"/>
        <w:ind w:firstLine="0"/>
        <w:rPr>
          <w:rFonts w:ascii="宋体" w:hAnsi="宋体" w:cs="宋体"/>
          <w:b/>
          <w:sz w:val="21"/>
          <w:szCs w:val="21"/>
        </w:rPr>
      </w:pPr>
      <w:r>
        <w:rPr>
          <w:rFonts w:ascii="宋体" w:hAnsi="宋体" w:cs="宋体" w:hint="eastAsia"/>
          <w:b/>
          <w:sz w:val="21"/>
          <w:szCs w:val="21"/>
        </w:rPr>
        <w:t>3.1 主起草单位</w:t>
      </w:r>
    </w:p>
    <w:p w14:paraId="0845A627" w14:textId="77777777" w:rsidR="00B50C5D" w:rsidRDefault="00FA0E9F">
      <w:pPr>
        <w:widowControl/>
        <w:spacing w:line="360" w:lineRule="auto"/>
        <w:rPr>
          <w:rFonts w:ascii="宋体" w:hAnsi="宋体" w:cs="宋体"/>
          <w:szCs w:val="21"/>
        </w:rPr>
      </w:pPr>
      <w:r>
        <w:rPr>
          <w:rFonts w:ascii="宋体" w:hAnsi="宋体" w:cs="宋体" w:hint="eastAsia"/>
          <w:szCs w:val="21"/>
        </w:rPr>
        <w:t>3.1.1云南锡业股份有限公司</w:t>
      </w:r>
    </w:p>
    <w:p w14:paraId="7303ECAC" w14:textId="77777777" w:rsidR="00B50C5D" w:rsidRDefault="00FA0E9F">
      <w:pPr>
        <w:widowControl/>
        <w:spacing w:line="360" w:lineRule="auto"/>
        <w:ind w:firstLineChars="200" w:firstLine="420"/>
        <w:rPr>
          <w:rFonts w:ascii="宋体" w:hAnsi="宋体" w:cs="宋体"/>
          <w:szCs w:val="21"/>
        </w:rPr>
      </w:pPr>
      <w:r>
        <w:rPr>
          <w:rFonts w:ascii="宋体" w:hAnsi="宋体" w:cs="宋体" w:hint="eastAsia"/>
          <w:szCs w:val="21"/>
        </w:rPr>
        <w:t>云南锡业股份有限公司于1998年11月由云南锡业公司作为主要发起人设立，于2000年2月21日获准在深圳证券交易所上市挂牌交易，成为上市公司。公司拥有世界最长、最完整的锡产业链，是我国最大的锡生产、加工、出口基地，拥有国家认定企业技术中心、国家认可实验室，科技创新实力雄厚，成果丰硕。公司现有年产8万吨锡、10万吨铜、10万吨锌（锌精矿含锌）、2.4万吨锡化工产品、2.9万吨锡材产品的生产能力。主要产品有锡锭、铟锭、阴极铜、锡铅焊料及无铅焊料，锡材、锡基合金、有机锡及无机锡化工产品等1100多个品种。公司是全球最大的锡产品生产商和供应商，2005年以来，公司锡金属产销量连续稳居全球第一。是国家锡产品主要研发和出口基地，产品远销日本、美国、欧洲等50多个国家和地区。</w:t>
      </w:r>
    </w:p>
    <w:p w14:paraId="789B7FC3" w14:textId="77777777" w:rsidR="00B50C5D" w:rsidRDefault="00FA0E9F">
      <w:pPr>
        <w:widowControl/>
        <w:spacing w:line="360" w:lineRule="auto"/>
        <w:ind w:firstLineChars="200" w:firstLine="420"/>
        <w:rPr>
          <w:rFonts w:ascii="宋体" w:hAnsi="宋体" w:cs="宋体"/>
          <w:szCs w:val="21"/>
        </w:rPr>
      </w:pPr>
      <w:r>
        <w:rPr>
          <w:rFonts w:ascii="宋体" w:hAnsi="宋体" w:cs="宋体" w:hint="eastAsia"/>
          <w:szCs w:val="21"/>
        </w:rPr>
        <w:t>云锡历来高度重视标准化建设，投入大量的人力、物力和财力，发挥世界领先的锡生产技术及研发优势，积极采用国际先进标准，完成了与锡有关的产品标准、分析方法、能源标准、二次原料回收利用等多项国家、行业标准的制、修订工作。主持或参与制、修订的有效国家标准78项，行业标准55项，团体标准6项。为规范锡行业发展，提高产品质量及调整产业结构，开发新产品促进新的经济增长点，促进锡生产企业推进技术进步，节能减排，综合回收锡资源，提升锡产业竞争力发挥了积极作用。5个标准分别获中国有色金属工业科学技术二等奖、三等奖。被国家标准化管理委员会指定承担锡及锡合金工作组秘书处工作。</w:t>
      </w:r>
    </w:p>
    <w:p w14:paraId="008150A8" w14:textId="77777777" w:rsidR="00B50C5D" w:rsidRDefault="00FA0E9F">
      <w:pPr>
        <w:widowControl/>
        <w:spacing w:line="360" w:lineRule="auto"/>
        <w:ind w:firstLineChars="200" w:firstLine="420"/>
        <w:rPr>
          <w:rFonts w:ascii="宋体" w:hAnsi="宋体" w:cs="宋体"/>
          <w:szCs w:val="21"/>
        </w:rPr>
      </w:pPr>
      <w:r>
        <w:rPr>
          <w:rFonts w:ascii="宋体" w:hAnsi="宋体" w:cs="宋体" w:hint="eastAsia"/>
          <w:szCs w:val="21"/>
        </w:rPr>
        <w:t>公司技术力量雄厚、质量、环境、安全保证体系齐全、检测设备和仪器齐全，有从事锡金属冶炼整套成熟工艺，生产经验丰富，产品质量稳定，完全具备主编起草本标准的资格、基础和条件。在本标准的编制过程中，通过组织调研、分析、规范评价方法，确定主要的评价指标，组织完成本标准的修订。</w:t>
      </w:r>
    </w:p>
    <w:p w14:paraId="7BFFF766" w14:textId="77777777" w:rsidR="00B50C5D" w:rsidRDefault="00FA0E9F">
      <w:pPr>
        <w:widowControl/>
        <w:spacing w:line="360" w:lineRule="auto"/>
        <w:ind w:firstLineChars="200" w:firstLine="420"/>
        <w:rPr>
          <w:rFonts w:ascii="宋体" w:hAnsi="宋体" w:cs="宋体"/>
          <w:szCs w:val="21"/>
        </w:rPr>
      </w:pPr>
      <w:r>
        <w:rPr>
          <w:rFonts w:ascii="宋体" w:hAnsi="宋体" w:cs="宋体" w:hint="eastAsia"/>
          <w:szCs w:val="21"/>
        </w:rPr>
        <w:t>公司是绿色矿山试点单位，生产锡锭的锡业分公司是国家锡行业通过一级安全标准化认证的企业，公司所属多家企业通过三级安全生产标准化企业等级认证、清洁生产审核，新材料公司通过国家绿色制造企业审核。因此，云南锡业有限公司完全具备主编起草本标准的资格、基础和条件。</w:t>
      </w:r>
    </w:p>
    <w:p w14:paraId="25C2F101" w14:textId="77777777" w:rsidR="00B50C5D" w:rsidRDefault="00FA0E9F">
      <w:pPr>
        <w:widowControl/>
        <w:spacing w:line="360" w:lineRule="auto"/>
        <w:rPr>
          <w:rFonts w:ascii="宋体" w:hAnsi="宋体" w:cs="宋体"/>
          <w:szCs w:val="21"/>
        </w:rPr>
      </w:pPr>
      <w:r>
        <w:rPr>
          <w:rFonts w:ascii="宋体" w:hAnsi="宋体" w:cs="宋体" w:hint="eastAsia"/>
          <w:szCs w:val="21"/>
        </w:rPr>
        <w:t>3.1.2云南锡业新材料有限公司简介</w:t>
      </w:r>
    </w:p>
    <w:p w14:paraId="42A4766D" w14:textId="77777777" w:rsidR="00B50C5D" w:rsidRDefault="00FA0E9F">
      <w:pPr>
        <w:widowControl/>
        <w:spacing w:line="360" w:lineRule="auto"/>
        <w:ind w:firstLineChars="200" w:firstLine="420"/>
        <w:rPr>
          <w:rFonts w:ascii="宋体" w:hAnsi="宋体" w:cs="宋体"/>
          <w:szCs w:val="21"/>
        </w:rPr>
      </w:pPr>
      <w:r>
        <w:rPr>
          <w:rFonts w:ascii="宋体" w:hAnsi="宋体" w:cs="宋体" w:hint="eastAsia"/>
          <w:szCs w:val="21"/>
        </w:rPr>
        <w:t>云南锡业新材料有限公司是云南锡业集团(控股)有限责任公司控股、云南锡业股份有限公司参股的国有全资子公司，于2023年4月成立，注册资本金114092.26万元。由原云南锡业锡材有限公</w:t>
      </w:r>
      <w:r>
        <w:rPr>
          <w:rFonts w:ascii="宋体" w:hAnsi="宋体" w:cs="宋体" w:hint="eastAsia"/>
          <w:szCs w:val="21"/>
        </w:rPr>
        <w:lastRenderedPageBreak/>
        <w:t>司（以下简称“锡材”）、云南锡业锡化工材料有限责任公司（以下简称“锡化工”）组成。主要从事锡精深加工产品的生产、销售、研发贸易业务，聚焦锡新材料高精尖产品研发和高质量市场技术服务，致力于打造全球最具竞争力锡新材料和精深加工企业。</w:t>
      </w:r>
    </w:p>
    <w:p w14:paraId="3A5FFCE1" w14:textId="77777777" w:rsidR="00B50C5D" w:rsidRDefault="00FA0E9F">
      <w:pPr>
        <w:widowControl/>
        <w:spacing w:line="360" w:lineRule="auto"/>
        <w:ind w:firstLineChars="200" w:firstLine="420"/>
        <w:rPr>
          <w:rFonts w:ascii="宋体" w:hAnsi="宋体" w:cs="宋体"/>
          <w:szCs w:val="21"/>
        </w:rPr>
      </w:pPr>
      <w:r>
        <w:rPr>
          <w:rFonts w:ascii="宋体" w:hAnsi="宋体" w:cs="宋体" w:hint="eastAsia"/>
          <w:szCs w:val="21"/>
        </w:rPr>
        <w:t>锡材版块于2007 年5月9日成立，拥有条、丝、粉、膏、形材、粒、球、半球9大系列、1000余个规格品种产品，生产能力40000吨/年。是云锡公司重点打造的锡基新材料产业生产和研发基地。通过了ISO9001、ISO14001、ISO45001、ISO50001、IATF16949等体系认证，是云锡的锡材加工中心，在生产规模、总体技术与装备水平、产品质量等方面都处于国内领先地位，连续三年荣获“中国电子材料行业五十强企业”及“中国电子材料行业电子锡焊料专业十强第一”。</w:t>
      </w:r>
    </w:p>
    <w:p w14:paraId="0F750FF2" w14:textId="77777777" w:rsidR="00B50C5D" w:rsidRDefault="00FA0E9F">
      <w:pPr>
        <w:widowControl/>
        <w:spacing w:line="360" w:lineRule="auto"/>
        <w:ind w:firstLineChars="200" w:firstLine="420"/>
        <w:rPr>
          <w:rFonts w:ascii="宋体" w:hAnsi="宋体" w:cs="宋体"/>
          <w:szCs w:val="21"/>
        </w:rPr>
      </w:pPr>
      <w:r>
        <w:rPr>
          <w:rFonts w:ascii="宋体" w:hAnsi="宋体" w:cs="宋体" w:hint="eastAsia"/>
          <w:szCs w:val="21"/>
        </w:rPr>
        <w:t>锡材板块为国家锡基新材料外贸出口加工基地、国家级高新技术企业、国家级首批绿色制造示范企业、国家博士后科研工作站、云南省电子锡焊料制备先进技术与应用工程研究中心和云南省企业技术中心、创新型企业、清洁生产企业、质量标杆企业等；拥有国家博士后科研工作站、云南省电子锡焊料制备先进技术与应用工程研究中心、昆明市软钎焊料工程技术研究中心等创新平台。通过不断地科技创新、自主研发等方式，累计申请专利35项，已获授权发明专利11项，实用新型专利7项，参与制定国家、行业标准10余项，获科技奖励13项，其中有色工业科学技术一等奖2项，云南省科技进步奖二等奖1项，昆明市专利一等奖1项，云南省专利三等奖1项，云锡科技进步二等奖5项，三等奖3项；锡球、无铅焊料、球形焊粉、锡粒、轴承合金、锡铅焊料被认定为云南省名牌产品，锡球、无铅焊料、球形焊粉、锡粒被认定为云南省重点新产品。</w:t>
      </w:r>
    </w:p>
    <w:p w14:paraId="18F15FFA" w14:textId="77777777" w:rsidR="00B50C5D" w:rsidRDefault="00FA0E9F">
      <w:pPr>
        <w:pStyle w:val="a7"/>
        <w:spacing w:line="360" w:lineRule="auto"/>
        <w:ind w:firstLine="0"/>
        <w:rPr>
          <w:rFonts w:ascii="宋体" w:hAnsi="宋体" w:cs="宋体"/>
          <w:b/>
          <w:sz w:val="21"/>
          <w:szCs w:val="21"/>
        </w:rPr>
      </w:pPr>
      <w:r>
        <w:rPr>
          <w:rFonts w:ascii="宋体" w:hAnsi="宋体" w:cs="宋体" w:hint="eastAsia"/>
          <w:b/>
          <w:sz w:val="21"/>
          <w:szCs w:val="21"/>
        </w:rPr>
        <w:t>3.2 其他起草单位简介</w:t>
      </w:r>
    </w:p>
    <w:p w14:paraId="7EFBC1F9" w14:textId="77777777" w:rsidR="00B50C5D" w:rsidRDefault="00FA0E9F">
      <w:pPr>
        <w:widowControl/>
        <w:spacing w:line="360" w:lineRule="auto"/>
        <w:rPr>
          <w:rFonts w:ascii="宋体" w:hAnsi="宋体" w:cs="宋体"/>
          <w:szCs w:val="21"/>
        </w:rPr>
      </w:pPr>
      <w:r>
        <w:rPr>
          <w:rFonts w:ascii="宋体" w:hAnsi="宋体" w:cs="宋体" w:hint="eastAsia"/>
          <w:szCs w:val="21"/>
        </w:rPr>
        <w:t>3.2.1 山东康普锡威新材料科技有限公司</w:t>
      </w:r>
    </w:p>
    <w:p w14:paraId="1B4D6A97" w14:textId="77777777" w:rsidR="00B50C5D" w:rsidRDefault="00FA0E9F">
      <w:pPr>
        <w:widowControl/>
        <w:spacing w:line="360" w:lineRule="auto"/>
        <w:ind w:firstLineChars="200" w:firstLine="420"/>
        <w:rPr>
          <w:rFonts w:ascii="宋体" w:hAnsi="宋体" w:cs="宋体"/>
          <w:szCs w:val="21"/>
        </w:rPr>
      </w:pPr>
      <w:r>
        <w:rPr>
          <w:rFonts w:ascii="宋体" w:hAnsi="宋体" w:cs="宋体" w:hint="eastAsia"/>
          <w:szCs w:val="21"/>
        </w:rPr>
        <w:t>山东康普锡威新材料科技有限公司（以下简称：康普山东）于2019年2月在山东省滨州市高新技术产业开发区注册成立，注册资金1000万元，是国资委直属大型中央企业中国有研科技集团有限公司成员之一，是北京康普锡威科技有限公司全资子公司。康普山东主要从事“微电子专用焊接材料、3D打印用金属材料及高性能软磁材料”的生产。具备锡基合金焊粉2000吨、3D打印用金属材料及高性能软磁材料3000吨的年生产能力。目前，公司属于国家高新技术企业、山东省“专精特新”中小企业、山东省科技创新中小企业、滨州市瞪羚企业，拥有滨州市企业技术中心和工程研究中心2个市级创新平台。公司项目“新型微电子互连用高可靠无铅焊料的研发及应用”于2021年获得中国有色金属工业科学技术奖一等奖。</w:t>
      </w:r>
    </w:p>
    <w:p w14:paraId="03FEE386" w14:textId="77777777" w:rsidR="00B50C5D" w:rsidRDefault="00FA0E9F">
      <w:pPr>
        <w:widowControl/>
        <w:spacing w:line="360" w:lineRule="auto"/>
        <w:rPr>
          <w:rFonts w:ascii="宋体" w:hAnsi="宋体" w:cs="宋体"/>
          <w:szCs w:val="21"/>
        </w:rPr>
      </w:pPr>
      <w:r>
        <w:rPr>
          <w:rFonts w:ascii="宋体" w:hAnsi="宋体" w:cs="宋体" w:hint="eastAsia"/>
          <w:szCs w:val="21"/>
        </w:rPr>
        <w:t>3.2.2 北京康普锡威科技有限公司</w:t>
      </w:r>
    </w:p>
    <w:p w14:paraId="646B35CA" w14:textId="77777777" w:rsidR="00B50C5D" w:rsidRDefault="00FA0E9F">
      <w:pPr>
        <w:widowControl/>
        <w:spacing w:line="360" w:lineRule="auto"/>
        <w:ind w:firstLineChars="200" w:firstLine="420"/>
        <w:rPr>
          <w:rFonts w:ascii="宋体" w:hAnsi="宋体" w:cs="宋体"/>
          <w:szCs w:val="21"/>
        </w:rPr>
      </w:pPr>
      <w:r>
        <w:rPr>
          <w:rFonts w:ascii="宋体" w:hAnsi="宋体" w:cs="宋体" w:hint="eastAsia"/>
          <w:szCs w:val="21"/>
        </w:rPr>
        <w:t>北京康普锡威科技有限公司2005年1月20日在中关村科技园区注册成立，是国资委直属大型中央企业中国有研科技集团有限公司成员之一，是有研粉末新材料股份有限公司全资子公司（股票代码：688456）。主要从事微电子专用焊接材料、3D打印用金属材料及高性能软磁材料研发、生产、</w:t>
      </w:r>
      <w:r>
        <w:rPr>
          <w:rFonts w:ascii="宋体" w:hAnsi="宋体" w:cs="宋体" w:hint="eastAsia"/>
          <w:szCs w:val="21"/>
        </w:rPr>
        <w:lastRenderedPageBreak/>
        <w:t>销售和服务的高新技术企业。北京康普锡威科技有限公司坐落在怀柔风景秀丽的雁栖湖畔，基地占地约2.4万平米。公司自成立以来就秉承“科技创新为先导”的发展战略，注重知识产权发展，曾先后承担国家重大专项、支撑计划、科技部院所基金及中小企业创新基金、北京市科技攻关项目等多项课题。公司是工信部“微电子互连焊粉”技术领域的首批“专精特新小巨人”企业、北京市“专精特新小巨人”企业、国家级高新技术企业、中关村高新技术企业、北京市知识产权示范单位。公司先后获得国家奖2项，省部级奖5项，怀柔区奖5项，行业级科技进步奖9项，其中“球形金属粉末雾化制备技术及产业化”项目荣获2017年国家科技技术进步奖二等奖，“一种金属粉末制备装置及方法”获2016年中国专利优秀奖。2022年“微电子互连用合金焊粉”被评选为“国家制造业单项冠军产品。</w:t>
      </w:r>
    </w:p>
    <w:p w14:paraId="7FFB635E" w14:textId="77777777" w:rsidR="00B50C5D" w:rsidRDefault="00FA0E9F">
      <w:pPr>
        <w:widowControl/>
        <w:spacing w:line="360" w:lineRule="auto"/>
        <w:rPr>
          <w:rFonts w:ascii="宋体" w:hAnsi="宋体" w:cs="宋体"/>
          <w:szCs w:val="21"/>
        </w:rPr>
      </w:pPr>
      <w:r>
        <w:rPr>
          <w:rFonts w:ascii="宋体" w:hAnsi="宋体" w:cs="宋体" w:hint="eastAsia"/>
          <w:szCs w:val="21"/>
        </w:rPr>
        <w:t>3.2.3 中山翰华锡业有限公司</w:t>
      </w:r>
    </w:p>
    <w:p w14:paraId="6A1FF6F2" w14:textId="77777777" w:rsidR="00B50C5D" w:rsidRDefault="00FA0E9F">
      <w:pPr>
        <w:widowControl/>
        <w:spacing w:line="360" w:lineRule="auto"/>
        <w:ind w:firstLineChars="200" w:firstLine="420"/>
        <w:rPr>
          <w:rFonts w:ascii="宋体" w:hAnsi="宋体" w:cs="宋体"/>
          <w:szCs w:val="21"/>
        </w:rPr>
      </w:pPr>
      <w:r>
        <w:rPr>
          <w:rFonts w:ascii="宋体" w:hAnsi="宋体" w:cs="宋体" w:hint="eastAsia"/>
          <w:szCs w:val="21"/>
        </w:rPr>
        <w:t>中山翰华锡业有限公司是一家集研发、生产、销售于一体的国家级高新企业，产品主要涵盖：锡膏、锡条、锡线、清洗剂等系列，其产品广泛应用于电子电器、智能工控、军工航天、能源、汽车、安防等领域，拥有一批稳定的国内国际知名的优质客户群体。</w:t>
      </w:r>
    </w:p>
    <w:p w14:paraId="67518E09" w14:textId="77777777" w:rsidR="00B50C5D" w:rsidRDefault="00FA0E9F">
      <w:pPr>
        <w:widowControl/>
        <w:spacing w:line="360" w:lineRule="auto"/>
        <w:ind w:firstLineChars="200" w:firstLine="420"/>
        <w:rPr>
          <w:rFonts w:ascii="宋体" w:hAnsi="宋体" w:cs="宋体"/>
          <w:szCs w:val="21"/>
        </w:rPr>
      </w:pPr>
      <w:r>
        <w:rPr>
          <w:rFonts w:ascii="宋体" w:hAnsi="宋体" w:cs="宋体" w:hint="eastAsia"/>
          <w:szCs w:val="21"/>
        </w:rPr>
        <w:t xml:space="preserve">一直以来，翰华始终将创新研发作为企业核心竞争力，公司拥有一支高素质的研发团队，核心成员包括有材料加工工程学及化学、化工博士，持续开发高可靠性的电子制造应用新材料产品，核心自主知识产权方面共申请相关国家发明及实用新型专利60余项，40多项专利获得授权。2018年，经广东省科学技术厅批准，设立“广东省环保焊料工程技术研究中心”。 </w:t>
      </w:r>
    </w:p>
    <w:p w14:paraId="3EC2CD3B" w14:textId="77777777" w:rsidR="00B50C5D" w:rsidRDefault="00FA0E9F">
      <w:pPr>
        <w:widowControl/>
        <w:spacing w:line="360" w:lineRule="auto"/>
        <w:ind w:firstLineChars="200" w:firstLine="420"/>
        <w:rPr>
          <w:rFonts w:ascii="宋体" w:hAnsi="宋体" w:cs="宋体"/>
          <w:szCs w:val="21"/>
        </w:rPr>
      </w:pPr>
      <w:r>
        <w:rPr>
          <w:rFonts w:ascii="宋体" w:hAnsi="宋体" w:cs="宋体" w:hint="eastAsia"/>
          <w:szCs w:val="21"/>
        </w:rPr>
        <w:t xml:space="preserve">公司已通过质量环境管理体系认证，取得了ISO9001：2015、ISO14001：2015质量环境管理体系认证，2018年，翰华成功通过IATF16949:2016汽车质量管理体系认证。 </w:t>
      </w:r>
    </w:p>
    <w:p w14:paraId="524821BB" w14:textId="77777777" w:rsidR="00B50C5D" w:rsidRDefault="00FA0E9F">
      <w:pPr>
        <w:widowControl/>
        <w:spacing w:line="360" w:lineRule="auto"/>
        <w:rPr>
          <w:rFonts w:ascii="宋体" w:hAnsi="宋体" w:cs="宋体"/>
          <w:szCs w:val="21"/>
        </w:rPr>
      </w:pPr>
      <w:r>
        <w:rPr>
          <w:rFonts w:ascii="宋体" w:hAnsi="宋体" w:cs="宋体" w:hint="eastAsia"/>
          <w:szCs w:val="21"/>
        </w:rPr>
        <w:t>3.2.3亿铖达科技（江西）有限公司</w:t>
      </w:r>
    </w:p>
    <w:p w14:paraId="3442DFD9" w14:textId="77777777" w:rsidR="00B50C5D" w:rsidRDefault="00FA0E9F">
      <w:pPr>
        <w:widowControl/>
        <w:spacing w:line="360" w:lineRule="auto"/>
        <w:ind w:firstLineChars="200" w:firstLine="420"/>
        <w:rPr>
          <w:rFonts w:ascii="宋体" w:hAnsi="宋体" w:cs="宋体"/>
          <w:szCs w:val="21"/>
        </w:rPr>
      </w:pPr>
      <w:r>
        <w:rPr>
          <w:rFonts w:ascii="宋体" w:hAnsi="宋体" w:cs="宋体" w:hint="eastAsia"/>
          <w:szCs w:val="21"/>
        </w:rPr>
        <w:t>亿铖达科技（江西）有限公司为亿铖达工业有限公司及亿铖达焊锡制造有限公司子公司，总部位于深圳，成立于1985年，是一家集电子连接材料和化学高分子材料研发、生产、销售于一体的大型高新企业，广东省制造业企业500强、宝安区自主创新优势科技企业。“亿铖达”是深圳知名品牌。</w:t>
      </w:r>
    </w:p>
    <w:p w14:paraId="0492444E" w14:textId="77777777" w:rsidR="00B50C5D" w:rsidRDefault="00FA0E9F">
      <w:pPr>
        <w:widowControl/>
        <w:spacing w:line="360" w:lineRule="auto"/>
        <w:ind w:firstLineChars="200" w:firstLine="420"/>
        <w:rPr>
          <w:rFonts w:ascii="宋体" w:hAnsi="宋体" w:cs="宋体"/>
          <w:szCs w:val="21"/>
        </w:rPr>
      </w:pPr>
      <w:r>
        <w:rPr>
          <w:rFonts w:ascii="宋体" w:hAnsi="宋体" w:cs="宋体" w:hint="eastAsia"/>
          <w:szCs w:val="21"/>
        </w:rPr>
        <w:t>亿铖达产品主要涵盖：胶粘剂、预成型焊片、锡膏、锡条、锡线、助焊剂、清洗剂七大系列，其产品广泛应用于电子电器、智能工控、军工航天、能源、汽车、安防等领域。 经过多年的不懈努力，截止目前，亿铖达参与起草制定了10项中国国家标准及4项行业标准，通过了UL安全认证和以IATF16949为代表的5大管理体系认证，获得了44项国家专利。率先在国内推出了水性聚氨酯三防漆、高闪点聚氨酯三防漆、UV暗固化三防漆、UV湿气双固化三防漆、触变型聚氨酯厚层涂覆材料，这几款产品均可广泛应用于线路板防护各领域，属国内首创、居于行业领先水平。</w:t>
      </w:r>
    </w:p>
    <w:p w14:paraId="7A5307D9" w14:textId="77777777" w:rsidR="00B50C5D" w:rsidRDefault="00FA0E9F">
      <w:pPr>
        <w:widowControl/>
        <w:spacing w:line="360" w:lineRule="auto"/>
        <w:ind w:firstLineChars="200" w:firstLine="420"/>
        <w:rPr>
          <w:rFonts w:ascii="宋体" w:hAnsi="宋体" w:cs="宋体"/>
          <w:szCs w:val="21"/>
        </w:rPr>
      </w:pPr>
      <w:r>
        <w:rPr>
          <w:rFonts w:ascii="宋体" w:hAnsi="宋体" w:cs="宋体" w:hint="eastAsia"/>
          <w:szCs w:val="21"/>
        </w:rPr>
        <w:lastRenderedPageBreak/>
        <w:t>亿铖达科技（江西）有限公司项目总投资约5亿港币，用地面积约43.38亩（28925.9㎡），总建筑面积为24135.88㎡，可实现年产4000吨焊接材料（锡条、锡线），2000吨焊接材料（锡膏），6000吨助焊剂、清洗剂，180吨环保型胶黏剂，100吨树脂漆、油墨、油漆，1000吨锡粉，200吨助焊膏的能力。</w:t>
      </w:r>
    </w:p>
    <w:p w14:paraId="5E6113C7" w14:textId="77777777" w:rsidR="00B50C5D" w:rsidRDefault="00FA0E9F">
      <w:pPr>
        <w:widowControl/>
        <w:spacing w:line="360" w:lineRule="auto"/>
        <w:rPr>
          <w:rFonts w:ascii="宋体" w:hAnsi="宋体" w:cs="宋体"/>
          <w:szCs w:val="21"/>
        </w:rPr>
      </w:pPr>
      <w:r>
        <w:rPr>
          <w:rFonts w:ascii="宋体" w:hAnsi="宋体" w:cs="宋体" w:hint="eastAsia"/>
          <w:szCs w:val="21"/>
        </w:rPr>
        <w:t>3.2.4浙江亚通新材料股份有限公司</w:t>
      </w:r>
    </w:p>
    <w:p w14:paraId="4783CB35" w14:textId="77777777" w:rsidR="00FA0E9F" w:rsidRPr="00FA0E9F" w:rsidRDefault="00FA0E9F" w:rsidP="00FA0E9F">
      <w:pPr>
        <w:widowControl/>
        <w:spacing w:line="360" w:lineRule="auto"/>
        <w:ind w:firstLineChars="200" w:firstLine="420"/>
        <w:rPr>
          <w:rFonts w:ascii="宋体" w:hAnsi="宋体" w:cs="宋体"/>
          <w:szCs w:val="21"/>
        </w:rPr>
      </w:pPr>
      <w:r w:rsidRPr="00FA0E9F">
        <w:rPr>
          <w:rFonts w:ascii="宋体" w:hAnsi="宋体" w:cs="宋体" w:hint="eastAsia"/>
          <w:szCs w:val="21"/>
        </w:rPr>
        <w:t>浙江亚通新材料股份有限公司（原名称：浙江亚通焊材有限公司）成立于2006年，是世界500强企业杭州钢铁集团有限公司设立的国有控股、多元投资的高新技术企业，主要致力于电子及半导体钎料、绿色环保硬钎料、高性能金属合金粉膏体等材料的研发与生产，产品广泛应用于航空航天、新能源、汽车电子、制冷、等领域，部分产品服务于国防军工。公司是国内焊接材料行业的核心企业之一，主持或参与制定40余项国家或行业标准，拥有50余件授权国家发明专利，担任着中国电子材料行业协会、国家标准化技术委员会、中国焊接协会等专业机构领导职务，在行业内具有广泛影响力。</w:t>
      </w:r>
    </w:p>
    <w:p w14:paraId="26179B7A" w14:textId="77777777" w:rsidR="00FA0E9F" w:rsidRPr="00FA0E9F" w:rsidRDefault="00FA0E9F" w:rsidP="00FA0E9F">
      <w:pPr>
        <w:widowControl/>
        <w:spacing w:line="360" w:lineRule="auto"/>
        <w:ind w:firstLineChars="200" w:firstLine="420"/>
        <w:rPr>
          <w:rFonts w:ascii="宋体" w:hAnsi="宋体" w:cs="宋体"/>
          <w:szCs w:val="21"/>
        </w:rPr>
      </w:pPr>
      <w:r w:rsidRPr="00FA0E9F">
        <w:rPr>
          <w:rFonts w:ascii="宋体" w:hAnsi="宋体" w:cs="宋体" w:hint="eastAsia"/>
          <w:szCs w:val="21"/>
        </w:rPr>
        <w:t>公司建有国家地方联合工程研究中心、省级重点企业研究院、省级企业技术中心、省重点实验室等研发平台。其中钎焊材料创新研发团队能够根据客户需求开发新型钎焊材料和技术，整体研发实力处于国内前列，相关成果先后荣获国家科技进步二等奖、国家重点新产品证书、机械工业科学技术一等奖、浙江省科技进步奖等科技奖项，公司及产品曾荣获浙江省隐形冠军企业、中国焊锡行业十佳企业、浙江省名牌产品、浙江省军民融合示范企业等荣誉。</w:t>
      </w:r>
    </w:p>
    <w:p w14:paraId="72B46E62" w14:textId="77777777" w:rsidR="00FA0E9F" w:rsidRPr="00FA0E9F" w:rsidRDefault="00FA0E9F" w:rsidP="00FA0E9F">
      <w:pPr>
        <w:widowControl/>
        <w:spacing w:line="360" w:lineRule="auto"/>
        <w:ind w:firstLineChars="200" w:firstLine="420"/>
        <w:rPr>
          <w:rFonts w:ascii="宋体" w:hAnsi="宋体" w:cs="宋体"/>
          <w:szCs w:val="21"/>
        </w:rPr>
      </w:pPr>
      <w:r w:rsidRPr="00FA0E9F">
        <w:rPr>
          <w:rFonts w:ascii="宋体" w:hAnsi="宋体" w:cs="宋体" w:hint="eastAsia"/>
          <w:szCs w:val="21"/>
        </w:rPr>
        <w:t>公司一直专注于高性能有色金属材料的研发、生产和销售，目前在电子级半导体钎料和绿色环保硬钎料领域有一定的市场占有率，未来将着力调整产品结构，围绕行业需求开发进口替代产品，加大半导体、新能源、电力、军工等领域的开拓力度，争取在高技术含量的钎焊材料领域继续占据重要的地位。</w:t>
      </w:r>
    </w:p>
    <w:p w14:paraId="675C65B2" w14:textId="671BC070" w:rsidR="00B50C5D" w:rsidRDefault="00FA0E9F">
      <w:pPr>
        <w:widowControl/>
        <w:spacing w:line="360" w:lineRule="auto"/>
        <w:ind w:firstLineChars="200" w:firstLine="420"/>
        <w:rPr>
          <w:rFonts w:ascii="宋体" w:hAnsi="宋体" w:cs="宋体"/>
          <w:szCs w:val="21"/>
        </w:rPr>
      </w:pPr>
      <w:r>
        <w:rPr>
          <w:rFonts w:ascii="宋体" w:hAnsi="宋体" w:cs="宋体" w:hint="eastAsia"/>
          <w:szCs w:val="21"/>
        </w:rPr>
        <w:t>以上几家单位在整个标准编制过程中，积极配合主编单位的编制工作，多次在本单位内部组织对标准的初稿和修改稿进行认真的讨论和审议，提出大量有益的意见和建议，在编制组中发挥了重要的骨干作用。</w:t>
      </w:r>
    </w:p>
    <w:p w14:paraId="5EB65207" w14:textId="77777777" w:rsidR="00B50C5D" w:rsidRDefault="00FA0E9F">
      <w:pPr>
        <w:pStyle w:val="a7"/>
        <w:spacing w:line="360" w:lineRule="auto"/>
        <w:ind w:firstLine="0"/>
        <w:rPr>
          <w:rFonts w:ascii="宋体" w:hAnsi="宋体" w:cs="宋体"/>
          <w:b/>
          <w:sz w:val="21"/>
          <w:szCs w:val="21"/>
        </w:rPr>
      </w:pPr>
      <w:r>
        <w:rPr>
          <w:rFonts w:ascii="宋体" w:hAnsi="宋体" w:cs="宋体" w:hint="eastAsia"/>
          <w:b/>
          <w:sz w:val="21"/>
          <w:szCs w:val="21"/>
        </w:rPr>
        <w:t>4  主要工作过程</w:t>
      </w:r>
    </w:p>
    <w:p w14:paraId="1375B3C2" w14:textId="77777777" w:rsidR="00B50C5D" w:rsidRDefault="00FA0E9F">
      <w:pPr>
        <w:pStyle w:val="a7"/>
        <w:spacing w:line="360" w:lineRule="auto"/>
        <w:ind w:firstLine="0"/>
        <w:rPr>
          <w:rFonts w:ascii="宋体" w:hAnsi="宋体" w:cs="宋体"/>
          <w:b/>
          <w:sz w:val="21"/>
          <w:szCs w:val="21"/>
        </w:rPr>
      </w:pPr>
      <w:r>
        <w:rPr>
          <w:rFonts w:ascii="宋体" w:hAnsi="宋体" w:cs="宋体" w:hint="eastAsia"/>
          <w:b/>
          <w:sz w:val="21"/>
          <w:szCs w:val="21"/>
        </w:rPr>
        <w:t>4.1  标准编制过程</w:t>
      </w:r>
    </w:p>
    <w:p w14:paraId="257DCB75" w14:textId="77777777" w:rsidR="00B50C5D" w:rsidRDefault="00FA0E9F">
      <w:pPr>
        <w:pStyle w:val="a7"/>
        <w:spacing w:line="300" w:lineRule="auto"/>
        <w:ind w:firstLineChars="200"/>
        <w:rPr>
          <w:rFonts w:ascii="宋体" w:hAnsi="宋体" w:cs="宋体"/>
          <w:kern w:val="0"/>
          <w:sz w:val="21"/>
          <w:szCs w:val="21"/>
        </w:rPr>
      </w:pPr>
      <w:r>
        <w:rPr>
          <w:rFonts w:ascii="宋体" w:hAnsi="宋体" w:cs="宋体" w:hint="eastAsia"/>
          <w:kern w:val="0"/>
          <w:sz w:val="21"/>
          <w:szCs w:val="21"/>
        </w:rPr>
        <w:t>接到标准起草任务后，在云南锡业股份有限公司指导下，原云南锡业锡材有限公司立即成立了标准编制小组，主要由安全环保部、运营管理部、研发中心等技术人员组成。首先整理收集本企业锡及锡合金产品（含精锡材、焊锡材、合金）的技术要求及现状，同时会同公司相关部门开始了本标准的起草工作，经过编制小组多次内部讨论及相关参加起草单位广泛征求意见，于2022年1月形成了本标准的《讨论稿》。于2022年6月24日请相关单位的专家在标准会上，对讨论稿进行初步评审，经会议专家讨论和会后再次征求意见。2023年3月27日再次根据征求意见和编制组成员讨</w:t>
      </w:r>
      <w:r>
        <w:rPr>
          <w:rFonts w:ascii="宋体" w:hAnsi="宋体" w:cs="宋体" w:hint="eastAsia"/>
          <w:kern w:val="0"/>
          <w:sz w:val="21"/>
          <w:szCs w:val="21"/>
        </w:rPr>
        <w:lastRenderedPageBreak/>
        <w:t>论意见修改完善本标准《预审稿》。2023年8月21日再次根据征求意见和编制组成员讨论意见修改完善本标准《送审稿》。</w:t>
      </w:r>
    </w:p>
    <w:p w14:paraId="65F300E6" w14:textId="77777777" w:rsidR="00B50C5D" w:rsidRDefault="00FA0E9F">
      <w:pPr>
        <w:pStyle w:val="a7"/>
        <w:spacing w:line="360" w:lineRule="auto"/>
        <w:ind w:firstLine="0"/>
        <w:rPr>
          <w:rFonts w:ascii="宋体" w:hAnsi="宋体" w:cs="宋体"/>
          <w:b/>
          <w:sz w:val="21"/>
          <w:szCs w:val="21"/>
        </w:rPr>
      </w:pPr>
      <w:r>
        <w:rPr>
          <w:rFonts w:ascii="宋体" w:hAnsi="宋体" w:cs="宋体" w:hint="eastAsia"/>
          <w:b/>
          <w:sz w:val="21"/>
          <w:szCs w:val="21"/>
        </w:rPr>
        <w:t>4.2  征求意见阶段</w:t>
      </w:r>
    </w:p>
    <w:p w14:paraId="367656A4" w14:textId="77777777" w:rsidR="00B50C5D" w:rsidRDefault="00FA0E9F">
      <w:pPr>
        <w:pStyle w:val="a7"/>
        <w:spacing w:line="300" w:lineRule="auto"/>
        <w:ind w:firstLineChars="200"/>
        <w:rPr>
          <w:rFonts w:ascii="宋体" w:hAnsi="宋体" w:cs="宋体"/>
          <w:kern w:val="0"/>
          <w:sz w:val="21"/>
          <w:szCs w:val="21"/>
        </w:rPr>
      </w:pPr>
      <w:r>
        <w:rPr>
          <w:rFonts w:ascii="宋体" w:hAnsi="宋体" w:cs="宋体" w:hint="eastAsia"/>
          <w:kern w:val="0"/>
          <w:sz w:val="21"/>
          <w:szCs w:val="21"/>
        </w:rPr>
        <w:t>2022年6月标准讨论会至今，牵头单位组织各个参与起草单位组建了工作群，经多次讨论形成征求意见稿，回函并有建议或意见的单位数3个；没有回函群里表示没有意见的单位数3个。编制组根据回函意见，先后完善了标准、及编制说明预审稿、送审稿。2023年8月15日根据预审会议专家评审意见、征求意见回函、编制组讨论的意见，再次重新完善了本标准、编制说明送审定稿。</w:t>
      </w:r>
    </w:p>
    <w:p w14:paraId="74E6984F" w14:textId="77777777" w:rsidR="00B50C5D" w:rsidRDefault="00FA0E9F">
      <w:pPr>
        <w:pStyle w:val="a7"/>
        <w:spacing w:line="360" w:lineRule="auto"/>
        <w:ind w:firstLine="0"/>
        <w:rPr>
          <w:rFonts w:ascii="宋体" w:hAnsi="宋体" w:cs="宋体"/>
          <w:b/>
          <w:sz w:val="21"/>
          <w:szCs w:val="21"/>
        </w:rPr>
      </w:pPr>
      <w:r>
        <w:rPr>
          <w:rFonts w:ascii="宋体" w:hAnsi="宋体" w:cs="宋体" w:hint="eastAsia"/>
          <w:b/>
          <w:sz w:val="21"/>
          <w:szCs w:val="21"/>
        </w:rPr>
        <w:t>4.3  标准送审阶段</w:t>
      </w:r>
    </w:p>
    <w:p w14:paraId="4D6DFA85" w14:textId="77777777" w:rsidR="00B50C5D" w:rsidRDefault="00FA0E9F">
      <w:pPr>
        <w:pStyle w:val="a7"/>
        <w:spacing w:line="360" w:lineRule="auto"/>
        <w:ind w:firstLine="0"/>
        <w:rPr>
          <w:rFonts w:ascii="宋体" w:hAnsi="宋体" w:cs="宋体"/>
          <w:b/>
          <w:sz w:val="21"/>
          <w:szCs w:val="21"/>
        </w:rPr>
      </w:pPr>
      <w:r>
        <w:rPr>
          <w:rFonts w:ascii="宋体" w:hAnsi="宋体" w:cs="宋体" w:hint="eastAsia"/>
          <w:b/>
          <w:sz w:val="21"/>
          <w:szCs w:val="21"/>
        </w:rPr>
        <w:t xml:space="preserve">    待8月21日全国有色金属标准化技术委员会组织审定。</w:t>
      </w:r>
    </w:p>
    <w:p w14:paraId="0F30A8D8" w14:textId="77777777" w:rsidR="00B50C5D" w:rsidRDefault="00FA0E9F">
      <w:pPr>
        <w:pStyle w:val="a7"/>
        <w:spacing w:line="300" w:lineRule="auto"/>
        <w:ind w:firstLine="0"/>
        <w:rPr>
          <w:rFonts w:ascii="宋体" w:hAnsi="宋体" w:cs="宋体"/>
          <w:kern w:val="0"/>
          <w:sz w:val="21"/>
          <w:szCs w:val="21"/>
        </w:rPr>
      </w:pPr>
      <w:r>
        <w:rPr>
          <w:rFonts w:ascii="宋体" w:hAnsi="宋体" w:cs="宋体" w:hint="eastAsia"/>
          <w:kern w:val="0"/>
          <w:sz w:val="21"/>
          <w:szCs w:val="21"/>
        </w:rPr>
        <w:t>4.3.1技术专家审查</w:t>
      </w:r>
    </w:p>
    <w:p w14:paraId="58CA28DB" w14:textId="77777777" w:rsidR="00B50C5D" w:rsidRDefault="00FA0E9F">
      <w:pPr>
        <w:pStyle w:val="a7"/>
        <w:spacing w:line="300" w:lineRule="auto"/>
        <w:rPr>
          <w:rFonts w:ascii="宋体" w:hAnsi="宋体" w:cs="宋体"/>
          <w:kern w:val="0"/>
          <w:sz w:val="21"/>
          <w:szCs w:val="21"/>
        </w:rPr>
      </w:pPr>
      <w:r>
        <w:rPr>
          <w:rFonts w:ascii="宋体" w:hAnsi="宋体" w:cs="宋体" w:hint="eastAsia"/>
          <w:kern w:val="0"/>
          <w:sz w:val="21"/>
          <w:szCs w:val="21"/>
        </w:rPr>
        <w:t>2023年8月根据标准工作会上与会专家对本标准送审稿进行认真的研究、讨论意见修改文稿和编制说明。</w:t>
      </w:r>
    </w:p>
    <w:p w14:paraId="5E8E30D9" w14:textId="77777777" w:rsidR="00B50C5D" w:rsidRDefault="00FA0E9F">
      <w:pPr>
        <w:pStyle w:val="a7"/>
        <w:spacing w:line="300" w:lineRule="auto"/>
        <w:ind w:firstLine="0"/>
        <w:rPr>
          <w:rFonts w:ascii="宋体" w:hAnsi="宋体" w:cs="宋体"/>
          <w:sz w:val="21"/>
          <w:szCs w:val="21"/>
        </w:rPr>
      </w:pPr>
      <w:r>
        <w:rPr>
          <w:rFonts w:ascii="宋体" w:hAnsi="宋体" w:cs="宋体" w:hint="eastAsia"/>
          <w:sz w:val="21"/>
          <w:szCs w:val="21"/>
        </w:rPr>
        <w:t>4.3.2委员审查</w:t>
      </w:r>
    </w:p>
    <w:p w14:paraId="0FF4E620" w14:textId="77777777" w:rsidR="00B50C5D" w:rsidRDefault="00FA0E9F">
      <w:pPr>
        <w:ind w:firstLineChars="200" w:firstLine="420"/>
        <w:rPr>
          <w:rFonts w:ascii="宋体" w:hAnsi="宋体" w:cs="宋体"/>
          <w:szCs w:val="21"/>
        </w:rPr>
      </w:pPr>
      <w:r>
        <w:rPr>
          <w:rFonts w:ascii="宋体" w:hAnsi="宋体" w:cs="宋体" w:hint="eastAsia"/>
          <w:szCs w:val="21"/>
        </w:rPr>
        <w:t>待全国有色金属标准化技术委员会择时审查。</w:t>
      </w:r>
    </w:p>
    <w:p w14:paraId="412D25AD" w14:textId="77777777" w:rsidR="00B50C5D" w:rsidRDefault="00FA0E9F">
      <w:pPr>
        <w:pStyle w:val="a7"/>
        <w:spacing w:line="300" w:lineRule="auto"/>
        <w:ind w:firstLine="0"/>
        <w:rPr>
          <w:rFonts w:ascii="宋体" w:hAnsi="宋体" w:cs="宋体"/>
          <w:kern w:val="0"/>
          <w:sz w:val="21"/>
          <w:szCs w:val="21"/>
        </w:rPr>
      </w:pPr>
      <w:r>
        <w:rPr>
          <w:rFonts w:ascii="宋体" w:hAnsi="宋体" w:cs="宋体" w:hint="eastAsia"/>
          <w:kern w:val="0"/>
          <w:sz w:val="21"/>
          <w:szCs w:val="21"/>
        </w:rPr>
        <w:t>4.4报批阶段</w:t>
      </w:r>
    </w:p>
    <w:p w14:paraId="7C0B45B2" w14:textId="77777777" w:rsidR="00B50C5D" w:rsidRDefault="00FA0E9F">
      <w:pPr>
        <w:ind w:firstLineChars="200" w:firstLine="420"/>
        <w:rPr>
          <w:rFonts w:ascii="宋体" w:hAnsi="宋体" w:cs="宋体"/>
          <w:szCs w:val="21"/>
        </w:rPr>
      </w:pPr>
      <w:r>
        <w:rPr>
          <w:rFonts w:ascii="宋体" w:hAnsi="宋体" w:cs="宋体" w:hint="eastAsia"/>
          <w:szCs w:val="21"/>
        </w:rPr>
        <w:t>标准编制组按照审查意见对标准文本完善后，于2023年底最终形成《报批稿》和《报批稿编制说明》，提交有色标委会秘书处。</w:t>
      </w:r>
    </w:p>
    <w:p w14:paraId="577DB46D" w14:textId="77777777" w:rsidR="00B50C5D" w:rsidRDefault="00B50C5D">
      <w:pPr>
        <w:ind w:firstLineChars="200" w:firstLine="420"/>
        <w:rPr>
          <w:rFonts w:ascii="宋体" w:hAnsi="宋体" w:cs="宋体"/>
          <w:szCs w:val="21"/>
        </w:rPr>
      </w:pPr>
    </w:p>
    <w:p w14:paraId="0C7F8FB2" w14:textId="77777777" w:rsidR="00B50C5D" w:rsidRDefault="00FA0E9F">
      <w:pPr>
        <w:spacing w:line="360" w:lineRule="auto"/>
        <w:rPr>
          <w:rFonts w:ascii="宋体" w:hAnsi="宋体" w:cs="宋体"/>
          <w:b/>
          <w:szCs w:val="21"/>
        </w:rPr>
      </w:pPr>
      <w:r>
        <w:rPr>
          <w:rFonts w:ascii="宋体" w:hAnsi="宋体" w:cs="宋体" w:hint="eastAsia"/>
          <w:b/>
          <w:szCs w:val="21"/>
        </w:rPr>
        <w:t>5 编制原则</w:t>
      </w:r>
    </w:p>
    <w:p w14:paraId="14B847D4" w14:textId="77777777" w:rsidR="00B50C5D" w:rsidRDefault="00FA0E9F">
      <w:pPr>
        <w:spacing w:line="360" w:lineRule="auto"/>
        <w:rPr>
          <w:rFonts w:ascii="宋体" w:hAnsi="宋体" w:cs="宋体"/>
          <w:bCs/>
          <w:szCs w:val="21"/>
        </w:rPr>
      </w:pPr>
      <w:r>
        <w:rPr>
          <w:rFonts w:ascii="宋体" w:hAnsi="宋体" w:cs="宋体" w:hint="eastAsia"/>
          <w:bCs/>
          <w:szCs w:val="21"/>
        </w:rPr>
        <w:t>5.1一致性原则</w:t>
      </w:r>
    </w:p>
    <w:p w14:paraId="7CA85146" w14:textId="77777777" w:rsidR="00B50C5D" w:rsidRDefault="00FA0E9F">
      <w:pPr>
        <w:spacing w:line="360" w:lineRule="auto"/>
        <w:ind w:firstLineChars="200" w:firstLine="420"/>
        <w:rPr>
          <w:rFonts w:ascii="宋体" w:hAnsi="宋体" w:cs="宋体"/>
          <w:bCs/>
          <w:szCs w:val="21"/>
        </w:rPr>
      </w:pPr>
      <w:r>
        <w:rPr>
          <w:rFonts w:ascii="宋体" w:hAnsi="宋体" w:cs="宋体" w:hint="eastAsia"/>
          <w:bCs/>
          <w:szCs w:val="21"/>
        </w:rPr>
        <w:t>标准尽可能与以下内容协调一致：</w:t>
      </w:r>
    </w:p>
    <w:p w14:paraId="6042F2A6" w14:textId="77777777" w:rsidR="00B50C5D" w:rsidRDefault="00FA0E9F">
      <w:pPr>
        <w:spacing w:line="360" w:lineRule="auto"/>
        <w:ind w:firstLineChars="200" w:firstLine="420"/>
        <w:rPr>
          <w:rFonts w:ascii="宋体" w:hAnsi="宋体" w:cs="宋体"/>
          <w:bCs/>
          <w:szCs w:val="21"/>
        </w:rPr>
      </w:pPr>
      <w:r>
        <w:rPr>
          <w:rFonts w:ascii="宋体" w:hAnsi="宋体" w:cs="宋体" w:hint="eastAsia"/>
          <w:bCs/>
          <w:szCs w:val="21"/>
        </w:rPr>
        <w:t>a)绿色制造体系要求；</w:t>
      </w:r>
    </w:p>
    <w:p w14:paraId="0363ACD7" w14:textId="77777777" w:rsidR="00B50C5D" w:rsidRDefault="00FA0E9F">
      <w:pPr>
        <w:spacing w:line="360" w:lineRule="auto"/>
        <w:ind w:firstLineChars="200" w:firstLine="420"/>
        <w:rPr>
          <w:rFonts w:ascii="宋体" w:hAnsi="宋体" w:cs="宋体"/>
          <w:bCs/>
          <w:szCs w:val="21"/>
        </w:rPr>
      </w:pPr>
      <w:r>
        <w:rPr>
          <w:rFonts w:ascii="宋体" w:hAnsi="宋体" w:cs="宋体" w:hint="eastAsia"/>
          <w:bCs/>
          <w:szCs w:val="21"/>
        </w:rPr>
        <w:t>b)相关法律、法规、政策、标准、管理办法；</w:t>
      </w:r>
    </w:p>
    <w:p w14:paraId="21EA621D" w14:textId="77777777" w:rsidR="00B50C5D" w:rsidRDefault="00FA0E9F">
      <w:pPr>
        <w:spacing w:line="360" w:lineRule="auto"/>
        <w:ind w:firstLineChars="200" w:firstLine="420"/>
        <w:rPr>
          <w:rFonts w:ascii="宋体" w:hAnsi="宋体" w:cs="宋体"/>
          <w:bCs/>
          <w:szCs w:val="21"/>
        </w:rPr>
      </w:pPr>
      <w:r>
        <w:rPr>
          <w:rFonts w:ascii="宋体" w:hAnsi="宋体" w:cs="宋体" w:hint="eastAsia"/>
          <w:bCs/>
          <w:szCs w:val="21"/>
        </w:rPr>
        <w:t>c)工业和信息化部绿色制造整体目标；</w:t>
      </w:r>
    </w:p>
    <w:p w14:paraId="37C2BA3E" w14:textId="77777777" w:rsidR="00B50C5D" w:rsidRDefault="00FA0E9F">
      <w:pPr>
        <w:spacing w:line="360" w:lineRule="auto"/>
        <w:ind w:firstLineChars="200" w:firstLine="420"/>
        <w:rPr>
          <w:rFonts w:ascii="宋体" w:hAnsi="宋体" w:cs="宋体"/>
          <w:bCs/>
          <w:szCs w:val="21"/>
        </w:rPr>
      </w:pPr>
      <w:r>
        <w:rPr>
          <w:rFonts w:ascii="宋体" w:hAnsi="宋体" w:cs="宋体" w:hint="eastAsia"/>
          <w:bCs/>
          <w:szCs w:val="21"/>
        </w:rPr>
        <w:t>d) GB/T36132-2018《绿色工厂评价通则》。</w:t>
      </w:r>
    </w:p>
    <w:p w14:paraId="446FAFD8" w14:textId="77777777" w:rsidR="00B50C5D" w:rsidRDefault="00FA0E9F">
      <w:pPr>
        <w:spacing w:line="360" w:lineRule="auto"/>
        <w:rPr>
          <w:rFonts w:ascii="宋体" w:hAnsi="宋体" w:cs="宋体"/>
          <w:bCs/>
          <w:szCs w:val="21"/>
        </w:rPr>
      </w:pPr>
      <w:r>
        <w:rPr>
          <w:rFonts w:ascii="宋体" w:hAnsi="宋体" w:cs="宋体" w:hint="eastAsia"/>
          <w:bCs/>
          <w:szCs w:val="21"/>
        </w:rPr>
        <w:t>5.2全面系统</w:t>
      </w:r>
    </w:p>
    <w:p w14:paraId="0BB9CAB6" w14:textId="77777777" w:rsidR="00B50C5D" w:rsidRDefault="00FA0E9F">
      <w:pPr>
        <w:spacing w:line="360" w:lineRule="auto"/>
        <w:ind w:firstLineChars="200" w:firstLine="420"/>
        <w:rPr>
          <w:rFonts w:ascii="宋体" w:hAnsi="宋体" w:cs="宋体"/>
          <w:bCs/>
          <w:szCs w:val="21"/>
        </w:rPr>
      </w:pPr>
      <w:r>
        <w:rPr>
          <w:rFonts w:ascii="宋体" w:hAnsi="宋体" w:cs="宋体" w:hint="eastAsia"/>
          <w:bCs/>
          <w:szCs w:val="21"/>
        </w:rPr>
        <w:t>a)涵盖工厂生产的全过程、全链条和全要素；</w:t>
      </w:r>
    </w:p>
    <w:p w14:paraId="71A26867" w14:textId="77777777" w:rsidR="00B50C5D" w:rsidRDefault="00FA0E9F">
      <w:pPr>
        <w:spacing w:line="360" w:lineRule="auto"/>
        <w:ind w:firstLineChars="200" w:firstLine="420"/>
        <w:rPr>
          <w:rFonts w:ascii="宋体" w:hAnsi="宋体" w:cs="宋体"/>
          <w:bCs/>
          <w:szCs w:val="21"/>
        </w:rPr>
      </w:pPr>
      <w:r>
        <w:rPr>
          <w:rFonts w:ascii="宋体" w:hAnsi="宋体" w:cs="宋体" w:hint="eastAsia"/>
          <w:bCs/>
          <w:szCs w:val="21"/>
        </w:rPr>
        <w:t>b)全面、系统建立绿色工厂评价体系。</w:t>
      </w:r>
    </w:p>
    <w:p w14:paraId="7E8C31C6" w14:textId="77777777" w:rsidR="00B50C5D" w:rsidRDefault="00FA0E9F">
      <w:pPr>
        <w:spacing w:line="360" w:lineRule="auto"/>
        <w:rPr>
          <w:rFonts w:ascii="宋体" w:hAnsi="宋体" w:cs="宋体"/>
          <w:bCs/>
          <w:szCs w:val="21"/>
        </w:rPr>
      </w:pPr>
      <w:r>
        <w:rPr>
          <w:rFonts w:ascii="宋体" w:hAnsi="宋体" w:cs="宋体" w:hint="eastAsia"/>
          <w:bCs/>
          <w:szCs w:val="21"/>
        </w:rPr>
        <w:t>5.3突出行业特点</w:t>
      </w:r>
    </w:p>
    <w:p w14:paraId="635E6A98" w14:textId="77777777" w:rsidR="00B50C5D" w:rsidRDefault="00FA0E9F">
      <w:pPr>
        <w:spacing w:line="360" w:lineRule="auto"/>
        <w:ind w:firstLineChars="200" w:firstLine="420"/>
        <w:rPr>
          <w:rFonts w:ascii="宋体" w:hAnsi="宋体" w:cs="宋体"/>
          <w:bCs/>
          <w:szCs w:val="21"/>
        </w:rPr>
      </w:pPr>
      <w:r>
        <w:rPr>
          <w:rFonts w:ascii="宋体" w:hAnsi="宋体" w:cs="宋体" w:hint="eastAsia"/>
          <w:bCs/>
          <w:szCs w:val="21"/>
        </w:rPr>
        <w:t>在GB/T36132-2018《绿色工厂评价通则》的基础上突出</w:t>
      </w:r>
      <w:r>
        <w:rPr>
          <w:rFonts w:ascii="宋体" w:hAnsi="宋体" w:cs="宋体" w:hint="eastAsia"/>
          <w:szCs w:val="21"/>
        </w:rPr>
        <w:t>锡及锡合金</w:t>
      </w:r>
      <w:r>
        <w:rPr>
          <w:rFonts w:ascii="宋体" w:hAnsi="宋体" w:cs="宋体" w:hint="eastAsia"/>
          <w:bCs/>
          <w:szCs w:val="21"/>
        </w:rPr>
        <w:t>的特点，重点关注</w:t>
      </w:r>
      <w:r>
        <w:rPr>
          <w:rFonts w:ascii="宋体" w:hAnsi="宋体" w:cs="宋体" w:hint="eastAsia"/>
          <w:szCs w:val="21"/>
        </w:rPr>
        <w:t>锡及锡合金生产</w:t>
      </w:r>
      <w:r>
        <w:rPr>
          <w:rFonts w:ascii="宋体" w:hAnsi="宋体" w:cs="宋体" w:hint="eastAsia"/>
          <w:bCs/>
          <w:szCs w:val="21"/>
        </w:rPr>
        <w:t>企业的能源投入、资源投入、环境排放和绩效以及温室气体、碳足迹指标。</w:t>
      </w:r>
    </w:p>
    <w:p w14:paraId="382C3830" w14:textId="77777777" w:rsidR="00B50C5D" w:rsidRDefault="00FA0E9F">
      <w:pPr>
        <w:spacing w:line="360" w:lineRule="auto"/>
        <w:rPr>
          <w:rFonts w:ascii="宋体" w:hAnsi="宋体" w:cs="宋体"/>
          <w:bCs/>
          <w:szCs w:val="21"/>
        </w:rPr>
      </w:pPr>
      <w:r>
        <w:rPr>
          <w:rFonts w:ascii="宋体" w:hAnsi="宋体" w:cs="宋体" w:hint="eastAsia"/>
          <w:bCs/>
          <w:szCs w:val="21"/>
        </w:rPr>
        <w:t>5.4 适用可操作</w:t>
      </w:r>
    </w:p>
    <w:p w14:paraId="137463A7" w14:textId="77777777" w:rsidR="00B50C5D" w:rsidRDefault="00FA0E9F">
      <w:pPr>
        <w:spacing w:line="360" w:lineRule="auto"/>
        <w:ind w:firstLineChars="200" w:firstLine="420"/>
        <w:rPr>
          <w:rFonts w:ascii="宋体" w:hAnsi="宋体" w:cs="宋体"/>
          <w:bCs/>
          <w:szCs w:val="21"/>
        </w:rPr>
      </w:pPr>
      <w:r>
        <w:rPr>
          <w:rFonts w:ascii="宋体" w:hAnsi="宋体" w:cs="宋体" w:hint="eastAsia"/>
          <w:bCs/>
          <w:szCs w:val="21"/>
        </w:rPr>
        <w:t>a)在企业现有管理体系基础上增加绿色工厂管理要求；</w:t>
      </w:r>
    </w:p>
    <w:p w14:paraId="731FCBD1" w14:textId="77777777" w:rsidR="00B50C5D" w:rsidRDefault="00FA0E9F">
      <w:pPr>
        <w:spacing w:line="360" w:lineRule="auto"/>
        <w:ind w:firstLineChars="200" w:firstLine="420"/>
        <w:rPr>
          <w:rFonts w:ascii="宋体" w:hAnsi="宋体" w:cs="宋体"/>
          <w:bCs/>
          <w:szCs w:val="21"/>
        </w:rPr>
      </w:pPr>
      <w:r>
        <w:rPr>
          <w:rFonts w:ascii="宋体" w:hAnsi="宋体" w:cs="宋体" w:hint="eastAsia"/>
          <w:bCs/>
          <w:szCs w:val="21"/>
        </w:rPr>
        <w:t>b)遵循“PDCA管理循环”模式，降低标准实施的难度；</w:t>
      </w:r>
    </w:p>
    <w:p w14:paraId="25DAFC13" w14:textId="77777777" w:rsidR="00B50C5D" w:rsidRDefault="00FA0E9F">
      <w:pPr>
        <w:spacing w:line="360" w:lineRule="auto"/>
        <w:ind w:firstLineChars="200" w:firstLine="420"/>
        <w:rPr>
          <w:rFonts w:ascii="宋体" w:hAnsi="宋体" w:cs="宋体"/>
          <w:szCs w:val="21"/>
        </w:rPr>
      </w:pPr>
      <w:r>
        <w:rPr>
          <w:rFonts w:ascii="宋体" w:hAnsi="宋体" w:cs="宋体" w:hint="eastAsia"/>
          <w:bCs/>
          <w:szCs w:val="21"/>
        </w:rPr>
        <w:lastRenderedPageBreak/>
        <w:t>c)立足国内企业绿色制造实际与工业和信息化部建设绿色制造体系、全面创建绿色工厂的要求，确保标准的可操作性。</w:t>
      </w:r>
    </w:p>
    <w:p w14:paraId="5D053526" w14:textId="77777777" w:rsidR="00B50C5D" w:rsidRDefault="00FA0E9F">
      <w:pPr>
        <w:spacing w:line="360" w:lineRule="auto"/>
        <w:rPr>
          <w:rFonts w:ascii="宋体" w:hAnsi="宋体" w:cs="宋体"/>
          <w:szCs w:val="21"/>
        </w:rPr>
      </w:pPr>
      <w:bookmarkStart w:id="0" w:name="OLE_LINK7"/>
      <w:r>
        <w:rPr>
          <w:rFonts w:ascii="宋体" w:hAnsi="宋体" w:cs="宋体" w:hint="eastAsia"/>
          <w:szCs w:val="21"/>
        </w:rPr>
        <w:t>5.5 完全按照GB/T 1.1和国家标准编写示例的要求进行格式和结构编写。</w:t>
      </w:r>
      <w:bookmarkEnd w:id="0"/>
    </w:p>
    <w:p w14:paraId="2BD4E140" w14:textId="77777777" w:rsidR="00B50C5D" w:rsidRDefault="00FA0E9F">
      <w:pPr>
        <w:spacing w:line="360" w:lineRule="auto"/>
        <w:rPr>
          <w:rFonts w:ascii="宋体" w:hAnsi="宋体" w:cs="宋体"/>
          <w:b/>
          <w:bCs/>
          <w:szCs w:val="21"/>
        </w:rPr>
      </w:pPr>
      <w:r>
        <w:rPr>
          <w:rFonts w:ascii="宋体" w:hAnsi="宋体" w:cs="宋体" w:hint="eastAsia"/>
          <w:b/>
          <w:bCs/>
          <w:szCs w:val="21"/>
        </w:rPr>
        <w:t>5.6 评价方法</w:t>
      </w:r>
    </w:p>
    <w:p w14:paraId="20D2240D" w14:textId="77777777" w:rsidR="00B50C5D" w:rsidRPr="00D922BF" w:rsidRDefault="00FA0E9F">
      <w:pPr>
        <w:spacing w:line="360" w:lineRule="auto"/>
        <w:ind w:firstLine="420"/>
        <w:rPr>
          <w:rFonts w:ascii="宋体" w:hAnsi="宋体" w:cs="宋体"/>
          <w:szCs w:val="21"/>
        </w:rPr>
      </w:pPr>
      <w:r w:rsidRPr="00D922BF">
        <w:rPr>
          <w:rFonts w:ascii="宋体" w:hAnsi="宋体" w:cs="宋体" w:hint="eastAsia"/>
          <w:szCs w:val="21"/>
        </w:rPr>
        <w:t>与GB/T 36132的评价方法一致，绿色工厂同时满足以下条件，按照相关程序要求经过公示无异议后，可称为绿色工厂。绿色工厂为实现了用地集约化、原料无害化、生产洁净化、废物资源化、能源低碳化的工厂。评价采用指标加权综合评分的方式，各指标加权综合评分的总分为100分。锡及锡合金生产绿色工厂评价指标表见附录A。对照附录A中具体条款，所有指标评分按符合取满分，不符合取0分进行取值。当工厂的指标加权综合评分达到85分以上（含85分），即可以评为绿色工厂。</w:t>
      </w:r>
    </w:p>
    <w:p w14:paraId="38BDCB5C" w14:textId="77777777" w:rsidR="00B50C5D" w:rsidRDefault="00FA0E9F">
      <w:pPr>
        <w:spacing w:line="360" w:lineRule="auto"/>
        <w:rPr>
          <w:rFonts w:ascii="宋体" w:hAnsi="宋体" w:cs="宋体"/>
          <w:b/>
          <w:bCs/>
          <w:szCs w:val="21"/>
        </w:rPr>
      </w:pPr>
      <w:r>
        <w:rPr>
          <w:rFonts w:ascii="宋体" w:hAnsi="宋体" w:cs="宋体" w:hint="eastAsia"/>
          <w:b/>
          <w:bCs/>
          <w:szCs w:val="21"/>
        </w:rPr>
        <w:t>5.7 评价流程</w:t>
      </w:r>
    </w:p>
    <w:p w14:paraId="054D1EE2" w14:textId="1EC477E2" w:rsidR="00B50C5D" w:rsidRDefault="00FA0E9F">
      <w:pPr>
        <w:spacing w:line="360" w:lineRule="auto"/>
        <w:ind w:firstLineChars="200" w:firstLine="420"/>
        <w:rPr>
          <w:rFonts w:ascii="宋体" w:hAnsi="宋体" w:cs="宋体"/>
          <w:szCs w:val="21"/>
        </w:rPr>
      </w:pPr>
      <w:r>
        <w:rPr>
          <w:rFonts w:ascii="宋体" w:hAnsi="宋体" w:cs="宋体" w:hint="eastAsia"/>
          <w:szCs w:val="21"/>
        </w:rPr>
        <w:t>规定评价应建立规范的评价工作流程，包括评价准备、组建评价组、制定评价方案、预评价、现场评价、编制评价报告、技术评审等。</w:t>
      </w:r>
      <w:bookmarkStart w:id="1" w:name="_Toc16895"/>
    </w:p>
    <w:p w14:paraId="7AA67507" w14:textId="77777777" w:rsidR="00B50C5D" w:rsidRDefault="00FA0E9F">
      <w:pPr>
        <w:spacing w:line="360" w:lineRule="auto"/>
        <w:rPr>
          <w:rFonts w:ascii="宋体" w:hAnsi="宋体" w:cs="宋体"/>
          <w:b/>
          <w:bCs/>
          <w:szCs w:val="21"/>
        </w:rPr>
      </w:pPr>
      <w:r>
        <w:rPr>
          <w:rFonts w:ascii="宋体" w:hAnsi="宋体" w:cs="宋体" w:hint="eastAsia"/>
          <w:b/>
          <w:bCs/>
          <w:szCs w:val="21"/>
        </w:rPr>
        <w:t>6标准主要内容</w:t>
      </w:r>
      <w:bookmarkEnd w:id="1"/>
    </w:p>
    <w:p w14:paraId="5EE47ED5" w14:textId="77777777" w:rsidR="00B50C5D" w:rsidRDefault="00FA0E9F">
      <w:pPr>
        <w:spacing w:line="360" w:lineRule="auto"/>
        <w:ind w:firstLineChars="200" w:firstLine="420"/>
        <w:rPr>
          <w:rFonts w:ascii="宋体" w:hAnsi="宋体" w:cs="宋体"/>
          <w:b/>
          <w:bCs/>
          <w:szCs w:val="21"/>
        </w:rPr>
      </w:pPr>
      <w:r>
        <w:rPr>
          <w:rFonts w:ascii="宋体" w:hAnsi="宋体" w:cs="宋体" w:hint="eastAsia"/>
          <w:szCs w:val="21"/>
        </w:rPr>
        <w:t>根据GB/T 36132《绿色工厂评价通则》，本标准设置了8个部分内容，具体包括：</w:t>
      </w:r>
    </w:p>
    <w:p w14:paraId="7EE2A3CA" w14:textId="77777777" w:rsidR="00B50C5D" w:rsidRDefault="00FA0E9F">
      <w:pPr>
        <w:spacing w:line="360" w:lineRule="auto"/>
        <w:rPr>
          <w:rFonts w:ascii="宋体" w:hAnsi="宋体" w:cs="宋体"/>
          <w:b/>
          <w:bCs/>
          <w:szCs w:val="21"/>
        </w:rPr>
      </w:pPr>
      <w:r>
        <w:rPr>
          <w:rFonts w:ascii="宋体" w:hAnsi="宋体" w:cs="宋体" w:hint="eastAsia"/>
          <w:b/>
          <w:bCs/>
          <w:szCs w:val="21"/>
        </w:rPr>
        <w:t>6.1范围</w:t>
      </w:r>
    </w:p>
    <w:p w14:paraId="57B28A98" w14:textId="77777777" w:rsidR="00B50C5D" w:rsidRDefault="00FA0E9F">
      <w:pPr>
        <w:spacing w:line="360" w:lineRule="auto"/>
        <w:ind w:firstLineChars="200" w:firstLine="420"/>
        <w:rPr>
          <w:rFonts w:ascii="宋体" w:hAnsi="宋体" w:cs="宋体"/>
          <w:szCs w:val="21"/>
        </w:rPr>
      </w:pPr>
      <w:bookmarkStart w:id="2" w:name="_Toc430680186"/>
      <w:bookmarkStart w:id="3" w:name="_Toc431105882"/>
      <w:r>
        <w:rPr>
          <w:rFonts w:ascii="宋体" w:hAnsi="宋体" w:cs="宋体" w:hint="eastAsia"/>
          <w:szCs w:val="21"/>
        </w:rPr>
        <w:t>本文件规定了锡及锡合金生产绿色工厂评价的总则、评价指标体系及要求、评价程序及评价报告。</w:t>
      </w:r>
    </w:p>
    <w:p w14:paraId="777BE020" w14:textId="77777777" w:rsidR="00B50C5D" w:rsidRDefault="00FA0E9F">
      <w:pPr>
        <w:spacing w:line="360" w:lineRule="auto"/>
        <w:ind w:firstLineChars="200" w:firstLine="420"/>
        <w:rPr>
          <w:rFonts w:ascii="宋体" w:hAnsi="宋体" w:cs="宋体"/>
          <w:szCs w:val="21"/>
        </w:rPr>
      </w:pPr>
      <w:r>
        <w:rPr>
          <w:rFonts w:ascii="宋体" w:hAnsi="宋体" w:cs="宋体" w:hint="eastAsia"/>
          <w:szCs w:val="21"/>
        </w:rPr>
        <w:t>本文件适用于以锡锭或焊锡锭等为原料生产锡及锡合金产品的绿色工厂评价。</w:t>
      </w:r>
    </w:p>
    <w:p w14:paraId="665235F1" w14:textId="77777777" w:rsidR="00B50C5D" w:rsidRDefault="00FA0E9F">
      <w:pPr>
        <w:spacing w:line="360" w:lineRule="auto"/>
        <w:rPr>
          <w:rFonts w:ascii="宋体" w:hAnsi="宋体" w:cs="宋体"/>
          <w:b/>
          <w:bCs/>
          <w:szCs w:val="21"/>
        </w:rPr>
      </w:pPr>
      <w:r>
        <w:rPr>
          <w:rFonts w:ascii="宋体" w:hAnsi="宋体" w:cs="宋体" w:hint="eastAsia"/>
          <w:b/>
          <w:bCs/>
          <w:szCs w:val="21"/>
        </w:rPr>
        <w:t>6.2规范性引用</w:t>
      </w:r>
      <w:bookmarkEnd w:id="2"/>
      <w:bookmarkEnd w:id="3"/>
      <w:r>
        <w:rPr>
          <w:rFonts w:ascii="宋体" w:hAnsi="宋体" w:cs="宋体" w:hint="eastAsia"/>
          <w:b/>
          <w:bCs/>
          <w:szCs w:val="21"/>
        </w:rPr>
        <w:t>文件</w:t>
      </w:r>
    </w:p>
    <w:p w14:paraId="7AEC4460" w14:textId="77777777" w:rsidR="00B50C5D" w:rsidRDefault="00FA0E9F">
      <w:pPr>
        <w:autoSpaceDE w:val="0"/>
        <w:autoSpaceDN w:val="0"/>
        <w:ind w:firstLineChars="200" w:firstLine="420"/>
        <w:rPr>
          <w:rFonts w:ascii="宋体" w:hAnsi="宋体" w:cs="宋体"/>
        </w:rPr>
      </w:pPr>
      <w:r>
        <w:rPr>
          <w:rFonts w:ascii="宋体" w:hAnsi="宋体" w:cs="宋体"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08C2BB6B" w14:textId="77777777" w:rsidR="00B50C5D" w:rsidRPr="00D922BF" w:rsidRDefault="00FA0E9F">
      <w:pPr>
        <w:spacing w:line="360" w:lineRule="auto"/>
        <w:ind w:firstLineChars="200" w:firstLine="420"/>
        <w:rPr>
          <w:rFonts w:ascii="宋体" w:hAnsi="宋体" w:cs="宋体"/>
        </w:rPr>
      </w:pPr>
      <w:bookmarkStart w:id="4" w:name="_Hlk46925174"/>
      <w:r w:rsidRPr="00D922BF">
        <w:rPr>
          <w:rFonts w:ascii="宋体" w:hAnsi="宋体" w:cs="宋体" w:hint="eastAsia"/>
        </w:rPr>
        <w:t>GB/T 7119        节水型企业评价导则</w:t>
      </w:r>
    </w:p>
    <w:p w14:paraId="1C210AB7" w14:textId="77777777" w:rsidR="00B50C5D" w:rsidRPr="00D922BF" w:rsidRDefault="00FA0E9F">
      <w:pPr>
        <w:spacing w:line="360" w:lineRule="auto"/>
        <w:ind w:firstLineChars="200" w:firstLine="420"/>
        <w:rPr>
          <w:rFonts w:ascii="宋体" w:hAnsi="宋体" w:cs="宋体"/>
        </w:rPr>
      </w:pPr>
      <w:r w:rsidRPr="00D922BF">
        <w:rPr>
          <w:rFonts w:ascii="宋体" w:hAnsi="宋体" w:cs="宋体" w:hint="eastAsia"/>
        </w:rPr>
        <w:t>GB 8978         污水综合排放标准</w:t>
      </w:r>
    </w:p>
    <w:p w14:paraId="3AA4CDCC" w14:textId="77777777" w:rsidR="00B50C5D" w:rsidRPr="00D922BF" w:rsidRDefault="00FA0E9F">
      <w:pPr>
        <w:spacing w:line="360" w:lineRule="auto"/>
        <w:ind w:firstLineChars="200" w:firstLine="420"/>
        <w:rPr>
          <w:rFonts w:ascii="宋体" w:hAnsi="宋体" w:cs="宋体"/>
        </w:rPr>
      </w:pPr>
      <w:r w:rsidRPr="00D922BF">
        <w:rPr>
          <w:rFonts w:ascii="宋体" w:hAnsi="宋体" w:cs="宋体" w:hint="eastAsia"/>
        </w:rPr>
        <w:t>GB 9078         工业炉窑大气污染物排放标准</w:t>
      </w:r>
    </w:p>
    <w:p w14:paraId="5F77D13E" w14:textId="77777777" w:rsidR="00B50C5D" w:rsidRPr="00D922BF" w:rsidRDefault="00FA0E9F">
      <w:pPr>
        <w:spacing w:line="360" w:lineRule="auto"/>
        <w:ind w:firstLineChars="200" w:firstLine="420"/>
        <w:rPr>
          <w:rFonts w:ascii="宋体" w:hAnsi="宋体" w:cs="宋体"/>
        </w:rPr>
      </w:pPr>
      <w:r w:rsidRPr="00D922BF">
        <w:rPr>
          <w:rFonts w:ascii="宋体" w:hAnsi="宋体" w:cs="宋体" w:hint="eastAsia"/>
        </w:rPr>
        <w:t>GB 12348         工业企业厂界环境噪声排放标准</w:t>
      </w:r>
    </w:p>
    <w:p w14:paraId="12A311F7" w14:textId="77777777" w:rsidR="00B50C5D" w:rsidRPr="00D922BF" w:rsidRDefault="00FA0E9F">
      <w:pPr>
        <w:spacing w:line="360" w:lineRule="auto"/>
        <w:ind w:firstLineChars="200" w:firstLine="420"/>
        <w:rPr>
          <w:rFonts w:ascii="宋体" w:hAnsi="宋体" w:cs="宋体"/>
        </w:rPr>
      </w:pPr>
      <w:r w:rsidRPr="00D922BF">
        <w:rPr>
          <w:rFonts w:ascii="宋体" w:hAnsi="宋体" w:cs="宋体" w:hint="eastAsia"/>
        </w:rPr>
        <w:t>GB 16297         大气污染物综合排放标准</w:t>
      </w:r>
    </w:p>
    <w:p w14:paraId="2D7EF9DE" w14:textId="77777777" w:rsidR="007A3F30" w:rsidRPr="00D922BF" w:rsidRDefault="00FA0E9F" w:rsidP="007A3F30">
      <w:pPr>
        <w:spacing w:line="360" w:lineRule="auto"/>
        <w:ind w:firstLineChars="200" w:firstLine="420"/>
        <w:rPr>
          <w:rFonts w:ascii="宋体" w:hAnsi="宋体" w:cs="宋体"/>
        </w:rPr>
      </w:pPr>
      <w:r w:rsidRPr="00D922BF">
        <w:rPr>
          <w:rFonts w:ascii="宋体" w:hAnsi="宋体" w:cs="宋体" w:hint="eastAsia"/>
        </w:rPr>
        <w:t>GB 17167         用能单位能源计量器具配备和管理通则</w:t>
      </w:r>
    </w:p>
    <w:p w14:paraId="4918DFFC" w14:textId="7B44724A" w:rsidR="007A3F30" w:rsidRPr="00D922BF" w:rsidRDefault="007A3F30" w:rsidP="007A3F30">
      <w:pPr>
        <w:spacing w:line="360" w:lineRule="auto"/>
        <w:ind w:firstLineChars="200" w:firstLine="420"/>
        <w:rPr>
          <w:rFonts w:ascii="宋体" w:hAnsi="宋体" w:cs="宋体"/>
        </w:rPr>
      </w:pPr>
      <w:r w:rsidRPr="00D922BF">
        <w:rPr>
          <w:rFonts w:ascii="宋体" w:hAnsi="宋体" w:cs="宋体" w:hint="eastAsia"/>
        </w:rPr>
        <w:t xml:space="preserve">GB 18580 </w:t>
      </w:r>
      <w:r w:rsidRPr="00D922BF">
        <w:rPr>
          <w:rFonts w:ascii="宋体" w:hAnsi="宋体" w:cs="宋体"/>
        </w:rPr>
        <w:t xml:space="preserve">       </w:t>
      </w:r>
      <w:r w:rsidRPr="00D922BF">
        <w:rPr>
          <w:rFonts w:ascii="宋体" w:hAnsi="宋体" w:cs="宋体" w:hint="eastAsia"/>
        </w:rPr>
        <w:t>室内装饰装修材料 人造板及其制品中甲醛释放限量</w:t>
      </w:r>
    </w:p>
    <w:p w14:paraId="5A559359" w14:textId="77777777" w:rsidR="007A3F30" w:rsidRPr="00D922BF" w:rsidRDefault="007A3F30" w:rsidP="007A3F30">
      <w:pPr>
        <w:spacing w:line="360" w:lineRule="auto"/>
        <w:ind w:firstLineChars="200" w:firstLine="420"/>
        <w:rPr>
          <w:rFonts w:ascii="宋体" w:hAnsi="宋体" w:cs="宋体"/>
        </w:rPr>
      </w:pPr>
      <w:r w:rsidRPr="00D922BF">
        <w:rPr>
          <w:rFonts w:ascii="宋体" w:hAnsi="宋体" w:cs="宋体" w:hint="eastAsia"/>
        </w:rPr>
        <w:t xml:space="preserve">GB 18581 </w:t>
      </w:r>
      <w:r w:rsidRPr="00D922BF">
        <w:rPr>
          <w:rFonts w:ascii="宋体" w:hAnsi="宋体" w:cs="宋体"/>
        </w:rPr>
        <w:t xml:space="preserve">       </w:t>
      </w:r>
      <w:r w:rsidRPr="00D922BF">
        <w:rPr>
          <w:rFonts w:ascii="宋体" w:hAnsi="宋体" w:cs="宋体" w:hint="eastAsia"/>
        </w:rPr>
        <w:t>室内装饰装修材料 溶剂型木器涂料中有害物质限量</w:t>
      </w:r>
    </w:p>
    <w:p w14:paraId="20029E24" w14:textId="77777777" w:rsidR="007A3F30" w:rsidRPr="00D922BF" w:rsidRDefault="007A3F30" w:rsidP="007A3F30">
      <w:pPr>
        <w:spacing w:line="360" w:lineRule="auto"/>
        <w:ind w:firstLineChars="200" w:firstLine="420"/>
        <w:rPr>
          <w:rFonts w:ascii="宋体" w:hAnsi="宋体" w:cs="宋体"/>
        </w:rPr>
      </w:pPr>
      <w:r w:rsidRPr="00D922BF">
        <w:rPr>
          <w:rFonts w:ascii="宋体" w:hAnsi="宋体" w:cs="宋体" w:hint="eastAsia"/>
        </w:rPr>
        <w:t xml:space="preserve">GB 18582 </w:t>
      </w:r>
      <w:r w:rsidRPr="00D922BF">
        <w:rPr>
          <w:rFonts w:ascii="宋体" w:hAnsi="宋体" w:cs="宋体"/>
        </w:rPr>
        <w:t xml:space="preserve">       </w:t>
      </w:r>
      <w:r w:rsidRPr="00D922BF">
        <w:rPr>
          <w:rFonts w:ascii="宋体" w:hAnsi="宋体" w:cs="宋体" w:hint="eastAsia"/>
        </w:rPr>
        <w:t>室内装饰装修材料 内墙涂料中有害物质限量</w:t>
      </w:r>
    </w:p>
    <w:p w14:paraId="1F7998A2" w14:textId="77777777" w:rsidR="007A3F30" w:rsidRPr="00D922BF" w:rsidRDefault="007A3F30" w:rsidP="007A3F30">
      <w:pPr>
        <w:spacing w:line="360" w:lineRule="auto"/>
        <w:ind w:firstLineChars="200" w:firstLine="420"/>
        <w:rPr>
          <w:rFonts w:ascii="宋体" w:hAnsi="宋体" w:cs="宋体"/>
        </w:rPr>
      </w:pPr>
      <w:r w:rsidRPr="00D922BF">
        <w:rPr>
          <w:rFonts w:ascii="宋体" w:hAnsi="宋体" w:cs="宋体" w:hint="eastAsia"/>
        </w:rPr>
        <w:lastRenderedPageBreak/>
        <w:t xml:space="preserve">GB 18583 </w:t>
      </w:r>
      <w:r w:rsidRPr="00D922BF">
        <w:rPr>
          <w:rFonts w:ascii="宋体" w:hAnsi="宋体" w:cs="宋体"/>
        </w:rPr>
        <w:t xml:space="preserve">       </w:t>
      </w:r>
      <w:r w:rsidRPr="00D922BF">
        <w:rPr>
          <w:rFonts w:ascii="宋体" w:hAnsi="宋体" w:cs="宋体" w:hint="eastAsia"/>
        </w:rPr>
        <w:t>室内装饰装修材料 胶粘剂中有害物质限量</w:t>
      </w:r>
    </w:p>
    <w:p w14:paraId="16E13241" w14:textId="77777777" w:rsidR="007A3F30" w:rsidRPr="00D922BF" w:rsidRDefault="007A3F30" w:rsidP="007A3F30">
      <w:pPr>
        <w:spacing w:line="360" w:lineRule="auto"/>
        <w:ind w:firstLineChars="200" w:firstLine="420"/>
        <w:rPr>
          <w:rFonts w:ascii="宋体" w:hAnsi="宋体" w:cs="宋体"/>
        </w:rPr>
      </w:pPr>
      <w:r w:rsidRPr="00D922BF">
        <w:rPr>
          <w:rFonts w:ascii="宋体" w:hAnsi="宋体" w:cs="宋体" w:hint="eastAsia"/>
        </w:rPr>
        <w:t xml:space="preserve">GB 18584 </w:t>
      </w:r>
      <w:r w:rsidRPr="00D922BF">
        <w:rPr>
          <w:rFonts w:ascii="宋体" w:hAnsi="宋体" w:cs="宋体"/>
        </w:rPr>
        <w:t xml:space="preserve">       </w:t>
      </w:r>
      <w:r w:rsidRPr="00D922BF">
        <w:rPr>
          <w:rFonts w:ascii="宋体" w:hAnsi="宋体" w:cs="宋体" w:hint="eastAsia"/>
        </w:rPr>
        <w:t>室内装饰装修材料 木家具中有害物质限量</w:t>
      </w:r>
    </w:p>
    <w:p w14:paraId="5851B251" w14:textId="77777777" w:rsidR="007A3F30" w:rsidRPr="00D922BF" w:rsidRDefault="007A3F30" w:rsidP="007A3F30">
      <w:pPr>
        <w:spacing w:line="360" w:lineRule="auto"/>
        <w:ind w:firstLineChars="200" w:firstLine="420"/>
        <w:rPr>
          <w:rFonts w:ascii="宋体" w:hAnsi="宋体" w:cs="宋体"/>
        </w:rPr>
      </w:pPr>
      <w:r w:rsidRPr="00D922BF">
        <w:rPr>
          <w:rFonts w:ascii="宋体" w:hAnsi="宋体" w:cs="宋体" w:hint="eastAsia"/>
        </w:rPr>
        <w:t xml:space="preserve">GB 18585 </w:t>
      </w:r>
      <w:r w:rsidRPr="00D922BF">
        <w:rPr>
          <w:rFonts w:ascii="宋体" w:hAnsi="宋体" w:cs="宋体"/>
        </w:rPr>
        <w:t xml:space="preserve">       </w:t>
      </w:r>
      <w:r w:rsidRPr="00D922BF">
        <w:rPr>
          <w:rFonts w:ascii="宋体" w:hAnsi="宋体" w:cs="宋体" w:hint="eastAsia"/>
        </w:rPr>
        <w:t>室内装饰装修材料 壁纸中有害物质限量</w:t>
      </w:r>
    </w:p>
    <w:p w14:paraId="5132AAF0" w14:textId="77777777" w:rsidR="007A3F30" w:rsidRPr="00D922BF" w:rsidRDefault="007A3F30" w:rsidP="007A3F30">
      <w:pPr>
        <w:spacing w:line="360" w:lineRule="auto"/>
        <w:ind w:firstLineChars="200" w:firstLine="420"/>
        <w:rPr>
          <w:rFonts w:ascii="宋体" w:hAnsi="宋体" w:cs="宋体"/>
        </w:rPr>
      </w:pPr>
      <w:r w:rsidRPr="00D922BF">
        <w:rPr>
          <w:rFonts w:ascii="宋体" w:hAnsi="宋体" w:cs="宋体" w:hint="eastAsia"/>
        </w:rPr>
        <w:t xml:space="preserve">GB 18586 </w:t>
      </w:r>
      <w:r w:rsidRPr="00D922BF">
        <w:rPr>
          <w:rFonts w:ascii="宋体" w:hAnsi="宋体" w:cs="宋体"/>
        </w:rPr>
        <w:t xml:space="preserve">       </w:t>
      </w:r>
      <w:r w:rsidRPr="00D922BF">
        <w:rPr>
          <w:rFonts w:ascii="宋体" w:hAnsi="宋体" w:cs="宋体" w:hint="eastAsia"/>
        </w:rPr>
        <w:t>室内装饰装修材料 聚氯乙烯卷材地板中有害物质限量</w:t>
      </w:r>
    </w:p>
    <w:p w14:paraId="1FD4870A" w14:textId="77777777" w:rsidR="007A3F30" w:rsidRPr="00D922BF" w:rsidRDefault="007A3F30" w:rsidP="007A3F30">
      <w:pPr>
        <w:spacing w:line="360" w:lineRule="auto"/>
        <w:ind w:firstLineChars="200" w:firstLine="420"/>
        <w:rPr>
          <w:rFonts w:ascii="宋体" w:hAnsi="宋体" w:cs="宋体"/>
        </w:rPr>
      </w:pPr>
      <w:r w:rsidRPr="00D922BF">
        <w:rPr>
          <w:rFonts w:ascii="宋体" w:hAnsi="宋体" w:cs="宋体" w:hint="eastAsia"/>
        </w:rPr>
        <w:t xml:space="preserve">GB 18587 </w:t>
      </w:r>
      <w:r w:rsidRPr="00D922BF">
        <w:rPr>
          <w:rFonts w:ascii="宋体" w:hAnsi="宋体" w:cs="宋体"/>
        </w:rPr>
        <w:t xml:space="preserve">       </w:t>
      </w:r>
      <w:r w:rsidRPr="00D922BF">
        <w:rPr>
          <w:rFonts w:ascii="宋体" w:hAnsi="宋体" w:cs="宋体" w:hint="eastAsia"/>
        </w:rPr>
        <w:t>室内装饰装修材料 地毯、地毯衬垫及地毯胶粘剂有害物质释放限量</w:t>
      </w:r>
    </w:p>
    <w:p w14:paraId="14F4ED6D" w14:textId="0BE18D60" w:rsidR="00B50C5D" w:rsidRPr="00D922BF" w:rsidRDefault="007A3F30">
      <w:pPr>
        <w:spacing w:line="360" w:lineRule="auto"/>
        <w:ind w:firstLineChars="200" w:firstLine="420"/>
        <w:rPr>
          <w:rFonts w:ascii="宋体" w:hAnsi="宋体" w:cs="宋体"/>
        </w:rPr>
      </w:pPr>
      <w:r w:rsidRPr="00D922BF">
        <w:rPr>
          <w:rFonts w:ascii="宋体" w:hAnsi="宋体" w:cs="宋体" w:hint="eastAsia"/>
        </w:rPr>
        <w:t xml:space="preserve">GB 18588 </w:t>
      </w:r>
      <w:r w:rsidRPr="00D922BF">
        <w:rPr>
          <w:rFonts w:ascii="宋体" w:hAnsi="宋体" w:cs="宋体"/>
        </w:rPr>
        <w:t xml:space="preserve">       </w:t>
      </w:r>
      <w:r w:rsidRPr="00D922BF">
        <w:rPr>
          <w:rFonts w:ascii="宋体" w:hAnsi="宋体" w:cs="宋体" w:hint="eastAsia"/>
        </w:rPr>
        <w:t>混凝土外加剂中释放氨的限量</w:t>
      </w:r>
    </w:p>
    <w:p w14:paraId="13452706" w14:textId="77777777" w:rsidR="00B50C5D" w:rsidRPr="00D922BF" w:rsidRDefault="00FA0E9F">
      <w:pPr>
        <w:spacing w:line="360" w:lineRule="auto"/>
        <w:ind w:firstLineChars="200" w:firstLine="420"/>
        <w:rPr>
          <w:rFonts w:ascii="宋体" w:hAnsi="宋体" w:cs="宋体"/>
        </w:rPr>
      </w:pPr>
      <w:r w:rsidRPr="00D922BF">
        <w:rPr>
          <w:rFonts w:ascii="宋体" w:hAnsi="宋体" w:cs="宋体" w:hint="eastAsia"/>
        </w:rPr>
        <w:t xml:space="preserve">GB 18597         危险废物贮存污染控制标准  </w:t>
      </w:r>
    </w:p>
    <w:p w14:paraId="5EF6BC0A" w14:textId="77777777" w:rsidR="00B50C5D" w:rsidRPr="00D922BF" w:rsidRDefault="00FA0E9F">
      <w:pPr>
        <w:spacing w:line="360" w:lineRule="auto"/>
        <w:ind w:firstLineChars="200" w:firstLine="420"/>
        <w:rPr>
          <w:rFonts w:ascii="宋体" w:hAnsi="宋体" w:cs="宋体"/>
        </w:rPr>
      </w:pPr>
      <w:r w:rsidRPr="00D922BF">
        <w:rPr>
          <w:rFonts w:ascii="宋体" w:hAnsi="宋体" w:cs="宋体" w:hint="eastAsia"/>
        </w:rPr>
        <w:t>GB 18598         危险废物填埋污染控制标准</w:t>
      </w:r>
    </w:p>
    <w:p w14:paraId="3A98A194" w14:textId="77777777" w:rsidR="00B50C5D" w:rsidRPr="00D922BF" w:rsidRDefault="00FA0E9F">
      <w:pPr>
        <w:spacing w:line="360" w:lineRule="auto"/>
        <w:ind w:firstLineChars="200" w:firstLine="420"/>
        <w:rPr>
          <w:rFonts w:ascii="宋体" w:hAnsi="宋体" w:cs="宋体"/>
        </w:rPr>
      </w:pPr>
      <w:r w:rsidRPr="00D922BF">
        <w:rPr>
          <w:rFonts w:ascii="宋体" w:hAnsi="宋体" w:cs="宋体" w:hint="eastAsia"/>
        </w:rPr>
        <w:t>GB 18599        一般工业固体废物贮存和填埋污染控制标准</w:t>
      </w:r>
    </w:p>
    <w:p w14:paraId="0C7B6B5B" w14:textId="77777777" w:rsidR="00B50C5D" w:rsidRPr="00D922BF" w:rsidRDefault="00FA0E9F">
      <w:pPr>
        <w:spacing w:line="360" w:lineRule="auto"/>
        <w:ind w:firstLineChars="200" w:firstLine="420"/>
        <w:rPr>
          <w:rFonts w:ascii="宋体" w:hAnsi="宋体" w:cs="宋体"/>
        </w:rPr>
      </w:pPr>
      <w:r w:rsidRPr="00D922BF">
        <w:rPr>
          <w:rFonts w:ascii="宋体" w:hAnsi="宋体" w:cs="宋体" w:hint="eastAsia"/>
        </w:rPr>
        <w:t>GB 18613        电动机能效限定值及能效等级</w:t>
      </w:r>
    </w:p>
    <w:p w14:paraId="75D24B8F" w14:textId="77777777" w:rsidR="00B50C5D" w:rsidRPr="00D922BF" w:rsidRDefault="00FA0E9F">
      <w:pPr>
        <w:spacing w:line="360" w:lineRule="auto"/>
        <w:ind w:firstLineChars="200" w:firstLine="420"/>
        <w:rPr>
          <w:rFonts w:ascii="宋体" w:hAnsi="宋体" w:cs="宋体"/>
        </w:rPr>
      </w:pPr>
      <w:r w:rsidRPr="00D922BF">
        <w:rPr>
          <w:rFonts w:ascii="宋体" w:hAnsi="宋体" w:cs="宋体" w:hint="eastAsia"/>
        </w:rPr>
        <w:t>GB/T 19001      质量管理体系 要求</w:t>
      </w:r>
    </w:p>
    <w:p w14:paraId="1FA9B46C" w14:textId="77777777" w:rsidR="00B50C5D" w:rsidRPr="00D922BF" w:rsidRDefault="00FA0E9F">
      <w:pPr>
        <w:spacing w:line="360" w:lineRule="auto"/>
        <w:ind w:firstLineChars="200" w:firstLine="420"/>
        <w:rPr>
          <w:rFonts w:ascii="宋体" w:hAnsi="宋体" w:cs="宋体"/>
        </w:rPr>
      </w:pPr>
      <w:r w:rsidRPr="00D922BF">
        <w:rPr>
          <w:rFonts w:ascii="宋体" w:hAnsi="宋体" w:cs="宋体" w:hint="eastAsia"/>
        </w:rPr>
        <w:t>GB 19153        容积式空气压缩机能效限定值及能效等级</w:t>
      </w:r>
    </w:p>
    <w:p w14:paraId="4C7B564B" w14:textId="77777777" w:rsidR="00B50C5D" w:rsidRPr="00D922BF" w:rsidRDefault="00FA0E9F">
      <w:pPr>
        <w:spacing w:line="360" w:lineRule="auto"/>
        <w:ind w:firstLineChars="200" w:firstLine="420"/>
        <w:rPr>
          <w:rFonts w:ascii="宋体" w:hAnsi="宋体" w:cs="宋体"/>
        </w:rPr>
      </w:pPr>
      <w:r w:rsidRPr="00D922BF">
        <w:rPr>
          <w:rFonts w:ascii="宋体" w:hAnsi="宋体" w:cs="宋体" w:hint="eastAsia"/>
        </w:rPr>
        <w:t>GB 19576        单元式空气调节机能效限定值及能效等级</w:t>
      </w:r>
    </w:p>
    <w:p w14:paraId="32AA6AE4" w14:textId="77777777" w:rsidR="00B50C5D" w:rsidRPr="00D922BF" w:rsidRDefault="00FA0E9F">
      <w:pPr>
        <w:spacing w:line="360" w:lineRule="auto"/>
        <w:ind w:firstLineChars="200" w:firstLine="420"/>
        <w:rPr>
          <w:rFonts w:ascii="宋体" w:hAnsi="宋体" w:cs="宋体"/>
        </w:rPr>
      </w:pPr>
      <w:r w:rsidRPr="00D922BF">
        <w:rPr>
          <w:rFonts w:ascii="宋体" w:hAnsi="宋体" w:cs="宋体" w:hint="eastAsia"/>
        </w:rPr>
        <w:t>GB 19577        冷水机组能效限定值及能效等级</w:t>
      </w:r>
    </w:p>
    <w:p w14:paraId="4ED37908" w14:textId="77777777" w:rsidR="00B50C5D" w:rsidRPr="00D922BF" w:rsidRDefault="00FA0E9F">
      <w:pPr>
        <w:spacing w:line="360" w:lineRule="auto"/>
        <w:ind w:firstLineChars="200" w:firstLine="420"/>
        <w:rPr>
          <w:rFonts w:ascii="宋体" w:hAnsi="宋体" w:cs="宋体"/>
        </w:rPr>
      </w:pPr>
      <w:r w:rsidRPr="00D922BF">
        <w:rPr>
          <w:rFonts w:ascii="宋体" w:hAnsi="宋体" w:cs="宋体" w:hint="eastAsia"/>
        </w:rPr>
        <w:t>GB 19761        通风机能效限定值及能效等级</w:t>
      </w:r>
    </w:p>
    <w:p w14:paraId="21D6F755" w14:textId="77777777" w:rsidR="00B50C5D" w:rsidRPr="00D922BF" w:rsidRDefault="00FA0E9F">
      <w:pPr>
        <w:spacing w:line="360" w:lineRule="auto"/>
        <w:ind w:firstLineChars="200" w:firstLine="420"/>
        <w:rPr>
          <w:rFonts w:ascii="宋体" w:hAnsi="宋体" w:cs="宋体"/>
        </w:rPr>
      </w:pPr>
      <w:r w:rsidRPr="00D922BF">
        <w:rPr>
          <w:rFonts w:ascii="宋体" w:hAnsi="宋体" w:cs="宋体" w:hint="eastAsia"/>
        </w:rPr>
        <w:t>GB 19762        清水离心泵能效限定值及节能评价值</w:t>
      </w:r>
    </w:p>
    <w:p w14:paraId="4EDB4009" w14:textId="77777777" w:rsidR="00B50C5D" w:rsidRPr="00D922BF" w:rsidRDefault="00FA0E9F">
      <w:pPr>
        <w:spacing w:line="360" w:lineRule="auto"/>
        <w:ind w:firstLineChars="200" w:firstLine="420"/>
        <w:rPr>
          <w:rFonts w:ascii="宋体" w:hAnsi="宋体" w:cs="宋体"/>
        </w:rPr>
      </w:pPr>
      <w:r w:rsidRPr="00D922BF">
        <w:rPr>
          <w:rFonts w:ascii="宋体" w:hAnsi="宋体" w:cs="宋体" w:hint="eastAsia"/>
        </w:rPr>
        <w:t>GB 20052        电力变压器能效限定值及能效等级</w:t>
      </w:r>
    </w:p>
    <w:p w14:paraId="73340E6D" w14:textId="77777777" w:rsidR="00B50C5D" w:rsidRPr="00D922BF" w:rsidRDefault="00FA0E9F">
      <w:pPr>
        <w:spacing w:line="360" w:lineRule="auto"/>
        <w:ind w:firstLineChars="200" w:firstLine="420"/>
        <w:rPr>
          <w:rFonts w:ascii="宋体" w:hAnsi="宋体" w:cs="宋体"/>
        </w:rPr>
      </w:pPr>
      <w:r w:rsidRPr="00D922BF">
        <w:rPr>
          <w:rFonts w:ascii="宋体" w:hAnsi="宋体" w:cs="宋体" w:hint="eastAsia"/>
        </w:rPr>
        <w:t>GB/T 20789      用水单位水计量器具配备和管理通则</w:t>
      </w:r>
    </w:p>
    <w:p w14:paraId="21B7FF77" w14:textId="77777777" w:rsidR="00B50C5D" w:rsidRPr="00D922BF" w:rsidRDefault="00FA0E9F">
      <w:pPr>
        <w:spacing w:line="360" w:lineRule="auto"/>
        <w:ind w:firstLineChars="200" w:firstLine="420"/>
        <w:rPr>
          <w:rFonts w:ascii="宋体" w:hAnsi="宋体" w:cs="宋体"/>
        </w:rPr>
      </w:pPr>
      <w:r w:rsidRPr="00D922BF">
        <w:rPr>
          <w:rFonts w:ascii="宋体" w:hAnsi="宋体" w:cs="宋体" w:hint="eastAsia"/>
        </w:rPr>
        <w:t>GB/T 20902      有色金属冶炼企业能源计量器具配备和管理要求</w:t>
      </w:r>
    </w:p>
    <w:p w14:paraId="2AD04482" w14:textId="77777777" w:rsidR="00B50C5D" w:rsidRPr="00D922BF" w:rsidRDefault="00FA0E9F">
      <w:pPr>
        <w:spacing w:line="360" w:lineRule="auto"/>
        <w:ind w:firstLineChars="200" w:firstLine="420"/>
        <w:rPr>
          <w:rFonts w:ascii="宋体" w:hAnsi="宋体" w:cs="宋体"/>
        </w:rPr>
      </w:pPr>
      <w:r w:rsidRPr="00D922BF">
        <w:rPr>
          <w:rFonts w:ascii="宋体" w:hAnsi="宋体" w:cs="宋体" w:hint="eastAsia"/>
        </w:rPr>
        <w:t>GB 21454        多联式空调（热泵）机组能效限定值及能效等级</w:t>
      </w:r>
    </w:p>
    <w:p w14:paraId="12E1059F" w14:textId="77777777" w:rsidR="00B50C5D" w:rsidRPr="00D922BF" w:rsidRDefault="00FA0E9F">
      <w:pPr>
        <w:spacing w:line="360" w:lineRule="auto"/>
        <w:ind w:firstLineChars="200" w:firstLine="420"/>
        <w:rPr>
          <w:rFonts w:ascii="宋体" w:hAnsi="宋体" w:cs="宋体"/>
        </w:rPr>
      </w:pPr>
      <w:r w:rsidRPr="00D922BF">
        <w:rPr>
          <w:rFonts w:ascii="宋体" w:hAnsi="宋体" w:cs="宋体" w:hint="eastAsia"/>
        </w:rPr>
        <w:t>GB/T 23331      能源管理体系 要求及使用指南</w:t>
      </w:r>
    </w:p>
    <w:p w14:paraId="5DA168CC" w14:textId="77777777" w:rsidR="00B50C5D" w:rsidRPr="00D922BF" w:rsidRDefault="00FA0E9F">
      <w:pPr>
        <w:spacing w:line="360" w:lineRule="auto"/>
        <w:ind w:firstLineChars="200" w:firstLine="420"/>
        <w:rPr>
          <w:rFonts w:ascii="宋体" w:hAnsi="宋体" w:cs="宋体"/>
        </w:rPr>
      </w:pPr>
      <w:r w:rsidRPr="00D922BF">
        <w:rPr>
          <w:rFonts w:ascii="宋体" w:hAnsi="宋体" w:cs="宋体" w:hint="eastAsia"/>
        </w:rPr>
        <w:t>GB/T 24001      环境管理体系 要求及使用指南</w:t>
      </w:r>
    </w:p>
    <w:p w14:paraId="266BD99B" w14:textId="77777777" w:rsidR="00B50C5D" w:rsidRPr="00D922BF" w:rsidRDefault="00FA0E9F">
      <w:pPr>
        <w:spacing w:line="360" w:lineRule="auto"/>
        <w:ind w:firstLineChars="200" w:firstLine="420"/>
        <w:rPr>
          <w:rFonts w:ascii="宋体" w:hAnsi="宋体" w:cs="宋体"/>
        </w:rPr>
      </w:pPr>
      <w:r w:rsidRPr="00D922BF">
        <w:rPr>
          <w:rFonts w:ascii="宋体" w:hAnsi="宋体" w:cs="宋体" w:hint="eastAsia"/>
        </w:rPr>
        <w:t>GB/T 24256      产品生态设计通则</w:t>
      </w:r>
    </w:p>
    <w:p w14:paraId="1287D00D" w14:textId="77777777" w:rsidR="00B50C5D" w:rsidRPr="00D922BF" w:rsidRDefault="00FA0E9F">
      <w:pPr>
        <w:spacing w:line="360" w:lineRule="auto"/>
        <w:ind w:firstLineChars="200" w:firstLine="420"/>
        <w:rPr>
          <w:rFonts w:ascii="宋体" w:hAnsi="宋体" w:cs="宋体"/>
        </w:rPr>
      </w:pPr>
      <w:r w:rsidRPr="00D922BF">
        <w:rPr>
          <w:rFonts w:ascii="宋体" w:hAnsi="宋体" w:cs="宋体" w:hint="eastAsia"/>
        </w:rPr>
        <w:t>GB 24500        工业锅炉能效限定值及能效等级</w:t>
      </w:r>
    </w:p>
    <w:p w14:paraId="4F3A3B70" w14:textId="77777777" w:rsidR="00C920FA" w:rsidRPr="00D922BF" w:rsidRDefault="00FA0E9F" w:rsidP="00C920FA">
      <w:pPr>
        <w:spacing w:line="360" w:lineRule="auto"/>
        <w:ind w:firstLineChars="200" w:firstLine="420"/>
        <w:rPr>
          <w:rFonts w:ascii="宋体" w:hAnsi="宋体" w:cs="宋体"/>
        </w:rPr>
      </w:pPr>
      <w:r w:rsidRPr="00D922BF">
        <w:rPr>
          <w:rFonts w:ascii="宋体" w:hAnsi="宋体" w:cs="宋体" w:hint="eastAsia"/>
        </w:rPr>
        <w:t>GB/T 24789      用水单位水计量器具配备和管理通则</w:t>
      </w:r>
    </w:p>
    <w:p w14:paraId="7F4533CC" w14:textId="050476FC" w:rsidR="00B50C5D" w:rsidRPr="00D922BF" w:rsidRDefault="00C920FA">
      <w:pPr>
        <w:spacing w:line="360" w:lineRule="auto"/>
        <w:ind w:firstLineChars="200" w:firstLine="420"/>
        <w:rPr>
          <w:rFonts w:ascii="宋体" w:hAnsi="宋体" w:cs="宋体"/>
        </w:rPr>
      </w:pPr>
      <w:r w:rsidRPr="00D922BF">
        <w:rPr>
          <w:rFonts w:ascii="宋体" w:hAnsi="宋体" w:cs="宋体" w:hint="eastAsia"/>
        </w:rPr>
        <w:t>GB 24790       电力变压器能效限定值及能效等级</w:t>
      </w:r>
    </w:p>
    <w:p w14:paraId="10F5FB50" w14:textId="77777777" w:rsidR="00B50C5D" w:rsidRPr="00D922BF" w:rsidRDefault="00FA0E9F">
      <w:pPr>
        <w:spacing w:line="360" w:lineRule="auto"/>
        <w:ind w:firstLineChars="200" w:firstLine="420"/>
        <w:rPr>
          <w:rFonts w:ascii="宋体" w:hAnsi="宋体" w:cs="宋体"/>
        </w:rPr>
      </w:pPr>
      <w:r w:rsidRPr="00D922BF">
        <w:rPr>
          <w:rFonts w:ascii="宋体" w:hAnsi="宋体" w:cs="宋体" w:hint="eastAsia"/>
        </w:rPr>
        <w:t>GB/T 32150      工业企业温室气体排放核算和报告通则</w:t>
      </w:r>
    </w:p>
    <w:p w14:paraId="47B6F09D" w14:textId="77777777" w:rsidR="00B50C5D" w:rsidRPr="00D922BF" w:rsidRDefault="00FA0E9F">
      <w:pPr>
        <w:spacing w:line="360" w:lineRule="auto"/>
        <w:ind w:firstLineChars="200" w:firstLine="420"/>
        <w:rPr>
          <w:rFonts w:ascii="宋体" w:hAnsi="宋体" w:cs="宋体"/>
        </w:rPr>
      </w:pPr>
      <w:r w:rsidRPr="00D922BF">
        <w:rPr>
          <w:rFonts w:ascii="宋体" w:hAnsi="宋体" w:cs="宋体" w:hint="eastAsia"/>
        </w:rPr>
        <w:t>GB/T 32161      生态设计产品评价通则</w:t>
      </w:r>
    </w:p>
    <w:p w14:paraId="74C9C88A" w14:textId="77777777" w:rsidR="00B50C5D" w:rsidRPr="00D922BF" w:rsidRDefault="00FA0E9F">
      <w:pPr>
        <w:spacing w:line="360" w:lineRule="auto"/>
        <w:ind w:firstLineChars="200" w:firstLine="420"/>
        <w:rPr>
          <w:rFonts w:ascii="宋体" w:hAnsi="宋体" w:cs="宋体"/>
        </w:rPr>
      </w:pPr>
      <w:r w:rsidRPr="00D922BF">
        <w:rPr>
          <w:rFonts w:ascii="宋体" w:hAnsi="宋体" w:cs="宋体" w:hint="eastAsia"/>
        </w:rPr>
        <w:t>GB/T 35770      合规管理体系 指南</w:t>
      </w:r>
    </w:p>
    <w:p w14:paraId="7C1F513D" w14:textId="77777777" w:rsidR="00B50C5D" w:rsidRPr="00D922BF" w:rsidRDefault="00FA0E9F">
      <w:pPr>
        <w:spacing w:line="360" w:lineRule="auto"/>
        <w:ind w:firstLineChars="200" w:firstLine="420"/>
        <w:rPr>
          <w:rFonts w:ascii="宋体" w:hAnsi="宋体" w:cs="宋体"/>
        </w:rPr>
      </w:pPr>
      <w:r w:rsidRPr="00D922BF">
        <w:rPr>
          <w:rFonts w:ascii="宋体" w:hAnsi="宋体" w:cs="宋体" w:hint="eastAsia"/>
        </w:rPr>
        <w:t>GB/T 36000      社会责任指南</w:t>
      </w:r>
    </w:p>
    <w:p w14:paraId="587C7BC8" w14:textId="77777777" w:rsidR="00B50C5D" w:rsidRPr="00D922BF" w:rsidRDefault="00FA0E9F">
      <w:pPr>
        <w:spacing w:line="360" w:lineRule="auto"/>
        <w:ind w:firstLineChars="200" w:firstLine="420"/>
        <w:rPr>
          <w:rFonts w:ascii="宋体" w:hAnsi="宋体" w:cs="宋体"/>
        </w:rPr>
      </w:pPr>
      <w:bookmarkStart w:id="5" w:name="_Hlk47887335"/>
      <w:bookmarkStart w:id="6" w:name="_Hlk46907202"/>
      <w:r w:rsidRPr="00D922BF">
        <w:rPr>
          <w:rFonts w:ascii="宋体" w:hAnsi="宋体" w:cs="宋体" w:hint="eastAsia"/>
        </w:rPr>
        <w:t>GB/T 36132      绿色工厂评价通则</w:t>
      </w:r>
    </w:p>
    <w:p w14:paraId="3AA593C7" w14:textId="77777777" w:rsidR="00B50C5D" w:rsidRPr="00D922BF" w:rsidRDefault="00FA0E9F">
      <w:pPr>
        <w:spacing w:line="360" w:lineRule="auto"/>
        <w:ind w:firstLineChars="200" w:firstLine="420"/>
        <w:rPr>
          <w:rFonts w:ascii="宋体" w:hAnsi="宋体" w:cs="宋体"/>
        </w:rPr>
      </w:pPr>
      <w:r w:rsidRPr="00D922BF">
        <w:rPr>
          <w:rFonts w:ascii="宋体" w:hAnsi="宋体" w:cs="宋体" w:hint="eastAsia"/>
        </w:rPr>
        <w:lastRenderedPageBreak/>
        <w:t>GB/T 39257      绿色制造  制造企业绿色供应链管理导则</w:t>
      </w:r>
    </w:p>
    <w:bookmarkEnd w:id="5"/>
    <w:p w14:paraId="463FE9E9" w14:textId="77777777" w:rsidR="00B50C5D" w:rsidRPr="00D922BF" w:rsidRDefault="00FA0E9F">
      <w:pPr>
        <w:spacing w:line="360" w:lineRule="auto"/>
        <w:ind w:firstLineChars="200" w:firstLine="420"/>
        <w:rPr>
          <w:rFonts w:ascii="宋体" w:hAnsi="宋体" w:cs="宋体"/>
        </w:rPr>
      </w:pPr>
      <w:r w:rsidRPr="00D922BF">
        <w:rPr>
          <w:rFonts w:ascii="宋体" w:hAnsi="宋体" w:cs="宋体" w:hint="eastAsia"/>
        </w:rPr>
        <w:t>GB/T 45001      职业健康安全管理体系 要求及使用指南</w:t>
      </w:r>
    </w:p>
    <w:bookmarkEnd w:id="6"/>
    <w:p w14:paraId="08196061" w14:textId="386802A5" w:rsidR="00C920FA" w:rsidRPr="00D922BF" w:rsidRDefault="00FA0E9F" w:rsidP="00C920FA">
      <w:pPr>
        <w:spacing w:line="360" w:lineRule="auto"/>
        <w:ind w:firstLineChars="200" w:firstLine="420"/>
        <w:rPr>
          <w:rFonts w:ascii="宋体" w:hAnsi="宋体" w:cs="宋体"/>
          <w:szCs w:val="21"/>
        </w:rPr>
      </w:pPr>
      <w:r w:rsidRPr="00D922BF">
        <w:rPr>
          <w:rFonts w:ascii="宋体" w:hAnsi="宋体" w:cs="宋体" w:hint="eastAsia"/>
          <w:szCs w:val="21"/>
        </w:rPr>
        <w:t>RB/T 117        能源管理体系 有色金属企业认证要求</w:t>
      </w:r>
      <w:bookmarkEnd w:id="4"/>
    </w:p>
    <w:p w14:paraId="3319E993" w14:textId="77777777" w:rsidR="00C920FA" w:rsidRPr="00D922BF" w:rsidRDefault="00C920FA" w:rsidP="00C920FA">
      <w:pPr>
        <w:spacing w:line="360" w:lineRule="auto"/>
        <w:ind w:firstLineChars="200" w:firstLine="420"/>
      </w:pPr>
      <w:r w:rsidRPr="00D922BF">
        <w:rPr>
          <w:rFonts w:hint="eastAsia"/>
        </w:rPr>
        <w:t xml:space="preserve">T CNIA </w:t>
      </w:r>
      <w:r w:rsidRPr="00D922BF">
        <w:t xml:space="preserve"> </w:t>
      </w:r>
      <w:r w:rsidRPr="00D922BF">
        <w:rPr>
          <w:rFonts w:hint="eastAsia"/>
        </w:rPr>
        <w:t>008</w:t>
      </w:r>
      <w:r w:rsidRPr="00D922BF">
        <w:t xml:space="preserve">1  </w:t>
      </w:r>
      <w:r w:rsidRPr="00D922BF">
        <w:rPr>
          <w:rFonts w:hint="eastAsia"/>
        </w:rPr>
        <w:t>绿色设计产品评价技术规范无铅锡基焊料</w:t>
      </w:r>
    </w:p>
    <w:p w14:paraId="7EDB5C8B" w14:textId="042274DD" w:rsidR="00C920FA" w:rsidRPr="00D922BF" w:rsidRDefault="00C920FA" w:rsidP="00C920FA">
      <w:pPr>
        <w:spacing w:line="360" w:lineRule="auto"/>
        <w:ind w:firstLineChars="200" w:firstLine="420"/>
        <w:rPr>
          <w:rFonts w:ascii="宋体" w:hAnsi="宋体" w:cs="宋体"/>
        </w:rPr>
      </w:pPr>
      <w:r w:rsidRPr="00D922BF">
        <w:rPr>
          <w:rFonts w:ascii="宋体" w:hAnsi="宋体" w:cs="宋体" w:hint="eastAsia"/>
        </w:rPr>
        <w:t>HJ 819         排污单位自行检测技术指南  总则</w:t>
      </w:r>
    </w:p>
    <w:p w14:paraId="407A480B" w14:textId="77777777" w:rsidR="00C920FA" w:rsidRPr="00D922BF" w:rsidRDefault="00C920FA" w:rsidP="00C920FA">
      <w:pPr>
        <w:spacing w:line="360" w:lineRule="auto"/>
        <w:ind w:firstLineChars="200" w:firstLine="420"/>
        <w:rPr>
          <w:rFonts w:ascii="宋体" w:hAnsi="宋体" w:cs="宋体"/>
        </w:rPr>
      </w:pPr>
      <w:r w:rsidRPr="00D922BF">
        <w:rPr>
          <w:rFonts w:ascii="宋体" w:hAnsi="宋体" w:cs="宋体" w:hint="eastAsia"/>
        </w:rPr>
        <w:t>HJ 942          排污许可证申请与核发技术规范 总则</w:t>
      </w:r>
    </w:p>
    <w:p w14:paraId="391C79BE" w14:textId="007DC2ED" w:rsidR="00B50C5D" w:rsidRPr="00D922BF" w:rsidRDefault="00C920FA">
      <w:pPr>
        <w:spacing w:line="360" w:lineRule="auto"/>
        <w:ind w:firstLineChars="200" w:firstLine="420"/>
        <w:rPr>
          <w:rFonts w:ascii="宋体" w:hAnsi="宋体" w:cs="宋体"/>
          <w:strike/>
          <w:szCs w:val="21"/>
        </w:rPr>
      </w:pPr>
      <w:r w:rsidRPr="00D922BF">
        <w:rPr>
          <w:rFonts w:ascii="宋体" w:hAnsi="宋体" w:cs="宋体" w:hint="eastAsia"/>
        </w:rPr>
        <w:t>HJ 1259         危险废物管理计划和管理台账制定技术导则</w:t>
      </w:r>
    </w:p>
    <w:p w14:paraId="3EF5BBFE" w14:textId="77777777" w:rsidR="00B50C5D" w:rsidRPr="00D922BF" w:rsidRDefault="00FA0E9F">
      <w:pPr>
        <w:spacing w:line="360" w:lineRule="auto"/>
        <w:rPr>
          <w:rFonts w:ascii="宋体" w:hAnsi="宋体" w:cs="宋体"/>
          <w:b/>
          <w:szCs w:val="21"/>
        </w:rPr>
      </w:pPr>
      <w:r w:rsidRPr="00D922BF">
        <w:rPr>
          <w:rFonts w:ascii="宋体" w:hAnsi="宋体" w:cs="宋体" w:hint="eastAsia"/>
          <w:b/>
          <w:szCs w:val="21"/>
        </w:rPr>
        <w:t>6.3 术语和定义</w:t>
      </w:r>
    </w:p>
    <w:p w14:paraId="7439D344" w14:textId="77777777" w:rsidR="00B50C5D" w:rsidRPr="00D922BF" w:rsidRDefault="00FA0E9F">
      <w:pPr>
        <w:spacing w:line="360" w:lineRule="auto"/>
        <w:ind w:firstLineChars="200" w:firstLine="420"/>
        <w:outlineLvl w:val="0"/>
        <w:rPr>
          <w:rFonts w:ascii="宋体" w:hAnsi="宋体" w:cs="宋体"/>
        </w:rPr>
      </w:pPr>
      <w:r w:rsidRPr="00D922BF">
        <w:rPr>
          <w:rFonts w:ascii="宋体" w:hAnsi="宋体" w:cs="宋体" w:hint="eastAsia"/>
        </w:rPr>
        <w:t>GB/T 36132界定的以及下列术语和定义适用于本文件。</w:t>
      </w:r>
      <w:bookmarkStart w:id="7" w:name="_Toc46929917"/>
    </w:p>
    <w:p w14:paraId="696AC94B" w14:textId="77777777" w:rsidR="00B50C5D" w:rsidRPr="00D922BF" w:rsidRDefault="00FA0E9F">
      <w:pPr>
        <w:spacing w:line="360" w:lineRule="auto"/>
        <w:outlineLvl w:val="0"/>
      </w:pPr>
      <w:r w:rsidRPr="00D922BF">
        <w:rPr>
          <w:rFonts w:eastAsia="黑体" w:hAnsi="宋体" w:hint="eastAsia"/>
        </w:rPr>
        <w:t>6.</w:t>
      </w:r>
      <w:r w:rsidRPr="00D922BF">
        <w:rPr>
          <w:rFonts w:ascii="黑体" w:eastAsia="黑体" w:hAnsi="黑体" w:cs="黑体" w:hint="eastAsia"/>
          <w:szCs w:val="21"/>
        </w:rPr>
        <w:t xml:space="preserve">3.1 </w:t>
      </w:r>
      <w:r w:rsidRPr="00D922BF">
        <w:rPr>
          <w:rFonts w:eastAsia="黑体" w:hint="eastAsia"/>
          <w:szCs w:val="21"/>
        </w:rPr>
        <w:t>锡及锡合金</w:t>
      </w:r>
      <w:r w:rsidRPr="00D922BF">
        <w:rPr>
          <w:rFonts w:eastAsia="黑体" w:hint="eastAsia"/>
          <w:szCs w:val="21"/>
        </w:rPr>
        <w:t xml:space="preserve"> </w:t>
      </w:r>
      <w:r w:rsidRPr="00D922BF">
        <w:rPr>
          <w:szCs w:val="21"/>
        </w:rPr>
        <w:t xml:space="preserve"> </w:t>
      </w:r>
      <w:bookmarkEnd w:id="7"/>
      <w:r w:rsidRPr="00D922BF">
        <w:rPr>
          <w:rFonts w:hint="eastAsia"/>
          <w:szCs w:val="21"/>
        </w:rPr>
        <w:t>tin and tin alloys</w:t>
      </w:r>
    </w:p>
    <w:p w14:paraId="40B92A2C" w14:textId="77777777" w:rsidR="00B50C5D" w:rsidRPr="00D922BF" w:rsidRDefault="00FA0E9F">
      <w:pPr>
        <w:spacing w:line="360" w:lineRule="auto"/>
        <w:ind w:firstLineChars="200" w:firstLine="420"/>
        <w:rPr>
          <w:rFonts w:hAnsi="宋体"/>
        </w:rPr>
      </w:pPr>
      <w:r w:rsidRPr="00D922BF">
        <w:rPr>
          <w:rFonts w:hAnsi="宋体" w:hint="eastAsia"/>
        </w:rPr>
        <w:t>以锡锭或焊锡锭为原料生产的锡及锡合金产品。如精锡材（</w:t>
      </w:r>
      <w:r w:rsidRPr="00D922BF">
        <w:rPr>
          <w:rFonts w:hAnsi="黑体" w:hint="eastAsia"/>
          <w:szCs w:val="22"/>
        </w:rPr>
        <w:t>锡型材、锡阳极等）、锡合金（锡铅焊料、无铅焊料等）以及其他合金</w:t>
      </w:r>
      <w:r w:rsidRPr="00D922BF">
        <w:rPr>
          <w:rFonts w:hAnsi="宋体" w:hint="eastAsia"/>
        </w:rPr>
        <w:t>。</w:t>
      </w:r>
    </w:p>
    <w:p w14:paraId="1A93B15A" w14:textId="77777777" w:rsidR="00B50C5D" w:rsidRPr="00D922BF" w:rsidRDefault="00FA0E9F">
      <w:pPr>
        <w:spacing w:line="360" w:lineRule="auto"/>
        <w:outlineLvl w:val="0"/>
      </w:pPr>
      <w:r w:rsidRPr="00D922BF">
        <w:rPr>
          <w:rFonts w:ascii="黑体" w:eastAsia="黑体" w:hAnsi="黑体" w:cs="黑体" w:hint="eastAsia"/>
          <w:szCs w:val="21"/>
        </w:rPr>
        <w:t>6.3.2 绿色物料</w:t>
      </w:r>
      <w:r w:rsidRPr="00D922BF">
        <w:rPr>
          <w:rFonts w:eastAsia="黑体" w:hint="eastAsia"/>
          <w:szCs w:val="21"/>
        </w:rPr>
        <w:t xml:space="preserve"> </w:t>
      </w:r>
      <w:r w:rsidRPr="00D922BF">
        <w:rPr>
          <w:szCs w:val="21"/>
        </w:rPr>
        <w:t xml:space="preserve"> </w:t>
      </w:r>
      <w:r w:rsidRPr="00D922BF">
        <w:rPr>
          <w:rFonts w:hint="eastAsia"/>
          <w:szCs w:val="21"/>
        </w:rPr>
        <w:t>Green material</w:t>
      </w:r>
    </w:p>
    <w:p w14:paraId="51E8DE26" w14:textId="4CF86215" w:rsidR="00B50C5D" w:rsidRDefault="00FA0E9F" w:rsidP="00D922BF">
      <w:pPr>
        <w:spacing w:line="360" w:lineRule="auto"/>
        <w:ind w:firstLineChars="200" w:firstLine="420"/>
        <w:rPr>
          <w:rFonts w:ascii="宋体" w:hAnsi="宋体" w:cs="宋体"/>
          <w:b/>
          <w:color w:val="FF0000"/>
          <w:szCs w:val="21"/>
        </w:rPr>
      </w:pPr>
      <w:r w:rsidRPr="00D922BF">
        <w:rPr>
          <w:rFonts w:hAnsi="宋体" w:hint="eastAsia"/>
        </w:rPr>
        <w:t>绿色物料应选自当期有效的省级以上政府相关部门发布的资源综合利用产品目录、有毒有害原料（产品）替代目录等，或利用再生资源及产业废弃物等作为原</w:t>
      </w:r>
      <w:r>
        <w:rPr>
          <w:rFonts w:hAnsi="宋体" w:hint="eastAsia"/>
        </w:rPr>
        <w:t>料。</w:t>
      </w:r>
    </w:p>
    <w:p w14:paraId="6D9F4007" w14:textId="77777777" w:rsidR="00B50C5D" w:rsidRDefault="00FA0E9F">
      <w:pPr>
        <w:spacing w:line="360" w:lineRule="auto"/>
        <w:rPr>
          <w:rFonts w:ascii="宋体" w:hAnsi="宋体" w:cs="宋体"/>
          <w:b/>
          <w:szCs w:val="21"/>
        </w:rPr>
      </w:pPr>
      <w:r>
        <w:rPr>
          <w:rFonts w:ascii="宋体" w:hAnsi="宋体" w:cs="宋体" w:hint="eastAsia"/>
          <w:b/>
          <w:szCs w:val="21"/>
        </w:rPr>
        <w:t>6.4 总则</w:t>
      </w:r>
    </w:p>
    <w:p w14:paraId="11683FC9" w14:textId="77777777" w:rsidR="00B50C5D" w:rsidRDefault="00FA0E9F">
      <w:pPr>
        <w:spacing w:line="360" w:lineRule="auto"/>
        <w:ind w:firstLineChars="200" w:firstLine="420"/>
        <w:rPr>
          <w:rFonts w:ascii="宋体" w:hAnsi="宋体" w:cs="宋体"/>
          <w:szCs w:val="21"/>
        </w:rPr>
      </w:pPr>
      <w:r>
        <w:rPr>
          <w:rFonts w:ascii="宋体" w:hAnsi="宋体" w:cs="宋体" w:hint="eastAsia"/>
          <w:szCs w:val="21"/>
        </w:rPr>
        <w:t>对锡及锡合金生产绿色工厂评价原则、评价指标体系、权重系数和指标分数、评价方法等做出规定。评价总体结构与GB/T 36132提出的相关评价指标体系和要求保持一致。</w:t>
      </w:r>
    </w:p>
    <w:p w14:paraId="6763C394" w14:textId="77777777" w:rsidR="00B50C5D" w:rsidRDefault="00FA0E9F">
      <w:pPr>
        <w:spacing w:line="360" w:lineRule="auto"/>
        <w:rPr>
          <w:rFonts w:ascii="宋体" w:hAnsi="宋体" w:cs="宋体"/>
          <w:b/>
          <w:szCs w:val="21"/>
        </w:rPr>
      </w:pPr>
      <w:r>
        <w:rPr>
          <w:rFonts w:ascii="宋体" w:hAnsi="宋体" w:cs="宋体" w:hint="eastAsia"/>
          <w:b/>
          <w:szCs w:val="21"/>
        </w:rPr>
        <w:t>6.4.1评价原则</w:t>
      </w:r>
    </w:p>
    <w:p w14:paraId="7953027E" w14:textId="77777777" w:rsidR="00B50C5D" w:rsidRDefault="00FA0E9F">
      <w:pPr>
        <w:spacing w:line="360" w:lineRule="auto"/>
        <w:ind w:firstLineChars="200" w:firstLine="420"/>
        <w:rPr>
          <w:rFonts w:ascii="宋体" w:hAnsi="宋体" w:cs="宋体"/>
          <w:szCs w:val="21"/>
        </w:rPr>
      </w:pPr>
      <w:r>
        <w:rPr>
          <w:rFonts w:ascii="宋体" w:hAnsi="宋体" w:cs="宋体" w:hint="eastAsia"/>
          <w:szCs w:val="21"/>
        </w:rPr>
        <w:t>本条确定了锡及锡合金生产绿色工厂评价的基本原则：一</w:t>
      </w:r>
      <w:bookmarkStart w:id="8" w:name="_Hlk520099874"/>
      <w:r>
        <w:rPr>
          <w:rFonts w:ascii="宋体" w:hAnsi="宋体" w:cs="宋体" w:hint="eastAsia"/>
          <w:szCs w:val="21"/>
        </w:rPr>
        <w:t>是一致性原则，评价总体结构与GB/T36132提出的相关评价指标体系和要求保持一致。</w:t>
      </w:r>
      <w:bookmarkEnd w:id="8"/>
      <w:r>
        <w:rPr>
          <w:rFonts w:ascii="宋体" w:hAnsi="宋体" w:cs="宋体" w:hint="eastAsia"/>
          <w:szCs w:val="21"/>
        </w:rPr>
        <w:t>二是行业性原则，评价要求在GB/T36132的基础上突出锡及锡合金生产工厂的行业特征。三是系统性原则，评价指标采取定性与定量相结合、过程与绩效相结合的方式，形成完整的综合性评价指标体系。</w:t>
      </w:r>
    </w:p>
    <w:p w14:paraId="0093940A" w14:textId="77777777" w:rsidR="00B50C5D" w:rsidRDefault="00FA0E9F">
      <w:pPr>
        <w:spacing w:line="360" w:lineRule="auto"/>
        <w:rPr>
          <w:rFonts w:ascii="宋体" w:hAnsi="宋体" w:cs="宋体"/>
          <w:b/>
          <w:szCs w:val="21"/>
        </w:rPr>
      </w:pPr>
      <w:r>
        <w:rPr>
          <w:rFonts w:ascii="宋体" w:hAnsi="宋体" w:cs="宋体" w:hint="eastAsia"/>
          <w:b/>
          <w:szCs w:val="21"/>
        </w:rPr>
        <w:t>6.4.2评价指标体系</w:t>
      </w:r>
    </w:p>
    <w:p w14:paraId="38A2E547" w14:textId="77777777" w:rsidR="00B50C5D" w:rsidRDefault="00FA0E9F">
      <w:pPr>
        <w:spacing w:line="360" w:lineRule="auto"/>
        <w:ind w:firstLineChars="200" w:firstLine="420"/>
        <w:rPr>
          <w:rFonts w:ascii="宋体" w:hAnsi="宋体" w:cs="宋体"/>
          <w:szCs w:val="21"/>
        </w:rPr>
      </w:pPr>
      <w:r>
        <w:rPr>
          <w:rFonts w:ascii="宋体" w:hAnsi="宋体" w:cs="宋体" w:hint="eastAsia"/>
          <w:szCs w:val="21"/>
        </w:rPr>
        <w:t>评价指标体系包括一级指标和二级指标，一级指标包括基本要求、基础设施、管理体系、能源资源投入、产品、环境排放、绩效7个方面。在一级指标下设若干二级指标，在二级指标下设具体评价要求。基本要求为工厂参与评价的基本条件，实行一票否决制，否即不允许，不参评；其他6个方面为具体评价要求，通过评分来判断工厂满足要求的程度和级别。具体评价要求分为必选要求和可选要求，必选要求在标准表述为“应”为要求工厂应达到的基础性要求，必选要求不达标（满足三分之二大于等于）不能评价为绿色工厂。可选要求在标准表述为“宜”，希望工厂努力达到的提高性要求，具有先进性，依据受评工厂的实际情况确定可选要求的满足程度。</w:t>
      </w:r>
    </w:p>
    <w:p w14:paraId="5C429D9F" w14:textId="77777777" w:rsidR="00B50C5D" w:rsidRDefault="00FA0E9F">
      <w:pPr>
        <w:spacing w:line="360" w:lineRule="auto"/>
        <w:ind w:firstLineChars="200" w:firstLine="420"/>
        <w:rPr>
          <w:rFonts w:ascii="宋体" w:hAnsi="宋体" w:cs="宋体"/>
          <w:szCs w:val="21"/>
        </w:rPr>
      </w:pPr>
      <w:r>
        <w:rPr>
          <w:rFonts w:ascii="宋体" w:hAnsi="宋体" w:cs="宋体" w:hint="eastAsia"/>
          <w:szCs w:val="21"/>
        </w:rPr>
        <w:lastRenderedPageBreak/>
        <w:t>评分为85分（含85分）以上即为国内先进水平。评分为90分（含90分）以上即为国内领先水平。</w:t>
      </w:r>
    </w:p>
    <w:p w14:paraId="02A5D759" w14:textId="77777777" w:rsidR="00B50C5D" w:rsidRDefault="00FA0E9F">
      <w:pPr>
        <w:spacing w:line="360" w:lineRule="auto"/>
        <w:rPr>
          <w:rFonts w:ascii="宋体" w:hAnsi="宋体" w:cs="宋体"/>
          <w:b/>
          <w:szCs w:val="21"/>
        </w:rPr>
      </w:pPr>
      <w:r>
        <w:rPr>
          <w:rFonts w:ascii="宋体" w:hAnsi="宋体" w:cs="宋体" w:hint="eastAsia"/>
          <w:b/>
          <w:szCs w:val="21"/>
        </w:rPr>
        <w:t>6.4.3权重系数和指标分数</w:t>
      </w:r>
    </w:p>
    <w:p w14:paraId="2F432B1A" w14:textId="77777777" w:rsidR="00B50C5D" w:rsidRDefault="00FA0E9F">
      <w:pPr>
        <w:spacing w:line="360" w:lineRule="auto"/>
        <w:ind w:firstLineChars="200" w:firstLine="420"/>
        <w:rPr>
          <w:rFonts w:ascii="宋体" w:hAnsi="宋体" w:cs="宋体"/>
          <w:bCs/>
          <w:szCs w:val="21"/>
        </w:rPr>
      </w:pPr>
      <w:r>
        <w:rPr>
          <w:rFonts w:ascii="宋体" w:hAnsi="宋体" w:cs="宋体" w:hint="eastAsia"/>
          <w:bCs/>
          <w:szCs w:val="21"/>
        </w:rPr>
        <w:t>锡及锡合金生产绿色工厂评价一级指标权重系数为：</w:t>
      </w:r>
    </w:p>
    <w:p w14:paraId="3ED96003" w14:textId="77777777" w:rsidR="00B50C5D" w:rsidRDefault="00FA0E9F">
      <w:pPr>
        <w:spacing w:line="360" w:lineRule="auto"/>
        <w:ind w:firstLineChars="200" w:firstLine="420"/>
        <w:rPr>
          <w:rFonts w:ascii="宋体" w:hAnsi="宋体" w:cs="宋体"/>
          <w:bCs/>
          <w:szCs w:val="21"/>
        </w:rPr>
      </w:pPr>
      <w:r>
        <w:rPr>
          <w:rFonts w:ascii="宋体" w:hAnsi="宋体" w:cs="宋体" w:hint="eastAsia"/>
          <w:bCs/>
          <w:szCs w:val="21"/>
        </w:rPr>
        <w:t>——基本要求（5.1）：采取一票否决制，应全部满足；</w:t>
      </w:r>
    </w:p>
    <w:p w14:paraId="34451C39" w14:textId="77777777" w:rsidR="00B50C5D" w:rsidRDefault="00FA0E9F">
      <w:pPr>
        <w:spacing w:line="360" w:lineRule="auto"/>
        <w:ind w:firstLineChars="200" w:firstLine="420"/>
        <w:rPr>
          <w:rFonts w:ascii="宋体" w:hAnsi="宋体" w:cs="宋体"/>
          <w:bCs/>
          <w:szCs w:val="21"/>
        </w:rPr>
      </w:pPr>
      <w:r>
        <w:rPr>
          <w:rFonts w:ascii="宋体" w:hAnsi="宋体" w:cs="宋体" w:hint="eastAsia"/>
          <w:bCs/>
          <w:szCs w:val="21"/>
        </w:rPr>
        <w:t>——基础设施（5.2）：10%；</w:t>
      </w:r>
    </w:p>
    <w:p w14:paraId="5A5874F9" w14:textId="77777777" w:rsidR="00B50C5D" w:rsidRDefault="00FA0E9F">
      <w:pPr>
        <w:spacing w:line="360" w:lineRule="auto"/>
        <w:ind w:firstLineChars="200" w:firstLine="420"/>
        <w:rPr>
          <w:rFonts w:ascii="宋体" w:hAnsi="宋体" w:cs="宋体"/>
          <w:bCs/>
          <w:szCs w:val="21"/>
        </w:rPr>
      </w:pPr>
      <w:r>
        <w:rPr>
          <w:rFonts w:ascii="宋体" w:hAnsi="宋体" w:cs="宋体" w:hint="eastAsia"/>
          <w:bCs/>
          <w:szCs w:val="21"/>
        </w:rPr>
        <w:t>——管理体系（5.3）：15%；</w:t>
      </w:r>
    </w:p>
    <w:p w14:paraId="0E8C4C20" w14:textId="77777777" w:rsidR="00B50C5D" w:rsidRDefault="00FA0E9F">
      <w:pPr>
        <w:spacing w:line="360" w:lineRule="auto"/>
        <w:ind w:firstLineChars="200" w:firstLine="420"/>
        <w:rPr>
          <w:rFonts w:ascii="宋体" w:hAnsi="宋体" w:cs="宋体"/>
          <w:bCs/>
          <w:szCs w:val="21"/>
        </w:rPr>
      </w:pPr>
      <w:r>
        <w:rPr>
          <w:rFonts w:ascii="宋体" w:hAnsi="宋体" w:cs="宋体" w:hint="eastAsia"/>
          <w:bCs/>
          <w:szCs w:val="21"/>
        </w:rPr>
        <w:t>——能源资源投入（5.4）：15%；</w:t>
      </w:r>
    </w:p>
    <w:p w14:paraId="37512F08" w14:textId="77777777" w:rsidR="00B50C5D" w:rsidRDefault="00FA0E9F">
      <w:pPr>
        <w:spacing w:line="360" w:lineRule="auto"/>
        <w:ind w:firstLineChars="200" w:firstLine="420"/>
        <w:rPr>
          <w:rFonts w:ascii="宋体" w:hAnsi="宋体" w:cs="宋体"/>
          <w:bCs/>
          <w:szCs w:val="21"/>
        </w:rPr>
      </w:pPr>
      <w:r>
        <w:rPr>
          <w:rFonts w:ascii="宋体" w:hAnsi="宋体" w:cs="宋体" w:hint="eastAsia"/>
          <w:bCs/>
          <w:szCs w:val="21"/>
        </w:rPr>
        <w:t>——产品（5.5）：15%；</w:t>
      </w:r>
    </w:p>
    <w:p w14:paraId="408623B7" w14:textId="77777777" w:rsidR="00B50C5D" w:rsidRDefault="00FA0E9F">
      <w:pPr>
        <w:spacing w:line="360" w:lineRule="auto"/>
        <w:ind w:firstLineChars="200" w:firstLine="420"/>
        <w:rPr>
          <w:rFonts w:ascii="宋体" w:hAnsi="宋体" w:cs="宋体"/>
          <w:bCs/>
          <w:szCs w:val="21"/>
        </w:rPr>
      </w:pPr>
      <w:r>
        <w:rPr>
          <w:rFonts w:ascii="宋体" w:hAnsi="宋体" w:cs="宋体" w:hint="eastAsia"/>
          <w:bCs/>
          <w:szCs w:val="21"/>
        </w:rPr>
        <w:t>——环境排放（5.6）：20%；</w:t>
      </w:r>
    </w:p>
    <w:p w14:paraId="75150D34" w14:textId="77777777" w:rsidR="00B50C5D" w:rsidRDefault="00FA0E9F">
      <w:pPr>
        <w:spacing w:line="360" w:lineRule="auto"/>
        <w:ind w:firstLineChars="200" w:firstLine="420"/>
        <w:rPr>
          <w:rFonts w:ascii="宋体" w:hAnsi="宋体" w:cs="宋体"/>
          <w:bCs/>
          <w:szCs w:val="21"/>
        </w:rPr>
      </w:pPr>
      <w:r>
        <w:rPr>
          <w:rFonts w:ascii="宋体" w:hAnsi="宋体" w:cs="宋体" w:hint="eastAsia"/>
          <w:bCs/>
          <w:szCs w:val="21"/>
        </w:rPr>
        <w:t>——绩效（5.7）：25%；</w:t>
      </w:r>
    </w:p>
    <w:p w14:paraId="43A8690B" w14:textId="77777777" w:rsidR="00B50C5D" w:rsidRDefault="00FA0E9F">
      <w:pPr>
        <w:spacing w:line="360" w:lineRule="auto"/>
        <w:ind w:firstLineChars="200" w:firstLine="420"/>
        <w:rPr>
          <w:rFonts w:ascii="宋体" w:hAnsi="宋体" w:cs="宋体"/>
          <w:bCs/>
          <w:szCs w:val="21"/>
        </w:rPr>
      </w:pPr>
      <w:r>
        <w:rPr>
          <w:rFonts w:ascii="宋体" w:hAnsi="宋体" w:cs="宋体" w:hint="eastAsia"/>
          <w:bCs/>
          <w:szCs w:val="21"/>
        </w:rPr>
        <w:t>最终权重系数总和为100%，二级指标和具体评价要求见附录A。</w:t>
      </w:r>
    </w:p>
    <w:p w14:paraId="2ED2AD3A" w14:textId="77777777" w:rsidR="00B50C5D" w:rsidRDefault="00FA0E9F">
      <w:pPr>
        <w:spacing w:line="360" w:lineRule="auto"/>
        <w:ind w:firstLineChars="200" w:firstLine="420"/>
        <w:rPr>
          <w:rFonts w:ascii="宋体" w:hAnsi="宋体" w:cs="宋体"/>
          <w:szCs w:val="21"/>
        </w:rPr>
      </w:pPr>
      <w:r>
        <w:rPr>
          <w:rFonts w:ascii="宋体" w:hAnsi="宋体" w:cs="宋体" w:hint="eastAsia"/>
          <w:szCs w:val="21"/>
        </w:rPr>
        <w:t>锡及锡合金指标权重分配中，充分考虑了行业特点，为充分体现可量化的特点，体现用地集约化、原料无害化、生产洁净化、废物资源化以及能源低碳化五大绩效指标的内容占比权重最大，占25%；其次目前国家对环保的重视，环境排放占比20%；第三，管理组织机构等管理体系建设体现了企业对绿色制造体系的重视程度和管理能力；碳达峰碳达标也是目前的重点工作；产品是绿色工厂的最终产出体现，是绿色工厂的产出结果。所以管理体系、能源与资源投入和产品同时占比权重15%。而基础设施包括建筑、节水、照明以及设备设施等是绿色工厂的基础，占比10%；以上7个方面构成了锡及锡合金绿色工厂评价的全部权重。</w:t>
      </w:r>
    </w:p>
    <w:p w14:paraId="634C68ED" w14:textId="77777777" w:rsidR="00B50C5D" w:rsidRDefault="00FA0E9F">
      <w:pPr>
        <w:pStyle w:val="3"/>
        <w:spacing w:line="360" w:lineRule="auto"/>
        <w:ind w:leftChars="0" w:left="0" w:firstLineChars="200" w:firstLine="420"/>
        <w:rPr>
          <w:rFonts w:ascii="宋体" w:hAnsi="宋体" w:cs="宋体"/>
          <w:sz w:val="21"/>
          <w:szCs w:val="21"/>
        </w:rPr>
      </w:pPr>
      <w:r>
        <w:rPr>
          <w:rFonts w:ascii="宋体" w:hAnsi="宋体" w:cs="宋体" w:hint="eastAsia"/>
          <w:sz w:val="21"/>
          <w:szCs w:val="21"/>
        </w:rPr>
        <w:t>一级指标权重系数分配如表1所示：</w:t>
      </w:r>
    </w:p>
    <w:p w14:paraId="05624AA8" w14:textId="77777777" w:rsidR="00B50C5D" w:rsidRDefault="00FA0E9F">
      <w:pPr>
        <w:jc w:val="center"/>
        <w:rPr>
          <w:rFonts w:ascii="宋体" w:hAnsi="宋体" w:cs="宋体"/>
          <w:szCs w:val="21"/>
        </w:rPr>
      </w:pPr>
      <w:r>
        <w:rPr>
          <w:rFonts w:ascii="宋体" w:hAnsi="宋体" w:cs="宋体" w:hint="eastAsia"/>
          <w:szCs w:val="21"/>
        </w:rPr>
        <w:t>表1 一级指标权重系数表</w:t>
      </w: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5"/>
        <w:gridCol w:w="4750"/>
      </w:tblGrid>
      <w:tr w:rsidR="00B50C5D" w14:paraId="739CFCA4" w14:textId="77777777">
        <w:trPr>
          <w:trHeight w:val="263"/>
          <w:jc w:val="center"/>
        </w:trPr>
        <w:tc>
          <w:tcPr>
            <w:tcW w:w="4525" w:type="dxa"/>
            <w:tcBorders>
              <w:top w:val="single" w:sz="8" w:space="0" w:color="auto"/>
              <w:left w:val="single" w:sz="8" w:space="0" w:color="auto"/>
              <w:bottom w:val="single" w:sz="8" w:space="0" w:color="auto"/>
            </w:tcBorders>
          </w:tcPr>
          <w:p w14:paraId="26D6BA7E" w14:textId="77777777" w:rsidR="00B50C5D" w:rsidRDefault="00FA0E9F">
            <w:pPr>
              <w:snapToGrid w:val="0"/>
              <w:ind w:firstLine="437"/>
              <w:jc w:val="center"/>
              <w:rPr>
                <w:rFonts w:ascii="宋体" w:hAnsi="宋体" w:cs="宋体"/>
                <w:szCs w:val="21"/>
              </w:rPr>
            </w:pPr>
            <w:r>
              <w:rPr>
                <w:rFonts w:ascii="宋体" w:hAnsi="宋体" w:cs="宋体" w:hint="eastAsia"/>
                <w:szCs w:val="21"/>
              </w:rPr>
              <w:t>一级指标</w:t>
            </w:r>
          </w:p>
        </w:tc>
        <w:tc>
          <w:tcPr>
            <w:tcW w:w="4750" w:type="dxa"/>
            <w:tcBorders>
              <w:top w:val="single" w:sz="8" w:space="0" w:color="auto"/>
              <w:bottom w:val="single" w:sz="8" w:space="0" w:color="auto"/>
              <w:right w:val="single" w:sz="8" w:space="0" w:color="auto"/>
            </w:tcBorders>
          </w:tcPr>
          <w:p w14:paraId="16BD34BD" w14:textId="77777777" w:rsidR="00B50C5D" w:rsidRDefault="00FA0E9F">
            <w:pPr>
              <w:snapToGrid w:val="0"/>
              <w:ind w:firstLine="437"/>
              <w:jc w:val="center"/>
              <w:rPr>
                <w:rFonts w:ascii="宋体" w:hAnsi="宋体" w:cs="宋体"/>
                <w:szCs w:val="21"/>
              </w:rPr>
            </w:pPr>
            <w:r>
              <w:rPr>
                <w:rFonts w:ascii="宋体" w:hAnsi="宋体" w:cs="宋体" w:hint="eastAsia"/>
                <w:szCs w:val="21"/>
              </w:rPr>
              <w:t>权重</w:t>
            </w:r>
          </w:p>
        </w:tc>
      </w:tr>
      <w:tr w:rsidR="00B50C5D" w14:paraId="7CA6683C" w14:textId="77777777">
        <w:trPr>
          <w:jc w:val="center"/>
        </w:trPr>
        <w:tc>
          <w:tcPr>
            <w:tcW w:w="4525" w:type="dxa"/>
            <w:tcBorders>
              <w:top w:val="single" w:sz="8" w:space="0" w:color="auto"/>
              <w:left w:val="single" w:sz="8" w:space="0" w:color="auto"/>
            </w:tcBorders>
          </w:tcPr>
          <w:p w14:paraId="68951271" w14:textId="77777777" w:rsidR="00B50C5D" w:rsidRDefault="00FA0E9F">
            <w:pPr>
              <w:snapToGrid w:val="0"/>
              <w:ind w:firstLine="437"/>
              <w:jc w:val="center"/>
              <w:rPr>
                <w:rFonts w:ascii="宋体" w:hAnsi="宋体" w:cs="宋体"/>
                <w:szCs w:val="21"/>
              </w:rPr>
            </w:pPr>
            <w:r>
              <w:rPr>
                <w:rFonts w:ascii="宋体" w:hAnsi="宋体" w:cs="宋体" w:hint="eastAsia"/>
                <w:szCs w:val="21"/>
              </w:rPr>
              <w:t>基本要求</w:t>
            </w:r>
          </w:p>
        </w:tc>
        <w:tc>
          <w:tcPr>
            <w:tcW w:w="4750" w:type="dxa"/>
            <w:tcBorders>
              <w:top w:val="single" w:sz="8" w:space="0" w:color="auto"/>
              <w:right w:val="single" w:sz="8" w:space="0" w:color="auto"/>
            </w:tcBorders>
          </w:tcPr>
          <w:p w14:paraId="39F1646C" w14:textId="77777777" w:rsidR="00B50C5D" w:rsidRDefault="00FA0E9F">
            <w:pPr>
              <w:snapToGrid w:val="0"/>
              <w:ind w:firstLine="437"/>
              <w:jc w:val="center"/>
              <w:rPr>
                <w:rFonts w:ascii="宋体" w:hAnsi="宋体" w:cs="宋体"/>
                <w:szCs w:val="21"/>
              </w:rPr>
            </w:pPr>
            <w:r>
              <w:rPr>
                <w:rFonts w:ascii="宋体" w:hAnsi="宋体" w:cs="宋体" w:hint="eastAsia"/>
                <w:szCs w:val="21"/>
              </w:rPr>
              <w:t>一票否决</w:t>
            </w:r>
          </w:p>
        </w:tc>
      </w:tr>
      <w:tr w:rsidR="00B50C5D" w14:paraId="443A730E" w14:textId="77777777">
        <w:trPr>
          <w:jc w:val="center"/>
        </w:trPr>
        <w:tc>
          <w:tcPr>
            <w:tcW w:w="4525" w:type="dxa"/>
            <w:tcBorders>
              <w:left w:val="single" w:sz="8" w:space="0" w:color="auto"/>
            </w:tcBorders>
          </w:tcPr>
          <w:p w14:paraId="16F9C04F" w14:textId="77777777" w:rsidR="00B50C5D" w:rsidRDefault="00FA0E9F">
            <w:pPr>
              <w:snapToGrid w:val="0"/>
              <w:ind w:firstLine="437"/>
              <w:jc w:val="center"/>
              <w:rPr>
                <w:rFonts w:ascii="宋体" w:hAnsi="宋体" w:cs="宋体"/>
                <w:szCs w:val="21"/>
              </w:rPr>
            </w:pPr>
            <w:r>
              <w:rPr>
                <w:rFonts w:ascii="宋体" w:hAnsi="宋体" w:cs="宋体" w:hint="eastAsia"/>
                <w:szCs w:val="21"/>
              </w:rPr>
              <w:t>基础设施</w:t>
            </w:r>
          </w:p>
        </w:tc>
        <w:tc>
          <w:tcPr>
            <w:tcW w:w="4750" w:type="dxa"/>
            <w:tcBorders>
              <w:right w:val="single" w:sz="8" w:space="0" w:color="auto"/>
            </w:tcBorders>
          </w:tcPr>
          <w:p w14:paraId="06534994" w14:textId="77777777" w:rsidR="00B50C5D" w:rsidRDefault="00FA0E9F">
            <w:pPr>
              <w:snapToGrid w:val="0"/>
              <w:ind w:firstLine="437"/>
              <w:jc w:val="center"/>
              <w:rPr>
                <w:rFonts w:ascii="宋体" w:hAnsi="宋体" w:cs="宋体"/>
                <w:szCs w:val="21"/>
              </w:rPr>
            </w:pPr>
            <w:r>
              <w:rPr>
                <w:rFonts w:ascii="宋体" w:hAnsi="宋体" w:cs="宋体" w:hint="eastAsia"/>
                <w:szCs w:val="21"/>
              </w:rPr>
              <w:t>10%</w:t>
            </w:r>
          </w:p>
        </w:tc>
      </w:tr>
      <w:tr w:rsidR="00B50C5D" w14:paraId="2C453D7C" w14:textId="77777777">
        <w:trPr>
          <w:jc w:val="center"/>
        </w:trPr>
        <w:tc>
          <w:tcPr>
            <w:tcW w:w="4525" w:type="dxa"/>
            <w:tcBorders>
              <w:left w:val="single" w:sz="8" w:space="0" w:color="auto"/>
            </w:tcBorders>
          </w:tcPr>
          <w:p w14:paraId="115CB415" w14:textId="77777777" w:rsidR="00B50C5D" w:rsidRDefault="00FA0E9F">
            <w:pPr>
              <w:snapToGrid w:val="0"/>
              <w:ind w:firstLine="437"/>
              <w:jc w:val="center"/>
              <w:rPr>
                <w:rFonts w:ascii="宋体" w:hAnsi="宋体" w:cs="宋体"/>
                <w:szCs w:val="21"/>
              </w:rPr>
            </w:pPr>
            <w:r>
              <w:rPr>
                <w:rFonts w:ascii="宋体" w:hAnsi="宋体" w:cs="宋体" w:hint="eastAsia"/>
                <w:szCs w:val="21"/>
              </w:rPr>
              <w:t>管理体系</w:t>
            </w:r>
          </w:p>
        </w:tc>
        <w:tc>
          <w:tcPr>
            <w:tcW w:w="4750" w:type="dxa"/>
            <w:tcBorders>
              <w:right w:val="single" w:sz="8" w:space="0" w:color="auto"/>
            </w:tcBorders>
          </w:tcPr>
          <w:p w14:paraId="2C7554DC" w14:textId="77777777" w:rsidR="00B50C5D" w:rsidRDefault="00FA0E9F">
            <w:pPr>
              <w:snapToGrid w:val="0"/>
              <w:ind w:firstLine="437"/>
              <w:jc w:val="center"/>
              <w:rPr>
                <w:rFonts w:ascii="宋体" w:hAnsi="宋体" w:cs="宋体"/>
                <w:szCs w:val="21"/>
              </w:rPr>
            </w:pPr>
            <w:r>
              <w:rPr>
                <w:rFonts w:ascii="宋体" w:hAnsi="宋体" w:cs="宋体" w:hint="eastAsia"/>
                <w:szCs w:val="21"/>
              </w:rPr>
              <w:t>15%</w:t>
            </w:r>
          </w:p>
        </w:tc>
      </w:tr>
      <w:tr w:rsidR="00B50C5D" w14:paraId="05ABBECB" w14:textId="77777777">
        <w:trPr>
          <w:jc w:val="center"/>
        </w:trPr>
        <w:tc>
          <w:tcPr>
            <w:tcW w:w="4525" w:type="dxa"/>
            <w:tcBorders>
              <w:left w:val="single" w:sz="8" w:space="0" w:color="auto"/>
            </w:tcBorders>
          </w:tcPr>
          <w:p w14:paraId="77549569" w14:textId="77777777" w:rsidR="00B50C5D" w:rsidRDefault="00FA0E9F">
            <w:pPr>
              <w:snapToGrid w:val="0"/>
              <w:ind w:firstLine="437"/>
              <w:jc w:val="center"/>
              <w:rPr>
                <w:rFonts w:ascii="宋体" w:hAnsi="宋体" w:cs="宋体"/>
                <w:szCs w:val="21"/>
              </w:rPr>
            </w:pPr>
            <w:r>
              <w:rPr>
                <w:rFonts w:ascii="宋体" w:hAnsi="宋体" w:cs="宋体" w:hint="eastAsia"/>
                <w:szCs w:val="21"/>
              </w:rPr>
              <w:t>能源与资源投入</w:t>
            </w:r>
          </w:p>
        </w:tc>
        <w:tc>
          <w:tcPr>
            <w:tcW w:w="4750" w:type="dxa"/>
            <w:tcBorders>
              <w:right w:val="single" w:sz="8" w:space="0" w:color="auto"/>
            </w:tcBorders>
          </w:tcPr>
          <w:p w14:paraId="02F4D569" w14:textId="77777777" w:rsidR="00B50C5D" w:rsidRDefault="00FA0E9F">
            <w:pPr>
              <w:snapToGrid w:val="0"/>
              <w:ind w:firstLine="437"/>
              <w:jc w:val="center"/>
              <w:rPr>
                <w:rFonts w:ascii="宋体" w:hAnsi="宋体" w:cs="宋体"/>
                <w:szCs w:val="21"/>
              </w:rPr>
            </w:pPr>
            <w:r>
              <w:rPr>
                <w:rFonts w:ascii="宋体" w:hAnsi="宋体" w:cs="宋体" w:hint="eastAsia"/>
                <w:szCs w:val="21"/>
              </w:rPr>
              <w:t>15%</w:t>
            </w:r>
          </w:p>
        </w:tc>
      </w:tr>
      <w:tr w:rsidR="00B50C5D" w14:paraId="071112C6" w14:textId="77777777">
        <w:trPr>
          <w:jc w:val="center"/>
        </w:trPr>
        <w:tc>
          <w:tcPr>
            <w:tcW w:w="4525" w:type="dxa"/>
            <w:tcBorders>
              <w:left w:val="single" w:sz="8" w:space="0" w:color="auto"/>
            </w:tcBorders>
          </w:tcPr>
          <w:p w14:paraId="28C31438" w14:textId="77777777" w:rsidR="00B50C5D" w:rsidRDefault="00FA0E9F">
            <w:pPr>
              <w:snapToGrid w:val="0"/>
              <w:ind w:firstLine="437"/>
              <w:jc w:val="center"/>
              <w:rPr>
                <w:rFonts w:ascii="宋体" w:hAnsi="宋体" w:cs="宋体"/>
                <w:szCs w:val="21"/>
              </w:rPr>
            </w:pPr>
            <w:r>
              <w:rPr>
                <w:rFonts w:ascii="宋体" w:hAnsi="宋体" w:cs="宋体" w:hint="eastAsia"/>
                <w:szCs w:val="21"/>
              </w:rPr>
              <w:t>产品</w:t>
            </w:r>
          </w:p>
        </w:tc>
        <w:tc>
          <w:tcPr>
            <w:tcW w:w="4750" w:type="dxa"/>
            <w:tcBorders>
              <w:right w:val="single" w:sz="8" w:space="0" w:color="auto"/>
            </w:tcBorders>
          </w:tcPr>
          <w:p w14:paraId="5EEB61BA" w14:textId="77777777" w:rsidR="00B50C5D" w:rsidRDefault="00FA0E9F">
            <w:pPr>
              <w:snapToGrid w:val="0"/>
              <w:ind w:firstLine="437"/>
              <w:jc w:val="center"/>
              <w:rPr>
                <w:rFonts w:ascii="宋体" w:hAnsi="宋体" w:cs="宋体"/>
                <w:szCs w:val="21"/>
              </w:rPr>
            </w:pPr>
            <w:r>
              <w:rPr>
                <w:rFonts w:ascii="宋体" w:hAnsi="宋体" w:cs="宋体" w:hint="eastAsia"/>
                <w:szCs w:val="21"/>
              </w:rPr>
              <w:t>15%</w:t>
            </w:r>
          </w:p>
        </w:tc>
      </w:tr>
      <w:tr w:rsidR="00B50C5D" w14:paraId="27C07374" w14:textId="77777777">
        <w:trPr>
          <w:jc w:val="center"/>
        </w:trPr>
        <w:tc>
          <w:tcPr>
            <w:tcW w:w="4525" w:type="dxa"/>
            <w:tcBorders>
              <w:left w:val="single" w:sz="8" w:space="0" w:color="auto"/>
            </w:tcBorders>
          </w:tcPr>
          <w:p w14:paraId="3509EAD4" w14:textId="77777777" w:rsidR="00B50C5D" w:rsidRDefault="00FA0E9F">
            <w:pPr>
              <w:snapToGrid w:val="0"/>
              <w:ind w:firstLine="437"/>
              <w:jc w:val="center"/>
              <w:rPr>
                <w:rFonts w:ascii="宋体" w:hAnsi="宋体" w:cs="宋体"/>
                <w:szCs w:val="21"/>
              </w:rPr>
            </w:pPr>
            <w:r>
              <w:rPr>
                <w:rFonts w:ascii="宋体" w:hAnsi="宋体" w:cs="宋体" w:hint="eastAsia"/>
                <w:szCs w:val="21"/>
              </w:rPr>
              <w:t>环境排放</w:t>
            </w:r>
          </w:p>
        </w:tc>
        <w:tc>
          <w:tcPr>
            <w:tcW w:w="4750" w:type="dxa"/>
            <w:tcBorders>
              <w:right w:val="single" w:sz="8" w:space="0" w:color="auto"/>
            </w:tcBorders>
          </w:tcPr>
          <w:p w14:paraId="5882A9FF" w14:textId="77777777" w:rsidR="00B50C5D" w:rsidRDefault="00FA0E9F">
            <w:pPr>
              <w:snapToGrid w:val="0"/>
              <w:ind w:firstLine="437"/>
              <w:jc w:val="center"/>
              <w:rPr>
                <w:rFonts w:ascii="宋体" w:hAnsi="宋体" w:cs="宋体"/>
                <w:szCs w:val="21"/>
              </w:rPr>
            </w:pPr>
            <w:r>
              <w:rPr>
                <w:rFonts w:ascii="宋体" w:hAnsi="宋体" w:cs="宋体" w:hint="eastAsia"/>
                <w:szCs w:val="21"/>
              </w:rPr>
              <w:t>20%</w:t>
            </w:r>
          </w:p>
        </w:tc>
      </w:tr>
      <w:tr w:rsidR="00B50C5D" w14:paraId="2B386183" w14:textId="77777777">
        <w:trPr>
          <w:jc w:val="center"/>
        </w:trPr>
        <w:tc>
          <w:tcPr>
            <w:tcW w:w="4525" w:type="dxa"/>
            <w:tcBorders>
              <w:left w:val="single" w:sz="8" w:space="0" w:color="auto"/>
              <w:bottom w:val="single" w:sz="8" w:space="0" w:color="auto"/>
            </w:tcBorders>
          </w:tcPr>
          <w:p w14:paraId="1D19FE7D" w14:textId="77777777" w:rsidR="00B50C5D" w:rsidRDefault="00FA0E9F">
            <w:pPr>
              <w:snapToGrid w:val="0"/>
              <w:ind w:firstLine="437"/>
              <w:jc w:val="center"/>
              <w:rPr>
                <w:rFonts w:ascii="宋体" w:hAnsi="宋体" w:cs="宋体"/>
                <w:szCs w:val="21"/>
              </w:rPr>
            </w:pPr>
            <w:r>
              <w:rPr>
                <w:rFonts w:ascii="宋体" w:hAnsi="宋体" w:cs="宋体" w:hint="eastAsia"/>
                <w:szCs w:val="21"/>
              </w:rPr>
              <w:t>绩效</w:t>
            </w:r>
          </w:p>
        </w:tc>
        <w:tc>
          <w:tcPr>
            <w:tcW w:w="4750" w:type="dxa"/>
            <w:tcBorders>
              <w:bottom w:val="single" w:sz="8" w:space="0" w:color="auto"/>
              <w:right w:val="single" w:sz="8" w:space="0" w:color="auto"/>
            </w:tcBorders>
          </w:tcPr>
          <w:p w14:paraId="0944B09E" w14:textId="77777777" w:rsidR="00B50C5D" w:rsidRDefault="00FA0E9F">
            <w:pPr>
              <w:snapToGrid w:val="0"/>
              <w:ind w:firstLine="437"/>
              <w:jc w:val="center"/>
              <w:rPr>
                <w:rFonts w:ascii="宋体" w:hAnsi="宋体" w:cs="宋体"/>
                <w:szCs w:val="21"/>
              </w:rPr>
            </w:pPr>
            <w:r>
              <w:rPr>
                <w:rFonts w:ascii="宋体" w:hAnsi="宋体" w:cs="宋体" w:hint="eastAsia"/>
                <w:szCs w:val="21"/>
              </w:rPr>
              <w:t>25%</w:t>
            </w:r>
          </w:p>
        </w:tc>
      </w:tr>
    </w:tbl>
    <w:p w14:paraId="2D019657" w14:textId="77777777" w:rsidR="00B50C5D" w:rsidRDefault="00B50C5D">
      <w:pPr>
        <w:spacing w:line="360" w:lineRule="auto"/>
        <w:ind w:firstLineChars="200" w:firstLine="420"/>
        <w:rPr>
          <w:rFonts w:ascii="宋体" w:hAnsi="宋体" w:cs="宋体"/>
          <w:szCs w:val="21"/>
        </w:rPr>
      </w:pPr>
    </w:p>
    <w:p w14:paraId="30F1407A" w14:textId="77777777" w:rsidR="00B50C5D" w:rsidRDefault="00FA0E9F">
      <w:pPr>
        <w:spacing w:line="360" w:lineRule="auto"/>
        <w:ind w:firstLineChars="200" w:firstLine="420"/>
        <w:rPr>
          <w:rFonts w:ascii="宋体" w:hAnsi="宋体" w:cs="宋体"/>
          <w:szCs w:val="21"/>
        </w:rPr>
      </w:pPr>
      <w:r>
        <w:rPr>
          <w:rFonts w:ascii="宋体" w:hAnsi="宋体" w:cs="宋体" w:hint="eastAsia"/>
          <w:szCs w:val="21"/>
        </w:rPr>
        <w:t>二级指标和具体评价要求见标准附录A。</w:t>
      </w:r>
    </w:p>
    <w:p w14:paraId="32435CFE" w14:textId="77777777" w:rsidR="00B50C5D" w:rsidRDefault="00FA0E9F">
      <w:pPr>
        <w:spacing w:line="360" w:lineRule="auto"/>
        <w:ind w:firstLineChars="200" w:firstLine="420"/>
        <w:rPr>
          <w:rFonts w:ascii="宋体" w:hAnsi="宋体" w:cs="宋体"/>
          <w:szCs w:val="21"/>
        </w:rPr>
      </w:pPr>
      <w:r>
        <w:rPr>
          <w:rFonts w:ascii="宋体" w:hAnsi="宋体" w:cs="宋体" w:hint="eastAsia"/>
          <w:szCs w:val="21"/>
        </w:rPr>
        <w:t>并由公式（1）计算得出分数。</w:t>
      </w:r>
    </w:p>
    <w:p w14:paraId="5D53397D" w14:textId="77777777" w:rsidR="00B50C5D" w:rsidRDefault="00FA0E9F">
      <w:pPr>
        <w:ind w:firstLineChars="1200" w:firstLine="2520"/>
        <w:rPr>
          <w:rFonts w:ascii="宋体" w:hAnsi="宋体" w:cs="宋体"/>
          <w:szCs w:val="21"/>
          <w:shd w:val="pct10" w:color="auto" w:fill="FFFFFF"/>
        </w:rPr>
      </w:pPr>
      <m:oMath>
        <m:r>
          <m:rPr>
            <m:sty m:val="p"/>
          </m:rPr>
          <w:rPr>
            <w:rFonts w:ascii="Cambria Math" w:hAnsi="Cambria Math" w:cs="宋体" w:hint="eastAsia"/>
            <w:szCs w:val="21"/>
            <w:shd w:val="pct10" w:color="auto" w:fill="FFFFFF"/>
          </w:rPr>
          <m:t>S=</m:t>
        </m:r>
        <m:nary>
          <m:naryPr>
            <m:chr m:val="∑"/>
            <m:grow m:val="1"/>
            <m:ctrlPr>
              <w:rPr>
                <w:rFonts w:ascii="Cambria Math" w:hAnsi="Cambria Math" w:cs="宋体" w:hint="eastAsia"/>
                <w:szCs w:val="21"/>
                <w:shd w:val="pct10" w:color="auto" w:fill="FFFFFF"/>
              </w:rPr>
            </m:ctrlPr>
          </m:naryPr>
          <m:sub>
            <m:r>
              <w:rPr>
                <w:rFonts w:ascii="Cambria Math" w:hAnsi="Cambria Math" w:cs="宋体" w:hint="eastAsia"/>
                <w:szCs w:val="21"/>
                <w:shd w:val="pct10" w:color="auto" w:fill="FFFFFF"/>
              </w:rPr>
              <m:t>i=1</m:t>
            </m:r>
          </m:sub>
          <m:sup>
            <m:r>
              <w:rPr>
                <w:rFonts w:ascii="Cambria Math" w:hAnsi="Cambria Math" w:cs="宋体" w:hint="eastAsia"/>
                <w:szCs w:val="21"/>
                <w:shd w:val="pct10" w:color="auto" w:fill="FFFFFF"/>
              </w:rPr>
              <m:t>6</m:t>
            </m:r>
          </m:sup>
          <m:e>
            <m:d>
              <m:dPr>
                <m:ctrlPr>
                  <w:rPr>
                    <w:rFonts w:ascii="Cambria Math" w:hAnsi="Cambria Math" w:cs="宋体" w:hint="eastAsia"/>
                    <w:szCs w:val="21"/>
                    <w:shd w:val="pct10" w:color="auto" w:fill="FFFFFF"/>
                  </w:rPr>
                </m:ctrlPr>
              </m:dPr>
              <m:e>
                <m:sSub>
                  <m:sSubPr>
                    <m:ctrlPr>
                      <w:rPr>
                        <w:rFonts w:ascii="Cambria Math" w:hAnsi="Cambria Math" w:cs="宋体" w:hint="eastAsia"/>
                        <w:szCs w:val="21"/>
                        <w:shd w:val="pct10" w:color="auto" w:fill="FFFFFF"/>
                      </w:rPr>
                    </m:ctrlPr>
                  </m:sSubPr>
                  <m:e>
                    <m:r>
                      <w:rPr>
                        <w:rFonts w:ascii="Cambria Math" w:hAnsi="Cambria Math" w:cs="宋体" w:hint="eastAsia"/>
                        <w:szCs w:val="21"/>
                        <w:shd w:val="pct10" w:color="auto" w:fill="FFFFFF"/>
                      </w:rPr>
                      <m:t>Q</m:t>
                    </m:r>
                  </m:e>
                  <m:sub>
                    <m:r>
                      <w:rPr>
                        <w:rFonts w:ascii="Cambria Math" w:hAnsi="Cambria Math" w:cs="宋体" w:hint="eastAsia"/>
                        <w:szCs w:val="21"/>
                        <w:shd w:val="pct10" w:color="auto" w:fill="FFFFFF"/>
                      </w:rPr>
                      <m:t>i</m:t>
                    </m:r>
                  </m:sub>
                </m:sSub>
                <m:r>
                  <m:rPr>
                    <m:sty m:val="p"/>
                  </m:rPr>
                  <w:rPr>
                    <w:rFonts w:ascii="Cambria Math" w:hAnsi="Cambria Math" w:cs="宋体" w:hint="eastAsia"/>
                    <w:szCs w:val="21"/>
                    <w:shd w:val="pct10" w:color="auto" w:fill="FFFFFF"/>
                  </w:rPr>
                  <m:t>·</m:t>
                </m:r>
                <m:sSub>
                  <m:sSubPr>
                    <m:ctrlPr>
                      <w:rPr>
                        <w:rFonts w:ascii="Cambria Math" w:hAnsi="Cambria Math" w:cs="宋体" w:hint="eastAsia"/>
                        <w:szCs w:val="21"/>
                        <w:shd w:val="pct10" w:color="auto" w:fill="FFFFFF"/>
                      </w:rPr>
                    </m:ctrlPr>
                  </m:sSubPr>
                  <m:e>
                    <m:r>
                      <w:rPr>
                        <w:rFonts w:ascii="Cambria Math" w:hAnsi="Cambria Math" w:cs="宋体" w:hint="eastAsia"/>
                        <w:szCs w:val="21"/>
                        <w:shd w:val="pct10" w:color="auto" w:fill="FFFFFF"/>
                      </w:rPr>
                      <m:t>W</m:t>
                    </m:r>
                  </m:e>
                  <m:sub>
                    <m:r>
                      <w:rPr>
                        <w:rFonts w:ascii="Cambria Math" w:hAnsi="Cambria Math" w:cs="宋体" w:hint="eastAsia"/>
                        <w:szCs w:val="21"/>
                        <w:shd w:val="pct10" w:color="auto" w:fill="FFFFFF"/>
                      </w:rPr>
                      <m:t>i</m:t>
                    </m:r>
                  </m:sub>
                </m:sSub>
              </m:e>
            </m:d>
          </m:e>
        </m:nary>
      </m:oMath>
      <w:r>
        <w:rPr>
          <w:rFonts w:ascii="宋体" w:hAnsi="宋体" w:cs="宋体" w:hint="eastAsia"/>
          <w:szCs w:val="21"/>
          <w:shd w:val="pct10" w:color="auto" w:fill="FFFFFF"/>
        </w:rPr>
        <w:t xml:space="preserve">  ……………（1）</w:t>
      </w:r>
    </w:p>
    <w:p w14:paraId="21CD440B" w14:textId="77777777" w:rsidR="00B50C5D" w:rsidRDefault="00B50C5D">
      <w:pPr>
        <w:pStyle w:val="af2"/>
        <w:tabs>
          <w:tab w:val="center" w:pos="4201"/>
          <w:tab w:val="right" w:leader="dot" w:pos="9298"/>
        </w:tabs>
        <w:ind w:firstLineChars="1800" w:firstLine="3780"/>
        <w:rPr>
          <w:rFonts w:hAnsi="宋体" w:cs="宋体"/>
          <w:szCs w:val="21"/>
        </w:rPr>
      </w:pPr>
    </w:p>
    <w:p w14:paraId="5AB83196" w14:textId="77777777" w:rsidR="00B50C5D" w:rsidRDefault="00FA0E9F">
      <w:pPr>
        <w:pStyle w:val="af2"/>
        <w:tabs>
          <w:tab w:val="center" w:pos="4201"/>
          <w:tab w:val="right" w:leader="dot" w:pos="9298"/>
        </w:tabs>
        <w:spacing w:line="15" w:lineRule="auto"/>
        <w:ind w:firstLine="420"/>
        <w:rPr>
          <w:rFonts w:hAnsi="宋体" w:cs="宋体"/>
          <w:szCs w:val="21"/>
        </w:rPr>
      </w:pPr>
      <w:r>
        <w:rPr>
          <w:rFonts w:hAnsi="宋体" w:cs="宋体" w:hint="eastAsia"/>
          <w:szCs w:val="21"/>
        </w:rPr>
        <w:t>式中：</w:t>
      </w:r>
    </w:p>
    <w:p w14:paraId="67532E4B" w14:textId="77777777" w:rsidR="00B50C5D" w:rsidRDefault="00FA0E9F">
      <w:pPr>
        <w:pStyle w:val="af2"/>
        <w:tabs>
          <w:tab w:val="center" w:pos="4201"/>
          <w:tab w:val="right" w:leader="dot" w:pos="9298"/>
        </w:tabs>
        <w:spacing w:line="15" w:lineRule="auto"/>
        <w:ind w:firstLine="420"/>
        <w:rPr>
          <w:rFonts w:hAnsi="宋体" w:cs="宋体"/>
          <w:szCs w:val="21"/>
        </w:rPr>
      </w:pPr>
      <w:r>
        <w:rPr>
          <w:rFonts w:hAnsi="宋体" w:cs="宋体" w:hint="eastAsia"/>
          <w:szCs w:val="21"/>
        </w:rPr>
        <w:lastRenderedPageBreak/>
        <w:t>S--综合得分；</w:t>
      </w:r>
    </w:p>
    <w:p w14:paraId="7D23D52D" w14:textId="77777777" w:rsidR="00B50C5D" w:rsidRDefault="00FA0E9F">
      <w:pPr>
        <w:pStyle w:val="af2"/>
        <w:tabs>
          <w:tab w:val="center" w:pos="4201"/>
          <w:tab w:val="right" w:leader="dot" w:pos="9298"/>
        </w:tabs>
        <w:spacing w:line="15" w:lineRule="auto"/>
        <w:ind w:firstLine="420"/>
        <w:rPr>
          <w:rFonts w:hAnsi="宋体" w:cs="宋体"/>
          <w:szCs w:val="21"/>
        </w:rPr>
      </w:pPr>
      <w:r>
        <w:rPr>
          <w:rFonts w:hAnsi="宋体" w:cs="宋体" w:hint="eastAsia"/>
          <w:szCs w:val="21"/>
        </w:rPr>
        <w:t>Q</w:t>
      </w:r>
      <w:r>
        <w:rPr>
          <w:rFonts w:hAnsi="宋体" w:cs="宋体" w:hint="eastAsia"/>
          <w:szCs w:val="21"/>
          <w:vertAlign w:val="subscript"/>
        </w:rPr>
        <w:t>i</w:t>
      </w:r>
      <w:r>
        <w:rPr>
          <w:rFonts w:hAnsi="宋体" w:cs="宋体" w:hint="eastAsia"/>
          <w:szCs w:val="21"/>
        </w:rPr>
        <w:t>——各一级指标得分；</w:t>
      </w:r>
    </w:p>
    <w:p w14:paraId="67EB9AA5" w14:textId="77777777" w:rsidR="00C920FA" w:rsidRDefault="00FA0E9F" w:rsidP="00C920FA">
      <w:pPr>
        <w:spacing w:line="360" w:lineRule="auto"/>
        <w:rPr>
          <w:rFonts w:hAnsi="宋体" w:cs="宋体"/>
          <w:szCs w:val="21"/>
        </w:rPr>
      </w:pPr>
      <w:r>
        <w:rPr>
          <w:rFonts w:hAnsi="宋体" w:cs="宋体" w:hint="eastAsia"/>
          <w:szCs w:val="21"/>
        </w:rPr>
        <w:t>W</w:t>
      </w:r>
      <w:r>
        <w:rPr>
          <w:rFonts w:hAnsi="宋体" w:cs="宋体" w:hint="eastAsia"/>
          <w:szCs w:val="21"/>
          <w:vertAlign w:val="subscript"/>
        </w:rPr>
        <w:t>i</w:t>
      </w:r>
      <w:r>
        <w:rPr>
          <w:rFonts w:hAnsi="宋体" w:cs="宋体" w:hint="eastAsia"/>
          <w:szCs w:val="21"/>
        </w:rPr>
        <w:t>——各一级指标分值权重。</w:t>
      </w:r>
    </w:p>
    <w:p w14:paraId="2A6B0D57" w14:textId="40F0F1E8" w:rsidR="00C920FA" w:rsidRPr="00D922BF" w:rsidRDefault="00C920FA" w:rsidP="00C920FA">
      <w:pPr>
        <w:spacing w:line="360" w:lineRule="auto"/>
        <w:rPr>
          <w:rFonts w:ascii="宋体" w:hAnsi="宋体" w:cs="宋体"/>
          <w:b/>
          <w:szCs w:val="21"/>
        </w:rPr>
      </w:pPr>
      <w:r w:rsidRPr="00D922BF">
        <w:rPr>
          <w:rFonts w:ascii="宋体" w:hAnsi="宋体" w:cs="宋体" w:hint="eastAsia"/>
          <w:b/>
          <w:szCs w:val="21"/>
        </w:rPr>
        <w:t>6.4.</w:t>
      </w:r>
      <w:r w:rsidRPr="00D922BF">
        <w:rPr>
          <w:rFonts w:ascii="宋体" w:hAnsi="宋体" w:cs="宋体"/>
          <w:b/>
          <w:szCs w:val="21"/>
        </w:rPr>
        <w:t xml:space="preserve">4 </w:t>
      </w:r>
      <w:r w:rsidRPr="00D922BF">
        <w:rPr>
          <w:rFonts w:ascii="宋体" w:hAnsi="宋体" w:cs="宋体" w:hint="eastAsia"/>
          <w:b/>
          <w:szCs w:val="21"/>
        </w:rPr>
        <w:t>评价方法</w:t>
      </w:r>
    </w:p>
    <w:p w14:paraId="1EE2E15D" w14:textId="3E837ECC" w:rsidR="000D1AEA" w:rsidRPr="00D922BF" w:rsidRDefault="000D1AEA" w:rsidP="000D1AEA">
      <w:pPr>
        <w:pStyle w:val="af2"/>
        <w:tabs>
          <w:tab w:val="center" w:pos="4201"/>
          <w:tab w:val="right" w:leader="dot" w:pos="9298"/>
        </w:tabs>
        <w:spacing w:line="15" w:lineRule="auto"/>
        <w:ind w:firstLine="420"/>
        <w:rPr>
          <w:rFonts w:hAnsi="宋体" w:cs="宋体"/>
          <w:szCs w:val="21"/>
        </w:rPr>
      </w:pPr>
      <w:r w:rsidRPr="00D922BF">
        <w:rPr>
          <w:rFonts w:hAnsi="宋体" w:cs="宋体"/>
          <w:szCs w:val="21"/>
        </w:rPr>
        <w:t>6.4.4</w:t>
      </w:r>
      <w:r w:rsidRPr="00D922BF">
        <w:rPr>
          <w:rFonts w:hAnsi="宋体" w:cs="宋体" w:hint="eastAsia"/>
          <w:szCs w:val="21"/>
        </w:rPr>
        <w:t>.1 评价可由第一方、第二方或第三方组织实施。当评价结果用于对外宣告时，应由独立于工厂、具备相应能力的第三方组织实施。</w:t>
      </w:r>
    </w:p>
    <w:p w14:paraId="00EC723F" w14:textId="48A0D41D" w:rsidR="000D1AEA" w:rsidRPr="00D922BF" w:rsidRDefault="000D1AEA" w:rsidP="000D1AEA">
      <w:pPr>
        <w:pStyle w:val="af2"/>
        <w:tabs>
          <w:tab w:val="center" w:pos="4201"/>
          <w:tab w:val="right" w:leader="dot" w:pos="9298"/>
        </w:tabs>
        <w:spacing w:line="15" w:lineRule="auto"/>
        <w:ind w:firstLine="420"/>
        <w:rPr>
          <w:rFonts w:hAnsi="宋体" w:cs="宋体"/>
          <w:szCs w:val="21"/>
        </w:rPr>
      </w:pPr>
      <w:r w:rsidRPr="00D922BF">
        <w:rPr>
          <w:rFonts w:hAnsi="宋体" w:cs="宋体"/>
          <w:szCs w:val="21"/>
        </w:rPr>
        <w:t>6.4.</w:t>
      </w:r>
      <w:r w:rsidRPr="00D922BF">
        <w:rPr>
          <w:rFonts w:hAnsi="宋体" w:cs="宋体" w:hint="eastAsia"/>
          <w:szCs w:val="21"/>
        </w:rPr>
        <w:t>4.2 实施评价的组织应根据锡及锡合金生产绿色工厂评价指标表查看受评工厂的报告、统计报表、原始记录、声明文件、分析测试报告、相关第三方认证证书等支持性文件；并根据实际情况，通过对相关人员的座谈、实地调查、抽样调查等方式收集评价证据，并对评价证据进行分析，确保受评工厂的评价结果对相关指标要求的符合性证据充分、完整、准确。</w:t>
      </w:r>
    </w:p>
    <w:p w14:paraId="62B608B2" w14:textId="3617F7D5" w:rsidR="00B50C5D" w:rsidRPr="00D922BF" w:rsidRDefault="000D1AEA" w:rsidP="000D1AEA">
      <w:pPr>
        <w:pStyle w:val="af2"/>
        <w:tabs>
          <w:tab w:val="center" w:pos="4201"/>
          <w:tab w:val="right" w:leader="dot" w:pos="9298"/>
        </w:tabs>
        <w:spacing w:line="15" w:lineRule="auto"/>
        <w:ind w:firstLine="420"/>
        <w:rPr>
          <w:rFonts w:hAnsi="宋体" w:cs="宋体"/>
          <w:szCs w:val="21"/>
        </w:rPr>
      </w:pPr>
      <w:r w:rsidRPr="00D922BF">
        <w:rPr>
          <w:rFonts w:hAnsi="宋体" w:cs="宋体"/>
          <w:szCs w:val="21"/>
        </w:rPr>
        <w:t>6.4.</w:t>
      </w:r>
      <w:r w:rsidRPr="00D922BF">
        <w:rPr>
          <w:rFonts w:hAnsi="宋体" w:cs="宋体" w:hint="eastAsia"/>
          <w:szCs w:val="21"/>
        </w:rPr>
        <w:t>4.3 评价采用指标加权综合评分的方式，各指标加权综合评分的总分为100分。锡及锡合金生产绿色工厂评价指标表见附录A。</w:t>
      </w:r>
    </w:p>
    <w:p w14:paraId="7C787D7C" w14:textId="77777777" w:rsidR="00B50C5D" w:rsidRDefault="00FA0E9F">
      <w:pPr>
        <w:spacing w:line="360" w:lineRule="auto"/>
        <w:rPr>
          <w:rFonts w:ascii="宋体" w:hAnsi="宋体" w:cs="宋体"/>
          <w:b/>
          <w:szCs w:val="21"/>
        </w:rPr>
      </w:pPr>
      <w:r>
        <w:rPr>
          <w:rFonts w:ascii="宋体" w:hAnsi="宋体" w:cs="宋体" w:hint="eastAsia"/>
          <w:b/>
          <w:szCs w:val="21"/>
        </w:rPr>
        <w:t>6.5  评价指标及要求</w:t>
      </w:r>
    </w:p>
    <w:p w14:paraId="357302AC" w14:textId="77777777" w:rsidR="00B50C5D" w:rsidRDefault="00FA0E9F">
      <w:pPr>
        <w:spacing w:line="360" w:lineRule="auto"/>
        <w:ind w:left="15" w:firstLineChars="200" w:firstLine="420"/>
        <w:rPr>
          <w:rFonts w:ascii="宋体" w:hAnsi="宋体" w:cs="宋体"/>
          <w:szCs w:val="21"/>
        </w:rPr>
      </w:pPr>
      <w:r>
        <w:rPr>
          <w:rFonts w:ascii="宋体" w:hAnsi="宋体" w:cs="宋体" w:hint="eastAsia"/>
          <w:szCs w:val="21"/>
        </w:rPr>
        <w:t>评价要求是标准的核心内容。本章内容规定了锡及锡合金绿色工厂评价具体的评价指标要求。主要包括基本要求（合规性要求、管理职责要求）和工厂管理要求（基础设施、管理体系、能源与资源投入、产品、环境排放）以及绩效核算。</w:t>
      </w:r>
    </w:p>
    <w:p w14:paraId="183A4772" w14:textId="77777777" w:rsidR="00B50C5D" w:rsidRDefault="00FA0E9F">
      <w:pPr>
        <w:spacing w:line="360" w:lineRule="auto"/>
        <w:rPr>
          <w:rFonts w:ascii="宋体" w:hAnsi="宋体" w:cs="宋体"/>
          <w:b/>
          <w:szCs w:val="21"/>
        </w:rPr>
      </w:pPr>
      <w:r>
        <w:rPr>
          <w:rFonts w:ascii="宋体" w:hAnsi="宋体" w:cs="宋体" w:hint="eastAsia"/>
          <w:b/>
          <w:szCs w:val="21"/>
        </w:rPr>
        <w:t>6.5.1基本要求</w:t>
      </w:r>
    </w:p>
    <w:p w14:paraId="0ED3946B" w14:textId="77777777" w:rsidR="00B50C5D" w:rsidRDefault="00FA0E9F">
      <w:pPr>
        <w:spacing w:line="360" w:lineRule="auto"/>
        <w:outlineLvl w:val="0"/>
        <w:rPr>
          <w:rFonts w:ascii="宋体" w:hAnsi="宋体" w:cs="宋体"/>
          <w:szCs w:val="21"/>
        </w:rPr>
      </w:pPr>
      <w:bookmarkStart w:id="9" w:name="_Toc491581459"/>
      <w:bookmarkStart w:id="10" w:name="_Toc46929927"/>
      <w:bookmarkStart w:id="11" w:name="_Toc497209988"/>
      <w:r>
        <w:rPr>
          <w:rFonts w:ascii="宋体" w:hAnsi="宋体" w:cs="宋体" w:hint="eastAsia"/>
          <w:szCs w:val="21"/>
        </w:rPr>
        <w:t>6.5.1.1  合规性与相关方要求</w:t>
      </w:r>
      <w:bookmarkEnd w:id="9"/>
      <w:bookmarkEnd w:id="10"/>
      <w:bookmarkEnd w:id="11"/>
      <w:r>
        <w:rPr>
          <w:rFonts w:ascii="宋体" w:hAnsi="宋体" w:cs="宋体" w:hint="eastAsia"/>
          <w:szCs w:val="21"/>
        </w:rPr>
        <w:t xml:space="preserve">  </w:t>
      </w:r>
    </w:p>
    <w:p w14:paraId="65F18298" w14:textId="77777777" w:rsidR="00B50C5D" w:rsidRDefault="00FA0E9F">
      <w:pPr>
        <w:spacing w:line="360" w:lineRule="auto"/>
        <w:rPr>
          <w:rFonts w:ascii="宋体" w:hAnsi="宋体" w:cs="宋体"/>
          <w:szCs w:val="21"/>
        </w:rPr>
      </w:pPr>
      <w:r>
        <w:rPr>
          <w:rFonts w:ascii="宋体" w:hAnsi="宋体" w:cs="宋体" w:hint="eastAsia"/>
          <w:bCs/>
          <w:szCs w:val="21"/>
        </w:rPr>
        <w:t>6.5.1.1.1</w:t>
      </w:r>
      <w:r>
        <w:rPr>
          <w:rFonts w:ascii="宋体" w:hAnsi="宋体" w:cs="宋体" w:hint="eastAsia"/>
          <w:szCs w:val="21"/>
        </w:rPr>
        <w:t xml:space="preserve"> 工厂应依法设立，在建设、实际生产和运营过程中应遵守国家、行业以及地方的现行法律、法规、政策、标准及其他要求，工厂应至少运行一年以上。</w:t>
      </w:r>
    </w:p>
    <w:p w14:paraId="7D2BE41F" w14:textId="77777777" w:rsidR="00B50C5D" w:rsidRDefault="00FA0E9F">
      <w:pPr>
        <w:spacing w:line="360" w:lineRule="auto"/>
        <w:rPr>
          <w:rFonts w:ascii="宋体" w:hAnsi="宋体" w:cs="宋体"/>
          <w:szCs w:val="21"/>
        </w:rPr>
      </w:pPr>
      <w:r>
        <w:rPr>
          <w:rFonts w:ascii="宋体" w:hAnsi="宋体" w:cs="宋体" w:hint="eastAsia"/>
          <w:bCs/>
          <w:szCs w:val="21"/>
        </w:rPr>
        <w:t xml:space="preserve">6.5.1.1.2 </w:t>
      </w:r>
      <w:r>
        <w:rPr>
          <w:rFonts w:ascii="宋体" w:hAnsi="宋体" w:cs="宋体" w:hint="eastAsia"/>
          <w:szCs w:val="21"/>
        </w:rPr>
        <w:t>工厂应具有良好信用，近三年（含成立不足三年）无严重违法失信、经营异常记录。</w:t>
      </w:r>
    </w:p>
    <w:p w14:paraId="17DB707A" w14:textId="77777777" w:rsidR="00B50C5D" w:rsidRDefault="00FA0E9F">
      <w:pPr>
        <w:spacing w:line="360" w:lineRule="auto"/>
        <w:rPr>
          <w:rFonts w:ascii="宋体" w:hAnsi="宋体" w:cs="宋体"/>
          <w:szCs w:val="21"/>
        </w:rPr>
      </w:pPr>
      <w:r>
        <w:rPr>
          <w:rFonts w:ascii="宋体" w:hAnsi="宋体" w:cs="宋体" w:hint="eastAsia"/>
          <w:bCs/>
          <w:szCs w:val="21"/>
        </w:rPr>
        <w:t xml:space="preserve">6.5.1.1.3 </w:t>
      </w:r>
      <w:r>
        <w:rPr>
          <w:rFonts w:ascii="宋体" w:hAnsi="宋体" w:cs="宋体" w:hint="eastAsia"/>
          <w:szCs w:val="21"/>
        </w:rPr>
        <w:t>工厂近三年（含成立不足三年）应未发生较大环境污染事件、生态破坏事件、安全质量事故。</w:t>
      </w:r>
    </w:p>
    <w:p w14:paraId="5876AB7F" w14:textId="77777777" w:rsidR="00B50C5D" w:rsidRDefault="00FA0E9F">
      <w:pPr>
        <w:spacing w:line="360" w:lineRule="auto"/>
        <w:rPr>
          <w:rFonts w:ascii="宋体" w:hAnsi="宋体" w:cs="宋体"/>
          <w:szCs w:val="21"/>
        </w:rPr>
      </w:pPr>
      <w:r>
        <w:rPr>
          <w:rFonts w:ascii="宋体" w:hAnsi="宋体" w:cs="宋体" w:hint="eastAsia"/>
          <w:bCs/>
          <w:szCs w:val="21"/>
        </w:rPr>
        <w:t xml:space="preserve">6.5.1.1.5 </w:t>
      </w:r>
      <w:r>
        <w:rPr>
          <w:rFonts w:ascii="宋体" w:hAnsi="宋体" w:cs="宋体" w:hint="eastAsia"/>
          <w:szCs w:val="21"/>
        </w:rPr>
        <w:t>对利益相关方的环境做出承诺的，应同时满足有关承诺要求。</w:t>
      </w:r>
    </w:p>
    <w:p w14:paraId="5B9E034C" w14:textId="77777777" w:rsidR="00B50C5D" w:rsidRDefault="00FA0E9F">
      <w:pPr>
        <w:spacing w:line="360" w:lineRule="auto"/>
        <w:ind w:left="15" w:firstLineChars="200" w:firstLine="420"/>
        <w:rPr>
          <w:rFonts w:ascii="宋体" w:hAnsi="宋体" w:cs="宋体"/>
          <w:szCs w:val="21"/>
        </w:rPr>
      </w:pPr>
      <w:r>
        <w:rPr>
          <w:rFonts w:ascii="宋体" w:hAnsi="宋体" w:cs="宋体" w:hint="eastAsia"/>
          <w:szCs w:val="21"/>
        </w:rPr>
        <w:t>基本要求是锡及锡合金进行绿色工厂评价需要达到的最低要求，因此无分值体现，合规性要求从符合法律法规、产业政策、无事故证明、污染物达标排放、能源消耗、企业信用、三同时制度等方面对工厂进行了规定。从工厂依法设立、合法合规的角度评价工厂的经营合规性，如企业营业执照、近三年无违法、经营异常和行政处罚记录等。从近三年无较大及以上安全、环保、质量等事故的角度评价工厂的环保、安全、质量的合规性。</w:t>
      </w:r>
    </w:p>
    <w:p w14:paraId="57F1647B" w14:textId="77777777" w:rsidR="00B50C5D" w:rsidRDefault="00FA0E9F">
      <w:pPr>
        <w:spacing w:line="360" w:lineRule="auto"/>
        <w:ind w:left="15" w:firstLineChars="200" w:firstLine="420"/>
        <w:rPr>
          <w:rFonts w:ascii="宋体" w:hAnsi="宋体" w:cs="宋体"/>
          <w:szCs w:val="21"/>
        </w:rPr>
      </w:pPr>
      <w:r>
        <w:rPr>
          <w:rFonts w:ascii="宋体" w:hAnsi="宋体" w:cs="宋体" w:hint="eastAsia"/>
          <w:szCs w:val="21"/>
        </w:rPr>
        <w:t>根据《中华人民共和国环境保护法》、《中华人民共和国环境影响评价法》、《建设项目环境保护管理条例》、《建设项目竣工环境保护验收暂行办法》、《排污许可管理办法（试行）》等相关环保法律法规，锡及锡合金工厂需要执行安全、环保“三同时”制度、环境影响评价制度、排污许可制度。根据《中华人民共和国清洁生产促进法》企业需按要求开展清洁生产审核，且应满足相关锡及锡合金工厂的规范条件。</w:t>
      </w:r>
    </w:p>
    <w:p w14:paraId="62A8B5C6" w14:textId="77777777" w:rsidR="00B50C5D" w:rsidRDefault="00FA0E9F">
      <w:pPr>
        <w:spacing w:line="360" w:lineRule="auto"/>
        <w:ind w:left="15" w:firstLineChars="200" w:firstLine="420"/>
        <w:rPr>
          <w:rFonts w:ascii="宋体" w:hAnsi="宋体" w:cs="宋体"/>
          <w:szCs w:val="21"/>
        </w:rPr>
      </w:pPr>
      <w:r>
        <w:rPr>
          <w:rFonts w:ascii="宋体" w:hAnsi="宋体" w:cs="宋体" w:hint="eastAsia"/>
          <w:szCs w:val="21"/>
        </w:rPr>
        <w:lastRenderedPageBreak/>
        <w:t>相关方是指可影响绿色工厂创建的决策或活动、受绿色工厂创建的决策或活动所影响、或自认为受绿色工厂创建的决策或活动影响的个人或组织。</w:t>
      </w:r>
    </w:p>
    <w:p w14:paraId="7D5246C4" w14:textId="77777777" w:rsidR="00B50C5D" w:rsidRDefault="00FA0E9F">
      <w:pPr>
        <w:spacing w:line="360" w:lineRule="auto"/>
        <w:ind w:left="15" w:firstLineChars="200" w:firstLine="420"/>
        <w:rPr>
          <w:rFonts w:ascii="宋体" w:hAnsi="宋体" w:cs="宋体"/>
          <w:szCs w:val="21"/>
        </w:rPr>
      </w:pPr>
      <w:r>
        <w:rPr>
          <w:rFonts w:ascii="宋体" w:hAnsi="宋体" w:cs="宋体" w:hint="eastAsia"/>
          <w:szCs w:val="21"/>
        </w:rPr>
        <w:t>工厂应满足有相关行业准入条件、产业结构调整指导目录或规范条件。</w:t>
      </w:r>
    </w:p>
    <w:p w14:paraId="5871C53D" w14:textId="77777777" w:rsidR="00B50C5D" w:rsidRDefault="00FA0E9F">
      <w:pPr>
        <w:spacing w:line="360" w:lineRule="auto"/>
        <w:rPr>
          <w:rFonts w:ascii="宋体" w:hAnsi="宋体" w:cs="宋体"/>
          <w:szCs w:val="21"/>
        </w:rPr>
      </w:pPr>
      <w:r>
        <w:rPr>
          <w:rFonts w:ascii="宋体" w:hAnsi="宋体" w:cs="宋体" w:hint="eastAsia"/>
          <w:szCs w:val="21"/>
        </w:rPr>
        <w:t>6.</w:t>
      </w:r>
      <w:bookmarkStart w:id="12" w:name="_Toc491581460"/>
      <w:bookmarkStart w:id="13" w:name="_Toc46929928"/>
      <w:bookmarkStart w:id="14" w:name="_Toc497209989"/>
      <w:r>
        <w:rPr>
          <w:rFonts w:ascii="宋体" w:hAnsi="宋体" w:cs="宋体" w:hint="eastAsia"/>
          <w:szCs w:val="21"/>
        </w:rPr>
        <w:t>5.1.2  管理职责要求</w:t>
      </w:r>
      <w:bookmarkEnd w:id="12"/>
      <w:bookmarkEnd w:id="13"/>
      <w:bookmarkEnd w:id="14"/>
    </w:p>
    <w:p w14:paraId="1FA88EB4" w14:textId="77777777" w:rsidR="00B50C5D" w:rsidRDefault="00FA0E9F">
      <w:pPr>
        <w:spacing w:line="360" w:lineRule="auto"/>
        <w:rPr>
          <w:rFonts w:ascii="宋体" w:hAnsi="宋体" w:cs="宋体"/>
          <w:szCs w:val="21"/>
        </w:rPr>
      </w:pPr>
      <w:r>
        <w:rPr>
          <w:rFonts w:ascii="宋体" w:hAnsi="宋体" w:cs="宋体" w:hint="eastAsia"/>
          <w:szCs w:val="21"/>
        </w:rPr>
        <w:t>6.5.1.2.1 最高管理者应满足GB/T 36132中4.3.1 的要求。</w:t>
      </w:r>
    </w:p>
    <w:p w14:paraId="20774531" w14:textId="77777777" w:rsidR="00B50C5D" w:rsidRDefault="00FA0E9F">
      <w:pPr>
        <w:spacing w:line="360" w:lineRule="auto"/>
        <w:rPr>
          <w:rFonts w:ascii="宋体" w:hAnsi="宋体" w:cs="宋体"/>
          <w:szCs w:val="21"/>
        </w:rPr>
      </w:pPr>
      <w:r>
        <w:rPr>
          <w:rFonts w:ascii="宋体" w:hAnsi="宋体" w:cs="宋体" w:hint="eastAsia"/>
          <w:szCs w:val="21"/>
        </w:rPr>
        <w:t>6.5.1.2.2 生产工厂应满足GB/T 36132中4.3.2的要求。</w:t>
      </w:r>
    </w:p>
    <w:p w14:paraId="1AA62C50" w14:textId="77777777" w:rsidR="00B50C5D" w:rsidRDefault="00FA0E9F">
      <w:pPr>
        <w:spacing w:line="360" w:lineRule="auto"/>
        <w:ind w:left="15" w:firstLineChars="200" w:firstLine="420"/>
        <w:rPr>
          <w:rFonts w:ascii="宋体" w:hAnsi="宋体" w:cs="宋体"/>
          <w:szCs w:val="21"/>
        </w:rPr>
      </w:pPr>
      <w:r>
        <w:rPr>
          <w:rFonts w:ascii="宋体" w:hAnsi="宋体" w:cs="宋体" w:hint="eastAsia"/>
          <w:szCs w:val="21"/>
        </w:rPr>
        <w:t>基础管理职责（包括最高管理者要求和工厂要求）应满足GB/T 36132中4.3的要求，主要从领导作用和承诺、职责和权限、管理组织机构、中长期规划、教育与培训等方面进行了规定。</w:t>
      </w:r>
    </w:p>
    <w:p w14:paraId="73FEC5C9" w14:textId="77777777" w:rsidR="00B50C5D" w:rsidRDefault="00FA0E9F">
      <w:pPr>
        <w:spacing w:line="360" w:lineRule="auto"/>
        <w:rPr>
          <w:rFonts w:ascii="宋体" w:hAnsi="宋体" w:cs="宋体"/>
          <w:b/>
          <w:szCs w:val="21"/>
        </w:rPr>
      </w:pPr>
      <w:r>
        <w:rPr>
          <w:rFonts w:ascii="宋体" w:hAnsi="宋体" w:cs="宋体" w:hint="eastAsia"/>
          <w:b/>
          <w:szCs w:val="21"/>
        </w:rPr>
        <w:t>6.5.2工厂管理要求</w:t>
      </w:r>
    </w:p>
    <w:p w14:paraId="0FF6B03A" w14:textId="77777777" w:rsidR="00B50C5D" w:rsidRDefault="00FA0E9F">
      <w:pPr>
        <w:spacing w:line="360" w:lineRule="auto"/>
        <w:rPr>
          <w:rFonts w:ascii="宋体" w:hAnsi="宋体" w:cs="宋体"/>
          <w:b/>
          <w:szCs w:val="21"/>
        </w:rPr>
      </w:pPr>
      <w:r>
        <w:rPr>
          <w:rFonts w:ascii="宋体" w:hAnsi="宋体" w:cs="宋体" w:hint="eastAsia"/>
          <w:b/>
          <w:szCs w:val="21"/>
        </w:rPr>
        <w:t>6.5.2.1基础设施要求</w:t>
      </w:r>
    </w:p>
    <w:p w14:paraId="05D34C75" w14:textId="77777777" w:rsidR="00B50C5D" w:rsidRDefault="00FA0E9F">
      <w:pPr>
        <w:spacing w:line="360" w:lineRule="auto"/>
        <w:ind w:firstLineChars="200" w:firstLine="420"/>
        <w:rPr>
          <w:rFonts w:ascii="宋体" w:hAnsi="宋体" w:cs="宋体"/>
          <w:szCs w:val="21"/>
        </w:rPr>
      </w:pPr>
      <w:r>
        <w:rPr>
          <w:rFonts w:ascii="宋体" w:hAnsi="宋体" w:cs="宋体" w:hint="eastAsia"/>
          <w:szCs w:val="21"/>
        </w:rPr>
        <w:t>锡及锡合金生产基础设施是绿色工厂的基础，包括建筑、节水、照明以及设备设施，占比10%，即10分。基础设施要求分为必选要求与可选要求，必选要求是工厂必须要满足的，可选要求是工厂努力宜达到的提高性要求，其比例为6:4。</w:t>
      </w:r>
    </w:p>
    <w:p w14:paraId="1628DE80" w14:textId="77777777" w:rsidR="00B50C5D" w:rsidRDefault="00FA0E9F">
      <w:pPr>
        <w:spacing w:line="360" w:lineRule="auto"/>
        <w:rPr>
          <w:rFonts w:ascii="宋体" w:hAnsi="宋体" w:cs="宋体"/>
          <w:bCs/>
          <w:szCs w:val="21"/>
        </w:rPr>
      </w:pPr>
      <w:r>
        <w:rPr>
          <w:rFonts w:ascii="宋体" w:hAnsi="宋体" w:cs="宋体" w:hint="eastAsia"/>
          <w:bCs/>
          <w:szCs w:val="21"/>
        </w:rPr>
        <w:t>6.5.2.1.1建筑</w:t>
      </w:r>
    </w:p>
    <w:p w14:paraId="38EC9E9B" w14:textId="77777777" w:rsidR="00B50C5D" w:rsidRDefault="00FA0E9F">
      <w:pPr>
        <w:spacing w:line="360" w:lineRule="auto"/>
        <w:rPr>
          <w:rFonts w:ascii="宋体" w:hAnsi="宋体" w:cs="宋体"/>
          <w:bCs/>
          <w:szCs w:val="21"/>
        </w:rPr>
      </w:pPr>
      <w:r>
        <w:rPr>
          <w:rFonts w:ascii="宋体" w:hAnsi="宋体" w:cs="宋体" w:hint="eastAsia"/>
          <w:bCs/>
          <w:szCs w:val="21"/>
        </w:rPr>
        <w:t>6.5.2.1.1工厂建筑应满足国家或地方相关法律法规及标准的要求。</w:t>
      </w:r>
    </w:p>
    <w:p w14:paraId="688D6C6F" w14:textId="77777777" w:rsidR="00B50C5D" w:rsidRDefault="00FA0E9F">
      <w:pPr>
        <w:spacing w:line="360" w:lineRule="auto"/>
        <w:rPr>
          <w:rFonts w:ascii="宋体" w:hAnsi="宋体" w:cs="宋体"/>
          <w:bCs/>
          <w:szCs w:val="21"/>
        </w:rPr>
      </w:pPr>
      <w:r>
        <w:rPr>
          <w:rFonts w:ascii="宋体" w:hAnsi="宋体" w:cs="宋体" w:hint="eastAsia"/>
          <w:bCs/>
          <w:szCs w:val="21"/>
        </w:rPr>
        <w:t>6.5.2.1.2新建、改建和扩建建筑时，应遵守国家“固定资产投资项目节能评估审查制度”、 “三同时制度”、 “工业项目建设用地控制指标”等产业政策和有关要求。</w:t>
      </w:r>
    </w:p>
    <w:p w14:paraId="1485CD25" w14:textId="77777777" w:rsidR="00B50C5D" w:rsidRDefault="00FA0E9F">
      <w:pPr>
        <w:spacing w:line="360" w:lineRule="auto"/>
        <w:rPr>
          <w:rFonts w:ascii="宋体" w:hAnsi="宋体" w:cs="宋体"/>
          <w:bCs/>
          <w:szCs w:val="21"/>
        </w:rPr>
      </w:pPr>
      <w:r>
        <w:rPr>
          <w:rFonts w:ascii="宋体" w:hAnsi="宋体" w:cs="宋体" w:hint="eastAsia"/>
          <w:bCs/>
          <w:szCs w:val="21"/>
        </w:rPr>
        <w:t>6.5.2.1.3厂房内部装饰装修材料中醛、苯、氨、氡等有害物质应符合国家和地方法律、标准要求。</w:t>
      </w:r>
    </w:p>
    <w:p w14:paraId="6C1BD0B7" w14:textId="77777777" w:rsidR="00B50C5D" w:rsidRDefault="00FA0E9F">
      <w:pPr>
        <w:spacing w:line="360" w:lineRule="auto"/>
        <w:rPr>
          <w:rFonts w:ascii="宋体" w:hAnsi="宋体" w:cs="宋体"/>
          <w:bCs/>
          <w:szCs w:val="21"/>
        </w:rPr>
      </w:pPr>
      <w:r>
        <w:rPr>
          <w:rFonts w:ascii="宋体" w:hAnsi="宋体" w:cs="宋体" w:hint="eastAsia"/>
          <w:bCs/>
          <w:szCs w:val="21"/>
        </w:rPr>
        <w:t>6..2.1.4危险品仓库、有毒有害操作间、废弃物处理间等产生污染物的房间应独立设置。</w:t>
      </w:r>
    </w:p>
    <w:p w14:paraId="0222F93D" w14:textId="77777777" w:rsidR="00B50C5D" w:rsidRDefault="00FA0E9F">
      <w:pPr>
        <w:spacing w:line="360" w:lineRule="auto"/>
        <w:rPr>
          <w:rFonts w:ascii="宋体" w:hAnsi="宋体" w:cs="宋体"/>
          <w:bCs/>
          <w:szCs w:val="21"/>
        </w:rPr>
      </w:pPr>
      <w:r>
        <w:rPr>
          <w:rFonts w:ascii="宋体" w:hAnsi="宋体" w:cs="宋体" w:hint="eastAsia"/>
          <w:bCs/>
          <w:szCs w:val="21"/>
        </w:rPr>
        <w:t>6.5.2.1.5工厂建筑宜从建筑材料、建筑结构、绿化及场地、水资源及能源利用等方面进行建筑的节材、节能、节水、节地及无害化。</w:t>
      </w:r>
    </w:p>
    <w:p w14:paraId="12C05D46" w14:textId="77777777" w:rsidR="00B50C5D" w:rsidRDefault="00FA0E9F">
      <w:pPr>
        <w:spacing w:line="360" w:lineRule="auto"/>
        <w:ind w:firstLineChars="200" w:firstLine="420"/>
        <w:rPr>
          <w:rFonts w:ascii="宋体" w:hAnsi="宋体" w:cs="宋体"/>
          <w:bCs/>
          <w:szCs w:val="21"/>
        </w:rPr>
      </w:pPr>
      <w:r>
        <w:rPr>
          <w:rFonts w:ascii="宋体" w:hAnsi="宋体" w:cs="宋体" w:hint="eastAsia"/>
          <w:bCs/>
          <w:szCs w:val="21"/>
        </w:rPr>
        <w:t>建筑材料：(1)宜选用蕴能低、高性能、高耐久性和本地建材，减少建材在全生命周期中的能源消耗；(2)室内装饰装修材料宜满足国家标准GB 18580～18588和GB 6566的要求。</w:t>
      </w:r>
    </w:p>
    <w:p w14:paraId="78C6FE2D" w14:textId="77777777" w:rsidR="00B50C5D" w:rsidRDefault="00FA0E9F">
      <w:pPr>
        <w:spacing w:line="360" w:lineRule="auto"/>
        <w:ind w:firstLineChars="200" w:firstLine="420"/>
        <w:rPr>
          <w:rFonts w:ascii="宋体" w:hAnsi="宋体" w:cs="宋体"/>
          <w:bCs/>
          <w:szCs w:val="21"/>
        </w:rPr>
      </w:pPr>
      <w:r>
        <w:rPr>
          <w:rFonts w:ascii="宋体" w:hAnsi="宋体" w:cs="宋体" w:hint="eastAsia"/>
          <w:bCs/>
          <w:szCs w:val="21"/>
        </w:rPr>
        <w:t>建筑结构：宜采用钢结构、砌体结构和木结构等资源消耗和环境影响小的建筑结构体系。</w:t>
      </w:r>
    </w:p>
    <w:p w14:paraId="0511FA97" w14:textId="77777777" w:rsidR="00B50C5D" w:rsidRDefault="00FA0E9F">
      <w:pPr>
        <w:spacing w:line="360" w:lineRule="auto"/>
        <w:ind w:firstLineChars="200" w:firstLine="420"/>
        <w:rPr>
          <w:rFonts w:ascii="宋体" w:hAnsi="宋体" w:cs="宋体"/>
          <w:bCs/>
          <w:szCs w:val="21"/>
        </w:rPr>
      </w:pPr>
      <w:r>
        <w:rPr>
          <w:rFonts w:ascii="宋体" w:hAnsi="宋体" w:cs="宋体" w:hint="eastAsia"/>
          <w:bCs/>
          <w:szCs w:val="21"/>
        </w:rPr>
        <w:t>绿化及场地：(1)厂区绿化适宜，宜优先种植乡土植物，宜用少维护、耐候性强的植物，减少日常维护的费用。(2)室外透水地面面积占室外总面积的比例不小于30％。</w:t>
      </w:r>
    </w:p>
    <w:p w14:paraId="1DC7183F" w14:textId="77777777" w:rsidR="00B50C5D" w:rsidRDefault="00FA0E9F">
      <w:pPr>
        <w:spacing w:line="360" w:lineRule="auto"/>
        <w:ind w:firstLineChars="200" w:firstLine="420"/>
        <w:rPr>
          <w:rFonts w:ascii="宋体" w:hAnsi="宋体" w:cs="宋体"/>
          <w:bCs/>
          <w:szCs w:val="21"/>
        </w:rPr>
      </w:pPr>
      <w:r>
        <w:rPr>
          <w:rFonts w:ascii="宋体" w:hAnsi="宋体" w:cs="宋体" w:hint="eastAsia"/>
          <w:bCs/>
          <w:szCs w:val="21"/>
        </w:rPr>
        <w:t>水资源及能源利用：宜采用节水器具和设备，绿化灌溉采用节水灌溉方式，办公区以及公共浴室采取节水措施。</w:t>
      </w:r>
    </w:p>
    <w:p w14:paraId="79F9F4DC" w14:textId="77777777" w:rsidR="00B50C5D" w:rsidRDefault="00FA0E9F">
      <w:pPr>
        <w:spacing w:line="360" w:lineRule="auto"/>
        <w:ind w:firstLineChars="200" w:firstLine="420"/>
        <w:rPr>
          <w:rFonts w:ascii="宋体" w:hAnsi="宋体" w:cs="宋体"/>
          <w:bCs/>
          <w:szCs w:val="21"/>
        </w:rPr>
      </w:pPr>
      <w:r>
        <w:rPr>
          <w:rFonts w:ascii="宋体" w:hAnsi="宋体" w:cs="宋体" w:hint="eastAsia"/>
          <w:bCs/>
          <w:szCs w:val="21"/>
        </w:rPr>
        <w:t>工厂建筑应满足工厂建筑应满足国家或地方相关法律法规及标准的要求和产业政策，并从建筑材料、建筑结构、绿化及场地、水资源及能源利用等方面进行建筑的节材、节能、节水、节地及无害化进行规定。建筑应采用资源消耗低和环境影响小的建筑装饰装修材料，国家质量监督检验检疫总</w:t>
      </w:r>
      <w:r>
        <w:rPr>
          <w:rFonts w:ascii="宋体" w:hAnsi="宋体" w:cs="宋体" w:hint="eastAsia"/>
          <w:bCs/>
          <w:szCs w:val="21"/>
        </w:rPr>
        <w:lastRenderedPageBreak/>
        <w:t>局和国家标准化管理委员会发布了《室内装饰装修材料人造板及其制品中甲醛释放限量》等九项建筑材料有害物质限量的标准（GB18580～GB18588）和《建筑材料放射性核素限量标准》GB6566等标准，对各类建筑材料应满足的技术要求和性能参数进行规定；工厂宜采用钢结构建筑和金属建材、生物质建材、节能门窗、新型墙体和节能保温材料等绿色建材和本地建材，在满足生产需要的前提下优化围护结构热工性能、外窗气密性等阐述，降低厂房内部能耗；厂区应绿化适宜，优先种植乡土植物，采用少维护、耐候性强的植物；宜多采用节水设备，根据用水场合的不同，合理选用节水水龙头、节水淋浴装置等；适用时厂房应采用联合厂房、多层建筑，以满足节地要求。</w:t>
      </w:r>
    </w:p>
    <w:p w14:paraId="0533A32C" w14:textId="77777777" w:rsidR="00B50C5D" w:rsidRDefault="00FA0E9F">
      <w:pPr>
        <w:spacing w:line="360" w:lineRule="auto"/>
        <w:rPr>
          <w:rFonts w:ascii="宋体" w:hAnsi="宋体" w:cs="宋体"/>
          <w:szCs w:val="21"/>
        </w:rPr>
      </w:pPr>
      <w:r>
        <w:rPr>
          <w:rFonts w:ascii="宋体" w:hAnsi="宋体" w:cs="宋体" w:hint="eastAsia"/>
          <w:szCs w:val="21"/>
        </w:rPr>
        <w:t>6.5.2.2 照明</w:t>
      </w:r>
    </w:p>
    <w:p w14:paraId="29077D38" w14:textId="77777777" w:rsidR="00B50C5D" w:rsidRDefault="00FA0E9F">
      <w:pPr>
        <w:snapToGrid w:val="0"/>
        <w:spacing w:line="300" w:lineRule="auto"/>
        <w:rPr>
          <w:rFonts w:ascii="宋体" w:hAnsi="宋体" w:cs="宋体"/>
          <w:szCs w:val="21"/>
        </w:rPr>
      </w:pPr>
      <w:r>
        <w:rPr>
          <w:rFonts w:ascii="宋体" w:hAnsi="宋体" w:cs="宋体" w:hint="eastAsia"/>
          <w:szCs w:val="21"/>
        </w:rPr>
        <w:t>6.5.2.2.1 厂区的照明应尽量利用自然光或节能灯，人工照明应符合GB 50034的规定。</w:t>
      </w:r>
    </w:p>
    <w:p w14:paraId="1F5B8398" w14:textId="77777777" w:rsidR="00B50C5D" w:rsidRDefault="00FA0E9F">
      <w:pPr>
        <w:snapToGrid w:val="0"/>
        <w:spacing w:line="300" w:lineRule="auto"/>
        <w:rPr>
          <w:rFonts w:ascii="宋体" w:hAnsi="宋体" w:cs="宋体"/>
          <w:szCs w:val="21"/>
        </w:rPr>
      </w:pPr>
      <w:r>
        <w:rPr>
          <w:rFonts w:ascii="宋体" w:hAnsi="宋体" w:cs="宋体" w:hint="eastAsia"/>
          <w:szCs w:val="21"/>
        </w:rPr>
        <w:t>6.5.2.2.2 厂区内大型厂房的照明系统宜采用分区控制方式。</w:t>
      </w:r>
    </w:p>
    <w:p w14:paraId="14D4252E" w14:textId="77777777" w:rsidR="00B50C5D" w:rsidRDefault="00FA0E9F">
      <w:pPr>
        <w:snapToGrid w:val="0"/>
        <w:spacing w:line="300" w:lineRule="auto"/>
        <w:rPr>
          <w:rFonts w:ascii="宋体" w:hAnsi="宋体" w:cs="宋体"/>
          <w:szCs w:val="21"/>
        </w:rPr>
      </w:pPr>
      <w:r>
        <w:rPr>
          <w:rFonts w:ascii="宋体" w:hAnsi="宋体" w:cs="宋体" w:hint="eastAsia"/>
          <w:szCs w:val="21"/>
        </w:rPr>
        <w:t>6.5.2.2.3 工厂内辅助生产和生活福利设施的照明系统宜适当增设照明控制开关，短时有人的场所宜采取节能自熄措施。</w:t>
      </w:r>
    </w:p>
    <w:p w14:paraId="29A309B6" w14:textId="77777777" w:rsidR="00B50C5D" w:rsidRDefault="00FA0E9F">
      <w:pPr>
        <w:snapToGrid w:val="0"/>
        <w:spacing w:line="300" w:lineRule="auto"/>
        <w:ind w:firstLineChars="200" w:firstLine="420"/>
        <w:rPr>
          <w:rFonts w:ascii="宋体" w:hAnsi="宋体" w:cs="宋体"/>
          <w:szCs w:val="21"/>
        </w:rPr>
      </w:pPr>
      <w:r>
        <w:rPr>
          <w:rFonts w:ascii="宋体" w:hAnsi="宋体" w:cs="宋体" w:hint="eastAsia"/>
          <w:szCs w:val="21"/>
        </w:rPr>
        <w:t>工厂应充分利用天然光，优化窗墙面积比、屋顶透明部分面积比，将自然光引入建筑，提高建筑的节能型和舒适性。根据《建筑照明设计标准》GB 50034，照明功率密度值分为现行值和目标值。现行值是根据对国内各类建筑的照明能耗现状、我国建筑照明设计标准以及光源、灯具等照明产品的现有水平并参考国内外有关照明节能标准，经综合分析研究后制定的。而目标值是预测到几年后随着照明科学技术的进步、光源灯具等照明产品能效水平的提高，照明能耗会有一定程度的下降制定的。本标准规定照明应执行GB 50034的照明功率密度目标值。不同的场所应进行分级设计、公共场所的照明应采取分区、分组与定时自动调光灯措施。当室外光线强时，室内的人工照明应按人工照明的照度标准自动关闭部分灯具。这种根据室内照度和使用要求，自动调节人工光源的开关，可较好地节能。有条件时，可考虑采用智能照明系统，如路灯采用光敏探测及时钟控制技术，可根据自然光强及时间自动开关照明灯具。强调工艺适用时，节能型照明设备占比不应低于50%。</w:t>
      </w:r>
    </w:p>
    <w:p w14:paraId="6EB86734" w14:textId="77777777" w:rsidR="00B50C5D" w:rsidRDefault="00FA0E9F">
      <w:pPr>
        <w:spacing w:line="300" w:lineRule="auto"/>
        <w:rPr>
          <w:rFonts w:ascii="宋体" w:hAnsi="宋体" w:cs="宋体"/>
          <w:szCs w:val="21"/>
        </w:rPr>
      </w:pPr>
      <w:r>
        <w:rPr>
          <w:rFonts w:ascii="宋体" w:hAnsi="宋体" w:cs="宋体" w:hint="eastAsia"/>
          <w:szCs w:val="21"/>
        </w:rPr>
        <w:t>6.5.2.3  设备设施</w:t>
      </w:r>
    </w:p>
    <w:p w14:paraId="335C18CC" w14:textId="77777777" w:rsidR="00B50C5D" w:rsidRDefault="00FA0E9F">
      <w:pPr>
        <w:spacing w:line="360" w:lineRule="auto"/>
        <w:ind w:firstLineChars="200" w:firstLine="420"/>
        <w:rPr>
          <w:rFonts w:ascii="宋体" w:hAnsi="宋体" w:cs="宋体"/>
          <w:szCs w:val="21"/>
        </w:rPr>
      </w:pPr>
      <w:r>
        <w:rPr>
          <w:rFonts w:ascii="宋体" w:hAnsi="宋体" w:cs="宋体" w:hint="eastAsia"/>
          <w:szCs w:val="21"/>
        </w:rPr>
        <w:t>本标准对专用设备、通用设备、计量设备、污染物处理设施、其他设备设施、标识规定如下：</w:t>
      </w:r>
    </w:p>
    <w:p w14:paraId="6F301AF4" w14:textId="77777777" w:rsidR="00B50C5D" w:rsidRDefault="00FA0E9F">
      <w:pPr>
        <w:spacing w:line="360" w:lineRule="auto"/>
        <w:rPr>
          <w:rFonts w:ascii="宋体" w:hAnsi="宋体" w:cs="宋体"/>
          <w:szCs w:val="21"/>
        </w:rPr>
      </w:pPr>
      <w:r>
        <w:rPr>
          <w:rFonts w:ascii="宋体" w:hAnsi="宋体" w:cs="宋体" w:hint="eastAsia"/>
          <w:szCs w:val="21"/>
        </w:rPr>
        <w:t>6.5.2.3.1 工厂设备设施应按照生产效率高、能源与资源消耗低、污染物排放少的原则来选用。</w:t>
      </w:r>
    </w:p>
    <w:p w14:paraId="23870278" w14:textId="77777777" w:rsidR="00B50C5D" w:rsidRDefault="00FA0E9F">
      <w:pPr>
        <w:spacing w:line="360" w:lineRule="auto"/>
        <w:rPr>
          <w:rFonts w:ascii="宋体" w:hAnsi="宋体" w:cs="宋体"/>
          <w:szCs w:val="21"/>
        </w:rPr>
      </w:pPr>
      <w:r>
        <w:rPr>
          <w:rFonts w:ascii="宋体" w:hAnsi="宋体" w:cs="宋体" w:hint="eastAsia"/>
          <w:szCs w:val="21"/>
        </w:rPr>
        <w:t>6.5.2.3.2 锡及锡合金生产工厂应鼓励采用先进适用的清洁生产技术工艺。</w:t>
      </w:r>
    </w:p>
    <w:p w14:paraId="0D768AF1" w14:textId="77777777" w:rsidR="00B50C5D" w:rsidRDefault="00FA0E9F">
      <w:pPr>
        <w:spacing w:line="360" w:lineRule="auto"/>
        <w:rPr>
          <w:rFonts w:ascii="宋体" w:hAnsi="宋体" w:cs="宋体"/>
          <w:szCs w:val="21"/>
        </w:rPr>
      </w:pPr>
      <w:r>
        <w:rPr>
          <w:rFonts w:ascii="宋体" w:hAnsi="宋体" w:cs="宋体" w:hint="eastAsia"/>
          <w:szCs w:val="21"/>
        </w:rPr>
        <w:t>6.5.2.3.3 锡及锡合金生产工厂应限期淘汰更新已明令禁止生产、使用和能耗高、效率低的设备。</w:t>
      </w:r>
    </w:p>
    <w:p w14:paraId="17BCEEC2" w14:textId="77777777" w:rsidR="00B50C5D" w:rsidRDefault="00FA0E9F">
      <w:pPr>
        <w:spacing w:line="360" w:lineRule="auto"/>
        <w:rPr>
          <w:rFonts w:ascii="宋体" w:hAnsi="宋体" w:cs="宋体"/>
          <w:szCs w:val="21"/>
        </w:rPr>
      </w:pPr>
      <w:r>
        <w:rPr>
          <w:rFonts w:ascii="宋体" w:hAnsi="宋体" w:cs="宋体" w:hint="eastAsia"/>
          <w:szCs w:val="21"/>
        </w:rPr>
        <w:t>6.5.2.3.4 工厂通用设备如压缩机、电动机、变压器、离心泵、通风机、空调机、冷水机组等应达到GB18613、GB19153、GB/T19576、GB19577、GB19761、GB19762、GB20052、GB21454、GB24500、GB24790等标准中能效限定值的强制性要求。</w:t>
      </w:r>
    </w:p>
    <w:p w14:paraId="46204C96" w14:textId="77777777" w:rsidR="00B50C5D" w:rsidRDefault="00FA0E9F">
      <w:pPr>
        <w:spacing w:line="360" w:lineRule="auto"/>
        <w:rPr>
          <w:rFonts w:ascii="宋体" w:hAnsi="宋体" w:cs="宋体"/>
          <w:szCs w:val="21"/>
        </w:rPr>
      </w:pPr>
      <w:r>
        <w:rPr>
          <w:rFonts w:ascii="宋体" w:hAnsi="宋体" w:cs="宋体" w:hint="eastAsia"/>
          <w:szCs w:val="21"/>
        </w:rPr>
        <w:t>6.5.2.3.5 工厂通用设备或其系统的实际运行效率或主要运行参数应符合该设备经济运行的要求。</w:t>
      </w:r>
    </w:p>
    <w:p w14:paraId="6026F49A" w14:textId="77777777" w:rsidR="00B50C5D" w:rsidRDefault="00FA0E9F">
      <w:pPr>
        <w:spacing w:line="360" w:lineRule="auto"/>
        <w:rPr>
          <w:rFonts w:ascii="宋体" w:hAnsi="宋体" w:cs="宋体"/>
          <w:szCs w:val="21"/>
        </w:rPr>
      </w:pPr>
      <w:r>
        <w:rPr>
          <w:rFonts w:ascii="宋体" w:hAnsi="宋体" w:cs="宋体" w:hint="eastAsia"/>
          <w:szCs w:val="21"/>
        </w:rPr>
        <w:t>6.5.2.3.6 工厂应依据GB17167、GB24789等要求配备、使用和管理能源、水以及其他资源的计量器具和装置。</w:t>
      </w:r>
    </w:p>
    <w:p w14:paraId="5182972E" w14:textId="77777777" w:rsidR="00B50C5D" w:rsidRDefault="00FA0E9F">
      <w:pPr>
        <w:spacing w:line="360" w:lineRule="auto"/>
        <w:rPr>
          <w:rFonts w:ascii="宋体" w:hAnsi="宋体" w:cs="宋体"/>
          <w:szCs w:val="21"/>
        </w:rPr>
      </w:pPr>
      <w:r>
        <w:rPr>
          <w:rFonts w:ascii="宋体" w:hAnsi="宋体" w:cs="宋体" w:hint="eastAsia"/>
          <w:szCs w:val="21"/>
        </w:rPr>
        <w:t>6.5.2.3.7 工厂进出用能单位、进出主要次级用能单位、主要用能设备计量器具配备率应满足GB/T 20902要求。</w:t>
      </w:r>
    </w:p>
    <w:p w14:paraId="19EE9462" w14:textId="77777777" w:rsidR="00B50C5D" w:rsidRDefault="00FA0E9F">
      <w:pPr>
        <w:spacing w:line="360" w:lineRule="auto"/>
        <w:rPr>
          <w:rFonts w:ascii="宋体" w:hAnsi="宋体" w:cs="宋体"/>
          <w:szCs w:val="21"/>
        </w:rPr>
      </w:pPr>
      <w:r>
        <w:rPr>
          <w:rFonts w:ascii="宋体" w:hAnsi="宋体" w:cs="宋体" w:hint="eastAsia"/>
          <w:szCs w:val="21"/>
        </w:rPr>
        <w:lastRenderedPageBreak/>
        <w:t>6.5.2.3.8 工厂能源及资源使用的类型不同时，应进行分类计量。工厂若具有以下设备，需满足分类计量的要求：（1）照明系统；（2）冷水机组、相关用能设备的能耗计量和控制；（3）室内用水、室外用水；（4）空气处理设备的流量和压力计量；（5）锅炉；（6）冷却塔。</w:t>
      </w:r>
    </w:p>
    <w:p w14:paraId="70BF30D1" w14:textId="77777777" w:rsidR="00B50C5D" w:rsidRDefault="00FA0E9F">
      <w:pPr>
        <w:spacing w:line="360" w:lineRule="auto"/>
        <w:rPr>
          <w:rFonts w:ascii="宋体" w:hAnsi="宋体" w:cs="宋体"/>
          <w:szCs w:val="21"/>
        </w:rPr>
      </w:pPr>
      <w:r>
        <w:rPr>
          <w:rFonts w:ascii="宋体" w:hAnsi="宋体" w:cs="宋体" w:hint="eastAsia"/>
          <w:szCs w:val="21"/>
        </w:rPr>
        <w:t>6.5.2.3.9 工厂应配置节能、污染物处理等设施，并满足相关法律法规及标准等要求。</w:t>
      </w:r>
    </w:p>
    <w:p w14:paraId="71C0AB1F" w14:textId="77777777" w:rsidR="00B50C5D" w:rsidRDefault="00FA0E9F">
      <w:pPr>
        <w:spacing w:line="360" w:lineRule="auto"/>
        <w:rPr>
          <w:rFonts w:ascii="宋体" w:hAnsi="宋体" w:cs="宋体"/>
          <w:szCs w:val="21"/>
        </w:rPr>
      </w:pPr>
      <w:r>
        <w:rPr>
          <w:rFonts w:ascii="宋体" w:hAnsi="宋体" w:cs="宋体" w:hint="eastAsia"/>
          <w:szCs w:val="21"/>
        </w:rPr>
        <w:t>6.5.2.3.10 工厂宜开展智能工厂建设。建立锡及锡合金生产绿色工厂大数据平台，广泛应用自动化智能装备，实现智能化管理、智能化调度、数字化点检和设备在线智能诊断。</w:t>
      </w:r>
    </w:p>
    <w:p w14:paraId="0771C55E" w14:textId="77777777" w:rsidR="00B50C5D" w:rsidRDefault="00FA0E9F">
      <w:pPr>
        <w:spacing w:line="360" w:lineRule="auto"/>
        <w:rPr>
          <w:rFonts w:ascii="宋体" w:hAnsi="宋体" w:cs="宋体"/>
          <w:szCs w:val="21"/>
        </w:rPr>
      </w:pPr>
      <w:r>
        <w:rPr>
          <w:rFonts w:ascii="宋体" w:hAnsi="宋体" w:cs="宋体" w:hint="eastAsia"/>
          <w:szCs w:val="21"/>
        </w:rPr>
        <w:t>6.5.2.4标识。工厂在生产区应按照工业车间安全标志规范设置操作指示牌、说明牌、线路示意图牌等标牌；在道路交叉口、生产车间等需警示安全的区域应设置安全标志。环保、节能等有明确标识要求的应按照有关标准规范执行。</w:t>
      </w:r>
    </w:p>
    <w:p w14:paraId="32AD596D" w14:textId="77777777" w:rsidR="00B50C5D" w:rsidRDefault="00FA0E9F">
      <w:pPr>
        <w:spacing w:line="360" w:lineRule="auto"/>
        <w:ind w:firstLineChars="200" w:firstLine="420"/>
        <w:rPr>
          <w:rFonts w:ascii="宋体" w:hAnsi="宋体" w:cs="宋体"/>
          <w:szCs w:val="21"/>
        </w:rPr>
      </w:pPr>
      <w:r>
        <w:rPr>
          <w:rFonts w:ascii="宋体" w:hAnsi="宋体" w:cs="宋体" w:hint="eastAsia"/>
          <w:szCs w:val="21"/>
        </w:rPr>
        <w:t>设备设施分为专用设备、通用设备、计量设备以及其他设施。工厂应满足国家相关标准规定，对国家明令淘汰的生产工艺、设备及产能进行识别并避免采购，包括《高耗能落后机电设备（产品）淘汰目录》、《高耗能老旧电信设备淘汰目录》等文件中明令淘汰的生产工艺、设备及产能。对于正在使用的国家明令淘汰的生产工艺、设备及产能，但尚未达到淘汰时间的，应制定明确的淘汰计划。对于计量设备，应覆盖主要的能源、资源消耗设施，工厂需建立起计量体系，计量仪器符合《GB 17167用能单位能源计量器具配备和管理通则》、《RB/T 117能源管理体系 有色金属企业认证要求》等要求，并定期校准。对所有计量结果需建立完善的记录，并进行定期分析，制定和实施改造计划。工厂投入适宜的污染物处理设备，以确保其污染物排放达到相关法律法规及标准要求。污染物处理设备的处理能力与工厂生产排放相适应，工厂应优先采购《国家鼓励发展的重大环保技术装备目录》、《大气污染防治重点工业行业清洁生产技术推行方案》中的技术装备。由于各类设备设施对于工厂同等重要，因此所占分值比例一致。工厂也应该根据6S管理要求和安全环保标识标志要求完善相关标志。</w:t>
      </w:r>
    </w:p>
    <w:p w14:paraId="3F4C7FDE" w14:textId="77777777" w:rsidR="00B50C5D" w:rsidRDefault="00FA0E9F">
      <w:pPr>
        <w:spacing w:line="360" w:lineRule="auto"/>
        <w:rPr>
          <w:rFonts w:ascii="宋体" w:hAnsi="宋体" w:cs="宋体"/>
          <w:bCs/>
          <w:szCs w:val="21"/>
        </w:rPr>
      </w:pPr>
      <w:r>
        <w:rPr>
          <w:rFonts w:ascii="宋体" w:hAnsi="宋体" w:cs="宋体" w:hint="eastAsia"/>
          <w:bCs/>
          <w:szCs w:val="21"/>
        </w:rPr>
        <w:t>6.5.3  管理体系</w:t>
      </w:r>
    </w:p>
    <w:p w14:paraId="74D2363F" w14:textId="77777777" w:rsidR="00B50C5D" w:rsidRDefault="00FA0E9F">
      <w:pPr>
        <w:spacing w:line="360" w:lineRule="auto"/>
        <w:jc w:val="left"/>
        <w:rPr>
          <w:rFonts w:ascii="宋体" w:hAnsi="宋体" w:cs="宋体"/>
          <w:bCs/>
          <w:szCs w:val="21"/>
        </w:rPr>
      </w:pPr>
      <w:r>
        <w:rPr>
          <w:rFonts w:ascii="宋体" w:hAnsi="宋体" w:cs="宋体" w:hint="eastAsia"/>
          <w:bCs/>
          <w:szCs w:val="21"/>
        </w:rPr>
        <w:t>6.5.3.1  质量管理体系</w:t>
      </w:r>
    </w:p>
    <w:p w14:paraId="3F77FD7B" w14:textId="77777777" w:rsidR="00B50C5D" w:rsidRDefault="00FA0E9F">
      <w:pPr>
        <w:spacing w:line="360" w:lineRule="auto"/>
        <w:jc w:val="left"/>
        <w:rPr>
          <w:rFonts w:ascii="宋体" w:hAnsi="宋体" w:cs="宋体"/>
          <w:bCs/>
          <w:szCs w:val="21"/>
        </w:rPr>
      </w:pPr>
      <w:r>
        <w:rPr>
          <w:rFonts w:ascii="宋体" w:hAnsi="宋体" w:cs="宋体" w:hint="eastAsia"/>
          <w:bCs/>
          <w:szCs w:val="21"/>
        </w:rPr>
        <w:t>6.5.3.1.1 工厂应建立、实施并保持满足GB/T19001要求的质量管理体系要求；</w:t>
      </w:r>
    </w:p>
    <w:p w14:paraId="7944356A" w14:textId="77777777" w:rsidR="00B50C5D" w:rsidRDefault="00FA0E9F">
      <w:pPr>
        <w:spacing w:line="360" w:lineRule="auto"/>
        <w:jc w:val="left"/>
        <w:rPr>
          <w:rFonts w:ascii="宋体" w:hAnsi="宋体" w:cs="宋体"/>
          <w:bCs/>
          <w:szCs w:val="21"/>
        </w:rPr>
      </w:pPr>
      <w:r>
        <w:rPr>
          <w:rFonts w:ascii="宋体" w:hAnsi="宋体" w:cs="宋体" w:hint="eastAsia"/>
          <w:bCs/>
          <w:szCs w:val="21"/>
        </w:rPr>
        <w:t>6.5.3.1.2 工厂宜通过质量管理体系第三方认证。</w:t>
      </w:r>
    </w:p>
    <w:p w14:paraId="48C22CA0" w14:textId="77777777" w:rsidR="00B50C5D" w:rsidRDefault="00FA0E9F">
      <w:pPr>
        <w:spacing w:line="360" w:lineRule="auto"/>
        <w:jc w:val="left"/>
        <w:rPr>
          <w:rFonts w:ascii="宋体" w:hAnsi="宋体" w:cs="宋体"/>
          <w:bCs/>
          <w:szCs w:val="21"/>
        </w:rPr>
      </w:pPr>
      <w:r>
        <w:rPr>
          <w:rFonts w:ascii="宋体" w:hAnsi="宋体" w:cs="宋体" w:hint="eastAsia"/>
          <w:bCs/>
          <w:szCs w:val="21"/>
        </w:rPr>
        <w:t>6.5.3.2  职业健康安全管理体系</w:t>
      </w:r>
    </w:p>
    <w:p w14:paraId="5C36DF8C" w14:textId="77777777" w:rsidR="00B50C5D" w:rsidRDefault="00FA0E9F">
      <w:pPr>
        <w:spacing w:line="360" w:lineRule="auto"/>
        <w:jc w:val="left"/>
        <w:rPr>
          <w:rFonts w:ascii="宋体" w:hAnsi="宋体" w:cs="宋体"/>
          <w:bCs/>
          <w:szCs w:val="21"/>
        </w:rPr>
      </w:pPr>
      <w:r>
        <w:rPr>
          <w:rFonts w:ascii="宋体" w:hAnsi="宋体" w:cs="宋体" w:hint="eastAsia"/>
          <w:bCs/>
          <w:szCs w:val="21"/>
        </w:rPr>
        <w:t>6.5.3.2.1工厂应建立、实施并保持满足GB/T45001要求的职业健康安全管理体系要求；</w:t>
      </w:r>
    </w:p>
    <w:p w14:paraId="402AED81" w14:textId="77777777" w:rsidR="00B50C5D" w:rsidRDefault="00FA0E9F">
      <w:pPr>
        <w:spacing w:line="360" w:lineRule="auto"/>
        <w:jc w:val="left"/>
        <w:rPr>
          <w:rFonts w:ascii="宋体" w:hAnsi="宋体" w:cs="宋体"/>
          <w:bCs/>
          <w:szCs w:val="21"/>
        </w:rPr>
      </w:pPr>
      <w:r>
        <w:rPr>
          <w:rFonts w:ascii="宋体" w:hAnsi="宋体" w:cs="宋体" w:hint="eastAsia"/>
          <w:bCs/>
          <w:szCs w:val="21"/>
        </w:rPr>
        <w:t>6.5.3.2.2 工厂宜通过职业健康安全管理体系第三方认证。</w:t>
      </w:r>
    </w:p>
    <w:p w14:paraId="49E63A11" w14:textId="77777777" w:rsidR="00B50C5D" w:rsidRDefault="00FA0E9F">
      <w:pPr>
        <w:spacing w:line="360" w:lineRule="auto"/>
        <w:jc w:val="left"/>
        <w:rPr>
          <w:rFonts w:ascii="宋体" w:hAnsi="宋体" w:cs="宋体"/>
          <w:bCs/>
          <w:szCs w:val="21"/>
        </w:rPr>
      </w:pPr>
      <w:r>
        <w:rPr>
          <w:rFonts w:ascii="宋体" w:hAnsi="宋体" w:cs="宋体" w:hint="eastAsia"/>
          <w:bCs/>
          <w:szCs w:val="21"/>
        </w:rPr>
        <w:t>6.5.3.3  环境管理体系</w:t>
      </w:r>
    </w:p>
    <w:p w14:paraId="204E6D9A" w14:textId="77777777" w:rsidR="00B50C5D" w:rsidRDefault="00FA0E9F">
      <w:pPr>
        <w:spacing w:line="360" w:lineRule="auto"/>
        <w:jc w:val="left"/>
        <w:rPr>
          <w:rFonts w:ascii="宋体" w:hAnsi="宋体" w:cs="宋体"/>
          <w:bCs/>
          <w:szCs w:val="21"/>
        </w:rPr>
      </w:pPr>
      <w:r>
        <w:rPr>
          <w:rFonts w:ascii="宋体" w:hAnsi="宋体" w:cs="宋体" w:hint="eastAsia"/>
          <w:bCs/>
          <w:szCs w:val="21"/>
        </w:rPr>
        <w:t>6.5.3.3.1 工厂应建立、实施并保持满足GB/T24001要求的环境管理体系要求；</w:t>
      </w:r>
    </w:p>
    <w:p w14:paraId="7BCF7519" w14:textId="77777777" w:rsidR="00B50C5D" w:rsidRDefault="00FA0E9F">
      <w:pPr>
        <w:spacing w:line="360" w:lineRule="auto"/>
        <w:jc w:val="left"/>
        <w:rPr>
          <w:rFonts w:ascii="宋体" w:hAnsi="宋体" w:cs="宋体"/>
          <w:bCs/>
          <w:szCs w:val="21"/>
        </w:rPr>
      </w:pPr>
      <w:r>
        <w:rPr>
          <w:rFonts w:ascii="宋体" w:hAnsi="宋体" w:cs="宋体" w:hint="eastAsia"/>
          <w:bCs/>
          <w:szCs w:val="21"/>
        </w:rPr>
        <w:t>6.5.3.3.2 工厂宜通过环境管理体系第三方认证。</w:t>
      </w:r>
    </w:p>
    <w:p w14:paraId="60CC3D36" w14:textId="77777777" w:rsidR="00B50C5D" w:rsidRDefault="00FA0E9F">
      <w:pPr>
        <w:spacing w:line="360" w:lineRule="auto"/>
        <w:jc w:val="left"/>
        <w:rPr>
          <w:rFonts w:ascii="宋体" w:hAnsi="宋体" w:cs="宋体"/>
          <w:bCs/>
          <w:szCs w:val="21"/>
        </w:rPr>
      </w:pPr>
      <w:r>
        <w:rPr>
          <w:rFonts w:ascii="宋体" w:hAnsi="宋体" w:cs="宋体" w:hint="eastAsia"/>
          <w:bCs/>
          <w:szCs w:val="21"/>
        </w:rPr>
        <w:lastRenderedPageBreak/>
        <w:t>6.5.3.4  能源管理体系</w:t>
      </w:r>
    </w:p>
    <w:p w14:paraId="165527A5" w14:textId="77777777" w:rsidR="00B50C5D" w:rsidRDefault="00FA0E9F">
      <w:pPr>
        <w:spacing w:line="360" w:lineRule="auto"/>
        <w:jc w:val="left"/>
        <w:rPr>
          <w:rFonts w:ascii="宋体" w:hAnsi="宋体" w:cs="宋体"/>
          <w:bCs/>
          <w:szCs w:val="21"/>
        </w:rPr>
      </w:pPr>
      <w:r>
        <w:rPr>
          <w:rFonts w:ascii="宋体" w:hAnsi="宋体" w:cs="宋体" w:hint="eastAsia"/>
          <w:bCs/>
          <w:szCs w:val="21"/>
        </w:rPr>
        <w:t>6.5.3.4.1 工厂应建立、实施并保持满足GB/T23331要求的能源管理体系要求；</w:t>
      </w:r>
    </w:p>
    <w:p w14:paraId="5BDEB56A" w14:textId="77777777" w:rsidR="00B50C5D" w:rsidRDefault="00FA0E9F">
      <w:pPr>
        <w:spacing w:line="360" w:lineRule="auto"/>
        <w:jc w:val="left"/>
        <w:rPr>
          <w:rFonts w:ascii="宋体" w:hAnsi="宋体" w:cs="宋体"/>
          <w:bCs/>
          <w:szCs w:val="21"/>
        </w:rPr>
      </w:pPr>
      <w:r>
        <w:rPr>
          <w:rFonts w:ascii="宋体" w:hAnsi="宋体" w:cs="宋体" w:hint="eastAsia"/>
          <w:bCs/>
          <w:szCs w:val="21"/>
        </w:rPr>
        <w:t>6.5.3.4.2 工厂宜通过能源管理体系第三方认证，并满足RB/T 117的要求。</w:t>
      </w:r>
    </w:p>
    <w:p w14:paraId="09E2807F" w14:textId="77777777" w:rsidR="00B50C5D" w:rsidRDefault="00FA0E9F">
      <w:pPr>
        <w:spacing w:line="360" w:lineRule="auto"/>
        <w:jc w:val="left"/>
        <w:rPr>
          <w:rFonts w:ascii="宋体" w:hAnsi="宋体" w:cs="宋体"/>
          <w:bCs/>
          <w:szCs w:val="21"/>
        </w:rPr>
      </w:pPr>
      <w:r>
        <w:rPr>
          <w:rFonts w:ascii="宋体" w:hAnsi="宋体" w:cs="宋体" w:hint="eastAsia"/>
          <w:bCs/>
          <w:szCs w:val="21"/>
        </w:rPr>
        <w:t>6.5.3.4.3 工厂宜建立能源管理中心。</w:t>
      </w:r>
    </w:p>
    <w:p w14:paraId="51684B92" w14:textId="77777777" w:rsidR="00B50C5D" w:rsidRDefault="00FA0E9F">
      <w:pPr>
        <w:spacing w:line="360" w:lineRule="auto"/>
        <w:jc w:val="left"/>
        <w:rPr>
          <w:rFonts w:ascii="宋体" w:hAnsi="宋体" w:cs="宋体"/>
          <w:bCs/>
          <w:szCs w:val="21"/>
        </w:rPr>
      </w:pPr>
      <w:r>
        <w:rPr>
          <w:rFonts w:ascii="宋体" w:hAnsi="宋体" w:cs="宋体" w:hint="eastAsia"/>
          <w:bCs/>
          <w:szCs w:val="21"/>
        </w:rPr>
        <w:t>6.5.3.5  社会责任</w:t>
      </w:r>
    </w:p>
    <w:p w14:paraId="29280C2A" w14:textId="77777777" w:rsidR="00B50C5D" w:rsidRDefault="00FA0E9F">
      <w:pPr>
        <w:spacing w:line="360" w:lineRule="auto"/>
        <w:ind w:firstLineChars="200" w:firstLine="420"/>
        <w:jc w:val="left"/>
        <w:rPr>
          <w:rFonts w:ascii="宋体" w:hAnsi="宋体" w:cs="宋体"/>
          <w:bCs/>
          <w:szCs w:val="21"/>
        </w:rPr>
      </w:pPr>
      <w:r>
        <w:rPr>
          <w:rFonts w:ascii="宋体" w:hAnsi="宋体" w:cs="宋体" w:hint="eastAsia"/>
          <w:bCs/>
          <w:szCs w:val="21"/>
        </w:rPr>
        <w:t>工厂宜按照GB/T 36000每年发布社会责任报告，说明履行利益相关方责任的情况，特别是环境社会责任的履行情况，报告公开可获得。</w:t>
      </w:r>
    </w:p>
    <w:p w14:paraId="00675EDC" w14:textId="77777777" w:rsidR="00B50C5D" w:rsidRDefault="00FA0E9F">
      <w:pPr>
        <w:spacing w:line="360" w:lineRule="auto"/>
        <w:jc w:val="left"/>
        <w:rPr>
          <w:rFonts w:ascii="宋体" w:hAnsi="宋体" w:cs="宋体"/>
          <w:bCs/>
          <w:szCs w:val="21"/>
        </w:rPr>
      </w:pPr>
      <w:r>
        <w:rPr>
          <w:rFonts w:ascii="宋体" w:hAnsi="宋体" w:cs="宋体" w:hint="eastAsia"/>
          <w:bCs/>
          <w:szCs w:val="21"/>
        </w:rPr>
        <w:t>6.5.3.6  合规管理体系</w:t>
      </w:r>
    </w:p>
    <w:p w14:paraId="18AEC8DC" w14:textId="77777777" w:rsidR="00B50C5D" w:rsidRDefault="00FA0E9F">
      <w:pPr>
        <w:spacing w:line="360" w:lineRule="auto"/>
        <w:jc w:val="left"/>
        <w:rPr>
          <w:rFonts w:ascii="宋体" w:hAnsi="宋体" w:cs="宋体"/>
          <w:bCs/>
          <w:szCs w:val="21"/>
        </w:rPr>
      </w:pPr>
      <w:r>
        <w:rPr>
          <w:rFonts w:ascii="宋体" w:hAnsi="宋体" w:cs="宋体" w:hint="eastAsia"/>
          <w:bCs/>
          <w:szCs w:val="21"/>
        </w:rPr>
        <w:t>6.5.3.6.1 工厂应建立、实施并保持满足GB/T25770要求的合规管理体系要求。</w:t>
      </w:r>
    </w:p>
    <w:p w14:paraId="045C567A" w14:textId="77777777" w:rsidR="00B50C5D" w:rsidRDefault="00FA0E9F">
      <w:pPr>
        <w:spacing w:line="360" w:lineRule="auto"/>
        <w:jc w:val="left"/>
        <w:rPr>
          <w:rFonts w:ascii="宋体" w:hAnsi="宋体" w:cs="宋体"/>
          <w:bCs/>
          <w:szCs w:val="21"/>
        </w:rPr>
      </w:pPr>
      <w:r>
        <w:rPr>
          <w:rFonts w:ascii="宋体" w:hAnsi="宋体" w:cs="宋体" w:hint="eastAsia"/>
          <w:bCs/>
          <w:szCs w:val="21"/>
        </w:rPr>
        <w:t>6.5.3.6.2 工厂宜通过合规管理体系第三方认证。</w:t>
      </w:r>
    </w:p>
    <w:p w14:paraId="656E2ACA" w14:textId="77777777" w:rsidR="00B50C5D" w:rsidRDefault="00FA0E9F">
      <w:pPr>
        <w:spacing w:line="360" w:lineRule="auto"/>
        <w:ind w:firstLineChars="200" w:firstLine="420"/>
        <w:jc w:val="left"/>
        <w:rPr>
          <w:rFonts w:ascii="宋体" w:hAnsi="宋体" w:cs="宋体"/>
          <w:szCs w:val="21"/>
        </w:rPr>
      </w:pPr>
      <w:r>
        <w:rPr>
          <w:rFonts w:ascii="宋体" w:hAnsi="宋体" w:cs="宋体" w:hint="eastAsia"/>
          <w:szCs w:val="21"/>
        </w:rPr>
        <w:t>本部分内容分别从质量管理体系、职业健康安全管理体系、环境管理体系、能源管理体系以及社会责任等方面进行了规定。管理组织机构和管理体系建设体现了企业对绿色制造体系的重视程度和管理能力，建议占比15%；管理体系要求分为必选要求与可选要求，必选要求是工厂必须达到的基础性要求，可选要求是工厂努力宜达到的提高性要求，具有先进性，其比例为6:4。</w:t>
      </w:r>
    </w:p>
    <w:p w14:paraId="4E6C7AAE" w14:textId="77777777" w:rsidR="00B50C5D" w:rsidRDefault="00FA0E9F">
      <w:pPr>
        <w:spacing w:line="360" w:lineRule="auto"/>
        <w:ind w:firstLineChars="200" w:firstLine="420"/>
        <w:rPr>
          <w:rFonts w:ascii="宋体" w:hAnsi="宋体" w:cs="宋体"/>
          <w:szCs w:val="21"/>
        </w:rPr>
      </w:pPr>
      <w:r>
        <w:rPr>
          <w:rFonts w:ascii="宋体" w:hAnsi="宋体" w:cs="宋体" w:hint="eastAsia"/>
          <w:szCs w:val="21"/>
        </w:rPr>
        <w:t>对于工厂应建立为实现质量目标所必须的、系统的质量管理模式，涵盖顾客需求确定、设计研制、生产、检验、销售、交付的全过程策划、实施、监控、纠正与改进活动的要求，以文件化的方式，成为工厂内部质量管理工作的要求。工厂应建立质量管理体系，满足GB/T 19001的要求，且宜获得第三方认证机构颁发的工厂或工厂所属的组织符合GB/T 19001 要求的认证证书。</w:t>
      </w:r>
    </w:p>
    <w:p w14:paraId="32AB3576" w14:textId="77777777" w:rsidR="00B50C5D" w:rsidRDefault="00FA0E9F">
      <w:pPr>
        <w:spacing w:line="360" w:lineRule="auto"/>
        <w:ind w:firstLineChars="200" w:firstLine="420"/>
        <w:rPr>
          <w:rFonts w:ascii="宋体" w:hAnsi="宋体" w:cs="宋体"/>
          <w:szCs w:val="21"/>
        </w:rPr>
      </w:pPr>
      <w:r>
        <w:rPr>
          <w:rFonts w:ascii="宋体" w:hAnsi="宋体" w:cs="宋体" w:hint="eastAsia"/>
          <w:szCs w:val="21"/>
        </w:rPr>
        <w:t>工厂建立职业健康安全管理体系，旨在使一个组织能够识别评价危险源，并对重大职业健康安全风险制定目标方案，持续改进其绩效。本标准中的所有要求意在纳入任何一个职业健康安全管理体系，其应用程度取决于组织的职业健康安全方针、活动性质、运行的风险与复杂性等因素。工厂应建立职业健康安全管理体系，满足GB/T 28001的要求，且宜获得第三方认证机构颁发的工厂或工厂所属的组织符合GB/T 28001 要求的认证证书。</w:t>
      </w:r>
    </w:p>
    <w:p w14:paraId="6D2EB7F2" w14:textId="77777777" w:rsidR="00B50C5D" w:rsidRDefault="00FA0E9F">
      <w:pPr>
        <w:spacing w:line="360" w:lineRule="auto"/>
        <w:ind w:left="15" w:firstLineChars="200" w:firstLine="420"/>
        <w:rPr>
          <w:rFonts w:ascii="宋体" w:hAnsi="宋体" w:cs="宋体"/>
          <w:szCs w:val="21"/>
        </w:rPr>
      </w:pPr>
      <w:r>
        <w:rPr>
          <w:rFonts w:ascii="宋体" w:hAnsi="宋体" w:cs="宋体" w:hint="eastAsia"/>
          <w:szCs w:val="21"/>
        </w:rPr>
        <w:t>工厂建立环境方针管理体系，旨在指导各类组织实施正确的环境管理行为。通过实施环境管理体系，建立、健全职责明确的组织机构。对能源和资源的利用和污染物的产生等制定环境管理方针，对环境因素进行识别、评价，明确控制指标和目标等。工厂应建立环境管理体系，满足GB/T 24001的要求，且宜获得第三方认证机构颁发的工厂或工厂所属的组织符合GB/T 24001 要求的认证证书。</w:t>
      </w:r>
    </w:p>
    <w:p w14:paraId="3453B514" w14:textId="77777777" w:rsidR="00B50C5D" w:rsidRDefault="00FA0E9F">
      <w:pPr>
        <w:spacing w:line="360" w:lineRule="auto"/>
        <w:ind w:left="15" w:firstLineChars="200" w:firstLine="420"/>
        <w:rPr>
          <w:rFonts w:ascii="宋体" w:hAnsi="宋体" w:cs="宋体"/>
          <w:szCs w:val="21"/>
        </w:rPr>
      </w:pPr>
      <w:r>
        <w:rPr>
          <w:rFonts w:ascii="宋体" w:hAnsi="宋体" w:cs="宋体" w:hint="eastAsia"/>
          <w:szCs w:val="21"/>
        </w:rPr>
        <w:t>工厂建立能源管理体系，包含方针、能源目标、过程和程序以及实现能源绩效目标，旨在指导各组织采用系统的方法来实现能源绩效目标，包括能源利用效率、能源使用和消耗状况的持续改进。标准在5.4.1和5.7.6规定了能源使用和消耗的相关要求，包括测量，文件化和报告、设备、系统、过程的设计和采购，以及对能源绩效有影响的人员。工厂应建立能源管理体系，满足GB/T 23331的</w:t>
      </w:r>
      <w:r>
        <w:rPr>
          <w:rFonts w:ascii="宋体" w:hAnsi="宋体" w:cs="宋体" w:hint="eastAsia"/>
          <w:szCs w:val="21"/>
        </w:rPr>
        <w:lastRenderedPageBreak/>
        <w:t>要求，且宜获得第三方认证机构颁发的工厂或工厂所属的组织符合GB/T 23331 要求的认证证书。</w:t>
      </w:r>
    </w:p>
    <w:p w14:paraId="0A5684FA" w14:textId="77777777" w:rsidR="00B50C5D" w:rsidRDefault="00FA0E9F">
      <w:pPr>
        <w:spacing w:line="360" w:lineRule="auto"/>
        <w:ind w:firstLineChars="200" w:firstLine="420"/>
        <w:rPr>
          <w:rFonts w:ascii="宋体" w:hAnsi="宋体" w:cs="宋体"/>
          <w:szCs w:val="21"/>
        </w:rPr>
      </w:pPr>
      <w:r>
        <w:rPr>
          <w:rFonts w:ascii="宋体" w:hAnsi="宋体" w:cs="宋体" w:hint="eastAsia"/>
          <w:szCs w:val="21"/>
        </w:rPr>
        <w:t>工厂按照GB/T 36000、ISO 26000 或SA 8000的要求编制社会责任报告，发布在网站或通过印刷形式向利益相关方传达，社会责任报告宜可公开获得。</w:t>
      </w:r>
    </w:p>
    <w:p w14:paraId="343833F4" w14:textId="77777777" w:rsidR="00B50C5D" w:rsidRDefault="00FA0E9F">
      <w:pPr>
        <w:spacing w:line="360" w:lineRule="auto"/>
        <w:ind w:firstLineChars="200" w:firstLine="420"/>
        <w:rPr>
          <w:rFonts w:ascii="宋体" w:hAnsi="宋体" w:cs="宋体"/>
          <w:szCs w:val="21"/>
        </w:rPr>
      </w:pPr>
      <w:r>
        <w:rPr>
          <w:rFonts w:ascii="宋体" w:hAnsi="宋体" w:cs="宋体" w:hint="eastAsia"/>
          <w:szCs w:val="21"/>
        </w:rPr>
        <w:t>工厂应建立、实施并保持满足GB/T25770要求的合规管理体系要求。全方位无死角完成风险合规体系的建设。</w:t>
      </w:r>
    </w:p>
    <w:p w14:paraId="6B2DD5E7" w14:textId="77777777" w:rsidR="00B50C5D" w:rsidRDefault="00FA0E9F">
      <w:pPr>
        <w:spacing w:line="360" w:lineRule="auto"/>
        <w:rPr>
          <w:rFonts w:ascii="宋体" w:hAnsi="宋体" w:cs="宋体"/>
          <w:szCs w:val="21"/>
        </w:rPr>
      </w:pPr>
      <w:r>
        <w:rPr>
          <w:rFonts w:ascii="宋体" w:hAnsi="宋体" w:cs="宋体" w:hint="eastAsia"/>
          <w:szCs w:val="21"/>
        </w:rPr>
        <w:t>6.5.4  能源与资源投入</w:t>
      </w:r>
    </w:p>
    <w:p w14:paraId="5873FCF2" w14:textId="77777777" w:rsidR="00B50C5D" w:rsidRDefault="00FA0E9F">
      <w:pPr>
        <w:pStyle w:val="a7"/>
        <w:spacing w:beforeLines="50" w:before="156" w:afterLines="50" w:after="156"/>
        <w:ind w:firstLine="0"/>
        <w:rPr>
          <w:rFonts w:ascii="宋体" w:hAnsi="宋体" w:cs="宋体"/>
          <w:sz w:val="21"/>
          <w:szCs w:val="21"/>
        </w:rPr>
      </w:pPr>
      <w:r>
        <w:rPr>
          <w:rFonts w:ascii="宋体" w:hAnsi="宋体" w:cs="宋体" w:hint="eastAsia"/>
          <w:sz w:val="21"/>
          <w:szCs w:val="21"/>
        </w:rPr>
        <w:t>6.5.4.1  能源投入</w:t>
      </w:r>
    </w:p>
    <w:p w14:paraId="74BBBDD5" w14:textId="77777777" w:rsidR="00B50C5D" w:rsidRDefault="00FA0E9F">
      <w:pPr>
        <w:pStyle w:val="a7"/>
        <w:spacing w:beforeLines="50" w:before="156" w:afterLines="50" w:after="156"/>
        <w:ind w:firstLine="0"/>
        <w:rPr>
          <w:rFonts w:ascii="宋体" w:hAnsi="宋体" w:cs="宋体"/>
          <w:sz w:val="21"/>
          <w:szCs w:val="21"/>
        </w:rPr>
      </w:pPr>
      <w:r>
        <w:rPr>
          <w:rFonts w:ascii="宋体" w:hAnsi="宋体" w:cs="宋体" w:hint="eastAsia"/>
          <w:sz w:val="21"/>
          <w:szCs w:val="21"/>
        </w:rPr>
        <w:t>6.5.4.1.1 工厂应优化用能结构，使用可再生能源或低碳清洁的新能源，在保证安全、质量的前提下减少不可再生能源投入。</w:t>
      </w:r>
    </w:p>
    <w:p w14:paraId="616E8020" w14:textId="77777777" w:rsidR="00B50C5D" w:rsidRDefault="00FA0E9F">
      <w:pPr>
        <w:pStyle w:val="a7"/>
        <w:spacing w:beforeLines="50" w:before="156" w:afterLines="50" w:after="156"/>
        <w:ind w:firstLine="0"/>
        <w:rPr>
          <w:rFonts w:ascii="宋体" w:hAnsi="宋体" w:cs="宋体"/>
          <w:sz w:val="21"/>
          <w:szCs w:val="21"/>
        </w:rPr>
      </w:pPr>
      <w:r>
        <w:rPr>
          <w:rFonts w:ascii="宋体" w:hAnsi="宋体" w:cs="宋体" w:hint="eastAsia"/>
          <w:sz w:val="21"/>
          <w:szCs w:val="21"/>
        </w:rPr>
        <w:t>6.5.4.1.2 工厂宜开展能源评价或其他可能的评价手段采取细化措施进一步降低综合能耗。</w:t>
      </w:r>
    </w:p>
    <w:p w14:paraId="67362D41" w14:textId="77777777" w:rsidR="00B50C5D" w:rsidRDefault="00FA0E9F">
      <w:pPr>
        <w:pStyle w:val="a7"/>
        <w:spacing w:beforeLines="50" w:before="156" w:afterLines="50" w:after="156"/>
        <w:ind w:firstLine="0"/>
        <w:rPr>
          <w:rFonts w:ascii="宋体" w:hAnsi="宋体" w:cs="宋体"/>
          <w:sz w:val="21"/>
          <w:szCs w:val="21"/>
        </w:rPr>
      </w:pPr>
      <w:r>
        <w:rPr>
          <w:rFonts w:ascii="宋体" w:hAnsi="宋体" w:cs="宋体" w:hint="eastAsia"/>
          <w:sz w:val="21"/>
          <w:szCs w:val="21"/>
        </w:rPr>
        <w:t>6.5.4.2  资源投入</w:t>
      </w:r>
    </w:p>
    <w:p w14:paraId="24730A74" w14:textId="77777777" w:rsidR="00B50C5D" w:rsidRDefault="00FA0E9F">
      <w:pPr>
        <w:pStyle w:val="a7"/>
        <w:spacing w:beforeLines="50" w:before="156" w:afterLines="50" w:after="156"/>
        <w:ind w:firstLine="0"/>
        <w:rPr>
          <w:rFonts w:ascii="宋体" w:hAnsi="宋体" w:cs="宋体"/>
          <w:sz w:val="21"/>
          <w:szCs w:val="21"/>
        </w:rPr>
      </w:pPr>
      <w:r>
        <w:rPr>
          <w:rFonts w:ascii="宋体" w:hAnsi="宋体" w:cs="宋体" w:hint="eastAsia"/>
          <w:sz w:val="21"/>
          <w:szCs w:val="21"/>
        </w:rPr>
        <w:t>6.5.4.2.1 工厂应按照GB/T7119的要求对其开展节水评价工作，且满足相应的地方标准要求。</w:t>
      </w:r>
    </w:p>
    <w:p w14:paraId="6C64D6EF" w14:textId="77777777" w:rsidR="00B50C5D" w:rsidRDefault="00FA0E9F">
      <w:pPr>
        <w:pStyle w:val="a7"/>
        <w:spacing w:beforeLines="50" w:before="156" w:afterLines="50" w:after="156"/>
        <w:ind w:firstLine="0"/>
        <w:rPr>
          <w:rFonts w:ascii="宋体" w:hAnsi="宋体" w:cs="宋体"/>
          <w:sz w:val="21"/>
          <w:szCs w:val="21"/>
        </w:rPr>
      </w:pPr>
      <w:r>
        <w:rPr>
          <w:rFonts w:ascii="宋体" w:hAnsi="宋体" w:cs="宋体" w:hint="eastAsia"/>
          <w:sz w:val="21"/>
          <w:szCs w:val="21"/>
        </w:rPr>
        <w:t>6.5.4.2.2 工厂应减少材料（尤其是有害物质及化学品）的使用，评估有害物质及化学品减量使用或替代的可行性。</w:t>
      </w:r>
    </w:p>
    <w:p w14:paraId="73968402" w14:textId="77777777" w:rsidR="00B50C5D" w:rsidRDefault="00FA0E9F">
      <w:pPr>
        <w:pStyle w:val="a7"/>
        <w:spacing w:beforeLines="50" w:before="156" w:afterLines="50" w:after="156"/>
        <w:ind w:firstLine="0"/>
        <w:rPr>
          <w:rFonts w:ascii="宋体" w:hAnsi="宋体" w:cs="宋体"/>
          <w:sz w:val="21"/>
          <w:szCs w:val="21"/>
        </w:rPr>
      </w:pPr>
      <w:r>
        <w:rPr>
          <w:rFonts w:ascii="宋体" w:hAnsi="宋体" w:cs="宋体" w:hint="eastAsia"/>
          <w:sz w:val="21"/>
          <w:szCs w:val="21"/>
        </w:rPr>
        <w:t>6.5.4.2.3 工厂应结合生产实际，对锡及锡合金生产系统中固废、废水进行回收利用。</w:t>
      </w:r>
    </w:p>
    <w:p w14:paraId="70534439" w14:textId="77777777" w:rsidR="00B50C5D" w:rsidRDefault="00FA0E9F">
      <w:pPr>
        <w:pStyle w:val="a7"/>
        <w:spacing w:beforeLines="50" w:before="156" w:afterLines="50" w:after="156"/>
        <w:ind w:firstLine="0"/>
        <w:rPr>
          <w:rFonts w:ascii="宋体" w:hAnsi="宋体" w:cs="宋体"/>
          <w:sz w:val="21"/>
          <w:szCs w:val="21"/>
        </w:rPr>
      </w:pPr>
      <w:r>
        <w:rPr>
          <w:rFonts w:ascii="宋体" w:hAnsi="宋体" w:cs="宋体" w:hint="eastAsia"/>
          <w:sz w:val="21"/>
          <w:szCs w:val="21"/>
        </w:rPr>
        <w:t>6.5.4.2.4 工厂宜替代或减少全球增温趋势较高的温室气体的原辅材料使用。</w:t>
      </w:r>
    </w:p>
    <w:p w14:paraId="456D3684" w14:textId="77777777" w:rsidR="00B50C5D" w:rsidRDefault="00FA0E9F">
      <w:pPr>
        <w:pStyle w:val="a7"/>
        <w:spacing w:beforeLines="50" w:before="156" w:afterLines="50" w:after="156"/>
        <w:ind w:firstLine="0"/>
        <w:rPr>
          <w:rFonts w:ascii="宋体" w:hAnsi="宋体" w:cs="宋体"/>
          <w:sz w:val="21"/>
          <w:szCs w:val="21"/>
        </w:rPr>
      </w:pPr>
      <w:r>
        <w:rPr>
          <w:rFonts w:ascii="宋体" w:hAnsi="宋体" w:cs="宋体" w:hint="eastAsia"/>
          <w:sz w:val="21"/>
          <w:szCs w:val="21"/>
        </w:rPr>
        <w:t>6.5.4.3  采购</w:t>
      </w:r>
    </w:p>
    <w:p w14:paraId="09D150E1" w14:textId="77777777" w:rsidR="00B50C5D" w:rsidRDefault="00FA0E9F">
      <w:pPr>
        <w:pStyle w:val="a7"/>
        <w:spacing w:beforeLines="50" w:before="156" w:afterLines="50" w:after="156"/>
        <w:ind w:firstLine="0"/>
        <w:rPr>
          <w:rFonts w:ascii="宋体" w:hAnsi="宋体" w:cs="宋体"/>
          <w:sz w:val="21"/>
          <w:szCs w:val="21"/>
        </w:rPr>
      </w:pPr>
      <w:r>
        <w:rPr>
          <w:rFonts w:ascii="宋体" w:hAnsi="宋体" w:cs="宋体" w:hint="eastAsia"/>
          <w:sz w:val="21"/>
          <w:szCs w:val="21"/>
        </w:rPr>
        <w:t>6.5.4.3.1 工厂应制定并实施包括节能环保要求的选择、评价和重新评价供方的准则。</w:t>
      </w:r>
    </w:p>
    <w:p w14:paraId="3E1882EF" w14:textId="77777777" w:rsidR="00B50C5D" w:rsidRDefault="00FA0E9F">
      <w:pPr>
        <w:pStyle w:val="a7"/>
        <w:spacing w:beforeLines="50" w:before="156" w:afterLines="50" w:after="156"/>
        <w:ind w:firstLine="0"/>
        <w:rPr>
          <w:rFonts w:ascii="宋体" w:hAnsi="宋体" w:cs="宋体"/>
          <w:sz w:val="21"/>
          <w:szCs w:val="21"/>
        </w:rPr>
      </w:pPr>
      <w:r>
        <w:rPr>
          <w:rFonts w:ascii="宋体" w:hAnsi="宋体" w:cs="宋体" w:hint="eastAsia"/>
          <w:sz w:val="21"/>
          <w:szCs w:val="21"/>
        </w:rPr>
        <w:t>6.5.4.3.2 工厂应对采购的产品实施检验或其他必要的活动，确保采购的产品满足规定的采购要求。</w:t>
      </w:r>
    </w:p>
    <w:p w14:paraId="4D63D155" w14:textId="77777777" w:rsidR="00B50C5D" w:rsidRDefault="00FA0E9F">
      <w:pPr>
        <w:pStyle w:val="a7"/>
        <w:spacing w:beforeLines="50" w:before="156" w:afterLines="50" w:after="156"/>
        <w:ind w:firstLine="0"/>
        <w:rPr>
          <w:rFonts w:ascii="宋体" w:hAnsi="宋体" w:cs="宋体"/>
          <w:sz w:val="21"/>
          <w:szCs w:val="21"/>
        </w:rPr>
      </w:pPr>
      <w:r>
        <w:rPr>
          <w:rFonts w:ascii="宋体" w:hAnsi="宋体" w:cs="宋体" w:hint="eastAsia"/>
          <w:sz w:val="21"/>
          <w:szCs w:val="21"/>
        </w:rPr>
        <w:t>6.5.4.3.3 工厂宜向供方提供包括含有害物质使用、可回收材料使用、能效等要求的采购信息。</w:t>
      </w:r>
    </w:p>
    <w:p w14:paraId="096280CD" w14:textId="77777777" w:rsidR="00B50C5D" w:rsidRDefault="00FA0E9F">
      <w:pPr>
        <w:pStyle w:val="a7"/>
        <w:spacing w:beforeLines="50" w:before="156" w:afterLines="50" w:after="156"/>
        <w:ind w:firstLine="0"/>
        <w:rPr>
          <w:rFonts w:ascii="宋体" w:hAnsi="宋体" w:cs="宋体"/>
          <w:sz w:val="21"/>
          <w:szCs w:val="21"/>
        </w:rPr>
      </w:pPr>
      <w:r>
        <w:rPr>
          <w:rFonts w:ascii="宋体" w:hAnsi="宋体" w:cs="宋体" w:hint="eastAsia"/>
          <w:sz w:val="21"/>
          <w:szCs w:val="21"/>
        </w:rPr>
        <w:t>6.5.4.3.4 工厂采购宜满足T/GDGSCA_001绿色供应链管理评价导则的绿色供应链评价要求。</w:t>
      </w:r>
    </w:p>
    <w:p w14:paraId="22F3E090" w14:textId="77777777" w:rsidR="00B50C5D" w:rsidRDefault="00FA0E9F">
      <w:pPr>
        <w:pStyle w:val="a7"/>
        <w:spacing w:beforeLines="50" w:before="156" w:afterLines="50" w:after="156"/>
        <w:ind w:firstLineChars="200"/>
        <w:rPr>
          <w:rFonts w:ascii="宋体" w:hAnsi="宋体" w:cs="宋体"/>
          <w:sz w:val="21"/>
          <w:szCs w:val="21"/>
        </w:rPr>
      </w:pPr>
      <w:r>
        <w:rPr>
          <w:rFonts w:ascii="宋体" w:hAnsi="宋体" w:cs="宋体" w:hint="eastAsia"/>
          <w:sz w:val="21"/>
          <w:szCs w:val="21"/>
        </w:rPr>
        <w:t>分别从能源投入、资源投入和采购等方面进行规定。由于锡及锡合金属于节能重点行业，能源与资源投入是绿色工厂评价的重要部分，占比15%，能源与资源投入要求分为必选要求与可选要求，必选要求是工厂必须要满足的。</w:t>
      </w:r>
    </w:p>
    <w:p w14:paraId="00FAAE9C" w14:textId="77777777" w:rsidR="00B50C5D" w:rsidRDefault="00FA0E9F">
      <w:pPr>
        <w:spacing w:line="360" w:lineRule="auto"/>
        <w:ind w:left="15" w:firstLineChars="200" w:firstLine="420"/>
        <w:rPr>
          <w:rFonts w:ascii="宋体" w:hAnsi="宋体" w:cs="宋体"/>
          <w:szCs w:val="21"/>
        </w:rPr>
      </w:pPr>
      <w:r>
        <w:rPr>
          <w:rFonts w:ascii="宋体" w:hAnsi="宋体" w:cs="宋体" w:hint="eastAsia"/>
          <w:szCs w:val="21"/>
        </w:rPr>
        <w:t>能源投入分别从优化生产结构和用能结构、能耗指标、充分利用余热余压、使用低碳清洁能源等方面进行了规定。</w:t>
      </w:r>
    </w:p>
    <w:p w14:paraId="2C09564A" w14:textId="77777777" w:rsidR="00B50C5D" w:rsidRPr="00D922BF" w:rsidRDefault="00FA0E9F">
      <w:pPr>
        <w:tabs>
          <w:tab w:val="left" w:pos="0"/>
        </w:tabs>
        <w:spacing w:line="300" w:lineRule="auto"/>
        <w:ind w:firstLineChars="200" w:firstLine="420"/>
        <w:rPr>
          <w:rFonts w:ascii="宋体" w:hAnsi="宋体" w:cs="宋体"/>
          <w:szCs w:val="21"/>
        </w:rPr>
      </w:pPr>
      <w:r>
        <w:rPr>
          <w:rFonts w:ascii="宋体" w:hAnsi="宋体" w:cs="宋体" w:hint="eastAsia"/>
          <w:szCs w:val="21"/>
        </w:rPr>
        <w:t>工厂宜做好能源选取的规划，优先采用可再生能源、清洁能源，减少不可再生能源投入，充分利用生产系统产生的余热，提高能源使用效率。优化生产工艺、多能源互补供能等方式，降低非清洁能源的使用率。</w:t>
      </w:r>
      <w:r w:rsidRPr="00D922BF">
        <w:rPr>
          <w:rFonts w:ascii="宋体" w:hAnsi="宋体" w:cs="宋体" w:hint="eastAsia"/>
          <w:szCs w:val="21"/>
        </w:rPr>
        <w:t>工厂能耗指标应符合相应行业规范或准入条件中能耗先进值要求，单位产品能耗满足国家、行业或地方现行的单位产品能源消耗限额标准先进值要求，如无相应锡及锡合金能耗限额标准，单位产品综合能耗指标水平应达到国内同类生产企业排名前20%企业的综合平均水平。</w:t>
      </w:r>
    </w:p>
    <w:p w14:paraId="7D401086" w14:textId="77777777" w:rsidR="00B50C5D" w:rsidRDefault="00FA0E9F">
      <w:pPr>
        <w:tabs>
          <w:tab w:val="left" w:pos="0"/>
        </w:tabs>
        <w:spacing w:line="300" w:lineRule="auto"/>
        <w:ind w:firstLineChars="200" w:firstLine="420"/>
        <w:rPr>
          <w:rFonts w:ascii="宋体" w:hAnsi="宋体" w:cs="宋体"/>
          <w:szCs w:val="21"/>
        </w:rPr>
      </w:pPr>
      <w:r>
        <w:rPr>
          <w:rFonts w:ascii="宋体" w:hAnsi="宋体" w:cs="宋体" w:hint="eastAsia"/>
          <w:szCs w:val="21"/>
        </w:rPr>
        <w:t>宜使用可再生能源替代不可再生能源，充分利用余热余压余能等过程中产生的二次能源宜回收利用。</w:t>
      </w:r>
    </w:p>
    <w:p w14:paraId="1DC6E080" w14:textId="77777777" w:rsidR="00B50C5D" w:rsidRDefault="00FA0E9F">
      <w:pPr>
        <w:spacing w:line="300" w:lineRule="auto"/>
        <w:ind w:firstLineChars="200" w:firstLine="420"/>
        <w:rPr>
          <w:rFonts w:ascii="宋体" w:hAnsi="宋体" w:cs="宋体"/>
          <w:szCs w:val="21"/>
        </w:rPr>
      </w:pPr>
      <w:r>
        <w:rPr>
          <w:rFonts w:ascii="宋体" w:hAnsi="宋体" w:cs="宋体" w:hint="eastAsia"/>
          <w:szCs w:val="21"/>
        </w:rPr>
        <w:lastRenderedPageBreak/>
        <w:t>锡及锡合金各工厂宜根据工厂自身条件，利用余热、余压等进行生产，从而达到实现工厂节能降耗的目的。</w:t>
      </w:r>
    </w:p>
    <w:p w14:paraId="719F5B73" w14:textId="77777777" w:rsidR="00B50C5D" w:rsidRDefault="00FA0E9F">
      <w:pPr>
        <w:spacing w:line="360" w:lineRule="auto"/>
        <w:ind w:firstLineChars="200" w:firstLine="420"/>
        <w:rPr>
          <w:rFonts w:ascii="宋体" w:hAnsi="宋体" w:cs="宋体"/>
          <w:szCs w:val="21"/>
        </w:rPr>
      </w:pPr>
      <w:r>
        <w:rPr>
          <w:rFonts w:ascii="宋体" w:hAnsi="宋体" w:cs="宋体" w:hint="eastAsia"/>
          <w:szCs w:val="21"/>
        </w:rPr>
        <w:t>资源投入主要从节水、原料有害物质限制使用、节材与资源回收利用等角度提出要求。</w:t>
      </w:r>
    </w:p>
    <w:p w14:paraId="09843986" w14:textId="77777777" w:rsidR="00B50C5D" w:rsidRDefault="00FA0E9F">
      <w:pPr>
        <w:spacing w:line="360" w:lineRule="auto"/>
        <w:ind w:firstLineChars="200" w:firstLine="420"/>
        <w:rPr>
          <w:rFonts w:ascii="宋体" w:hAnsi="宋体" w:cs="宋体"/>
          <w:szCs w:val="21"/>
        </w:rPr>
      </w:pPr>
      <w:r>
        <w:rPr>
          <w:rFonts w:ascii="宋体" w:hAnsi="宋体" w:cs="宋体" w:hint="eastAsia"/>
          <w:szCs w:val="21"/>
        </w:rPr>
        <w:t>目的是贯彻执行国家相关节水方针政策，合理利用水资源，提高用水效率，规范有色金属工业企业用水行为。</w:t>
      </w:r>
    </w:p>
    <w:p w14:paraId="309F8F24" w14:textId="77777777" w:rsidR="00B50C5D" w:rsidRDefault="00FA0E9F">
      <w:pPr>
        <w:spacing w:line="360" w:lineRule="auto"/>
        <w:ind w:firstLineChars="200" w:firstLine="420"/>
        <w:rPr>
          <w:rFonts w:ascii="宋体" w:hAnsi="宋体" w:cs="宋体"/>
          <w:szCs w:val="21"/>
        </w:rPr>
      </w:pPr>
      <w:r>
        <w:rPr>
          <w:rFonts w:ascii="宋体" w:hAnsi="宋体" w:cs="宋体" w:hint="eastAsia"/>
          <w:szCs w:val="21"/>
        </w:rPr>
        <w:t>工厂应减少原辅材料中有害物质使用。对原料进行控制的目的是加强熔铸工艺配置中对有害成分的回收和无害化，防止流失造成环境污染、毒害人、畜及其他生物。为保证工程质量、安全和节材，应淘汰能耗高、安全性能差，不符合“低碳”理念的材料。</w:t>
      </w:r>
    </w:p>
    <w:p w14:paraId="74431A29" w14:textId="77777777" w:rsidR="00B50C5D" w:rsidRDefault="00FA0E9F">
      <w:pPr>
        <w:spacing w:line="360" w:lineRule="auto"/>
        <w:ind w:firstLineChars="200" w:firstLine="420"/>
        <w:rPr>
          <w:rFonts w:ascii="宋体" w:hAnsi="宋体" w:cs="宋体"/>
          <w:szCs w:val="21"/>
        </w:rPr>
      </w:pPr>
      <w:r>
        <w:rPr>
          <w:rFonts w:ascii="宋体" w:hAnsi="宋体" w:cs="宋体" w:hint="eastAsia"/>
          <w:szCs w:val="21"/>
        </w:rPr>
        <w:t xml:space="preserve">工厂宜使用回收料，用可回收材料替代新材料、不可回收材料，如在锡及锡合金熔铸时加入不同比例的废旧料代替锡新料使用。再生锡原料使用率应不低于5%，宜达到10%。 </w:t>
      </w:r>
    </w:p>
    <w:p w14:paraId="4D4F9F0A" w14:textId="77777777" w:rsidR="00B50C5D" w:rsidRDefault="00FA0E9F">
      <w:pPr>
        <w:ind w:firstLineChars="200" w:firstLine="420"/>
        <w:rPr>
          <w:rFonts w:ascii="宋体" w:hAnsi="宋体" w:cs="宋体"/>
          <w:szCs w:val="21"/>
        </w:rPr>
      </w:pPr>
      <w:r>
        <w:rPr>
          <w:rFonts w:ascii="宋体" w:hAnsi="宋体" w:cs="宋体" w:hint="eastAsia"/>
          <w:szCs w:val="21"/>
        </w:rPr>
        <w:t>采购方面分别从采购要求、供应商评价、绿色供应链等方面进行了规定，采购要求生产企业应选择能够提供对环境友好的原材料的供应商来提供环保的材料作为原料，在采购行为中应充分考虑环境因素，实现资源的循环利用，尽量降低原材料的使用和减少废弃物的产生，实现采购过程的绿色化。应确定并实施检验或其他必要的活动，确保采购的产品满足规定的采购要求。</w:t>
      </w:r>
    </w:p>
    <w:p w14:paraId="02951E20" w14:textId="77777777" w:rsidR="00B50C5D" w:rsidRDefault="00FA0E9F">
      <w:pPr>
        <w:spacing w:line="360" w:lineRule="auto"/>
        <w:ind w:firstLine="435"/>
        <w:rPr>
          <w:rFonts w:ascii="宋体" w:hAnsi="宋体" w:cs="宋体"/>
          <w:szCs w:val="21"/>
        </w:rPr>
      </w:pPr>
      <w:r>
        <w:rPr>
          <w:rFonts w:ascii="宋体" w:hAnsi="宋体" w:cs="宋体" w:hint="eastAsia"/>
          <w:szCs w:val="21"/>
        </w:rPr>
        <w:t>绿色供应链的内容涉及到供应链的各个环节，其主要内容有绿色采购、绿色制造、绿色销售、绿色消费、绿色回收以及绿色物流。</w:t>
      </w:r>
    </w:p>
    <w:p w14:paraId="2DB15CC9" w14:textId="77777777" w:rsidR="00B50C5D" w:rsidRDefault="00FA0E9F">
      <w:pPr>
        <w:spacing w:line="360" w:lineRule="auto"/>
        <w:rPr>
          <w:rFonts w:ascii="宋体" w:hAnsi="宋体" w:cs="宋体"/>
          <w:szCs w:val="21"/>
        </w:rPr>
      </w:pPr>
      <w:r>
        <w:rPr>
          <w:rFonts w:ascii="宋体" w:hAnsi="宋体" w:cs="宋体" w:hint="eastAsia"/>
          <w:szCs w:val="21"/>
        </w:rPr>
        <w:t>6.5.5  产品</w:t>
      </w:r>
    </w:p>
    <w:p w14:paraId="0841567A" w14:textId="77777777" w:rsidR="00B50C5D" w:rsidRDefault="00FA0E9F">
      <w:pPr>
        <w:spacing w:line="360" w:lineRule="auto"/>
        <w:outlineLvl w:val="0"/>
        <w:rPr>
          <w:rFonts w:ascii="宋体" w:hAnsi="宋体" w:cs="宋体"/>
          <w:szCs w:val="21"/>
        </w:rPr>
      </w:pPr>
      <w:bookmarkStart w:id="15" w:name="_Toc46929943"/>
      <w:r>
        <w:rPr>
          <w:rFonts w:ascii="宋体" w:hAnsi="宋体" w:cs="宋体" w:hint="eastAsia"/>
          <w:szCs w:val="21"/>
        </w:rPr>
        <w:t>6.5.5.1 生态设计</w:t>
      </w:r>
      <w:bookmarkEnd w:id="15"/>
    </w:p>
    <w:p w14:paraId="4D9F4D6D" w14:textId="77777777" w:rsidR="00B50C5D" w:rsidRDefault="00FA0E9F">
      <w:pPr>
        <w:spacing w:line="360" w:lineRule="auto"/>
        <w:rPr>
          <w:rFonts w:ascii="宋体" w:hAnsi="宋体" w:cs="宋体"/>
          <w:szCs w:val="21"/>
        </w:rPr>
      </w:pPr>
      <w:r>
        <w:rPr>
          <w:rFonts w:ascii="宋体" w:hAnsi="宋体" w:cs="宋体" w:hint="eastAsia"/>
          <w:szCs w:val="21"/>
        </w:rPr>
        <w:t>6.5.1.1 工厂应在产品设计中引入生态设计的理念，产品应按照T/CNIA0033进行评价。</w:t>
      </w:r>
    </w:p>
    <w:p w14:paraId="736A36E5" w14:textId="77777777" w:rsidR="00B50C5D" w:rsidRDefault="00FA0E9F">
      <w:pPr>
        <w:spacing w:line="360" w:lineRule="auto"/>
        <w:rPr>
          <w:rFonts w:ascii="宋体" w:hAnsi="宋体" w:cs="宋体"/>
          <w:szCs w:val="21"/>
        </w:rPr>
      </w:pPr>
      <w:r>
        <w:rPr>
          <w:rFonts w:ascii="宋体" w:hAnsi="宋体" w:cs="宋体" w:hint="eastAsia"/>
          <w:szCs w:val="21"/>
        </w:rPr>
        <w:t xml:space="preserve">6.5.5.1.2 工厂宜按照GB/T 24256对生产的产品进行生态设计，并按照GB/T 32161 及T/CNIA0033对生产的产品进行生态设计产品评价。 </w:t>
      </w:r>
    </w:p>
    <w:p w14:paraId="4CC8E966" w14:textId="77777777" w:rsidR="00B50C5D" w:rsidRDefault="00FA0E9F">
      <w:pPr>
        <w:spacing w:line="360" w:lineRule="auto"/>
        <w:outlineLvl w:val="0"/>
        <w:rPr>
          <w:rFonts w:ascii="宋体" w:hAnsi="宋体" w:cs="宋体"/>
          <w:szCs w:val="21"/>
        </w:rPr>
      </w:pPr>
      <w:bookmarkStart w:id="16" w:name="_Toc46929944"/>
      <w:r>
        <w:rPr>
          <w:rFonts w:ascii="宋体" w:hAnsi="宋体" w:cs="宋体" w:hint="eastAsia"/>
          <w:szCs w:val="21"/>
        </w:rPr>
        <w:t>6.5.5.2 有害物质使用</w:t>
      </w:r>
      <w:bookmarkEnd w:id="16"/>
    </w:p>
    <w:p w14:paraId="52AED1C9" w14:textId="77777777" w:rsidR="00B50C5D" w:rsidRDefault="00FA0E9F">
      <w:pPr>
        <w:spacing w:line="360" w:lineRule="auto"/>
        <w:rPr>
          <w:rFonts w:ascii="宋体" w:hAnsi="宋体" w:cs="宋体"/>
          <w:szCs w:val="21"/>
        </w:rPr>
      </w:pPr>
      <w:r>
        <w:rPr>
          <w:rFonts w:ascii="宋体" w:hAnsi="宋体" w:cs="宋体" w:hint="eastAsia"/>
          <w:szCs w:val="21"/>
        </w:rPr>
        <w:t>6.5.5.2.1 工厂生产的产品应减少有害物质的使用，避免有害物质的泄露，满足国家对产品中有害物质限制使用的要求。</w:t>
      </w:r>
    </w:p>
    <w:p w14:paraId="17B2DCCC" w14:textId="77777777" w:rsidR="00B50C5D" w:rsidRDefault="00FA0E9F">
      <w:pPr>
        <w:spacing w:line="360" w:lineRule="auto"/>
        <w:rPr>
          <w:rFonts w:ascii="宋体" w:hAnsi="宋体" w:cs="宋体"/>
          <w:szCs w:val="21"/>
        </w:rPr>
      </w:pPr>
      <w:r>
        <w:rPr>
          <w:rFonts w:ascii="宋体" w:hAnsi="宋体" w:cs="宋体" w:hint="eastAsia"/>
          <w:szCs w:val="21"/>
        </w:rPr>
        <w:t>6.5.5.2.2 工厂有毒有害物质的贮存、输送、生产和使用的场所，应设置环境/安全风险防范和应急处理设施。</w:t>
      </w:r>
    </w:p>
    <w:p w14:paraId="43CD2A3E" w14:textId="77777777" w:rsidR="00B50C5D" w:rsidRDefault="00FA0E9F">
      <w:pPr>
        <w:spacing w:line="360" w:lineRule="auto"/>
        <w:outlineLvl w:val="0"/>
        <w:rPr>
          <w:rFonts w:ascii="宋体" w:hAnsi="宋体" w:cs="宋体"/>
          <w:szCs w:val="21"/>
        </w:rPr>
      </w:pPr>
      <w:bookmarkStart w:id="17" w:name="_Toc46929945"/>
      <w:r>
        <w:rPr>
          <w:rFonts w:ascii="宋体" w:hAnsi="宋体" w:cs="宋体" w:hint="eastAsia"/>
          <w:szCs w:val="21"/>
        </w:rPr>
        <w:t>6.5.5.3 减碳</w:t>
      </w:r>
      <w:bookmarkEnd w:id="17"/>
    </w:p>
    <w:p w14:paraId="30DA65D7" w14:textId="77777777" w:rsidR="00B50C5D" w:rsidRDefault="00FA0E9F">
      <w:pPr>
        <w:spacing w:line="360" w:lineRule="auto"/>
        <w:ind w:firstLineChars="200" w:firstLine="420"/>
        <w:rPr>
          <w:rFonts w:ascii="宋体" w:hAnsi="宋体" w:cs="宋体"/>
          <w:szCs w:val="21"/>
        </w:rPr>
      </w:pPr>
      <w:r>
        <w:rPr>
          <w:rFonts w:ascii="宋体" w:hAnsi="宋体" w:cs="宋体" w:hint="eastAsia"/>
          <w:szCs w:val="21"/>
        </w:rPr>
        <w:t>工厂宜采用GB/T32150等适用的标准或规范对生产的产品进行碳足迹核算或核查，核算或核查的结果宜对外公布，并利用核算结果对其产品的碳足迹进行改善。</w:t>
      </w:r>
    </w:p>
    <w:p w14:paraId="4581B05D" w14:textId="77777777" w:rsidR="00B50C5D" w:rsidRDefault="00FA0E9F">
      <w:pPr>
        <w:pStyle w:val="a5"/>
        <w:spacing w:line="300" w:lineRule="auto"/>
        <w:ind w:firstLineChars="202" w:firstLine="424"/>
        <w:jc w:val="both"/>
        <w:rPr>
          <w:rFonts w:ascii="宋体" w:hAnsi="宋体" w:cs="宋体"/>
          <w:szCs w:val="21"/>
        </w:rPr>
      </w:pPr>
      <w:r>
        <w:rPr>
          <w:rFonts w:ascii="宋体" w:hAnsi="宋体" w:cs="宋体" w:hint="eastAsia"/>
          <w:szCs w:val="21"/>
        </w:rPr>
        <w:t>本章节分别从绿色（生态）设计、有害物质使用、减碳等方面进行规定。</w:t>
      </w:r>
    </w:p>
    <w:p w14:paraId="1B57AFA9" w14:textId="77777777" w:rsidR="00B50C5D" w:rsidRDefault="00FA0E9F">
      <w:pPr>
        <w:pStyle w:val="a5"/>
        <w:ind w:firstLineChars="202" w:firstLine="424"/>
        <w:jc w:val="both"/>
        <w:rPr>
          <w:rFonts w:ascii="宋体" w:hAnsi="宋体" w:cs="宋体"/>
          <w:szCs w:val="21"/>
        </w:rPr>
      </w:pPr>
      <w:r>
        <w:rPr>
          <w:rFonts w:ascii="宋体" w:hAnsi="宋体" w:cs="宋体" w:hint="eastAsia"/>
          <w:szCs w:val="21"/>
        </w:rPr>
        <w:t>绿色（生态）设计也称绿色设计或生命周期设计或环境设计，是指将环境因素纳入设计之中，从而帮助确定设计的决策方向。生态设计要求在产品开发的所有阶段均考虑环境因素，从产品的整个生命周期减少对环境的影响，最终引导产生一个更具有可持续性的生产和消费系统。生态设计活</w:t>
      </w:r>
      <w:r>
        <w:rPr>
          <w:rFonts w:ascii="宋体" w:hAnsi="宋体" w:cs="宋体" w:hint="eastAsia"/>
          <w:szCs w:val="21"/>
        </w:rPr>
        <w:lastRenderedPageBreak/>
        <w:t>动主要包含两方面的涵义，一是从保护环境角度考虑，减少资源消耗、实现可持续发展战略；二是从商业角度考虑，降低成本、减少潜在的责任风险，以提高竞争能力。</w:t>
      </w:r>
    </w:p>
    <w:p w14:paraId="0DFAB200" w14:textId="77777777" w:rsidR="00B50C5D" w:rsidRDefault="00FA0E9F">
      <w:pPr>
        <w:pStyle w:val="a7"/>
        <w:spacing w:line="360" w:lineRule="auto"/>
        <w:ind w:firstLineChars="200"/>
        <w:rPr>
          <w:rFonts w:ascii="宋体" w:hAnsi="宋体" w:cs="宋体"/>
          <w:sz w:val="21"/>
          <w:szCs w:val="21"/>
        </w:rPr>
      </w:pPr>
      <w:r>
        <w:rPr>
          <w:rFonts w:ascii="宋体" w:hAnsi="宋体" w:cs="宋体" w:hint="eastAsia"/>
          <w:sz w:val="21"/>
          <w:szCs w:val="21"/>
        </w:rPr>
        <w:t>工厂生产的产品应替代或减少有害物质的使用。有毒有害物质的贮存、运输、生产和使用场所，应设置环境风险防范和应急处理设施。</w:t>
      </w:r>
    </w:p>
    <w:p w14:paraId="658B680A" w14:textId="77777777" w:rsidR="00B50C5D" w:rsidRDefault="00FA0E9F">
      <w:pPr>
        <w:pStyle w:val="a5"/>
        <w:ind w:firstLineChars="202" w:firstLine="424"/>
        <w:jc w:val="both"/>
        <w:rPr>
          <w:rFonts w:ascii="宋体" w:hAnsi="宋体" w:cs="宋体"/>
          <w:szCs w:val="21"/>
        </w:rPr>
      </w:pPr>
      <w:r>
        <w:rPr>
          <w:rFonts w:ascii="宋体" w:hAnsi="宋体" w:cs="宋体" w:hint="eastAsia"/>
          <w:szCs w:val="21"/>
        </w:rPr>
        <w:t>产品的有害物质使用是从绿色生产的角度来考虑，产品应符合国家出台的相应产品质量标准。在生产过程中，最大限度地避免或减少对人体伤害和环境污染，避免有害物质的泄露，满足国家对产品中有害物质限制使用的要求。</w:t>
      </w:r>
    </w:p>
    <w:p w14:paraId="302330C2" w14:textId="77777777" w:rsidR="00B50C5D" w:rsidRDefault="00FA0E9F">
      <w:pPr>
        <w:pStyle w:val="a5"/>
        <w:ind w:firstLineChars="200" w:firstLine="420"/>
        <w:jc w:val="both"/>
        <w:rPr>
          <w:rFonts w:ascii="宋体" w:hAnsi="宋体" w:cs="宋体"/>
          <w:szCs w:val="21"/>
        </w:rPr>
      </w:pPr>
      <w:r>
        <w:rPr>
          <w:rFonts w:ascii="宋体" w:hAnsi="宋体" w:cs="宋体" w:hint="eastAsia"/>
          <w:szCs w:val="21"/>
        </w:rPr>
        <w:t>节能强调工厂生产的产品生产能耗应满足国家及行业相关标准先进值的要求。</w:t>
      </w:r>
    </w:p>
    <w:p w14:paraId="5112563F" w14:textId="77777777" w:rsidR="00B50C5D" w:rsidRDefault="00FA0E9F">
      <w:pPr>
        <w:pStyle w:val="a5"/>
        <w:ind w:firstLineChars="202" w:firstLine="424"/>
        <w:jc w:val="both"/>
        <w:rPr>
          <w:rFonts w:ascii="宋体" w:hAnsi="宋体" w:cs="宋体"/>
          <w:szCs w:val="21"/>
        </w:rPr>
      </w:pPr>
      <w:r>
        <w:rPr>
          <w:rFonts w:ascii="宋体" w:hAnsi="宋体" w:cs="宋体" w:hint="eastAsia"/>
          <w:szCs w:val="21"/>
        </w:rPr>
        <w:t>工厂宜采用适用的标准或规范对生产的产品进行碳足迹核算或核查，核算或核查的结果宜对外公布并利用核算结果对其产品的碳足迹进行改善。</w:t>
      </w:r>
    </w:p>
    <w:p w14:paraId="47838B93" w14:textId="77777777" w:rsidR="00B50C5D" w:rsidRDefault="00FA0E9F">
      <w:pPr>
        <w:spacing w:line="360" w:lineRule="auto"/>
        <w:ind w:firstLineChars="200" w:firstLine="420"/>
        <w:rPr>
          <w:rFonts w:ascii="宋体" w:hAnsi="宋体" w:cs="宋体"/>
          <w:szCs w:val="21"/>
        </w:rPr>
      </w:pPr>
      <w:r>
        <w:rPr>
          <w:rFonts w:ascii="宋体" w:hAnsi="宋体" w:cs="宋体" w:hint="eastAsia"/>
          <w:szCs w:val="21"/>
        </w:rPr>
        <w:t>对于碳足迹，企业可参考ISO/TS 14067：2013《温室气体 产品碳足迹 关于量化和通报的要求和指南》和PAS 2050：201《商品和服务在生命周期内的温室气体排放评价规范》等国际标准，开展产品碳足迹量化与核查工作，以产品设计、生产、消费等过程为核心，减少产品生命周期内的温室气体排放，可将碳足迹的改善纳入环境目标，并制定相关的提升计划。</w:t>
      </w:r>
    </w:p>
    <w:p w14:paraId="1C8E5455" w14:textId="77777777" w:rsidR="00B50C5D" w:rsidRDefault="00FA0E9F">
      <w:pPr>
        <w:spacing w:line="360" w:lineRule="auto"/>
        <w:rPr>
          <w:rFonts w:ascii="宋体" w:hAnsi="宋体" w:cs="宋体"/>
          <w:bCs/>
          <w:szCs w:val="21"/>
        </w:rPr>
      </w:pPr>
      <w:r>
        <w:rPr>
          <w:rFonts w:ascii="宋体" w:hAnsi="宋体" w:cs="宋体" w:hint="eastAsia"/>
          <w:bCs/>
          <w:szCs w:val="21"/>
        </w:rPr>
        <w:t>6.5.6 环境排放要求</w:t>
      </w:r>
    </w:p>
    <w:p w14:paraId="1B45F0C3" w14:textId="77777777" w:rsidR="00B50C5D" w:rsidRDefault="00FA0E9F">
      <w:pPr>
        <w:spacing w:line="360" w:lineRule="auto"/>
        <w:outlineLvl w:val="0"/>
        <w:rPr>
          <w:rFonts w:ascii="宋体" w:hAnsi="宋体" w:cs="宋体"/>
          <w:szCs w:val="21"/>
        </w:rPr>
      </w:pPr>
      <w:bookmarkStart w:id="18" w:name="_Toc46929947"/>
      <w:bookmarkStart w:id="19" w:name="_Toc5846381"/>
      <w:r>
        <w:rPr>
          <w:rFonts w:ascii="宋体" w:hAnsi="宋体" w:cs="宋体" w:hint="eastAsia"/>
          <w:szCs w:val="21"/>
        </w:rPr>
        <w:t>6.5.6.1  大气污染物</w:t>
      </w:r>
      <w:bookmarkEnd w:id="18"/>
      <w:bookmarkEnd w:id="19"/>
    </w:p>
    <w:p w14:paraId="65321EF0" w14:textId="77777777" w:rsidR="00B50C5D" w:rsidRDefault="00FA0E9F">
      <w:pPr>
        <w:spacing w:line="360" w:lineRule="auto"/>
        <w:rPr>
          <w:rFonts w:ascii="宋体" w:hAnsi="宋体" w:cs="宋体"/>
          <w:szCs w:val="21"/>
        </w:rPr>
      </w:pPr>
      <w:r>
        <w:rPr>
          <w:rFonts w:ascii="宋体" w:hAnsi="宋体" w:cs="宋体" w:hint="eastAsia"/>
          <w:szCs w:val="21"/>
        </w:rPr>
        <w:t>6.5.6.1.1 工厂大气污染物排放及排放量应符合GB16297、</w:t>
      </w:r>
      <w:r>
        <w:rPr>
          <w:rStyle w:val="af"/>
          <w:rFonts w:ascii="宋体" w:hAnsi="宋体" w:cs="宋体" w:hint="eastAsia"/>
          <w:i w:val="0"/>
          <w:iCs w:val="0"/>
          <w:szCs w:val="21"/>
        </w:rPr>
        <w:t>GB</w:t>
      </w:r>
      <w:r>
        <w:rPr>
          <w:rFonts w:ascii="宋体" w:hAnsi="宋体" w:cs="宋体" w:hint="eastAsia"/>
          <w:szCs w:val="21"/>
        </w:rPr>
        <w:t>9078或地方主要污染物排放总量控制规定，并满足HJ 942关于排污许可和环境管理的要求。</w:t>
      </w:r>
    </w:p>
    <w:p w14:paraId="4ED9BC92" w14:textId="77777777" w:rsidR="00B50C5D" w:rsidRDefault="00FA0E9F">
      <w:pPr>
        <w:spacing w:line="360" w:lineRule="auto"/>
        <w:rPr>
          <w:rFonts w:ascii="宋体" w:hAnsi="宋体" w:cs="宋体"/>
          <w:szCs w:val="21"/>
        </w:rPr>
      </w:pPr>
      <w:r>
        <w:rPr>
          <w:rFonts w:ascii="宋体" w:hAnsi="宋体" w:cs="宋体" w:hint="eastAsia"/>
          <w:szCs w:val="21"/>
        </w:rPr>
        <w:t>6.5.6.1.2 工厂应建立大气污染物排放台账，按HJ819开展自行监测和监控，保存原始监测和监控记录。</w:t>
      </w:r>
    </w:p>
    <w:p w14:paraId="12240FA6" w14:textId="77777777" w:rsidR="00B50C5D" w:rsidRDefault="00FA0E9F">
      <w:pPr>
        <w:spacing w:line="360" w:lineRule="auto"/>
        <w:rPr>
          <w:rFonts w:ascii="宋体" w:hAnsi="宋体" w:cs="宋体"/>
          <w:szCs w:val="21"/>
        </w:rPr>
      </w:pPr>
      <w:r>
        <w:rPr>
          <w:rFonts w:ascii="宋体" w:hAnsi="宋体" w:cs="宋体" w:hint="eastAsia"/>
          <w:szCs w:val="21"/>
        </w:rPr>
        <w:t>6.5.6.1.3 工厂宜在主要废气排放口建设配套的在线污染物监测设施并与当地环保部门联网。主要大气污染物排放宜满足标准中更高等级的要求。</w:t>
      </w:r>
    </w:p>
    <w:p w14:paraId="0C790848" w14:textId="77777777" w:rsidR="00B50C5D" w:rsidRDefault="00FA0E9F">
      <w:pPr>
        <w:spacing w:line="360" w:lineRule="auto"/>
        <w:outlineLvl w:val="0"/>
        <w:rPr>
          <w:rFonts w:ascii="宋体" w:hAnsi="宋体" w:cs="宋体"/>
          <w:szCs w:val="21"/>
        </w:rPr>
      </w:pPr>
      <w:bookmarkStart w:id="20" w:name="_Toc46929948"/>
      <w:bookmarkStart w:id="21" w:name="_Toc5846382"/>
      <w:r>
        <w:rPr>
          <w:rFonts w:ascii="宋体" w:hAnsi="宋体" w:cs="宋体" w:hint="eastAsia"/>
          <w:szCs w:val="21"/>
        </w:rPr>
        <w:t>6.5.6.2  水体污染物</w:t>
      </w:r>
      <w:bookmarkEnd w:id="20"/>
      <w:bookmarkEnd w:id="21"/>
    </w:p>
    <w:p w14:paraId="1A3F75BF" w14:textId="77777777" w:rsidR="00B50C5D" w:rsidRDefault="00FA0E9F">
      <w:pPr>
        <w:spacing w:line="360" w:lineRule="auto"/>
        <w:rPr>
          <w:rFonts w:ascii="宋体" w:hAnsi="宋体" w:cs="宋体"/>
          <w:szCs w:val="21"/>
        </w:rPr>
      </w:pPr>
      <w:r>
        <w:rPr>
          <w:rFonts w:ascii="宋体" w:hAnsi="宋体" w:cs="宋体" w:hint="eastAsia"/>
          <w:szCs w:val="21"/>
        </w:rPr>
        <w:t>6.5.6.2.1 工厂水体污染物排放及排放量应符合GB8978或地方污染物排放要求和主要污染物排放总量控制规定</w:t>
      </w:r>
      <w:bookmarkStart w:id="22" w:name="_Hlk47821803"/>
      <w:r>
        <w:rPr>
          <w:rFonts w:ascii="宋体" w:hAnsi="宋体" w:cs="宋体" w:hint="eastAsia"/>
          <w:szCs w:val="21"/>
        </w:rPr>
        <w:t>，并满足HJ942关于排污许可和环境管理的要求。</w:t>
      </w:r>
    </w:p>
    <w:bookmarkEnd w:id="22"/>
    <w:p w14:paraId="0F94CDB9" w14:textId="77777777" w:rsidR="00B50C5D" w:rsidRDefault="00FA0E9F">
      <w:pPr>
        <w:spacing w:line="360" w:lineRule="auto"/>
        <w:rPr>
          <w:rFonts w:ascii="宋体" w:hAnsi="宋体" w:cs="宋体"/>
          <w:szCs w:val="21"/>
        </w:rPr>
      </w:pPr>
      <w:r>
        <w:rPr>
          <w:rFonts w:ascii="宋体" w:hAnsi="宋体" w:cs="宋体" w:hint="eastAsia"/>
          <w:szCs w:val="21"/>
        </w:rPr>
        <w:t>6.5.6.2.2 工厂废水应清污分流、分类收集、分质处理。</w:t>
      </w:r>
    </w:p>
    <w:p w14:paraId="5AA4E18F" w14:textId="77777777" w:rsidR="00B50C5D" w:rsidRDefault="00FA0E9F">
      <w:pPr>
        <w:spacing w:line="360" w:lineRule="auto"/>
        <w:rPr>
          <w:rFonts w:ascii="宋体" w:hAnsi="宋体" w:cs="宋体"/>
          <w:szCs w:val="21"/>
        </w:rPr>
      </w:pPr>
      <w:r>
        <w:rPr>
          <w:rFonts w:ascii="宋体" w:hAnsi="宋体" w:cs="宋体" w:hint="eastAsia"/>
          <w:szCs w:val="21"/>
        </w:rPr>
        <w:t>6.5.6.2.3 工厂应加强防渗措施，防止地下水污染。</w:t>
      </w:r>
    </w:p>
    <w:p w14:paraId="026E235D" w14:textId="77777777" w:rsidR="00B50C5D" w:rsidRDefault="00FA0E9F">
      <w:pPr>
        <w:spacing w:line="360" w:lineRule="auto"/>
        <w:rPr>
          <w:rFonts w:ascii="宋体" w:hAnsi="宋体" w:cs="宋体"/>
          <w:szCs w:val="21"/>
        </w:rPr>
      </w:pPr>
      <w:r>
        <w:rPr>
          <w:rFonts w:ascii="宋体" w:hAnsi="宋体" w:cs="宋体" w:hint="eastAsia"/>
          <w:szCs w:val="21"/>
        </w:rPr>
        <w:t>6.5.6.2.4 工厂应建立水污染物排放台账，按HJ819要求开展自行监测和监控，并保存原始监测和监控记录。</w:t>
      </w:r>
    </w:p>
    <w:p w14:paraId="564F564A" w14:textId="77777777" w:rsidR="00B50C5D" w:rsidRDefault="00FA0E9F">
      <w:pPr>
        <w:spacing w:line="360" w:lineRule="auto"/>
        <w:rPr>
          <w:rFonts w:ascii="宋体" w:hAnsi="宋体" w:cs="宋体"/>
          <w:szCs w:val="21"/>
        </w:rPr>
      </w:pPr>
      <w:r>
        <w:rPr>
          <w:rFonts w:ascii="宋体" w:hAnsi="宋体" w:cs="宋体" w:hint="eastAsia"/>
          <w:szCs w:val="21"/>
        </w:rPr>
        <w:t>6.5.6.2.5 工厂宜在厂区污水排放口建设配套在线污染物监测设施并与当地环保部门联网。</w:t>
      </w:r>
    </w:p>
    <w:p w14:paraId="3CAE34DE" w14:textId="77777777" w:rsidR="00B50C5D" w:rsidRDefault="00FA0E9F">
      <w:pPr>
        <w:spacing w:line="360" w:lineRule="auto"/>
        <w:rPr>
          <w:rFonts w:ascii="宋体" w:hAnsi="宋体" w:cs="宋体"/>
          <w:szCs w:val="21"/>
        </w:rPr>
      </w:pPr>
      <w:r>
        <w:rPr>
          <w:rFonts w:ascii="宋体" w:hAnsi="宋体" w:cs="宋体" w:hint="eastAsia"/>
          <w:szCs w:val="21"/>
        </w:rPr>
        <w:t>6.5.6.2.6 工厂主要水污染物排放宜满足标准中更高等级的要求。</w:t>
      </w:r>
    </w:p>
    <w:p w14:paraId="022F0D48" w14:textId="77777777" w:rsidR="00B50C5D" w:rsidRDefault="00FA0E9F">
      <w:pPr>
        <w:spacing w:line="360" w:lineRule="auto"/>
        <w:outlineLvl w:val="0"/>
        <w:rPr>
          <w:rFonts w:ascii="宋体" w:hAnsi="宋体" w:cs="宋体"/>
          <w:szCs w:val="21"/>
        </w:rPr>
      </w:pPr>
      <w:bookmarkStart w:id="23" w:name="_Toc5846383"/>
      <w:bookmarkStart w:id="24" w:name="_Toc46929949"/>
      <w:r>
        <w:rPr>
          <w:rFonts w:ascii="宋体" w:hAnsi="宋体" w:cs="宋体" w:hint="eastAsia"/>
          <w:szCs w:val="21"/>
        </w:rPr>
        <w:lastRenderedPageBreak/>
        <w:t>6.5.6.3  固体废物</w:t>
      </w:r>
      <w:bookmarkEnd w:id="23"/>
      <w:bookmarkEnd w:id="24"/>
    </w:p>
    <w:p w14:paraId="621D3475" w14:textId="77777777" w:rsidR="00B50C5D" w:rsidRDefault="00FA0E9F">
      <w:pPr>
        <w:spacing w:line="360" w:lineRule="auto"/>
        <w:rPr>
          <w:rFonts w:ascii="宋体" w:hAnsi="宋体" w:cs="宋体"/>
          <w:szCs w:val="21"/>
        </w:rPr>
      </w:pPr>
      <w:bookmarkStart w:id="25" w:name="_Toc5846384"/>
      <w:r>
        <w:rPr>
          <w:rFonts w:ascii="宋体" w:hAnsi="宋体" w:cs="宋体" w:hint="eastAsia"/>
          <w:szCs w:val="21"/>
        </w:rPr>
        <w:t>6.5.6.3.1 工厂固体废物的贮存、转移和处置应符合GB18597、GB18598和GB18599等相关标准的规定，在分类收集和处理固体废物的过程中采取无二次污染的预防措施。</w:t>
      </w:r>
    </w:p>
    <w:p w14:paraId="15725A47" w14:textId="77777777" w:rsidR="00B50C5D" w:rsidRDefault="00FA0E9F">
      <w:pPr>
        <w:spacing w:line="360" w:lineRule="auto"/>
        <w:rPr>
          <w:rFonts w:ascii="宋体" w:hAnsi="宋体" w:cs="宋体"/>
          <w:szCs w:val="21"/>
        </w:rPr>
      </w:pPr>
      <w:r>
        <w:rPr>
          <w:rFonts w:ascii="宋体" w:hAnsi="宋体" w:cs="宋体" w:hint="eastAsia"/>
          <w:szCs w:val="21"/>
        </w:rPr>
        <w:t>6.5.6.3.2 工厂无法自行处理的危险废物，应委托具有能力和资质的企业进行危险废物处理。</w:t>
      </w:r>
    </w:p>
    <w:p w14:paraId="5EFE243E" w14:textId="77777777" w:rsidR="00B50C5D" w:rsidRDefault="00FA0E9F">
      <w:pPr>
        <w:spacing w:line="360" w:lineRule="auto"/>
        <w:rPr>
          <w:rFonts w:ascii="宋体" w:hAnsi="宋体" w:cs="宋体"/>
          <w:szCs w:val="21"/>
        </w:rPr>
      </w:pPr>
      <w:r>
        <w:rPr>
          <w:rFonts w:ascii="宋体" w:hAnsi="宋体" w:cs="宋体" w:hint="eastAsia"/>
          <w:szCs w:val="21"/>
        </w:rPr>
        <w:t>6.5.6.3.3  工厂应建立危险固体废物处置台账，并保存处理记录。</w:t>
      </w:r>
    </w:p>
    <w:p w14:paraId="56C13F2E" w14:textId="77777777" w:rsidR="00B50C5D" w:rsidRDefault="00FA0E9F">
      <w:pPr>
        <w:spacing w:line="360" w:lineRule="auto"/>
        <w:rPr>
          <w:rFonts w:ascii="宋体" w:hAnsi="宋体" w:cs="宋体"/>
          <w:szCs w:val="21"/>
        </w:rPr>
      </w:pPr>
      <w:r>
        <w:rPr>
          <w:rFonts w:ascii="宋体" w:hAnsi="宋体" w:cs="宋体" w:hint="eastAsia"/>
          <w:szCs w:val="21"/>
        </w:rPr>
        <w:t>6.5.6.3.4 工厂宜针对自身产生的固体废物采用减量化、无害化、资源化的方式处理、处置和利用。</w:t>
      </w:r>
    </w:p>
    <w:p w14:paraId="4EA1ADB0" w14:textId="77777777" w:rsidR="00B50C5D" w:rsidRDefault="00FA0E9F">
      <w:pPr>
        <w:spacing w:line="360" w:lineRule="auto"/>
        <w:outlineLvl w:val="0"/>
        <w:rPr>
          <w:rFonts w:ascii="宋体" w:hAnsi="宋体" w:cs="宋体"/>
          <w:szCs w:val="21"/>
        </w:rPr>
      </w:pPr>
      <w:bookmarkStart w:id="26" w:name="_Toc46929950"/>
      <w:r>
        <w:rPr>
          <w:rFonts w:ascii="宋体" w:hAnsi="宋体" w:cs="宋体" w:hint="eastAsia"/>
          <w:szCs w:val="21"/>
        </w:rPr>
        <w:t>6.5.6.4  噪声</w:t>
      </w:r>
      <w:bookmarkEnd w:id="25"/>
      <w:bookmarkEnd w:id="26"/>
    </w:p>
    <w:p w14:paraId="2B911AF2" w14:textId="77777777" w:rsidR="00B50C5D" w:rsidRDefault="00FA0E9F">
      <w:pPr>
        <w:spacing w:line="360" w:lineRule="auto"/>
        <w:ind w:firstLineChars="200" w:firstLine="420"/>
        <w:rPr>
          <w:rFonts w:ascii="宋体" w:hAnsi="宋体" w:cs="宋体"/>
          <w:strike/>
          <w:szCs w:val="21"/>
        </w:rPr>
      </w:pPr>
      <w:bookmarkStart w:id="27" w:name="_Toc5846385"/>
      <w:r>
        <w:rPr>
          <w:rFonts w:ascii="宋体" w:hAnsi="宋体" w:cs="宋体" w:hint="eastAsia"/>
          <w:szCs w:val="21"/>
        </w:rPr>
        <w:t>工厂厂界噪声排放应符合GB12348或地方污染物排放要求和主要污染物排放总量控制规定，并满足HJ936关于排污许可和环境管理的要求。</w:t>
      </w:r>
    </w:p>
    <w:p w14:paraId="78C37FDD" w14:textId="77777777" w:rsidR="00B50C5D" w:rsidRDefault="00FA0E9F">
      <w:pPr>
        <w:spacing w:line="360" w:lineRule="auto"/>
        <w:outlineLvl w:val="0"/>
        <w:rPr>
          <w:rFonts w:ascii="宋体" w:hAnsi="宋体" w:cs="宋体"/>
          <w:szCs w:val="21"/>
        </w:rPr>
      </w:pPr>
      <w:bookmarkStart w:id="28" w:name="_Toc46929951"/>
      <w:r>
        <w:rPr>
          <w:rFonts w:ascii="宋体" w:hAnsi="宋体" w:cs="宋体" w:hint="eastAsia"/>
          <w:szCs w:val="21"/>
        </w:rPr>
        <w:t>6.5.6.5  温室气体排放</w:t>
      </w:r>
      <w:bookmarkEnd w:id="27"/>
      <w:bookmarkEnd w:id="28"/>
    </w:p>
    <w:p w14:paraId="7F0D4C33" w14:textId="77777777" w:rsidR="00B50C5D" w:rsidRDefault="00FA0E9F">
      <w:pPr>
        <w:spacing w:line="360" w:lineRule="auto"/>
        <w:rPr>
          <w:rFonts w:ascii="宋体" w:hAnsi="宋体" w:cs="宋体"/>
          <w:szCs w:val="21"/>
        </w:rPr>
      </w:pPr>
      <w:r>
        <w:rPr>
          <w:rFonts w:ascii="宋体" w:hAnsi="宋体" w:cs="宋体" w:hint="eastAsia"/>
          <w:szCs w:val="21"/>
        </w:rPr>
        <w:t>6.5.6.5.1 工厂应采用GB/T32150或适用的标准对其厂界范围内的温室气体排放进行核算和报告；</w:t>
      </w:r>
    </w:p>
    <w:p w14:paraId="3C3137BD" w14:textId="77777777" w:rsidR="00B50C5D" w:rsidRDefault="00FA0E9F">
      <w:pPr>
        <w:spacing w:line="360" w:lineRule="auto"/>
        <w:rPr>
          <w:rFonts w:ascii="宋体" w:hAnsi="宋体" w:cs="宋体"/>
          <w:szCs w:val="21"/>
        </w:rPr>
      </w:pPr>
      <w:r>
        <w:rPr>
          <w:rFonts w:ascii="宋体" w:hAnsi="宋体" w:cs="宋体" w:hint="eastAsia"/>
          <w:szCs w:val="21"/>
        </w:rPr>
        <w:t>6.5.6.5.2 工厂宜进行温室气体核查，核查结果宜对外公布。</w:t>
      </w:r>
    </w:p>
    <w:p w14:paraId="47342733" w14:textId="77777777" w:rsidR="00B50C5D" w:rsidRDefault="00FA0E9F">
      <w:pPr>
        <w:spacing w:line="360" w:lineRule="auto"/>
        <w:rPr>
          <w:rFonts w:ascii="宋体" w:hAnsi="宋体" w:cs="宋体"/>
          <w:szCs w:val="21"/>
        </w:rPr>
      </w:pPr>
      <w:r>
        <w:rPr>
          <w:rFonts w:ascii="宋体" w:hAnsi="宋体" w:cs="宋体" w:hint="eastAsia"/>
          <w:szCs w:val="21"/>
        </w:rPr>
        <w:t>6.5.6.5.3 可行时，工厂宜利用核算或核查结果对其温室气体的排放进行改善。</w:t>
      </w:r>
    </w:p>
    <w:p w14:paraId="36D0ABB1" w14:textId="77777777" w:rsidR="00B50C5D" w:rsidRDefault="00FA0E9F">
      <w:pPr>
        <w:pStyle w:val="a5"/>
        <w:ind w:firstLineChars="200" w:firstLine="420"/>
        <w:jc w:val="both"/>
        <w:rPr>
          <w:rFonts w:ascii="宋体" w:hAnsi="宋体" w:cs="宋体"/>
          <w:szCs w:val="21"/>
        </w:rPr>
      </w:pPr>
      <w:r>
        <w:rPr>
          <w:rFonts w:ascii="宋体" w:hAnsi="宋体" w:cs="宋体" w:hint="eastAsia"/>
          <w:szCs w:val="21"/>
        </w:rPr>
        <w:t>分别从大气污染物排放、水污染物排放、固体废物处置、噪声防治及温室气体等方面进行了规定。</w:t>
      </w:r>
    </w:p>
    <w:p w14:paraId="7E5768CF" w14:textId="77777777" w:rsidR="00B50C5D" w:rsidRDefault="00FA0E9F">
      <w:pPr>
        <w:pStyle w:val="a5"/>
        <w:ind w:firstLineChars="202" w:firstLine="424"/>
        <w:jc w:val="both"/>
        <w:rPr>
          <w:rFonts w:ascii="宋体" w:hAnsi="宋体" w:cs="宋体"/>
          <w:szCs w:val="21"/>
        </w:rPr>
      </w:pPr>
      <w:r>
        <w:rPr>
          <w:rFonts w:ascii="宋体" w:hAnsi="宋体" w:cs="宋体" w:hint="eastAsia"/>
          <w:szCs w:val="21"/>
        </w:rPr>
        <w:t xml:space="preserve">关于锡及锡合金生产企业执行的大气污染排放标准有：GB9078《工业炉窑大气污染物排放标准》、GB 16297《大气污染物综合排放标准》同时废气排放还需满足行业及地方大气污染物排放标准要求。  </w:t>
      </w:r>
    </w:p>
    <w:p w14:paraId="7A5CC049" w14:textId="77777777" w:rsidR="00B50C5D" w:rsidRDefault="00FA0E9F">
      <w:pPr>
        <w:pStyle w:val="a5"/>
        <w:ind w:firstLineChars="202" w:firstLine="424"/>
        <w:jc w:val="both"/>
        <w:rPr>
          <w:rFonts w:ascii="宋体" w:hAnsi="宋体" w:cs="宋体"/>
          <w:szCs w:val="21"/>
        </w:rPr>
      </w:pPr>
      <w:r>
        <w:rPr>
          <w:rFonts w:ascii="宋体" w:hAnsi="宋体" w:cs="宋体" w:hint="eastAsia"/>
          <w:szCs w:val="21"/>
        </w:rPr>
        <w:t>水污染物排放标准有：GB 8978《污水综合排放标准》，同时废水排放还需符合行业及地方水污染排放标准的要求。</w:t>
      </w:r>
    </w:p>
    <w:p w14:paraId="5349B0B9" w14:textId="77777777" w:rsidR="00B50C5D" w:rsidRDefault="00FA0E9F">
      <w:pPr>
        <w:pStyle w:val="a5"/>
        <w:ind w:firstLineChars="202" w:firstLine="424"/>
        <w:jc w:val="both"/>
        <w:rPr>
          <w:rFonts w:ascii="宋体" w:hAnsi="宋体" w:cs="宋体"/>
          <w:szCs w:val="21"/>
        </w:rPr>
      </w:pPr>
      <w:r>
        <w:rPr>
          <w:rFonts w:ascii="宋体" w:hAnsi="宋体" w:cs="宋体" w:hint="eastAsia"/>
          <w:szCs w:val="21"/>
        </w:rPr>
        <w:t>根据《中华人民共和国环境保护法》（2015.01.01施行），国家依照法律规定实行排污许可管理制度。实行排污许可管理的企业事业单位和其他生产经营者应当按照排污许可证的要求排放污染物。未取得排污许可证的，不得排放污染物。</w:t>
      </w:r>
    </w:p>
    <w:p w14:paraId="4D0D7AF4" w14:textId="77777777" w:rsidR="00B50C5D" w:rsidRDefault="00FA0E9F">
      <w:pPr>
        <w:pStyle w:val="a5"/>
        <w:ind w:firstLineChars="202" w:firstLine="424"/>
        <w:jc w:val="both"/>
        <w:rPr>
          <w:rFonts w:ascii="宋体" w:hAnsi="宋体" w:cs="宋体"/>
          <w:szCs w:val="21"/>
        </w:rPr>
      </w:pPr>
      <w:r>
        <w:rPr>
          <w:rFonts w:ascii="宋体" w:hAnsi="宋体" w:cs="宋体" w:hint="eastAsia"/>
          <w:szCs w:val="21"/>
        </w:rPr>
        <w:t xml:space="preserve">固体废物应按照GB 5085《危险废物鉴别标准》、GB34330《固体废物鉴别标准 通则》、《国家危险废物名录》等要求进行性质判定，明确固体废物类别，并采取相应污染防治措施。企业无法自行处置的固体废物，需委托具有能力和资质的企业进行固体废物处置。危险废物严格按照国家危险废物管理要求进行管理。   </w:t>
      </w:r>
    </w:p>
    <w:p w14:paraId="1932C300" w14:textId="77777777" w:rsidR="00B50C5D" w:rsidRDefault="00FA0E9F">
      <w:pPr>
        <w:pStyle w:val="a5"/>
        <w:ind w:firstLineChars="202" w:firstLine="424"/>
        <w:jc w:val="both"/>
        <w:rPr>
          <w:rFonts w:ascii="宋体" w:hAnsi="宋体" w:cs="宋体"/>
          <w:szCs w:val="21"/>
        </w:rPr>
      </w:pPr>
      <w:r>
        <w:rPr>
          <w:rFonts w:ascii="宋体" w:hAnsi="宋体" w:cs="宋体" w:hint="eastAsia"/>
          <w:szCs w:val="21"/>
        </w:rPr>
        <w:t>通过调研发现，目前锡及锡合金的危废包含三大类：锡火法冶炼的渣、废活性炭、废矿物油，处理方式均为交有资质的处理机构进行处理，详见表2。</w:t>
      </w:r>
    </w:p>
    <w:p w14:paraId="4B6FA11B" w14:textId="77777777" w:rsidR="00B50C5D" w:rsidRDefault="00FA0E9F">
      <w:pPr>
        <w:snapToGrid w:val="0"/>
        <w:spacing w:line="360" w:lineRule="exact"/>
        <w:jc w:val="center"/>
        <w:rPr>
          <w:rFonts w:ascii="宋体" w:hAnsi="宋体" w:cs="宋体"/>
          <w:szCs w:val="21"/>
        </w:rPr>
      </w:pPr>
      <w:r>
        <w:rPr>
          <w:rFonts w:ascii="宋体" w:hAnsi="宋体" w:cs="宋体" w:hint="eastAsia"/>
          <w:szCs w:val="21"/>
        </w:rPr>
        <w:t>表2 危险废物清单</w:t>
      </w:r>
    </w:p>
    <w:tbl>
      <w:tblPr>
        <w:tblStyle w:val="ad"/>
        <w:tblW w:w="9286" w:type="dxa"/>
        <w:jc w:val="center"/>
        <w:tblLayout w:type="fixed"/>
        <w:tblLook w:val="04A0" w:firstRow="1" w:lastRow="0" w:firstColumn="1" w:lastColumn="0" w:noHBand="0" w:noVBand="1"/>
      </w:tblPr>
      <w:tblGrid>
        <w:gridCol w:w="4629"/>
        <w:gridCol w:w="4657"/>
      </w:tblGrid>
      <w:tr w:rsidR="00B50C5D" w14:paraId="321EDD38" w14:textId="77777777">
        <w:trPr>
          <w:jc w:val="center"/>
        </w:trPr>
        <w:tc>
          <w:tcPr>
            <w:tcW w:w="4629" w:type="dxa"/>
            <w:tcBorders>
              <w:top w:val="single" w:sz="8" w:space="0" w:color="auto"/>
              <w:left w:val="single" w:sz="8" w:space="0" w:color="auto"/>
              <w:bottom w:val="single" w:sz="8" w:space="0" w:color="auto"/>
            </w:tcBorders>
            <w:vAlign w:val="center"/>
          </w:tcPr>
          <w:p w14:paraId="148454F0" w14:textId="77777777" w:rsidR="00B50C5D" w:rsidRDefault="00FA0E9F">
            <w:pPr>
              <w:snapToGrid w:val="0"/>
              <w:spacing w:line="360" w:lineRule="exact"/>
              <w:jc w:val="center"/>
              <w:rPr>
                <w:rFonts w:ascii="宋体" w:hAnsi="宋体" w:cs="宋体"/>
                <w:szCs w:val="21"/>
              </w:rPr>
            </w:pPr>
            <w:r>
              <w:rPr>
                <w:rFonts w:ascii="宋体" w:hAnsi="宋体" w:cs="宋体" w:hint="eastAsia"/>
                <w:szCs w:val="21"/>
              </w:rPr>
              <w:t>危废名称</w:t>
            </w:r>
          </w:p>
        </w:tc>
        <w:tc>
          <w:tcPr>
            <w:tcW w:w="4657" w:type="dxa"/>
            <w:tcBorders>
              <w:top w:val="single" w:sz="8" w:space="0" w:color="auto"/>
              <w:bottom w:val="single" w:sz="8" w:space="0" w:color="auto"/>
              <w:right w:val="single" w:sz="8" w:space="0" w:color="auto"/>
            </w:tcBorders>
            <w:vAlign w:val="center"/>
          </w:tcPr>
          <w:p w14:paraId="33BB43A5" w14:textId="77777777" w:rsidR="00B50C5D" w:rsidRDefault="00FA0E9F">
            <w:pPr>
              <w:snapToGrid w:val="0"/>
              <w:spacing w:line="360" w:lineRule="exact"/>
              <w:jc w:val="center"/>
              <w:rPr>
                <w:rFonts w:ascii="宋体" w:hAnsi="宋体" w:cs="宋体"/>
                <w:szCs w:val="21"/>
              </w:rPr>
            </w:pPr>
            <w:r>
              <w:rPr>
                <w:rFonts w:ascii="宋体" w:hAnsi="宋体" w:cs="宋体" w:hint="eastAsia"/>
                <w:szCs w:val="21"/>
              </w:rPr>
              <w:t>处理方式</w:t>
            </w:r>
          </w:p>
        </w:tc>
      </w:tr>
      <w:tr w:rsidR="00B50C5D" w14:paraId="06175CCF" w14:textId="77777777">
        <w:trPr>
          <w:trHeight w:val="320"/>
          <w:jc w:val="center"/>
        </w:trPr>
        <w:tc>
          <w:tcPr>
            <w:tcW w:w="4629" w:type="dxa"/>
            <w:tcBorders>
              <w:top w:val="single" w:sz="8" w:space="0" w:color="auto"/>
              <w:left w:val="single" w:sz="8" w:space="0" w:color="auto"/>
            </w:tcBorders>
            <w:vAlign w:val="center"/>
          </w:tcPr>
          <w:p w14:paraId="651983BC" w14:textId="77777777" w:rsidR="00B50C5D" w:rsidRDefault="00FA0E9F">
            <w:pPr>
              <w:snapToGrid w:val="0"/>
              <w:spacing w:line="360" w:lineRule="exact"/>
              <w:jc w:val="center"/>
              <w:rPr>
                <w:rFonts w:ascii="宋体" w:hAnsi="宋体" w:cs="宋体"/>
                <w:szCs w:val="21"/>
              </w:rPr>
            </w:pPr>
            <w:r>
              <w:rPr>
                <w:rFonts w:ascii="宋体" w:hAnsi="宋体" w:cs="宋体" w:hint="eastAsia"/>
                <w:szCs w:val="21"/>
              </w:rPr>
              <w:t>废活性炭</w:t>
            </w:r>
          </w:p>
        </w:tc>
        <w:tc>
          <w:tcPr>
            <w:tcW w:w="4657" w:type="dxa"/>
            <w:vMerge w:val="restart"/>
            <w:tcBorders>
              <w:top w:val="single" w:sz="8" w:space="0" w:color="auto"/>
              <w:right w:val="single" w:sz="8" w:space="0" w:color="auto"/>
            </w:tcBorders>
            <w:vAlign w:val="center"/>
          </w:tcPr>
          <w:p w14:paraId="1EDFADB3" w14:textId="77777777" w:rsidR="00B50C5D" w:rsidRDefault="00FA0E9F">
            <w:pPr>
              <w:snapToGrid w:val="0"/>
              <w:spacing w:line="360" w:lineRule="exact"/>
              <w:jc w:val="center"/>
              <w:rPr>
                <w:rFonts w:ascii="宋体" w:hAnsi="宋体" w:cs="宋体"/>
                <w:szCs w:val="21"/>
              </w:rPr>
            </w:pPr>
            <w:r>
              <w:rPr>
                <w:rFonts w:ascii="宋体" w:hAnsi="宋体" w:cs="宋体" w:hint="eastAsia"/>
                <w:szCs w:val="21"/>
              </w:rPr>
              <w:t>交有资质的处理机构处理</w:t>
            </w:r>
          </w:p>
        </w:tc>
      </w:tr>
      <w:tr w:rsidR="00B50C5D" w14:paraId="03D699D3" w14:textId="77777777">
        <w:trPr>
          <w:jc w:val="center"/>
        </w:trPr>
        <w:tc>
          <w:tcPr>
            <w:tcW w:w="4629" w:type="dxa"/>
            <w:tcBorders>
              <w:left w:val="single" w:sz="8" w:space="0" w:color="auto"/>
            </w:tcBorders>
            <w:vAlign w:val="center"/>
          </w:tcPr>
          <w:p w14:paraId="49502E31" w14:textId="77777777" w:rsidR="00B50C5D" w:rsidRDefault="00FA0E9F">
            <w:pPr>
              <w:snapToGrid w:val="0"/>
              <w:spacing w:line="360" w:lineRule="exact"/>
              <w:jc w:val="center"/>
              <w:rPr>
                <w:rFonts w:ascii="宋体" w:hAnsi="宋体" w:cs="宋体"/>
                <w:szCs w:val="21"/>
              </w:rPr>
            </w:pPr>
            <w:r>
              <w:rPr>
                <w:rFonts w:ascii="宋体" w:hAnsi="宋体" w:cs="宋体" w:hint="eastAsia"/>
                <w:szCs w:val="21"/>
              </w:rPr>
              <w:lastRenderedPageBreak/>
              <w:t>废矿物油</w:t>
            </w:r>
          </w:p>
        </w:tc>
        <w:tc>
          <w:tcPr>
            <w:tcW w:w="4657" w:type="dxa"/>
            <w:vMerge/>
            <w:tcBorders>
              <w:right w:val="single" w:sz="8" w:space="0" w:color="auto"/>
            </w:tcBorders>
            <w:vAlign w:val="center"/>
          </w:tcPr>
          <w:p w14:paraId="2408E219" w14:textId="77777777" w:rsidR="00B50C5D" w:rsidRDefault="00B50C5D">
            <w:pPr>
              <w:snapToGrid w:val="0"/>
              <w:spacing w:line="360" w:lineRule="exact"/>
              <w:jc w:val="center"/>
              <w:rPr>
                <w:rFonts w:ascii="宋体" w:hAnsi="宋体" w:cs="宋体"/>
                <w:szCs w:val="21"/>
              </w:rPr>
            </w:pPr>
          </w:p>
        </w:tc>
      </w:tr>
      <w:tr w:rsidR="00B50C5D" w14:paraId="5CCE2648" w14:textId="77777777">
        <w:trPr>
          <w:trHeight w:val="349"/>
          <w:jc w:val="center"/>
        </w:trPr>
        <w:tc>
          <w:tcPr>
            <w:tcW w:w="4629" w:type="dxa"/>
            <w:tcBorders>
              <w:left w:val="single" w:sz="8" w:space="0" w:color="auto"/>
              <w:bottom w:val="single" w:sz="8" w:space="0" w:color="auto"/>
            </w:tcBorders>
            <w:vAlign w:val="center"/>
          </w:tcPr>
          <w:p w14:paraId="5AD7E4BB" w14:textId="77777777" w:rsidR="00B50C5D" w:rsidRDefault="00FA0E9F">
            <w:pPr>
              <w:snapToGrid w:val="0"/>
              <w:spacing w:line="360" w:lineRule="exact"/>
              <w:jc w:val="center"/>
              <w:rPr>
                <w:rFonts w:ascii="宋体" w:hAnsi="宋体" w:cs="宋体"/>
                <w:szCs w:val="21"/>
              </w:rPr>
            </w:pPr>
            <w:r>
              <w:rPr>
                <w:rFonts w:ascii="宋体" w:hAnsi="宋体" w:cs="宋体" w:hint="eastAsia"/>
                <w:szCs w:val="21"/>
              </w:rPr>
              <w:t>锡火法冶炼的渣</w:t>
            </w:r>
          </w:p>
        </w:tc>
        <w:tc>
          <w:tcPr>
            <w:tcW w:w="4657" w:type="dxa"/>
            <w:tcBorders>
              <w:bottom w:val="single" w:sz="8" w:space="0" w:color="auto"/>
              <w:right w:val="single" w:sz="8" w:space="0" w:color="auto"/>
            </w:tcBorders>
            <w:vAlign w:val="center"/>
          </w:tcPr>
          <w:p w14:paraId="276EB2CD" w14:textId="77777777" w:rsidR="00B50C5D" w:rsidRDefault="00FA0E9F">
            <w:pPr>
              <w:snapToGrid w:val="0"/>
              <w:spacing w:line="360" w:lineRule="exact"/>
              <w:jc w:val="center"/>
              <w:rPr>
                <w:rFonts w:ascii="宋体" w:hAnsi="宋体" w:cs="宋体"/>
                <w:szCs w:val="21"/>
              </w:rPr>
            </w:pPr>
            <w:r>
              <w:rPr>
                <w:rFonts w:ascii="宋体" w:hAnsi="宋体" w:cs="宋体" w:hint="eastAsia"/>
                <w:szCs w:val="21"/>
              </w:rPr>
              <w:t>交有资质的处理机构处理</w:t>
            </w:r>
          </w:p>
        </w:tc>
      </w:tr>
    </w:tbl>
    <w:p w14:paraId="6B9F80C1" w14:textId="77777777" w:rsidR="00B50C5D" w:rsidRDefault="00FA0E9F">
      <w:pPr>
        <w:pStyle w:val="a5"/>
        <w:ind w:firstLineChars="202" w:firstLine="424"/>
        <w:jc w:val="both"/>
        <w:rPr>
          <w:rFonts w:ascii="宋体" w:hAnsi="宋体" w:cs="宋体"/>
          <w:szCs w:val="21"/>
        </w:rPr>
      </w:pPr>
      <w:r>
        <w:rPr>
          <w:rFonts w:ascii="宋体" w:hAnsi="宋体" w:cs="宋体" w:hint="eastAsia"/>
          <w:szCs w:val="21"/>
        </w:rPr>
        <w:t>根据《中华人民共和国环境噪声污染防治法》，工业噪声是指在工业生产活动中使用固定的设备时产生的干扰周围生活环境的声音。根据锡及锡合金行业特点，各生产工序（熔铸、轧制、挤压、拉伸、退火、酸洗、辅助工序）等敏感噪声源及工人长期工作场所的噪声限值不大于85dB。工厂厂界噪声应符合《工业企业厂界GB 12348环境噪声排放标准》中的规定。详见表3。</w:t>
      </w:r>
    </w:p>
    <w:p w14:paraId="611B5BD4" w14:textId="77777777" w:rsidR="00B50C5D" w:rsidRDefault="00FA0E9F">
      <w:pPr>
        <w:snapToGrid w:val="0"/>
        <w:spacing w:line="360" w:lineRule="exact"/>
        <w:jc w:val="center"/>
        <w:rPr>
          <w:rFonts w:ascii="宋体" w:hAnsi="宋体" w:cs="宋体"/>
          <w:szCs w:val="21"/>
        </w:rPr>
      </w:pPr>
      <w:r>
        <w:rPr>
          <w:rFonts w:ascii="宋体" w:hAnsi="宋体" w:cs="宋体" w:hint="eastAsia"/>
          <w:szCs w:val="21"/>
        </w:rPr>
        <w:t>表3  敏感噪声源和工人长期工作场所</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2656"/>
        <w:gridCol w:w="3935"/>
      </w:tblGrid>
      <w:tr w:rsidR="00B50C5D" w14:paraId="0C054EAC" w14:textId="77777777">
        <w:trPr>
          <w:jc w:val="center"/>
        </w:trPr>
        <w:tc>
          <w:tcPr>
            <w:tcW w:w="5351" w:type="dxa"/>
            <w:gridSpan w:val="2"/>
            <w:tcBorders>
              <w:top w:val="single" w:sz="8" w:space="0" w:color="auto"/>
              <w:left w:val="single" w:sz="8" w:space="0" w:color="auto"/>
              <w:bottom w:val="single" w:sz="8" w:space="0" w:color="auto"/>
            </w:tcBorders>
            <w:vAlign w:val="center"/>
          </w:tcPr>
          <w:p w14:paraId="719ECD9F" w14:textId="77777777" w:rsidR="00B50C5D" w:rsidRDefault="00FA0E9F">
            <w:pPr>
              <w:snapToGrid w:val="0"/>
              <w:spacing w:line="360" w:lineRule="exact"/>
              <w:jc w:val="center"/>
              <w:rPr>
                <w:rFonts w:ascii="宋体" w:hAnsi="宋体" w:cs="宋体"/>
                <w:szCs w:val="21"/>
              </w:rPr>
            </w:pPr>
            <w:r>
              <w:rPr>
                <w:rFonts w:ascii="宋体" w:hAnsi="宋体" w:cs="宋体" w:hint="eastAsia"/>
                <w:szCs w:val="21"/>
              </w:rPr>
              <w:t>敏感噪声源及工人长期工作场所</w:t>
            </w:r>
          </w:p>
        </w:tc>
        <w:tc>
          <w:tcPr>
            <w:tcW w:w="3935" w:type="dxa"/>
            <w:tcBorders>
              <w:top w:val="single" w:sz="8" w:space="0" w:color="auto"/>
              <w:bottom w:val="single" w:sz="8" w:space="0" w:color="auto"/>
              <w:right w:val="single" w:sz="8" w:space="0" w:color="auto"/>
            </w:tcBorders>
            <w:vAlign w:val="center"/>
          </w:tcPr>
          <w:p w14:paraId="74434565" w14:textId="77777777" w:rsidR="00B50C5D" w:rsidRDefault="00FA0E9F">
            <w:pPr>
              <w:snapToGrid w:val="0"/>
              <w:spacing w:line="360" w:lineRule="exact"/>
              <w:jc w:val="center"/>
              <w:rPr>
                <w:rFonts w:ascii="宋体" w:hAnsi="宋体" w:cs="宋体"/>
                <w:szCs w:val="21"/>
              </w:rPr>
            </w:pPr>
            <w:r>
              <w:rPr>
                <w:rFonts w:ascii="宋体" w:hAnsi="宋体" w:cs="宋体" w:hint="eastAsia"/>
                <w:szCs w:val="21"/>
              </w:rPr>
              <w:t>噪声限值</w:t>
            </w:r>
          </w:p>
          <w:p w14:paraId="53CA1E9D" w14:textId="77777777" w:rsidR="00B50C5D" w:rsidRDefault="00FA0E9F">
            <w:pPr>
              <w:snapToGrid w:val="0"/>
              <w:spacing w:line="360" w:lineRule="exact"/>
              <w:jc w:val="center"/>
              <w:rPr>
                <w:rFonts w:ascii="宋体" w:hAnsi="宋体" w:cs="宋体"/>
                <w:szCs w:val="21"/>
              </w:rPr>
            </w:pPr>
            <w:r>
              <w:rPr>
                <w:rFonts w:ascii="宋体" w:hAnsi="宋体" w:cs="宋体" w:hint="eastAsia"/>
                <w:szCs w:val="21"/>
              </w:rPr>
              <w:t>dB，不大于</w:t>
            </w:r>
          </w:p>
        </w:tc>
      </w:tr>
      <w:tr w:rsidR="00B50C5D" w14:paraId="0D7EC9F4" w14:textId="77777777">
        <w:trPr>
          <w:trHeight w:val="163"/>
          <w:jc w:val="center"/>
        </w:trPr>
        <w:tc>
          <w:tcPr>
            <w:tcW w:w="2695" w:type="dxa"/>
            <w:vMerge w:val="restart"/>
            <w:tcBorders>
              <w:top w:val="single" w:sz="8" w:space="0" w:color="auto"/>
              <w:left w:val="single" w:sz="8" w:space="0" w:color="auto"/>
            </w:tcBorders>
            <w:vAlign w:val="center"/>
          </w:tcPr>
          <w:p w14:paraId="42A7C399" w14:textId="77777777" w:rsidR="00B50C5D" w:rsidRDefault="00FA0E9F">
            <w:pPr>
              <w:snapToGrid w:val="0"/>
              <w:spacing w:line="360" w:lineRule="exact"/>
              <w:jc w:val="center"/>
              <w:rPr>
                <w:rFonts w:ascii="宋体" w:hAnsi="宋体" w:cs="宋体"/>
                <w:szCs w:val="21"/>
              </w:rPr>
            </w:pPr>
            <w:r>
              <w:rPr>
                <w:rFonts w:ascii="宋体" w:hAnsi="宋体" w:cs="宋体" w:hint="eastAsia"/>
                <w:szCs w:val="21"/>
              </w:rPr>
              <w:t>各生产工序</w:t>
            </w:r>
          </w:p>
        </w:tc>
        <w:tc>
          <w:tcPr>
            <w:tcW w:w="2656" w:type="dxa"/>
            <w:tcBorders>
              <w:top w:val="single" w:sz="8" w:space="0" w:color="auto"/>
              <w:left w:val="single" w:sz="8" w:space="0" w:color="auto"/>
            </w:tcBorders>
            <w:vAlign w:val="center"/>
          </w:tcPr>
          <w:p w14:paraId="39079761" w14:textId="77777777" w:rsidR="00B50C5D" w:rsidRDefault="00FA0E9F">
            <w:pPr>
              <w:snapToGrid w:val="0"/>
              <w:spacing w:line="360" w:lineRule="exact"/>
              <w:jc w:val="center"/>
              <w:rPr>
                <w:rFonts w:ascii="宋体" w:hAnsi="宋体" w:cs="宋体"/>
                <w:szCs w:val="21"/>
              </w:rPr>
            </w:pPr>
            <w:r>
              <w:rPr>
                <w:rFonts w:ascii="宋体" w:hAnsi="宋体" w:cs="宋体" w:hint="eastAsia"/>
                <w:szCs w:val="21"/>
              </w:rPr>
              <w:t>熔铸工序</w:t>
            </w:r>
          </w:p>
        </w:tc>
        <w:tc>
          <w:tcPr>
            <w:tcW w:w="3935" w:type="dxa"/>
            <w:tcBorders>
              <w:top w:val="single" w:sz="8" w:space="0" w:color="auto"/>
              <w:bottom w:val="single" w:sz="4" w:space="0" w:color="auto"/>
              <w:right w:val="single" w:sz="8" w:space="0" w:color="auto"/>
            </w:tcBorders>
            <w:vAlign w:val="center"/>
          </w:tcPr>
          <w:p w14:paraId="7347330F" w14:textId="77777777" w:rsidR="00B50C5D" w:rsidRDefault="00FA0E9F">
            <w:pPr>
              <w:snapToGrid w:val="0"/>
              <w:spacing w:line="360" w:lineRule="exact"/>
              <w:jc w:val="center"/>
              <w:rPr>
                <w:rFonts w:ascii="宋体" w:hAnsi="宋体" w:cs="宋体"/>
                <w:szCs w:val="21"/>
              </w:rPr>
            </w:pPr>
            <w:r>
              <w:rPr>
                <w:rFonts w:ascii="宋体" w:hAnsi="宋体" w:cs="宋体" w:hint="eastAsia"/>
                <w:szCs w:val="21"/>
              </w:rPr>
              <w:t>85</w:t>
            </w:r>
          </w:p>
        </w:tc>
      </w:tr>
      <w:tr w:rsidR="00B50C5D" w14:paraId="1E13028E" w14:textId="77777777">
        <w:trPr>
          <w:trHeight w:val="163"/>
          <w:jc w:val="center"/>
        </w:trPr>
        <w:tc>
          <w:tcPr>
            <w:tcW w:w="2695" w:type="dxa"/>
            <w:vMerge/>
            <w:tcBorders>
              <w:left w:val="single" w:sz="8" w:space="0" w:color="auto"/>
            </w:tcBorders>
            <w:vAlign w:val="center"/>
          </w:tcPr>
          <w:p w14:paraId="541640B9" w14:textId="77777777" w:rsidR="00B50C5D" w:rsidRDefault="00B50C5D">
            <w:pPr>
              <w:snapToGrid w:val="0"/>
              <w:spacing w:line="360" w:lineRule="exact"/>
              <w:jc w:val="center"/>
              <w:rPr>
                <w:rFonts w:ascii="宋体" w:hAnsi="宋体" w:cs="宋体"/>
                <w:szCs w:val="21"/>
              </w:rPr>
            </w:pPr>
          </w:p>
        </w:tc>
        <w:tc>
          <w:tcPr>
            <w:tcW w:w="2656" w:type="dxa"/>
            <w:tcBorders>
              <w:top w:val="single" w:sz="8" w:space="0" w:color="auto"/>
              <w:left w:val="single" w:sz="8" w:space="0" w:color="auto"/>
            </w:tcBorders>
            <w:vAlign w:val="center"/>
          </w:tcPr>
          <w:p w14:paraId="74BDE40D" w14:textId="77777777" w:rsidR="00B50C5D" w:rsidRDefault="00FA0E9F">
            <w:pPr>
              <w:snapToGrid w:val="0"/>
              <w:spacing w:line="360" w:lineRule="exact"/>
              <w:jc w:val="center"/>
              <w:rPr>
                <w:rFonts w:ascii="宋体" w:hAnsi="宋体" w:cs="宋体"/>
                <w:szCs w:val="21"/>
              </w:rPr>
            </w:pPr>
            <w:r>
              <w:rPr>
                <w:rFonts w:ascii="宋体" w:hAnsi="宋体" w:cs="宋体" w:hint="eastAsia"/>
                <w:szCs w:val="21"/>
              </w:rPr>
              <w:t>轧制工序</w:t>
            </w:r>
          </w:p>
        </w:tc>
        <w:tc>
          <w:tcPr>
            <w:tcW w:w="3935" w:type="dxa"/>
            <w:tcBorders>
              <w:top w:val="single" w:sz="8" w:space="0" w:color="auto"/>
              <w:bottom w:val="single" w:sz="4" w:space="0" w:color="auto"/>
              <w:right w:val="single" w:sz="8" w:space="0" w:color="auto"/>
            </w:tcBorders>
          </w:tcPr>
          <w:p w14:paraId="33E2C7AD" w14:textId="77777777" w:rsidR="00B50C5D" w:rsidRDefault="00FA0E9F">
            <w:pPr>
              <w:snapToGrid w:val="0"/>
              <w:spacing w:line="360" w:lineRule="exact"/>
              <w:jc w:val="center"/>
              <w:rPr>
                <w:rFonts w:ascii="宋体" w:hAnsi="宋体" w:cs="宋体"/>
                <w:szCs w:val="21"/>
              </w:rPr>
            </w:pPr>
            <w:r>
              <w:rPr>
                <w:rFonts w:ascii="宋体" w:hAnsi="宋体" w:cs="宋体" w:hint="eastAsia"/>
                <w:szCs w:val="21"/>
              </w:rPr>
              <w:t>85</w:t>
            </w:r>
          </w:p>
        </w:tc>
      </w:tr>
      <w:tr w:rsidR="00B50C5D" w14:paraId="2D199EDA" w14:textId="77777777">
        <w:trPr>
          <w:trHeight w:val="163"/>
          <w:jc w:val="center"/>
        </w:trPr>
        <w:tc>
          <w:tcPr>
            <w:tcW w:w="2695" w:type="dxa"/>
            <w:vMerge/>
            <w:tcBorders>
              <w:left w:val="single" w:sz="8" w:space="0" w:color="auto"/>
            </w:tcBorders>
            <w:vAlign w:val="center"/>
          </w:tcPr>
          <w:p w14:paraId="5A55B8BB" w14:textId="77777777" w:rsidR="00B50C5D" w:rsidRDefault="00B50C5D">
            <w:pPr>
              <w:snapToGrid w:val="0"/>
              <w:spacing w:line="360" w:lineRule="exact"/>
              <w:jc w:val="center"/>
              <w:rPr>
                <w:rFonts w:ascii="宋体" w:hAnsi="宋体" w:cs="宋体"/>
                <w:szCs w:val="21"/>
              </w:rPr>
            </w:pPr>
          </w:p>
        </w:tc>
        <w:tc>
          <w:tcPr>
            <w:tcW w:w="2656" w:type="dxa"/>
            <w:tcBorders>
              <w:top w:val="single" w:sz="8" w:space="0" w:color="auto"/>
              <w:left w:val="single" w:sz="8" w:space="0" w:color="auto"/>
            </w:tcBorders>
            <w:vAlign w:val="center"/>
          </w:tcPr>
          <w:p w14:paraId="259CD226" w14:textId="77777777" w:rsidR="00B50C5D" w:rsidRDefault="00FA0E9F">
            <w:pPr>
              <w:snapToGrid w:val="0"/>
              <w:spacing w:line="360" w:lineRule="exact"/>
              <w:jc w:val="center"/>
              <w:rPr>
                <w:rFonts w:ascii="宋体" w:hAnsi="宋体" w:cs="宋体"/>
                <w:szCs w:val="21"/>
              </w:rPr>
            </w:pPr>
            <w:r>
              <w:rPr>
                <w:rFonts w:ascii="宋体" w:hAnsi="宋体" w:cs="宋体" w:hint="eastAsia"/>
                <w:szCs w:val="21"/>
              </w:rPr>
              <w:t>挤压工序</w:t>
            </w:r>
          </w:p>
        </w:tc>
        <w:tc>
          <w:tcPr>
            <w:tcW w:w="3935" w:type="dxa"/>
            <w:tcBorders>
              <w:top w:val="single" w:sz="8" w:space="0" w:color="auto"/>
              <w:bottom w:val="single" w:sz="4" w:space="0" w:color="auto"/>
              <w:right w:val="single" w:sz="8" w:space="0" w:color="auto"/>
            </w:tcBorders>
          </w:tcPr>
          <w:p w14:paraId="0C36CB15" w14:textId="77777777" w:rsidR="00B50C5D" w:rsidRDefault="00FA0E9F">
            <w:pPr>
              <w:snapToGrid w:val="0"/>
              <w:spacing w:line="360" w:lineRule="exact"/>
              <w:jc w:val="center"/>
              <w:rPr>
                <w:rFonts w:ascii="宋体" w:hAnsi="宋体" w:cs="宋体"/>
                <w:szCs w:val="21"/>
              </w:rPr>
            </w:pPr>
            <w:r>
              <w:rPr>
                <w:rFonts w:ascii="宋体" w:hAnsi="宋体" w:cs="宋体" w:hint="eastAsia"/>
                <w:szCs w:val="21"/>
              </w:rPr>
              <w:t>85</w:t>
            </w:r>
          </w:p>
        </w:tc>
      </w:tr>
      <w:tr w:rsidR="00B50C5D" w14:paraId="2BD8111A" w14:textId="77777777">
        <w:trPr>
          <w:trHeight w:val="163"/>
          <w:jc w:val="center"/>
        </w:trPr>
        <w:tc>
          <w:tcPr>
            <w:tcW w:w="2695" w:type="dxa"/>
            <w:vMerge/>
            <w:tcBorders>
              <w:left w:val="single" w:sz="8" w:space="0" w:color="auto"/>
            </w:tcBorders>
            <w:vAlign w:val="center"/>
          </w:tcPr>
          <w:p w14:paraId="4AEFC9D7" w14:textId="77777777" w:rsidR="00B50C5D" w:rsidRDefault="00B50C5D">
            <w:pPr>
              <w:snapToGrid w:val="0"/>
              <w:spacing w:line="360" w:lineRule="exact"/>
              <w:jc w:val="center"/>
              <w:rPr>
                <w:rFonts w:ascii="宋体" w:hAnsi="宋体" w:cs="宋体"/>
                <w:szCs w:val="21"/>
              </w:rPr>
            </w:pPr>
          </w:p>
        </w:tc>
        <w:tc>
          <w:tcPr>
            <w:tcW w:w="2656" w:type="dxa"/>
            <w:tcBorders>
              <w:top w:val="single" w:sz="8" w:space="0" w:color="auto"/>
              <w:left w:val="single" w:sz="8" w:space="0" w:color="auto"/>
            </w:tcBorders>
            <w:vAlign w:val="center"/>
          </w:tcPr>
          <w:p w14:paraId="6C1F233B" w14:textId="77777777" w:rsidR="00B50C5D" w:rsidRDefault="00FA0E9F">
            <w:pPr>
              <w:snapToGrid w:val="0"/>
              <w:spacing w:line="360" w:lineRule="exact"/>
              <w:jc w:val="center"/>
              <w:rPr>
                <w:rFonts w:ascii="宋体" w:hAnsi="宋体" w:cs="宋体"/>
                <w:szCs w:val="21"/>
              </w:rPr>
            </w:pPr>
            <w:r>
              <w:rPr>
                <w:rFonts w:ascii="宋体" w:hAnsi="宋体" w:cs="宋体" w:hint="eastAsia"/>
                <w:szCs w:val="21"/>
              </w:rPr>
              <w:t>拉伸工序</w:t>
            </w:r>
          </w:p>
        </w:tc>
        <w:tc>
          <w:tcPr>
            <w:tcW w:w="3935" w:type="dxa"/>
            <w:tcBorders>
              <w:top w:val="single" w:sz="8" w:space="0" w:color="auto"/>
              <w:bottom w:val="single" w:sz="4" w:space="0" w:color="auto"/>
              <w:right w:val="single" w:sz="8" w:space="0" w:color="auto"/>
            </w:tcBorders>
          </w:tcPr>
          <w:p w14:paraId="01977E61" w14:textId="77777777" w:rsidR="00B50C5D" w:rsidRDefault="00FA0E9F">
            <w:pPr>
              <w:snapToGrid w:val="0"/>
              <w:spacing w:line="360" w:lineRule="exact"/>
              <w:jc w:val="center"/>
              <w:rPr>
                <w:rFonts w:ascii="宋体" w:hAnsi="宋体" w:cs="宋体"/>
                <w:szCs w:val="21"/>
              </w:rPr>
            </w:pPr>
            <w:r>
              <w:rPr>
                <w:rFonts w:ascii="宋体" w:hAnsi="宋体" w:cs="宋体" w:hint="eastAsia"/>
                <w:szCs w:val="21"/>
              </w:rPr>
              <w:t>85</w:t>
            </w:r>
          </w:p>
        </w:tc>
      </w:tr>
      <w:tr w:rsidR="00B50C5D" w14:paraId="47002C2A" w14:textId="77777777">
        <w:trPr>
          <w:trHeight w:val="338"/>
          <w:jc w:val="center"/>
        </w:trPr>
        <w:tc>
          <w:tcPr>
            <w:tcW w:w="2695" w:type="dxa"/>
            <w:vMerge/>
            <w:tcBorders>
              <w:left w:val="single" w:sz="8" w:space="0" w:color="auto"/>
            </w:tcBorders>
            <w:vAlign w:val="center"/>
          </w:tcPr>
          <w:p w14:paraId="1B14DF53" w14:textId="77777777" w:rsidR="00B50C5D" w:rsidRDefault="00B50C5D">
            <w:pPr>
              <w:snapToGrid w:val="0"/>
              <w:spacing w:line="360" w:lineRule="exact"/>
              <w:jc w:val="center"/>
              <w:rPr>
                <w:rFonts w:ascii="宋体" w:hAnsi="宋体" w:cs="宋体"/>
                <w:szCs w:val="21"/>
              </w:rPr>
            </w:pPr>
          </w:p>
        </w:tc>
        <w:tc>
          <w:tcPr>
            <w:tcW w:w="2656" w:type="dxa"/>
            <w:tcBorders>
              <w:top w:val="single" w:sz="8" w:space="0" w:color="auto"/>
              <w:left w:val="single" w:sz="8" w:space="0" w:color="auto"/>
            </w:tcBorders>
            <w:vAlign w:val="center"/>
          </w:tcPr>
          <w:p w14:paraId="0AC84012" w14:textId="77777777" w:rsidR="00B50C5D" w:rsidRDefault="00FA0E9F">
            <w:pPr>
              <w:snapToGrid w:val="0"/>
              <w:spacing w:line="360" w:lineRule="exact"/>
              <w:jc w:val="center"/>
              <w:rPr>
                <w:rFonts w:ascii="宋体" w:hAnsi="宋体" w:cs="宋体"/>
                <w:szCs w:val="21"/>
              </w:rPr>
            </w:pPr>
            <w:r>
              <w:rPr>
                <w:rFonts w:ascii="宋体" w:hAnsi="宋体" w:cs="宋体" w:hint="eastAsia"/>
                <w:szCs w:val="21"/>
              </w:rPr>
              <w:t>退火工序</w:t>
            </w:r>
          </w:p>
        </w:tc>
        <w:tc>
          <w:tcPr>
            <w:tcW w:w="3935" w:type="dxa"/>
            <w:tcBorders>
              <w:top w:val="single" w:sz="8" w:space="0" w:color="auto"/>
              <w:bottom w:val="single" w:sz="4" w:space="0" w:color="auto"/>
              <w:right w:val="single" w:sz="8" w:space="0" w:color="auto"/>
            </w:tcBorders>
          </w:tcPr>
          <w:p w14:paraId="3F4EA441" w14:textId="77777777" w:rsidR="00B50C5D" w:rsidRDefault="00FA0E9F">
            <w:pPr>
              <w:snapToGrid w:val="0"/>
              <w:spacing w:line="360" w:lineRule="exact"/>
              <w:jc w:val="center"/>
              <w:rPr>
                <w:rFonts w:ascii="宋体" w:hAnsi="宋体" w:cs="宋体"/>
                <w:szCs w:val="21"/>
              </w:rPr>
            </w:pPr>
            <w:r>
              <w:rPr>
                <w:rFonts w:ascii="宋体" w:hAnsi="宋体" w:cs="宋体" w:hint="eastAsia"/>
                <w:szCs w:val="21"/>
              </w:rPr>
              <w:t>85</w:t>
            </w:r>
          </w:p>
        </w:tc>
      </w:tr>
      <w:tr w:rsidR="00B50C5D" w14:paraId="32147A74" w14:textId="77777777">
        <w:trPr>
          <w:trHeight w:val="163"/>
          <w:jc w:val="center"/>
        </w:trPr>
        <w:tc>
          <w:tcPr>
            <w:tcW w:w="2695" w:type="dxa"/>
            <w:vMerge/>
            <w:tcBorders>
              <w:left w:val="single" w:sz="8" w:space="0" w:color="auto"/>
            </w:tcBorders>
            <w:vAlign w:val="center"/>
          </w:tcPr>
          <w:p w14:paraId="6CAB219E" w14:textId="77777777" w:rsidR="00B50C5D" w:rsidRDefault="00B50C5D">
            <w:pPr>
              <w:snapToGrid w:val="0"/>
              <w:spacing w:line="360" w:lineRule="exact"/>
              <w:jc w:val="center"/>
              <w:rPr>
                <w:rFonts w:ascii="宋体" w:hAnsi="宋体" w:cs="宋体"/>
                <w:szCs w:val="21"/>
              </w:rPr>
            </w:pPr>
          </w:p>
        </w:tc>
        <w:tc>
          <w:tcPr>
            <w:tcW w:w="2656" w:type="dxa"/>
            <w:tcBorders>
              <w:top w:val="single" w:sz="8" w:space="0" w:color="auto"/>
              <w:left w:val="single" w:sz="8" w:space="0" w:color="auto"/>
            </w:tcBorders>
            <w:vAlign w:val="center"/>
          </w:tcPr>
          <w:p w14:paraId="7C35ACD8" w14:textId="77777777" w:rsidR="00B50C5D" w:rsidRDefault="00FA0E9F">
            <w:pPr>
              <w:snapToGrid w:val="0"/>
              <w:spacing w:line="360" w:lineRule="exact"/>
              <w:jc w:val="center"/>
              <w:rPr>
                <w:rFonts w:ascii="宋体" w:hAnsi="宋体" w:cs="宋体"/>
                <w:szCs w:val="21"/>
              </w:rPr>
            </w:pPr>
            <w:r>
              <w:rPr>
                <w:rFonts w:ascii="宋体" w:hAnsi="宋体" w:cs="宋体" w:hint="eastAsia"/>
                <w:szCs w:val="21"/>
              </w:rPr>
              <w:t>酸洗工序</w:t>
            </w:r>
          </w:p>
        </w:tc>
        <w:tc>
          <w:tcPr>
            <w:tcW w:w="3935" w:type="dxa"/>
            <w:tcBorders>
              <w:top w:val="single" w:sz="8" w:space="0" w:color="auto"/>
              <w:bottom w:val="single" w:sz="4" w:space="0" w:color="auto"/>
              <w:right w:val="single" w:sz="8" w:space="0" w:color="auto"/>
            </w:tcBorders>
          </w:tcPr>
          <w:p w14:paraId="3234E3D0" w14:textId="77777777" w:rsidR="00B50C5D" w:rsidRDefault="00FA0E9F">
            <w:pPr>
              <w:snapToGrid w:val="0"/>
              <w:spacing w:line="360" w:lineRule="exact"/>
              <w:jc w:val="center"/>
              <w:rPr>
                <w:rFonts w:ascii="宋体" w:hAnsi="宋体" w:cs="宋体"/>
                <w:szCs w:val="21"/>
              </w:rPr>
            </w:pPr>
            <w:r>
              <w:rPr>
                <w:rFonts w:ascii="宋体" w:hAnsi="宋体" w:cs="宋体" w:hint="eastAsia"/>
                <w:szCs w:val="21"/>
              </w:rPr>
              <w:t>85</w:t>
            </w:r>
          </w:p>
        </w:tc>
      </w:tr>
      <w:tr w:rsidR="00B50C5D" w14:paraId="7D257031" w14:textId="77777777">
        <w:trPr>
          <w:trHeight w:val="163"/>
          <w:jc w:val="center"/>
        </w:trPr>
        <w:tc>
          <w:tcPr>
            <w:tcW w:w="2695" w:type="dxa"/>
            <w:vMerge/>
            <w:tcBorders>
              <w:left w:val="single" w:sz="8" w:space="0" w:color="auto"/>
            </w:tcBorders>
            <w:vAlign w:val="center"/>
          </w:tcPr>
          <w:p w14:paraId="56AA9074" w14:textId="77777777" w:rsidR="00B50C5D" w:rsidRDefault="00B50C5D">
            <w:pPr>
              <w:snapToGrid w:val="0"/>
              <w:spacing w:line="360" w:lineRule="exact"/>
              <w:jc w:val="center"/>
              <w:rPr>
                <w:rFonts w:ascii="宋体" w:hAnsi="宋体" w:cs="宋体"/>
                <w:szCs w:val="21"/>
              </w:rPr>
            </w:pPr>
          </w:p>
        </w:tc>
        <w:tc>
          <w:tcPr>
            <w:tcW w:w="2656" w:type="dxa"/>
            <w:tcBorders>
              <w:top w:val="single" w:sz="8" w:space="0" w:color="auto"/>
              <w:left w:val="single" w:sz="8" w:space="0" w:color="auto"/>
            </w:tcBorders>
            <w:vAlign w:val="center"/>
          </w:tcPr>
          <w:p w14:paraId="68748396" w14:textId="77777777" w:rsidR="00B50C5D" w:rsidRDefault="00FA0E9F">
            <w:pPr>
              <w:snapToGrid w:val="0"/>
              <w:spacing w:line="360" w:lineRule="exact"/>
              <w:jc w:val="center"/>
              <w:rPr>
                <w:rFonts w:ascii="宋体" w:hAnsi="宋体" w:cs="宋体"/>
                <w:szCs w:val="21"/>
              </w:rPr>
            </w:pPr>
            <w:r>
              <w:rPr>
                <w:rFonts w:ascii="宋体" w:hAnsi="宋体" w:cs="宋体" w:hint="eastAsia"/>
                <w:szCs w:val="21"/>
              </w:rPr>
              <w:t>辅助工序</w:t>
            </w:r>
          </w:p>
        </w:tc>
        <w:tc>
          <w:tcPr>
            <w:tcW w:w="3935" w:type="dxa"/>
            <w:tcBorders>
              <w:top w:val="single" w:sz="8" w:space="0" w:color="auto"/>
              <w:bottom w:val="single" w:sz="4" w:space="0" w:color="auto"/>
              <w:right w:val="single" w:sz="8" w:space="0" w:color="auto"/>
            </w:tcBorders>
          </w:tcPr>
          <w:p w14:paraId="58E8FC57" w14:textId="77777777" w:rsidR="00B50C5D" w:rsidRDefault="00FA0E9F">
            <w:pPr>
              <w:snapToGrid w:val="0"/>
              <w:spacing w:line="360" w:lineRule="exact"/>
              <w:jc w:val="center"/>
              <w:rPr>
                <w:rFonts w:ascii="宋体" w:hAnsi="宋体" w:cs="宋体"/>
                <w:szCs w:val="21"/>
              </w:rPr>
            </w:pPr>
            <w:r>
              <w:rPr>
                <w:rFonts w:ascii="宋体" w:hAnsi="宋体" w:cs="宋体" w:hint="eastAsia"/>
                <w:szCs w:val="21"/>
              </w:rPr>
              <w:t>85</w:t>
            </w:r>
          </w:p>
        </w:tc>
      </w:tr>
      <w:tr w:rsidR="00B50C5D" w14:paraId="75439275" w14:textId="77777777">
        <w:trPr>
          <w:jc w:val="center"/>
        </w:trPr>
        <w:tc>
          <w:tcPr>
            <w:tcW w:w="2695" w:type="dxa"/>
            <w:vMerge w:val="restart"/>
            <w:tcBorders>
              <w:top w:val="single" w:sz="4" w:space="0" w:color="auto"/>
              <w:left w:val="single" w:sz="8" w:space="0" w:color="auto"/>
              <w:bottom w:val="single" w:sz="4" w:space="0" w:color="auto"/>
              <w:right w:val="single" w:sz="4" w:space="0" w:color="auto"/>
            </w:tcBorders>
            <w:vAlign w:val="center"/>
          </w:tcPr>
          <w:p w14:paraId="204DF8CB" w14:textId="77777777" w:rsidR="00B50C5D" w:rsidRDefault="00FA0E9F">
            <w:pPr>
              <w:snapToGrid w:val="0"/>
              <w:spacing w:line="360" w:lineRule="exact"/>
              <w:jc w:val="center"/>
              <w:rPr>
                <w:rFonts w:ascii="宋体" w:hAnsi="宋体" w:cs="宋体"/>
                <w:szCs w:val="21"/>
              </w:rPr>
            </w:pPr>
            <w:r>
              <w:rPr>
                <w:rFonts w:ascii="宋体" w:hAnsi="宋体" w:cs="宋体" w:hint="eastAsia"/>
                <w:szCs w:val="21"/>
              </w:rPr>
              <w:t>厂界</w:t>
            </w:r>
          </w:p>
        </w:tc>
        <w:tc>
          <w:tcPr>
            <w:tcW w:w="2656" w:type="dxa"/>
            <w:tcBorders>
              <w:top w:val="single" w:sz="4" w:space="0" w:color="auto"/>
              <w:left w:val="single" w:sz="4" w:space="0" w:color="auto"/>
              <w:bottom w:val="single" w:sz="4" w:space="0" w:color="auto"/>
              <w:right w:val="single" w:sz="4" w:space="0" w:color="auto"/>
            </w:tcBorders>
            <w:vAlign w:val="center"/>
          </w:tcPr>
          <w:p w14:paraId="6A4E5A49" w14:textId="77777777" w:rsidR="00B50C5D" w:rsidRDefault="00FA0E9F">
            <w:pPr>
              <w:snapToGrid w:val="0"/>
              <w:spacing w:line="360" w:lineRule="exact"/>
              <w:jc w:val="center"/>
              <w:rPr>
                <w:rFonts w:ascii="宋体" w:hAnsi="宋体" w:cs="宋体"/>
                <w:szCs w:val="21"/>
              </w:rPr>
            </w:pPr>
            <w:r>
              <w:rPr>
                <w:rFonts w:ascii="宋体" w:hAnsi="宋体" w:cs="宋体" w:hint="eastAsia"/>
                <w:szCs w:val="21"/>
              </w:rPr>
              <w:t>工业区昼间</w:t>
            </w:r>
          </w:p>
        </w:tc>
        <w:tc>
          <w:tcPr>
            <w:tcW w:w="3935" w:type="dxa"/>
            <w:tcBorders>
              <w:top w:val="single" w:sz="4" w:space="0" w:color="auto"/>
              <w:left w:val="single" w:sz="4" w:space="0" w:color="auto"/>
              <w:bottom w:val="single" w:sz="4" w:space="0" w:color="auto"/>
              <w:right w:val="single" w:sz="8" w:space="0" w:color="auto"/>
            </w:tcBorders>
            <w:vAlign w:val="center"/>
          </w:tcPr>
          <w:p w14:paraId="5AEA9ADA" w14:textId="77777777" w:rsidR="00B50C5D" w:rsidRDefault="00FA0E9F">
            <w:pPr>
              <w:snapToGrid w:val="0"/>
              <w:spacing w:line="360" w:lineRule="exact"/>
              <w:jc w:val="center"/>
              <w:rPr>
                <w:rFonts w:ascii="宋体" w:hAnsi="宋体" w:cs="宋体"/>
                <w:szCs w:val="21"/>
              </w:rPr>
            </w:pPr>
            <w:r>
              <w:rPr>
                <w:rFonts w:ascii="宋体" w:hAnsi="宋体" w:cs="宋体" w:hint="eastAsia"/>
                <w:szCs w:val="21"/>
              </w:rPr>
              <w:t>65</w:t>
            </w:r>
          </w:p>
        </w:tc>
      </w:tr>
      <w:tr w:rsidR="00B50C5D" w14:paraId="38E10519" w14:textId="77777777">
        <w:trPr>
          <w:jc w:val="center"/>
        </w:trPr>
        <w:tc>
          <w:tcPr>
            <w:tcW w:w="2695" w:type="dxa"/>
            <w:vMerge/>
            <w:tcBorders>
              <w:top w:val="single" w:sz="4" w:space="0" w:color="auto"/>
              <w:left w:val="single" w:sz="8" w:space="0" w:color="auto"/>
              <w:bottom w:val="single" w:sz="4" w:space="0" w:color="auto"/>
              <w:right w:val="single" w:sz="4" w:space="0" w:color="auto"/>
            </w:tcBorders>
            <w:vAlign w:val="center"/>
          </w:tcPr>
          <w:p w14:paraId="3C56769C" w14:textId="77777777" w:rsidR="00B50C5D" w:rsidRDefault="00B50C5D">
            <w:pPr>
              <w:snapToGrid w:val="0"/>
              <w:spacing w:line="360" w:lineRule="exact"/>
              <w:jc w:val="center"/>
              <w:rPr>
                <w:rFonts w:ascii="宋体" w:hAnsi="宋体" w:cs="宋体"/>
                <w:szCs w:val="21"/>
              </w:rPr>
            </w:pPr>
          </w:p>
        </w:tc>
        <w:tc>
          <w:tcPr>
            <w:tcW w:w="2656" w:type="dxa"/>
            <w:tcBorders>
              <w:top w:val="single" w:sz="4" w:space="0" w:color="auto"/>
              <w:left w:val="single" w:sz="4" w:space="0" w:color="auto"/>
              <w:bottom w:val="single" w:sz="4" w:space="0" w:color="auto"/>
              <w:right w:val="single" w:sz="4" w:space="0" w:color="auto"/>
            </w:tcBorders>
            <w:vAlign w:val="center"/>
          </w:tcPr>
          <w:p w14:paraId="5C110BEC" w14:textId="77777777" w:rsidR="00B50C5D" w:rsidRDefault="00FA0E9F">
            <w:pPr>
              <w:snapToGrid w:val="0"/>
              <w:spacing w:line="360" w:lineRule="exact"/>
              <w:jc w:val="center"/>
              <w:rPr>
                <w:rFonts w:ascii="宋体" w:hAnsi="宋体" w:cs="宋体"/>
                <w:szCs w:val="21"/>
              </w:rPr>
            </w:pPr>
            <w:r>
              <w:rPr>
                <w:rFonts w:ascii="宋体" w:hAnsi="宋体" w:cs="宋体" w:hint="eastAsia"/>
                <w:szCs w:val="21"/>
              </w:rPr>
              <w:t>工业区夜间</w:t>
            </w:r>
          </w:p>
        </w:tc>
        <w:tc>
          <w:tcPr>
            <w:tcW w:w="3935" w:type="dxa"/>
            <w:tcBorders>
              <w:top w:val="single" w:sz="4" w:space="0" w:color="auto"/>
              <w:left w:val="single" w:sz="4" w:space="0" w:color="auto"/>
              <w:bottom w:val="single" w:sz="4" w:space="0" w:color="auto"/>
              <w:right w:val="single" w:sz="8" w:space="0" w:color="auto"/>
            </w:tcBorders>
            <w:vAlign w:val="center"/>
          </w:tcPr>
          <w:p w14:paraId="150340FE" w14:textId="77777777" w:rsidR="00B50C5D" w:rsidRDefault="00FA0E9F">
            <w:pPr>
              <w:snapToGrid w:val="0"/>
              <w:spacing w:line="360" w:lineRule="exact"/>
              <w:jc w:val="center"/>
              <w:rPr>
                <w:rFonts w:ascii="宋体" w:hAnsi="宋体" w:cs="宋体"/>
                <w:szCs w:val="21"/>
              </w:rPr>
            </w:pPr>
            <w:r>
              <w:rPr>
                <w:rFonts w:ascii="宋体" w:hAnsi="宋体" w:cs="宋体" w:hint="eastAsia"/>
                <w:szCs w:val="21"/>
              </w:rPr>
              <w:t>55</w:t>
            </w:r>
          </w:p>
        </w:tc>
      </w:tr>
      <w:tr w:rsidR="00B50C5D" w14:paraId="67D9C33D" w14:textId="77777777">
        <w:trPr>
          <w:jc w:val="center"/>
        </w:trPr>
        <w:tc>
          <w:tcPr>
            <w:tcW w:w="2695" w:type="dxa"/>
            <w:vMerge/>
            <w:tcBorders>
              <w:top w:val="single" w:sz="4" w:space="0" w:color="auto"/>
              <w:left w:val="single" w:sz="8" w:space="0" w:color="auto"/>
              <w:bottom w:val="single" w:sz="4" w:space="0" w:color="auto"/>
              <w:right w:val="single" w:sz="4" w:space="0" w:color="auto"/>
            </w:tcBorders>
            <w:vAlign w:val="center"/>
          </w:tcPr>
          <w:p w14:paraId="2B8D6C18" w14:textId="77777777" w:rsidR="00B50C5D" w:rsidRDefault="00B50C5D">
            <w:pPr>
              <w:snapToGrid w:val="0"/>
              <w:spacing w:line="360" w:lineRule="exact"/>
              <w:jc w:val="center"/>
              <w:rPr>
                <w:rFonts w:ascii="宋体" w:hAnsi="宋体" w:cs="宋体"/>
                <w:szCs w:val="21"/>
              </w:rPr>
            </w:pPr>
          </w:p>
        </w:tc>
        <w:tc>
          <w:tcPr>
            <w:tcW w:w="2656" w:type="dxa"/>
            <w:tcBorders>
              <w:top w:val="single" w:sz="4" w:space="0" w:color="auto"/>
              <w:left w:val="single" w:sz="4" w:space="0" w:color="auto"/>
              <w:bottom w:val="single" w:sz="4" w:space="0" w:color="auto"/>
              <w:right w:val="single" w:sz="4" w:space="0" w:color="auto"/>
            </w:tcBorders>
            <w:vAlign w:val="center"/>
          </w:tcPr>
          <w:p w14:paraId="6B78B0A7" w14:textId="77777777" w:rsidR="00B50C5D" w:rsidRDefault="00FA0E9F">
            <w:pPr>
              <w:snapToGrid w:val="0"/>
              <w:spacing w:line="360" w:lineRule="exact"/>
              <w:jc w:val="center"/>
              <w:rPr>
                <w:rFonts w:ascii="宋体" w:hAnsi="宋体" w:cs="宋体"/>
                <w:szCs w:val="21"/>
              </w:rPr>
            </w:pPr>
            <w:r>
              <w:rPr>
                <w:rFonts w:ascii="宋体" w:hAnsi="宋体" w:cs="宋体" w:hint="eastAsia"/>
                <w:szCs w:val="21"/>
              </w:rPr>
              <w:t>混合区昼间</w:t>
            </w:r>
          </w:p>
        </w:tc>
        <w:tc>
          <w:tcPr>
            <w:tcW w:w="3935" w:type="dxa"/>
            <w:tcBorders>
              <w:top w:val="single" w:sz="4" w:space="0" w:color="auto"/>
              <w:left w:val="single" w:sz="4" w:space="0" w:color="auto"/>
              <w:bottom w:val="single" w:sz="4" w:space="0" w:color="auto"/>
              <w:right w:val="single" w:sz="8" w:space="0" w:color="auto"/>
            </w:tcBorders>
            <w:vAlign w:val="center"/>
          </w:tcPr>
          <w:p w14:paraId="101DF201" w14:textId="77777777" w:rsidR="00B50C5D" w:rsidRDefault="00FA0E9F">
            <w:pPr>
              <w:snapToGrid w:val="0"/>
              <w:spacing w:line="360" w:lineRule="exact"/>
              <w:jc w:val="center"/>
              <w:rPr>
                <w:rFonts w:ascii="宋体" w:hAnsi="宋体" w:cs="宋体"/>
                <w:szCs w:val="21"/>
              </w:rPr>
            </w:pPr>
            <w:r>
              <w:rPr>
                <w:rFonts w:ascii="宋体" w:hAnsi="宋体" w:cs="宋体" w:hint="eastAsia"/>
                <w:szCs w:val="21"/>
              </w:rPr>
              <w:t>60</w:t>
            </w:r>
          </w:p>
        </w:tc>
      </w:tr>
      <w:tr w:rsidR="00B50C5D" w14:paraId="6041F746" w14:textId="77777777">
        <w:trPr>
          <w:jc w:val="center"/>
        </w:trPr>
        <w:tc>
          <w:tcPr>
            <w:tcW w:w="2695" w:type="dxa"/>
            <w:vMerge/>
            <w:tcBorders>
              <w:top w:val="single" w:sz="4" w:space="0" w:color="auto"/>
              <w:left w:val="single" w:sz="8" w:space="0" w:color="auto"/>
              <w:bottom w:val="single" w:sz="8" w:space="0" w:color="auto"/>
              <w:right w:val="single" w:sz="4" w:space="0" w:color="auto"/>
            </w:tcBorders>
            <w:vAlign w:val="center"/>
          </w:tcPr>
          <w:p w14:paraId="2823E1D0" w14:textId="77777777" w:rsidR="00B50C5D" w:rsidRDefault="00B50C5D">
            <w:pPr>
              <w:snapToGrid w:val="0"/>
              <w:spacing w:line="360" w:lineRule="exact"/>
              <w:jc w:val="center"/>
              <w:rPr>
                <w:rFonts w:ascii="宋体" w:hAnsi="宋体" w:cs="宋体"/>
                <w:szCs w:val="21"/>
              </w:rPr>
            </w:pPr>
          </w:p>
        </w:tc>
        <w:tc>
          <w:tcPr>
            <w:tcW w:w="2656" w:type="dxa"/>
            <w:tcBorders>
              <w:top w:val="single" w:sz="4" w:space="0" w:color="auto"/>
              <w:left w:val="single" w:sz="4" w:space="0" w:color="auto"/>
              <w:bottom w:val="single" w:sz="8" w:space="0" w:color="auto"/>
              <w:right w:val="single" w:sz="4" w:space="0" w:color="auto"/>
            </w:tcBorders>
            <w:vAlign w:val="center"/>
          </w:tcPr>
          <w:p w14:paraId="039ABC90" w14:textId="77777777" w:rsidR="00B50C5D" w:rsidRDefault="00FA0E9F">
            <w:pPr>
              <w:snapToGrid w:val="0"/>
              <w:spacing w:line="360" w:lineRule="exact"/>
              <w:jc w:val="center"/>
              <w:rPr>
                <w:rFonts w:ascii="宋体" w:hAnsi="宋体" w:cs="宋体"/>
                <w:szCs w:val="21"/>
              </w:rPr>
            </w:pPr>
            <w:r>
              <w:rPr>
                <w:rFonts w:ascii="宋体" w:hAnsi="宋体" w:cs="宋体" w:hint="eastAsia"/>
                <w:szCs w:val="21"/>
              </w:rPr>
              <w:t>混合区夜间</w:t>
            </w:r>
          </w:p>
        </w:tc>
        <w:tc>
          <w:tcPr>
            <w:tcW w:w="3935" w:type="dxa"/>
            <w:tcBorders>
              <w:top w:val="single" w:sz="4" w:space="0" w:color="auto"/>
              <w:left w:val="single" w:sz="4" w:space="0" w:color="auto"/>
              <w:bottom w:val="single" w:sz="8" w:space="0" w:color="auto"/>
              <w:right w:val="single" w:sz="8" w:space="0" w:color="auto"/>
            </w:tcBorders>
            <w:vAlign w:val="center"/>
          </w:tcPr>
          <w:p w14:paraId="6240852D" w14:textId="77777777" w:rsidR="00B50C5D" w:rsidRDefault="00FA0E9F">
            <w:pPr>
              <w:snapToGrid w:val="0"/>
              <w:spacing w:line="360" w:lineRule="exact"/>
              <w:jc w:val="center"/>
              <w:rPr>
                <w:rFonts w:ascii="宋体" w:hAnsi="宋体" w:cs="宋体"/>
                <w:szCs w:val="21"/>
              </w:rPr>
            </w:pPr>
            <w:r>
              <w:rPr>
                <w:rFonts w:ascii="宋体" w:hAnsi="宋体" w:cs="宋体" w:hint="eastAsia"/>
                <w:szCs w:val="21"/>
              </w:rPr>
              <w:t>50</w:t>
            </w:r>
          </w:p>
        </w:tc>
      </w:tr>
    </w:tbl>
    <w:p w14:paraId="5DB80FCB" w14:textId="77777777" w:rsidR="00B50C5D" w:rsidRDefault="00B50C5D">
      <w:pPr>
        <w:snapToGrid w:val="0"/>
        <w:spacing w:line="360" w:lineRule="exact"/>
        <w:ind w:firstLineChars="200" w:firstLine="420"/>
        <w:jc w:val="left"/>
        <w:rPr>
          <w:rFonts w:ascii="宋体" w:hAnsi="宋体" w:cs="宋体"/>
          <w:szCs w:val="21"/>
        </w:rPr>
      </w:pPr>
    </w:p>
    <w:p w14:paraId="7942D701" w14:textId="77777777" w:rsidR="00B50C5D" w:rsidRDefault="00FA0E9F">
      <w:pPr>
        <w:spacing w:line="360" w:lineRule="auto"/>
        <w:ind w:left="15" w:firstLineChars="200" w:firstLine="420"/>
        <w:rPr>
          <w:rFonts w:ascii="宋体" w:hAnsi="宋体" w:cs="宋体"/>
          <w:szCs w:val="21"/>
        </w:rPr>
      </w:pPr>
      <w:r>
        <w:rPr>
          <w:rFonts w:ascii="宋体" w:hAnsi="宋体" w:cs="宋体" w:hint="eastAsia"/>
          <w:szCs w:val="21"/>
        </w:rPr>
        <w:t>我国已加入了一系列的涉及温室气体的国际公约，如《联合国气候变化框架公约》。为了应对气候变化，建立一套能够量化温室气体排放的系统是工业企业实现节能减排目标的基础。我国为此制定了一系列相应的标准，如《工业企业温室气体排放核算和报告通则》</w:t>
      </w:r>
      <w:hyperlink r:id="rId10" w:tgtFrame="https://www.baidu.com/_blank" w:history="1">
        <w:r>
          <w:rPr>
            <w:rFonts w:ascii="宋体" w:hAnsi="宋体" w:cs="宋体" w:hint="eastAsia"/>
            <w:szCs w:val="21"/>
          </w:rPr>
          <w:t>GB/T 32150</w:t>
        </w:r>
      </w:hyperlink>
      <w:r>
        <w:rPr>
          <w:rFonts w:ascii="宋体" w:hAnsi="宋体" w:cs="宋体" w:hint="eastAsia"/>
          <w:szCs w:val="21"/>
        </w:rPr>
        <w:t>。工厂应对其厂界范围内的温室气体排放进行核查，并宜利用核查结果对其温室气体的排放进行改善。关于碳排放的系数指标，按国家届时出台的有关规定予以执行。</w:t>
      </w:r>
    </w:p>
    <w:p w14:paraId="143F2FA9" w14:textId="77777777" w:rsidR="00B50C5D" w:rsidRDefault="00FA0E9F">
      <w:pPr>
        <w:spacing w:line="360" w:lineRule="auto"/>
        <w:rPr>
          <w:rFonts w:ascii="宋体" w:hAnsi="宋体" w:cs="宋体"/>
          <w:b/>
          <w:szCs w:val="21"/>
        </w:rPr>
      </w:pPr>
      <w:r>
        <w:rPr>
          <w:rFonts w:ascii="宋体" w:hAnsi="宋体" w:cs="宋体" w:hint="eastAsia"/>
          <w:b/>
          <w:szCs w:val="21"/>
        </w:rPr>
        <w:t>6.5.7绩效要求</w:t>
      </w:r>
    </w:p>
    <w:p w14:paraId="57142841" w14:textId="77777777" w:rsidR="00B50C5D" w:rsidRDefault="00FA0E9F">
      <w:pPr>
        <w:pStyle w:val="a5"/>
        <w:ind w:firstLineChars="202" w:firstLine="424"/>
        <w:jc w:val="both"/>
        <w:rPr>
          <w:rFonts w:ascii="宋体" w:hAnsi="宋体" w:cs="宋体"/>
          <w:szCs w:val="21"/>
        </w:rPr>
      </w:pPr>
      <w:r>
        <w:rPr>
          <w:rFonts w:ascii="宋体" w:hAnsi="宋体" w:cs="宋体" w:hint="eastAsia"/>
          <w:szCs w:val="21"/>
        </w:rPr>
        <w:t>分别从一般要求、用地集约化、原料无害化、生产洁净化、废物资源化、能源低碳化六大方面进行了规定。为充分体现可量化的特点，体现绩效指标的内容占比权重最大，占20%；绩效要求分为必选要求与可选要求，必选要求是工厂必须要满足的。</w:t>
      </w:r>
    </w:p>
    <w:p w14:paraId="3B5938DB" w14:textId="77777777" w:rsidR="00B50C5D" w:rsidRDefault="00FA0E9F">
      <w:pPr>
        <w:spacing w:line="360" w:lineRule="auto"/>
        <w:rPr>
          <w:rFonts w:ascii="宋体" w:hAnsi="宋体" w:cs="宋体"/>
          <w:bCs/>
          <w:szCs w:val="21"/>
        </w:rPr>
      </w:pPr>
      <w:r>
        <w:rPr>
          <w:rFonts w:ascii="宋体" w:hAnsi="宋体" w:cs="宋体" w:hint="eastAsia"/>
          <w:bCs/>
          <w:szCs w:val="21"/>
        </w:rPr>
        <w:t>6.5.7.1一般要求：</w:t>
      </w:r>
    </w:p>
    <w:p w14:paraId="68E6EAF8" w14:textId="77777777" w:rsidR="00B50C5D" w:rsidRDefault="00FA0E9F">
      <w:pPr>
        <w:spacing w:line="360" w:lineRule="auto"/>
        <w:rPr>
          <w:rFonts w:ascii="宋体" w:hAnsi="宋体" w:cs="宋体"/>
          <w:bCs/>
          <w:szCs w:val="21"/>
        </w:rPr>
      </w:pPr>
      <w:r>
        <w:rPr>
          <w:rFonts w:ascii="宋体" w:hAnsi="宋体" w:cs="宋体" w:hint="eastAsia"/>
          <w:bCs/>
          <w:szCs w:val="21"/>
        </w:rPr>
        <w:t>6.5.7.1.1 工厂应依据GB/T36132附录A提供的方法计算或评估绩效，并利用结果进行绩效改善。</w:t>
      </w:r>
    </w:p>
    <w:p w14:paraId="7DD11BE2" w14:textId="77777777" w:rsidR="00B50C5D" w:rsidRDefault="00FA0E9F">
      <w:pPr>
        <w:spacing w:line="360" w:lineRule="auto"/>
        <w:rPr>
          <w:rFonts w:ascii="宋体" w:hAnsi="宋体" w:cs="宋体"/>
          <w:bCs/>
          <w:szCs w:val="21"/>
        </w:rPr>
      </w:pPr>
      <w:r>
        <w:rPr>
          <w:rFonts w:ascii="宋体" w:hAnsi="宋体" w:cs="宋体" w:hint="eastAsia"/>
          <w:bCs/>
          <w:szCs w:val="21"/>
        </w:rPr>
        <w:t>6.5.7.1.2 绩效统计和计算应选取和覆盖能够反映工厂绩效水平的完整周期，至少包括不超过评价前一自然年度的连续的12个月（成立不足一年的可根据实际情况适当降低要求）。</w:t>
      </w:r>
    </w:p>
    <w:p w14:paraId="5A27AD9A" w14:textId="77777777" w:rsidR="00B50C5D" w:rsidRDefault="00FA0E9F">
      <w:pPr>
        <w:spacing w:line="360" w:lineRule="auto"/>
        <w:rPr>
          <w:rFonts w:ascii="宋体" w:hAnsi="宋体" w:cs="宋体"/>
          <w:bCs/>
          <w:szCs w:val="21"/>
        </w:rPr>
      </w:pPr>
      <w:r>
        <w:rPr>
          <w:rFonts w:ascii="宋体" w:hAnsi="宋体" w:cs="宋体" w:hint="eastAsia"/>
          <w:bCs/>
          <w:szCs w:val="21"/>
        </w:rPr>
        <w:lastRenderedPageBreak/>
        <w:t>6.5.7.2  用地集约化</w:t>
      </w:r>
    </w:p>
    <w:p w14:paraId="3F3BDA91" w14:textId="77777777" w:rsidR="00B50C5D" w:rsidRPr="00D922BF" w:rsidRDefault="00FA0E9F">
      <w:pPr>
        <w:spacing w:line="360" w:lineRule="auto"/>
        <w:rPr>
          <w:rFonts w:ascii="宋体" w:hAnsi="宋体" w:cs="宋体"/>
          <w:bCs/>
          <w:szCs w:val="21"/>
        </w:rPr>
      </w:pPr>
      <w:r w:rsidRPr="00D922BF">
        <w:rPr>
          <w:rFonts w:ascii="宋体" w:hAnsi="宋体" w:cs="宋体" w:hint="eastAsia"/>
          <w:bCs/>
          <w:szCs w:val="21"/>
        </w:rPr>
        <w:t>6.5.7.2.1 工厂建设项目用地应符合国家现行有关建设项目用地的规定，容积率应不低于0.6。</w:t>
      </w:r>
    </w:p>
    <w:p w14:paraId="763CBC8C" w14:textId="77777777" w:rsidR="00B50C5D" w:rsidRPr="00D922BF" w:rsidRDefault="00FA0E9F">
      <w:pPr>
        <w:spacing w:line="360" w:lineRule="auto"/>
        <w:rPr>
          <w:rFonts w:ascii="宋体" w:hAnsi="宋体" w:cs="宋体"/>
          <w:bCs/>
          <w:szCs w:val="21"/>
        </w:rPr>
      </w:pPr>
      <w:r w:rsidRPr="00D922BF">
        <w:rPr>
          <w:rFonts w:ascii="宋体" w:hAnsi="宋体" w:cs="宋体" w:hint="eastAsia"/>
          <w:bCs/>
          <w:szCs w:val="21"/>
        </w:rPr>
        <w:t>6.5.7.2.2 工厂容积率指标宜达到0.72，得1分；宜达到1.2及以上为满分。</w:t>
      </w:r>
    </w:p>
    <w:p w14:paraId="131A38D4" w14:textId="77777777" w:rsidR="00B50C5D" w:rsidRPr="00D922BF" w:rsidRDefault="00FA0E9F">
      <w:pPr>
        <w:spacing w:line="360" w:lineRule="auto"/>
        <w:rPr>
          <w:rFonts w:ascii="宋体" w:hAnsi="宋体" w:cs="宋体"/>
          <w:bCs/>
          <w:szCs w:val="21"/>
        </w:rPr>
      </w:pPr>
      <w:r w:rsidRPr="00D922BF">
        <w:rPr>
          <w:rFonts w:ascii="宋体" w:hAnsi="宋体" w:cs="宋体" w:hint="eastAsia"/>
          <w:bCs/>
          <w:szCs w:val="21"/>
        </w:rPr>
        <w:t>6.5.7.2.3 工厂建筑密度按照GB/T 36132附录A计算工厂建筑密度，应不低于30%。</w:t>
      </w:r>
    </w:p>
    <w:p w14:paraId="7002DB21" w14:textId="77777777" w:rsidR="00B50C5D" w:rsidRPr="00D922BF" w:rsidRDefault="00FA0E9F">
      <w:pPr>
        <w:spacing w:line="360" w:lineRule="auto"/>
        <w:rPr>
          <w:rFonts w:ascii="宋体" w:hAnsi="宋体" w:cs="宋体"/>
          <w:bCs/>
          <w:szCs w:val="21"/>
        </w:rPr>
      </w:pPr>
      <w:r w:rsidRPr="00D922BF">
        <w:rPr>
          <w:rFonts w:ascii="宋体" w:hAnsi="宋体" w:cs="宋体" w:hint="eastAsia"/>
          <w:bCs/>
          <w:szCs w:val="21"/>
        </w:rPr>
        <w:t>6.5.7.2.4 建筑密度宜达到40％,30%每超过5%得1分。</w:t>
      </w:r>
    </w:p>
    <w:p w14:paraId="389D7115" w14:textId="77777777" w:rsidR="00B50C5D" w:rsidRDefault="00FA0E9F">
      <w:pPr>
        <w:spacing w:line="360" w:lineRule="auto"/>
        <w:rPr>
          <w:rFonts w:ascii="宋体" w:hAnsi="宋体" w:cs="宋体"/>
          <w:bCs/>
          <w:szCs w:val="21"/>
        </w:rPr>
      </w:pPr>
      <w:r>
        <w:rPr>
          <w:rFonts w:ascii="宋体" w:hAnsi="宋体" w:cs="宋体" w:hint="eastAsia"/>
          <w:bCs/>
          <w:szCs w:val="21"/>
        </w:rPr>
        <w:t>6.5.7.2.5 工厂按照GB/T 36132附录A计算工厂的单位用地面积产能不应低于地方发布的单位用地面积产能的要求；未发布单位用地面积产能的地区，单位用地面积产能应超过本年度所在省市的单位用地面积产能。</w:t>
      </w:r>
    </w:p>
    <w:p w14:paraId="0B080248" w14:textId="77777777" w:rsidR="00B50C5D" w:rsidRDefault="00FA0E9F">
      <w:pPr>
        <w:spacing w:line="360" w:lineRule="auto"/>
        <w:rPr>
          <w:rFonts w:ascii="宋体" w:hAnsi="宋体" w:cs="宋体"/>
          <w:bCs/>
          <w:szCs w:val="21"/>
        </w:rPr>
      </w:pPr>
      <w:r>
        <w:rPr>
          <w:rFonts w:ascii="宋体" w:hAnsi="宋体" w:cs="宋体" w:hint="eastAsia"/>
          <w:bCs/>
          <w:szCs w:val="21"/>
        </w:rPr>
        <w:t>6.5.7.2.6 单位用地面积产能宜达到地方发布的单位用地面积产能的要求的1.2倍及以上，2倍为满分，末发布单位用地面积产能的地区，单位用地面积产能宜达到本年度所在省市的单位用地面积产能1.2倍及以上，2倍为满分。</w:t>
      </w:r>
    </w:p>
    <w:p w14:paraId="4D4C3ADA" w14:textId="77777777" w:rsidR="00B50C5D" w:rsidRDefault="00FA0E9F">
      <w:pPr>
        <w:spacing w:line="360" w:lineRule="auto"/>
        <w:rPr>
          <w:rFonts w:ascii="宋体" w:hAnsi="宋体" w:cs="宋体"/>
          <w:bCs/>
          <w:szCs w:val="21"/>
        </w:rPr>
      </w:pPr>
      <w:r>
        <w:rPr>
          <w:rFonts w:ascii="宋体" w:hAnsi="宋体" w:cs="宋体" w:hint="eastAsia"/>
          <w:bCs/>
          <w:szCs w:val="21"/>
        </w:rPr>
        <w:t>6.5.7.3 原料无害化</w:t>
      </w:r>
    </w:p>
    <w:p w14:paraId="007AADF7" w14:textId="77777777" w:rsidR="00B50C5D" w:rsidRDefault="00FA0E9F">
      <w:pPr>
        <w:spacing w:line="360" w:lineRule="auto"/>
        <w:rPr>
          <w:rFonts w:ascii="宋体" w:hAnsi="宋体" w:cs="宋体"/>
          <w:bCs/>
          <w:szCs w:val="21"/>
        </w:rPr>
      </w:pPr>
      <w:r>
        <w:rPr>
          <w:rFonts w:ascii="宋体" w:hAnsi="宋体" w:cs="宋体" w:hint="eastAsia"/>
          <w:bCs/>
          <w:szCs w:val="21"/>
        </w:rPr>
        <w:t>6.5.7.3.1 工厂应逐年降低有害物质的使用率，实现有害物质替代。</w:t>
      </w:r>
    </w:p>
    <w:p w14:paraId="7D709E5D" w14:textId="77777777" w:rsidR="00B50C5D" w:rsidRDefault="00FA0E9F">
      <w:pPr>
        <w:spacing w:line="360" w:lineRule="auto"/>
        <w:rPr>
          <w:rFonts w:ascii="宋体" w:hAnsi="宋体" w:cs="宋体"/>
          <w:bCs/>
          <w:szCs w:val="21"/>
        </w:rPr>
      </w:pPr>
      <w:r>
        <w:rPr>
          <w:rFonts w:ascii="宋体" w:hAnsi="宋体" w:cs="宋体" w:hint="eastAsia"/>
          <w:bCs/>
          <w:szCs w:val="21"/>
        </w:rPr>
        <w:t>6.5.7.3.2 工厂原料有害元素的含量应符合标准的规定。</w:t>
      </w:r>
    </w:p>
    <w:p w14:paraId="64785A7C" w14:textId="77777777" w:rsidR="00B50C5D" w:rsidRDefault="00FA0E9F">
      <w:pPr>
        <w:spacing w:line="360" w:lineRule="auto"/>
        <w:rPr>
          <w:rFonts w:ascii="宋体" w:hAnsi="宋体" w:cs="宋体"/>
          <w:bCs/>
          <w:szCs w:val="21"/>
        </w:rPr>
      </w:pPr>
      <w:r>
        <w:rPr>
          <w:rFonts w:ascii="宋体" w:hAnsi="宋体" w:cs="宋体" w:hint="eastAsia"/>
          <w:bCs/>
          <w:szCs w:val="21"/>
        </w:rPr>
        <w:t>6.5.7.3.3 工厂按照GB/T36132附录A计算的绿色物料使用率应达30%以上。</w:t>
      </w:r>
    </w:p>
    <w:p w14:paraId="7834206F" w14:textId="77777777" w:rsidR="00B50C5D" w:rsidRDefault="00FA0E9F">
      <w:pPr>
        <w:spacing w:line="360" w:lineRule="auto"/>
        <w:rPr>
          <w:rFonts w:ascii="宋体" w:hAnsi="宋体" w:cs="宋体"/>
          <w:bCs/>
          <w:szCs w:val="21"/>
        </w:rPr>
      </w:pPr>
      <w:r>
        <w:rPr>
          <w:rFonts w:ascii="宋体" w:hAnsi="宋体" w:cs="宋体" w:hint="eastAsia"/>
          <w:bCs/>
          <w:szCs w:val="21"/>
        </w:rPr>
        <w:t>6.5.7.3.4 工厂宜选用品级高的锡金属产品作为原料。</w:t>
      </w:r>
    </w:p>
    <w:p w14:paraId="02CD36EB" w14:textId="77777777" w:rsidR="00B50C5D" w:rsidRDefault="00FA0E9F">
      <w:pPr>
        <w:spacing w:line="360" w:lineRule="auto"/>
        <w:rPr>
          <w:rFonts w:ascii="宋体" w:hAnsi="宋体" w:cs="宋体"/>
          <w:bCs/>
          <w:szCs w:val="21"/>
        </w:rPr>
      </w:pPr>
      <w:r>
        <w:rPr>
          <w:rFonts w:ascii="宋体" w:hAnsi="宋体" w:cs="宋体" w:hint="eastAsia"/>
          <w:bCs/>
          <w:szCs w:val="21"/>
        </w:rPr>
        <w:t>6.5.7.3.5 工厂宜采用锡及锡合金的二次物料作为原材料进行资源综合利用，二次物料的投入比例大于20%。</w:t>
      </w:r>
    </w:p>
    <w:p w14:paraId="15C07AC3" w14:textId="77777777" w:rsidR="00B50C5D" w:rsidRDefault="00FA0E9F">
      <w:pPr>
        <w:spacing w:line="360" w:lineRule="auto"/>
        <w:rPr>
          <w:rFonts w:ascii="宋体" w:hAnsi="宋体" w:cs="宋体"/>
          <w:bCs/>
          <w:szCs w:val="21"/>
        </w:rPr>
      </w:pPr>
      <w:r>
        <w:rPr>
          <w:rFonts w:ascii="宋体" w:hAnsi="宋体" w:cs="宋体" w:hint="eastAsia"/>
          <w:bCs/>
          <w:szCs w:val="21"/>
        </w:rPr>
        <w:t>6.5.7.4 生产洁净化</w:t>
      </w:r>
    </w:p>
    <w:p w14:paraId="143256D3" w14:textId="77777777" w:rsidR="00B50C5D" w:rsidRDefault="00FA0E9F">
      <w:pPr>
        <w:spacing w:line="360" w:lineRule="auto"/>
        <w:ind w:firstLineChars="200" w:firstLine="420"/>
        <w:rPr>
          <w:rFonts w:ascii="宋体" w:hAnsi="宋体" w:cs="宋体"/>
          <w:bCs/>
          <w:szCs w:val="21"/>
        </w:rPr>
      </w:pPr>
      <w:r>
        <w:rPr>
          <w:rFonts w:ascii="宋体" w:hAnsi="宋体" w:cs="宋体" w:hint="eastAsia"/>
          <w:bCs/>
          <w:szCs w:val="21"/>
        </w:rPr>
        <w:t>对于锡及锡合金生产企业，单位产品主要污染物产生量、单位产品废气产生量、单位产品废水产生量等指标应达到锡及锡合金生产行业国内先进水平。</w:t>
      </w:r>
    </w:p>
    <w:p w14:paraId="6A3987CF" w14:textId="77777777" w:rsidR="00B50C5D" w:rsidRDefault="00FA0E9F">
      <w:pPr>
        <w:spacing w:line="360" w:lineRule="auto"/>
        <w:ind w:firstLineChars="200" w:firstLine="420"/>
        <w:rPr>
          <w:rFonts w:ascii="宋体" w:hAnsi="宋体" w:cs="宋体"/>
          <w:szCs w:val="21"/>
        </w:rPr>
      </w:pPr>
      <w:bookmarkStart w:id="29" w:name="_Hlk47907696"/>
      <w:r>
        <w:rPr>
          <w:rFonts w:ascii="宋体" w:hAnsi="宋体" w:cs="宋体" w:hint="eastAsia"/>
          <w:szCs w:val="21"/>
        </w:rPr>
        <w:t>工厂单位产品主要污染物产生量、单位产品废气产生量、单位产品废水产生量等指标应达到锡及锡合金生产工厂行业国内先进水平。</w:t>
      </w:r>
    </w:p>
    <w:p w14:paraId="3C1C0204" w14:textId="77777777" w:rsidR="00B50C5D" w:rsidRDefault="00FA0E9F">
      <w:pPr>
        <w:spacing w:line="360" w:lineRule="auto"/>
        <w:ind w:firstLineChars="200" w:firstLine="420"/>
        <w:rPr>
          <w:rFonts w:ascii="宋体" w:hAnsi="宋体" w:cs="宋体"/>
          <w:szCs w:val="21"/>
        </w:rPr>
      </w:pPr>
      <w:r>
        <w:rPr>
          <w:rFonts w:ascii="宋体" w:hAnsi="宋体" w:cs="宋体" w:hint="eastAsia"/>
          <w:szCs w:val="21"/>
        </w:rPr>
        <w:t>对于锡及锡合金生产工厂，单位产品主要污染物产生量应达到锡及锡合金生产工厂行业国内先进水平或国际领先水平。</w:t>
      </w:r>
    </w:p>
    <w:p w14:paraId="198629EC" w14:textId="77777777" w:rsidR="00B50C5D" w:rsidRDefault="00FA0E9F">
      <w:pPr>
        <w:spacing w:line="360" w:lineRule="auto"/>
        <w:ind w:firstLineChars="200" w:firstLine="420"/>
        <w:rPr>
          <w:rFonts w:ascii="宋体" w:hAnsi="宋体" w:cs="宋体"/>
          <w:szCs w:val="21"/>
        </w:rPr>
      </w:pPr>
      <w:r>
        <w:rPr>
          <w:rFonts w:ascii="宋体" w:hAnsi="宋体" w:cs="宋体" w:hint="eastAsia"/>
          <w:szCs w:val="21"/>
        </w:rPr>
        <w:t>对于锡及锡合金生产工厂，单位产品废气产生量应达到锡及锡合金生产工厂行业国内先进水平或国际领先水平。</w:t>
      </w:r>
    </w:p>
    <w:p w14:paraId="4B030DBD" w14:textId="77777777" w:rsidR="00B50C5D" w:rsidRDefault="00FA0E9F">
      <w:pPr>
        <w:spacing w:line="360" w:lineRule="auto"/>
        <w:ind w:firstLineChars="200" w:firstLine="420"/>
        <w:rPr>
          <w:rFonts w:ascii="宋体" w:hAnsi="宋体" w:cs="宋体"/>
          <w:szCs w:val="21"/>
        </w:rPr>
      </w:pPr>
      <w:r>
        <w:rPr>
          <w:rFonts w:ascii="宋体" w:hAnsi="宋体" w:cs="宋体" w:hint="eastAsia"/>
          <w:szCs w:val="21"/>
        </w:rPr>
        <w:t>对于锡及锡合金生产工厂，单位产品废水产生量应达到锡及锡合金生产工厂行业国内先进水平或国内领先水平。</w:t>
      </w:r>
    </w:p>
    <w:bookmarkEnd w:id="29"/>
    <w:p w14:paraId="4F32DEAE" w14:textId="77777777" w:rsidR="00B50C5D" w:rsidRDefault="00FA0E9F">
      <w:pPr>
        <w:spacing w:line="360" w:lineRule="auto"/>
        <w:rPr>
          <w:rFonts w:ascii="宋体" w:hAnsi="宋体" w:cs="宋体"/>
          <w:bCs/>
          <w:szCs w:val="21"/>
        </w:rPr>
      </w:pPr>
      <w:r>
        <w:rPr>
          <w:rFonts w:ascii="宋体" w:hAnsi="宋体" w:cs="宋体" w:hint="eastAsia"/>
          <w:bCs/>
          <w:szCs w:val="21"/>
        </w:rPr>
        <w:t>6.5.7.5 废物资源化</w:t>
      </w:r>
    </w:p>
    <w:p w14:paraId="6D959CF0" w14:textId="77777777" w:rsidR="00B50C5D" w:rsidRDefault="00FA0E9F">
      <w:pPr>
        <w:spacing w:line="360" w:lineRule="auto"/>
        <w:ind w:firstLineChars="200" w:firstLine="420"/>
        <w:rPr>
          <w:rFonts w:ascii="宋体" w:hAnsi="宋体" w:cs="宋体"/>
          <w:bCs/>
          <w:szCs w:val="21"/>
        </w:rPr>
      </w:pPr>
      <w:r>
        <w:rPr>
          <w:rFonts w:ascii="宋体" w:hAnsi="宋体" w:cs="宋体" w:hint="eastAsia"/>
          <w:bCs/>
          <w:szCs w:val="21"/>
        </w:rPr>
        <w:t>对于锡及锡合金生产企业，原材料消耗量、工业固体废物综合利用率、废水回用率等指标应达</w:t>
      </w:r>
      <w:r>
        <w:rPr>
          <w:rFonts w:ascii="宋体" w:hAnsi="宋体" w:cs="宋体" w:hint="eastAsia"/>
          <w:bCs/>
          <w:szCs w:val="21"/>
        </w:rPr>
        <w:lastRenderedPageBreak/>
        <w:t>到锡及锡合金生产行业国内先进水平。</w:t>
      </w:r>
    </w:p>
    <w:p w14:paraId="1FB29A53" w14:textId="77777777" w:rsidR="00B50C5D" w:rsidRDefault="00FA0E9F">
      <w:pPr>
        <w:spacing w:line="360" w:lineRule="auto"/>
        <w:ind w:firstLineChars="200" w:firstLine="420"/>
        <w:rPr>
          <w:rFonts w:ascii="宋体" w:hAnsi="宋体" w:cs="宋体"/>
          <w:szCs w:val="21"/>
        </w:rPr>
      </w:pPr>
      <w:r>
        <w:rPr>
          <w:rFonts w:ascii="宋体" w:hAnsi="宋体" w:cs="宋体" w:hint="eastAsia"/>
          <w:szCs w:val="21"/>
        </w:rPr>
        <w:t>工业固体废物综合利用率、废水回用率等指标应达到锡及锡合金生产工厂行业国内先进水平。</w:t>
      </w:r>
    </w:p>
    <w:p w14:paraId="21D734CD" w14:textId="77777777" w:rsidR="00B50C5D" w:rsidRDefault="00FA0E9F">
      <w:pPr>
        <w:spacing w:line="360" w:lineRule="auto"/>
        <w:ind w:firstLineChars="200" w:firstLine="420"/>
        <w:rPr>
          <w:rFonts w:ascii="宋体" w:hAnsi="宋体" w:cs="宋体"/>
          <w:szCs w:val="21"/>
        </w:rPr>
      </w:pPr>
      <w:r>
        <w:rPr>
          <w:rFonts w:ascii="宋体" w:hAnsi="宋体" w:cs="宋体" w:hint="eastAsia"/>
          <w:szCs w:val="21"/>
        </w:rPr>
        <w:t>对于锡及锡合金生产工厂，工业固体废物综合利用率应达到锡及锡合金生产工厂行业国内先进水平或国内领先水平。</w:t>
      </w:r>
    </w:p>
    <w:p w14:paraId="58115D5C" w14:textId="77777777" w:rsidR="00B50C5D" w:rsidRDefault="00FA0E9F">
      <w:pPr>
        <w:spacing w:line="360" w:lineRule="auto"/>
        <w:ind w:firstLineChars="200" w:firstLine="420"/>
        <w:rPr>
          <w:rFonts w:ascii="宋体" w:hAnsi="宋体" w:cs="宋体"/>
          <w:bCs/>
          <w:szCs w:val="21"/>
        </w:rPr>
      </w:pPr>
      <w:r>
        <w:rPr>
          <w:rFonts w:ascii="宋体" w:hAnsi="宋体" w:cs="宋体" w:hint="eastAsia"/>
          <w:szCs w:val="21"/>
        </w:rPr>
        <w:t>对于锡及锡合金生产工厂，单位产品废水回用率应达到锡及锡合金生产工厂行业国内先进水平或国内领先水平。</w:t>
      </w:r>
    </w:p>
    <w:p w14:paraId="2D3777CD" w14:textId="77777777" w:rsidR="00B50C5D" w:rsidRDefault="00FA0E9F">
      <w:pPr>
        <w:spacing w:line="360" w:lineRule="auto"/>
        <w:rPr>
          <w:rFonts w:ascii="宋体" w:hAnsi="宋体" w:cs="宋体"/>
          <w:bCs/>
          <w:szCs w:val="21"/>
        </w:rPr>
      </w:pPr>
      <w:r>
        <w:rPr>
          <w:rFonts w:ascii="宋体" w:hAnsi="宋体" w:cs="宋体" w:hint="eastAsia"/>
          <w:bCs/>
          <w:szCs w:val="21"/>
        </w:rPr>
        <w:t>6.5.7.6 能源低碳化</w:t>
      </w:r>
    </w:p>
    <w:p w14:paraId="43FBC418" w14:textId="77777777" w:rsidR="00B50C5D" w:rsidRDefault="00FA0E9F">
      <w:pPr>
        <w:spacing w:line="360" w:lineRule="auto"/>
        <w:rPr>
          <w:rFonts w:ascii="宋体" w:hAnsi="宋体" w:cs="宋体"/>
          <w:bCs/>
          <w:szCs w:val="21"/>
        </w:rPr>
      </w:pPr>
      <w:r>
        <w:rPr>
          <w:rFonts w:ascii="宋体" w:hAnsi="宋体" w:cs="宋体" w:hint="eastAsia"/>
          <w:bCs/>
          <w:szCs w:val="21"/>
        </w:rPr>
        <w:t>6.5.7.6.1 工厂单位产品综合能耗应达到锡及锡合金生产工厂行业国内先进水平。</w:t>
      </w:r>
    </w:p>
    <w:p w14:paraId="2C9EB7A5" w14:textId="77777777" w:rsidR="00B50C5D" w:rsidRDefault="00FA0E9F">
      <w:pPr>
        <w:spacing w:line="360" w:lineRule="auto"/>
        <w:ind w:firstLineChars="200" w:firstLine="420"/>
        <w:rPr>
          <w:rFonts w:ascii="宋体" w:hAnsi="宋体" w:cs="宋体"/>
          <w:bCs/>
          <w:szCs w:val="21"/>
        </w:rPr>
      </w:pPr>
      <w:r>
        <w:rPr>
          <w:rFonts w:ascii="宋体" w:hAnsi="宋体" w:cs="宋体" w:hint="eastAsia"/>
          <w:bCs/>
          <w:szCs w:val="21"/>
        </w:rPr>
        <w:t xml:space="preserve">工厂单位产品综合能耗应达到锡及锡合金生产工厂行业国内先进水平或国内领先水平。 </w:t>
      </w:r>
    </w:p>
    <w:p w14:paraId="5FF7F022" w14:textId="77777777" w:rsidR="00B50C5D" w:rsidRDefault="00FA0E9F">
      <w:pPr>
        <w:spacing w:line="360" w:lineRule="auto"/>
        <w:rPr>
          <w:rFonts w:ascii="宋体" w:hAnsi="宋体" w:cs="宋体"/>
          <w:bCs/>
          <w:szCs w:val="21"/>
        </w:rPr>
      </w:pPr>
      <w:r>
        <w:rPr>
          <w:rFonts w:ascii="宋体" w:hAnsi="宋体" w:cs="宋体" w:hint="eastAsia"/>
          <w:bCs/>
          <w:szCs w:val="21"/>
        </w:rPr>
        <w:t>6.5.7.6.2 工厂的单位产品碳排放量应依据GB/T 32150及适用的标准进行测算。</w:t>
      </w:r>
    </w:p>
    <w:p w14:paraId="45C43539" w14:textId="77777777" w:rsidR="00B50C5D" w:rsidRDefault="00FA0E9F">
      <w:pPr>
        <w:spacing w:line="360" w:lineRule="auto"/>
        <w:outlineLvl w:val="0"/>
        <w:rPr>
          <w:rFonts w:ascii="宋体" w:hAnsi="宋体" w:cs="宋体"/>
          <w:bCs/>
          <w:szCs w:val="21"/>
        </w:rPr>
      </w:pPr>
      <w:r>
        <w:rPr>
          <w:rFonts w:ascii="宋体" w:hAnsi="宋体" w:cs="宋体" w:hint="eastAsia"/>
          <w:bCs/>
          <w:szCs w:val="21"/>
        </w:rPr>
        <w:t>6.5.7.6.3  工厂的碳排放量宜逐年下降。</w:t>
      </w:r>
      <w:bookmarkStart w:id="30" w:name="_Toc46929959"/>
    </w:p>
    <w:p w14:paraId="133AA2A0" w14:textId="77777777" w:rsidR="00B50C5D" w:rsidRDefault="00FA0E9F">
      <w:pPr>
        <w:spacing w:line="360" w:lineRule="auto"/>
        <w:outlineLvl w:val="0"/>
        <w:rPr>
          <w:rFonts w:ascii="宋体" w:hAnsi="宋体" w:cs="宋体"/>
          <w:szCs w:val="21"/>
        </w:rPr>
      </w:pPr>
      <w:r>
        <w:rPr>
          <w:rFonts w:ascii="宋体" w:hAnsi="宋体" w:cs="宋体" w:hint="eastAsia"/>
          <w:bCs/>
          <w:szCs w:val="21"/>
        </w:rPr>
        <w:t>6.</w:t>
      </w:r>
      <w:r>
        <w:rPr>
          <w:rFonts w:ascii="宋体" w:hAnsi="宋体" w:cs="宋体" w:hint="eastAsia"/>
          <w:szCs w:val="21"/>
        </w:rPr>
        <w:t>5.7.7 计算方式</w:t>
      </w:r>
      <w:bookmarkEnd w:id="30"/>
    </w:p>
    <w:p w14:paraId="4B7DA293" w14:textId="77777777" w:rsidR="00B50C5D" w:rsidRDefault="00FA0E9F">
      <w:pPr>
        <w:spacing w:line="360" w:lineRule="auto"/>
        <w:ind w:firstLineChars="200" w:firstLine="420"/>
        <w:rPr>
          <w:rFonts w:ascii="宋体" w:hAnsi="宋体" w:cs="宋体"/>
          <w:szCs w:val="21"/>
        </w:rPr>
      </w:pPr>
      <w:r>
        <w:rPr>
          <w:rFonts w:ascii="宋体" w:hAnsi="宋体" w:cs="宋体" w:hint="eastAsia"/>
          <w:szCs w:val="21"/>
        </w:rPr>
        <w:t>工厂各类绩效指标计算方式见GB/T36132附录A。</w:t>
      </w:r>
    </w:p>
    <w:p w14:paraId="2DD2C210" w14:textId="77777777" w:rsidR="00B50C5D" w:rsidRDefault="00FA0E9F">
      <w:pPr>
        <w:spacing w:line="360" w:lineRule="auto"/>
        <w:ind w:firstLineChars="200" w:firstLine="420"/>
        <w:rPr>
          <w:rFonts w:ascii="宋体" w:hAnsi="宋体" w:cs="宋体"/>
          <w:szCs w:val="21"/>
        </w:rPr>
      </w:pPr>
      <w:r>
        <w:rPr>
          <w:rFonts w:ascii="宋体" w:hAnsi="宋体" w:cs="宋体" w:hint="eastAsia"/>
          <w:szCs w:val="21"/>
        </w:rPr>
        <w:t>对工厂容积率、建筑密度，单位用地面积产值进行了规定，根据《工业项目建设用地控制指标》，对于有色金属压延加工，规定容积率不应小于0.6，鼓励达到0.72。建筑密度应不低于30%，鼓励达到40%及以上。</w:t>
      </w:r>
    </w:p>
    <w:p w14:paraId="096B9F6E" w14:textId="77777777" w:rsidR="00B50C5D" w:rsidRDefault="00FA0E9F">
      <w:pPr>
        <w:spacing w:line="360" w:lineRule="auto"/>
        <w:ind w:firstLineChars="200" w:firstLine="420"/>
        <w:rPr>
          <w:rFonts w:ascii="宋体" w:hAnsi="宋体" w:cs="宋体"/>
          <w:szCs w:val="21"/>
        </w:rPr>
      </w:pPr>
      <w:r>
        <w:rPr>
          <w:rFonts w:ascii="宋体" w:hAnsi="宋体" w:cs="宋体" w:hint="eastAsia"/>
          <w:szCs w:val="21"/>
        </w:rPr>
        <w:t>原料无害化对替换物料使用进行了规定，物料宜选自有毒有害原料（产品）替代名录，或利用再生资源及产业废弃物等作为原料，使用量根据物料台账测算。或将有害的原料变成无害或者市场上可流通的产品。锡及锡合金原料无害化还包括辅料使用的无害化，比如通过工艺改进，尽量减少使用有毒有害辅料的使用量，推广使用绿色建材等。产品在储存、运输过程中采用环保材料，减少对环境的影响。</w:t>
      </w:r>
    </w:p>
    <w:p w14:paraId="00CFFA9C" w14:textId="77777777" w:rsidR="00B50C5D" w:rsidRDefault="00FA0E9F">
      <w:pPr>
        <w:spacing w:line="360" w:lineRule="auto"/>
        <w:ind w:firstLineChars="200" w:firstLine="420"/>
        <w:rPr>
          <w:rFonts w:ascii="宋体" w:hAnsi="宋体" w:cs="宋体"/>
          <w:szCs w:val="21"/>
        </w:rPr>
      </w:pPr>
      <w:r>
        <w:rPr>
          <w:rFonts w:ascii="宋体" w:hAnsi="宋体" w:cs="宋体" w:hint="eastAsia"/>
          <w:szCs w:val="21"/>
        </w:rPr>
        <w:t>有色行业的工业固体废物的特点是产量大、品种多、分布范围广。锡及锡合金生产废物资源包括单位产品主要原材料消耗量、工业固体废物综合利用率、废水回用率等。其计算公式详见GB/T 36132附录A。工厂应采取措施使单位产品碳排放量逐年下降，综合能耗优于行业的先进值，并达到国内先进水平。</w:t>
      </w:r>
    </w:p>
    <w:p w14:paraId="45CDD643" w14:textId="77777777" w:rsidR="00B50C5D" w:rsidRDefault="00FA0E9F">
      <w:pPr>
        <w:spacing w:line="360" w:lineRule="auto"/>
        <w:ind w:firstLineChars="300" w:firstLine="630"/>
        <w:rPr>
          <w:rFonts w:ascii="宋体" w:hAnsi="宋体" w:cs="宋体"/>
          <w:szCs w:val="21"/>
        </w:rPr>
      </w:pPr>
      <w:r>
        <w:rPr>
          <w:rFonts w:ascii="宋体" w:hAnsi="宋体" w:cs="宋体" w:hint="eastAsia"/>
          <w:szCs w:val="21"/>
        </w:rPr>
        <w:t>应达到国内先进水平就是所有起草单位的综合平均最小值水平。</w:t>
      </w:r>
    </w:p>
    <w:p w14:paraId="04A1ACE6" w14:textId="77777777" w:rsidR="00B50C5D" w:rsidRDefault="00FA0E9F">
      <w:pPr>
        <w:spacing w:line="360" w:lineRule="auto"/>
        <w:ind w:firstLineChars="300" w:firstLine="630"/>
        <w:rPr>
          <w:rFonts w:ascii="宋体" w:hAnsi="宋体" w:cs="宋体"/>
          <w:szCs w:val="21"/>
        </w:rPr>
      </w:pPr>
      <w:r>
        <w:rPr>
          <w:rFonts w:ascii="宋体" w:hAnsi="宋体" w:cs="宋体" w:hint="eastAsia"/>
          <w:szCs w:val="21"/>
        </w:rPr>
        <w:t>指标确定见附表。</w:t>
      </w:r>
    </w:p>
    <w:p w14:paraId="4972A95A" w14:textId="77777777" w:rsidR="00B50C5D" w:rsidRDefault="00FA0E9F">
      <w:pPr>
        <w:spacing w:line="360" w:lineRule="auto"/>
        <w:rPr>
          <w:rFonts w:ascii="宋体" w:hAnsi="宋体" w:cs="宋体"/>
          <w:b/>
          <w:szCs w:val="21"/>
        </w:rPr>
      </w:pPr>
      <w:r>
        <w:rPr>
          <w:rFonts w:ascii="宋体" w:hAnsi="宋体" w:cs="宋体" w:hint="eastAsia"/>
          <w:b/>
          <w:szCs w:val="21"/>
        </w:rPr>
        <w:t>6.6 评价程序</w:t>
      </w:r>
    </w:p>
    <w:p w14:paraId="4ED7CB92" w14:textId="77777777" w:rsidR="00B50C5D" w:rsidRDefault="00FA0E9F">
      <w:pPr>
        <w:spacing w:line="360" w:lineRule="auto"/>
        <w:ind w:firstLineChars="200" w:firstLine="420"/>
        <w:rPr>
          <w:rFonts w:ascii="宋体" w:hAnsi="宋体" w:cs="宋体"/>
          <w:szCs w:val="21"/>
        </w:rPr>
      </w:pPr>
      <w:r>
        <w:rPr>
          <w:rFonts w:ascii="宋体" w:hAnsi="宋体" w:cs="宋体" w:hint="eastAsia"/>
          <w:szCs w:val="21"/>
        </w:rPr>
        <w:t>实施评价的组织应建立规范的评价工作流程，包括但不限于评价准备、组建评价组、制定评价方案预评价(适用时)、现场评价、编制评价报告、技术评审等。</w:t>
      </w:r>
    </w:p>
    <w:p w14:paraId="47A96CC4" w14:textId="77777777" w:rsidR="00B50C5D" w:rsidRDefault="00FA0E9F">
      <w:pPr>
        <w:spacing w:line="360" w:lineRule="auto"/>
        <w:rPr>
          <w:rFonts w:ascii="宋体" w:hAnsi="宋体" w:cs="宋体"/>
          <w:b/>
          <w:szCs w:val="21"/>
        </w:rPr>
      </w:pPr>
      <w:r>
        <w:rPr>
          <w:rFonts w:ascii="宋体" w:hAnsi="宋体" w:cs="宋体" w:hint="eastAsia"/>
          <w:b/>
          <w:szCs w:val="21"/>
        </w:rPr>
        <w:t>6.7  评价报告</w:t>
      </w:r>
    </w:p>
    <w:p w14:paraId="49BE750B" w14:textId="77777777" w:rsidR="00B50C5D" w:rsidRDefault="00FA0E9F">
      <w:pPr>
        <w:spacing w:line="360" w:lineRule="auto"/>
        <w:ind w:firstLineChars="200" w:firstLine="420"/>
        <w:rPr>
          <w:rFonts w:ascii="宋体" w:hAnsi="宋体" w:cs="宋体"/>
          <w:szCs w:val="21"/>
        </w:rPr>
      </w:pPr>
      <w:r>
        <w:rPr>
          <w:rFonts w:ascii="宋体" w:hAnsi="宋体" w:cs="宋体" w:hint="eastAsia"/>
          <w:szCs w:val="21"/>
        </w:rPr>
        <w:lastRenderedPageBreak/>
        <w:t>评价报告内容无论是自评还是第三方评价，包括但不限于：</w:t>
      </w:r>
    </w:p>
    <w:p w14:paraId="2A9CF8AB" w14:textId="77777777" w:rsidR="00B50C5D" w:rsidRDefault="00FA0E9F">
      <w:pPr>
        <w:spacing w:line="360" w:lineRule="auto"/>
        <w:ind w:firstLineChars="200" w:firstLine="420"/>
        <w:rPr>
          <w:rFonts w:ascii="宋体" w:hAnsi="宋体" w:cs="宋体"/>
          <w:szCs w:val="21"/>
        </w:rPr>
      </w:pPr>
      <w:r>
        <w:rPr>
          <w:rFonts w:ascii="宋体" w:hAnsi="宋体" w:cs="宋体" w:hint="eastAsia"/>
          <w:szCs w:val="21"/>
        </w:rPr>
        <w:t>a) 实施评价的组织；</w:t>
      </w:r>
    </w:p>
    <w:p w14:paraId="62FC9182" w14:textId="77777777" w:rsidR="00B50C5D" w:rsidRDefault="00FA0E9F">
      <w:pPr>
        <w:spacing w:line="360" w:lineRule="auto"/>
        <w:ind w:firstLineChars="200" w:firstLine="420"/>
        <w:rPr>
          <w:rFonts w:ascii="宋体" w:hAnsi="宋体" w:cs="宋体"/>
          <w:szCs w:val="21"/>
        </w:rPr>
      </w:pPr>
      <w:r>
        <w:rPr>
          <w:rFonts w:ascii="宋体" w:hAnsi="宋体" w:cs="宋体" w:hint="eastAsia"/>
          <w:szCs w:val="21"/>
        </w:rPr>
        <w:t>b) 评价目的、范围及准则；</w:t>
      </w:r>
    </w:p>
    <w:p w14:paraId="0E671CD1" w14:textId="77777777" w:rsidR="00B50C5D" w:rsidRDefault="00FA0E9F">
      <w:pPr>
        <w:spacing w:line="360" w:lineRule="auto"/>
        <w:ind w:firstLineChars="200" w:firstLine="420"/>
        <w:rPr>
          <w:rFonts w:ascii="宋体" w:hAnsi="宋体" w:cs="宋体"/>
          <w:szCs w:val="21"/>
        </w:rPr>
      </w:pPr>
      <w:r>
        <w:rPr>
          <w:rFonts w:ascii="宋体" w:hAnsi="宋体" w:cs="宋体" w:hint="eastAsia"/>
          <w:szCs w:val="21"/>
        </w:rPr>
        <w:t>c) 评价过程，主要包括评价组织安排、文件评审情况、现场评价情况、评价报告编制及内部技术评审情况；</w:t>
      </w:r>
    </w:p>
    <w:p w14:paraId="24C949AE" w14:textId="77777777" w:rsidR="00B50C5D" w:rsidRDefault="00FA0E9F">
      <w:pPr>
        <w:spacing w:line="360" w:lineRule="auto"/>
        <w:ind w:firstLineChars="200" w:firstLine="420"/>
        <w:rPr>
          <w:rFonts w:ascii="宋体" w:hAnsi="宋体" w:cs="宋体"/>
          <w:szCs w:val="21"/>
        </w:rPr>
      </w:pPr>
      <w:r>
        <w:rPr>
          <w:rFonts w:ascii="宋体" w:hAnsi="宋体" w:cs="宋体" w:hint="eastAsia"/>
          <w:szCs w:val="21"/>
        </w:rPr>
        <w:t>d) 评价内容，包括一般要求、基础设施、管理体系、能源资源投入、产品、环境排放、绩效等；</w:t>
      </w:r>
    </w:p>
    <w:p w14:paraId="591C6430" w14:textId="77777777" w:rsidR="00B50C5D" w:rsidRDefault="00FA0E9F">
      <w:pPr>
        <w:spacing w:line="360" w:lineRule="auto"/>
        <w:ind w:firstLineChars="200" w:firstLine="420"/>
        <w:rPr>
          <w:rFonts w:ascii="宋体" w:hAnsi="宋体" w:cs="宋体"/>
          <w:szCs w:val="21"/>
        </w:rPr>
      </w:pPr>
      <w:r>
        <w:rPr>
          <w:rFonts w:ascii="宋体" w:hAnsi="宋体" w:cs="宋体" w:hint="eastAsia"/>
          <w:szCs w:val="21"/>
        </w:rPr>
        <w:t>e) 评价证据的核实情况，包括证明文件和数据真实性、计算范围及计算方法、相关计量设备和有关标准的执行等；</w:t>
      </w:r>
    </w:p>
    <w:p w14:paraId="313C6652" w14:textId="77777777" w:rsidR="00B50C5D" w:rsidRDefault="00FA0E9F">
      <w:pPr>
        <w:spacing w:line="360" w:lineRule="auto"/>
        <w:ind w:firstLineChars="200" w:firstLine="420"/>
        <w:rPr>
          <w:rFonts w:ascii="宋体" w:hAnsi="宋体" w:cs="宋体"/>
          <w:szCs w:val="21"/>
        </w:rPr>
      </w:pPr>
      <w:r>
        <w:rPr>
          <w:rFonts w:ascii="宋体" w:hAnsi="宋体" w:cs="宋体" w:hint="eastAsia"/>
          <w:szCs w:val="21"/>
        </w:rPr>
        <w:t>f) 评价指标表，明确各评价指标得分情况及评价加权综合评分，并判定受评工厂是否符合评价要求；</w:t>
      </w:r>
    </w:p>
    <w:p w14:paraId="752E2C4E" w14:textId="77777777" w:rsidR="00B50C5D" w:rsidRDefault="00FA0E9F">
      <w:pPr>
        <w:spacing w:line="360" w:lineRule="auto"/>
        <w:ind w:firstLineChars="200" w:firstLine="420"/>
        <w:rPr>
          <w:rFonts w:ascii="宋体" w:hAnsi="宋体" w:cs="宋体"/>
          <w:szCs w:val="21"/>
        </w:rPr>
      </w:pPr>
      <w:r>
        <w:rPr>
          <w:rFonts w:ascii="宋体" w:hAnsi="宋体" w:cs="宋体" w:hint="eastAsia"/>
          <w:szCs w:val="21"/>
        </w:rPr>
        <w:t>g) 发现的问题；</w:t>
      </w:r>
    </w:p>
    <w:p w14:paraId="0766A859" w14:textId="77777777" w:rsidR="00B50C5D" w:rsidRDefault="00FA0E9F">
      <w:pPr>
        <w:spacing w:line="360" w:lineRule="auto"/>
        <w:ind w:firstLineChars="200" w:firstLine="420"/>
        <w:rPr>
          <w:rFonts w:ascii="宋体" w:hAnsi="宋体" w:cs="宋体"/>
          <w:szCs w:val="21"/>
        </w:rPr>
      </w:pPr>
      <w:r>
        <w:rPr>
          <w:rFonts w:ascii="宋体" w:hAnsi="宋体" w:cs="宋体" w:hint="eastAsia"/>
          <w:szCs w:val="21"/>
        </w:rPr>
        <w:t>h) 绿色工厂主要创建做法、工作亮点等；</w:t>
      </w:r>
    </w:p>
    <w:p w14:paraId="08550320" w14:textId="77777777" w:rsidR="00B50C5D" w:rsidRDefault="00FA0E9F">
      <w:pPr>
        <w:spacing w:line="360" w:lineRule="auto"/>
        <w:ind w:firstLineChars="200" w:firstLine="420"/>
        <w:rPr>
          <w:rFonts w:ascii="宋体" w:hAnsi="宋体" w:cs="宋体"/>
          <w:szCs w:val="21"/>
        </w:rPr>
      </w:pPr>
      <w:r>
        <w:rPr>
          <w:rFonts w:ascii="宋体" w:hAnsi="宋体" w:cs="宋体" w:hint="eastAsia"/>
          <w:szCs w:val="21"/>
        </w:rPr>
        <w:t>i) 对持续创建绿色工厂提出的下一步工作计划或建议；</w:t>
      </w:r>
    </w:p>
    <w:p w14:paraId="40659D38" w14:textId="77777777" w:rsidR="00B50C5D" w:rsidRDefault="00FA0E9F">
      <w:pPr>
        <w:spacing w:line="360" w:lineRule="auto"/>
        <w:ind w:firstLineChars="200" w:firstLine="420"/>
        <w:rPr>
          <w:rFonts w:ascii="宋体" w:hAnsi="宋体" w:cs="宋体"/>
          <w:szCs w:val="21"/>
        </w:rPr>
      </w:pPr>
      <w:r>
        <w:rPr>
          <w:rFonts w:ascii="宋体" w:hAnsi="宋体" w:cs="宋体" w:hint="eastAsia"/>
          <w:szCs w:val="21"/>
        </w:rPr>
        <w:t>j) 相关支持材料。</w:t>
      </w:r>
    </w:p>
    <w:p w14:paraId="154D48D6" w14:textId="77777777" w:rsidR="00B50C5D" w:rsidRDefault="00FA0E9F">
      <w:pPr>
        <w:spacing w:line="360" w:lineRule="auto"/>
        <w:ind w:firstLineChars="200" w:firstLine="420"/>
        <w:rPr>
          <w:rFonts w:ascii="宋体" w:hAnsi="宋体" w:cs="宋体"/>
          <w:szCs w:val="21"/>
        </w:rPr>
      </w:pPr>
      <w:r>
        <w:rPr>
          <w:rFonts w:ascii="宋体" w:hAnsi="宋体" w:cs="宋体" w:hint="eastAsia"/>
          <w:szCs w:val="21"/>
        </w:rPr>
        <w:t>标准规定了锡及锡合金绿色工厂评价输出的评价报告的内容。</w:t>
      </w:r>
    </w:p>
    <w:p w14:paraId="50EFE4E6" w14:textId="77777777" w:rsidR="00B50C5D" w:rsidRDefault="00FA0E9F">
      <w:pPr>
        <w:spacing w:line="360" w:lineRule="auto"/>
        <w:rPr>
          <w:rFonts w:ascii="宋体" w:hAnsi="宋体" w:cs="宋体"/>
          <w:b/>
          <w:bCs/>
          <w:szCs w:val="21"/>
        </w:rPr>
      </w:pPr>
      <w:r>
        <w:rPr>
          <w:rFonts w:ascii="宋体" w:hAnsi="宋体" w:cs="宋体" w:hint="eastAsia"/>
          <w:b/>
          <w:bCs/>
          <w:szCs w:val="21"/>
        </w:rPr>
        <w:t>6.8规范性附录A</w:t>
      </w:r>
    </w:p>
    <w:p w14:paraId="1E2D3D60" w14:textId="77777777" w:rsidR="00B50C5D" w:rsidRDefault="00FA0E9F">
      <w:pPr>
        <w:spacing w:line="360" w:lineRule="auto"/>
        <w:ind w:firstLineChars="200" w:firstLine="420"/>
        <w:rPr>
          <w:rFonts w:ascii="宋体" w:hAnsi="宋体" w:cs="宋体"/>
          <w:szCs w:val="21"/>
        </w:rPr>
      </w:pPr>
      <w:r>
        <w:rPr>
          <w:rFonts w:ascii="宋体" w:hAnsi="宋体" w:cs="宋体" w:hint="eastAsia"/>
          <w:szCs w:val="21"/>
        </w:rPr>
        <w:t>给出了锡及锡合金绿色工厂评价的指标表（涵盖一级指标、二级指标、具体评价要求和得分）。</w:t>
      </w:r>
    </w:p>
    <w:p w14:paraId="48983BFB" w14:textId="77777777" w:rsidR="00B50C5D" w:rsidRDefault="00FA0E9F">
      <w:pPr>
        <w:pStyle w:val="1"/>
        <w:jc w:val="both"/>
        <w:rPr>
          <w:rFonts w:cs="宋体"/>
          <w:sz w:val="21"/>
          <w:szCs w:val="21"/>
        </w:rPr>
      </w:pPr>
      <w:bookmarkStart w:id="31" w:name="_Toc3786"/>
      <w:r>
        <w:rPr>
          <w:rFonts w:cs="宋体" w:hint="eastAsia"/>
          <w:sz w:val="21"/>
          <w:szCs w:val="21"/>
        </w:rPr>
        <w:t>7 标准中如涉及专利，应有明确的知识产权说明。</w:t>
      </w:r>
      <w:bookmarkEnd w:id="31"/>
    </w:p>
    <w:p w14:paraId="1341D731" w14:textId="77777777" w:rsidR="00B50C5D" w:rsidRDefault="00FA0E9F">
      <w:pPr>
        <w:spacing w:line="360" w:lineRule="auto"/>
        <w:ind w:firstLineChars="200" w:firstLine="420"/>
        <w:rPr>
          <w:rFonts w:ascii="宋体" w:hAnsi="宋体" w:cs="宋体"/>
          <w:bCs/>
          <w:szCs w:val="21"/>
        </w:rPr>
      </w:pPr>
      <w:r>
        <w:rPr>
          <w:rFonts w:ascii="宋体" w:hAnsi="宋体" w:cs="宋体" w:hint="eastAsia"/>
          <w:bCs/>
          <w:szCs w:val="21"/>
        </w:rPr>
        <w:t>本标准不涉及专利。</w:t>
      </w:r>
    </w:p>
    <w:p w14:paraId="5FE91F75" w14:textId="77777777" w:rsidR="00B50C5D" w:rsidRDefault="00FA0E9F">
      <w:pPr>
        <w:pStyle w:val="1"/>
        <w:jc w:val="both"/>
        <w:rPr>
          <w:rFonts w:cs="宋体"/>
          <w:sz w:val="21"/>
          <w:szCs w:val="21"/>
        </w:rPr>
      </w:pPr>
      <w:bookmarkStart w:id="32" w:name="_Toc406"/>
      <w:r>
        <w:rPr>
          <w:rFonts w:cs="宋体" w:hint="eastAsia"/>
          <w:sz w:val="21"/>
          <w:szCs w:val="21"/>
        </w:rPr>
        <w:t>8 主要试验或验证的分析、综述报告、技术经济论证，预期的经济效果。</w:t>
      </w:r>
      <w:bookmarkEnd w:id="32"/>
    </w:p>
    <w:p w14:paraId="0D68AF3D" w14:textId="77777777" w:rsidR="00B50C5D" w:rsidRDefault="00FA0E9F">
      <w:pPr>
        <w:spacing w:line="360" w:lineRule="auto"/>
        <w:ind w:firstLineChars="200" w:firstLine="420"/>
        <w:rPr>
          <w:rFonts w:ascii="宋体" w:hAnsi="宋体" w:cs="宋体"/>
          <w:bCs/>
          <w:szCs w:val="21"/>
        </w:rPr>
      </w:pPr>
      <w:r>
        <w:rPr>
          <w:rFonts w:ascii="宋体" w:hAnsi="宋体" w:cs="宋体" w:hint="eastAsia"/>
          <w:bCs/>
          <w:szCs w:val="21"/>
        </w:rPr>
        <w:t>本标准通过在</w:t>
      </w:r>
      <w:r>
        <w:rPr>
          <w:rFonts w:ascii="宋体" w:hAnsi="宋体" w:cs="宋体" w:hint="eastAsia"/>
          <w:szCs w:val="21"/>
        </w:rPr>
        <w:t>锡及锡合金</w:t>
      </w:r>
      <w:r>
        <w:rPr>
          <w:rFonts w:ascii="宋体" w:hAnsi="宋体" w:cs="宋体" w:hint="eastAsia"/>
          <w:bCs/>
          <w:szCs w:val="21"/>
        </w:rPr>
        <w:t>工厂的实际验证和调研，确定可用于</w:t>
      </w:r>
      <w:r>
        <w:rPr>
          <w:rFonts w:ascii="宋体" w:hAnsi="宋体" w:cs="宋体" w:hint="eastAsia"/>
          <w:szCs w:val="21"/>
        </w:rPr>
        <w:t>锡及锡合金</w:t>
      </w:r>
      <w:r>
        <w:rPr>
          <w:rFonts w:ascii="宋体" w:hAnsi="宋体" w:cs="宋体" w:hint="eastAsia"/>
          <w:bCs/>
          <w:szCs w:val="21"/>
        </w:rPr>
        <w:t>绿色工厂的评价工作。可以系统评价企业生产过程的能源、资源使用情况，进而有针对性地进行节能、节水、节约原材料、减少污染物排放等工作，有利于推动我国</w:t>
      </w:r>
      <w:r>
        <w:rPr>
          <w:rFonts w:ascii="宋体" w:hAnsi="宋体" w:cs="宋体" w:hint="eastAsia"/>
          <w:szCs w:val="21"/>
        </w:rPr>
        <w:t>锡及锡合金</w:t>
      </w:r>
      <w:r>
        <w:rPr>
          <w:rFonts w:ascii="宋体" w:hAnsi="宋体" w:cs="宋体" w:hint="eastAsia"/>
          <w:bCs/>
          <w:szCs w:val="21"/>
        </w:rPr>
        <w:t>绿色发展，全面推动我国绿色制造体系创建工作。</w:t>
      </w:r>
    </w:p>
    <w:p w14:paraId="04176193" w14:textId="77777777" w:rsidR="00B50C5D" w:rsidRDefault="00FA0E9F">
      <w:pPr>
        <w:pStyle w:val="1"/>
        <w:jc w:val="both"/>
        <w:rPr>
          <w:rFonts w:cs="宋体"/>
          <w:sz w:val="21"/>
          <w:szCs w:val="21"/>
        </w:rPr>
      </w:pPr>
      <w:bookmarkStart w:id="33" w:name="_Toc21214"/>
      <w:r>
        <w:rPr>
          <w:rFonts w:cs="宋体" w:hint="eastAsia"/>
          <w:sz w:val="21"/>
          <w:szCs w:val="21"/>
        </w:rPr>
        <w:t>9 采用国际标准或国外先进标准的目的、意义和一致性程度；我国标准与被采用标准的主要差异及其原因；以及与国际、国外同类标准水平的对比情况。</w:t>
      </w:r>
      <w:bookmarkEnd w:id="33"/>
    </w:p>
    <w:p w14:paraId="1006F08A" w14:textId="77777777" w:rsidR="00B50C5D" w:rsidRDefault="00FA0E9F">
      <w:pPr>
        <w:spacing w:line="360" w:lineRule="auto"/>
        <w:ind w:firstLineChars="200" w:firstLine="420"/>
        <w:rPr>
          <w:rFonts w:ascii="宋体" w:hAnsi="宋体" w:cs="宋体"/>
          <w:bCs/>
          <w:szCs w:val="21"/>
        </w:rPr>
      </w:pPr>
      <w:r>
        <w:rPr>
          <w:rFonts w:ascii="宋体" w:hAnsi="宋体" w:cs="宋体" w:hint="eastAsia"/>
          <w:bCs/>
          <w:szCs w:val="21"/>
        </w:rPr>
        <w:t>不适用。</w:t>
      </w:r>
    </w:p>
    <w:p w14:paraId="75469115" w14:textId="77777777" w:rsidR="00B50C5D" w:rsidRDefault="00FA0E9F">
      <w:pPr>
        <w:pStyle w:val="1"/>
        <w:jc w:val="both"/>
        <w:rPr>
          <w:rFonts w:cs="宋体"/>
          <w:sz w:val="21"/>
          <w:szCs w:val="21"/>
        </w:rPr>
      </w:pPr>
      <w:bookmarkStart w:id="34" w:name="_Toc622"/>
      <w:r>
        <w:rPr>
          <w:rFonts w:cs="宋体" w:hint="eastAsia"/>
          <w:sz w:val="21"/>
          <w:szCs w:val="21"/>
        </w:rPr>
        <w:t>10 与现行法律、法规、强制性国家标准及相关标准协调配套情况</w:t>
      </w:r>
      <w:bookmarkEnd w:id="34"/>
    </w:p>
    <w:p w14:paraId="2F38C040" w14:textId="77777777" w:rsidR="00B50C5D" w:rsidRDefault="00FA0E9F">
      <w:pPr>
        <w:spacing w:line="360" w:lineRule="auto"/>
        <w:ind w:firstLineChars="200" w:firstLine="420"/>
        <w:rPr>
          <w:rFonts w:ascii="宋体" w:hAnsi="宋体" w:cs="宋体"/>
          <w:szCs w:val="21"/>
        </w:rPr>
      </w:pPr>
      <w:r>
        <w:rPr>
          <w:rFonts w:ascii="宋体" w:hAnsi="宋体" w:cs="宋体" w:hint="eastAsia"/>
          <w:szCs w:val="21"/>
        </w:rPr>
        <w:t>《绿色工厂评价通则》GB/T 36132已经于2018年正式发布，本标准是</w:t>
      </w:r>
      <w:r>
        <w:rPr>
          <w:rFonts w:ascii="宋体" w:hAnsi="宋体" w:cs="宋体" w:hint="eastAsia"/>
          <w:bCs/>
          <w:szCs w:val="21"/>
        </w:rPr>
        <w:t>在GB/T 36132的基础上，</w:t>
      </w:r>
      <w:r>
        <w:rPr>
          <w:rFonts w:ascii="宋体" w:hAnsi="宋体" w:cs="宋体" w:hint="eastAsia"/>
          <w:szCs w:val="21"/>
        </w:rPr>
        <w:t>参考国家、行业的相关标准和规范，建立针对锡及锡合金的绿色工厂的评价体系标准。</w:t>
      </w:r>
    </w:p>
    <w:p w14:paraId="2F342733" w14:textId="77777777" w:rsidR="00B50C5D" w:rsidRDefault="00FA0E9F">
      <w:pPr>
        <w:spacing w:line="360" w:lineRule="auto"/>
        <w:ind w:firstLineChars="200" w:firstLine="420"/>
        <w:rPr>
          <w:rFonts w:ascii="宋体" w:hAnsi="宋体" w:cs="宋体"/>
          <w:bCs/>
          <w:szCs w:val="21"/>
        </w:rPr>
      </w:pPr>
      <w:r>
        <w:rPr>
          <w:rFonts w:ascii="宋体" w:hAnsi="宋体" w:cs="宋体" w:hint="eastAsia"/>
          <w:szCs w:val="21"/>
        </w:rPr>
        <w:t>有锡及锡合金绿色工厂评价指标表A.1依据</w:t>
      </w:r>
      <w:hyperlink r:id="rId11" w:history="1">
        <w:r>
          <w:rPr>
            <w:rFonts w:ascii="宋体" w:hAnsi="宋体" w:cs="宋体" w:hint="eastAsia"/>
            <w:szCs w:val="21"/>
          </w:rPr>
          <w:t>《绿色工厂自评价报告及第三方评价报告》</w:t>
        </w:r>
      </w:hyperlink>
      <w:r>
        <w:rPr>
          <w:rFonts w:ascii="宋体" w:hAnsi="宋体" w:cs="宋体" w:hint="eastAsia"/>
          <w:szCs w:val="21"/>
        </w:rPr>
        <w:t>（工信</w:t>
      </w:r>
      <w:r>
        <w:rPr>
          <w:rFonts w:ascii="宋体" w:hAnsi="宋体" w:cs="宋体" w:hint="eastAsia"/>
          <w:szCs w:val="21"/>
        </w:rPr>
        <w:lastRenderedPageBreak/>
        <w:t>厅节函〔2018〕257号）。</w:t>
      </w:r>
    </w:p>
    <w:p w14:paraId="7ED0A218" w14:textId="77777777" w:rsidR="00B50C5D" w:rsidRDefault="00FA0E9F">
      <w:pPr>
        <w:pStyle w:val="1"/>
        <w:jc w:val="both"/>
        <w:rPr>
          <w:rFonts w:cs="宋体"/>
          <w:sz w:val="21"/>
          <w:szCs w:val="21"/>
        </w:rPr>
      </w:pPr>
      <w:bookmarkStart w:id="35" w:name="_Toc26678"/>
      <w:r>
        <w:rPr>
          <w:rFonts w:cs="宋体" w:hint="eastAsia"/>
          <w:sz w:val="21"/>
          <w:szCs w:val="21"/>
        </w:rPr>
        <w:t>11 国外相关法律、法规和标准情况的说明。（只适用于强制性标准）</w:t>
      </w:r>
      <w:bookmarkEnd w:id="35"/>
    </w:p>
    <w:p w14:paraId="24E7795E" w14:textId="77777777" w:rsidR="00B50C5D" w:rsidRDefault="00FA0E9F">
      <w:pPr>
        <w:spacing w:line="360" w:lineRule="auto"/>
        <w:ind w:firstLineChars="200" w:firstLine="420"/>
        <w:rPr>
          <w:rFonts w:ascii="宋体" w:hAnsi="宋体" w:cs="宋体"/>
          <w:szCs w:val="21"/>
        </w:rPr>
      </w:pPr>
      <w:r>
        <w:rPr>
          <w:rFonts w:ascii="宋体" w:hAnsi="宋体" w:cs="宋体" w:hint="eastAsia"/>
          <w:szCs w:val="21"/>
        </w:rPr>
        <w:t>不适用。</w:t>
      </w:r>
    </w:p>
    <w:p w14:paraId="5F27CE5C" w14:textId="77777777" w:rsidR="00B50C5D" w:rsidRDefault="00FA0E9F">
      <w:pPr>
        <w:pStyle w:val="1"/>
        <w:jc w:val="both"/>
        <w:rPr>
          <w:rFonts w:cs="宋体"/>
          <w:sz w:val="21"/>
          <w:szCs w:val="21"/>
        </w:rPr>
      </w:pPr>
      <w:bookmarkStart w:id="36" w:name="_Toc32100"/>
      <w:r>
        <w:rPr>
          <w:rFonts w:cs="宋体" w:hint="eastAsia"/>
          <w:sz w:val="21"/>
          <w:szCs w:val="21"/>
        </w:rPr>
        <w:t>12 重大分歧意见的处理经过和依据</w:t>
      </w:r>
      <w:bookmarkEnd w:id="36"/>
    </w:p>
    <w:p w14:paraId="152476A4" w14:textId="77777777" w:rsidR="00B50C5D" w:rsidRDefault="00FA0E9F">
      <w:pPr>
        <w:spacing w:line="360" w:lineRule="auto"/>
        <w:ind w:firstLineChars="200" w:firstLine="420"/>
        <w:rPr>
          <w:rFonts w:ascii="宋体" w:hAnsi="宋体" w:cs="宋体"/>
          <w:szCs w:val="21"/>
        </w:rPr>
      </w:pPr>
      <w:r>
        <w:rPr>
          <w:rFonts w:ascii="宋体" w:hAnsi="宋体" w:cs="宋体" w:hint="eastAsia"/>
          <w:szCs w:val="21"/>
        </w:rPr>
        <w:t>暂无。</w:t>
      </w:r>
    </w:p>
    <w:p w14:paraId="32E8358A" w14:textId="77777777" w:rsidR="00B50C5D" w:rsidRDefault="00FA0E9F">
      <w:pPr>
        <w:pStyle w:val="1"/>
        <w:jc w:val="both"/>
        <w:rPr>
          <w:rFonts w:cs="宋体"/>
          <w:sz w:val="21"/>
          <w:szCs w:val="21"/>
        </w:rPr>
      </w:pPr>
      <w:bookmarkStart w:id="37" w:name="_Toc15989"/>
      <w:r>
        <w:rPr>
          <w:rFonts w:cs="宋体" w:hint="eastAsia"/>
          <w:sz w:val="21"/>
          <w:szCs w:val="21"/>
        </w:rPr>
        <w:t>13 标准作为强制性或推荐性国家（或行业）标准的建议</w:t>
      </w:r>
      <w:bookmarkEnd w:id="37"/>
    </w:p>
    <w:p w14:paraId="115ABF4F" w14:textId="77777777" w:rsidR="00B50C5D" w:rsidRDefault="00FA0E9F">
      <w:pPr>
        <w:spacing w:line="360" w:lineRule="auto"/>
        <w:ind w:firstLineChars="200" w:firstLine="420"/>
        <w:rPr>
          <w:rFonts w:ascii="宋体" w:hAnsi="宋体" w:cs="宋体"/>
          <w:szCs w:val="21"/>
        </w:rPr>
      </w:pPr>
      <w:r>
        <w:rPr>
          <w:rFonts w:ascii="宋体" w:hAnsi="宋体" w:cs="宋体" w:hint="eastAsia"/>
          <w:szCs w:val="21"/>
        </w:rPr>
        <w:t>本标准建议作为推荐性行业标准发布。目前，国际上尚未有国家发布绿色工厂评价相关标准，国内唯一发布的绿色工厂评价标准是《绿色工厂评价通则》GB/T36132，其他行业如电子信息制造业已发布《电子信息制造行业绿色工厂评价导则》JT 11744-2019、钢铁行业和有色金属冶炼行业已逐步编制相关行业评价标准。本标准的发布，可以推进锡及锡合金绿色工厂的创建，引导锡及锡合金相关种类绿色工厂评价导则的编制，并指导企业提升绿色发展水平，为社会、为企业创造更多价值。</w:t>
      </w:r>
    </w:p>
    <w:p w14:paraId="6169FACF" w14:textId="77777777" w:rsidR="00B50C5D" w:rsidRDefault="00FA0E9F">
      <w:pPr>
        <w:pStyle w:val="1"/>
        <w:jc w:val="both"/>
        <w:rPr>
          <w:rFonts w:cs="宋体"/>
          <w:sz w:val="21"/>
          <w:szCs w:val="21"/>
        </w:rPr>
      </w:pPr>
      <w:bookmarkStart w:id="38" w:name="_Toc15588"/>
      <w:r>
        <w:rPr>
          <w:rFonts w:cs="宋体" w:hint="eastAsia"/>
          <w:sz w:val="21"/>
          <w:szCs w:val="21"/>
        </w:rPr>
        <w:t>14 贯彻标准的要求和措施建议：</w:t>
      </w:r>
      <w:bookmarkEnd w:id="38"/>
    </w:p>
    <w:p w14:paraId="39C7D17C" w14:textId="77777777" w:rsidR="00B50C5D" w:rsidRDefault="00FA0E9F">
      <w:pPr>
        <w:spacing w:line="360" w:lineRule="auto"/>
        <w:ind w:firstLineChars="200" w:firstLine="420"/>
        <w:rPr>
          <w:rFonts w:ascii="宋体" w:hAnsi="宋体" w:cs="宋体"/>
          <w:szCs w:val="21"/>
        </w:rPr>
      </w:pPr>
      <w:r>
        <w:rPr>
          <w:rFonts w:ascii="宋体" w:hAnsi="宋体" w:cs="宋体" w:hint="eastAsia"/>
          <w:szCs w:val="21"/>
        </w:rPr>
        <w:t>本标准的技术内容是推荐性的，建议标准发布后即可实施，建议本标准由各级人民政府的工业和信息化行政主管部门负责监督实施。</w:t>
      </w:r>
    </w:p>
    <w:p w14:paraId="41BC464F" w14:textId="77777777" w:rsidR="00B50C5D" w:rsidRDefault="00FA0E9F">
      <w:pPr>
        <w:pStyle w:val="1"/>
        <w:jc w:val="both"/>
        <w:rPr>
          <w:rFonts w:cs="宋体"/>
          <w:sz w:val="21"/>
          <w:szCs w:val="21"/>
        </w:rPr>
      </w:pPr>
      <w:bookmarkStart w:id="39" w:name="_Toc29281"/>
      <w:r>
        <w:rPr>
          <w:rFonts w:cs="宋体" w:hint="eastAsia"/>
          <w:sz w:val="21"/>
          <w:szCs w:val="21"/>
        </w:rPr>
        <w:t>15 设立标准实施过渡期的理由：根据国家经济、技术政策需要和该强制性标准涉及的产品的技术改造难度等因素，提出标准的实施日期的建议。（仅适用于强制性标准）</w:t>
      </w:r>
      <w:bookmarkEnd w:id="39"/>
    </w:p>
    <w:p w14:paraId="6EE20A61" w14:textId="77777777" w:rsidR="00B50C5D" w:rsidRDefault="00FA0E9F">
      <w:pPr>
        <w:spacing w:line="360" w:lineRule="auto"/>
        <w:ind w:firstLineChars="200" w:firstLine="420"/>
        <w:rPr>
          <w:rFonts w:ascii="宋体" w:hAnsi="宋体" w:cs="宋体"/>
          <w:szCs w:val="21"/>
        </w:rPr>
      </w:pPr>
      <w:r>
        <w:rPr>
          <w:rFonts w:ascii="宋体" w:hAnsi="宋体" w:cs="宋体" w:hint="eastAsia"/>
          <w:szCs w:val="21"/>
        </w:rPr>
        <w:t>不适用。</w:t>
      </w:r>
    </w:p>
    <w:p w14:paraId="70B52897" w14:textId="77777777" w:rsidR="00B50C5D" w:rsidRDefault="00FA0E9F">
      <w:pPr>
        <w:pStyle w:val="1"/>
        <w:jc w:val="both"/>
        <w:rPr>
          <w:rFonts w:cs="宋体"/>
          <w:sz w:val="21"/>
          <w:szCs w:val="21"/>
        </w:rPr>
      </w:pPr>
      <w:bookmarkStart w:id="40" w:name="_Toc7802"/>
      <w:r>
        <w:rPr>
          <w:rFonts w:cs="宋体" w:hint="eastAsia"/>
          <w:sz w:val="21"/>
          <w:szCs w:val="21"/>
        </w:rPr>
        <w:t>16 废止现行有关标准的建议</w:t>
      </w:r>
      <w:bookmarkEnd w:id="40"/>
    </w:p>
    <w:p w14:paraId="70E324B6" w14:textId="77777777" w:rsidR="00B50C5D" w:rsidRDefault="00FA0E9F">
      <w:pPr>
        <w:spacing w:line="360" w:lineRule="auto"/>
        <w:ind w:firstLineChars="200" w:firstLine="420"/>
        <w:rPr>
          <w:rFonts w:ascii="宋体" w:hAnsi="宋体" w:cs="宋体"/>
          <w:szCs w:val="21"/>
        </w:rPr>
      </w:pPr>
      <w:r>
        <w:rPr>
          <w:rFonts w:ascii="宋体" w:hAnsi="宋体" w:cs="宋体" w:hint="eastAsia"/>
          <w:szCs w:val="21"/>
        </w:rPr>
        <w:t>无。</w:t>
      </w:r>
    </w:p>
    <w:p w14:paraId="55043DB2" w14:textId="77777777" w:rsidR="00B50C5D" w:rsidRDefault="00FA0E9F">
      <w:pPr>
        <w:pStyle w:val="1"/>
        <w:jc w:val="both"/>
        <w:rPr>
          <w:rFonts w:cs="宋体"/>
          <w:sz w:val="21"/>
          <w:szCs w:val="21"/>
        </w:rPr>
      </w:pPr>
      <w:bookmarkStart w:id="41" w:name="_Toc22451"/>
      <w:r>
        <w:rPr>
          <w:rFonts w:cs="宋体" w:hint="eastAsia"/>
          <w:sz w:val="21"/>
          <w:szCs w:val="21"/>
        </w:rPr>
        <w:t>17 其他主要内容的解释和其他需要说明的事项。如系列标准或划分部分制定的标准的编号建议，参考文献目录等。</w:t>
      </w:r>
      <w:bookmarkEnd w:id="41"/>
    </w:p>
    <w:p w14:paraId="1EBFBEF1" w14:textId="77777777" w:rsidR="00B50C5D" w:rsidRDefault="00FA0E9F">
      <w:pPr>
        <w:spacing w:line="360" w:lineRule="auto"/>
        <w:ind w:firstLineChars="200" w:firstLine="420"/>
        <w:rPr>
          <w:rFonts w:ascii="宋体" w:hAnsi="宋体" w:cs="宋体"/>
          <w:szCs w:val="21"/>
        </w:rPr>
      </w:pPr>
      <w:r>
        <w:rPr>
          <w:rFonts w:ascii="宋体" w:hAnsi="宋体" w:cs="宋体" w:hint="eastAsia"/>
          <w:szCs w:val="21"/>
        </w:rPr>
        <w:t>无。</w:t>
      </w:r>
    </w:p>
    <w:p w14:paraId="3D0CDEE5" w14:textId="77777777" w:rsidR="00B50C5D" w:rsidRDefault="00FA0E9F">
      <w:pPr>
        <w:spacing w:line="360" w:lineRule="auto"/>
        <w:ind w:firstLineChars="200" w:firstLine="420"/>
        <w:rPr>
          <w:rFonts w:ascii="宋体" w:hAnsi="宋体" w:cs="宋体"/>
          <w:szCs w:val="21"/>
        </w:rPr>
      </w:pP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 xml:space="preserve">《锡及锡合金绿色工厂评价要求》行业标准编制组                                               </w:t>
      </w:r>
    </w:p>
    <w:p w14:paraId="1616B36E" w14:textId="77777777" w:rsidR="00B50C5D" w:rsidRDefault="00FA0E9F">
      <w:pPr>
        <w:spacing w:line="360" w:lineRule="auto"/>
        <w:ind w:firstLineChars="2400" w:firstLine="5040"/>
        <w:rPr>
          <w:rFonts w:ascii="宋体" w:hAnsi="宋体" w:cs="宋体"/>
          <w:szCs w:val="21"/>
        </w:rPr>
        <w:sectPr w:rsidR="00B50C5D">
          <w:footerReference w:type="even" r:id="rId12"/>
          <w:footerReference w:type="default" r:id="rId13"/>
          <w:pgSz w:w="11906" w:h="16838"/>
          <w:pgMar w:top="1134" w:right="1418" w:bottom="1134" w:left="1418" w:header="851" w:footer="992" w:gutter="0"/>
          <w:cols w:space="720"/>
          <w:docGrid w:type="lines" w:linePitch="312"/>
        </w:sectPr>
      </w:pPr>
      <w:r>
        <w:rPr>
          <w:rFonts w:ascii="宋体" w:hAnsi="宋体" w:cs="宋体" w:hint="eastAsia"/>
          <w:szCs w:val="21"/>
        </w:rPr>
        <w:t>2023年8月21日</w:t>
      </w:r>
      <w:bookmarkStart w:id="42" w:name="_GoBack"/>
      <w:bookmarkEnd w:id="42"/>
    </w:p>
    <w:p w14:paraId="7FEE4D96" w14:textId="77777777" w:rsidR="00B50C5D" w:rsidRDefault="00FA0E9F">
      <w:pPr>
        <w:spacing w:line="360" w:lineRule="auto"/>
        <w:jc w:val="center"/>
        <w:rPr>
          <w:rFonts w:ascii="宋体"/>
          <w:b/>
          <w:bCs/>
          <w:kern w:val="0"/>
          <w:sz w:val="32"/>
          <w:szCs w:val="32"/>
        </w:rPr>
      </w:pPr>
      <w:r>
        <w:rPr>
          <w:rFonts w:ascii="宋体" w:hAnsi="宋体" w:cs="宋体" w:hint="eastAsia"/>
          <w:b/>
          <w:bCs/>
          <w:kern w:val="0"/>
          <w:sz w:val="32"/>
          <w:szCs w:val="32"/>
        </w:rPr>
        <w:lastRenderedPageBreak/>
        <w:t>标准征求意见汇总处理表</w:t>
      </w:r>
    </w:p>
    <w:p w14:paraId="74237065" w14:textId="77777777" w:rsidR="00B50C5D" w:rsidRDefault="00FA0E9F">
      <w:pPr>
        <w:spacing w:line="360" w:lineRule="auto"/>
        <w:rPr>
          <w:rFonts w:ascii="宋体"/>
          <w:kern w:val="0"/>
        </w:rPr>
      </w:pPr>
      <w:r>
        <w:rPr>
          <w:rFonts w:ascii="宋体" w:hAnsi="宋体" w:cs="宋体" w:hint="eastAsia"/>
          <w:kern w:val="0"/>
        </w:rPr>
        <w:t>标准名称：《</w:t>
      </w:r>
      <w:r>
        <w:rPr>
          <w:rFonts w:ascii="宋体" w:hAnsi="宋体" w:cs="宋体" w:hint="eastAsia"/>
          <w:kern w:val="0"/>
          <w:szCs w:val="21"/>
        </w:rPr>
        <w:t>锡及锡合金绿色工厂评价要求》</w:t>
      </w:r>
    </w:p>
    <w:p w14:paraId="0E9BCB1B" w14:textId="77777777" w:rsidR="00B50C5D" w:rsidRDefault="00FA0E9F">
      <w:pPr>
        <w:spacing w:line="360" w:lineRule="auto"/>
        <w:rPr>
          <w:rFonts w:ascii="宋体" w:hAnsi="宋体" w:cs="宋体"/>
          <w:kern w:val="0"/>
        </w:rPr>
      </w:pPr>
      <w:r>
        <w:rPr>
          <w:rFonts w:ascii="宋体" w:hAnsi="宋体" w:cs="宋体" w:hint="eastAsia"/>
          <w:kern w:val="0"/>
        </w:rPr>
        <w:t xml:space="preserve">标准项目负责起草单位：云南锡业股份有限公司、云南锡业新材料有限公司               </w:t>
      </w:r>
    </w:p>
    <w:p w14:paraId="09CB7A64" w14:textId="77777777" w:rsidR="00B50C5D" w:rsidRDefault="00FA0E9F">
      <w:pPr>
        <w:spacing w:line="360" w:lineRule="auto"/>
        <w:rPr>
          <w:rFonts w:ascii="宋体"/>
          <w:kern w:val="0"/>
        </w:rPr>
      </w:pPr>
      <w:r>
        <w:rPr>
          <w:rFonts w:ascii="宋体" w:hAnsi="宋体" w:cs="宋体" w:hint="eastAsia"/>
          <w:kern w:val="0"/>
        </w:rPr>
        <w:t xml:space="preserve">承办人：祝超       联系电话：13987134540           </w:t>
      </w:r>
      <w:r>
        <w:rPr>
          <w:rFonts w:ascii="宋体" w:hAnsi="宋体" w:cs="宋体"/>
          <w:kern w:val="0"/>
        </w:rPr>
        <w:t>2023</w:t>
      </w:r>
      <w:r>
        <w:rPr>
          <w:rFonts w:ascii="宋体" w:hAnsi="宋体" w:cs="宋体" w:hint="eastAsia"/>
          <w:kern w:val="0"/>
        </w:rPr>
        <w:t>年8月15日</w:t>
      </w:r>
    </w:p>
    <w:tbl>
      <w:tblPr>
        <w:tblW w:w="10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262"/>
        <w:gridCol w:w="3540"/>
        <w:gridCol w:w="1620"/>
        <w:gridCol w:w="1522"/>
        <w:gridCol w:w="1988"/>
      </w:tblGrid>
      <w:tr w:rsidR="00B50C5D" w14:paraId="485ECCB2" w14:textId="77777777">
        <w:trPr>
          <w:jc w:val="center"/>
        </w:trPr>
        <w:tc>
          <w:tcPr>
            <w:tcW w:w="636" w:type="dxa"/>
            <w:tcBorders>
              <w:top w:val="single" w:sz="4" w:space="0" w:color="auto"/>
              <w:left w:val="single" w:sz="4" w:space="0" w:color="auto"/>
              <w:bottom w:val="single" w:sz="4" w:space="0" w:color="auto"/>
              <w:right w:val="single" w:sz="4" w:space="0" w:color="auto"/>
            </w:tcBorders>
          </w:tcPr>
          <w:p w14:paraId="5E230EEA" w14:textId="77777777" w:rsidR="00B50C5D" w:rsidRDefault="00FA0E9F">
            <w:pPr>
              <w:spacing w:line="360" w:lineRule="auto"/>
              <w:rPr>
                <w:rFonts w:ascii="宋体" w:hAnsi="宋体" w:cs="宋体"/>
                <w:kern w:val="0"/>
                <w:szCs w:val="21"/>
              </w:rPr>
            </w:pPr>
            <w:r>
              <w:rPr>
                <w:rFonts w:ascii="宋体" w:hAnsi="宋体" w:cs="宋体" w:hint="eastAsia"/>
                <w:kern w:val="0"/>
                <w:szCs w:val="21"/>
              </w:rPr>
              <w:t>序号</w:t>
            </w:r>
          </w:p>
        </w:tc>
        <w:tc>
          <w:tcPr>
            <w:tcW w:w="1262" w:type="dxa"/>
            <w:tcBorders>
              <w:top w:val="single" w:sz="4" w:space="0" w:color="auto"/>
              <w:left w:val="single" w:sz="4" w:space="0" w:color="auto"/>
              <w:bottom w:val="single" w:sz="4" w:space="0" w:color="auto"/>
              <w:right w:val="single" w:sz="4" w:space="0" w:color="auto"/>
            </w:tcBorders>
          </w:tcPr>
          <w:p w14:paraId="020016E1" w14:textId="77777777" w:rsidR="00B50C5D" w:rsidRDefault="00FA0E9F">
            <w:pPr>
              <w:spacing w:line="360" w:lineRule="auto"/>
              <w:jc w:val="center"/>
              <w:rPr>
                <w:rFonts w:ascii="宋体" w:hAnsi="宋体" w:cs="宋体"/>
                <w:kern w:val="0"/>
                <w:szCs w:val="21"/>
              </w:rPr>
            </w:pPr>
            <w:r>
              <w:rPr>
                <w:rFonts w:ascii="宋体" w:hAnsi="宋体" w:cs="宋体" w:hint="eastAsia"/>
                <w:kern w:val="0"/>
                <w:szCs w:val="21"/>
              </w:rPr>
              <w:t>标准章条编号</w:t>
            </w:r>
          </w:p>
        </w:tc>
        <w:tc>
          <w:tcPr>
            <w:tcW w:w="3540" w:type="dxa"/>
            <w:tcBorders>
              <w:top w:val="single" w:sz="4" w:space="0" w:color="auto"/>
              <w:left w:val="single" w:sz="4" w:space="0" w:color="auto"/>
              <w:bottom w:val="single" w:sz="4" w:space="0" w:color="auto"/>
              <w:right w:val="single" w:sz="4" w:space="0" w:color="auto"/>
            </w:tcBorders>
            <w:vAlign w:val="center"/>
          </w:tcPr>
          <w:p w14:paraId="587A707B" w14:textId="77777777" w:rsidR="00B50C5D" w:rsidRDefault="00FA0E9F">
            <w:pPr>
              <w:spacing w:line="360" w:lineRule="auto"/>
              <w:jc w:val="center"/>
              <w:rPr>
                <w:rFonts w:ascii="宋体" w:hAnsi="宋体" w:cs="宋体"/>
                <w:kern w:val="0"/>
                <w:szCs w:val="21"/>
              </w:rPr>
            </w:pPr>
            <w:r>
              <w:rPr>
                <w:rFonts w:ascii="宋体" w:hAnsi="宋体" w:cs="宋体" w:hint="eastAsia"/>
                <w:kern w:val="0"/>
                <w:szCs w:val="21"/>
              </w:rPr>
              <w:t>意见内容</w:t>
            </w:r>
          </w:p>
        </w:tc>
        <w:tc>
          <w:tcPr>
            <w:tcW w:w="1620" w:type="dxa"/>
            <w:tcBorders>
              <w:top w:val="single" w:sz="4" w:space="0" w:color="auto"/>
              <w:left w:val="single" w:sz="4" w:space="0" w:color="auto"/>
              <w:bottom w:val="single" w:sz="4" w:space="0" w:color="auto"/>
              <w:right w:val="single" w:sz="4" w:space="0" w:color="auto"/>
            </w:tcBorders>
            <w:vAlign w:val="center"/>
          </w:tcPr>
          <w:p w14:paraId="6C3A081C" w14:textId="77777777" w:rsidR="00B50C5D" w:rsidRDefault="00FA0E9F">
            <w:pPr>
              <w:spacing w:line="360" w:lineRule="auto"/>
              <w:rPr>
                <w:rFonts w:ascii="宋体" w:hAnsi="宋体" w:cs="宋体"/>
                <w:kern w:val="0"/>
                <w:szCs w:val="21"/>
              </w:rPr>
            </w:pPr>
            <w:r>
              <w:rPr>
                <w:rFonts w:ascii="宋体" w:hAnsi="宋体" w:cs="宋体" w:hint="eastAsia"/>
                <w:kern w:val="0"/>
                <w:szCs w:val="21"/>
              </w:rPr>
              <w:t>提出单位</w:t>
            </w:r>
          </w:p>
        </w:tc>
        <w:tc>
          <w:tcPr>
            <w:tcW w:w="1522" w:type="dxa"/>
            <w:tcBorders>
              <w:top w:val="single" w:sz="4" w:space="0" w:color="auto"/>
              <w:left w:val="single" w:sz="4" w:space="0" w:color="auto"/>
              <w:bottom w:val="single" w:sz="4" w:space="0" w:color="auto"/>
              <w:right w:val="single" w:sz="4" w:space="0" w:color="auto"/>
            </w:tcBorders>
            <w:vAlign w:val="center"/>
          </w:tcPr>
          <w:p w14:paraId="0955FA75" w14:textId="77777777" w:rsidR="00B50C5D" w:rsidRDefault="00FA0E9F">
            <w:pPr>
              <w:spacing w:line="360" w:lineRule="auto"/>
              <w:jc w:val="center"/>
              <w:rPr>
                <w:rFonts w:ascii="宋体" w:hAnsi="宋体" w:cs="宋体"/>
                <w:kern w:val="0"/>
                <w:szCs w:val="21"/>
              </w:rPr>
            </w:pPr>
            <w:r>
              <w:rPr>
                <w:rFonts w:ascii="宋体" w:hAnsi="宋体" w:cs="宋体" w:hint="eastAsia"/>
                <w:kern w:val="0"/>
                <w:szCs w:val="21"/>
              </w:rPr>
              <w:t>处理意见</w:t>
            </w:r>
          </w:p>
        </w:tc>
        <w:tc>
          <w:tcPr>
            <w:tcW w:w="1988" w:type="dxa"/>
            <w:tcBorders>
              <w:top w:val="single" w:sz="4" w:space="0" w:color="auto"/>
              <w:left w:val="single" w:sz="4" w:space="0" w:color="auto"/>
              <w:bottom w:val="single" w:sz="4" w:space="0" w:color="auto"/>
              <w:right w:val="single" w:sz="4" w:space="0" w:color="auto"/>
            </w:tcBorders>
            <w:vAlign w:val="center"/>
          </w:tcPr>
          <w:p w14:paraId="42761DB7" w14:textId="77777777" w:rsidR="00B50C5D" w:rsidRDefault="00FA0E9F">
            <w:pPr>
              <w:spacing w:line="360" w:lineRule="auto"/>
              <w:rPr>
                <w:rFonts w:ascii="宋体" w:hAnsi="宋体" w:cs="宋体"/>
                <w:kern w:val="0"/>
                <w:szCs w:val="21"/>
              </w:rPr>
            </w:pPr>
            <w:r>
              <w:rPr>
                <w:rFonts w:ascii="宋体" w:hAnsi="宋体" w:cs="宋体" w:hint="eastAsia"/>
                <w:kern w:val="0"/>
                <w:szCs w:val="21"/>
              </w:rPr>
              <w:t>备注</w:t>
            </w:r>
          </w:p>
        </w:tc>
      </w:tr>
      <w:tr w:rsidR="00B50C5D" w14:paraId="20CE8790" w14:textId="77777777">
        <w:trPr>
          <w:jc w:val="center"/>
        </w:trPr>
        <w:tc>
          <w:tcPr>
            <w:tcW w:w="636" w:type="dxa"/>
            <w:tcBorders>
              <w:top w:val="single" w:sz="4" w:space="0" w:color="auto"/>
              <w:left w:val="single" w:sz="4" w:space="0" w:color="auto"/>
              <w:bottom w:val="single" w:sz="4" w:space="0" w:color="auto"/>
              <w:right w:val="single" w:sz="4" w:space="0" w:color="auto"/>
            </w:tcBorders>
            <w:vAlign w:val="center"/>
          </w:tcPr>
          <w:p w14:paraId="77DFB2FC" w14:textId="77777777" w:rsidR="00B50C5D" w:rsidRDefault="00FA0E9F">
            <w:pPr>
              <w:spacing w:line="360" w:lineRule="auto"/>
              <w:rPr>
                <w:rFonts w:ascii="宋体" w:hAnsi="宋体" w:cs="宋体"/>
                <w:kern w:val="0"/>
                <w:szCs w:val="21"/>
              </w:rPr>
            </w:pPr>
            <w:r>
              <w:rPr>
                <w:rFonts w:ascii="宋体" w:hAnsi="宋体" w:cs="宋体" w:hint="eastAsia"/>
                <w:kern w:val="0"/>
                <w:szCs w:val="21"/>
              </w:rPr>
              <w:t>1</w:t>
            </w:r>
          </w:p>
        </w:tc>
        <w:tc>
          <w:tcPr>
            <w:tcW w:w="1262" w:type="dxa"/>
            <w:tcBorders>
              <w:top w:val="single" w:sz="4" w:space="0" w:color="auto"/>
              <w:left w:val="single" w:sz="4" w:space="0" w:color="auto"/>
              <w:bottom w:val="single" w:sz="4" w:space="0" w:color="auto"/>
              <w:right w:val="single" w:sz="4" w:space="0" w:color="auto"/>
            </w:tcBorders>
          </w:tcPr>
          <w:p w14:paraId="5BE26415" w14:textId="77777777" w:rsidR="00B50C5D" w:rsidRDefault="00FA0E9F">
            <w:pPr>
              <w:spacing w:line="360" w:lineRule="auto"/>
              <w:jc w:val="center"/>
              <w:rPr>
                <w:rFonts w:ascii="宋体" w:hAnsi="宋体" w:cs="宋体"/>
                <w:kern w:val="0"/>
                <w:szCs w:val="21"/>
              </w:rPr>
            </w:pPr>
            <w:r>
              <w:rPr>
                <w:rFonts w:ascii="宋体" w:hAnsi="宋体" w:cs="宋体" w:hint="eastAsia"/>
                <w:kern w:val="0"/>
                <w:szCs w:val="21"/>
              </w:rPr>
              <w:t>全文</w:t>
            </w:r>
          </w:p>
        </w:tc>
        <w:tc>
          <w:tcPr>
            <w:tcW w:w="3540" w:type="dxa"/>
            <w:tcBorders>
              <w:top w:val="single" w:sz="4" w:space="0" w:color="auto"/>
              <w:left w:val="single" w:sz="4" w:space="0" w:color="auto"/>
              <w:bottom w:val="single" w:sz="4" w:space="0" w:color="auto"/>
              <w:right w:val="single" w:sz="4" w:space="0" w:color="auto"/>
            </w:tcBorders>
            <w:vAlign w:val="center"/>
          </w:tcPr>
          <w:p w14:paraId="17266142" w14:textId="77777777" w:rsidR="00B50C5D" w:rsidRDefault="00FA0E9F">
            <w:pPr>
              <w:spacing w:line="360" w:lineRule="auto"/>
              <w:jc w:val="center"/>
              <w:rPr>
                <w:rFonts w:ascii="宋体" w:hAnsi="宋体" w:cs="宋体"/>
                <w:kern w:val="0"/>
                <w:szCs w:val="21"/>
              </w:rPr>
            </w:pPr>
            <w:r>
              <w:rPr>
                <w:rFonts w:ascii="宋体" w:hAnsi="宋体" w:cs="宋体" w:hint="eastAsia"/>
                <w:szCs w:val="21"/>
              </w:rPr>
              <w:t>修改字体</w:t>
            </w:r>
          </w:p>
        </w:tc>
        <w:tc>
          <w:tcPr>
            <w:tcW w:w="1620" w:type="dxa"/>
            <w:tcBorders>
              <w:top w:val="single" w:sz="4" w:space="0" w:color="auto"/>
              <w:left w:val="single" w:sz="4" w:space="0" w:color="auto"/>
              <w:bottom w:val="single" w:sz="4" w:space="0" w:color="auto"/>
              <w:right w:val="single" w:sz="4" w:space="0" w:color="auto"/>
            </w:tcBorders>
            <w:vAlign w:val="center"/>
          </w:tcPr>
          <w:p w14:paraId="366DDC78" w14:textId="77777777" w:rsidR="00B50C5D" w:rsidRDefault="00FA0E9F">
            <w:pPr>
              <w:spacing w:line="360" w:lineRule="auto"/>
              <w:rPr>
                <w:rFonts w:ascii="宋体" w:hAnsi="宋体" w:cs="宋体"/>
                <w:kern w:val="0"/>
                <w:szCs w:val="21"/>
              </w:rPr>
            </w:pPr>
            <w:r>
              <w:rPr>
                <w:rFonts w:ascii="宋体" w:hAnsi="宋体" w:cs="宋体" w:hint="eastAsia"/>
                <w:szCs w:val="21"/>
              </w:rPr>
              <w:t>北京康普锡威科技有限公司</w:t>
            </w:r>
          </w:p>
        </w:tc>
        <w:tc>
          <w:tcPr>
            <w:tcW w:w="1522" w:type="dxa"/>
            <w:tcBorders>
              <w:top w:val="single" w:sz="4" w:space="0" w:color="auto"/>
              <w:left w:val="single" w:sz="4" w:space="0" w:color="auto"/>
              <w:bottom w:val="single" w:sz="4" w:space="0" w:color="auto"/>
              <w:right w:val="single" w:sz="4" w:space="0" w:color="auto"/>
            </w:tcBorders>
            <w:vAlign w:val="center"/>
          </w:tcPr>
          <w:p w14:paraId="2FAFC9FA" w14:textId="77777777" w:rsidR="00B50C5D" w:rsidRDefault="00FA0E9F">
            <w:pPr>
              <w:spacing w:line="360" w:lineRule="auto"/>
              <w:jc w:val="center"/>
              <w:rPr>
                <w:rFonts w:ascii="宋体" w:hAnsi="宋体" w:cs="宋体"/>
                <w:kern w:val="0"/>
                <w:szCs w:val="21"/>
              </w:rPr>
            </w:pPr>
            <w:r>
              <w:rPr>
                <w:rFonts w:ascii="宋体" w:hAnsi="宋体" w:cs="宋体" w:hint="eastAsia"/>
                <w:kern w:val="0"/>
                <w:szCs w:val="21"/>
              </w:rPr>
              <w:t>采纳</w:t>
            </w:r>
          </w:p>
        </w:tc>
        <w:tc>
          <w:tcPr>
            <w:tcW w:w="1988" w:type="dxa"/>
            <w:tcBorders>
              <w:top w:val="single" w:sz="4" w:space="0" w:color="auto"/>
              <w:left w:val="single" w:sz="4" w:space="0" w:color="auto"/>
              <w:bottom w:val="single" w:sz="4" w:space="0" w:color="auto"/>
              <w:right w:val="single" w:sz="4" w:space="0" w:color="auto"/>
            </w:tcBorders>
            <w:vAlign w:val="center"/>
          </w:tcPr>
          <w:p w14:paraId="05E44242" w14:textId="77777777" w:rsidR="00B50C5D" w:rsidRDefault="00B50C5D">
            <w:pPr>
              <w:spacing w:line="360" w:lineRule="auto"/>
              <w:ind w:firstLineChars="400" w:firstLine="840"/>
              <w:rPr>
                <w:rFonts w:ascii="宋体" w:hAnsi="宋体" w:cs="宋体"/>
                <w:kern w:val="0"/>
                <w:szCs w:val="21"/>
              </w:rPr>
            </w:pPr>
          </w:p>
        </w:tc>
      </w:tr>
      <w:tr w:rsidR="00B50C5D" w14:paraId="6B6DB101" w14:textId="77777777">
        <w:trPr>
          <w:trHeight w:val="793"/>
          <w:jc w:val="center"/>
        </w:trPr>
        <w:tc>
          <w:tcPr>
            <w:tcW w:w="636" w:type="dxa"/>
            <w:vMerge w:val="restart"/>
            <w:tcBorders>
              <w:top w:val="single" w:sz="4" w:space="0" w:color="auto"/>
              <w:left w:val="single" w:sz="4" w:space="0" w:color="auto"/>
              <w:right w:val="single" w:sz="4" w:space="0" w:color="auto"/>
            </w:tcBorders>
            <w:vAlign w:val="center"/>
          </w:tcPr>
          <w:p w14:paraId="2E3371E3" w14:textId="77777777" w:rsidR="00B50C5D" w:rsidRDefault="00FA0E9F">
            <w:pPr>
              <w:spacing w:line="360" w:lineRule="auto"/>
              <w:rPr>
                <w:rFonts w:ascii="宋体" w:hAnsi="宋体" w:cs="宋体"/>
                <w:kern w:val="0"/>
                <w:szCs w:val="21"/>
              </w:rPr>
            </w:pPr>
            <w:r>
              <w:rPr>
                <w:rFonts w:ascii="宋体" w:hAnsi="宋体" w:cs="宋体" w:hint="eastAsia"/>
                <w:kern w:val="0"/>
                <w:szCs w:val="21"/>
              </w:rPr>
              <w:t>2</w:t>
            </w:r>
          </w:p>
        </w:tc>
        <w:tc>
          <w:tcPr>
            <w:tcW w:w="1262" w:type="dxa"/>
            <w:tcBorders>
              <w:top w:val="single" w:sz="4" w:space="0" w:color="auto"/>
              <w:left w:val="single" w:sz="4" w:space="0" w:color="auto"/>
              <w:bottom w:val="single" w:sz="4" w:space="0" w:color="auto"/>
              <w:right w:val="single" w:sz="4" w:space="0" w:color="auto"/>
            </w:tcBorders>
          </w:tcPr>
          <w:p w14:paraId="06A4CB63" w14:textId="77777777" w:rsidR="00B50C5D" w:rsidRDefault="00FA0E9F">
            <w:pPr>
              <w:spacing w:line="360" w:lineRule="auto"/>
              <w:jc w:val="center"/>
              <w:rPr>
                <w:rFonts w:ascii="宋体" w:hAnsi="宋体" w:cs="宋体"/>
                <w:kern w:val="0"/>
                <w:szCs w:val="21"/>
              </w:rPr>
            </w:pPr>
            <w:r>
              <w:rPr>
                <w:rFonts w:ascii="宋体" w:hAnsi="宋体" w:cs="宋体" w:hint="eastAsia"/>
                <w:kern w:val="0"/>
                <w:szCs w:val="21"/>
              </w:rPr>
              <w:t>引言、2.3.2</w:t>
            </w:r>
          </w:p>
        </w:tc>
        <w:tc>
          <w:tcPr>
            <w:tcW w:w="3540" w:type="dxa"/>
            <w:tcBorders>
              <w:top w:val="single" w:sz="4" w:space="0" w:color="auto"/>
              <w:left w:val="single" w:sz="4" w:space="0" w:color="auto"/>
              <w:bottom w:val="single" w:sz="4" w:space="0" w:color="auto"/>
              <w:right w:val="single" w:sz="4" w:space="0" w:color="auto"/>
            </w:tcBorders>
            <w:vAlign w:val="center"/>
          </w:tcPr>
          <w:p w14:paraId="7B1B5819" w14:textId="77777777" w:rsidR="00B50C5D" w:rsidRDefault="00FA0E9F">
            <w:pPr>
              <w:pStyle w:val="af1"/>
              <w:adjustRightInd w:val="0"/>
              <w:spacing w:line="360" w:lineRule="atLeast"/>
              <w:ind w:firstLineChars="0" w:firstLine="0"/>
              <w:textAlignment w:val="baseline"/>
              <w:rPr>
                <w:rFonts w:ascii="宋体" w:hAnsi="宋体" w:cs="宋体"/>
                <w:szCs w:val="21"/>
              </w:rPr>
            </w:pPr>
            <w:r>
              <w:rPr>
                <w:rFonts w:ascii="宋体" w:hAnsi="宋体" w:cs="宋体" w:hint="eastAsia"/>
                <w:szCs w:val="21"/>
              </w:rPr>
              <w:t>1.引言部分第二段“锡是制造领域中是不可或缺的重要元素”修改为“锡是制造领域中不可或缺的重要元素”；“随我国国民经济的快速发展”修改为“随着我国国民经济的快速发展”；</w:t>
            </w:r>
          </w:p>
          <w:p w14:paraId="630FADB1" w14:textId="77777777" w:rsidR="00B50C5D" w:rsidRDefault="00FA0E9F">
            <w:pPr>
              <w:pStyle w:val="af1"/>
              <w:adjustRightInd w:val="0"/>
              <w:spacing w:line="360" w:lineRule="atLeast"/>
              <w:ind w:firstLineChars="0" w:firstLine="0"/>
              <w:textAlignment w:val="baseline"/>
              <w:rPr>
                <w:rFonts w:ascii="宋体" w:hAnsi="宋体" w:cs="宋体"/>
                <w:szCs w:val="21"/>
              </w:rPr>
            </w:pPr>
            <w:r>
              <w:rPr>
                <w:rFonts w:ascii="宋体" w:hAnsi="宋体" w:cs="宋体" w:hint="eastAsia"/>
                <w:szCs w:val="21"/>
              </w:rPr>
              <w:t>2.3.2 锡及锡合金加工业定义修改为“  1 范围”内容对应。</w:t>
            </w:r>
          </w:p>
        </w:tc>
        <w:tc>
          <w:tcPr>
            <w:tcW w:w="1620" w:type="dxa"/>
            <w:vMerge w:val="restart"/>
            <w:tcBorders>
              <w:top w:val="single" w:sz="4" w:space="0" w:color="auto"/>
              <w:left w:val="single" w:sz="4" w:space="0" w:color="auto"/>
              <w:right w:val="single" w:sz="4" w:space="0" w:color="auto"/>
            </w:tcBorders>
            <w:vAlign w:val="center"/>
          </w:tcPr>
          <w:p w14:paraId="6B874DD1" w14:textId="77777777" w:rsidR="00B50C5D" w:rsidRDefault="00FA0E9F">
            <w:pPr>
              <w:spacing w:line="360" w:lineRule="auto"/>
              <w:rPr>
                <w:rFonts w:ascii="宋体" w:hAnsi="宋体" w:cs="宋体"/>
                <w:szCs w:val="21"/>
              </w:rPr>
            </w:pPr>
            <w:r>
              <w:rPr>
                <w:rFonts w:ascii="宋体" w:hAnsi="宋体" w:cs="宋体" w:hint="eastAsia"/>
                <w:szCs w:val="21"/>
              </w:rPr>
              <w:t>中山翰华锡业有限公司</w:t>
            </w:r>
          </w:p>
        </w:tc>
        <w:tc>
          <w:tcPr>
            <w:tcW w:w="1522" w:type="dxa"/>
            <w:vMerge w:val="restart"/>
            <w:tcBorders>
              <w:top w:val="single" w:sz="4" w:space="0" w:color="auto"/>
              <w:left w:val="single" w:sz="4" w:space="0" w:color="auto"/>
              <w:right w:val="single" w:sz="4" w:space="0" w:color="auto"/>
            </w:tcBorders>
            <w:vAlign w:val="center"/>
          </w:tcPr>
          <w:p w14:paraId="40C1480E" w14:textId="77777777" w:rsidR="00B50C5D" w:rsidRDefault="00FA0E9F">
            <w:pPr>
              <w:spacing w:line="360" w:lineRule="auto"/>
              <w:jc w:val="center"/>
              <w:rPr>
                <w:rFonts w:ascii="宋体" w:hAnsi="宋体" w:cs="宋体"/>
                <w:kern w:val="0"/>
                <w:szCs w:val="21"/>
              </w:rPr>
            </w:pPr>
            <w:r>
              <w:rPr>
                <w:rFonts w:ascii="宋体" w:hAnsi="宋体" w:cs="宋体" w:hint="eastAsia"/>
                <w:kern w:val="0"/>
                <w:szCs w:val="21"/>
              </w:rPr>
              <w:t>采纳</w:t>
            </w:r>
          </w:p>
        </w:tc>
        <w:tc>
          <w:tcPr>
            <w:tcW w:w="1988" w:type="dxa"/>
            <w:vMerge w:val="restart"/>
            <w:tcBorders>
              <w:top w:val="single" w:sz="4" w:space="0" w:color="auto"/>
              <w:left w:val="single" w:sz="4" w:space="0" w:color="auto"/>
              <w:right w:val="single" w:sz="4" w:space="0" w:color="auto"/>
            </w:tcBorders>
            <w:vAlign w:val="center"/>
          </w:tcPr>
          <w:p w14:paraId="51F6281D" w14:textId="77777777" w:rsidR="00B50C5D" w:rsidRDefault="00B50C5D">
            <w:pPr>
              <w:spacing w:line="360" w:lineRule="auto"/>
              <w:ind w:firstLineChars="400" w:firstLine="840"/>
              <w:rPr>
                <w:rFonts w:ascii="宋体" w:hAnsi="宋体" w:cs="宋体"/>
                <w:kern w:val="0"/>
                <w:szCs w:val="21"/>
              </w:rPr>
            </w:pPr>
          </w:p>
        </w:tc>
      </w:tr>
      <w:tr w:rsidR="00B50C5D" w14:paraId="1466863A" w14:textId="77777777">
        <w:trPr>
          <w:trHeight w:val="90"/>
          <w:jc w:val="center"/>
        </w:trPr>
        <w:tc>
          <w:tcPr>
            <w:tcW w:w="636" w:type="dxa"/>
            <w:vMerge/>
            <w:tcBorders>
              <w:left w:val="single" w:sz="4" w:space="0" w:color="auto"/>
              <w:right w:val="single" w:sz="4" w:space="0" w:color="auto"/>
            </w:tcBorders>
            <w:vAlign w:val="center"/>
          </w:tcPr>
          <w:p w14:paraId="6A2C76B6" w14:textId="77777777" w:rsidR="00B50C5D" w:rsidRDefault="00B50C5D">
            <w:pPr>
              <w:spacing w:line="360" w:lineRule="auto"/>
              <w:rPr>
                <w:rFonts w:ascii="宋体" w:hAnsi="宋体" w:cs="宋体"/>
                <w:kern w:val="0"/>
                <w:szCs w:val="21"/>
              </w:rPr>
            </w:pPr>
          </w:p>
        </w:tc>
        <w:tc>
          <w:tcPr>
            <w:tcW w:w="1262" w:type="dxa"/>
            <w:tcBorders>
              <w:top w:val="single" w:sz="4" w:space="0" w:color="auto"/>
              <w:left w:val="single" w:sz="4" w:space="0" w:color="auto"/>
              <w:bottom w:val="single" w:sz="4" w:space="0" w:color="auto"/>
              <w:right w:val="single" w:sz="4" w:space="0" w:color="auto"/>
            </w:tcBorders>
          </w:tcPr>
          <w:p w14:paraId="46D30DFE" w14:textId="77777777" w:rsidR="00B50C5D" w:rsidRDefault="00FA0E9F">
            <w:pPr>
              <w:spacing w:line="360" w:lineRule="auto"/>
              <w:jc w:val="center"/>
              <w:rPr>
                <w:rFonts w:ascii="宋体" w:hAnsi="宋体" w:cs="宋体"/>
                <w:kern w:val="0"/>
                <w:szCs w:val="21"/>
              </w:rPr>
            </w:pPr>
            <w:r>
              <w:rPr>
                <w:rFonts w:ascii="宋体" w:hAnsi="宋体" w:cs="宋体" w:hint="eastAsia"/>
                <w:szCs w:val="21"/>
              </w:rPr>
              <w:t>表A.1</w:t>
            </w:r>
          </w:p>
        </w:tc>
        <w:tc>
          <w:tcPr>
            <w:tcW w:w="3540" w:type="dxa"/>
            <w:tcBorders>
              <w:top w:val="single" w:sz="4" w:space="0" w:color="auto"/>
              <w:left w:val="single" w:sz="4" w:space="0" w:color="auto"/>
              <w:bottom w:val="single" w:sz="4" w:space="0" w:color="auto"/>
              <w:right w:val="single" w:sz="4" w:space="0" w:color="auto"/>
            </w:tcBorders>
            <w:vAlign w:val="center"/>
          </w:tcPr>
          <w:p w14:paraId="29CC9600" w14:textId="77777777" w:rsidR="00B50C5D" w:rsidRDefault="00FA0E9F">
            <w:pPr>
              <w:pStyle w:val="af1"/>
              <w:adjustRightInd w:val="0"/>
              <w:spacing w:line="360" w:lineRule="atLeast"/>
              <w:ind w:firstLineChars="0" w:firstLine="0"/>
              <w:textAlignment w:val="baseline"/>
              <w:rPr>
                <w:rFonts w:ascii="宋体" w:hAnsi="宋体" w:cs="宋体"/>
                <w:szCs w:val="21"/>
              </w:rPr>
            </w:pPr>
            <w:r>
              <w:rPr>
                <w:rFonts w:ascii="宋体" w:hAnsi="宋体" w:cs="宋体" w:hint="eastAsia"/>
                <w:szCs w:val="21"/>
              </w:rPr>
              <w:t>1、基本要求的合规性与相关方要求中“</w:t>
            </w:r>
            <w:hyperlink r:id="rId14" w:history="1">
              <w:r>
                <w:rPr>
                  <w:rFonts w:ascii="宋体" w:hAnsi="宋体" w:cs="宋体" w:hint="eastAsia"/>
                  <w:szCs w:val="21"/>
                </w:rPr>
                <w:t>国家企业信用信息公示系统无处罚记录截屏等</w:t>
              </w:r>
            </w:hyperlink>
            <w:r>
              <w:rPr>
                <w:rFonts w:ascii="宋体" w:hAnsi="宋体" w:cs="宋体" w:hint="eastAsia"/>
                <w:szCs w:val="21"/>
              </w:rPr>
              <w:t>”修改为“</w:t>
            </w:r>
            <w:hyperlink r:id="rId15" w:history="1">
              <w:r>
                <w:rPr>
                  <w:rFonts w:ascii="宋体" w:hAnsi="宋体" w:cs="宋体" w:hint="eastAsia"/>
                  <w:szCs w:val="21"/>
                </w:rPr>
                <w:t>国家企业信用信息公示系统无处罚记录等</w:t>
              </w:r>
            </w:hyperlink>
            <w:r>
              <w:rPr>
                <w:rFonts w:ascii="宋体" w:hAnsi="宋体" w:cs="宋体" w:hint="eastAsia"/>
                <w:szCs w:val="21"/>
              </w:rPr>
              <w:t>”；</w:t>
            </w:r>
          </w:p>
          <w:p w14:paraId="28A357D7" w14:textId="77777777" w:rsidR="00B50C5D" w:rsidRDefault="00FA0E9F">
            <w:pPr>
              <w:spacing w:line="360" w:lineRule="auto"/>
              <w:jc w:val="center"/>
              <w:rPr>
                <w:rFonts w:ascii="宋体" w:hAnsi="宋体" w:cs="宋体"/>
                <w:szCs w:val="21"/>
              </w:rPr>
            </w:pPr>
            <w:r>
              <w:rPr>
                <w:rFonts w:ascii="宋体" w:hAnsi="宋体" w:cs="宋体" w:hint="eastAsia"/>
                <w:szCs w:val="21"/>
              </w:rPr>
              <w:t>2、基础设施的建筑要求中“危废固废存储储罐、仓库照片或其他相关证明文件”修改为“危废固废存储罐、仓库照片或其他相关证明文件”。</w:t>
            </w:r>
          </w:p>
        </w:tc>
        <w:tc>
          <w:tcPr>
            <w:tcW w:w="1620" w:type="dxa"/>
            <w:vMerge/>
            <w:tcBorders>
              <w:left w:val="single" w:sz="4" w:space="0" w:color="auto"/>
              <w:right w:val="single" w:sz="4" w:space="0" w:color="auto"/>
            </w:tcBorders>
            <w:vAlign w:val="center"/>
          </w:tcPr>
          <w:p w14:paraId="1D6DA4C8" w14:textId="77777777" w:rsidR="00B50C5D" w:rsidRDefault="00B50C5D">
            <w:pPr>
              <w:spacing w:line="360" w:lineRule="auto"/>
              <w:rPr>
                <w:rFonts w:ascii="宋体" w:hAnsi="宋体" w:cs="宋体"/>
                <w:szCs w:val="21"/>
              </w:rPr>
            </w:pPr>
          </w:p>
        </w:tc>
        <w:tc>
          <w:tcPr>
            <w:tcW w:w="1522" w:type="dxa"/>
            <w:vMerge/>
            <w:tcBorders>
              <w:left w:val="single" w:sz="4" w:space="0" w:color="auto"/>
              <w:right w:val="single" w:sz="4" w:space="0" w:color="auto"/>
            </w:tcBorders>
            <w:vAlign w:val="center"/>
          </w:tcPr>
          <w:p w14:paraId="12573FAF" w14:textId="77777777" w:rsidR="00B50C5D" w:rsidRDefault="00B50C5D">
            <w:pPr>
              <w:spacing w:line="360" w:lineRule="auto"/>
              <w:jc w:val="center"/>
              <w:rPr>
                <w:rFonts w:ascii="宋体" w:hAnsi="宋体" w:cs="宋体"/>
                <w:kern w:val="0"/>
                <w:szCs w:val="21"/>
              </w:rPr>
            </w:pPr>
          </w:p>
        </w:tc>
        <w:tc>
          <w:tcPr>
            <w:tcW w:w="1988" w:type="dxa"/>
            <w:vMerge/>
            <w:tcBorders>
              <w:left w:val="single" w:sz="4" w:space="0" w:color="auto"/>
              <w:right w:val="single" w:sz="4" w:space="0" w:color="auto"/>
            </w:tcBorders>
            <w:vAlign w:val="center"/>
          </w:tcPr>
          <w:p w14:paraId="3832EACD" w14:textId="77777777" w:rsidR="00B50C5D" w:rsidRDefault="00B50C5D">
            <w:pPr>
              <w:spacing w:line="360" w:lineRule="auto"/>
              <w:ind w:firstLineChars="400" w:firstLine="840"/>
              <w:rPr>
                <w:rFonts w:ascii="宋体" w:hAnsi="宋体" w:cs="宋体"/>
                <w:kern w:val="0"/>
                <w:szCs w:val="21"/>
              </w:rPr>
            </w:pPr>
          </w:p>
        </w:tc>
      </w:tr>
      <w:tr w:rsidR="00B50C5D" w14:paraId="74E27450" w14:textId="77777777">
        <w:trPr>
          <w:trHeight w:val="827"/>
          <w:jc w:val="center"/>
        </w:trPr>
        <w:tc>
          <w:tcPr>
            <w:tcW w:w="636" w:type="dxa"/>
            <w:tcBorders>
              <w:left w:val="single" w:sz="4" w:space="0" w:color="auto"/>
              <w:right w:val="single" w:sz="4" w:space="0" w:color="auto"/>
            </w:tcBorders>
            <w:vAlign w:val="center"/>
          </w:tcPr>
          <w:p w14:paraId="3C382B0C" w14:textId="77777777" w:rsidR="00B50C5D" w:rsidRDefault="00FA0E9F">
            <w:pPr>
              <w:spacing w:line="360" w:lineRule="auto"/>
              <w:rPr>
                <w:rFonts w:ascii="宋体" w:hAnsi="宋体" w:cs="宋体"/>
                <w:kern w:val="0"/>
                <w:szCs w:val="21"/>
              </w:rPr>
            </w:pPr>
            <w:r>
              <w:rPr>
                <w:rFonts w:ascii="宋体" w:hAnsi="宋体" w:cs="宋体" w:hint="eastAsia"/>
                <w:kern w:val="0"/>
                <w:szCs w:val="21"/>
              </w:rPr>
              <w:t>3</w:t>
            </w:r>
          </w:p>
        </w:tc>
        <w:tc>
          <w:tcPr>
            <w:tcW w:w="1262" w:type="dxa"/>
            <w:tcBorders>
              <w:top w:val="single" w:sz="4" w:space="0" w:color="auto"/>
              <w:left w:val="single" w:sz="4" w:space="0" w:color="auto"/>
              <w:bottom w:val="single" w:sz="4" w:space="0" w:color="auto"/>
              <w:right w:val="single" w:sz="4" w:space="0" w:color="auto"/>
            </w:tcBorders>
          </w:tcPr>
          <w:p w14:paraId="51D84C3E" w14:textId="77777777" w:rsidR="00B50C5D" w:rsidRDefault="00FA0E9F">
            <w:pPr>
              <w:spacing w:line="360" w:lineRule="auto"/>
              <w:jc w:val="center"/>
              <w:rPr>
                <w:rFonts w:ascii="宋体" w:hAnsi="宋体" w:cs="宋体"/>
                <w:szCs w:val="21"/>
              </w:rPr>
            </w:pPr>
            <w:r>
              <w:rPr>
                <w:rFonts w:ascii="宋体" w:hAnsi="宋体" w:cs="宋体" w:hint="eastAsia"/>
                <w:szCs w:val="21"/>
              </w:rPr>
              <w:t>——</w:t>
            </w:r>
          </w:p>
        </w:tc>
        <w:tc>
          <w:tcPr>
            <w:tcW w:w="3540" w:type="dxa"/>
            <w:tcBorders>
              <w:top w:val="single" w:sz="4" w:space="0" w:color="auto"/>
              <w:left w:val="single" w:sz="4" w:space="0" w:color="auto"/>
              <w:bottom w:val="single" w:sz="4" w:space="0" w:color="auto"/>
              <w:right w:val="single" w:sz="4" w:space="0" w:color="auto"/>
            </w:tcBorders>
            <w:vAlign w:val="center"/>
          </w:tcPr>
          <w:p w14:paraId="71F1BB0A" w14:textId="77777777" w:rsidR="00B50C5D" w:rsidRDefault="00FA0E9F">
            <w:pPr>
              <w:spacing w:line="360" w:lineRule="auto"/>
              <w:jc w:val="center"/>
              <w:rPr>
                <w:rFonts w:ascii="宋体" w:hAnsi="宋体" w:cs="宋体"/>
                <w:szCs w:val="21"/>
              </w:rPr>
            </w:pPr>
            <w:r>
              <w:rPr>
                <w:rFonts w:ascii="宋体" w:hAnsi="宋体" w:cs="宋体" w:hint="eastAsia"/>
                <w:szCs w:val="21"/>
              </w:rPr>
              <w:t>无意见</w:t>
            </w:r>
          </w:p>
        </w:tc>
        <w:tc>
          <w:tcPr>
            <w:tcW w:w="1620" w:type="dxa"/>
            <w:tcBorders>
              <w:left w:val="single" w:sz="4" w:space="0" w:color="auto"/>
              <w:right w:val="single" w:sz="4" w:space="0" w:color="auto"/>
            </w:tcBorders>
            <w:vAlign w:val="center"/>
          </w:tcPr>
          <w:p w14:paraId="61A16AA3" w14:textId="77777777" w:rsidR="00B50C5D" w:rsidRDefault="00FA0E9F">
            <w:pPr>
              <w:adjustRightInd w:val="0"/>
              <w:spacing w:line="360" w:lineRule="atLeast"/>
              <w:jc w:val="center"/>
              <w:textAlignment w:val="baseline"/>
              <w:rPr>
                <w:rFonts w:ascii="宋体" w:hAnsi="宋体" w:cs="宋体"/>
                <w:szCs w:val="21"/>
              </w:rPr>
            </w:pPr>
            <w:r>
              <w:rPr>
                <w:rFonts w:ascii="宋体" w:hAnsi="宋体" w:cs="宋体" w:hint="eastAsia"/>
                <w:szCs w:val="21"/>
              </w:rPr>
              <w:t>深圳市亿铖达工业有限公司</w:t>
            </w:r>
          </w:p>
        </w:tc>
        <w:tc>
          <w:tcPr>
            <w:tcW w:w="1522" w:type="dxa"/>
            <w:tcBorders>
              <w:left w:val="single" w:sz="4" w:space="0" w:color="auto"/>
              <w:right w:val="single" w:sz="4" w:space="0" w:color="auto"/>
            </w:tcBorders>
            <w:vAlign w:val="center"/>
          </w:tcPr>
          <w:p w14:paraId="0884E0BC" w14:textId="77777777" w:rsidR="00B50C5D" w:rsidRDefault="00FA0E9F">
            <w:pPr>
              <w:spacing w:line="360" w:lineRule="auto"/>
              <w:jc w:val="center"/>
              <w:rPr>
                <w:rFonts w:ascii="宋体" w:hAnsi="宋体" w:cs="宋体"/>
                <w:kern w:val="0"/>
                <w:szCs w:val="21"/>
              </w:rPr>
            </w:pPr>
            <w:r>
              <w:rPr>
                <w:rFonts w:ascii="宋体" w:hAnsi="宋体" w:cs="宋体" w:hint="eastAsia"/>
                <w:kern w:val="0"/>
                <w:szCs w:val="21"/>
              </w:rPr>
              <w:t>——</w:t>
            </w:r>
          </w:p>
        </w:tc>
        <w:tc>
          <w:tcPr>
            <w:tcW w:w="1988" w:type="dxa"/>
            <w:tcBorders>
              <w:left w:val="single" w:sz="4" w:space="0" w:color="auto"/>
              <w:right w:val="single" w:sz="4" w:space="0" w:color="auto"/>
            </w:tcBorders>
            <w:vAlign w:val="center"/>
          </w:tcPr>
          <w:p w14:paraId="6CAE46E3" w14:textId="77777777" w:rsidR="00B50C5D" w:rsidRDefault="00B50C5D">
            <w:pPr>
              <w:spacing w:line="360" w:lineRule="auto"/>
              <w:ind w:firstLineChars="400" w:firstLine="840"/>
              <w:rPr>
                <w:rFonts w:ascii="宋体" w:hAnsi="宋体" w:cs="宋体"/>
                <w:kern w:val="0"/>
                <w:szCs w:val="21"/>
              </w:rPr>
            </w:pPr>
          </w:p>
        </w:tc>
      </w:tr>
      <w:tr w:rsidR="00B50C5D" w14:paraId="413A39E1" w14:textId="77777777">
        <w:trPr>
          <w:trHeight w:val="687"/>
          <w:jc w:val="center"/>
        </w:trPr>
        <w:tc>
          <w:tcPr>
            <w:tcW w:w="636" w:type="dxa"/>
            <w:tcBorders>
              <w:left w:val="single" w:sz="4" w:space="0" w:color="auto"/>
              <w:right w:val="single" w:sz="4" w:space="0" w:color="auto"/>
            </w:tcBorders>
            <w:vAlign w:val="center"/>
          </w:tcPr>
          <w:p w14:paraId="2E951906" w14:textId="77777777" w:rsidR="00B50C5D" w:rsidRDefault="00FA0E9F">
            <w:pPr>
              <w:spacing w:line="360" w:lineRule="auto"/>
              <w:rPr>
                <w:rFonts w:ascii="宋体" w:hAnsi="宋体" w:cs="宋体"/>
                <w:kern w:val="0"/>
                <w:szCs w:val="21"/>
              </w:rPr>
            </w:pPr>
            <w:r>
              <w:rPr>
                <w:rFonts w:ascii="宋体" w:hAnsi="宋体" w:cs="宋体" w:hint="eastAsia"/>
                <w:kern w:val="0"/>
                <w:szCs w:val="21"/>
              </w:rPr>
              <w:t>4</w:t>
            </w:r>
          </w:p>
        </w:tc>
        <w:tc>
          <w:tcPr>
            <w:tcW w:w="1262" w:type="dxa"/>
            <w:tcBorders>
              <w:top w:val="single" w:sz="4" w:space="0" w:color="auto"/>
              <w:left w:val="single" w:sz="4" w:space="0" w:color="auto"/>
              <w:bottom w:val="single" w:sz="4" w:space="0" w:color="auto"/>
              <w:right w:val="single" w:sz="4" w:space="0" w:color="auto"/>
            </w:tcBorders>
          </w:tcPr>
          <w:p w14:paraId="28EDCDAD" w14:textId="77777777" w:rsidR="00B50C5D" w:rsidRDefault="00FA0E9F">
            <w:pPr>
              <w:spacing w:line="360" w:lineRule="auto"/>
              <w:jc w:val="center"/>
              <w:rPr>
                <w:rFonts w:ascii="宋体" w:hAnsi="宋体" w:cs="宋体"/>
                <w:szCs w:val="21"/>
              </w:rPr>
            </w:pPr>
            <w:r>
              <w:rPr>
                <w:rFonts w:ascii="宋体" w:hAnsi="宋体" w:cs="宋体" w:hint="eastAsia"/>
                <w:szCs w:val="21"/>
              </w:rPr>
              <w:t>——</w:t>
            </w:r>
          </w:p>
        </w:tc>
        <w:tc>
          <w:tcPr>
            <w:tcW w:w="3540" w:type="dxa"/>
            <w:tcBorders>
              <w:top w:val="single" w:sz="4" w:space="0" w:color="auto"/>
              <w:left w:val="single" w:sz="4" w:space="0" w:color="auto"/>
              <w:bottom w:val="single" w:sz="4" w:space="0" w:color="auto"/>
              <w:right w:val="single" w:sz="4" w:space="0" w:color="auto"/>
            </w:tcBorders>
            <w:vAlign w:val="center"/>
          </w:tcPr>
          <w:p w14:paraId="45F83F2A" w14:textId="77777777" w:rsidR="00B50C5D" w:rsidRDefault="00FA0E9F">
            <w:pPr>
              <w:spacing w:line="360" w:lineRule="auto"/>
              <w:jc w:val="center"/>
              <w:rPr>
                <w:rFonts w:ascii="宋体" w:hAnsi="宋体" w:cs="宋体"/>
                <w:szCs w:val="21"/>
              </w:rPr>
            </w:pPr>
            <w:r>
              <w:rPr>
                <w:rFonts w:ascii="宋体" w:hAnsi="宋体" w:cs="宋体" w:hint="eastAsia"/>
                <w:szCs w:val="21"/>
              </w:rPr>
              <w:t>无意见</w:t>
            </w:r>
          </w:p>
        </w:tc>
        <w:tc>
          <w:tcPr>
            <w:tcW w:w="1620" w:type="dxa"/>
            <w:tcBorders>
              <w:left w:val="single" w:sz="4" w:space="0" w:color="auto"/>
              <w:right w:val="single" w:sz="4" w:space="0" w:color="auto"/>
            </w:tcBorders>
            <w:vAlign w:val="center"/>
          </w:tcPr>
          <w:p w14:paraId="5F9BF583" w14:textId="77777777" w:rsidR="00B50C5D" w:rsidRDefault="00FA0E9F">
            <w:pPr>
              <w:adjustRightInd w:val="0"/>
              <w:spacing w:line="360" w:lineRule="atLeast"/>
              <w:jc w:val="center"/>
              <w:textAlignment w:val="baseline"/>
              <w:rPr>
                <w:rFonts w:ascii="宋体" w:hAnsi="宋体" w:cs="宋体"/>
                <w:szCs w:val="21"/>
              </w:rPr>
            </w:pPr>
            <w:r>
              <w:rPr>
                <w:rFonts w:ascii="宋体" w:hAnsi="宋体" w:cs="宋体" w:hint="eastAsia"/>
                <w:szCs w:val="21"/>
              </w:rPr>
              <w:t>浙江亚通焊材有限公司</w:t>
            </w:r>
          </w:p>
        </w:tc>
        <w:tc>
          <w:tcPr>
            <w:tcW w:w="1522" w:type="dxa"/>
            <w:tcBorders>
              <w:left w:val="single" w:sz="4" w:space="0" w:color="auto"/>
              <w:right w:val="single" w:sz="4" w:space="0" w:color="auto"/>
            </w:tcBorders>
            <w:vAlign w:val="center"/>
          </w:tcPr>
          <w:p w14:paraId="7D2698D3" w14:textId="77777777" w:rsidR="00B50C5D" w:rsidRDefault="00FA0E9F">
            <w:pPr>
              <w:spacing w:line="360" w:lineRule="auto"/>
              <w:jc w:val="center"/>
              <w:rPr>
                <w:rFonts w:ascii="宋体" w:hAnsi="宋体" w:cs="宋体"/>
                <w:kern w:val="0"/>
                <w:szCs w:val="21"/>
              </w:rPr>
            </w:pPr>
            <w:r>
              <w:rPr>
                <w:rFonts w:ascii="宋体" w:hAnsi="宋体" w:cs="宋体" w:hint="eastAsia"/>
                <w:kern w:val="0"/>
                <w:szCs w:val="21"/>
              </w:rPr>
              <w:t>——</w:t>
            </w:r>
          </w:p>
        </w:tc>
        <w:tc>
          <w:tcPr>
            <w:tcW w:w="1988" w:type="dxa"/>
            <w:tcBorders>
              <w:left w:val="single" w:sz="4" w:space="0" w:color="auto"/>
              <w:right w:val="single" w:sz="4" w:space="0" w:color="auto"/>
            </w:tcBorders>
            <w:vAlign w:val="center"/>
          </w:tcPr>
          <w:p w14:paraId="4CC1C89E" w14:textId="77777777" w:rsidR="00B50C5D" w:rsidRDefault="00B50C5D">
            <w:pPr>
              <w:spacing w:line="360" w:lineRule="auto"/>
              <w:ind w:firstLineChars="400" w:firstLine="840"/>
              <w:rPr>
                <w:rFonts w:ascii="宋体" w:hAnsi="宋体" w:cs="宋体"/>
                <w:kern w:val="0"/>
                <w:szCs w:val="21"/>
              </w:rPr>
            </w:pPr>
          </w:p>
        </w:tc>
      </w:tr>
      <w:tr w:rsidR="00B50C5D" w14:paraId="351CA2DC" w14:textId="77777777">
        <w:trPr>
          <w:trHeight w:val="687"/>
          <w:jc w:val="center"/>
        </w:trPr>
        <w:tc>
          <w:tcPr>
            <w:tcW w:w="636" w:type="dxa"/>
            <w:tcBorders>
              <w:left w:val="single" w:sz="4" w:space="0" w:color="auto"/>
              <w:right w:val="single" w:sz="4" w:space="0" w:color="auto"/>
            </w:tcBorders>
            <w:vAlign w:val="center"/>
          </w:tcPr>
          <w:p w14:paraId="71CB3677" w14:textId="77777777" w:rsidR="00B50C5D" w:rsidRDefault="00FA0E9F">
            <w:pPr>
              <w:spacing w:line="360" w:lineRule="auto"/>
              <w:rPr>
                <w:rFonts w:ascii="宋体" w:hAnsi="宋体" w:cs="宋体"/>
                <w:kern w:val="0"/>
                <w:szCs w:val="21"/>
              </w:rPr>
            </w:pPr>
            <w:r>
              <w:rPr>
                <w:rFonts w:ascii="宋体" w:hAnsi="宋体" w:cs="宋体" w:hint="eastAsia"/>
                <w:kern w:val="0"/>
                <w:szCs w:val="21"/>
              </w:rPr>
              <w:t>5</w:t>
            </w:r>
          </w:p>
        </w:tc>
        <w:tc>
          <w:tcPr>
            <w:tcW w:w="1262" w:type="dxa"/>
            <w:tcBorders>
              <w:top w:val="single" w:sz="4" w:space="0" w:color="auto"/>
              <w:left w:val="single" w:sz="4" w:space="0" w:color="auto"/>
              <w:bottom w:val="single" w:sz="4" w:space="0" w:color="auto"/>
              <w:right w:val="single" w:sz="4" w:space="0" w:color="auto"/>
            </w:tcBorders>
          </w:tcPr>
          <w:p w14:paraId="1BF5693F" w14:textId="77777777" w:rsidR="00B50C5D" w:rsidRDefault="00FA0E9F">
            <w:pPr>
              <w:spacing w:line="360" w:lineRule="auto"/>
              <w:jc w:val="center"/>
              <w:rPr>
                <w:rFonts w:ascii="宋体" w:hAnsi="宋体" w:cs="宋体"/>
                <w:szCs w:val="21"/>
              </w:rPr>
            </w:pPr>
            <w:r>
              <w:rPr>
                <w:rFonts w:ascii="宋体" w:hAnsi="宋体" w:cs="宋体" w:hint="eastAsia"/>
                <w:szCs w:val="21"/>
              </w:rPr>
              <w:t>——</w:t>
            </w:r>
          </w:p>
        </w:tc>
        <w:tc>
          <w:tcPr>
            <w:tcW w:w="3540" w:type="dxa"/>
            <w:tcBorders>
              <w:top w:val="single" w:sz="4" w:space="0" w:color="auto"/>
              <w:left w:val="single" w:sz="4" w:space="0" w:color="auto"/>
              <w:right w:val="single" w:sz="4" w:space="0" w:color="auto"/>
            </w:tcBorders>
            <w:vAlign w:val="center"/>
          </w:tcPr>
          <w:p w14:paraId="30D34CA9" w14:textId="77777777" w:rsidR="00B50C5D" w:rsidRDefault="00FA0E9F">
            <w:pPr>
              <w:spacing w:line="360" w:lineRule="auto"/>
              <w:jc w:val="center"/>
              <w:rPr>
                <w:rFonts w:ascii="宋体" w:hAnsi="宋体" w:cs="宋体"/>
                <w:szCs w:val="21"/>
              </w:rPr>
            </w:pPr>
            <w:r>
              <w:rPr>
                <w:rFonts w:ascii="宋体" w:hAnsi="宋体" w:cs="宋体" w:hint="eastAsia"/>
                <w:szCs w:val="21"/>
              </w:rPr>
              <w:t>无意见</w:t>
            </w:r>
          </w:p>
        </w:tc>
        <w:tc>
          <w:tcPr>
            <w:tcW w:w="1620" w:type="dxa"/>
            <w:tcBorders>
              <w:left w:val="single" w:sz="4" w:space="0" w:color="auto"/>
              <w:right w:val="single" w:sz="4" w:space="0" w:color="auto"/>
            </w:tcBorders>
            <w:vAlign w:val="center"/>
          </w:tcPr>
          <w:p w14:paraId="3530C0C5" w14:textId="77777777" w:rsidR="00B50C5D" w:rsidRDefault="00FA0E9F">
            <w:pPr>
              <w:adjustRightInd w:val="0"/>
              <w:spacing w:line="360" w:lineRule="atLeast"/>
              <w:jc w:val="center"/>
              <w:textAlignment w:val="baseline"/>
              <w:rPr>
                <w:rFonts w:ascii="宋体" w:hAnsi="宋体" w:cs="宋体"/>
                <w:szCs w:val="21"/>
              </w:rPr>
            </w:pPr>
            <w:r>
              <w:rPr>
                <w:rFonts w:ascii="宋体" w:hAnsi="宋体" w:cs="宋体" w:hint="eastAsia"/>
                <w:szCs w:val="21"/>
              </w:rPr>
              <w:t>常州华南有色金属有限公司</w:t>
            </w:r>
          </w:p>
        </w:tc>
        <w:tc>
          <w:tcPr>
            <w:tcW w:w="1522" w:type="dxa"/>
            <w:tcBorders>
              <w:left w:val="single" w:sz="4" w:space="0" w:color="auto"/>
              <w:right w:val="single" w:sz="4" w:space="0" w:color="auto"/>
            </w:tcBorders>
            <w:vAlign w:val="center"/>
          </w:tcPr>
          <w:p w14:paraId="2A600316" w14:textId="77777777" w:rsidR="00B50C5D" w:rsidRDefault="00FA0E9F">
            <w:pPr>
              <w:spacing w:line="360" w:lineRule="auto"/>
              <w:jc w:val="center"/>
              <w:rPr>
                <w:rFonts w:ascii="宋体" w:hAnsi="宋体" w:cs="宋体"/>
                <w:kern w:val="0"/>
                <w:szCs w:val="21"/>
              </w:rPr>
            </w:pPr>
            <w:r>
              <w:rPr>
                <w:rFonts w:ascii="宋体" w:hAnsi="宋体" w:cs="宋体" w:hint="eastAsia"/>
                <w:kern w:val="0"/>
                <w:szCs w:val="21"/>
              </w:rPr>
              <w:t>——</w:t>
            </w:r>
          </w:p>
        </w:tc>
        <w:tc>
          <w:tcPr>
            <w:tcW w:w="1988" w:type="dxa"/>
            <w:tcBorders>
              <w:left w:val="single" w:sz="4" w:space="0" w:color="auto"/>
              <w:right w:val="single" w:sz="4" w:space="0" w:color="auto"/>
            </w:tcBorders>
            <w:vAlign w:val="center"/>
          </w:tcPr>
          <w:p w14:paraId="40631B57" w14:textId="77777777" w:rsidR="00B50C5D" w:rsidRDefault="00B50C5D">
            <w:pPr>
              <w:spacing w:line="360" w:lineRule="auto"/>
              <w:ind w:firstLineChars="400" w:firstLine="840"/>
              <w:rPr>
                <w:rFonts w:ascii="宋体" w:hAnsi="宋体" w:cs="宋体"/>
                <w:kern w:val="0"/>
                <w:szCs w:val="21"/>
              </w:rPr>
            </w:pPr>
          </w:p>
        </w:tc>
      </w:tr>
    </w:tbl>
    <w:p w14:paraId="26A0ABFD" w14:textId="77777777" w:rsidR="00B50C5D" w:rsidRDefault="00FA0E9F">
      <w:pPr>
        <w:spacing w:beforeLines="100" w:before="312"/>
        <w:rPr>
          <w:rFonts w:ascii="宋体"/>
        </w:rPr>
      </w:pPr>
      <w:r>
        <w:rPr>
          <w:rFonts w:ascii="宋体" w:hAnsi="宋体" w:cs="宋体" w:hint="eastAsia"/>
        </w:rPr>
        <w:t>说明（</w:t>
      </w:r>
      <w:r>
        <w:t>1</w:t>
      </w:r>
      <w:r>
        <w:rPr>
          <w:rFonts w:ascii="宋体" w:hAnsi="宋体" w:cs="宋体" w:hint="eastAsia"/>
        </w:rPr>
        <w:t>）发送《征求意见稿》的单位数：</w:t>
      </w:r>
      <w:r>
        <w:rPr>
          <w:rFonts w:ascii="宋体" w:hAnsi="宋体" w:cs="宋体"/>
        </w:rPr>
        <w:t xml:space="preserve"> </w:t>
      </w:r>
      <w:r>
        <w:rPr>
          <w:rFonts w:ascii="宋体" w:hAnsi="宋体" w:cs="宋体" w:hint="eastAsia"/>
        </w:rPr>
        <w:t>5个；</w:t>
      </w:r>
    </w:p>
    <w:p w14:paraId="7CF2C91F" w14:textId="77777777" w:rsidR="00B50C5D" w:rsidRDefault="00FA0E9F">
      <w:pPr>
        <w:ind w:firstLineChars="200" w:firstLine="420"/>
      </w:pPr>
      <w:r>
        <w:rPr>
          <w:rFonts w:ascii="宋体" w:hAnsi="宋体" w:cs="宋体" w:hint="eastAsia"/>
        </w:rPr>
        <w:t>（</w:t>
      </w:r>
      <w:r>
        <w:t>2</w:t>
      </w:r>
      <w:r>
        <w:rPr>
          <w:rFonts w:ascii="宋体" w:hAnsi="宋体" w:cs="宋体" w:hint="eastAsia"/>
        </w:rPr>
        <w:t>）收到《征求意见稿》后，回函的单位数：5个；</w:t>
      </w:r>
    </w:p>
    <w:p w14:paraId="091A9DA8" w14:textId="77777777" w:rsidR="00B50C5D" w:rsidRDefault="00FA0E9F">
      <w:pPr>
        <w:ind w:firstLine="435"/>
        <w:rPr>
          <w:rFonts w:ascii="宋体"/>
        </w:rPr>
      </w:pPr>
      <w:r>
        <w:rPr>
          <w:rFonts w:ascii="宋体" w:hAnsi="宋体" w:cs="宋体" w:hint="eastAsia"/>
        </w:rPr>
        <w:t>（</w:t>
      </w:r>
      <w:r>
        <w:t>3</w:t>
      </w:r>
      <w:r>
        <w:rPr>
          <w:rFonts w:ascii="宋体" w:hAnsi="宋体" w:cs="宋体" w:hint="eastAsia"/>
        </w:rPr>
        <w:t>）收到《征求意见稿》后，回函并有建议或意见的单位数：1个；</w:t>
      </w:r>
    </w:p>
    <w:p w14:paraId="045E8402" w14:textId="0362F119" w:rsidR="00B50C5D" w:rsidRDefault="00FA0E9F" w:rsidP="000D1AEA">
      <w:pPr>
        <w:ind w:firstLineChars="200" w:firstLine="420"/>
      </w:pPr>
      <w:r>
        <w:rPr>
          <w:rFonts w:ascii="宋体" w:hAnsi="宋体" w:cs="宋体" w:hint="eastAsia"/>
        </w:rPr>
        <w:t>（</w:t>
      </w:r>
      <w:r>
        <w:t>4</w:t>
      </w:r>
      <w:r>
        <w:rPr>
          <w:rFonts w:ascii="宋体" w:hAnsi="宋体" w:cs="宋体" w:hint="eastAsia"/>
        </w:rPr>
        <w:t>）没有回函的单位数：0</w:t>
      </w:r>
      <w:r>
        <w:rPr>
          <w:rFonts w:ascii="宋体" w:hAnsi="宋体" w:cs="宋体"/>
        </w:rPr>
        <w:t xml:space="preserve"> </w:t>
      </w:r>
      <w:r>
        <w:rPr>
          <w:rFonts w:ascii="宋体" w:hAnsi="宋体" w:cs="宋体" w:hint="eastAsia"/>
        </w:rPr>
        <w:t>个。</w:t>
      </w:r>
    </w:p>
    <w:sectPr w:rsidR="00B50C5D">
      <w:pgSz w:w="11906" w:h="16838"/>
      <w:pgMar w:top="1134" w:right="1418" w:bottom="1134" w:left="1418"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F3455" w14:textId="77777777" w:rsidR="0096046D" w:rsidRDefault="0096046D">
      <w:r>
        <w:separator/>
      </w:r>
    </w:p>
  </w:endnote>
  <w:endnote w:type="continuationSeparator" w:id="0">
    <w:p w14:paraId="59A7B163" w14:textId="77777777" w:rsidR="0096046D" w:rsidRDefault="00960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方正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6AA03" w14:textId="77777777" w:rsidR="00B50C5D" w:rsidRDefault="00FA0E9F">
    <w:pPr>
      <w:pStyle w:val="a9"/>
      <w:framePr w:wrap="around" w:vAnchor="text" w:hAnchor="margin" w:xAlign="outside" w:y="1"/>
      <w:rPr>
        <w:rStyle w:val="ae"/>
      </w:rPr>
    </w:pPr>
    <w:r>
      <w:fldChar w:fldCharType="begin"/>
    </w:r>
    <w:r>
      <w:rPr>
        <w:rStyle w:val="ae"/>
      </w:rPr>
      <w:instrText xml:space="preserve">PAGE  </w:instrText>
    </w:r>
    <w:r>
      <w:fldChar w:fldCharType="end"/>
    </w:r>
  </w:p>
  <w:p w14:paraId="0A9520C4" w14:textId="77777777" w:rsidR="00B50C5D" w:rsidRDefault="00B50C5D">
    <w:pPr>
      <w:pStyle w:val="a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E94B4" w14:textId="77777777" w:rsidR="00B50C5D" w:rsidRDefault="00FA0E9F">
    <w:pPr>
      <w:pStyle w:val="a9"/>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DEAA698" w14:textId="77777777" w:rsidR="00B50C5D" w:rsidRDefault="00FA0E9F">
                          <w:pPr>
                            <w:pStyle w:val="a9"/>
                            <w:rPr>
                              <w:rStyle w:val="ae"/>
                              <w:rFonts w:ascii="方正仿宋" w:eastAsia="方正仿宋" w:hAnsi="方正仿宋" w:cs="方正仿宋"/>
                              <w:sz w:val="28"/>
                              <w:szCs w:val="28"/>
                            </w:rPr>
                          </w:pPr>
                          <w:r>
                            <w:rPr>
                              <w:rStyle w:val="ae"/>
                              <w:rFonts w:ascii="方正仿宋" w:eastAsia="方正仿宋" w:hAnsi="方正仿宋" w:cs="方正仿宋" w:hint="eastAsia"/>
                              <w:sz w:val="28"/>
                              <w:szCs w:val="28"/>
                            </w:rPr>
                            <w:t xml:space="preserve">— </w:t>
                          </w:r>
                          <w:r>
                            <w:rPr>
                              <w:rStyle w:val="ae"/>
                              <w:rFonts w:ascii="方正仿宋" w:eastAsia="方正仿宋" w:hAnsi="方正仿宋" w:cs="方正仿宋" w:hint="eastAsia"/>
                              <w:sz w:val="28"/>
                              <w:szCs w:val="28"/>
                            </w:rPr>
                            <w:fldChar w:fldCharType="begin"/>
                          </w:r>
                          <w:r>
                            <w:rPr>
                              <w:rStyle w:val="ae"/>
                              <w:rFonts w:ascii="方正仿宋" w:eastAsia="方正仿宋" w:hAnsi="方正仿宋" w:cs="方正仿宋" w:hint="eastAsia"/>
                              <w:sz w:val="28"/>
                              <w:szCs w:val="28"/>
                            </w:rPr>
                            <w:instrText xml:space="preserve"> PAGE  \* MERGEFORMAT </w:instrText>
                          </w:r>
                          <w:r>
                            <w:rPr>
                              <w:rStyle w:val="ae"/>
                              <w:rFonts w:ascii="方正仿宋" w:eastAsia="方正仿宋" w:hAnsi="方正仿宋" w:cs="方正仿宋" w:hint="eastAsia"/>
                              <w:sz w:val="28"/>
                              <w:szCs w:val="28"/>
                            </w:rPr>
                            <w:fldChar w:fldCharType="separate"/>
                          </w:r>
                          <w:r w:rsidR="00D922BF">
                            <w:rPr>
                              <w:rStyle w:val="ae"/>
                              <w:rFonts w:ascii="方正仿宋" w:eastAsia="方正仿宋" w:hAnsi="方正仿宋" w:cs="方正仿宋"/>
                              <w:noProof/>
                              <w:sz w:val="28"/>
                              <w:szCs w:val="28"/>
                            </w:rPr>
                            <w:t>23</w:t>
                          </w:r>
                          <w:r>
                            <w:rPr>
                              <w:rStyle w:val="ae"/>
                              <w:rFonts w:ascii="方正仿宋" w:eastAsia="方正仿宋" w:hAnsi="方正仿宋" w:cs="方正仿宋" w:hint="eastAsia"/>
                              <w:sz w:val="28"/>
                              <w:szCs w:val="28"/>
                            </w:rPr>
                            <w:fldChar w:fldCharType="end"/>
                          </w:r>
                          <w:r>
                            <w:rPr>
                              <w:rStyle w:val="ae"/>
                              <w:rFonts w:ascii="方正仿宋" w:eastAsia="方正仿宋" w:hAnsi="方正仿宋" w:cs="方正仿宋"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3DEAA698" w14:textId="77777777" w:rsidR="00B50C5D" w:rsidRDefault="00FA0E9F">
                    <w:pPr>
                      <w:pStyle w:val="a9"/>
                      <w:rPr>
                        <w:rStyle w:val="ae"/>
                        <w:rFonts w:ascii="方正仿宋" w:eastAsia="方正仿宋" w:hAnsi="方正仿宋" w:cs="方正仿宋"/>
                        <w:sz w:val="28"/>
                        <w:szCs w:val="28"/>
                      </w:rPr>
                    </w:pPr>
                    <w:r>
                      <w:rPr>
                        <w:rStyle w:val="ae"/>
                        <w:rFonts w:ascii="方正仿宋" w:eastAsia="方正仿宋" w:hAnsi="方正仿宋" w:cs="方正仿宋" w:hint="eastAsia"/>
                        <w:sz w:val="28"/>
                        <w:szCs w:val="28"/>
                      </w:rPr>
                      <w:t xml:space="preserve">— </w:t>
                    </w:r>
                    <w:r>
                      <w:rPr>
                        <w:rStyle w:val="ae"/>
                        <w:rFonts w:ascii="方正仿宋" w:eastAsia="方正仿宋" w:hAnsi="方正仿宋" w:cs="方正仿宋" w:hint="eastAsia"/>
                        <w:sz w:val="28"/>
                        <w:szCs w:val="28"/>
                      </w:rPr>
                      <w:fldChar w:fldCharType="begin"/>
                    </w:r>
                    <w:r>
                      <w:rPr>
                        <w:rStyle w:val="ae"/>
                        <w:rFonts w:ascii="方正仿宋" w:eastAsia="方正仿宋" w:hAnsi="方正仿宋" w:cs="方正仿宋" w:hint="eastAsia"/>
                        <w:sz w:val="28"/>
                        <w:szCs w:val="28"/>
                      </w:rPr>
                      <w:instrText xml:space="preserve"> PAGE  \* MERGEFORMAT </w:instrText>
                    </w:r>
                    <w:r>
                      <w:rPr>
                        <w:rStyle w:val="ae"/>
                        <w:rFonts w:ascii="方正仿宋" w:eastAsia="方正仿宋" w:hAnsi="方正仿宋" w:cs="方正仿宋" w:hint="eastAsia"/>
                        <w:sz w:val="28"/>
                        <w:szCs w:val="28"/>
                      </w:rPr>
                      <w:fldChar w:fldCharType="separate"/>
                    </w:r>
                    <w:r w:rsidR="00D922BF">
                      <w:rPr>
                        <w:rStyle w:val="ae"/>
                        <w:rFonts w:ascii="方正仿宋" w:eastAsia="方正仿宋" w:hAnsi="方正仿宋" w:cs="方正仿宋"/>
                        <w:noProof/>
                        <w:sz w:val="28"/>
                        <w:szCs w:val="28"/>
                      </w:rPr>
                      <w:t>23</w:t>
                    </w:r>
                    <w:r>
                      <w:rPr>
                        <w:rStyle w:val="ae"/>
                        <w:rFonts w:ascii="方正仿宋" w:eastAsia="方正仿宋" w:hAnsi="方正仿宋" w:cs="方正仿宋" w:hint="eastAsia"/>
                        <w:sz w:val="28"/>
                        <w:szCs w:val="28"/>
                      </w:rPr>
                      <w:fldChar w:fldCharType="end"/>
                    </w:r>
                    <w:r>
                      <w:rPr>
                        <w:rStyle w:val="ae"/>
                        <w:rFonts w:ascii="方正仿宋" w:eastAsia="方正仿宋" w:hAnsi="方正仿宋" w:cs="方正仿宋"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0313A" w14:textId="77777777" w:rsidR="0096046D" w:rsidRDefault="0096046D">
      <w:r>
        <w:separator/>
      </w:r>
    </w:p>
  </w:footnote>
  <w:footnote w:type="continuationSeparator" w:id="0">
    <w:p w14:paraId="0132AC97" w14:textId="77777777" w:rsidR="0096046D" w:rsidRDefault="009604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B3343"/>
    <w:multiLevelType w:val="multilevel"/>
    <w:tmpl w:val="547B3343"/>
    <w:lvl w:ilvl="0">
      <w:start w:val="1"/>
      <w:numFmt w:val="decimal"/>
      <w:lvlText w:val="%1)"/>
      <w:lvlJc w:val="left"/>
      <w:pPr>
        <w:ind w:left="844"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pStyle w:val="a"/>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 w15:restartNumberingAfterBreak="0">
    <w:nsid w:val="5AF77967"/>
    <w:multiLevelType w:val="multilevel"/>
    <w:tmpl w:val="5AF77967"/>
    <w:lvl w:ilvl="0">
      <w:start w:val="1"/>
      <w:numFmt w:val="japaneseCounting"/>
      <w:pStyle w:val="a0"/>
      <w:lvlText w:val="%1、"/>
      <w:lvlJc w:val="left"/>
      <w:pPr>
        <w:ind w:left="505" w:hanging="505"/>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3NTk3MmM4Yzg3Y2E2MmRmYjViODg4NDRjZGJlOTEifQ=="/>
  </w:docVars>
  <w:rsids>
    <w:rsidRoot w:val="00606C04"/>
    <w:rsid w:val="000070B3"/>
    <w:rsid w:val="00013259"/>
    <w:rsid w:val="0008292D"/>
    <w:rsid w:val="000C13A4"/>
    <w:rsid w:val="000D1AEA"/>
    <w:rsid w:val="000E0E8D"/>
    <w:rsid w:val="001A576F"/>
    <w:rsid w:val="001B0B68"/>
    <w:rsid w:val="001C79A4"/>
    <w:rsid w:val="001D1153"/>
    <w:rsid w:val="001E579C"/>
    <w:rsid w:val="001F47D5"/>
    <w:rsid w:val="001F4D42"/>
    <w:rsid w:val="001F73E2"/>
    <w:rsid w:val="00213016"/>
    <w:rsid w:val="00236C1A"/>
    <w:rsid w:val="00241F71"/>
    <w:rsid w:val="002A7E94"/>
    <w:rsid w:val="002B78E5"/>
    <w:rsid w:val="002B7B71"/>
    <w:rsid w:val="002D1BD6"/>
    <w:rsid w:val="002E0A74"/>
    <w:rsid w:val="00310390"/>
    <w:rsid w:val="003107AA"/>
    <w:rsid w:val="003333B4"/>
    <w:rsid w:val="00355745"/>
    <w:rsid w:val="0039568B"/>
    <w:rsid w:val="00451E1E"/>
    <w:rsid w:val="00466F2D"/>
    <w:rsid w:val="004726E6"/>
    <w:rsid w:val="00486D21"/>
    <w:rsid w:val="004E4A83"/>
    <w:rsid w:val="004F7DC7"/>
    <w:rsid w:val="00524828"/>
    <w:rsid w:val="00596BC4"/>
    <w:rsid w:val="00597ECB"/>
    <w:rsid w:val="005A1684"/>
    <w:rsid w:val="005C4782"/>
    <w:rsid w:val="005E7BC3"/>
    <w:rsid w:val="00606C04"/>
    <w:rsid w:val="00616AD1"/>
    <w:rsid w:val="00637723"/>
    <w:rsid w:val="00681ED3"/>
    <w:rsid w:val="00684BAB"/>
    <w:rsid w:val="00723349"/>
    <w:rsid w:val="00771650"/>
    <w:rsid w:val="007A3F30"/>
    <w:rsid w:val="007B4DA2"/>
    <w:rsid w:val="008858C4"/>
    <w:rsid w:val="00886C91"/>
    <w:rsid w:val="008C16BA"/>
    <w:rsid w:val="008C4FE4"/>
    <w:rsid w:val="008E2CF4"/>
    <w:rsid w:val="0096046D"/>
    <w:rsid w:val="00996501"/>
    <w:rsid w:val="009B5859"/>
    <w:rsid w:val="009B784E"/>
    <w:rsid w:val="009E2511"/>
    <w:rsid w:val="009F5462"/>
    <w:rsid w:val="00A30466"/>
    <w:rsid w:val="00A45B4B"/>
    <w:rsid w:val="00A553EE"/>
    <w:rsid w:val="00A64CBC"/>
    <w:rsid w:val="00AD608D"/>
    <w:rsid w:val="00AE79C5"/>
    <w:rsid w:val="00AF337E"/>
    <w:rsid w:val="00B07863"/>
    <w:rsid w:val="00B50C5D"/>
    <w:rsid w:val="00C021F2"/>
    <w:rsid w:val="00C138DD"/>
    <w:rsid w:val="00C52293"/>
    <w:rsid w:val="00C920FA"/>
    <w:rsid w:val="00C94CAA"/>
    <w:rsid w:val="00D8439C"/>
    <w:rsid w:val="00D922BF"/>
    <w:rsid w:val="00DA4CB4"/>
    <w:rsid w:val="00DA6B7D"/>
    <w:rsid w:val="00DB4970"/>
    <w:rsid w:val="00DC309E"/>
    <w:rsid w:val="00DD0031"/>
    <w:rsid w:val="00E35B81"/>
    <w:rsid w:val="00E53ADB"/>
    <w:rsid w:val="00E66C13"/>
    <w:rsid w:val="00E95866"/>
    <w:rsid w:val="00EA337A"/>
    <w:rsid w:val="00EB1C87"/>
    <w:rsid w:val="00EB76E8"/>
    <w:rsid w:val="00EE2A5B"/>
    <w:rsid w:val="00F271C5"/>
    <w:rsid w:val="00F278D3"/>
    <w:rsid w:val="00F64A58"/>
    <w:rsid w:val="00F7376E"/>
    <w:rsid w:val="00FA0E9F"/>
    <w:rsid w:val="00FA23FF"/>
    <w:rsid w:val="00FA5695"/>
    <w:rsid w:val="00FD27CB"/>
    <w:rsid w:val="00FE6C67"/>
    <w:rsid w:val="00FE762F"/>
    <w:rsid w:val="00FF56D0"/>
    <w:rsid w:val="01094E6B"/>
    <w:rsid w:val="05DE5129"/>
    <w:rsid w:val="0DC634E8"/>
    <w:rsid w:val="1DDC4654"/>
    <w:rsid w:val="1FD40125"/>
    <w:rsid w:val="204B308E"/>
    <w:rsid w:val="24F91F21"/>
    <w:rsid w:val="2E677B0B"/>
    <w:rsid w:val="30D07D6A"/>
    <w:rsid w:val="31243DA5"/>
    <w:rsid w:val="314D2100"/>
    <w:rsid w:val="32340E11"/>
    <w:rsid w:val="33D944BF"/>
    <w:rsid w:val="400571F8"/>
    <w:rsid w:val="532D3707"/>
    <w:rsid w:val="552D3EA9"/>
    <w:rsid w:val="59A2444E"/>
    <w:rsid w:val="70046BEA"/>
    <w:rsid w:val="713779A1"/>
    <w:rsid w:val="727D68D5"/>
    <w:rsid w:val="74CA1ED1"/>
    <w:rsid w:val="7F737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F4B378-A3A6-4530-AEEF-EA55616E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1">
    <w:name w:val="heading 1"/>
    <w:basedOn w:val="a1"/>
    <w:next w:val="a1"/>
    <w:link w:val="1Char"/>
    <w:uiPriority w:val="2"/>
    <w:qFormat/>
    <w:pPr>
      <w:keepNext/>
      <w:spacing w:line="360" w:lineRule="auto"/>
      <w:jc w:val="center"/>
      <w:outlineLvl w:val="0"/>
    </w:pPr>
    <w:rPr>
      <w:rFonts w:ascii="宋体" w:hAnsi="宋体"/>
      <w:b/>
      <w:bCs/>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1"/>
    <w:link w:val="Char"/>
    <w:qFormat/>
    <w:pPr>
      <w:spacing w:line="360" w:lineRule="auto"/>
      <w:jc w:val="left"/>
    </w:pPr>
    <w:rPr>
      <w:rFonts w:ascii="Calibri" w:hAnsi="Calibri"/>
    </w:rPr>
  </w:style>
  <w:style w:type="paragraph" w:styleId="a6">
    <w:name w:val="Body Text"/>
    <w:basedOn w:val="a1"/>
    <w:link w:val="Char0"/>
    <w:uiPriority w:val="99"/>
    <w:semiHidden/>
    <w:unhideWhenUsed/>
    <w:qFormat/>
    <w:pPr>
      <w:spacing w:after="120"/>
    </w:pPr>
  </w:style>
  <w:style w:type="paragraph" w:styleId="a7">
    <w:name w:val="Body Text Indent"/>
    <w:basedOn w:val="a1"/>
    <w:link w:val="Char1"/>
    <w:uiPriority w:val="99"/>
    <w:qFormat/>
    <w:pPr>
      <w:ind w:firstLine="420"/>
    </w:pPr>
    <w:rPr>
      <w:sz w:val="24"/>
    </w:rPr>
  </w:style>
  <w:style w:type="paragraph" w:styleId="a8">
    <w:name w:val="Balloon Text"/>
    <w:basedOn w:val="a1"/>
    <w:link w:val="Char2"/>
    <w:uiPriority w:val="99"/>
    <w:semiHidden/>
    <w:unhideWhenUsed/>
    <w:qFormat/>
    <w:rPr>
      <w:sz w:val="18"/>
      <w:szCs w:val="18"/>
    </w:rPr>
  </w:style>
  <w:style w:type="paragraph" w:styleId="a9">
    <w:name w:val="footer"/>
    <w:basedOn w:val="a1"/>
    <w:link w:val="Char3"/>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a">
    <w:name w:val="header"/>
    <w:basedOn w:val="a1"/>
    <w:link w:val="Char4"/>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3">
    <w:name w:val="Body Text Indent 3"/>
    <w:basedOn w:val="a1"/>
    <w:link w:val="3Char"/>
    <w:qFormat/>
    <w:pPr>
      <w:spacing w:after="120"/>
      <w:ind w:leftChars="200" w:left="420"/>
    </w:pPr>
    <w:rPr>
      <w:sz w:val="16"/>
      <w:szCs w:val="16"/>
    </w:rPr>
  </w:style>
  <w:style w:type="paragraph" w:styleId="ab">
    <w:name w:val="Normal (Web)"/>
    <w:basedOn w:val="a1"/>
    <w:qFormat/>
    <w:pPr>
      <w:widowControl/>
      <w:spacing w:before="100" w:beforeAutospacing="1" w:after="100" w:afterAutospacing="1"/>
      <w:jc w:val="left"/>
    </w:pPr>
    <w:rPr>
      <w:rFonts w:ascii="宋体" w:hAnsi="宋体" w:cs="宋体"/>
      <w:kern w:val="0"/>
      <w:sz w:val="24"/>
    </w:rPr>
  </w:style>
  <w:style w:type="paragraph" w:styleId="ac">
    <w:name w:val="Body Text First Indent"/>
    <w:basedOn w:val="a6"/>
    <w:link w:val="Char5"/>
    <w:uiPriority w:val="99"/>
    <w:qFormat/>
    <w:pPr>
      <w:adjustRightInd w:val="0"/>
      <w:spacing w:after="0"/>
      <w:jc w:val="left"/>
      <w:textAlignment w:val="baseline"/>
    </w:pPr>
    <w:rPr>
      <w:kern w:val="0"/>
      <w:szCs w:val="20"/>
    </w:rPr>
  </w:style>
  <w:style w:type="table" w:styleId="ad">
    <w:name w:val="Table Grid"/>
    <w:basedOn w:val="a3"/>
    <w:uiPriority w:val="59"/>
    <w:qFormat/>
    <w:pPr>
      <w:widowControl w:val="0"/>
      <w:adjustRightInd w:val="0"/>
      <w:spacing w:line="360" w:lineRule="atLeast"/>
      <w:textAlignment w:val="baseline"/>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2"/>
    <w:qFormat/>
  </w:style>
  <w:style w:type="character" w:styleId="af">
    <w:name w:val="Emphasis"/>
    <w:uiPriority w:val="20"/>
    <w:qFormat/>
    <w:rPr>
      <w:i/>
      <w:iCs/>
    </w:rPr>
  </w:style>
  <w:style w:type="character" w:styleId="af0">
    <w:name w:val="annotation reference"/>
    <w:basedOn w:val="a2"/>
    <w:uiPriority w:val="99"/>
    <w:semiHidden/>
    <w:unhideWhenUsed/>
    <w:qFormat/>
    <w:rPr>
      <w:sz w:val="21"/>
      <w:szCs w:val="21"/>
    </w:rPr>
  </w:style>
  <w:style w:type="character" w:customStyle="1" w:styleId="Char4">
    <w:name w:val="页眉 Char"/>
    <w:basedOn w:val="a2"/>
    <w:link w:val="aa"/>
    <w:uiPriority w:val="99"/>
    <w:qFormat/>
    <w:rPr>
      <w:sz w:val="18"/>
      <w:szCs w:val="18"/>
    </w:rPr>
  </w:style>
  <w:style w:type="character" w:customStyle="1" w:styleId="Char3">
    <w:name w:val="页脚 Char"/>
    <w:basedOn w:val="a2"/>
    <w:link w:val="a9"/>
    <w:uiPriority w:val="99"/>
    <w:semiHidden/>
    <w:qFormat/>
    <w:rPr>
      <w:sz w:val="18"/>
      <w:szCs w:val="18"/>
    </w:rPr>
  </w:style>
  <w:style w:type="character" w:customStyle="1" w:styleId="1Char">
    <w:name w:val="标题 1 Char"/>
    <w:basedOn w:val="a2"/>
    <w:link w:val="1"/>
    <w:uiPriority w:val="2"/>
    <w:qFormat/>
    <w:rPr>
      <w:rFonts w:ascii="宋体" w:eastAsia="宋体" w:hAnsi="宋体" w:cs="Times New Roman"/>
      <w:b/>
      <w:bCs/>
      <w:sz w:val="24"/>
      <w:szCs w:val="24"/>
    </w:rPr>
  </w:style>
  <w:style w:type="character" w:customStyle="1" w:styleId="Char1">
    <w:name w:val="正文文本缩进 Char"/>
    <w:basedOn w:val="a2"/>
    <w:link w:val="a7"/>
    <w:uiPriority w:val="99"/>
    <w:qFormat/>
    <w:rPr>
      <w:rFonts w:ascii="Times New Roman" w:eastAsia="宋体" w:hAnsi="Times New Roman" w:cs="Times New Roman"/>
      <w:sz w:val="24"/>
      <w:szCs w:val="24"/>
    </w:rPr>
  </w:style>
  <w:style w:type="character" w:customStyle="1" w:styleId="Char0">
    <w:name w:val="正文文本 Char"/>
    <w:basedOn w:val="a2"/>
    <w:link w:val="a6"/>
    <w:uiPriority w:val="99"/>
    <w:semiHidden/>
    <w:qFormat/>
    <w:rPr>
      <w:rFonts w:ascii="Times New Roman" w:eastAsia="宋体" w:hAnsi="Times New Roman" w:cs="Times New Roman"/>
      <w:szCs w:val="24"/>
    </w:rPr>
  </w:style>
  <w:style w:type="character" w:customStyle="1" w:styleId="Char5">
    <w:name w:val="正文首行缩进 Char"/>
    <w:basedOn w:val="Char0"/>
    <w:link w:val="ac"/>
    <w:uiPriority w:val="99"/>
    <w:qFormat/>
    <w:rPr>
      <w:rFonts w:ascii="Times New Roman" w:eastAsia="宋体" w:hAnsi="Times New Roman" w:cs="Times New Roman"/>
      <w:kern w:val="0"/>
      <w:szCs w:val="20"/>
    </w:rPr>
  </w:style>
  <w:style w:type="character" w:customStyle="1" w:styleId="3Char">
    <w:name w:val="正文文本缩进 3 Char"/>
    <w:basedOn w:val="a2"/>
    <w:link w:val="3"/>
    <w:qFormat/>
    <w:rPr>
      <w:rFonts w:ascii="Times New Roman" w:eastAsia="宋体" w:hAnsi="Times New Roman" w:cs="Times New Roman"/>
      <w:sz w:val="16"/>
      <w:szCs w:val="16"/>
    </w:rPr>
  </w:style>
  <w:style w:type="character" w:customStyle="1" w:styleId="Char">
    <w:name w:val="批注文字 Char"/>
    <w:basedOn w:val="a2"/>
    <w:link w:val="a5"/>
    <w:qFormat/>
    <w:rPr>
      <w:rFonts w:ascii="Calibri" w:eastAsia="宋体" w:hAnsi="Calibri" w:cs="Times New Roman"/>
      <w:szCs w:val="24"/>
    </w:rPr>
  </w:style>
  <w:style w:type="paragraph" w:styleId="af1">
    <w:name w:val="List Paragraph"/>
    <w:basedOn w:val="a1"/>
    <w:uiPriority w:val="34"/>
    <w:qFormat/>
    <w:pPr>
      <w:ind w:firstLineChars="200" w:firstLine="420"/>
    </w:pPr>
  </w:style>
  <w:style w:type="paragraph" w:customStyle="1" w:styleId="af2">
    <w:name w:val="段"/>
    <w:link w:val="Char6"/>
    <w:qFormat/>
    <w:pPr>
      <w:autoSpaceDE w:val="0"/>
      <w:autoSpaceDN w:val="0"/>
      <w:ind w:firstLineChars="200" w:firstLine="200"/>
      <w:jc w:val="both"/>
    </w:pPr>
    <w:rPr>
      <w:rFonts w:ascii="宋体"/>
      <w:sz w:val="21"/>
    </w:rPr>
  </w:style>
  <w:style w:type="character" w:customStyle="1" w:styleId="Char6">
    <w:name w:val="段 Char"/>
    <w:link w:val="af2"/>
    <w:qFormat/>
    <w:rPr>
      <w:rFonts w:ascii="宋体" w:eastAsia="宋体" w:hAnsi="Times New Roman" w:cs="Times New Roman"/>
      <w:kern w:val="0"/>
      <w:szCs w:val="20"/>
    </w:rPr>
  </w:style>
  <w:style w:type="character" w:customStyle="1" w:styleId="CharChar">
    <w:name w:val="章标题 Char Char"/>
    <w:link w:val="af3"/>
    <w:qFormat/>
    <w:rPr>
      <w:rFonts w:ascii="黑体" w:eastAsia="黑体"/>
      <w:sz w:val="21"/>
    </w:rPr>
  </w:style>
  <w:style w:type="paragraph" w:customStyle="1" w:styleId="af3">
    <w:name w:val="章标题"/>
    <w:next w:val="af2"/>
    <w:link w:val="CharChar"/>
    <w:qFormat/>
    <w:pPr>
      <w:spacing w:beforeLines="50" w:afterLines="50"/>
      <w:jc w:val="both"/>
      <w:outlineLvl w:val="1"/>
    </w:pPr>
    <w:rPr>
      <w:rFonts w:ascii="黑体" w:eastAsia="黑体" w:hAnsiTheme="minorHAnsi" w:cstheme="minorBidi"/>
      <w:sz w:val="21"/>
    </w:rPr>
  </w:style>
  <w:style w:type="paragraph" w:customStyle="1" w:styleId="10">
    <w:name w:val="列出段落1"/>
    <w:basedOn w:val="a1"/>
    <w:uiPriority w:val="34"/>
    <w:qFormat/>
    <w:pPr>
      <w:ind w:firstLineChars="200" w:firstLine="420"/>
    </w:pPr>
  </w:style>
  <w:style w:type="paragraph" w:customStyle="1" w:styleId="a0">
    <w:name w:val="附录图标题"/>
    <w:next w:val="af2"/>
    <w:qFormat/>
    <w:pPr>
      <w:numPr>
        <w:numId w:val="1"/>
      </w:numPr>
      <w:tabs>
        <w:tab w:val="left" w:pos="360"/>
      </w:tabs>
      <w:jc w:val="center"/>
    </w:pPr>
    <w:rPr>
      <w:rFonts w:ascii="黑体" w:eastAsia="黑体"/>
      <w:sz w:val="21"/>
    </w:rPr>
  </w:style>
  <w:style w:type="paragraph" w:customStyle="1" w:styleId="a">
    <w:name w:val="附录四级条标题"/>
    <w:basedOn w:val="a1"/>
    <w:next w:val="af2"/>
    <w:qFormat/>
    <w:pPr>
      <w:widowControl/>
      <w:numPr>
        <w:ilvl w:val="5"/>
        <w:numId w:val="2"/>
      </w:numPr>
      <w:wordWrap w:val="0"/>
      <w:overflowPunct w:val="0"/>
      <w:autoSpaceDE w:val="0"/>
      <w:autoSpaceDN w:val="0"/>
      <w:textAlignment w:val="baseline"/>
      <w:outlineLvl w:val="5"/>
    </w:pPr>
    <w:rPr>
      <w:rFonts w:ascii="黑体" w:eastAsia="黑体"/>
      <w:kern w:val="21"/>
      <w:szCs w:val="20"/>
    </w:rPr>
  </w:style>
  <w:style w:type="character" w:customStyle="1" w:styleId="Char2">
    <w:name w:val="批注框文本 Char"/>
    <w:basedOn w:val="a2"/>
    <w:link w:val="a8"/>
    <w:uiPriority w:val="99"/>
    <w:semiHidden/>
    <w:qFormat/>
    <w:rPr>
      <w:rFonts w:ascii="Times New Roman" w:eastAsia="宋体" w:hAnsi="Times New Roman" w:cs="Times New Roman"/>
      <w:kern w:val="2"/>
      <w:sz w:val="18"/>
      <w:szCs w:val="18"/>
    </w:rPr>
  </w:style>
  <w:style w:type="paragraph" w:customStyle="1" w:styleId="2">
    <w:name w:val="列出段落2"/>
    <w:basedOn w:val="a1"/>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it.gov.cn/n1146285/n1146352/n3054355/n3057542/n5920352/c6290977/part/6291607.pdf" TargetMode="External"/><Relationship Id="rId5" Type="http://schemas.openxmlformats.org/officeDocument/2006/relationships/settings" Target="settings.xml"/><Relationship Id="rId15" Type="http://schemas.openxmlformats.org/officeDocument/2006/relationships/hyperlink" Target="https://www.baidu.com/link?url=NNtyM0b0l6f2XkMMgQ7lJtDY_6QfPGQzw0munkXVVikz1Ab_WvImp96OBMjFwPCi&amp;wd=&amp;eqid=b5fc5fa600102158000000035d639a38" TargetMode="External"/><Relationship Id="rId10" Type="http://schemas.openxmlformats.org/officeDocument/2006/relationships/hyperlink" Target="https://www.baidu.com/link?url=yYkRav01yyKI5oUzMHTFmVikkZp1otPXqQZQwVZ7vqX2B7XuQSdHVZwRWX6eAcmTbM1esZUX-VtXbisL9Fitxa&amp;wd=&amp;eqid=9407f8670000d7c100000003598187a7" TargetMode="External"/><Relationship Id="rId4" Type="http://schemas.openxmlformats.org/officeDocument/2006/relationships/styles" Target="styles.xml"/><Relationship Id="rId9" Type="http://schemas.openxmlformats.org/officeDocument/2006/relationships/hyperlink" Target="http://219.239.107.155:8080/TaskBook.aspx?id=YSJNZT20092019" TargetMode="External"/><Relationship Id="rId14" Type="http://schemas.openxmlformats.org/officeDocument/2006/relationships/hyperlink" Target="https://www.baidu.com/link?url=NNtyM0b0l6f2XkMMgQ7lJtDY_6QfPGQzw0munkXVVikz1Ab_WvImp96OBMjFwPCi&amp;wd=&amp;eqid=b5fc5fa600102158000000035d639a3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0ADCCE-E1FA-41FF-828C-EC985BA07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3868</Words>
  <Characters>22053</Characters>
  <Application>Microsoft Office Word</Application>
  <DocSecurity>0</DocSecurity>
  <Lines>183</Lines>
  <Paragraphs>51</Paragraphs>
  <ScaleCrop>false</ScaleCrop>
  <Company/>
  <LinksUpToDate>false</LinksUpToDate>
  <CharactersWithSpaces>25870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B19856 许丁洋</dc:creator>
  <cp:keywords/>
  <dc:description/>
  <cp:lastModifiedBy>User</cp:lastModifiedBy>
  <cp:revision>4</cp:revision>
  <cp:lastPrinted>2023-08-18T08:42:00Z</cp:lastPrinted>
  <dcterms:created xsi:type="dcterms:W3CDTF">2023-08-18T09:10:00Z</dcterms:created>
  <dcterms:modified xsi:type="dcterms:W3CDTF">2023-08-18T09:28:00Z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3A8A7700686F44B4AB2DA8435C999BA9_13</vt:lpwstr>
  </property>
</Properties>
</file>