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ED298" w14:textId="77777777" w:rsidR="00B50C5D" w:rsidRDefault="00FA0E9F">
      <w:pPr>
        <w:spacing w:line="360" w:lineRule="auto"/>
        <w:jc w:val="center"/>
        <w:rPr>
          <w:rFonts w:ascii="宋体" w:hAnsi="宋体" w:cs="宋体"/>
          <w:b/>
          <w:bCs/>
          <w:sz w:val="30"/>
          <w:szCs w:val="30"/>
        </w:rPr>
      </w:pPr>
      <w:r>
        <w:rPr>
          <w:rFonts w:ascii="宋体" w:hAnsi="宋体" w:cs="宋体" w:hint="eastAsia"/>
          <w:b/>
          <w:bCs/>
          <w:sz w:val="30"/>
          <w:szCs w:val="30"/>
        </w:rPr>
        <w:t>《锡及锡合金生产绿色工厂评价要求》行业标准编制说明</w:t>
      </w:r>
    </w:p>
    <w:p w14:paraId="7AA21128" w14:textId="77777777" w:rsidR="00B50C5D" w:rsidRDefault="00FA0E9F">
      <w:pPr>
        <w:spacing w:line="360" w:lineRule="auto"/>
        <w:jc w:val="center"/>
        <w:rPr>
          <w:rFonts w:ascii="宋体" w:hAnsi="宋体" w:cs="宋体"/>
          <w:b/>
          <w:bCs/>
          <w:sz w:val="30"/>
          <w:szCs w:val="30"/>
        </w:rPr>
      </w:pPr>
      <w:r>
        <w:rPr>
          <w:rFonts w:ascii="宋体" w:hAnsi="宋体" w:cs="宋体" w:hint="eastAsia"/>
          <w:b/>
          <w:bCs/>
          <w:sz w:val="30"/>
          <w:szCs w:val="30"/>
        </w:rPr>
        <w:t>（送审稿）</w:t>
      </w:r>
    </w:p>
    <w:p w14:paraId="36791E66" w14:textId="77777777" w:rsidR="00B50C5D" w:rsidRDefault="00B50C5D">
      <w:pPr>
        <w:spacing w:line="360" w:lineRule="auto"/>
        <w:jc w:val="center"/>
        <w:rPr>
          <w:rFonts w:ascii="宋体" w:hAnsi="宋体" w:cs="宋体"/>
          <w:b/>
          <w:bCs/>
          <w:sz w:val="32"/>
          <w:szCs w:val="32"/>
        </w:rPr>
      </w:pPr>
    </w:p>
    <w:p w14:paraId="5F8FF410" w14:textId="77777777" w:rsidR="00B50C5D" w:rsidRDefault="00FA0E9F">
      <w:pPr>
        <w:pStyle w:val="af1"/>
        <w:spacing w:line="360" w:lineRule="auto"/>
        <w:ind w:firstLineChars="0" w:firstLine="0"/>
        <w:rPr>
          <w:rFonts w:ascii="宋体" w:hAnsi="宋体" w:cs="宋体"/>
          <w:szCs w:val="21"/>
        </w:rPr>
      </w:pPr>
      <w:r>
        <w:rPr>
          <w:rFonts w:ascii="宋体" w:hAnsi="宋体" w:cs="宋体" w:hint="eastAsia"/>
          <w:b/>
          <w:bCs/>
          <w:szCs w:val="21"/>
        </w:rPr>
        <w:t>1.项目来源</w:t>
      </w:r>
      <w:r>
        <w:rPr>
          <w:rFonts w:ascii="宋体" w:hAnsi="宋体" w:cs="宋体" w:hint="eastAsia"/>
          <w:szCs w:val="21"/>
        </w:rPr>
        <w:t xml:space="preserve">    </w:t>
      </w:r>
    </w:p>
    <w:p w14:paraId="3092EED1" w14:textId="77777777" w:rsidR="00B50C5D" w:rsidRDefault="00FA0E9F">
      <w:pPr>
        <w:ind w:firstLineChars="200" w:firstLine="420"/>
        <w:rPr>
          <w:rFonts w:ascii="宋体" w:hAnsi="宋体" w:cs="宋体"/>
          <w:szCs w:val="21"/>
        </w:rPr>
      </w:pPr>
      <w:r>
        <w:rPr>
          <w:rFonts w:ascii="宋体" w:hAnsi="宋体" w:cs="宋体" w:hint="eastAsia"/>
          <w:kern w:val="0"/>
          <w:szCs w:val="21"/>
        </w:rPr>
        <w:t>国家工业和信息化部，以工信厅科函【2021】234号文件下达了《锡及锡合金绿色工厂评价要求》的起草任务，项目计划号为</w:t>
      </w:r>
      <w:hyperlink r:id="rId9" w:history="1">
        <w:r>
          <w:rPr>
            <w:rFonts w:ascii="宋体" w:hAnsi="宋体" w:cs="宋体" w:hint="eastAsia"/>
            <w:kern w:val="0"/>
            <w:szCs w:val="21"/>
          </w:rPr>
          <w:t>2021-1245T-YS</w:t>
        </w:r>
      </w:hyperlink>
      <w:r>
        <w:rPr>
          <w:rFonts w:ascii="宋体" w:hAnsi="宋体" w:cs="宋体" w:hint="eastAsia"/>
          <w:kern w:val="0"/>
          <w:szCs w:val="21"/>
        </w:rPr>
        <w:t>。由云南锡业股份有限公司、</w:t>
      </w:r>
      <w:r>
        <w:rPr>
          <w:rFonts w:ascii="宋体" w:hAnsi="宋体" w:cs="宋体" w:hint="eastAsia"/>
          <w:szCs w:val="21"/>
        </w:rPr>
        <w:t>云南锡业新材料有限公司、</w:t>
      </w:r>
      <w:r>
        <w:rPr>
          <w:rFonts w:ascii="宋体" w:hAnsi="宋体" w:cs="宋体" w:hint="eastAsia"/>
          <w:kern w:val="0"/>
          <w:szCs w:val="21"/>
        </w:rPr>
        <w:t>北京康普锡威科技有限公司、中山翰华锡业有限公司、深圳市亿铖达工业有限公司和浙江亚通焊材有限公司负责起草，完成时间为2023年。</w:t>
      </w:r>
    </w:p>
    <w:p w14:paraId="0FE09C13" w14:textId="77777777" w:rsidR="00B50C5D" w:rsidRDefault="00B50C5D">
      <w:pPr>
        <w:spacing w:line="360" w:lineRule="auto"/>
        <w:jc w:val="left"/>
        <w:rPr>
          <w:rFonts w:ascii="宋体" w:hAnsi="宋体" w:cs="宋体"/>
          <w:kern w:val="0"/>
          <w:szCs w:val="21"/>
        </w:rPr>
      </w:pPr>
    </w:p>
    <w:p w14:paraId="36D037B4" w14:textId="77777777" w:rsidR="00B50C5D" w:rsidRDefault="00FA0E9F">
      <w:pPr>
        <w:pStyle w:val="af1"/>
        <w:spacing w:line="360" w:lineRule="auto"/>
        <w:ind w:firstLineChars="0" w:firstLine="0"/>
        <w:rPr>
          <w:rFonts w:ascii="宋体" w:hAnsi="宋体" w:cs="宋体"/>
          <w:b/>
          <w:bCs/>
          <w:szCs w:val="21"/>
        </w:rPr>
      </w:pPr>
      <w:r>
        <w:rPr>
          <w:rFonts w:ascii="宋体" w:hAnsi="宋体" w:cs="宋体" w:hint="eastAsia"/>
          <w:b/>
          <w:bCs/>
          <w:szCs w:val="21"/>
        </w:rPr>
        <w:t>2.工作简况</w:t>
      </w:r>
    </w:p>
    <w:p w14:paraId="6CF5D412" w14:textId="77777777" w:rsidR="00B50C5D" w:rsidRDefault="00FA0E9F">
      <w:pPr>
        <w:pStyle w:val="af1"/>
        <w:spacing w:line="360" w:lineRule="auto"/>
        <w:ind w:firstLineChars="0" w:firstLine="0"/>
        <w:rPr>
          <w:rFonts w:ascii="宋体" w:hAnsi="宋体" w:cs="宋体"/>
          <w:b/>
          <w:bCs/>
          <w:szCs w:val="21"/>
        </w:rPr>
      </w:pPr>
      <w:r>
        <w:rPr>
          <w:rFonts w:ascii="宋体" w:hAnsi="宋体" w:cs="宋体" w:hint="eastAsia"/>
          <w:b/>
          <w:bCs/>
          <w:szCs w:val="21"/>
        </w:rPr>
        <w:t>2.1项目的目的和意义</w:t>
      </w:r>
    </w:p>
    <w:p w14:paraId="2DD5B505" w14:textId="77777777" w:rsidR="00B50C5D" w:rsidRDefault="00FA0E9F">
      <w:pPr>
        <w:pStyle w:val="af1"/>
        <w:spacing w:line="360" w:lineRule="auto"/>
        <w:jc w:val="left"/>
        <w:rPr>
          <w:rFonts w:ascii="宋体" w:hAnsi="宋体" w:cs="宋体"/>
          <w:kern w:val="0"/>
          <w:szCs w:val="21"/>
        </w:rPr>
      </w:pPr>
      <w:r>
        <w:rPr>
          <w:rFonts w:ascii="宋体" w:hAnsi="宋体" w:cs="宋体" w:hint="eastAsia"/>
          <w:kern w:val="0"/>
          <w:szCs w:val="21"/>
        </w:rPr>
        <w:t>2019年9月，为贯彻和落实《中国制造2025》战略部署，全面推行绿色制造，加快实施绿色制造工程，进一步发挥标准的规范和引领作用，推进绿色制造标准化工作，国家工业和信息化部制定并下发了《绿色制造标准体系建设指南》。指南中指出我国是制造业大国，经过几十年的努力，已建成门类较为齐全、结构较为完整的产业体系，制造业规模稳居世界第一，转型升级初见成效。然而，与世界先进水平相比，我国制造业的资源环境问题仍较为突出，尚未进入可持续发展的良性循环阶段。特别是在产业深度融合背景下，生产制造过程的连续性、相关性特征在不断增强，制造业绿色发展模式朝着系统性、综合性方向发展，需要建立相应的综合性标准体系支撑绿色制造。</w:t>
      </w:r>
    </w:p>
    <w:p w14:paraId="7A8E4BAB" w14:textId="77777777" w:rsidR="00B50C5D" w:rsidRDefault="00FA0E9F">
      <w:pPr>
        <w:spacing w:line="360" w:lineRule="auto"/>
        <w:ind w:firstLineChars="200" w:firstLine="420"/>
        <w:rPr>
          <w:rFonts w:ascii="宋体" w:hAnsi="宋体" w:cs="宋体"/>
          <w:kern w:val="0"/>
          <w:szCs w:val="21"/>
        </w:rPr>
      </w:pPr>
      <w:r>
        <w:rPr>
          <w:rFonts w:ascii="宋体" w:hAnsi="宋体" w:cs="宋体" w:hint="eastAsia"/>
          <w:kern w:val="0"/>
          <w:szCs w:val="21"/>
        </w:rPr>
        <w:t>工厂是绿色制造的主体。《中国制造2025》将“全面推动绿色制造”作为九大战略重点和任务之一，明确提出要“建设绿色工厂，实现厂房集约化、原料无害化、生产洁净化、废物资源化、能源低碳化”。 到2020年，建成千家绿色示范工厂；到2025年，制造业绿色发展和主要产品单耗达到世界先进水平。创建绿色工厂作为构建绿色制造体系的关键一环，是实施绿色制造工程的重点任务，是促进工业结构优化、脱困升级、提质增效的重要途径。锡及锡合金加工材料是人类最早使用的金属材料，因其优异的物理属性和综合性能而被广泛应用于航空航天、电力、电子、通讯、轨道交通、化工、仪器仪表、日用五金、机械制造、家电、汽车、建筑工程及国防工业等领域。我国是世界上锡加工材最大生产和消费国，是世界最大的锡加工生产基地、锡加工产品进出口国家，因生产而消耗的各种能源巨大。锡及锡合金作为规模较大、应用广泛的原材料棒、型、线材，有潜力、也有条件成为绿色发展的实践者、绿色工厂的建设者。制定锡及锡合金绿色工厂评价要求，推动用能结构优化，引导和规范工厂实施绿色制造和绿色发展，具有重要意义。</w:t>
      </w:r>
    </w:p>
    <w:p w14:paraId="3FF9CA92" w14:textId="77777777" w:rsidR="00B50C5D" w:rsidRDefault="00FA0E9F">
      <w:pPr>
        <w:spacing w:line="360" w:lineRule="auto"/>
        <w:rPr>
          <w:rFonts w:ascii="宋体" w:hAnsi="宋体" w:cs="宋体"/>
          <w:kern w:val="0"/>
          <w:szCs w:val="21"/>
        </w:rPr>
      </w:pPr>
      <w:r>
        <w:rPr>
          <w:rFonts w:ascii="宋体" w:hAnsi="宋体" w:cs="宋体" w:hint="eastAsia"/>
          <w:kern w:val="0"/>
          <w:szCs w:val="21"/>
        </w:rPr>
        <w:t>2.2项目编制组成员</w:t>
      </w:r>
    </w:p>
    <w:p w14:paraId="6CDD08CB" w14:textId="77777777" w:rsidR="00B50C5D" w:rsidRDefault="00FA0E9F">
      <w:pPr>
        <w:spacing w:line="360" w:lineRule="auto"/>
        <w:ind w:firstLineChars="200" w:firstLine="420"/>
        <w:rPr>
          <w:rFonts w:ascii="宋体" w:hAnsi="宋体" w:cs="宋体"/>
          <w:kern w:val="0"/>
          <w:szCs w:val="21"/>
        </w:rPr>
      </w:pPr>
      <w:r>
        <w:rPr>
          <w:rFonts w:ascii="宋体" w:hAnsi="宋体" w:cs="宋体" w:hint="eastAsia"/>
          <w:kern w:val="0"/>
          <w:szCs w:val="21"/>
        </w:rPr>
        <w:t>根据任务落实会会议精神，本项目的编制组由云南锡业股份有限公司、云南锡业新材料有限公</w:t>
      </w:r>
      <w:r>
        <w:rPr>
          <w:rFonts w:ascii="宋体" w:hAnsi="宋体" w:cs="宋体" w:hint="eastAsia"/>
          <w:kern w:val="0"/>
          <w:szCs w:val="21"/>
        </w:rPr>
        <w:lastRenderedPageBreak/>
        <w:t xml:space="preserve">司（原云南锡业锡材有限公司），组织国内主要生产企业参加起草，并组建了锡及锡合金绿色工厂评价要求标准修订起草小组。 </w:t>
      </w:r>
    </w:p>
    <w:p w14:paraId="76A75811" w14:textId="77777777" w:rsidR="00B50C5D" w:rsidRDefault="00B50C5D">
      <w:pPr>
        <w:spacing w:line="360" w:lineRule="auto"/>
        <w:ind w:firstLineChars="200" w:firstLine="420"/>
        <w:rPr>
          <w:rFonts w:ascii="宋体" w:hAnsi="宋体" w:cs="宋体"/>
          <w:kern w:val="0"/>
          <w:szCs w:val="21"/>
        </w:rPr>
      </w:pPr>
    </w:p>
    <w:p w14:paraId="0CEA7BFD"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3  编制起草单位的技术基础</w:t>
      </w:r>
    </w:p>
    <w:p w14:paraId="1AA35D79"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3.1 主起草单位</w:t>
      </w:r>
    </w:p>
    <w:p w14:paraId="0845A627" w14:textId="77777777" w:rsidR="00B50C5D" w:rsidRDefault="00FA0E9F">
      <w:pPr>
        <w:widowControl/>
        <w:spacing w:line="360" w:lineRule="auto"/>
        <w:rPr>
          <w:rFonts w:ascii="宋体" w:hAnsi="宋体" w:cs="宋体"/>
          <w:szCs w:val="21"/>
        </w:rPr>
      </w:pPr>
      <w:r>
        <w:rPr>
          <w:rFonts w:ascii="宋体" w:hAnsi="宋体" w:cs="宋体" w:hint="eastAsia"/>
          <w:szCs w:val="21"/>
        </w:rPr>
        <w:t>3.1.1云南锡业股份有限公司</w:t>
      </w:r>
    </w:p>
    <w:p w14:paraId="7303ECAC"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云南锡业股份有限公司于1998年11月由云南锡业公司作为主要发起人设立，于2000年2月21日获准在深圳证券交易所上市挂牌交易，成为上市公司。公司拥有世界最长、最完整的锡产业链，是我国最大的锡生产、加工、出口基地，拥有国家认定企业技术中心、国家认可实验室，科技创新实力雄厚，成果丰硕。公司现有年产8万吨锡、10万吨铜、10万吨锌（锌精矿含锌）、2.4万吨锡化工产品、2.9万吨锡材产品的生产能力。主要产品有锡锭、铟锭、阴极铜、锡铅焊料及无铅焊料，锡材、锡基合金、有机锡及无机锡化工产品等1100多个品种。公司是全球最大的锡产品生产商和供应商，2005年以来，公司锡金属产销量连续稳居全球第一。是国家锡产品主要研发和出口基地，产品远销日本、美国、欧洲等50多个国家和地区。</w:t>
      </w:r>
    </w:p>
    <w:p w14:paraId="789B7FC3"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云锡历来高度重视标准化建设，投入大量的人力、物力和财力，发挥世界领先的锡生产技术及研发优势，积极采用国际先进标准，完成了与锡有关的产品标准、分析方法、能源标准、二次原料回收利用等多项国家、行业标准的制、修订工作。主持或参与制、修订的有效国家标准78项，行业标准55项，团体标准6项。为规范锡行业发展，提高产品质量及调整产业结构，开发新产品促进新的经济增长点，促进锡生产企业推进技术进步，节能减排，综合回收锡资源，提升锡产业竞争力发挥了积极作用。5个标准分别获中国有色金属工业科学技术二等奖、三等奖。被国家标准化管理委员会指定承担锡及锡合金工作组秘书处工作。</w:t>
      </w:r>
    </w:p>
    <w:p w14:paraId="008150A8"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公司技术力量雄厚、质量、环境、安全保证体系齐全、检测设备和仪器齐全，有从事锡金属冶炼整套成熟工艺，生产经验丰富，产品质量稳定，完全具备主编起草本标准的资格、基础和条件。在本标准的编制过程中，通过组织调研、分析、规范评价方法，确定主要的评价指标，组织完成本标准的修订。</w:t>
      </w:r>
    </w:p>
    <w:p w14:paraId="7BFFF766"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公司是绿色矿山试点单位，生产锡锭的锡业分公司是国家锡行业通过一级安全标准化认证的企业，公司所属多家企业通过三级安全生产标准化企业等级认证、清洁生产审核，新材料公司通过国家绿色制造企业审核。因此，云南锡业有限公司完全具备主编起草本标准的资格、基础和条件。</w:t>
      </w:r>
    </w:p>
    <w:p w14:paraId="25C2F101" w14:textId="77777777" w:rsidR="00B50C5D" w:rsidRDefault="00FA0E9F">
      <w:pPr>
        <w:widowControl/>
        <w:spacing w:line="360" w:lineRule="auto"/>
        <w:rPr>
          <w:rFonts w:ascii="宋体" w:hAnsi="宋体" w:cs="宋体"/>
          <w:szCs w:val="21"/>
        </w:rPr>
      </w:pPr>
      <w:r>
        <w:rPr>
          <w:rFonts w:ascii="宋体" w:hAnsi="宋体" w:cs="宋体" w:hint="eastAsia"/>
          <w:szCs w:val="21"/>
        </w:rPr>
        <w:t>3.1.2云南锡业新材料有限公司简介</w:t>
      </w:r>
    </w:p>
    <w:p w14:paraId="42A4766D"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云南锡业新材料有限公司是云南锡业集团(控股)有限责任公司控股、云南锡业股份有限公司参股的国有全资子公司，于2023年4月成立，注册资本金114092.26万元。由原云南锡业锡材有限公</w:t>
      </w:r>
      <w:r>
        <w:rPr>
          <w:rFonts w:ascii="宋体" w:hAnsi="宋体" w:cs="宋体" w:hint="eastAsia"/>
          <w:szCs w:val="21"/>
        </w:rPr>
        <w:lastRenderedPageBreak/>
        <w:t>司（以下简称“锡材”）、云南锡业锡化工材料有限责任公司（以下简称“锡化工”）组成。主要从事锡精深加工产品的生产、销售、研发贸易业务，聚焦锡新材料高精尖产品研发和高质量市场技术服务，致力于打造全球最具竞争力锡新材料和精深加工企业。</w:t>
      </w:r>
    </w:p>
    <w:p w14:paraId="3A5FFCE1"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锡材版块于2007 年5月9日成立，拥有条、丝、粉、膏、形材、粒、球、半球9大系列、1000余个规格品种产品，生产能力40000吨/年。是云锡公司重点打造的锡基新材料产业生产和研发基地。通过了ISO9001、ISO14001、ISO45001、ISO50001、IATF16949等体系认证，是云锡的锡材加工中心，在生产规模、总体技术与装备水平、产品质量等方面都处于国内领先地位，连续三年荣获“中国电子材料行业五十强企业”及“中国电子材料行业电子锡焊料专业十强第一”。</w:t>
      </w:r>
    </w:p>
    <w:p w14:paraId="0F750FF2"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锡材板块为国家锡基新材料外贸出口加工基地、国家级高新技术企业、国家级首批绿色制造示范企业、国家博士后科研工作站、云南省电子锡焊料制备先进技术与应用工程研究中心和云南省企业技术中心、创新型企业、清洁生产企业、质量标杆企业等；拥有国家博士后科研工作站、云南省电子锡焊料制备先进技术与应用工程研究中心、昆明市软钎焊料工程技术研究中心等创新平台。通过不断地科技创新、自主研发等方式，累计申请专利35项，已获授权发明专利11项，实用新型专利7项，参与制定国家、行业标准10余项，获科技奖励13项，其中有色工业科学技术一等奖2项，云南省科技进步奖二等奖1项，昆明市专利一等奖1项，云南省专利三等奖1项，云锡科技进步二等奖5项，三等奖3项；锡球、无铅焊料、球形焊粉、锡粒、轴承合金、锡铅焊料被认定为云南省名牌产品，锡球、无铅焊料、球形焊粉、锡粒被认定为云南省重点新产品。</w:t>
      </w:r>
    </w:p>
    <w:p w14:paraId="18F15FFA"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3.2 其他起草单位简介</w:t>
      </w:r>
    </w:p>
    <w:p w14:paraId="7EFBC1F9" w14:textId="77777777" w:rsidR="00B50C5D" w:rsidRDefault="00FA0E9F">
      <w:pPr>
        <w:widowControl/>
        <w:spacing w:line="360" w:lineRule="auto"/>
        <w:rPr>
          <w:rFonts w:ascii="宋体" w:hAnsi="宋体" w:cs="宋体"/>
          <w:szCs w:val="21"/>
        </w:rPr>
      </w:pPr>
      <w:r>
        <w:rPr>
          <w:rFonts w:ascii="宋体" w:hAnsi="宋体" w:cs="宋体" w:hint="eastAsia"/>
          <w:szCs w:val="21"/>
        </w:rPr>
        <w:t>3.2.1 山东康普锡威新材料科技有限公司</w:t>
      </w:r>
    </w:p>
    <w:p w14:paraId="1B4D6A97"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山东康普锡威新材料科技有限公司（以下简称：康普山东）于2019年2月在山东省滨州市高新技术产业开发区注册成立，注册资金1000万元，是国资委直属大型中央企业中国有研科技集团有限公司成员之一，是北京康普锡威科技有限公司全资子公司。康普山东主要从事“微电子专用焊接材料、3D打印用金属材料及高性能软磁材料”的生产。具备锡基合金焊粉2000吨、3D打印用金属材料及高性能软磁材料3000吨的年生产能力。目前，公司属于国家高新技术企业、山东省“专精特新”中小企业、山东省科技创新中小企业、滨州市瞪羚企业，拥有滨州市企业技术中心和工程研究中心2个市级创新平台。公司项目“新型微电子互连用高可靠无铅焊料的研发及应用”于2021年获得中国有色金属工业科学技术奖一等奖。</w:t>
      </w:r>
    </w:p>
    <w:p w14:paraId="03FEE386" w14:textId="77777777" w:rsidR="00B50C5D" w:rsidRDefault="00FA0E9F">
      <w:pPr>
        <w:widowControl/>
        <w:spacing w:line="360" w:lineRule="auto"/>
        <w:rPr>
          <w:rFonts w:ascii="宋体" w:hAnsi="宋体" w:cs="宋体"/>
          <w:szCs w:val="21"/>
        </w:rPr>
      </w:pPr>
      <w:r>
        <w:rPr>
          <w:rFonts w:ascii="宋体" w:hAnsi="宋体" w:cs="宋体" w:hint="eastAsia"/>
          <w:szCs w:val="21"/>
        </w:rPr>
        <w:t>3.2.2 北京康普锡威科技有限公司</w:t>
      </w:r>
    </w:p>
    <w:p w14:paraId="646B35CA"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北京康普锡威科技有限公司2005年1月20日在中关村科技园区注册成立，是国资委直属大型中央企业中国有研科技集团有限公司成员之一，是有研粉末新材料股份有限公司全资子公司（股票代码：688456）。主要从事微电子专用焊接材料、3D打印用金属材料及高性能软磁材料研发、生产、</w:t>
      </w:r>
      <w:r>
        <w:rPr>
          <w:rFonts w:ascii="宋体" w:hAnsi="宋体" w:cs="宋体" w:hint="eastAsia"/>
          <w:szCs w:val="21"/>
        </w:rPr>
        <w:lastRenderedPageBreak/>
        <w:t>销售和服务的高新技术企业。北京康普锡威科技有限公司坐落在怀柔风景秀丽的雁栖湖畔，基地占地约2.4万平米。公司自成立以来就秉承“科技创新为先导”的发展战略，注重知识产权发展，曾先后承担国家重大专项、支撑计划、科技部院所基金及中小企业创新基金、北京市科技攻关项目等多项课题。公司是工信部“微电子互连焊粉”技术领域的首批“专精特新小巨人”企业、北京市“专精特新小巨人”企业、国家级高新技术企业、中关村高新技术企业、北京市知识产权示范单位。公司先后获得国家奖2项，省部级奖5项，怀柔区奖5项，行业级科技进步奖9项，其中“球形金属粉末雾化制备技术及产业化”项目荣获2017年国家科技技术进步奖二等奖，“一种金属粉末制备装置及方法”获2016年中国专利优秀奖。2022年“微电子互连用合金焊粉”被评选为“国家制造业单项冠军产品。</w:t>
      </w:r>
    </w:p>
    <w:p w14:paraId="7FFB635E" w14:textId="77777777" w:rsidR="00B50C5D" w:rsidRDefault="00FA0E9F">
      <w:pPr>
        <w:widowControl/>
        <w:spacing w:line="360" w:lineRule="auto"/>
        <w:rPr>
          <w:rFonts w:ascii="宋体" w:hAnsi="宋体" w:cs="宋体"/>
          <w:szCs w:val="21"/>
        </w:rPr>
      </w:pPr>
      <w:r>
        <w:rPr>
          <w:rFonts w:ascii="宋体" w:hAnsi="宋体" w:cs="宋体" w:hint="eastAsia"/>
          <w:szCs w:val="21"/>
        </w:rPr>
        <w:t>3.2.3 中山翰华锡业有限公司</w:t>
      </w:r>
    </w:p>
    <w:p w14:paraId="6A1FF6F2"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中山翰华锡业有限公司是一家集研发、生产、销售于一体的国家级高新企业，产品主要涵盖：锡膏、锡条、锡线、清洗剂等系列，其产品广泛应用于电子电器、智能工控、军工航天、能源、汽车、安防等领域，拥有一批稳定的国内国际知名的优质客户群体。</w:t>
      </w:r>
    </w:p>
    <w:p w14:paraId="67518E09"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 xml:space="preserve">一直以来，翰华始终将创新研发作为企业核心竞争力，公司拥有一支高素质的研发团队，核心成员包括有材料加工工程学及化学、化工博士，持续开发高可靠性的电子制造应用新材料产品，核心自主知识产权方面共申请相关国家发明及实用新型专利60余项，40多项专利获得授权。2018年，经广东省科学技术厅批准，设立“广东省环保焊料工程技术研究中心”。 </w:t>
      </w:r>
    </w:p>
    <w:p w14:paraId="3EC2CD3B"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 xml:space="preserve">公司已通过质量环境管理体系认证，取得了ISO9001：2015、ISO14001：2015质量环境管理体系认证，2018年，翰华成功通过IATF16949:2016汽车质量管理体系认证。 </w:t>
      </w:r>
    </w:p>
    <w:p w14:paraId="524821BB" w14:textId="77777777" w:rsidR="00B50C5D" w:rsidRDefault="00FA0E9F">
      <w:pPr>
        <w:widowControl/>
        <w:spacing w:line="360" w:lineRule="auto"/>
        <w:rPr>
          <w:rFonts w:ascii="宋体" w:hAnsi="宋体" w:cs="宋体"/>
          <w:szCs w:val="21"/>
        </w:rPr>
      </w:pPr>
      <w:r>
        <w:rPr>
          <w:rFonts w:ascii="宋体" w:hAnsi="宋体" w:cs="宋体" w:hint="eastAsia"/>
          <w:szCs w:val="21"/>
        </w:rPr>
        <w:t>3.2.3亿铖达科技（江西）有限公司</w:t>
      </w:r>
    </w:p>
    <w:p w14:paraId="3442DFD9"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亿铖达科技（江西）有限公司为亿铖达工业有限公司及亿铖达焊锡制造有限公司子公司，总部位于深圳，成立于1985年，是一家集电子连接材料和化学高分子材料研发、生产、销售于一体的大型高新企业，广东省制造业企业500强、宝安区自主创新优势科技企业。“亿铖达”是深圳知名品牌。</w:t>
      </w:r>
    </w:p>
    <w:p w14:paraId="0492444E"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亿铖达产品主要涵盖：胶粘剂、预成型焊片、锡膏、锡条、锡线、助焊剂、清洗剂七大系列，其产品广泛应用于电子电器、智能工控、军工航天、能源、汽车、安防等领域。 经过多年的不懈努力，截止目前，亿铖达参与起草制定了10项中国国家标准及4项行业标准，通过了UL安全认证和以IATF16949为代表的5大管理体系认证，获得了44项国家专利。率先在国内推出了水性聚氨酯三防漆、高闪点聚氨酯三防漆、UV暗固化三防漆、UV湿气双固化三防漆、触变型聚氨酯厚层涂覆材料，这几款产品均可广泛应用于线路板防护各领域，属国内首创、居于行业领先水平。</w:t>
      </w:r>
    </w:p>
    <w:p w14:paraId="7A5307D9" w14:textId="77777777"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lastRenderedPageBreak/>
        <w:t>亿铖达科技（江西）有限公司项目总投资约5亿港币，用地面积约43.38亩（28925.9㎡），总建筑面积为24135.88㎡，可实现年产4000吨焊接材料（锡条、锡线），2000吨焊接材料（锡膏），6000吨助焊剂、清洗剂，180吨环保型胶黏剂，100吨树脂漆、油墨、油漆，1000吨锡粉，200吨助焊膏的能力。</w:t>
      </w:r>
    </w:p>
    <w:p w14:paraId="5E6113C7" w14:textId="77777777" w:rsidR="00B50C5D" w:rsidRDefault="00FA0E9F">
      <w:pPr>
        <w:widowControl/>
        <w:spacing w:line="360" w:lineRule="auto"/>
        <w:rPr>
          <w:rFonts w:ascii="宋体" w:hAnsi="宋体" w:cs="宋体"/>
          <w:szCs w:val="21"/>
        </w:rPr>
      </w:pPr>
      <w:r>
        <w:rPr>
          <w:rFonts w:ascii="宋体" w:hAnsi="宋体" w:cs="宋体" w:hint="eastAsia"/>
          <w:szCs w:val="21"/>
        </w:rPr>
        <w:t>3.2.4浙江亚通新材料股份有限公司</w:t>
      </w:r>
    </w:p>
    <w:p w14:paraId="4783CB35" w14:textId="77777777" w:rsidR="00FA0E9F" w:rsidRPr="00FA0E9F" w:rsidRDefault="00FA0E9F" w:rsidP="00FA0E9F">
      <w:pPr>
        <w:widowControl/>
        <w:spacing w:line="360" w:lineRule="auto"/>
        <w:ind w:firstLineChars="200" w:firstLine="420"/>
        <w:rPr>
          <w:rFonts w:ascii="宋体" w:hAnsi="宋体" w:cs="宋体"/>
          <w:szCs w:val="21"/>
        </w:rPr>
      </w:pPr>
      <w:r w:rsidRPr="00FA0E9F">
        <w:rPr>
          <w:rFonts w:ascii="宋体" w:hAnsi="宋体" w:cs="宋体" w:hint="eastAsia"/>
          <w:szCs w:val="21"/>
        </w:rPr>
        <w:t>浙江亚通新材料股份有限公司（原名称：浙江亚通焊材有限公司）成立于2006年，是世界500强企业杭州钢铁集团有限公司设立的国有控股、多元投资的高新技术企业，主要致力于电子及半导体钎料、绿色环保硬钎料、高性能金属合金粉膏体等材料的研发与生产，产品广泛应用于航空航天、新能源、汽车电子、制冷、等领域，部分产品服务于国防军工。公司是国内焊接材料行业的核心企业之一，主持或参与制定40余项国家或行业标准，拥有50余件授权国家发明专利，担任着中国电子材料行业协会、国家标准化技术委员会、中国焊接协会等专业机构领导职务，在行业内具有广泛影响力。</w:t>
      </w:r>
    </w:p>
    <w:p w14:paraId="26179B7A" w14:textId="77777777" w:rsidR="00FA0E9F" w:rsidRPr="00FA0E9F" w:rsidRDefault="00FA0E9F" w:rsidP="00FA0E9F">
      <w:pPr>
        <w:widowControl/>
        <w:spacing w:line="360" w:lineRule="auto"/>
        <w:ind w:firstLineChars="200" w:firstLine="420"/>
        <w:rPr>
          <w:rFonts w:ascii="宋体" w:hAnsi="宋体" w:cs="宋体"/>
          <w:szCs w:val="21"/>
        </w:rPr>
      </w:pPr>
      <w:r w:rsidRPr="00FA0E9F">
        <w:rPr>
          <w:rFonts w:ascii="宋体" w:hAnsi="宋体" w:cs="宋体" w:hint="eastAsia"/>
          <w:szCs w:val="21"/>
        </w:rPr>
        <w:t>公司建有国家地方联合工程研究中心、省级重点企业研究院、省级企业技术中心、省重点实验室等研发平台。其中钎焊材料创新研发团队能够根据客户需求开发新型钎焊材料和技术，整体研发实力处于国内前列，相关成果先后荣获国家科技进步二等奖、国家重点新产品证书、机械工业科学技术一等奖、浙江省科技进步奖等科技奖项，公司及产品曾荣获浙江省隐形冠军企业、中国焊锡行业十佳企业、浙江省名牌产品、浙江省军民融合示范企业等荣誉。</w:t>
      </w:r>
    </w:p>
    <w:p w14:paraId="72B46E62" w14:textId="77777777" w:rsidR="00FA0E9F" w:rsidRPr="00FA0E9F" w:rsidRDefault="00FA0E9F" w:rsidP="00FA0E9F">
      <w:pPr>
        <w:widowControl/>
        <w:spacing w:line="360" w:lineRule="auto"/>
        <w:ind w:firstLineChars="200" w:firstLine="420"/>
        <w:rPr>
          <w:rFonts w:ascii="宋体" w:hAnsi="宋体" w:cs="宋体"/>
          <w:szCs w:val="21"/>
        </w:rPr>
      </w:pPr>
      <w:r w:rsidRPr="00FA0E9F">
        <w:rPr>
          <w:rFonts w:ascii="宋体" w:hAnsi="宋体" w:cs="宋体" w:hint="eastAsia"/>
          <w:szCs w:val="21"/>
        </w:rPr>
        <w:t>公司一直专注于高性能有色金属材料的研发、生产和销售，目前在电子级半导体钎料和绿色环保硬钎料领域有一定的市场占有率，未来将着力调整产品结构，围绕行业需求开发进口替代产品，加大半导体、新能源、电力、军工等领域的开拓力度，争取在高技术含量的钎焊材料领域继续占据重要的地位。</w:t>
      </w:r>
    </w:p>
    <w:p w14:paraId="675C65B2" w14:textId="671BC070" w:rsidR="00B50C5D" w:rsidRDefault="00FA0E9F">
      <w:pPr>
        <w:widowControl/>
        <w:spacing w:line="360" w:lineRule="auto"/>
        <w:ind w:firstLineChars="200" w:firstLine="420"/>
        <w:rPr>
          <w:rFonts w:ascii="宋体" w:hAnsi="宋体" w:cs="宋体"/>
          <w:szCs w:val="21"/>
        </w:rPr>
      </w:pPr>
      <w:r>
        <w:rPr>
          <w:rFonts w:ascii="宋体" w:hAnsi="宋体" w:cs="宋体" w:hint="eastAsia"/>
          <w:szCs w:val="21"/>
        </w:rPr>
        <w:t>以上几家单位在整个标准编制过程中，积极配合主编单位的编制工作，多次在本单位内部组织对标准的初稿和修改稿进行认真的讨论和审议，提出大量有益的意见和建议，在编制组中发挥了重要的骨干作用。</w:t>
      </w:r>
    </w:p>
    <w:p w14:paraId="5EB65207"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4  主要工作过程</w:t>
      </w:r>
    </w:p>
    <w:p w14:paraId="1375B3C2"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4.1  标准编制过程</w:t>
      </w:r>
    </w:p>
    <w:p w14:paraId="257DCB75" w14:textId="77777777" w:rsidR="00B50C5D" w:rsidRDefault="00FA0E9F">
      <w:pPr>
        <w:pStyle w:val="a7"/>
        <w:spacing w:line="300" w:lineRule="auto"/>
        <w:ind w:firstLineChars="200"/>
        <w:rPr>
          <w:rFonts w:ascii="宋体" w:hAnsi="宋体" w:cs="宋体"/>
          <w:kern w:val="0"/>
          <w:sz w:val="21"/>
          <w:szCs w:val="21"/>
        </w:rPr>
      </w:pPr>
      <w:r>
        <w:rPr>
          <w:rFonts w:ascii="宋体" w:hAnsi="宋体" w:cs="宋体" w:hint="eastAsia"/>
          <w:kern w:val="0"/>
          <w:sz w:val="21"/>
          <w:szCs w:val="21"/>
        </w:rPr>
        <w:t>接到标准起草任务后，在云南锡业股份有限公司指导下，原云南锡业锡材有限公司立即成立了标准编制小组，主要由安全环保部、运营管理部、研发中心等技术人员组成。首先整理收集本企业锡及锡合金产品（含精锡材、焊锡材、合金）的技术要求及现状，同时会同公司相关部门开始了本标准的起草工作，经过编制小组多次内部讨论及相关参加起草单位广泛征求意见，于2022年1月形成了本标准的《讨论稿》。于2022年6月24日请相关单位的专家在标准会上，对讨论稿进行初步评审，经会议专家讨论和会后再次征求意见。2023年3月27日再次根据征求意见和编制组成员讨</w:t>
      </w:r>
      <w:r>
        <w:rPr>
          <w:rFonts w:ascii="宋体" w:hAnsi="宋体" w:cs="宋体" w:hint="eastAsia"/>
          <w:kern w:val="0"/>
          <w:sz w:val="21"/>
          <w:szCs w:val="21"/>
        </w:rPr>
        <w:lastRenderedPageBreak/>
        <w:t>论意见修改完善本标准《预审稿》。2023年8月21日再次根据征求意见和编制组成员讨论意见修改完善本标准《送审稿》。</w:t>
      </w:r>
    </w:p>
    <w:p w14:paraId="65F300E6"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4.2  征求意见阶段</w:t>
      </w:r>
    </w:p>
    <w:p w14:paraId="367656A4" w14:textId="77777777" w:rsidR="00B50C5D" w:rsidRDefault="00FA0E9F">
      <w:pPr>
        <w:pStyle w:val="a7"/>
        <w:spacing w:line="300" w:lineRule="auto"/>
        <w:ind w:firstLineChars="200"/>
        <w:rPr>
          <w:rFonts w:ascii="宋体" w:hAnsi="宋体" w:cs="宋体"/>
          <w:kern w:val="0"/>
          <w:sz w:val="21"/>
          <w:szCs w:val="21"/>
        </w:rPr>
      </w:pPr>
      <w:r>
        <w:rPr>
          <w:rFonts w:ascii="宋体" w:hAnsi="宋体" w:cs="宋体" w:hint="eastAsia"/>
          <w:kern w:val="0"/>
          <w:sz w:val="21"/>
          <w:szCs w:val="21"/>
        </w:rPr>
        <w:t>2022年6月标准讨论会至今，牵头单位组织各个参与起草单位组建了工作群，经多次讨论形成征求意见稿，回函并有建议或意见的单位数3个；没有回函群里表示没有意见的单位数3个。编制组根据回函意见，先后完善了标准、及编制说明预审稿、送审稿。2023年8月15日根据预审会议专家评审意见、征求意见回函、编制组讨论的意见，再次重新完善了本标准、编制说明送审定稿。</w:t>
      </w:r>
    </w:p>
    <w:p w14:paraId="74E6984F"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4.3  标准送审阶段</w:t>
      </w:r>
    </w:p>
    <w:p w14:paraId="4D6DFA85" w14:textId="77777777" w:rsidR="00B50C5D" w:rsidRDefault="00FA0E9F">
      <w:pPr>
        <w:pStyle w:val="a7"/>
        <w:spacing w:line="360" w:lineRule="auto"/>
        <w:ind w:firstLine="0"/>
        <w:rPr>
          <w:rFonts w:ascii="宋体" w:hAnsi="宋体" w:cs="宋体"/>
          <w:b/>
          <w:sz w:val="21"/>
          <w:szCs w:val="21"/>
        </w:rPr>
      </w:pPr>
      <w:r>
        <w:rPr>
          <w:rFonts w:ascii="宋体" w:hAnsi="宋体" w:cs="宋体" w:hint="eastAsia"/>
          <w:b/>
          <w:sz w:val="21"/>
          <w:szCs w:val="21"/>
        </w:rPr>
        <w:t xml:space="preserve">    待8月21日全国有色金属标准化技术委员会组织审定。</w:t>
      </w:r>
    </w:p>
    <w:p w14:paraId="0F30A8D8" w14:textId="77777777" w:rsidR="00B50C5D" w:rsidRDefault="00FA0E9F">
      <w:pPr>
        <w:pStyle w:val="a7"/>
        <w:spacing w:line="300" w:lineRule="auto"/>
        <w:ind w:firstLine="0"/>
        <w:rPr>
          <w:rFonts w:ascii="宋体" w:hAnsi="宋体" w:cs="宋体"/>
          <w:kern w:val="0"/>
          <w:sz w:val="21"/>
          <w:szCs w:val="21"/>
        </w:rPr>
      </w:pPr>
      <w:r>
        <w:rPr>
          <w:rFonts w:ascii="宋体" w:hAnsi="宋体" w:cs="宋体" w:hint="eastAsia"/>
          <w:kern w:val="0"/>
          <w:sz w:val="21"/>
          <w:szCs w:val="21"/>
        </w:rPr>
        <w:t>4.3.1技术专家审查</w:t>
      </w:r>
    </w:p>
    <w:p w14:paraId="58CA28DB" w14:textId="77777777" w:rsidR="00B50C5D" w:rsidRDefault="00FA0E9F">
      <w:pPr>
        <w:pStyle w:val="a7"/>
        <w:spacing w:line="300" w:lineRule="auto"/>
        <w:rPr>
          <w:rFonts w:ascii="宋体" w:hAnsi="宋体" w:cs="宋体"/>
          <w:kern w:val="0"/>
          <w:sz w:val="21"/>
          <w:szCs w:val="21"/>
        </w:rPr>
      </w:pPr>
      <w:r>
        <w:rPr>
          <w:rFonts w:ascii="宋体" w:hAnsi="宋体" w:cs="宋体" w:hint="eastAsia"/>
          <w:kern w:val="0"/>
          <w:sz w:val="21"/>
          <w:szCs w:val="21"/>
        </w:rPr>
        <w:t>2023年8月根据标准工作会上与会专家对本标准送审稿进行认真的研究、讨论意见修改文稿和编制说明。</w:t>
      </w:r>
    </w:p>
    <w:p w14:paraId="5E8E30D9" w14:textId="77777777" w:rsidR="00B50C5D" w:rsidRDefault="00FA0E9F">
      <w:pPr>
        <w:pStyle w:val="a7"/>
        <w:spacing w:line="300" w:lineRule="auto"/>
        <w:ind w:firstLine="0"/>
        <w:rPr>
          <w:rFonts w:ascii="宋体" w:hAnsi="宋体" w:cs="宋体"/>
          <w:sz w:val="21"/>
          <w:szCs w:val="21"/>
        </w:rPr>
      </w:pPr>
      <w:r>
        <w:rPr>
          <w:rFonts w:ascii="宋体" w:hAnsi="宋体" w:cs="宋体" w:hint="eastAsia"/>
          <w:sz w:val="21"/>
          <w:szCs w:val="21"/>
        </w:rPr>
        <w:t>4.3.2委员审查</w:t>
      </w:r>
    </w:p>
    <w:p w14:paraId="0FF4E620" w14:textId="77777777" w:rsidR="00B50C5D" w:rsidRDefault="00FA0E9F">
      <w:pPr>
        <w:ind w:firstLineChars="200" w:firstLine="420"/>
        <w:rPr>
          <w:rFonts w:ascii="宋体" w:hAnsi="宋体" w:cs="宋体"/>
          <w:szCs w:val="21"/>
        </w:rPr>
      </w:pPr>
      <w:r>
        <w:rPr>
          <w:rFonts w:ascii="宋体" w:hAnsi="宋体" w:cs="宋体" w:hint="eastAsia"/>
          <w:szCs w:val="21"/>
        </w:rPr>
        <w:t>待全国有色金属标准化技术委员会择时审查。</w:t>
      </w:r>
    </w:p>
    <w:p w14:paraId="412D25AD" w14:textId="77777777" w:rsidR="00B50C5D" w:rsidRDefault="00FA0E9F">
      <w:pPr>
        <w:pStyle w:val="a7"/>
        <w:spacing w:line="300" w:lineRule="auto"/>
        <w:ind w:firstLine="0"/>
        <w:rPr>
          <w:rFonts w:ascii="宋体" w:hAnsi="宋体" w:cs="宋体"/>
          <w:kern w:val="0"/>
          <w:sz w:val="21"/>
          <w:szCs w:val="21"/>
        </w:rPr>
      </w:pPr>
      <w:r>
        <w:rPr>
          <w:rFonts w:ascii="宋体" w:hAnsi="宋体" w:cs="宋体" w:hint="eastAsia"/>
          <w:kern w:val="0"/>
          <w:sz w:val="21"/>
          <w:szCs w:val="21"/>
        </w:rPr>
        <w:t>4.4报批阶段</w:t>
      </w:r>
    </w:p>
    <w:p w14:paraId="7C0B45B2" w14:textId="77777777" w:rsidR="00B50C5D" w:rsidRDefault="00FA0E9F">
      <w:pPr>
        <w:ind w:firstLineChars="200" w:firstLine="420"/>
        <w:rPr>
          <w:rFonts w:ascii="宋体" w:hAnsi="宋体" w:cs="宋体"/>
          <w:szCs w:val="21"/>
        </w:rPr>
      </w:pPr>
      <w:r>
        <w:rPr>
          <w:rFonts w:ascii="宋体" w:hAnsi="宋体" w:cs="宋体" w:hint="eastAsia"/>
          <w:szCs w:val="21"/>
        </w:rPr>
        <w:t>标准编制组按照审查意见对标准文本完善后，于2023年底最终形成《报批稿》和《报批稿编制说明》，提交有色标委会秘书处。</w:t>
      </w:r>
    </w:p>
    <w:p w14:paraId="577DB46D" w14:textId="77777777" w:rsidR="00B50C5D" w:rsidRDefault="00B50C5D">
      <w:pPr>
        <w:ind w:firstLineChars="200" w:firstLine="420"/>
        <w:rPr>
          <w:rFonts w:ascii="宋体" w:hAnsi="宋体" w:cs="宋体"/>
          <w:szCs w:val="21"/>
        </w:rPr>
      </w:pPr>
    </w:p>
    <w:p w14:paraId="0C7F8FB2" w14:textId="77777777" w:rsidR="00B50C5D" w:rsidRDefault="00FA0E9F">
      <w:pPr>
        <w:spacing w:line="360" w:lineRule="auto"/>
        <w:rPr>
          <w:rFonts w:ascii="宋体" w:hAnsi="宋体" w:cs="宋体"/>
          <w:b/>
          <w:szCs w:val="21"/>
        </w:rPr>
      </w:pPr>
      <w:r>
        <w:rPr>
          <w:rFonts w:ascii="宋体" w:hAnsi="宋体" w:cs="宋体" w:hint="eastAsia"/>
          <w:b/>
          <w:szCs w:val="21"/>
        </w:rPr>
        <w:t>5 编制原则</w:t>
      </w:r>
    </w:p>
    <w:p w14:paraId="14B847D4" w14:textId="77777777" w:rsidR="00B50C5D" w:rsidRDefault="00FA0E9F">
      <w:pPr>
        <w:spacing w:line="360" w:lineRule="auto"/>
        <w:rPr>
          <w:rFonts w:ascii="宋体" w:hAnsi="宋体" w:cs="宋体"/>
          <w:bCs/>
          <w:szCs w:val="21"/>
        </w:rPr>
      </w:pPr>
      <w:r>
        <w:rPr>
          <w:rFonts w:ascii="宋体" w:hAnsi="宋体" w:cs="宋体" w:hint="eastAsia"/>
          <w:bCs/>
          <w:szCs w:val="21"/>
        </w:rPr>
        <w:t>5.1一致性原则</w:t>
      </w:r>
    </w:p>
    <w:p w14:paraId="7CA85146"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标准尽可能与以下内容协调一致：</w:t>
      </w:r>
    </w:p>
    <w:p w14:paraId="6042F2A6"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a)绿色制造体系要求；</w:t>
      </w:r>
    </w:p>
    <w:p w14:paraId="0363ACD7"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b)相关法律、法规、政策、标准、管理办法；</w:t>
      </w:r>
    </w:p>
    <w:p w14:paraId="21EA621D"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c)工业和信息化部绿色制造整体目标；</w:t>
      </w:r>
    </w:p>
    <w:p w14:paraId="37C2BA3E"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d) GB/T36132-2018《绿色工厂评价通则》。</w:t>
      </w:r>
    </w:p>
    <w:p w14:paraId="446FAFD8" w14:textId="77777777" w:rsidR="00B50C5D" w:rsidRDefault="00FA0E9F">
      <w:pPr>
        <w:spacing w:line="360" w:lineRule="auto"/>
        <w:rPr>
          <w:rFonts w:ascii="宋体" w:hAnsi="宋体" w:cs="宋体"/>
          <w:bCs/>
          <w:szCs w:val="21"/>
        </w:rPr>
      </w:pPr>
      <w:r>
        <w:rPr>
          <w:rFonts w:ascii="宋体" w:hAnsi="宋体" w:cs="宋体" w:hint="eastAsia"/>
          <w:bCs/>
          <w:szCs w:val="21"/>
        </w:rPr>
        <w:t>5.2全面系统</w:t>
      </w:r>
    </w:p>
    <w:p w14:paraId="0BB9CAB6"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a)涵盖工厂生产的全过程、全链条和全要素；</w:t>
      </w:r>
    </w:p>
    <w:p w14:paraId="71A26867"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b)全面、系统建立绿色工厂评价体系。</w:t>
      </w:r>
    </w:p>
    <w:p w14:paraId="7E8C31C6" w14:textId="77777777" w:rsidR="00B50C5D" w:rsidRDefault="00FA0E9F">
      <w:pPr>
        <w:spacing w:line="360" w:lineRule="auto"/>
        <w:rPr>
          <w:rFonts w:ascii="宋体" w:hAnsi="宋体" w:cs="宋体"/>
          <w:bCs/>
          <w:szCs w:val="21"/>
        </w:rPr>
      </w:pPr>
      <w:r>
        <w:rPr>
          <w:rFonts w:ascii="宋体" w:hAnsi="宋体" w:cs="宋体" w:hint="eastAsia"/>
          <w:bCs/>
          <w:szCs w:val="21"/>
        </w:rPr>
        <w:t>5.3突出行业特点</w:t>
      </w:r>
    </w:p>
    <w:p w14:paraId="635E6A98"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在GB/T36132-2018《绿色工厂评价通则》的基础上突出</w:t>
      </w:r>
      <w:r>
        <w:rPr>
          <w:rFonts w:ascii="宋体" w:hAnsi="宋体" w:cs="宋体" w:hint="eastAsia"/>
          <w:szCs w:val="21"/>
        </w:rPr>
        <w:t>锡及锡合金</w:t>
      </w:r>
      <w:r>
        <w:rPr>
          <w:rFonts w:ascii="宋体" w:hAnsi="宋体" w:cs="宋体" w:hint="eastAsia"/>
          <w:bCs/>
          <w:szCs w:val="21"/>
        </w:rPr>
        <w:t>的特点，重点关注</w:t>
      </w:r>
      <w:r>
        <w:rPr>
          <w:rFonts w:ascii="宋体" w:hAnsi="宋体" w:cs="宋体" w:hint="eastAsia"/>
          <w:szCs w:val="21"/>
        </w:rPr>
        <w:t>锡及锡合金生产</w:t>
      </w:r>
      <w:r>
        <w:rPr>
          <w:rFonts w:ascii="宋体" w:hAnsi="宋体" w:cs="宋体" w:hint="eastAsia"/>
          <w:bCs/>
          <w:szCs w:val="21"/>
        </w:rPr>
        <w:t>企业的能源投入、资源投入、环境排放和绩效以及温室气体、碳足迹指标。</w:t>
      </w:r>
    </w:p>
    <w:p w14:paraId="382C3830" w14:textId="77777777" w:rsidR="00B50C5D" w:rsidRDefault="00FA0E9F">
      <w:pPr>
        <w:spacing w:line="360" w:lineRule="auto"/>
        <w:rPr>
          <w:rFonts w:ascii="宋体" w:hAnsi="宋体" w:cs="宋体"/>
          <w:bCs/>
          <w:szCs w:val="21"/>
        </w:rPr>
      </w:pPr>
      <w:r>
        <w:rPr>
          <w:rFonts w:ascii="宋体" w:hAnsi="宋体" w:cs="宋体" w:hint="eastAsia"/>
          <w:bCs/>
          <w:szCs w:val="21"/>
        </w:rPr>
        <w:t>5.4 适用可操作</w:t>
      </w:r>
    </w:p>
    <w:p w14:paraId="137463A7"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a)在企业现有管理体系基础上增加绿色工厂管理要求；</w:t>
      </w:r>
    </w:p>
    <w:p w14:paraId="731FCBD1"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b)遵循“PDCA管理循环”模式，降低标准实施的难度；</w:t>
      </w:r>
    </w:p>
    <w:p w14:paraId="25DAFC13" w14:textId="77777777" w:rsidR="00B50C5D" w:rsidRDefault="00FA0E9F">
      <w:pPr>
        <w:spacing w:line="360" w:lineRule="auto"/>
        <w:ind w:firstLineChars="200" w:firstLine="420"/>
        <w:rPr>
          <w:rFonts w:ascii="宋体" w:hAnsi="宋体" w:cs="宋体"/>
          <w:szCs w:val="21"/>
        </w:rPr>
      </w:pPr>
      <w:r>
        <w:rPr>
          <w:rFonts w:ascii="宋体" w:hAnsi="宋体" w:cs="宋体" w:hint="eastAsia"/>
          <w:bCs/>
          <w:szCs w:val="21"/>
        </w:rPr>
        <w:lastRenderedPageBreak/>
        <w:t>c)立足国内企业绿色制造实际与工业和信息化部建设绿色制造体系、全面创建绿色工厂的要求，确保标准的可操作性。</w:t>
      </w:r>
    </w:p>
    <w:p w14:paraId="5D053526" w14:textId="77777777" w:rsidR="00B50C5D" w:rsidRDefault="00FA0E9F">
      <w:pPr>
        <w:spacing w:line="360" w:lineRule="auto"/>
        <w:rPr>
          <w:rFonts w:ascii="宋体" w:hAnsi="宋体" w:cs="宋体"/>
          <w:szCs w:val="21"/>
        </w:rPr>
      </w:pPr>
      <w:bookmarkStart w:id="0" w:name="OLE_LINK7"/>
      <w:r>
        <w:rPr>
          <w:rFonts w:ascii="宋体" w:hAnsi="宋体" w:cs="宋体" w:hint="eastAsia"/>
          <w:szCs w:val="21"/>
        </w:rPr>
        <w:t>5.5 完全按照GB/T 1.1和国家标准编写示例的要求进行格式和结构编写。</w:t>
      </w:r>
      <w:bookmarkEnd w:id="0"/>
    </w:p>
    <w:p w14:paraId="2BD4E140" w14:textId="77777777" w:rsidR="00B50C5D" w:rsidRDefault="00FA0E9F">
      <w:pPr>
        <w:spacing w:line="360" w:lineRule="auto"/>
        <w:rPr>
          <w:rFonts w:ascii="宋体" w:hAnsi="宋体" w:cs="宋体"/>
          <w:b/>
          <w:bCs/>
          <w:szCs w:val="21"/>
        </w:rPr>
      </w:pPr>
      <w:r>
        <w:rPr>
          <w:rFonts w:ascii="宋体" w:hAnsi="宋体" w:cs="宋体" w:hint="eastAsia"/>
          <w:b/>
          <w:bCs/>
          <w:szCs w:val="21"/>
        </w:rPr>
        <w:t>5.6 评价方法</w:t>
      </w:r>
    </w:p>
    <w:p w14:paraId="20D2240D" w14:textId="77777777" w:rsidR="00B50C5D" w:rsidRPr="00D922BF" w:rsidRDefault="00FA0E9F">
      <w:pPr>
        <w:spacing w:line="360" w:lineRule="auto"/>
        <w:ind w:firstLine="420"/>
        <w:rPr>
          <w:rFonts w:ascii="宋体" w:hAnsi="宋体" w:cs="宋体"/>
          <w:szCs w:val="21"/>
        </w:rPr>
      </w:pPr>
      <w:r w:rsidRPr="00D922BF">
        <w:rPr>
          <w:rFonts w:ascii="宋体" w:hAnsi="宋体" w:cs="宋体" w:hint="eastAsia"/>
          <w:szCs w:val="21"/>
        </w:rPr>
        <w:t>与GB/T 36132的评价方法一致，绿色工厂同时满足以下条件，按照相关程序要求经过公示无异议后，可称为绿色工厂。绿色工厂为实现了用地集约化、原料无害化、生产洁净化、废物资源化、能源低碳化的工厂。评价采用指标加权综合评分的方式，各指标加权综合评分的总分为100分。锡及锡合金生产绿色工厂评价指标表见附录A。对照附录A中具体条款，所有指标评分按符合取满分，不符合取0分进行取值。当工厂的指标加权综合评分达到85分以上（含85分），即可以评为绿色工厂。</w:t>
      </w:r>
    </w:p>
    <w:p w14:paraId="38BDCB5C" w14:textId="77777777" w:rsidR="00B50C5D" w:rsidRDefault="00FA0E9F">
      <w:pPr>
        <w:spacing w:line="360" w:lineRule="auto"/>
        <w:rPr>
          <w:rFonts w:ascii="宋体" w:hAnsi="宋体" w:cs="宋体"/>
          <w:b/>
          <w:bCs/>
          <w:szCs w:val="21"/>
        </w:rPr>
      </w:pPr>
      <w:r>
        <w:rPr>
          <w:rFonts w:ascii="宋体" w:hAnsi="宋体" w:cs="宋体" w:hint="eastAsia"/>
          <w:b/>
          <w:bCs/>
          <w:szCs w:val="21"/>
        </w:rPr>
        <w:t>5.7 评价流程</w:t>
      </w:r>
    </w:p>
    <w:p w14:paraId="054D1EE2" w14:textId="1EC477E2" w:rsidR="00B50C5D" w:rsidRDefault="00FA0E9F">
      <w:pPr>
        <w:spacing w:line="360" w:lineRule="auto"/>
        <w:ind w:firstLineChars="200" w:firstLine="420"/>
        <w:rPr>
          <w:rFonts w:ascii="宋体" w:hAnsi="宋体" w:cs="宋体"/>
          <w:szCs w:val="21"/>
        </w:rPr>
      </w:pPr>
      <w:r>
        <w:rPr>
          <w:rFonts w:ascii="宋体" w:hAnsi="宋体" w:cs="宋体" w:hint="eastAsia"/>
          <w:szCs w:val="21"/>
        </w:rPr>
        <w:t>规定评价应建立规范的评价工作流程，包括评价准备、组建评价组、制定评价方案、预评价、现场评价、编制评价报告、技术评审等。</w:t>
      </w:r>
      <w:bookmarkStart w:id="1" w:name="_Toc16895"/>
    </w:p>
    <w:p w14:paraId="7AA67507" w14:textId="77777777" w:rsidR="00B50C5D" w:rsidRDefault="00FA0E9F">
      <w:pPr>
        <w:spacing w:line="360" w:lineRule="auto"/>
        <w:rPr>
          <w:rFonts w:ascii="宋体" w:hAnsi="宋体" w:cs="宋体"/>
          <w:b/>
          <w:bCs/>
          <w:szCs w:val="21"/>
        </w:rPr>
      </w:pPr>
      <w:r>
        <w:rPr>
          <w:rFonts w:ascii="宋体" w:hAnsi="宋体" w:cs="宋体" w:hint="eastAsia"/>
          <w:b/>
          <w:bCs/>
          <w:szCs w:val="21"/>
        </w:rPr>
        <w:t>6标准主要内容</w:t>
      </w:r>
      <w:bookmarkEnd w:id="1"/>
    </w:p>
    <w:p w14:paraId="5EE47ED5" w14:textId="77777777" w:rsidR="00B50C5D" w:rsidRDefault="00FA0E9F">
      <w:pPr>
        <w:spacing w:line="360" w:lineRule="auto"/>
        <w:ind w:firstLineChars="200" w:firstLine="420"/>
        <w:rPr>
          <w:rFonts w:ascii="宋体" w:hAnsi="宋体" w:cs="宋体"/>
          <w:b/>
          <w:bCs/>
          <w:szCs w:val="21"/>
        </w:rPr>
      </w:pPr>
      <w:r>
        <w:rPr>
          <w:rFonts w:ascii="宋体" w:hAnsi="宋体" w:cs="宋体" w:hint="eastAsia"/>
          <w:szCs w:val="21"/>
        </w:rPr>
        <w:t>根据GB/T 36132《绿色工厂评价通则》，本标准设置了8个部分内容，具体包括：</w:t>
      </w:r>
    </w:p>
    <w:p w14:paraId="7EE2A3CA" w14:textId="77777777" w:rsidR="00B50C5D" w:rsidRDefault="00FA0E9F">
      <w:pPr>
        <w:spacing w:line="360" w:lineRule="auto"/>
        <w:rPr>
          <w:rFonts w:ascii="宋体" w:hAnsi="宋体" w:cs="宋体"/>
          <w:b/>
          <w:bCs/>
          <w:szCs w:val="21"/>
        </w:rPr>
      </w:pPr>
      <w:r>
        <w:rPr>
          <w:rFonts w:ascii="宋体" w:hAnsi="宋体" w:cs="宋体" w:hint="eastAsia"/>
          <w:b/>
          <w:bCs/>
          <w:szCs w:val="21"/>
        </w:rPr>
        <w:t>6.1范围</w:t>
      </w:r>
    </w:p>
    <w:p w14:paraId="57B28A98" w14:textId="77777777" w:rsidR="00B50C5D" w:rsidRDefault="00FA0E9F">
      <w:pPr>
        <w:spacing w:line="360" w:lineRule="auto"/>
        <w:ind w:firstLineChars="200" w:firstLine="420"/>
        <w:rPr>
          <w:rFonts w:ascii="宋体" w:hAnsi="宋体" w:cs="宋体"/>
          <w:szCs w:val="21"/>
        </w:rPr>
      </w:pPr>
      <w:bookmarkStart w:id="2" w:name="_Toc430680186"/>
      <w:bookmarkStart w:id="3" w:name="_Toc431105882"/>
      <w:r>
        <w:rPr>
          <w:rFonts w:ascii="宋体" w:hAnsi="宋体" w:cs="宋体" w:hint="eastAsia"/>
          <w:szCs w:val="21"/>
        </w:rPr>
        <w:t>本文件规定了锡及锡合金生产绿色工厂评价的总则、评价指标体系及要求、评价程序及评价报告。</w:t>
      </w:r>
    </w:p>
    <w:p w14:paraId="777BE02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本文件适用于以锡锭或焊锡锭等为原料生产锡及锡合金产品的绿色工厂评价。</w:t>
      </w:r>
    </w:p>
    <w:p w14:paraId="665235F1" w14:textId="77777777" w:rsidR="00B50C5D" w:rsidRDefault="00FA0E9F">
      <w:pPr>
        <w:spacing w:line="360" w:lineRule="auto"/>
        <w:rPr>
          <w:rFonts w:ascii="宋体" w:hAnsi="宋体" w:cs="宋体"/>
          <w:b/>
          <w:bCs/>
          <w:szCs w:val="21"/>
        </w:rPr>
      </w:pPr>
      <w:r>
        <w:rPr>
          <w:rFonts w:ascii="宋体" w:hAnsi="宋体" w:cs="宋体" w:hint="eastAsia"/>
          <w:b/>
          <w:bCs/>
          <w:szCs w:val="21"/>
        </w:rPr>
        <w:t>6.2规范性引用</w:t>
      </w:r>
      <w:bookmarkEnd w:id="2"/>
      <w:bookmarkEnd w:id="3"/>
      <w:r>
        <w:rPr>
          <w:rFonts w:ascii="宋体" w:hAnsi="宋体" w:cs="宋体" w:hint="eastAsia"/>
          <w:b/>
          <w:bCs/>
          <w:szCs w:val="21"/>
        </w:rPr>
        <w:t>文件</w:t>
      </w:r>
    </w:p>
    <w:p w14:paraId="7AEC4460" w14:textId="77777777" w:rsidR="00B50C5D" w:rsidRDefault="00FA0E9F">
      <w:pPr>
        <w:autoSpaceDE w:val="0"/>
        <w:autoSpaceDN w:val="0"/>
        <w:ind w:firstLineChars="200" w:firstLine="420"/>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C2BB6B" w14:textId="77777777" w:rsidR="00B50C5D" w:rsidRPr="00D922BF" w:rsidRDefault="00FA0E9F">
      <w:pPr>
        <w:spacing w:line="360" w:lineRule="auto"/>
        <w:ind w:firstLineChars="200" w:firstLine="420"/>
        <w:rPr>
          <w:rFonts w:ascii="宋体" w:hAnsi="宋体" w:cs="宋体"/>
        </w:rPr>
      </w:pPr>
      <w:bookmarkStart w:id="4" w:name="_Hlk46925174"/>
      <w:r w:rsidRPr="00D922BF">
        <w:rPr>
          <w:rFonts w:ascii="宋体" w:hAnsi="宋体" w:cs="宋体" w:hint="eastAsia"/>
        </w:rPr>
        <w:t>GB/T 7119        节水型企业评价导则</w:t>
      </w:r>
    </w:p>
    <w:p w14:paraId="1C210AB7"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8978         污水综合排放标准</w:t>
      </w:r>
    </w:p>
    <w:p w14:paraId="3AA4CDCC"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9078         工业炉窑大气污染物排放标准</w:t>
      </w:r>
    </w:p>
    <w:p w14:paraId="5F77D13E"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12348         工业企业厂界环境噪声排放标准</w:t>
      </w:r>
    </w:p>
    <w:p w14:paraId="12A311F7"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16297         大气污染物综合排放标准</w:t>
      </w:r>
    </w:p>
    <w:p w14:paraId="2D7EF9DE" w14:textId="77777777" w:rsidR="007A3F30" w:rsidRPr="00D922BF" w:rsidRDefault="00FA0E9F" w:rsidP="007A3F30">
      <w:pPr>
        <w:spacing w:line="360" w:lineRule="auto"/>
        <w:ind w:firstLineChars="200" w:firstLine="420"/>
        <w:rPr>
          <w:rFonts w:ascii="宋体" w:hAnsi="宋体" w:cs="宋体"/>
        </w:rPr>
      </w:pPr>
      <w:r w:rsidRPr="00D922BF">
        <w:rPr>
          <w:rFonts w:ascii="宋体" w:hAnsi="宋体" w:cs="宋体" w:hint="eastAsia"/>
        </w:rPr>
        <w:t>GB 17167         用能单位能源计量器具配备和管理通则</w:t>
      </w:r>
    </w:p>
    <w:p w14:paraId="4918DFFC" w14:textId="7B44724A"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18580 </w:t>
      </w:r>
      <w:r w:rsidRPr="00D922BF">
        <w:rPr>
          <w:rFonts w:ascii="宋体" w:hAnsi="宋体" w:cs="宋体"/>
        </w:rPr>
        <w:t xml:space="preserve">       </w:t>
      </w:r>
      <w:r w:rsidRPr="00D922BF">
        <w:rPr>
          <w:rFonts w:ascii="宋体" w:hAnsi="宋体" w:cs="宋体" w:hint="eastAsia"/>
        </w:rPr>
        <w:t>室内装饰装修材料 人造板及其制品中甲醛释放限量</w:t>
      </w:r>
    </w:p>
    <w:p w14:paraId="5A559359"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18581 </w:t>
      </w:r>
      <w:r w:rsidRPr="00D922BF">
        <w:rPr>
          <w:rFonts w:ascii="宋体" w:hAnsi="宋体" w:cs="宋体"/>
        </w:rPr>
        <w:t xml:space="preserve">       </w:t>
      </w:r>
      <w:r w:rsidRPr="00D922BF">
        <w:rPr>
          <w:rFonts w:ascii="宋体" w:hAnsi="宋体" w:cs="宋体" w:hint="eastAsia"/>
        </w:rPr>
        <w:t>室内装饰装修材料 溶剂型木器涂料中有害物质限量</w:t>
      </w:r>
    </w:p>
    <w:p w14:paraId="20029E24"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18582 </w:t>
      </w:r>
      <w:r w:rsidRPr="00D922BF">
        <w:rPr>
          <w:rFonts w:ascii="宋体" w:hAnsi="宋体" w:cs="宋体"/>
        </w:rPr>
        <w:t xml:space="preserve">       </w:t>
      </w:r>
      <w:r w:rsidRPr="00D922BF">
        <w:rPr>
          <w:rFonts w:ascii="宋体" w:hAnsi="宋体" w:cs="宋体" w:hint="eastAsia"/>
        </w:rPr>
        <w:t>室内装饰装修材料 内墙涂料中有害物质限量</w:t>
      </w:r>
    </w:p>
    <w:p w14:paraId="1F7998A2"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lastRenderedPageBreak/>
        <w:t xml:space="preserve">GB 18583 </w:t>
      </w:r>
      <w:r w:rsidRPr="00D922BF">
        <w:rPr>
          <w:rFonts w:ascii="宋体" w:hAnsi="宋体" w:cs="宋体"/>
        </w:rPr>
        <w:t xml:space="preserve">       </w:t>
      </w:r>
      <w:r w:rsidRPr="00D922BF">
        <w:rPr>
          <w:rFonts w:ascii="宋体" w:hAnsi="宋体" w:cs="宋体" w:hint="eastAsia"/>
        </w:rPr>
        <w:t>室内装饰装修材料 胶粘剂中有害物质限量</w:t>
      </w:r>
    </w:p>
    <w:p w14:paraId="16E13241"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18584 </w:t>
      </w:r>
      <w:r w:rsidRPr="00D922BF">
        <w:rPr>
          <w:rFonts w:ascii="宋体" w:hAnsi="宋体" w:cs="宋体"/>
        </w:rPr>
        <w:t xml:space="preserve">       </w:t>
      </w:r>
      <w:r w:rsidRPr="00D922BF">
        <w:rPr>
          <w:rFonts w:ascii="宋体" w:hAnsi="宋体" w:cs="宋体" w:hint="eastAsia"/>
        </w:rPr>
        <w:t>室内装饰装修材料 木家具中有害物质限量</w:t>
      </w:r>
    </w:p>
    <w:p w14:paraId="5851B251"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18585 </w:t>
      </w:r>
      <w:r w:rsidRPr="00D922BF">
        <w:rPr>
          <w:rFonts w:ascii="宋体" w:hAnsi="宋体" w:cs="宋体"/>
        </w:rPr>
        <w:t xml:space="preserve">       </w:t>
      </w:r>
      <w:r w:rsidRPr="00D922BF">
        <w:rPr>
          <w:rFonts w:ascii="宋体" w:hAnsi="宋体" w:cs="宋体" w:hint="eastAsia"/>
        </w:rPr>
        <w:t>室内装饰装修材料 壁纸中有害物质限量</w:t>
      </w:r>
    </w:p>
    <w:p w14:paraId="5132AAF0"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18586 </w:t>
      </w:r>
      <w:r w:rsidRPr="00D922BF">
        <w:rPr>
          <w:rFonts w:ascii="宋体" w:hAnsi="宋体" w:cs="宋体"/>
        </w:rPr>
        <w:t xml:space="preserve">       </w:t>
      </w:r>
      <w:r w:rsidRPr="00D922BF">
        <w:rPr>
          <w:rFonts w:ascii="宋体" w:hAnsi="宋体" w:cs="宋体" w:hint="eastAsia"/>
        </w:rPr>
        <w:t>室内装饰装修材料 聚氯乙烯卷材地板中有害物质限量</w:t>
      </w:r>
    </w:p>
    <w:p w14:paraId="1FD4870A" w14:textId="77777777" w:rsidR="007A3F30" w:rsidRPr="00D922BF" w:rsidRDefault="007A3F30" w:rsidP="007A3F30">
      <w:pPr>
        <w:spacing w:line="360" w:lineRule="auto"/>
        <w:ind w:firstLineChars="200" w:firstLine="420"/>
        <w:rPr>
          <w:rFonts w:ascii="宋体" w:hAnsi="宋体" w:cs="宋体"/>
        </w:rPr>
      </w:pPr>
      <w:r w:rsidRPr="00D922BF">
        <w:rPr>
          <w:rFonts w:ascii="宋体" w:hAnsi="宋体" w:cs="宋体" w:hint="eastAsia"/>
        </w:rPr>
        <w:t xml:space="preserve">GB 18587 </w:t>
      </w:r>
      <w:r w:rsidRPr="00D922BF">
        <w:rPr>
          <w:rFonts w:ascii="宋体" w:hAnsi="宋体" w:cs="宋体"/>
        </w:rPr>
        <w:t xml:space="preserve">       </w:t>
      </w:r>
      <w:r w:rsidRPr="00D922BF">
        <w:rPr>
          <w:rFonts w:ascii="宋体" w:hAnsi="宋体" w:cs="宋体" w:hint="eastAsia"/>
        </w:rPr>
        <w:t>室内装饰装修材料 地毯、地毯衬垫及地毯胶粘剂有害物质释放限量</w:t>
      </w:r>
    </w:p>
    <w:p w14:paraId="14F4ED6D" w14:textId="0BE18D60" w:rsidR="00B50C5D" w:rsidRPr="00D922BF" w:rsidRDefault="007A3F30">
      <w:pPr>
        <w:spacing w:line="360" w:lineRule="auto"/>
        <w:ind w:firstLineChars="200" w:firstLine="420"/>
        <w:rPr>
          <w:rFonts w:ascii="宋体" w:hAnsi="宋体" w:cs="宋体"/>
        </w:rPr>
      </w:pPr>
      <w:r w:rsidRPr="00D922BF">
        <w:rPr>
          <w:rFonts w:ascii="宋体" w:hAnsi="宋体" w:cs="宋体" w:hint="eastAsia"/>
        </w:rPr>
        <w:t xml:space="preserve">GB 18588 </w:t>
      </w:r>
      <w:r w:rsidRPr="00D922BF">
        <w:rPr>
          <w:rFonts w:ascii="宋体" w:hAnsi="宋体" w:cs="宋体"/>
        </w:rPr>
        <w:t xml:space="preserve">       </w:t>
      </w:r>
      <w:r w:rsidRPr="00D922BF">
        <w:rPr>
          <w:rFonts w:ascii="宋体" w:hAnsi="宋体" w:cs="宋体" w:hint="eastAsia"/>
        </w:rPr>
        <w:t>混凝土外加剂中释放氨的限量</w:t>
      </w:r>
    </w:p>
    <w:p w14:paraId="13452706"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 xml:space="preserve">GB 18597         危险废物贮存污染控制标准  </w:t>
      </w:r>
    </w:p>
    <w:p w14:paraId="5EF6BC0A"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18598         危险废物填埋污染控制标准</w:t>
      </w:r>
    </w:p>
    <w:p w14:paraId="3A98A194"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18599        一般工业固体废物贮存和填埋污染控制标准</w:t>
      </w:r>
    </w:p>
    <w:p w14:paraId="0C7B6B5B"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18613        电动机能效限定值及能效等级</w:t>
      </w:r>
    </w:p>
    <w:p w14:paraId="75D24B8F"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19001      质量管理体系 要求</w:t>
      </w:r>
    </w:p>
    <w:p w14:paraId="1FA9B46C"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19153        容积式空气压缩机能效限定值及能效等级</w:t>
      </w:r>
    </w:p>
    <w:p w14:paraId="4C7B564B"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19576        单元式空气调节机能效限定值及能效等级</w:t>
      </w:r>
    </w:p>
    <w:p w14:paraId="32AA6AE4"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19577        冷水机组能效限定值及能效等级</w:t>
      </w:r>
    </w:p>
    <w:p w14:paraId="4ED37908"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19761        通风机能效限定值及能效等级</w:t>
      </w:r>
    </w:p>
    <w:p w14:paraId="21D6F755"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19762        清水离心泵能效限定值及节能评价值</w:t>
      </w:r>
    </w:p>
    <w:p w14:paraId="4EDB4009"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20052        电力变压器能效限定值及能效等级</w:t>
      </w:r>
    </w:p>
    <w:p w14:paraId="73340E6D"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20789      用水单位水计量器具配备和管理通则</w:t>
      </w:r>
    </w:p>
    <w:p w14:paraId="21B7FF77"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20902      有色金属冶炼企业能源计量器具配备和管理要求</w:t>
      </w:r>
    </w:p>
    <w:p w14:paraId="2AD04482"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21454        多联式空调（热泵）机组能效限定值及能效等级</w:t>
      </w:r>
    </w:p>
    <w:p w14:paraId="12E1059F"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23331      能源管理体系 要求及使用指南</w:t>
      </w:r>
    </w:p>
    <w:p w14:paraId="5DA168CC"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24001      环境管理体系 要求及使用指南</w:t>
      </w:r>
    </w:p>
    <w:p w14:paraId="266BD99B"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24256      产品生态设计通则</w:t>
      </w:r>
    </w:p>
    <w:p w14:paraId="1287D00D"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 24500        工业锅炉能效限定值及能效等级</w:t>
      </w:r>
    </w:p>
    <w:p w14:paraId="4F3A3B70" w14:textId="77777777" w:rsidR="00C920FA" w:rsidRPr="00D922BF" w:rsidRDefault="00FA0E9F" w:rsidP="00C920FA">
      <w:pPr>
        <w:spacing w:line="360" w:lineRule="auto"/>
        <w:ind w:firstLineChars="200" w:firstLine="420"/>
        <w:rPr>
          <w:rFonts w:ascii="宋体" w:hAnsi="宋体" w:cs="宋体"/>
        </w:rPr>
      </w:pPr>
      <w:r w:rsidRPr="00D922BF">
        <w:rPr>
          <w:rFonts w:ascii="宋体" w:hAnsi="宋体" w:cs="宋体" w:hint="eastAsia"/>
        </w:rPr>
        <w:t>GB/T 24789      用水单位水计量器具配备和管理通则</w:t>
      </w:r>
    </w:p>
    <w:p w14:paraId="7F4533CC" w14:textId="050476FC" w:rsidR="00B50C5D" w:rsidRPr="00D922BF" w:rsidRDefault="00C920FA">
      <w:pPr>
        <w:spacing w:line="360" w:lineRule="auto"/>
        <w:ind w:firstLineChars="200" w:firstLine="420"/>
        <w:rPr>
          <w:rFonts w:ascii="宋体" w:hAnsi="宋体" w:cs="宋体"/>
        </w:rPr>
      </w:pPr>
      <w:r w:rsidRPr="00D922BF">
        <w:rPr>
          <w:rFonts w:ascii="宋体" w:hAnsi="宋体" w:cs="宋体" w:hint="eastAsia"/>
        </w:rPr>
        <w:t>GB 24790       电力变压器能效限定值及能效等级</w:t>
      </w:r>
    </w:p>
    <w:p w14:paraId="10F5FB50"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32150      工业企业温室气体排放核算和报告通则</w:t>
      </w:r>
    </w:p>
    <w:p w14:paraId="47B6F09D"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32161      生态设计产品评价通则</w:t>
      </w:r>
    </w:p>
    <w:p w14:paraId="74C9C88A"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35770      合规管理体系 指南</w:t>
      </w:r>
    </w:p>
    <w:p w14:paraId="7C1F513D"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36000      社会责任指南</w:t>
      </w:r>
    </w:p>
    <w:p w14:paraId="587C7BC8" w14:textId="77777777" w:rsidR="00B50C5D" w:rsidRPr="00D922BF" w:rsidRDefault="00FA0E9F">
      <w:pPr>
        <w:spacing w:line="360" w:lineRule="auto"/>
        <w:ind w:firstLineChars="200" w:firstLine="420"/>
        <w:rPr>
          <w:rFonts w:ascii="宋体" w:hAnsi="宋体" w:cs="宋体"/>
        </w:rPr>
      </w:pPr>
      <w:bookmarkStart w:id="5" w:name="_Hlk47887335"/>
      <w:bookmarkStart w:id="6" w:name="_Hlk46907202"/>
      <w:r w:rsidRPr="00D922BF">
        <w:rPr>
          <w:rFonts w:ascii="宋体" w:hAnsi="宋体" w:cs="宋体" w:hint="eastAsia"/>
        </w:rPr>
        <w:t>GB/T 36132      绿色工厂评价通则</w:t>
      </w:r>
    </w:p>
    <w:p w14:paraId="3AA593C7"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lastRenderedPageBreak/>
        <w:t>GB/T 39257      绿色制造  制造企业绿色供应链管理导则</w:t>
      </w:r>
    </w:p>
    <w:bookmarkEnd w:id="5"/>
    <w:p w14:paraId="463FE9E9" w14:textId="77777777" w:rsidR="00B50C5D" w:rsidRPr="00D922BF" w:rsidRDefault="00FA0E9F">
      <w:pPr>
        <w:spacing w:line="360" w:lineRule="auto"/>
        <w:ind w:firstLineChars="200" w:firstLine="420"/>
        <w:rPr>
          <w:rFonts w:ascii="宋体" w:hAnsi="宋体" w:cs="宋体"/>
        </w:rPr>
      </w:pPr>
      <w:r w:rsidRPr="00D922BF">
        <w:rPr>
          <w:rFonts w:ascii="宋体" w:hAnsi="宋体" w:cs="宋体" w:hint="eastAsia"/>
        </w:rPr>
        <w:t>GB/T 45001      职业健康安全管理体系 要求及使用指南</w:t>
      </w:r>
    </w:p>
    <w:bookmarkEnd w:id="6"/>
    <w:p w14:paraId="08196061" w14:textId="386802A5" w:rsidR="00C920FA" w:rsidRPr="00D922BF" w:rsidRDefault="00FA0E9F" w:rsidP="00C920FA">
      <w:pPr>
        <w:spacing w:line="360" w:lineRule="auto"/>
        <w:ind w:firstLineChars="200" w:firstLine="420"/>
        <w:rPr>
          <w:rFonts w:ascii="宋体" w:hAnsi="宋体" w:cs="宋体"/>
          <w:szCs w:val="21"/>
        </w:rPr>
      </w:pPr>
      <w:r w:rsidRPr="00D922BF">
        <w:rPr>
          <w:rFonts w:ascii="宋体" w:hAnsi="宋体" w:cs="宋体" w:hint="eastAsia"/>
          <w:szCs w:val="21"/>
        </w:rPr>
        <w:t>RB/T 117        能源管理体系 有色金属企业认证要求</w:t>
      </w:r>
      <w:bookmarkEnd w:id="4"/>
    </w:p>
    <w:p w14:paraId="3319E993" w14:textId="77777777" w:rsidR="00C920FA" w:rsidRPr="00D922BF" w:rsidRDefault="00C920FA" w:rsidP="00C920FA">
      <w:pPr>
        <w:spacing w:line="360" w:lineRule="auto"/>
        <w:ind w:firstLineChars="200" w:firstLine="420"/>
      </w:pPr>
      <w:r w:rsidRPr="00D922BF">
        <w:rPr>
          <w:rFonts w:hint="eastAsia"/>
        </w:rPr>
        <w:t xml:space="preserve">T CNIA </w:t>
      </w:r>
      <w:r w:rsidRPr="00D922BF">
        <w:t xml:space="preserve"> </w:t>
      </w:r>
      <w:r w:rsidRPr="00D922BF">
        <w:rPr>
          <w:rFonts w:hint="eastAsia"/>
        </w:rPr>
        <w:t>008</w:t>
      </w:r>
      <w:r w:rsidRPr="00D922BF">
        <w:t xml:space="preserve">1  </w:t>
      </w:r>
      <w:r w:rsidRPr="00D922BF">
        <w:rPr>
          <w:rFonts w:hint="eastAsia"/>
        </w:rPr>
        <w:t>绿色设计产品评价技术规范无铅锡基焊料</w:t>
      </w:r>
    </w:p>
    <w:p w14:paraId="7EDB5C8B" w14:textId="042274DD" w:rsidR="00C920FA" w:rsidRPr="00D922BF" w:rsidRDefault="00C920FA" w:rsidP="00C920FA">
      <w:pPr>
        <w:spacing w:line="360" w:lineRule="auto"/>
        <w:ind w:firstLineChars="200" w:firstLine="420"/>
        <w:rPr>
          <w:rFonts w:ascii="宋体" w:hAnsi="宋体" w:cs="宋体"/>
        </w:rPr>
      </w:pPr>
      <w:r w:rsidRPr="00D922BF">
        <w:rPr>
          <w:rFonts w:ascii="宋体" w:hAnsi="宋体" w:cs="宋体" w:hint="eastAsia"/>
        </w:rPr>
        <w:t>HJ 819         排污单位自行检测技术指南  总则</w:t>
      </w:r>
    </w:p>
    <w:p w14:paraId="407A480B" w14:textId="77777777" w:rsidR="00C920FA" w:rsidRPr="00D922BF" w:rsidRDefault="00C920FA" w:rsidP="00C920FA">
      <w:pPr>
        <w:spacing w:line="360" w:lineRule="auto"/>
        <w:ind w:firstLineChars="200" w:firstLine="420"/>
        <w:rPr>
          <w:rFonts w:ascii="宋体" w:hAnsi="宋体" w:cs="宋体"/>
        </w:rPr>
      </w:pPr>
      <w:r w:rsidRPr="00D922BF">
        <w:rPr>
          <w:rFonts w:ascii="宋体" w:hAnsi="宋体" w:cs="宋体" w:hint="eastAsia"/>
        </w:rPr>
        <w:t>HJ 942          排污许可证申请与核发技术规范 总则</w:t>
      </w:r>
    </w:p>
    <w:p w14:paraId="391C79BE" w14:textId="007DC2ED" w:rsidR="00B50C5D" w:rsidRPr="00D922BF" w:rsidRDefault="00C920FA">
      <w:pPr>
        <w:spacing w:line="360" w:lineRule="auto"/>
        <w:ind w:firstLineChars="200" w:firstLine="420"/>
        <w:rPr>
          <w:rFonts w:ascii="宋体" w:hAnsi="宋体" w:cs="宋体"/>
          <w:strike/>
          <w:szCs w:val="21"/>
        </w:rPr>
      </w:pPr>
      <w:r w:rsidRPr="00D922BF">
        <w:rPr>
          <w:rFonts w:ascii="宋体" w:hAnsi="宋体" w:cs="宋体" w:hint="eastAsia"/>
        </w:rPr>
        <w:t>HJ 1259         危险废物管理计划和管理台账制定技术导则</w:t>
      </w:r>
    </w:p>
    <w:p w14:paraId="3EF5BBFE" w14:textId="77777777" w:rsidR="00B50C5D" w:rsidRPr="00D922BF" w:rsidRDefault="00FA0E9F">
      <w:pPr>
        <w:spacing w:line="360" w:lineRule="auto"/>
        <w:rPr>
          <w:rFonts w:ascii="宋体" w:hAnsi="宋体" w:cs="宋体"/>
          <w:b/>
          <w:szCs w:val="21"/>
        </w:rPr>
      </w:pPr>
      <w:r w:rsidRPr="00D922BF">
        <w:rPr>
          <w:rFonts w:ascii="宋体" w:hAnsi="宋体" w:cs="宋体" w:hint="eastAsia"/>
          <w:b/>
          <w:szCs w:val="21"/>
        </w:rPr>
        <w:t>6.3 术语和定义</w:t>
      </w:r>
    </w:p>
    <w:p w14:paraId="7439D344" w14:textId="77777777" w:rsidR="00B50C5D" w:rsidRPr="00D922BF" w:rsidRDefault="00FA0E9F">
      <w:pPr>
        <w:spacing w:line="360" w:lineRule="auto"/>
        <w:ind w:firstLineChars="200" w:firstLine="420"/>
        <w:outlineLvl w:val="0"/>
        <w:rPr>
          <w:rFonts w:ascii="宋体" w:hAnsi="宋体" w:cs="宋体"/>
        </w:rPr>
      </w:pPr>
      <w:r w:rsidRPr="00D922BF">
        <w:rPr>
          <w:rFonts w:ascii="宋体" w:hAnsi="宋体" w:cs="宋体" w:hint="eastAsia"/>
        </w:rPr>
        <w:t>GB/T 36132界定的以及下列术语和定义适用于本文件。</w:t>
      </w:r>
      <w:bookmarkStart w:id="7" w:name="_Toc46929917"/>
    </w:p>
    <w:p w14:paraId="696AC94B" w14:textId="77777777" w:rsidR="00B50C5D" w:rsidRPr="00D922BF" w:rsidRDefault="00FA0E9F">
      <w:pPr>
        <w:spacing w:line="360" w:lineRule="auto"/>
        <w:outlineLvl w:val="0"/>
      </w:pPr>
      <w:r w:rsidRPr="00D922BF">
        <w:rPr>
          <w:rFonts w:eastAsia="黑体" w:hAnsi="宋体" w:hint="eastAsia"/>
        </w:rPr>
        <w:t>6.</w:t>
      </w:r>
      <w:r w:rsidRPr="00D922BF">
        <w:rPr>
          <w:rFonts w:ascii="黑体" w:eastAsia="黑体" w:hAnsi="黑体" w:cs="黑体" w:hint="eastAsia"/>
          <w:szCs w:val="21"/>
        </w:rPr>
        <w:t xml:space="preserve">3.1 </w:t>
      </w:r>
      <w:r w:rsidRPr="00D922BF">
        <w:rPr>
          <w:rFonts w:eastAsia="黑体" w:hint="eastAsia"/>
          <w:szCs w:val="21"/>
        </w:rPr>
        <w:t>锡及锡合金</w:t>
      </w:r>
      <w:r w:rsidRPr="00D922BF">
        <w:rPr>
          <w:rFonts w:eastAsia="黑体" w:hint="eastAsia"/>
          <w:szCs w:val="21"/>
        </w:rPr>
        <w:t xml:space="preserve"> </w:t>
      </w:r>
      <w:r w:rsidRPr="00D922BF">
        <w:rPr>
          <w:szCs w:val="21"/>
        </w:rPr>
        <w:t xml:space="preserve"> </w:t>
      </w:r>
      <w:bookmarkEnd w:id="7"/>
      <w:r w:rsidRPr="00D922BF">
        <w:rPr>
          <w:rFonts w:hint="eastAsia"/>
          <w:szCs w:val="21"/>
        </w:rPr>
        <w:t>tin and tin alloys</w:t>
      </w:r>
    </w:p>
    <w:p w14:paraId="40B92A2C" w14:textId="77777777" w:rsidR="00B50C5D" w:rsidRPr="00D922BF" w:rsidRDefault="00FA0E9F">
      <w:pPr>
        <w:spacing w:line="360" w:lineRule="auto"/>
        <w:ind w:firstLineChars="200" w:firstLine="420"/>
        <w:rPr>
          <w:rFonts w:hAnsi="宋体"/>
        </w:rPr>
      </w:pPr>
      <w:r w:rsidRPr="00D922BF">
        <w:rPr>
          <w:rFonts w:hAnsi="宋体" w:hint="eastAsia"/>
        </w:rPr>
        <w:t>以锡锭或焊锡锭为原料生产的锡及锡合金产品。如精锡材（</w:t>
      </w:r>
      <w:r w:rsidRPr="00D922BF">
        <w:rPr>
          <w:rFonts w:hAnsi="黑体" w:hint="eastAsia"/>
          <w:szCs w:val="22"/>
        </w:rPr>
        <w:t>锡型材、锡阳极等）、锡合金（锡铅焊料、无铅焊料等）以及其他合金</w:t>
      </w:r>
      <w:r w:rsidRPr="00D922BF">
        <w:rPr>
          <w:rFonts w:hAnsi="宋体" w:hint="eastAsia"/>
        </w:rPr>
        <w:t>。</w:t>
      </w:r>
    </w:p>
    <w:p w14:paraId="1A93B15A" w14:textId="77777777" w:rsidR="00B50C5D" w:rsidRPr="00D922BF" w:rsidRDefault="00FA0E9F">
      <w:pPr>
        <w:spacing w:line="360" w:lineRule="auto"/>
        <w:outlineLvl w:val="0"/>
      </w:pPr>
      <w:r w:rsidRPr="00D922BF">
        <w:rPr>
          <w:rFonts w:ascii="黑体" w:eastAsia="黑体" w:hAnsi="黑体" w:cs="黑体" w:hint="eastAsia"/>
          <w:szCs w:val="21"/>
        </w:rPr>
        <w:t>6.3.2 绿色物料</w:t>
      </w:r>
      <w:r w:rsidRPr="00D922BF">
        <w:rPr>
          <w:rFonts w:eastAsia="黑体" w:hint="eastAsia"/>
          <w:szCs w:val="21"/>
        </w:rPr>
        <w:t xml:space="preserve"> </w:t>
      </w:r>
      <w:r w:rsidRPr="00D922BF">
        <w:rPr>
          <w:szCs w:val="21"/>
        </w:rPr>
        <w:t xml:space="preserve"> </w:t>
      </w:r>
      <w:r w:rsidRPr="00D922BF">
        <w:rPr>
          <w:rFonts w:hint="eastAsia"/>
          <w:szCs w:val="21"/>
        </w:rPr>
        <w:t>Green material</w:t>
      </w:r>
    </w:p>
    <w:p w14:paraId="51E8DE26" w14:textId="4CF86215" w:rsidR="00B50C5D" w:rsidRDefault="00FA0E9F" w:rsidP="00D922BF">
      <w:pPr>
        <w:spacing w:line="360" w:lineRule="auto"/>
        <w:ind w:firstLineChars="200" w:firstLine="420"/>
        <w:rPr>
          <w:rFonts w:ascii="宋体" w:hAnsi="宋体" w:cs="宋体"/>
          <w:b/>
          <w:color w:val="FF0000"/>
          <w:szCs w:val="21"/>
        </w:rPr>
      </w:pPr>
      <w:r w:rsidRPr="00D922BF">
        <w:rPr>
          <w:rFonts w:hAnsi="宋体" w:hint="eastAsia"/>
        </w:rPr>
        <w:t>绿色物料应选自当期有效的省级以上政府相关部门发布的资源综合利用产品目录、有毒有害原料（产品）替代目录等，或利用再生资源及产业废弃物等作为原</w:t>
      </w:r>
      <w:r>
        <w:rPr>
          <w:rFonts w:hAnsi="宋体" w:hint="eastAsia"/>
        </w:rPr>
        <w:t>料。</w:t>
      </w:r>
    </w:p>
    <w:p w14:paraId="6D9F4007" w14:textId="77777777" w:rsidR="00B50C5D" w:rsidRDefault="00FA0E9F">
      <w:pPr>
        <w:spacing w:line="360" w:lineRule="auto"/>
        <w:rPr>
          <w:rFonts w:ascii="宋体" w:hAnsi="宋体" w:cs="宋体"/>
          <w:b/>
          <w:szCs w:val="21"/>
        </w:rPr>
      </w:pPr>
      <w:r>
        <w:rPr>
          <w:rFonts w:ascii="宋体" w:hAnsi="宋体" w:cs="宋体" w:hint="eastAsia"/>
          <w:b/>
          <w:szCs w:val="21"/>
        </w:rPr>
        <w:t>6.4 总则</w:t>
      </w:r>
    </w:p>
    <w:p w14:paraId="11683FC9"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对锡及锡合金生产绿色工厂评价原则、评价指标体系、权重系数和指标分数、评价方法等做出规定。评价总体结构与GB/T 36132提出的相关评价指标体系和要求保持一致。</w:t>
      </w:r>
    </w:p>
    <w:p w14:paraId="6763C394" w14:textId="77777777" w:rsidR="00B50C5D" w:rsidRDefault="00FA0E9F">
      <w:pPr>
        <w:spacing w:line="360" w:lineRule="auto"/>
        <w:rPr>
          <w:rFonts w:ascii="宋体" w:hAnsi="宋体" w:cs="宋体"/>
          <w:b/>
          <w:szCs w:val="21"/>
        </w:rPr>
      </w:pPr>
      <w:r>
        <w:rPr>
          <w:rFonts w:ascii="宋体" w:hAnsi="宋体" w:cs="宋体" w:hint="eastAsia"/>
          <w:b/>
          <w:szCs w:val="21"/>
        </w:rPr>
        <w:t>6.4.1评价原则</w:t>
      </w:r>
    </w:p>
    <w:p w14:paraId="7953027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本条确定了锡及锡合金生产绿色工厂评价的基本原则：一</w:t>
      </w:r>
      <w:bookmarkStart w:id="8" w:name="_Hlk520099874"/>
      <w:r>
        <w:rPr>
          <w:rFonts w:ascii="宋体" w:hAnsi="宋体" w:cs="宋体" w:hint="eastAsia"/>
          <w:szCs w:val="21"/>
        </w:rPr>
        <w:t>是一致性原则，评价总体结构与GB/T36132提出的相关评价指标体系和要求保持一致。</w:t>
      </w:r>
      <w:bookmarkEnd w:id="8"/>
      <w:r>
        <w:rPr>
          <w:rFonts w:ascii="宋体" w:hAnsi="宋体" w:cs="宋体" w:hint="eastAsia"/>
          <w:szCs w:val="21"/>
        </w:rPr>
        <w:t>二是行业性原则，评价要求在GB/T36132的基础上突出锡及锡合金生产工厂的行业特征。三是系统性原则，评价指标采取定性与定量相结合、过程与绩效相结合的方式，形成完整的综合性评价指标体系。</w:t>
      </w:r>
    </w:p>
    <w:p w14:paraId="0093940A" w14:textId="77777777" w:rsidR="00B50C5D" w:rsidRDefault="00FA0E9F">
      <w:pPr>
        <w:spacing w:line="360" w:lineRule="auto"/>
        <w:rPr>
          <w:rFonts w:ascii="宋体" w:hAnsi="宋体" w:cs="宋体"/>
          <w:b/>
          <w:szCs w:val="21"/>
        </w:rPr>
      </w:pPr>
      <w:r>
        <w:rPr>
          <w:rFonts w:ascii="宋体" w:hAnsi="宋体" w:cs="宋体" w:hint="eastAsia"/>
          <w:b/>
          <w:szCs w:val="21"/>
        </w:rPr>
        <w:t>6.4.2评价指标体系</w:t>
      </w:r>
    </w:p>
    <w:p w14:paraId="38A2E547"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评价指标体系包括一级指标和二级指标，一级指标包括基本要求、基础设施、管理体系、能源资源投入、产品、环境排放、绩效7个方面。在一级指标下设若干二级指标，在二级指标下设具体评价要求。基本要求为工厂参与评价的基本条件，实行一票否决制，否即不允许，不参评；其他6个方面为具体评价要求，通过评分来判断工厂满足要求的程度和级别。具体评价要求分为必选要求和可选要求，必选要求在标准表述为“应”为要求工厂应达到的基础性要求，必选要求不达标（满足三分之二大于等于）不能评价为绿色工厂。可选要求在标准表述为“宜”，希望工厂努力达到的提高性要求，具有先进性，依据受评工厂的实际情况确定可选要求的满足程度。</w:t>
      </w:r>
    </w:p>
    <w:p w14:paraId="5C429D9F"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lastRenderedPageBreak/>
        <w:t>评分为85分（含85分）以上即为国内先进水平。评分为90分（含90分）以上即为国内领先水平。</w:t>
      </w:r>
    </w:p>
    <w:p w14:paraId="02A5D759" w14:textId="77777777" w:rsidR="00B50C5D" w:rsidRDefault="00FA0E9F">
      <w:pPr>
        <w:spacing w:line="360" w:lineRule="auto"/>
        <w:rPr>
          <w:rFonts w:ascii="宋体" w:hAnsi="宋体" w:cs="宋体"/>
          <w:b/>
          <w:szCs w:val="21"/>
        </w:rPr>
      </w:pPr>
      <w:r>
        <w:rPr>
          <w:rFonts w:ascii="宋体" w:hAnsi="宋体" w:cs="宋体" w:hint="eastAsia"/>
          <w:b/>
          <w:szCs w:val="21"/>
        </w:rPr>
        <w:t>6.4.3权重系数和指标分数</w:t>
      </w:r>
    </w:p>
    <w:p w14:paraId="2F432B1A"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锡及锡合金生产绿色工厂评价一级指标权重系数为：</w:t>
      </w:r>
    </w:p>
    <w:p w14:paraId="3ED96003"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——基本要求（5.1）：采取一票否决制，应全部满足；</w:t>
      </w:r>
    </w:p>
    <w:p w14:paraId="34451C39"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——基础设施（5.2）：10%；</w:t>
      </w:r>
    </w:p>
    <w:p w14:paraId="5A5874F9"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——管理体系（5.3）：15%；</w:t>
      </w:r>
    </w:p>
    <w:p w14:paraId="0E8C4C20"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——能源资源投入（5.4）：15%；</w:t>
      </w:r>
    </w:p>
    <w:p w14:paraId="37512F08"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——产品（5.5）：15%；</w:t>
      </w:r>
    </w:p>
    <w:p w14:paraId="408623B7"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——环境排放（5.6）：20%；</w:t>
      </w:r>
    </w:p>
    <w:p w14:paraId="75150D34"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——绩效（5.7）：25%；</w:t>
      </w:r>
    </w:p>
    <w:p w14:paraId="43A8690B"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最终权重系数总和为100%，二级指标和具体评价要求见附录A。</w:t>
      </w:r>
    </w:p>
    <w:p w14:paraId="2ED2AD3A"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锡及锡合金指标权重分配中，充分考虑了行业特点，为充分体现可量化的特点，体现用地集约化、原料无害化、生产洁净化、废物资源化以及能源低碳化五大绩效指标的内容占比权重最大，占25%；其次目前国家对环保的重视，环境排放占比20%；第三，管理组织机构等管理体系建设体现了企业对绿色制造体系的重视程度和管理能力；碳达峰碳达标也是目前的重点工作；产品是绿色工厂的最终产出体现，是绿色工厂的产出结果。所以管理体系、能源与资源投入和产品同时占比权重15%。而基础设施包括建筑、节水、照明以及设备设施等是绿色工厂的基础，占比10%；以上7个方面构成了锡及锡合金绿色工厂评价的全部权重。</w:t>
      </w:r>
    </w:p>
    <w:p w14:paraId="634C68ED" w14:textId="77777777" w:rsidR="00B50C5D" w:rsidRDefault="00FA0E9F">
      <w:pPr>
        <w:pStyle w:val="3"/>
        <w:spacing w:line="360" w:lineRule="auto"/>
        <w:ind w:leftChars="0" w:left="0" w:firstLineChars="200" w:firstLine="420"/>
        <w:rPr>
          <w:rFonts w:ascii="宋体" w:hAnsi="宋体" w:cs="宋体"/>
          <w:sz w:val="21"/>
          <w:szCs w:val="21"/>
        </w:rPr>
      </w:pPr>
      <w:r>
        <w:rPr>
          <w:rFonts w:ascii="宋体" w:hAnsi="宋体" w:cs="宋体" w:hint="eastAsia"/>
          <w:sz w:val="21"/>
          <w:szCs w:val="21"/>
        </w:rPr>
        <w:t>一级指标权重系数分配如表1所示：</w:t>
      </w:r>
    </w:p>
    <w:p w14:paraId="05624AA8" w14:textId="77777777" w:rsidR="00B50C5D" w:rsidRDefault="00FA0E9F">
      <w:pPr>
        <w:jc w:val="center"/>
        <w:rPr>
          <w:rFonts w:ascii="宋体" w:hAnsi="宋体" w:cs="宋体"/>
          <w:szCs w:val="21"/>
        </w:rPr>
      </w:pPr>
      <w:r>
        <w:rPr>
          <w:rFonts w:ascii="宋体" w:hAnsi="宋体" w:cs="宋体" w:hint="eastAsia"/>
          <w:szCs w:val="21"/>
        </w:rPr>
        <w:t>表1 一级指标权重系数表</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5"/>
        <w:gridCol w:w="4750"/>
      </w:tblGrid>
      <w:tr w:rsidR="00B50C5D" w14:paraId="739CFCA4" w14:textId="77777777">
        <w:trPr>
          <w:trHeight w:val="263"/>
          <w:jc w:val="center"/>
        </w:trPr>
        <w:tc>
          <w:tcPr>
            <w:tcW w:w="4525" w:type="dxa"/>
            <w:tcBorders>
              <w:top w:val="single" w:sz="8" w:space="0" w:color="auto"/>
              <w:left w:val="single" w:sz="8" w:space="0" w:color="auto"/>
              <w:bottom w:val="single" w:sz="8" w:space="0" w:color="auto"/>
            </w:tcBorders>
          </w:tcPr>
          <w:p w14:paraId="26D6BA7E" w14:textId="77777777" w:rsidR="00B50C5D" w:rsidRDefault="00FA0E9F">
            <w:pPr>
              <w:snapToGrid w:val="0"/>
              <w:ind w:firstLine="437"/>
              <w:jc w:val="center"/>
              <w:rPr>
                <w:rFonts w:ascii="宋体" w:hAnsi="宋体" w:cs="宋体"/>
                <w:szCs w:val="21"/>
              </w:rPr>
            </w:pPr>
            <w:r>
              <w:rPr>
                <w:rFonts w:ascii="宋体" w:hAnsi="宋体" w:cs="宋体" w:hint="eastAsia"/>
                <w:szCs w:val="21"/>
              </w:rPr>
              <w:t>一级指标</w:t>
            </w:r>
          </w:p>
        </w:tc>
        <w:tc>
          <w:tcPr>
            <w:tcW w:w="4750" w:type="dxa"/>
            <w:tcBorders>
              <w:top w:val="single" w:sz="8" w:space="0" w:color="auto"/>
              <w:bottom w:val="single" w:sz="8" w:space="0" w:color="auto"/>
              <w:right w:val="single" w:sz="8" w:space="0" w:color="auto"/>
            </w:tcBorders>
          </w:tcPr>
          <w:p w14:paraId="16BD34BD" w14:textId="77777777" w:rsidR="00B50C5D" w:rsidRDefault="00FA0E9F">
            <w:pPr>
              <w:snapToGrid w:val="0"/>
              <w:ind w:firstLine="437"/>
              <w:jc w:val="center"/>
              <w:rPr>
                <w:rFonts w:ascii="宋体" w:hAnsi="宋体" w:cs="宋体"/>
                <w:szCs w:val="21"/>
              </w:rPr>
            </w:pPr>
            <w:r>
              <w:rPr>
                <w:rFonts w:ascii="宋体" w:hAnsi="宋体" w:cs="宋体" w:hint="eastAsia"/>
                <w:szCs w:val="21"/>
              </w:rPr>
              <w:t>权重</w:t>
            </w:r>
          </w:p>
        </w:tc>
      </w:tr>
      <w:tr w:rsidR="00B50C5D" w14:paraId="7CA6683C" w14:textId="77777777">
        <w:trPr>
          <w:jc w:val="center"/>
        </w:trPr>
        <w:tc>
          <w:tcPr>
            <w:tcW w:w="4525" w:type="dxa"/>
            <w:tcBorders>
              <w:top w:val="single" w:sz="8" w:space="0" w:color="auto"/>
              <w:left w:val="single" w:sz="8" w:space="0" w:color="auto"/>
            </w:tcBorders>
          </w:tcPr>
          <w:p w14:paraId="68951271" w14:textId="77777777" w:rsidR="00B50C5D" w:rsidRDefault="00FA0E9F">
            <w:pPr>
              <w:snapToGrid w:val="0"/>
              <w:ind w:firstLine="437"/>
              <w:jc w:val="center"/>
              <w:rPr>
                <w:rFonts w:ascii="宋体" w:hAnsi="宋体" w:cs="宋体"/>
                <w:szCs w:val="21"/>
              </w:rPr>
            </w:pPr>
            <w:r>
              <w:rPr>
                <w:rFonts w:ascii="宋体" w:hAnsi="宋体" w:cs="宋体" w:hint="eastAsia"/>
                <w:szCs w:val="21"/>
              </w:rPr>
              <w:t>基本要求</w:t>
            </w:r>
          </w:p>
        </w:tc>
        <w:tc>
          <w:tcPr>
            <w:tcW w:w="4750" w:type="dxa"/>
            <w:tcBorders>
              <w:top w:val="single" w:sz="8" w:space="0" w:color="auto"/>
              <w:right w:val="single" w:sz="8" w:space="0" w:color="auto"/>
            </w:tcBorders>
          </w:tcPr>
          <w:p w14:paraId="39F1646C" w14:textId="77777777" w:rsidR="00B50C5D" w:rsidRDefault="00FA0E9F">
            <w:pPr>
              <w:snapToGrid w:val="0"/>
              <w:ind w:firstLine="437"/>
              <w:jc w:val="center"/>
              <w:rPr>
                <w:rFonts w:ascii="宋体" w:hAnsi="宋体" w:cs="宋体"/>
                <w:szCs w:val="21"/>
              </w:rPr>
            </w:pPr>
            <w:r>
              <w:rPr>
                <w:rFonts w:ascii="宋体" w:hAnsi="宋体" w:cs="宋体" w:hint="eastAsia"/>
                <w:szCs w:val="21"/>
              </w:rPr>
              <w:t>一票否决</w:t>
            </w:r>
          </w:p>
        </w:tc>
      </w:tr>
      <w:tr w:rsidR="00B50C5D" w14:paraId="443A730E" w14:textId="77777777">
        <w:trPr>
          <w:jc w:val="center"/>
        </w:trPr>
        <w:tc>
          <w:tcPr>
            <w:tcW w:w="4525" w:type="dxa"/>
            <w:tcBorders>
              <w:left w:val="single" w:sz="8" w:space="0" w:color="auto"/>
            </w:tcBorders>
          </w:tcPr>
          <w:p w14:paraId="16F9C04F" w14:textId="77777777" w:rsidR="00B50C5D" w:rsidRDefault="00FA0E9F">
            <w:pPr>
              <w:snapToGrid w:val="0"/>
              <w:ind w:firstLine="437"/>
              <w:jc w:val="center"/>
              <w:rPr>
                <w:rFonts w:ascii="宋体" w:hAnsi="宋体" w:cs="宋体"/>
                <w:szCs w:val="21"/>
              </w:rPr>
            </w:pPr>
            <w:r>
              <w:rPr>
                <w:rFonts w:ascii="宋体" w:hAnsi="宋体" w:cs="宋体" w:hint="eastAsia"/>
                <w:szCs w:val="21"/>
              </w:rPr>
              <w:t>基础设施</w:t>
            </w:r>
          </w:p>
        </w:tc>
        <w:tc>
          <w:tcPr>
            <w:tcW w:w="4750" w:type="dxa"/>
            <w:tcBorders>
              <w:right w:val="single" w:sz="8" w:space="0" w:color="auto"/>
            </w:tcBorders>
          </w:tcPr>
          <w:p w14:paraId="06534994" w14:textId="77777777" w:rsidR="00B50C5D" w:rsidRDefault="00FA0E9F">
            <w:pPr>
              <w:snapToGrid w:val="0"/>
              <w:ind w:firstLine="437"/>
              <w:jc w:val="center"/>
              <w:rPr>
                <w:rFonts w:ascii="宋体" w:hAnsi="宋体" w:cs="宋体"/>
                <w:szCs w:val="21"/>
              </w:rPr>
            </w:pPr>
            <w:r>
              <w:rPr>
                <w:rFonts w:ascii="宋体" w:hAnsi="宋体" w:cs="宋体" w:hint="eastAsia"/>
                <w:szCs w:val="21"/>
              </w:rPr>
              <w:t>10%</w:t>
            </w:r>
          </w:p>
        </w:tc>
      </w:tr>
      <w:tr w:rsidR="00B50C5D" w14:paraId="2C453D7C" w14:textId="77777777">
        <w:trPr>
          <w:jc w:val="center"/>
        </w:trPr>
        <w:tc>
          <w:tcPr>
            <w:tcW w:w="4525" w:type="dxa"/>
            <w:tcBorders>
              <w:left w:val="single" w:sz="8" w:space="0" w:color="auto"/>
            </w:tcBorders>
          </w:tcPr>
          <w:p w14:paraId="115CB415" w14:textId="77777777" w:rsidR="00B50C5D" w:rsidRDefault="00FA0E9F">
            <w:pPr>
              <w:snapToGrid w:val="0"/>
              <w:ind w:firstLine="437"/>
              <w:jc w:val="center"/>
              <w:rPr>
                <w:rFonts w:ascii="宋体" w:hAnsi="宋体" w:cs="宋体"/>
                <w:szCs w:val="21"/>
              </w:rPr>
            </w:pPr>
            <w:r>
              <w:rPr>
                <w:rFonts w:ascii="宋体" w:hAnsi="宋体" w:cs="宋体" w:hint="eastAsia"/>
                <w:szCs w:val="21"/>
              </w:rPr>
              <w:t>管理体系</w:t>
            </w:r>
          </w:p>
        </w:tc>
        <w:tc>
          <w:tcPr>
            <w:tcW w:w="4750" w:type="dxa"/>
            <w:tcBorders>
              <w:right w:val="single" w:sz="8" w:space="0" w:color="auto"/>
            </w:tcBorders>
          </w:tcPr>
          <w:p w14:paraId="2C7554DC" w14:textId="77777777" w:rsidR="00B50C5D" w:rsidRDefault="00FA0E9F">
            <w:pPr>
              <w:snapToGrid w:val="0"/>
              <w:ind w:firstLine="437"/>
              <w:jc w:val="center"/>
              <w:rPr>
                <w:rFonts w:ascii="宋体" w:hAnsi="宋体" w:cs="宋体"/>
                <w:szCs w:val="21"/>
              </w:rPr>
            </w:pPr>
            <w:r>
              <w:rPr>
                <w:rFonts w:ascii="宋体" w:hAnsi="宋体" w:cs="宋体" w:hint="eastAsia"/>
                <w:szCs w:val="21"/>
              </w:rPr>
              <w:t>15%</w:t>
            </w:r>
          </w:p>
        </w:tc>
      </w:tr>
      <w:tr w:rsidR="00B50C5D" w14:paraId="05ABBECB" w14:textId="77777777">
        <w:trPr>
          <w:jc w:val="center"/>
        </w:trPr>
        <w:tc>
          <w:tcPr>
            <w:tcW w:w="4525" w:type="dxa"/>
            <w:tcBorders>
              <w:left w:val="single" w:sz="8" w:space="0" w:color="auto"/>
            </w:tcBorders>
          </w:tcPr>
          <w:p w14:paraId="77549569" w14:textId="77777777" w:rsidR="00B50C5D" w:rsidRDefault="00FA0E9F">
            <w:pPr>
              <w:snapToGrid w:val="0"/>
              <w:ind w:firstLine="437"/>
              <w:jc w:val="center"/>
              <w:rPr>
                <w:rFonts w:ascii="宋体" w:hAnsi="宋体" w:cs="宋体"/>
                <w:szCs w:val="21"/>
              </w:rPr>
            </w:pPr>
            <w:r>
              <w:rPr>
                <w:rFonts w:ascii="宋体" w:hAnsi="宋体" w:cs="宋体" w:hint="eastAsia"/>
                <w:szCs w:val="21"/>
              </w:rPr>
              <w:t>能源与资源投入</w:t>
            </w:r>
          </w:p>
        </w:tc>
        <w:tc>
          <w:tcPr>
            <w:tcW w:w="4750" w:type="dxa"/>
            <w:tcBorders>
              <w:right w:val="single" w:sz="8" w:space="0" w:color="auto"/>
            </w:tcBorders>
          </w:tcPr>
          <w:p w14:paraId="02F4D569" w14:textId="77777777" w:rsidR="00B50C5D" w:rsidRDefault="00FA0E9F">
            <w:pPr>
              <w:snapToGrid w:val="0"/>
              <w:ind w:firstLine="437"/>
              <w:jc w:val="center"/>
              <w:rPr>
                <w:rFonts w:ascii="宋体" w:hAnsi="宋体" w:cs="宋体"/>
                <w:szCs w:val="21"/>
              </w:rPr>
            </w:pPr>
            <w:r>
              <w:rPr>
                <w:rFonts w:ascii="宋体" w:hAnsi="宋体" w:cs="宋体" w:hint="eastAsia"/>
                <w:szCs w:val="21"/>
              </w:rPr>
              <w:t>15%</w:t>
            </w:r>
          </w:p>
        </w:tc>
      </w:tr>
      <w:tr w:rsidR="00B50C5D" w14:paraId="071112C6" w14:textId="77777777">
        <w:trPr>
          <w:jc w:val="center"/>
        </w:trPr>
        <w:tc>
          <w:tcPr>
            <w:tcW w:w="4525" w:type="dxa"/>
            <w:tcBorders>
              <w:left w:val="single" w:sz="8" w:space="0" w:color="auto"/>
            </w:tcBorders>
          </w:tcPr>
          <w:p w14:paraId="28C31438" w14:textId="77777777" w:rsidR="00B50C5D" w:rsidRDefault="00FA0E9F">
            <w:pPr>
              <w:snapToGrid w:val="0"/>
              <w:ind w:firstLine="437"/>
              <w:jc w:val="center"/>
              <w:rPr>
                <w:rFonts w:ascii="宋体" w:hAnsi="宋体" w:cs="宋体"/>
                <w:szCs w:val="21"/>
              </w:rPr>
            </w:pPr>
            <w:r>
              <w:rPr>
                <w:rFonts w:ascii="宋体" w:hAnsi="宋体" w:cs="宋体" w:hint="eastAsia"/>
                <w:szCs w:val="21"/>
              </w:rPr>
              <w:t>产品</w:t>
            </w:r>
          </w:p>
        </w:tc>
        <w:tc>
          <w:tcPr>
            <w:tcW w:w="4750" w:type="dxa"/>
            <w:tcBorders>
              <w:right w:val="single" w:sz="8" w:space="0" w:color="auto"/>
            </w:tcBorders>
          </w:tcPr>
          <w:p w14:paraId="5EEB61BA" w14:textId="77777777" w:rsidR="00B50C5D" w:rsidRDefault="00FA0E9F">
            <w:pPr>
              <w:snapToGrid w:val="0"/>
              <w:ind w:firstLine="437"/>
              <w:jc w:val="center"/>
              <w:rPr>
                <w:rFonts w:ascii="宋体" w:hAnsi="宋体" w:cs="宋体"/>
                <w:szCs w:val="21"/>
              </w:rPr>
            </w:pPr>
            <w:r>
              <w:rPr>
                <w:rFonts w:ascii="宋体" w:hAnsi="宋体" w:cs="宋体" w:hint="eastAsia"/>
                <w:szCs w:val="21"/>
              </w:rPr>
              <w:t>15%</w:t>
            </w:r>
          </w:p>
        </w:tc>
      </w:tr>
      <w:tr w:rsidR="00B50C5D" w14:paraId="27C07374" w14:textId="77777777">
        <w:trPr>
          <w:jc w:val="center"/>
        </w:trPr>
        <w:tc>
          <w:tcPr>
            <w:tcW w:w="4525" w:type="dxa"/>
            <w:tcBorders>
              <w:left w:val="single" w:sz="8" w:space="0" w:color="auto"/>
            </w:tcBorders>
          </w:tcPr>
          <w:p w14:paraId="3509EAD4" w14:textId="77777777" w:rsidR="00B50C5D" w:rsidRDefault="00FA0E9F">
            <w:pPr>
              <w:snapToGrid w:val="0"/>
              <w:ind w:firstLine="437"/>
              <w:jc w:val="center"/>
              <w:rPr>
                <w:rFonts w:ascii="宋体" w:hAnsi="宋体" w:cs="宋体"/>
                <w:szCs w:val="21"/>
              </w:rPr>
            </w:pPr>
            <w:r>
              <w:rPr>
                <w:rFonts w:ascii="宋体" w:hAnsi="宋体" w:cs="宋体" w:hint="eastAsia"/>
                <w:szCs w:val="21"/>
              </w:rPr>
              <w:t>环境排放</w:t>
            </w:r>
          </w:p>
        </w:tc>
        <w:tc>
          <w:tcPr>
            <w:tcW w:w="4750" w:type="dxa"/>
            <w:tcBorders>
              <w:right w:val="single" w:sz="8" w:space="0" w:color="auto"/>
            </w:tcBorders>
          </w:tcPr>
          <w:p w14:paraId="5882A9FF" w14:textId="77777777" w:rsidR="00B50C5D" w:rsidRDefault="00FA0E9F">
            <w:pPr>
              <w:snapToGrid w:val="0"/>
              <w:ind w:firstLine="437"/>
              <w:jc w:val="center"/>
              <w:rPr>
                <w:rFonts w:ascii="宋体" w:hAnsi="宋体" w:cs="宋体"/>
                <w:szCs w:val="21"/>
              </w:rPr>
            </w:pPr>
            <w:r>
              <w:rPr>
                <w:rFonts w:ascii="宋体" w:hAnsi="宋体" w:cs="宋体" w:hint="eastAsia"/>
                <w:szCs w:val="21"/>
              </w:rPr>
              <w:t>20%</w:t>
            </w:r>
          </w:p>
        </w:tc>
      </w:tr>
      <w:tr w:rsidR="00B50C5D" w14:paraId="2B386183" w14:textId="77777777">
        <w:trPr>
          <w:jc w:val="center"/>
        </w:trPr>
        <w:tc>
          <w:tcPr>
            <w:tcW w:w="4525" w:type="dxa"/>
            <w:tcBorders>
              <w:left w:val="single" w:sz="8" w:space="0" w:color="auto"/>
              <w:bottom w:val="single" w:sz="8" w:space="0" w:color="auto"/>
            </w:tcBorders>
          </w:tcPr>
          <w:p w14:paraId="1D19FE7D" w14:textId="77777777" w:rsidR="00B50C5D" w:rsidRDefault="00FA0E9F">
            <w:pPr>
              <w:snapToGrid w:val="0"/>
              <w:ind w:firstLine="437"/>
              <w:jc w:val="center"/>
              <w:rPr>
                <w:rFonts w:ascii="宋体" w:hAnsi="宋体" w:cs="宋体"/>
                <w:szCs w:val="21"/>
              </w:rPr>
            </w:pPr>
            <w:r>
              <w:rPr>
                <w:rFonts w:ascii="宋体" w:hAnsi="宋体" w:cs="宋体" w:hint="eastAsia"/>
                <w:szCs w:val="21"/>
              </w:rPr>
              <w:t>绩效</w:t>
            </w:r>
          </w:p>
        </w:tc>
        <w:tc>
          <w:tcPr>
            <w:tcW w:w="4750" w:type="dxa"/>
            <w:tcBorders>
              <w:bottom w:val="single" w:sz="8" w:space="0" w:color="auto"/>
              <w:right w:val="single" w:sz="8" w:space="0" w:color="auto"/>
            </w:tcBorders>
          </w:tcPr>
          <w:p w14:paraId="0944B09E" w14:textId="77777777" w:rsidR="00B50C5D" w:rsidRDefault="00FA0E9F">
            <w:pPr>
              <w:snapToGrid w:val="0"/>
              <w:ind w:firstLine="437"/>
              <w:jc w:val="center"/>
              <w:rPr>
                <w:rFonts w:ascii="宋体" w:hAnsi="宋体" w:cs="宋体"/>
                <w:szCs w:val="21"/>
              </w:rPr>
            </w:pPr>
            <w:r>
              <w:rPr>
                <w:rFonts w:ascii="宋体" w:hAnsi="宋体" w:cs="宋体" w:hint="eastAsia"/>
                <w:szCs w:val="21"/>
              </w:rPr>
              <w:t>25%</w:t>
            </w:r>
          </w:p>
        </w:tc>
      </w:tr>
    </w:tbl>
    <w:p w14:paraId="2D019657" w14:textId="77777777" w:rsidR="00B50C5D" w:rsidRDefault="00B50C5D">
      <w:pPr>
        <w:spacing w:line="360" w:lineRule="auto"/>
        <w:ind w:firstLineChars="200" w:firstLine="420"/>
        <w:rPr>
          <w:rFonts w:ascii="宋体" w:hAnsi="宋体" w:cs="宋体"/>
          <w:szCs w:val="21"/>
        </w:rPr>
      </w:pPr>
    </w:p>
    <w:p w14:paraId="30F1407A"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二级指标和具体评价要求见标准附录A。</w:t>
      </w:r>
    </w:p>
    <w:p w14:paraId="32435CF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并由公式（1）计算得出分数。</w:t>
      </w:r>
    </w:p>
    <w:p w14:paraId="5D53397D" w14:textId="77777777" w:rsidR="00B50C5D" w:rsidRDefault="00FA0E9F">
      <w:pPr>
        <w:ind w:firstLineChars="1200" w:firstLine="2520"/>
        <w:rPr>
          <w:rFonts w:ascii="宋体" w:hAnsi="宋体" w:cs="宋体"/>
          <w:szCs w:val="21"/>
          <w:shd w:val="pct10" w:color="auto" w:fill="FFFFFF"/>
        </w:rPr>
      </w:pPr>
      <m:oMath>
        <m:r>
          <m:rPr>
            <m:sty m:val="p"/>
          </m:rPr>
          <w:rPr>
            <w:rFonts w:ascii="Cambria Math" w:hAnsi="Cambria Math" w:cs="宋体" w:hint="eastAsia"/>
            <w:szCs w:val="21"/>
            <w:shd w:val="pct10" w:color="auto" w:fill="FFFFFF"/>
          </w:rPr>
          <m:t>S=</m:t>
        </m:r>
        <m:nary>
          <m:naryPr>
            <m:chr m:val="∑"/>
            <m:grow m:val="1"/>
            <m:ctrlPr>
              <w:rPr>
                <w:rFonts w:ascii="Cambria Math" w:hAnsi="Cambria Math" w:cs="宋体" w:hint="eastAsia"/>
                <w:szCs w:val="21"/>
                <w:shd w:val="pct10" w:color="auto" w:fill="FFFFFF"/>
              </w:rPr>
            </m:ctrlPr>
          </m:naryPr>
          <m:sub>
            <m:r>
              <w:rPr>
                <w:rFonts w:ascii="Cambria Math" w:hAnsi="Cambria Math" w:cs="宋体" w:hint="eastAsia"/>
                <w:szCs w:val="21"/>
                <w:shd w:val="pct10" w:color="auto" w:fill="FFFFFF"/>
              </w:rPr>
              <m:t>i=1</m:t>
            </m:r>
          </m:sub>
          <m:sup>
            <m:r>
              <w:rPr>
                <w:rFonts w:ascii="Cambria Math" w:hAnsi="Cambria Math" w:cs="宋体" w:hint="eastAsia"/>
                <w:szCs w:val="21"/>
                <w:shd w:val="pct10" w:color="auto" w:fill="FFFFFF"/>
              </w:rPr>
              <m:t>6</m:t>
            </m:r>
          </m:sup>
          <m:e>
            <m:d>
              <m:dPr>
                <m:ctrlPr>
                  <w:rPr>
                    <w:rFonts w:ascii="Cambria Math" w:hAnsi="Cambria Math" w:cs="宋体" w:hint="eastAsia"/>
                    <w:szCs w:val="21"/>
                    <w:shd w:val="pct10" w:color="auto" w:fill="FFFFFF"/>
                  </w:rPr>
                </m:ctrlPr>
              </m:dPr>
              <m:e>
                <m:sSub>
                  <m:sSubPr>
                    <m:ctrlPr>
                      <w:rPr>
                        <w:rFonts w:ascii="Cambria Math" w:hAnsi="Cambria Math" w:cs="宋体" w:hint="eastAsia"/>
                        <w:szCs w:val="21"/>
                        <w:shd w:val="pct10" w:color="auto" w:fill="FFFFFF"/>
                      </w:rPr>
                    </m:ctrlPr>
                  </m:sSubPr>
                  <m:e>
                    <m:r>
                      <w:rPr>
                        <w:rFonts w:ascii="Cambria Math" w:hAnsi="Cambria Math" w:cs="宋体" w:hint="eastAsia"/>
                        <w:szCs w:val="21"/>
                        <w:shd w:val="pct10" w:color="auto" w:fill="FFFFFF"/>
                      </w:rPr>
                      <m:t>Q</m:t>
                    </m:r>
                  </m:e>
                  <m:sub>
                    <m:r>
                      <w:rPr>
                        <w:rFonts w:ascii="Cambria Math" w:hAnsi="Cambria Math" w:cs="宋体" w:hint="eastAsia"/>
                        <w:szCs w:val="21"/>
                        <w:shd w:val="pct10" w:color="auto" w:fill="FFFFFF"/>
                      </w:rPr>
                      <m:t>i</m:t>
                    </m:r>
                  </m:sub>
                </m:sSub>
                <m:r>
                  <m:rPr>
                    <m:sty m:val="p"/>
                  </m:rPr>
                  <w:rPr>
                    <w:rFonts w:ascii="Cambria Math" w:hAnsi="Cambria Math" w:cs="宋体" w:hint="eastAsia"/>
                    <w:szCs w:val="21"/>
                    <w:shd w:val="pct10" w:color="auto" w:fill="FFFFFF"/>
                  </w:rPr>
                  <m:t>·</m:t>
                </m:r>
                <m:sSub>
                  <m:sSubPr>
                    <m:ctrlPr>
                      <w:rPr>
                        <w:rFonts w:ascii="Cambria Math" w:hAnsi="Cambria Math" w:cs="宋体" w:hint="eastAsia"/>
                        <w:szCs w:val="21"/>
                        <w:shd w:val="pct10" w:color="auto" w:fill="FFFFFF"/>
                      </w:rPr>
                    </m:ctrlPr>
                  </m:sSubPr>
                  <m:e>
                    <m:r>
                      <w:rPr>
                        <w:rFonts w:ascii="Cambria Math" w:hAnsi="Cambria Math" w:cs="宋体" w:hint="eastAsia"/>
                        <w:szCs w:val="21"/>
                        <w:shd w:val="pct10" w:color="auto" w:fill="FFFFFF"/>
                      </w:rPr>
                      <m:t>W</m:t>
                    </m:r>
                  </m:e>
                  <m:sub>
                    <m:r>
                      <w:rPr>
                        <w:rFonts w:ascii="Cambria Math" w:hAnsi="Cambria Math" w:cs="宋体" w:hint="eastAsia"/>
                        <w:szCs w:val="21"/>
                        <w:shd w:val="pct10" w:color="auto" w:fill="FFFFFF"/>
                      </w:rPr>
                      <m:t>i</m:t>
                    </m:r>
                  </m:sub>
                </m:sSub>
              </m:e>
            </m:d>
          </m:e>
        </m:nary>
      </m:oMath>
      <w:r>
        <w:rPr>
          <w:rFonts w:ascii="宋体" w:hAnsi="宋体" w:cs="宋体" w:hint="eastAsia"/>
          <w:szCs w:val="21"/>
          <w:shd w:val="pct10" w:color="auto" w:fill="FFFFFF"/>
        </w:rPr>
        <w:t xml:space="preserve">  ……………（1）</w:t>
      </w:r>
    </w:p>
    <w:p w14:paraId="21CD440B" w14:textId="77777777" w:rsidR="00B50C5D" w:rsidRDefault="00B50C5D">
      <w:pPr>
        <w:pStyle w:val="af2"/>
        <w:tabs>
          <w:tab w:val="center" w:pos="4201"/>
          <w:tab w:val="right" w:leader="dot" w:pos="9298"/>
        </w:tabs>
        <w:ind w:firstLineChars="1800" w:firstLine="3780"/>
        <w:rPr>
          <w:rFonts w:hAnsi="宋体" w:cs="宋体"/>
          <w:szCs w:val="21"/>
        </w:rPr>
      </w:pPr>
    </w:p>
    <w:p w14:paraId="5AB83196" w14:textId="77777777" w:rsidR="00B50C5D" w:rsidRDefault="00FA0E9F">
      <w:pPr>
        <w:pStyle w:val="af2"/>
        <w:tabs>
          <w:tab w:val="center" w:pos="4201"/>
          <w:tab w:val="right" w:leader="dot" w:pos="9298"/>
        </w:tabs>
        <w:spacing w:line="15" w:lineRule="auto"/>
        <w:ind w:firstLine="420"/>
        <w:rPr>
          <w:rFonts w:hAnsi="宋体" w:cs="宋体"/>
          <w:szCs w:val="21"/>
        </w:rPr>
      </w:pPr>
      <w:r>
        <w:rPr>
          <w:rFonts w:hAnsi="宋体" w:cs="宋体" w:hint="eastAsia"/>
          <w:szCs w:val="21"/>
        </w:rPr>
        <w:t>式中：</w:t>
      </w:r>
    </w:p>
    <w:p w14:paraId="67532E4B" w14:textId="77777777" w:rsidR="00B50C5D" w:rsidRDefault="00FA0E9F">
      <w:pPr>
        <w:pStyle w:val="af2"/>
        <w:tabs>
          <w:tab w:val="center" w:pos="4201"/>
          <w:tab w:val="right" w:leader="dot" w:pos="9298"/>
        </w:tabs>
        <w:spacing w:line="15" w:lineRule="auto"/>
        <w:ind w:firstLine="420"/>
        <w:rPr>
          <w:rFonts w:hAnsi="宋体" w:cs="宋体"/>
          <w:szCs w:val="21"/>
        </w:rPr>
      </w:pPr>
      <w:r>
        <w:rPr>
          <w:rFonts w:hAnsi="宋体" w:cs="宋体" w:hint="eastAsia"/>
          <w:szCs w:val="21"/>
        </w:rPr>
        <w:lastRenderedPageBreak/>
        <w:t>S--综合得分；</w:t>
      </w:r>
    </w:p>
    <w:p w14:paraId="7D23D52D" w14:textId="77777777" w:rsidR="00B50C5D" w:rsidRDefault="00FA0E9F">
      <w:pPr>
        <w:pStyle w:val="af2"/>
        <w:tabs>
          <w:tab w:val="center" w:pos="4201"/>
          <w:tab w:val="right" w:leader="dot" w:pos="9298"/>
        </w:tabs>
        <w:spacing w:line="15" w:lineRule="auto"/>
        <w:ind w:firstLine="420"/>
        <w:rPr>
          <w:rFonts w:hAnsi="宋体" w:cs="宋体"/>
          <w:szCs w:val="21"/>
        </w:rPr>
      </w:pPr>
      <w:r>
        <w:rPr>
          <w:rFonts w:hAnsi="宋体" w:cs="宋体" w:hint="eastAsia"/>
          <w:szCs w:val="21"/>
        </w:rPr>
        <w:t>Q</w:t>
      </w:r>
      <w:r>
        <w:rPr>
          <w:rFonts w:hAnsi="宋体" w:cs="宋体" w:hint="eastAsia"/>
          <w:szCs w:val="21"/>
          <w:vertAlign w:val="subscript"/>
        </w:rPr>
        <w:t>i</w:t>
      </w:r>
      <w:r>
        <w:rPr>
          <w:rFonts w:hAnsi="宋体" w:cs="宋体" w:hint="eastAsia"/>
          <w:szCs w:val="21"/>
        </w:rPr>
        <w:t>——各一级指标得分；</w:t>
      </w:r>
    </w:p>
    <w:p w14:paraId="67EB9AA5" w14:textId="77777777" w:rsidR="00C920FA" w:rsidRDefault="00FA0E9F" w:rsidP="00C920FA">
      <w:pPr>
        <w:spacing w:line="360" w:lineRule="auto"/>
        <w:rPr>
          <w:rFonts w:hAnsi="宋体" w:cs="宋体"/>
          <w:szCs w:val="21"/>
        </w:rPr>
      </w:pPr>
      <w:r>
        <w:rPr>
          <w:rFonts w:hAnsi="宋体" w:cs="宋体" w:hint="eastAsia"/>
          <w:szCs w:val="21"/>
        </w:rPr>
        <w:t>W</w:t>
      </w:r>
      <w:r>
        <w:rPr>
          <w:rFonts w:hAnsi="宋体" w:cs="宋体" w:hint="eastAsia"/>
          <w:szCs w:val="21"/>
          <w:vertAlign w:val="subscript"/>
        </w:rPr>
        <w:t>i</w:t>
      </w:r>
      <w:r>
        <w:rPr>
          <w:rFonts w:hAnsi="宋体" w:cs="宋体" w:hint="eastAsia"/>
          <w:szCs w:val="21"/>
        </w:rPr>
        <w:t>——各一级指标分值权重。</w:t>
      </w:r>
    </w:p>
    <w:p w14:paraId="2A6B0D57" w14:textId="40F0F1E8" w:rsidR="00C920FA" w:rsidRPr="00D922BF" w:rsidRDefault="00C920FA" w:rsidP="00C920FA">
      <w:pPr>
        <w:spacing w:line="360" w:lineRule="auto"/>
        <w:rPr>
          <w:rFonts w:ascii="宋体" w:hAnsi="宋体" w:cs="宋体"/>
          <w:b/>
          <w:szCs w:val="21"/>
        </w:rPr>
      </w:pPr>
      <w:r w:rsidRPr="00D922BF">
        <w:rPr>
          <w:rFonts w:ascii="宋体" w:hAnsi="宋体" w:cs="宋体" w:hint="eastAsia"/>
          <w:b/>
          <w:szCs w:val="21"/>
        </w:rPr>
        <w:t>6.4.</w:t>
      </w:r>
      <w:r w:rsidRPr="00D922BF">
        <w:rPr>
          <w:rFonts w:ascii="宋体" w:hAnsi="宋体" w:cs="宋体"/>
          <w:b/>
          <w:szCs w:val="21"/>
        </w:rPr>
        <w:t xml:space="preserve">4 </w:t>
      </w:r>
      <w:r w:rsidRPr="00D922BF">
        <w:rPr>
          <w:rFonts w:ascii="宋体" w:hAnsi="宋体" w:cs="宋体" w:hint="eastAsia"/>
          <w:b/>
          <w:szCs w:val="21"/>
        </w:rPr>
        <w:t>评价方法</w:t>
      </w:r>
    </w:p>
    <w:p w14:paraId="1EE2E15D" w14:textId="3E837ECC" w:rsidR="000D1AEA" w:rsidRPr="00D922BF" w:rsidRDefault="000D1AEA" w:rsidP="000D1AEA">
      <w:pPr>
        <w:pStyle w:val="af2"/>
        <w:tabs>
          <w:tab w:val="center" w:pos="4201"/>
          <w:tab w:val="right" w:leader="dot" w:pos="9298"/>
        </w:tabs>
        <w:spacing w:line="15" w:lineRule="auto"/>
        <w:ind w:firstLine="420"/>
        <w:rPr>
          <w:rFonts w:hAnsi="宋体" w:cs="宋体"/>
          <w:szCs w:val="21"/>
        </w:rPr>
      </w:pPr>
      <w:r w:rsidRPr="00D922BF">
        <w:rPr>
          <w:rFonts w:hAnsi="宋体" w:cs="宋体"/>
          <w:szCs w:val="21"/>
        </w:rPr>
        <w:t>6.4.4</w:t>
      </w:r>
      <w:r w:rsidRPr="00D922BF">
        <w:rPr>
          <w:rFonts w:hAnsi="宋体" w:cs="宋体" w:hint="eastAsia"/>
          <w:szCs w:val="21"/>
        </w:rPr>
        <w:t>.1 评价可由第一方、第二方或第三方组织实施。当评价结果用于对外宣告时，应由独立于工厂、具备相应能力的第三方组织实施。</w:t>
      </w:r>
    </w:p>
    <w:p w14:paraId="00EC723F" w14:textId="48A0D41D" w:rsidR="000D1AEA" w:rsidRPr="00D922BF" w:rsidRDefault="000D1AEA" w:rsidP="000D1AEA">
      <w:pPr>
        <w:pStyle w:val="af2"/>
        <w:tabs>
          <w:tab w:val="center" w:pos="4201"/>
          <w:tab w:val="right" w:leader="dot" w:pos="9298"/>
        </w:tabs>
        <w:spacing w:line="15" w:lineRule="auto"/>
        <w:ind w:firstLine="420"/>
        <w:rPr>
          <w:rFonts w:hAnsi="宋体" w:cs="宋体"/>
          <w:szCs w:val="21"/>
        </w:rPr>
      </w:pPr>
      <w:r w:rsidRPr="00D922BF">
        <w:rPr>
          <w:rFonts w:hAnsi="宋体" w:cs="宋体"/>
          <w:szCs w:val="21"/>
        </w:rPr>
        <w:t>6.4.</w:t>
      </w:r>
      <w:r w:rsidRPr="00D922BF">
        <w:rPr>
          <w:rFonts w:hAnsi="宋体" w:cs="宋体" w:hint="eastAsia"/>
          <w:szCs w:val="21"/>
        </w:rPr>
        <w:t>4.2 实施评价的组织应根据锡及锡合金生产绿色工厂评价指标表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14:paraId="62B608B2" w14:textId="3617F7D5" w:rsidR="00B50C5D" w:rsidRPr="00D922BF" w:rsidRDefault="000D1AEA" w:rsidP="000D1AEA">
      <w:pPr>
        <w:pStyle w:val="af2"/>
        <w:tabs>
          <w:tab w:val="center" w:pos="4201"/>
          <w:tab w:val="right" w:leader="dot" w:pos="9298"/>
        </w:tabs>
        <w:spacing w:line="15" w:lineRule="auto"/>
        <w:ind w:firstLine="420"/>
        <w:rPr>
          <w:rFonts w:hAnsi="宋体" w:cs="宋体"/>
          <w:szCs w:val="21"/>
        </w:rPr>
      </w:pPr>
      <w:r w:rsidRPr="00D922BF">
        <w:rPr>
          <w:rFonts w:hAnsi="宋体" w:cs="宋体"/>
          <w:szCs w:val="21"/>
        </w:rPr>
        <w:t>6.4.</w:t>
      </w:r>
      <w:r w:rsidRPr="00D922BF">
        <w:rPr>
          <w:rFonts w:hAnsi="宋体" w:cs="宋体" w:hint="eastAsia"/>
          <w:szCs w:val="21"/>
        </w:rPr>
        <w:t>4.3 评价采用指标加权综合评分的方式，各指标加权综合评分的总分为100分。锡及锡合金生产绿色工厂评价指标表见附录A。</w:t>
      </w:r>
    </w:p>
    <w:p w14:paraId="7C787D7C" w14:textId="77777777" w:rsidR="00B50C5D" w:rsidRDefault="00FA0E9F">
      <w:pPr>
        <w:spacing w:line="360" w:lineRule="auto"/>
        <w:rPr>
          <w:rFonts w:ascii="宋体" w:hAnsi="宋体" w:cs="宋体"/>
          <w:b/>
          <w:szCs w:val="21"/>
        </w:rPr>
      </w:pPr>
      <w:r>
        <w:rPr>
          <w:rFonts w:ascii="宋体" w:hAnsi="宋体" w:cs="宋体" w:hint="eastAsia"/>
          <w:b/>
          <w:szCs w:val="21"/>
        </w:rPr>
        <w:t>6.5  评价指标及要求</w:t>
      </w:r>
    </w:p>
    <w:p w14:paraId="357302AC"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评价要求是标准的核心内容。本章内容规定了锡及锡合金绿色工厂评价具体的评价指标要求。主要包括基本要求（合规性要求、管理职责要求）和工厂管理要求（基础设施、管理体系、能源与资源投入、产品、环境排放）以及绩效核算。</w:t>
      </w:r>
    </w:p>
    <w:p w14:paraId="183A4772" w14:textId="77777777" w:rsidR="00B50C5D" w:rsidRDefault="00FA0E9F">
      <w:pPr>
        <w:spacing w:line="360" w:lineRule="auto"/>
        <w:rPr>
          <w:rFonts w:ascii="宋体" w:hAnsi="宋体" w:cs="宋体"/>
          <w:b/>
          <w:szCs w:val="21"/>
        </w:rPr>
      </w:pPr>
      <w:r>
        <w:rPr>
          <w:rFonts w:ascii="宋体" w:hAnsi="宋体" w:cs="宋体" w:hint="eastAsia"/>
          <w:b/>
          <w:szCs w:val="21"/>
        </w:rPr>
        <w:t>6.5.1基本要求</w:t>
      </w:r>
    </w:p>
    <w:p w14:paraId="0ED3946B" w14:textId="77777777" w:rsidR="00B50C5D" w:rsidRDefault="00FA0E9F">
      <w:pPr>
        <w:spacing w:line="360" w:lineRule="auto"/>
        <w:outlineLvl w:val="0"/>
        <w:rPr>
          <w:rFonts w:ascii="宋体" w:hAnsi="宋体" w:cs="宋体"/>
          <w:szCs w:val="21"/>
        </w:rPr>
      </w:pPr>
      <w:bookmarkStart w:id="9" w:name="_Toc491581459"/>
      <w:bookmarkStart w:id="10" w:name="_Toc46929927"/>
      <w:bookmarkStart w:id="11" w:name="_Toc497209988"/>
      <w:r>
        <w:rPr>
          <w:rFonts w:ascii="宋体" w:hAnsi="宋体" w:cs="宋体" w:hint="eastAsia"/>
          <w:szCs w:val="21"/>
        </w:rPr>
        <w:t>6.5.1.1  合规性与相关方要求</w:t>
      </w:r>
      <w:bookmarkEnd w:id="9"/>
      <w:bookmarkEnd w:id="10"/>
      <w:bookmarkEnd w:id="11"/>
      <w:r>
        <w:rPr>
          <w:rFonts w:ascii="宋体" w:hAnsi="宋体" w:cs="宋体" w:hint="eastAsia"/>
          <w:szCs w:val="21"/>
        </w:rPr>
        <w:t xml:space="preserve">  </w:t>
      </w:r>
    </w:p>
    <w:p w14:paraId="65F18298" w14:textId="77777777" w:rsidR="00B50C5D" w:rsidRDefault="00FA0E9F">
      <w:pPr>
        <w:spacing w:line="360" w:lineRule="auto"/>
        <w:rPr>
          <w:rFonts w:ascii="宋体" w:hAnsi="宋体" w:cs="宋体"/>
          <w:szCs w:val="21"/>
        </w:rPr>
      </w:pPr>
      <w:r>
        <w:rPr>
          <w:rFonts w:ascii="宋体" w:hAnsi="宋体" w:cs="宋体" w:hint="eastAsia"/>
          <w:bCs/>
          <w:szCs w:val="21"/>
        </w:rPr>
        <w:t>6.5.1.1.1</w:t>
      </w:r>
      <w:r>
        <w:rPr>
          <w:rFonts w:ascii="宋体" w:hAnsi="宋体" w:cs="宋体" w:hint="eastAsia"/>
          <w:szCs w:val="21"/>
        </w:rPr>
        <w:t xml:space="preserve"> 工厂应依法设立，在建设、实际生产和运营过程中应遵守国家、行业以及地方的现行法律、法规、政策、标准及其他要求，工厂应至少运行一年以上。</w:t>
      </w:r>
    </w:p>
    <w:p w14:paraId="7D2BE41F" w14:textId="77777777" w:rsidR="00B50C5D" w:rsidRDefault="00FA0E9F">
      <w:pPr>
        <w:spacing w:line="360" w:lineRule="auto"/>
        <w:rPr>
          <w:rFonts w:ascii="宋体" w:hAnsi="宋体" w:cs="宋体"/>
          <w:szCs w:val="21"/>
        </w:rPr>
      </w:pPr>
      <w:r>
        <w:rPr>
          <w:rFonts w:ascii="宋体" w:hAnsi="宋体" w:cs="宋体" w:hint="eastAsia"/>
          <w:bCs/>
          <w:szCs w:val="21"/>
        </w:rPr>
        <w:t xml:space="preserve">6.5.1.1.2 </w:t>
      </w:r>
      <w:r>
        <w:rPr>
          <w:rFonts w:ascii="宋体" w:hAnsi="宋体" w:cs="宋体" w:hint="eastAsia"/>
          <w:szCs w:val="21"/>
        </w:rPr>
        <w:t>工厂应具有良好信用，近三年（含成立不足三年）无严重违法失信、经营异常记录。</w:t>
      </w:r>
    </w:p>
    <w:p w14:paraId="17DB707A" w14:textId="77777777" w:rsidR="00B50C5D" w:rsidRDefault="00FA0E9F">
      <w:pPr>
        <w:spacing w:line="360" w:lineRule="auto"/>
        <w:rPr>
          <w:rFonts w:ascii="宋体" w:hAnsi="宋体" w:cs="宋体"/>
          <w:szCs w:val="21"/>
        </w:rPr>
      </w:pPr>
      <w:r>
        <w:rPr>
          <w:rFonts w:ascii="宋体" w:hAnsi="宋体" w:cs="宋体" w:hint="eastAsia"/>
          <w:bCs/>
          <w:szCs w:val="21"/>
        </w:rPr>
        <w:t xml:space="preserve">6.5.1.1.3 </w:t>
      </w:r>
      <w:r>
        <w:rPr>
          <w:rFonts w:ascii="宋体" w:hAnsi="宋体" w:cs="宋体" w:hint="eastAsia"/>
          <w:szCs w:val="21"/>
        </w:rPr>
        <w:t>工厂近三年（含成立不足三年）应未发生较大环境污染事件、生态破坏事件、安全质量事故。</w:t>
      </w:r>
    </w:p>
    <w:p w14:paraId="5876AB7F" w14:textId="77777777" w:rsidR="00B50C5D" w:rsidRDefault="00FA0E9F">
      <w:pPr>
        <w:spacing w:line="360" w:lineRule="auto"/>
        <w:rPr>
          <w:rFonts w:ascii="宋体" w:hAnsi="宋体" w:cs="宋体"/>
          <w:szCs w:val="21"/>
        </w:rPr>
      </w:pPr>
      <w:r>
        <w:rPr>
          <w:rFonts w:ascii="宋体" w:hAnsi="宋体" w:cs="宋体" w:hint="eastAsia"/>
          <w:bCs/>
          <w:szCs w:val="21"/>
        </w:rPr>
        <w:t xml:space="preserve">6.5.1.1.5 </w:t>
      </w:r>
      <w:r>
        <w:rPr>
          <w:rFonts w:ascii="宋体" w:hAnsi="宋体" w:cs="宋体" w:hint="eastAsia"/>
          <w:szCs w:val="21"/>
        </w:rPr>
        <w:t>对利益相关方的环境做出承诺的，应同时满足有关承诺要求。</w:t>
      </w:r>
    </w:p>
    <w:p w14:paraId="5B9E034C"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基本要求是锡及锡合金进行绿色工厂评价需要达到的最低要求，因此无分值体现，合规性要求从符合法律法规、产业政策、无事故证明、污染物达标排放、能源消耗、企业信用、三同时制度等方面对工厂进行了规定。从工厂依法设立、合法合规的角度评价工厂的经营合规性，如企业营业执照、近三年无违法、经营异常和行政处罚记录等。从近三年无较大及以上安全、环保、质量等事故的角度评价工厂的环保、安全、质量的合规性。</w:t>
      </w:r>
    </w:p>
    <w:p w14:paraId="57F1647B"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根据《中华人民共和国环境保护法》、《中华人民共和国环境影响评价法》、《建设项目环境保护管理条例》、《建设项目竣工环境保护验收暂行办法》、《排污许可管理办法（试行）》等相关环保法律法规，锡及锡合金工厂需要执行安全、环保“三同时”制度、环境影响评价制度、排污许可制度。根据《中华人民共和国清洁生产促进法》企业需按要求开展清洁生产审核，且应满足相关锡及锡合金工厂的规范条件。</w:t>
      </w:r>
    </w:p>
    <w:p w14:paraId="62A8B5C6"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lastRenderedPageBreak/>
        <w:t>相关方是指可影响绿色工厂创建的决策或活动、受绿色工厂创建的决策或活动所影响、或自认为受绿色工厂创建的决策或活动影响的个人或组织。</w:t>
      </w:r>
    </w:p>
    <w:p w14:paraId="7D5246C4"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工厂应满足有相关行业准入条件、产业结构调整指导目录或规范条件。</w:t>
      </w:r>
    </w:p>
    <w:p w14:paraId="5871C53D" w14:textId="77777777" w:rsidR="00B50C5D" w:rsidRDefault="00FA0E9F">
      <w:pPr>
        <w:spacing w:line="360" w:lineRule="auto"/>
        <w:rPr>
          <w:rFonts w:ascii="宋体" w:hAnsi="宋体" w:cs="宋体"/>
          <w:szCs w:val="21"/>
        </w:rPr>
      </w:pPr>
      <w:r>
        <w:rPr>
          <w:rFonts w:ascii="宋体" w:hAnsi="宋体" w:cs="宋体" w:hint="eastAsia"/>
          <w:szCs w:val="21"/>
        </w:rPr>
        <w:t>6.</w:t>
      </w:r>
      <w:bookmarkStart w:id="12" w:name="_Toc491581460"/>
      <w:bookmarkStart w:id="13" w:name="_Toc46929928"/>
      <w:bookmarkStart w:id="14" w:name="_Toc497209989"/>
      <w:r>
        <w:rPr>
          <w:rFonts w:ascii="宋体" w:hAnsi="宋体" w:cs="宋体" w:hint="eastAsia"/>
          <w:szCs w:val="21"/>
        </w:rPr>
        <w:t>5.1.2  管理职责要求</w:t>
      </w:r>
      <w:bookmarkEnd w:id="12"/>
      <w:bookmarkEnd w:id="13"/>
      <w:bookmarkEnd w:id="14"/>
    </w:p>
    <w:p w14:paraId="1FA88EB4" w14:textId="77777777" w:rsidR="00B50C5D" w:rsidRDefault="00FA0E9F">
      <w:pPr>
        <w:spacing w:line="360" w:lineRule="auto"/>
        <w:rPr>
          <w:rFonts w:ascii="宋体" w:hAnsi="宋体" w:cs="宋体"/>
          <w:szCs w:val="21"/>
        </w:rPr>
      </w:pPr>
      <w:r>
        <w:rPr>
          <w:rFonts w:ascii="宋体" w:hAnsi="宋体" w:cs="宋体" w:hint="eastAsia"/>
          <w:szCs w:val="21"/>
        </w:rPr>
        <w:t>6.5.1.2.1 最高管理者应满足GB/T 36132中4.3.1 的要求。</w:t>
      </w:r>
    </w:p>
    <w:p w14:paraId="20774531" w14:textId="77777777" w:rsidR="00B50C5D" w:rsidRDefault="00FA0E9F">
      <w:pPr>
        <w:spacing w:line="360" w:lineRule="auto"/>
        <w:rPr>
          <w:rFonts w:ascii="宋体" w:hAnsi="宋体" w:cs="宋体"/>
          <w:szCs w:val="21"/>
        </w:rPr>
      </w:pPr>
      <w:r>
        <w:rPr>
          <w:rFonts w:ascii="宋体" w:hAnsi="宋体" w:cs="宋体" w:hint="eastAsia"/>
          <w:szCs w:val="21"/>
        </w:rPr>
        <w:t>6.5.1.2.2 生产工厂应满足GB/T 36132中4.3.2的要求。</w:t>
      </w:r>
    </w:p>
    <w:p w14:paraId="1AA62C50"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基础管理职责（包括最高管理者要求和工厂要求）应满足GB/T 36132中4.3的要求，主要从领导作用和承诺、职责和权限、管理组织机构、中长期规划、教育与培训等方面进行了规定。</w:t>
      </w:r>
    </w:p>
    <w:p w14:paraId="73FEC5C9" w14:textId="77777777" w:rsidR="00B50C5D" w:rsidRDefault="00FA0E9F">
      <w:pPr>
        <w:spacing w:line="360" w:lineRule="auto"/>
        <w:rPr>
          <w:rFonts w:ascii="宋体" w:hAnsi="宋体" w:cs="宋体"/>
          <w:b/>
          <w:szCs w:val="21"/>
        </w:rPr>
      </w:pPr>
      <w:r>
        <w:rPr>
          <w:rFonts w:ascii="宋体" w:hAnsi="宋体" w:cs="宋体" w:hint="eastAsia"/>
          <w:b/>
          <w:szCs w:val="21"/>
        </w:rPr>
        <w:t>6.5.2工厂管理要求</w:t>
      </w:r>
    </w:p>
    <w:p w14:paraId="0FF6B03A" w14:textId="77777777" w:rsidR="00B50C5D" w:rsidRDefault="00FA0E9F">
      <w:pPr>
        <w:spacing w:line="360" w:lineRule="auto"/>
        <w:rPr>
          <w:rFonts w:ascii="宋体" w:hAnsi="宋体" w:cs="宋体"/>
          <w:b/>
          <w:szCs w:val="21"/>
        </w:rPr>
      </w:pPr>
      <w:r>
        <w:rPr>
          <w:rFonts w:ascii="宋体" w:hAnsi="宋体" w:cs="宋体" w:hint="eastAsia"/>
          <w:b/>
          <w:szCs w:val="21"/>
        </w:rPr>
        <w:t>6.5.2.1基础设施要求</w:t>
      </w:r>
    </w:p>
    <w:p w14:paraId="05D34C75"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锡及锡合金生产基础设施是绿色工厂的基础，包括建筑、节水、照明以及设备设施，占比10%，即10分。基础设施要求分为必选要求与可选要求，必选要求是工厂必须要满足的，可选要求是工厂努力宜达到的提高性要求，其比例为6:4。</w:t>
      </w:r>
    </w:p>
    <w:p w14:paraId="1628DE80" w14:textId="77777777" w:rsidR="00B50C5D" w:rsidRDefault="00FA0E9F">
      <w:pPr>
        <w:spacing w:line="360" w:lineRule="auto"/>
        <w:rPr>
          <w:rFonts w:ascii="宋体" w:hAnsi="宋体" w:cs="宋体"/>
          <w:bCs/>
          <w:szCs w:val="21"/>
        </w:rPr>
      </w:pPr>
      <w:r>
        <w:rPr>
          <w:rFonts w:ascii="宋体" w:hAnsi="宋体" w:cs="宋体" w:hint="eastAsia"/>
          <w:bCs/>
          <w:szCs w:val="21"/>
        </w:rPr>
        <w:t>6.5.2.1.1建筑</w:t>
      </w:r>
    </w:p>
    <w:p w14:paraId="38EC9E9B" w14:textId="77777777" w:rsidR="00B50C5D" w:rsidRDefault="00FA0E9F">
      <w:pPr>
        <w:spacing w:line="360" w:lineRule="auto"/>
        <w:rPr>
          <w:rFonts w:ascii="宋体" w:hAnsi="宋体" w:cs="宋体"/>
          <w:bCs/>
          <w:szCs w:val="21"/>
        </w:rPr>
      </w:pPr>
      <w:r>
        <w:rPr>
          <w:rFonts w:ascii="宋体" w:hAnsi="宋体" w:cs="宋体" w:hint="eastAsia"/>
          <w:bCs/>
          <w:szCs w:val="21"/>
        </w:rPr>
        <w:t>6.5.2.1.1工厂建筑应满足国家或地方相关法律法规及标准的要求。</w:t>
      </w:r>
    </w:p>
    <w:p w14:paraId="688D6C6F" w14:textId="77777777" w:rsidR="00B50C5D" w:rsidRDefault="00FA0E9F">
      <w:pPr>
        <w:spacing w:line="360" w:lineRule="auto"/>
        <w:rPr>
          <w:rFonts w:ascii="宋体" w:hAnsi="宋体" w:cs="宋体"/>
          <w:bCs/>
          <w:szCs w:val="21"/>
        </w:rPr>
      </w:pPr>
      <w:r>
        <w:rPr>
          <w:rFonts w:ascii="宋体" w:hAnsi="宋体" w:cs="宋体" w:hint="eastAsia"/>
          <w:bCs/>
          <w:szCs w:val="21"/>
        </w:rPr>
        <w:t>6.5.2.1.2新建、改建和扩建建筑时，应遵守国家“固定资产投资项目节能评估审查制度”、 “三同时制度”、 “工业项目建设用地控制指标”等产业政策和有关要求。</w:t>
      </w:r>
    </w:p>
    <w:p w14:paraId="1485CD25" w14:textId="77777777" w:rsidR="00B50C5D" w:rsidRDefault="00FA0E9F">
      <w:pPr>
        <w:spacing w:line="360" w:lineRule="auto"/>
        <w:rPr>
          <w:rFonts w:ascii="宋体" w:hAnsi="宋体" w:cs="宋体"/>
          <w:bCs/>
          <w:szCs w:val="21"/>
        </w:rPr>
      </w:pPr>
      <w:r>
        <w:rPr>
          <w:rFonts w:ascii="宋体" w:hAnsi="宋体" w:cs="宋体" w:hint="eastAsia"/>
          <w:bCs/>
          <w:szCs w:val="21"/>
        </w:rPr>
        <w:t>6.5.2.1.3厂房内部装饰装修材料中醛、苯、氨、氡等有害物质应符合国家和地方法律、标准要求。</w:t>
      </w:r>
    </w:p>
    <w:p w14:paraId="6C1BD0B7" w14:textId="77777777" w:rsidR="00B50C5D" w:rsidRDefault="00FA0E9F">
      <w:pPr>
        <w:spacing w:line="360" w:lineRule="auto"/>
        <w:rPr>
          <w:rFonts w:ascii="宋体" w:hAnsi="宋体" w:cs="宋体"/>
          <w:bCs/>
          <w:szCs w:val="21"/>
        </w:rPr>
      </w:pPr>
      <w:r>
        <w:rPr>
          <w:rFonts w:ascii="宋体" w:hAnsi="宋体" w:cs="宋体" w:hint="eastAsia"/>
          <w:bCs/>
          <w:szCs w:val="21"/>
        </w:rPr>
        <w:t>6..2.1.4危险品仓库、有毒有害操作间、废弃物处理间等产生污染物的房间应独立设置。</w:t>
      </w:r>
    </w:p>
    <w:p w14:paraId="0222F93D" w14:textId="77777777" w:rsidR="00B50C5D" w:rsidRDefault="00FA0E9F">
      <w:pPr>
        <w:spacing w:line="360" w:lineRule="auto"/>
        <w:rPr>
          <w:rFonts w:ascii="宋体" w:hAnsi="宋体" w:cs="宋体"/>
          <w:bCs/>
          <w:szCs w:val="21"/>
        </w:rPr>
      </w:pPr>
      <w:r>
        <w:rPr>
          <w:rFonts w:ascii="宋体" w:hAnsi="宋体" w:cs="宋体" w:hint="eastAsia"/>
          <w:bCs/>
          <w:szCs w:val="21"/>
        </w:rPr>
        <w:t>6.5.2.1.5工厂建筑宜从建筑材料、建筑结构、绿化及场地、水资源及能源利用等方面进行建筑的节材、节能、节水、节地及无害化。</w:t>
      </w:r>
    </w:p>
    <w:p w14:paraId="12C05D46"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建筑材料：(1)宜选用蕴能低、高性能、高耐久性和本地建材，减少建材在全生命周期中的能源消耗；(2)室内装饰装修材料宜满足国家标准GB 18580～18588和GB 6566的要求。</w:t>
      </w:r>
    </w:p>
    <w:p w14:paraId="78C6FE2D"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建筑结构：宜采用钢结构、砌体结构和木结构等资源消耗和环境影响小的建筑结构体系。</w:t>
      </w:r>
    </w:p>
    <w:p w14:paraId="0511FA97"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绿化及场地：(1)厂区绿化适宜，宜优先种植乡土植物，宜用少维护、耐候性强的植物，减少日常维护的费用。(2)室外透水地面面积占室外总面积的比例不小于30％。</w:t>
      </w:r>
    </w:p>
    <w:p w14:paraId="1DC7183F"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水资源及能源利用：宜采用节水器具和设备，绿化灌溉采用节水灌溉方式，办公区以及公共浴室采取节水措施。</w:t>
      </w:r>
    </w:p>
    <w:p w14:paraId="79F9F4DC"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工厂建筑应满足工厂建筑应满足国家或地方相关法律法规及标准的要求和产业政策，并从建筑材料、建筑结构、绿化及场地、水资源及能源利用等方面进行建筑的节材、节能、节水、节地及无害化进行规定。建筑应采用资源消耗低和环境影响小的建筑装饰装修材料，国家质量监督检验检疫总</w:t>
      </w:r>
      <w:r>
        <w:rPr>
          <w:rFonts w:ascii="宋体" w:hAnsi="宋体" w:cs="宋体" w:hint="eastAsia"/>
          <w:bCs/>
          <w:szCs w:val="21"/>
        </w:rPr>
        <w:lastRenderedPageBreak/>
        <w:t>局和国家标准化管理委员会发布了《室内装饰装修材料人造板及其制品中甲醛释放限量》等九项建筑材料有害物质限量的标准（GB18580～GB18588）和《建筑材料放射性核素限量标准》GB6566等标准，对各类建筑材料应满足的技术要求和性能参数进行规定；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根据用水场合的不同，合理选用节水水龙头、节水淋浴装置等；适用时厂房应采用联合厂房、多层建筑，以满足节地要求。</w:t>
      </w:r>
    </w:p>
    <w:p w14:paraId="0533A32C" w14:textId="77777777" w:rsidR="00B50C5D" w:rsidRDefault="00FA0E9F">
      <w:pPr>
        <w:spacing w:line="360" w:lineRule="auto"/>
        <w:rPr>
          <w:rFonts w:ascii="宋体" w:hAnsi="宋体" w:cs="宋体"/>
          <w:szCs w:val="21"/>
        </w:rPr>
      </w:pPr>
      <w:r>
        <w:rPr>
          <w:rFonts w:ascii="宋体" w:hAnsi="宋体" w:cs="宋体" w:hint="eastAsia"/>
          <w:szCs w:val="21"/>
        </w:rPr>
        <w:t>6.5.2.2 照明</w:t>
      </w:r>
    </w:p>
    <w:p w14:paraId="29077D38" w14:textId="77777777" w:rsidR="00B50C5D" w:rsidRDefault="00FA0E9F">
      <w:pPr>
        <w:snapToGrid w:val="0"/>
        <w:spacing w:line="300" w:lineRule="auto"/>
        <w:rPr>
          <w:rFonts w:ascii="宋体" w:hAnsi="宋体" w:cs="宋体"/>
          <w:szCs w:val="21"/>
        </w:rPr>
      </w:pPr>
      <w:r>
        <w:rPr>
          <w:rFonts w:ascii="宋体" w:hAnsi="宋体" w:cs="宋体" w:hint="eastAsia"/>
          <w:szCs w:val="21"/>
        </w:rPr>
        <w:t>6.5.2.2.1 厂区的照明应尽量利用自然光或节能灯，人工照明应符合GB 50034的规定。</w:t>
      </w:r>
    </w:p>
    <w:p w14:paraId="1F5B8398" w14:textId="77777777" w:rsidR="00B50C5D" w:rsidRDefault="00FA0E9F">
      <w:pPr>
        <w:snapToGrid w:val="0"/>
        <w:spacing w:line="300" w:lineRule="auto"/>
        <w:rPr>
          <w:rFonts w:ascii="宋体" w:hAnsi="宋体" w:cs="宋体"/>
          <w:szCs w:val="21"/>
        </w:rPr>
      </w:pPr>
      <w:r>
        <w:rPr>
          <w:rFonts w:ascii="宋体" w:hAnsi="宋体" w:cs="宋体" w:hint="eastAsia"/>
          <w:szCs w:val="21"/>
        </w:rPr>
        <w:t>6.5.2.2.2 厂区内大型厂房的照明系统宜采用分区控制方式。</w:t>
      </w:r>
    </w:p>
    <w:p w14:paraId="14D4252E" w14:textId="77777777" w:rsidR="00B50C5D" w:rsidRDefault="00FA0E9F">
      <w:pPr>
        <w:snapToGrid w:val="0"/>
        <w:spacing w:line="300" w:lineRule="auto"/>
        <w:rPr>
          <w:rFonts w:ascii="宋体" w:hAnsi="宋体" w:cs="宋体"/>
          <w:szCs w:val="21"/>
        </w:rPr>
      </w:pPr>
      <w:r>
        <w:rPr>
          <w:rFonts w:ascii="宋体" w:hAnsi="宋体" w:cs="宋体" w:hint="eastAsia"/>
          <w:szCs w:val="21"/>
        </w:rPr>
        <w:t>6.5.2.2.3 工厂内辅助生产和生活福利设施的照明系统宜适当增设照明控制开关，短时有人的场所宜采取节能自熄措施。</w:t>
      </w:r>
    </w:p>
    <w:p w14:paraId="29A309B6" w14:textId="77777777" w:rsidR="00B50C5D" w:rsidRDefault="00FA0E9F">
      <w:pPr>
        <w:snapToGrid w:val="0"/>
        <w:spacing w:line="300" w:lineRule="auto"/>
        <w:ind w:firstLineChars="200" w:firstLine="420"/>
        <w:rPr>
          <w:rFonts w:ascii="宋体" w:hAnsi="宋体" w:cs="宋体"/>
          <w:szCs w:val="21"/>
        </w:rPr>
      </w:pPr>
      <w:r>
        <w:rPr>
          <w:rFonts w:ascii="宋体" w:hAnsi="宋体" w:cs="宋体" w:hint="eastAsia"/>
          <w:szCs w:val="21"/>
        </w:rPr>
        <w:t>工厂应充分利用天然光，优化窗墙面积比、屋顶透明部分面积比，将自然光引入建筑，提高建筑的节能型和舒适性。根据《建筑照明设计标准》GB 50034，照明功率密度值分为现行值和目标值。现行值是根据对国内各类建筑的照明能耗现状、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定的。本标准规定照明应执行GB 50034的照明功率密度目标值。不同的场所应进行分级设计、公共场所的照明应采取分区、分组与定时自动调光灯措施。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强调工艺适用时，节能型照明设备占比不应低于50%。</w:t>
      </w:r>
    </w:p>
    <w:p w14:paraId="6EB86734" w14:textId="77777777" w:rsidR="00B50C5D" w:rsidRDefault="00FA0E9F">
      <w:pPr>
        <w:spacing w:line="300" w:lineRule="auto"/>
        <w:rPr>
          <w:rFonts w:ascii="宋体" w:hAnsi="宋体" w:cs="宋体"/>
          <w:szCs w:val="21"/>
        </w:rPr>
      </w:pPr>
      <w:r>
        <w:rPr>
          <w:rFonts w:ascii="宋体" w:hAnsi="宋体" w:cs="宋体" w:hint="eastAsia"/>
          <w:szCs w:val="21"/>
        </w:rPr>
        <w:t>6.5.2.3  设备设施</w:t>
      </w:r>
    </w:p>
    <w:p w14:paraId="335C18CC"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本标准对专用设备、通用设备、计量设备、污染物处理设施、其他设备设施、标识规定如下：</w:t>
      </w:r>
    </w:p>
    <w:p w14:paraId="6F301AF4" w14:textId="77777777" w:rsidR="00B50C5D" w:rsidRDefault="00FA0E9F">
      <w:pPr>
        <w:spacing w:line="360" w:lineRule="auto"/>
        <w:rPr>
          <w:rFonts w:ascii="宋体" w:hAnsi="宋体" w:cs="宋体"/>
          <w:szCs w:val="21"/>
        </w:rPr>
      </w:pPr>
      <w:r>
        <w:rPr>
          <w:rFonts w:ascii="宋体" w:hAnsi="宋体" w:cs="宋体" w:hint="eastAsia"/>
          <w:szCs w:val="21"/>
        </w:rPr>
        <w:t>6.5.2.3.1 工厂设备设施应按照生产效率高、能源与资源消耗低、污染物排放少的原则来选用。</w:t>
      </w:r>
    </w:p>
    <w:p w14:paraId="23870278" w14:textId="77777777" w:rsidR="00B50C5D" w:rsidRDefault="00FA0E9F">
      <w:pPr>
        <w:spacing w:line="360" w:lineRule="auto"/>
        <w:rPr>
          <w:rFonts w:ascii="宋体" w:hAnsi="宋体" w:cs="宋体"/>
          <w:szCs w:val="21"/>
        </w:rPr>
      </w:pPr>
      <w:r>
        <w:rPr>
          <w:rFonts w:ascii="宋体" w:hAnsi="宋体" w:cs="宋体" w:hint="eastAsia"/>
          <w:szCs w:val="21"/>
        </w:rPr>
        <w:t>6.5.2.3.2 锡及锡合金生产工厂应鼓励采用先进适用的清洁生产技术工艺。</w:t>
      </w:r>
    </w:p>
    <w:p w14:paraId="0D768AF1" w14:textId="77777777" w:rsidR="00B50C5D" w:rsidRDefault="00FA0E9F">
      <w:pPr>
        <w:spacing w:line="360" w:lineRule="auto"/>
        <w:rPr>
          <w:rFonts w:ascii="宋体" w:hAnsi="宋体" w:cs="宋体"/>
          <w:szCs w:val="21"/>
        </w:rPr>
      </w:pPr>
      <w:r>
        <w:rPr>
          <w:rFonts w:ascii="宋体" w:hAnsi="宋体" w:cs="宋体" w:hint="eastAsia"/>
          <w:szCs w:val="21"/>
        </w:rPr>
        <w:t>6.5.2.3.3 锡及锡合金生产工厂应限期淘汰更新已明令禁止生产、使用和能耗高、效率低的设备。</w:t>
      </w:r>
    </w:p>
    <w:p w14:paraId="17BCEEC2" w14:textId="77777777" w:rsidR="00B50C5D" w:rsidRDefault="00FA0E9F">
      <w:pPr>
        <w:spacing w:line="360" w:lineRule="auto"/>
        <w:rPr>
          <w:rFonts w:ascii="宋体" w:hAnsi="宋体" w:cs="宋体"/>
          <w:szCs w:val="21"/>
        </w:rPr>
      </w:pPr>
      <w:r>
        <w:rPr>
          <w:rFonts w:ascii="宋体" w:hAnsi="宋体" w:cs="宋体" w:hint="eastAsia"/>
          <w:szCs w:val="21"/>
        </w:rPr>
        <w:t>6.5.2.3.4 工厂通用设备如压缩机、电动机、变压器、离心泵、通风机、空调机、冷水机组等应达到GB18613、GB19153、GB/T19576、GB19577、GB19761、GB19762、GB20052、GB21454、GB24500、GB24790等标准中能效限定值的强制性要求。</w:t>
      </w:r>
    </w:p>
    <w:p w14:paraId="46204C96" w14:textId="77777777" w:rsidR="00B50C5D" w:rsidRDefault="00FA0E9F">
      <w:pPr>
        <w:spacing w:line="360" w:lineRule="auto"/>
        <w:rPr>
          <w:rFonts w:ascii="宋体" w:hAnsi="宋体" w:cs="宋体"/>
          <w:szCs w:val="21"/>
        </w:rPr>
      </w:pPr>
      <w:r>
        <w:rPr>
          <w:rFonts w:ascii="宋体" w:hAnsi="宋体" w:cs="宋体" w:hint="eastAsia"/>
          <w:szCs w:val="21"/>
        </w:rPr>
        <w:t>6.5.2.3.5 工厂通用设备或其系统的实际运行效率或主要运行参数应符合该设备经济运行的要求。</w:t>
      </w:r>
    </w:p>
    <w:p w14:paraId="6026F49A" w14:textId="77777777" w:rsidR="00B50C5D" w:rsidRDefault="00FA0E9F">
      <w:pPr>
        <w:spacing w:line="360" w:lineRule="auto"/>
        <w:rPr>
          <w:rFonts w:ascii="宋体" w:hAnsi="宋体" w:cs="宋体"/>
          <w:szCs w:val="21"/>
        </w:rPr>
      </w:pPr>
      <w:r>
        <w:rPr>
          <w:rFonts w:ascii="宋体" w:hAnsi="宋体" w:cs="宋体" w:hint="eastAsia"/>
          <w:szCs w:val="21"/>
        </w:rPr>
        <w:t>6.5.2.3.6 工厂应依据GB17167、GB24789等要求配备、使用和管理能源、水以及其他资源的计量器具和装置。</w:t>
      </w:r>
    </w:p>
    <w:p w14:paraId="5182972E" w14:textId="77777777" w:rsidR="00B50C5D" w:rsidRDefault="00FA0E9F">
      <w:pPr>
        <w:spacing w:line="360" w:lineRule="auto"/>
        <w:rPr>
          <w:rFonts w:ascii="宋体" w:hAnsi="宋体" w:cs="宋体"/>
          <w:szCs w:val="21"/>
        </w:rPr>
      </w:pPr>
      <w:r>
        <w:rPr>
          <w:rFonts w:ascii="宋体" w:hAnsi="宋体" w:cs="宋体" w:hint="eastAsia"/>
          <w:szCs w:val="21"/>
        </w:rPr>
        <w:t>6.5.2.3.7 工厂进出用能单位、进出主要次级用能单位、主要用能设备计量器具配备率应满足GB/T 20902要求。</w:t>
      </w:r>
    </w:p>
    <w:p w14:paraId="19EE9462" w14:textId="77777777" w:rsidR="00B50C5D" w:rsidRDefault="00FA0E9F">
      <w:pPr>
        <w:spacing w:line="360" w:lineRule="auto"/>
        <w:rPr>
          <w:rFonts w:ascii="宋体" w:hAnsi="宋体" w:cs="宋体"/>
          <w:szCs w:val="21"/>
        </w:rPr>
      </w:pPr>
      <w:r>
        <w:rPr>
          <w:rFonts w:ascii="宋体" w:hAnsi="宋体" w:cs="宋体" w:hint="eastAsia"/>
          <w:szCs w:val="21"/>
        </w:rPr>
        <w:lastRenderedPageBreak/>
        <w:t>6.5.2.3.8 工厂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p w14:paraId="70BF30D1" w14:textId="77777777" w:rsidR="00B50C5D" w:rsidRDefault="00FA0E9F">
      <w:pPr>
        <w:spacing w:line="360" w:lineRule="auto"/>
        <w:rPr>
          <w:rFonts w:ascii="宋体" w:hAnsi="宋体" w:cs="宋体"/>
          <w:szCs w:val="21"/>
        </w:rPr>
      </w:pPr>
      <w:r>
        <w:rPr>
          <w:rFonts w:ascii="宋体" w:hAnsi="宋体" w:cs="宋体" w:hint="eastAsia"/>
          <w:szCs w:val="21"/>
        </w:rPr>
        <w:t>6.5.2.3.9 工厂应配置节能、污染物处理等设施，并满足相关法律法规及标准等要求。</w:t>
      </w:r>
    </w:p>
    <w:p w14:paraId="71C0AB1F" w14:textId="77777777" w:rsidR="00B50C5D" w:rsidRDefault="00FA0E9F">
      <w:pPr>
        <w:spacing w:line="360" w:lineRule="auto"/>
        <w:rPr>
          <w:rFonts w:ascii="宋体" w:hAnsi="宋体" w:cs="宋体"/>
          <w:szCs w:val="21"/>
        </w:rPr>
      </w:pPr>
      <w:r>
        <w:rPr>
          <w:rFonts w:ascii="宋体" w:hAnsi="宋体" w:cs="宋体" w:hint="eastAsia"/>
          <w:szCs w:val="21"/>
        </w:rPr>
        <w:t>6.5.2.3.10 工厂宜开展智能工厂建设。建立锡及锡合金生产绿色工厂大数据平台，广泛应用自动化智能装备，实现智能化管理、智能化调度、数字化点检和设备在线智能诊断。</w:t>
      </w:r>
    </w:p>
    <w:p w14:paraId="0771C55E" w14:textId="77777777" w:rsidR="00B50C5D" w:rsidRDefault="00FA0E9F">
      <w:pPr>
        <w:spacing w:line="360" w:lineRule="auto"/>
        <w:rPr>
          <w:rFonts w:ascii="宋体" w:hAnsi="宋体" w:cs="宋体"/>
          <w:szCs w:val="21"/>
        </w:rPr>
      </w:pPr>
      <w:r>
        <w:rPr>
          <w:rFonts w:ascii="宋体" w:hAnsi="宋体" w:cs="宋体" w:hint="eastAsia"/>
          <w:szCs w:val="21"/>
        </w:rPr>
        <w:t>6.5.2.4标识。工厂在生产区应按照工业车间安全标志规范设置操作指示牌、说明牌、线路示意图牌等标牌；在道路交叉口、生产车间等需警示安全的区域应设置安全标志。环保、节能等有明确标识要求的应按照有关标准规范执行。</w:t>
      </w:r>
    </w:p>
    <w:p w14:paraId="32AD596D"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设备设施分为专用设备、通用设备、计量设备以及其他设施。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对于计量设备，应覆盖主要的能源、资源消耗设施，工厂需建立起计量体系，计量仪器符合《GB 17167用能单位能源计量器具配备和管理通则》、《RB/T 117能源管理体系 有色金属企业认证要求》等要求，并定期校准。对所有计量结果需建立完善的记录，并进行定期分析，制定和实施改造计划。工厂投入适宜的污染物处理设备，以确保其污染物排放达到相关法律法规及标准要求。污染物处理设备的处理能力与工厂生产排放相适应，工厂应优先采购《国家鼓励发展的重大环保技术装备目录》、《大气污染防治重点工业行业清洁生产技术推行方案》中的技术装备。由于各类设备设施对于工厂同等重要，因此所占分值比例一致。工厂也应该根据6S管理要求和安全环保标识标志要求完善相关标志。</w:t>
      </w:r>
    </w:p>
    <w:p w14:paraId="3F4C7FDE" w14:textId="77777777" w:rsidR="00B50C5D" w:rsidRDefault="00FA0E9F">
      <w:pPr>
        <w:spacing w:line="360" w:lineRule="auto"/>
        <w:rPr>
          <w:rFonts w:ascii="宋体" w:hAnsi="宋体" w:cs="宋体"/>
          <w:bCs/>
          <w:szCs w:val="21"/>
        </w:rPr>
      </w:pPr>
      <w:r>
        <w:rPr>
          <w:rFonts w:ascii="宋体" w:hAnsi="宋体" w:cs="宋体" w:hint="eastAsia"/>
          <w:bCs/>
          <w:szCs w:val="21"/>
        </w:rPr>
        <w:t>6.5.3  管理体系</w:t>
      </w:r>
    </w:p>
    <w:p w14:paraId="74D2363F" w14:textId="77777777" w:rsidR="00B50C5D" w:rsidRDefault="00FA0E9F">
      <w:pPr>
        <w:spacing w:line="360" w:lineRule="auto"/>
        <w:jc w:val="left"/>
        <w:rPr>
          <w:rFonts w:ascii="宋体" w:hAnsi="宋体" w:cs="宋体"/>
          <w:bCs/>
          <w:szCs w:val="21"/>
        </w:rPr>
      </w:pPr>
      <w:r>
        <w:rPr>
          <w:rFonts w:ascii="宋体" w:hAnsi="宋体" w:cs="宋体" w:hint="eastAsia"/>
          <w:bCs/>
          <w:szCs w:val="21"/>
        </w:rPr>
        <w:t>6.5.3.1  质量管理体系</w:t>
      </w:r>
    </w:p>
    <w:p w14:paraId="3F77FD7B" w14:textId="77777777" w:rsidR="00B50C5D" w:rsidRDefault="00FA0E9F">
      <w:pPr>
        <w:spacing w:line="360" w:lineRule="auto"/>
        <w:jc w:val="left"/>
        <w:rPr>
          <w:rFonts w:ascii="宋体" w:hAnsi="宋体" w:cs="宋体"/>
          <w:bCs/>
          <w:szCs w:val="21"/>
        </w:rPr>
      </w:pPr>
      <w:r>
        <w:rPr>
          <w:rFonts w:ascii="宋体" w:hAnsi="宋体" w:cs="宋体" w:hint="eastAsia"/>
          <w:bCs/>
          <w:szCs w:val="21"/>
        </w:rPr>
        <w:t>6.5.3.1.1 工厂应建立、实施并保持满足GB/T19001要求的质量管理体系要求；</w:t>
      </w:r>
    </w:p>
    <w:p w14:paraId="7944356A" w14:textId="77777777" w:rsidR="00B50C5D" w:rsidRDefault="00FA0E9F">
      <w:pPr>
        <w:spacing w:line="360" w:lineRule="auto"/>
        <w:jc w:val="left"/>
        <w:rPr>
          <w:rFonts w:ascii="宋体" w:hAnsi="宋体" w:cs="宋体"/>
          <w:bCs/>
          <w:szCs w:val="21"/>
        </w:rPr>
      </w:pPr>
      <w:r>
        <w:rPr>
          <w:rFonts w:ascii="宋体" w:hAnsi="宋体" w:cs="宋体" w:hint="eastAsia"/>
          <w:bCs/>
          <w:szCs w:val="21"/>
        </w:rPr>
        <w:t>6.5.3.1.2 工厂宜通过质量管理体系第三方认证。</w:t>
      </w:r>
    </w:p>
    <w:p w14:paraId="48C22CA0" w14:textId="77777777" w:rsidR="00B50C5D" w:rsidRDefault="00FA0E9F">
      <w:pPr>
        <w:spacing w:line="360" w:lineRule="auto"/>
        <w:jc w:val="left"/>
        <w:rPr>
          <w:rFonts w:ascii="宋体" w:hAnsi="宋体" w:cs="宋体"/>
          <w:bCs/>
          <w:szCs w:val="21"/>
        </w:rPr>
      </w:pPr>
      <w:r>
        <w:rPr>
          <w:rFonts w:ascii="宋体" w:hAnsi="宋体" w:cs="宋体" w:hint="eastAsia"/>
          <w:bCs/>
          <w:szCs w:val="21"/>
        </w:rPr>
        <w:t>6.5.3.2  职业健康安全管理体系</w:t>
      </w:r>
    </w:p>
    <w:p w14:paraId="5C36DF8C" w14:textId="77777777" w:rsidR="00B50C5D" w:rsidRDefault="00FA0E9F">
      <w:pPr>
        <w:spacing w:line="360" w:lineRule="auto"/>
        <w:jc w:val="left"/>
        <w:rPr>
          <w:rFonts w:ascii="宋体" w:hAnsi="宋体" w:cs="宋体"/>
          <w:bCs/>
          <w:szCs w:val="21"/>
        </w:rPr>
      </w:pPr>
      <w:r>
        <w:rPr>
          <w:rFonts w:ascii="宋体" w:hAnsi="宋体" w:cs="宋体" w:hint="eastAsia"/>
          <w:bCs/>
          <w:szCs w:val="21"/>
        </w:rPr>
        <w:t>6.5.3.2.1工厂应建立、实施并保持满足GB/T45001要求的职业健康安全管理体系要求；</w:t>
      </w:r>
    </w:p>
    <w:p w14:paraId="402AED81" w14:textId="77777777" w:rsidR="00B50C5D" w:rsidRDefault="00FA0E9F">
      <w:pPr>
        <w:spacing w:line="360" w:lineRule="auto"/>
        <w:jc w:val="left"/>
        <w:rPr>
          <w:rFonts w:ascii="宋体" w:hAnsi="宋体" w:cs="宋体"/>
          <w:bCs/>
          <w:szCs w:val="21"/>
        </w:rPr>
      </w:pPr>
      <w:r>
        <w:rPr>
          <w:rFonts w:ascii="宋体" w:hAnsi="宋体" w:cs="宋体" w:hint="eastAsia"/>
          <w:bCs/>
          <w:szCs w:val="21"/>
        </w:rPr>
        <w:t>6.5.3.2.2 工厂宜通过职业健康安全管理体系第三方认证。</w:t>
      </w:r>
    </w:p>
    <w:p w14:paraId="49E63A11" w14:textId="77777777" w:rsidR="00B50C5D" w:rsidRDefault="00FA0E9F">
      <w:pPr>
        <w:spacing w:line="360" w:lineRule="auto"/>
        <w:jc w:val="left"/>
        <w:rPr>
          <w:rFonts w:ascii="宋体" w:hAnsi="宋体" w:cs="宋体"/>
          <w:bCs/>
          <w:szCs w:val="21"/>
        </w:rPr>
      </w:pPr>
      <w:r>
        <w:rPr>
          <w:rFonts w:ascii="宋体" w:hAnsi="宋体" w:cs="宋体" w:hint="eastAsia"/>
          <w:bCs/>
          <w:szCs w:val="21"/>
        </w:rPr>
        <w:t>6.5.3.3  环境管理体系</w:t>
      </w:r>
    </w:p>
    <w:p w14:paraId="204E6D9A" w14:textId="77777777" w:rsidR="00B50C5D" w:rsidRDefault="00FA0E9F">
      <w:pPr>
        <w:spacing w:line="360" w:lineRule="auto"/>
        <w:jc w:val="left"/>
        <w:rPr>
          <w:rFonts w:ascii="宋体" w:hAnsi="宋体" w:cs="宋体"/>
          <w:bCs/>
          <w:szCs w:val="21"/>
        </w:rPr>
      </w:pPr>
      <w:r>
        <w:rPr>
          <w:rFonts w:ascii="宋体" w:hAnsi="宋体" w:cs="宋体" w:hint="eastAsia"/>
          <w:bCs/>
          <w:szCs w:val="21"/>
        </w:rPr>
        <w:t>6.5.3.3.1 工厂应建立、实施并保持满足GB/T24001要求的环境管理体系要求；</w:t>
      </w:r>
    </w:p>
    <w:p w14:paraId="7BCF7519" w14:textId="77777777" w:rsidR="00B50C5D" w:rsidRDefault="00FA0E9F">
      <w:pPr>
        <w:spacing w:line="360" w:lineRule="auto"/>
        <w:jc w:val="left"/>
        <w:rPr>
          <w:rFonts w:ascii="宋体" w:hAnsi="宋体" w:cs="宋体"/>
          <w:bCs/>
          <w:szCs w:val="21"/>
        </w:rPr>
      </w:pPr>
      <w:r>
        <w:rPr>
          <w:rFonts w:ascii="宋体" w:hAnsi="宋体" w:cs="宋体" w:hint="eastAsia"/>
          <w:bCs/>
          <w:szCs w:val="21"/>
        </w:rPr>
        <w:t>6.5.3.3.2 工厂宜通过环境管理体系第三方认证。</w:t>
      </w:r>
    </w:p>
    <w:p w14:paraId="60CC3D36" w14:textId="77777777" w:rsidR="00B50C5D" w:rsidRDefault="00FA0E9F">
      <w:pPr>
        <w:spacing w:line="360" w:lineRule="auto"/>
        <w:jc w:val="left"/>
        <w:rPr>
          <w:rFonts w:ascii="宋体" w:hAnsi="宋体" w:cs="宋体"/>
          <w:bCs/>
          <w:szCs w:val="21"/>
        </w:rPr>
      </w:pPr>
      <w:r>
        <w:rPr>
          <w:rFonts w:ascii="宋体" w:hAnsi="宋体" w:cs="宋体" w:hint="eastAsia"/>
          <w:bCs/>
          <w:szCs w:val="21"/>
        </w:rPr>
        <w:lastRenderedPageBreak/>
        <w:t>6.5.3.4  能源管理体系</w:t>
      </w:r>
    </w:p>
    <w:p w14:paraId="165527A5" w14:textId="77777777" w:rsidR="00B50C5D" w:rsidRDefault="00FA0E9F">
      <w:pPr>
        <w:spacing w:line="360" w:lineRule="auto"/>
        <w:jc w:val="left"/>
        <w:rPr>
          <w:rFonts w:ascii="宋体" w:hAnsi="宋体" w:cs="宋体"/>
          <w:bCs/>
          <w:szCs w:val="21"/>
        </w:rPr>
      </w:pPr>
      <w:r>
        <w:rPr>
          <w:rFonts w:ascii="宋体" w:hAnsi="宋体" w:cs="宋体" w:hint="eastAsia"/>
          <w:bCs/>
          <w:szCs w:val="21"/>
        </w:rPr>
        <w:t>6.5.3.4.1 工厂应建立、实施并保持满足GB/T23331要求的能源管理体系要求；</w:t>
      </w:r>
    </w:p>
    <w:p w14:paraId="5BDEB56A" w14:textId="77777777" w:rsidR="00B50C5D" w:rsidRDefault="00FA0E9F">
      <w:pPr>
        <w:spacing w:line="360" w:lineRule="auto"/>
        <w:jc w:val="left"/>
        <w:rPr>
          <w:rFonts w:ascii="宋体" w:hAnsi="宋体" w:cs="宋体"/>
          <w:bCs/>
          <w:szCs w:val="21"/>
        </w:rPr>
      </w:pPr>
      <w:r>
        <w:rPr>
          <w:rFonts w:ascii="宋体" w:hAnsi="宋体" w:cs="宋体" w:hint="eastAsia"/>
          <w:bCs/>
          <w:szCs w:val="21"/>
        </w:rPr>
        <w:t>6.5.3.4.2 工厂宜通过能源管理体系第三方认证，并满足RB/T 117的要求。</w:t>
      </w:r>
    </w:p>
    <w:p w14:paraId="09E2807F" w14:textId="77777777" w:rsidR="00B50C5D" w:rsidRDefault="00FA0E9F">
      <w:pPr>
        <w:spacing w:line="360" w:lineRule="auto"/>
        <w:jc w:val="left"/>
        <w:rPr>
          <w:rFonts w:ascii="宋体" w:hAnsi="宋体" w:cs="宋体"/>
          <w:bCs/>
          <w:szCs w:val="21"/>
        </w:rPr>
      </w:pPr>
      <w:r>
        <w:rPr>
          <w:rFonts w:ascii="宋体" w:hAnsi="宋体" w:cs="宋体" w:hint="eastAsia"/>
          <w:bCs/>
          <w:szCs w:val="21"/>
        </w:rPr>
        <w:t>6.5.3.4.3 工厂宜建立能源管理中心。</w:t>
      </w:r>
    </w:p>
    <w:p w14:paraId="51684B92" w14:textId="77777777" w:rsidR="00B50C5D" w:rsidRDefault="00FA0E9F">
      <w:pPr>
        <w:spacing w:line="360" w:lineRule="auto"/>
        <w:jc w:val="left"/>
        <w:rPr>
          <w:rFonts w:ascii="宋体" w:hAnsi="宋体" w:cs="宋体"/>
          <w:bCs/>
          <w:szCs w:val="21"/>
        </w:rPr>
      </w:pPr>
      <w:r>
        <w:rPr>
          <w:rFonts w:ascii="宋体" w:hAnsi="宋体" w:cs="宋体" w:hint="eastAsia"/>
          <w:bCs/>
          <w:szCs w:val="21"/>
        </w:rPr>
        <w:t>6.5.3.5  社会责任</w:t>
      </w:r>
    </w:p>
    <w:p w14:paraId="29280C2A" w14:textId="77777777" w:rsidR="00B50C5D" w:rsidRDefault="00FA0E9F">
      <w:pPr>
        <w:spacing w:line="360" w:lineRule="auto"/>
        <w:ind w:firstLineChars="200" w:firstLine="420"/>
        <w:jc w:val="left"/>
        <w:rPr>
          <w:rFonts w:ascii="宋体" w:hAnsi="宋体" w:cs="宋体"/>
          <w:bCs/>
          <w:szCs w:val="21"/>
        </w:rPr>
      </w:pPr>
      <w:r>
        <w:rPr>
          <w:rFonts w:ascii="宋体" w:hAnsi="宋体" w:cs="宋体" w:hint="eastAsia"/>
          <w:bCs/>
          <w:szCs w:val="21"/>
        </w:rPr>
        <w:t>工厂宜按照GB/T 36000每年发布社会责任报告，说明履行利益相关方责任的情况，特别是环境社会责任的履行情况，报告公开可获得。</w:t>
      </w:r>
    </w:p>
    <w:p w14:paraId="00675EDC" w14:textId="77777777" w:rsidR="00B50C5D" w:rsidRDefault="00FA0E9F">
      <w:pPr>
        <w:spacing w:line="360" w:lineRule="auto"/>
        <w:jc w:val="left"/>
        <w:rPr>
          <w:rFonts w:ascii="宋体" w:hAnsi="宋体" w:cs="宋体"/>
          <w:bCs/>
          <w:szCs w:val="21"/>
        </w:rPr>
      </w:pPr>
      <w:r>
        <w:rPr>
          <w:rFonts w:ascii="宋体" w:hAnsi="宋体" w:cs="宋体" w:hint="eastAsia"/>
          <w:bCs/>
          <w:szCs w:val="21"/>
        </w:rPr>
        <w:t>6.5.3.6  合规管理体系</w:t>
      </w:r>
    </w:p>
    <w:p w14:paraId="18AEC8DC" w14:textId="77777777" w:rsidR="00B50C5D" w:rsidRDefault="00FA0E9F">
      <w:pPr>
        <w:spacing w:line="360" w:lineRule="auto"/>
        <w:jc w:val="left"/>
        <w:rPr>
          <w:rFonts w:ascii="宋体" w:hAnsi="宋体" w:cs="宋体"/>
          <w:bCs/>
          <w:szCs w:val="21"/>
        </w:rPr>
      </w:pPr>
      <w:r>
        <w:rPr>
          <w:rFonts w:ascii="宋体" w:hAnsi="宋体" w:cs="宋体" w:hint="eastAsia"/>
          <w:bCs/>
          <w:szCs w:val="21"/>
        </w:rPr>
        <w:t>6.5.3.6.1 工厂应建立、实施并保持满足GB/T25770要求的合规管理体系要求。</w:t>
      </w:r>
    </w:p>
    <w:p w14:paraId="045C567A" w14:textId="77777777" w:rsidR="00B50C5D" w:rsidRDefault="00FA0E9F">
      <w:pPr>
        <w:spacing w:line="360" w:lineRule="auto"/>
        <w:jc w:val="left"/>
        <w:rPr>
          <w:rFonts w:ascii="宋体" w:hAnsi="宋体" w:cs="宋体"/>
          <w:bCs/>
          <w:szCs w:val="21"/>
        </w:rPr>
      </w:pPr>
      <w:r>
        <w:rPr>
          <w:rFonts w:ascii="宋体" w:hAnsi="宋体" w:cs="宋体" w:hint="eastAsia"/>
          <w:bCs/>
          <w:szCs w:val="21"/>
        </w:rPr>
        <w:t>6.5.3.6.2 工厂宜通过合规管理体系第三方认证。</w:t>
      </w:r>
    </w:p>
    <w:p w14:paraId="656E2ACA" w14:textId="77777777" w:rsidR="00B50C5D" w:rsidRDefault="00FA0E9F">
      <w:pPr>
        <w:spacing w:line="360" w:lineRule="auto"/>
        <w:ind w:firstLineChars="200" w:firstLine="420"/>
        <w:jc w:val="left"/>
        <w:rPr>
          <w:rFonts w:ascii="宋体" w:hAnsi="宋体" w:cs="宋体"/>
          <w:szCs w:val="21"/>
        </w:rPr>
      </w:pPr>
      <w:r>
        <w:rPr>
          <w:rFonts w:ascii="宋体" w:hAnsi="宋体" w:cs="宋体" w:hint="eastAsia"/>
          <w:szCs w:val="21"/>
        </w:rPr>
        <w:t>本部分内容分别从质量管理体系、职业健康安全管理体系、环境管理体系、能源管理体系以及社会责任等方面进行了规定。管理组织机构和管理体系建设体现了企业对绿色制造体系的重视程度和管理能力，建议占比15%；管理体系要求分为必选要求与可选要求，必选要求是工厂必须达到的基础性要求，可选要求是工厂努力宜达到的提高性要求，具有先进性，其比例为6:4。</w:t>
      </w:r>
    </w:p>
    <w:p w14:paraId="4E6C7AA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GB/T 19001的要求，且宜获得第三方认证机构颁发的工厂或工厂所属的组织符合GB/T 19001 要求的认证证书。</w:t>
      </w:r>
    </w:p>
    <w:p w14:paraId="32AB3576"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GB/T 28001的要求，且宜获得第三方认证机构颁发的工厂或工厂所属的组织符合GB/T 28001 要求的认证证书。</w:t>
      </w:r>
    </w:p>
    <w:p w14:paraId="6D2EB7F2"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工厂建立环境方针管理体系，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GB/T 24001的要求，且宜获得第三方认证机构颁发的工厂或工厂所属的组织符合GB/T 24001 要求的认证证书。</w:t>
      </w:r>
    </w:p>
    <w:p w14:paraId="3453B514"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工厂建立能源管理体系，包含方针、能源目标、过程和程序以及实现能源绩效目标，旨在指导各组织采用系统的方法来实现能源绩效目标，包括能源利用效率、能源使用和消耗状况的持续改进。标准在5.4.1和5.7.6规定了能源使用和消耗的相关要求，包括测量，文件化和报告、设备、系统、过程的设计和采购，以及对能源绩效有影响的人员。工厂应建立能源管理体系，满足GB/T 23331的</w:t>
      </w:r>
      <w:r>
        <w:rPr>
          <w:rFonts w:ascii="宋体" w:hAnsi="宋体" w:cs="宋体" w:hint="eastAsia"/>
          <w:szCs w:val="21"/>
        </w:rPr>
        <w:lastRenderedPageBreak/>
        <w:t>要求，且宜获得第三方认证机构颁发的工厂或工厂所属的组织符合GB/T 23331 要求的认证证书。</w:t>
      </w:r>
    </w:p>
    <w:p w14:paraId="0A5684FA"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工厂按照GB/T 36000、ISO 26000 或SA 8000的要求编制社会责任报告，发布在网站或通过印刷形式向利益相关方传达，社会责任报告宜可公开获得。</w:t>
      </w:r>
    </w:p>
    <w:p w14:paraId="343833F4"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工厂应建立、实施并保持满足GB/T25770要求的合规管理体系要求。全方位无死角完成风险合规体系的建设。</w:t>
      </w:r>
    </w:p>
    <w:p w14:paraId="6B2DD5E7" w14:textId="77777777" w:rsidR="00B50C5D" w:rsidRDefault="00FA0E9F">
      <w:pPr>
        <w:spacing w:line="360" w:lineRule="auto"/>
        <w:rPr>
          <w:rFonts w:ascii="宋体" w:hAnsi="宋体" w:cs="宋体"/>
          <w:szCs w:val="21"/>
        </w:rPr>
      </w:pPr>
      <w:r>
        <w:rPr>
          <w:rFonts w:ascii="宋体" w:hAnsi="宋体" w:cs="宋体" w:hint="eastAsia"/>
          <w:szCs w:val="21"/>
        </w:rPr>
        <w:t>6.5.4  能源与资源投入</w:t>
      </w:r>
    </w:p>
    <w:p w14:paraId="5873FCF2"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6.5.4.1  能源投入</w:t>
      </w:r>
    </w:p>
    <w:p w14:paraId="74BBBDD5"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6.5.4.1.1 工厂应优化用能结构，使用可再生能源或低碳清洁的新能源，在保证安全、质量的前提下减少不可再生能源投入。</w:t>
      </w:r>
    </w:p>
    <w:p w14:paraId="616E8020"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6.5.4.1.2 工厂宜开展能源评价或其他可能的评价手段采取细化措施进一步降低综合能耗。</w:t>
      </w:r>
    </w:p>
    <w:p w14:paraId="67362D41"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6.5.4.2  资源投入</w:t>
      </w:r>
    </w:p>
    <w:p w14:paraId="24730A74"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6.5.4.2.1 工厂应按照GB/T7119的要求对其开展节水评价工作，且满足相应的地方标准要求。</w:t>
      </w:r>
    </w:p>
    <w:p w14:paraId="6C64D6EF"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6.5.4.2.2 工厂应减少材料（尤其是有害物质及化学品）的使用，评估有害物质及化学品减量使用或替代的可行性。</w:t>
      </w:r>
    </w:p>
    <w:p w14:paraId="73968402"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6.5.4.2.3 工厂应结合生产实际，对锡及锡合金生产系统中固废、废水进行回收利用。</w:t>
      </w:r>
    </w:p>
    <w:p w14:paraId="70534439"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6.5.4.2.4 工厂宜替代或减少全球增温趋势较高的温室气体的原辅材料使用。</w:t>
      </w:r>
    </w:p>
    <w:p w14:paraId="456D3684"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6.5.4.3  采购</w:t>
      </w:r>
    </w:p>
    <w:p w14:paraId="09D150E1"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6.5.4.3.1 工厂应制定并实施包括节能环保要求的选择、评价和重新评价供方的准则。</w:t>
      </w:r>
    </w:p>
    <w:p w14:paraId="3E1882EF"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6.5.4.3.2 工厂应对采购的产品实施检验或其他必要的活动，确保采购的产品满足规定的采购要求。</w:t>
      </w:r>
    </w:p>
    <w:p w14:paraId="4D63D155"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6.5.4.3.3 工厂宜向供方提供包括含有害物质使用、可回收材料使用、能效等要求的采购信息。</w:t>
      </w:r>
    </w:p>
    <w:p w14:paraId="096280CD" w14:textId="77777777" w:rsidR="00B50C5D" w:rsidRDefault="00FA0E9F">
      <w:pPr>
        <w:pStyle w:val="a7"/>
        <w:spacing w:beforeLines="50" w:before="156" w:afterLines="50" w:after="156"/>
        <w:ind w:firstLine="0"/>
        <w:rPr>
          <w:rFonts w:ascii="宋体" w:hAnsi="宋体" w:cs="宋体"/>
          <w:sz w:val="21"/>
          <w:szCs w:val="21"/>
        </w:rPr>
      </w:pPr>
      <w:r>
        <w:rPr>
          <w:rFonts w:ascii="宋体" w:hAnsi="宋体" w:cs="宋体" w:hint="eastAsia"/>
          <w:sz w:val="21"/>
          <w:szCs w:val="21"/>
        </w:rPr>
        <w:t>6.5.4.3.4 工厂采购宜满足T/GDGSCA_001绿色供应链管理评价导则的绿色供应链评价要求。</w:t>
      </w:r>
    </w:p>
    <w:p w14:paraId="22F3E090" w14:textId="77777777" w:rsidR="00B50C5D" w:rsidRDefault="00FA0E9F">
      <w:pPr>
        <w:pStyle w:val="a7"/>
        <w:spacing w:beforeLines="50" w:before="156" w:afterLines="50" w:after="156"/>
        <w:ind w:firstLineChars="200"/>
        <w:rPr>
          <w:rFonts w:ascii="宋体" w:hAnsi="宋体" w:cs="宋体"/>
          <w:sz w:val="21"/>
          <w:szCs w:val="21"/>
        </w:rPr>
      </w:pPr>
      <w:r>
        <w:rPr>
          <w:rFonts w:ascii="宋体" w:hAnsi="宋体" w:cs="宋体" w:hint="eastAsia"/>
          <w:sz w:val="21"/>
          <w:szCs w:val="21"/>
        </w:rPr>
        <w:t>分别从能源投入、资源投入和采购等方面进行规定。由于锡及锡合金属于节能重点行业，能源与资源投入是绿色工厂评价的重要部分，占比15%，能源与资源投入要求分为必选要求与可选要求，必选要求是工厂必须要满足的。</w:t>
      </w:r>
    </w:p>
    <w:p w14:paraId="00FAAE9C"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能源投入分别从优化生产结构和用能结构、能耗指标、充分利用余热余压、使用低碳清洁能源等方面进行了规定。</w:t>
      </w:r>
    </w:p>
    <w:p w14:paraId="2C09564A" w14:textId="77777777" w:rsidR="00B50C5D" w:rsidRPr="00D922BF" w:rsidRDefault="00FA0E9F">
      <w:pPr>
        <w:tabs>
          <w:tab w:val="left" w:pos="0"/>
        </w:tabs>
        <w:spacing w:line="300" w:lineRule="auto"/>
        <w:ind w:firstLineChars="200" w:firstLine="420"/>
        <w:rPr>
          <w:rFonts w:ascii="宋体" w:hAnsi="宋体" w:cs="宋体"/>
          <w:szCs w:val="21"/>
        </w:rPr>
      </w:pPr>
      <w:r>
        <w:rPr>
          <w:rFonts w:ascii="宋体" w:hAnsi="宋体" w:cs="宋体" w:hint="eastAsia"/>
          <w:szCs w:val="21"/>
        </w:rPr>
        <w:t>工厂宜做好能源选取的规划，优先采用可再生能源、清洁能源，减少不可再生能源投入，充分利用生产系统产生的余热，提高能源使用效率。优化生产工艺、多能源互补供能等方式，降低非清洁能源的使用率。</w:t>
      </w:r>
      <w:r w:rsidRPr="00D922BF">
        <w:rPr>
          <w:rFonts w:ascii="宋体" w:hAnsi="宋体" w:cs="宋体" w:hint="eastAsia"/>
          <w:szCs w:val="21"/>
        </w:rPr>
        <w:t>工厂能耗指标应符合相应行业规范或准入条件中能耗先进值要求，单位产品能耗满足国家、行业或地方现行的单位产品能源消耗限额标准先进值要求，如无相应锡及锡合金能耗限额标准，单位产品综合能耗指标水平应达到国内同类生产企业排名前20%企业的综合平均水平。</w:t>
      </w:r>
    </w:p>
    <w:p w14:paraId="7D401086" w14:textId="77777777" w:rsidR="00B50C5D" w:rsidRDefault="00FA0E9F">
      <w:pPr>
        <w:tabs>
          <w:tab w:val="left" w:pos="0"/>
        </w:tabs>
        <w:spacing w:line="300" w:lineRule="auto"/>
        <w:ind w:firstLineChars="200" w:firstLine="420"/>
        <w:rPr>
          <w:rFonts w:ascii="宋体" w:hAnsi="宋体" w:cs="宋体"/>
          <w:szCs w:val="21"/>
        </w:rPr>
      </w:pPr>
      <w:r>
        <w:rPr>
          <w:rFonts w:ascii="宋体" w:hAnsi="宋体" w:cs="宋体" w:hint="eastAsia"/>
          <w:szCs w:val="21"/>
        </w:rPr>
        <w:t>宜使用可再生能源替代不可再生能源，充分利用余热余压余能等过程中产生的二次能源宜回收利用。</w:t>
      </w:r>
    </w:p>
    <w:p w14:paraId="1DC6E080" w14:textId="77777777" w:rsidR="00B50C5D" w:rsidRDefault="00FA0E9F">
      <w:pPr>
        <w:spacing w:line="300" w:lineRule="auto"/>
        <w:ind w:firstLineChars="200" w:firstLine="420"/>
        <w:rPr>
          <w:rFonts w:ascii="宋体" w:hAnsi="宋体" w:cs="宋体"/>
          <w:szCs w:val="21"/>
        </w:rPr>
      </w:pPr>
      <w:r>
        <w:rPr>
          <w:rFonts w:ascii="宋体" w:hAnsi="宋体" w:cs="宋体" w:hint="eastAsia"/>
          <w:szCs w:val="21"/>
        </w:rPr>
        <w:lastRenderedPageBreak/>
        <w:t>锡及锡合金各工厂宜根据工厂自身条件，利用余热、余压等进行生产，从而达到实现工厂节能降耗的目的。</w:t>
      </w:r>
    </w:p>
    <w:p w14:paraId="719F5B73"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资源投入主要从节水、原料有害物质限制使用、节材与资源回收利用等角度提出要求。</w:t>
      </w:r>
    </w:p>
    <w:p w14:paraId="09843986"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目的是贯彻执行国家相关节水方针政策，合理利用水资源，提高用水效率，规范有色金属工业企业用水行为。</w:t>
      </w:r>
    </w:p>
    <w:p w14:paraId="309F8F24"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应减少原辅材料中有害物质使用。对原料进行控制的目的是加强熔铸工艺配置中对有害成分的回收和无害化，防止流失造成环境污染、毒害人、畜及其他生物。为保证工程质量、安全和节材，应淘汰能耗高、安全性能差，不符合“低碳”理念的材料。</w:t>
      </w:r>
    </w:p>
    <w:p w14:paraId="74431A29"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 xml:space="preserve">工厂宜使用回收料，用可回收材料替代新材料、不可回收材料，如在锡及锡合金熔铸时加入不同比例的废旧料代替锡新料使用。再生锡原料使用率应不低于5%，宜达到10%。 </w:t>
      </w:r>
    </w:p>
    <w:p w14:paraId="4D4F9F0A" w14:textId="77777777" w:rsidR="00B50C5D" w:rsidRDefault="00FA0E9F">
      <w:pPr>
        <w:ind w:firstLineChars="200" w:firstLine="420"/>
        <w:rPr>
          <w:rFonts w:ascii="宋体" w:hAnsi="宋体" w:cs="宋体"/>
          <w:szCs w:val="21"/>
        </w:rPr>
      </w:pPr>
      <w:r>
        <w:rPr>
          <w:rFonts w:ascii="宋体" w:hAnsi="宋体" w:cs="宋体" w:hint="eastAsia"/>
          <w:szCs w:val="21"/>
        </w:rPr>
        <w:t>采购方面分别从采购要求、供应商评价、绿色供应链等方面进行了规定，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02951E20" w14:textId="77777777" w:rsidR="00B50C5D" w:rsidRDefault="00FA0E9F">
      <w:pPr>
        <w:spacing w:line="360" w:lineRule="auto"/>
        <w:ind w:firstLine="435"/>
        <w:rPr>
          <w:rFonts w:ascii="宋体" w:hAnsi="宋体" w:cs="宋体"/>
          <w:szCs w:val="21"/>
        </w:rPr>
      </w:pPr>
      <w:r>
        <w:rPr>
          <w:rFonts w:ascii="宋体" w:hAnsi="宋体" w:cs="宋体" w:hint="eastAsia"/>
          <w:szCs w:val="21"/>
        </w:rPr>
        <w:t>绿色供应链的内容涉及到供应链的各个环节，其主要内容有绿色采购、绿色制造、绿色销售、绿色消费、绿色回收以及绿色物流。</w:t>
      </w:r>
    </w:p>
    <w:p w14:paraId="2DB15CC9" w14:textId="77777777" w:rsidR="00B50C5D" w:rsidRDefault="00FA0E9F">
      <w:pPr>
        <w:spacing w:line="360" w:lineRule="auto"/>
        <w:rPr>
          <w:rFonts w:ascii="宋体" w:hAnsi="宋体" w:cs="宋体"/>
          <w:szCs w:val="21"/>
        </w:rPr>
      </w:pPr>
      <w:r>
        <w:rPr>
          <w:rFonts w:ascii="宋体" w:hAnsi="宋体" w:cs="宋体" w:hint="eastAsia"/>
          <w:szCs w:val="21"/>
        </w:rPr>
        <w:t>6.5.5  产品</w:t>
      </w:r>
    </w:p>
    <w:p w14:paraId="0841567A" w14:textId="77777777" w:rsidR="00B50C5D" w:rsidRDefault="00FA0E9F">
      <w:pPr>
        <w:spacing w:line="360" w:lineRule="auto"/>
        <w:outlineLvl w:val="0"/>
        <w:rPr>
          <w:rFonts w:ascii="宋体" w:hAnsi="宋体" w:cs="宋体"/>
          <w:szCs w:val="21"/>
        </w:rPr>
      </w:pPr>
      <w:bookmarkStart w:id="15" w:name="_Toc46929943"/>
      <w:r>
        <w:rPr>
          <w:rFonts w:ascii="宋体" w:hAnsi="宋体" w:cs="宋体" w:hint="eastAsia"/>
          <w:szCs w:val="21"/>
        </w:rPr>
        <w:t>6.5.5.1 生态设计</w:t>
      </w:r>
      <w:bookmarkEnd w:id="15"/>
    </w:p>
    <w:p w14:paraId="4D9F4D6D" w14:textId="77777777" w:rsidR="00B50C5D" w:rsidRDefault="00FA0E9F">
      <w:pPr>
        <w:spacing w:line="360" w:lineRule="auto"/>
        <w:rPr>
          <w:rFonts w:ascii="宋体" w:hAnsi="宋体" w:cs="宋体"/>
          <w:szCs w:val="21"/>
        </w:rPr>
      </w:pPr>
      <w:r>
        <w:rPr>
          <w:rFonts w:ascii="宋体" w:hAnsi="宋体" w:cs="宋体" w:hint="eastAsia"/>
          <w:szCs w:val="21"/>
        </w:rPr>
        <w:t>6.5.1.1 工厂应在产品设计中引入生态设计的理念，产品应按照T/CNIA0033进行评价。</w:t>
      </w:r>
    </w:p>
    <w:p w14:paraId="736A36E5" w14:textId="77777777" w:rsidR="00B50C5D" w:rsidRDefault="00FA0E9F">
      <w:pPr>
        <w:spacing w:line="360" w:lineRule="auto"/>
        <w:rPr>
          <w:rFonts w:ascii="宋体" w:hAnsi="宋体" w:cs="宋体"/>
          <w:szCs w:val="21"/>
        </w:rPr>
      </w:pPr>
      <w:r>
        <w:rPr>
          <w:rFonts w:ascii="宋体" w:hAnsi="宋体" w:cs="宋体" w:hint="eastAsia"/>
          <w:szCs w:val="21"/>
        </w:rPr>
        <w:t xml:space="preserve">6.5.5.1.2 工厂宜按照GB/T 24256对生产的产品进行生态设计，并按照GB/T 32161 及T/CNIA0033对生产的产品进行生态设计产品评价。 </w:t>
      </w:r>
    </w:p>
    <w:p w14:paraId="4CC8E966" w14:textId="77777777" w:rsidR="00B50C5D" w:rsidRDefault="00FA0E9F">
      <w:pPr>
        <w:spacing w:line="360" w:lineRule="auto"/>
        <w:outlineLvl w:val="0"/>
        <w:rPr>
          <w:rFonts w:ascii="宋体" w:hAnsi="宋体" w:cs="宋体"/>
          <w:szCs w:val="21"/>
        </w:rPr>
      </w:pPr>
      <w:bookmarkStart w:id="16" w:name="_Toc46929944"/>
      <w:r>
        <w:rPr>
          <w:rFonts w:ascii="宋体" w:hAnsi="宋体" w:cs="宋体" w:hint="eastAsia"/>
          <w:szCs w:val="21"/>
        </w:rPr>
        <w:t>6.5.5.2 有害物质使用</w:t>
      </w:r>
      <w:bookmarkEnd w:id="16"/>
    </w:p>
    <w:p w14:paraId="52AED1C9" w14:textId="77777777" w:rsidR="00B50C5D" w:rsidRDefault="00FA0E9F">
      <w:pPr>
        <w:spacing w:line="360" w:lineRule="auto"/>
        <w:rPr>
          <w:rFonts w:ascii="宋体" w:hAnsi="宋体" w:cs="宋体"/>
          <w:szCs w:val="21"/>
        </w:rPr>
      </w:pPr>
      <w:r>
        <w:rPr>
          <w:rFonts w:ascii="宋体" w:hAnsi="宋体" w:cs="宋体" w:hint="eastAsia"/>
          <w:szCs w:val="21"/>
        </w:rPr>
        <w:t>6.5.5.2.1 工厂生产的产品应减少有害物质的使用，避免有害物质的泄露，满足国家对产品中有害物质限制使用的要求。</w:t>
      </w:r>
    </w:p>
    <w:p w14:paraId="17B2DCCC" w14:textId="77777777" w:rsidR="00B50C5D" w:rsidRDefault="00FA0E9F">
      <w:pPr>
        <w:spacing w:line="360" w:lineRule="auto"/>
        <w:rPr>
          <w:rFonts w:ascii="宋体" w:hAnsi="宋体" w:cs="宋体"/>
          <w:szCs w:val="21"/>
        </w:rPr>
      </w:pPr>
      <w:r>
        <w:rPr>
          <w:rFonts w:ascii="宋体" w:hAnsi="宋体" w:cs="宋体" w:hint="eastAsia"/>
          <w:szCs w:val="21"/>
        </w:rPr>
        <w:t>6.5.5.2.2 工厂有毒有害物质的贮存、输送、生产和使用的场所，应设置环境/安全风险防范和应急处理设施。</w:t>
      </w:r>
    </w:p>
    <w:p w14:paraId="43CD2A3E" w14:textId="77777777" w:rsidR="00B50C5D" w:rsidRDefault="00FA0E9F">
      <w:pPr>
        <w:spacing w:line="360" w:lineRule="auto"/>
        <w:outlineLvl w:val="0"/>
        <w:rPr>
          <w:rFonts w:ascii="宋体" w:hAnsi="宋体" w:cs="宋体"/>
          <w:szCs w:val="21"/>
        </w:rPr>
      </w:pPr>
      <w:bookmarkStart w:id="17" w:name="_Toc46929945"/>
      <w:r>
        <w:rPr>
          <w:rFonts w:ascii="宋体" w:hAnsi="宋体" w:cs="宋体" w:hint="eastAsia"/>
          <w:szCs w:val="21"/>
        </w:rPr>
        <w:t>6.5.5.3 减碳</w:t>
      </w:r>
      <w:bookmarkEnd w:id="17"/>
    </w:p>
    <w:p w14:paraId="30DA65D7"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工厂宜采用GB/T32150等适用的标准或规范对生产的产品进行碳足迹核算或核查，核算或核查的结果宜对外公布，并利用核算结果对其产品的碳足迹进行改善。</w:t>
      </w:r>
    </w:p>
    <w:p w14:paraId="4581B05D" w14:textId="77777777" w:rsidR="00B50C5D" w:rsidRDefault="00FA0E9F">
      <w:pPr>
        <w:pStyle w:val="a5"/>
        <w:spacing w:line="300" w:lineRule="auto"/>
        <w:ind w:firstLineChars="202" w:firstLine="424"/>
        <w:jc w:val="both"/>
        <w:rPr>
          <w:rFonts w:ascii="宋体" w:hAnsi="宋体" w:cs="宋体"/>
          <w:szCs w:val="21"/>
        </w:rPr>
      </w:pPr>
      <w:r>
        <w:rPr>
          <w:rFonts w:ascii="宋体" w:hAnsi="宋体" w:cs="宋体" w:hint="eastAsia"/>
          <w:szCs w:val="21"/>
        </w:rPr>
        <w:t>本章节分别从绿色（生态）设计、有害物质使用、减碳等方面进行规定。</w:t>
      </w:r>
    </w:p>
    <w:p w14:paraId="1B57AFA9"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绿色（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w:t>
      </w:r>
      <w:r>
        <w:rPr>
          <w:rFonts w:ascii="宋体" w:hAnsi="宋体" w:cs="宋体" w:hint="eastAsia"/>
          <w:szCs w:val="21"/>
        </w:rPr>
        <w:lastRenderedPageBreak/>
        <w:t>动主要包含两方面的涵义，一是从保护环境角度考虑，减少资源消耗、实现可持续发展战略；二是从商业角度考虑，降低成本、减少潜在的责任风险，以提高竞争能力。</w:t>
      </w:r>
    </w:p>
    <w:p w14:paraId="0DFAB200" w14:textId="77777777" w:rsidR="00B50C5D" w:rsidRDefault="00FA0E9F">
      <w:pPr>
        <w:pStyle w:val="a7"/>
        <w:spacing w:line="360" w:lineRule="auto"/>
        <w:ind w:firstLineChars="200"/>
        <w:rPr>
          <w:rFonts w:ascii="宋体" w:hAnsi="宋体" w:cs="宋体"/>
          <w:sz w:val="21"/>
          <w:szCs w:val="21"/>
        </w:rPr>
      </w:pPr>
      <w:r>
        <w:rPr>
          <w:rFonts w:ascii="宋体" w:hAnsi="宋体" w:cs="宋体" w:hint="eastAsia"/>
          <w:sz w:val="21"/>
          <w:szCs w:val="21"/>
        </w:rPr>
        <w:t>工厂生产的产品应替代或减少有害物质的使用。有毒有害物质的贮存、运输、生产和使用场所，应设置环境风险防范和应急处理设施。</w:t>
      </w:r>
    </w:p>
    <w:p w14:paraId="658B680A"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产品的有害物质使用是从绿色生产的角度来考虑，产品应符合国家出台的相应产品质量标准。在生产过程中，最大限度地避免或减少对人体伤害和环境污染，避免有害物质的泄露，满足国家对产品中有害物质限制使用的要求。</w:t>
      </w:r>
    </w:p>
    <w:p w14:paraId="302330C2" w14:textId="77777777" w:rsidR="00B50C5D" w:rsidRDefault="00FA0E9F">
      <w:pPr>
        <w:pStyle w:val="a5"/>
        <w:ind w:firstLineChars="200" w:firstLine="420"/>
        <w:jc w:val="both"/>
        <w:rPr>
          <w:rFonts w:ascii="宋体" w:hAnsi="宋体" w:cs="宋体"/>
          <w:szCs w:val="21"/>
        </w:rPr>
      </w:pPr>
      <w:r>
        <w:rPr>
          <w:rFonts w:ascii="宋体" w:hAnsi="宋体" w:cs="宋体" w:hint="eastAsia"/>
          <w:szCs w:val="21"/>
        </w:rPr>
        <w:t>节能强调工厂生产的产品生产能耗应满足国家及行业相关标准先进值的要求。</w:t>
      </w:r>
    </w:p>
    <w:p w14:paraId="5112563F"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工厂宜采用适用的标准或规范对生产的产品进行碳足迹核算或核查，核算或核查的结果宜对外公布并利用核算结果对其产品的碳足迹进行改善。</w:t>
      </w:r>
    </w:p>
    <w:p w14:paraId="47838B93"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对于碳足迹，企业可参考ISO/TS 14067：2013《温室气体 产品碳足迹 关于量化和通报的要求和指南》和PAS 2050：201《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14:paraId="1C8E5455" w14:textId="77777777" w:rsidR="00B50C5D" w:rsidRDefault="00FA0E9F">
      <w:pPr>
        <w:spacing w:line="360" w:lineRule="auto"/>
        <w:rPr>
          <w:rFonts w:ascii="宋体" w:hAnsi="宋体" w:cs="宋体"/>
          <w:bCs/>
          <w:szCs w:val="21"/>
        </w:rPr>
      </w:pPr>
      <w:r>
        <w:rPr>
          <w:rFonts w:ascii="宋体" w:hAnsi="宋体" w:cs="宋体" w:hint="eastAsia"/>
          <w:bCs/>
          <w:szCs w:val="21"/>
        </w:rPr>
        <w:t>6.5.6 环境排放要求</w:t>
      </w:r>
    </w:p>
    <w:p w14:paraId="1B45F0C3" w14:textId="77777777" w:rsidR="00B50C5D" w:rsidRDefault="00FA0E9F">
      <w:pPr>
        <w:spacing w:line="360" w:lineRule="auto"/>
        <w:outlineLvl w:val="0"/>
        <w:rPr>
          <w:rFonts w:ascii="宋体" w:hAnsi="宋体" w:cs="宋体"/>
          <w:szCs w:val="21"/>
        </w:rPr>
      </w:pPr>
      <w:bookmarkStart w:id="18" w:name="_Toc46929947"/>
      <w:bookmarkStart w:id="19" w:name="_Toc5846381"/>
      <w:r>
        <w:rPr>
          <w:rFonts w:ascii="宋体" w:hAnsi="宋体" w:cs="宋体" w:hint="eastAsia"/>
          <w:szCs w:val="21"/>
        </w:rPr>
        <w:t>6.5.6.1  大气污染物</w:t>
      </w:r>
      <w:bookmarkEnd w:id="18"/>
      <w:bookmarkEnd w:id="19"/>
    </w:p>
    <w:p w14:paraId="65321EF0" w14:textId="77777777" w:rsidR="00B50C5D" w:rsidRDefault="00FA0E9F">
      <w:pPr>
        <w:spacing w:line="360" w:lineRule="auto"/>
        <w:rPr>
          <w:rFonts w:ascii="宋体" w:hAnsi="宋体" w:cs="宋体"/>
          <w:szCs w:val="21"/>
        </w:rPr>
      </w:pPr>
      <w:r>
        <w:rPr>
          <w:rFonts w:ascii="宋体" w:hAnsi="宋体" w:cs="宋体" w:hint="eastAsia"/>
          <w:szCs w:val="21"/>
        </w:rPr>
        <w:t>6.5.6.1.1 工厂大气污染物排放及排放量应符合GB16297、</w:t>
      </w:r>
      <w:r>
        <w:rPr>
          <w:rStyle w:val="af"/>
          <w:rFonts w:ascii="宋体" w:hAnsi="宋体" w:cs="宋体" w:hint="eastAsia"/>
          <w:i w:val="0"/>
          <w:iCs w:val="0"/>
          <w:szCs w:val="21"/>
        </w:rPr>
        <w:t>GB</w:t>
      </w:r>
      <w:r>
        <w:rPr>
          <w:rFonts w:ascii="宋体" w:hAnsi="宋体" w:cs="宋体" w:hint="eastAsia"/>
          <w:szCs w:val="21"/>
        </w:rPr>
        <w:t>9078或地方主要污染物排放总量控制规定，并满足HJ 942关于排污许可和环境管理的要求。</w:t>
      </w:r>
    </w:p>
    <w:p w14:paraId="4ED9BC92" w14:textId="77777777" w:rsidR="00B50C5D" w:rsidRDefault="00FA0E9F">
      <w:pPr>
        <w:spacing w:line="360" w:lineRule="auto"/>
        <w:rPr>
          <w:rFonts w:ascii="宋体" w:hAnsi="宋体" w:cs="宋体"/>
          <w:szCs w:val="21"/>
        </w:rPr>
      </w:pPr>
      <w:r>
        <w:rPr>
          <w:rFonts w:ascii="宋体" w:hAnsi="宋体" w:cs="宋体" w:hint="eastAsia"/>
          <w:szCs w:val="21"/>
        </w:rPr>
        <w:t>6.5.6.1.2 工厂应建立大气污染物排放台账，按HJ819开展自行监测和监控，保存原始监测和监控记录。</w:t>
      </w:r>
    </w:p>
    <w:p w14:paraId="12240FA6" w14:textId="77777777" w:rsidR="00B50C5D" w:rsidRDefault="00FA0E9F">
      <w:pPr>
        <w:spacing w:line="360" w:lineRule="auto"/>
        <w:rPr>
          <w:rFonts w:ascii="宋体" w:hAnsi="宋体" w:cs="宋体"/>
          <w:szCs w:val="21"/>
        </w:rPr>
      </w:pPr>
      <w:r>
        <w:rPr>
          <w:rFonts w:ascii="宋体" w:hAnsi="宋体" w:cs="宋体" w:hint="eastAsia"/>
          <w:szCs w:val="21"/>
        </w:rPr>
        <w:t>6.5.6.1.3 工厂宜在主要废气排放口建设配套的在线污染物监测设施并与当地环保部门联网。主要大气污染物排放宜满足标准中更高等级的要求。</w:t>
      </w:r>
    </w:p>
    <w:p w14:paraId="0C790848" w14:textId="77777777" w:rsidR="00B50C5D" w:rsidRDefault="00FA0E9F">
      <w:pPr>
        <w:spacing w:line="360" w:lineRule="auto"/>
        <w:outlineLvl w:val="0"/>
        <w:rPr>
          <w:rFonts w:ascii="宋体" w:hAnsi="宋体" w:cs="宋体"/>
          <w:szCs w:val="21"/>
        </w:rPr>
      </w:pPr>
      <w:bookmarkStart w:id="20" w:name="_Toc46929948"/>
      <w:bookmarkStart w:id="21" w:name="_Toc5846382"/>
      <w:r>
        <w:rPr>
          <w:rFonts w:ascii="宋体" w:hAnsi="宋体" w:cs="宋体" w:hint="eastAsia"/>
          <w:szCs w:val="21"/>
        </w:rPr>
        <w:t>6.5.6.2  水体污染物</w:t>
      </w:r>
      <w:bookmarkEnd w:id="20"/>
      <w:bookmarkEnd w:id="21"/>
    </w:p>
    <w:p w14:paraId="1A3F75BF" w14:textId="77777777" w:rsidR="00B50C5D" w:rsidRDefault="00FA0E9F">
      <w:pPr>
        <w:spacing w:line="360" w:lineRule="auto"/>
        <w:rPr>
          <w:rFonts w:ascii="宋体" w:hAnsi="宋体" w:cs="宋体"/>
          <w:szCs w:val="21"/>
        </w:rPr>
      </w:pPr>
      <w:r>
        <w:rPr>
          <w:rFonts w:ascii="宋体" w:hAnsi="宋体" w:cs="宋体" w:hint="eastAsia"/>
          <w:szCs w:val="21"/>
        </w:rPr>
        <w:t>6.5.6.2.1 工厂水体污染物排放及排放量应符合GB8978或地方污染物排放要求和主要污染物排放总量控制规定</w:t>
      </w:r>
      <w:bookmarkStart w:id="22" w:name="_Hlk47821803"/>
      <w:r>
        <w:rPr>
          <w:rFonts w:ascii="宋体" w:hAnsi="宋体" w:cs="宋体" w:hint="eastAsia"/>
          <w:szCs w:val="21"/>
        </w:rPr>
        <w:t>，并满足HJ942关于排污许可和环境管理的要求。</w:t>
      </w:r>
    </w:p>
    <w:bookmarkEnd w:id="22"/>
    <w:p w14:paraId="0F94CDB9" w14:textId="77777777" w:rsidR="00B50C5D" w:rsidRDefault="00FA0E9F">
      <w:pPr>
        <w:spacing w:line="360" w:lineRule="auto"/>
        <w:rPr>
          <w:rFonts w:ascii="宋体" w:hAnsi="宋体" w:cs="宋体"/>
          <w:szCs w:val="21"/>
        </w:rPr>
      </w:pPr>
      <w:r>
        <w:rPr>
          <w:rFonts w:ascii="宋体" w:hAnsi="宋体" w:cs="宋体" w:hint="eastAsia"/>
          <w:szCs w:val="21"/>
        </w:rPr>
        <w:t>6.5.6.2.2 工厂废水应清污分流、分类收集、分质处理。</w:t>
      </w:r>
    </w:p>
    <w:p w14:paraId="5AA4E18F" w14:textId="77777777" w:rsidR="00B50C5D" w:rsidRDefault="00FA0E9F">
      <w:pPr>
        <w:spacing w:line="360" w:lineRule="auto"/>
        <w:rPr>
          <w:rFonts w:ascii="宋体" w:hAnsi="宋体" w:cs="宋体"/>
          <w:szCs w:val="21"/>
        </w:rPr>
      </w:pPr>
      <w:r>
        <w:rPr>
          <w:rFonts w:ascii="宋体" w:hAnsi="宋体" w:cs="宋体" w:hint="eastAsia"/>
          <w:szCs w:val="21"/>
        </w:rPr>
        <w:t>6.5.6.2.3 工厂应加强防渗措施，防止地下水污染。</w:t>
      </w:r>
    </w:p>
    <w:p w14:paraId="026E235D" w14:textId="77777777" w:rsidR="00B50C5D" w:rsidRDefault="00FA0E9F">
      <w:pPr>
        <w:spacing w:line="360" w:lineRule="auto"/>
        <w:rPr>
          <w:rFonts w:ascii="宋体" w:hAnsi="宋体" w:cs="宋体"/>
          <w:szCs w:val="21"/>
        </w:rPr>
      </w:pPr>
      <w:r>
        <w:rPr>
          <w:rFonts w:ascii="宋体" w:hAnsi="宋体" w:cs="宋体" w:hint="eastAsia"/>
          <w:szCs w:val="21"/>
        </w:rPr>
        <w:t>6.5.6.2.4 工厂应建立水污染物排放台账，按HJ819要求开展自行监测和监控，并保存原始监测和监控记录。</w:t>
      </w:r>
    </w:p>
    <w:p w14:paraId="564F564A" w14:textId="77777777" w:rsidR="00B50C5D" w:rsidRDefault="00FA0E9F">
      <w:pPr>
        <w:spacing w:line="360" w:lineRule="auto"/>
        <w:rPr>
          <w:rFonts w:ascii="宋体" w:hAnsi="宋体" w:cs="宋体"/>
          <w:szCs w:val="21"/>
        </w:rPr>
      </w:pPr>
      <w:r>
        <w:rPr>
          <w:rFonts w:ascii="宋体" w:hAnsi="宋体" w:cs="宋体" w:hint="eastAsia"/>
          <w:szCs w:val="21"/>
        </w:rPr>
        <w:t>6.5.6.2.5 工厂宜在厂区污水排放口建设配套在线污染物监测设施并与当地环保部门联网。</w:t>
      </w:r>
    </w:p>
    <w:p w14:paraId="3CAE34DE" w14:textId="77777777" w:rsidR="00B50C5D" w:rsidRDefault="00FA0E9F">
      <w:pPr>
        <w:spacing w:line="360" w:lineRule="auto"/>
        <w:rPr>
          <w:rFonts w:ascii="宋体" w:hAnsi="宋体" w:cs="宋体"/>
          <w:szCs w:val="21"/>
        </w:rPr>
      </w:pPr>
      <w:r>
        <w:rPr>
          <w:rFonts w:ascii="宋体" w:hAnsi="宋体" w:cs="宋体" w:hint="eastAsia"/>
          <w:szCs w:val="21"/>
        </w:rPr>
        <w:t>6.5.6.2.6 工厂主要水污染物排放宜满足标准中更高等级的要求。</w:t>
      </w:r>
    </w:p>
    <w:p w14:paraId="022F0D48" w14:textId="77777777" w:rsidR="00B50C5D" w:rsidRDefault="00FA0E9F">
      <w:pPr>
        <w:spacing w:line="360" w:lineRule="auto"/>
        <w:outlineLvl w:val="0"/>
        <w:rPr>
          <w:rFonts w:ascii="宋体" w:hAnsi="宋体" w:cs="宋体"/>
          <w:szCs w:val="21"/>
        </w:rPr>
      </w:pPr>
      <w:bookmarkStart w:id="23" w:name="_Toc5846383"/>
      <w:bookmarkStart w:id="24" w:name="_Toc46929949"/>
      <w:r>
        <w:rPr>
          <w:rFonts w:ascii="宋体" w:hAnsi="宋体" w:cs="宋体" w:hint="eastAsia"/>
          <w:szCs w:val="21"/>
        </w:rPr>
        <w:lastRenderedPageBreak/>
        <w:t>6.5.6.3  固体废物</w:t>
      </w:r>
      <w:bookmarkEnd w:id="23"/>
      <w:bookmarkEnd w:id="24"/>
    </w:p>
    <w:p w14:paraId="621D3475" w14:textId="77777777" w:rsidR="00B50C5D" w:rsidRDefault="00FA0E9F">
      <w:pPr>
        <w:spacing w:line="360" w:lineRule="auto"/>
        <w:rPr>
          <w:rFonts w:ascii="宋体" w:hAnsi="宋体" w:cs="宋体"/>
          <w:szCs w:val="21"/>
        </w:rPr>
      </w:pPr>
      <w:bookmarkStart w:id="25" w:name="_Toc5846384"/>
      <w:r>
        <w:rPr>
          <w:rFonts w:ascii="宋体" w:hAnsi="宋体" w:cs="宋体" w:hint="eastAsia"/>
          <w:szCs w:val="21"/>
        </w:rPr>
        <w:t>6.5.6.3.1 工厂固体废物的贮存、转移和处置应符合GB18597、GB18598和GB18599等相关标准的规定，在分类收集和处理固体废物的过程中采取无二次污染的预防措施。</w:t>
      </w:r>
    </w:p>
    <w:p w14:paraId="15725A47" w14:textId="77777777" w:rsidR="00B50C5D" w:rsidRDefault="00FA0E9F">
      <w:pPr>
        <w:spacing w:line="360" w:lineRule="auto"/>
        <w:rPr>
          <w:rFonts w:ascii="宋体" w:hAnsi="宋体" w:cs="宋体"/>
          <w:szCs w:val="21"/>
        </w:rPr>
      </w:pPr>
      <w:r>
        <w:rPr>
          <w:rFonts w:ascii="宋体" w:hAnsi="宋体" w:cs="宋体" w:hint="eastAsia"/>
          <w:szCs w:val="21"/>
        </w:rPr>
        <w:t>6.5.6.3.2 工厂无法自行处理的危险废物，应委托具有能力和资质的企业进行危险废物处理。</w:t>
      </w:r>
    </w:p>
    <w:p w14:paraId="5EFE243E" w14:textId="77777777" w:rsidR="00B50C5D" w:rsidRDefault="00FA0E9F">
      <w:pPr>
        <w:spacing w:line="360" w:lineRule="auto"/>
        <w:rPr>
          <w:rFonts w:ascii="宋体" w:hAnsi="宋体" w:cs="宋体"/>
          <w:szCs w:val="21"/>
        </w:rPr>
      </w:pPr>
      <w:r>
        <w:rPr>
          <w:rFonts w:ascii="宋体" w:hAnsi="宋体" w:cs="宋体" w:hint="eastAsia"/>
          <w:szCs w:val="21"/>
        </w:rPr>
        <w:t>6.5.6.3.3  工厂应建立危险固体废物处置台账，并保存处理记录。</w:t>
      </w:r>
    </w:p>
    <w:p w14:paraId="56C13F2E" w14:textId="77777777" w:rsidR="00B50C5D" w:rsidRDefault="00FA0E9F">
      <w:pPr>
        <w:spacing w:line="360" w:lineRule="auto"/>
        <w:rPr>
          <w:rFonts w:ascii="宋体" w:hAnsi="宋体" w:cs="宋体"/>
          <w:szCs w:val="21"/>
        </w:rPr>
      </w:pPr>
      <w:r>
        <w:rPr>
          <w:rFonts w:ascii="宋体" w:hAnsi="宋体" w:cs="宋体" w:hint="eastAsia"/>
          <w:szCs w:val="21"/>
        </w:rPr>
        <w:t>6.5.6.3.4 工厂宜针对自身产生的固体废物采用减量化、无害化、资源化的方式处理、处置和利用。</w:t>
      </w:r>
    </w:p>
    <w:p w14:paraId="4EA1ADB0" w14:textId="77777777" w:rsidR="00B50C5D" w:rsidRDefault="00FA0E9F">
      <w:pPr>
        <w:spacing w:line="360" w:lineRule="auto"/>
        <w:outlineLvl w:val="0"/>
        <w:rPr>
          <w:rFonts w:ascii="宋体" w:hAnsi="宋体" w:cs="宋体"/>
          <w:szCs w:val="21"/>
        </w:rPr>
      </w:pPr>
      <w:bookmarkStart w:id="26" w:name="_Toc46929950"/>
      <w:r>
        <w:rPr>
          <w:rFonts w:ascii="宋体" w:hAnsi="宋体" w:cs="宋体" w:hint="eastAsia"/>
          <w:szCs w:val="21"/>
        </w:rPr>
        <w:t>6.5.6.4  噪声</w:t>
      </w:r>
      <w:bookmarkEnd w:id="25"/>
      <w:bookmarkEnd w:id="26"/>
    </w:p>
    <w:p w14:paraId="2B911AF2" w14:textId="77777777" w:rsidR="00B50C5D" w:rsidRDefault="00FA0E9F">
      <w:pPr>
        <w:spacing w:line="360" w:lineRule="auto"/>
        <w:ind w:firstLineChars="200" w:firstLine="420"/>
        <w:rPr>
          <w:rFonts w:ascii="宋体" w:hAnsi="宋体" w:cs="宋体"/>
          <w:strike/>
          <w:szCs w:val="21"/>
        </w:rPr>
      </w:pPr>
      <w:bookmarkStart w:id="27" w:name="_Toc5846385"/>
      <w:r>
        <w:rPr>
          <w:rFonts w:ascii="宋体" w:hAnsi="宋体" w:cs="宋体" w:hint="eastAsia"/>
          <w:szCs w:val="21"/>
        </w:rPr>
        <w:t>工厂厂界噪声排放应符合GB12348或地方污染物排放要求和主要污染物排放总量控制规定，并满足HJ936关于排污许可和环境管理的要求。</w:t>
      </w:r>
    </w:p>
    <w:p w14:paraId="78C37FDD" w14:textId="77777777" w:rsidR="00B50C5D" w:rsidRDefault="00FA0E9F">
      <w:pPr>
        <w:spacing w:line="360" w:lineRule="auto"/>
        <w:outlineLvl w:val="0"/>
        <w:rPr>
          <w:rFonts w:ascii="宋体" w:hAnsi="宋体" w:cs="宋体"/>
          <w:szCs w:val="21"/>
        </w:rPr>
      </w:pPr>
      <w:bookmarkStart w:id="28" w:name="_Toc46929951"/>
      <w:r>
        <w:rPr>
          <w:rFonts w:ascii="宋体" w:hAnsi="宋体" w:cs="宋体" w:hint="eastAsia"/>
          <w:szCs w:val="21"/>
        </w:rPr>
        <w:t>6.5.6.5  温室气体排放</w:t>
      </w:r>
      <w:bookmarkEnd w:id="27"/>
      <w:bookmarkEnd w:id="28"/>
    </w:p>
    <w:p w14:paraId="7F0D4C33" w14:textId="77777777" w:rsidR="00B50C5D" w:rsidRDefault="00FA0E9F">
      <w:pPr>
        <w:spacing w:line="360" w:lineRule="auto"/>
        <w:rPr>
          <w:rFonts w:ascii="宋体" w:hAnsi="宋体" w:cs="宋体"/>
          <w:szCs w:val="21"/>
        </w:rPr>
      </w:pPr>
      <w:r>
        <w:rPr>
          <w:rFonts w:ascii="宋体" w:hAnsi="宋体" w:cs="宋体" w:hint="eastAsia"/>
          <w:szCs w:val="21"/>
        </w:rPr>
        <w:t>6.5.6.5.1 工厂应采用GB/T32150或适用的标准对其厂界范围内的温室气体排放进行核算和报告；</w:t>
      </w:r>
    </w:p>
    <w:p w14:paraId="3C3137BD" w14:textId="77777777" w:rsidR="00B50C5D" w:rsidRDefault="00FA0E9F">
      <w:pPr>
        <w:spacing w:line="360" w:lineRule="auto"/>
        <w:rPr>
          <w:rFonts w:ascii="宋体" w:hAnsi="宋体" w:cs="宋体"/>
          <w:szCs w:val="21"/>
        </w:rPr>
      </w:pPr>
      <w:r>
        <w:rPr>
          <w:rFonts w:ascii="宋体" w:hAnsi="宋体" w:cs="宋体" w:hint="eastAsia"/>
          <w:szCs w:val="21"/>
        </w:rPr>
        <w:t>6.5.6.5.2 工厂宜进行温室气体核查，核查结果宜对外公布。</w:t>
      </w:r>
    </w:p>
    <w:p w14:paraId="47342733" w14:textId="77777777" w:rsidR="00B50C5D" w:rsidRDefault="00FA0E9F">
      <w:pPr>
        <w:spacing w:line="360" w:lineRule="auto"/>
        <w:rPr>
          <w:rFonts w:ascii="宋体" w:hAnsi="宋体" w:cs="宋体"/>
          <w:szCs w:val="21"/>
        </w:rPr>
      </w:pPr>
      <w:r>
        <w:rPr>
          <w:rFonts w:ascii="宋体" w:hAnsi="宋体" w:cs="宋体" w:hint="eastAsia"/>
          <w:szCs w:val="21"/>
        </w:rPr>
        <w:t>6.5.6.5.3 可行时，工厂宜利用核算或核查结果对其温室气体的排放进行改善。</w:t>
      </w:r>
    </w:p>
    <w:p w14:paraId="36D0ABB1" w14:textId="77777777" w:rsidR="00B50C5D" w:rsidRDefault="00FA0E9F">
      <w:pPr>
        <w:pStyle w:val="a5"/>
        <w:ind w:firstLineChars="200" w:firstLine="420"/>
        <w:jc w:val="both"/>
        <w:rPr>
          <w:rFonts w:ascii="宋体" w:hAnsi="宋体" w:cs="宋体"/>
          <w:szCs w:val="21"/>
        </w:rPr>
      </w:pPr>
      <w:r>
        <w:rPr>
          <w:rFonts w:ascii="宋体" w:hAnsi="宋体" w:cs="宋体" w:hint="eastAsia"/>
          <w:szCs w:val="21"/>
        </w:rPr>
        <w:t>分别从大气污染物排放、水污染物排放、固体废物处置、噪声防治及温室气体等方面进行了规定。</w:t>
      </w:r>
    </w:p>
    <w:p w14:paraId="7E5768CF"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 xml:space="preserve">关于锡及锡合金生产企业执行的大气污染排放标准有：GB9078《工业炉窑大气污染物排放标准》、GB 16297《大气污染物综合排放标准》同时废气排放还需满足行业及地方大气污染物排放标准要求。  </w:t>
      </w:r>
    </w:p>
    <w:p w14:paraId="7A5CC049"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水污染物排放标准有：GB 8978《污水综合排放标准》，同时废水排放还需符合行业及地方水污染排放标准的要求。</w:t>
      </w:r>
    </w:p>
    <w:p w14:paraId="5349B0B9"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根据《中华人民共和国环境保护法》（2015.01.01施行），国家依照法律规定实行排污许可管理制度。实行排污许可管理的企业事业单位和其他生产经营者应当按照排污许可证的要求排放污染物。未取得排污许可证的，不得排放污染物。</w:t>
      </w:r>
    </w:p>
    <w:p w14:paraId="4D0D7AF4"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 xml:space="preserve">固体废物应按照GB 5085《危险废物鉴别标准》、GB34330《固体废物鉴别标准 通则》、《国家危险废物名录》等要求进行性质判定，明确固体废物类别，并采取相应污染防治措施。企业无法自行处置的固体废物，需委托具有能力和资质的企业进行固体废物处置。危险废物严格按照国家危险废物管理要求进行管理。   </w:t>
      </w:r>
    </w:p>
    <w:p w14:paraId="1932C300"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通过调研发现，目前锡及锡合金的危废包含三大类：锡火法冶炼的渣、废活性炭、废矿物油，处理方式均为交有资质的处理机构进行处理，详见表2。</w:t>
      </w:r>
    </w:p>
    <w:p w14:paraId="4B6FA11B"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表2 危险废物清单</w:t>
      </w:r>
    </w:p>
    <w:tbl>
      <w:tblPr>
        <w:tblStyle w:val="ad"/>
        <w:tblW w:w="9286" w:type="dxa"/>
        <w:jc w:val="center"/>
        <w:tblLayout w:type="fixed"/>
        <w:tblLook w:val="04A0" w:firstRow="1" w:lastRow="0" w:firstColumn="1" w:lastColumn="0" w:noHBand="0" w:noVBand="1"/>
      </w:tblPr>
      <w:tblGrid>
        <w:gridCol w:w="4629"/>
        <w:gridCol w:w="4657"/>
      </w:tblGrid>
      <w:tr w:rsidR="00B50C5D" w14:paraId="321EDD38" w14:textId="77777777">
        <w:trPr>
          <w:jc w:val="center"/>
        </w:trPr>
        <w:tc>
          <w:tcPr>
            <w:tcW w:w="4629" w:type="dxa"/>
            <w:tcBorders>
              <w:top w:val="single" w:sz="8" w:space="0" w:color="auto"/>
              <w:left w:val="single" w:sz="8" w:space="0" w:color="auto"/>
              <w:bottom w:val="single" w:sz="8" w:space="0" w:color="auto"/>
            </w:tcBorders>
            <w:vAlign w:val="center"/>
          </w:tcPr>
          <w:p w14:paraId="148454F0"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危废名称</w:t>
            </w:r>
          </w:p>
        </w:tc>
        <w:tc>
          <w:tcPr>
            <w:tcW w:w="4657" w:type="dxa"/>
            <w:tcBorders>
              <w:top w:val="single" w:sz="8" w:space="0" w:color="auto"/>
              <w:bottom w:val="single" w:sz="8" w:space="0" w:color="auto"/>
              <w:right w:val="single" w:sz="8" w:space="0" w:color="auto"/>
            </w:tcBorders>
            <w:vAlign w:val="center"/>
          </w:tcPr>
          <w:p w14:paraId="33BB43A5"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处理方式</w:t>
            </w:r>
          </w:p>
        </w:tc>
      </w:tr>
      <w:tr w:rsidR="00B50C5D" w14:paraId="06175CCF" w14:textId="77777777">
        <w:trPr>
          <w:trHeight w:val="320"/>
          <w:jc w:val="center"/>
        </w:trPr>
        <w:tc>
          <w:tcPr>
            <w:tcW w:w="4629" w:type="dxa"/>
            <w:tcBorders>
              <w:top w:val="single" w:sz="8" w:space="0" w:color="auto"/>
              <w:left w:val="single" w:sz="8" w:space="0" w:color="auto"/>
            </w:tcBorders>
            <w:vAlign w:val="center"/>
          </w:tcPr>
          <w:p w14:paraId="651983BC"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废活性炭</w:t>
            </w:r>
          </w:p>
        </w:tc>
        <w:tc>
          <w:tcPr>
            <w:tcW w:w="4657" w:type="dxa"/>
            <w:vMerge w:val="restart"/>
            <w:tcBorders>
              <w:top w:val="single" w:sz="8" w:space="0" w:color="auto"/>
              <w:right w:val="single" w:sz="8" w:space="0" w:color="auto"/>
            </w:tcBorders>
            <w:vAlign w:val="center"/>
          </w:tcPr>
          <w:p w14:paraId="1EDFADB3"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交有资质的处理机构处理</w:t>
            </w:r>
          </w:p>
        </w:tc>
      </w:tr>
      <w:tr w:rsidR="00B50C5D" w14:paraId="03D699D3" w14:textId="77777777">
        <w:trPr>
          <w:jc w:val="center"/>
        </w:trPr>
        <w:tc>
          <w:tcPr>
            <w:tcW w:w="4629" w:type="dxa"/>
            <w:tcBorders>
              <w:left w:val="single" w:sz="8" w:space="0" w:color="auto"/>
            </w:tcBorders>
            <w:vAlign w:val="center"/>
          </w:tcPr>
          <w:p w14:paraId="49502E31"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lastRenderedPageBreak/>
              <w:t>废矿物油</w:t>
            </w:r>
          </w:p>
        </w:tc>
        <w:tc>
          <w:tcPr>
            <w:tcW w:w="4657" w:type="dxa"/>
            <w:vMerge/>
            <w:tcBorders>
              <w:right w:val="single" w:sz="8" w:space="0" w:color="auto"/>
            </w:tcBorders>
            <w:vAlign w:val="center"/>
          </w:tcPr>
          <w:p w14:paraId="2408E219" w14:textId="77777777" w:rsidR="00B50C5D" w:rsidRDefault="00B50C5D">
            <w:pPr>
              <w:snapToGrid w:val="0"/>
              <w:spacing w:line="360" w:lineRule="exact"/>
              <w:jc w:val="center"/>
              <w:rPr>
                <w:rFonts w:ascii="宋体" w:hAnsi="宋体" w:cs="宋体"/>
                <w:szCs w:val="21"/>
              </w:rPr>
            </w:pPr>
          </w:p>
        </w:tc>
      </w:tr>
      <w:tr w:rsidR="00B50C5D" w14:paraId="5CCE2648" w14:textId="77777777">
        <w:trPr>
          <w:trHeight w:val="349"/>
          <w:jc w:val="center"/>
        </w:trPr>
        <w:tc>
          <w:tcPr>
            <w:tcW w:w="4629" w:type="dxa"/>
            <w:tcBorders>
              <w:left w:val="single" w:sz="8" w:space="0" w:color="auto"/>
              <w:bottom w:val="single" w:sz="8" w:space="0" w:color="auto"/>
            </w:tcBorders>
            <w:vAlign w:val="center"/>
          </w:tcPr>
          <w:p w14:paraId="5AD7E4BB"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锡火法冶炼的渣</w:t>
            </w:r>
          </w:p>
        </w:tc>
        <w:tc>
          <w:tcPr>
            <w:tcW w:w="4657" w:type="dxa"/>
            <w:tcBorders>
              <w:bottom w:val="single" w:sz="8" w:space="0" w:color="auto"/>
              <w:right w:val="single" w:sz="8" w:space="0" w:color="auto"/>
            </w:tcBorders>
            <w:vAlign w:val="center"/>
          </w:tcPr>
          <w:p w14:paraId="276EB2CD"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交有资质的处理机构处理</w:t>
            </w:r>
          </w:p>
        </w:tc>
      </w:tr>
    </w:tbl>
    <w:p w14:paraId="6B9F80C1"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根据《中华人民共和国环境噪声污染防治法》，工业噪声是指在工业生产活动中使用固定的设备时产生的干扰周围生活环境的声音。根据锡及锡合金行业特点，各生产工序（熔铸、轧制、挤压、拉伸、退火、酸洗、辅助工序）等敏感噪声源及工人长期工作场所的噪声限值不大于85dB。工厂厂界噪声应符合《工业企业厂界GB 12348环境噪声排放标准》中的规定。详见表3。</w:t>
      </w:r>
    </w:p>
    <w:p w14:paraId="611B5BD4"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表3  敏感噪声源和工人长期工作场所</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656"/>
        <w:gridCol w:w="3935"/>
      </w:tblGrid>
      <w:tr w:rsidR="00B50C5D" w14:paraId="0C054EAC" w14:textId="77777777">
        <w:trPr>
          <w:jc w:val="center"/>
        </w:trPr>
        <w:tc>
          <w:tcPr>
            <w:tcW w:w="5351" w:type="dxa"/>
            <w:gridSpan w:val="2"/>
            <w:tcBorders>
              <w:top w:val="single" w:sz="8" w:space="0" w:color="auto"/>
              <w:left w:val="single" w:sz="8" w:space="0" w:color="auto"/>
              <w:bottom w:val="single" w:sz="8" w:space="0" w:color="auto"/>
            </w:tcBorders>
            <w:vAlign w:val="center"/>
          </w:tcPr>
          <w:p w14:paraId="719ECD9F"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敏感噪声源及工人长期工作场所</w:t>
            </w:r>
          </w:p>
        </w:tc>
        <w:tc>
          <w:tcPr>
            <w:tcW w:w="3935" w:type="dxa"/>
            <w:tcBorders>
              <w:top w:val="single" w:sz="8" w:space="0" w:color="auto"/>
              <w:bottom w:val="single" w:sz="8" w:space="0" w:color="auto"/>
              <w:right w:val="single" w:sz="8" w:space="0" w:color="auto"/>
            </w:tcBorders>
            <w:vAlign w:val="center"/>
          </w:tcPr>
          <w:p w14:paraId="74434565"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噪声限值</w:t>
            </w:r>
          </w:p>
          <w:p w14:paraId="53CA1E9D"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dB，不大于</w:t>
            </w:r>
          </w:p>
        </w:tc>
      </w:tr>
      <w:tr w:rsidR="00B50C5D" w14:paraId="0D7EC9F4" w14:textId="77777777">
        <w:trPr>
          <w:trHeight w:val="163"/>
          <w:jc w:val="center"/>
        </w:trPr>
        <w:tc>
          <w:tcPr>
            <w:tcW w:w="2695" w:type="dxa"/>
            <w:vMerge w:val="restart"/>
            <w:tcBorders>
              <w:top w:val="single" w:sz="8" w:space="0" w:color="auto"/>
              <w:left w:val="single" w:sz="8" w:space="0" w:color="auto"/>
            </w:tcBorders>
            <w:vAlign w:val="center"/>
          </w:tcPr>
          <w:p w14:paraId="42A7C399"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各生产工序</w:t>
            </w:r>
          </w:p>
        </w:tc>
        <w:tc>
          <w:tcPr>
            <w:tcW w:w="2656" w:type="dxa"/>
            <w:tcBorders>
              <w:top w:val="single" w:sz="8" w:space="0" w:color="auto"/>
              <w:left w:val="single" w:sz="8" w:space="0" w:color="auto"/>
            </w:tcBorders>
            <w:vAlign w:val="center"/>
          </w:tcPr>
          <w:p w14:paraId="39079761"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熔铸工序</w:t>
            </w:r>
          </w:p>
        </w:tc>
        <w:tc>
          <w:tcPr>
            <w:tcW w:w="3935" w:type="dxa"/>
            <w:tcBorders>
              <w:top w:val="single" w:sz="8" w:space="0" w:color="auto"/>
              <w:bottom w:val="single" w:sz="4" w:space="0" w:color="auto"/>
              <w:right w:val="single" w:sz="8" w:space="0" w:color="auto"/>
            </w:tcBorders>
            <w:vAlign w:val="center"/>
          </w:tcPr>
          <w:p w14:paraId="7347330F"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1E13028E" w14:textId="77777777">
        <w:trPr>
          <w:trHeight w:val="163"/>
          <w:jc w:val="center"/>
        </w:trPr>
        <w:tc>
          <w:tcPr>
            <w:tcW w:w="2695" w:type="dxa"/>
            <w:vMerge/>
            <w:tcBorders>
              <w:left w:val="single" w:sz="8" w:space="0" w:color="auto"/>
            </w:tcBorders>
            <w:vAlign w:val="center"/>
          </w:tcPr>
          <w:p w14:paraId="541640B9"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74BDE40D"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轧制工序</w:t>
            </w:r>
          </w:p>
        </w:tc>
        <w:tc>
          <w:tcPr>
            <w:tcW w:w="3935" w:type="dxa"/>
            <w:tcBorders>
              <w:top w:val="single" w:sz="8" w:space="0" w:color="auto"/>
              <w:bottom w:val="single" w:sz="4" w:space="0" w:color="auto"/>
              <w:right w:val="single" w:sz="8" w:space="0" w:color="auto"/>
            </w:tcBorders>
          </w:tcPr>
          <w:p w14:paraId="33E2C7AD"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2D199EDA" w14:textId="77777777">
        <w:trPr>
          <w:trHeight w:val="163"/>
          <w:jc w:val="center"/>
        </w:trPr>
        <w:tc>
          <w:tcPr>
            <w:tcW w:w="2695" w:type="dxa"/>
            <w:vMerge/>
            <w:tcBorders>
              <w:left w:val="single" w:sz="8" w:space="0" w:color="auto"/>
            </w:tcBorders>
            <w:vAlign w:val="center"/>
          </w:tcPr>
          <w:p w14:paraId="5A55B8BB"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259CD226"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挤压工序</w:t>
            </w:r>
          </w:p>
        </w:tc>
        <w:tc>
          <w:tcPr>
            <w:tcW w:w="3935" w:type="dxa"/>
            <w:tcBorders>
              <w:top w:val="single" w:sz="8" w:space="0" w:color="auto"/>
              <w:bottom w:val="single" w:sz="4" w:space="0" w:color="auto"/>
              <w:right w:val="single" w:sz="8" w:space="0" w:color="auto"/>
            </w:tcBorders>
          </w:tcPr>
          <w:p w14:paraId="0C36CB15"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2BD8111A" w14:textId="77777777">
        <w:trPr>
          <w:trHeight w:val="163"/>
          <w:jc w:val="center"/>
        </w:trPr>
        <w:tc>
          <w:tcPr>
            <w:tcW w:w="2695" w:type="dxa"/>
            <w:vMerge/>
            <w:tcBorders>
              <w:left w:val="single" w:sz="8" w:space="0" w:color="auto"/>
            </w:tcBorders>
            <w:vAlign w:val="center"/>
          </w:tcPr>
          <w:p w14:paraId="4AEFC9D7"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6C1F233B"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拉伸工序</w:t>
            </w:r>
          </w:p>
        </w:tc>
        <w:tc>
          <w:tcPr>
            <w:tcW w:w="3935" w:type="dxa"/>
            <w:tcBorders>
              <w:top w:val="single" w:sz="8" w:space="0" w:color="auto"/>
              <w:bottom w:val="single" w:sz="4" w:space="0" w:color="auto"/>
              <w:right w:val="single" w:sz="8" w:space="0" w:color="auto"/>
            </w:tcBorders>
          </w:tcPr>
          <w:p w14:paraId="01977E61"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47002C2A" w14:textId="77777777">
        <w:trPr>
          <w:trHeight w:val="338"/>
          <w:jc w:val="center"/>
        </w:trPr>
        <w:tc>
          <w:tcPr>
            <w:tcW w:w="2695" w:type="dxa"/>
            <w:vMerge/>
            <w:tcBorders>
              <w:left w:val="single" w:sz="8" w:space="0" w:color="auto"/>
            </w:tcBorders>
            <w:vAlign w:val="center"/>
          </w:tcPr>
          <w:p w14:paraId="1B14DF53"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0AC84012"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退火工序</w:t>
            </w:r>
          </w:p>
        </w:tc>
        <w:tc>
          <w:tcPr>
            <w:tcW w:w="3935" w:type="dxa"/>
            <w:tcBorders>
              <w:top w:val="single" w:sz="8" w:space="0" w:color="auto"/>
              <w:bottom w:val="single" w:sz="4" w:space="0" w:color="auto"/>
              <w:right w:val="single" w:sz="8" w:space="0" w:color="auto"/>
            </w:tcBorders>
          </w:tcPr>
          <w:p w14:paraId="3F4EA441"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32147A74" w14:textId="77777777">
        <w:trPr>
          <w:trHeight w:val="163"/>
          <w:jc w:val="center"/>
        </w:trPr>
        <w:tc>
          <w:tcPr>
            <w:tcW w:w="2695" w:type="dxa"/>
            <w:vMerge/>
            <w:tcBorders>
              <w:left w:val="single" w:sz="8" w:space="0" w:color="auto"/>
            </w:tcBorders>
            <w:vAlign w:val="center"/>
          </w:tcPr>
          <w:p w14:paraId="6CAB219E"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7C35ACD8"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酸洗工序</w:t>
            </w:r>
          </w:p>
        </w:tc>
        <w:tc>
          <w:tcPr>
            <w:tcW w:w="3935" w:type="dxa"/>
            <w:tcBorders>
              <w:top w:val="single" w:sz="8" w:space="0" w:color="auto"/>
              <w:bottom w:val="single" w:sz="4" w:space="0" w:color="auto"/>
              <w:right w:val="single" w:sz="8" w:space="0" w:color="auto"/>
            </w:tcBorders>
          </w:tcPr>
          <w:p w14:paraId="3234E3D0"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7D257031" w14:textId="77777777">
        <w:trPr>
          <w:trHeight w:val="163"/>
          <w:jc w:val="center"/>
        </w:trPr>
        <w:tc>
          <w:tcPr>
            <w:tcW w:w="2695" w:type="dxa"/>
            <w:vMerge/>
            <w:tcBorders>
              <w:left w:val="single" w:sz="8" w:space="0" w:color="auto"/>
            </w:tcBorders>
            <w:vAlign w:val="center"/>
          </w:tcPr>
          <w:p w14:paraId="56AA9074" w14:textId="77777777" w:rsidR="00B50C5D" w:rsidRDefault="00B50C5D">
            <w:pPr>
              <w:snapToGrid w:val="0"/>
              <w:spacing w:line="360" w:lineRule="exact"/>
              <w:jc w:val="center"/>
              <w:rPr>
                <w:rFonts w:ascii="宋体" w:hAnsi="宋体" w:cs="宋体"/>
                <w:szCs w:val="21"/>
              </w:rPr>
            </w:pPr>
          </w:p>
        </w:tc>
        <w:tc>
          <w:tcPr>
            <w:tcW w:w="2656" w:type="dxa"/>
            <w:tcBorders>
              <w:top w:val="single" w:sz="8" w:space="0" w:color="auto"/>
              <w:left w:val="single" w:sz="8" w:space="0" w:color="auto"/>
            </w:tcBorders>
            <w:vAlign w:val="center"/>
          </w:tcPr>
          <w:p w14:paraId="68748396"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辅助工序</w:t>
            </w:r>
          </w:p>
        </w:tc>
        <w:tc>
          <w:tcPr>
            <w:tcW w:w="3935" w:type="dxa"/>
            <w:tcBorders>
              <w:top w:val="single" w:sz="8" w:space="0" w:color="auto"/>
              <w:bottom w:val="single" w:sz="4" w:space="0" w:color="auto"/>
              <w:right w:val="single" w:sz="8" w:space="0" w:color="auto"/>
            </w:tcBorders>
          </w:tcPr>
          <w:p w14:paraId="58E8FC57"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85</w:t>
            </w:r>
          </w:p>
        </w:tc>
      </w:tr>
      <w:tr w:rsidR="00B50C5D" w14:paraId="75439275" w14:textId="77777777">
        <w:trPr>
          <w:jc w:val="center"/>
        </w:trPr>
        <w:tc>
          <w:tcPr>
            <w:tcW w:w="2695" w:type="dxa"/>
            <w:vMerge w:val="restart"/>
            <w:tcBorders>
              <w:top w:val="single" w:sz="4" w:space="0" w:color="auto"/>
              <w:left w:val="single" w:sz="8" w:space="0" w:color="auto"/>
              <w:bottom w:val="single" w:sz="4" w:space="0" w:color="auto"/>
              <w:right w:val="single" w:sz="4" w:space="0" w:color="auto"/>
            </w:tcBorders>
            <w:vAlign w:val="center"/>
          </w:tcPr>
          <w:p w14:paraId="204DF8CB"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厂界</w:t>
            </w:r>
          </w:p>
        </w:tc>
        <w:tc>
          <w:tcPr>
            <w:tcW w:w="2656" w:type="dxa"/>
            <w:tcBorders>
              <w:top w:val="single" w:sz="4" w:space="0" w:color="auto"/>
              <w:left w:val="single" w:sz="4" w:space="0" w:color="auto"/>
              <w:bottom w:val="single" w:sz="4" w:space="0" w:color="auto"/>
              <w:right w:val="single" w:sz="4" w:space="0" w:color="auto"/>
            </w:tcBorders>
            <w:vAlign w:val="center"/>
          </w:tcPr>
          <w:p w14:paraId="6A4E5A49"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工业区昼间</w:t>
            </w:r>
          </w:p>
        </w:tc>
        <w:tc>
          <w:tcPr>
            <w:tcW w:w="3935" w:type="dxa"/>
            <w:tcBorders>
              <w:top w:val="single" w:sz="4" w:space="0" w:color="auto"/>
              <w:left w:val="single" w:sz="4" w:space="0" w:color="auto"/>
              <w:bottom w:val="single" w:sz="4" w:space="0" w:color="auto"/>
              <w:right w:val="single" w:sz="8" w:space="0" w:color="auto"/>
            </w:tcBorders>
            <w:vAlign w:val="center"/>
          </w:tcPr>
          <w:p w14:paraId="5AEA9ADA"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65</w:t>
            </w:r>
          </w:p>
        </w:tc>
      </w:tr>
      <w:tr w:rsidR="00B50C5D" w14:paraId="38E10519" w14:textId="77777777">
        <w:trPr>
          <w:jc w:val="center"/>
        </w:trPr>
        <w:tc>
          <w:tcPr>
            <w:tcW w:w="2695" w:type="dxa"/>
            <w:vMerge/>
            <w:tcBorders>
              <w:top w:val="single" w:sz="4" w:space="0" w:color="auto"/>
              <w:left w:val="single" w:sz="8" w:space="0" w:color="auto"/>
              <w:bottom w:val="single" w:sz="4" w:space="0" w:color="auto"/>
              <w:right w:val="single" w:sz="4" w:space="0" w:color="auto"/>
            </w:tcBorders>
            <w:vAlign w:val="center"/>
          </w:tcPr>
          <w:p w14:paraId="3C56769C" w14:textId="77777777" w:rsidR="00B50C5D" w:rsidRDefault="00B50C5D">
            <w:pPr>
              <w:snapToGrid w:val="0"/>
              <w:spacing w:line="360" w:lineRule="exact"/>
              <w:jc w:val="center"/>
              <w:rPr>
                <w:rFonts w:ascii="宋体" w:hAnsi="宋体" w:cs="宋体"/>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5C110BEC"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工业区夜间</w:t>
            </w:r>
          </w:p>
        </w:tc>
        <w:tc>
          <w:tcPr>
            <w:tcW w:w="3935" w:type="dxa"/>
            <w:tcBorders>
              <w:top w:val="single" w:sz="4" w:space="0" w:color="auto"/>
              <w:left w:val="single" w:sz="4" w:space="0" w:color="auto"/>
              <w:bottom w:val="single" w:sz="4" w:space="0" w:color="auto"/>
              <w:right w:val="single" w:sz="8" w:space="0" w:color="auto"/>
            </w:tcBorders>
            <w:vAlign w:val="center"/>
          </w:tcPr>
          <w:p w14:paraId="150340FE"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55</w:t>
            </w:r>
          </w:p>
        </w:tc>
      </w:tr>
      <w:tr w:rsidR="00B50C5D" w14:paraId="67D9C33D" w14:textId="77777777">
        <w:trPr>
          <w:jc w:val="center"/>
        </w:trPr>
        <w:tc>
          <w:tcPr>
            <w:tcW w:w="2695" w:type="dxa"/>
            <w:vMerge/>
            <w:tcBorders>
              <w:top w:val="single" w:sz="4" w:space="0" w:color="auto"/>
              <w:left w:val="single" w:sz="8" w:space="0" w:color="auto"/>
              <w:bottom w:val="single" w:sz="4" w:space="0" w:color="auto"/>
              <w:right w:val="single" w:sz="4" w:space="0" w:color="auto"/>
            </w:tcBorders>
            <w:vAlign w:val="center"/>
          </w:tcPr>
          <w:p w14:paraId="2B8D6C18" w14:textId="77777777" w:rsidR="00B50C5D" w:rsidRDefault="00B50C5D">
            <w:pPr>
              <w:snapToGrid w:val="0"/>
              <w:spacing w:line="360" w:lineRule="exact"/>
              <w:jc w:val="center"/>
              <w:rPr>
                <w:rFonts w:ascii="宋体" w:hAnsi="宋体" w:cs="宋体"/>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6B78B0A7"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混合区昼间</w:t>
            </w:r>
          </w:p>
        </w:tc>
        <w:tc>
          <w:tcPr>
            <w:tcW w:w="3935" w:type="dxa"/>
            <w:tcBorders>
              <w:top w:val="single" w:sz="4" w:space="0" w:color="auto"/>
              <w:left w:val="single" w:sz="4" w:space="0" w:color="auto"/>
              <w:bottom w:val="single" w:sz="4" w:space="0" w:color="auto"/>
              <w:right w:val="single" w:sz="8" w:space="0" w:color="auto"/>
            </w:tcBorders>
            <w:vAlign w:val="center"/>
          </w:tcPr>
          <w:p w14:paraId="101DF201"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60</w:t>
            </w:r>
          </w:p>
        </w:tc>
      </w:tr>
      <w:tr w:rsidR="00B50C5D" w14:paraId="6041F746" w14:textId="77777777">
        <w:trPr>
          <w:jc w:val="center"/>
        </w:trPr>
        <w:tc>
          <w:tcPr>
            <w:tcW w:w="2695" w:type="dxa"/>
            <w:vMerge/>
            <w:tcBorders>
              <w:top w:val="single" w:sz="4" w:space="0" w:color="auto"/>
              <w:left w:val="single" w:sz="8" w:space="0" w:color="auto"/>
              <w:bottom w:val="single" w:sz="8" w:space="0" w:color="auto"/>
              <w:right w:val="single" w:sz="4" w:space="0" w:color="auto"/>
            </w:tcBorders>
            <w:vAlign w:val="center"/>
          </w:tcPr>
          <w:p w14:paraId="2823E1D0" w14:textId="77777777" w:rsidR="00B50C5D" w:rsidRDefault="00B50C5D">
            <w:pPr>
              <w:snapToGrid w:val="0"/>
              <w:spacing w:line="360" w:lineRule="exact"/>
              <w:jc w:val="center"/>
              <w:rPr>
                <w:rFonts w:ascii="宋体" w:hAnsi="宋体" w:cs="宋体"/>
                <w:szCs w:val="21"/>
              </w:rPr>
            </w:pPr>
          </w:p>
        </w:tc>
        <w:tc>
          <w:tcPr>
            <w:tcW w:w="2656" w:type="dxa"/>
            <w:tcBorders>
              <w:top w:val="single" w:sz="4" w:space="0" w:color="auto"/>
              <w:left w:val="single" w:sz="4" w:space="0" w:color="auto"/>
              <w:bottom w:val="single" w:sz="8" w:space="0" w:color="auto"/>
              <w:right w:val="single" w:sz="4" w:space="0" w:color="auto"/>
            </w:tcBorders>
            <w:vAlign w:val="center"/>
          </w:tcPr>
          <w:p w14:paraId="039ABC90"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混合区夜间</w:t>
            </w:r>
          </w:p>
        </w:tc>
        <w:tc>
          <w:tcPr>
            <w:tcW w:w="3935" w:type="dxa"/>
            <w:tcBorders>
              <w:top w:val="single" w:sz="4" w:space="0" w:color="auto"/>
              <w:left w:val="single" w:sz="4" w:space="0" w:color="auto"/>
              <w:bottom w:val="single" w:sz="8" w:space="0" w:color="auto"/>
              <w:right w:val="single" w:sz="8" w:space="0" w:color="auto"/>
            </w:tcBorders>
            <w:vAlign w:val="center"/>
          </w:tcPr>
          <w:p w14:paraId="6240852D" w14:textId="77777777" w:rsidR="00B50C5D" w:rsidRDefault="00FA0E9F">
            <w:pPr>
              <w:snapToGrid w:val="0"/>
              <w:spacing w:line="360" w:lineRule="exact"/>
              <w:jc w:val="center"/>
              <w:rPr>
                <w:rFonts w:ascii="宋体" w:hAnsi="宋体" w:cs="宋体"/>
                <w:szCs w:val="21"/>
              </w:rPr>
            </w:pPr>
            <w:r>
              <w:rPr>
                <w:rFonts w:ascii="宋体" w:hAnsi="宋体" w:cs="宋体" w:hint="eastAsia"/>
                <w:szCs w:val="21"/>
              </w:rPr>
              <w:t>50</w:t>
            </w:r>
          </w:p>
        </w:tc>
      </w:tr>
    </w:tbl>
    <w:p w14:paraId="5DB80FCB" w14:textId="77777777" w:rsidR="00B50C5D" w:rsidRDefault="00B50C5D">
      <w:pPr>
        <w:snapToGrid w:val="0"/>
        <w:spacing w:line="360" w:lineRule="exact"/>
        <w:ind w:firstLineChars="200" w:firstLine="420"/>
        <w:jc w:val="left"/>
        <w:rPr>
          <w:rFonts w:ascii="宋体" w:hAnsi="宋体" w:cs="宋体"/>
          <w:szCs w:val="21"/>
        </w:rPr>
      </w:pPr>
    </w:p>
    <w:p w14:paraId="7942D701" w14:textId="77777777" w:rsidR="00B50C5D" w:rsidRDefault="00FA0E9F">
      <w:pPr>
        <w:spacing w:line="360" w:lineRule="auto"/>
        <w:ind w:left="15" w:firstLineChars="200" w:firstLine="420"/>
        <w:rPr>
          <w:rFonts w:ascii="宋体" w:hAnsi="宋体" w:cs="宋体"/>
          <w:szCs w:val="21"/>
        </w:rPr>
      </w:pPr>
      <w:r>
        <w:rPr>
          <w:rFonts w:ascii="宋体" w:hAnsi="宋体" w:cs="宋体" w:hint="eastAsia"/>
          <w:szCs w:val="21"/>
        </w:rPr>
        <w:t>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10" w:tgtFrame="https://www.baidu.com/_blank" w:history="1">
        <w:r>
          <w:rPr>
            <w:rFonts w:ascii="宋体" w:hAnsi="宋体" w:cs="宋体" w:hint="eastAsia"/>
            <w:szCs w:val="21"/>
          </w:rPr>
          <w:t>GB/T 32150</w:t>
        </w:r>
      </w:hyperlink>
      <w:r>
        <w:rPr>
          <w:rFonts w:ascii="宋体" w:hAnsi="宋体" w:cs="宋体" w:hint="eastAsia"/>
          <w:szCs w:val="21"/>
        </w:rPr>
        <w:t>。工厂应对其厂界范围内的温室气体排放进行核查，并宜利用核查结果对其温室气体的排放进行改善。关于碳排放的系数指标，按国家届时出台的有关规定予以执行。</w:t>
      </w:r>
    </w:p>
    <w:p w14:paraId="143F2FA9" w14:textId="77777777" w:rsidR="00B50C5D" w:rsidRDefault="00FA0E9F">
      <w:pPr>
        <w:spacing w:line="360" w:lineRule="auto"/>
        <w:rPr>
          <w:rFonts w:ascii="宋体" w:hAnsi="宋体" w:cs="宋体"/>
          <w:b/>
          <w:szCs w:val="21"/>
        </w:rPr>
      </w:pPr>
      <w:r>
        <w:rPr>
          <w:rFonts w:ascii="宋体" w:hAnsi="宋体" w:cs="宋体" w:hint="eastAsia"/>
          <w:b/>
          <w:szCs w:val="21"/>
        </w:rPr>
        <w:t>6.5.7绩效要求</w:t>
      </w:r>
    </w:p>
    <w:p w14:paraId="57142841" w14:textId="77777777" w:rsidR="00B50C5D" w:rsidRDefault="00FA0E9F">
      <w:pPr>
        <w:pStyle w:val="a5"/>
        <w:ind w:firstLineChars="202" w:firstLine="424"/>
        <w:jc w:val="both"/>
        <w:rPr>
          <w:rFonts w:ascii="宋体" w:hAnsi="宋体" w:cs="宋体"/>
          <w:szCs w:val="21"/>
        </w:rPr>
      </w:pPr>
      <w:r>
        <w:rPr>
          <w:rFonts w:ascii="宋体" w:hAnsi="宋体" w:cs="宋体" w:hint="eastAsia"/>
          <w:szCs w:val="21"/>
        </w:rPr>
        <w:t>分别从一般要求、用地集约化、原料无害化、生产洁净化、废物资源化、能源低碳化六大方面进行了规定。为充分体现可量化的特点，体现绩效指标的内容占比权重最大，占20%；绩效要求分为必选要求与可选要求，必选要求是工厂必须要满足的。</w:t>
      </w:r>
    </w:p>
    <w:p w14:paraId="3B5938DB" w14:textId="77777777" w:rsidR="00B50C5D" w:rsidRDefault="00FA0E9F">
      <w:pPr>
        <w:spacing w:line="360" w:lineRule="auto"/>
        <w:rPr>
          <w:rFonts w:ascii="宋体" w:hAnsi="宋体" w:cs="宋体"/>
          <w:bCs/>
          <w:szCs w:val="21"/>
        </w:rPr>
      </w:pPr>
      <w:r>
        <w:rPr>
          <w:rFonts w:ascii="宋体" w:hAnsi="宋体" w:cs="宋体" w:hint="eastAsia"/>
          <w:bCs/>
          <w:szCs w:val="21"/>
        </w:rPr>
        <w:t>6.5.7.1一般要求：</w:t>
      </w:r>
    </w:p>
    <w:p w14:paraId="68E6EAF8" w14:textId="77777777" w:rsidR="00B50C5D" w:rsidRDefault="00FA0E9F">
      <w:pPr>
        <w:spacing w:line="360" w:lineRule="auto"/>
        <w:rPr>
          <w:rFonts w:ascii="宋体" w:hAnsi="宋体" w:cs="宋体"/>
          <w:bCs/>
          <w:szCs w:val="21"/>
        </w:rPr>
      </w:pPr>
      <w:r>
        <w:rPr>
          <w:rFonts w:ascii="宋体" w:hAnsi="宋体" w:cs="宋体" w:hint="eastAsia"/>
          <w:bCs/>
          <w:szCs w:val="21"/>
        </w:rPr>
        <w:t>6.5.7.1.1 工厂应依据GB/T36132附录A提供的方法计算或评估绩效，并利用结果进行绩效改善。</w:t>
      </w:r>
    </w:p>
    <w:p w14:paraId="7DD11BE2" w14:textId="77777777" w:rsidR="00B50C5D" w:rsidRDefault="00FA0E9F">
      <w:pPr>
        <w:spacing w:line="360" w:lineRule="auto"/>
        <w:rPr>
          <w:rFonts w:ascii="宋体" w:hAnsi="宋体" w:cs="宋体"/>
          <w:bCs/>
          <w:szCs w:val="21"/>
        </w:rPr>
      </w:pPr>
      <w:r>
        <w:rPr>
          <w:rFonts w:ascii="宋体" w:hAnsi="宋体" w:cs="宋体" w:hint="eastAsia"/>
          <w:bCs/>
          <w:szCs w:val="21"/>
        </w:rPr>
        <w:t>6.5.7.1.2 绩效统计和计算应选取和覆盖能够反映工厂绩效水平的完整周期，至少包括不超过评价前一自然年度的连续的12个月（成立不足一年的可根据实际情况适当降低要求）。</w:t>
      </w:r>
    </w:p>
    <w:p w14:paraId="5A27AD9A" w14:textId="77777777" w:rsidR="00B50C5D" w:rsidRDefault="00FA0E9F">
      <w:pPr>
        <w:spacing w:line="360" w:lineRule="auto"/>
        <w:rPr>
          <w:rFonts w:ascii="宋体" w:hAnsi="宋体" w:cs="宋体"/>
          <w:bCs/>
          <w:szCs w:val="21"/>
        </w:rPr>
      </w:pPr>
      <w:r>
        <w:rPr>
          <w:rFonts w:ascii="宋体" w:hAnsi="宋体" w:cs="宋体" w:hint="eastAsia"/>
          <w:bCs/>
          <w:szCs w:val="21"/>
        </w:rPr>
        <w:lastRenderedPageBreak/>
        <w:t>6.5.7.2  用地集约化</w:t>
      </w:r>
    </w:p>
    <w:p w14:paraId="3F3BDA91" w14:textId="77777777" w:rsidR="00B50C5D" w:rsidRPr="00D922BF" w:rsidRDefault="00FA0E9F">
      <w:pPr>
        <w:spacing w:line="360" w:lineRule="auto"/>
        <w:rPr>
          <w:rFonts w:ascii="宋体" w:hAnsi="宋体" w:cs="宋体"/>
          <w:bCs/>
          <w:szCs w:val="21"/>
        </w:rPr>
      </w:pPr>
      <w:r w:rsidRPr="00D922BF">
        <w:rPr>
          <w:rFonts w:ascii="宋体" w:hAnsi="宋体" w:cs="宋体" w:hint="eastAsia"/>
          <w:bCs/>
          <w:szCs w:val="21"/>
        </w:rPr>
        <w:t>6.5.7.2.1 工厂建设项目用地应符合国家现行有关建设项目用地的规定，容积率应不低于0.6。</w:t>
      </w:r>
    </w:p>
    <w:p w14:paraId="763CBC8C" w14:textId="77777777" w:rsidR="00B50C5D" w:rsidRPr="00D922BF" w:rsidRDefault="00FA0E9F">
      <w:pPr>
        <w:spacing w:line="360" w:lineRule="auto"/>
        <w:rPr>
          <w:rFonts w:ascii="宋体" w:hAnsi="宋体" w:cs="宋体"/>
          <w:bCs/>
          <w:szCs w:val="21"/>
        </w:rPr>
      </w:pPr>
      <w:r w:rsidRPr="00D922BF">
        <w:rPr>
          <w:rFonts w:ascii="宋体" w:hAnsi="宋体" w:cs="宋体" w:hint="eastAsia"/>
          <w:bCs/>
          <w:szCs w:val="21"/>
        </w:rPr>
        <w:t>6.5.7.2.2 工厂容积率指标宜达到0.72，得1分；宜达到1.2及以上为满分。</w:t>
      </w:r>
    </w:p>
    <w:p w14:paraId="131A38D4" w14:textId="77777777" w:rsidR="00B50C5D" w:rsidRPr="00D922BF" w:rsidRDefault="00FA0E9F">
      <w:pPr>
        <w:spacing w:line="360" w:lineRule="auto"/>
        <w:rPr>
          <w:rFonts w:ascii="宋体" w:hAnsi="宋体" w:cs="宋体"/>
          <w:bCs/>
          <w:szCs w:val="21"/>
        </w:rPr>
      </w:pPr>
      <w:r w:rsidRPr="00D922BF">
        <w:rPr>
          <w:rFonts w:ascii="宋体" w:hAnsi="宋体" w:cs="宋体" w:hint="eastAsia"/>
          <w:bCs/>
          <w:szCs w:val="21"/>
        </w:rPr>
        <w:t>6.5.7.2.3 工厂建筑密度按照GB/T 36132附录A计算工厂建筑密度，应不低于30%。</w:t>
      </w:r>
    </w:p>
    <w:p w14:paraId="7002DB21" w14:textId="77777777" w:rsidR="00B50C5D" w:rsidRPr="00D922BF" w:rsidRDefault="00FA0E9F">
      <w:pPr>
        <w:spacing w:line="360" w:lineRule="auto"/>
        <w:rPr>
          <w:rFonts w:ascii="宋体" w:hAnsi="宋体" w:cs="宋体"/>
          <w:bCs/>
          <w:szCs w:val="21"/>
        </w:rPr>
      </w:pPr>
      <w:r w:rsidRPr="00D922BF">
        <w:rPr>
          <w:rFonts w:ascii="宋体" w:hAnsi="宋体" w:cs="宋体" w:hint="eastAsia"/>
          <w:bCs/>
          <w:szCs w:val="21"/>
        </w:rPr>
        <w:t>6.5.7.2.4 建筑密度宜达到40％,30%每超过5%得1分。</w:t>
      </w:r>
    </w:p>
    <w:p w14:paraId="389D7115" w14:textId="77777777" w:rsidR="00B50C5D" w:rsidRDefault="00FA0E9F">
      <w:pPr>
        <w:spacing w:line="360" w:lineRule="auto"/>
        <w:rPr>
          <w:rFonts w:ascii="宋体" w:hAnsi="宋体" w:cs="宋体"/>
          <w:bCs/>
          <w:szCs w:val="21"/>
        </w:rPr>
      </w:pPr>
      <w:r>
        <w:rPr>
          <w:rFonts w:ascii="宋体" w:hAnsi="宋体" w:cs="宋体" w:hint="eastAsia"/>
          <w:bCs/>
          <w:szCs w:val="21"/>
        </w:rPr>
        <w:t>6.5.7.2.5 工厂按照GB/T 36132附录A计算工厂的单位用地面积产能不应低于地方发布的单位用地面积产能的要求；未发布单位用地面积产能的地区，单位用地面积产能应超过本年度所在省市的单位用地面积产能。</w:t>
      </w:r>
    </w:p>
    <w:p w14:paraId="0B080248" w14:textId="77777777" w:rsidR="00B50C5D" w:rsidRDefault="00FA0E9F">
      <w:pPr>
        <w:spacing w:line="360" w:lineRule="auto"/>
        <w:rPr>
          <w:rFonts w:ascii="宋体" w:hAnsi="宋体" w:cs="宋体"/>
          <w:bCs/>
          <w:szCs w:val="21"/>
        </w:rPr>
      </w:pPr>
      <w:r>
        <w:rPr>
          <w:rFonts w:ascii="宋体" w:hAnsi="宋体" w:cs="宋体" w:hint="eastAsia"/>
          <w:bCs/>
          <w:szCs w:val="21"/>
        </w:rPr>
        <w:t>6.5.7.2.6 单位用地面积产能宜达到地方发布的单位用地面积产能的要求的1.2倍及以上，2倍为满分，末发布单位用地面积产能的地区，单位用地面积产能宜达到本年度所在省市的单位用地面积产能1.2倍及以上，2倍为满分。</w:t>
      </w:r>
    </w:p>
    <w:p w14:paraId="4D4C3ADA" w14:textId="77777777" w:rsidR="00B50C5D" w:rsidRDefault="00FA0E9F">
      <w:pPr>
        <w:spacing w:line="360" w:lineRule="auto"/>
        <w:rPr>
          <w:rFonts w:ascii="宋体" w:hAnsi="宋体" w:cs="宋体"/>
          <w:bCs/>
          <w:szCs w:val="21"/>
        </w:rPr>
      </w:pPr>
      <w:r>
        <w:rPr>
          <w:rFonts w:ascii="宋体" w:hAnsi="宋体" w:cs="宋体" w:hint="eastAsia"/>
          <w:bCs/>
          <w:szCs w:val="21"/>
        </w:rPr>
        <w:t>6.5.7.3 原料无害化</w:t>
      </w:r>
    </w:p>
    <w:p w14:paraId="007AADF7" w14:textId="77777777" w:rsidR="00B50C5D" w:rsidRDefault="00FA0E9F">
      <w:pPr>
        <w:spacing w:line="360" w:lineRule="auto"/>
        <w:rPr>
          <w:rFonts w:ascii="宋体" w:hAnsi="宋体" w:cs="宋体"/>
          <w:bCs/>
          <w:szCs w:val="21"/>
        </w:rPr>
      </w:pPr>
      <w:r>
        <w:rPr>
          <w:rFonts w:ascii="宋体" w:hAnsi="宋体" w:cs="宋体" w:hint="eastAsia"/>
          <w:bCs/>
          <w:szCs w:val="21"/>
        </w:rPr>
        <w:t>6.5.7.3.1 工厂应逐年降低有害物质的使用率，实现有害物质替代。</w:t>
      </w:r>
    </w:p>
    <w:p w14:paraId="7D709E5D" w14:textId="77777777" w:rsidR="00B50C5D" w:rsidRDefault="00FA0E9F">
      <w:pPr>
        <w:spacing w:line="360" w:lineRule="auto"/>
        <w:rPr>
          <w:rFonts w:ascii="宋体" w:hAnsi="宋体" w:cs="宋体"/>
          <w:bCs/>
          <w:szCs w:val="21"/>
        </w:rPr>
      </w:pPr>
      <w:r>
        <w:rPr>
          <w:rFonts w:ascii="宋体" w:hAnsi="宋体" w:cs="宋体" w:hint="eastAsia"/>
          <w:bCs/>
          <w:szCs w:val="21"/>
        </w:rPr>
        <w:t>6.5.7.3.2 工厂原料有害元素的含量应符合标准的规定。</w:t>
      </w:r>
    </w:p>
    <w:p w14:paraId="64785A7C" w14:textId="77777777" w:rsidR="00B50C5D" w:rsidRDefault="00FA0E9F">
      <w:pPr>
        <w:spacing w:line="360" w:lineRule="auto"/>
        <w:rPr>
          <w:rFonts w:ascii="宋体" w:hAnsi="宋体" w:cs="宋体"/>
          <w:bCs/>
          <w:szCs w:val="21"/>
        </w:rPr>
      </w:pPr>
      <w:r>
        <w:rPr>
          <w:rFonts w:ascii="宋体" w:hAnsi="宋体" w:cs="宋体" w:hint="eastAsia"/>
          <w:bCs/>
          <w:szCs w:val="21"/>
        </w:rPr>
        <w:t>6.5.7.3.3 工厂按照GB/T36132附录A计算的绿色物料使用率应达30%以上。</w:t>
      </w:r>
    </w:p>
    <w:p w14:paraId="7834206F" w14:textId="77777777" w:rsidR="00B50C5D" w:rsidRDefault="00FA0E9F">
      <w:pPr>
        <w:spacing w:line="360" w:lineRule="auto"/>
        <w:rPr>
          <w:rFonts w:ascii="宋体" w:hAnsi="宋体" w:cs="宋体"/>
          <w:bCs/>
          <w:szCs w:val="21"/>
        </w:rPr>
      </w:pPr>
      <w:r>
        <w:rPr>
          <w:rFonts w:ascii="宋体" w:hAnsi="宋体" w:cs="宋体" w:hint="eastAsia"/>
          <w:bCs/>
          <w:szCs w:val="21"/>
        </w:rPr>
        <w:t>6.5.7.3.4 工厂宜选用品级高的锡金属产品作为原料。</w:t>
      </w:r>
    </w:p>
    <w:p w14:paraId="02CD36EB" w14:textId="77777777" w:rsidR="00B50C5D" w:rsidRDefault="00FA0E9F">
      <w:pPr>
        <w:spacing w:line="360" w:lineRule="auto"/>
        <w:rPr>
          <w:rFonts w:ascii="宋体" w:hAnsi="宋体" w:cs="宋体"/>
          <w:bCs/>
          <w:szCs w:val="21"/>
        </w:rPr>
      </w:pPr>
      <w:r>
        <w:rPr>
          <w:rFonts w:ascii="宋体" w:hAnsi="宋体" w:cs="宋体" w:hint="eastAsia"/>
          <w:bCs/>
          <w:szCs w:val="21"/>
        </w:rPr>
        <w:t>6.5.7.3.5 工厂宜采用锡及锡合金的二次物料作为原材料进行资源综合利用，二次物料的投入比例大于20%。</w:t>
      </w:r>
    </w:p>
    <w:p w14:paraId="15C07AC3" w14:textId="77777777" w:rsidR="00B50C5D" w:rsidRDefault="00FA0E9F">
      <w:pPr>
        <w:spacing w:line="360" w:lineRule="auto"/>
        <w:rPr>
          <w:rFonts w:ascii="宋体" w:hAnsi="宋体" w:cs="宋体"/>
          <w:bCs/>
          <w:szCs w:val="21"/>
        </w:rPr>
      </w:pPr>
      <w:r>
        <w:rPr>
          <w:rFonts w:ascii="宋体" w:hAnsi="宋体" w:cs="宋体" w:hint="eastAsia"/>
          <w:bCs/>
          <w:szCs w:val="21"/>
        </w:rPr>
        <w:t>6.5.7.4 生产洁净化</w:t>
      </w:r>
    </w:p>
    <w:p w14:paraId="143256D3"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对于锡及锡合金生产企业，单位产品主要污染物产生量、单位产品废气产生量、单位产品废水产生量等指标应达到锡及锡合金生产行业国内先进水平。</w:t>
      </w:r>
    </w:p>
    <w:p w14:paraId="6A3987CF" w14:textId="77777777" w:rsidR="00B50C5D" w:rsidRDefault="00FA0E9F">
      <w:pPr>
        <w:spacing w:line="360" w:lineRule="auto"/>
        <w:ind w:firstLineChars="200" w:firstLine="420"/>
        <w:rPr>
          <w:rFonts w:ascii="宋体" w:hAnsi="宋体" w:cs="宋体"/>
          <w:szCs w:val="21"/>
        </w:rPr>
      </w:pPr>
      <w:bookmarkStart w:id="29" w:name="_Hlk47907696"/>
      <w:r>
        <w:rPr>
          <w:rFonts w:ascii="宋体" w:hAnsi="宋体" w:cs="宋体" w:hint="eastAsia"/>
          <w:szCs w:val="21"/>
        </w:rPr>
        <w:t>工厂单位产品主要污染物产生量、单位产品废气产生量、单位产品废水产生量等指标应达到锡及锡合金生产工厂行业国内先进水平。</w:t>
      </w:r>
    </w:p>
    <w:p w14:paraId="3C1C0204"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对于锡及锡合金生产工厂，单位产品主要污染物产生量应达到锡及锡合金生产工厂行业国内先进水平或国际领先水平。</w:t>
      </w:r>
    </w:p>
    <w:p w14:paraId="198629EC"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对于锡及锡合金生产工厂，单位产品废气产生量应达到锡及锡合金生产工厂行业国内先进水平或国际领先水平。</w:t>
      </w:r>
    </w:p>
    <w:p w14:paraId="4B030DBD"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对于锡及锡合金生产工厂，单位产品废水产生量应达到锡及锡合金生产工厂行业国内先进水平或国内领先水平。</w:t>
      </w:r>
    </w:p>
    <w:bookmarkEnd w:id="29"/>
    <w:p w14:paraId="4F32DEAE" w14:textId="77777777" w:rsidR="00B50C5D" w:rsidRDefault="00FA0E9F">
      <w:pPr>
        <w:spacing w:line="360" w:lineRule="auto"/>
        <w:rPr>
          <w:rFonts w:ascii="宋体" w:hAnsi="宋体" w:cs="宋体"/>
          <w:bCs/>
          <w:szCs w:val="21"/>
        </w:rPr>
      </w:pPr>
      <w:r>
        <w:rPr>
          <w:rFonts w:ascii="宋体" w:hAnsi="宋体" w:cs="宋体" w:hint="eastAsia"/>
          <w:bCs/>
          <w:szCs w:val="21"/>
        </w:rPr>
        <w:t>6.5.7.5 废物资源化</w:t>
      </w:r>
    </w:p>
    <w:p w14:paraId="6D959CF0"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对于锡及锡合金生产企业，原材料消耗量、工业固体废物综合利用率、废水回用率等指标应达</w:t>
      </w:r>
      <w:r>
        <w:rPr>
          <w:rFonts w:ascii="宋体" w:hAnsi="宋体" w:cs="宋体" w:hint="eastAsia"/>
          <w:bCs/>
          <w:szCs w:val="21"/>
        </w:rPr>
        <w:lastRenderedPageBreak/>
        <w:t>到锡及锡合金生产行业国内先进水平。</w:t>
      </w:r>
    </w:p>
    <w:p w14:paraId="1FB29A53"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工业固体废物综合利用率、废水回用率等指标应达到锡及锡合金生产工厂行业国内先进水平。</w:t>
      </w:r>
    </w:p>
    <w:p w14:paraId="21D734CD"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对于锡及锡合金生产工厂，工业固体废物综合利用率应达到锡及锡合金生产工厂行业国内先进水平或国内领先水平。</w:t>
      </w:r>
    </w:p>
    <w:p w14:paraId="58115D5C" w14:textId="77777777" w:rsidR="00B50C5D" w:rsidRDefault="00FA0E9F">
      <w:pPr>
        <w:spacing w:line="360" w:lineRule="auto"/>
        <w:ind w:firstLineChars="200" w:firstLine="420"/>
        <w:rPr>
          <w:rFonts w:ascii="宋体" w:hAnsi="宋体" w:cs="宋体"/>
          <w:bCs/>
          <w:szCs w:val="21"/>
        </w:rPr>
      </w:pPr>
      <w:r>
        <w:rPr>
          <w:rFonts w:ascii="宋体" w:hAnsi="宋体" w:cs="宋体" w:hint="eastAsia"/>
          <w:szCs w:val="21"/>
        </w:rPr>
        <w:t>对于锡及锡合金生产工厂，单位产品废水回用率应达到锡及锡合金生产工厂行业国内先进水平或国内领先水平。</w:t>
      </w:r>
    </w:p>
    <w:p w14:paraId="2D3777CD" w14:textId="77777777" w:rsidR="00B50C5D" w:rsidRDefault="00FA0E9F">
      <w:pPr>
        <w:spacing w:line="360" w:lineRule="auto"/>
        <w:rPr>
          <w:rFonts w:ascii="宋体" w:hAnsi="宋体" w:cs="宋体"/>
          <w:bCs/>
          <w:szCs w:val="21"/>
        </w:rPr>
      </w:pPr>
      <w:r>
        <w:rPr>
          <w:rFonts w:ascii="宋体" w:hAnsi="宋体" w:cs="宋体" w:hint="eastAsia"/>
          <w:bCs/>
          <w:szCs w:val="21"/>
        </w:rPr>
        <w:t>6.5.7.6 能源低碳化</w:t>
      </w:r>
    </w:p>
    <w:p w14:paraId="43FBC418" w14:textId="77777777" w:rsidR="00B50C5D" w:rsidRDefault="00FA0E9F">
      <w:pPr>
        <w:spacing w:line="360" w:lineRule="auto"/>
        <w:rPr>
          <w:rFonts w:ascii="宋体" w:hAnsi="宋体" w:cs="宋体"/>
          <w:bCs/>
          <w:szCs w:val="21"/>
        </w:rPr>
      </w:pPr>
      <w:r>
        <w:rPr>
          <w:rFonts w:ascii="宋体" w:hAnsi="宋体" w:cs="宋体" w:hint="eastAsia"/>
          <w:bCs/>
          <w:szCs w:val="21"/>
        </w:rPr>
        <w:t>6.5.7.6.1 工厂单位产品综合能耗应达到锡及锡合金生产工厂行业国内先进水平。</w:t>
      </w:r>
    </w:p>
    <w:p w14:paraId="2C9EB7A5"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 xml:space="preserve">工厂单位产品综合能耗应达到锡及锡合金生产工厂行业国内先进水平或国内领先水平。 </w:t>
      </w:r>
    </w:p>
    <w:p w14:paraId="5FF7F022" w14:textId="77777777" w:rsidR="00B50C5D" w:rsidRDefault="00FA0E9F">
      <w:pPr>
        <w:spacing w:line="360" w:lineRule="auto"/>
        <w:rPr>
          <w:rFonts w:ascii="宋体" w:hAnsi="宋体" w:cs="宋体"/>
          <w:bCs/>
          <w:szCs w:val="21"/>
        </w:rPr>
      </w:pPr>
      <w:r>
        <w:rPr>
          <w:rFonts w:ascii="宋体" w:hAnsi="宋体" w:cs="宋体" w:hint="eastAsia"/>
          <w:bCs/>
          <w:szCs w:val="21"/>
        </w:rPr>
        <w:t>6.5.7.6.2 工厂的单位产品碳排放量应依据GB/T 32150及适用的标准进行测算。</w:t>
      </w:r>
    </w:p>
    <w:p w14:paraId="45C43539" w14:textId="77777777" w:rsidR="00B50C5D" w:rsidRDefault="00FA0E9F">
      <w:pPr>
        <w:spacing w:line="360" w:lineRule="auto"/>
        <w:outlineLvl w:val="0"/>
        <w:rPr>
          <w:rFonts w:ascii="宋体" w:hAnsi="宋体" w:cs="宋体"/>
          <w:bCs/>
          <w:szCs w:val="21"/>
        </w:rPr>
      </w:pPr>
      <w:r>
        <w:rPr>
          <w:rFonts w:ascii="宋体" w:hAnsi="宋体" w:cs="宋体" w:hint="eastAsia"/>
          <w:bCs/>
          <w:szCs w:val="21"/>
        </w:rPr>
        <w:t>6.5.7.6.3  工厂的碳排放量宜逐年下降。</w:t>
      </w:r>
      <w:bookmarkStart w:id="30" w:name="_Toc46929959"/>
    </w:p>
    <w:p w14:paraId="133AA2A0" w14:textId="77777777" w:rsidR="00B50C5D" w:rsidRDefault="00FA0E9F">
      <w:pPr>
        <w:spacing w:line="360" w:lineRule="auto"/>
        <w:outlineLvl w:val="0"/>
        <w:rPr>
          <w:rFonts w:ascii="宋体" w:hAnsi="宋体" w:cs="宋体"/>
          <w:szCs w:val="21"/>
        </w:rPr>
      </w:pPr>
      <w:r>
        <w:rPr>
          <w:rFonts w:ascii="宋体" w:hAnsi="宋体" w:cs="宋体" w:hint="eastAsia"/>
          <w:bCs/>
          <w:szCs w:val="21"/>
        </w:rPr>
        <w:t>6.</w:t>
      </w:r>
      <w:r>
        <w:rPr>
          <w:rFonts w:ascii="宋体" w:hAnsi="宋体" w:cs="宋体" w:hint="eastAsia"/>
          <w:szCs w:val="21"/>
        </w:rPr>
        <w:t>5.7.7 计算方式</w:t>
      </w:r>
      <w:bookmarkEnd w:id="30"/>
    </w:p>
    <w:p w14:paraId="4B7DA293"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工厂各类绩效指标计算方式见GB/T36132附录A。</w:t>
      </w:r>
    </w:p>
    <w:p w14:paraId="2DD2C21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对工厂容积率、建筑密度，单位用地面积产值进行了规定，根据《工业项目建设用地控制指标》，对于有色金属压延加工，规定容积率不应小于0.6，鼓励达到0.72。建筑密度应不低于30%，鼓励达到40%及以上。</w:t>
      </w:r>
    </w:p>
    <w:p w14:paraId="096B9F6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原料无害化对替换物料使用进行了规定，物料宜选自有毒有害原料（产品）替代名录，或利用再生资源及产业废弃物等作为原料，使用量根据物料台账测算。或将有害的原料变成无害或者市场上可流通的产品。锡及锡合金原料无害化还包括辅料使用的无害化，比如通过工艺改进，尽量减少使用有毒有害辅料的使用量，推广使用绿色建材等。产品在储存、运输过程中采用环保材料，减少对环境的影响。</w:t>
      </w:r>
    </w:p>
    <w:p w14:paraId="00CFFA9C"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有色行业的工业固体废物的特点是产量大、品种多、分布范围广。锡及锡合金生产废物资源包括单位产品主要原材料消耗量、工业固体废物综合利用率、废水回用率等。其计算公式详见GB/T 36132附录A。工厂应采取措施使单位产品碳排放量逐年下降，综合能耗优于行业的先进值，并达到国内先进水平。</w:t>
      </w:r>
    </w:p>
    <w:p w14:paraId="45CDD643" w14:textId="77777777" w:rsidR="00B50C5D" w:rsidRDefault="00FA0E9F">
      <w:pPr>
        <w:spacing w:line="360" w:lineRule="auto"/>
        <w:ind w:firstLineChars="300" w:firstLine="630"/>
        <w:rPr>
          <w:rFonts w:ascii="宋体" w:hAnsi="宋体" w:cs="宋体"/>
          <w:szCs w:val="21"/>
        </w:rPr>
      </w:pPr>
      <w:r>
        <w:rPr>
          <w:rFonts w:ascii="宋体" w:hAnsi="宋体" w:cs="宋体" w:hint="eastAsia"/>
          <w:szCs w:val="21"/>
        </w:rPr>
        <w:t>应达到国内先进水平就是所有起草单位的综合平均最小值水平。</w:t>
      </w:r>
    </w:p>
    <w:p w14:paraId="04A1ACE6" w14:textId="77777777" w:rsidR="00B50C5D" w:rsidRDefault="00FA0E9F">
      <w:pPr>
        <w:spacing w:line="360" w:lineRule="auto"/>
        <w:ind w:firstLineChars="300" w:firstLine="630"/>
        <w:rPr>
          <w:rFonts w:ascii="宋体" w:hAnsi="宋体" w:cs="宋体"/>
          <w:szCs w:val="21"/>
        </w:rPr>
      </w:pPr>
      <w:r>
        <w:rPr>
          <w:rFonts w:ascii="宋体" w:hAnsi="宋体" w:cs="宋体" w:hint="eastAsia"/>
          <w:szCs w:val="21"/>
        </w:rPr>
        <w:t>指标确定见附表。</w:t>
      </w:r>
    </w:p>
    <w:p w14:paraId="4972A95A" w14:textId="77777777" w:rsidR="00B50C5D" w:rsidRDefault="00FA0E9F">
      <w:pPr>
        <w:spacing w:line="360" w:lineRule="auto"/>
        <w:rPr>
          <w:rFonts w:ascii="宋体" w:hAnsi="宋体" w:cs="宋体"/>
          <w:b/>
          <w:szCs w:val="21"/>
        </w:rPr>
      </w:pPr>
      <w:r>
        <w:rPr>
          <w:rFonts w:ascii="宋体" w:hAnsi="宋体" w:cs="宋体" w:hint="eastAsia"/>
          <w:b/>
          <w:szCs w:val="21"/>
        </w:rPr>
        <w:t>6.6 评价程序</w:t>
      </w:r>
    </w:p>
    <w:p w14:paraId="4ED7CB92"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实施评价的组织应建立规范的评价工作流程，包括但不限于评价准备、组建评价组、制定评价方案预评价(适用时)、现场评价、编制评价报告、技术评审等。</w:t>
      </w:r>
    </w:p>
    <w:p w14:paraId="47A96CC4" w14:textId="77777777" w:rsidR="00B50C5D" w:rsidRDefault="00FA0E9F">
      <w:pPr>
        <w:spacing w:line="360" w:lineRule="auto"/>
        <w:rPr>
          <w:rFonts w:ascii="宋体" w:hAnsi="宋体" w:cs="宋体"/>
          <w:b/>
          <w:szCs w:val="21"/>
        </w:rPr>
      </w:pPr>
      <w:r>
        <w:rPr>
          <w:rFonts w:ascii="宋体" w:hAnsi="宋体" w:cs="宋体" w:hint="eastAsia"/>
          <w:b/>
          <w:szCs w:val="21"/>
        </w:rPr>
        <w:t>6.7  评价报告</w:t>
      </w:r>
    </w:p>
    <w:p w14:paraId="49BE750B"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lastRenderedPageBreak/>
        <w:t>评价报告内容无论是自评还是第三方评价，包括但不限于：</w:t>
      </w:r>
    </w:p>
    <w:p w14:paraId="2A9CF8AB"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a) 实施评价的组织；</w:t>
      </w:r>
    </w:p>
    <w:p w14:paraId="62FC9182"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b) 评价目的、范围及准则；</w:t>
      </w:r>
    </w:p>
    <w:p w14:paraId="0E671CD1"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c) 评价过程，主要包括评价组织安排、文件评审情况、现场评价情况、评价报告编制及内部技术评审情况；</w:t>
      </w:r>
    </w:p>
    <w:p w14:paraId="24C949A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d) 评价内容，包括一般要求、基础设施、管理体系、能源资源投入、产品、环境排放、绩效等；</w:t>
      </w:r>
    </w:p>
    <w:p w14:paraId="591C643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e) 评价证据的核实情况，包括证明文件和数据真实性、计算范围及计算方法、相关计量设备和有关标准的执行等；</w:t>
      </w:r>
    </w:p>
    <w:p w14:paraId="313C6652"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f) 评价指标表，明确各评价指标得分情况及评价加权综合评分，并判定受评工厂是否符合评价要求；</w:t>
      </w:r>
    </w:p>
    <w:p w14:paraId="752E2C4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g) 发现的问题；</w:t>
      </w:r>
    </w:p>
    <w:p w14:paraId="0766A859"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h) 绿色工厂主要创建做法、工作亮点等；</w:t>
      </w:r>
    </w:p>
    <w:p w14:paraId="0855032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i) 对持续创建绿色工厂提出的下一步工作计划或建议；</w:t>
      </w:r>
    </w:p>
    <w:p w14:paraId="40659D38"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j) 相关支持材料。</w:t>
      </w:r>
    </w:p>
    <w:p w14:paraId="154D48D6"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标准规定了锡及锡合金绿色工厂评价输出的评价报告的内容。</w:t>
      </w:r>
    </w:p>
    <w:p w14:paraId="50EFE4E6" w14:textId="77777777" w:rsidR="00B50C5D" w:rsidRDefault="00FA0E9F">
      <w:pPr>
        <w:spacing w:line="360" w:lineRule="auto"/>
        <w:rPr>
          <w:rFonts w:ascii="宋体" w:hAnsi="宋体" w:cs="宋体"/>
          <w:b/>
          <w:bCs/>
          <w:szCs w:val="21"/>
        </w:rPr>
      </w:pPr>
      <w:r>
        <w:rPr>
          <w:rFonts w:ascii="宋体" w:hAnsi="宋体" w:cs="宋体" w:hint="eastAsia"/>
          <w:b/>
          <w:bCs/>
          <w:szCs w:val="21"/>
        </w:rPr>
        <w:t>6.8规范性附录A</w:t>
      </w:r>
    </w:p>
    <w:p w14:paraId="1E2D3D6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给出了锡及锡合金绿色工厂评价的指标表（涵盖一级指标、二级指标、具体评价要求和得分）。</w:t>
      </w:r>
    </w:p>
    <w:p w14:paraId="48983BFB" w14:textId="77777777" w:rsidR="00B50C5D" w:rsidRDefault="00FA0E9F">
      <w:pPr>
        <w:pStyle w:val="1"/>
        <w:jc w:val="both"/>
        <w:rPr>
          <w:rFonts w:cs="宋体"/>
          <w:sz w:val="21"/>
          <w:szCs w:val="21"/>
        </w:rPr>
      </w:pPr>
      <w:bookmarkStart w:id="31" w:name="_Toc3786"/>
      <w:r>
        <w:rPr>
          <w:rFonts w:cs="宋体" w:hint="eastAsia"/>
          <w:sz w:val="21"/>
          <w:szCs w:val="21"/>
        </w:rPr>
        <w:t>7 标准中如涉及专利，应有明确的知识产权说明。</w:t>
      </w:r>
      <w:bookmarkEnd w:id="31"/>
    </w:p>
    <w:p w14:paraId="1341D731"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本标准不涉及专利。</w:t>
      </w:r>
    </w:p>
    <w:p w14:paraId="5FE91F75" w14:textId="77777777" w:rsidR="00B50C5D" w:rsidRDefault="00FA0E9F">
      <w:pPr>
        <w:pStyle w:val="1"/>
        <w:jc w:val="both"/>
        <w:rPr>
          <w:rFonts w:cs="宋体"/>
          <w:sz w:val="21"/>
          <w:szCs w:val="21"/>
        </w:rPr>
      </w:pPr>
      <w:bookmarkStart w:id="32" w:name="_Toc406"/>
      <w:r>
        <w:rPr>
          <w:rFonts w:cs="宋体" w:hint="eastAsia"/>
          <w:sz w:val="21"/>
          <w:szCs w:val="21"/>
        </w:rPr>
        <w:t>8 主要试验或验证的分析、综述报告、技术经济论证，预期的经济效果。</w:t>
      </w:r>
      <w:bookmarkEnd w:id="32"/>
    </w:p>
    <w:p w14:paraId="0D68AF3D"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本标准通过在</w:t>
      </w:r>
      <w:r>
        <w:rPr>
          <w:rFonts w:ascii="宋体" w:hAnsi="宋体" w:cs="宋体" w:hint="eastAsia"/>
          <w:szCs w:val="21"/>
        </w:rPr>
        <w:t>锡及锡合金</w:t>
      </w:r>
      <w:r>
        <w:rPr>
          <w:rFonts w:ascii="宋体" w:hAnsi="宋体" w:cs="宋体" w:hint="eastAsia"/>
          <w:bCs/>
          <w:szCs w:val="21"/>
        </w:rPr>
        <w:t>工厂的实际验证和调研，确定可用于</w:t>
      </w:r>
      <w:r>
        <w:rPr>
          <w:rFonts w:ascii="宋体" w:hAnsi="宋体" w:cs="宋体" w:hint="eastAsia"/>
          <w:szCs w:val="21"/>
        </w:rPr>
        <w:t>锡及锡合金</w:t>
      </w:r>
      <w:r>
        <w:rPr>
          <w:rFonts w:ascii="宋体" w:hAnsi="宋体" w:cs="宋体" w:hint="eastAsia"/>
          <w:bCs/>
          <w:szCs w:val="21"/>
        </w:rPr>
        <w:t>绿色工厂的评价工作。可以系统评价企业生产过程的能源、资源使用情况，进而有针对性地进行节能、节水、节约原材料、减少污染物排放等工作，有利于推动我国</w:t>
      </w:r>
      <w:r>
        <w:rPr>
          <w:rFonts w:ascii="宋体" w:hAnsi="宋体" w:cs="宋体" w:hint="eastAsia"/>
          <w:szCs w:val="21"/>
        </w:rPr>
        <w:t>锡及锡合金</w:t>
      </w:r>
      <w:r>
        <w:rPr>
          <w:rFonts w:ascii="宋体" w:hAnsi="宋体" w:cs="宋体" w:hint="eastAsia"/>
          <w:bCs/>
          <w:szCs w:val="21"/>
        </w:rPr>
        <w:t>绿色发展，全面推动我国绿色制造体系创建工作。</w:t>
      </w:r>
    </w:p>
    <w:p w14:paraId="04176193" w14:textId="77777777" w:rsidR="00B50C5D" w:rsidRDefault="00FA0E9F">
      <w:pPr>
        <w:pStyle w:val="1"/>
        <w:jc w:val="both"/>
        <w:rPr>
          <w:rFonts w:cs="宋体"/>
          <w:sz w:val="21"/>
          <w:szCs w:val="21"/>
        </w:rPr>
      </w:pPr>
      <w:bookmarkStart w:id="33" w:name="_Toc21214"/>
      <w:r>
        <w:rPr>
          <w:rFonts w:cs="宋体" w:hint="eastAsia"/>
          <w:sz w:val="21"/>
          <w:szCs w:val="21"/>
        </w:rPr>
        <w:t>9 采用国际标准或国外先进标准的目的、意义和一致性程度；我国标准与被采用标准的主要差异及其原因；以及与国际、国外同类标准水平的对比情况。</w:t>
      </w:r>
      <w:bookmarkEnd w:id="33"/>
    </w:p>
    <w:p w14:paraId="1006F08A" w14:textId="77777777" w:rsidR="00B50C5D" w:rsidRDefault="00FA0E9F">
      <w:pPr>
        <w:spacing w:line="360" w:lineRule="auto"/>
        <w:ind w:firstLineChars="200" w:firstLine="420"/>
        <w:rPr>
          <w:rFonts w:ascii="宋体" w:hAnsi="宋体" w:cs="宋体"/>
          <w:bCs/>
          <w:szCs w:val="21"/>
        </w:rPr>
      </w:pPr>
      <w:r>
        <w:rPr>
          <w:rFonts w:ascii="宋体" w:hAnsi="宋体" w:cs="宋体" w:hint="eastAsia"/>
          <w:bCs/>
          <w:szCs w:val="21"/>
        </w:rPr>
        <w:t>不适用。</w:t>
      </w:r>
    </w:p>
    <w:p w14:paraId="75469115" w14:textId="77777777" w:rsidR="00B50C5D" w:rsidRDefault="00FA0E9F">
      <w:pPr>
        <w:pStyle w:val="1"/>
        <w:jc w:val="both"/>
        <w:rPr>
          <w:rFonts w:cs="宋体"/>
          <w:sz w:val="21"/>
          <w:szCs w:val="21"/>
        </w:rPr>
      </w:pPr>
      <w:bookmarkStart w:id="34" w:name="_Toc622"/>
      <w:r>
        <w:rPr>
          <w:rFonts w:cs="宋体" w:hint="eastAsia"/>
          <w:sz w:val="21"/>
          <w:szCs w:val="21"/>
        </w:rPr>
        <w:t>10 与现行法律、法规、强制性国家标准及相关标准协调配套情况</w:t>
      </w:r>
      <w:bookmarkEnd w:id="34"/>
    </w:p>
    <w:p w14:paraId="2F38C040"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《绿色工厂评价通则》GB/T 36132已经于2018年正式发布，本标准是</w:t>
      </w:r>
      <w:r>
        <w:rPr>
          <w:rFonts w:ascii="宋体" w:hAnsi="宋体" w:cs="宋体" w:hint="eastAsia"/>
          <w:bCs/>
          <w:szCs w:val="21"/>
        </w:rPr>
        <w:t>在GB/T 36132的基础上，</w:t>
      </w:r>
      <w:r>
        <w:rPr>
          <w:rFonts w:ascii="宋体" w:hAnsi="宋体" w:cs="宋体" w:hint="eastAsia"/>
          <w:szCs w:val="21"/>
        </w:rPr>
        <w:t>参考国家、行业的相关标准和规范，建立针对锡及锡合金的绿色工厂的评价体系标准。</w:t>
      </w:r>
    </w:p>
    <w:p w14:paraId="2F342733" w14:textId="77777777" w:rsidR="00B50C5D" w:rsidRDefault="00FA0E9F">
      <w:pPr>
        <w:spacing w:line="360" w:lineRule="auto"/>
        <w:ind w:firstLineChars="200" w:firstLine="420"/>
        <w:rPr>
          <w:rFonts w:ascii="宋体" w:hAnsi="宋体" w:cs="宋体"/>
          <w:bCs/>
          <w:szCs w:val="21"/>
        </w:rPr>
      </w:pPr>
      <w:r>
        <w:rPr>
          <w:rFonts w:ascii="宋体" w:hAnsi="宋体" w:cs="宋体" w:hint="eastAsia"/>
          <w:szCs w:val="21"/>
        </w:rPr>
        <w:t>有锡及锡合金绿色工厂评价指标表A.1依据</w:t>
      </w:r>
      <w:hyperlink r:id="rId11" w:history="1">
        <w:r>
          <w:rPr>
            <w:rFonts w:ascii="宋体" w:hAnsi="宋体" w:cs="宋体" w:hint="eastAsia"/>
            <w:szCs w:val="21"/>
          </w:rPr>
          <w:t>《绿色工厂自评价报告及第三方评价报告》</w:t>
        </w:r>
      </w:hyperlink>
      <w:r>
        <w:rPr>
          <w:rFonts w:ascii="宋体" w:hAnsi="宋体" w:cs="宋体" w:hint="eastAsia"/>
          <w:szCs w:val="21"/>
        </w:rPr>
        <w:t>（工信</w:t>
      </w:r>
      <w:r>
        <w:rPr>
          <w:rFonts w:ascii="宋体" w:hAnsi="宋体" w:cs="宋体" w:hint="eastAsia"/>
          <w:szCs w:val="21"/>
        </w:rPr>
        <w:lastRenderedPageBreak/>
        <w:t>厅节函〔2018〕257号）。</w:t>
      </w:r>
    </w:p>
    <w:p w14:paraId="7ED0A218" w14:textId="77777777" w:rsidR="00B50C5D" w:rsidRDefault="00FA0E9F">
      <w:pPr>
        <w:pStyle w:val="1"/>
        <w:jc w:val="both"/>
        <w:rPr>
          <w:rFonts w:cs="宋体"/>
          <w:sz w:val="21"/>
          <w:szCs w:val="21"/>
        </w:rPr>
      </w:pPr>
      <w:bookmarkStart w:id="35" w:name="_Toc26678"/>
      <w:r>
        <w:rPr>
          <w:rFonts w:cs="宋体" w:hint="eastAsia"/>
          <w:sz w:val="21"/>
          <w:szCs w:val="21"/>
        </w:rPr>
        <w:t>11 国外相关法律、法规和标准情况的说明。（只适用于强制性标准）</w:t>
      </w:r>
      <w:bookmarkEnd w:id="35"/>
    </w:p>
    <w:p w14:paraId="24E7795E"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不适用。</w:t>
      </w:r>
    </w:p>
    <w:p w14:paraId="5F27CE5C" w14:textId="77777777" w:rsidR="00B50C5D" w:rsidRDefault="00FA0E9F">
      <w:pPr>
        <w:pStyle w:val="1"/>
        <w:jc w:val="both"/>
        <w:rPr>
          <w:rFonts w:cs="宋体"/>
          <w:sz w:val="21"/>
          <w:szCs w:val="21"/>
        </w:rPr>
      </w:pPr>
      <w:bookmarkStart w:id="36" w:name="_Toc32100"/>
      <w:r>
        <w:rPr>
          <w:rFonts w:cs="宋体" w:hint="eastAsia"/>
          <w:sz w:val="21"/>
          <w:szCs w:val="21"/>
        </w:rPr>
        <w:t>12 重大分歧意见的处理经过和依据</w:t>
      </w:r>
      <w:bookmarkEnd w:id="36"/>
    </w:p>
    <w:p w14:paraId="152476A4"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暂无。</w:t>
      </w:r>
    </w:p>
    <w:p w14:paraId="32E8358A" w14:textId="77777777" w:rsidR="00B50C5D" w:rsidRDefault="00FA0E9F">
      <w:pPr>
        <w:pStyle w:val="1"/>
        <w:jc w:val="both"/>
        <w:rPr>
          <w:rFonts w:cs="宋体"/>
          <w:sz w:val="21"/>
          <w:szCs w:val="21"/>
        </w:rPr>
      </w:pPr>
      <w:bookmarkStart w:id="37" w:name="_Toc15989"/>
      <w:r>
        <w:rPr>
          <w:rFonts w:cs="宋体" w:hint="eastAsia"/>
          <w:sz w:val="21"/>
          <w:szCs w:val="21"/>
        </w:rPr>
        <w:t>13 标准作为强制性或推荐性国家（或行业）标准的建议</w:t>
      </w:r>
      <w:bookmarkEnd w:id="37"/>
    </w:p>
    <w:p w14:paraId="115ABF4F"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本标准建议作为推荐性行业标准发布。目前，国际上尚未有国家发布绿色工厂评价相关标准，国内唯一发布的绿色工厂评价标准是《绿色工厂评价通则》GB/T36132，其他行业如电子信息制造业已发布《电子信息制造行业绿色工厂评价导则》JT 11744-2019、钢铁行业和有色金属冶炼行业已逐步编制相关行业评价标准。本标准的发布，可以推进锡及锡合金绿色工厂的创建，引导锡及锡合金相关种类绿色工厂评价导则的编制，并指导企业提升绿色发展水平，为社会、为企业创造更多价值。</w:t>
      </w:r>
    </w:p>
    <w:p w14:paraId="6169FACF" w14:textId="77777777" w:rsidR="00B50C5D" w:rsidRDefault="00FA0E9F">
      <w:pPr>
        <w:pStyle w:val="1"/>
        <w:jc w:val="both"/>
        <w:rPr>
          <w:rFonts w:cs="宋体"/>
          <w:sz w:val="21"/>
          <w:szCs w:val="21"/>
        </w:rPr>
      </w:pPr>
      <w:bookmarkStart w:id="38" w:name="_Toc15588"/>
      <w:r>
        <w:rPr>
          <w:rFonts w:cs="宋体" w:hint="eastAsia"/>
          <w:sz w:val="21"/>
          <w:szCs w:val="21"/>
        </w:rPr>
        <w:t>14 贯彻标准的要求和措施建议：</w:t>
      </w:r>
      <w:bookmarkEnd w:id="38"/>
    </w:p>
    <w:p w14:paraId="39C7D17C"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本标准的技术内容是推荐性的，建议标准发布后即可实施，建议本标准由各级人民政府的工业和信息化行政主管部门负责监督实施。</w:t>
      </w:r>
    </w:p>
    <w:p w14:paraId="41BC464F" w14:textId="77777777" w:rsidR="00B50C5D" w:rsidRDefault="00FA0E9F">
      <w:pPr>
        <w:pStyle w:val="1"/>
        <w:jc w:val="both"/>
        <w:rPr>
          <w:rFonts w:cs="宋体"/>
          <w:sz w:val="21"/>
          <w:szCs w:val="21"/>
        </w:rPr>
      </w:pPr>
      <w:bookmarkStart w:id="39" w:name="_Toc29281"/>
      <w:r>
        <w:rPr>
          <w:rFonts w:cs="宋体" w:hint="eastAsia"/>
          <w:sz w:val="21"/>
          <w:szCs w:val="21"/>
        </w:rPr>
        <w:t>15 设立标准实施过渡期的理由：根据国家经济、技术政策需要和该强制性标准涉及的产品的技术改造难度等因素，提出标准的实施日期的建议。（仅适用于强制性标准）</w:t>
      </w:r>
      <w:bookmarkEnd w:id="39"/>
    </w:p>
    <w:p w14:paraId="6EE20A61"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不适用。</w:t>
      </w:r>
    </w:p>
    <w:p w14:paraId="70B52897" w14:textId="77777777" w:rsidR="00B50C5D" w:rsidRDefault="00FA0E9F">
      <w:pPr>
        <w:pStyle w:val="1"/>
        <w:jc w:val="both"/>
        <w:rPr>
          <w:rFonts w:cs="宋体"/>
          <w:sz w:val="21"/>
          <w:szCs w:val="21"/>
        </w:rPr>
      </w:pPr>
      <w:bookmarkStart w:id="40" w:name="_Toc7802"/>
      <w:r>
        <w:rPr>
          <w:rFonts w:cs="宋体" w:hint="eastAsia"/>
          <w:sz w:val="21"/>
          <w:szCs w:val="21"/>
        </w:rPr>
        <w:t>16 废止现行有关标准的建议</w:t>
      </w:r>
      <w:bookmarkEnd w:id="40"/>
    </w:p>
    <w:p w14:paraId="70E324B6"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无。</w:t>
      </w:r>
    </w:p>
    <w:p w14:paraId="55043DB2" w14:textId="77777777" w:rsidR="00B50C5D" w:rsidRDefault="00FA0E9F">
      <w:pPr>
        <w:pStyle w:val="1"/>
        <w:jc w:val="both"/>
        <w:rPr>
          <w:rFonts w:cs="宋体"/>
          <w:sz w:val="21"/>
          <w:szCs w:val="21"/>
        </w:rPr>
      </w:pPr>
      <w:bookmarkStart w:id="41" w:name="_Toc22451"/>
      <w:r>
        <w:rPr>
          <w:rFonts w:cs="宋体" w:hint="eastAsia"/>
          <w:sz w:val="21"/>
          <w:szCs w:val="21"/>
        </w:rPr>
        <w:t>17 其他主要内容的解释和其他需要说明的事项。如系列标准或划分部分制定的标准的编号建议，参考文献目录等。</w:t>
      </w:r>
      <w:bookmarkEnd w:id="41"/>
    </w:p>
    <w:p w14:paraId="1EBFBEF1"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无。</w:t>
      </w:r>
    </w:p>
    <w:p w14:paraId="3D0CDEE5" w14:textId="77777777" w:rsidR="00B50C5D" w:rsidRDefault="00FA0E9F">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《锡及锡合金绿色工厂评价要求》行业标准编制组                                               </w:t>
      </w:r>
    </w:p>
    <w:p w14:paraId="1616B36E" w14:textId="77777777" w:rsidR="00B50C5D" w:rsidRDefault="00FA0E9F">
      <w:pPr>
        <w:spacing w:line="360" w:lineRule="auto"/>
        <w:ind w:firstLineChars="2400" w:firstLine="5040"/>
        <w:rPr>
          <w:rFonts w:ascii="宋体" w:hAnsi="宋体" w:cs="宋体"/>
          <w:szCs w:val="21"/>
        </w:rPr>
        <w:sectPr w:rsidR="00B50C5D">
          <w:footerReference w:type="even" r:id="rId12"/>
          <w:footerReference w:type="default" r:id="rId13"/>
          <w:pgSz w:w="11906" w:h="16838"/>
          <w:pgMar w:top="1134" w:right="1418" w:bottom="1134" w:left="1418" w:header="851" w:footer="992" w:gutter="0"/>
          <w:cols w:space="720"/>
          <w:docGrid w:type="lines" w:linePitch="312"/>
        </w:sectPr>
      </w:pPr>
      <w:r>
        <w:rPr>
          <w:rFonts w:ascii="宋体" w:hAnsi="宋体" w:cs="宋体" w:hint="eastAsia"/>
          <w:szCs w:val="21"/>
        </w:rPr>
        <w:t>2023年8月21日</w:t>
      </w:r>
      <w:bookmarkStart w:id="42" w:name="_GoBack"/>
      <w:bookmarkEnd w:id="42"/>
    </w:p>
    <w:p w14:paraId="7FEE4D96" w14:textId="77777777" w:rsidR="00B50C5D" w:rsidRDefault="00FA0E9F">
      <w:pPr>
        <w:spacing w:line="360" w:lineRule="auto"/>
        <w:jc w:val="center"/>
        <w:rPr>
          <w:rFonts w:ascii="宋体"/>
          <w:b/>
          <w:bCs/>
          <w:kern w:val="0"/>
          <w:sz w:val="32"/>
          <w:szCs w:val="32"/>
        </w:rPr>
      </w:pPr>
      <w:r>
        <w:rPr>
          <w:rFonts w:ascii="宋体" w:hAnsi="宋体" w:cs="宋体" w:hint="eastAsia"/>
          <w:b/>
          <w:bCs/>
          <w:kern w:val="0"/>
          <w:sz w:val="32"/>
          <w:szCs w:val="32"/>
        </w:rPr>
        <w:lastRenderedPageBreak/>
        <w:t>标准征求意见汇总处理表</w:t>
      </w:r>
    </w:p>
    <w:p w14:paraId="74237065" w14:textId="77777777" w:rsidR="00B50C5D" w:rsidRDefault="00FA0E9F">
      <w:pPr>
        <w:spacing w:line="360" w:lineRule="auto"/>
        <w:rPr>
          <w:rFonts w:ascii="宋体"/>
          <w:kern w:val="0"/>
        </w:rPr>
      </w:pPr>
      <w:r>
        <w:rPr>
          <w:rFonts w:ascii="宋体" w:hAnsi="宋体" w:cs="宋体" w:hint="eastAsia"/>
          <w:kern w:val="0"/>
        </w:rPr>
        <w:t>标准名称：《</w:t>
      </w:r>
      <w:r>
        <w:rPr>
          <w:rFonts w:ascii="宋体" w:hAnsi="宋体" w:cs="宋体" w:hint="eastAsia"/>
          <w:kern w:val="0"/>
          <w:szCs w:val="21"/>
        </w:rPr>
        <w:t>锡及锡合金绿色工厂评价要求》</w:t>
      </w:r>
    </w:p>
    <w:p w14:paraId="0E9BCB1B" w14:textId="77777777" w:rsidR="00B50C5D" w:rsidRDefault="00FA0E9F">
      <w:pPr>
        <w:spacing w:line="360" w:lineRule="auto"/>
        <w:rPr>
          <w:rFonts w:ascii="宋体" w:hAnsi="宋体" w:cs="宋体"/>
          <w:kern w:val="0"/>
        </w:rPr>
      </w:pPr>
      <w:r>
        <w:rPr>
          <w:rFonts w:ascii="宋体" w:hAnsi="宋体" w:cs="宋体" w:hint="eastAsia"/>
          <w:kern w:val="0"/>
        </w:rPr>
        <w:t xml:space="preserve">标准项目负责起草单位：云南锡业股份有限公司、云南锡业新材料有限公司               </w:t>
      </w:r>
    </w:p>
    <w:p w14:paraId="09CB7A64" w14:textId="77777777" w:rsidR="00B50C5D" w:rsidRDefault="00FA0E9F">
      <w:pPr>
        <w:spacing w:line="360" w:lineRule="auto"/>
        <w:rPr>
          <w:rFonts w:ascii="宋体"/>
          <w:kern w:val="0"/>
        </w:rPr>
      </w:pPr>
      <w:r>
        <w:rPr>
          <w:rFonts w:ascii="宋体" w:hAnsi="宋体" w:cs="宋体" w:hint="eastAsia"/>
          <w:kern w:val="0"/>
        </w:rPr>
        <w:t xml:space="preserve">承办人：祝超       联系电话：13987134540           </w:t>
      </w:r>
      <w:r>
        <w:rPr>
          <w:rFonts w:ascii="宋体" w:hAnsi="宋体" w:cs="宋体"/>
          <w:kern w:val="0"/>
        </w:rPr>
        <w:t>2023</w:t>
      </w:r>
      <w:r>
        <w:rPr>
          <w:rFonts w:ascii="宋体" w:hAnsi="宋体" w:cs="宋体" w:hint="eastAsia"/>
          <w:kern w:val="0"/>
        </w:rPr>
        <w:t>年8月15日</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62"/>
        <w:gridCol w:w="3540"/>
        <w:gridCol w:w="1620"/>
        <w:gridCol w:w="1522"/>
        <w:gridCol w:w="1988"/>
      </w:tblGrid>
      <w:tr w:rsidR="00B50C5D" w14:paraId="485ECCB2" w14:textId="77777777">
        <w:trPr>
          <w:jc w:val="center"/>
        </w:trPr>
        <w:tc>
          <w:tcPr>
            <w:tcW w:w="636" w:type="dxa"/>
            <w:tcBorders>
              <w:top w:val="single" w:sz="4" w:space="0" w:color="auto"/>
              <w:left w:val="single" w:sz="4" w:space="0" w:color="auto"/>
              <w:bottom w:val="single" w:sz="4" w:space="0" w:color="auto"/>
              <w:right w:val="single" w:sz="4" w:space="0" w:color="auto"/>
            </w:tcBorders>
          </w:tcPr>
          <w:p w14:paraId="5E230EEA" w14:textId="77777777" w:rsidR="00B50C5D" w:rsidRDefault="00FA0E9F">
            <w:pPr>
              <w:spacing w:line="360" w:lineRule="auto"/>
              <w:rPr>
                <w:rFonts w:ascii="宋体" w:hAnsi="宋体" w:cs="宋体"/>
                <w:kern w:val="0"/>
                <w:szCs w:val="21"/>
              </w:rPr>
            </w:pPr>
            <w:r>
              <w:rPr>
                <w:rFonts w:ascii="宋体" w:hAnsi="宋体" w:cs="宋体" w:hint="eastAsia"/>
                <w:kern w:val="0"/>
                <w:szCs w:val="21"/>
              </w:rPr>
              <w:t>序号</w:t>
            </w:r>
          </w:p>
        </w:tc>
        <w:tc>
          <w:tcPr>
            <w:tcW w:w="1262" w:type="dxa"/>
            <w:tcBorders>
              <w:top w:val="single" w:sz="4" w:space="0" w:color="auto"/>
              <w:left w:val="single" w:sz="4" w:space="0" w:color="auto"/>
              <w:bottom w:val="single" w:sz="4" w:space="0" w:color="auto"/>
              <w:right w:val="single" w:sz="4" w:space="0" w:color="auto"/>
            </w:tcBorders>
          </w:tcPr>
          <w:p w14:paraId="020016E1"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标准章条编号</w:t>
            </w:r>
          </w:p>
        </w:tc>
        <w:tc>
          <w:tcPr>
            <w:tcW w:w="3540" w:type="dxa"/>
            <w:tcBorders>
              <w:top w:val="single" w:sz="4" w:space="0" w:color="auto"/>
              <w:left w:val="single" w:sz="4" w:space="0" w:color="auto"/>
              <w:bottom w:val="single" w:sz="4" w:space="0" w:color="auto"/>
              <w:right w:val="single" w:sz="4" w:space="0" w:color="auto"/>
            </w:tcBorders>
            <w:vAlign w:val="center"/>
          </w:tcPr>
          <w:p w14:paraId="587A707B"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意见内容</w:t>
            </w:r>
          </w:p>
        </w:tc>
        <w:tc>
          <w:tcPr>
            <w:tcW w:w="1620" w:type="dxa"/>
            <w:tcBorders>
              <w:top w:val="single" w:sz="4" w:space="0" w:color="auto"/>
              <w:left w:val="single" w:sz="4" w:space="0" w:color="auto"/>
              <w:bottom w:val="single" w:sz="4" w:space="0" w:color="auto"/>
              <w:right w:val="single" w:sz="4" w:space="0" w:color="auto"/>
            </w:tcBorders>
            <w:vAlign w:val="center"/>
          </w:tcPr>
          <w:p w14:paraId="6C3A081C" w14:textId="77777777" w:rsidR="00B50C5D" w:rsidRDefault="00FA0E9F">
            <w:pPr>
              <w:spacing w:line="360" w:lineRule="auto"/>
              <w:rPr>
                <w:rFonts w:ascii="宋体" w:hAnsi="宋体" w:cs="宋体"/>
                <w:kern w:val="0"/>
                <w:szCs w:val="21"/>
              </w:rPr>
            </w:pPr>
            <w:r>
              <w:rPr>
                <w:rFonts w:ascii="宋体" w:hAnsi="宋体" w:cs="宋体" w:hint="eastAsia"/>
                <w:kern w:val="0"/>
                <w:szCs w:val="21"/>
              </w:rPr>
              <w:t>提出单位</w:t>
            </w:r>
          </w:p>
        </w:tc>
        <w:tc>
          <w:tcPr>
            <w:tcW w:w="1522" w:type="dxa"/>
            <w:tcBorders>
              <w:top w:val="single" w:sz="4" w:space="0" w:color="auto"/>
              <w:left w:val="single" w:sz="4" w:space="0" w:color="auto"/>
              <w:bottom w:val="single" w:sz="4" w:space="0" w:color="auto"/>
              <w:right w:val="single" w:sz="4" w:space="0" w:color="auto"/>
            </w:tcBorders>
            <w:vAlign w:val="center"/>
          </w:tcPr>
          <w:p w14:paraId="0955FA75"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处理意见</w:t>
            </w:r>
          </w:p>
        </w:tc>
        <w:tc>
          <w:tcPr>
            <w:tcW w:w="1988" w:type="dxa"/>
            <w:tcBorders>
              <w:top w:val="single" w:sz="4" w:space="0" w:color="auto"/>
              <w:left w:val="single" w:sz="4" w:space="0" w:color="auto"/>
              <w:bottom w:val="single" w:sz="4" w:space="0" w:color="auto"/>
              <w:right w:val="single" w:sz="4" w:space="0" w:color="auto"/>
            </w:tcBorders>
            <w:vAlign w:val="center"/>
          </w:tcPr>
          <w:p w14:paraId="42761DB7" w14:textId="77777777" w:rsidR="00B50C5D" w:rsidRDefault="00FA0E9F">
            <w:pPr>
              <w:spacing w:line="360" w:lineRule="auto"/>
              <w:rPr>
                <w:rFonts w:ascii="宋体" w:hAnsi="宋体" w:cs="宋体"/>
                <w:kern w:val="0"/>
                <w:szCs w:val="21"/>
              </w:rPr>
            </w:pPr>
            <w:r>
              <w:rPr>
                <w:rFonts w:ascii="宋体" w:hAnsi="宋体" w:cs="宋体" w:hint="eastAsia"/>
                <w:kern w:val="0"/>
                <w:szCs w:val="21"/>
              </w:rPr>
              <w:t>备注</w:t>
            </w:r>
          </w:p>
        </w:tc>
      </w:tr>
      <w:tr w:rsidR="00B50C5D" w14:paraId="20CE8790" w14:textId="77777777">
        <w:trPr>
          <w:jc w:val="center"/>
        </w:trPr>
        <w:tc>
          <w:tcPr>
            <w:tcW w:w="636" w:type="dxa"/>
            <w:tcBorders>
              <w:top w:val="single" w:sz="4" w:space="0" w:color="auto"/>
              <w:left w:val="single" w:sz="4" w:space="0" w:color="auto"/>
              <w:bottom w:val="single" w:sz="4" w:space="0" w:color="auto"/>
              <w:right w:val="single" w:sz="4" w:space="0" w:color="auto"/>
            </w:tcBorders>
            <w:vAlign w:val="center"/>
          </w:tcPr>
          <w:p w14:paraId="77DFB2FC" w14:textId="77777777" w:rsidR="00B50C5D" w:rsidRDefault="00FA0E9F">
            <w:pPr>
              <w:spacing w:line="360" w:lineRule="auto"/>
              <w:rPr>
                <w:rFonts w:ascii="宋体" w:hAnsi="宋体" w:cs="宋体"/>
                <w:kern w:val="0"/>
                <w:szCs w:val="21"/>
              </w:rPr>
            </w:pPr>
            <w:r>
              <w:rPr>
                <w:rFonts w:ascii="宋体" w:hAnsi="宋体" w:cs="宋体" w:hint="eastAsia"/>
                <w:kern w:val="0"/>
                <w:szCs w:val="21"/>
              </w:rPr>
              <w:t>1</w:t>
            </w:r>
          </w:p>
        </w:tc>
        <w:tc>
          <w:tcPr>
            <w:tcW w:w="1262" w:type="dxa"/>
            <w:tcBorders>
              <w:top w:val="single" w:sz="4" w:space="0" w:color="auto"/>
              <w:left w:val="single" w:sz="4" w:space="0" w:color="auto"/>
              <w:bottom w:val="single" w:sz="4" w:space="0" w:color="auto"/>
              <w:right w:val="single" w:sz="4" w:space="0" w:color="auto"/>
            </w:tcBorders>
          </w:tcPr>
          <w:p w14:paraId="5BE26415"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全文</w:t>
            </w:r>
          </w:p>
        </w:tc>
        <w:tc>
          <w:tcPr>
            <w:tcW w:w="3540" w:type="dxa"/>
            <w:tcBorders>
              <w:top w:val="single" w:sz="4" w:space="0" w:color="auto"/>
              <w:left w:val="single" w:sz="4" w:space="0" w:color="auto"/>
              <w:bottom w:val="single" w:sz="4" w:space="0" w:color="auto"/>
              <w:right w:val="single" w:sz="4" w:space="0" w:color="auto"/>
            </w:tcBorders>
            <w:vAlign w:val="center"/>
          </w:tcPr>
          <w:p w14:paraId="17266142" w14:textId="77777777" w:rsidR="00B50C5D" w:rsidRDefault="00FA0E9F">
            <w:pPr>
              <w:spacing w:line="360" w:lineRule="auto"/>
              <w:jc w:val="center"/>
              <w:rPr>
                <w:rFonts w:ascii="宋体" w:hAnsi="宋体" w:cs="宋体"/>
                <w:kern w:val="0"/>
                <w:szCs w:val="21"/>
              </w:rPr>
            </w:pPr>
            <w:r>
              <w:rPr>
                <w:rFonts w:ascii="宋体" w:hAnsi="宋体" w:cs="宋体" w:hint="eastAsia"/>
                <w:szCs w:val="21"/>
              </w:rPr>
              <w:t>修改字体</w:t>
            </w:r>
          </w:p>
        </w:tc>
        <w:tc>
          <w:tcPr>
            <w:tcW w:w="1620" w:type="dxa"/>
            <w:tcBorders>
              <w:top w:val="single" w:sz="4" w:space="0" w:color="auto"/>
              <w:left w:val="single" w:sz="4" w:space="0" w:color="auto"/>
              <w:bottom w:val="single" w:sz="4" w:space="0" w:color="auto"/>
              <w:right w:val="single" w:sz="4" w:space="0" w:color="auto"/>
            </w:tcBorders>
            <w:vAlign w:val="center"/>
          </w:tcPr>
          <w:p w14:paraId="366DDC78" w14:textId="77777777" w:rsidR="00B50C5D" w:rsidRDefault="00FA0E9F">
            <w:pPr>
              <w:spacing w:line="360" w:lineRule="auto"/>
              <w:rPr>
                <w:rFonts w:ascii="宋体" w:hAnsi="宋体" w:cs="宋体"/>
                <w:kern w:val="0"/>
                <w:szCs w:val="21"/>
              </w:rPr>
            </w:pPr>
            <w:r>
              <w:rPr>
                <w:rFonts w:ascii="宋体" w:hAnsi="宋体" w:cs="宋体" w:hint="eastAsia"/>
                <w:szCs w:val="21"/>
              </w:rPr>
              <w:t>北京康普锡威科技有限公司</w:t>
            </w:r>
          </w:p>
        </w:tc>
        <w:tc>
          <w:tcPr>
            <w:tcW w:w="1522" w:type="dxa"/>
            <w:tcBorders>
              <w:top w:val="single" w:sz="4" w:space="0" w:color="auto"/>
              <w:left w:val="single" w:sz="4" w:space="0" w:color="auto"/>
              <w:bottom w:val="single" w:sz="4" w:space="0" w:color="auto"/>
              <w:right w:val="single" w:sz="4" w:space="0" w:color="auto"/>
            </w:tcBorders>
            <w:vAlign w:val="center"/>
          </w:tcPr>
          <w:p w14:paraId="2FAFC9FA"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采纳</w:t>
            </w:r>
          </w:p>
        </w:tc>
        <w:tc>
          <w:tcPr>
            <w:tcW w:w="1988" w:type="dxa"/>
            <w:tcBorders>
              <w:top w:val="single" w:sz="4" w:space="0" w:color="auto"/>
              <w:left w:val="single" w:sz="4" w:space="0" w:color="auto"/>
              <w:bottom w:val="single" w:sz="4" w:space="0" w:color="auto"/>
              <w:right w:val="single" w:sz="4" w:space="0" w:color="auto"/>
            </w:tcBorders>
            <w:vAlign w:val="center"/>
          </w:tcPr>
          <w:p w14:paraId="05E44242" w14:textId="77777777" w:rsidR="00B50C5D" w:rsidRDefault="00B50C5D">
            <w:pPr>
              <w:spacing w:line="360" w:lineRule="auto"/>
              <w:ind w:firstLineChars="400" w:firstLine="840"/>
              <w:rPr>
                <w:rFonts w:ascii="宋体" w:hAnsi="宋体" w:cs="宋体"/>
                <w:kern w:val="0"/>
                <w:szCs w:val="21"/>
              </w:rPr>
            </w:pPr>
          </w:p>
        </w:tc>
      </w:tr>
      <w:tr w:rsidR="00B50C5D" w14:paraId="6B6DB101" w14:textId="77777777">
        <w:trPr>
          <w:trHeight w:val="793"/>
          <w:jc w:val="center"/>
        </w:trPr>
        <w:tc>
          <w:tcPr>
            <w:tcW w:w="636" w:type="dxa"/>
            <w:vMerge w:val="restart"/>
            <w:tcBorders>
              <w:top w:val="single" w:sz="4" w:space="0" w:color="auto"/>
              <w:left w:val="single" w:sz="4" w:space="0" w:color="auto"/>
              <w:right w:val="single" w:sz="4" w:space="0" w:color="auto"/>
            </w:tcBorders>
            <w:vAlign w:val="center"/>
          </w:tcPr>
          <w:p w14:paraId="2E3371E3" w14:textId="77777777" w:rsidR="00B50C5D" w:rsidRDefault="00FA0E9F">
            <w:pPr>
              <w:spacing w:line="360" w:lineRule="auto"/>
              <w:rPr>
                <w:rFonts w:ascii="宋体" w:hAnsi="宋体" w:cs="宋体"/>
                <w:kern w:val="0"/>
                <w:szCs w:val="21"/>
              </w:rPr>
            </w:pPr>
            <w:r>
              <w:rPr>
                <w:rFonts w:ascii="宋体" w:hAnsi="宋体" w:cs="宋体" w:hint="eastAsia"/>
                <w:kern w:val="0"/>
                <w:szCs w:val="21"/>
              </w:rPr>
              <w:t>2</w:t>
            </w:r>
          </w:p>
        </w:tc>
        <w:tc>
          <w:tcPr>
            <w:tcW w:w="1262" w:type="dxa"/>
            <w:tcBorders>
              <w:top w:val="single" w:sz="4" w:space="0" w:color="auto"/>
              <w:left w:val="single" w:sz="4" w:space="0" w:color="auto"/>
              <w:bottom w:val="single" w:sz="4" w:space="0" w:color="auto"/>
              <w:right w:val="single" w:sz="4" w:space="0" w:color="auto"/>
            </w:tcBorders>
          </w:tcPr>
          <w:p w14:paraId="06A4CB63"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引言、2.3.2</w:t>
            </w:r>
          </w:p>
        </w:tc>
        <w:tc>
          <w:tcPr>
            <w:tcW w:w="3540" w:type="dxa"/>
            <w:tcBorders>
              <w:top w:val="single" w:sz="4" w:space="0" w:color="auto"/>
              <w:left w:val="single" w:sz="4" w:space="0" w:color="auto"/>
              <w:bottom w:val="single" w:sz="4" w:space="0" w:color="auto"/>
              <w:right w:val="single" w:sz="4" w:space="0" w:color="auto"/>
            </w:tcBorders>
            <w:vAlign w:val="center"/>
          </w:tcPr>
          <w:p w14:paraId="7B1B5819" w14:textId="77777777" w:rsidR="00B50C5D" w:rsidRDefault="00FA0E9F">
            <w:pPr>
              <w:pStyle w:val="af1"/>
              <w:adjustRightInd w:val="0"/>
              <w:spacing w:line="360" w:lineRule="atLeast"/>
              <w:ind w:firstLineChars="0" w:firstLine="0"/>
              <w:textAlignment w:val="baseline"/>
              <w:rPr>
                <w:rFonts w:ascii="宋体" w:hAnsi="宋体" w:cs="宋体"/>
                <w:szCs w:val="21"/>
              </w:rPr>
            </w:pPr>
            <w:r>
              <w:rPr>
                <w:rFonts w:ascii="宋体" w:hAnsi="宋体" w:cs="宋体" w:hint="eastAsia"/>
                <w:szCs w:val="21"/>
              </w:rPr>
              <w:t>1.引言部分第二段“锡是制造领域中是不可或缺的重要元素”修改为“锡是制造领域中不可或缺的重要元素”；“随我国国民经济的快速发展”修改为“随着我国国民经济的快速发展”；</w:t>
            </w:r>
          </w:p>
          <w:p w14:paraId="630FADB1" w14:textId="77777777" w:rsidR="00B50C5D" w:rsidRDefault="00FA0E9F">
            <w:pPr>
              <w:pStyle w:val="af1"/>
              <w:adjustRightInd w:val="0"/>
              <w:spacing w:line="360" w:lineRule="atLeast"/>
              <w:ind w:firstLineChars="0" w:firstLine="0"/>
              <w:textAlignment w:val="baseline"/>
              <w:rPr>
                <w:rFonts w:ascii="宋体" w:hAnsi="宋体" w:cs="宋体"/>
                <w:szCs w:val="21"/>
              </w:rPr>
            </w:pPr>
            <w:r>
              <w:rPr>
                <w:rFonts w:ascii="宋体" w:hAnsi="宋体" w:cs="宋体" w:hint="eastAsia"/>
                <w:szCs w:val="21"/>
              </w:rPr>
              <w:t>2.3.2 锡及锡合金加工业定义修改为“  1 范围”内容对应。</w:t>
            </w:r>
          </w:p>
        </w:tc>
        <w:tc>
          <w:tcPr>
            <w:tcW w:w="1620" w:type="dxa"/>
            <w:vMerge w:val="restart"/>
            <w:tcBorders>
              <w:top w:val="single" w:sz="4" w:space="0" w:color="auto"/>
              <w:left w:val="single" w:sz="4" w:space="0" w:color="auto"/>
              <w:right w:val="single" w:sz="4" w:space="0" w:color="auto"/>
            </w:tcBorders>
            <w:vAlign w:val="center"/>
          </w:tcPr>
          <w:p w14:paraId="6B874DD1" w14:textId="77777777" w:rsidR="00B50C5D" w:rsidRDefault="00FA0E9F">
            <w:pPr>
              <w:spacing w:line="360" w:lineRule="auto"/>
              <w:rPr>
                <w:rFonts w:ascii="宋体" w:hAnsi="宋体" w:cs="宋体"/>
                <w:szCs w:val="21"/>
              </w:rPr>
            </w:pPr>
            <w:r>
              <w:rPr>
                <w:rFonts w:ascii="宋体" w:hAnsi="宋体" w:cs="宋体" w:hint="eastAsia"/>
                <w:szCs w:val="21"/>
              </w:rPr>
              <w:t>中山翰华锡业有限公司</w:t>
            </w:r>
          </w:p>
        </w:tc>
        <w:tc>
          <w:tcPr>
            <w:tcW w:w="1522" w:type="dxa"/>
            <w:vMerge w:val="restart"/>
            <w:tcBorders>
              <w:top w:val="single" w:sz="4" w:space="0" w:color="auto"/>
              <w:left w:val="single" w:sz="4" w:space="0" w:color="auto"/>
              <w:right w:val="single" w:sz="4" w:space="0" w:color="auto"/>
            </w:tcBorders>
            <w:vAlign w:val="center"/>
          </w:tcPr>
          <w:p w14:paraId="40C1480E"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采纳</w:t>
            </w:r>
          </w:p>
        </w:tc>
        <w:tc>
          <w:tcPr>
            <w:tcW w:w="1988" w:type="dxa"/>
            <w:vMerge w:val="restart"/>
            <w:tcBorders>
              <w:top w:val="single" w:sz="4" w:space="0" w:color="auto"/>
              <w:left w:val="single" w:sz="4" w:space="0" w:color="auto"/>
              <w:right w:val="single" w:sz="4" w:space="0" w:color="auto"/>
            </w:tcBorders>
            <w:vAlign w:val="center"/>
          </w:tcPr>
          <w:p w14:paraId="51F6281D" w14:textId="77777777" w:rsidR="00B50C5D" w:rsidRDefault="00B50C5D">
            <w:pPr>
              <w:spacing w:line="360" w:lineRule="auto"/>
              <w:ind w:firstLineChars="400" w:firstLine="840"/>
              <w:rPr>
                <w:rFonts w:ascii="宋体" w:hAnsi="宋体" w:cs="宋体"/>
                <w:kern w:val="0"/>
                <w:szCs w:val="21"/>
              </w:rPr>
            </w:pPr>
          </w:p>
        </w:tc>
      </w:tr>
      <w:tr w:rsidR="00B50C5D" w14:paraId="1466863A" w14:textId="77777777">
        <w:trPr>
          <w:trHeight w:val="90"/>
          <w:jc w:val="center"/>
        </w:trPr>
        <w:tc>
          <w:tcPr>
            <w:tcW w:w="636" w:type="dxa"/>
            <w:vMerge/>
            <w:tcBorders>
              <w:left w:val="single" w:sz="4" w:space="0" w:color="auto"/>
              <w:right w:val="single" w:sz="4" w:space="0" w:color="auto"/>
            </w:tcBorders>
            <w:vAlign w:val="center"/>
          </w:tcPr>
          <w:p w14:paraId="6A2C76B6" w14:textId="77777777" w:rsidR="00B50C5D" w:rsidRDefault="00B50C5D">
            <w:pPr>
              <w:spacing w:line="360" w:lineRule="auto"/>
              <w:rPr>
                <w:rFonts w:ascii="宋体" w:hAnsi="宋体" w:cs="宋体"/>
                <w:kern w:val="0"/>
                <w:szCs w:val="21"/>
              </w:rPr>
            </w:pPr>
          </w:p>
        </w:tc>
        <w:tc>
          <w:tcPr>
            <w:tcW w:w="1262" w:type="dxa"/>
            <w:tcBorders>
              <w:top w:val="single" w:sz="4" w:space="0" w:color="auto"/>
              <w:left w:val="single" w:sz="4" w:space="0" w:color="auto"/>
              <w:bottom w:val="single" w:sz="4" w:space="0" w:color="auto"/>
              <w:right w:val="single" w:sz="4" w:space="0" w:color="auto"/>
            </w:tcBorders>
          </w:tcPr>
          <w:p w14:paraId="46D30DFE" w14:textId="77777777" w:rsidR="00B50C5D" w:rsidRDefault="00FA0E9F">
            <w:pPr>
              <w:spacing w:line="360" w:lineRule="auto"/>
              <w:jc w:val="center"/>
              <w:rPr>
                <w:rFonts w:ascii="宋体" w:hAnsi="宋体" w:cs="宋体"/>
                <w:kern w:val="0"/>
                <w:szCs w:val="21"/>
              </w:rPr>
            </w:pPr>
            <w:r>
              <w:rPr>
                <w:rFonts w:ascii="宋体" w:hAnsi="宋体" w:cs="宋体" w:hint="eastAsia"/>
                <w:szCs w:val="21"/>
              </w:rPr>
              <w:t>表A.1</w:t>
            </w:r>
          </w:p>
        </w:tc>
        <w:tc>
          <w:tcPr>
            <w:tcW w:w="3540" w:type="dxa"/>
            <w:tcBorders>
              <w:top w:val="single" w:sz="4" w:space="0" w:color="auto"/>
              <w:left w:val="single" w:sz="4" w:space="0" w:color="auto"/>
              <w:bottom w:val="single" w:sz="4" w:space="0" w:color="auto"/>
              <w:right w:val="single" w:sz="4" w:space="0" w:color="auto"/>
            </w:tcBorders>
            <w:vAlign w:val="center"/>
          </w:tcPr>
          <w:p w14:paraId="29CC9600" w14:textId="77777777" w:rsidR="00B50C5D" w:rsidRDefault="00FA0E9F">
            <w:pPr>
              <w:pStyle w:val="af1"/>
              <w:adjustRightInd w:val="0"/>
              <w:spacing w:line="360" w:lineRule="atLeast"/>
              <w:ind w:firstLineChars="0" w:firstLine="0"/>
              <w:textAlignment w:val="baseline"/>
              <w:rPr>
                <w:rFonts w:ascii="宋体" w:hAnsi="宋体" w:cs="宋体"/>
                <w:szCs w:val="21"/>
              </w:rPr>
            </w:pPr>
            <w:r>
              <w:rPr>
                <w:rFonts w:ascii="宋体" w:hAnsi="宋体" w:cs="宋体" w:hint="eastAsia"/>
                <w:szCs w:val="21"/>
              </w:rPr>
              <w:t>1、基本要求的合规性与相关方要求中“</w:t>
            </w:r>
            <w:hyperlink r:id="rId14" w:history="1">
              <w:r>
                <w:rPr>
                  <w:rFonts w:ascii="宋体" w:hAnsi="宋体" w:cs="宋体" w:hint="eastAsia"/>
                  <w:szCs w:val="21"/>
                </w:rPr>
                <w:t>国家企业信用信息公示系统无处罚记录截屏等</w:t>
              </w:r>
            </w:hyperlink>
            <w:r>
              <w:rPr>
                <w:rFonts w:ascii="宋体" w:hAnsi="宋体" w:cs="宋体" w:hint="eastAsia"/>
                <w:szCs w:val="21"/>
              </w:rPr>
              <w:t>”修改为“</w:t>
            </w:r>
            <w:hyperlink r:id="rId15" w:history="1">
              <w:r>
                <w:rPr>
                  <w:rFonts w:ascii="宋体" w:hAnsi="宋体" w:cs="宋体" w:hint="eastAsia"/>
                  <w:szCs w:val="21"/>
                </w:rPr>
                <w:t>国家企业信用信息公示系统无处罚记录等</w:t>
              </w:r>
            </w:hyperlink>
            <w:r>
              <w:rPr>
                <w:rFonts w:ascii="宋体" w:hAnsi="宋体" w:cs="宋体" w:hint="eastAsia"/>
                <w:szCs w:val="21"/>
              </w:rPr>
              <w:t>”；</w:t>
            </w:r>
          </w:p>
          <w:p w14:paraId="28A357D7" w14:textId="77777777" w:rsidR="00B50C5D" w:rsidRDefault="00FA0E9F">
            <w:pPr>
              <w:spacing w:line="360" w:lineRule="auto"/>
              <w:jc w:val="center"/>
              <w:rPr>
                <w:rFonts w:ascii="宋体" w:hAnsi="宋体" w:cs="宋体"/>
                <w:szCs w:val="21"/>
              </w:rPr>
            </w:pPr>
            <w:r>
              <w:rPr>
                <w:rFonts w:ascii="宋体" w:hAnsi="宋体" w:cs="宋体" w:hint="eastAsia"/>
                <w:szCs w:val="21"/>
              </w:rPr>
              <w:t>2、基础设施的建筑要求中“危废固废存储储罐、仓库照片或其他相关证明文件”修改为“危废固废存储罐、仓库照片或其他相关证明文件”。</w:t>
            </w:r>
          </w:p>
        </w:tc>
        <w:tc>
          <w:tcPr>
            <w:tcW w:w="1620" w:type="dxa"/>
            <w:vMerge/>
            <w:tcBorders>
              <w:left w:val="single" w:sz="4" w:space="0" w:color="auto"/>
              <w:right w:val="single" w:sz="4" w:space="0" w:color="auto"/>
            </w:tcBorders>
            <w:vAlign w:val="center"/>
          </w:tcPr>
          <w:p w14:paraId="1D6DA4C8" w14:textId="77777777" w:rsidR="00B50C5D" w:rsidRDefault="00B50C5D">
            <w:pPr>
              <w:spacing w:line="360" w:lineRule="auto"/>
              <w:rPr>
                <w:rFonts w:ascii="宋体" w:hAnsi="宋体" w:cs="宋体"/>
                <w:szCs w:val="21"/>
              </w:rPr>
            </w:pPr>
          </w:p>
        </w:tc>
        <w:tc>
          <w:tcPr>
            <w:tcW w:w="1522" w:type="dxa"/>
            <w:vMerge/>
            <w:tcBorders>
              <w:left w:val="single" w:sz="4" w:space="0" w:color="auto"/>
              <w:right w:val="single" w:sz="4" w:space="0" w:color="auto"/>
            </w:tcBorders>
            <w:vAlign w:val="center"/>
          </w:tcPr>
          <w:p w14:paraId="12573FAF" w14:textId="77777777" w:rsidR="00B50C5D" w:rsidRDefault="00B50C5D">
            <w:pPr>
              <w:spacing w:line="360" w:lineRule="auto"/>
              <w:jc w:val="center"/>
              <w:rPr>
                <w:rFonts w:ascii="宋体" w:hAnsi="宋体" w:cs="宋体"/>
                <w:kern w:val="0"/>
                <w:szCs w:val="21"/>
              </w:rPr>
            </w:pPr>
          </w:p>
        </w:tc>
        <w:tc>
          <w:tcPr>
            <w:tcW w:w="1988" w:type="dxa"/>
            <w:vMerge/>
            <w:tcBorders>
              <w:left w:val="single" w:sz="4" w:space="0" w:color="auto"/>
              <w:right w:val="single" w:sz="4" w:space="0" w:color="auto"/>
            </w:tcBorders>
            <w:vAlign w:val="center"/>
          </w:tcPr>
          <w:p w14:paraId="3832EACD" w14:textId="77777777" w:rsidR="00B50C5D" w:rsidRDefault="00B50C5D">
            <w:pPr>
              <w:spacing w:line="360" w:lineRule="auto"/>
              <w:ind w:firstLineChars="400" w:firstLine="840"/>
              <w:rPr>
                <w:rFonts w:ascii="宋体" w:hAnsi="宋体" w:cs="宋体"/>
                <w:kern w:val="0"/>
                <w:szCs w:val="21"/>
              </w:rPr>
            </w:pPr>
          </w:p>
        </w:tc>
      </w:tr>
      <w:tr w:rsidR="00B50C5D" w14:paraId="74E27450" w14:textId="77777777">
        <w:trPr>
          <w:trHeight w:val="827"/>
          <w:jc w:val="center"/>
        </w:trPr>
        <w:tc>
          <w:tcPr>
            <w:tcW w:w="636" w:type="dxa"/>
            <w:tcBorders>
              <w:left w:val="single" w:sz="4" w:space="0" w:color="auto"/>
              <w:right w:val="single" w:sz="4" w:space="0" w:color="auto"/>
            </w:tcBorders>
            <w:vAlign w:val="center"/>
          </w:tcPr>
          <w:p w14:paraId="3C382B0C" w14:textId="77777777" w:rsidR="00B50C5D" w:rsidRDefault="00FA0E9F">
            <w:pPr>
              <w:spacing w:line="360" w:lineRule="auto"/>
              <w:rPr>
                <w:rFonts w:ascii="宋体" w:hAnsi="宋体" w:cs="宋体"/>
                <w:kern w:val="0"/>
                <w:szCs w:val="21"/>
              </w:rPr>
            </w:pPr>
            <w:r>
              <w:rPr>
                <w:rFonts w:ascii="宋体" w:hAnsi="宋体" w:cs="宋体" w:hint="eastAsia"/>
                <w:kern w:val="0"/>
                <w:szCs w:val="21"/>
              </w:rPr>
              <w:t>3</w:t>
            </w:r>
          </w:p>
        </w:tc>
        <w:tc>
          <w:tcPr>
            <w:tcW w:w="1262" w:type="dxa"/>
            <w:tcBorders>
              <w:top w:val="single" w:sz="4" w:space="0" w:color="auto"/>
              <w:left w:val="single" w:sz="4" w:space="0" w:color="auto"/>
              <w:bottom w:val="single" w:sz="4" w:space="0" w:color="auto"/>
              <w:right w:val="single" w:sz="4" w:space="0" w:color="auto"/>
            </w:tcBorders>
          </w:tcPr>
          <w:p w14:paraId="51D84C3E" w14:textId="77777777" w:rsidR="00B50C5D" w:rsidRDefault="00FA0E9F">
            <w:pPr>
              <w:spacing w:line="360" w:lineRule="auto"/>
              <w:jc w:val="center"/>
              <w:rPr>
                <w:rFonts w:ascii="宋体" w:hAnsi="宋体" w:cs="宋体"/>
                <w:szCs w:val="21"/>
              </w:rPr>
            </w:pPr>
            <w:r>
              <w:rPr>
                <w:rFonts w:ascii="宋体" w:hAnsi="宋体" w:cs="宋体" w:hint="eastAsia"/>
                <w:szCs w:val="21"/>
              </w:rPr>
              <w:t>——</w:t>
            </w:r>
          </w:p>
        </w:tc>
        <w:tc>
          <w:tcPr>
            <w:tcW w:w="3540" w:type="dxa"/>
            <w:tcBorders>
              <w:top w:val="single" w:sz="4" w:space="0" w:color="auto"/>
              <w:left w:val="single" w:sz="4" w:space="0" w:color="auto"/>
              <w:bottom w:val="single" w:sz="4" w:space="0" w:color="auto"/>
              <w:right w:val="single" w:sz="4" w:space="0" w:color="auto"/>
            </w:tcBorders>
            <w:vAlign w:val="center"/>
          </w:tcPr>
          <w:p w14:paraId="71F1BB0A" w14:textId="77777777" w:rsidR="00B50C5D" w:rsidRDefault="00FA0E9F">
            <w:pPr>
              <w:spacing w:line="360" w:lineRule="auto"/>
              <w:jc w:val="center"/>
              <w:rPr>
                <w:rFonts w:ascii="宋体" w:hAnsi="宋体" w:cs="宋体"/>
                <w:szCs w:val="21"/>
              </w:rPr>
            </w:pPr>
            <w:r>
              <w:rPr>
                <w:rFonts w:ascii="宋体" w:hAnsi="宋体" w:cs="宋体" w:hint="eastAsia"/>
                <w:szCs w:val="21"/>
              </w:rPr>
              <w:t>无意见</w:t>
            </w:r>
          </w:p>
        </w:tc>
        <w:tc>
          <w:tcPr>
            <w:tcW w:w="1620" w:type="dxa"/>
            <w:tcBorders>
              <w:left w:val="single" w:sz="4" w:space="0" w:color="auto"/>
              <w:right w:val="single" w:sz="4" w:space="0" w:color="auto"/>
            </w:tcBorders>
            <w:vAlign w:val="center"/>
          </w:tcPr>
          <w:p w14:paraId="61A16AA3" w14:textId="77777777" w:rsidR="00B50C5D" w:rsidRDefault="00FA0E9F">
            <w:pPr>
              <w:adjustRightInd w:val="0"/>
              <w:spacing w:line="360" w:lineRule="atLeast"/>
              <w:jc w:val="center"/>
              <w:textAlignment w:val="baseline"/>
              <w:rPr>
                <w:rFonts w:ascii="宋体" w:hAnsi="宋体" w:cs="宋体"/>
                <w:szCs w:val="21"/>
              </w:rPr>
            </w:pPr>
            <w:r>
              <w:rPr>
                <w:rFonts w:ascii="宋体" w:hAnsi="宋体" w:cs="宋体" w:hint="eastAsia"/>
                <w:szCs w:val="21"/>
              </w:rPr>
              <w:t>深圳市亿铖达工业有限公司</w:t>
            </w:r>
          </w:p>
        </w:tc>
        <w:tc>
          <w:tcPr>
            <w:tcW w:w="1522" w:type="dxa"/>
            <w:tcBorders>
              <w:left w:val="single" w:sz="4" w:space="0" w:color="auto"/>
              <w:right w:val="single" w:sz="4" w:space="0" w:color="auto"/>
            </w:tcBorders>
            <w:vAlign w:val="center"/>
          </w:tcPr>
          <w:p w14:paraId="0884E0BC"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w:t>
            </w:r>
          </w:p>
        </w:tc>
        <w:tc>
          <w:tcPr>
            <w:tcW w:w="1988" w:type="dxa"/>
            <w:tcBorders>
              <w:left w:val="single" w:sz="4" w:space="0" w:color="auto"/>
              <w:right w:val="single" w:sz="4" w:space="0" w:color="auto"/>
            </w:tcBorders>
            <w:vAlign w:val="center"/>
          </w:tcPr>
          <w:p w14:paraId="6CAE46E3" w14:textId="77777777" w:rsidR="00B50C5D" w:rsidRDefault="00B50C5D">
            <w:pPr>
              <w:spacing w:line="360" w:lineRule="auto"/>
              <w:ind w:firstLineChars="400" w:firstLine="840"/>
              <w:rPr>
                <w:rFonts w:ascii="宋体" w:hAnsi="宋体" w:cs="宋体"/>
                <w:kern w:val="0"/>
                <w:szCs w:val="21"/>
              </w:rPr>
            </w:pPr>
          </w:p>
        </w:tc>
      </w:tr>
      <w:tr w:rsidR="00B50C5D" w14:paraId="413A39E1" w14:textId="77777777">
        <w:trPr>
          <w:trHeight w:val="687"/>
          <w:jc w:val="center"/>
        </w:trPr>
        <w:tc>
          <w:tcPr>
            <w:tcW w:w="636" w:type="dxa"/>
            <w:tcBorders>
              <w:left w:val="single" w:sz="4" w:space="0" w:color="auto"/>
              <w:right w:val="single" w:sz="4" w:space="0" w:color="auto"/>
            </w:tcBorders>
            <w:vAlign w:val="center"/>
          </w:tcPr>
          <w:p w14:paraId="2E951906" w14:textId="77777777" w:rsidR="00B50C5D" w:rsidRDefault="00FA0E9F">
            <w:pPr>
              <w:spacing w:line="360" w:lineRule="auto"/>
              <w:rPr>
                <w:rFonts w:ascii="宋体" w:hAnsi="宋体" w:cs="宋体"/>
                <w:kern w:val="0"/>
                <w:szCs w:val="21"/>
              </w:rPr>
            </w:pPr>
            <w:r>
              <w:rPr>
                <w:rFonts w:ascii="宋体" w:hAnsi="宋体" w:cs="宋体" w:hint="eastAsia"/>
                <w:kern w:val="0"/>
                <w:szCs w:val="21"/>
              </w:rPr>
              <w:t>4</w:t>
            </w:r>
          </w:p>
        </w:tc>
        <w:tc>
          <w:tcPr>
            <w:tcW w:w="1262" w:type="dxa"/>
            <w:tcBorders>
              <w:top w:val="single" w:sz="4" w:space="0" w:color="auto"/>
              <w:left w:val="single" w:sz="4" w:space="0" w:color="auto"/>
              <w:bottom w:val="single" w:sz="4" w:space="0" w:color="auto"/>
              <w:right w:val="single" w:sz="4" w:space="0" w:color="auto"/>
            </w:tcBorders>
          </w:tcPr>
          <w:p w14:paraId="28EDCDAD" w14:textId="77777777" w:rsidR="00B50C5D" w:rsidRDefault="00FA0E9F">
            <w:pPr>
              <w:spacing w:line="360" w:lineRule="auto"/>
              <w:jc w:val="center"/>
              <w:rPr>
                <w:rFonts w:ascii="宋体" w:hAnsi="宋体" w:cs="宋体"/>
                <w:szCs w:val="21"/>
              </w:rPr>
            </w:pPr>
            <w:r>
              <w:rPr>
                <w:rFonts w:ascii="宋体" w:hAnsi="宋体" w:cs="宋体" w:hint="eastAsia"/>
                <w:szCs w:val="21"/>
              </w:rPr>
              <w:t>——</w:t>
            </w:r>
          </w:p>
        </w:tc>
        <w:tc>
          <w:tcPr>
            <w:tcW w:w="3540" w:type="dxa"/>
            <w:tcBorders>
              <w:top w:val="single" w:sz="4" w:space="0" w:color="auto"/>
              <w:left w:val="single" w:sz="4" w:space="0" w:color="auto"/>
              <w:bottom w:val="single" w:sz="4" w:space="0" w:color="auto"/>
              <w:right w:val="single" w:sz="4" w:space="0" w:color="auto"/>
            </w:tcBorders>
            <w:vAlign w:val="center"/>
          </w:tcPr>
          <w:p w14:paraId="45F83F2A" w14:textId="77777777" w:rsidR="00B50C5D" w:rsidRDefault="00FA0E9F">
            <w:pPr>
              <w:spacing w:line="360" w:lineRule="auto"/>
              <w:jc w:val="center"/>
              <w:rPr>
                <w:rFonts w:ascii="宋体" w:hAnsi="宋体" w:cs="宋体"/>
                <w:szCs w:val="21"/>
              </w:rPr>
            </w:pPr>
            <w:r>
              <w:rPr>
                <w:rFonts w:ascii="宋体" w:hAnsi="宋体" w:cs="宋体" w:hint="eastAsia"/>
                <w:szCs w:val="21"/>
              </w:rPr>
              <w:t>无意见</w:t>
            </w:r>
          </w:p>
        </w:tc>
        <w:tc>
          <w:tcPr>
            <w:tcW w:w="1620" w:type="dxa"/>
            <w:tcBorders>
              <w:left w:val="single" w:sz="4" w:space="0" w:color="auto"/>
              <w:right w:val="single" w:sz="4" w:space="0" w:color="auto"/>
            </w:tcBorders>
            <w:vAlign w:val="center"/>
          </w:tcPr>
          <w:p w14:paraId="5F9BF583" w14:textId="77777777" w:rsidR="00B50C5D" w:rsidRDefault="00FA0E9F">
            <w:pPr>
              <w:adjustRightInd w:val="0"/>
              <w:spacing w:line="360" w:lineRule="atLeast"/>
              <w:jc w:val="center"/>
              <w:textAlignment w:val="baseline"/>
              <w:rPr>
                <w:rFonts w:ascii="宋体" w:hAnsi="宋体" w:cs="宋体"/>
                <w:szCs w:val="21"/>
              </w:rPr>
            </w:pPr>
            <w:r>
              <w:rPr>
                <w:rFonts w:ascii="宋体" w:hAnsi="宋体" w:cs="宋体" w:hint="eastAsia"/>
                <w:szCs w:val="21"/>
              </w:rPr>
              <w:t>浙江亚通焊材有限公司</w:t>
            </w:r>
          </w:p>
        </w:tc>
        <w:tc>
          <w:tcPr>
            <w:tcW w:w="1522" w:type="dxa"/>
            <w:tcBorders>
              <w:left w:val="single" w:sz="4" w:space="0" w:color="auto"/>
              <w:right w:val="single" w:sz="4" w:space="0" w:color="auto"/>
            </w:tcBorders>
            <w:vAlign w:val="center"/>
          </w:tcPr>
          <w:p w14:paraId="7D2698D3"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w:t>
            </w:r>
          </w:p>
        </w:tc>
        <w:tc>
          <w:tcPr>
            <w:tcW w:w="1988" w:type="dxa"/>
            <w:tcBorders>
              <w:left w:val="single" w:sz="4" w:space="0" w:color="auto"/>
              <w:right w:val="single" w:sz="4" w:space="0" w:color="auto"/>
            </w:tcBorders>
            <w:vAlign w:val="center"/>
          </w:tcPr>
          <w:p w14:paraId="4CC1C89E" w14:textId="77777777" w:rsidR="00B50C5D" w:rsidRDefault="00B50C5D">
            <w:pPr>
              <w:spacing w:line="360" w:lineRule="auto"/>
              <w:ind w:firstLineChars="400" w:firstLine="840"/>
              <w:rPr>
                <w:rFonts w:ascii="宋体" w:hAnsi="宋体" w:cs="宋体"/>
                <w:kern w:val="0"/>
                <w:szCs w:val="21"/>
              </w:rPr>
            </w:pPr>
          </w:p>
        </w:tc>
      </w:tr>
      <w:tr w:rsidR="00B50C5D" w14:paraId="351CA2DC" w14:textId="77777777">
        <w:trPr>
          <w:trHeight w:val="687"/>
          <w:jc w:val="center"/>
        </w:trPr>
        <w:tc>
          <w:tcPr>
            <w:tcW w:w="636" w:type="dxa"/>
            <w:tcBorders>
              <w:left w:val="single" w:sz="4" w:space="0" w:color="auto"/>
              <w:right w:val="single" w:sz="4" w:space="0" w:color="auto"/>
            </w:tcBorders>
            <w:vAlign w:val="center"/>
          </w:tcPr>
          <w:p w14:paraId="71CB3677" w14:textId="77777777" w:rsidR="00B50C5D" w:rsidRDefault="00FA0E9F">
            <w:pPr>
              <w:spacing w:line="360" w:lineRule="auto"/>
              <w:rPr>
                <w:rFonts w:ascii="宋体" w:hAnsi="宋体" w:cs="宋体"/>
                <w:kern w:val="0"/>
                <w:szCs w:val="21"/>
              </w:rPr>
            </w:pPr>
            <w:r>
              <w:rPr>
                <w:rFonts w:ascii="宋体" w:hAnsi="宋体" w:cs="宋体" w:hint="eastAsia"/>
                <w:kern w:val="0"/>
                <w:szCs w:val="21"/>
              </w:rPr>
              <w:t>5</w:t>
            </w:r>
          </w:p>
        </w:tc>
        <w:tc>
          <w:tcPr>
            <w:tcW w:w="1262" w:type="dxa"/>
            <w:tcBorders>
              <w:top w:val="single" w:sz="4" w:space="0" w:color="auto"/>
              <w:left w:val="single" w:sz="4" w:space="0" w:color="auto"/>
              <w:bottom w:val="single" w:sz="4" w:space="0" w:color="auto"/>
              <w:right w:val="single" w:sz="4" w:space="0" w:color="auto"/>
            </w:tcBorders>
          </w:tcPr>
          <w:p w14:paraId="1BF5693F" w14:textId="77777777" w:rsidR="00B50C5D" w:rsidRDefault="00FA0E9F">
            <w:pPr>
              <w:spacing w:line="360" w:lineRule="auto"/>
              <w:jc w:val="center"/>
              <w:rPr>
                <w:rFonts w:ascii="宋体" w:hAnsi="宋体" w:cs="宋体"/>
                <w:szCs w:val="21"/>
              </w:rPr>
            </w:pPr>
            <w:r>
              <w:rPr>
                <w:rFonts w:ascii="宋体" w:hAnsi="宋体" w:cs="宋体" w:hint="eastAsia"/>
                <w:szCs w:val="21"/>
              </w:rPr>
              <w:t>——</w:t>
            </w:r>
          </w:p>
        </w:tc>
        <w:tc>
          <w:tcPr>
            <w:tcW w:w="3540" w:type="dxa"/>
            <w:tcBorders>
              <w:top w:val="single" w:sz="4" w:space="0" w:color="auto"/>
              <w:left w:val="single" w:sz="4" w:space="0" w:color="auto"/>
              <w:right w:val="single" w:sz="4" w:space="0" w:color="auto"/>
            </w:tcBorders>
            <w:vAlign w:val="center"/>
          </w:tcPr>
          <w:p w14:paraId="30D34CA9" w14:textId="77777777" w:rsidR="00B50C5D" w:rsidRDefault="00FA0E9F">
            <w:pPr>
              <w:spacing w:line="360" w:lineRule="auto"/>
              <w:jc w:val="center"/>
              <w:rPr>
                <w:rFonts w:ascii="宋体" w:hAnsi="宋体" w:cs="宋体"/>
                <w:szCs w:val="21"/>
              </w:rPr>
            </w:pPr>
            <w:r>
              <w:rPr>
                <w:rFonts w:ascii="宋体" w:hAnsi="宋体" w:cs="宋体" w:hint="eastAsia"/>
                <w:szCs w:val="21"/>
              </w:rPr>
              <w:t>无意见</w:t>
            </w:r>
          </w:p>
        </w:tc>
        <w:tc>
          <w:tcPr>
            <w:tcW w:w="1620" w:type="dxa"/>
            <w:tcBorders>
              <w:left w:val="single" w:sz="4" w:space="0" w:color="auto"/>
              <w:right w:val="single" w:sz="4" w:space="0" w:color="auto"/>
            </w:tcBorders>
            <w:vAlign w:val="center"/>
          </w:tcPr>
          <w:p w14:paraId="3530C0C5" w14:textId="77777777" w:rsidR="00B50C5D" w:rsidRDefault="00FA0E9F">
            <w:pPr>
              <w:adjustRightInd w:val="0"/>
              <w:spacing w:line="360" w:lineRule="atLeast"/>
              <w:jc w:val="center"/>
              <w:textAlignment w:val="baseline"/>
              <w:rPr>
                <w:rFonts w:ascii="宋体" w:hAnsi="宋体" w:cs="宋体"/>
                <w:szCs w:val="21"/>
              </w:rPr>
            </w:pPr>
            <w:r>
              <w:rPr>
                <w:rFonts w:ascii="宋体" w:hAnsi="宋体" w:cs="宋体" w:hint="eastAsia"/>
                <w:szCs w:val="21"/>
              </w:rPr>
              <w:t>常州华南有色金属有限公司</w:t>
            </w:r>
          </w:p>
        </w:tc>
        <w:tc>
          <w:tcPr>
            <w:tcW w:w="1522" w:type="dxa"/>
            <w:tcBorders>
              <w:left w:val="single" w:sz="4" w:space="0" w:color="auto"/>
              <w:right w:val="single" w:sz="4" w:space="0" w:color="auto"/>
            </w:tcBorders>
            <w:vAlign w:val="center"/>
          </w:tcPr>
          <w:p w14:paraId="2A600316" w14:textId="77777777" w:rsidR="00B50C5D" w:rsidRDefault="00FA0E9F">
            <w:pPr>
              <w:spacing w:line="360" w:lineRule="auto"/>
              <w:jc w:val="center"/>
              <w:rPr>
                <w:rFonts w:ascii="宋体" w:hAnsi="宋体" w:cs="宋体"/>
                <w:kern w:val="0"/>
                <w:szCs w:val="21"/>
              </w:rPr>
            </w:pPr>
            <w:r>
              <w:rPr>
                <w:rFonts w:ascii="宋体" w:hAnsi="宋体" w:cs="宋体" w:hint="eastAsia"/>
                <w:kern w:val="0"/>
                <w:szCs w:val="21"/>
              </w:rPr>
              <w:t>——</w:t>
            </w:r>
          </w:p>
        </w:tc>
        <w:tc>
          <w:tcPr>
            <w:tcW w:w="1988" w:type="dxa"/>
            <w:tcBorders>
              <w:left w:val="single" w:sz="4" w:space="0" w:color="auto"/>
              <w:right w:val="single" w:sz="4" w:space="0" w:color="auto"/>
            </w:tcBorders>
            <w:vAlign w:val="center"/>
          </w:tcPr>
          <w:p w14:paraId="40631B57" w14:textId="77777777" w:rsidR="00B50C5D" w:rsidRDefault="00B50C5D">
            <w:pPr>
              <w:spacing w:line="360" w:lineRule="auto"/>
              <w:ind w:firstLineChars="400" w:firstLine="840"/>
              <w:rPr>
                <w:rFonts w:ascii="宋体" w:hAnsi="宋体" w:cs="宋体"/>
                <w:kern w:val="0"/>
                <w:szCs w:val="21"/>
              </w:rPr>
            </w:pPr>
          </w:p>
        </w:tc>
      </w:tr>
    </w:tbl>
    <w:p w14:paraId="26A0ABFD" w14:textId="77777777" w:rsidR="00B50C5D" w:rsidRDefault="00FA0E9F">
      <w:pPr>
        <w:spacing w:beforeLines="100" w:before="312"/>
        <w:rPr>
          <w:rFonts w:ascii="宋体"/>
        </w:rPr>
      </w:pPr>
      <w:r>
        <w:rPr>
          <w:rFonts w:ascii="宋体" w:hAnsi="宋体" w:cs="宋体" w:hint="eastAsia"/>
        </w:rPr>
        <w:t>说明（</w:t>
      </w:r>
      <w:r>
        <w:t>1</w:t>
      </w:r>
      <w:r>
        <w:rPr>
          <w:rFonts w:ascii="宋体" w:hAnsi="宋体" w:cs="宋体" w:hint="eastAsia"/>
        </w:rPr>
        <w:t>）发送《征求意见稿》的单位数：</w:t>
      </w:r>
      <w:r>
        <w:rPr>
          <w:rFonts w:ascii="宋体" w:hAnsi="宋体" w:cs="宋体"/>
        </w:rPr>
        <w:t xml:space="preserve"> </w:t>
      </w:r>
      <w:r>
        <w:rPr>
          <w:rFonts w:ascii="宋体" w:hAnsi="宋体" w:cs="宋体" w:hint="eastAsia"/>
        </w:rPr>
        <w:t>5个；</w:t>
      </w:r>
    </w:p>
    <w:p w14:paraId="7CF2C91F" w14:textId="77777777" w:rsidR="00B50C5D" w:rsidRDefault="00FA0E9F">
      <w:pPr>
        <w:ind w:firstLineChars="200" w:firstLine="420"/>
      </w:pPr>
      <w:r>
        <w:rPr>
          <w:rFonts w:ascii="宋体" w:hAnsi="宋体" w:cs="宋体" w:hint="eastAsia"/>
        </w:rPr>
        <w:t>（</w:t>
      </w:r>
      <w:r>
        <w:t>2</w:t>
      </w:r>
      <w:r>
        <w:rPr>
          <w:rFonts w:ascii="宋体" w:hAnsi="宋体" w:cs="宋体" w:hint="eastAsia"/>
        </w:rPr>
        <w:t>）收到《征求意见稿》后，回函的单位数：5个；</w:t>
      </w:r>
    </w:p>
    <w:p w14:paraId="091A9DA8" w14:textId="77777777" w:rsidR="00B50C5D" w:rsidRDefault="00FA0E9F">
      <w:pPr>
        <w:ind w:firstLine="435"/>
        <w:rPr>
          <w:rFonts w:ascii="宋体"/>
        </w:rPr>
      </w:pPr>
      <w:r>
        <w:rPr>
          <w:rFonts w:ascii="宋体" w:hAnsi="宋体" w:cs="宋体" w:hint="eastAsia"/>
        </w:rPr>
        <w:t>（</w:t>
      </w:r>
      <w:r>
        <w:t>3</w:t>
      </w:r>
      <w:r>
        <w:rPr>
          <w:rFonts w:ascii="宋体" w:hAnsi="宋体" w:cs="宋体" w:hint="eastAsia"/>
        </w:rPr>
        <w:t>）收到《征求意见稿》后，回函并有建议或意见的单位数：1个；</w:t>
      </w:r>
    </w:p>
    <w:p w14:paraId="045E8402" w14:textId="0362F119" w:rsidR="00B50C5D" w:rsidRDefault="00FA0E9F" w:rsidP="000D1AEA">
      <w:pPr>
        <w:ind w:firstLineChars="200" w:firstLine="420"/>
      </w:pPr>
      <w:r>
        <w:rPr>
          <w:rFonts w:ascii="宋体" w:hAnsi="宋体" w:cs="宋体" w:hint="eastAsia"/>
        </w:rPr>
        <w:t>（</w:t>
      </w:r>
      <w:r>
        <w:t>4</w:t>
      </w:r>
      <w:r>
        <w:rPr>
          <w:rFonts w:ascii="宋体" w:hAnsi="宋体" w:cs="宋体" w:hint="eastAsia"/>
        </w:rPr>
        <w:t>）没有回函的单位数：0</w:t>
      </w:r>
      <w:r>
        <w:rPr>
          <w:rFonts w:ascii="宋体" w:hAnsi="宋体" w:cs="宋体"/>
        </w:rPr>
        <w:t xml:space="preserve"> </w:t>
      </w:r>
      <w:r>
        <w:rPr>
          <w:rFonts w:ascii="宋体" w:hAnsi="宋体" w:cs="宋体" w:hint="eastAsia"/>
        </w:rPr>
        <w:t>个。</w:t>
      </w:r>
    </w:p>
    <w:sectPr w:rsidR="00B50C5D">
      <w:pgSz w:w="11906" w:h="16838"/>
      <w:pgMar w:top="1134" w:right="1418" w:bottom="1134"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3455" w14:textId="77777777" w:rsidR="0096046D" w:rsidRDefault="0096046D">
      <w:r>
        <w:separator/>
      </w:r>
    </w:p>
  </w:endnote>
  <w:endnote w:type="continuationSeparator" w:id="0">
    <w:p w14:paraId="59A7B163" w14:textId="77777777" w:rsidR="0096046D" w:rsidRDefault="009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AA03" w14:textId="77777777" w:rsidR="00B50C5D" w:rsidRDefault="00FA0E9F">
    <w:pPr>
      <w:pStyle w:val="a9"/>
      <w:framePr w:wrap="around" w:vAnchor="text" w:hAnchor="margin" w:xAlign="outside" w:y="1"/>
      <w:rPr>
        <w:rStyle w:val="ae"/>
      </w:rPr>
    </w:pPr>
    <w:r>
      <w:fldChar w:fldCharType="begin"/>
    </w:r>
    <w:r>
      <w:rPr>
        <w:rStyle w:val="ae"/>
      </w:rPr>
      <w:instrText xml:space="preserve">PAGE  </w:instrText>
    </w:r>
    <w:r>
      <w:fldChar w:fldCharType="end"/>
    </w:r>
  </w:p>
  <w:p w14:paraId="0A9520C4" w14:textId="77777777" w:rsidR="00B50C5D" w:rsidRDefault="00B50C5D">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94B4" w14:textId="77777777" w:rsidR="00B50C5D" w:rsidRDefault="00FA0E9F">
    <w:pPr>
      <w:pStyle w:val="a9"/>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AA698" w14:textId="77777777" w:rsidR="00B50C5D" w:rsidRDefault="00FA0E9F">
                          <w:pPr>
                            <w:pStyle w:val="a9"/>
                            <w:rPr>
                              <w:rStyle w:val="ae"/>
                              <w:rFonts w:ascii="方正仿宋" w:eastAsia="方正仿宋" w:hAnsi="方正仿宋" w:cs="方正仿宋"/>
                              <w:sz w:val="28"/>
                              <w:szCs w:val="28"/>
                            </w:rPr>
                          </w:pPr>
                          <w:r>
                            <w:rPr>
                              <w:rStyle w:val="ae"/>
                              <w:rFonts w:ascii="方正仿宋" w:eastAsia="方正仿宋" w:hAnsi="方正仿宋" w:cs="方正仿宋" w:hint="eastAsia"/>
                              <w:sz w:val="28"/>
                              <w:szCs w:val="28"/>
                            </w:rPr>
                            <w:t xml:space="preserve">— </w:t>
                          </w:r>
                          <w:r>
                            <w:rPr>
                              <w:rStyle w:val="ae"/>
                              <w:rFonts w:ascii="方正仿宋" w:eastAsia="方正仿宋" w:hAnsi="方正仿宋" w:cs="方正仿宋" w:hint="eastAsia"/>
                              <w:sz w:val="28"/>
                              <w:szCs w:val="28"/>
                            </w:rPr>
                            <w:fldChar w:fldCharType="begin"/>
                          </w:r>
                          <w:r>
                            <w:rPr>
                              <w:rStyle w:val="ae"/>
                              <w:rFonts w:ascii="方正仿宋" w:eastAsia="方正仿宋" w:hAnsi="方正仿宋" w:cs="方正仿宋" w:hint="eastAsia"/>
                              <w:sz w:val="28"/>
                              <w:szCs w:val="28"/>
                            </w:rPr>
                            <w:instrText xml:space="preserve"> PAGE  \* MERGEFORMAT </w:instrText>
                          </w:r>
                          <w:r>
                            <w:rPr>
                              <w:rStyle w:val="ae"/>
                              <w:rFonts w:ascii="方正仿宋" w:eastAsia="方正仿宋" w:hAnsi="方正仿宋" w:cs="方正仿宋" w:hint="eastAsia"/>
                              <w:sz w:val="28"/>
                              <w:szCs w:val="28"/>
                            </w:rPr>
                            <w:fldChar w:fldCharType="separate"/>
                          </w:r>
                          <w:r w:rsidR="00D922BF">
                            <w:rPr>
                              <w:rStyle w:val="ae"/>
                              <w:rFonts w:ascii="方正仿宋" w:eastAsia="方正仿宋" w:hAnsi="方正仿宋" w:cs="方正仿宋"/>
                              <w:noProof/>
                              <w:sz w:val="28"/>
                              <w:szCs w:val="28"/>
                            </w:rPr>
                            <w:t>23</w:t>
                          </w:r>
                          <w:r>
                            <w:rPr>
                              <w:rStyle w:val="ae"/>
                              <w:rFonts w:ascii="方正仿宋" w:eastAsia="方正仿宋" w:hAnsi="方正仿宋" w:cs="方正仿宋" w:hint="eastAsia"/>
                              <w:sz w:val="28"/>
                              <w:szCs w:val="28"/>
                            </w:rPr>
                            <w:fldChar w:fldCharType="end"/>
                          </w:r>
                          <w:r>
                            <w:rPr>
                              <w:rStyle w:val="ae"/>
                              <w:rFonts w:ascii="方正仿宋" w:eastAsia="方正仿宋" w:hAnsi="方正仿宋" w:cs="方正仿宋"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DEAA698" w14:textId="77777777" w:rsidR="00B50C5D" w:rsidRDefault="00FA0E9F">
                    <w:pPr>
                      <w:pStyle w:val="a9"/>
                      <w:rPr>
                        <w:rStyle w:val="ae"/>
                        <w:rFonts w:ascii="方正仿宋" w:eastAsia="方正仿宋" w:hAnsi="方正仿宋" w:cs="方正仿宋"/>
                        <w:sz w:val="28"/>
                        <w:szCs w:val="28"/>
                      </w:rPr>
                    </w:pPr>
                    <w:r>
                      <w:rPr>
                        <w:rStyle w:val="ae"/>
                        <w:rFonts w:ascii="方正仿宋" w:eastAsia="方正仿宋" w:hAnsi="方正仿宋" w:cs="方正仿宋" w:hint="eastAsia"/>
                        <w:sz w:val="28"/>
                        <w:szCs w:val="28"/>
                      </w:rPr>
                      <w:t xml:space="preserve">— </w:t>
                    </w:r>
                    <w:r>
                      <w:rPr>
                        <w:rStyle w:val="ae"/>
                        <w:rFonts w:ascii="方正仿宋" w:eastAsia="方正仿宋" w:hAnsi="方正仿宋" w:cs="方正仿宋" w:hint="eastAsia"/>
                        <w:sz w:val="28"/>
                        <w:szCs w:val="28"/>
                      </w:rPr>
                      <w:fldChar w:fldCharType="begin"/>
                    </w:r>
                    <w:r>
                      <w:rPr>
                        <w:rStyle w:val="ae"/>
                        <w:rFonts w:ascii="方正仿宋" w:eastAsia="方正仿宋" w:hAnsi="方正仿宋" w:cs="方正仿宋" w:hint="eastAsia"/>
                        <w:sz w:val="28"/>
                        <w:szCs w:val="28"/>
                      </w:rPr>
                      <w:instrText xml:space="preserve"> PAGE  \* MERGEFORMAT </w:instrText>
                    </w:r>
                    <w:r>
                      <w:rPr>
                        <w:rStyle w:val="ae"/>
                        <w:rFonts w:ascii="方正仿宋" w:eastAsia="方正仿宋" w:hAnsi="方正仿宋" w:cs="方正仿宋" w:hint="eastAsia"/>
                        <w:sz w:val="28"/>
                        <w:szCs w:val="28"/>
                      </w:rPr>
                      <w:fldChar w:fldCharType="separate"/>
                    </w:r>
                    <w:r w:rsidR="00D922BF">
                      <w:rPr>
                        <w:rStyle w:val="ae"/>
                        <w:rFonts w:ascii="方正仿宋" w:eastAsia="方正仿宋" w:hAnsi="方正仿宋" w:cs="方正仿宋"/>
                        <w:noProof/>
                        <w:sz w:val="28"/>
                        <w:szCs w:val="28"/>
                      </w:rPr>
                      <w:t>23</w:t>
                    </w:r>
                    <w:r>
                      <w:rPr>
                        <w:rStyle w:val="ae"/>
                        <w:rFonts w:ascii="方正仿宋" w:eastAsia="方正仿宋" w:hAnsi="方正仿宋" w:cs="方正仿宋" w:hint="eastAsia"/>
                        <w:sz w:val="28"/>
                        <w:szCs w:val="28"/>
                      </w:rPr>
                      <w:fldChar w:fldCharType="end"/>
                    </w:r>
                    <w:r>
                      <w:rPr>
                        <w:rStyle w:val="ae"/>
                        <w:rFonts w:ascii="方正仿宋" w:eastAsia="方正仿宋" w:hAnsi="方正仿宋" w:cs="方正仿宋"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313A" w14:textId="77777777" w:rsidR="0096046D" w:rsidRDefault="0096046D">
      <w:r>
        <w:separator/>
      </w:r>
    </w:p>
  </w:footnote>
  <w:footnote w:type="continuationSeparator" w:id="0">
    <w:p w14:paraId="0132AC97" w14:textId="77777777" w:rsidR="0096046D" w:rsidRDefault="00960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B3343"/>
    <w:multiLevelType w:val="multilevel"/>
    <w:tmpl w:val="547B3343"/>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pStyle w:val="a"/>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15:restartNumberingAfterBreak="0">
    <w:nsid w:val="5AF77967"/>
    <w:multiLevelType w:val="multilevel"/>
    <w:tmpl w:val="5AF77967"/>
    <w:lvl w:ilvl="0">
      <w:start w:val="1"/>
      <w:numFmt w:val="japaneseCounting"/>
      <w:pStyle w:val="a0"/>
      <w:lvlText w:val="%1、"/>
      <w:lvlJc w:val="left"/>
      <w:pPr>
        <w:ind w:left="505" w:hanging="50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Tk3MmM4Yzg3Y2E2MmRmYjViODg4NDRjZGJlOTEifQ=="/>
  </w:docVars>
  <w:rsids>
    <w:rsidRoot w:val="00606C04"/>
    <w:rsid w:val="000070B3"/>
    <w:rsid w:val="00013259"/>
    <w:rsid w:val="0008292D"/>
    <w:rsid w:val="000C13A4"/>
    <w:rsid w:val="000D1AEA"/>
    <w:rsid w:val="000E0E8D"/>
    <w:rsid w:val="001A576F"/>
    <w:rsid w:val="001B0B68"/>
    <w:rsid w:val="001C79A4"/>
    <w:rsid w:val="001D1153"/>
    <w:rsid w:val="001E579C"/>
    <w:rsid w:val="001F47D5"/>
    <w:rsid w:val="001F4D42"/>
    <w:rsid w:val="001F73E2"/>
    <w:rsid w:val="00213016"/>
    <w:rsid w:val="00236C1A"/>
    <w:rsid w:val="00241F71"/>
    <w:rsid w:val="002A7E94"/>
    <w:rsid w:val="002B78E5"/>
    <w:rsid w:val="002B7B71"/>
    <w:rsid w:val="002D1BD6"/>
    <w:rsid w:val="002E0A74"/>
    <w:rsid w:val="00310390"/>
    <w:rsid w:val="003107AA"/>
    <w:rsid w:val="003333B4"/>
    <w:rsid w:val="00355745"/>
    <w:rsid w:val="0039568B"/>
    <w:rsid w:val="00451E1E"/>
    <w:rsid w:val="00466F2D"/>
    <w:rsid w:val="004726E6"/>
    <w:rsid w:val="00486D21"/>
    <w:rsid w:val="004E4A83"/>
    <w:rsid w:val="004F7DC7"/>
    <w:rsid w:val="00524828"/>
    <w:rsid w:val="00596BC4"/>
    <w:rsid w:val="00597ECB"/>
    <w:rsid w:val="005A1684"/>
    <w:rsid w:val="005C4782"/>
    <w:rsid w:val="005E7BC3"/>
    <w:rsid w:val="00606C04"/>
    <w:rsid w:val="00616AD1"/>
    <w:rsid w:val="00637723"/>
    <w:rsid w:val="00681ED3"/>
    <w:rsid w:val="00684BAB"/>
    <w:rsid w:val="00723349"/>
    <w:rsid w:val="00771650"/>
    <w:rsid w:val="007A3F30"/>
    <w:rsid w:val="007B4DA2"/>
    <w:rsid w:val="008858C4"/>
    <w:rsid w:val="00886C91"/>
    <w:rsid w:val="008C16BA"/>
    <w:rsid w:val="008C4FE4"/>
    <w:rsid w:val="008E2CF4"/>
    <w:rsid w:val="0096046D"/>
    <w:rsid w:val="00996501"/>
    <w:rsid w:val="009B5859"/>
    <w:rsid w:val="009B784E"/>
    <w:rsid w:val="009E2511"/>
    <w:rsid w:val="009F5462"/>
    <w:rsid w:val="00A30466"/>
    <w:rsid w:val="00A45B4B"/>
    <w:rsid w:val="00A553EE"/>
    <w:rsid w:val="00A64CBC"/>
    <w:rsid w:val="00AD608D"/>
    <w:rsid w:val="00AE79C5"/>
    <w:rsid w:val="00AF337E"/>
    <w:rsid w:val="00B07863"/>
    <w:rsid w:val="00B50C5D"/>
    <w:rsid w:val="00C021F2"/>
    <w:rsid w:val="00C138DD"/>
    <w:rsid w:val="00C52293"/>
    <w:rsid w:val="00C920FA"/>
    <w:rsid w:val="00C94CAA"/>
    <w:rsid w:val="00D8439C"/>
    <w:rsid w:val="00D922BF"/>
    <w:rsid w:val="00DA4CB4"/>
    <w:rsid w:val="00DA6B7D"/>
    <w:rsid w:val="00DB4970"/>
    <w:rsid w:val="00DC309E"/>
    <w:rsid w:val="00DD0031"/>
    <w:rsid w:val="00E35B81"/>
    <w:rsid w:val="00E53ADB"/>
    <w:rsid w:val="00E66C13"/>
    <w:rsid w:val="00E95866"/>
    <w:rsid w:val="00EA337A"/>
    <w:rsid w:val="00EB1C87"/>
    <w:rsid w:val="00EB76E8"/>
    <w:rsid w:val="00EE2A5B"/>
    <w:rsid w:val="00F271C5"/>
    <w:rsid w:val="00F278D3"/>
    <w:rsid w:val="00F64A58"/>
    <w:rsid w:val="00F7376E"/>
    <w:rsid w:val="00FA0E9F"/>
    <w:rsid w:val="00FA23FF"/>
    <w:rsid w:val="00FA5695"/>
    <w:rsid w:val="00FD27CB"/>
    <w:rsid w:val="00FE6C67"/>
    <w:rsid w:val="00FE762F"/>
    <w:rsid w:val="00FF56D0"/>
    <w:rsid w:val="01094E6B"/>
    <w:rsid w:val="05DE5129"/>
    <w:rsid w:val="0DC634E8"/>
    <w:rsid w:val="1DDC4654"/>
    <w:rsid w:val="1FD40125"/>
    <w:rsid w:val="204B308E"/>
    <w:rsid w:val="24F91F21"/>
    <w:rsid w:val="2E677B0B"/>
    <w:rsid w:val="30D07D6A"/>
    <w:rsid w:val="31243DA5"/>
    <w:rsid w:val="314D2100"/>
    <w:rsid w:val="32340E11"/>
    <w:rsid w:val="33D944BF"/>
    <w:rsid w:val="400571F8"/>
    <w:rsid w:val="532D3707"/>
    <w:rsid w:val="552D3EA9"/>
    <w:rsid w:val="59A2444E"/>
    <w:rsid w:val="70046BEA"/>
    <w:rsid w:val="713779A1"/>
    <w:rsid w:val="727D68D5"/>
    <w:rsid w:val="74CA1ED1"/>
    <w:rsid w:val="7F73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4B378-A3A6-4530-AEEF-EA55616E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uiPriority w:val="2"/>
    <w:qFormat/>
    <w:pPr>
      <w:keepNext/>
      <w:spacing w:line="360" w:lineRule="auto"/>
      <w:jc w:val="center"/>
      <w:outlineLvl w:val="0"/>
    </w:pPr>
    <w:rPr>
      <w:rFonts w:ascii="宋体" w:hAnsi="宋体"/>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pPr>
      <w:spacing w:line="360" w:lineRule="auto"/>
      <w:jc w:val="left"/>
    </w:pPr>
    <w:rPr>
      <w:rFonts w:ascii="Calibri" w:hAnsi="Calibri"/>
    </w:rPr>
  </w:style>
  <w:style w:type="paragraph" w:styleId="a6">
    <w:name w:val="Body Text"/>
    <w:basedOn w:val="a1"/>
    <w:link w:val="Char0"/>
    <w:uiPriority w:val="99"/>
    <w:semiHidden/>
    <w:unhideWhenUsed/>
    <w:qFormat/>
    <w:pPr>
      <w:spacing w:after="120"/>
    </w:pPr>
  </w:style>
  <w:style w:type="paragraph" w:styleId="a7">
    <w:name w:val="Body Text Indent"/>
    <w:basedOn w:val="a1"/>
    <w:link w:val="Char1"/>
    <w:uiPriority w:val="99"/>
    <w:qFormat/>
    <w:pPr>
      <w:ind w:firstLine="420"/>
    </w:pPr>
    <w:rPr>
      <w:sz w:val="24"/>
    </w:rPr>
  </w:style>
  <w:style w:type="paragraph" w:styleId="a8">
    <w:name w:val="Balloon Text"/>
    <w:basedOn w:val="a1"/>
    <w:link w:val="Char2"/>
    <w:uiPriority w:val="99"/>
    <w:semiHidden/>
    <w:unhideWhenUsed/>
    <w:qFormat/>
    <w:rPr>
      <w:sz w:val="18"/>
      <w:szCs w:val="18"/>
    </w:rPr>
  </w:style>
  <w:style w:type="paragraph" w:styleId="a9">
    <w:name w:val="footer"/>
    <w:basedOn w:val="a1"/>
    <w:link w:val="Char3"/>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1"/>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1"/>
    <w:link w:val="3Char"/>
    <w:qFormat/>
    <w:pPr>
      <w:spacing w:after="120"/>
      <w:ind w:leftChars="200" w:left="420"/>
    </w:pPr>
    <w:rPr>
      <w:sz w:val="16"/>
      <w:szCs w:val="16"/>
    </w:rPr>
  </w:style>
  <w:style w:type="paragraph" w:styleId="ab">
    <w:name w:val="Normal (Web)"/>
    <w:basedOn w:val="a1"/>
    <w:qFormat/>
    <w:pPr>
      <w:widowControl/>
      <w:spacing w:before="100" w:beforeAutospacing="1" w:after="100" w:afterAutospacing="1"/>
      <w:jc w:val="left"/>
    </w:pPr>
    <w:rPr>
      <w:rFonts w:ascii="宋体" w:hAnsi="宋体" w:cs="宋体"/>
      <w:kern w:val="0"/>
      <w:sz w:val="24"/>
    </w:rPr>
  </w:style>
  <w:style w:type="paragraph" w:styleId="ac">
    <w:name w:val="Body Text First Indent"/>
    <w:basedOn w:val="a6"/>
    <w:link w:val="Char5"/>
    <w:uiPriority w:val="99"/>
    <w:qFormat/>
    <w:pPr>
      <w:adjustRightInd w:val="0"/>
      <w:spacing w:after="0"/>
      <w:jc w:val="left"/>
      <w:textAlignment w:val="baseline"/>
    </w:pPr>
    <w:rPr>
      <w:kern w:val="0"/>
      <w:szCs w:val="20"/>
    </w:rPr>
  </w:style>
  <w:style w:type="table" w:styleId="ad">
    <w:name w:val="Table Grid"/>
    <w:basedOn w:val="a3"/>
    <w:uiPriority w:val="59"/>
    <w:qFormat/>
    <w:pPr>
      <w:widowControl w:val="0"/>
      <w:adjustRightInd w:val="0"/>
      <w:spacing w:line="360" w:lineRule="atLeast"/>
      <w:textAlignment w:val="baseline"/>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character" w:styleId="af">
    <w:name w:val="Emphasis"/>
    <w:uiPriority w:val="20"/>
    <w:qFormat/>
    <w:rPr>
      <w:i/>
      <w:iCs/>
    </w:rPr>
  </w:style>
  <w:style w:type="character" w:styleId="af0">
    <w:name w:val="annotation reference"/>
    <w:basedOn w:val="a2"/>
    <w:uiPriority w:val="99"/>
    <w:semiHidden/>
    <w:unhideWhenUsed/>
    <w:qFormat/>
    <w:rPr>
      <w:sz w:val="21"/>
      <w:szCs w:val="21"/>
    </w:rPr>
  </w:style>
  <w:style w:type="character" w:customStyle="1" w:styleId="Char4">
    <w:name w:val="页眉 Char"/>
    <w:basedOn w:val="a2"/>
    <w:link w:val="aa"/>
    <w:uiPriority w:val="99"/>
    <w:qFormat/>
    <w:rPr>
      <w:sz w:val="18"/>
      <w:szCs w:val="18"/>
    </w:rPr>
  </w:style>
  <w:style w:type="character" w:customStyle="1" w:styleId="Char3">
    <w:name w:val="页脚 Char"/>
    <w:basedOn w:val="a2"/>
    <w:link w:val="a9"/>
    <w:uiPriority w:val="99"/>
    <w:semiHidden/>
    <w:qFormat/>
    <w:rPr>
      <w:sz w:val="18"/>
      <w:szCs w:val="18"/>
    </w:rPr>
  </w:style>
  <w:style w:type="character" w:customStyle="1" w:styleId="1Char">
    <w:name w:val="标题 1 Char"/>
    <w:basedOn w:val="a2"/>
    <w:link w:val="1"/>
    <w:uiPriority w:val="2"/>
    <w:qFormat/>
    <w:rPr>
      <w:rFonts w:ascii="宋体" w:eastAsia="宋体" w:hAnsi="宋体" w:cs="Times New Roman"/>
      <w:b/>
      <w:bCs/>
      <w:sz w:val="24"/>
      <w:szCs w:val="24"/>
    </w:rPr>
  </w:style>
  <w:style w:type="character" w:customStyle="1" w:styleId="Char1">
    <w:name w:val="正文文本缩进 Char"/>
    <w:basedOn w:val="a2"/>
    <w:link w:val="a7"/>
    <w:uiPriority w:val="99"/>
    <w:qFormat/>
    <w:rPr>
      <w:rFonts w:ascii="Times New Roman" w:eastAsia="宋体" w:hAnsi="Times New Roman" w:cs="Times New Roman"/>
      <w:sz w:val="24"/>
      <w:szCs w:val="24"/>
    </w:rPr>
  </w:style>
  <w:style w:type="character" w:customStyle="1" w:styleId="Char0">
    <w:name w:val="正文文本 Char"/>
    <w:basedOn w:val="a2"/>
    <w:link w:val="a6"/>
    <w:uiPriority w:val="99"/>
    <w:semiHidden/>
    <w:qFormat/>
    <w:rPr>
      <w:rFonts w:ascii="Times New Roman" w:eastAsia="宋体" w:hAnsi="Times New Roman" w:cs="Times New Roman"/>
      <w:szCs w:val="24"/>
    </w:rPr>
  </w:style>
  <w:style w:type="character" w:customStyle="1" w:styleId="Char5">
    <w:name w:val="正文首行缩进 Char"/>
    <w:basedOn w:val="Char0"/>
    <w:link w:val="ac"/>
    <w:uiPriority w:val="99"/>
    <w:qFormat/>
    <w:rPr>
      <w:rFonts w:ascii="Times New Roman" w:eastAsia="宋体" w:hAnsi="Times New Roman" w:cs="Times New Roman"/>
      <w:kern w:val="0"/>
      <w:szCs w:val="20"/>
    </w:rPr>
  </w:style>
  <w:style w:type="character" w:customStyle="1" w:styleId="3Char">
    <w:name w:val="正文文本缩进 3 Char"/>
    <w:basedOn w:val="a2"/>
    <w:link w:val="3"/>
    <w:qFormat/>
    <w:rPr>
      <w:rFonts w:ascii="Times New Roman" w:eastAsia="宋体" w:hAnsi="Times New Roman" w:cs="Times New Roman"/>
      <w:sz w:val="16"/>
      <w:szCs w:val="16"/>
    </w:rPr>
  </w:style>
  <w:style w:type="character" w:customStyle="1" w:styleId="Char">
    <w:name w:val="批注文字 Char"/>
    <w:basedOn w:val="a2"/>
    <w:link w:val="a5"/>
    <w:qFormat/>
    <w:rPr>
      <w:rFonts w:ascii="Calibri" w:eastAsia="宋体" w:hAnsi="Calibri" w:cs="Times New Roman"/>
      <w:szCs w:val="24"/>
    </w:rPr>
  </w:style>
  <w:style w:type="paragraph" w:styleId="af1">
    <w:name w:val="List Paragraph"/>
    <w:basedOn w:val="a1"/>
    <w:uiPriority w:val="34"/>
    <w:qFormat/>
    <w:pPr>
      <w:ind w:firstLineChars="200" w:firstLine="420"/>
    </w:pPr>
  </w:style>
  <w:style w:type="paragraph" w:customStyle="1" w:styleId="af2">
    <w:name w:val="段"/>
    <w:link w:val="Char6"/>
    <w:qFormat/>
    <w:pPr>
      <w:autoSpaceDE w:val="0"/>
      <w:autoSpaceDN w:val="0"/>
      <w:ind w:firstLineChars="200" w:firstLine="200"/>
      <w:jc w:val="both"/>
    </w:pPr>
    <w:rPr>
      <w:rFonts w:ascii="宋体"/>
      <w:sz w:val="21"/>
    </w:rPr>
  </w:style>
  <w:style w:type="character" w:customStyle="1" w:styleId="Char6">
    <w:name w:val="段 Char"/>
    <w:link w:val="af2"/>
    <w:qFormat/>
    <w:rPr>
      <w:rFonts w:ascii="宋体" w:eastAsia="宋体" w:hAnsi="Times New Roman" w:cs="Times New Roman"/>
      <w:kern w:val="0"/>
      <w:szCs w:val="20"/>
    </w:rPr>
  </w:style>
  <w:style w:type="character" w:customStyle="1" w:styleId="CharChar">
    <w:name w:val="章标题 Char Char"/>
    <w:link w:val="af3"/>
    <w:qFormat/>
    <w:rPr>
      <w:rFonts w:ascii="黑体" w:eastAsia="黑体"/>
      <w:sz w:val="21"/>
    </w:rPr>
  </w:style>
  <w:style w:type="paragraph" w:customStyle="1" w:styleId="af3">
    <w:name w:val="章标题"/>
    <w:next w:val="af2"/>
    <w:link w:val="CharChar"/>
    <w:qFormat/>
    <w:pPr>
      <w:spacing w:beforeLines="50" w:afterLines="50"/>
      <w:jc w:val="both"/>
      <w:outlineLvl w:val="1"/>
    </w:pPr>
    <w:rPr>
      <w:rFonts w:ascii="黑体" w:eastAsia="黑体" w:hAnsiTheme="minorHAnsi" w:cstheme="minorBidi"/>
      <w:sz w:val="21"/>
    </w:rPr>
  </w:style>
  <w:style w:type="paragraph" w:customStyle="1" w:styleId="10">
    <w:name w:val="列出段落1"/>
    <w:basedOn w:val="a1"/>
    <w:uiPriority w:val="34"/>
    <w:qFormat/>
    <w:pPr>
      <w:ind w:firstLineChars="200" w:firstLine="420"/>
    </w:pPr>
  </w:style>
  <w:style w:type="paragraph" w:customStyle="1" w:styleId="a0">
    <w:name w:val="附录图标题"/>
    <w:next w:val="af2"/>
    <w:qFormat/>
    <w:pPr>
      <w:numPr>
        <w:numId w:val="1"/>
      </w:numPr>
      <w:tabs>
        <w:tab w:val="left" w:pos="360"/>
      </w:tabs>
      <w:jc w:val="center"/>
    </w:pPr>
    <w:rPr>
      <w:rFonts w:ascii="黑体" w:eastAsia="黑体"/>
      <w:sz w:val="21"/>
    </w:rPr>
  </w:style>
  <w:style w:type="paragraph" w:customStyle="1" w:styleId="a">
    <w:name w:val="附录四级条标题"/>
    <w:basedOn w:val="a1"/>
    <w:next w:val="af2"/>
    <w:qFormat/>
    <w:pPr>
      <w:widowControl/>
      <w:numPr>
        <w:ilvl w:val="5"/>
        <w:numId w:val="2"/>
      </w:numPr>
      <w:wordWrap w:val="0"/>
      <w:overflowPunct w:val="0"/>
      <w:autoSpaceDE w:val="0"/>
      <w:autoSpaceDN w:val="0"/>
      <w:textAlignment w:val="baseline"/>
      <w:outlineLvl w:val="5"/>
    </w:pPr>
    <w:rPr>
      <w:rFonts w:ascii="黑体" w:eastAsia="黑体"/>
      <w:kern w:val="21"/>
      <w:szCs w:val="20"/>
    </w:rPr>
  </w:style>
  <w:style w:type="character" w:customStyle="1" w:styleId="Char2">
    <w:name w:val="批注框文本 Char"/>
    <w:basedOn w:val="a2"/>
    <w:link w:val="a8"/>
    <w:uiPriority w:val="99"/>
    <w:semiHidden/>
    <w:qFormat/>
    <w:rPr>
      <w:rFonts w:ascii="Times New Roman" w:eastAsia="宋体" w:hAnsi="Times New Roman" w:cs="Times New Roman"/>
      <w:kern w:val="2"/>
      <w:sz w:val="18"/>
      <w:szCs w:val="18"/>
    </w:rPr>
  </w:style>
  <w:style w:type="paragraph" w:customStyle="1" w:styleId="2">
    <w:name w:val="列出段落2"/>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it.gov.cn/n1146285/n1146352/n3054355/n3057542/n5920352/c6290977/part/6291607.pdf" TargetMode="External"/><Relationship Id="rId5" Type="http://schemas.openxmlformats.org/officeDocument/2006/relationships/settings" Target="settings.xml"/><Relationship Id="rId15" Type="http://schemas.openxmlformats.org/officeDocument/2006/relationships/hyperlink" Target="https://www.baidu.com/link?url=NNtyM0b0l6f2XkMMgQ7lJtDY_6QfPGQzw0munkXVVikz1Ab_WvImp96OBMjFwPCi&amp;wd=&amp;eqid=b5fc5fa600102158000000035d639a38" TargetMode="External"/><Relationship Id="rId10" Type="http://schemas.openxmlformats.org/officeDocument/2006/relationships/hyperlink" Target="https://www.baidu.com/link?url=yYkRav01yyKI5oUzMHTFmVikkZp1otPXqQZQwVZ7vqX2B7XuQSdHVZwRWX6eAcmTbM1esZUX-VtXbisL9Fitxa&amp;wd=&amp;eqid=9407f8670000d7c100000003598187a7" TargetMode="External"/><Relationship Id="rId4" Type="http://schemas.openxmlformats.org/officeDocument/2006/relationships/styles" Target="styles.xml"/><Relationship Id="rId9" Type="http://schemas.openxmlformats.org/officeDocument/2006/relationships/hyperlink" Target="http://219.239.107.155:8080/TaskBook.aspx?id=YSJNZT20092019" TargetMode="External"/><Relationship Id="rId14" Type="http://schemas.openxmlformats.org/officeDocument/2006/relationships/hyperlink" Target="https://www.baidu.com/link?url=NNtyM0b0l6f2XkMMgQ7lJtDY_6QfPGQzw0munkXVVikz1Ab_WvImp96OBMjFwPCi&amp;wd=&amp;eqid=b5fc5fa600102158000000035d639a3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ADCCE-E1FA-41FF-828C-EC985BA0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3868</Words>
  <Characters>22053</Characters>
  <Application>Microsoft Office Word</Application>
  <DocSecurity>0</DocSecurity>
  <Lines>183</Lines>
  <Paragraphs>51</Paragraphs>
  <ScaleCrop>false</ScaleCrop>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B19856 许丁洋</dc:creator>
  <cp:keywords/>
  <dc:description/>
  <cp:lastModifiedBy>User</cp:lastModifiedBy>
  <cp:revision>4</cp:revision>
  <cp:lastPrinted>2023-08-18T08:42:00Z</cp:lastPrinted>
  <dcterms:created xsi:type="dcterms:W3CDTF">2023-08-18T09:10:00Z</dcterms:created>
  <dcterms:modified xsi:type="dcterms:W3CDTF">2023-08-18T09:28:00Z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3A8A7700686F44B4AB2DA8435C999BA9_13</vt:lpwstr>
  </property>
</Properties>
</file>