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D96C" w14:textId="77777777" w:rsidR="002D68F4" w:rsidRDefault="00D15ACB">
      <w:pPr>
        <w:jc w:val="center"/>
        <w:rPr>
          <w:rFonts w:ascii="Times New Roman" w:hAnsi="Times New Roman" w:cs="Times New Roman"/>
          <w:b/>
          <w:bCs/>
          <w:sz w:val="24"/>
          <w:szCs w:val="24"/>
        </w:rPr>
      </w:pPr>
      <w:r>
        <w:rPr>
          <w:rFonts w:ascii="Times New Roman" w:hAnsi="Times New Roman" w:cs="Times New Roman"/>
          <w:b/>
          <w:bCs/>
          <w:sz w:val="24"/>
          <w:szCs w:val="24"/>
        </w:rPr>
        <w:t>标准征求意见</w:t>
      </w:r>
      <w:proofErr w:type="gramStart"/>
      <w:r>
        <w:rPr>
          <w:rFonts w:ascii="Times New Roman" w:hAnsi="Times New Roman" w:cs="Times New Roman"/>
          <w:b/>
          <w:bCs/>
          <w:sz w:val="24"/>
          <w:szCs w:val="24"/>
        </w:rPr>
        <w:t>稿意见</w:t>
      </w:r>
      <w:proofErr w:type="gramEnd"/>
      <w:r>
        <w:rPr>
          <w:rFonts w:ascii="Times New Roman" w:hAnsi="Times New Roman" w:cs="Times New Roman"/>
          <w:b/>
          <w:bCs/>
          <w:sz w:val="24"/>
          <w:szCs w:val="24"/>
        </w:rPr>
        <w:t>汇总处理表</w:t>
      </w:r>
    </w:p>
    <w:p w14:paraId="27B8EFFC" w14:textId="1BF82729" w:rsidR="002D68F4" w:rsidRDefault="00D15ACB">
      <w:pPr>
        <w:spacing w:line="360" w:lineRule="auto"/>
        <w:rPr>
          <w:rFonts w:ascii="Times New Roman" w:hAnsi="Times New Roman" w:cs="Times New Roman"/>
        </w:rPr>
      </w:pPr>
      <w:r>
        <w:rPr>
          <w:rFonts w:ascii="Times New Roman" w:hAnsi="Times New Roman" w:cs="Times New Roman"/>
        </w:rPr>
        <w:t>标准项目名称：</w:t>
      </w:r>
      <w:r w:rsidR="00276AE9" w:rsidRPr="00276AE9">
        <w:rPr>
          <w:rFonts w:ascii="Times New Roman" w:hAnsi="Times New Roman" w:cs="Times New Roman" w:hint="eastAsia"/>
        </w:rPr>
        <w:t>铅冶炼行业节能诊断技术规范</w:t>
      </w:r>
      <w:r w:rsidR="005B5214">
        <w:rPr>
          <w:rFonts w:ascii="Times New Roman" w:hAnsi="Times New Roman" w:cs="Times New Roman" w:hint="eastAsia"/>
        </w:rPr>
        <w:t xml:space="preserve">   </w:t>
      </w:r>
      <w:r w:rsidR="007D2327">
        <w:rPr>
          <w:rFonts w:ascii="Times New Roman" w:hAnsi="Times New Roman" w:cs="Times New Roman"/>
        </w:rPr>
        <w:t xml:space="preserve">                              </w:t>
      </w:r>
      <w:r w:rsidR="00276AE9">
        <w:rPr>
          <w:rFonts w:ascii="Times New Roman" w:hAnsi="Times New Roman" w:cs="Times New Roman" w:hint="eastAsia"/>
        </w:rPr>
        <w:t xml:space="preserve">                </w:t>
      </w:r>
      <w:r w:rsidR="007D2327">
        <w:rPr>
          <w:rFonts w:ascii="Times New Roman" w:hAnsi="Times New Roman" w:cs="Times New Roman"/>
        </w:rPr>
        <w:t xml:space="preserve">   </w:t>
      </w:r>
      <w:r w:rsidR="00B04335">
        <w:rPr>
          <w:rFonts w:ascii="Times New Roman" w:hAnsi="Times New Roman" w:cs="Times New Roman"/>
        </w:rPr>
        <w:t>技术</w:t>
      </w:r>
      <w:r>
        <w:rPr>
          <w:rFonts w:ascii="Times New Roman" w:hAnsi="Times New Roman" w:cs="Times New Roman" w:hint="eastAsia"/>
        </w:rPr>
        <w:t>承办人：</w:t>
      </w:r>
      <w:r w:rsidR="00276AE9">
        <w:rPr>
          <w:rFonts w:ascii="Times New Roman" w:hAnsi="Times New Roman" w:cs="Times New Roman" w:hint="eastAsia"/>
        </w:rPr>
        <w:t xml:space="preserve">   </w:t>
      </w:r>
      <w:r w:rsidR="005B5214">
        <w:rPr>
          <w:rFonts w:ascii="Times New Roman" w:hAnsi="Times New Roman" w:cs="Times New Roman" w:hint="eastAsia"/>
        </w:rPr>
        <w:t xml:space="preserve">        </w:t>
      </w:r>
      <w:r>
        <w:rPr>
          <w:rFonts w:ascii="Times New Roman" w:hAnsi="Times New Roman" w:cs="Times New Roman" w:hint="eastAsia"/>
        </w:rPr>
        <w:t>共</w:t>
      </w:r>
      <w:r w:rsidR="00BE485F">
        <w:rPr>
          <w:rFonts w:ascii="Times New Roman" w:hAnsi="Times New Roman" w:cs="Times New Roman" w:hint="eastAsia"/>
        </w:rPr>
        <w:t>4</w:t>
      </w:r>
      <w:r>
        <w:rPr>
          <w:rFonts w:ascii="Times New Roman" w:hAnsi="Times New Roman" w:cs="Times New Roman" w:hint="eastAsia"/>
        </w:rPr>
        <w:t>页第</w:t>
      </w:r>
      <w:r>
        <w:rPr>
          <w:rFonts w:ascii="Times New Roman" w:hAnsi="Times New Roman" w:cs="Times New Roman" w:hint="eastAsia"/>
        </w:rPr>
        <w:t>1</w:t>
      </w:r>
      <w:r>
        <w:rPr>
          <w:rFonts w:ascii="Times New Roman" w:hAnsi="Times New Roman" w:cs="Times New Roman" w:hint="eastAsia"/>
        </w:rPr>
        <w:t>页</w:t>
      </w:r>
    </w:p>
    <w:p w14:paraId="7CDB51A9" w14:textId="435C4D45" w:rsidR="002D68F4" w:rsidRDefault="00D15ACB">
      <w:pPr>
        <w:spacing w:line="360" w:lineRule="auto"/>
        <w:rPr>
          <w:rFonts w:ascii="Times New Roman" w:hAnsi="Times New Roman" w:cs="Times New Roman"/>
        </w:rPr>
      </w:pPr>
      <w:r>
        <w:rPr>
          <w:rFonts w:ascii="Times New Roman" w:hAnsi="Times New Roman" w:cs="Times New Roman"/>
        </w:rPr>
        <w:t>标准项目负责起草单位：</w:t>
      </w:r>
      <w:r w:rsidR="00B04335">
        <w:rPr>
          <w:rFonts w:hint="eastAsia"/>
        </w:rPr>
        <w:t>中国恩菲工程技术有限公司</w:t>
      </w:r>
      <w:r w:rsidR="00772D7A">
        <w:rPr>
          <w:rFonts w:hint="eastAsia"/>
        </w:rPr>
        <w:t xml:space="preserve">     </w:t>
      </w:r>
      <w:r w:rsidR="007D2327">
        <w:t xml:space="preserve">                                         </w:t>
      </w:r>
      <w:r>
        <w:rPr>
          <w:rFonts w:ascii="Times New Roman" w:hAnsi="Times New Roman" w:cs="Times New Roman" w:hint="eastAsia"/>
        </w:rPr>
        <w:t>电话：</w:t>
      </w:r>
      <w:r w:rsidR="00DF4A83">
        <w:rPr>
          <w:rFonts w:ascii="Times New Roman" w:hAnsi="Times New Roman" w:cs="Times New Roman" w:hint="eastAsia"/>
        </w:rPr>
        <w:t>010-63933051</w:t>
      </w:r>
      <w:r w:rsidR="00276AE9">
        <w:rPr>
          <w:rFonts w:ascii="Times New Roman" w:hAnsi="Times New Roman" w:cs="Times New Roman" w:hint="eastAsia"/>
        </w:rPr>
        <w:t xml:space="preserve"> </w:t>
      </w:r>
      <w:r>
        <w:rPr>
          <w:rFonts w:ascii="Times New Roman" w:hAnsi="Times New Roman" w:cs="Times New Roman" w:hint="eastAsia"/>
        </w:rPr>
        <w:t xml:space="preserve"> </w:t>
      </w:r>
      <w:r w:rsidR="00DF4A83">
        <w:rPr>
          <w:rFonts w:ascii="Times New Roman" w:hAnsi="Times New Roman" w:cs="Times New Roman" w:hint="eastAsia"/>
        </w:rPr>
        <w:t xml:space="preserve"> </w:t>
      </w:r>
      <w:r w:rsidR="00276AE9">
        <w:rPr>
          <w:rFonts w:ascii="Times New Roman" w:hAnsi="Times New Roman" w:cs="Times New Roman" w:hint="eastAsia"/>
        </w:rPr>
        <w:t xml:space="preserve"> </w:t>
      </w:r>
      <w:r>
        <w:rPr>
          <w:rFonts w:ascii="Times New Roman" w:hAnsi="Times New Roman" w:cs="Times New Roman" w:hint="eastAsia"/>
        </w:rPr>
        <w:t xml:space="preserve"> 2023</w:t>
      </w:r>
      <w:r>
        <w:rPr>
          <w:rFonts w:ascii="Times New Roman" w:hAnsi="Times New Roman" w:cs="Times New Roman" w:hint="eastAsia"/>
        </w:rPr>
        <w:t>年</w:t>
      </w:r>
      <w:r w:rsidR="00276AE9">
        <w:rPr>
          <w:rFonts w:ascii="Times New Roman" w:hAnsi="Times New Roman" w:cs="Times New Roman" w:hint="eastAsia"/>
        </w:rPr>
        <w:t>8</w:t>
      </w:r>
      <w:r>
        <w:rPr>
          <w:rFonts w:ascii="Times New Roman" w:hAnsi="Times New Roman" w:cs="Times New Roman" w:hint="eastAsia"/>
        </w:rPr>
        <w:t>月</w:t>
      </w:r>
      <w:r w:rsidR="00276AE9">
        <w:rPr>
          <w:rFonts w:ascii="Times New Roman" w:hAnsi="Times New Roman" w:cs="Times New Roman" w:hint="eastAsia"/>
        </w:rPr>
        <w:t>9</w:t>
      </w:r>
      <w:r>
        <w:rPr>
          <w:rFonts w:ascii="Times New Roman" w:hAnsi="Times New Roman" w:cs="Times New Roman" w:hint="eastAsia"/>
        </w:rPr>
        <w:t>日填写</w:t>
      </w:r>
    </w:p>
    <w:tbl>
      <w:tblPr>
        <w:tblStyle w:val="a6"/>
        <w:tblW w:w="14835" w:type="dxa"/>
        <w:jc w:val="center"/>
        <w:tblLook w:val="04A0" w:firstRow="1" w:lastRow="0" w:firstColumn="1" w:lastColumn="0" w:noHBand="0" w:noVBand="1"/>
      </w:tblPr>
      <w:tblGrid>
        <w:gridCol w:w="675"/>
        <w:gridCol w:w="1134"/>
        <w:gridCol w:w="6285"/>
        <w:gridCol w:w="2551"/>
        <w:gridCol w:w="1276"/>
        <w:gridCol w:w="2914"/>
      </w:tblGrid>
      <w:tr w:rsidR="002D68F4" w:rsidRPr="00CE6453" w14:paraId="2582F194" w14:textId="77777777" w:rsidTr="00CC24BA">
        <w:trPr>
          <w:cantSplit/>
          <w:jc w:val="center"/>
        </w:trPr>
        <w:tc>
          <w:tcPr>
            <w:tcW w:w="675" w:type="dxa"/>
            <w:vAlign w:val="center"/>
          </w:tcPr>
          <w:p w14:paraId="04D8CCAA" w14:textId="77777777" w:rsidR="002D68F4" w:rsidRPr="00CE6453" w:rsidRDefault="00D15ACB"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序号</w:t>
            </w:r>
          </w:p>
        </w:tc>
        <w:tc>
          <w:tcPr>
            <w:tcW w:w="1134" w:type="dxa"/>
            <w:vAlign w:val="center"/>
          </w:tcPr>
          <w:p w14:paraId="0C304A70" w14:textId="77777777" w:rsidR="002D68F4" w:rsidRPr="00CE6453" w:rsidRDefault="00D15ACB" w:rsidP="00276AE9">
            <w:pPr>
              <w:jc w:val="center"/>
              <w:rPr>
                <w:rFonts w:ascii="Times New Roman" w:hAnsi="Times New Roman" w:cs="Times New Roman"/>
                <w:szCs w:val="21"/>
              </w:rPr>
            </w:pPr>
            <w:r w:rsidRPr="00CE6453">
              <w:rPr>
                <w:rFonts w:ascii="Times New Roman" w:hAnsi="Times New Roman" w:cs="Times New Roman"/>
                <w:szCs w:val="21"/>
              </w:rPr>
              <w:t>标准章节</w:t>
            </w:r>
          </w:p>
          <w:p w14:paraId="33A45267" w14:textId="77777777" w:rsidR="002D68F4" w:rsidRPr="00CE6453" w:rsidRDefault="00D15ACB" w:rsidP="00276AE9">
            <w:pPr>
              <w:jc w:val="center"/>
              <w:rPr>
                <w:rFonts w:ascii="Times New Roman" w:hAnsi="Times New Roman" w:cs="Times New Roman"/>
                <w:szCs w:val="21"/>
              </w:rPr>
            </w:pPr>
            <w:r w:rsidRPr="00CE6453">
              <w:rPr>
                <w:rFonts w:ascii="Times New Roman" w:hAnsi="Times New Roman" w:cs="Times New Roman"/>
                <w:szCs w:val="21"/>
              </w:rPr>
              <w:t>编号</w:t>
            </w:r>
          </w:p>
        </w:tc>
        <w:tc>
          <w:tcPr>
            <w:tcW w:w="6285" w:type="dxa"/>
            <w:vAlign w:val="center"/>
          </w:tcPr>
          <w:p w14:paraId="41F9F73C" w14:textId="77777777" w:rsidR="002D68F4" w:rsidRPr="00CE6453" w:rsidRDefault="00D15ACB"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意见内容</w:t>
            </w:r>
          </w:p>
        </w:tc>
        <w:tc>
          <w:tcPr>
            <w:tcW w:w="2551" w:type="dxa"/>
            <w:vAlign w:val="center"/>
          </w:tcPr>
          <w:p w14:paraId="2D8E8D05" w14:textId="77777777" w:rsidR="002D68F4" w:rsidRPr="00CE6453" w:rsidRDefault="00D15ACB"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提出单位</w:t>
            </w:r>
          </w:p>
        </w:tc>
        <w:tc>
          <w:tcPr>
            <w:tcW w:w="1276" w:type="dxa"/>
            <w:vAlign w:val="center"/>
          </w:tcPr>
          <w:p w14:paraId="50C4B296" w14:textId="77777777" w:rsidR="002D68F4" w:rsidRPr="00CE6453" w:rsidRDefault="00D15ACB"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处理意见</w:t>
            </w:r>
          </w:p>
        </w:tc>
        <w:tc>
          <w:tcPr>
            <w:tcW w:w="2914" w:type="dxa"/>
            <w:vAlign w:val="center"/>
          </w:tcPr>
          <w:p w14:paraId="2504000E" w14:textId="77777777" w:rsidR="002D68F4" w:rsidRPr="00CE6453" w:rsidRDefault="00D15ACB"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备注</w:t>
            </w:r>
          </w:p>
        </w:tc>
      </w:tr>
      <w:tr w:rsidR="00DF4A83" w:rsidRPr="00CE6453" w14:paraId="69517F1F" w14:textId="77777777" w:rsidTr="00CC24BA">
        <w:trPr>
          <w:cantSplit/>
          <w:jc w:val="center"/>
        </w:trPr>
        <w:tc>
          <w:tcPr>
            <w:tcW w:w="675" w:type="dxa"/>
            <w:vAlign w:val="center"/>
          </w:tcPr>
          <w:p w14:paraId="2B7A8219" w14:textId="77777777" w:rsidR="00DF4A83" w:rsidRPr="00CE6453" w:rsidRDefault="00DF4A83"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1</w:t>
            </w:r>
          </w:p>
        </w:tc>
        <w:tc>
          <w:tcPr>
            <w:tcW w:w="1134" w:type="dxa"/>
            <w:vAlign w:val="center"/>
          </w:tcPr>
          <w:p w14:paraId="15DDCFED" w14:textId="3237096E" w:rsidR="00DF4A83" w:rsidRPr="00CE6453" w:rsidRDefault="00DF4A83" w:rsidP="00276AE9">
            <w:pPr>
              <w:jc w:val="center"/>
              <w:rPr>
                <w:rFonts w:ascii="Times New Roman"/>
                <w:szCs w:val="21"/>
              </w:rPr>
            </w:pPr>
            <w:r w:rsidRPr="00CE6453">
              <w:rPr>
                <w:rFonts w:ascii="Times New Roman" w:hAnsi="Times New Roman" w:cs="Times New Roman"/>
                <w:szCs w:val="21"/>
              </w:rPr>
              <w:t>4.1</w:t>
            </w:r>
            <w:r w:rsidRPr="00CE6453">
              <w:rPr>
                <w:rFonts w:cs="Times New Roman" w:hint="eastAsia"/>
                <w:szCs w:val="21"/>
              </w:rPr>
              <w:t>、</w:t>
            </w:r>
            <w:r w:rsidRPr="00CE6453">
              <w:rPr>
                <w:rFonts w:ascii="Times New Roman" w:hAnsi="Times New Roman" w:cs="Times New Roman"/>
                <w:szCs w:val="21"/>
              </w:rPr>
              <w:t>4.2</w:t>
            </w:r>
          </w:p>
        </w:tc>
        <w:tc>
          <w:tcPr>
            <w:tcW w:w="6285" w:type="dxa"/>
            <w:vAlign w:val="center"/>
          </w:tcPr>
          <w:p w14:paraId="797E7E93" w14:textId="0471830D" w:rsidR="00DF4A83" w:rsidRPr="00CE6453" w:rsidRDefault="00DF4A83" w:rsidP="00DF4A83">
            <w:pPr>
              <w:spacing w:line="360" w:lineRule="auto"/>
              <w:jc w:val="center"/>
              <w:rPr>
                <w:rFonts w:ascii="Times New Roman"/>
                <w:szCs w:val="21"/>
              </w:rPr>
            </w:pPr>
            <w:r w:rsidRPr="00CE6453">
              <w:rPr>
                <w:rFonts w:ascii="Times New Roman" w:hAnsi="Times New Roman" w:cs="Times New Roman"/>
                <w:szCs w:val="21"/>
              </w:rPr>
              <w:t>4.1</w:t>
            </w:r>
            <w:r w:rsidRPr="00CE6453">
              <w:rPr>
                <w:rFonts w:cs="Times New Roman" w:hint="eastAsia"/>
                <w:szCs w:val="21"/>
              </w:rPr>
              <w:t>和</w:t>
            </w:r>
            <w:r w:rsidRPr="00CE6453">
              <w:rPr>
                <w:rFonts w:ascii="Times New Roman" w:hAnsi="Times New Roman" w:cs="Times New Roman"/>
                <w:szCs w:val="21"/>
              </w:rPr>
              <w:t>4.2</w:t>
            </w:r>
            <w:r w:rsidRPr="00CE6453">
              <w:rPr>
                <w:rFonts w:cs="Times New Roman" w:hint="eastAsia"/>
                <w:szCs w:val="21"/>
              </w:rPr>
              <w:t>描述的都是系统性诊断原则，对于企业而言，日常节能诊断包括单系统、单工序的专项诊断，建议增加专项诊断原则，例如针对炉窑热效率的专项诊断，对于专业要求不一定要电气等专业，专业特性不一定全部覆盖，主要针对诊断所需设定。</w:t>
            </w:r>
          </w:p>
        </w:tc>
        <w:tc>
          <w:tcPr>
            <w:tcW w:w="2551" w:type="dxa"/>
            <w:vAlign w:val="center"/>
          </w:tcPr>
          <w:p w14:paraId="04CAD88C" w14:textId="11BD4525" w:rsidR="00DF4A83" w:rsidRPr="00CE6453" w:rsidRDefault="00DF4A83" w:rsidP="00276AE9">
            <w:pPr>
              <w:spacing w:line="360" w:lineRule="auto"/>
              <w:jc w:val="center"/>
              <w:rPr>
                <w:rFonts w:ascii="Times New Roman"/>
                <w:szCs w:val="21"/>
              </w:rPr>
            </w:pPr>
            <w:r w:rsidRPr="00CE6453">
              <w:rPr>
                <w:rFonts w:ascii="Times New Roman" w:hint="eastAsia"/>
                <w:szCs w:val="21"/>
              </w:rPr>
              <w:t>云南驰宏锌锗股份有限公司会泽冶炼分公司</w:t>
            </w:r>
          </w:p>
        </w:tc>
        <w:tc>
          <w:tcPr>
            <w:tcW w:w="1276" w:type="dxa"/>
            <w:vAlign w:val="center"/>
          </w:tcPr>
          <w:p w14:paraId="74E2322C" w14:textId="2512517E" w:rsidR="00DF4A83" w:rsidRPr="00CE6453" w:rsidRDefault="00DF4A83"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24ABAE7C" w14:textId="4ACD1954" w:rsidR="00DF4A83" w:rsidRPr="00CE6453" w:rsidRDefault="00DF4A83" w:rsidP="00276AE9">
            <w:pPr>
              <w:spacing w:line="360" w:lineRule="auto"/>
              <w:jc w:val="center"/>
              <w:rPr>
                <w:rFonts w:ascii="Times New Roman"/>
                <w:szCs w:val="21"/>
              </w:rPr>
            </w:pPr>
            <w:r w:rsidRPr="00CE6453">
              <w:rPr>
                <w:rFonts w:ascii="Times New Roman" w:hint="eastAsia"/>
                <w:szCs w:val="21"/>
              </w:rPr>
              <w:t>企业开展专项诊断可根据诊断工作需要选择相关专业组成专家组成员。</w:t>
            </w:r>
          </w:p>
        </w:tc>
      </w:tr>
      <w:tr w:rsidR="00DF4A83" w:rsidRPr="00CE6453" w14:paraId="3BC9274D" w14:textId="77777777" w:rsidTr="00CC24BA">
        <w:trPr>
          <w:cantSplit/>
          <w:jc w:val="center"/>
        </w:trPr>
        <w:tc>
          <w:tcPr>
            <w:tcW w:w="675" w:type="dxa"/>
            <w:vAlign w:val="center"/>
          </w:tcPr>
          <w:p w14:paraId="7686AB50" w14:textId="77777777" w:rsidR="00DF4A83" w:rsidRPr="00CE6453" w:rsidRDefault="00DF4A83"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2</w:t>
            </w:r>
          </w:p>
        </w:tc>
        <w:tc>
          <w:tcPr>
            <w:tcW w:w="1134" w:type="dxa"/>
            <w:vAlign w:val="center"/>
          </w:tcPr>
          <w:p w14:paraId="27672136" w14:textId="39517B17" w:rsidR="00DF4A83" w:rsidRPr="00CE6453" w:rsidRDefault="00DF4A83" w:rsidP="00276AE9">
            <w:pPr>
              <w:spacing w:line="360" w:lineRule="auto"/>
              <w:jc w:val="center"/>
              <w:rPr>
                <w:rFonts w:ascii="Times New Roman"/>
                <w:szCs w:val="21"/>
              </w:rPr>
            </w:pPr>
            <w:r w:rsidRPr="00CE6453">
              <w:rPr>
                <w:rFonts w:ascii="Times New Roman"/>
                <w:szCs w:val="21"/>
              </w:rPr>
              <w:t>5.3</w:t>
            </w:r>
          </w:p>
        </w:tc>
        <w:tc>
          <w:tcPr>
            <w:tcW w:w="6285" w:type="dxa"/>
            <w:vAlign w:val="center"/>
          </w:tcPr>
          <w:p w14:paraId="3A71E5EA" w14:textId="05EBF774" w:rsidR="00DF4A83" w:rsidRPr="00CE6453" w:rsidRDefault="00DF4A83" w:rsidP="00276AE9">
            <w:pPr>
              <w:spacing w:line="360" w:lineRule="auto"/>
              <w:jc w:val="center"/>
              <w:rPr>
                <w:rFonts w:ascii="Times New Roman"/>
                <w:szCs w:val="21"/>
              </w:rPr>
            </w:pPr>
            <w:r w:rsidRPr="00CE6453">
              <w:rPr>
                <w:rFonts w:hint="eastAsia"/>
                <w:szCs w:val="21"/>
              </w:rPr>
              <w:t>“充分考虑运用国内外先进节能技术和具体实践”建议修改为“充分考虑运用国内外先进的工艺技术、节能技术和具体实践”</w:t>
            </w:r>
          </w:p>
        </w:tc>
        <w:tc>
          <w:tcPr>
            <w:tcW w:w="2551" w:type="dxa"/>
            <w:vAlign w:val="center"/>
          </w:tcPr>
          <w:p w14:paraId="3E8E1EEB" w14:textId="4880C54D" w:rsidR="00DF4A83" w:rsidRPr="00CE6453" w:rsidRDefault="00DF4A83" w:rsidP="00276AE9">
            <w:pPr>
              <w:spacing w:line="360" w:lineRule="auto"/>
              <w:jc w:val="center"/>
              <w:rPr>
                <w:rFonts w:ascii="Times New Roman"/>
                <w:szCs w:val="21"/>
              </w:rPr>
            </w:pPr>
            <w:r w:rsidRPr="00CE6453">
              <w:rPr>
                <w:rFonts w:ascii="Times New Roman" w:hint="eastAsia"/>
                <w:szCs w:val="21"/>
              </w:rPr>
              <w:t>云南驰宏锌锗股份有限公司会泽冶炼分公司</w:t>
            </w:r>
          </w:p>
        </w:tc>
        <w:tc>
          <w:tcPr>
            <w:tcW w:w="1276" w:type="dxa"/>
            <w:vAlign w:val="center"/>
          </w:tcPr>
          <w:p w14:paraId="6D450033" w14:textId="0F1E029A" w:rsidR="00DF4A83" w:rsidRPr="00CE6453" w:rsidRDefault="00DF4A83"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0B2594C6" w14:textId="3710924B" w:rsidR="00DF4A83" w:rsidRPr="00CE6453" w:rsidRDefault="00DF4A83" w:rsidP="00276AE9">
            <w:pPr>
              <w:pStyle w:val="ab"/>
              <w:ind w:left="199" w:firstLineChars="0" w:firstLine="0"/>
              <w:jc w:val="center"/>
              <w:rPr>
                <w:rFonts w:ascii="Times New Roman"/>
                <w:szCs w:val="21"/>
              </w:rPr>
            </w:pPr>
            <w:r w:rsidRPr="00CE6453">
              <w:rPr>
                <w:rFonts w:ascii="Times New Roman" w:hint="eastAsia"/>
                <w:szCs w:val="21"/>
              </w:rPr>
              <w:t>已修改</w:t>
            </w:r>
          </w:p>
        </w:tc>
      </w:tr>
      <w:tr w:rsidR="00DF4A83" w:rsidRPr="00CE6453" w14:paraId="6E8C4CF0" w14:textId="77777777" w:rsidTr="00CC24BA">
        <w:trPr>
          <w:cantSplit/>
          <w:jc w:val="center"/>
        </w:trPr>
        <w:tc>
          <w:tcPr>
            <w:tcW w:w="675" w:type="dxa"/>
            <w:vAlign w:val="center"/>
          </w:tcPr>
          <w:p w14:paraId="2EF597BB" w14:textId="77777777" w:rsidR="00DF4A83" w:rsidRPr="00CE6453" w:rsidRDefault="00DF4A83"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3</w:t>
            </w:r>
          </w:p>
        </w:tc>
        <w:tc>
          <w:tcPr>
            <w:tcW w:w="1134" w:type="dxa"/>
            <w:vAlign w:val="center"/>
          </w:tcPr>
          <w:p w14:paraId="1ECAA3D9" w14:textId="3BB3D812" w:rsidR="00DF4A83" w:rsidRPr="00CE6453" w:rsidRDefault="00DF4A83" w:rsidP="00276AE9">
            <w:pPr>
              <w:jc w:val="center"/>
              <w:rPr>
                <w:rFonts w:ascii="Times New Roman"/>
                <w:szCs w:val="21"/>
              </w:rPr>
            </w:pPr>
            <w:r w:rsidRPr="00CE6453">
              <w:rPr>
                <w:rFonts w:ascii="Times New Roman" w:hint="eastAsia"/>
                <w:szCs w:val="21"/>
              </w:rPr>
              <w:t>6.3.3</w:t>
            </w:r>
          </w:p>
        </w:tc>
        <w:tc>
          <w:tcPr>
            <w:tcW w:w="6285" w:type="dxa"/>
            <w:vAlign w:val="center"/>
          </w:tcPr>
          <w:p w14:paraId="5EFC772C" w14:textId="0D568971" w:rsidR="00DF4A83" w:rsidRPr="00CE6453" w:rsidRDefault="00DF4A83" w:rsidP="00276AE9">
            <w:pPr>
              <w:spacing w:line="360" w:lineRule="auto"/>
              <w:jc w:val="center"/>
              <w:rPr>
                <w:rFonts w:ascii="Times New Roman"/>
                <w:szCs w:val="21"/>
              </w:rPr>
            </w:pPr>
            <w:r w:rsidRPr="00CE6453">
              <w:rPr>
                <w:rFonts w:hint="eastAsia"/>
                <w:szCs w:val="21"/>
              </w:rPr>
              <w:t>根据《</w:t>
            </w:r>
            <w:r w:rsidRPr="00CE6453">
              <w:rPr>
                <w:rFonts w:ascii="Times New Roman" w:hAnsi="Times New Roman" w:cs="Times New Roman"/>
                <w:szCs w:val="21"/>
              </w:rPr>
              <w:t>GB25323-2023</w:t>
            </w:r>
            <w:r w:rsidRPr="00CE6453">
              <w:rPr>
                <w:rFonts w:hint="eastAsia"/>
                <w:szCs w:val="21"/>
              </w:rPr>
              <w:t>有色重金属冶炼企业单位产品能源消耗限额》划分，氧化锌回收系统</w:t>
            </w:r>
            <w:proofErr w:type="gramStart"/>
            <w:r w:rsidRPr="00CE6453">
              <w:rPr>
                <w:rFonts w:hint="eastAsia"/>
                <w:szCs w:val="21"/>
              </w:rPr>
              <w:t>归属为锌冶炼</w:t>
            </w:r>
            <w:proofErr w:type="gramEnd"/>
            <w:r w:rsidRPr="00CE6453">
              <w:rPr>
                <w:rFonts w:hint="eastAsia"/>
                <w:szCs w:val="21"/>
              </w:rPr>
              <w:t>企业，建议对铅锌联合企业同一工序两边都可划分的企业按照限额计算边界进行划分，以便标准的对标。</w:t>
            </w:r>
          </w:p>
        </w:tc>
        <w:tc>
          <w:tcPr>
            <w:tcW w:w="2551" w:type="dxa"/>
            <w:vAlign w:val="center"/>
          </w:tcPr>
          <w:p w14:paraId="1674CDCB" w14:textId="4BE37011" w:rsidR="00DF4A83" w:rsidRPr="00CE6453" w:rsidRDefault="00DF4A83" w:rsidP="00276AE9">
            <w:pPr>
              <w:spacing w:line="360" w:lineRule="auto"/>
              <w:jc w:val="center"/>
              <w:rPr>
                <w:rFonts w:ascii="Times New Roman"/>
                <w:szCs w:val="21"/>
              </w:rPr>
            </w:pPr>
            <w:r w:rsidRPr="00CE6453">
              <w:rPr>
                <w:rFonts w:ascii="Times New Roman" w:hint="eastAsia"/>
                <w:szCs w:val="21"/>
              </w:rPr>
              <w:t>云南驰宏锌锗股份有限公司会泽冶炼分公司</w:t>
            </w:r>
          </w:p>
        </w:tc>
        <w:tc>
          <w:tcPr>
            <w:tcW w:w="1276" w:type="dxa"/>
            <w:vAlign w:val="center"/>
          </w:tcPr>
          <w:p w14:paraId="1A07B36C" w14:textId="3F8B94BC" w:rsidR="00DF4A83" w:rsidRPr="00CE6453" w:rsidRDefault="00DF4A83" w:rsidP="00276AE9">
            <w:pPr>
              <w:spacing w:line="360" w:lineRule="auto"/>
              <w:jc w:val="center"/>
              <w:rPr>
                <w:rFonts w:ascii="Times New Roman"/>
                <w:szCs w:val="21"/>
              </w:rPr>
            </w:pPr>
            <w:r w:rsidRPr="00CE6453">
              <w:rPr>
                <w:rFonts w:hint="eastAsia"/>
                <w:szCs w:val="21"/>
              </w:rPr>
              <w:t>未采纳</w:t>
            </w:r>
          </w:p>
        </w:tc>
        <w:tc>
          <w:tcPr>
            <w:tcW w:w="2914" w:type="dxa"/>
            <w:vAlign w:val="center"/>
          </w:tcPr>
          <w:p w14:paraId="347B056F" w14:textId="4AE3A868" w:rsidR="00DF4A83" w:rsidRPr="00CE6453" w:rsidRDefault="00DF4A83" w:rsidP="00276AE9">
            <w:pPr>
              <w:spacing w:line="360" w:lineRule="auto"/>
              <w:jc w:val="center"/>
              <w:rPr>
                <w:rFonts w:ascii="Times New Roman"/>
                <w:szCs w:val="21"/>
              </w:rPr>
            </w:pPr>
            <w:r w:rsidRPr="00CE6453">
              <w:rPr>
                <w:rFonts w:hint="eastAsia"/>
                <w:szCs w:val="21"/>
              </w:rPr>
              <w:t>氧化锌回收系统无标准，针对铅冶炼企业，此工序部分仅核算数据，行业内比对</w:t>
            </w:r>
          </w:p>
        </w:tc>
      </w:tr>
      <w:tr w:rsidR="00AA4A38" w:rsidRPr="00CE6453" w14:paraId="6D79B3FC" w14:textId="77777777" w:rsidTr="00CC24BA">
        <w:trPr>
          <w:cantSplit/>
          <w:jc w:val="center"/>
        </w:trPr>
        <w:tc>
          <w:tcPr>
            <w:tcW w:w="675" w:type="dxa"/>
            <w:vAlign w:val="center"/>
          </w:tcPr>
          <w:p w14:paraId="17707652"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4</w:t>
            </w:r>
          </w:p>
        </w:tc>
        <w:tc>
          <w:tcPr>
            <w:tcW w:w="1134" w:type="dxa"/>
            <w:vAlign w:val="center"/>
          </w:tcPr>
          <w:p w14:paraId="5077E741" w14:textId="71B9AAA6" w:rsidR="00AA4A38" w:rsidRPr="00CE6453" w:rsidRDefault="00AA4A38" w:rsidP="00276AE9">
            <w:pPr>
              <w:jc w:val="center"/>
              <w:rPr>
                <w:rFonts w:ascii="Times New Roman"/>
                <w:szCs w:val="21"/>
              </w:rPr>
            </w:pPr>
            <w:r w:rsidRPr="00CE6453">
              <w:rPr>
                <w:rFonts w:ascii="Calibri" w:hAnsi="Calibri" w:cs="Calibri"/>
                <w:szCs w:val="21"/>
              </w:rPr>
              <w:t>6.1.1</w:t>
            </w:r>
          </w:p>
        </w:tc>
        <w:tc>
          <w:tcPr>
            <w:tcW w:w="6285" w:type="dxa"/>
            <w:vAlign w:val="center"/>
          </w:tcPr>
          <w:p w14:paraId="22EF7CAF" w14:textId="7AD4A760" w:rsidR="00AA4A38" w:rsidRPr="00CE6453" w:rsidRDefault="00AA4A38" w:rsidP="00276AE9">
            <w:pPr>
              <w:spacing w:line="360" w:lineRule="auto"/>
              <w:jc w:val="center"/>
              <w:rPr>
                <w:rFonts w:ascii="Times New Roman"/>
                <w:szCs w:val="21"/>
              </w:rPr>
            </w:pPr>
            <w:r w:rsidRPr="00CE6453">
              <w:rPr>
                <w:rFonts w:cs="Calibri" w:hint="eastAsia"/>
                <w:szCs w:val="21"/>
              </w:rPr>
              <w:t>生产系统、辅助工程系统、公用系统建议修改为生产系统、辅助生产系统、附属生产系统</w:t>
            </w:r>
            <w:r w:rsidRPr="00CE6453">
              <w:rPr>
                <w:rFonts w:ascii="Calibri" w:hAnsi="Calibri" w:cs="Calibri"/>
                <w:szCs w:val="21"/>
              </w:rPr>
              <w:t>(</w:t>
            </w:r>
            <w:r w:rsidRPr="00CE6453">
              <w:rPr>
                <w:rFonts w:cs="Calibri" w:hint="eastAsia"/>
                <w:szCs w:val="21"/>
              </w:rPr>
              <w:t>与有色重金属</w:t>
            </w:r>
            <w:proofErr w:type="gramStart"/>
            <w:r w:rsidRPr="00CE6453">
              <w:rPr>
                <w:rFonts w:cs="Calibri" w:hint="eastAsia"/>
                <w:szCs w:val="21"/>
              </w:rPr>
              <w:t>治炼</w:t>
            </w:r>
            <w:proofErr w:type="gramEnd"/>
            <w:r w:rsidRPr="00CE6453">
              <w:rPr>
                <w:rFonts w:cs="Calibri" w:hint="eastAsia"/>
                <w:szCs w:val="21"/>
              </w:rPr>
              <w:t>企业单位产品能源消耗限额一致</w:t>
            </w:r>
            <w:r w:rsidRPr="00CE6453">
              <w:rPr>
                <w:rFonts w:ascii="Calibri" w:hAnsi="Calibri" w:cs="Calibri"/>
                <w:szCs w:val="21"/>
              </w:rPr>
              <w:t>)</w:t>
            </w:r>
            <w:r w:rsidRPr="00CE6453">
              <w:rPr>
                <w:rFonts w:cs="Calibri" w:hint="eastAsia"/>
                <w:szCs w:val="21"/>
              </w:rPr>
              <w:t>。</w:t>
            </w:r>
          </w:p>
        </w:tc>
        <w:tc>
          <w:tcPr>
            <w:tcW w:w="2551" w:type="dxa"/>
            <w:vAlign w:val="center"/>
          </w:tcPr>
          <w:p w14:paraId="588F17C5" w14:textId="4B260A08"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蒙自矿冶有限责任公司</w:t>
            </w:r>
          </w:p>
        </w:tc>
        <w:tc>
          <w:tcPr>
            <w:tcW w:w="1276" w:type="dxa"/>
            <w:vAlign w:val="center"/>
          </w:tcPr>
          <w:p w14:paraId="048FC460" w14:textId="0D5BAE00"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1A6D4841" w14:textId="112EE85B" w:rsidR="00AA4A38" w:rsidRPr="00CE6453" w:rsidRDefault="00AA4A38" w:rsidP="00276AE9">
            <w:pPr>
              <w:spacing w:line="360" w:lineRule="auto"/>
              <w:jc w:val="center"/>
              <w:rPr>
                <w:rFonts w:ascii="Times New Roman"/>
                <w:szCs w:val="21"/>
              </w:rPr>
            </w:pPr>
            <w:r w:rsidRPr="00CE6453">
              <w:rPr>
                <w:rFonts w:ascii="Times New Roman" w:hint="eastAsia"/>
                <w:szCs w:val="21"/>
              </w:rPr>
              <w:t>已修改</w:t>
            </w:r>
          </w:p>
        </w:tc>
      </w:tr>
      <w:tr w:rsidR="00AA4A38" w:rsidRPr="00CE6453" w14:paraId="27AD4ED6" w14:textId="77777777" w:rsidTr="00CC24BA">
        <w:trPr>
          <w:cantSplit/>
          <w:jc w:val="center"/>
        </w:trPr>
        <w:tc>
          <w:tcPr>
            <w:tcW w:w="675" w:type="dxa"/>
            <w:vAlign w:val="center"/>
          </w:tcPr>
          <w:p w14:paraId="70FACA99"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lastRenderedPageBreak/>
              <w:t>5</w:t>
            </w:r>
          </w:p>
        </w:tc>
        <w:tc>
          <w:tcPr>
            <w:tcW w:w="1134" w:type="dxa"/>
            <w:vAlign w:val="center"/>
          </w:tcPr>
          <w:p w14:paraId="603B39C1" w14:textId="13EEBB4E" w:rsidR="00AA4A38" w:rsidRPr="00CE6453" w:rsidRDefault="00AA4A38" w:rsidP="00276AE9">
            <w:pPr>
              <w:jc w:val="center"/>
              <w:rPr>
                <w:rFonts w:ascii="Times New Roman"/>
                <w:szCs w:val="21"/>
              </w:rPr>
            </w:pPr>
            <w:r w:rsidRPr="00CE6453">
              <w:rPr>
                <w:rFonts w:hint="eastAsia"/>
                <w:szCs w:val="21"/>
              </w:rPr>
              <w:t>6.1.1</w:t>
            </w:r>
          </w:p>
        </w:tc>
        <w:tc>
          <w:tcPr>
            <w:tcW w:w="6285" w:type="dxa"/>
            <w:vAlign w:val="center"/>
          </w:tcPr>
          <w:p w14:paraId="5B2389C9" w14:textId="006462C5" w:rsidR="00AA4A38" w:rsidRPr="00CE6453" w:rsidRDefault="00AA4A38" w:rsidP="00276AE9">
            <w:pPr>
              <w:spacing w:line="360" w:lineRule="auto"/>
              <w:jc w:val="center"/>
              <w:rPr>
                <w:rFonts w:ascii="Times New Roman"/>
                <w:szCs w:val="21"/>
              </w:rPr>
            </w:pPr>
            <w:r w:rsidRPr="00CE6453">
              <w:rPr>
                <w:rFonts w:hint="eastAsia"/>
                <w:szCs w:val="21"/>
              </w:rPr>
              <w:t>铜浮渣处理系统、氧化锌回收系统无能源消耗指标，无法通过标准对照法、类比分析法诊断</w:t>
            </w:r>
            <w:r w:rsidRPr="00CE6453">
              <w:rPr>
                <w:rFonts w:hint="eastAsia"/>
                <w:szCs w:val="21"/>
              </w:rPr>
              <w:t>:</w:t>
            </w:r>
            <w:r w:rsidRPr="00CE6453">
              <w:rPr>
                <w:rFonts w:hint="eastAsia"/>
                <w:szCs w:val="21"/>
              </w:rPr>
              <w:t>且铜浮渣处理系统边界及范围不明确</w:t>
            </w:r>
            <w:r w:rsidRPr="00CE6453">
              <w:rPr>
                <w:rFonts w:hint="eastAsia"/>
                <w:szCs w:val="21"/>
              </w:rPr>
              <w:t>(</w:t>
            </w:r>
            <w:r w:rsidRPr="00CE6453">
              <w:rPr>
                <w:rFonts w:hint="eastAsia"/>
                <w:szCs w:val="21"/>
              </w:rPr>
              <w:t>冰铜、粗铜</w:t>
            </w:r>
            <w:r w:rsidRPr="00CE6453">
              <w:rPr>
                <w:rFonts w:hint="eastAsia"/>
                <w:szCs w:val="21"/>
              </w:rPr>
              <w:t>)</w:t>
            </w:r>
            <w:r w:rsidRPr="00CE6453">
              <w:rPr>
                <w:rFonts w:hint="eastAsia"/>
                <w:szCs w:val="21"/>
              </w:rPr>
              <w:t>。</w:t>
            </w:r>
          </w:p>
        </w:tc>
        <w:tc>
          <w:tcPr>
            <w:tcW w:w="2551" w:type="dxa"/>
            <w:vAlign w:val="center"/>
          </w:tcPr>
          <w:p w14:paraId="7D69DAB4" w14:textId="4545B2D8"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蒙自矿冶有限责任公司</w:t>
            </w:r>
          </w:p>
        </w:tc>
        <w:tc>
          <w:tcPr>
            <w:tcW w:w="1276" w:type="dxa"/>
            <w:vAlign w:val="center"/>
          </w:tcPr>
          <w:p w14:paraId="60F820CD" w14:textId="57AAFA5A"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2A0F4A97" w14:textId="7429CBB6" w:rsidR="00AA4A38" w:rsidRPr="00CE6453" w:rsidRDefault="00AA4A38" w:rsidP="00276AE9">
            <w:pPr>
              <w:spacing w:line="360" w:lineRule="auto"/>
              <w:jc w:val="center"/>
              <w:rPr>
                <w:rFonts w:ascii="Times New Roman"/>
                <w:szCs w:val="21"/>
              </w:rPr>
            </w:pPr>
            <w:r w:rsidRPr="00CE6453">
              <w:rPr>
                <w:rFonts w:ascii="Times New Roman" w:hint="eastAsia"/>
                <w:szCs w:val="21"/>
              </w:rPr>
              <w:t>已修改</w:t>
            </w:r>
          </w:p>
        </w:tc>
      </w:tr>
      <w:tr w:rsidR="00AA4A38" w:rsidRPr="00CE6453" w14:paraId="3ABC0F70" w14:textId="77777777" w:rsidTr="00CC24BA">
        <w:trPr>
          <w:cantSplit/>
          <w:jc w:val="center"/>
        </w:trPr>
        <w:tc>
          <w:tcPr>
            <w:tcW w:w="675" w:type="dxa"/>
            <w:vAlign w:val="center"/>
          </w:tcPr>
          <w:p w14:paraId="3EB62243"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6</w:t>
            </w:r>
          </w:p>
        </w:tc>
        <w:tc>
          <w:tcPr>
            <w:tcW w:w="1134" w:type="dxa"/>
            <w:vAlign w:val="center"/>
          </w:tcPr>
          <w:p w14:paraId="6C4D38DB" w14:textId="7777B06A" w:rsidR="00AA4A38" w:rsidRPr="00CE6453" w:rsidRDefault="00AA4A38" w:rsidP="00276AE9">
            <w:pPr>
              <w:jc w:val="center"/>
              <w:rPr>
                <w:rFonts w:ascii="Times New Roman"/>
                <w:szCs w:val="21"/>
              </w:rPr>
            </w:pPr>
            <w:r w:rsidRPr="00CE6453">
              <w:rPr>
                <w:rFonts w:hint="eastAsia"/>
                <w:szCs w:val="21"/>
              </w:rPr>
              <w:t>6.3</w:t>
            </w:r>
            <w:r w:rsidRPr="00CE6453">
              <w:rPr>
                <w:rFonts w:hint="eastAsia"/>
                <w:szCs w:val="21"/>
              </w:rPr>
              <w:t>、</w:t>
            </w:r>
            <w:r w:rsidRPr="00CE6453">
              <w:rPr>
                <w:rFonts w:hint="eastAsia"/>
                <w:szCs w:val="21"/>
              </w:rPr>
              <w:t>6.4</w:t>
            </w:r>
          </w:p>
        </w:tc>
        <w:tc>
          <w:tcPr>
            <w:tcW w:w="6285" w:type="dxa"/>
            <w:vAlign w:val="center"/>
          </w:tcPr>
          <w:p w14:paraId="698B2590" w14:textId="349D80F0" w:rsidR="00AA4A38" w:rsidRPr="00CE6453" w:rsidRDefault="00AA4A38" w:rsidP="00276AE9">
            <w:pPr>
              <w:spacing w:line="360" w:lineRule="auto"/>
              <w:jc w:val="center"/>
              <w:rPr>
                <w:rFonts w:ascii="Times New Roman"/>
                <w:szCs w:val="21"/>
              </w:rPr>
            </w:pPr>
            <w:r w:rsidRPr="00CE6453">
              <w:rPr>
                <w:rFonts w:hint="eastAsia"/>
                <w:szCs w:val="21"/>
              </w:rPr>
              <w:t xml:space="preserve">6.3 </w:t>
            </w:r>
            <w:r w:rsidRPr="00CE6453">
              <w:rPr>
                <w:rFonts w:hint="eastAsia"/>
                <w:szCs w:val="21"/>
              </w:rPr>
              <w:t>重要生产系统各点分析了水、电、气等</w:t>
            </w:r>
            <w:r w:rsidRPr="00CE6453">
              <w:rPr>
                <w:rFonts w:hint="eastAsia"/>
                <w:szCs w:val="21"/>
              </w:rPr>
              <w:t xml:space="preserve">; 6.4 </w:t>
            </w:r>
            <w:r w:rsidRPr="00CE6453">
              <w:rPr>
                <w:rFonts w:hint="eastAsia"/>
                <w:szCs w:val="21"/>
              </w:rPr>
              <w:t>公用辅助系统也分析了水、电、气等，是否存在重复。</w:t>
            </w:r>
          </w:p>
        </w:tc>
        <w:tc>
          <w:tcPr>
            <w:tcW w:w="2551" w:type="dxa"/>
            <w:vAlign w:val="center"/>
          </w:tcPr>
          <w:p w14:paraId="1A2CF6D5" w14:textId="51D9ACA3"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蒙自矿冶有限责任公司</w:t>
            </w:r>
          </w:p>
        </w:tc>
        <w:tc>
          <w:tcPr>
            <w:tcW w:w="1276" w:type="dxa"/>
            <w:vAlign w:val="center"/>
          </w:tcPr>
          <w:p w14:paraId="4A0603F9" w14:textId="4D01D682" w:rsidR="00AA4A38" w:rsidRPr="00CE6453" w:rsidRDefault="00AA4A38" w:rsidP="00276AE9">
            <w:pPr>
              <w:spacing w:line="360" w:lineRule="auto"/>
              <w:jc w:val="center"/>
              <w:rPr>
                <w:rFonts w:ascii="Times New Roman"/>
                <w:szCs w:val="21"/>
              </w:rPr>
            </w:pPr>
            <w:r w:rsidRPr="00CE6453">
              <w:rPr>
                <w:rFonts w:hint="eastAsia"/>
                <w:szCs w:val="21"/>
              </w:rPr>
              <w:t>部分采纳</w:t>
            </w:r>
          </w:p>
        </w:tc>
        <w:tc>
          <w:tcPr>
            <w:tcW w:w="2914" w:type="dxa"/>
            <w:vAlign w:val="center"/>
          </w:tcPr>
          <w:p w14:paraId="63D342F1" w14:textId="3BCD3C84" w:rsidR="00AA4A38" w:rsidRPr="00CE6453" w:rsidRDefault="00AA4A38" w:rsidP="00276AE9">
            <w:pPr>
              <w:spacing w:line="360" w:lineRule="auto"/>
              <w:jc w:val="center"/>
              <w:rPr>
                <w:rFonts w:ascii="Times New Roman"/>
                <w:szCs w:val="21"/>
              </w:rPr>
            </w:pPr>
            <w:r w:rsidRPr="00CE6453">
              <w:rPr>
                <w:rFonts w:ascii="Times New Roman" w:hint="eastAsia"/>
                <w:szCs w:val="21"/>
              </w:rPr>
              <w:t>已修改</w:t>
            </w:r>
          </w:p>
        </w:tc>
      </w:tr>
      <w:tr w:rsidR="00AA4A38" w:rsidRPr="00CE6453" w14:paraId="77B304F9" w14:textId="77777777" w:rsidTr="00CC24BA">
        <w:trPr>
          <w:cantSplit/>
          <w:jc w:val="center"/>
        </w:trPr>
        <w:tc>
          <w:tcPr>
            <w:tcW w:w="675" w:type="dxa"/>
            <w:vAlign w:val="center"/>
          </w:tcPr>
          <w:p w14:paraId="5BA90724"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7</w:t>
            </w:r>
          </w:p>
        </w:tc>
        <w:tc>
          <w:tcPr>
            <w:tcW w:w="1134" w:type="dxa"/>
            <w:vAlign w:val="center"/>
          </w:tcPr>
          <w:p w14:paraId="7E83C68B" w14:textId="09538DD4" w:rsidR="00AA4A38" w:rsidRPr="00CE6453" w:rsidRDefault="00AA4A38" w:rsidP="00276AE9">
            <w:pPr>
              <w:jc w:val="center"/>
              <w:rPr>
                <w:rFonts w:ascii="Times New Roman"/>
                <w:szCs w:val="21"/>
              </w:rPr>
            </w:pPr>
            <w:r w:rsidRPr="00CE6453">
              <w:rPr>
                <w:rFonts w:hint="eastAsia"/>
                <w:szCs w:val="21"/>
              </w:rPr>
              <w:t>6.4.8</w:t>
            </w:r>
          </w:p>
        </w:tc>
        <w:tc>
          <w:tcPr>
            <w:tcW w:w="6285" w:type="dxa"/>
            <w:vAlign w:val="center"/>
          </w:tcPr>
          <w:p w14:paraId="2064B3DD" w14:textId="4B4543DD" w:rsidR="00AA4A38" w:rsidRPr="00CE6453" w:rsidRDefault="00AA4A38" w:rsidP="00276AE9">
            <w:pPr>
              <w:spacing w:line="360" w:lineRule="auto"/>
              <w:jc w:val="center"/>
              <w:rPr>
                <w:rFonts w:ascii="Times New Roman"/>
                <w:szCs w:val="21"/>
              </w:rPr>
            </w:pPr>
            <w:r w:rsidRPr="00CE6453">
              <w:rPr>
                <w:rFonts w:hint="eastAsia"/>
                <w:szCs w:val="21"/>
              </w:rPr>
              <w:t>通风机、鼓风机等一般是生产系统设备；建议完善生产系统、辅助工程系统、公用系统划分。</w:t>
            </w:r>
          </w:p>
        </w:tc>
        <w:tc>
          <w:tcPr>
            <w:tcW w:w="2551" w:type="dxa"/>
            <w:vAlign w:val="center"/>
          </w:tcPr>
          <w:p w14:paraId="5254F861" w14:textId="07DA5FE0"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蒙自矿冶有限责任公司</w:t>
            </w:r>
          </w:p>
        </w:tc>
        <w:tc>
          <w:tcPr>
            <w:tcW w:w="1276" w:type="dxa"/>
            <w:vAlign w:val="center"/>
          </w:tcPr>
          <w:p w14:paraId="20C98BF0" w14:textId="1EA890FB" w:rsidR="00AA4A38" w:rsidRPr="00CE6453" w:rsidRDefault="00AA4A38" w:rsidP="00276AE9">
            <w:pPr>
              <w:spacing w:line="360" w:lineRule="auto"/>
              <w:jc w:val="center"/>
              <w:rPr>
                <w:rFonts w:ascii="Times New Roman"/>
                <w:szCs w:val="21"/>
              </w:rPr>
            </w:pPr>
            <w:r w:rsidRPr="00CE6453">
              <w:rPr>
                <w:rFonts w:hint="eastAsia"/>
                <w:szCs w:val="21"/>
              </w:rPr>
              <w:t>未采纳</w:t>
            </w:r>
          </w:p>
        </w:tc>
        <w:tc>
          <w:tcPr>
            <w:tcW w:w="2914" w:type="dxa"/>
            <w:vAlign w:val="center"/>
          </w:tcPr>
          <w:p w14:paraId="6F0A42D6" w14:textId="68D0E6BF" w:rsidR="00AA4A38" w:rsidRPr="00CE6453" w:rsidRDefault="00AA4A38" w:rsidP="00276AE9">
            <w:pPr>
              <w:spacing w:line="360" w:lineRule="auto"/>
              <w:jc w:val="center"/>
              <w:rPr>
                <w:rFonts w:ascii="Times New Roman"/>
                <w:szCs w:val="21"/>
              </w:rPr>
            </w:pPr>
            <w:proofErr w:type="gramStart"/>
            <w:r w:rsidRPr="00CE6453">
              <w:rPr>
                <w:rFonts w:ascii="Times New Roman" w:hint="eastAsia"/>
                <w:szCs w:val="21"/>
              </w:rPr>
              <w:t>供风系统</w:t>
            </w:r>
            <w:proofErr w:type="gramEnd"/>
            <w:r w:rsidRPr="00CE6453">
              <w:rPr>
                <w:rFonts w:ascii="Times New Roman" w:hint="eastAsia"/>
                <w:szCs w:val="21"/>
              </w:rPr>
              <w:t>划入辅助生产系统。</w:t>
            </w:r>
            <w:r w:rsidRPr="00CE6453">
              <w:rPr>
                <w:rFonts w:ascii="Times New Roman" w:hint="eastAsia"/>
                <w:szCs w:val="21"/>
              </w:rPr>
              <w:t xml:space="preserve"> </w:t>
            </w:r>
          </w:p>
        </w:tc>
      </w:tr>
      <w:tr w:rsidR="00AA4A38" w:rsidRPr="00CE6453" w14:paraId="212DC7B4" w14:textId="77777777" w:rsidTr="00CC24BA">
        <w:trPr>
          <w:cantSplit/>
          <w:jc w:val="center"/>
        </w:trPr>
        <w:tc>
          <w:tcPr>
            <w:tcW w:w="675" w:type="dxa"/>
            <w:vAlign w:val="center"/>
          </w:tcPr>
          <w:p w14:paraId="29D2C0C4"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8</w:t>
            </w:r>
          </w:p>
        </w:tc>
        <w:tc>
          <w:tcPr>
            <w:tcW w:w="1134" w:type="dxa"/>
            <w:vAlign w:val="center"/>
          </w:tcPr>
          <w:p w14:paraId="1539DFDF" w14:textId="43255444" w:rsidR="00AA4A38" w:rsidRPr="00CE6453" w:rsidRDefault="00AA4A38" w:rsidP="00276AE9">
            <w:pPr>
              <w:jc w:val="center"/>
              <w:rPr>
                <w:rFonts w:ascii="Times New Roman"/>
                <w:szCs w:val="21"/>
              </w:rPr>
            </w:pPr>
            <w:r w:rsidRPr="00CE6453">
              <w:rPr>
                <w:rFonts w:ascii="Times New Roman" w:hAnsi="Times New Roman" w:cs="Times New Roman" w:hint="eastAsia"/>
                <w:szCs w:val="21"/>
              </w:rPr>
              <w:t>编制说明</w:t>
            </w:r>
          </w:p>
        </w:tc>
        <w:tc>
          <w:tcPr>
            <w:tcW w:w="6285" w:type="dxa"/>
            <w:vAlign w:val="center"/>
          </w:tcPr>
          <w:p w14:paraId="684E181F" w14:textId="504F67AD" w:rsidR="00AA4A38" w:rsidRPr="00CE6453" w:rsidRDefault="00AA4A38" w:rsidP="00CC24BA">
            <w:pPr>
              <w:spacing w:line="360" w:lineRule="auto"/>
              <w:jc w:val="center"/>
              <w:rPr>
                <w:rFonts w:ascii="Times New Roman"/>
                <w:szCs w:val="21"/>
              </w:rPr>
            </w:pPr>
            <w:r w:rsidRPr="00CE6453">
              <w:rPr>
                <w:rFonts w:hint="eastAsia"/>
                <w:szCs w:val="21"/>
              </w:rPr>
              <w:t>征求意见稿、编制说明稿中矿产铅、原生铅、</w:t>
            </w:r>
            <w:proofErr w:type="gramStart"/>
            <w:r w:rsidRPr="00CE6453">
              <w:rPr>
                <w:rFonts w:hint="eastAsia"/>
                <w:szCs w:val="21"/>
              </w:rPr>
              <w:t>原铅概念</w:t>
            </w:r>
            <w:proofErr w:type="gramEnd"/>
            <w:r w:rsidRPr="00CE6453">
              <w:rPr>
                <w:rFonts w:hint="eastAsia"/>
                <w:szCs w:val="21"/>
              </w:rPr>
              <w:t>较多，建议统一。</w:t>
            </w:r>
          </w:p>
        </w:tc>
        <w:tc>
          <w:tcPr>
            <w:tcW w:w="2551" w:type="dxa"/>
            <w:vAlign w:val="center"/>
          </w:tcPr>
          <w:p w14:paraId="17003A40" w14:textId="432BBA45"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蒙自矿冶有限责任公司</w:t>
            </w:r>
          </w:p>
        </w:tc>
        <w:tc>
          <w:tcPr>
            <w:tcW w:w="1276" w:type="dxa"/>
            <w:vAlign w:val="center"/>
          </w:tcPr>
          <w:p w14:paraId="7EC76CAF" w14:textId="2E40BD04"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43A161B2" w14:textId="0C7E8587" w:rsidR="00AA4A38" w:rsidRPr="00CE6453" w:rsidRDefault="00AA4A38" w:rsidP="00276AE9">
            <w:pPr>
              <w:spacing w:line="360" w:lineRule="auto"/>
              <w:jc w:val="center"/>
              <w:rPr>
                <w:rFonts w:ascii="Times New Roman"/>
                <w:szCs w:val="21"/>
              </w:rPr>
            </w:pPr>
            <w:r w:rsidRPr="00CE6453">
              <w:rPr>
                <w:rFonts w:hint="eastAsia"/>
                <w:szCs w:val="21"/>
              </w:rPr>
              <w:t>编制说明进行调整</w:t>
            </w:r>
          </w:p>
        </w:tc>
      </w:tr>
      <w:tr w:rsidR="00AA4A38" w:rsidRPr="00CE6453" w14:paraId="0D94B10E" w14:textId="77777777" w:rsidTr="00CC24BA">
        <w:trPr>
          <w:cantSplit/>
          <w:jc w:val="center"/>
        </w:trPr>
        <w:tc>
          <w:tcPr>
            <w:tcW w:w="675" w:type="dxa"/>
            <w:vAlign w:val="center"/>
          </w:tcPr>
          <w:p w14:paraId="7452F64A"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9</w:t>
            </w:r>
          </w:p>
        </w:tc>
        <w:tc>
          <w:tcPr>
            <w:tcW w:w="1134" w:type="dxa"/>
            <w:vAlign w:val="center"/>
          </w:tcPr>
          <w:p w14:paraId="2DBF740A" w14:textId="4AC7B070" w:rsidR="00AA4A38" w:rsidRPr="00CE6453" w:rsidRDefault="00AA4A38" w:rsidP="00276AE9">
            <w:pPr>
              <w:jc w:val="center"/>
              <w:rPr>
                <w:rFonts w:ascii="Times New Roman"/>
                <w:szCs w:val="21"/>
              </w:rPr>
            </w:pPr>
            <w:r w:rsidRPr="00CE6453">
              <w:rPr>
                <w:rFonts w:hint="eastAsia"/>
                <w:szCs w:val="21"/>
              </w:rPr>
              <w:t>编制说明</w:t>
            </w:r>
          </w:p>
        </w:tc>
        <w:tc>
          <w:tcPr>
            <w:tcW w:w="6285" w:type="dxa"/>
            <w:vAlign w:val="center"/>
          </w:tcPr>
          <w:p w14:paraId="24D3608D" w14:textId="4F95CC1C" w:rsidR="00AA4A38" w:rsidRPr="00CE6453" w:rsidRDefault="00AA4A38" w:rsidP="00276AE9">
            <w:pPr>
              <w:spacing w:line="360" w:lineRule="auto"/>
              <w:jc w:val="center"/>
              <w:rPr>
                <w:rFonts w:ascii="Times New Roman"/>
                <w:szCs w:val="21"/>
              </w:rPr>
            </w:pPr>
            <w:r w:rsidRPr="00CE6453">
              <w:rPr>
                <w:rFonts w:hint="eastAsia"/>
                <w:szCs w:val="21"/>
              </w:rPr>
              <w:t>P11</w:t>
            </w:r>
            <w:r w:rsidRPr="00CE6453">
              <w:rPr>
                <w:rFonts w:hint="eastAsia"/>
                <w:szCs w:val="21"/>
              </w:rPr>
              <w:t>，“图</w:t>
            </w:r>
            <w:r w:rsidRPr="00CE6453">
              <w:rPr>
                <w:rFonts w:hint="eastAsia"/>
                <w:szCs w:val="21"/>
              </w:rPr>
              <w:t>1</w:t>
            </w:r>
            <w:r w:rsidRPr="00CE6453">
              <w:rPr>
                <w:rFonts w:hint="eastAsia"/>
                <w:szCs w:val="21"/>
              </w:rPr>
              <w:t>原铅</w:t>
            </w:r>
            <w:proofErr w:type="gramStart"/>
            <w:r w:rsidRPr="00CE6453">
              <w:rPr>
                <w:rFonts w:hint="eastAsia"/>
                <w:szCs w:val="21"/>
              </w:rPr>
              <w:t>治炼</w:t>
            </w:r>
            <w:proofErr w:type="gramEnd"/>
            <w:r w:rsidRPr="00CE6453">
              <w:rPr>
                <w:rFonts w:hint="eastAsia"/>
                <w:szCs w:val="21"/>
              </w:rPr>
              <w:t>生产工艺流程”所示</w:t>
            </w:r>
            <w:r w:rsidRPr="00CE6453">
              <w:rPr>
                <w:rFonts w:hint="eastAsia"/>
                <w:szCs w:val="21"/>
              </w:rPr>
              <w:t xml:space="preserve">: </w:t>
            </w:r>
            <w:r w:rsidRPr="00CE6453">
              <w:rPr>
                <w:rFonts w:hint="eastAsia"/>
                <w:szCs w:val="21"/>
              </w:rPr>
              <w:t>还原工序及烟化工序产出粗铅送往初步火法精炼工序，建议修改为熔炼工序及还原工序产出粗铅送往初步火法精炼工序。</w:t>
            </w:r>
          </w:p>
        </w:tc>
        <w:tc>
          <w:tcPr>
            <w:tcW w:w="2551" w:type="dxa"/>
            <w:vAlign w:val="center"/>
          </w:tcPr>
          <w:p w14:paraId="5C2BCE8C" w14:textId="414840DD"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蒙自矿冶有限责任公司</w:t>
            </w:r>
          </w:p>
        </w:tc>
        <w:tc>
          <w:tcPr>
            <w:tcW w:w="1276" w:type="dxa"/>
            <w:vAlign w:val="center"/>
          </w:tcPr>
          <w:p w14:paraId="179FBC16" w14:textId="272A2E51"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65FF48B2" w14:textId="5A213F2C" w:rsidR="00AA4A38" w:rsidRPr="00CE6453" w:rsidRDefault="00AA4A38" w:rsidP="00276AE9">
            <w:pPr>
              <w:spacing w:line="360" w:lineRule="auto"/>
              <w:jc w:val="center"/>
              <w:rPr>
                <w:rFonts w:ascii="Times New Roman"/>
                <w:szCs w:val="21"/>
              </w:rPr>
            </w:pPr>
            <w:r w:rsidRPr="00CE6453">
              <w:rPr>
                <w:rFonts w:hint="eastAsia"/>
                <w:szCs w:val="21"/>
              </w:rPr>
              <w:t>已修改</w:t>
            </w:r>
          </w:p>
        </w:tc>
      </w:tr>
      <w:tr w:rsidR="00AA4A38" w:rsidRPr="00CE6453" w14:paraId="3A914460" w14:textId="77777777" w:rsidTr="00CC24BA">
        <w:trPr>
          <w:cantSplit/>
          <w:jc w:val="center"/>
        </w:trPr>
        <w:tc>
          <w:tcPr>
            <w:tcW w:w="675" w:type="dxa"/>
            <w:vAlign w:val="center"/>
          </w:tcPr>
          <w:p w14:paraId="1C591824"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10</w:t>
            </w:r>
          </w:p>
        </w:tc>
        <w:tc>
          <w:tcPr>
            <w:tcW w:w="1134" w:type="dxa"/>
            <w:vAlign w:val="center"/>
          </w:tcPr>
          <w:p w14:paraId="20FFDD72" w14:textId="28828794" w:rsidR="00AA4A38" w:rsidRPr="00CE6453" w:rsidRDefault="00AA4A38" w:rsidP="00276AE9">
            <w:pPr>
              <w:jc w:val="center"/>
              <w:rPr>
                <w:rFonts w:ascii="Times New Roman"/>
                <w:szCs w:val="21"/>
              </w:rPr>
            </w:pPr>
            <w:r w:rsidRPr="00CE6453">
              <w:rPr>
                <w:rFonts w:hint="eastAsia"/>
                <w:szCs w:val="21"/>
              </w:rPr>
              <w:t>编制说明</w:t>
            </w:r>
          </w:p>
        </w:tc>
        <w:tc>
          <w:tcPr>
            <w:tcW w:w="6285" w:type="dxa"/>
            <w:vAlign w:val="center"/>
          </w:tcPr>
          <w:p w14:paraId="12DF1304" w14:textId="0E0621E2" w:rsidR="00AA4A38" w:rsidRPr="00CE6453" w:rsidRDefault="00AA4A38" w:rsidP="00276AE9">
            <w:pPr>
              <w:spacing w:line="360" w:lineRule="auto"/>
              <w:jc w:val="center"/>
              <w:rPr>
                <w:rFonts w:ascii="Times New Roman"/>
                <w:szCs w:val="21"/>
              </w:rPr>
            </w:pPr>
            <w:r w:rsidRPr="00CE6453">
              <w:rPr>
                <w:rFonts w:hint="eastAsia"/>
                <w:szCs w:val="21"/>
              </w:rPr>
              <w:t>再生铅预处理工艺应诊断破碎、拆解、筛分、废酸处置等工艺过程和蒸汽、电、水等的消耗。</w:t>
            </w:r>
          </w:p>
        </w:tc>
        <w:tc>
          <w:tcPr>
            <w:tcW w:w="2551" w:type="dxa"/>
            <w:vAlign w:val="center"/>
          </w:tcPr>
          <w:p w14:paraId="12E94790" w14:textId="0C02DDFA" w:rsidR="00AA4A38" w:rsidRPr="00CE6453" w:rsidRDefault="00AA4A38" w:rsidP="00276AE9">
            <w:pPr>
              <w:spacing w:line="360" w:lineRule="auto"/>
              <w:jc w:val="center"/>
              <w:rPr>
                <w:rFonts w:ascii="Times New Roman"/>
                <w:szCs w:val="21"/>
              </w:rPr>
            </w:pPr>
            <w:r w:rsidRPr="00CE6453">
              <w:rPr>
                <w:rFonts w:hint="eastAsia"/>
                <w:szCs w:val="21"/>
              </w:rPr>
              <w:t>云南沙甸铅业股份有限公司</w:t>
            </w:r>
          </w:p>
        </w:tc>
        <w:tc>
          <w:tcPr>
            <w:tcW w:w="1276" w:type="dxa"/>
            <w:vAlign w:val="center"/>
          </w:tcPr>
          <w:p w14:paraId="1A6B2141" w14:textId="5D68F71B"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1AE76819" w14:textId="15056433" w:rsidR="00AA4A38" w:rsidRPr="00CE6453" w:rsidRDefault="00AA4A38" w:rsidP="00276AE9">
            <w:pPr>
              <w:spacing w:line="360" w:lineRule="auto"/>
              <w:jc w:val="center"/>
              <w:rPr>
                <w:rFonts w:ascii="Times New Roman"/>
                <w:szCs w:val="21"/>
              </w:rPr>
            </w:pPr>
            <w:r w:rsidRPr="00CE6453">
              <w:rPr>
                <w:rFonts w:ascii="Times New Roman" w:hint="eastAsia"/>
                <w:szCs w:val="21"/>
              </w:rPr>
              <w:t>已修改</w:t>
            </w:r>
          </w:p>
        </w:tc>
      </w:tr>
      <w:tr w:rsidR="00AA4A38" w:rsidRPr="00CE6453" w14:paraId="13BDE945" w14:textId="77777777" w:rsidTr="00CC24BA">
        <w:trPr>
          <w:cantSplit/>
          <w:jc w:val="center"/>
        </w:trPr>
        <w:tc>
          <w:tcPr>
            <w:tcW w:w="675" w:type="dxa"/>
            <w:vAlign w:val="center"/>
          </w:tcPr>
          <w:p w14:paraId="71F8E0AD"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11</w:t>
            </w:r>
          </w:p>
        </w:tc>
        <w:tc>
          <w:tcPr>
            <w:tcW w:w="1134" w:type="dxa"/>
            <w:vAlign w:val="center"/>
          </w:tcPr>
          <w:p w14:paraId="73D049D3" w14:textId="0E56F6A0" w:rsidR="00AA4A38" w:rsidRPr="00CE6453" w:rsidRDefault="00AA4A38" w:rsidP="00276AE9">
            <w:pPr>
              <w:jc w:val="center"/>
              <w:rPr>
                <w:rFonts w:ascii="Times New Roman"/>
                <w:szCs w:val="21"/>
              </w:rPr>
            </w:pPr>
            <w:r w:rsidRPr="00CE6453">
              <w:rPr>
                <w:rFonts w:hint="eastAsia"/>
                <w:szCs w:val="21"/>
              </w:rPr>
              <w:t>编制说明</w:t>
            </w:r>
          </w:p>
        </w:tc>
        <w:tc>
          <w:tcPr>
            <w:tcW w:w="6285" w:type="dxa"/>
            <w:vAlign w:val="center"/>
          </w:tcPr>
          <w:p w14:paraId="18AD22F5" w14:textId="69D31B90" w:rsidR="00AA4A38" w:rsidRPr="00CE6453" w:rsidRDefault="00AA4A38" w:rsidP="00276AE9">
            <w:pPr>
              <w:spacing w:line="360" w:lineRule="auto"/>
              <w:jc w:val="center"/>
              <w:rPr>
                <w:rFonts w:ascii="Times New Roman"/>
                <w:szCs w:val="21"/>
              </w:rPr>
            </w:pPr>
            <w:r w:rsidRPr="00CE6453">
              <w:rPr>
                <w:rFonts w:hint="eastAsia"/>
                <w:szCs w:val="21"/>
              </w:rPr>
              <w:t>再生铅粗铅冶炼系统应诊断粗铅冶炼工艺、熔炼炉及除杂工艺，以及燃料（煤、天然气）、碳质还原剂、电、水、压缩空气、氧气等的消耗。</w:t>
            </w:r>
          </w:p>
        </w:tc>
        <w:tc>
          <w:tcPr>
            <w:tcW w:w="2551" w:type="dxa"/>
            <w:vAlign w:val="center"/>
          </w:tcPr>
          <w:p w14:paraId="4522DBDB" w14:textId="2C49B3CE" w:rsidR="00AA4A38" w:rsidRPr="00CE6453" w:rsidRDefault="00AA4A38" w:rsidP="00276AE9">
            <w:pPr>
              <w:spacing w:line="360" w:lineRule="auto"/>
              <w:jc w:val="center"/>
              <w:rPr>
                <w:rFonts w:ascii="Times New Roman"/>
                <w:szCs w:val="21"/>
              </w:rPr>
            </w:pPr>
            <w:r w:rsidRPr="00CE6453">
              <w:rPr>
                <w:rFonts w:hint="eastAsia"/>
                <w:szCs w:val="21"/>
              </w:rPr>
              <w:t>云南沙甸铅业股份有限公司</w:t>
            </w:r>
          </w:p>
        </w:tc>
        <w:tc>
          <w:tcPr>
            <w:tcW w:w="1276" w:type="dxa"/>
            <w:vAlign w:val="center"/>
          </w:tcPr>
          <w:p w14:paraId="65594C01" w14:textId="2ECE1607"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2DC5AE56" w14:textId="4D0EEFA8" w:rsidR="00AA4A38" w:rsidRPr="00CE6453" w:rsidRDefault="00AA4A38" w:rsidP="00276AE9">
            <w:pPr>
              <w:spacing w:line="360" w:lineRule="auto"/>
              <w:jc w:val="center"/>
              <w:rPr>
                <w:rFonts w:ascii="Times New Roman"/>
                <w:szCs w:val="21"/>
              </w:rPr>
            </w:pPr>
            <w:r w:rsidRPr="00CE6453">
              <w:rPr>
                <w:rFonts w:ascii="Times New Roman" w:hint="eastAsia"/>
                <w:szCs w:val="21"/>
              </w:rPr>
              <w:t>已修改</w:t>
            </w:r>
          </w:p>
        </w:tc>
      </w:tr>
      <w:tr w:rsidR="00AA4A38" w:rsidRPr="00CE6453" w14:paraId="2244CAF2" w14:textId="77777777" w:rsidTr="00CC24BA">
        <w:trPr>
          <w:cantSplit/>
          <w:jc w:val="center"/>
        </w:trPr>
        <w:tc>
          <w:tcPr>
            <w:tcW w:w="675" w:type="dxa"/>
            <w:vAlign w:val="center"/>
          </w:tcPr>
          <w:p w14:paraId="77AAAF3D"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lastRenderedPageBreak/>
              <w:t>12</w:t>
            </w:r>
          </w:p>
        </w:tc>
        <w:tc>
          <w:tcPr>
            <w:tcW w:w="1134" w:type="dxa"/>
            <w:vAlign w:val="center"/>
          </w:tcPr>
          <w:p w14:paraId="6A11B9AF" w14:textId="747F5826" w:rsidR="00AA4A38" w:rsidRPr="00CE6453" w:rsidRDefault="00AA4A38" w:rsidP="00276AE9">
            <w:pPr>
              <w:jc w:val="center"/>
              <w:rPr>
                <w:rFonts w:ascii="Times New Roman"/>
                <w:szCs w:val="21"/>
              </w:rPr>
            </w:pPr>
            <w:r w:rsidRPr="00CE6453">
              <w:rPr>
                <w:rFonts w:hint="eastAsia"/>
                <w:szCs w:val="21"/>
              </w:rPr>
              <w:t>6.2.4</w:t>
            </w:r>
          </w:p>
        </w:tc>
        <w:tc>
          <w:tcPr>
            <w:tcW w:w="6285" w:type="dxa"/>
            <w:vAlign w:val="center"/>
          </w:tcPr>
          <w:p w14:paraId="450D5899" w14:textId="57890AE4" w:rsidR="00AA4A38" w:rsidRPr="00CE6453" w:rsidRDefault="00AA4A38" w:rsidP="00276AE9">
            <w:pPr>
              <w:spacing w:line="360" w:lineRule="auto"/>
              <w:jc w:val="center"/>
              <w:rPr>
                <w:rFonts w:ascii="Times New Roman"/>
                <w:szCs w:val="21"/>
              </w:rPr>
            </w:pPr>
            <w:r w:rsidRPr="00CE6453">
              <w:rPr>
                <w:rFonts w:hint="eastAsia"/>
                <w:szCs w:val="21"/>
              </w:rPr>
              <w:t>建议删除“重点用能行业能效指标及能效领跑者的相关指标”</w:t>
            </w:r>
            <w:r w:rsidRPr="00CE6453">
              <w:rPr>
                <w:rFonts w:hint="eastAsia"/>
                <w:szCs w:val="21"/>
              </w:rPr>
              <w:br/>
            </w:r>
            <w:r w:rsidRPr="00CE6453">
              <w:rPr>
                <w:rFonts w:hint="eastAsia"/>
                <w:szCs w:val="21"/>
              </w:rPr>
              <w:t>理由是：能效领跑</w:t>
            </w:r>
            <w:proofErr w:type="gramStart"/>
            <w:r w:rsidRPr="00CE6453">
              <w:rPr>
                <w:rFonts w:hint="eastAsia"/>
                <w:szCs w:val="21"/>
              </w:rPr>
              <w:t>者指标</w:t>
            </w:r>
            <w:proofErr w:type="gramEnd"/>
            <w:r w:rsidRPr="00CE6453">
              <w:rPr>
                <w:rFonts w:hint="eastAsia"/>
                <w:szCs w:val="21"/>
              </w:rPr>
              <w:t>属于标杆水平，一些企业能耗指标还达不到该水平。</w:t>
            </w:r>
          </w:p>
        </w:tc>
        <w:tc>
          <w:tcPr>
            <w:tcW w:w="2551" w:type="dxa"/>
            <w:vAlign w:val="center"/>
          </w:tcPr>
          <w:p w14:paraId="2C0CC03F" w14:textId="5520C506"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江西铜业集团有限公司</w:t>
            </w:r>
          </w:p>
        </w:tc>
        <w:tc>
          <w:tcPr>
            <w:tcW w:w="1276" w:type="dxa"/>
            <w:vAlign w:val="center"/>
          </w:tcPr>
          <w:p w14:paraId="0038027D" w14:textId="7B4AEEE9"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7FC42177" w14:textId="47BCEEF2" w:rsidR="00AA4A38" w:rsidRPr="00CE6453" w:rsidRDefault="00AA4A38" w:rsidP="00276AE9">
            <w:pPr>
              <w:spacing w:line="360" w:lineRule="auto"/>
              <w:jc w:val="center"/>
              <w:rPr>
                <w:rFonts w:ascii="Times New Roman"/>
                <w:szCs w:val="21"/>
              </w:rPr>
            </w:pPr>
            <w:r w:rsidRPr="00CE6453">
              <w:rPr>
                <w:rFonts w:hint="eastAsia"/>
                <w:szCs w:val="21"/>
              </w:rPr>
              <w:t>已删除相关内容</w:t>
            </w:r>
          </w:p>
        </w:tc>
      </w:tr>
      <w:tr w:rsidR="00AA4A38" w:rsidRPr="00CE6453" w14:paraId="5D8B0302" w14:textId="77777777" w:rsidTr="00CC24BA">
        <w:trPr>
          <w:cantSplit/>
          <w:jc w:val="center"/>
        </w:trPr>
        <w:tc>
          <w:tcPr>
            <w:tcW w:w="675" w:type="dxa"/>
            <w:vAlign w:val="center"/>
          </w:tcPr>
          <w:p w14:paraId="442A5964"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13</w:t>
            </w:r>
          </w:p>
        </w:tc>
        <w:tc>
          <w:tcPr>
            <w:tcW w:w="1134" w:type="dxa"/>
            <w:vAlign w:val="center"/>
          </w:tcPr>
          <w:p w14:paraId="27B42300" w14:textId="29087184" w:rsidR="00AA4A38" w:rsidRPr="00CE6453" w:rsidRDefault="00AA4A38" w:rsidP="00276AE9">
            <w:pPr>
              <w:jc w:val="center"/>
              <w:rPr>
                <w:rFonts w:ascii="Times New Roman"/>
                <w:szCs w:val="21"/>
              </w:rPr>
            </w:pPr>
            <w:r w:rsidRPr="00CE6453">
              <w:rPr>
                <w:rFonts w:ascii="Times New Roman" w:hAnsi="Times New Roman" w:cs="Times New Roman" w:hint="eastAsia"/>
                <w:szCs w:val="21"/>
              </w:rPr>
              <w:t>6.1</w:t>
            </w:r>
          </w:p>
        </w:tc>
        <w:tc>
          <w:tcPr>
            <w:tcW w:w="6285" w:type="dxa"/>
            <w:vAlign w:val="center"/>
          </w:tcPr>
          <w:p w14:paraId="44AF9064" w14:textId="0FDF9496" w:rsidR="00AA4A38" w:rsidRPr="00CE6453" w:rsidRDefault="00AA4A38" w:rsidP="00276AE9">
            <w:pPr>
              <w:spacing w:line="360" w:lineRule="auto"/>
              <w:jc w:val="center"/>
              <w:rPr>
                <w:rFonts w:ascii="Times New Roman"/>
                <w:szCs w:val="21"/>
              </w:rPr>
            </w:pPr>
            <w:r w:rsidRPr="00CE6453">
              <w:rPr>
                <w:rFonts w:hint="eastAsia"/>
                <w:szCs w:val="21"/>
              </w:rPr>
              <w:t>边界范围，氧化锌回收系统按照《锌</w:t>
            </w:r>
            <w:proofErr w:type="gramStart"/>
            <w:r w:rsidRPr="00CE6453">
              <w:rPr>
                <w:rFonts w:hint="eastAsia"/>
                <w:szCs w:val="21"/>
              </w:rPr>
              <w:t>治炼</w:t>
            </w:r>
            <w:proofErr w:type="gramEnd"/>
            <w:r w:rsidRPr="00CE6453">
              <w:rPr>
                <w:rFonts w:hint="eastAsia"/>
                <w:szCs w:val="21"/>
              </w:rPr>
              <w:t>企业单位产品能源消耗限额标准》是</w:t>
            </w:r>
            <w:proofErr w:type="gramStart"/>
            <w:r w:rsidRPr="00CE6453">
              <w:rPr>
                <w:rFonts w:hint="eastAsia"/>
                <w:szCs w:val="21"/>
              </w:rPr>
              <w:t>划分到锌冶炼</w:t>
            </w:r>
            <w:proofErr w:type="gramEnd"/>
            <w:r w:rsidRPr="00CE6453">
              <w:rPr>
                <w:rFonts w:hint="eastAsia"/>
                <w:szCs w:val="21"/>
              </w:rPr>
              <w:t>内，在这里是否同步。</w:t>
            </w:r>
          </w:p>
        </w:tc>
        <w:tc>
          <w:tcPr>
            <w:tcW w:w="2551" w:type="dxa"/>
            <w:vAlign w:val="center"/>
          </w:tcPr>
          <w:p w14:paraId="1E431A8E" w14:textId="22346BBE" w:rsidR="00AA4A38" w:rsidRPr="00CE6453" w:rsidRDefault="00AA4A38" w:rsidP="00276AE9">
            <w:pPr>
              <w:spacing w:line="360" w:lineRule="auto"/>
              <w:jc w:val="center"/>
              <w:rPr>
                <w:rFonts w:ascii="Times New Roman"/>
                <w:szCs w:val="21"/>
              </w:rPr>
            </w:pPr>
            <w:r w:rsidRPr="00CE6453">
              <w:rPr>
                <w:rFonts w:ascii="Times New Roman" w:hAnsi="Times New Roman" w:cs="Times New Roman" w:hint="eastAsia"/>
                <w:szCs w:val="21"/>
              </w:rPr>
              <w:t>深圳市中金岭南有色金属股份有限公司</w:t>
            </w:r>
          </w:p>
        </w:tc>
        <w:tc>
          <w:tcPr>
            <w:tcW w:w="1276" w:type="dxa"/>
            <w:vAlign w:val="center"/>
          </w:tcPr>
          <w:p w14:paraId="0F5E8557" w14:textId="1A3046ED" w:rsidR="00AA4A38" w:rsidRPr="00CE6453" w:rsidRDefault="00AA4A38" w:rsidP="00276AE9">
            <w:pPr>
              <w:spacing w:line="360" w:lineRule="auto"/>
              <w:jc w:val="center"/>
              <w:rPr>
                <w:rFonts w:ascii="Times New Roman"/>
                <w:szCs w:val="21"/>
              </w:rPr>
            </w:pPr>
            <w:r w:rsidRPr="00CE6453">
              <w:rPr>
                <w:rFonts w:hint="eastAsia"/>
                <w:szCs w:val="21"/>
              </w:rPr>
              <w:t>未采纳</w:t>
            </w:r>
          </w:p>
        </w:tc>
        <w:tc>
          <w:tcPr>
            <w:tcW w:w="2914" w:type="dxa"/>
            <w:vAlign w:val="center"/>
          </w:tcPr>
          <w:p w14:paraId="382E2695" w14:textId="212514C1" w:rsidR="00AA4A38" w:rsidRPr="00CE6453" w:rsidRDefault="00AA4A38" w:rsidP="00276AE9">
            <w:pPr>
              <w:spacing w:line="360" w:lineRule="auto"/>
              <w:jc w:val="center"/>
              <w:rPr>
                <w:rFonts w:ascii="Times New Roman"/>
                <w:szCs w:val="21"/>
              </w:rPr>
            </w:pPr>
            <w:r w:rsidRPr="00CE6453">
              <w:rPr>
                <w:rFonts w:hint="eastAsia"/>
                <w:szCs w:val="21"/>
              </w:rPr>
              <w:t>氧化锌回收系统无标准，针对铅冶炼企业，此工序部分仅核算数据，行业内比对</w:t>
            </w:r>
          </w:p>
        </w:tc>
      </w:tr>
      <w:tr w:rsidR="00AA4A38" w:rsidRPr="00CE6453" w14:paraId="2DD9DF86" w14:textId="77777777" w:rsidTr="00CC24BA">
        <w:trPr>
          <w:cantSplit/>
          <w:jc w:val="center"/>
        </w:trPr>
        <w:tc>
          <w:tcPr>
            <w:tcW w:w="675" w:type="dxa"/>
            <w:vAlign w:val="center"/>
          </w:tcPr>
          <w:p w14:paraId="38FF5E9C" w14:textId="77777777"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14</w:t>
            </w:r>
          </w:p>
        </w:tc>
        <w:tc>
          <w:tcPr>
            <w:tcW w:w="1134" w:type="dxa"/>
            <w:vAlign w:val="center"/>
          </w:tcPr>
          <w:p w14:paraId="37DD5C51" w14:textId="79160584" w:rsidR="00AA4A38" w:rsidRPr="00CE6453" w:rsidRDefault="00AA4A38" w:rsidP="00276AE9">
            <w:pPr>
              <w:jc w:val="center"/>
              <w:rPr>
                <w:rFonts w:ascii="Times New Roman"/>
                <w:szCs w:val="21"/>
              </w:rPr>
            </w:pPr>
            <w:r w:rsidRPr="00CE6453">
              <w:rPr>
                <w:rFonts w:ascii="Times New Roman" w:hAnsi="Times New Roman" w:cs="Times New Roman"/>
                <w:color w:val="000000"/>
                <w:szCs w:val="21"/>
              </w:rPr>
              <w:t>6.2.1</w:t>
            </w:r>
          </w:p>
        </w:tc>
        <w:tc>
          <w:tcPr>
            <w:tcW w:w="6285" w:type="dxa"/>
            <w:vAlign w:val="center"/>
          </w:tcPr>
          <w:p w14:paraId="422B5A81" w14:textId="60AF5BD5" w:rsidR="00AA4A38" w:rsidRPr="00CE6453" w:rsidRDefault="00AA4A38" w:rsidP="00276AE9">
            <w:pPr>
              <w:spacing w:line="360" w:lineRule="auto"/>
              <w:jc w:val="center"/>
              <w:rPr>
                <w:rFonts w:ascii="Times New Roman"/>
                <w:szCs w:val="21"/>
              </w:rPr>
            </w:pPr>
            <w:r w:rsidRPr="00CE6453">
              <w:rPr>
                <w:rFonts w:cs="Times New Roman" w:hint="eastAsia"/>
                <w:color w:val="000000"/>
                <w:szCs w:val="21"/>
              </w:rPr>
              <w:t>补充</w:t>
            </w:r>
            <w:r w:rsidRPr="00CE6453">
              <w:rPr>
                <w:rFonts w:ascii="Times New Roman" w:hAnsi="Times New Roman" w:cs="Times New Roman"/>
                <w:color w:val="000000"/>
                <w:szCs w:val="21"/>
              </w:rPr>
              <w:t>“</w:t>
            </w:r>
            <w:r w:rsidRPr="00CE6453">
              <w:rPr>
                <w:rFonts w:cs="Times New Roman" w:hint="eastAsia"/>
                <w:color w:val="000000"/>
                <w:szCs w:val="21"/>
              </w:rPr>
              <w:t>能源计量采集点网络图以及能源流向图</w:t>
            </w:r>
            <w:r w:rsidRPr="00CE6453">
              <w:rPr>
                <w:rFonts w:ascii="Times New Roman" w:hAnsi="Times New Roman" w:cs="Times New Roman"/>
                <w:color w:val="000000"/>
                <w:szCs w:val="21"/>
              </w:rPr>
              <w:t>”</w:t>
            </w:r>
          </w:p>
        </w:tc>
        <w:tc>
          <w:tcPr>
            <w:tcW w:w="2551" w:type="dxa"/>
            <w:vAlign w:val="center"/>
          </w:tcPr>
          <w:p w14:paraId="143BE0DB" w14:textId="68FAA5E5"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河南豫光金铅集团有限责任公司</w:t>
            </w:r>
          </w:p>
        </w:tc>
        <w:tc>
          <w:tcPr>
            <w:tcW w:w="1276" w:type="dxa"/>
            <w:vAlign w:val="center"/>
          </w:tcPr>
          <w:p w14:paraId="582DEACD" w14:textId="13316269"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7495B1FB" w14:textId="55C1C003" w:rsidR="00AA4A38" w:rsidRPr="00CE6453" w:rsidRDefault="00AA4A38" w:rsidP="00276AE9">
            <w:pPr>
              <w:spacing w:line="360" w:lineRule="auto"/>
              <w:jc w:val="center"/>
              <w:rPr>
                <w:rFonts w:ascii="Times New Roman"/>
                <w:szCs w:val="21"/>
              </w:rPr>
            </w:pPr>
            <w:r w:rsidRPr="00CE6453">
              <w:rPr>
                <w:rFonts w:ascii="Times New Roman" w:hint="eastAsia"/>
                <w:szCs w:val="21"/>
              </w:rPr>
              <w:t>已修改</w:t>
            </w:r>
          </w:p>
        </w:tc>
      </w:tr>
      <w:tr w:rsidR="00AA4A38" w:rsidRPr="00CE6453" w14:paraId="5AED82FC" w14:textId="77777777" w:rsidTr="00CC24BA">
        <w:trPr>
          <w:cantSplit/>
          <w:jc w:val="center"/>
        </w:trPr>
        <w:tc>
          <w:tcPr>
            <w:tcW w:w="675" w:type="dxa"/>
            <w:vAlign w:val="center"/>
          </w:tcPr>
          <w:p w14:paraId="1A60DC8B" w14:textId="663644D6"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15</w:t>
            </w:r>
          </w:p>
        </w:tc>
        <w:tc>
          <w:tcPr>
            <w:tcW w:w="1134" w:type="dxa"/>
            <w:vAlign w:val="center"/>
          </w:tcPr>
          <w:p w14:paraId="10F97134" w14:textId="0C826637" w:rsidR="00AA4A38" w:rsidRPr="00CE6453" w:rsidRDefault="00AA4A38" w:rsidP="00276AE9">
            <w:pPr>
              <w:jc w:val="center"/>
              <w:rPr>
                <w:rFonts w:ascii="Times New Roman"/>
                <w:szCs w:val="21"/>
              </w:rPr>
            </w:pPr>
            <w:r w:rsidRPr="00CE6453">
              <w:rPr>
                <w:rFonts w:ascii="Times New Roman" w:hAnsi="Times New Roman" w:cs="Times New Roman"/>
                <w:color w:val="000000"/>
                <w:szCs w:val="21"/>
              </w:rPr>
              <w:t>6.2.9</w:t>
            </w:r>
          </w:p>
        </w:tc>
        <w:tc>
          <w:tcPr>
            <w:tcW w:w="6285" w:type="dxa"/>
            <w:vAlign w:val="center"/>
          </w:tcPr>
          <w:p w14:paraId="4C788DEA" w14:textId="42325A84" w:rsidR="00AA4A38" w:rsidRPr="00CE6453" w:rsidRDefault="00AA4A38" w:rsidP="00276AE9">
            <w:pPr>
              <w:spacing w:line="360" w:lineRule="auto"/>
              <w:jc w:val="center"/>
              <w:rPr>
                <w:rFonts w:ascii="Times New Roman"/>
                <w:szCs w:val="21"/>
              </w:rPr>
            </w:pPr>
            <w:r w:rsidRPr="00CE6453">
              <w:rPr>
                <w:rFonts w:cs="Times New Roman" w:hint="eastAsia"/>
                <w:color w:val="000000"/>
                <w:szCs w:val="21"/>
              </w:rPr>
              <w:t>将</w:t>
            </w:r>
            <w:r w:rsidRPr="00CE6453">
              <w:rPr>
                <w:rFonts w:ascii="Times New Roman" w:hAnsi="Times New Roman" w:cs="Times New Roman"/>
                <w:color w:val="000000"/>
                <w:szCs w:val="21"/>
              </w:rPr>
              <w:t>“</w:t>
            </w:r>
            <w:r w:rsidRPr="00CE6453">
              <w:rPr>
                <w:rFonts w:cs="Times New Roman" w:hint="eastAsia"/>
                <w:color w:val="000000"/>
                <w:szCs w:val="21"/>
              </w:rPr>
              <w:t>可再生能源使用情况</w:t>
            </w:r>
            <w:r w:rsidRPr="00CE6453">
              <w:rPr>
                <w:rFonts w:ascii="Times New Roman" w:hAnsi="Times New Roman" w:cs="Times New Roman"/>
                <w:color w:val="000000"/>
                <w:szCs w:val="21"/>
              </w:rPr>
              <w:t>”</w:t>
            </w:r>
            <w:r w:rsidRPr="00CE6453">
              <w:rPr>
                <w:rFonts w:cs="Times New Roman" w:hint="eastAsia"/>
                <w:color w:val="000000"/>
                <w:szCs w:val="21"/>
              </w:rPr>
              <w:t>修改为</w:t>
            </w:r>
            <w:r w:rsidRPr="00CE6453">
              <w:rPr>
                <w:rFonts w:ascii="Times New Roman" w:hAnsi="Times New Roman" w:cs="Times New Roman"/>
                <w:color w:val="000000"/>
                <w:szCs w:val="21"/>
              </w:rPr>
              <w:t>“</w:t>
            </w:r>
            <w:r w:rsidRPr="00CE6453">
              <w:rPr>
                <w:rFonts w:cs="Times New Roman" w:hint="eastAsia"/>
                <w:color w:val="000000"/>
                <w:szCs w:val="21"/>
              </w:rPr>
              <w:t>可再生能源利用情况</w:t>
            </w:r>
            <w:r w:rsidRPr="00CE6453">
              <w:rPr>
                <w:rFonts w:ascii="Times New Roman" w:hAnsi="Times New Roman" w:cs="Times New Roman"/>
                <w:color w:val="000000"/>
                <w:szCs w:val="21"/>
              </w:rPr>
              <w:t>”</w:t>
            </w:r>
          </w:p>
        </w:tc>
        <w:tc>
          <w:tcPr>
            <w:tcW w:w="2551" w:type="dxa"/>
            <w:vAlign w:val="center"/>
          </w:tcPr>
          <w:p w14:paraId="47E9226C" w14:textId="1B0BA2B1"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河南豫光金铅集团有限责任公司</w:t>
            </w:r>
          </w:p>
        </w:tc>
        <w:tc>
          <w:tcPr>
            <w:tcW w:w="1276" w:type="dxa"/>
            <w:vAlign w:val="center"/>
          </w:tcPr>
          <w:p w14:paraId="55DA6FF6" w14:textId="0056B486" w:rsidR="00AA4A38" w:rsidRPr="00CE6453" w:rsidRDefault="00AA4A38" w:rsidP="00276AE9">
            <w:pPr>
              <w:spacing w:line="360" w:lineRule="auto"/>
              <w:jc w:val="center"/>
              <w:rPr>
                <w:rFonts w:ascii="Times New Roman"/>
                <w:szCs w:val="21"/>
              </w:rPr>
            </w:pPr>
            <w:r w:rsidRPr="00CE6453">
              <w:rPr>
                <w:rFonts w:hint="eastAsia"/>
                <w:szCs w:val="21"/>
              </w:rPr>
              <w:t>采纳</w:t>
            </w:r>
          </w:p>
        </w:tc>
        <w:tc>
          <w:tcPr>
            <w:tcW w:w="2914" w:type="dxa"/>
            <w:vAlign w:val="center"/>
          </w:tcPr>
          <w:p w14:paraId="38060B55" w14:textId="6546FBDA" w:rsidR="00AA4A38" w:rsidRPr="00CE6453" w:rsidRDefault="00AA4A38" w:rsidP="00276AE9">
            <w:pPr>
              <w:spacing w:line="360" w:lineRule="auto"/>
              <w:jc w:val="center"/>
              <w:rPr>
                <w:rFonts w:ascii="Times New Roman"/>
                <w:szCs w:val="21"/>
              </w:rPr>
            </w:pPr>
            <w:r w:rsidRPr="00CE6453">
              <w:rPr>
                <w:rFonts w:ascii="Times New Roman" w:hint="eastAsia"/>
                <w:szCs w:val="21"/>
              </w:rPr>
              <w:t>已修改</w:t>
            </w:r>
          </w:p>
        </w:tc>
      </w:tr>
      <w:tr w:rsidR="00AA4A38" w:rsidRPr="00CE6453" w14:paraId="27525EBA" w14:textId="77777777" w:rsidTr="00CC24BA">
        <w:trPr>
          <w:cantSplit/>
          <w:jc w:val="center"/>
        </w:trPr>
        <w:tc>
          <w:tcPr>
            <w:tcW w:w="675" w:type="dxa"/>
            <w:vAlign w:val="center"/>
          </w:tcPr>
          <w:p w14:paraId="64C6E5D8" w14:textId="4AFBAA12"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hint="eastAsia"/>
                <w:szCs w:val="21"/>
              </w:rPr>
              <w:t>16</w:t>
            </w:r>
          </w:p>
        </w:tc>
        <w:tc>
          <w:tcPr>
            <w:tcW w:w="1134" w:type="dxa"/>
            <w:vAlign w:val="center"/>
          </w:tcPr>
          <w:p w14:paraId="3D6C89AD" w14:textId="6F729F11"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color w:val="000000"/>
                <w:szCs w:val="21"/>
              </w:rPr>
              <w:t>6.3.4</w:t>
            </w:r>
          </w:p>
        </w:tc>
        <w:tc>
          <w:tcPr>
            <w:tcW w:w="6285" w:type="dxa"/>
            <w:vAlign w:val="center"/>
          </w:tcPr>
          <w:p w14:paraId="07EA9582" w14:textId="7B3F43C8" w:rsidR="00AA4A38" w:rsidRPr="00CE6453" w:rsidRDefault="00AA4A38" w:rsidP="00276AE9">
            <w:pPr>
              <w:jc w:val="center"/>
              <w:rPr>
                <w:rFonts w:ascii="Times New Roman" w:hAnsi="Times New Roman" w:cs="Times New Roman"/>
                <w:szCs w:val="21"/>
              </w:rPr>
            </w:pPr>
            <w:r w:rsidRPr="00CE6453">
              <w:rPr>
                <w:rFonts w:ascii="Times New Roman" w:hAnsi="Times New Roman" w:cs="Times New Roman"/>
                <w:color w:val="000000"/>
                <w:szCs w:val="21"/>
              </w:rPr>
              <w:t>“</w:t>
            </w:r>
            <w:r w:rsidRPr="00CE6453">
              <w:rPr>
                <w:rFonts w:cs="Times New Roman" w:hint="eastAsia"/>
                <w:color w:val="000000"/>
                <w:szCs w:val="21"/>
              </w:rPr>
              <w:t>电解精炼应诊断电解工艺及电、蒸汽、天然气、水等的消耗</w:t>
            </w:r>
            <w:r w:rsidRPr="00CE6453">
              <w:rPr>
                <w:rFonts w:ascii="Times New Roman" w:hAnsi="Times New Roman" w:cs="Times New Roman"/>
                <w:color w:val="000000"/>
                <w:szCs w:val="21"/>
              </w:rPr>
              <w:t>”</w:t>
            </w:r>
            <w:r w:rsidRPr="00CE6453">
              <w:rPr>
                <w:rFonts w:cs="Times New Roman" w:hint="eastAsia"/>
                <w:color w:val="000000"/>
                <w:szCs w:val="21"/>
              </w:rPr>
              <w:t>。补充天然气消耗。</w:t>
            </w:r>
          </w:p>
        </w:tc>
        <w:tc>
          <w:tcPr>
            <w:tcW w:w="2551" w:type="dxa"/>
            <w:vAlign w:val="center"/>
          </w:tcPr>
          <w:p w14:paraId="4D763FAB" w14:textId="4FEAA609" w:rsidR="00AA4A38" w:rsidRPr="00CE6453" w:rsidRDefault="00AA4A38" w:rsidP="00276AE9">
            <w:pPr>
              <w:spacing w:line="360" w:lineRule="auto"/>
              <w:jc w:val="center"/>
              <w:rPr>
                <w:rFonts w:ascii="Times New Roman" w:hAnsi="Times New Roman" w:cs="Times New Roman"/>
                <w:szCs w:val="21"/>
              </w:rPr>
            </w:pPr>
            <w:r w:rsidRPr="00CE6453">
              <w:rPr>
                <w:rFonts w:ascii="Times New Roman" w:hAnsi="Times New Roman" w:cs="Times New Roman"/>
                <w:szCs w:val="21"/>
              </w:rPr>
              <w:t>河南豫光金铅集团有限责任公司</w:t>
            </w:r>
          </w:p>
        </w:tc>
        <w:tc>
          <w:tcPr>
            <w:tcW w:w="1276" w:type="dxa"/>
            <w:vAlign w:val="center"/>
          </w:tcPr>
          <w:p w14:paraId="4C7559BD" w14:textId="5F9BCC18" w:rsidR="00AA4A38" w:rsidRPr="00CE6453" w:rsidRDefault="00AA4A38" w:rsidP="00276AE9">
            <w:pPr>
              <w:spacing w:line="360" w:lineRule="auto"/>
              <w:jc w:val="center"/>
              <w:rPr>
                <w:rFonts w:ascii="Times New Roman" w:hAnsi="Times New Roman" w:cs="Times New Roman"/>
                <w:szCs w:val="21"/>
              </w:rPr>
            </w:pPr>
            <w:r w:rsidRPr="00CE6453">
              <w:rPr>
                <w:rFonts w:hint="eastAsia"/>
                <w:szCs w:val="21"/>
              </w:rPr>
              <w:t>采纳</w:t>
            </w:r>
          </w:p>
        </w:tc>
        <w:tc>
          <w:tcPr>
            <w:tcW w:w="2914" w:type="dxa"/>
            <w:vAlign w:val="center"/>
          </w:tcPr>
          <w:p w14:paraId="4D008099" w14:textId="2DE53F61" w:rsidR="00AA4A38" w:rsidRPr="00CE6453" w:rsidRDefault="00AA4A38" w:rsidP="00276AE9">
            <w:pPr>
              <w:spacing w:line="360" w:lineRule="auto"/>
              <w:jc w:val="center"/>
              <w:rPr>
                <w:rFonts w:ascii="Times New Roman" w:hAnsi="Times New Roman" w:cs="Times New Roman"/>
                <w:szCs w:val="21"/>
              </w:rPr>
            </w:pPr>
            <w:r w:rsidRPr="00CE6453">
              <w:rPr>
                <w:rFonts w:ascii="Times New Roman" w:hint="eastAsia"/>
                <w:szCs w:val="21"/>
              </w:rPr>
              <w:t>已修改</w:t>
            </w:r>
          </w:p>
        </w:tc>
      </w:tr>
    </w:tbl>
    <w:p w14:paraId="7AE8E184" w14:textId="76F6AA50" w:rsidR="002D68F4" w:rsidRPr="00BC23CF" w:rsidRDefault="00D15ACB">
      <w:pPr>
        <w:spacing w:line="360" w:lineRule="auto"/>
        <w:rPr>
          <w:rFonts w:ascii="Times New Roman" w:hAnsi="Times New Roman" w:cs="Times New Roman"/>
        </w:rPr>
      </w:pPr>
      <w:r>
        <w:rPr>
          <w:rFonts w:ascii="Times New Roman" w:hAnsi="Times New Roman" w:cs="Times New Roman"/>
        </w:rPr>
        <w:t>说明</w:t>
      </w:r>
      <w:r>
        <w:rPr>
          <w:rFonts w:ascii="Times New Roman" w:hAnsi="Times New Roman" w:cs="Times New Roman" w:hint="eastAsia"/>
        </w:rPr>
        <w:t>：</w:t>
      </w:r>
      <w:r w:rsidRPr="00BC23CF">
        <w:rPr>
          <w:rFonts w:ascii="Times New Roman" w:hAnsi="Times New Roman" w:cs="Times New Roman"/>
        </w:rPr>
        <w:t>（</w:t>
      </w:r>
      <w:r w:rsidRPr="00BC23CF">
        <w:rPr>
          <w:rFonts w:ascii="Times New Roman" w:hAnsi="Times New Roman" w:cs="Times New Roman"/>
        </w:rPr>
        <w:t>1</w:t>
      </w:r>
      <w:r w:rsidRPr="00BC23CF">
        <w:rPr>
          <w:rFonts w:ascii="Times New Roman" w:hAnsi="Times New Roman" w:cs="Times New Roman"/>
        </w:rPr>
        <w:t>）发送《征求意见稿》的单位数：</w:t>
      </w:r>
      <w:r w:rsidR="00DF4A83">
        <w:rPr>
          <w:rFonts w:ascii="Times New Roman" w:hAnsi="Times New Roman" w:cs="Times New Roman" w:hint="eastAsia"/>
        </w:rPr>
        <w:t>6</w:t>
      </w:r>
      <w:r w:rsidRPr="00BC23CF">
        <w:rPr>
          <w:rFonts w:ascii="Times New Roman" w:hAnsi="Times New Roman" w:cs="Times New Roman"/>
        </w:rPr>
        <w:t>个；</w:t>
      </w:r>
    </w:p>
    <w:p w14:paraId="53207592" w14:textId="02D7DA97" w:rsidR="002D68F4" w:rsidRPr="00BC23CF" w:rsidRDefault="00D15ACB">
      <w:pPr>
        <w:spacing w:line="360" w:lineRule="auto"/>
        <w:ind w:firstLineChars="200" w:firstLine="420"/>
        <w:rPr>
          <w:rFonts w:ascii="Times New Roman" w:hAnsi="Times New Roman" w:cs="Times New Roman"/>
        </w:rPr>
      </w:pPr>
      <w:r w:rsidRPr="00BC23CF">
        <w:rPr>
          <w:rFonts w:ascii="Times New Roman" w:hAnsi="Times New Roman" w:cs="Times New Roman"/>
        </w:rPr>
        <w:t>（</w:t>
      </w:r>
      <w:r w:rsidRPr="00BC23CF">
        <w:rPr>
          <w:rFonts w:ascii="Times New Roman" w:hAnsi="Times New Roman" w:cs="Times New Roman"/>
        </w:rPr>
        <w:t>2</w:t>
      </w:r>
      <w:r w:rsidRPr="00BC23CF">
        <w:rPr>
          <w:rFonts w:ascii="Times New Roman" w:hAnsi="Times New Roman" w:cs="Times New Roman"/>
        </w:rPr>
        <w:t>）收到《征求意见稿》后，回函的单位数：</w:t>
      </w:r>
      <w:r w:rsidR="00BA265D">
        <w:rPr>
          <w:rFonts w:ascii="Times New Roman" w:hAnsi="Times New Roman" w:cs="Times New Roman" w:hint="eastAsia"/>
        </w:rPr>
        <w:t xml:space="preserve"> </w:t>
      </w:r>
      <w:r w:rsidR="00DF4A83">
        <w:rPr>
          <w:rFonts w:ascii="Times New Roman" w:hAnsi="Times New Roman" w:cs="Times New Roman" w:hint="eastAsia"/>
        </w:rPr>
        <w:t>6</w:t>
      </w:r>
      <w:r w:rsidRPr="00BC23CF">
        <w:rPr>
          <w:rFonts w:ascii="Times New Roman" w:hAnsi="Times New Roman" w:cs="Times New Roman"/>
        </w:rPr>
        <w:t>个；</w:t>
      </w:r>
    </w:p>
    <w:p w14:paraId="1F4B3C2E" w14:textId="73ADB2B9" w:rsidR="002D68F4" w:rsidRPr="00BC23CF" w:rsidRDefault="00D15ACB">
      <w:pPr>
        <w:spacing w:line="360" w:lineRule="auto"/>
        <w:ind w:firstLineChars="200" w:firstLine="420"/>
        <w:rPr>
          <w:rFonts w:ascii="Times New Roman" w:hAnsi="Times New Roman" w:cs="Times New Roman"/>
        </w:rPr>
      </w:pPr>
      <w:r w:rsidRPr="00BC23CF">
        <w:rPr>
          <w:rFonts w:ascii="Times New Roman" w:hAnsi="Times New Roman" w:cs="Times New Roman"/>
        </w:rPr>
        <w:t>（</w:t>
      </w:r>
      <w:r w:rsidRPr="00BC23CF">
        <w:rPr>
          <w:rFonts w:ascii="Times New Roman" w:hAnsi="Times New Roman" w:cs="Times New Roman"/>
        </w:rPr>
        <w:t>3</w:t>
      </w:r>
      <w:r w:rsidRPr="00BC23CF">
        <w:rPr>
          <w:rFonts w:ascii="Times New Roman" w:hAnsi="Times New Roman" w:cs="Times New Roman"/>
        </w:rPr>
        <w:t>）收到《征求意见稿》后，回函并有建议或意见的单位数：</w:t>
      </w:r>
      <w:r w:rsidR="00BA265D">
        <w:rPr>
          <w:rFonts w:ascii="Times New Roman" w:hAnsi="Times New Roman" w:cs="Times New Roman" w:hint="eastAsia"/>
        </w:rPr>
        <w:t xml:space="preserve"> </w:t>
      </w:r>
      <w:r w:rsidR="00DF4A83">
        <w:rPr>
          <w:rFonts w:ascii="Times New Roman" w:hAnsi="Times New Roman" w:cs="Times New Roman" w:hint="eastAsia"/>
        </w:rPr>
        <w:t>6</w:t>
      </w:r>
      <w:r w:rsidRPr="00BC23CF">
        <w:rPr>
          <w:rFonts w:ascii="Times New Roman" w:hAnsi="Times New Roman" w:cs="Times New Roman"/>
        </w:rPr>
        <w:t>个；</w:t>
      </w:r>
    </w:p>
    <w:p w14:paraId="245077E5" w14:textId="19484056" w:rsidR="002D68F4" w:rsidRDefault="00D15ACB">
      <w:pPr>
        <w:spacing w:line="360" w:lineRule="auto"/>
        <w:ind w:firstLineChars="200" w:firstLine="420"/>
        <w:rPr>
          <w:rFonts w:ascii="Times New Roman" w:hAnsi="Times New Roman" w:cs="Times New Roman"/>
        </w:rPr>
      </w:pPr>
      <w:r w:rsidRPr="00BC23CF">
        <w:rPr>
          <w:rFonts w:ascii="Times New Roman" w:hAnsi="Times New Roman" w:cs="Times New Roman"/>
        </w:rPr>
        <w:t>（</w:t>
      </w:r>
      <w:r w:rsidRPr="00BC23CF">
        <w:rPr>
          <w:rFonts w:ascii="Times New Roman" w:hAnsi="Times New Roman" w:cs="Times New Roman"/>
        </w:rPr>
        <w:t>4</w:t>
      </w:r>
      <w:r w:rsidRPr="00BC23CF">
        <w:rPr>
          <w:rFonts w:ascii="Times New Roman" w:hAnsi="Times New Roman" w:cs="Times New Roman"/>
        </w:rPr>
        <w:t>）没有回函的单位数：</w:t>
      </w:r>
      <w:r w:rsidR="00DF4A83">
        <w:rPr>
          <w:rFonts w:ascii="Times New Roman" w:hAnsi="Times New Roman" w:cs="Times New Roman" w:hint="eastAsia"/>
        </w:rPr>
        <w:t>0</w:t>
      </w:r>
      <w:r w:rsidRPr="00BC23CF">
        <w:rPr>
          <w:rFonts w:ascii="Times New Roman" w:hAnsi="Times New Roman" w:cs="Times New Roman"/>
        </w:rPr>
        <w:t>个。</w:t>
      </w:r>
      <w:bookmarkStart w:id="0" w:name="_GoBack"/>
      <w:bookmarkEnd w:id="0"/>
    </w:p>
    <w:sectPr w:rsidR="002D68F4" w:rsidSect="002B3E8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1494" w14:textId="77777777" w:rsidR="00BC2BBE" w:rsidRDefault="00BC2BBE" w:rsidP="00B04335">
      <w:r>
        <w:separator/>
      </w:r>
    </w:p>
  </w:endnote>
  <w:endnote w:type="continuationSeparator" w:id="0">
    <w:p w14:paraId="6A2E61AF" w14:textId="77777777" w:rsidR="00BC2BBE" w:rsidRDefault="00BC2BBE" w:rsidP="00B0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8653" w14:textId="77777777" w:rsidR="00BC2BBE" w:rsidRDefault="00BC2BBE" w:rsidP="00B04335">
      <w:r>
        <w:separator/>
      </w:r>
    </w:p>
  </w:footnote>
  <w:footnote w:type="continuationSeparator" w:id="0">
    <w:p w14:paraId="127FFC4D" w14:textId="77777777" w:rsidR="00BC2BBE" w:rsidRDefault="00BC2BBE" w:rsidP="00B04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33509"/>
    <w:multiLevelType w:val="multilevel"/>
    <w:tmpl w:val="74C33509"/>
    <w:lvl w:ilvl="0">
      <w:start w:val="1"/>
      <w:numFmt w:val="decimal"/>
      <w:lvlText w:val="（%1）"/>
      <w:lvlJc w:val="left"/>
      <w:pPr>
        <w:ind w:left="919" w:hanging="720"/>
      </w:pPr>
      <w:rPr>
        <w:rFonts w:hint="default"/>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21147"/>
    <w:rsid w:val="000101DB"/>
    <w:rsid w:val="000104BE"/>
    <w:rsid w:val="00020E6B"/>
    <w:rsid w:val="00026726"/>
    <w:rsid w:val="00036A2E"/>
    <w:rsid w:val="0004609E"/>
    <w:rsid w:val="00046A21"/>
    <w:rsid w:val="00051878"/>
    <w:rsid w:val="0005317B"/>
    <w:rsid w:val="00056D00"/>
    <w:rsid w:val="00067506"/>
    <w:rsid w:val="00075F7C"/>
    <w:rsid w:val="000A253E"/>
    <w:rsid w:val="000A35E1"/>
    <w:rsid w:val="000D28DD"/>
    <w:rsid w:val="000E50BA"/>
    <w:rsid w:val="00102E59"/>
    <w:rsid w:val="00105B17"/>
    <w:rsid w:val="00112A08"/>
    <w:rsid w:val="00121B1A"/>
    <w:rsid w:val="00122A82"/>
    <w:rsid w:val="001436EC"/>
    <w:rsid w:val="0014497A"/>
    <w:rsid w:val="00146809"/>
    <w:rsid w:val="0015465B"/>
    <w:rsid w:val="00172EEB"/>
    <w:rsid w:val="001760E8"/>
    <w:rsid w:val="001764D5"/>
    <w:rsid w:val="0018642B"/>
    <w:rsid w:val="00195519"/>
    <w:rsid w:val="001A4F63"/>
    <w:rsid w:val="001A5148"/>
    <w:rsid w:val="001C0D8C"/>
    <w:rsid w:val="001E189B"/>
    <w:rsid w:val="002017AA"/>
    <w:rsid w:val="00207A01"/>
    <w:rsid w:val="00221147"/>
    <w:rsid w:val="00245CE6"/>
    <w:rsid w:val="002638C4"/>
    <w:rsid w:val="00266554"/>
    <w:rsid w:val="00276AE9"/>
    <w:rsid w:val="00284E94"/>
    <w:rsid w:val="002959F7"/>
    <w:rsid w:val="002B3E87"/>
    <w:rsid w:val="002B46DB"/>
    <w:rsid w:val="002B5267"/>
    <w:rsid w:val="002D68F4"/>
    <w:rsid w:val="00306F5F"/>
    <w:rsid w:val="00314C18"/>
    <w:rsid w:val="00315EE8"/>
    <w:rsid w:val="00343B3B"/>
    <w:rsid w:val="00347D8F"/>
    <w:rsid w:val="003515C4"/>
    <w:rsid w:val="00361330"/>
    <w:rsid w:val="00363BD5"/>
    <w:rsid w:val="0036602D"/>
    <w:rsid w:val="003728D9"/>
    <w:rsid w:val="003732D7"/>
    <w:rsid w:val="003C382C"/>
    <w:rsid w:val="003D0E4B"/>
    <w:rsid w:val="003D3A55"/>
    <w:rsid w:val="003E3AC4"/>
    <w:rsid w:val="003F6D3B"/>
    <w:rsid w:val="00405429"/>
    <w:rsid w:val="00445B81"/>
    <w:rsid w:val="00446901"/>
    <w:rsid w:val="00463F5C"/>
    <w:rsid w:val="00464D0B"/>
    <w:rsid w:val="0046530A"/>
    <w:rsid w:val="00473A8B"/>
    <w:rsid w:val="00475525"/>
    <w:rsid w:val="00477384"/>
    <w:rsid w:val="004A1AE1"/>
    <w:rsid w:val="004A3002"/>
    <w:rsid w:val="004B2EE4"/>
    <w:rsid w:val="004C68E1"/>
    <w:rsid w:val="004D0590"/>
    <w:rsid w:val="004D51B1"/>
    <w:rsid w:val="004E1C17"/>
    <w:rsid w:val="004F280B"/>
    <w:rsid w:val="005035B1"/>
    <w:rsid w:val="0050396D"/>
    <w:rsid w:val="00516839"/>
    <w:rsid w:val="00526944"/>
    <w:rsid w:val="00543F6C"/>
    <w:rsid w:val="005610F6"/>
    <w:rsid w:val="00565D32"/>
    <w:rsid w:val="00577D7A"/>
    <w:rsid w:val="005972AC"/>
    <w:rsid w:val="005A197F"/>
    <w:rsid w:val="005A7980"/>
    <w:rsid w:val="005B49CD"/>
    <w:rsid w:val="005B4AAB"/>
    <w:rsid w:val="005B5214"/>
    <w:rsid w:val="005D30EA"/>
    <w:rsid w:val="005E108B"/>
    <w:rsid w:val="005E1FFB"/>
    <w:rsid w:val="005F7A99"/>
    <w:rsid w:val="00662C0C"/>
    <w:rsid w:val="006860FF"/>
    <w:rsid w:val="00690578"/>
    <w:rsid w:val="006A1CFE"/>
    <w:rsid w:val="006A249E"/>
    <w:rsid w:val="006A6BDC"/>
    <w:rsid w:val="006A7359"/>
    <w:rsid w:val="006B4843"/>
    <w:rsid w:val="006B71EA"/>
    <w:rsid w:val="006D5443"/>
    <w:rsid w:val="006E1106"/>
    <w:rsid w:val="006F3BEF"/>
    <w:rsid w:val="00704728"/>
    <w:rsid w:val="007217BF"/>
    <w:rsid w:val="00723731"/>
    <w:rsid w:val="00732D65"/>
    <w:rsid w:val="007342BE"/>
    <w:rsid w:val="00734E76"/>
    <w:rsid w:val="00741182"/>
    <w:rsid w:val="00743ABC"/>
    <w:rsid w:val="00760B90"/>
    <w:rsid w:val="007634B6"/>
    <w:rsid w:val="007718F5"/>
    <w:rsid w:val="00772D7A"/>
    <w:rsid w:val="00785C51"/>
    <w:rsid w:val="00794711"/>
    <w:rsid w:val="0079522A"/>
    <w:rsid w:val="007953EF"/>
    <w:rsid w:val="007A38DF"/>
    <w:rsid w:val="007A7057"/>
    <w:rsid w:val="007A7E59"/>
    <w:rsid w:val="007B64C9"/>
    <w:rsid w:val="007D2327"/>
    <w:rsid w:val="007D3271"/>
    <w:rsid w:val="007D723C"/>
    <w:rsid w:val="007E2DAA"/>
    <w:rsid w:val="007F748F"/>
    <w:rsid w:val="00800910"/>
    <w:rsid w:val="00810E77"/>
    <w:rsid w:val="00812D31"/>
    <w:rsid w:val="00841D6C"/>
    <w:rsid w:val="008429D2"/>
    <w:rsid w:val="00844815"/>
    <w:rsid w:val="0085648C"/>
    <w:rsid w:val="00867378"/>
    <w:rsid w:val="008722D7"/>
    <w:rsid w:val="0088180A"/>
    <w:rsid w:val="00887CE1"/>
    <w:rsid w:val="00893F46"/>
    <w:rsid w:val="008A04B6"/>
    <w:rsid w:val="008A2BE5"/>
    <w:rsid w:val="008B0C13"/>
    <w:rsid w:val="008B75F1"/>
    <w:rsid w:val="008B7F48"/>
    <w:rsid w:val="008C49E3"/>
    <w:rsid w:val="008C4D8D"/>
    <w:rsid w:val="008C70BB"/>
    <w:rsid w:val="008E5B58"/>
    <w:rsid w:val="008F31E6"/>
    <w:rsid w:val="008F78DA"/>
    <w:rsid w:val="009061D4"/>
    <w:rsid w:val="0091279C"/>
    <w:rsid w:val="00922BC7"/>
    <w:rsid w:val="00934B3A"/>
    <w:rsid w:val="00953BBA"/>
    <w:rsid w:val="0098464F"/>
    <w:rsid w:val="00994F80"/>
    <w:rsid w:val="009C65E7"/>
    <w:rsid w:val="009C67E9"/>
    <w:rsid w:val="009F0125"/>
    <w:rsid w:val="00A2233C"/>
    <w:rsid w:val="00A33162"/>
    <w:rsid w:val="00A34D11"/>
    <w:rsid w:val="00A50A0A"/>
    <w:rsid w:val="00A5474A"/>
    <w:rsid w:val="00A61D6A"/>
    <w:rsid w:val="00A70B8E"/>
    <w:rsid w:val="00A71D2D"/>
    <w:rsid w:val="00A7777B"/>
    <w:rsid w:val="00A87877"/>
    <w:rsid w:val="00A947F1"/>
    <w:rsid w:val="00AA4A38"/>
    <w:rsid w:val="00AC5CE4"/>
    <w:rsid w:val="00AD2091"/>
    <w:rsid w:val="00AD2AD8"/>
    <w:rsid w:val="00AF06CF"/>
    <w:rsid w:val="00AF7EE7"/>
    <w:rsid w:val="00B04335"/>
    <w:rsid w:val="00B10D02"/>
    <w:rsid w:val="00B2673C"/>
    <w:rsid w:val="00B66C3A"/>
    <w:rsid w:val="00B67DE0"/>
    <w:rsid w:val="00B703BC"/>
    <w:rsid w:val="00B70B00"/>
    <w:rsid w:val="00B80952"/>
    <w:rsid w:val="00B81494"/>
    <w:rsid w:val="00B83954"/>
    <w:rsid w:val="00B90635"/>
    <w:rsid w:val="00BA2255"/>
    <w:rsid w:val="00BA265D"/>
    <w:rsid w:val="00BA7E3E"/>
    <w:rsid w:val="00BC23CF"/>
    <w:rsid w:val="00BC2BBE"/>
    <w:rsid w:val="00BC5517"/>
    <w:rsid w:val="00BC58E8"/>
    <w:rsid w:val="00BD71A2"/>
    <w:rsid w:val="00BE485F"/>
    <w:rsid w:val="00C02F25"/>
    <w:rsid w:val="00C04BE6"/>
    <w:rsid w:val="00C15D04"/>
    <w:rsid w:val="00C23BF4"/>
    <w:rsid w:val="00C2708A"/>
    <w:rsid w:val="00C31D0D"/>
    <w:rsid w:val="00C405E3"/>
    <w:rsid w:val="00C43902"/>
    <w:rsid w:val="00C54B20"/>
    <w:rsid w:val="00C576F9"/>
    <w:rsid w:val="00C76119"/>
    <w:rsid w:val="00C97945"/>
    <w:rsid w:val="00CB1510"/>
    <w:rsid w:val="00CB3B63"/>
    <w:rsid w:val="00CC24BA"/>
    <w:rsid w:val="00CD0876"/>
    <w:rsid w:val="00CE23D7"/>
    <w:rsid w:val="00CE4F21"/>
    <w:rsid w:val="00CE6453"/>
    <w:rsid w:val="00D12A87"/>
    <w:rsid w:val="00D15ACB"/>
    <w:rsid w:val="00D25768"/>
    <w:rsid w:val="00D665DB"/>
    <w:rsid w:val="00D73D63"/>
    <w:rsid w:val="00D8303E"/>
    <w:rsid w:val="00D922C2"/>
    <w:rsid w:val="00DA2787"/>
    <w:rsid w:val="00DB5BFE"/>
    <w:rsid w:val="00DC59BC"/>
    <w:rsid w:val="00DD6300"/>
    <w:rsid w:val="00DD7A26"/>
    <w:rsid w:val="00DF4A83"/>
    <w:rsid w:val="00E03AAB"/>
    <w:rsid w:val="00E1159B"/>
    <w:rsid w:val="00E26F24"/>
    <w:rsid w:val="00E3572C"/>
    <w:rsid w:val="00E438C9"/>
    <w:rsid w:val="00E50353"/>
    <w:rsid w:val="00E56A31"/>
    <w:rsid w:val="00E576A2"/>
    <w:rsid w:val="00E675B4"/>
    <w:rsid w:val="00E869F1"/>
    <w:rsid w:val="00EC3EA2"/>
    <w:rsid w:val="00ED760F"/>
    <w:rsid w:val="00EE65B6"/>
    <w:rsid w:val="00EE72E0"/>
    <w:rsid w:val="00F04359"/>
    <w:rsid w:val="00F04D6D"/>
    <w:rsid w:val="00F2002A"/>
    <w:rsid w:val="00F23A80"/>
    <w:rsid w:val="00F30F43"/>
    <w:rsid w:val="00F71C48"/>
    <w:rsid w:val="00F76E4F"/>
    <w:rsid w:val="00F85B2B"/>
    <w:rsid w:val="00F90812"/>
    <w:rsid w:val="00F95CD2"/>
    <w:rsid w:val="00F971FE"/>
    <w:rsid w:val="00F97EDC"/>
    <w:rsid w:val="00FA4E6D"/>
    <w:rsid w:val="00FA7AE7"/>
    <w:rsid w:val="00FB0A9C"/>
    <w:rsid w:val="00FB3953"/>
    <w:rsid w:val="00FC2A24"/>
    <w:rsid w:val="00FC3112"/>
    <w:rsid w:val="00FC545C"/>
    <w:rsid w:val="00FC616E"/>
    <w:rsid w:val="00FD1ADB"/>
    <w:rsid w:val="00FD3A7A"/>
    <w:rsid w:val="00FE57E0"/>
    <w:rsid w:val="00FE7313"/>
    <w:rsid w:val="03AC38B7"/>
    <w:rsid w:val="076C7D4B"/>
    <w:rsid w:val="1D3E4388"/>
    <w:rsid w:val="1EA72D4F"/>
    <w:rsid w:val="233F0CE8"/>
    <w:rsid w:val="28D406FC"/>
    <w:rsid w:val="32501E83"/>
    <w:rsid w:val="32D12B48"/>
    <w:rsid w:val="35AA2402"/>
    <w:rsid w:val="365302AE"/>
    <w:rsid w:val="371D37D3"/>
    <w:rsid w:val="3AA351E0"/>
    <w:rsid w:val="3C061489"/>
    <w:rsid w:val="3D4B1ECD"/>
    <w:rsid w:val="3DC12568"/>
    <w:rsid w:val="447D7246"/>
    <w:rsid w:val="4805698D"/>
    <w:rsid w:val="4AF72E03"/>
    <w:rsid w:val="52DF25B0"/>
    <w:rsid w:val="530C0F48"/>
    <w:rsid w:val="545A361F"/>
    <w:rsid w:val="58B3100A"/>
    <w:rsid w:val="5C685983"/>
    <w:rsid w:val="5FDA66AB"/>
    <w:rsid w:val="6853386F"/>
    <w:rsid w:val="68697EE2"/>
    <w:rsid w:val="69F12C8F"/>
    <w:rsid w:val="6F826DF1"/>
    <w:rsid w:val="75E8027D"/>
    <w:rsid w:val="7AB54642"/>
    <w:rsid w:val="7E444371"/>
    <w:rsid w:val="7FE623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2B3E87"/>
    <w:rPr>
      <w:sz w:val="20"/>
      <w:szCs w:val="20"/>
    </w:rPr>
  </w:style>
  <w:style w:type="paragraph" w:styleId="a4">
    <w:name w:val="footer"/>
    <w:basedOn w:val="a"/>
    <w:link w:val="Char0"/>
    <w:uiPriority w:val="99"/>
    <w:unhideWhenUsed/>
    <w:qFormat/>
    <w:rsid w:val="002B3E8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3E8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B3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2B3E87"/>
    <w:rPr>
      <w:sz w:val="18"/>
      <w:szCs w:val="18"/>
    </w:rPr>
  </w:style>
  <w:style w:type="character" w:customStyle="1" w:styleId="Char0">
    <w:name w:val="页脚 Char"/>
    <w:basedOn w:val="a0"/>
    <w:link w:val="a4"/>
    <w:uiPriority w:val="99"/>
    <w:qFormat/>
    <w:rsid w:val="002B3E87"/>
    <w:rPr>
      <w:sz w:val="18"/>
      <w:szCs w:val="18"/>
    </w:rPr>
  </w:style>
  <w:style w:type="paragraph" w:styleId="a7">
    <w:name w:val="List Paragraph"/>
    <w:basedOn w:val="a"/>
    <w:uiPriority w:val="34"/>
    <w:qFormat/>
    <w:rsid w:val="002B3E87"/>
    <w:pPr>
      <w:ind w:firstLineChars="200" w:firstLine="420"/>
    </w:pPr>
  </w:style>
  <w:style w:type="character" w:styleId="a8">
    <w:name w:val="annotation reference"/>
    <w:rsid w:val="00FC2A24"/>
    <w:rPr>
      <w:sz w:val="21"/>
      <w:szCs w:val="21"/>
    </w:rPr>
  </w:style>
  <w:style w:type="character" w:customStyle="1" w:styleId="Char">
    <w:name w:val="批注文字 Char"/>
    <w:link w:val="a3"/>
    <w:rsid w:val="00FC2A24"/>
    <w:rPr>
      <w:rFonts w:asciiTheme="minorHAnsi" w:eastAsiaTheme="minorEastAsia" w:hAnsiTheme="minorHAnsi" w:cstheme="minorBidi"/>
      <w:kern w:val="2"/>
    </w:rPr>
  </w:style>
  <w:style w:type="paragraph" w:styleId="a9">
    <w:name w:val="Balloon Text"/>
    <w:basedOn w:val="a"/>
    <w:link w:val="Char2"/>
    <w:uiPriority w:val="99"/>
    <w:semiHidden/>
    <w:unhideWhenUsed/>
    <w:rsid w:val="00FC2A24"/>
    <w:rPr>
      <w:sz w:val="18"/>
      <w:szCs w:val="18"/>
    </w:rPr>
  </w:style>
  <w:style w:type="character" w:customStyle="1" w:styleId="Char2">
    <w:name w:val="批注框文本 Char"/>
    <w:basedOn w:val="a0"/>
    <w:link w:val="a9"/>
    <w:uiPriority w:val="99"/>
    <w:semiHidden/>
    <w:rsid w:val="00FC2A24"/>
    <w:rPr>
      <w:rFonts w:asciiTheme="minorHAnsi" w:eastAsiaTheme="minorEastAsia" w:hAnsiTheme="minorHAnsi" w:cstheme="minorBidi"/>
      <w:kern w:val="2"/>
      <w:sz w:val="18"/>
      <w:szCs w:val="18"/>
    </w:rPr>
  </w:style>
  <w:style w:type="character" w:customStyle="1" w:styleId="aa">
    <w:name w:val="批注文字 字符"/>
    <w:rsid w:val="00A5474A"/>
    <w:rPr>
      <w:kern w:val="2"/>
      <w:sz w:val="21"/>
      <w:szCs w:val="24"/>
    </w:rPr>
  </w:style>
  <w:style w:type="character" w:customStyle="1" w:styleId="Char3">
    <w:name w:val="段 Char"/>
    <w:link w:val="ab"/>
    <w:rsid w:val="007B64C9"/>
    <w:rPr>
      <w:rFonts w:ascii="宋体"/>
      <w:sz w:val="21"/>
    </w:rPr>
  </w:style>
  <w:style w:type="paragraph" w:customStyle="1" w:styleId="ab">
    <w:name w:val="段"/>
    <w:link w:val="Char3"/>
    <w:rsid w:val="007B64C9"/>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 雪莲</dc:creator>
  <cp:lastModifiedBy>程喜梁</cp:lastModifiedBy>
  <cp:revision>250</cp:revision>
  <dcterms:created xsi:type="dcterms:W3CDTF">2020-09-14T02:37:00Z</dcterms:created>
  <dcterms:modified xsi:type="dcterms:W3CDTF">2023-08-20T06:31:00Z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83A4CBBDF4034FE8BF8C579E3B686DCE</vt:lpwstr>
  </property>
</Properties>
</file>