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rPr>
      </w:pPr>
    </w:p>
    <w:p>
      <w:pPr>
        <w:pStyle w:val="2"/>
        <w:rPr>
          <w:rFonts w:hint="eastAsia"/>
        </w:rPr>
      </w:pPr>
    </w:p>
    <w:p>
      <w:pPr>
        <w:spacing w:line="360" w:lineRule="auto"/>
        <w:jc w:val="center"/>
        <w:rPr>
          <w:rFonts w:ascii="Times New Roman" w:hAnsi="Times New Roman" w:eastAsia="宋体" w:cs="Times New Roman"/>
          <w:b/>
          <w:sz w:val="48"/>
          <w:szCs w:val="48"/>
        </w:rPr>
      </w:pPr>
      <w:r>
        <w:rPr>
          <w:rFonts w:hint="eastAsia"/>
          <w:b/>
          <w:sz w:val="48"/>
          <w:szCs w:val="48"/>
        </w:rPr>
        <w:t>《铜基精密电阻合金牌号及化学成分》</w:t>
      </w:r>
    </w:p>
    <w:p>
      <w:pPr>
        <w:spacing w:line="360" w:lineRule="auto"/>
        <w:jc w:val="center"/>
        <w:rPr>
          <w:rFonts w:hint="eastAsia"/>
          <w:b/>
          <w:sz w:val="48"/>
          <w:szCs w:val="48"/>
        </w:rPr>
      </w:pPr>
    </w:p>
    <w:p>
      <w:pPr>
        <w:spacing w:line="360" w:lineRule="auto"/>
        <w:jc w:val="center"/>
        <w:rPr>
          <w:rFonts w:hint="eastAsia"/>
          <w:b/>
          <w:sz w:val="48"/>
          <w:szCs w:val="48"/>
        </w:rPr>
      </w:pPr>
    </w:p>
    <w:p>
      <w:pPr>
        <w:spacing w:line="360" w:lineRule="auto"/>
        <w:jc w:val="center"/>
        <w:rPr>
          <w:rFonts w:hint="eastAsia"/>
          <w:b/>
          <w:sz w:val="48"/>
          <w:szCs w:val="48"/>
        </w:rPr>
      </w:pPr>
      <w:r>
        <w:rPr>
          <w:rFonts w:hint="eastAsia"/>
          <w:b/>
          <w:sz w:val="48"/>
          <w:szCs w:val="48"/>
        </w:rPr>
        <w:t>编制说明</w:t>
      </w:r>
    </w:p>
    <w:p>
      <w:pPr>
        <w:spacing w:line="360" w:lineRule="auto"/>
        <w:jc w:val="center"/>
        <w:rPr>
          <w:b/>
          <w:sz w:val="52"/>
          <w:szCs w:val="52"/>
        </w:rPr>
      </w:pPr>
    </w:p>
    <w:p>
      <w:pPr>
        <w:spacing w:line="360" w:lineRule="auto"/>
        <w:jc w:val="center"/>
        <w:rPr>
          <w:b/>
          <w:sz w:val="32"/>
          <w:szCs w:val="20"/>
        </w:rPr>
      </w:pPr>
      <w:r>
        <w:rPr>
          <w:rFonts w:hint="eastAsia"/>
          <w:b/>
          <w:sz w:val="32"/>
        </w:rPr>
        <w:t>（</w:t>
      </w:r>
      <w:del w:id="0" w:author="韩知为" w:date="2023-08-18T13:09:53Z">
        <w:r>
          <w:rPr>
            <w:rFonts w:hint="default"/>
            <w:b/>
            <w:sz w:val="32"/>
            <w:lang w:val="en-US" w:eastAsia="zh-CN"/>
          </w:rPr>
          <w:delText>征求意见</w:delText>
        </w:r>
      </w:del>
      <w:del w:id="1" w:author="韩知为" w:date="2023-08-18T13:09:53Z">
        <w:r>
          <w:rPr>
            <w:rFonts w:hint="default"/>
            <w:b/>
            <w:sz w:val="32"/>
            <w:lang w:val="en-US"/>
          </w:rPr>
          <w:delText>稿</w:delText>
        </w:r>
      </w:del>
      <w:ins w:id="2" w:author="韩知为" w:date="2023-08-18T13:09:55Z">
        <w:r>
          <w:rPr>
            <w:rFonts w:hint="eastAsia"/>
            <w:b/>
            <w:sz w:val="32"/>
            <w:lang w:val="en-US" w:eastAsia="zh-CN"/>
          </w:rPr>
          <w:t>送审</w:t>
        </w:r>
      </w:ins>
      <w:ins w:id="3" w:author="韩知为" w:date="2023-08-18T13:09:56Z">
        <w:r>
          <w:rPr>
            <w:rFonts w:hint="eastAsia"/>
            <w:b/>
            <w:sz w:val="32"/>
            <w:lang w:val="en-US" w:eastAsia="zh-CN"/>
          </w:rPr>
          <w:t>稿</w:t>
        </w:r>
      </w:ins>
      <w:r>
        <w:rPr>
          <w:rFonts w:hint="eastAsia"/>
          <w:b/>
          <w:sz w:val="32"/>
        </w:rPr>
        <w:t>）</w:t>
      </w: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44"/>
          <w:szCs w:val="44"/>
        </w:rPr>
      </w:pPr>
      <w:r>
        <w:rPr>
          <w:rFonts w:hint="eastAsia"/>
          <w:b/>
          <w:sz w:val="44"/>
          <w:szCs w:val="44"/>
        </w:rPr>
        <w:t>厦门火炬特种金属材料有限公司</w:t>
      </w:r>
    </w:p>
    <w:p>
      <w:pPr>
        <w:jc w:val="center"/>
        <w:rPr>
          <w:rFonts w:eastAsia="黑体"/>
          <w:sz w:val="28"/>
          <w:szCs w:val="28"/>
        </w:rPr>
      </w:pPr>
      <w:r>
        <w:rPr>
          <w:b/>
          <w:sz w:val="44"/>
          <w:szCs w:val="44"/>
        </w:rPr>
        <w:t>202</w:t>
      </w:r>
      <w:r>
        <w:rPr>
          <w:rFonts w:hint="eastAsia"/>
          <w:b/>
          <w:sz w:val="44"/>
          <w:szCs w:val="44"/>
          <w:lang w:val="en-US" w:eastAsia="zh-CN"/>
        </w:rPr>
        <w:t>3</w:t>
      </w:r>
      <w:r>
        <w:rPr>
          <w:rFonts w:hint="eastAsia"/>
          <w:b/>
          <w:sz w:val="44"/>
          <w:szCs w:val="44"/>
        </w:rPr>
        <w:t>年</w:t>
      </w:r>
      <w:r>
        <w:rPr>
          <w:rFonts w:hint="eastAsia"/>
          <w:b/>
          <w:sz w:val="44"/>
          <w:szCs w:val="44"/>
          <w:lang w:val="en-US" w:eastAsia="zh-CN"/>
        </w:rPr>
        <w:t>7</w:t>
      </w:r>
      <w:r>
        <w:rPr>
          <w:rFonts w:hint="eastAsia"/>
          <w:b/>
          <w:sz w:val="44"/>
          <w:szCs w:val="44"/>
        </w:rPr>
        <w:t>月</w:t>
      </w:r>
    </w:p>
    <w:p>
      <w:pPr>
        <w:jc w:val="center"/>
        <w:rPr>
          <w:rFonts w:eastAsia="黑体"/>
          <w:sz w:val="28"/>
          <w:szCs w:val="28"/>
        </w:rPr>
      </w:pPr>
    </w:p>
    <w:p>
      <w:pPr>
        <w:jc w:val="center"/>
        <w:rPr>
          <w:rFonts w:eastAsia="黑体"/>
          <w:sz w:val="28"/>
          <w:szCs w:val="28"/>
        </w:rPr>
      </w:pPr>
    </w:p>
    <w:p>
      <w:pPr>
        <w:jc w:val="center"/>
        <w:rPr>
          <w:rFonts w:ascii="宋体"/>
          <w:sz w:val="28"/>
          <w:szCs w:val="28"/>
          <w:lang w:val="de-DE"/>
        </w:rPr>
      </w:pPr>
      <w:r>
        <w:rPr>
          <w:rFonts w:hint="eastAsia" w:eastAsia="黑体"/>
          <w:sz w:val="28"/>
          <w:szCs w:val="28"/>
        </w:rPr>
        <w:t>铜基精密电阻合金牌号及化学成分—编制说明（</w:t>
      </w:r>
      <w:r>
        <w:rPr>
          <w:rFonts w:hint="eastAsia" w:eastAsia="黑体"/>
          <w:sz w:val="28"/>
          <w:szCs w:val="28"/>
          <w:lang w:val="en-US" w:eastAsia="zh-CN"/>
        </w:rPr>
        <w:t>征求意见稿</w:t>
      </w:r>
      <w:r>
        <w:rPr>
          <w:rFonts w:hint="eastAsia" w:eastAsia="黑体"/>
          <w:sz w:val="28"/>
          <w:szCs w:val="28"/>
        </w:rPr>
        <w:t>）</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1.1任务来源</w:t>
      </w:r>
    </w:p>
    <w:p>
      <w:pPr>
        <w:spacing w:line="440" w:lineRule="exact"/>
        <w:ind w:firstLine="420" w:firstLineChars="200"/>
        <w:rPr>
          <w:rFonts w:ascii="宋体" w:hAnsi="宋体"/>
          <w:szCs w:val="21"/>
        </w:rPr>
      </w:pPr>
      <w:r>
        <w:rPr>
          <w:rFonts w:hint="eastAsia" w:ascii="宋体" w:hAnsi="宋体"/>
          <w:szCs w:val="21"/>
        </w:rPr>
        <w:t>信息技术产业是关乎国民经济安全和发展的战略性、基础性、先导性产业，也是世界主要国家高度重视、全力布局的竞争高地。电子元器件是支撑信息技术产业发展的基石，也是保障产业链供应链安全稳定的关键。精密电阻为控制传感电路不可或缺检流元件，在众多工业领域发挥着关键作用，如消费电子、汽车、5G通讯、轨道交通（高铁、地铁）及新能源等领域。当今世界工业进程中呈现的自动化、信息化与智能化潮流，使精密电阻产品得到更加广泛应用；在国防军工应用方面，超高精度贴片电阻器（SMD）已在运载火箭及战略、各型战术导弹惯性测量系统、通讯卫星及全球定位系统，甚至在神舟飞船上得到重要的应用。</w:t>
      </w:r>
    </w:p>
    <w:p>
      <w:pPr>
        <w:spacing w:line="440" w:lineRule="exact"/>
        <w:ind w:firstLine="420" w:firstLineChars="200"/>
        <w:rPr>
          <w:rFonts w:ascii="宋体" w:hAnsi="宋体"/>
          <w:szCs w:val="21"/>
        </w:rPr>
      </w:pPr>
      <w:r>
        <w:rPr>
          <w:rFonts w:hint="eastAsia" w:ascii="宋体" w:hAnsi="宋体"/>
          <w:szCs w:val="21"/>
        </w:rPr>
        <w:t>时值国际政治形势发生深刻变化之际，国内精密电阻生产企业存在龙头企业匮乏、高端加工能力不强、创新能力不足及产业链不完整等问题，不仅严重制约着我国信息技术产业发展，而且导致我国新兴产业的发展受制于人，严重威胁着我国新兴产业生态及产业链安全。鉴于精密电阻产品对我国新兴产业及国防工业的重要性，高端精密电阻在工信部最新发布的《基础电子元器件产业发展行动计划（2021—2023年）》中被列为“重点产品高端提升之电路类元器件”。</w:t>
      </w:r>
    </w:p>
    <w:p>
      <w:pPr>
        <w:spacing w:line="440" w:lineRule="exact"/>
        <w:ind w:firstLine="420" w:firstLineChars="200"/>
        <w:rPr>
          <w:rFonts w:hint="eastAsia" w:ascii="宋体" w:hAnsi="宋体"/>
          <w:szCs w:val="21"/>
        </w:rPr>
      </w:pPr>
      <w:r>
        <w:rPr>
          <w:rFonts w:hint="eastAsia" w:ascii="宋体" w:hAnsi="宋体"/>
          <w:szCs w:val="21"/>
        </w:rPr>
        <w:t>根据国家标准化管理委员会《国家标准化管理委员会关于下达2021年第四批推荐国家标准计划的通知》（国标委发[2021]41号）的要求，及全国有色金属标准化技术委员会《关于转发2022年第一批有色金属国家、行业标准、协会标准制（修）订项目计划的通知》（有色标委[2022]102号）的文件精神，《铜基精密电阻合金牌号及化学成分》，计划编号2022-0451T-YS，完成年限为2024年4月，技术归口单位为全国有色金属标准化技术委员会。</w:t>
      </w:r>
    </w:p>
    <w:p>
      <w:pPr>
        <w:spacing w:line="440" w:lineRule="exact"/>
        <w:ind w:firstLine="420" w:firstLineChars="200"/>
        <w:rPr>
          <w:rFonts w:ascii="宋体" w:hAnsi="宋体"/>
          <w:szCs w:val="21"/>
        </w:rPr>
      </w:pPr>
      <w:r>
        <w:rPr>
          <w:rFonts w:hint="eastAsia" w:ascii="宋体" w:hAnsi="宋体"/>
          <w:szCs w:val="21"/>
        </w:rPr>
        <w:t>标准制订单位为：厦门火炬特种金属材料有限公司、有研金属复材（忻州）有限公司、深圳毫欧电子有限公司、国标（北京）检验认证有限公司。各企业将生产情况、产品质量情况以及国内外市场、技术发展情况与标准内容相结合，为标准的修订提供了大量的数据和资料，并给标准的修订提供真实有效的证明，实现客户“监督”标准的技术水平的要求，提升标准的实用性。</w:t>
      </w:r>
    </w:p>
    <w:p>
      <w:pPr>
        <w:pStyle w:val="16"/>
        <w:spacing w:beforeLines="0" w:afterLines="0" w:line="440" w:lineRule="exact"/>
        <w:outlineLvl w:val="9"/>
        <w:rPr>
          <w:rFonts w:hAnsi="黑体" w:cs="黑体"/>
          <w:szCs w:val="21"/>
        </w:rPr>
      </w:pPr>
      <w:r>
        <w:rPr>
          <w:rFonts w:hint="eastAsia" w:hAnsi="黑体" w:cs="黑体"/>
          <w:szCs w:val="21"/>
        </w:rPr>
        <w:t>1.2立项目的和意义</w:t>
      </w:r>
    </w:p>
    <w:p>
      <w:pPr>
        <w:spacing w:line="440" w:lineRule="exact"/>
        <w:ind w:firstLine="420" w:firstLineChars="200"/>
        <w:rPr>
          <w:rFonts w:ascii="宋体" w:hAnsi="宋体"/>
          <w:sz w:val="21"/>
          <w:szCs w:val="21"/>
        </w:rPr>
      </w:pPr>
      <w:r>
        <w:rPr>
          <w:rFonts w:hint="eastAsia" w:ascii="宋体" w:hAnsi="宋体"/>
          <w:sz w:val="21"/>
          <w:szCs w:val="21"/>
        </w:rPr>
        <w:t>精密电阻合金是指电阻温度系数和热电动势均较小，电阻热稳定性好，用于制作精密电阻元器件的电阻合金，常用的有金基合金、银基合金、铂基合金、镍基合金和铜基合金，其中镍基合金使用最为广泛。精密电阻合金均有适用于精密合金的牌号和名称，由于材料种类及牌号的逐渐增多，精密电阻合金旧的</w:t>
      </w:r>
      <w:r>
        <w:rPr>
          <w:rFonts w:ascii="宋体" w:hAnsi="宋体"/>
          <w:sz w:val="21"/>
          <w:szCs w:val="21"/>
        </w:rPr>
        <w:t>4</w:t>
      </w:r>
      <w:r>
        <w:rPr>
          <w:rFonts w:hint="eastAsia" w:ascii="宋体" w:hAnsi="宋体"/>
          <w:sz w:val="21"/>
          <w:szCs w:val="21"/>
        </w:rPr>
        <w:t>位牌号规则已经不适应实际应用，比如</w:t>
      </w:r>
      <w:bookmarkStart w:id="0" w:name="OLE_LINK1"/>
      <w:r>
        <w:rPr>
          <w:rFonts w:hint="eastAsia" w:ascii="宋体" w:hAnsi="宋体"/>
          <w:sz w:val="21"/>
          <w:szCs w:val="21"/>
        </w:rPr>
        <w:t>镍基精密电阻合金牌号</w:t>
      </w:r>
      <w:bookmarkEnd w:id="0"/>
      <w:r>
        <w:rPr>
          <w:rFonts w:hint="eastAsia" w:ascii="宋体" w:hAnsi="宋体"/>
          <w:sz w:val="21"/>
          <w:szCs w:val="21"/>
        </w:rPr>
        <w:t>在</w:t>
      </w:r>
      <w:r>
        <w:rPr>
          <w:rFonts w:ascii="宋体" w:hAnsi="宋体"/>
          <w:color w:val="auto"/>
          <w:sz w:val="21"/>
          <w:szCs w:val="21"/>
        </w:rPr>
        <w:t xml:space="preserve">GB/T 37797-2019 </w:t>
      </w:r>
      <w:r>
        <w:rPr>
          <w:rFonts w:hint="eastAsia" w:ascii="宋体" w:hAnsi="宋体"/>
          <w:color w:val="auto"/>
          <w:sz w:val="21"/>
          <w:szCs w:val="21"/>
        </w:rPr>
        <w:t>《精密合金</w:t>
      </w:r>
      <w:r>
        <w:rPr>
          <w:rFonts w:ascii="宋体" w:hAnsi="宋体"/>
          <w:color w:val="auto"/>
          <w:sz w:val="21"/>
          <w:szCs w:val="21"/>
        </w:rPr>
        <w:t xml:space="preserve"> </w:t>
      </w:r>
      <w:r>
        <w:rPr>
          <w:rFonts w:hint="eastAsia" w:ascii="宋体" w:hAnsi="宋体"/>
          <w:color w:val="auto"/>
          <w:sz w:val="21"/>
          <w:szCs w:val="21"/>
        </w:rPr>
        <w:t>牌号》</w:t>
      </w:r>
      <w:r>
        <w:rPr>
          <w:rFonts w:hint="eastAsia" w:ascii="宋体" w:hAnsi="宋体"/>
          <w:sz w:val="21"/>
          <w:szCs w:val="21"/>
        </w:rPr>
        <w:t>中进行了系列更新，按照材料合金基本组成元素进行了细分，并编入合金牌号中更利于合金区分，由</w:t>
      </w:r>
      <w:r>
        <w:rPr>
          <w:rFonts w:ascii="宋体" w:hAnsi="宋体"/>
          <w:sz w:val="21"/>
          <w:szCs w:val="21"/>
        </w:rPr>
        <w:t>4</w:t>
      </w:r>
      <w:r>
        <w:rPr>
          <w:rFonts w:hint="eastAsia" w:ascii="宋体" w:hAnsi="宋体"/>
          <w:sz w:val="21"/>
          <w:szCs w:val="21"/>
        </w:rPr>
        <w:t>位牌号编号更新为</w:t>
      </w:r>
      <w:r>
        <w:rPr>
          <w:rFonts w:ascii="宋体" w:hAnsi="宋体"/>
          <w:sz w:val="21"/>
          <w:szCs w:val="21"/>
        </w:rPr>
        <w:t>5</w:t>
      </w:r>
      <w:r>
        <w:rPr>
          <w:rFonts w:hint="eastAsia" w:ascii="宋体" w:hAnsi="宋体"/>
          <w:sz w:val="21"/>
          <w:szCs w:val="21"/>
        </w:rPr>
        <w:t>位牌号编号，避免不同合金种类的精密电阻合金牌号重复、混乱等问题出现。</w:t>
      </w:r>
    </w:p>
    <w:p>
      <w:pPr>
        <w:spacing w:line="440" w:lineRule="exact"/>
        <w:ind w:firstLine="420" w:firstLineChars="200"/>
        <w:rPr>
          <w:rFonts w:ascii="宋体" w:hAnsi="宋体"/>
          <w:sz w:val="21"/>
          <w:szCs w:val="21"/>
        </w:rPr>
      </w:pPr>
      <w:r>
        <w:rPr>
          <w:rFonts w:hint="eastAsia" w:ascii="宋体" w:hAnsi="宋体"/>
          <w:sz w:val="21"/>
          <w:szCs w:val="21"/>
        </w:rPr>
        <w:t>铜基精密电阻合金目前已经发展到十余种牌号材料种类，比如</w:t>
      </w:r>
      <w:r>
        <w:rPr>
          <w:rFonts w:ascii="宋体" w:hAnsi="宋体"/>
          <w:sz w:val="21"/>
          <w:szCs w:val="21"/>
        </w:rPr>
        <w:t xml:space="preserve">GB/T 6145-2010 </w:t>
      </w:r>
      <w:r>
        <w:rPr>
          <w:rFonts w:hint="eastAsia" w:ascii="宋体" w:hAnsi="宋体"/>
          <w:sz w:val="21"/>
          <w:szCs w:val="21"/>
        </w:rPr>
        <w:t>《锰铜、康铜精密电阻合金线、片及带》</w:t>
      </w:r>
      <w:r>
        <w:rPr>
          <w:rFonts w:ascii="宋体" w:hAnsi="宋体"/>
          <w:sz w:val="21"/>
          <w:szCs w:val="21"/>
        </w:rPr>
        <w:t xml:space="preserve"> </w:t>
      </w:r>
      <w:r>
        <w:rPr>
          <w:rFonts w:hint="eastAsia" w:ascii="宋体" w:hAnsi="宋体"/>
          <w:sz w:val="21"/>
          <w:szCs w:val="21"/>
        </w:rPr>
        <w:t>、</w:t>
      </w:r>
      <w:r>
        <w:rPr>
          <w:rFonts w:ascii="宋体" w:hAnsi="宋体"/>
          <w:sz w:val="21"/>
          <w:szCs w:val="21"/>
        </w:rPr>
        <w:t xml:space="preserve">GB /T 6149-2010 </w:t>
      </w:r>
      <w:r>
        <w:rPr>
          <w:rFonts w:hint="eastAsia" w:ascii="宋体" w:hAnsi="宋体"/>
          <w:sz w:val="21"/>
          <w:szCs w:val="21"/>
        </w:rPr>
        <w:t>《新康铜电阻合金》、</w:t>
      </w:r>
      <w:r>
        <w:rPr>
          <w:rFonts w:ascii="宋体" w:hAnsi="宋体"/>
          <w:sz w:val="21"/>
          <w:szCs w:val="21"/>
        </w:rPr>
        <w:t>JB</w:t>
      </w:r>
      <w:r>
        <w:rPr>
          <w:rFonts w:hint="eastAsia" w:ascii="宋体" w:hAnsi="宋体"/>
          <w:sz w:val="21"/>
          <w:szCs w:val="21"/>
        </w:rPr>
        <w:t>∕</w:t>
      </w:r>
      <w:r>
        <w:rPr>
          <w:rFonts w:ascii="宋体" w:hAnsi="宋体"/>
          <w:sz w:val="21"/>
          <w:szCs w:val="21"/>
        </w:rPr>
        <w:t xml:space="preserve">T 5327-2014 </w:t>
      </w:r>
      <w:r>
        <w:rPr>
          <w:rFonts w:hint="eastAsia" w:ascii="宋体" w:hAnsi="宋体"/>
          <w:sz w:val="21"/>
          <w:szCs w:val="21"/>
        </w:rPr>
        <w:t>《锗锰铜电阻合金裸线及聚酯漆包线》等标准中提到的</w:t>
      </w:r>
      <w:r>
        <w:rPr>
          <w:rFonts w:ascii="宋体" w:hAnsi="宋体"/>
          <w:sz w:val="21"/>
          <w:szCs w:val="21"/>
        </w:rPr>
        <w:t>6J6</w:t>
      </w:r>
      <w:r>
        <w:rPr>
          <w:rFonts w:hint="eastAsia" w:ascii="宋体" w:hAnsi="宋体"/>
          <w:sz w:val="21"/>
          <w:szCs w:val="21"/>
        </w:rPr>
        <w:t>、</w:t>
      </w:r>
      <w:r>
        <w:rPr>
          <w:rFonts w:ascii="宋体" w:hAnsi="宋体"/>
          <w:sz w:val="21"/>
          <w:szCs w:val="21"/>
        </w:rPr>
        <w:t>6J8</w:t>
      </w:r>
      <w:r>
        <w:rPr>
          <w:rFonts w:hint="eastAsia" w:ascii="宋体" w:hAnsi="宋体"/>
          <w:sz w:val="21"/>
          <w:szCs w:val="21"/>
        </w:rPr>
        <w:t>、</w:t>
      </w:r>
      <w:r>
        <w:rPr>
          <w:rFonts w:ascii="宋体" w:hAnsi="宋体"/>
          <w:sz w:val="21"/>
          <w:szCs w:val="21"/>
        </w:rPr>
        <w:t>6J11</w:t>
      </w:r>
      <w:r>
        <w:rPr>
          <w:rFonts w:hint="eastAsia" w:ascii="宋体" w:hAnsi="宋体"/>
          <w:sz w:val="21"/>
          <w:szCs w:val="21"/>
        </w:rPr>
        <w:t>、</w:t>
      </w:r>
      <w:r>
        <w:rPr>
          <w:rFonts w:ascii="宋体" w:hAnsi="宋体"/>
          <w:sz w:val="21"/>
          <w:szCs w:val="21"/>
        </w:rPr>
        <w:t>6J12</w:t>
      </w:r>
      <w:r>
        <w:rPr>
          <w:rFonts w:hint="eastAsia" w:ascii="宋体" w:hAnsi="宋体"/>
          <w:sz w:val="21"/>
          <w:szCs w:val="21"/>
        </w:rPr>
        <w:t>、</w:t>
      </w:r>
      <w:r>
        <w:rPr>
          <w:rFonts w:ascii="宋体" w:hAnsi="宋体"/>
          <w:sz w:val="21"/>
          <w:szCs w:val="21"/>
        </w:rPr>
        <w:t>6J13</w:t>
      </w:r>
      <w:r>
        <w:rPr>
          <w:rFonts w:hint="eastAsia" w:ascii="宋体" w:hAnsi="宋体"/>
          <w:sz w:val="21"/>
          <w:szCs w:val="21"/>
        </w:rPr>
        <w:t>等铜基精密电阻合金牌号，目前铜基精密电阻合金牌号存在位数不统一、材料种类不明确等问题，行业内没有形成与</w:t>
      </w:r>
      <w:r>
        <w:rPr>
          <w:rFonts w:hint="eastAsia" w:ascii="宋体" w:hAnsi="宋体"/>
          <w:color w:val="auto"/>
          <w:sz w:val="21"/>
          <w:szCs w:val="21"/>
        </w:rPr>
        <w:t>全国钢标准委员会归口的</w:t>
      </w:r>
      <w:r>
        <w:rPr>
          <w:rFonts w:ascii="宋体" w:hAnsi="宋体"/>
          <w:color w:val="auto"/>
          <w:sz w:val="21"/>
          <w:szCs w:val="21"/>
        </w:rPr>
        <w:t xml:space="preserve">GB/T 37797-2019 </w:t>
      </w:r>
      <w:r>
        <w:rPr>
          <w:rFonts w:hint="eastAsia" w:ascii="宋体" w:hAnsi="宋体"/>
          <w:color w:val="auto"/>
          <w:sz w:val="21"/>
          <w:szCs w:val="21"/>
        </w:rPr>
        <w:t>《精密合金</w:t>
      </w:r>
      <w:r>
        <w:rPr>
          <w:rFonts w:ascii="宋体" w:hAnsi="宋体"/>
          <w:color w:val="auto"/>
          <w:sz w:val="21"/>
          <w:szCs w:val="21"/>
        </w:rPr>
        <w:t xml:space="preserve"> </w:t>
      </w:r>
      <w:r>
        <w:rPr>
          <w:rFonts w:hint="eastAsia" w:ascii="宋体" w:hAnsi="宋体"/>
          <w:color w:val="auto"/>
          <w:sz w:val="21"/>
          <w:szCs w:val="21"/>
        </w:rPr>
        <w:t>牌</w:t>
      </w:r>
      <w:r>
        <w:rPr>
          <w:rFonts w:hint="eastAsia" w:ascii="宋体" w:hAnsi="宋体"/>
          <w:sz w:val="21"/>
          <w:szCs w:val="21"/>
        </w:rPr>
        <w:t>号》类似的关于铜基精密电阻合金牌号系列的标准，阻碍了铜基精密电阻合金材料的应用和发展。</w:t>
      </w:r>
    </w:p>
    <w:p>
      <w:pPr>
        <w:spacing w:line="440" w:lineRule="exact"/>
        <w:ind w:firstLine="420" w:firstLineChars="200"/>
      </w:pPr>
      <w:r>
        <w:rPr>
          <w:rFonts w:hint="eastAsia" w:ascii="宋体" w:hAnsi="宋体"/>
          <w:sz w:val="21"/>
          <w:szCs w:val="21"/>
        </w:rPr>
        <w:t>因此，起草制定《铜基精密电阻合金牌号》标准具有非常重要的现实意义，能弥补解决目前市场上针对铜基精密电阻合金牌号不适应</w:t>
      </w:r>
      <w:r>
        <w:rPr>
          <w:rFonts w:hint="eastAsia" w:ascii="宋体" w:hAnsi="宋体"/>
          <w:sz w:val="21"/>
          <w:szCs w:val="21"/>
          <w:lang w:val="en-US" w:eastAsia="zh-CN"/>
        </w:rPr>
        <w:t>材料</w:t>
      </w:r>
      <w:r>
        <w:rPr>
          <w:rFonts w:hint="eastAsia" w:ascii="宋体" w:hAnsi="宋体"/>
          <w:sz w:val="21"/>
          <w:szCs w:val="21"/>
        </w:rPr>
        <w:t>目前发展应用和</w:t>
      </w:r>
      <w:r>
        <w:rPr>
          <w:rFonts w:hint="eastAsia" w:ascii="宋体" w:hAnsi="宋体"/>
          <w:sz w:val="21"/>
          <w:szCs w:val="21"/>
          <w:lang w:val="en-US" w:eastAsia="zh-CN"/>
        </w:rPr>
        <w:t>牌号不规范</w:t>
      </w:r>
      <w:r>
        <w:rPr>
          <w:rFonts w:hint="eastAsia" w:ascii="宋体" w:hAnsi="宋体"/>
          <w:sz w:val="21"/>
          <w:szCs w:val="21"/>
        </w:rPr>
        <w:t>的问题，同时推动铜基精密电阻合金产品的技术发展，为</w:t>
      </w:r>
      <w:r>
        <w:rPr>
          <w:rFonts w:hint="eastAsia" w:ascii="宋体" w:hAnsi="宋体"/>
          <w:sz w:val="21"/>
          <w:szCs w:val="21"/>
          <w:lang w:val="en-US" w:eastAsia="zh-CN"/>
        </w:rPr>
        <w:t>国家</w:t>
      </w:r>
      <w:r>
        <w:rPr>
          <w:rFonts w:hint="eastAsia" w:ascii="宋体" w:hAnsi="宋体"/>
          <w:sz w:val="21"/>
          <w:szCs w:val="21"/>
        </w:rPr>
        <w:t>十四五规划重点产业之一信息技术产业提供支撑，</w:t>
      </w:r>
      <w:r>
        <w:rPr>
          <w:rFonts w:ascii="宋体" w:hAnsi="宋体"/>
          <w:sz w:val="21"/>
          <w:szCs w:val="21"/>
        </w:rPr>
        <w:t xml:space="preserve"> </w:t>
      </w:r>
      <w:r>
        <w:rPr>
          <w:rFonts w:hint="eastAsia" w:ascii="宋体" w:hAnsi="宋体"/>
          <w:sz w:val="21"/>
          <w:szCs w:val="21"/>
        </w:rPr>
        <w:t>提升电路类元器件基础材料的高端应用。</w:t>
      </w:r>
    </w:p>
    <w:p>
      <w:pPr>
        <w:pStyle w:val="16"/>
        <w:spacing w:beforeLines="0" w:afterLines="0" w:line="440" w:lineRule="exact"/>
        <w:outlineLvl w:val="9"/>
        <w:rPr>
          <w:rFonts w:hAnsi="黑体" w:cs="黑体"/>
          <w:szCs w:val="21"/>
        </w:rPr>
      </w:pPr>
      <w:r>
        <w:rPr>
          <w:rFonts w:hint="eastAsia" w:hAnsi="黑体" w:cs="黑体"/>
          <w:szCs w:val="21"/>
        </w:rPr>
        <w:t>1.3主要参加单位和工作成员所作的工作</w:t>
      </w:r>
    </w:p>
    <w:p>
      <w:pPr>
        <w:spacing w:line="440" w:lineRule="exact"/>
        <w:ind w:firstLine="420" w:firstLineChars="200"/>
        <w:rPr>
          <w:rFonts w:ascii="宋体" w:hAnsi="宋体"/>
          <w:szCs w:val="21"/>
        </w:rPr>
      </w:pPr>
      <w:r>
        <w:rPr>
          <w:rFonts w:hint="eastAsia" w:ascii="宋体" w:hAnsi="宋体"/>
          <w:szCs w:val="21"/>
        </w:rPr>
        <w:t>厦门火炬特种金属材料有限公司（简称“厦门火炬特材”）成立于1992年，属中国有研科技集团有限公司控股公司。专业从事铜基材料的研发、生产、销售和技术服务，开发出铜锰镍系精密电阻合金并形成板、带、线、型材的批量化生产能力。在标准编制过程中，能积极主动收集国内外的铜基精密电阻合金标准</w:t>
      </w:r>
      <w:r>
        <w:rPr>
          <w:rFonts w:hint="eastAsia" w:ascii="宋体" w:hAnsi="宋体"/>
          <w:szCs w:val="21"/>
          <w:lang w:val="en-US" w:eastAsia="zh-CN"/>
        </w:rPr>
        <w:t>材料</w:t>
      </w:r>
      <w:r>
        <w:rPr>
          <w:rFonts w:hint="eastAsia" w:ascii="宋体" w:hAnsi="宋体"/>
          <w:szCs w:val="21"/>
        </w:rPr>
        <w:t>，了解铜基精密电阻合金市场</w:t>
      </w:r>
      <w:r>
        <w:rPr>
          <w:rFonts w:hint="eastAsia" w:ascii="宋体" w:hAnsi="宋体"/>
          <w:szCs w:val="21"/>
          <w:lang w:val="en-US" w:eastAsia="zh-CN"/>
        </w:rPr>
        <w:t>状态</w:t>
      </w:r>
      <w:r>
        <w:rPr>
          <w:rFonts w:hint="eastAsia" w:ascii="宋体" w:hAnsi="宋体"/>
          <w:szCs w:val="21"/>
        </w:rPr>
        <w:t>，到相关用户单位跟踪、调研实际使用情况，编制试验方案，统计测试数据。公司牵头及组建编制组</w:t>
      </w:r>
      <w:r>
        <w:rPr>
          <w:rFonts w:hint="eastAsia" w:ascii="宋体" w:hAnsi="宋体"/>
          <w:szCs w:val="21"/>
          <w:lang w:val="en-US" w:eastAsia="zh-CN"/>
        </w:rPr>
        <w:t>进行</w:t>
      </w:r>
      <w:r>
        <w:rPr>
          <w:rFonts w:hint="eastAsia" w:ascii="宋体" w:hAnsi="宋体"/>
          <w:szCs w:val="21"/>
        </w:rPr>
        <w:t>标准的制订工作。</w:t>
      </w:r>
    </w:p>
    <w:p>
      <w:pPr>
        <w:spacing w:line="440" w:lineRule="exact"/>
        <w:ind w:firstLine="420" w:firstLineChars="200"/>
        <w:rPr>
          <w:rFonts w:ascii="宋体" w:hAnsi="宋体"/>
          <w:szCs w:val="21"/>
        </w:rPr>
      </w:pPr>
      <w:r>
        <w:rPr>
          <w:rFonts w:hint="eastAsia" w:ascii="宋体" w:hAnsi="宋体"/>
          <w:szCs w:val="21"/>
        </w:rPr>
        <w:t>有研金属复材（忻州）有限公司（简称“忻州复材”）</w:t>
      </w:r>
      <w:r>
        <w:rPr>
          <w:rFonts w:hint="eastAsia" w:ascii="宋体" w:hAnsi="宋体"/>
          <w:szCs w:val="21"/>
          <w:lang w:val="en-US" w:eastAsia="zh-CN"/>
        </w:rPr>
        <w:t>为中国有研新成立控股子公司，</w:t>
      </w:r>
      <w:r>
        <w:rPr>
          <w:rFonts w:hint="eastAsia" w:ascii="宋体" w:hAnsi="宋体"/>
          <w:szCs w:val="21"/>
        </w:rPr>
        <w:t>专业从事高性能特种有色金属的制备加工</w:t>
      </w:r>
      <w:r>
        <w:rPr>
          <w:rFonts w:hint="eastAsia" w:ascii="宋体" w:hAnsi="宋体"/>
          <w:szCs w:val="21"/>
          <w:lang w:eastAsia="zh-CN"/>
        </w:rPr>
        <w:t>，</w:t>
      </w:r>
      <w:r>
        <w:rPr>
          <w:rFonts w:hint="eastAsia" w:ascii="宋体" w:hAnsi="宋体"/>
          <w:szCs w:val="21"/>
          <w:lang w:val="en-US" w:eastAsia="zh-CN"/>
        </w:rPr>
        <w:t>其管理、研发、生产、销售等团队</w:t>
      </w:r>
      <w:r>
        <w:rPr>
          <w:rFonts w:hint="eastAsia" w:ascii="宋体" w:hAnsi="宋体"/>
          <w:szCs w:val="21"/>
        </w:rPr>
        <w:t>在铜基精密电阻合金设计、制备和销售方面</w:t>
      </w:r>
      <w:r>
        <w:rPr>
          <w:rFonts w:hint="eastAsia" w:ascii="宋体" w:hAnsi="宋体"/>
          <w:szCs w:val="21"/>
          <w:lang w:val="en-US" w:eastAsia="zh-CN"/>
        </w:rPr>
        <w:t>具有丰富的从业</w:t>
      </w:r>
      <w:r>
        <w:rPr>
          <w:rFonts w:hint="eastAsia" w:ascii="宋体" w:hAnsi="宋体"/>
          <w:szCs w:val="21"/>
        </w:rPr>
        <w:t>经验。在此次标准编制工作中，忻州复材积极配合编制组向其使用客户广泛搜集铜基精密电阻合金的样品、性能数据和使用情况。同时配合编制组调研铜基精密电阻合金在国内外市场的需求及发展情况，积极参与到制订内容的编制工作中。</w:t>
      </w:r>
    </w:p>
    <w:p>
      <w:pPr>
        <w:spacing w:line="440" w:lineRule="exact"/>
        <w:ind w:firstLine="420" w:firstLineChars="200"/>
        <w:rPr>
          <w:rFonts w:ascii="宋体" w:hAnsi="宋体"/>
          <w:szCs w:val="21"/>
        </w:rPr>
      </w:pPr>
      <w:r>
        <w:rPr>
          <w:rFonts w:hint="eastAsia" w:ascii="宋体" w:hAnsi="宋体"/>
          <w:szCs w:val="21"/>
        </w:rPr>
        <w:t>深圳毫欧电子有限公司（简称“毫欧电子”）成立于2009年，致力于毫欧级电子采样取样电阻的研发与设计，专业生产高精密合金电阻，产品主要包括汽车分流器、贴片电阻、插件电阻等精密电阻元器件，2015年采用新工艺生产1-15W大功率贴片合金电阻、高精密电流采样电阻，共获得20余件国家专利。在此次标准编制工作中，毫欧电子负责铜基精密电阻合金元器件使用客户信息采集，提供铜基精密电阻合金元器件特性、用途及适用等分析数据，积极参与讨论本标准制订内容的编制工作。</w:t>
      </w:r>
    </w:p>
    <w:p>
      <w:pPr>
        <w:spacing w:line="440" w:lineRule="exact"/>
        <w:ind w:firstLine="420" w:firstLineChars="200"/>
        <w:rPr>
          <w:rFonts w:ascii="宋体" w:hAnsi="宋体"/>
          <w:szCs w:val="21"/>
        </w:rPr>
      </w:pPr>
      <w:r>
        <w:rPr>
          <w:rFonts w:hint="eastAsia" w:ascii="宋体" w:hAnsi="宋体"/>
          <w:szCs w:val="21"/>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spacing w:line="440" w:lineRule="exact"/>
        <w:ind w:firstLine="420" w:firstLineChars="200"/>
        <w:rPr>
          <w:rFonts w:ascii="宋体" w:hAnsi="宋体"/>
          <w:szCs w:val="21"/>
        </w:rPr>
      </w:pPr>
      <w:r>
        <w:rPr>
          <w:rFonts w:hint="eastAsia" w:ascii="宋体" w:hAnsi="宋体"/>
          <w:szCs w:val="21"/>
        </w:rPr>
        <w:t>本标准主要起草人及工作职责见表1。</w:t>
      </w:r>
    </w:p>
    <w:p>
      <w:pPr>
        <w:spacing w:line="360" w:lineRule="auto"/>
        <w:ind w:firstLine="420"/>
        <w:jc w:val="center"/>
        <w:rPr>
          <w:rFonts w:ascii="Times New Roman" w:hAnsi="Times New Roman" w:eastAsia="黑体" w:cs="Times New Roman"/>
          <w:szCs w:val="28"/>
        </w:rPr>
      </w:pPr>
      <w:r>
        <w:rPr>
          <w:rFonts w:ascii="Times New Roman" w:hAnsi="Times New Roman" w:eastAsia="黑体" w:cs="Times New Roman"/>
          <w:szCs w:val="28"/>
        </w:rPr>
        <w:t>表1 主要起草人及工作职责</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12" w:space="0"/>
            </w:tcBorders>
            <w:vAlign w:val="center"/>
          </w:tcPr>
          <w:p>
            <w:pPr>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起草人</w:t>
            </w:r>
          </w:p>
        </w:tc>
        <w:tc>
          <w:tcPr>
            <w:tcW w:w="7563" w:type="dxa"/>
            <w:tcBorders>
              <w:top w:val="single" w:color="auto" w:sz="12" w:space="0"/>
              <w:bottom w:val="single" w:color="auto" w:sz="12" w:space="0"/>
              <w:right w:val="single" w:color="auto" w:sz="12" w:space="0"/>
            </w:tcBorders>
            <w:vAlign w:val="center"/>
          </w:tcPr>
          <w:p>
            <w:pPr>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温军国</w:t>
            </w:r>
          </w:p>
        </w:tc>
        <w:tc>
          <w:tcPr>
            <w:tcW w:w="7563" w:type="dxa"/>
            <w:tcBorders>
              <w:top w:val="single" w:color="auto" w:sz="12" w:space="0"/>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负责铜基精密电阻合金标准方案制定、产品情况调研、资料搜集、标准技术内容的理论指导和审核等。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8"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李晨阳</w:t>
            </w:r>
          </w:p>
        </w:tc>
        <w:tc>
          <w:tcPr>
            <w:tcW w:w="7563" w:type="dxa"/>
            <w:tcBorders>
              <w:top w:val="single" w:color="auto" w:sz="12" w:space="0"/>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负责铜基精密电阻合金标准方案产品情况调研、资料搜集，编写标准技术内容等。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李祥</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负责方案制订、组织协调产品的调研、技术参数的确定、为项目提供保障等。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马志新</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参与方案制订、组织协调产品的调研、技术参数的确定、为项目提供保障等。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fldChar w:fldCharType="begin"/>
            </w:r>
            <w:r>
              <w:instrText xml:space="preserve"> HYPERLINK "https://aiqicha.baidu.com/person?personId=18d6bc1a95fa944fdf97091f4805964e&amp;entry=2115" \t "https://aiqicha.baidu.com/_blank" </w:instrText>
            </w:r>
            <w:r>
              <w:fldChar w:fldCharType="separate"/>
            </w:r>
            <w:r>
              <w:rPr>
                <w:rFonts w:ascii="Times New Roman" w:hAnsi="Times New Roman" w:cs="Times New Roman"/>
                <w:sz w:val="18"/>
                <w:szCs w:val="18"/>
              </w:rPr>
              <w:t>郑志敏</w:t>
            </w:r>
            <w:r>
              <w:rPr>
                <w:rFonts w:ascii="Times New Roman" w:hAnsi="Times New Roman" w:cs="Times New Roman"/>
                <w:sz w:val="18"/>
                <w:szCs w:val="18"/>
              </w:rPr>
              <w:fldChar w:fldCharType="end"/>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参与方案制订，负责提供铜基精密电阻合金元器件特性、用途、适用及市场等数据搜集工作。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陈松</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参与方案制订，负责检测样品的收集与制备等。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59" w:type="dxa"/>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邹宏辉</w:t>
            </w:r>
          </w:p>
        </w:tc>
        <w:tc>
          <w:tcPr>
            <w:tcW w:w="7563" w:type="dxa"/>
            <w:tcBorders>
              <w:right w:val="single" w:color="auto" w:sz="12" w:space="0"/>
            </w:tcBorders>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参与方案制订，参与产品的调研、技术参数的确定等。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史学栋</w:t>
            </w:r>
          </w:p>
        </w:tc>
        <w:tc>
          <w:tcPr>
            <w:tcW w:w="7563" w:type="dxa"/>
            <w:tcBorders>
              <w:right w:val="single" w:color="auto" w:sz="12" w:space="0"/>
            </w:tcBorders>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参与方案制订，参与产品的调研、技术参数的确定等。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韩莉</w:t>
            </w:r>
          </w:p>
        </w:tc>
        <w:tc>
          <w:tcPr>
            <w:tcW w:w="7563" w:type="dxa"/>
            <w:tcBorders>
              <w:right w:val="single" w:color="auto" w:sz="12" w:space="0"/>
            </w:tcBorders>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参与方案制订，参与产品的调研、标准编制、校准、定稿等工作。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陈雄飞</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参与方案制订，负责产品的分析、测试等工作。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陈东旭</w:t>
            </w:r>
          </w:p>
        </w:tc>
        <w:tc>
          <w:tcPr>
            <w:tcW w:w="7563" w:type="dxa"/>
            <w:tcBorders>
              <w:right w:val="single" w:color="auto" w:sz="12" w:space="0"/>
            </w:tcBorders>
            <w:vAlign w:val="center"/>
          </w:tcPr>
          <w:p>
            <w:pPr>
              <w:jc w:val="left"/>
              <w:rPr>
                <w:rFonts w:ascii="Times New Roman" w:hAnsi="Times New Roman" w:cs="Times New Roman"/>
                <w:sz w:val="18"/>
                <w:szCs w:val="18"/>
              </w:rPr>
            </w:pPr>
            <w:r>
              <w:rPr>
                <w:rFonts w:hint="eastAsia" w:ascii="Times New Roman" w:hAnsi="Times New Roman" w:cs="Times New Roman"/>
                <w:sz w:val="18"/>
                <w:szCs w:val="18"/>
              </w:rPr>
              <w:t>参与方案定制，参与标准编制、校准、定稿等工作。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 w:author="温" w:date="2023-05-05T18:10:30Z"/>
        </w:trPr>
        <w:tc>
          <w:tcPr>
            <w:tcW w:w="959" w:type="dxa"/>
            <w:tcBorders>
              <w:left w:val="single" w:color="auto" w:sz="12" w:space="0"/>
            </w:tcBorders>
            <w:vAlign w:val="center"/>
          </w:tcPr>
          <w:p>
            <w:pPr>
              <w:jc w:val="center"/>
              <w:rPr>
                <w:ins w:id="5" w:author="温" w:date="2023-05-05T18:10:30Z"/>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纪连芹</w:t>
            </w:r>
          </w:p>
        </w:tc>
        <w:tc>
          <w:tcPr>
            <w:tcW w:w="7563" w:type="dxa"/>
            <w:tcBorders>
              <w:right w:val="single" w:color="auto" w:sz="12" w:space="0"/>
            </w:tcBorders>
            <w:vAlign w:val="center"/>
          </w:tcPr>
          <w:p>
            <w:pPr>
              <w:jc w:val="left"/>
              <w:rPr>
                <w:ins w:id="6" w:author="温" w:date="2023-05-05T18:10:30Z"/>
                <w:rFonts w:hint="eastAsia" w:ascii="Times New Roman" w:hAnsi="Times New Roman" w:cs="Times New Roman"/>
                <w:sz w:val="18"/>
                <w:szCs w:val="18"/>
              </w:rPr>
            </w:pPr>
            <w:r>
              <w:rPr>
                <w:rFonts w:hint="eastAsia" w:ascii="Times New Roman" w:hAnsi="Times New Roman" w:cs="Times New Roman"/>
                <w:sz w:val="18"/>
                <w:szCs w:val="18"/>
              </w:rPr>
              <w:t>参与方案定制，参与标准编制、校准、定稿等工作。</w:t>
            </w:r>
          </w:p>
        </w:tc>
      </w:tr>
    </w:tbl>
    <w:p>
      <w:pPr>
        <w:pStyle w:val="2"/>
      </w:pPr>
    </w:p>
    <w:p>
      <w:pPr>
        <w:pStyle w:val="16"/>
        <w:spacing w:beforeLines="0" w:afterLines="0" w:line="440" w:lineRule="exact"/>
        <w:outlineLvl w:val="9"/>
        <w:rPr>
          <w:rFonts w:hAnsi="黑体" w:cs="黑体"/>
          <w:szCs w:val="21"/>
        </w:rPr>
      </w:pPr>
      <w:commentRangeStart w:id="0"/>
      <w:r>
        <w:rPr>
          <w:rFonts w:hint="eastAsia" w:hAnsi="黑体" w:cs="黑体"/>
          <w:szCs w:val="21"/>
        </w:rPr>
        <w:t>1.4 主要工作过程</w:t>
      </w:r>
      <w:commentRangeEnd w:id="0"/>
      <w:r>
        <w:commentReference w:id="0"/>
      </w:r>
    </w:p>
    <w:p>
      <w:pPr>
        <w:rPr>
          <w:color w:val="C00000"/>
        </w:rPr>
      </w:pPr>
      <w:r>
        <w:rPr>
          <w:rFonts w:hint="eastAsia" w:hAnsi="黑体" w:cs="黑体"/>
          <w:szCs w:val="21"/>
        </w:rPr>
        <w:t>【指的是从项目开始预研，直至完成标准报批稿期间的所有工作，应体现出编制工作组的工作量和征求意见的充分程度。</w:t>
      </w:r>
      <w:r>
        <w:rPr>
          <w:rFonts w:hint="eastAsia" w:hAnsi="黑体" w:cs="黑体"/>
          <w:color w:val="0000FF"/>
          <w:szCs w:val="21"/>
        </w:rPr>
        <w:t>以下条款固定，不应随意更改</w:t>
      </w:r>
      <w:r>
        <w:rPr>
          <w:rFonts w:hint="eastAsia" w:hAnsi="黑体" w:cs="黑体"/>
          <w:szCs w:val="21"/>
        </w:rPr>
        <w:t>】</w:t>
      </w:r>
      <w:r>
        <w:rPr>
          <w:rFonts w:hint="eastAsia" w:hAnsi="黑体" w:cs="黑体"/>
          <w:color w:val="C00000"/>
          <w:szCs w:val="21"/>
        </w:rPr>
        <w:t>【不同阶段未到的可以先空着，条款保留。】</w:t>
      </w:r>
    </w:p>
    <w:p>
      <w:pPr>
        <w:rPr>
          <w:rFonts w:ascii="黑体" w:hAnsi="黑体" w:eastAsia="黑体" w:cs="黑体"/>
          <w:kern w:val="0"/>
          <w:szCs w:val="21"/>
        </w:rPr>
      </w:pPr>
      <w:r>
        <w:rPr>
          <w:rFonts w:hint="eastAsia" w:ascii="黑体" w:hAnsi="黑体" w:eastAsia="黑体" w:cs="黑体"/>
          <w:kern w:val="0"/>
          <w:szCs w:val="21"/>
        </w:rPr>
        <w:t>1.4.1预研阶段</w:t>
      </w:r>
    </w:p>
    <w:p>
      <w:pPr>
        <w:ind w:firstLine="420" w:firstLineChars="200"/>
        <w:rPr>
          <w:rFonts w:hAnsi="黑体" w:cs="黑体"/>
          <w:szCs w:val="21"/>
        </w:rPr>
      </w:pPr>
      <w:r>
        <w:rPr>
          <w:rFonts w:hint="eastAsia" w:hAnsi="黑体" w:cs="黑体"/>
          <w:szCs w:val="21"/>
        </w:rPr>
        <w:t>厦门火炬特材及忻州复材相关技术人员对国内外铜基精密电阻合金进行充分调研，</w:t>
      </w:r>
      <w:r>
        <w:rPr>
          <w:rFonts w:hint="eastAsia" w:hAnsi="黑体" w:cs="黑体"/>
          <w:szCs w:val="21"/>
          <w:lang w:val="en-US" w:eastAsia="zh-CN"/>
        </w:rPr>
        <w:t>针对</w:t>
      </w:r>
      <w:r>
        <w:rPr>
          <w:rFonts w:hint="eastAsia" w:hAnsi="黑体" w:cs="黑体"/>
          <w:szCs w:val="21"/>
        </w:rPr>
        <w:t>前铜基精密电阻合金化学成分、使用状况、性能指标等进行了分析整理。除原标准中的牌号外，还增加了其它</w:t>
      </w:r>
      <w:r>
        <w:rPr>
          <w:rFonts w:hint="eastAsia" w:hAnsi="黑体" w:cs="黑体"/>
          <w:szCs w:val="21"/>
          <w:lang w:val="en-US" w:eastAsia="zh-CN"/>
        </w:rPr>
        <w:t>新</w:t>
      </w:r>
      <w:r>
        <w:rPr>
          <w:rFonts w:hint="eastAsia" w:hAnsi="黑体" w:cs="黑体"/>
          <w:szCs w:val="21"/>
        </w:rPr>
        <w:t>牌号，使其在生产应用中更具指导意义。</w:t>
      </w:r>
    </w:p>
    <w:p>
      <w:pPr>
        <w:rPr>
          <w:rFonts w:ascii="黑体" w:hAnsi="黑体" w:eastAsia="黑体" w:cs="黑体"/>
          <w:kern w:val="0"/>
          <w:szCs w:val="21"/>
        </w:rPr>
      </w:pPr>
      <w:r>
        <w:rPr>
          <w:rFonts w:hint="eastAsia" w:ascii="黑体" w:hAnsi="黑体" w:eastAsia="黑体" w:cs="黑体"/>
          <w:kern w:val="0"/>
          <w:szCs w:val="21"/>
        </w:rPr>
        <w:t>1.4.2标准立项</w:t>
      </w:r>
    </w:p>
    <w:p>
      <w:pPr>
        <w:ind w:firstLine="420" w:firstLineChars="200"/>
        <w:rPr>
          <w:rFonts w:hAnsi="黑体" w:cs="黑体"/>
          <w:szCs w:val="21"/>
        </w:rPr>
      </w:pPr>
      <w:r>
        <w:rPr>
          <w:rFonts w:hint="eastAsia" w:hAnsi="黑体" w:cs="黑体"/>
          <w:szCs w:val="21"/>
        </w:rPr>
        <w:t>全国有色金属标准化技术委员会发文</w:t>
      </w:r>
      <w:r>
        <w:rPr>
          <w:rFonts w:hint="eastAsia" w:cs="黑体" w:asciiTheme="minorEastAsia" w:hAnsiTheme="minorEastAsia"/>
          <w:szCs w:val="21"/>
        </w:rPr>
        <w:t>（</w:t>
      </w:r>
      <w:r>
        <w:rPr>
          <w:rFonts w:cs="黑体" w:asciiTheme="minorEastAsia" w:hAnsiTheme="minorEastAsia"/>
          <w:szCs w:val="21"/>
        </w:rPr>
        <w:t>2021</w:t>
      </w:r>
      <w:r>
        <w:rPr>
          <w:rFonts w:hint="eastAsia" w:cs="黑体" w:asciiTheme="minorEastAsia" w:hAnsiTheme="minorEastAsia"/>
          <w:szCs w:val="21"/>
        </w:rPr>
        <w:t>）第</w:t>
      </w:r>
      <w:r>
        <w:rPr>
          <w:rFonts w:cs="黑体" w:asciiTheme="minorEastAsia" w:hAnsiTheme="minorEastAsia"/>
          <w:szCs w:val="21"/>
        </w:rPr>
        <w:t>28</w:t>
      </w:r>
      <w:r>
        <w:rPr>
          <w:rFonts w:hint="eastAsia" w:cs="黑体" w:asciiTheme="minorEastAsia" w:hAnsiTheme="minorEastAsia"/>
          <w:szCs w:val="21"/>
        </w:rPr>
        <w:t>号文，于</w:t>
      </w:r>
      <w:r>
        <w:rPr>
          <w:rFonts w:cs="黑体" w:asciiTheme="minorEastAsia" w:hAnsiTheme="minorEastAsia"/>
          <w:szCs w:val="21"/>
        </w:rPr>
        <w:t>2021</w:t>
      </w:r>
      <w:r>
        <w:rPr>
          <w:rFonts w:hint="eastAsia" w:cs="黑体" w:asciiTheme="minorEastAsia" w:hAnsiTheme="minorEastAsia"/>
          <w:szCs w:val="21"/>
        </w:rPr>
        <w:t>年</w:t>
      </w:r>
      <w:r>
        <w:rPr>
          <w:rFonts w:cs="黑体" w:asciiTheme="minorEastAsia" w:hAnsiTheme="minorEastAsia"/>
          <w:szCs w:val="21"/>
        </w:rPr>
        <w:t>4</w:t>
      </w:r>
      <w:r>
        <w:rPr>
          <w:rFonts w:hint="eastAsia" w:cs="黑体" w:asciiTheme="minorEastAsia" w:hAnsiTheme="minorEastAsia"/>
          <w:szCs w:val="21"/>
        </w:rPr>
        <w:t>月</w:t>
      </w:r>
      <w:r>
        <w:rPr>
          <w:rFonts w:cs="黑体" w:asciiTheme="minorEastAsia" w:hAnsiTheme="minorEastAsia"/>
          <w:szCs w:val="21"/>
        </w:rPr>
        <w:t>21</w:t>
      </w:r>
      <w:r>
        <w:rPr>
          <w:rFonts w:hint="eastAsia" w:cs="黑体" w:asciiTheme="minorEastAsia" w:hAnsiTheme="minorEastAsia"/>
          <w:szCs w:val="21"/>
        </w:rPr>
        <w:t>日</w:t>
      </w:r>
      <w:r>
        <w:rPr>
          <w:rFonts w:cs="黑体" w:asciiTheme="minorEastAsia" w:hAnsiTheme="minorEastAsia"/>
          <w:szCs w:val="21"/>
        </w:rPr>
        <w:t>-22</w:t>
      </w:r>
      <w:r>
        <w:rPr>
          <w:rFonts w:hint="eastAsia" w:cs="黑体" w:asciiTheme="minorEastAsia" w:hAnsiTheme="minorEastAsia"/>
          <w:szCs w:val="21"/>
        </w:rPr>
        <w:t>日</w:t>
      </w:r>
      <w:r>
        <w:rPr>
          <w:rFonts w:hint="eastAsia" w:hAnsi="黑体" w:cs="黑体"/>
          <w:szCs w:val="21"/>
        </w:rPr>
        <w:t>在贵州贵阳市召开有色金属标准项目论证会暨标准制修订工作会议。在此次会上，厦门火炬特种金属材料有限公司及有研金属复材（忻州）有限公司相关技术人员根据调研情况，将收集的资料进行汇总，提出了《铜基精密电阻合金牌号及化学成分》制订计划、立项报告稿</w:t>
      </w:r>
      <w:r>
        <w:rPr>
          <w:rFonts w:hint="eastAsia" w:cs="黑体" w:asciiTheme="minorEastAsia" w:hAnsiTheme="minorEastAsia"/>
          <w:szCs w:val="21"/>
        </w:rPr>
        <w:t>（</w:t>
      </w:r>
      <w:r>
        <w:rPr>
          <w:rFonts w:cs="黑体" w:asciiTheme="minorEastAsia" w:hAnsiTheme="minorEastAsia"/>
          <w:szCs w:val="21"/>
        </w:rPr>
        <w:t>1</w:t>
      </w:r>
      <w:r>
        <w:rPr>
          <w:rFonts w:hint="eastAsia" w:cs="黑体" w:asciiTheme="minorEastAsia" w:hAnsiTheme="minorEastAsia"/>
          <w:szCs w:val="21"/>
        </w:rPr>
        <w:t>）和草案稿（</w:t>
      </w:r>
      <w:r>
        <w:rPr>
          <w:rFonts w:cs="黑体" w:asciiTheme="minorEastAsia" w:hAnsiTheme="minorEastAsia"/>
          <w:szCs w:val="21"/>
        </w:rPr>
        <w:t>1</w:t>
      </w:r>
      <w:r>
        <w:rPr>
          <w:rFonts w:hint="eastAsia" w:cs="黑体" w:asciiTheme="minorEastAsia" w:hAnsiTheme="minorEastAsia"/>
          <w:szCs w:val="21"/>
        </w:rPr>
        <w:t>）</w:t>
      </w:r>
      <w:r>
        <w:rPr>
          <w:rFonts w:hint="eastAsia" w:hAnsi="黑体" w:cs="黑体"/>
          <w:szCs w:val="21"/>
        </w:rPr>
        <w:t>。与会专家和企业代表认真研究和讨论。全体委员会议论证结论为同意该项目立项。由秘书处进行确认。会后，编制组邀请深圳毫欧电子有限公司及国标（北京）检验认证有限公司共同组建了编写组。根据收集到的信息，汇总整理后，形成了草案</w:t>
      </w:r>
      <w:r>
        <w:rPr>
          <w:rFonts w:hint="eastAsia" w:cs="黑体" w:asciiTheme="minorEastAsia" w:hAnsiTheme="minorEastAsia"/>
          <w:szCs w:val="21"/>
        </w:rPr>
        <w:t>（</w:t>
      </w:r>
      <w:r>
        <w:rPr>
          <w:rFonts w:cs="黑体" w:asciiTheme="minorEastAsia" w:hAnsiTheme="minorEastAsia"/>
          <w:szCs w:val="21"/>
        </w:rPr>
        <w:t>2</w:t>
      </w:r>
      <w:r>
        <w:rPr>
          <w:rFonts w:hint="eastAsia" w:cs="黑体" w:asciiTheme="minorEastAsia" w:hAnsiTheme="minorEastAsia"/>
          <w:szCs w:val="21"/>
        </w:rPr>
        <w:t>）和立项报告（</w:t>
      </w:r>
      <w:r>
        <w:rPr>
          <w:rFonts w:cs="黑体" w:asciiTheme="minorEastAsia" w:hAnsiTheme="minorEastAsia"/>
          <w:szCs w:val="21"/>
        </w:rPr>
        <w:t>2</w:t>
      </w:r>
      <w:r>
        <w:rPr>
          <w:rFonts w:hint="eastAsia" w:cs="黑体" w:asciiTheme="minorEastAsia" w:hAnsiTheme="minorEastAsia"/>
          <w:szCs w:val="21"/>
        </w:rPr>
        <w:t>）</w:t>
      </w:r>
      <w:r>
        <w:rPr>
          <w:rFonts w:hint="eastAsia" w:hAnsi="黑体" w:cs="黑体"/>
          <w:szCs w:val="21"/>
        </w:rPr>
        <w:t>。</w:t>
      </w:r>
    </w:p>
    <w:p>
      <w:pPr>
        <w:ind w:firstLine="420" w:firstLineChars="200"/>
        <w:rPr>
          <w:rFonts w:hAnsi="黑体" w:cs="黑体"/>
          <w:szCs w:val="21"/>
        </w:rPr>
      </w:pPr>
      <w:r>
        <w:rPr>
          <w:rFonts w:cs="黑体" w:asciiTheme="minorEastAsia" w:hAnsiTheme="minorEastAsia"/>
          <w:szCs w:val="21"/>
        </w:rPr>
        <w:t>2022</w:t>
      </w:r>
      <w:r>
        <w:rPr>
          <w:rFonts w:hint="eastAsia" w:cs="黑体" w:asciiTheme="minorEastAsia" w:hAnsiTheme="minorEastAsia"/>
          <w:szCs w:val="21"/>
        </w:rPr>
        <w:t>年</w:t>
      </w:r>
      <w:r>
        <w:rPr>
          <w:rFonts w:cs="黑体" w:asciiTheme="minorEastAsia" w:hAnsiTheme="minorEastAsia"/>
          <w:szCs w:val="21"/>
        </w:rPr>
        <w:t>7</w:t>
      </w:r>
      <w:r>
        <w:rPr>
          <w:rFonts w:hint="eastAsia" w:cs="黑体" w:asciiTheme="minorEastAsia" w:hAnsiTheme="minorEastAsia"/>
          <w:szCs w:val="21"/>
        </w:rPr>
        <w:t>月</w:t>
      </w:r>
      <w:r>
        <w:rPr>
          <w:rFonts w:cs="黑体" w:asciiTheme="minorEastAsia" w:hAnsiTheme="minorEastAsia"/>
          <w:szCs w:val="21"/>
        </w:rPr>
        <w:t>11</w:t>
      </w:r>
      <w:r>
        <w:rPr>
          <w:rFonts w:hint="eastAsia" w:cs="黑体" w:asciiTheme="minorEastAsia" w:hAnsiTheme="minorEastAsia"/>
          <w:szCs w:val="21"/>
        </w:rPr>
        <w:t>日</w:t>
      </w:r>
      <w:r>
        <w:rPr>
          <w:rFonts w:hint="eastAsia" w:hAnsi="黑体" w:cs="黑体"/>
          <w:szCs w:val="21"/>
        </w:rPr>
        <w:t>，全国有色金属标准化技术委员会下达了编制《铜基精密电阻合金牌号及化学成分》标准的任务。</w:t>
      </w:r>
    </w:p>
    <w:p>
      <w:pPr>
        <w:ind w:firstLine="420" w:firstLineChars="200"/>
        <w:rPr>
          <w:rFonts w:hAnsi="黑体" w:cs="黑体"/>
          <w:color w:val="FF0000"/>
          <w:szCs w:val="21"/>
        </w:rPr>
      </w:pPr>
      <w:r>
        <w:rPr>
          <w:rFonts w:hint="eastAsia" w:hAnsi="黑体" w:cs="黑体"/>
          <w:color w:val="FF0000"/>
          <w:szCs w:val="21"/>
        </w:rPr>
        <w:t>标准项目提交全体委员会议讨论、申请立项以及标准计划批准的过程及时间节点。</w:t>
      </w:r>
    </w:p>
    <w:p>
      <w:pPr>
        <w:pStyle w:val="2"/>
        <w:rPr>
          <w:rFonts w:ascii="黑体" w:hAnsi="黑体" w:eastAsia="黑体" w:cs="黑体"/>
          <w:kern w:val="0"/>
          <w:szCs w:val="21"/>
        </w:rPr>
      </w:pPr>
      <w:r>
        <w:rPr>
          <w:rFonts w:hint="eastAsia" w:ascii="黑体" w:hAnsi="黑体" w:eastAsia="黑体" w:cs="黑体"/>
          <w:kern w:val="0"/>
          <w:szCs w:val="21"/>
        </w:rPr>
        <w:t>1.4.3起草阶段</w:t>
      </w:r>
    </w:p>
    <w:p>
      <w:pPr>
        <w:pStyle w:val="2"/>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（1）试验数据统计</w:t>
      </w:r>
    </w:p>
    <w:p>
      <w:pPr>
        <w:pStyle w:val="2"/>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针对此次标准编制内容，编制组分别从</w:t>
      </w:r>
      <w:r>
        <w:rPr>
          <w:rFonts w:hint="eastAsia" w:asciiTheme="minorEastAsia" w:hAnsiTheme="minorEastAsia" w:eastAsiaTheme="minorEastAsia" w:cstheme="minorEastAsia"/>
          <w:kern w:val="0"/>
          <w:szCs w:val="21"/>
          <w:lang w:val="en-US" w:eastAsia="zh-CN"/>
        </w:rPr>
        <w:t>铜基精密电阻合金研发、生产、使用等</w:t>
      </w:r>
      <w:r>
        <w:rPr>
          <w:rFonts w:hint="eastAsia" w:asciiTheme="minorEastAsia" w:hAnsiTheme="minorEastAsia" w:eastAsiaTheme="minorEastAsia" w:cstheme="minorEastAsia"/>
          <w:kern w:val="0"/>
          <w:szCs w:val="21"/>
        </w:rPr>
        <w:t>企业征集了</w:t>
      </w:r>
      <w:r>
        <w:rPr>
          <w:rFonts w:hint="eastAsia" w:asciiTheme="minorEastAsia" w:hAnsiTheme="minorEastAsia" w:eastAsiaTheme="minorEastAsia" w:cstheme="minorEastAsia"/>
          <w:kern w:val="0"/>
          <w:szCs w:val="21"/>
          <w:lang w:val="en-US" w:eastAsia="zh-CN"/>
        </w:rPr>
        <w:t>6J607、6J615和6J625等3</w:t>
      </w:r>
      <w:r>
        <w:rPr>
          <w:rFonts w:hint="eastAsia" w:asciiTheme="minorEastAsia" w:hAnsiTheme="minorEastAsia" w:eastAsiaTheme="minorEastAsia" w:cstheme="minorEastAsia"/>
          <w:kern w:val="0"/>
          <w:szCs w:val="21"/>
        </w:rPr>
        <w:t>种</w:t>
      </w:r>
      <w:r>
        <w:rPr>
          <w:rFonts w:hint="eastAsia" w:asciiTheme="minorEastAsia" w:hAnsiTheme="minorEastAsia" w:eastAsiaTheme="minorEastAsia" w:cstheme="minorEastAsia"/>
          <w:kern w:val="0"/>
          <w:szCs w:val="21"/>
          <w:lang w:val="en-US" w:eastAsia="zh-CN"/>
        </w:rPr>
        <w:t>新</w:t>
      </w:r>
      <w:r>
        <w:rPr>
          <w:rFonts w:hint="eastAsia" w:asciiTheme="minorEastAsia" w:hAnsiTheme="minorEastAsia" w:eastAsiaTheme="minorEastAsia" w:cstheme="minorEastAsia"/>
          <w:kern w:val="0"/>
          <w:szCs w:val="21"/>
        </w:rPr>
        <w:t>牌号的样品，由厦门火炬特种金属材料有限公司及有研金属复材（忻州）有限公司分别对样品进行了化学成分的验证试验。根据统计结果，对草案稿（2）进行了修改，形成征求意见1稿。</w:t>
      </w:r>
    </w:p>
    <w:p>
      <w:pPr>
        <w:pStyle w:val="2"/>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（2）第一次工作会议</w:t>
      </w:r>
    </w:p>
    <w:p>
      <w:pPr>
        <w:pStyle w:val="2"/>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有色金属标准化技术委员会发文（2022）第176号文，于2022年11月16日-19日在安徽省池州市召开首次讨论会，宁波金田铜业（集团）股份有限公司、西安斯瑞先进铜合金科技有限公司、国标（北京）检验认证有限公司等10余家单位参加。在此次会上，各与会单位对本标准征求意见1稿进行了充分讨论，对铜基精密电阻合金材料的牌号和化学成分都进行了确认，同时还对征求意见1稿中的文字编辑内容也都逐一提出了修改意见。会后，编制组根据意见，对标准进行修改和完善，形成了征求意见</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稿。</w:t>
      </w:r>
    </w:p>
    <w:p>
      <w:pPr>
        <w:pStyle w:val="2"/>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）第</w:t>
      </w:r>
      <w:r>
        <w:rPr>
          <w:rFonts w:hint="eastAsia" w:asciiTheme="minorEastAsia" w:hAnsiTheme="minorEastAsia" w:eastAsiaTheme="minorEastAsia" w:cstheme="minorEastAsia"/>
          <w:kern w:val="0"/>
          <w:szCs w:val="21"/>
          <w:lang w:val="en-US" w:eastAsia="zh-CN"/>
        </w:rPr>
        <w:t>二</w:t>
      </w:r>
      <w:r>
        <w:rPr>
          <w:rFonts w:hint="eastAsia" w:asciiTheme="minorEastAsia" w:hAnsiTheme="minorEastAsia" w:eastAsiaTheme="minorEastAsia" w:cstheme="minorEastAsia"/>
          <w:kern w:val="0"/>
          <w:szCs w:val="21"/>
        </w:rPr>
        <w:t>次工作会议</w:t>
      </w:r>
    </w:p>
    <w:p>
      <w:pPr>
        <w:pStyle w:val="2"/>
        <w:ind w:firstLine="420" w:firstLineChars="2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全国有色金属标准化技术委员会发文（202</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）第</w:t>
      </w:r>
      <w:r>
        <w:rPr>
          <w:rFonts w:hint="eastAsia" w:asciiTheme="minorEastAsia" w:hAnsiTheme="minorEastAsia" w:eastAsiaTheme="minorEastAsia" w:cstheme="minorEastAsia"/>
          <w:kern w:val="0"/>
          <w:szCs w:val="21"/>
          <w:lang w:val="en-US" w:eastAsia="zh-CN"/>
        </w:rPr>
        <w:t>44</w:t>
      </w:r>
      <w:r>
        <w:rPr>
          <w:rFonts w:hint="eastAsia" w:asciiTheme="minorEastAsia" w:hAnsiTheme="minorEastAsia" w:eastAsiaTheme="minorEastAsia" w:cstheme="minorEastAsia"/>
          <w:kern w:val="0"/>
          <w:szCs w:val="21"/>
        </w:rPr>
        <w:t>号文</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于202</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lang w:val="en-US" w:eastAsia="zh-CN"/>
        </w:rPr>
        <w:t>5</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lang w:val="en-US" w:eastAsia="zh-CN"/>
        </w:rPr>
        <w:t>23</w:t>
      </w:r>
      <w:r>
        <w:rPr>
          <w:rFonts w:hint="eastAsia" w:asciiTheme="minorEastAsia" w:hAnsiTheme="minorEastAsia" w:eastAsiaTheme="minorEastAsia" w:cstheme="minorEastAsia"/>
          <w:kern w:val="0"/>
          <w:szCs w:val="21"/>
        </w:rPr>
        <w:t>日-</w:t>
      </w:r>
      <w:r>
        <w:rPr>
          <w:rFonts w:hint="eastAsia" w:asciiTheme="minorEastAsia" w:hAnsiTheme="minorEastAsia" w:eastAsiaTheme="minorEastAsia" w:cstheme="minorEastAsia"/>
          <w:kern w:val="0"/>
          <w:szCs w:val="21"/>
          <w:lang w:val="en-US" w:eastAsia="zh-CN"/>
        </w:rPr>
        <w:t>26</w:t>
      </w:r>
      <w:r>
        <w:rPr>
          <w:rFonts w:hint="eastAsia" w:asciiTheme="minorEastAsia" w:hAnsiTheme="minorEastAsia" w:eastAsiaTheme="minorEastAsia" w:cstheme="minorEastAsia"/>
          <w:kern w:val="0"/>
          <w:szCs w:val="21"/>
        </w:rPr>
        <w:t>日在</w:t>
      </w:r>
      <w:r>
        <w:rPr>
          <w:rFonts w:hint="eastAsia" w:asciiTheme="minorEastAsia" w:hAnsiTheme="minorEastAsia" w:eastAsiaTheme="minorEastAsia" w:cstheme="minorEastAsia"/>
          <w:kern w:val="0"/>
          <w:szCs w:val="21"/>
          <w:lang w:val="en-US" w:eastAsia="zh-CN"/>
        </w:rPr>
        <w:t>河南</w:t>
      </w:r>
      <w:r>
        <w:rPr>
          <w:rFonts w:hint="eastAsia" w:asciiTheme="minorEastAsia" w:hAnsiTheme="minorEastAsia" w:eastAsiaTheme="minorEastAsia" w:cstheme="minorEastAsia"/>
          <w:kern w:val="0"/>
          <w:szCs w:val="21"/>
        </w:rPr>
        <w:t>省</w:t>
      </w:r>
      <w:r>
        <w:rPr>
          <w:rFonts w:hint="eastAsia" w:asciiTheme="minorEastAsia" w:hAnsiTheme="minorEastAsia" w:eastAsiaTheme="minorEastAsia" w:cstheme="minorEastAsia"/>
          <w:kern w:val="0"/>
          <w:szCs w:val="21"/>
          <w:lang w:val="en-US" w:eastAsia="zh-CN"/>
        </w:rPr>
        <w:t>洛阳</w:t>
      </w:r>
      <w:r>
        <w:rPr>
          <w:rFonts w:hint="eastAsia" w:asciiTheme="minorEastAsia" w:hAnsiTheme="minorEastAsia" w:eastAsiaTheme="minorEastAsia" w:cstheme="minorEastAsia"/>
          <w:kern w:val="0"/>
          <w:szCs w:val="21"/>
        </w:rPr>
        <w:t>市召开</w:t>
      </w:r>
      <w:r>
        <w:rPr>
          <w:rFonts w:hint="eastAsia" w:asciiTheme="minorEastAsia" w:hAnsiTheme="minorEastAsia" w:eastAsiaTheme="minorEastAsia" w:cstheme="minorEastAsia"/>
          <w:kern w:val="0"/>
          <w:szCs w:val="21"/>
          <w:lang w:val="en-US" w:eastAsia="zh-CN"/>
        </w:rPr>
        <w:t>预审会</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中铝洛阳铜加工有限公司、</w:t>
      </w:r>
      <w:r>
        <w:rPr>
          <w:rFonts w:hint="eastAsia" w:asciiTheme="minorEastAsia" w:hAnsiTheme="minorEastAsia" w:eastAsiaTheme="minorEastAsia" w:cstheme="minorEastAsia"/>
          <w:kern w:val="0"/>
          <w:szCs w:val="21"/>
        </w:rPr>
        <w:t>宁波金田铜业（集团）股份有限公司、西安斯瑞先进铜合金科技有限公司、国标（北京）检验认证有限公司等10余家单位参加。在此次会上，各与会单位对本标准征求意见2稿进行了充分讨论，</w:t>
      </w:r>
      <w:r>
        <w:rPr>
          <w:rFonts w:hint="eastAsia" w:asciiTheme="minorEastAsia" w:hAnsiTheme="minorEastAsia" w:eastAsiaTheme="minorEastAsia" w:cstheme="minorEastAsia"/>
          <w:kern w:val="0"/>
          <w:szCs w:val="21"/>
          <w:lang w:val="en-US" w:eastAsia="zh-CN"/>
        </w:rPr>
        <w:t>增加了修约规则，同时</w:t>
      </w:r>
      <w:r>
        <w:rPr>
          <w:rFonts w:hint="eastAsia" w:asciiTheme="minorEastAsia" w:hAnsiTheme="minorEastAsia" w:eastAsiaTheme="minorEastAsia" w:cstheme="minorEastAsia"/>
          <w:kern w:val="0"/>
          <w:szCs w:val="21"/>
        </w:rPr>
        <w:t>对</w:t>
      </w:r>
      <w:r>
        <w:rPr>
          <w:rFonts w:hint="eastAsia" w:asciiTheme="minorEastAsia" w:hAnsiTheme="minorEastAsia" w:eastAsiaTheme="minorEastAsia" w:cstheme="minorEastAsia"/>
          <w:kern w:val="0"/>
          <w:szCs w:val="21"/>
          <w:lang w:val="en-US" w:eastAsia="zh-CN"/>
        </w:rPr>
        <w:t>预审稿</w:t>
      </w:r>
      <w:r>
        <w:rPr>
          <w:rFonts w:hint="eastAsia" w:asciiTheme="minorEastAsia" w:hAnsiTheme="minorEastAsia" w:eastAsiaTheme="minorEastAsia" w:cstheme="minorEastAsia"/>
          <w:kern w:val="0"/>
          <w:szCs w:val="21"/>
        </w:rPr>
        <w:t>中的文字编辑内容提出了修改意见。会后，编制组根据意见，对标准进行修改和完善，最终形成了征求意见稿。</w:t>
      </w:r>
    </w:p>
    <w:p>
      <w:pPr>
        <w:pStyle w:val="2"/>
        <w:ind w:firstLine="420" w:firstLineChars="200"/>
        <w:rPr>
          <w:rFonts w:hAnsi="黑体" w:cs="黑体" w:eastAsiaTheme="minorEastAsia"/>
          <w:szCs w:val="21"/>
        </w:rPr>
      </w:pPr>
      <w:r>
        <w:rPr>
          <w:rFonts w:hint="eastAsia" w:hAnsi="黑体" w:cs="黑体"/>
          <w:szCs w:val="21"/>
        </w:rPr>
        <w:t>召开工作会议（草案讨论会、预审会均成为工作会议，按第一次工作会议、第二次工作会议的方式描述，对应标准稿统称为征求意见1稿、征求意见2稿）的时间、地点和会议情况。</w:t>
      </w:r>
    </w:p>
    <w:p>
      <w:pPr>
        <w:pStyle w:val="2"/>
        <w:rPr>
          <w:rFonts w:asciiTheme="minorEastAsia" w:hAnsiTheme="minorEastAsia" w:eastAsiaTheme="minorEastAsia"/>
          <w:bCs/>
          <w:szCs w:val="21"/>
        </w:rPr>
      </w:pPr>
      <w:r>
        <w:rPr>
          <w:rFonts w:hint="eastAsia" w:asciiTheme="minorEastAsia" w:hAnsiTheme="minorEastAsia"/>
          <w:bCs/>
          <w:szCs w:val="21"/>
        </w:rPr>
        <w:t>【最终形成了征求意见稿】</w:t>
      </w:r>
    </w:p>
    <w:p>
      <w:pPr>
        <w:pStyle w:val="2"/>
        <w:rPr>
          <w:rFonts w:ascii="黑体" w:hAnsi="黑体" w:eastAsia="黑体" w:cs="黑体"/>
          <w:kern w:val="0"/>
          <w:szCs w:val="21"/>
        </w:rPr>
      </w:pPr>
      <w:commentRangeStart w:id="1"/>
      <w:r>
        <w:rPr>
          <w:rFonts w:hint="eastAsia" w:ascii="黑体" w:hAnsi="黑体" w:eastAsia="黑体" w:cs="黑体"/>
          <w:kern w:val="0"/>
          <w:szCs w:val="21"/>
        </w:rPr>
        <w:t>1.4.4征求意见阶段</w:t>
      </w:r>
      <w:commentRangeEnd w:id="1"/>
      <w:r>
        <w:commentReference w:id="1"/>
      </w:r>
    </w:p>
    <w:p>
      <w:pPr>
        <w:pStyle w:val="2"/>
        <w:ind w:firstLine="420" w:firstLineChars="200"/>
        <w:rPr>
          <w:rFonts w:hAnsi="黑体" w:cs="黑体"/>
          <w:szCs w:val="21"/>
        </w:rPr>
      </w:pPr>
      <w:r>
        <w:rPr>
          <w:rFonts w:hint="eastAsia" w:hAnsi="黑体" w:cs="黑体"/>
          <w:szCs w:val="21"/>
        </w:rPr>
        <w:t>征求意见稿发送（包括工作会议发送和函送、电话、微信等）的单位（需阐述发放单位总数，并说明发放非委员单位总数及其中的用户、科研、其他单位所占比例）、送审稿完成日期</w:t>
      </w:r>
      <w:r>
        <w:rPr>
          <w:rFonts w:hint="eastAsia" w:hAnsi="黑体" w:cs="黑体"/>
          <w:color w:val="C00000"/>
          <w:szCs w:val="21"/>
        </w:rPr>
        <w:t>【不应早于征求意见汇总处理表填表日期，迟于审定会日期】</w:t>
      </w:r>
    </w:p>
    <w:p>
      <w:pPr>
        <w:spacing w:line="440" w:lineRule="exact"/>
        <w:rPr>
          <w:rFonts w:hAnsi="黑体" w:cs="黑体"/>
          <w:color w:val="C00000"/>
          <w:szCs w:val="21"/>
        </w:rPr>
      </w:pPr>
      <w:r>
        <w:rPr>
          <w:rFonts w:hint="eastAsia" w:hAnsi="黑体" w:cs="黑体"/>
          <w:color w:val="C00000"/>
          <w:szCs w:val="21"/>
        </w:rPr>
        <w:t>【征求意见的通用写法】</w:t>
      </w:r>
    </w:p>
    <w:p>
      <w:pPr>
        <w:spacing w:line="440" w:lineRule="exact"/>
        <w:rPr>
          <w:rFonts w:asciiTheme="minorEastAsia" w:hAnsiTheme="minorEastAsia"/>
          <w:bCs/>
          <w:szCs w:val="21"/>
        </w:rPr>
      </w:pPr>
      <w:r>
        <w:rPr>
          <w:rFonts w:hint="eastAsia" w:ascii="宋体" w:hAnsi="宋体"/>
          <w:szCs w:val="21"/>
        </w:rPr>
        <w:t>编制组</w:t>
      </w:r>
      <w:r>
        <w:rPr>
          <w:rFonts w:hint="eastAsia" w:ascii="宋体" w:hAnsi="宋体"/>
          <w:bCs/>
          <w:szCs w:val="21"/>
        </w:rPr>
        <w:t>根据</w:t>
      </w:r>
      <w:r>
        <w:rPr>
          <w:rFonts w:hint="eastAsia" w:ascii="宋体" w:hAnsi="宋体"/>
          <w:szCs w:val="21"/>
        </w:rPr>
        <w:t>意见，对标准进行修改和完善</w:t>
      </w:r>
      <w:r>
        <w:rPr>
          <w:rFonts w:hint="eastAsia" w:ascii="宋体" w:hAnsi="宋体"/>
          <w:bCs/>
          <w:szCs w:val="21"/>
        </w:rPr>
        <w:t>，形成了标准</w:t>
      </w:r>
      <w:bookmarkStart w:id="1" w:name="OLE_LINK3"/>
      <w:r>
        <w:rPr>
          <w:rFonts w:hint="eastAsia" w:ascii="宋体" w:hAnsi="宋体"/>
          <w:bCs/>
          <w:szCs w:val="21"/>
        </w:rPr>
        <w:t>《送审稿》</w:t>
      </w:r>
      <w:r>
        <w:rPr>
          <w:rFonts w:hint="eastAsia" w:asciiTheme="minorEastAsia" w:hAnsiTheme="minorEastAsia"/>
          <w:bCs/>
          <w:szCs w:val="21"/>
        </w:rPr>
        <w:t>及《编制说明》</w:t>
      </w:r>
      <w:bookmarkEnd w:id="1"/>
      <w:r>
        <w:rPr>
          <w:rFonts w:hint="eastAsia" w:asciiTheme="minorEastAsia" w:hAnsiTheme="minorEastAsia"/>
          <w:bCs/>
          <w:szCs w:val="21"/>
        </w:rPr>
        <w:t>。</w:t>
      </w:r>
    </w:p>
    <w:p>
      <w:pPr>
        <w:pStyle w:val="2"/>
        <w:rPr>
          <w:rFonts w:hAnsi="黑体" w:cs="黑体"/>
          <w:color w:val="C00000"/>
          <w:szCs w:val="21"/>
        </w:rPr>
      </w:pPr>
    </w:p>
    <w:p>
      <w:pPr>
        <w:pStyle w:val="2"/>
        <w:rPr>
          <w:rFonts w:ascii="黑体" w:hAnsi="黑体" w:eastAsia="黑体" w:cs="黑体"/>
          <w:kern w:val="0"/>
          <w:szCs w:val="21"/>
        </w:rPr>
      </w:pPr>
      <w:r>
        <w:rPr>
          <w:rFonts w:hint="eastAsia" w:ascii="黑体" w:hAnsi="黑体" w:eastAsia="黑体" w:cs="黑体"/>
          <w:kern w:val="0"/>
          <w:szCs w:val="21"/>
        </w:rPr>
        <w:t>1.4.5审查阶段</w:t>
      </w:r>
    </w:p>
    <w:p>
      <w:pPr>
        <w:pStyle w:val="2"/>
        <w:numPr>
          <w:ilvl w:val="0"/>
          <w:numId w:val="1"/>
        </w:numPr>
        <w:rPr>
          <w:rFonts w:ascii="宋体" w:hAnsi="宋体" w:eastAsiaTheme="minorEastAsia"/>
          <w:szCs w:val="21"/>
        </w:rPr>
      </w:pPr>
      <w:r>
        <w:rPr>
          <w:rFonts w:hint="eastAsia" w:ascii="宋体" w:hAnsi="宋体" w:eastAsiaTheme="minorEastAsia"/>
          <w:szCs w:val="21"/>
        </w:rPr>
        <w:t>技术专家审查</w:t>
      </w:r>
    </w:p>
    <w:p>
      <w:pPr>
        <w:pStyle w:val="2"/>
        <w:ind w:firstLine="420" w:firstLineChars="200"/>
        <w:rPr>
          <w:rFonts w:ascii="宋体" w:hAnsi="宋体" w:eastAsiaTheme="minorEastAsia"/>
          <w:szCs w:val="21"/>
        </w:rPr>
      </w:pPr>
      <w:bookmarkStart w:id="2" w:name="OLE_LINK5"/>
      <w:r>
        <w:rPr>
          <w:rFonts w:hint="eastAsia" w:ascii="宋体" w:hAnsi="宋体" w:eastAsiaTheme="minorEastAsia"/>
          <w:color w:val="C00000"/>
          <w:szCs w:val="21"/>
        </w:rPr>
        <w:t>2022年X月XX～XX日在XX省XX市</w:t>
      </w:r>
      <w:r>
        <w:rPr>
          <w:rFonts w:hint="eastAsia" w:ascii="宋体" w:hAnsi="宋体" w:eastAsiaTheme="minorEastAsia"/>
          <w:szCs w:val="21"/>
        </w:rPr>
        <w:t>，由全国有色金属标准化技术委员会主持，召开了</w:t>
      </w:r>
      <w:r>
        <w:rPr>
          <w:rFonts w:hint="eastAsia" w:ascii="宋体" w:hAnsi="宋体" w:eastAsiaTheme="minorEastAsia"/>
          <w:color w:val="C00000"/>
          <w:szCs w:val="21"/>
        </w:rPr>
        <w:t>《XXX》</w:t>
      </w:r>
      <w:r>
        <w:rPr>
          <w:rFonts w:hint="eastAsia" w:ascii="宋体" w:hAnsi="宋体" w:eastAsiaTheme="minorEastAsia"/>
          <w:szCs w:val="21"/>
        </w:rPr>
        <w:t>标准审定会，共有</w:t>
      </w:r>
      <w:r>
        <w:rPr>
          <w:rFonts w:hint="eastAsia" w:ascii="宋体" w:hAnsi="宋体" w:eastAsiaTheme="minorEastAsia"/>
          <w:color w:val="C00000"/>
          <w:szCs w:val="21"/>
        </w:rPr>
        <w:t>xx</w:t>
      </w:r>
      <w:r>
        <w:rPr>
          <w:rFonts w:hint="eastAsia" w:ascii="宋体" w:hAnsi="宋体" w:eastAsiaTheme="minorEastAsia"/>
          <w:szCs w:val="21"/>
        </w:rPr>
        <w:t>个单位的</w:t>
      </w:r>
      <w:r>
        <w:rPr>
          <w:rFonts w:hint="eastAsia" w:ascii="宋体" w:hAnsi="宋体" w:eastAsiaTheme="minorEastAsia"/>
          <w:color w:val="C00000"/>
          <w:szCs w:val="21"/>
        </w:rPr>
        <w:t>xx</w:t>
      </w:r>
      <w:r>
        <w:rPr>
          <w:rFonts w:hint="eastAsia" w:ascii="宋体" w:hAnsi="宋体" w:eastAsiaTheme="minorEastAsia"/>
          <w:szCs w:val="21"/>
        </w:rPr>
        <w:t>名专家（</w:t>
      </w:r>
      <w:r>
        <w:rPr>
          <w:rFonts w:hint="eastAsia" w:ascii="宋体" w:hAnsi="宋体" w:eastAsiaTheme="minorEastAsia"/>
          <w:color w:val="C00000"/>
          <w:szCs w:val="21"/>
        </w:rPr>
        <w:t>详见有色金属标准审定会专家签名表</w:t>
      </w:r>
      <w:r>
        <w:rPr>
          <w:rFonts w:hint="eastAsia" w:ascii="宋体" w:hAnsi="宋体" w:eastAsiaTheme="minorEastAsia"/>
          <w:szCs w:val="21"/>
        </w:rPr>
        <w:t>）参加了会议。</w:t>
      </w:r>
    </w:p>
    <w:p>
      <w:pPr>
        <w:pStyle w:val="2"/>
        <w:ind w:firstLine="420" w:firstLineChars="200"/>
        <w:rPr>
          <w:rFonts w:ascii="宋体" w:hAnsi="宋体" w:eastAsiaTheme="minorEastAsia"/>
          <w:szCs w:val="21"/>
        </w:rPr>
      </w:pPr>
      <w:r>
        <w:rPr>
          <w:rFonts w:hint="eastAsia" w:ascii="宋体" w:hAnsi="宋体" w:eastAsiaTheme="minorEastAsia"/>
          <w:szCs w:val="21"/>
        </w:rPr>
        <w:t xml:space="preserve">与会专家对 </w:t>
      </w:r>
      <w:bookmarkStart w:id="3" w:name="OLE_LINK4"/>
      <w:r>
        <w:rPr>
          <w:rFonts w:hint="eastAsia" w:ascii="宋体" w:hAnsi="宋体" w:eastAsiaTheme="minorEastAsia"/>
          <w:color w:val="C00000"/>
          <w:szCs w:val="21"/>
        </w:rPr>
        <w:t>《XXXX》</w:t>
      </w:r>
      <w:bookmarkEnd w:id="3"/>
      <w:r>
        <w:rPr>
          <w:rFonts w:hint="eastAsia" w:ascii="宋体" w:hAnsi="宋体" w:eastAsiaTheme="minorEastAsia"/>
          <w:szCs w:val="21"/>
        </w:rPr>
        <w:t>标准的送审稿进行了认真审定，提出了</w:t>
      </w:r>
      <w:r>
        <w:rPr>
          <w:rFonts w:hint="eastAsia" w:ascii="宋体" w:hAnsi="宋体" w:eastAsiaTheme="minorEastAsia"/>
          <w:color w:val="C00000"/>
          <w:szCs w:val="21"/>
        </w:rPr>
        <w:t>xx</w:t>
      </w:r>
      <w:r>
        <w:rPr>
          <w:rFonts w:hint="eastAsia" w:ascii="宋体" w:hAnsi="宋体" w:eastAsiaTheme="minorEastAsia"/>
          <w:szCs w:val="21"/>
        </w:rPr>
        <w:t>条修改意见，编制小组会后按照专家的修改意见进行了修改，完善了《送审稿》及《送审稿编制说明》。</w:t>
      </w:r>
    </w:p>
    <w:bookmarkEnd w:id="2"/>
    <w:p>
      <w:pPr>
        <w:pStyle w:val="2"/>
        <w:numPr>
          <w:ilvl w:val="0"/>
          <w:numId w:val="1"/>
        </w:numPr>
        <w:rPr>
          <w:rFonts w:ascii="宋体" w:hAnsi="宋体" w:eastAsiaTheme="minorEastAsia"/>
          <w:szCs w:val="21"/>
        </w:rPr>
      </w:pPr>
      <w:r>
        <w:rPr>
          <w:rFonts w:hint="eastAsia" w:ascii="宋体" w:hAnsi="宋体" w:eastAsiaTheme="minorEastAsia"/>
          <w:szCs w:val="21"/>
        </w:rPr>
        <w:t>委员审查</w:t>
      </w:r>
    </w:p>
    <w:p>
      <w:pPr>
        <w:pStyle w:val="8"/>
        <w:shd w:val="clear" w:color="auto" w:fill="FFFFFF"/>
        <w:spacing w:before="0" w:beforeAutospacing="0" w:after="0" w:afterAutospacing="0" w:line="380" w:lineRule="exact"/>
        <w:ind w:firstLine="420" w:firstLineChars="200"/>
        <w:rPr>
          <w:rFonts w:eastAsiaTheme="minorEastAsia" w:cstheme="minorBidi"/>
          <w:kern w:val="2"/>
          <w:sz w:val="21"/>
          <w:szCs w:val="21"/>
        </w:rPr>
      </w:pPr>
      <w:r>
        <w:rPr>
          <w:rFonts w:hint="eastAsia" w:eastAsiaTheme="minorEastAsia" w:cstheme="minorBidi"/>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w:t>
      </w:r>
    </w:p>
    <w:p>
      <w:pPr>
        <w:pStyle w:val="2"/>
        <w:rPr>
          <w:rFonts w:ascii="黑体" w:hAnsi="黑体" w:eastAsia="黑体" w:cs="黑体"/>
          <w:kern w:val="0"/>
          <w:szCs w:val="21"/>
        </w:rPr>
      </w:pPr>
      <w:r>
        <w:rPr>
          <w:rFonts w:hint="eastAsia" w:ascii="黑体" w:hAnsi="黑体" w:eastAsia="黑体" w:cs="黑体"/>
          <w:kern w:val="0"/>
          <w:szCs w:val="21"/>
        </w:rPr>
        <w:t>1.4.6报批阶段</w:t>
      </w:r>
    </w:p>
    <w:p>
      <w:pPr>
        <w:spacing w:line="380" w:lineRule="exact"/>
        <w:ind w:firstLine="420" w:firstLineChars="200"/>
        <w:rPr>
          <w:rFonts w:ascii="宋体" w:hAnsi="宋体"/>
          <w:szCs w:val="21"/>
        </w:rPr>
      </w:pPr>
      <w:bookmarkStart w:id="4" w:name="OLE_LINK6"/>
      <w:r>
        <w:rPr>
          <w:rFonts w:hint="eastAsia" w:ascii="宋体" w:hAnsi="宋体"/>
          <w:szCs w:val="21"/>
        </w:rPr>
        <w:t>标准编制组对标准文本和编制说明进行完善，形成标准报批稿报送至全国有色金属标准化技术委员会（SAC/TC243）秘书处，上报至</w:t>
      </w:r>
      <w:r>
        <w:rPr>
          <w:rFonts w:hint="eastAsia" w:ascii="宋体" w:hAnsi="宋体"/>
          <w:color w:val="C00000"/>
          <w:szCs w:val="21"/>
        </w:rPr>
        <w:t>国家标准化管理委员会【行标为：工业和信息化部、团标为：中国有色金属工业协会】</w:t>
      </w:r>
      <w:r>
        <w:rPr>
          <w:rFonts w:hint="eastAsia" w:ascii="宋体" w:hAnsi="宋体"/>
          <w:szCs w:val="21"/>
        </w:rPr>
        <w:t>审批、发布。</w:t>
      </w:r>
    </w:p>
    <w:bookmarkEnd w:id="4"/>
    <w:p>
      <w:pPr>
        <w:pStyle w:val="2"/>
        <w:rPr>
          <w:rFonts w:hAnsi="黑体" w:cs="黑体"/>
          <w:color w:val="C00000"/>
          <w:szCs w:val="21"/>
        </w:rPr>
      </w:pPr>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bookmarkStart w:id="5" w:name="OLE_LINK7"/>
      <w:r>
        <w:rPr>
          <w:rFonts w:hint="eastAsia" w:eastAsiaTheme="minorEastAsia" w:cstheme="minorBidi"/>
          <w:kern w:val="2"/>
          <w:sz w:val="21"/>
          <w:szCs w:val="21"/>
        </w:rPr>
        <w:t>本标准制定单位自接受起草任务后，成立了本标准编制工作组，负责收集生产、检验数据、市场需求及客户要求等信息。初步确定了《铜基精密电阻合金牌号及化学成分》标准起草所遵循的基本原则和编制依据：</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1）查阅相关标准和国内外客户的相关技术要求。</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2）根据国内外铜基精密电阻合金企业具体情况，力求做到标准修订科学、先进，满足市场需要。</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3）根据技术发展水平及测试数据确定技术指标取值范围，力求做到标准修订经济合理、实用。</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rPr>
      </w:pPr>
      <w:r>
        <w:rPr>
          <w:rFonts w:hint="eastAsia" w:eastAsiaTheme="minorEastAsia" w:cstheme="minorBidi"/>
          <w:kern w:val="2"/>
          <w:sz w:val="21"/>
          <w:szCs w:val="21"/>
        </w:rPr>
        <w:t>完全按照GB/T1.1-2020《标准化工作导则 第一部分：标准结构和编写》的要求编写。</w:t>
      </w:r>
      <w:bookmarkEnd w:id="5"/>
    </w:p>
    <w:p>
      <w:pPr>
        <w:pStyle w:val="8"/>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近年来，国内外铜基精密电阻合金已经有了比较成熟的应用市场，产品性能稳定。本次标准编制综合考虑国内外现有产品标准，对原有牌号进行修订，使得铜基精密电阻合金牌号更具规范性。本次还新增了3种新的铜基精密电阻合金牌号，使得此标准在生产应用中更具指导意义。</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p>
    <w:p>
      <w:pPr>
        <w:pStyle w:val="2"/>
        <w:ind w:firstLine="420" w:firstLineChars="200"/>
        <w:rPr>
          <w:rFonts w:ascii="黑体" w:hAnsi="黑体" w:eastAsia="黑体" w:cs="黑体"/>
        </w:rPr>
      </w:pPr>
      <w:r>
        <w:rPr>
          <w:rFonts w:hint="eastAsia" w:ascii="黑体" w:hAnsi="黑体" w:eastAsia="黑体" w:cs="黑体"/>
        </w:rPr>
        <w:t>（一）命名依据</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铜基精密合金牌号命名，依据GB/T 37797，采用阿拉伯数字与汉语拼音字母“J”（“精”字汉语拼音“jing”的首位字母）相结合的方法表示。第一位数字6表示精密合金的类别，具体指精密电阻合金。GB/T 37797对其他合金基本组成细分类为：</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6J1XX——铁基(铁含量大于70%,如铁铝、铁铬、铁锰等合金);</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6J2XX——铁钴基(钴含量大于26%,其余以铁为主，如铁钴钒、铁钴镍等合金);</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6J3XX——铁镍基(镍(或镍加钴)含量大于30%,其余以铁为主);</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6J4XX——镍基(镍含量大于55%,其余以铬、钼、铌、铝为主);</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6J5XX——其他(如铁钴钼、铁铬钴、铁镍铬、铁铬铝、铁锰镍等合金)。</w:t>
      </w:r>
    </w:p>
    <w:p>
      <w:pPr>
        <w:pStyle w:val="8"/>
        <w:shd w:val="clear" w:color="auto" w:fill="FFFFFF"/>
        <w:spacing w:before="0" w:beforeAutospacing="0" w:after="0" w:afterAutospacing="0" w:line="380" w:lineRule="exact"/>
        <w:ind w:firstLine="420" w:firstLineChars="200"/>
        <w:rPr>
          <w:rFonts w:hint="eastAsia" w:eastAsiaTheme="minorEastAsia" w:cstheme="minorBidi"/>
          <w:kern w:val="2"/>
          <w:sz w:val="21"/>
          <w:szCs w:val="21"/>
          <w:lang w:val="en-US" w:eastAsia="zh-CN"/>
        </w:rPr>
      </w:pPr>
      <w:r>
        <w:rPr>
          <w:rFonts w:hint="eastAsia" w:eastAsiaTheme="minorEastAsia" w:cstheme="minorBidi"/>
          <w:kern w:val="2"/>
          <w:sz w:val="21"/>
          <w:szCs w:val="21"/>
          <w:lang w:val="en-US" w:eastAsia="zh-CN"/>
        </w:rPr>
        <w:t>因GB/T 37797中并未对铜基精密电阻合金进行分类，因此，将第二位数字6表示按合金基本组成细分类为铜基（铜含量大于50%，如铜锰、铜镍等合金），以区别于其他基体的精密电阻合金。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第三、四位数字表示不同合金牌号的顺序号（01~99），原则上以参照现有标准进行牌号命名更新。无标准的铜基精密电阻合金牌号命名，按照主元素（铜除外）百分含量中值（近似值）表示，若主元素（铜除外）百分含量接近。若合金的顺序号重复，其中某合金顺序号则可采用主元素含量与另一合金元素含量之和的中值（近似值）表示，或以主元素百分含量的上（或下）限表示，以示区别。</w:t>
      </w:r>
    </w:p>
    <w:p>
      <w:pPr>
        <w:pStyle w:val="2"/>
        <w:ind w:firstLine="420" w:firstLineChars="200"/>
        <w:rPr>
          <w:rFonts w:ascii="黑体" w:hAnsi="黑体" w:eastAsia="黑体" w:cs="黑体"/>
        </w:rPr>
      </w:pPr>
      <w:r>
        <w:rPr>
          <w:rFonts w:hint="eastAsia" w:ascii="黑体" w:hAnsi="黑体" w:eastAsia="黑体" w:cs="黑体"/>
        </w:rPr>
        <w:t>（二）</w:t>
      </w:r>
      <w:r>
        <w:rPr>
          <w:rFonts w:hint="eastAsia" w:ascii="黑体" w:hAnsi="黑体" w:eastAsia="黑体" w:cs="黑体"/>
          <w:lang w:val="en-US" w:eastAsia="zh-CN"/>
        </w:rPr>
        <w:t>化学成分</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本次标准针对9个牌号的铜基精密电阻合金牌号进行编制，对新增的3种新的铜基精密电阻合金牌号各收集了10炉次样品进行了化学成分的验证，由厦门火炬特材进行检测。</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（1）6J606牌号，来源于JB/T 5327-2014中6J6牌号，指Mn元素含量在6.0%-7.0%，Ge元素含量在5.0%-6.0%的铜基精密电阻合金。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（2）6J607牌号，国内暂无相关产品标准，依据表2化学成分测量结果，该牌号为Mn元素含量在6.5%-7.5%，Sn元素含量在2.0%-3.0%的铜基精密电阻合金。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（3）6J608牌号，来源于GB/T 6145-2010中6J8牌号，指Mn元素含量在8.0%-10.0%，Si元素含量在1.0%-2.0%的铜基精密电阻合金。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（4）6J611牌号，来源于GB/T 6149-2010中6J11牌号，指Mn元素含量在11.5%-12.5%，Al元素含量在2.5%-4.5%，Fe元素含量在1.0%-1.6%的铜基精密电阻合金。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（5）6J612牌号，来源于GB/T 6145-2010中6J12牌号，指Mn元素含量在11.0%-13.0%，Ni元素含量在2.0%-3.0%的铜基精密电阻合金。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（6）6J613牌号，来源于GB/T 6145-2010中6J13牌号，指Mn元素含量在11.0%-13.0%，Ni元素含量在2.0%-5.0%的铜基精密电阻合金。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（7）6J615牌号，国内暂无相关产品标准，依据表3化学成分测量结果，该牌号为Mn元素含量在11.5%-12.5%，Al元素含量在2.0%-4.0%的铜基精密电阻合金。</w:t>
      </w:r>
    </w:p>
    <w:p>
      <w:pPr>
        <w:pStyle w:val="2"/>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（8）6J625牌号，国内暂无相关产品标准，依据表4化学成分测量结果，该牌号为Mn元素含量在24.0%-26.0%，Ni元素含量在9.0%-11.0%的铜基精密电阻合金。</w:t>
      </w:r>
    </w:p>
    <w:p>
      <w:pPr>
        <w:pStyle w:val="2"/>
        <w:ind w:firstLine="420" w:firstLineChars="200"/>
        <w:rPr>
          <w:rFonts w:ascii="黑体" w:hAnsi="黑体" w:eastAsia="黑体" w:cs="黑体"/>
        </w:rPr>
      </w:pPr>
      <w:r>
        <w:rPr>
          <w:rFonts w:hint="eastAsia" w:asciiTheme="minorEastAsia" w:hAnsiTheme="minorEastAsia" w:eastAsiaTheme="minorEastAsia" w:cstheme="minorEastAsia"/>
        </w:rPr>
        <w:t>（9）6J640牌号，来源于GB/T 6145-2010中6J40牌号，指Mn元素含量在1.0%-2.0%，Ni元素含量在39.0%-41.0%的铜基精密电阻合金。</w:t>
      </w:r>
    </w:p>
    <w:p>
      <w:pPr>
        <w:spacing w:line="360" w:lineRule="auto"/>
        <w:ind w:firstLine="420" w:firstLineChars="200"/>
        <w:rPr>
          <w:rFonts w:ascii="Times New Roman" w:hAnsi="Times New Roman" w:cs="Times New Roman"/>
          <w:bCs/>
          <w:kern w:val="0"/>
          <w:szCs w:val="21"/>
        </w:rPr>
      </w:pPr>
    </w:p>
    <w:p>
      <w:pPr>
        <w:pStyle w:val="2"/>
        <w:rPr>
          <w:rFonts w:ascii="Times New Roman" w:hAnsi="Times New Roman" w:cs="Times New Roman"/>
          <w:bCs/>
          <w:kern w:val="0"/>
          <w:szCs w:val="21"/>
        </w:rPr>
      </w:pPr>
    </w:p>
    <w:p>
      <w:pPr>
        <w:pStyle w:val="2"/>
        <w:rPr>
          <w:rFonts w:ascii="Times New Roman" w:hAnsi="Times New Roman" w:cs="Times New Roman"/>
          <w:bCs/>
          <w:kern w:val="0"/>
          <w:szCs w:val="21"/>
        </w:rPr>
      </w:pPr>
    </w:p>
    <w:tbl>
      <w:tblPr>
        <w:tblStyle w:val="9"/>
        <w:tblpPr w:leftFromText="180" w:rightFromText="180" w:vertAnchor="text" w:horzAnchor="page" w:tblpX="1787" w:tblpY="775"/>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19"/>
        <w:gridCol w:w="1148"/>
        <w:gridCol w:w="889"/>
        <w:gridCol w:w="889"/>
        <w:gridCol w:w="735"/>
        <w:gridCol w:w="674"/>
        <w:gridCol w:w="795"/>
        <w:gridCol w:w="735"/>
        <w:gridCol w:w="735"/>
        <w:gridCol w:w="9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598" w:type="pct"/>
            <w:vMerge w:val="restart"/>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牌号</w:t>
            </w:r>
          </w:p>
        </w:tc>
        <w:tc>
          <w:tcPr>
            <w:tcW w:w="674" w:type="pct"/>
            <w:vMerge w:val="restar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样本序号</w:t>
            </w:r>
          </w:p>
        </w:tc>
        <w:tc>
          <w:tcPr>
            <w:tcW w:w="3727" w:type="pct"/>
            <w:gridSpan w:val="8"/>
            <w:tcBorders>
              <w:top w:val="single" w:color="auto" w:sz="12" w:space="0"/>
              <w:bottom w:val="single" w:color="auto" w:sz="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化学成分（质量分数）/%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598" w:type="pct"/>
            <w:vMerge w:val="continue"/>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color w:val="auto"/>
                <w:sz w:val="15"/>
                <w:szCs w:val="15"/>
              </w:rPr>
            </w:pPr>
          </w:p>
        </w:tc>
        <w:tc>
          <w:tcPr>
            <w:tcW w:w="674" w:type="pct"/>
            <w:vMerge w:val="continue"/>
            <w:vAlign w:val="center"/>
          </w:tcPr>
          <w:p>
            <w:pPr>
              <w:adjustRightInd w:val="0"/>
              <w:snapToGrid w:val="0"/>
              <w:jc w:val="center"/>
              <w:rPr>
                <w:rFonts w:ascii="Times New Roman" w:hAnsi="Times New Roman" w:cs="Times New Roman"/>
                <w:color w:val="auto"/>
                <w:sz w:val="15"/>
                <w:szCs w:val="15"/>
              </w:rPr>
            </w:pPr>
          </w:p>
        </w:tc>
        <w:tc>
          <w:tcPr>
            <w:tcW w:w="52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Cu</w:t>
            </w:r>
          </w:p>
        </w:tc>
        <w:tc>
          <w:tcPr>
            <w:tcW w:w="52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Mn</w:t>
            </w:r>
          </w:p>
        </w:tc>
        <w:tc>
          <w:tcPr>
            <w:tcW w:w="43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Ni</w:t>
            </w:r>
          </w:p>
        </w:tc>
        <w:tc>
          <w:tcPr>
            <w:tcW w:w="395"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Si</w:t>
            </w:r>
          </w:p>
        </w:tc>
        <w:tc>
          <w:tcPr>
            <w:tcW w:w="466"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Ge</w:t>
            </w:r>
          </w:p>
        </w:tc>
        <w:tc>
          <w:tcPr>
            <w:tcW w:w="43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Al</w:t>
            </w:r>
          </w:p>
        </w:tc>
        <w:tc>
          <w:tcPr>
            <w:tcW w:w="431" w:type="pct"/>
            <w:tcBorders>
              <w:top w:val="single" w:color="auto" w:sz="1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Fe</w:t>
            </w:r>
          </w:p>
        </w:tc>
        <w:tc>
          <w:tcPr>
            <w:tcW w:w="527" w:type="pct"/>
            <w:tcBorders>
              <w:top w:val="single" w:color="auto" w:sz="12" w:space="0"/>
              <w:bottom w:val="single" w:color="auto" w:sz="2" w:space="0"/>
            </w:tcBorders>
            <w:vAlign w:val="center"/>
          </w:tcPr>
          <w:p>
            <w:pPr>
              <w:widowControl/>
              <w:jc w:val="center"/>
              <w:rPr>
                <w:rFonts w:ascii="Times New Roman" w:hAnsi="Times New Roman" w:cs="Times New Roman"/>
                <w:color w:val="auto"/>
                <w:sz w:val="15"/>
                <w:szCs w:val="15"/>
              </w:rPr>
            </w:pPr>
            <w:r>
              <w:rPr>
                <w:rFonts w:ascii="Times New Roman" w:hAnsi="Times New Roman" w:cs="Times New Roman"/>
                <w:color w:val="auto"/>
                <w:kern w:val="0"/>
                <w:szCs w:val="21"/>
              </w:rPr>
              <w:t>Sn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restart"/>
            <w:tcBorders>
              <w:top w:val="single" w:color="auto" w:sz="1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6J607</w:t>
            </w:r>
          </w:p>
          <w:p>
            <w:pPr>
              <w:adjustRightInd w:val="0"/>
              <w:snapToGrid w:val="0"/>
              <w:jc w:val="center"/>
              <w:rPr>
                <w:rFonts w:ascii="Times New Roman" w:hAnsi="Times New Roman" w:cs="Times New Roman"/>
                <w:color w:val="auto"/>
                <w:sz w:val="15"/>
                <w:szCs w:val="15"/>
                <w:highlight w:val="yellow"/>
                <w:lang w:val="es-ES"/>
              </w:rPr>
            </w:pPr>
          </w:p>
        </w:tc>
        <w:tc>
          <w:tcPr>
            <w:tcW w:w="674"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1</w:t>
            </w:r>
          </w:p>
        </w:tc>
        <w:tc>
          <w:tcPr>
            <w:tcW w:w="521"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24.32</w:t>
            </w:r>
          </w:p>
        </w:tc>
        <w:tc>
          <w:tcPr>
            <w:tcW w:w="431" w:type="pct"/>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95" w:type="dxa"/>
            <w:tcBorders>
              <w:top w:val="single" w:color="auto" w:sz="12" w:space="0"/>
            </w:tcBorders>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tcBorders>
              <w:top w:val="single" w:color="auto" w:sz="1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tcBorders>
              <w:top w:val="single" w:color="auto" w:sz="1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tcBorders>
              <w:top w:val="single" w:color="auto" w:sz="12" w:space="0"/>
            </w:tcBorders>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24.88</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2.13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lang w:val="es-ES"/>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3</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25.35</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2.24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lang w:val="es-ES"/>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4</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25.65</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5</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25.48</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6</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24.33</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2.97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7</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24.87</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8</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25.84</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9</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25.21</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color w:val="auto"/>
                <w:sz w:val="15"/>
                <w:szCs w:val="15"/>
                <w:highlight w:val="yellow"/>
              </w:rPr>
            </w:pPr>
          </w:p>
        </w:tc>
        <w:tc>
          <w:tcPr>
            <w:tcW w:w="674"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10</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余量</w:t>
            </w:r>
          </w:p>
        </w:tc>
        <w:tc>
          <w:tcPr>
            <w:tcW w:w="521" w:type="pct"/>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25.11</w:t>
            </w:r>
          </w:p>
        </w:tc>
        <w:tc>
          <w:tcPr>
            <w:tcW w:w="73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674" w:type="dxa"/>
            <w:vAlign w:val="center"/>
          </w:tcPr>
          <w:p>
            <w:pPr>
              <w:adjustRightInd w:val="0"/>
              <w:snapToGrid w:val="0"/>
              <w:jc w:val="center"/>
              <w:rPr>
                <w:rFonts w:ascii="Times New Roman" w:hAnsi="Times New Roman" w:cs="Times New Roman"/>
                <w:color w:val="auto"/>
                <w:kern w:val="0"/>
                <w:sz w:val="15"/>
                <w:szCs w:val="15"/>
              </w:rPr>
            </w:pPr>
            <w:r>
              <w:rPr>
                <w:rFonts w:ascii="Times New Roman" w:hAnsi="Times New Roman" w:cs="Times New Roman"/>
                <w:color w:val="auto"/>
                <w:sz w:val="15"/>
                <w:szCs w:val="15"/>
              </w:rPr>
              <w:t>&lt;0.005</w:t>
            </w:r>
          </w:p>
        </w:tc>
        <w:tc>
          <w:tcPr>
            <w:tcW w:w="795" w:type="dxa"/>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&lt;0.005</w:t>
            </w:r>
          </w:p>
        </w:tc>
        <w:tc>
          <w:tcPr>
            <w:tcW w:w="527" w:type="pct"/>
            <w:shd w:val="clear" w:color="auto" w:fill="auto"/>
            <w:vAlign w:val="center"/>
          </w:tcPr>
          <w:p>
            <w:pPr>
              <w:adjustRightInd w:val="0"/>
              <w:snapToGrid w:val="0"/>
              <w:jc w:val="center"/>
              <w:rPr>
                <w:rFonts w:ascii="Times New Roman" w:hAnsi="Times New Roman" w:cs="Times New Roman"/>
                <w:color w:val="auto"/>
                <w:sz w:val="15"/>
                <w:szCs w:val="15"/>
              </w:rPr>
            </w:pPr>
            <w:r>
              <w:rPr>
                <w:rFonts w:ascii="Times New Roman" w:hAnsi="Times New Roman" w:cs="Times New Roman"/>
                <w:color w:val="auto"/>
                <w:sz w:val="15"/>
                <w:szCs w:val="15"/>
              </w:rPr>
              <w:t>2.44</w:t>
            </w:r>
          </w:p>
        </w:tc>
      </w:tr>
    </w:tbl>
    <w:p>
      <w:pPr>
        <w:spacing w:line="360" w:lineRule="auto"/>
        <w:ind w:firstLine="420" w:firstLineChars="200"/>
        <w:jc w:val="center"/>
        <w:rPr>
          <w:rFonts w:ascii="Times New Roman" w:hAnsi="Times New Roman" w:eastAsia="黑体" w:cs="Times New Roman"/>
          <w:bCs/>
          <w:kern w:val="0"/>
          <w:szCs w:val="21"/>
        </w:rPr>
      </w:pPr>
      <w:r>
        <w:rPr>
          <w:rFonts w:ascii="Times New Roman" w:hAnsi="Times New Roman" w:eastAsia="黑体" w:cs="Times New Roman"/>
          <w:szCs w:val="28"/>
        </w:rPr>
        <w:t>表2 6J607牌号化学成分测量表</w:t>
      </w:r>
    </w:p>
    <w:p>
      <w:pPr>
        <w:spacing w:line="360" w:lineRule="auto"/>
        <w:ind w:firstLine="420" w:firstLineChars="200"/>
        <w:rPr>
          <w:rFonts w:ascii="Times New Roman" w:hAnsi="Times New Roman" w:cs="Times New Roman"/>
          <w:bCs/>
          <w:kern w:val="0"/>
          <w:szCs w:val="21"/>
        </w:rPr>
        <w:sectPr>
          <w:pgSz w:w="11906" w:h="16838"/>
          <w:pgMar w:top="1440" w:right="1797" w:bottom="1440" w:left="1797" w:header="851" w:footer="992" w:gutter="0"/>
          <w:cols w:space="720" w:num="1"/>
          <w:titlePg/>
          <w:docGrid w:type="linesAndChars" w:linePitch="312" w:charSpace="0"/>
        </w:sectPr>
      </w:pPr>
    </w:p>
    <w:p>
      <w:pPr>
        <w:spacing w:line="360" w:lineRule="auto"/>
        <w:ind w:firstLine="420" w:firstLineChars="200"/>
        <w:rPr>
          <w:rFonts w:ascii="Times New Roman" w:hAnsi="Times New Roman" w:cs="Times New Roman"/>
          <w:bCs/>
          <w:kern w:val="0"/>
          <w:szCs w:val="21"/>
        </w:rPr>
      </w:pPr>
    </w:p>
    <w:tbl>
      <w:tblPr>
        <w:tblStyle w:val="9"/>
        <w:tblpPr w:leftFromText="180" w:rightFromText="180" w:vertAnchor="text" w:horzAnchor="page" w:tblpX="1787" w:tblpY="775"/>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17"/>
        <w:gridCol w:w="1147"/>
        <w:gridCol w:w="889"/>
        <w:gridCol w:w="889"/>
        <w:gridCol w:w="735"/>
        <w:gridCol w:w="674"/>
        <w:gridCol w:w="795"/>
        <w:gridCol w:w="735"/>
        <w:gridCol w:w="735"/>
        <w:gridCol w:w="9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597" w:type="pct"/>
            <w:vMerge w:val="restart"/>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牌号</w:t>
            </w:r>
          </w:p>
        </w:tc>
        <w:tc>
          <w:tcPr>
            <w:tcW w:w="673" w:type="pct"/>
            <w:vMerge w:val="restar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样本序号</w:t>
            </w:r>
          </w:p>
        </w:tc>
        <w:tc>
          <w:tcPr>
            <w:tcW w:w="3729" w:type="pct"/>
            <w:gridSpan w:val="8"/>
            <w:tcBorders>
              <w:top w:val="single" w:color="auto" w:sz="12" w:space="0"/>
              <w:bottom w:val="single" w:color="auto" w:sz="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化学成分（质量分数）/%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597" w:type="pct"/>
            <w:vMerge w:val="continue"/>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p>
        </w:tc>
        <w:tc>
          <w:tcPr>
            <w:tcW w:w="673" w:type="pct"/>
            <w:vMerge w:val="continue"/>
            <w:vAlign w:val="center"/>
          </w:tcPr>
          <w:p>
            <w:pPr>
              <w:adjustRightInd w:val="0"/>
              <w:snapToGrid w:val="0"/>
              <w:jc w:val="center"/>
              <w:rPr>
                <w:rFonts w:ascii="Times New Roman" w:hAnsi="Times New Roman" w:cs="Times New Roman"/>
                <w:sz w:val="15"/>
                <w:szCs w:val="15"/>
              </w:rPr>
            </w:pP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Cu</w:t>
            </w: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Mn</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kern w:val="0"/>
                <w:szCs w:val="21"/>
              </w:rPr>
              <w:t>Ni</w:t>
            </w:r>
          </w:p>
        </w:tc>
        <w:tc>
          <w:tcPr>
            <w:tcW w:w="395"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Si</w:t>
            </w:r>
          </w:p>
        </w:tc>
        <w:tc>
          <w:tcPr>
            <w:tcW w:w="466"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Ge</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Al</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Fe</w:t>
            </w:r>
          </w:p>
        </w:tc>
        <w:tc>
          <w:tcPr>
            <w:tcW w:w="531" w:type="pct"/>
            <w:tcBorders>
              <w:top w:val="single" w:color="auto" w:sz="12" w:space="0"/>
              <w:bottom w:val="single" w:color="auto" w:sz="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restar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6J615</w:t>
            </w:r>
          </w:p>
          <w:p>
            <w:pPr>
              <w:adjustRightInd w:val="0"/>
              <w:snapToGrid w:val="0"/>
              <w:jc w:val="center"/>
              <w:rPr>
                <w:rFonts w:ascii="Times New Roman" w:hAnsi="Times New Roman" w:cs="Times New Roman"/>
                <w:sz w:val="15"/>
                <w:szCs w:val="15"/>
                <w:highlight w:val="yellow"/>
                <w:lang w:val="es-ES"/>
              </w:rPr>
            </w:pPr>
          </w:p>
        </w:tc>
        <w:tc>
          <w:tcPr>
            <w:tcW w:w="673"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11.56</w:t>
            </w:r>
          </w:p>
        </w:tc>
        <w:tc>
          <w:tcPr>
            <w:tcW w:w="43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2.32</w:t>
            </w:r>
          </w:p>
        </w:tc>
        <w:tc>
          <w:tcPr>
            <w:tcW w:w="431" w:type="pc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12.36</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2.87</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11.75</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3.33</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4</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12.04</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3.56</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5</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12.33</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3.86</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11.83</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3.12</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7</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11.53</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2.93</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8</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12.32</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2.24</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12.42</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2.43</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7"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3"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12.09</w:t>
            </w:r>
          </w:p>
        </w:tc>
        <w:tc>
          <w:tcPr>
            <w:tcW w:w="43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395" w:type="pct"/>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466"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2.57</w:t>
            </w:r>
          </w:p>
        </w:tc>
        <w:tc>
          <w:tcPr>
            <w:tcW w:w="4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531" w:type="pct"/>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bl>
    <w:p>
      <w:pPr>
        <w:spacing w:line="360" w:lineRule="auto"/>
        <w:ind w:firstLine="420" w:firstLineChars="200"/>
        <w:jc w:val="center"/>
        <w:rPr>
          <w:rFonts w:ascii="Times New Roman" w:hAnsi="Times New Roman" w:eastAsia="黑体" w:cs="Times New Roman"/>
          <w:bCs/>
          <w:kern w:val="0"/>
          <w:szCs w:val="21"/>
        </w:rPr>
      </w:pPr>
      <w:r>
        <w:rPr>
          <w:rFonts w:ascii="Times New Roman" w:hAnsi="Times New Roman" w:eastAsia="黑体" w:cs="Times New Roman"/>
          <w:szCs w:val="28"/>
        </w:rPr>
        <w:t>表3 6J615牌号化学成分测量表</w:t>
      </w:r>
    </w:p>
    <w:p>
      <w:pPr>
        <w:rPr>
          <w:rFonts w:ascii="Times New Roman" w:hAnsi="Times New Roman" w:cs="Times New Roman"/>
          <w:bCs/>
          <w:kern w:val="0"/>
          <w:szCs w:val="21"/>
        </w:rPr>
      </w:pPr>
      <w:r>
        <w:rPr>
          <w:rFonts w:ascii="Times New Roman" w:hAnsi="Times New Roman" w:cs="Times New Roman"/>
          <w:bCs/>
          <w:kern w:val="0"/>
          <w:szCs w:val="21"/>
        </w:rPr>
        <w:br w:type="page"/>
      </w:r>
    </w:p>
    <w:p>
      <w:pPr>
        <w:spacing w:line="360" w:lineRule="auto"/>
        <w:ind w:firstLine="420" w:firstLineChars="200"/>
        <w:rPr>
          <w:rFonts w:ascii="Times New Roman" w:hAnsi="Times New Roman" w:cs="Times New Roman"/>
          <w:bCs/>
          <w:kern w:val="0"/>
          <w:szCs w:val="21"/>
        </w:rPr>
        <w:sectPr>
          <w:pgSz w:w="11906" w:h="16838"/>
          <w:pgMar w:top="1440" w:right="1797" w:bottom="1440" w:left="1797" w:header="851" w:footer="992" w:gutter="0"/>
          <w:cols w:space="720" w:num="1"/>
          <w:titlePg/>
          <w:docGrid w:type="linesAndChars" w:linePitch="312" w:charSpace="0"/>
        </w:sectPr>
      </w:pPr>
    </w:p>
    <w:p>
      <w:pPr>
        <w:spacing w:line="360" w:lineRule="auto"/>
        <w:ind w:firstLine="420" w:firstLineChars="200"/>
        <w:rPr>
          <w:rFonts w:ascii="Times New Roman" w:hAnsi="Times New Roman" w:cs="Times New Roman"/>
          <w:bCs/>
          <w:kern w:val="0"/>
          <w:szCs w:val="21"/>
        </w:rPr>
      </w:pPr>
    </w:p>
    <w:p>
      <w:pPr>
        <w:spacing w:line="360" w:lineRule="auto"/>
        <w:ind w:firstLine="420" w:firstLineChars="200"/>
        <w:jc w:val="center"/>
        <w:rPr>
          <w:rFonts w:ascii="Times New Roman" w:hAnsi="Times New Roman" w:eastAsia="黑体" w:cs="Times New Roman"/>
          <w:bCs/>
          <w:kern w:val="0"/>
          <w:szCs w:val="21"/>
        </w:rPr>
      </w:pPr>
      <w:r>
        <w:rPr>
          <w:rFonts w:ascii="Times New Roman" w:hAnsi="Times New Roman" w:eastAsia="黑体" w:cs="Times New Roman"/>
          <w:szCs w:val="28"/>
        </w:rPr>
        <w:t>表4 6J625牌号化学成分测量表</w:t>
      </w:r>
    </w:p>
    <w:tbl>
      <w:tblPr>
        <w:tblStyle w:val="9"/>
        <w:tblpPr w:leftFromText="180" w:rightFromText="180" w:vertAnchor="text" w:horzAnchor="page" w:tblpX="1787" w:tblpY="775"/>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19"/>
        <w:gridCol w:w="1148"/>
        <w:gridCol w:w="889"/>
        <w:gridCol w:w="889"/>
        <w:gridCol w:w="735"/>
        <w:gridCol w:w="674"/>
        <w:gridCol w:w="795"/>
        <w:gridCol w:w="735"/>
        <w:gridCol w:w="735"/>
        <w:gridCol w:w="9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49" w:hRule="atLeast"/>
        </w:trPr>
        <w:tc>
          <w:tcPr>
            <w:tcW w:w="598" w:type="pct"/>
            <w:vMerge w:val="restart"/>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牌号</w:t>
            </w:r>
          </w:p>
        </w:tc>
        <w:tc>
          <w:tcPr>
            <w:tcW w:w="674" w:type="pct"/>
            <w:vMerge w:val="restar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样本序号</w:t>
            </w:r>
          </w:p>
        </w:tc>
        <w:tc>
          <w:tcPr>
            <w:tcW w:w="3727" w:type="pct"/>
            <w:gridSpan w:val="8"/>
            <w:tcBorders>
              <w:top w:val="single" w:color="auto" w:sz="12" w:space="0"/>
              <w:bottom w:val="single" w:color="auto" w:sz="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化学成分（质量分数）/%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7" w:hRule="atLeast"/>
        </w:trPr>
        <w:tc>
          <w:tcPr>
            <w:tcW w:w="598" w:type="pct"/>
            <w:vMerge w:val="continue"/>
            <w:tcBorders>
              <w:top w:val="single" w:color="auto" w:sz="12" w:space="0"/>
              <w:bottom w:val="single" w:color="auto" w:sz="2" w:space="0"/>
            </w:tcBorders>
            <w:shd w:val="clear" w:color="auto" w:fill="auto"/>
            <w:vAlign w:val="center"/>
          </w:tcPr>
          <w:p>
            <w:pPr>
              <w:adjustRightInd w:val="0"/>
              <w:snapToGrid w:val="0"/>
              <w:jc w:val="center"/>
              <w:rPr>
                <w:rFonts w:ascii="Times New Roman" w:hAnsi="Times New Roman" w:cs="Times New Roman"/>
                <w:sz w:val="15"/>
                <w:szCs w:val="15"/>
              </w:rPr>
            </w:pPr>
          </w:p>
        </w:tc>
        <w:tc>
          <w:tcPr>
            <w:tcW w:w="674" w:type="pct"/>
            <w:vMerge w:val="continue"/>
            <w:vAlign w:val="center"/>
          </w:tcPr>
          <w:p>
            <w:pPr>
              <w:adjustRightInd w:val="0"/>
              <w:snapToGrid w:val="0"/>
              <w:jc w:val="center"/>
              <w:rPr>
                <w:rFonts w:ascii="Times New Roman" w:hAnsi="Times New Roman" w:cs="Times New Roman"/>
                <w:sz w:val="15"/>
                <w:szCs w:val="15"/>
              </w:rPr>
            </w:pP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Cu</w:t>
            </w:r>
          </w:p>
        </w:tc>
        <w:tc>
          <w:tcPr>
            <w:tcW w:w="52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Mn</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kern w:val="0"/>
                <w:szCs w:val="21"/>
              </w:rPr>
              <w:t>Ni</w:t>
            </w:r>
          </w:p>
        </w:tc>
        <w:tc>
          <w:tcPr>
            <w:tcW w:w="395"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Si</w:t>
            </w:r>
          </w:p>
        </w:tc>
        <w:tc>
          <w:tcPr>
            <w:tcW w:w="466"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Ge</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Al</w:t>
            </w:r>
          </w:p>
        </w:tc>
        <w:tc>
          <w:tcPr>
            <w:tcW w:w="431" w:type="pct"/>
            <w:tcBorders>
              <w:top w:val="single" w:color="auto" w:sz="1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Fe</w:t>
            </w:r>
          </w:p>
        </w:tc>
        <w:tc>
          <w:tcPr>
            <w:tcW w:w="527" w:type="pct"/>
            <w:tcBorders>
              <w:top w:val="single" w:color="auto" w:sz="12" w:space="0"/>
              <w:bottom w:val="single" w:color="auto" w:sz="2" w:space="0"/>
            </w:tcBorders>
            <w:vAlign w:val="center"/>
          </w:tcPr>
          <w:p>
            <w:pPr>
              <w:widowControl/>
              <w:jc w:val="center"/>
              <w:rPr>
                <w:rFonts w:ascii="Times New Roman" w:hAnsi="Times New Roman" w:cs="Times New Roman"/>
                <w:sz w:val="15"/>
                <w:szCs w:val="15"/>
              </w:rPr>
            </w:pPr>
            <w:r>
              <w:rPr>
                <w:rFonts w:ascii="Times New Roman" w:hAnsi="Times New Roman" w:cs="Times New Roman"/>
                <w:color w:val="000000"/>
                <w:kern w:val="0"/>
                <w:szCs w:val="21"/>
              </w:rPr>
              <w:t>Sn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restart"/>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6J625</w:t>
            </w:r>
          </w:p>
          <w:p>
            <w:pPr>
              <w:adjustRightInd w:val="0"/>
              <w:snapToGrid w:val="0"/>
              <w:jc w:val="center"/>
              <w:rPr>
                <w:rFonts w:ascii="Times New Roman" w:hAnsi="Times New Roman" w:cs="Times New Roman"/>
                <w:sz w:val="15"/>
                <w:szCs w:val="15"/>
                <w:highlight w:val="yellow"/>
                <w:lang w:val="es-ES"/>
              </w:rPr>
            </w:pPr>
          </w:p>
        </w:tc>
        <w:tc>
          <w:tcPr>
            <w:tcW w:w="674"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24.56</w:t>
            </w:r>
          </w:p>
        </w:tc>
        <w:tc>
          <w:tcPr>
            <w:tcW w:w="431" w:type="pct"/>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9.54</w:t>
            </w:r>
          </w:p>
        </w:tc>
        <w:tc>
          <w:tcPr>
            <w:tcW w:w="674" w:type="dxa"/>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tcBorders>
              <w:top w:val="single" w:color="auto" w:sz="12" w:space="0"/>
            </w:tcBorders>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tcBorders>
              <w:top w:val="single" w:color="auto" w:sz="12" w:space="0"/>
            </w:tcBorders>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25.53</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9.23</w:t>
            </w:r>
          </w:p>
        </w:tc>
        <w:tc>
          <w:tcPr>
            <w:tcW w:w="674"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3</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24.95</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10.46</w:t>
            </w:r>
          </w:p>
        </w:tc>
        <w:tc>
          <w:tcPr>
            <w:tcW w:w="674"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lang w:val="es-ES"/>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4</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25.82</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10.25</w:t>
            </w:r>
          </w:p>
        </w:tc>
        <w:tc>
          <w:tcPr>
            <w:tcW w:w="674"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5</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25.84</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10.64</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6</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24.75</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9.75</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7</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24.32</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9.91</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8</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24.75</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10.23</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9</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25.21</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10.45</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9" w:hRule="atLeast"/>
        </w:trPr>
        <w:tc>
          <w:tcPr>
            <w:tcW w:w="598" w:type="pct"/>
            <w:vMerge w:val="continue"/>
            <w:shd w:val="clear" w:color="auto" w:fill="auto"/>
            <w:vAlign w:val="center"/>
          </w:tcPr>
          <w:p>
            <w:pPr>
              <w:adjustRightInd w:val="0"/>
              <w:snapToGrid w:val="0"/>
              <w:jc w:val="center"/>
              <w:rPr>
                <w:rFonts w:ascii="Times New Roman" w:hAnsi="Times New Roman" w:cs="Times New Roman"/>
                <w:sz w:val="15"/>
                <w:szCs w:val="15"/>
                <w:highlight w:val="yellow"/>
              </w:rPr>
            </w:pPr>
          </w:p>
        </w:tc>
        <w:tc>
          <w:tcPr>
            <w:tcW w:w="674"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余量</w:t>
            </w:r>
          </w:p>
        </w:tc>
        <w:tc>
          <w:tcPr>
            <w:tcW w:w="521" w:type="pct"/>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25.47</w:t>
            </w:r>
          </w:p>
        </w:tc>
        <w:tc>
          <w:tcPr>
            <w:tcW w:w="73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10.26</w:t>
            </w:r>
          </w:p>
        </w:tc>
        <w:tc>
          <w:tcPr>
            <w:tcW w:w="674" w:type="dxa"/>
            <w:vAlign w:val="center"/>
          </w:tcPr>
          <w:p>
            <w:pPr>
              <w:adjustRightInd w:val="0"/>
              <w:snapToGrid w:val="0"/>
              <w:jc w:val="center"/>
              <w:rPr>
                <w:rFonts w:ascii="Times New Roman" w:hAnsi="Times New Roman" w:cs="Times New Roman"/>
                <w:kern w:val="0"/>
                <w:sz w:val="15"/>
                <w:szCs w:val="15"/>
              </w:rPr>
            </w:pPr>
            <w:r>
              <w:rPr>
                <w:rFonts w:ascii="Times New Roman" w:hAnsi="Times New Roman" w:cs="Times New Roman"/>
                <w:sz w:val="15"/>
                <w:szCs w:val="15"/>
              </w:rPr>
              <w:t>&lt;0.005</w:t>
            </w:r>
          </w:p>
        </w:tc>
        <w:tc>
          <w:tcPr>
            <w:tcW w:w="795" w:type="dxa"/>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735"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c>
          <w:tcPr>
            <w:tcW w:w="906" w:type="dxa"/>
            <w:shd w:val="clear" w:color="auto" w:fill="auto"/>
            <w:vAlign w:val="center"/>
          </w:tcPr>
          <w:p>
            <w:pPr>
              <w:adjustRightInd w:val="0"/>
              <w:snapToGrid w:val="0"/>
              <w:jc w:val="center"/>
              <w:rPr>
                <w:rFonts w:ascii="Times New Roman" w:hAnsi="Times New Roman" w:cs="Times New Roman"/>
                <w:sz w:val="15"/>
                <w:szCs w:val="15"/>
              </w:rPr>
            </w:pPr>
            <w:r>
              <w:rPr>
                <w:rFonts w:ascii="Times New Roman" w:hAnsi="Times New Roman" w:cs="Times New Roman"/>
                <w:sz w:val="15"/>
                <w:szCs w:val="15"/>
              </w:rPr>
              <w:t>&lt;0.005</w:t>
            </w:r>
          </w:p>
        </w:tc>
      </w:tr>
    </w:tbl>
    <w:p>
      <w:pPr>
        <w:spacing w:line="360" w:lineRule="auto"/>
        <w:rPr>
          <w:rFonts w:ascii="Times New Roman" w:hAnsi="Times New Roman" w:cs="Times New Roman"/>
          <w:bCs/>
          <w:kern w:val="0"/>
          <w:szCs w:val="21"/>
        </w:rPr>
      </w:pPr>
    </w:p>
    <w:p>
      <w:pPr>
        <w:spacing w:line="360" w:lineRule="auto"/>
        <w:ind w:firstLine="420" w:firstLineChars="200"/>
        <w:rPr>
          <w:rFonts w:ascii="Times New Roman" w:hAnsi="Times New Roman" w:cs="Times New Roman"/>
          <w:bCs/>
          <w:kern w:val="0"/>
          <w:szCs w:val="21"/>
        </w:rPr>
      </w:pPr>
    </w:p>
    <w:p>
      <w:p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综上，铜基精密电阻合金各牌号化学成分表如下表：</w:t>
      </w:r>
    </w:p>
    <w:p>
      <w:pPr>
        <w:pStyle w:val="22"/>
        <w:spacing w:before="156" w:after="156"/>
        <w:jc w:val="center"/>
        <w:rPr>
          <w:rFonts w:ascii="Times New Roman"/>
        </w:rPr>
        <w:sectPr>
          <w:pgSz w:w="11906" w:h="16838"/>
          <w:pgMar w:top="1440" w:right="1797" w:bottom="1440" w:left="1797" w:header="851" w:footer="992" w:gutter="0"/>
          <w:cols w:space="720" w:num="1"/>
          <w:titlePg/>
          <w:docGrid w:type="linesAndChars" w:linePitch="312" w:charSpace="0"/>
        </w:sectPr>
      </w:pPr>
    </w:p>
    <w:p>
      <w:pPr>
        <w:pStyle w:val="22"/>
        <w:spacing w:before="156" w:after="156"/>
        <w:jc w:val="center"/>
        <w:rPr>
          <w:rFonts w:ascii="Times New Roman"/>
        </w:rPr>
      </w:pPr>
      <w:r>
        <w:rPr>
          <w:rFonts w:ascii="Times New Roman"/>
        </w:rPr>
        <w:t>表5 铜基精密电阻合金牌号及化学成分</w:t>
      </w:r>
    </w:p>
    <w:tbl>
      <w:tblPr>
        <w:tblStyle w:val="9"/>
        <w:tblpPr w:leftFromText="180" w:rightFromText="180" w:vertAnchor="page" w:horzAnchor="page" w:tblpX="1410" w:tblpY="276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49"/>
        <w:gridCol w:w="949"/>
        <w:gridCol w:w="1261"/>
        <w:gridCol w:w="1261"/>
        <w:gridCol w:w="1261"/>
        <w:gridCol w:w="1261"/>
        <w:gridCol w:w="1261"/>
        <w:gridCol w:w="1261"/>
        <w:gridCol w:w="1261"/>
        <w:gridCol w:w="1266"/>
        <w:gridCol w:w="1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50" w:type="pct"/>
            <w:vMerge w:val="restar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序号</w:t>
            </w:r>
          </w:p>
        </w:tc>
        <w:tc>
          <w:tcPr>
            <w:tcW w:w="335" w:type="pct"/>
            <w:vMerge w:val="restar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新牌号</w:t>
            </w:r>
          </w:p>
        </w:tc>
        <w:tc>
          <w:tcPr>
            <w:tcW w:w="335" w:type="pct"/>
            <w:vMerge w:val="restart"/>
            <w:noWrap/>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旧牌号</w:t>
            </w:r>
          </w:p>
        </w:tc>
        <w:tc>
          <w:tcPr>
            <w:tcW w:w="4077" w:type="pct"/>
            <w:gridSpan w:val="9"/>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化学成分（质量分数）/%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vMerge w:val="continue"/>
            <w:vAlign w:val="center"/>
          </w:tcPr>
          <w:p>
            <w:pPr>
              <w:widowControl/>
              <w:jc w:val="center"/>
              <w:rPr>
                <w:rFonts w:ascii="Times New Roman" w:hAnsi="Times New Roman" w:cs="Times New Roman"/>
                <w:color w:val="000000"/>
                <w:kern w:val="0"/>
                <w:szCs w:val="21"/>
              </w:rPr>
            </w:pPr>
          </w:p>
        </w:tc>
        <w:tc>
          <w:tcPr>
            <w:tcW w:w="335" w:type="pct"/>
            <w:vMerge w:val="continue"/>
            <w:vAlign w:val="center"/>
          </w:tcPr>
          <w:p>
            <w:pPr>
              <w:widowControl/>
              <w:jc w:val="center"/>
              <w:rPr>
                <w:rFonts w:ascii="Times New Roman" w:hAnsi="Times New Roman" w:cs="Times New Roman"/>
                <w:color w:val="000000"/>
                <w:kern w:val="0"/>
                <w:szCs w:val="21"/>
              </w:rPr>
            </w:pPr>
          </w:p>
        </w:tc>
        <w:tc>
          <w:tcPr>
            <w:tcW w:w="335" w:type="pct"/>
            <w:vMerge w:val="continue"/>
            <w:vAlign w:val="center"/>
          </w:tcPr>
          <w:p>
            <w:pPr>
              <w:widowControl/>
              <w:jc w:val="center"/>
              <w:rPr>
                <w:rFonts w:ascii="Times New Roman" w:hAnsi="Times New Roman" w:cs="Times New Roman"/>
                <w:color w:val="FF0000"/>
                <w:kern w:val="0"/>
                <w:szCs w:val="21"/>
              </w:rPr>
            </w:pP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Cu</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Mn</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kern w:val="0"/>
                <w:szCs w:val="21"/>
              </w:rPr>
              <w:t>Ni</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Si</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Ge</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Al</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Fe</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Sn</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其他元素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6J606</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6.0~7.0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5.0~6.0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333333"/>
                <w:kern w:val="0"/>
                <w:szCs w:val="21"/>
              </w:rPr>
              <w:t>6J607</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6.5~7.5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2.0-3.0</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6J608</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6J8</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8.0~10.0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1.0~2.0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6J611</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6J11</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11.5~12.5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2.5~4.5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1.0~1.6</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6J612</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6J12</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11.0~13.0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2.0~3.0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6J613</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6J13</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11.0~13.0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2.0~5.0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6J615</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11.5~12.5</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2.0-4.0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6J625</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24.0-26.0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9.0-11.0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50"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6J640</w:t>
            </w:r>
          </w:p>
        </w:tc>
        <w:tc>
          <w:tcPr>
            <w:tcW w:w="33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6J40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余</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1.0~2.0</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39.0~41.0</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w:t>
            </w:r>
          </w:p>
        </w:tc>
        <w:tc>
          <w:tcPr>
            <w:tcW w:w="445" w:type="pct"/>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w:t>
            </w:r>
          </w:p>
        </w:tc>
        <w:tc>
          <w:tcPr>
            <w:tcW w:w="447"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514" w:type="pct"/>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000" w:type="pct"/>
            <w:gridSpan w:val="12"/>
            <w:noWrap/>
            <w:vAlign w:val="center"/>
          </w:tcPr>
          <w:p>
            <w:pPr>
              <w:widowControl/>
              <w:rPr>
                <w:rFonts w:ascii="Times New Roman" w:hAnsi="Times New Roman" w:eastAsia="宋体" w:cs="Times New Roman"/>
                <w:color w:val="000000"/>
                <w:kern w:val="0"/>
                <w:szCs w:val="21"/>
              </w:rPr>
            </w:pPr>
            <w:r>
              <w:rPr>
                <w:rFonts w:ascii="Times New Roman" w:hAnsi="Times New Roman" w:cs="Times New Roman"/>
                <w:color w:val="000000"/>
                <w:kern w:val="0"/>
                <w:szCs w:val="21"/>
              </w:rPr>
              <w:t>注：根据合金使用用途，化学成分允许稍有变动。</w:t>
            </w:r>
          </w:p>
        </w:tc>
      </w:tr>
    </w:tbl>
    <w:p>
      <w:pPr>
        <w:spacing w:line="360" w:lineRule="auto"/>
        <w:rPr>
          <w:rFonts w:ascii="Times New Roman" w:hAnsi="Times New Roman" w:cs="Times New Roman"/>
          <w:bCs/>
          <w:kern w:val="0"/>
          <w:szCs w:val="21"/>
        </w:rPr>
        <w:sectPr>
          <w:pgSz w:w="16838" w:h="11906" w:orient="landscape"/>
          <w:pgMar w:top="1797" w:right="1440" w:bottom="1797" w:left="1440" w:header="851" w:footer="992" w:gutter="0"/>
          <w:cols w:space="720" w:num="1"/>
          <w:titlePg/>
          <w:docGrid w:type="linesAndChars" w:linePitch="312" w:charSpace="0"/>
        </w:sectPr>
      </w:pPr>
    </w:p>
    <w:p>
      <w:pPr>
        <w:pStyle w:val="2"/>
        <w:ind w:firstLine="420" w:firstLineChars="200"/>
        <w:rPr>
          <w:rFonts w:ascii="黑体" w:hAnsi="黑体" w:eastAsia="黑体" w:cs="黑体"/>
        </w:rPr>
      </w:pPr>
      <w:r>
        <w:rPr>
          <w:rFonts w:hint="eastAsia" w:ascii="黑体" w:hAnsi="黑体" w:eastAsia="黑体" w:cs="黑体"/>
        </w:rPr>
        <w:t>（三）主要特性及用途</w:t>
      </w:r>
    </w:p>
    <w:p>
      <w:pPr>
        <w:pStyle w:val="2"/>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铜基精密电阻合金已经有了比较成熟的应用市场，产品性能稳定，不同牌号主要性能及用途不同。依据DIN 17471标准及GB/T 6145、GB/T 6149、JB/T 5327-2014、JB/T 12513、JB/T 9502-1999等国内外标准，铜基精密电阻合金各牌号主要特性及用途见下表6。</w:t>
      </w:r>
    </w:p>
    <w:p>
      <w:pPr>
        <w:spacing w:line="360" w:lineRule="auto"/>
        <w:ind w:firstLine="420" w:firstLineChars="200"/>
        <w:jc w:val="center"/>
        <w:rPr>
          <w:rFonts w:ascii="黑体" w:hAnsi="黑体" w:eastAsia="黑体" w:cs="黑体"/>
          <w:bCs/>
          <w:kern w:val="0"/>
          <w:szCs w:val="21"/>
        </w:rPr>
      </w:pPr>
      <w:r>
        <w:rPr>
          <w:rFonts w:hint="eastAsia" w:ascii="黑体" w:hAnsi="黑体" w:eastAsia="黑体" w:cs="黑体"/>
          <w:szCs w:val="21"/>
        </w:rPr>
        <w:t>表6 铜基精密电阻合金各牌号主要特性及用途</w:t>
      </w:r>
    </w:p>
    <w:tbl>
      <w:tblPr>
        <w:tblStyle w:val="9"/>
        <w:tblpPr w:leftFromText="180" w:rightFromText="180" w:vertAnchor="text" w:horzAnchor="page" w:tblpX="1799" w:tblpY="531"/>
        <w:tblOverlap w:val="never"/>
        <w:tblW w:w="88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4415"/>
        <w:gridCol w:w="3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20"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牌号</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特性</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6J606</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具有较低的电阻率，较低的电阻温度系数</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制作各种测量仪器、仪表等电阻元件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333333"/>
                <w:kern w:val="0"/>
                <w:sz w:val="18"/>
                <w:szCs w:val="18"/>
              </w:rPr>
              <w:t>6J607</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在较大温度范围内有低的电阻温度系数，稳定且低的电阻率，低的对铜热电动势</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精密电阻器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6J608</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电阻率、电阻温度系数与对铜热电动势均较低，电阻温度系数对热处理工艺参数较敏感、加工性能较差、组织稳定性不高。</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可用作准确度较高的分流器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6J611</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电阻温度系数较低，电阻系 数较高，抗氧化性能和机械加工性能良好，耐腐蚀，易钎焊</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制造各种电器变阻器和电阻元件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6J612</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电阻温度系数很低，对铜热电动势低，良好的电阻长期稳定性</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电工仪器电阻元件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6J613</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电阻峰值温度在30℃~50℃范围内</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可用作精密电阻器、分流器和一般电阻器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6J615</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较高的电阻率，较低的电阻温度系数，在20~60℃内电阻温度系数呈抛物线状</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标准电阻器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6J625</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电阻值长期稳定，极低的对铜热电动势，低的电阻温度系数</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精密电阻元器件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20"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6J640</w:t>
            </w:r>
          </w:p>
        </w:tc>
        <w:tc>
          <w:tcPr>
            <w:tcW w:w="4415"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电阻温度系数较高，电阻率适中，对铜热电动势较高，一般应用于交变电流信号的检测</w:t>
            </w:r>
          </w:p>
        </w:tc>
        <w:tc>
          <w:tcPr>
            <w:tcW w:w="3383" w:type="dxa"/>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制作各种测量仪器、仪表等电阻元件</w:t>
            </w:r>
          </w:p>
        </w:tc>
      </w:tr>
    </w:tbl>
    <w:p>
      <w:pPr>
        <w:spacing w:line="360" w:lineRule="auto"/>
        <w:ind w:firstLine="420" w:firstLineChars="200"/>
        <w:rPr>
          <w:rFonts w:cs="Times New Roman"/>
          <w:bCs/>
          <w:kern w:val="0"/>
          <w:szCs w:val="21"/>
        </w:rPr>
      </w:pPr>
    </w:p>
    <w:p>
      <w:pPr>
        <w:spacing w:line="360" w:lineRule="auto"/>
        <w:ind w:firstLine="420" w:firstLineChars="200"/>
        <w:rPr>
          <w:rFonts w:ascii="Times New Roman" w:hAnsi="Times New Roman" w:cs="Times New Roman"/>
          <w:b/>
          <w:szCs w:val="28"/>
        </w:rPr>
        <w:sectPr>
          <w:pgSz w:w="11906" w:h="16838"/>
          <w:pgMar w:top="1440" w:right="1797" w:bottom="1440" w:left="1797" w:header="851" w:footer="992" w:gutter="0"/>
          <w:cols w:space="720" w:num="1"/>
          <w:titlePg/>
          <w:docGrid w:type="linesAndChars" w:linePitch="312" w:charSpace="0"/>
        </w:sectPr>
      </w:pPr>
    </w:p>
    <w:p>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四、标准中涉及专利的情况</w:t>
      </w:r>
    </w:p>
    <w:p>
      <w:pPr>
        <w:pStyle w:val="2"/>
        <w:ind w:firstLine="420" w:firstLineChars="200"/>
        <w:rPr>
          <w:rFonts w:ascii="宋体" w:hAnsi="宋体" w:eastAsiaTheme="minorEastAsia"/>
          <w:szCs w:val="21"/>
        </w:rPr>
      </w:pPr>
      <w:r>
        <w:rPr>
          <w:rFonts w:hint="eastAsia" w:ascii="宋体" w:hAnsi="宋体" w:eastAsiaTheme="minorEastAsia"/>
          <w:szCs w:val="21"/>
        </w:rPr>
        <w:t>本标准不涉及专利问题。</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预期达到的社会效益等情况</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项目的必要性阐述</w:t>
      </w:r>
    </w:p>
    <w:p>
      <w:pPr>
        <w:pStyle w:val="2"/>
        <w:ind w:firstLine="420" w:firstLineChars="200"/>
        <w:rPr>
          <w:rFonts w:ascii="宋体" w:hAnsi="宋体" w:eastAsiaTheme="minorEastAsia"/>
          <w:szCs w:val="21"/>
        </w:rPr>
      </w:pPr>
      <w:r>
        <w:rPr>
          <w:rFonts w:hint="eastAsia" w:ascii="宋体" w:hAnsi="宋体" w:eastAsiaTheme="minorEastAsia"/>
          <w:szCs w:val="21"/>
        </w:rPr>
        <w:t>本标准的发布和实施不仅会规范和引导铜基精密电阻合金的质量控制，更好地引导铜基精密电阻合金的开发、应用、和生产，同时也能够满足国内外贸易的需求，它将为生产商、用户、供应商三方提供最基本的技术依据。对我国铜基精密电阻合金产品质量整体提高起到保障和推动作用。同时，本标准符合国家关于倡导环保节能、低碳生活及可持续发展的政策，具有充分的先进性、科学性、普遍性、广泛性和适用性。</w:t>
      </w:r>
    </w:p>
    <w:p>
      <w:pPr>
        <w:pStyle w:val="2"/>
        <w:ind w:firstLine="420" w:firstLineChars="200"/>
        <w:rPr>
          <w:rFonts w:ascii="宋体" w:hAnsi="宋体" w:eastAsiaTheme="minorEastAsia"/>
          <w:szCs w:val="21"/>
        </w:rPr>
      </w:pPr>
      <w:r>
        <w:rPr>
          <w:rFonts w:hint="eastAsia" w:ascii="宋体" w:hAnsi="宋体" w:eastAsiaTheme="minorEastAsia"/>
          <w:color w:val="FF0000"/>
          <w:szCs w:val="21"/>
        </w:rPr>
        <w:t>是否为国家产业政策、规划、专项等国家重点支持发展的标准项目，重大科技成果转化项目，拟主导制定国际标准的标准项目，社会广泛关注的热点标准项目，以及具有显著社会效益和经济效益的标准项目。属于国家专项重点支持发展的标准项目时应注明：已列入XXXX年XXXX专项《XXXX》中，项目编号XXXX；属于国家产业政策、规划重点支持发展的标准项目时应注明：属于《XX》XXXX号文“XXXX”中的“XXXX”。</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项目的可行性阐述</w:t>
      </w:r>
    </w:p>
    <w:p>
      <w:pPr>
        <w:pStyle w:val="2"/>
        <w:ind w:firstLine="420" w:firstLineChars="200"/>
        <w:rPr>
          <w:rFonts w:ascii="宋体" w:hAnsi="宋体" w:eastAsiaTheme="minorEastAsia"/>
          <w:szCs w:val="21"/>
        </w:rPr>
      </w:pPr>
      <w:r>
        <w:rPr>
          <w:rFonts w:hint="eastAsia" w:ascii="宋体" w:hAnsi="宋体" w:eastAsiaTheme="minorEastAsia"/>
          <w:szCs w:val="21"/>
        </w:rPr>
        <w:t>项目编制组企业涵盖铜基材料的研发、生产、销售和技术服务，开发出铜锰镍系精密电阻合金并形成板、带、线、型材的批量化生产能力。在标准编制过程中，能积极主动收集国内外的铜基精密电阻合金标准，了解铜基精密电阻合金市场动态，到相关用户单位跟踪、调研实际使用情况，编制试验方案，统计测试数据。</w:t>
      </w:r>
    </w:p>
    <w:p>
      <w:pPr>
        <w:pStyle w:val="2"/>
        <w:ind w:firstLine="420" w:firstLineChars="200"/>
        <w:rPr>
          <w:rFonts w:ascii="宋体" w:hAnsi="宋体" w:eastAsiaTheme="minorEastAsia"/>
          <w:szCs w:val="21"/>
        </w:rPr>
      </w:pPr>
      <w:r>
        <w:rPr>
          <w:rFonts w:hint="eastAsia" w:ascii="宋体" w:hAnsi="宋体" w:eastAsiaTheme="minorEastAsia"/>
          <w:szCs w:val="21"/>
        </w:rPr>
        <w:t>本标准确立了铜基精密电阻合金的牌号和化学成分，全面覆盖了铜基精密电阻合金的一般要求，建议相关单位组织专项标准宣贯会进行系统的学习与贯彻实施。</w:t>
      </w:r>
    </w:p>
    <w:p>
      <w:pPr>
        <w:pStyle w:val="2"/>
        <w:ind w:firstLine="420" w:firstLineChars="200"/>
        <w:rPr>
          <w:rFonts w:ascii="宋体" w:hAnsi="宋体" w:eastAsiaTheme="minorEastAsia"/>
          <w:szCs w:val="21"/>
        </w:rPr>
      </w:pPr>
      <w:r>
        <w:rPr>
          <w:rFonts w:hint="eastAsia" w:ascii="宋体" w:hAnsi="宋体" w:eastAsiaTheme="minorEastAsia"/>
          <w:szCs w:val="21"/>
        </w:rPr>
        <w:t>本标准所涉及的铜基精密电阻合金，生产企业宜根据本标准技术要求选用合适的生产工艺组织生产，提供合格的产品，并不断研发新工艺和设备改造，生产高品质产品，推动企业优化升级。客户宜根据本标准内容订购标准产品，规避因产品不规范带来的风险。因此可积极向厂家及国内外用户采用本标准。</w:t>
      </w:r>
    </w:p>
    <w:p>
      <w:pPr>
        <w:pStyle w:val="2"/>
        <w:ind w:firstLine="420" w:firstLineChars="200"/>
        <w:rPr>
          <w:rFonts w:ascii="宋体" w:hAnsi="宋体" w:eastAsiaTheme="minorEastAsia"/>
          <w:color w:val="FF0000"/>
          <w:szCs w:val="21"/>
        </w:rPr>
      </w:pPr>
      <w:r>
        <w:rPr>
          <w:rFonts w:hint="eastAsia" w:ascii="宋体" w:hAnsi="宋体" w:eastAsiaTheme="minorEastAsia"/>
          <w:color w:val="FF0000"/>
          <w:szCs w:val="21"/>
        </w:rPr>
        <w:t>——企业技术储备与技术水平、产业化情况、满足用户需求情况、市场规模；</w:t>
      </w:r>
    </w:p>
    <w:p>
      <w:pPr>
        <w:pStyle w:val="2"/>
        <w:ind w:firstLine="420" w:firstLineChars="200"/>
        <w:rPr>
          <w:rFonts w:ascii="宋体" w:hAnsi="宋体" w:eastAsiaTheme="minorEastAsia"/>
          <w:szCs w:val="21"/>
        </w:rPr>
      </w:pPr>
      <w:r>
        <w:rPr>
          <w:rFonts w:hint="eastAsia" w:ascii="宋体" w:hAnsi="宋体" w:eastAsiaTheme="minorEastAsia"/>
          <w:color w:val="FF0000"/>
          <w:szCs w:val="21"/>
        </w:rPr>
        <w:t>——拟要解决的主要问题，相关标准情况，存在的问题，研制标准的意义。</w:t>
      </w:r>
    </w:p>
    <w:p>
      <w:pPr>
        <w:pStyle w:val="2"/>
        <w:numPr>
          <w:ilvl w:val="0"/>
          <w:numId w:val="3"/>
        </w:numPr>
        <w:rPr>
          <w:rFonts w:ascii="黑体" w:hAnsi="宋体" w:eastAsia="黑体" w:cs="宋体"/>
          <w:bCs/>
          <w:szCs w:val="21"/>
        </w:rPr>
      </w:pPr>
      <w:r>
        <w:rPr>
          <w:rFonts w:hint="eastAsia" w:ascii="黑体" w:hAnsi="宋体" w:eastAsia="黑体" w:cs="宋体"/>
          <w:bCs/>
          <w:szCs w:val="21"/>
        </w:rPr>
        <w:t>标准的先进性、创新性、标准实施后预期产生的经济效益和社会效益</w:t>
      </w:r>
    </w:p>
    <w:p>
      <w:pPr>
        <w:pStyle w:val="2"/>
        <w:ind w:firstLine="420" w:firstLineChars="200"/>
        <w:rPr>
          <w:rFonts w:ascii="宋体" w:hAnsi="宋体" w:eastAsiaTheme="minorEastAsia"/>
          <w:szCs w:val="21"/>
        </w:rPr>
      </w:pPr>
      <w:r>
        <w:rPr>
          <w:rFonts w:hint="eastAsia" w:ascii="宋体" w:hAnsi="宋体" w:eastAsiaTheme="minorEastAsia"/>
          <w:szCs w:val="21"/>
        </w:rPr>
        <w:t>目前国内外对铜基精密电阻合金材料的应用已有了一定程度的研究，但目前为止并未检索到公开的铜基精密电阻合金材料牌号标准。本标准所规定的技术指标均优于不同客户对本产品的技术指标要求。不同生产厂家产品牌号化学成分实测值基本符合本标准的规定，说明本标准的制定是符合生产实际的。</w:t>
      </w:r>
    </w:p>
    <w:p>
      <w:pPr>
        <w:pStyle w:val="2"/>
        <w:ind w:firstLine="420" w:firstLineChars="200"/>
        <w:rPr>
          <w:rFonts w:ascii="宋体" w:hAnsi="宋体" w:eastAsiaTheme="minorEastAsia"/>
          <w:szCs w:val="21"/>
        </w:rPr>
      </w:pPr>
      <w:r>
        <w:rPr>
          <w:rFonts w:hint="eastAsia" w:ascii="宋体" w:hAnsi="宋体" w:eastAsiaTheme="minorEastAsia"/>
          <w:szCs w:val="21"/>
        </w:rPr>
        <w:t>本标准制订的各项指标均能满足国内外大多数生产厂家的实际生产情况，又能满足使用厂家的要求。本标准文字简练、条理清晰，制订的各项指标合理、先进，具有实用性、可操作性，能够满足生产和使用需要，确定该标准指标水平为总体国内先进水平。</w:t>
      </w:r>
    </w:p>
    <w:p>
      <w:pPr>
        <w:pStyle w:val="2"/>
        <w:ind w:firstLine="420" w:firstLineChars="200"/>
        <w:rPr>
          <w:rFonts w:ascii="宋体" w:hAnsi="宋体" w:eastAsiaTheme="minorEastAsia"/>
          <w:szCs w:val="21"/>
        </w:rPr>
      </w:pPr>
      <w:r>
        <w:rPr>
          <w:rFonts w:hint="eastAsia" w:ascii="宋体" w:hAnsi="宋体" w:eastAsiaTheme="minorEastAsia"/>
          <w:szCs w:val="21"/>
        </w:rPr>
        <w:t>制定铜基精密电阻合金材料牌号及化学成分，对</w:t>
      </w:r>
      <w:r>
        <w:rPr>
          <w:rFonts w:ascii="宋体" w:hAnsi="宋体" w:eastAsiaTheme="minorEastAsia"/>
          <w:szCs w:val="21"/>
        </w:rPr>
        <w:t>我国铜基精密电阻合金产品质量整体提高起到保障和推动作用。</w:t>
      </w:r>
      <w:r>
        <w:rPr>
          <w:rFonts w:hint="eastAsia" w:ascii="宋体" w:hAnsi="宋体" w:eastAsiaTheme="minorEastAsia"/>
          <w:szCs w:val="21"/>
        </w:rPr>
        <w:t>有利于用户了解材料的技术指标，从而正确使用产品，对铜基精密电阻合金材料在精密电阻行业推广应用具有重大意义，同时也有利于规范市场。通过铜基精密电阻合金材料牌号及化学成分标准的制定并实施，将进一步推动铜基精密电阻合金材料在</w:t>
      </w:r>
      <w:r>
        <w:rPr>
          <w:rFonts w:ascii="宋体" w:hAnsi="宋体" w:eastAsiaTheme="minorEastAsia"/>
          <w:szCs w:val="21"/>
        </w:rPr>
        <w:t>环保节能</w:t>
      </w:r>
      <w:r>
        <w:rPr>
          <w:rFonts w:hint="eastAsia" w:ascii="宋体" w:hAnsi="宋体" w:eastAsiaTheme="minorEastAsia"/>
          <w:szCs w:val="21"/>
        </w:rPr>
        <w:t>上发挥重要作用</w:t>
      </w:r>
      <w:r>
        <w:rPr>
          <w:rFonts w:ascii="宋体" w:hAnsi="宋体" w:eastAsiaTheme="minorEastAsia"/>
          <w:szCs w:val="21"/>
        </w:rPr>
        <w:t>。</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采用国际标准和国外先进标准的情况</w:t>
      </w:r>
    </w:p>
    <w:p>
      <w:pPr>
        <w:pStyle w:val="2"/>
      </w:pPr>
      <w:r>
        <w:rPr>
          <w:rFonts w:hint="eastAsia"/>
        </w:rPr>
        <w:t>——是否采用国际或国外先进标准，及采用国际标准和国外先进标准的程度（IDT或MOD或NEQ）；</w:t>
      </w:r>
    </w:p>
    <w:p>
      <w:pPr>
        <w:pStyle w:val="2"/>
      </w:pPr>
      <w:r>
        <w:rPr>
          <w:rFonts w:hint="eastAsia"/>
        </w:rPr>
        <w:t>——查阅到国际同类标准的情况，及标准水平的对比分析（宜以表格形式出现）；</w:t>
      </w:r>
    </w:p>
    <w:p>
      <w:pPr>
        <w:pStyle w:val="2"/>
      </w:pPr>
      <w:r>
        <w:rPr>
          <w:rFonts w:hint="eastAsia"/>
        </w:rPr>
        <w:t>——与测试的国外样品、样机的有关数据对比情况。</w:t>
      </w:r>
    </w:p>
    <w:p>
      <w:pPr>
        <w:numPr>
          <w:ilvl w:val="0"/>
          <w:numId w:val="2"/>
        </w:num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与现行法律、法规、强制性国家标准及相关标准协调配套情况</w:t>
      </w:r>
    </w:p>
    <w:p>
      <w:pPr>
        <w:pStyle w:val="3"/>
        <w:spacing w:line="440" w:lineRule="exact"/>
        <w:ind w:firstLine="420" w:firstLineChars="200"/>
        <w:rPr>
          <w:szCs w:val="21"/>
        </w:rPr>
      </w:pPr>
      <w:r>
        <w:rPr>
          <w:rFonts w:hint="eastAsia"/>
          <w:szCs w:val="21"/>
        </w:rPr>
        <w:t>【与现行标准的配套情况】</w:t>
      </w:r>
    </w:p>
    <w:p>
      <w:pPr>
        <w:spacing w:line="440" w:lineRule="exact"/>
        <w:ind w:firstLine="420" w:firstLineChars="200"/>
        <w:rPr>
          <w:rFonts w:ascii="宋体" w:hAnsi="宋体"/>
          <w:szCs w:val="21"/>
        </w:rPr>
      </w:pPr>
      <w:r>
        <w:rPr>
          <w:rFonts w:hint="eastAsia" w:ascii="宋体" w:hAnsi="宋体"/>
          <w:szCs w:val="21"/>
        </w:rPr>
        <w:t>本标准符合现行法律、法规的要求，并与其他同类国家标准、国家J用标准、行业标准无冲突、重叠和不协调之处。</w:t>
      </w:r>
    </w:p>
    <w:p>
      <w:pPr>
        <w:spacing w:before="156" w:beforeLines="50" w:after="156" w:afterLines="50" w:line="440" w:lineRule="exact"/>
        <w:rPr>
          <w:rFonts w:ascii="黑体" w:hAnsi="宋体" w:eastAsia="黑体" w:cs="宋体"/>
          <w:bCs/>
          <w:szCs w:val="21"/>
        </w:rPr>
      </w:pPr>
      <w:bookmarkStart w:id="6" w:name="_Toc32100"/>
      <w:r>
        <w:rPr>
          <w:rFonts w:hint="eastAsia" w:ascii="黑体" w:hAnsi="宋体" w:eastAsia="黑体" w:cs="宋体"/>
          <w:bCs/>
          <w:szCs w:val="21"/>
        </w:rPr>
        <w:t>八、重大分歧意见的处理经过和依据</w:t>
      </w:r>
      <w:bookmarkEnd w:id="6"/>
    </w:p>
    <w:p>
      <w:pPr>
        <w:spacing w:line="440" w:lineRule="exact"/>
        <w:ind w:firstLine="420" w:firstLineChars="200"/>
        <w:rPr>
          <w:rFonts w:ascii="宋体" w:hAnsi="宋体"/>
          <w:szCs w:val="21"/>
        </w:rPr>
      </w:pPr>
      <w:r>
        <w:rPr>
          <w:rFonts w:hint="eastAsia" w:ascii="宋体" w:hAnsi="宋体"/>
          <w:szCs w:val="21"/>
        </w:rPr>
        <w:t>暂无。【如起草过程中有重大分歧，或是会议讨论未能达成统一意见】</w:t>
      </w:r>
    </w:p>
    <w:p>
      <w:pPr>
        <w:spacing w:before="156" w:beforeLines="50" w:after="156" w:afterLines="50" w:line="440" w:lineRule="exact"/>
        <w:rPr>
          <w:rFonts w:ascii="黑体" w:hAnsi="宋体" w:eastAsia="黑体" w:cs="宋体"/>
          <w:bCs/>
          <w:szCs w:val="21"/>
        </w:rPr>
      </w:pPr>
      <w:bookmarkStart w:id="7" w:name="_Toc15989"/>
      <w:r>
        <w:rPr>
          <w:rFonts w:hint="eastAsia" w:ascii="黑体" w:hAnsi="宋体" w:eastAsia="黑体" w:cs="宋体"/>
          <w:bCs/>
          <w:szCs w:val="21"/>
        </w:rPr>
        <w:t>九、作为强制性或推荐性国家标准的建议</w:t>
      </w:r>
      <w:bookmarkEnd w:id="7"/>
    </w:p>
    <w:p>
      <w:pPr>
        <w:spacing w:line="440" w:lineRule="exact"/>
        <w:ind w:firstLine="420" w:firstLineChars="200"/>
        <w:rPr>
          <w:rFonts w:ascii="宋体" w:hAnsi="宋体"/>
          <w:szCs w:val="21"/>
        </w:rPr>
      </w:pPr>
      <w:r>
        <w:rPr>
          <w:rFonts w:hint="eastAsia" w:ascii="宋体" w:hAnsi="宋体" w:eastAsia="宋体" w:cs="宋体"/>
          <w:szCs w:val="21"/>
        </w:rPr>
        <w:t>本标准建议作为</w:t>
      </w:r>
      <w:r>
        <w:rPr>
          <w:rFonts w:hint="eastAsia" w:ascii="宋体" w:hAnsi="宋体" w:eastAsia="宋体" w:cs="宋体"/>
          <w:color w:val="C00000"/>
          <w:szCs w:val="21"/>
        </w:rPr>
        <w:t>推荐性</w:t>
      </w:r>
      <w:r>
        <w:rPr>
          <w:rFonts w:hint="eastAsia" w:ascii="宋体" w:hAnsi="宋体" w:eastAsia="宋体" w:cs="宋体"/>
          <w:szCs w:val="21"/>
        </w:rPr>
        <w:t>行业标准【国家标准、团体标准】发布。</w:t>
      </w:r>
    </w:p>
    <w:p>
      <w:pPr>
        <w:spacing w:before="156" w:beforeLines="50" w:after="156" w:afterLines="50" w:line="440" w:lineRule="exact"/>
        <w:rPr>
          <w:rFonts w:ascii="黑体" w:hAnsi="宋体" w:eastAsia="黑体" w:cs="宋体"/>
          <w:bCs/>
          <w:szCs w:val="21"/>
        </w:rPr>
      </w:pPr>
      <w:bookmarkStart w:id="8" w:name="_Toc15588"/>
      <w:r>
        <w:rPr>
          <w:rFonts w:hint="eastAsia" w:ascii="黑体" w:hAnsi="宋体" w:eastAsia="黑体" w:cs="宋体"/>
          <w:bCs/>
          <w:szCs w:val="21"/>
        </w:rPr>
        <w:t>十、贯彻标准的要求和措施建议</w:t>
      </w:r>
      <w:bookmarkEnd w:id="8"/>
    </w:p>
    <w:p>
      <w:pPr>
        <w:pStyle w:val="17"/>
        <w:spacing w:line="440" w:lineRule="exact"/>
        <w:ind w:firstLine="420"/>
        <w:rPr>
          <w:rFonts w:hAnsi="宋体" w:cs="宋体"/>
          <w:szCs w:val="21"/>
        </w:rPr>
      </w:pPr>
      <w:r>
        <w:rPr>
          <w:rFonts w:hint="eastAsia" w:hAnsi="宋体" w:cs="宋体"/>
          <w:szCs w:val="21"/>
        </w:rPr>
        <w:t>——组织措施</w:t>
      </w:r>
    </w:p>
    <w:p>
      <w:pPr>
        <w:pStyle w:val="17"/>
        <w:spacing w:line="440" w:lineRule="exact"/>
        <w:ind w:firstLine="420"/>
        <w:rPr>
          <w:rFonts w:hAnsi="宋体" w:cs="宋体"/>
          <w:szCs w:val="21"/>
        </w:rPr>
      </w:pPr>
      <w:r>
        <w:rPr>
          <w:rFonts w:hint="eastAsia" w:hAnsi="宋体" w:cs="宋体"/>
          <w:szCs w:val="21"/>
        </w:rPr>
        <w:t>——技术措施</w:t>
      </w:r>
    </w:p>
    <w:p>
      <w:pPr>
        <w:pStyle w:val="17"/>
        <w:spacing w:line="440" w:lineRule="exact"/>
        <w:ind w:firstLine="420"/>
        <w:rPr>
          <w:rFonts w:hAnsi="宋体" w:cs="宋体"/>
          <w:szCs w:val="21"/>
        </w:rPr>
      </w:pPr>
      <w:r>
        <w:rPr>
          <w:rFonts w:hint="eastAsia" w:hAnsi="宋体" w:cs="宋体"/>
          <w:szCs w:val="21"/>
        </w:rPr>
        <w:t>——过度办法【现在一般情况下，没有缓冲期了，发布即实施】</w:t>
      </w:r>
    </w:p>
    <w:p>
      <w:pPr>
        <w:spacing w:before="156" w:beforeLines="50" w:after="156" w:afterLines="50" w:line="440" w:lineRule="exact"/>
        <w:rPr>
          <w:rFonts w:ascii="黑体" w:hAnsi="宋体" w:eastAsia="黑体" w:cs="宋体"/>
          <w:bCs/>
          <w:szCs w:val="21"/>
        </w:rPr>
      </w:pPr>
      <w:bookmarkStart w:id="9" w:name="_Toc7802"/>
      <w:r>
        <w:rPr>
          <w:rFonts w:hint="eastAsia" w:ascii="黑体" w:hAnsi="宋体" w:eastAsia="黑体" w:cs="宋体"/>
          <w:bCs/>
          <w:szCs w:val="21"/>
        </w:rPr>
        <w:t>十一、废止现行有关标准的建议</w:t>
      </w:r>
      <w:bookmarkEnd w:id="9"/>
    </w:p>
    <w:p>
      <w:pPr>
        <w:spacing w:line="440" w:lineRule="exact"/>
        <w:ind w:firstLine="420" w:firstLineChars="200"/>
        <w:rPr>
          <w:rFonts w:ascii="宋体" w:hAnsi="宋体" w:cs="宋体"/>
          <w:szCs w:val="21"/>
        </w:rPr>
      </w:pPr>
      <w:r>
        <w:rPr>
          <w:rFonts w:hint="eastAsia" w:ascii="宋体" w:hAnsi="宋体" w:cs="宋体"/>
          <w:szCs w:val="21"/>
        </w:rPr>
        <w:t>无。【修订标准：本标准发布实施之日起，代替GB/Txxxx《原标准名称》YS\CNIA 】</w:t>
      </w:r>
    </w:p>
    <w:p>
      <w:pPr>
        <w:spacing w:before="156" w:beforeLines="50" w:after="156" w:afterLines="50" w:line="440" w:lineRule="exact"/>
        <w:rPr>
          <w:rFonts w:ascii="黑体" w:hAnsi="宋体" w:eastAsia="黑体" w:cs="宋体"/>
          <w:bCs/>
          <w:szCs w:val="21"/>
        </w:rPr>
      </w:pPr>
      <w:bookmarkStart w:id="10" w:name="_Toc22451"/>
      <w:r>
        <w:rPr>
          <w:rFonts w:hint="eastAsia" w:ascii="黑体" w:hAnsi="宋体" w:eastAsia="黑体" w:cs="宋体"/>
          <w:bCs/>
          <w:szCs w:val="21"/>
        </w:rPr>
        <w:t>十二、其他主要内容的解释和其他需要说明的事项。</w:t>
      </w:r>
      <w:bookmarkEnd w:id="10"/>
    </w:p>
    <w:p>
      <w:pPr>
        <w:spacing w:line="440" w:lineRule="exact"/>
        <w:ind w:firstLine="420" w:firstLineChars="200"/>
        <w:rPr>
          <w:rFonts w:ascii="宋体" w:hAnsi="宋体" w:cs="宋体"/>
          <w:szCs w:val="21"/>
        </w:rPr>
      </w:pPr>
      <w:r>
        <w:rPr>
          <w:rFonts w:hint="eastAsia" w:ascii="宋体" w:hAnsi="宋体" w:cs="宋体"/>
          <w:szCs w:val="21"/>
        </w:rPr>
        <w:t>无。</w:t>
      </w:r>
    </w:p>
    <w:p>
      <w:pPr>
        <w:spacing w:line="440" w:lineRule="exact"/>
        <w:jc w:val="right"/>
        <w:rPr>
          <w:rFonts w:ascii="宋体" w:hAnsi="宋体" w:eastAsia="宋体"/>
          <w:szCs w:val="21"/>
        </w:rPr>
      </w:pPr>
      <w:r>
        <w:rPr>
          <w:rFonts w:hint="eastAsia"/>
          <w:szCs w:val="21"/>
        </w:rPr>
        <w:t xml:space="preserve">                             《</w:t>
      </w:r>
      <w:r>
        <w:rPr>
          <w:rFonts w:hint="eastAsia" w:ascii="宋体" w:hAnsi="宋体" w:eastAsia="宋体"/>
          <w:szCs w:val="21"/>
        </w:rPr>
        <w:t>铜基精密电阻合金牌号及化学成分</w:t>
      </w:r>
      <w:r>
        <w:rPr>
          <w:rFonts w:hint="eastAsia"/>
          <w:szCs w:val="21"/>
        </w:rPr>
        <w:t>》</w:t>
      </w:r>
      <w:r>
        <w:rPr>
          <w:rFonts w:hint="eastAsia" w:ascii="宋体" w:hAnsi="宋体" w:eastAsia="宋体"/>
          <w:szCs w:val="21"/>
        </w:rPr>
        <w:t>编制组</w:t>
      </w:r>
    </w:p>
    <w:p>
      <w:pPr>
        <w:spacing w:before="312" w:beforeLines="100" w:line="440" w:lineRule="exact"/>
        <w:jc w:val="right"/>
        <w:rPr>
          <w:rFonts w:ascii="宋体" w:hAnsi="宋体" w:eastAsia="宋体"/>
          <w:szCs w:val="21"/>
        </w:rPr>
      </w:pPr>
      <w:r>
        <w:rPr>
          <w:rFonts w:hint="eastAsia" w:ascii="宋体" w:hAnsi="宋体" w:eastAsia="宋体"/>
          <w:szCs w:val="21"/>
        </w:rPr>
        <w:t xml:space="preserve">                             20xx年x月xx日【报批稿形成之日】</w:t>
      </w:r>
    </w:p>
    <w:sectPr>
      <w:pgSz w:w="11906" w:h="16838"/>
      <w:pgMar w:top="1440" w:right="1780" w:bottom="1440" w:left="17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3-08-18T13:10:05Z" w:initials="HZW">
    <w:p w14:paraId="377404F0">
      <w:pPr>
        <w:pStyle w:val="3"/>
        <w:rPr>
          <w:rFonts w:hint="default" w:eastAsia="宋体"/>
          <w:lang w:val="en-US" w:eastAsia="zh-CN"/>
        </w:rPr>
      </w:pPr>
      <w:r>
        <w:rPr>
          <w:rFonts w:hint="eastAsia"/>
          <w:lang w:val="en-US" w:eastAsia="zh-CN"/>
        </w:rPr>
        <w:t>多余的字和说明都删除吧，有很多地方内容也都还是模板的内容，尽快改哈。</w:t>
      </w:r>
      <w:bookmarkStart w:id="11" w:name="_GoBack"/>
      <w:bookmarkEnd w:id="11"/>
    </w:p>
  </w:comment>
  <w:comment w:id="1" w:author="韩知为" w:date="2023-08-18T13:10:20Z" w:initials="HZW">
    <w:p w14:paraId="29E24A6D">
      <w:pPr>
        <w:pStyle w:val="3"/>
        <w:rPr>
          <w:rFonts w:hint="eastAsia" w:eastAsia="宋体"/>
          <w:lang w:val="en-US" w:eastAsia="zh-CN"/>
        </w:rPr>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7404F0" w15:done="0"/>
  <w15:commentEx w15:paraId="29E24A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F0784"/>
    <w:multiLevelType w:val="singleLevel"/>
    <w:tmpl w:val="DA9F0784"/>
    <w:lvl w:ilvl="0" w:tentative="0">
      <w:start w:val="5"/>
      <w:numFmt w:val="chineseCounting"/>
      <w:suff w:val="nothing"/>
      <w:lvlText w:val="%1、"/>
      <w:lvlJc w:val="left"/>
      <w:rPr>
        <w:rFonts w:hint="eastAsia"/>
      </w:rPr>
    </w:lvl>
  </w:abstractNum>
  <w:abstractNum w:abstractNumId="1">
    <w:nsid w:val="F116BB8D"/>
    <w:multiLevelType w:val="singleLevel"/>
    <w:tmpl w:val="F116BB8D"/>
    <w:lvl w:ilvl="0" w:tentative="0">
      <w:start w:val="1"/>
      <w:numFmt w:val="chineseCounting"/>
      <w:suff w:val="nothing"/>
      <w:lvlText w:val="（%1）"/>
      <w:lvlJc w:val="left"/>
      <w:rPr>
        <w:rFonts w:hint="eastAsia"/>
      </w:rPr>
    </w:lvl>
  </w:abstractNum>
  <w:abstractNum w:abstractNumId="2">
    <w:nsid w:val="0E2B40FB"/>
    <w:multiLevelType w:val="singleLevel"/>
    <w:tmpl w:val="0E2B40FB"/>
    <w:lvl w:ilvl="0" w:tentative="0">
      <w:start w:val="1"/>
      <w:numFmt w:val="upperLetter"/>
      <w:lvlText w:val="%1."/>
      <w:lvlJc w:val="left"/>
      <w:pPr>
        <w:tabs>
          <w:tab w:val="left" w:pos="312"/>
        </w:tabs>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
    <w15:presenceInfo w15:providerId="WPS Office" w15:userId="2161430682"/>
  </w15:person>
  <w15:person w15:author="韩知为">
    <w15:presenceInfo w15:providerId="None" w15:userId="韩知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TdlMDhhOTM5Mjc3ZDA1Njc1OWUyMjQ2ZDBhODM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15A"/>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08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89A"/>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77AA5"/>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63E1"/>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1165"/>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B0D"/>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438"/>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33D76F5"/>
    <w:rsid w:val="0C482343"/>
    <w:rsid w:val="15E74C42"/>
    <w:rsid w:val="16D05547"/>
    <w:rsid w:val="18704CB4"/>
    <w:rsid w:val="192E28F8"/>
    <w:rsid w:val="21750043"/>
    <w:rsid w:val="22C80A1D"/>
    <w:rsid w:val="249D7540"/>
    <w:rsid w:val="28E92B74"/>
    <w:rsid w:val="2CF17ED9"/>
    <w:rsid w:val="2D491F9E"/>
    <w:rsid w:val="2DD6396D"/>
    <w:rsid w:val="2DE03FF9"/>
    <w:rsid w:val="2F20599A"/>
    <w:rsid w:val="2F320885"/>
    <w:rsid w:val="2FE50BA9"/>
    <w:rsid w:val="317F0BCA"/>
    <w:rsid w:val="32832A04"/>
    <w:rsid w:val="391C28EE"/>
    <w:rsid w:val="3A6C3919"/>
    <w:rsid w:val="3A923301"/>
    <w:rsid w:val="3B7A0F58"/>
    <w:rsid w:val="3C672EE2"/>
    <w:rsid w:val="3FCA68B7"/>
    <w:rsid w:val="48960B41"/>
    <w:rsid w:val="493733B5"/>
    <w:rsid w:val="4C4C62F7"/>
    <w:rsid w:val="50CE10DD"/>
    <w:rsid w:val="57337987"/>
    <w:rsid w:val="5CCB7506"/>
    <w:rsid w:val="5ED510A9"/>
    <w:rsid w:val="5FE315A4"/>
    <w:rsid w:val="62C91D5E"/>
    <w:rsid w:val="66CA7102"/>
    <w:rsid w:val="6B3E697D"/>
    <w:rsid w:val="6E3C6504"/>
    <w:rsid w:val="6F3335BA"/>
    <w:rsid w:val="71D66C1E"/>
    <w:rsid w:val="76A76695"/>
    <w:rsid w:val="76E521D9"/>
    <w:rsid w:val="78964FAD"/>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annotation text"/>
    <w:basedOn w:val="1"/>
    <w:link w:val="19"/>
    <w:qFormat/>
    <w:uiPriority w:val="0"/>
    <w:pPr>
      <w:spacing w:line="360" w:lineRule="auto"/>
      <w:jc w:val="left"/>
    </w:pPr>
    <w:rPr>
      <w:rFonts w:ascii="宋体" w:hAnsi="宋体" w:eastAsia="宋体" w:cs="Times New Roman"/>
      <w:szCs w:val="24"/>
    </w:rPr>
  </w:style>
  <w:style w:type="paragraph" w:styleId="4">
    <w:name w:val="Body Text Indent"/>
    <w:basedOn w:val="1"/>
    <w:link w:val="18"/>
    <w:qFormat/>
    <w:uiPriority w:val="0"/>
    <w:pPr>
      <w:ind w:firstLine="420"/>
    </w:pPr>
    <w:rPr>
      <w:rFonts w:ascii="Times New Roman" w:hAnsi="Times New Roman" w:eastAsia="宋体" w:cs="Times New Roman"/>
      <w:sz w:val="24"/>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qFormat/>
    <w:uiPriority w:val="0"/>
    <w:rPr>
      <w:rFonts w:ascii="Times New Roman" w:hAnsi="Times New Roman" w:eastAsia="宋体"/>
      <w:sz w:val="18"/>
    </w:rPr>
  </w:style>
  <w:style w:type="character" w:customStyle="1" w:styleId="13">
    <w:name w:val="批注框文本 字符"/>
    <w:basedOn w:val="11"/>
    <w:link w:val="5"/>
    <w:semiHidden/>
    <w:qFormat/>
    <w:uiPriority w:val="99"/>
    <w:rPr>
      <w:sz w:val="18"/>
      <w:szCs w:val="18"/>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customStyle="1" w:styleId="16">
    <w:name w:val="章标题"/>
    <w:next w:val="1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7">
    <w:name w:val="段"/>
    <w:link w:val="2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8">
    <w:name w:val="正文文本缩进 字符"/>
    <w:basedOn w:val="11"/>
    <w:link w:val="4"/>
    <w:qFormat/>
    <w:uiPriority w:val="0"/>
    <w:rPr>
      <w:rFonts w:ascii="Times New Roman" w:hAnsi="Times New Roman" w:eastAsia="宋体" w:cs="Times New Roman"/>
      <w:sz w:val="24"/>
      <w:szCs w:val="24"/>
    </w:rPr>
  </w:style>
  <w:style w:type="character" w:customStyle="1" w:styleId="19">
    <w:name w:val="批注文字 字符"/>
    <w:basedOn w:val="11"/>
    <w:link w:val="3"/>
    <w:qFormat/>
    <w:uiPriority w:val="0"/>
    <w:rPr>
      <w:rFonts w:ascii="宋体" w:hAnsi="宋体" w:eastAsia="宋体" w:cs="Times New Roman"/>
      <w:szCs w:val="24"/>
    </w:rPr>
  </w:style>
  <w:style w:type="paragraph" w:styleId="20">
    <w:name w:val="List Paragraph"/>
    <w:basedOn w:val="1"/>
    <w:qFormat/>
    <w:uiPriority w:val="34"/>
    <w:pPr>
      <w:ind w:firstLine="420" w:firstLineChars="200"/>
    </w:pPr>
  </w:style>
  <w:style w:type="character" w:customStyle="1" w:styleId="21">
    <w:name w:val="段 Char"/>
    <w:link w:val="17"/>
    <w:qFormat/>
    <w:uiPriority w:val="0"/>
    <w:rPr>
      <w:rFonts w:ascii="宋体" w:hAnsi="Times New Roman" w:eastAsia="宋体" w:cs="Times New Roman"/>
      <w:kern w:val="0"/>
    </w:rPr>
  </w:style>
  <w:style w:type="paragraph" w:customStyle="1" w:styleId="22">
    <w:name w:val="一级条标题"/>
    <w:basedOn w:val="16"/>
    <w:next w:val="17"/>
    <w:qFormat/>
    <w:uiPriority w:val="0"/>
    <w:pPr>
      <w:outlineLvl w:val="2"/>
    </w:p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8844</Words>
  <Characters>10838</Characters>
  <Lines>83</Lines>
  <Paragraphs>23</Paragraphs>
  <TotalTime>18</TotalTime>
  <ScaleCrop>false</ScaleCrop>
  <LinksUpToDate>false</LinksUpToDate>
  <CharactersWithSpaces>10939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韩知为</cp:lastModifiedBy>
  <dcterms:modified xsi:type="dcterms:W3CDTF">2023-08-18T05:10:54Z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18F8D9ACF53342EB81174A5968A20075_13</vt:lpwstr>
  </property>
</Properties>
</file>