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6"/>
        <w:framePr w:wrap="around"/>
        <w:rPr>
          <w:rFonts w:hAnsi="黑体"/>
          <w:highlight w:val="none"/>
        </w:rPr>
      </w:pPr>
      <w:r>
        <w:rPr>
          <w:rFonts w:hAnsi="黑体"/>
          <w:highlight w:val="none"/>
        </w:rPr>
        <w:t>ICS 77.040</w:t>
      </w:r>
    </w:p>
    <w:p>
      <w:pPr>
        <w:pStyle w:val="126"/>
        <w:framePr w:wrap="around"/>
        <w:rPr>
          <w:rFonts w:hAnsi="黑体"/>
          <w:highlight w:val="none"/>
        </w:rPr>
      </w:pPr>
      <w:r>
        <w:rPr>
          <w:rFonts w:hAnsi="黑体"/>
          <w:highlight w:val="none"/>
        </w:rPr>
        <w:t>CCS H 21</w:t>
      </w:r>
    </w:p>
    <w:p>
      <w:pPr>
        <w:pStyle w:val="69"/>
        <w:framePr w:wrap="around"/>
        <w:rPr>
          <w:highlight w:val="none"/>
        </w:rPr>
      </w:pPr>
      <w:r>
        <w:rPr>
          <w:highlight w:val="none"/>
        </w:rPr>
        <w:drawing>
          <wp:inline distT="0" distB="0" distL="0" distR="0">
            <wp:extent cx="1437005" cy="7219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37005" cy="721995"/>
                    </a:xfrm>
                    <a:prstGeom prst="rect">
                      <a:avLst/>
                    </a:prstGeom>
                    <a:noFill/>
                    <a:ln>
                      <a:noFill/>
                    </a:ln>
                  </pic:spPr>
                </pic:pic>
              </a:graphicData>
            </a:graphic>
          </wp:inline>
        </w:drawing>
      </w:r>
    </w:p>
    <w:p>
      <w:pPr>
        <w:pStyle w:val="70"/>
        <w:framePr w:wrap="around"/>
        <w:rPr>
          <w:highlight w:val="none"/>
        </w:rPr>
      </w:pPr>
      <w:r>
        <w:rPr>
          <w:rFonts w:hint="eastAsia"/>
          <w:highlight w:val="none"/>
        </w:rPr>
        <w:t>中华人民共和国国家标准</w:t>
      </w:r>
    </w:p>
    <w:p>
      <w:pPr>
        <w:pStyle w:val="50"/>
        <w:framePr w:wrap="around"/>
        <w:rPr>
          <w:highlight w:val="none"/>
        </w:rPr>
      </w:pPr>
      <w:r>
        <w:rPr>
          <w:rFonts w:ascii="Times New Roman"/>
          <w:highlight w:val="none"/>
        </w:rPr>
        <w:t xml:space="preserve">GB/T </w:t>
      </w:r>
      <w:r>
        <w:rPr>
          <w:rFonts w:hint="eastAsia"/>
          <w:highlight w:val="none"/>
        </w:rPr>
        <w:t>24578</w:t>
      </w:r>
      <w:r>
        <w:rPr>
          <w:highlight w:val="none"/>
        </w:rPr>
        <w:t>—</w:t>
      </w:r>
      <w:r>
        <w:rPr>
          <w:rFonts w:hint="eastAsia"/>
          <w:highlight w:val="none"/>
        </w:rPr>
        <w:t>20</w:t>
      </w:r>
      <w:r>
        <w:rPr>
          <w:highlight w:val="none"/>
        </w:rPr>
        <w:t>2</w:t>
      </w:r>
      <w:r>
        <w:rPr>
          <w:rFonts w:hint="eastAsia"/>
          <w:highlight w:val="none"/>
        </w:rPr>
        <w:t>X</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9"/>
              <w:framePr w:wrap="around"/>
              <w:wordWrap w:val="0"/>
              <w:rPr>
                <w:highlight w:val="none"/>
              </w:rPr>
            </w:pPr>
            <w:r>
              <w:rPr>
                <w:highlight w:val="none"/>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11"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BGetIUKAgAAIQQAAA4AAABkcnMvZTJvRG9jLnhtbK1TwW7b&#10;MAy9D9g/CLovtrOs64w4RZEgw4BuLdDuAxRZtoXJokYpcbKvHyW7WdZdepgPBimST3yP1PLm2Bt2&#10;UOg12IoXs5wzZSXU2rYV//60fXfNmQ/C1sKAVRU/Kc9vVm/fLAdXqjl0YGqFjECsLwdX8S4EV2aZ&#10;l53qhZ+BU5aCDWAvArnYZjWKgdB7k83z/CobAGuHIJX3dLoZg3xCxNcAQtNoqTYg972yYURFZUQg&#10;Sr7TzvNV6rZplAz3TeNVYKbixDSkP11C9i7+s9VSlC0K12k5tSBe08ILTr3Qli49Q21EEGyP+h+o&#10;XksED02YSeizkUhShFgU+QttHjvhVOJCUnt3Ft3/P1j57fCATNe0CQVnVvQ08c1TlGVwvqToo3vA&#10;SMy7O5A/PLOw7oRt1S0iDJ0SNTVTxPzsr4LoeCplu+Er1AQq9gGSQscG+whI3NkxDeJ0HoQ6Bibp&#10;sCgW7/OcZiQpNp9fX5EdrxDlc7VDHz4r6Fk0Ko406IQuDnc+jKnPKal7MLreamOSg+1ubZAdBC3F&#10;Nn0Tur9MMzYmW4hlI2I8STQjs1GhHdQnYokwbha9KzI6wF+cDbRVFfc/9wIVZ+aLJaU+FYtFXMPk&#10;LD58nJODl5HdZURYSVAVD5yN5jqMq7t3qNuObioSaQu3pG6jE/Go/NjV1CxtTpJu2vK4mpd+yvrz&#10;sl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5g8svWAAAACAEAAA8AAAAAAAAAAQAgAAAAIgAA&#10;AGRycy9kb3ducmV2LnhtbFBLAQIUABQAAAAIAIdO4kARnrSFCgIAACEEAAAOAAAAAAAAAAEAIAAA&#10;ACUBAABkcnMvZTJvRG9jLnhtbFBLBQYAAAAABgAGAFkBAAChBQAAAAA=&#10;">
                      <v:fill on="t" focussize="0,0"/>
                      <v:stroke on="f"/>
                      <v:imagedata o:title=""/>
                      <o:lock v:ext="edit" aspectratio="f"/>
                    </v:rect>
                  </w:pict>
                </mc:Fallback>
              </mc:AlternateContent>
            </w:r>
            <w:r>
              <w:rPr>
                <w:rFonts w:hint="eastAsia"/>
                <w:highlight w:val="none"/>
              </w:rPr>
              <w:t>代替 G</w:t>
            </w:r>
            <w:r>
              <w:rPr>
                <w:highlight w:val="none"/>
              </w:rPr>
              <w:t>B/T 24578-2015</w:t>
            </w:r>
          </w:p>
        </w:tc>
      </w:tr>
    </w:tbl>
    <w:p>
      <w:pPr>
        <w:pStyle w:val="50"/>
        <w:framePr w:wrap="around"/>
        <w:rPr>
          <w:highlight w:val="none"/>
        </w:rPr>
      </w:pPr>
    </w:p>
    <w:p>
      <w:pPr>
        <w:pStyle w:val="50"/>
        <w:framePr w:wrap="around"/>
        <w:rPr>
          <w:highlight w:val="none"/>
        </w:rPr>
      </w:pPr>
    </w:p>
    <w:p>
      <w:pPr>
        <w:pStyle w:val="81"/>
        <w:framePr w:wrap="around"/>
        <w:rPr>
          <w:highlight w:val="none"/>
        </w:rPr>
      </w:pPr>
      <w:bookmarkStart w:id="0" w:name="_Hlk135117510"/>
      <w:r>
        <w:rPr>
          <w:rFonts w:hint="eastAsia"/>
          <w:highlight w:val="none"/>
        </w:rPr>
        <w:t>半导体晶片表面金属沾污的测定</w:t>
      </w:r>
      <w:r>
        <w:rPr>
          <w:highlight w:val="none"/>
        </w:rPr>
        <w:t xml:space="preserve"> </w:t>
      </w:r>
      <w:r>
        <w:rPr>
          <w:rFonts w:hint="eastAsia"/>
          <w:highlight w:val="none"/>
        </w:rPr>
        <w:t>全反射X射线荧光光谱法</w:t>
      </w:r>
    </w:p>
    <w:bookmarkEnd w:id="0"/>
    <w:p>
      <w:pPr>
        <w:pStyle w:val="82"/>
        <w:framePr w:wrap="around"/>
        <w:rPr>
          <w:highlight w:val="none"/>
        </w:rPr>
      </w:pPr>
      <w:r>
        <w:rPr>
          <w:highlight w:val="none"/>
        </w:rPr>
        <w:t>Test method for measuring surface metal contamination on semiconductor wafers by total reflection X-Ray fluorescence spectroscopy</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4"/>
              <w:framePr w:wrap="around"/>
              <w:rPr>
                <w:highlight w:val="none"/>
              </w:rPr>
            </w:pPr>
            <w:r>
              <w:rPr>
                <w:highlight w:val="none"/>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3175" b="3175"/>
                      <wp:wrapNone/>
                      <wp:docPr id="10"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lIa1vAkCAAAhBAAADgAAAGRycy9lMm9Eb2MueG1srVPBbtsw&#10;DL0P2D8Iui+2g2RbjThFkSDDgG5r1+4DFFm2hcmiRilxsq8fJadZ1l56mA8GKVJPfE9Pi+tDb9he&#10;oddgK15Mcs6UlVBr21b8x+Pm3UfOfBC2FgasqvhReX69fPtmMbhSTaEDUytkBGJ9ObiKdyG4Msu8&#10;7FQv/AScslRsAHsRKMU2q1EMhN6bbJrn77MBsHYIUnlPq+uxyE+I+BpAaBot1Rrkrlc2jKiojAhE&#10;yXfaeb5M0zaNkuFb03gVmKk4MQ3pT4dQvI3/bLkQZYvCdVqeRhCvGeEZp15oS4eeodYiCLZD/QKq&#10;1xLBQxMmEvpsJJIUIRZF/kybh044lbiQ1N6dRff/D1Z+3d8h0zU5gSSxoqcb/34fZRmcL6n64O4w&#10;EvPuFuRPzyysOmFbdYMIQ6dETcMUsT/7Z0NMPG1l2+EL1AQqdgGSQocG+whI3NkhXcTxfBHqEJik&#10;xeIqn+c5DSSpNp3PYhyPEOXTboc+fFLQsxhUHOmiE7rY3/owtj61pOnB6HqjjUkJttuVQbYXZIpN&#10;+k7o/rLN2NhsIW4bEeNKohmZjQptoT4SS4TRWfSuKOgAf3M2kKsq7n/tBCrOzGdLSl0Vs1m0YUpm&#10;8w9TSvCysr2sCCsJquKBszFchdG6O4e67eikIpG2cEPqNjoRj8qPU52GJeck6U4uj9a8zFPX35e9&#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lIa1vAkCAAAhBAAADgAAAAAAAAABACAAAAAk&#10;AQAAZHJzL2Uyb0RvYy54bWxQSwUGAAAAAAYABgBZAQAAnwUAAAAA&#10;">
                      <v:fill on="t" focussize="0,0"/>
                      <v:stroke on="f"/>
                      <v:imagedata o:title=""/>
                      <o:lock v:ext="edit" aspectratio="f"/>
                      <w10:anchorlock/>
                    </v:rect>
                  </w:pict>
                </mc:Fallback>
              </mc:AlternateContent>
            </w:r>
            <w:r>
              <w:rPr>
                <w:highlight w:val="none"/>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3175" t="0" r="3175" b="3175"/>
                      <wp:wrapNone/>
                      <wp:docPr id="9"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l8R3cJAgAAIAQAAA4AAABkcnMvZTJvRG9jLnhtbK1TwW7b&#10;MAy9D9g/CLovtrNsbY04RZcgw4BsK9D1AxRZtoXJokYpcbKvHyWnWdZeepgOAimST3xP1Pz20Bu2&#10;V+g12IoXk5wzZSXU2rYVf/yxfnfNmQ/C1sKAVRU/Ks9vF2/fzAdXqil0YGqFjECsLwdX8S4EV2aZ&#10;l53qhZ+AU5aCDWAvArnYZjWKgdB7k03z/GM2ANYOQSrv6XQ1BvkJEV8DCE2jpVqB3PXKhhEVlRGB&#10;KPlOO88XqdumUTJ8bxqvAjMVJ6Yh7XQJ2du4Z4u5KFsUrtPy1IJ4TQvPOPVCW7r0DLUSQbAd6hdQ&#10;vZYIHpowkdBnI5GkCLEo8mfaPHTCqcSFpPbuLLr/f7Dy2/4ema4rfsOZFT09+OZTVGVwvqTgg7vH&#10;yMu7DcifnllYdsK26g4Rhk6JmnopYn72T0F0PJWy7fAVagIVuwBJoEODfQQk6uyQ3uF4fgd1CEzS&#10;YTG9ymlxJin2Pp9dkx2vEOVTtUMfPivoWTQqjvTOCV3sNz6MqU8pqXswul5rY5KD7XZpkO0FzcQ6&#10;rRO6v0wzNiZbiGUjYjxJNCOzUaEt1EdiiTAOFn0rMjrA35wNNFQV9792AhVn5oslpW6K2SxOYXJm&#10;H66m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Kl8R3cJAgAAIAQAAA4AAAAAAAAAAQAgAAAA&#10;JQEAAGRycy9lMm9Eb2MueG1sUEsFBgAAAAAGAAYAWQEAAKAFAAAAAA==&#10;">
                      <v:fill on="t" focussize="0,0"/>
                      <v:stroke on="f"/>
                      <v:imagedata o:title=""/>
                      <o:lock v:ext="edit" aspectratio="f"/>
                    </v:rect>
                  </w:pict>
                </mc:Fallback>
              </mc:AlternateContent>
            </w:r>
            <w:r>
              <w:rPr>
                <w:rFonts w:hint="eastAsia"/>
                <w:highlight w:val="none"/>
              </w:rPr>
              <w:t>（预审稿）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5"/>
              <w:framePr w:wrap="around"/>
              <w:rPr>
                <w:highlight w:val="none"/>
              </w:rPr>
            </w:pPr>
          </w:p>
        </w:tc>
      </w:tr>
    </w:tbl>
    <w:p>
      <w:pPr>
        <w:pStyle w:val="133"/>
        <w:framePr w:wrap="around" w:hAnchor="page" w:x="1253" w:y="14160"/>
        <w:rPr>
          <w:highlight w:val="none"/>
        </w:rPr>
      </w:pPr>
      <w:r>
        <w:rPr>
          <w:rFonts w:ascii="黑体"/>
          <w:highlight w:val="none"/>
        </w:rPr>
        <w:fldChar w:fldCharType="begin">
          <w:ffData>
            <w:name w:val="FY"/>
            <w:enabled/>
            <w:calcOnExit w:val="0"/>
            <w:textInput>
              <w:default w:val="XXXX"/>
              <w:maxLength w:val="4"/>
            </w:textInput>
          </w:ffData>
        </w:fldChar>
      </w:r>
      <w:bookmarkStart w:id="1" w:name="FY"/>
      <w:r>
        <w:rPr>
          <w:rFonts w:ascii="黑体"/>
          <w:highlight w:val="none"/>
        </w:rPr>
        <w:instrText xml:space="preserve"> FORMTEXT </w:instrText>
      </w:r>
      <w:r>
        <w:rPr>
          <w:rFonts w:ascii="黑体"/>
          <w:highlight w:val="none"/>
        </w:rPr>
        <w:fldChar w:fldCharType="separate"/>
      </w:r>
      <w:r>
        <w:rPr>
          <w:rFonts w:ascii="黑体"/>
          <w:highlight w:val="none"/>
        </w:rPr>
        <w:t>XXXX</w:t>
      </w:r>
      <w:r>
        <w:rPr>
          <w:rFonts w:ascii="黑体"/>
          <w:highlight w:val="none"/>
        </w:rPr>
        <w:fldChar w:fldCharType="end"/>
      </w:r>
      <w:bookmarkEnd w:id="1"/>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FM"/>
            <w:enabled/>
            <w:calcOnExit w:val="0"/>
            <w:textInput>
              <w:default w:val="XX"/>
              <w:maxLength w:val="2"/>
            </w:textInput>
          </w:ffData>
        </w:fldChar>
      </w:r>
      <w:bookmarkStart w:id="2" w:name="FM"/>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2"/>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FD"/>
            <w:enabled/>
            <w:calcOnExit w:val="0"/>
            <w:textInput>
              <w:default w:val="XX"/>
              <w:maxLength w:val="2"/>
            </w:textInput>
          </w:ffData>
        </w:fldChar>
      </w:r>
      <w:bookmarkStart w:id="3" w:name="FD"/>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3"/>
      <w:r>
        <w:rPr>
          <w:rFonts w:hint="eastAsia"/>
          <w:highlight w:val="none"/>
        </w:rPr>
        <w:t>发布</w:t>
      </w:r>
      <w:r>
        <w:rPr>
          <w:highlight w:val="none"/>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8"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A28cwbJAQAAoAMAAA4AAABkcnMvZTJvRG9jLnhtbK1TTW/b&#10;MAy9D9h/EHRfHGdosRlxekjQXbItQLsfoEiyLUwSBVGJnX8/Svlo1116mA+CKJKPfI/08mFylh11&#10;RAO+5fVszpn2EpTxfct/PT9++sIZJuGVsOB1y08a+cPq44flGBq9gAGs0pERiMdmDC0fUgpNVaEc&#10;tBM4g6A9OTuITiQyY1+pKEZCd7ZazOf31QhRhQhSI9Lr5uzkF8T4HkDoOiP1BuTBaZ/OqFFbkYgS&#10;DiYgX5Vuu07L9LPrUCdmW05MUzmpCN33+axWS9H0UYTByEsL4j0tvOHkhPFU9Aa1EUmwQzT/QDkj&#10;IyB0aSbBVWciRRFiUc/faPM0iKALF5Iaw010/H+w8sdxF5lRLaexe+Fo4FvjNauLNGPAhiLWfhcz&#10;OTn5p7AF+RuZh/UgfK9Li8+nQHl1FrP6KyUbGKjAfvwOimLEIUHRaeqiy5CkAJvKOE63cegpMUmP&#10;9zVp8pkmJa++SjTXxBAxfdPgWL603FLTBVgct5hyI6K5huQ6Hh6NtWXa1rOx5V/vFnclAcEalZ05&#10;DGO/X9vIjiLvS/kKK/K8Dotw8OpcxPoL6cwzrx02e1CnXbyKQYMr3VyWLG/Ga7tkv/xYq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lh2s81gAAAAsBAAAPAAAAAAAAAAEAIAAAACIAAABkcnMvZG93&#10;bnJldi54bWxQSwECFAAUAAAACACHTuJADbxzBskBAACgAwAADgAAAAAAAAABACAAAAAlAQAAZHJz&#10;L2Uyb0RvYy54bWxQSwUGAAAAAAYABgBZAQAAYAUAAAAA&#10;">
                <v:fill on="f" focussize="0,0"/>
                <v:stroke color="#000000" joinstyle="round"/>
                <v:imagedata o:title=""/>
                <o:lock v:ext="edit" aspectratio="f"/>
                <w10:anchorlock/>
              </v:line>
            </w:pict>
          </mc:Fallback>
        </mc:AlternateContent>
      </w:r>
    </w:p>
    <w:p>
      <w:pPr>
        <w:pStyle w:val="134"/>
        <w:framePr w:wrap="around" w:hAnchor="page" w:x="7338" w:y="14194"/>
        <w:rPr>
          <w:highlight w:val="none"/>
        </w:rPr>
      </w:pPr>
      <w:r>
        <w:rPr>
          <w:rFonts w:ascii="黑体"/>
          <w:highlight w:val="none"/>
        </w:rPr>
        <w:fldChar w:fldCharType="begin">
          <w:ffData>
            <w:name w:val="SY"/>
            <w:enabled/>
            <w:calcOnExit w:val="0"/>
            <w:textInput>
              <w:default w:val="XXXX"/>
              <w:maxLength w:val="4"/>
            </w:textInput>
          </w:ffData>
        </w:fldChar>
      </w:r>
      <w:bookmarkStart w:id="4" w:name="SY"/>
      <w:r>
        <w:rPr>
          <w:rFonts w:ascii="黑体"/>
          <w:highlight w:val="none"/>
        </w:rPr>
        <w:instrText xml:space="preserve"> FORMTEXT </w:instrText>
      </w:r>
      <w:r>
        <w:rPr>
          <w:rFonts w:ascii="黑体"/>
          <w:highlight w:val="none"/>
        </w:rPr>
        <w:fldChar w:fldCharType="separate"/>
      </w:r>
      <w:r>
        <w:rPr>
          <w:rFonts w:ascii="黑体"/>
          <w:highlight w:val="none"/>
        </w:rPr>
        <w:t>XXXX</w:t>
      </w:r>
      <w:r>
        <w:rPr>
          <w:rFonts w:ascii="黑体"/>
          <w:highlight w:val="none"/>
        </w:rPr>
        <w:fldChar w:fldCharType="end"/>
      </w:r>
      <w:bookmarkEnd w:id="4"/>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SM"/>
            <w:enabled/>
            <w:calcOnExit w:val="0"/>
            <w:textInput>
              <w:default w:val="XX"/>
              <w:maxLength w:val="2"/>
            </w:textInput>
          </w:ffData>
        </w:fldChar>
      </w:r>
      <w:bookmarkStart w:id="5" w:name="SM"/>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5"/>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SD"/>
            <w:enabled/>
            <w:calcOnExit w:val="0"/>
            <w:textInput>
              <w:default w:val="XX"/>
              <w:maxLength w:val="2"/>
            </w:textInput>
          </w:ffData>
        </w:fldChar>
      </w:r>
      <w:bookmarkStart w:id="6" w:name="SD"/>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6"/>
      <w:r>
        <w:rPr>
          <w:rFonts w:hint="eastAsia"/>
          <w:highlight w:val="none"/>
        </w:rPr>
        <w:t>实施</w:t>
      </w:r>
    </w:p>
    <w:p>
      <w:pPr>
        <w:pStyle w:val="77"/>
        <w:framePr w:wrap="around"/>
        <w:rPr>
          <w:highlight w:val="none"/>
        </w:rPr>
      </w:pPr>
      <w:r>
        <w:rPr>
          <w:highlight w:val="none"/>
        </w:rPr>
        <w:drawing>
          <wp:inline distT="0" distB="0" distL="0" distR="0">
            <wp:extent cx="3474720" cy="71945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474720" cy="719455"/>
                    </a:xfrm>
                    <a:prstGeom prst="rect">
                      <a:avLst/>
                    </a:prstGeom>
                    <a:noFill/>
                  </pic:spPr>
                </pic:pic>
              </a:graphicData>
            </a:graphic>
          </wp:inline>
        </w:drawing>
      </w:r>
    </w:p>
    <w:p>
      <w:pPr>
        <w:pStyle w:val="25"/>
        <w:rPr>
          <w:highlight w:val="none"/>
        </w:rPr>
        <w:sectPr>
          <w:headerReference r:id="rId3" w:type="even"/>
          <w:footerReference r:id="rId4" w:type="even"/>
          <w:pgSz w:w="11906" w:h="16838"/>
          <w:pgMar w:top="567" w:right="850" w:bottom="1134" w:left="1418" w:header="0" w:footer="0" w:gutter="0"/>
          <w:pgNumType w:start="1"/>
          <w:cols w:space="425" w:num="1"/>
          <w:docGrid w:type="lines" w:linePitch="312" w:charSpace="0"/>
        </w:sectPr>
      </w:pPr>
      <w:r>
        <w:rPr>
          <w:highlight w:val="none"/>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2"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dJokuyAEAAKADAAAOAAAAZHJzL2Uyb0RvYy54bWytU02P&#10;2yAQvVfqf0DcG8epdtVacfaQaHtJ20i7/QEEsI0KDGJInPz7DjjJdreXPdQHxHy9mfcGLx9OzrKj&#10;jmjAt7yezTnTXoIyvm/5r+fHT184wyS8Eha8bvlZI39YffywHEOjFzCAVToyAvHYjKHlQ0qhqSqU&#10;g3YCZxC0p2AH0YlEZuwrFcVI6M5Wi/n8vhohqhBBakTybqYgvyDG9wBC1xmpNyAPTvs0oUZtRSJK&#10;OJiAfFWm7Tot08+uQ52YbTkxTeWkJnTf57NaLUXTRxEGIy8jiPeM8IaTE8ZT0xvURiTBDtH8A+WM&#10;jIDQpZkEV01EiiLEop6/0eZpEEEXLiQ1hpvo+P9g5Y/jLjKjWr7gzAtHC98ar1ldZ2nGgA1lrP0u&#10;ZnLy5J/CFuRvZB7Wg/C9LiM+nwPVlYrqVUk2MFCD/fgdFOWIQ4Ki06mLLkOSAuxU1nG+rUOfEpPk&#10;vK9Jk8+0KXmNVaK5FoaI6ZsGx/Kl5ZaGLsDiuMVEo1PqNSX38fBorC3btp6NLf96t7grBQjWqBzM&#10;aRj7/dpGdhT5vZQv60Bgr9IiHLya/NZT+MpzUmwP6ryLOZz9tLgCcHlk+WX8bZeslx9r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3SaJLsgBAACgAwAADgAAAAAAAAABACAAAAAmAQAAZHJz&#10;L2Uyb0RvYy54bWxQSwUGAAAAAAYABgBZAQAAYAUAAAAA&#10;">
                <v:fill on="f" focussize="0,0"/>
                <v:stroke color="#000000" joinstyle="round"/>
                <v:imagedata o:title=""/>
                <o:lock v:ext="edit" aspectratio="f"/>
              </v:line>
            </w:pict>
          </mc:Fallback>
        </mc:AlternateContent>
      </w:r>
    </w:p>
    <w:p>
      <w:pPr>
        <w:pStyle w:val="115"/>
        <w:rPr>
          <w:highlight w:val="none"/>
        </w:rPr>
      </w:pPr>
      <w:r>
        <w:rPr>
          <w:rFonts w:hint="eastAsia"/>
          <w:highlight w:val="none"/>
        </w:rPr>
        <w:t>前</w:t>
      </w:r>
      <w:bookmarkStart w:id="7" w:name="BKQY"/>
      <w:r>
        <w:rPr>
          <w:highlight w:val="none"/>
        </w:rPr>
        <w:t>  </w:t>
      </w:r>
      <w:r>
        <w:rPr>
          <w:rFonts w:hint="eastAsia"/>
          <w:highlight w:val="none"/>
        </w:rPr>
        <w:t>言</w:t>
      </w:r>
      <w:bookmarkEnd w:id="7"/>
    </w:p>
    <w:p>
      <w:pPr>
        <w:pStyle w:val="25"/>
        <w:rPr>
          <w:highlight w:val="none"/>
        </w:rPr>
      </w:pPr>
      <w:r>
        <w:rPr>
          <w:rFonts w:hint="eastAsia"/>
          <w:highlight w:val="none"/>
        </w:rPr>
        <w:t>本标准按照GB/T 1.1—</w:t>
      </w:r>
      <w:r>
        <w:rPr>
          <w:highlight w:val="none"/>
        </w:rPr>
        <w:t>2020</w:t>
      </w:r>
      <w:r>
        <w:rPr>
          <w:rFonts w:hint="eastAsia"/>
          <w:highlight w:val="none"/>
        </w:rPr>
        <w:t>给出的规则起草。</w:t>
      </w:r>
    </w:p>
    <w:p>
      <w:pPr>
        <w:pStyle w:val="25"/>
        <w:ind w:left="105" w:leftChars="50" w:firstLine="315" w:firstLineChars="150"/>
        <w:rPr>
          <w:highlight w:val="none"/>
        </w:rPr>
      </w:pPr>
      <w:r>
        <w:rPr>
          <w:rFonts w:hint="eastAsia"/>
          <w:highlight w:val="none"/>
        </w:rPr>
        <w:t>本标准代替GB/T 24578—</w:t>
      </w:r>
      <w:r>
        <w:rPr>
          <w:highlight w:val="none"/>
        </w:rPr>
        <w:t>2015</w:t>
      </w:r>
      <w:r>
        <w:rPr>
          <w:rFonts w:hint="eastAsia"/>
          <w:highlight w:val="none"/>
        </w:rPr>
        <w:t>《硅片表面金属沾污的全反射X光荧光光谱测试方法》。</w:t>
      </w:r>
    </w:p>
    <w:p>
      <w:pPr>
        <w:pStyle w:val="51"/>
        <w:numPr>
          <w:ilvl w:val="0"/>
          <w:numId w:val="0"/>
        </w:numPr>
        <w:ind w:left="425"/>
        <w:rPr>
          <w:highlight w:val="none"/>
        </w:rPr>
      </w:pPr>
      <w:r>
        <w:rPr>
          <w:highlight w:val="none"/>
        </w:rPr>
        <w:t>本标准由全国</w:t>
      </w:r>
      <w:r>
        <w:rPr>
          <w:rFonts w:hint="eastAsia"/>
          <w:highlight w:val="none"/>
        </w:rPr>
        <w:t>半导体设备和材料</w:t>
      </w:r>
      <w:r>
        <w:rPr>
          <w:highlight w:val="none"/>
        </w:rPr>
        <w:t>标准</w:t>
      </w:r>
      <w:r>
        <w:rPr>
          <w:rFonts w:hint="eastAsia"/>
          <w:highlight w:val="none"/>
        </w:rPr>
        <w:t>化</w:t>
      </w:r>
      <w:r>
        <w:rPr>
          <w:highlight w:val="none"/>
        </w:rPr>
        <w:t>技术委员会</w:t>
      </w:r>
      <w:r>
        <w:rPr>
          <w:rFonts w:hint="eastAsia"/>
          <w:highlight w:val="none"/>
        </w:rPr>
        <w:t>（SAC/TC 203）与</w:t>
      </w:r>
      <w:r>
        <w:rPr>
          <w:highlight w:val="none"/>
        </w:rPr>
        <w:t>全国</w:t>
      </w:r>
      <w:r>
        <w:rPr>
          <w:rFonts w:hint="eastAsia"/>
          <w:highlight w:val="none"/>
        </w:rPr>
        <w:t>半导体设备和材料</w:t>
      </w:r>
      <w:r>
        <w:rPr>
          <w:highlight w:val="none"/>
        </w:rPr>
        <w:t>标准</w:t>
      </w:r>
      <w:r>
        <w:rPr>
          <w:rFonts w:hint="eastAsia"/>
          <w:highlight w:val="none"/>
        </w:rPr>
        <w:t>化</w:t>
      </w:r>
      <w:r>
        <w:rPr>
          <w:highlight w:val="none"/>
        </w:rPr>
        <w:t>技术委员会</w:t>
      </w:r>
      <w:r>
        <w:rPr>
          <w:rFonts w:hint="eastAsia"/>
          <w:highlight w:val="none"/>
        </w:rPr>
        <w:t>材料分会（SAC/TC 203/SC2）共同提出并</w:t>
      </w:r>
      <w:r>
        <w:rPr>
          <w:highlight w:val="none"/>
        </w:rPr>
        <w:t>归口。</w:t>
      </w:r>
    </w:p>
    <w:p>
      <w:pPr>
        <w:pStyle w:val="25"/>
        <w:rPr>
          <w:highlight w:val="none"/>
        </w:rPr>
      </w:pPr>
      <w:r>
        <w:rPr>
          <w:rFonts w:hint="eastAsia"/>
          <w:highlight w:val="none"/>
        </w:rPr>
        <w:t xml:space="preserve">本标准起草单位： </w:t>
      </w:r>
    </w:p>
    <w:p>
      <w:pPr>
        <w:pStyle w:val="25"/>
        <w:rPr>
          <w:highlight w:val="none"/>
        </w:rPr>
      </w:pPr>
      <w:r>
        <w:rPr>
          <w:rFonts w:hint="eastAsia"/>
          <w:highlight w:val="none"/>
        </w:rPr>
        <w:t>本标准主要起草人：</w:t>
      </w:r>
    </w:p>
    <w:p>
      <w:pPr>
        <w:pStyle w:val="25"/>
        <w:rPr>
          <w:highlight w:val="none"/>
        </w:rPr>
      </w:pPr>
      <w:r>
        <w:rPr>
          <w:rFonts w:hint="eastAsia"/>
          <w:highlight w:val="none"/>
        </w:rPr>
        <w:t>本标准所代替标准的历次版本发布情况为：</w:t>
      </w:r>
    </w:p>
    <w:p>
      <w:pPr>
        <w:pStyle w:val="25"/>
        <w:rPr>
          <w:highlight w:val="none"/>
        </w:rPr>
      </w:pPr>
      <w:r>
        <w:rPr>
          <w:rFonts w:ascii="Times New Roman"/>
          <w:highlight w:val="none"/>
        </w:rPr>
        <w:t>——</w:t>
      </w:r>
      <w:r>
        <w:rPr>
          <w:rFonts w:hint="eastAsia"/>
          <w:highlight w:val="none"/>
        </w:rPr>
        <w:t>GB/T 24578-2009；</w:t>
      </w:r>
    </w:p>
    <w:p>
      <w:pPr>
        <w:pStyle w:val="25"/>
        <w:rPr>
          <w:highlight w:val="none"/>
        </w:rPr>
      </w:pPr>
      <w:r>
        <w:rPr>
          <w:rFonts w:ascii="Times New Roman"/>
          <w:highlight w:val="none"/>
        </w:rPr>
        <w:t>——</w:t>
      </w:r>
      <w:r>
        <w:rPr>
          <w:rFonts w:hint="eastAsia"/>
          <w:highlight w:val="none"/>
        </w:rPr>
        <w:t>GB/T 24578-20</w:t>
      </w:r>
      <w:r>
        <w:rPr>
          <w:highlight w:val="none"/>
        </w:rPr>
        <w:t>15</w:t>
      </w:r>
      <w:r>
        <w:rPr>
          <w:rFonts w:hint="eastAsia"/>
          <w:highlight w:val="none"/>
        </w:rPr>
        <w:t>。</w:t>
      </w:r>
    </w:p>
    <w:p>
      <w:pPr>
        <w:pStyle w:val="25"/>
        <w:rPr>
          <w:highlight w:val="none"/>
        </w:rPr>
        <w:sectPr>
          <w:headerReference r:id="rId5" w:type="default"/>
          <w:footerReference r:id="rId6" w:type="default"/>
          <w:pgSz w:w="11906" w:h="16838"/>
          <w:pgMar w:top="567" w:right="1134" w:bottom="1134" w:left="1418" w:header="1418" w:footer="1134" w:gutter="0"/>
          <w:pgNumType w:fmt="upperRoman" w:start="1"/>
          <w:cols w:space="425" w:num="1"/>
          <w:formProt w:val="0"/>
          <w:docGrid w:type="lines" w:linePitch="312" w:charSpace="0"/>
        </w:sectPr>
      </w:pPr>
    </w:p>
    <w:p>
      <w:pPr>
        <w:pStyle w:val="81"/>
        <w:framePr w:w="0" w:hRule="auto" w:wrap="auto" w:vAnchor="margin" w:hAnchor="text" w:xAlign="left" w:yAlign="inline"/>
        <w:rPr>
          <w:sz w:val="32"/>
          <w:szCs w:val="32"/>
          <w:highlight w:val="none"/>
        </w:rPr>
      </w:pPr>
      <w:bookmarkStart w:id="8" w:name="StandardName"/>
      <w:r>
        <w:rPr>
          <w:rFonts w:hint="eastAsia"/>
          <w:sz w:val="32"/>
          <w:szCs w:val="32"/>
          <w:highlight w:val="none"/>
        </w:rPr>
        <w:t xml:space="preserve">半导体晶片表面金属沾污的测定 </w:t>
      </w:r>
      <w:r>
        <w:rPr>
          <w:sz w:val="32"/>
          <w:szCs w:val="32"/>
          <w:highlight w:val="none"/>
        </w:rPr>
        <w:t xml:space="preserve"> </w:t>
      </w:r>
      <w:r>
        <w:rPr>
          <w:rFonts w:hint="eastAsia"/>
          <w:sz w:val="32"/>
          <w:szCs w:val="32"/>
          <w:highlight w:val="none"/>
        </w:rPr>
        <w:t>全反射X射线荧光光谱法</w:t>
      </w:r>
    </w:p>
    <w:bookmarkEnd w:id="8"/>
    <w:p>
      <w:pPr>
        <w:pStyle w:val="48"/>
        <w:rPr>
          <w:highlight w:val="none"/>
        </w:rPr>
      </w:pPr>
      <w:r>
        <w:rPr>
          <w:rFonts w:hint="eastAsia"/>
          <w:highlight w:val="none"/>
        </w:rPr>
        <w:t>范围</w:t>
      </w:r>
    </w:p>
    <w:p>
      <w:pPr>
        <w:pStyle w:val="25"/>
        <w:rPr>
          <w:rFonts w:hAnsi="宋体"/>
          <w:color w:val="000000"/>
          <w:highlight w:val="none"/>
        </w:rPr>
      </w:pPr>
      <w:r>
        <w:rPr>
          <w:rFonts w:hint="eastAsia" w:hAnsi="宋体"/>
          <w:color w:val="000000"/>
          <w:highlight w:val="none"/>
        </w:rPr>
        <w:t>本文件描述了半导体抛光晶片表面深度约为5</w:t>
      </w:r>
      <w:r>
        <w:rPr>
          <w:rFonts w:hAnsi="宋体"/>
          <w:color w:val="000000"/>
          <w:highlight w:val="none"/>
          <w:vertAlign w:val="subscript"/>
        </w:rPr>
        <w:t xml:space="preserve"> </w:t>
      </w:r>
      <w:r>
        <w:rPr>
          <w:rFonts w:hint="eastAsia" w:hAnsi="宋体"/>
          <w:color w:val="000000"/>
          <w:highlight w:val="none"/>
        </w:rPr>
        <w:t>nm以内金属元素的全反射X光荧光光谱测试方法。</w:t>
      </w:r>
    </w:p>
    <w:p>
      <w:pPr>
        <w:pStyle w:val="25"/>
        <w:rPr>
          <w:rFonts w:hAnsi="宋体"/>
          <w:highlight w:val="none"/>
        </w:rPr>
      </w:pPr>
      <w:bookmarkStart w:id="9" w:name="_Hlk131776176"/>
      <w:r>
        <w:rPr>
          <w:rFonts w:hint="eastAsia" w:hAnsi="宋体"/>
          <w:highlight w:val="none"/>
        </w:rPr>
        <w:t>本文件适用于硅、绝缘衬底上的硅（SOI）、碳化硅、蓝宝石、砷化镓、磷化铟、锑化镓等单晶抛光片表面金属沾污的测定。尤其适用于晶片清洗后自然氧化层或经化学方法生长的氧化层中沾污元素面密度的测定。</w:t>
      </w:r>
    </w:p>
    <w:bookmarkEnd w:id="9"/>
    <w:p>
      <w:pPr>
        <w:ind w:firstLine="420" w:firstLineChars="200"/>
        <w:rPr>
          <w:highlight w:val="none"/>
        </w:rPr>
      </w:pPr>
      <w:r>
        <w:rPr>
          <w:rFonts w:hint="eastAsia"/>
          <w:highlight w:val="none"/>
        </w:rPr>
        <w:t>本文件可检测元素周期表中原子序数16（S）～92（U）的元素，尤其适用于钾、钙、钛、铬、锰、铁、钴、镍、铜、锌等金属元素，且面密度在</w:t>
      </w:r>
      <w:r>
        <w:rPr>
          <w:highlight w:val="none"/>
        </w:rPr>
        <w:t>10</w:t>
      </w:r>
      <w:r>
        <w:rPr>
          <w:highlight w:val="none"/>
          <w:vertAlign w:val="superscript"/>
        </w:rPr>
        <w:t>9</w:t>
      </w:r>
      <w:r>
        <w:rPr>
          <w:rFonts w:hint="eastAsia"/>
          <w:highlight w:val="none"/>
        </w:rPr>
        <w:t xml:space="preserve"> atoms</w:t>
      </w:r>
      <w:r>
        <w:rPr>
          <w:highlight w:val="none"/>
        </w:rPr>
        <w:t>/</w:t>
      </w:r>
      <w:r>
        <w:rPr>
          <w:rFonts w:hint="eastAsia"/>
          <w:highlight w:val="none"/>
        </w:rPr>
        <w:t>cm</w:t>
      </w:r>
      <w:r>
        <w:rPr>
          <w:rFonts w:hint="eastAsia"/>
          <w:highlight w:val="none"/>
          <w:vertAlign w:val="superscript"/>
        </w:rPr>
        <w:t>2</w:t>
      </w:r>
      <w:r>
        <w:rPr>
          <w:rFonts w:hint="eastAsia"/>
          <w:highlight w:val="none"/>
        </w:rPr>
        <w:t>～</w:t>
      </w:r>
      <w:r>
        <w:rPr>
          <w:highlight w:val="none"/>
        </w:rPr>
        <w:t>10</w:t>
      </w:r>
      <w:r>
        <w:rPr>
          <w:highlight w:val="none"/>
          <w:vertAlign w:val="superscript"/>
        </w:rPr>
        <w:t>15</w:t>
      </w:r>
      <w:r>
        <w:rPr>
          <w:highlight w:val="none"/>
        </w:rPr>
        <w:t xml:space="preserve"> </w:t>
      </w:r>
      <w:r>
        <w:rPr>
          <w:rFonts w:hint="eastAsia"/>
          <w:highlight w:val="none"/>
        </w:rPr>
        <w:t>atoms</w:t>
      </w:r>
      <w:r>
        <w:rPr>
          <w:highlight w:val="none"/>
        </w:rPr>
        <w:t>/</w:t>
      </w:r>
      <w:r>
        <w:rPr>
          <w:rFonts w:hint="eastAsia"/>
          <w:highlight w:val="none"/>
        </w:rPr>
        <w:t>cm</w:t>
      </w:r>
      <w:r>
        <w:rPr>
          <w:rFonts w:hint="eastAsia"/>
          <w:highlight w:val="none"/>
          <w:vertAlign w:val="superscript"/>
        </w:rPr>
        <w:t>2</w:t>
      </w:r>
      <w:r>
        <w:rPr>
          <w:rFonts w:hint="eastAsia"/>
          <w:highlight w:val="none"/>
        </w:rPr>
        <w:t>范围内元素的定量测试。</w:t>
      </w:r>
    </w:p>
    <w:p>
      <w:pPr>
        <w:ind w:firstLine="360" w:firstLineChars="200"/>
        <w:rPr>
          <w:rFonts w:ascii="宋体"/>
          <w:sz w:val="18"/>
          <w:szCs w:val="18"/>
          <w:highlight w:val="none"/>
        </w:rPr>
      </w:pPr>
      <w:r>
        <w:rPr>
          <w:rFonts w:hint="eastAsia" w:ascii="黑体" w:hAnsi="黑体" w:eastAsia="黑体"/>
          <w:sz w:val="18"/>
          <w:szCs w:val="18"/>
          <w:highlight w:val="none"/>
        </w:rPr>
        <w:t>注：</w:t>
      </w:r>
      <w:r>
        <w:rPr>
          <w:rFonts w:hint="eastAsia"/>
          <w:sz w:val="18"/>
          <w:szCs w:val="18"/>
          <w:highlight w:val="none"/>
        </w:rPr>
        <w:t>测试范围在一定条件下可以扩展到原子序数11（Na）～92（U）的元素，取决于测试设备提供的X射线源。</w:t>
      </w:r>
    </w:p>
    <w:p>
      <w:pPr>
        <w:pStyle w:val="48"/>
        <w:rPr>
          <w:highlight w:val="none"/>
        </w:rPr>
      </w:pPr>
      <w:r>
        <w:rPr>
          <w:rFonts w:hint="eastAsia"/>
          <w:highlight w:val="none"/>
        </w:rPr>
        <w:t>规范性引用文件</w:t>
      </w:r>
    </w:p>
    <w:p>
      <w:pPr>
        <w:pStyle w:val="25"/>
        <w:rPr>
          <w:highlight w:val="none"/>
        </w:rPr>
      </w:pPr>
      <w:r>
        <w:rPr>
          <w:rFonts w:hint="eastAsia"/>
          <w:highlight w:val="none"/>
        </w:rPr>
        <w:t>下列文件对于本文件的应用是必不可少的。凡是注日期的引用文件，仅注日期的版本适用于本文件。凡是不注日期的引用文件，其最新版本（包括所有的修改单）适用于本文件。</w:t>
      </w:r>
    </w:p>
    <w:p>
      <w:pPr>
        <w:pStyle w:val="25"/>
        <w:rPr>
          <w:highlight w:val="none"/>
        </w:rPr>
      </w:pPr>
      <w:bookmarkStart w:id="10" w:name="OLE_LINK6"/>
      <w:bookmarkStart w:id="11" w:name="OLE_LINK5"/>
      <w:r>
        <w:rPr>
          <w:rFonts w:hint="eastAsia"/>
          <w:highlight w:val="none"/>
        </w:rPr>
        <w:t>GB/T 8979</w:t>
      </w:r>
      <w:r>
        <w:rPr>
          <w:rFonts w:hint="eastAsia"/>
          <w:highlight w:val="none"/>
        </w:rPr>
        <w:t xml:space="preserve"> </w:t>
      </w:r>
      <w:r>
        <w:rPr>
          <w:highlight w:val="none"/>
        </w:rPr>
        <w:t>纯氮、高纯氮和超纯氮</w:t>
      </w:r>
    </w:p>
    <w:bookmarkEnd w:id="10"/>
    <w:bookmarkEnd w:id="11"/>
    <w:p>
      <w:pPr>
        <w:pStyle w:val="25"/>
        <w:rPr>
          <w:highlight w:val="none"/>
        </w:rPr>
      </w:pPr>
      <w:r>
        <w:rPr>
          <w:rFonts w:hint="eastAsia"/>
          <w:highlight w:val="none"/>
        </w:rPr>
        <w:t>GB/T 14264  半导体材料术语</w:t>
      </w:r>
    </w:p>
    <w:p>
      <w:pPr>
        <w:pStyle w:val="25"/>
        <w:rPr>
          <w:highlight w:val="none"/>
        </w:rPr>
      </w:pPr>
      <w:bookmarkStart w:id="12" w:name="_Hlk131776293"/>
      <w:r>
        <w:rPr>
          <w:highlight w:val="none"/>
        </w:rPr>
        <w:t xml:space="preserve">GB/T 25915.1-2021  </w:t>
      </w:r>
      <w:r>
        <w:rPr>
          <w:rFonts w:hint="eastAsia"/>
          <w:highlight w:val="none"/>
        </w:rPr>
        <w:t>洁净室及相关受控环境 第1部分：按粒子浓度划分空气洁净度</w:t>
      </w:r>
    </w:p>
    <w:bookmarkEnd w:id="12"/>
    <w:p>
      <w:pPr>
        <w:pStyle w:val="48"/>
        <w:rPr>
          <w:highlight w:val="none"/>
        </w:rPr>
      </w:pPr>
      <w:bookmarkStart w:id="13" w:name="_Toc38878169"/>
      <w:bookmarkStart w:id="14" w:name="_Toc38959401"/>
      <w:r>
        <w:rPr>
          <w:rFonts w:hint="eastAsia"/>
          <w:highlight w:val="none"/>
        </w:rPr>
        <w:t>术语</w:t>
      </w:r>
      <w:bookmarkEnd w:id="13"/>
      <w:bookmarkEnd w:id="14"/>
      <w:r>
        <w:rPr>
          <w:rFonts w:hint="eastAsia"/>
          <w:highlight w:val="none"/>
        </w:rPr>
        <w:t>和定义</w:t>
      </w:r>
    </w:p>
    <w:p>
      <w:pPr>
        <w:pStyle w:val="25"/>
        <w:rPr>
          <w:highlight w:val="none"/>
        </w:rPr>
      </w:pPr>
      <w:r>
        <w:rPr>
          <w:rFonts w:hint="eastAsia"/>
          <w:highlight w:val="none"/>
        </w:rPr>
        <w:t>GB/T 14264界定的以及下列术语和定义适用于本文件。</w:t>
      </w:r>
    </w:p>
    <w:p>
      <w:pPr>
        <w:pStyle w:val="45"/>
        <w:rPr>
          <w:highlight w:val="none"/>
        </w:rPr>
      </w:pPr>
    </w:p>
    <w:p>
      <w:pPr>
        <w:pStyle w:val="25"/>
        <w:rPr>
          <w:rFonts w:ascii="黑体" w:hAnsi="黑体" w:eastAsia="黑体"/>
          <w:highlight w:val="none"/>
        </w:rPr>
      </w:pPr>
      <w:r>
        <w:rPr>
          <w:rFonts w:hint="eastAsia" w:ascii="黑体" w:hAnsi="黑体" w:eastAsia="黑体"/>
          <w:highlight w:val="none"/>
        </w:rPr>
        <w:t xml:space="preserve">全反射 </w:t>
      </w:r>
      <w:r>
        <w:rPr>
          <w:rFonts w:ascii="黑体" w:hAnsi="黑体" w:eastAsia="黑体"/>
          <w:highlight w:val="none"/>
        </w:rPr>
        <w:t xml:space="preserve"> total reflection</w:t>
      </w:r>
    </w:p>
    <w:p>
      <w:pPr>
        <w:pStyle w:val="25"/>
        <w:ind w:firstLineChars="0"/>
        <w:rPr>
          <w:rFonts w:hAnsi="宋体"/>
          <w:highlight w:val="none"/>
        </w:rPr>
      </w:pPr>
      <w:r>
        <w:rPr>
          <w:rFonts w:hAnsi="宋体"/>
          <w:highlight w:val="none"/>
        </w:rPr>
        <w:t>光从光密介质射向光疏介质时，当入射角超过某一角度C（临界角）时，折射光完全消失，只剩下反射光线的现象叫做全反射。</w:t>
      </w:r>
    </w:p>
    <w:p>
      <w:pPr>
        <w:pStyle w:val="25"/>
        <w:ind w:left="780" w:leftChars="200" w:hanging="360" w:hangingChars="200"/>
        <w:rPr>
          <w:rFonts w:hAnsi="宋体"/>
          <w:sz w:val="18"/>
          <w:szCs w:val="18"/>
          <w:highlight w:val="none"/>
        </w:rPr>
      </w:pPr>
      <w:r>
        <w:rPr>
          <w:rFonts w:hint="eastAsia" w:ascii="黑体" w:hAnsi="黑体" w:eastAsia="黑体"/>
          <w:sz w:val="18"/>
          <w:szCs w:val="18"/>
          <w:highlight w:val="none"/>
        </w:rPr>
        <w:t>注：</w:t>
      </w:r>
      <w:r>
        <w:rPr>
          <w:rFonts w:hint="eastAsia" w:hAnsi="宋体"/>
          <w:sz w:val="18"/>
          <w:szCs w:val="18"/>
          <w:highlight w:val="none"/>
        </w:rPr>
        <w:t>对于X射线，</w:t>
      </w:r>
      <w:r>
        <w:rPr>
          <w:rFonts w:hAnsi="宋体"/>
          <w:sz w:val="18"/>
          <w:szCs w:val="18"/>
          <w:highlight w:val="none"/>
        </w:rPr>
        <w:t>一般固体与空气相比都是光疏介质。</w:t>
      </w:r>
    </w:p>
    <w:p>
      <w:pPr>
        <w:pStyle w:val="45"/>
        <w:rPr>
          <w:highlight w:val="none"/>
        </w:rPr>
      </w:pPr>
    </w:p>
    <w:p>
      <w:pPr>
        <w:autoSpaceDE w:val="0"/>
        <w:autoSpaceDN w:val="0"/>
        <w:adjustRightInd w:val="0"/>
        <w:ind w:firstLine="420" w:firstLineChars="200"/>
        <w:jc w:val="left"/>
        <w:rPr>
          <w:rFonts w:ascii="黑体" w:eastAsia="黑体"/>
          <w:kern w:val="0"/>
          <w:sz w:val="20"/>
          <w:szCs w:val="20"/>
          <w:highlight w:val="none"/>
        </w:rPr>
      </w:pPr>
      <w:r>
        <w:rPr>
          <w:rFonts w:hint="eastAsia" w:ascii="黑体" w:eastAsia="黑体"/>
          <w:highlight w:val="none"/>
        </w:rPr>
        <w:t>临界角</w:t>
      </w:r>
      <w:r>
        <w:rPr>
          <w:rFonts w:ascii="黑体" w:eastAsia="黑体"/>
          <w:highlight w:val="none"/>
        </w:rPr>
        <w:t xml:space="preserve">  </w:t>
      </w:r>
      <w:r>
        <w:rPr>
          <w:rFonts w:hint="eastAsia" w:ascii="黑体" w:eastAsia="黑体"/>
          <w:kern w:val="0"/>
          <w:sz w:val="20"/>
          <w:szCs w:val="20"/>
          <w:highlight w:val="none"/>
        </w:rPr>
        <w:t>critical angle</w:t>
      </w:r>
    </w:p>
    <w:p>
      <w:pPr>
        <w:pStyle w:val="25"/>
        <w:rPr>
          <w:rFonts w:hint="eastAsia"/>
          <w:highlight w:val="none"/>
        </w:rPr>
      </w:pPr>
      <w:r>
        <w:rPr>
          <w:rFonts w:hint="eastAsia"/>
          <w:highlight w:val="none"/>
        </w:rPr>
        <w:t>能产生全反射的入射角度。当掠射角低于这一角度时，被测表面发生对入射X射线的全反射。</w:t>
      </w:r>
    </w:p>
    <w:p>
      <w:pPr>
        <w:pStyle w:val="25"/>
        <w:ind w:firstLine="360"/>
        <w:rPr>
          <w:sz w:val="18"/>
          <w:szCs w:val="18"/>
          <w:highlight w:val="none"/>
          <w:lang w:val="zh-CN"/>
        </w:rPr>
      </w:pPr>
      <w:r>
        <w:rPr>
          <w:rFonts w:hint="eastAsia" w:ascii="黑体" w:hAnsi="黑体" w:eastAsia="黑体"/>
          <w:sz w:val="18"/>
          <w:szCs w:val="18"/>
          <w:highlight w:val="none"/>
        </w:rPr>
        <w:t>注：</w:t>
      </w:r>
      <w:r>
        <w:rPr>
          <w:sz w:val="18"/>
          <w:szCs w:val="18"/>
          <w:highlight w:val="none"/>
          <w:lang w:val="zh-CN"/>
        </w:rPr>
        <w:t>如果入射角足够小，x射线根本不穿过样品，而是被反射</w:t>
      </w:r>
      <w:r>
        <w:rPr>
          <w:rFonts w:hint="eastAsia"/>
          <w:sz w:val="18"/>
          <w:szCs w:val="18"/>
          <w:highlight w:val="none"/>
          <w:lang w:val="zh-CN"/>
        </w:rPr>
        <w:t>，</w:t>
      </w:r>
      <w:r>
        <w:rPr>
          <w:sz w:val="18"/>
          <w:szCs w:val="18"/>
          <w:highlight w:val="none"/>
          <w:lang w:val="zh-CN"/>
        </w:rPr>
        <w:t>则折射角和反射角交界处的入射角称为临界角</w:t>
      </w:r>
      <w:r>
        <w:rPr>
          <w:rFonts w:hint="eastAsia"/>
          <w:sz w:val="18"/>
          <w:szCs w:val="18"/>
          <w:highlight w:val="none"/>
          <w:lang w:val="zh-CN"/>
        </w:rPr>
        <w:t>。</w:t>
      </w:r>
    </w:p>
    <w:p>
      <w:pPr>
        <w:pStyle w:val="25"/>
        <w:rPr>
          <w:highlight w:val="none"/>
          <w:lang w:val="zh-CN"/>
        </w:rPr>
      </w:pPr>
    </w:p>
    <w:p>
      <w:pPr>
        <w:pStyle w:val="45"/>
        <w:rPr>
          <w:highlight w:val="none"/>
        </w:rPr>
      </w:pPr>
    </w:p>
    <w:p>
      <w:pPr>
        <w:pStyle w:val="25"/>
        <w:rPr>
          <w:rFonts w:ascii="黑体" w:hAnsi="宋体" w:eastAsia="黑体"/>
          <w:szCs w:val="21"/>
          <w:highlight w:val="none"/>
        </w:rPr>
      </w:pPr>
      <w:r>
        <w:rPr>
          <w:rFonts w:hint="eastAsia" w:ascii="黑体" w:hAnsi="宋体" w:eastAsia="黑体"/>
          <w:szCs w:val="21"/>
          <w:highlight w:val="none"/>
        </w:rPr>
        <w:t xml:space="preserve">掠射角 </w:t>
      </w:r>
      <w:r>
        <w:rPr>
          <w:rFonts w:ascii="黑体" w:hAnsi="宋体" w:eastAsia="黑体"/>
          <w:szCs w:val="21"/>
          <w:highlight w:val="none"/>
        </w:rPr>
        <w:t xml:space="preserve"> </w:t>
      </w:r>
      <w:r>
        <w:rPr>
          <w:rFonts w:hint="eastAsia" w:ascii="黑体" w:hAnsi="宋体" w:eastAsia="黑体"/>
          <w:szCs w:val="21"/>
          <w:highlight w:val="none"/>
        </w:rPr>
        <w:t>glancing angle</w:t>
      </w:r>
    </w:p>
    <w:p>
      <w:pPr>
        <w:pStyle w:val="25"/>
        <w:rPr>
          <w:rFonts w:hint="eastAsia" w:hAnsi="宋体"/>
          <w:szCs w:val="21"/>
          <w:highlight w:val="none"/>
        </w:rPr>
      </w:pPr>
      <w:bookmarkStart w:id="15" w:name="_Hlk131776528"/>
      <w:r>
        <w:rPr>
          <w:rFonts w:hint="eastAsia" w:hAnsi="宋体"/>
          <w:szCs w:val="21"/>
          <w:highlight w:val="none"/>
        </w:rPr>
        <w:t>样品表面平面与包含入射到样品表面的X射线的虚拟平面之间的夹角。</w:t>
      </w:r>
    </w:p>
    <w:p>
      <w:pPr>
        <w:pStyle w:val="25"/>
        <w:ind w:firstLine="360"/>
        <w:rPr>
          <w:rFonts w:hAnsi="宋体"/>
          <w:sz w:val="18"/>
          <w:szCs w:val="18"/>
          <w:highlight w:val="none"/>
          <w:lang w:val="zh-CN"/>
        </w:rPr>
      </w:pPr>
      <w:r>
        <w:rPr>
          <w:rFonts w:hint="eastAsia" w:ascii="黑体" w:hAnsi="黑体" w:eastAsia="黑体"/>
          <w:sz w:val="18"/>
          <w:szCs w:val="18"/>
          <w:highlight w:val="none"/>
        </w:rPr>
        <w:t>注</w:t>
      </w:r>
      <w:r>
        <w:rPr>
          <w:rFonts w:hint="eastAsia" w:hAnsi="宋体"/>
          <w:sz w:val="18"/>
          <w:szCs w:val="18"/>
          <w:highlight w:val="none"/>
        </w:rPr>
        <w:t>：本方法以小的掠射角入射到晶片表面时，X射线会在晶片表面发生全反射，此时反射的角度等于掠射角</w:t>
      </w:r>
    </w:p>
    <w:bookmarkEnd w:id="15"/>
    <w:p>
      <w:pPr>
        <w:pStyle w:val="45"/>
        <w:rPr>
          <w:highlight w:val="none"/>
        </w:rPr>
      </w:pPr>
    </w:p>
    <w:p>
      <w:pPr>
        <w:autoSpaceDE w:val="0"/>
        <w:autoSpaceDN w:val="0"/>
        <w:adjustRightInd w:val="0"/>
        <w:ind w:firstLine="420" w:firstLineChars="200"/>
        <w:jc w:val="left"/>
        <w:rPr>
          <w:rFonts w:ascii="黑体" w:eastAsia="黑体"/>
          <w:color w:val="FF6600"/>
          <w:kern w:val="0"/>
          <w:sz w:val="20"/>
          <w:szCs w:val="20"/>
          <w:highlight w:val="none"/>
        </w:rPr>
      </w:pPr>
      <w:r>
        <w:rPr>
          <w:rFonts w:hint="eastAsia" w:ascii="黑体" w:eastAsia="黑体"/>
          <w:highlight w:val="none"/>
        </w:rPr>
        <w:t xml:space="preserve">角扫描 </w:t>
      </w:r>
      <w:r>
        <w:rPr>
          <w:rFonts w:ascii="黑体" w:eastAsia="黑体"/>
          <w:highlight w:val="none"/>
        </w:rPr>
        <w:t xml:space="preserve"> </w:t>
      </w:r>
      <w:r>
        <w:rPr>
          <w:rFonts w:hint="eastAsia" w:ascii="黑体" w:eastAsia="黑体"/>
          <w:iCs/>
          <w:kern w:val="0"/>
          <w:sz w:val="20"/>
          <w:szCs w:val="20"/>
          <w:highlight w:val="none"/>
        </w:rPr>
        <w:t>angle scan</w:t>
      </w:r>
    </w:p>
    <w:p>
      <w:pPr>
        <w:pStyle w:val="25"/>
        <w:rPr>
          <w:highlight w:val="none"/>
        </w:rPr>
      </w:pPr>
      <w:r>
        <w:rPr>
          <w:rFonts w:hint="eastAsia"/>
          <w:highlight w:val="none"/>
        </w:rPr>
        <w:t>作为掠射角函数，对发射的荧光信号的测试。</w:t>
      </w:r>
    </w:p>
    <w:p>
      <w:pPr>
        <w:pStyle w:val="48"/>
        <w:rPr>
          <w:highlight w:val="none"/>
        </w:rPr>
      </w:pPr>
      <w:r>
        <w:rPr>
          <w:rFonts w:hint="eastAsia"/>
          <w:highlight w:val="none"/>
        </w:rPr>
        <w:t>方法原理</w:t>
      </w:r>
    </w:p>
    <w:p>
      <w:pPr>
        <w:pStyle w:val="25"/>
        <w:ind w:firstLine="0" w:firstLineChars="0"/>
        <w:rPr>
          <w:highlight w:val="none"/>
        </w:rPr>
      </w:pPr>
      <w:r>
        <w:rPr>
          <w:rFonts w:hint="eastAsia" w:ascii="黑体" w:hAnsi="黑体" w:eastAsia="黑体"/>
          <w:szCs w:val="21"/>
          <w:highlight w:val="none"/>
        </w:rPr>
        <w:t>4</w:t>
      </w:r>
      <w:r>
        <w:rPr>
          <w:rFonts w:ascii="黑体" w:hAnsi="黑体" w:eastAsia="黑体"/>
          <w:szCs w:val="21"/>
          <w:highlight w:val="none"/>
        </w:rPr>
        <w:t>.1</w:t>
      </w:r>
      <w:r>
        <w:rPr>
          <w:rFonts w:hAnsi="黑体"/>
          <w:highlight w:val="none"/>
        </w:rPr>
        <w:t xml:space="preserve"> </w:t>
      </w:r>
      <w:r>
        <w:rPr>
          <w:rFonts w:hint="eastAsia" w:hAnsi="宋体"/>
          <w:highlight w:val="none"/>
        </w:rPr>
        <w:t>本方法的原理如图1所示，来自X射线源的单色X光，以一个低于临界角的倾斜角度掠射到晶片的镜面表面时，发生X射线的全反射。X射线的</w:t>
      </w:r>
      <w:bookmarkStart w:id="16" w:name="_Hlk131066518"/>
      <w:r>
        <w:rPr>
          <w:rFonts w:hint="eastAsia" w:hAnsi="宋体"/>
          <w:highlight w:val="none"/>
        </w:rPr>
        <w:t>损耗波</w:t>
      </w:r>
      <w:bookmarkEnd w:id="16"/>
      <w:r>
        <w:rPr>
          <w:rFonts w:hint="eastAsia" w:hAnsi="宋体"/>
          <w:highlight w:val="none"/>
        </w:rPr>
        <w:t>穿过晶片表面将其原子能级激发至荧光能级，发射对应原子序数的特征X射线荧光谱，这一能量色散谱被一固态探测器（如硅(锂)探测器）接收。损耗波在这过程中呈指数衰减，衰减强度依赖于晶片表面或表面自然氧化层的总电子密度。本方法对所有电阻率范围的</w:t>
      </w:r>
      <w:r>
        <w:rPr>
          <w:rFonts w:hint="eastAsia" w:hAnsi="宋体"/>
          <w:highlight w:val="none"/>
        </w:rPr>
        <w:t>硅</w:t>
      </w:r>
      <w:r>
        <w:rPr>
          <w:rFonts w:hint="eastAsia" w:hAnsi="宋体"/>
          <w:highlight w:val="none"/>
        </w:rPr>
        <w:t>片，其指数衰减长度约为5</w:t>
      </w:r>
      <w:r>
        <w:rPr>
          <w:rFonts w:hAnsi="宋体" w:eastAsia="黑体"/>
          <w:szCs w:val="21"/>
          <w:highlight w:val="none"/>
          <w:vertAlign w:val="subscript"/>
        </w:rPr>
        <w:t xml:space="preserve"> </w:t>
      </w:r>
      <w:r>
        <w:rPr>
          <w:rFonts w:hint="eastAsia" w:hAnsi="宋体"/>
          <w:highlight w:val="none"/>
        </w:rPr>
        <w:t>nm。</w:t>
      </w:r>
    </w:p>
    <w:p>
      <w:pPr>
        <w:pStyle w:val="45"/>
        <w:numPr>
          <w:ilvl w:val="0"/>
          <w:numId w:val="0"/>
        </w:numPr>
        <w:spacing w:before="0" w:beforeLines="0" w:after="0" w:afterLines="0"/>
        <w:rPr>
          <w:rFonts w:ascii="宋体" w:hAnsi="宋体" w:eastAsia="宋体"/>
          <w:highlight w:val="none"/>
        </w:rPr>
      </w:pPr>
      <w:r>
        <w:rPr>
          <w:rFonts w:hint="eastAsia" w:hAnsi="黑体"/>
          <w:highlight w:val="none"/>
        </w:rPr>
        <w:t>4</w:t>
      </w:r>
      <w:r>
        <w:rPr>
          <w:rFonts w:hAnsi="黑体"/>
          <w:highlight w:val="none"/>
        </w:rPr>
        <w:t xml:space="preserve">.2 </w:t>
      </w:r>
      <w:r>
        <w:rPr>
          <w:rFonts w:ascii="宋体" w:hAnsi="宋体" w:eastAsia="宋体"/>
          <w:highlight w:val="none"/>
        </w:rPr>
        <w:t xml:space="preserve"> </w:t>
      </w:r>
      <w:r>
        <w:rPr>
          <w:rFonts w:hint="eastAsia" w:ascii="宋体" w:hAnsi="宋体" w:eastAsia="宋体"/>
          <w:highlight w:val="none"/>
        </w:rPr>
        <w:t>用标定校准样品的方法获得一个含量高于10</w:t>
      </w:r>
      <w:r>
        <w:rPr>
          <w:rFonts w:hint="eastAsia" w:ascii="宋体" w:hAnsi="宋体" w:eastAsia="宋体"/>
          <w:highlight w:val="none"/>
          <w:vertAlign w:val="superscript"/>
        </w:rPr>
        <w:t>11</w:t>
      </w:r>
      <w:r>
        <w:rPr>
          <w:rFonts w:ascii="宋体" w:hAnsi="宋体"/>
          <w:highlight w:val="none"/>
          <w:vertAlign w:val="subscript"/>
        </w:rPr>
        <w:t xml:space="preserve"> </w:t>
      </w:r>
      <w:r>
        <w:rPr>
          <w:rFonts w:hint="eastAsia" w:ascii="宋体" w:hAnsi="宋体" w:eastAsia="宋体"/>
          <w:highlight w:val="none"/>
        </w:rPr>
        <w:t>atoms/cm</w:t>
      </w:r>
      <w:r>
        <w:rPr>
          <w:rFonts w:hint="eastAsia" w:ascii="宋体" w:hAnsi="宋体" w:eastAsia="宋体"/>
          <w:highlight w:val="none"/>
          <w:vertAlign w:val="superscript"/>
        </w:rPr>
        <w:t>2</w:t>
      </w:r>
      <w:r>
        <w:rPr>
          <w:rFonts w:hint="eastAsia" w:ascii="宋体" w:hAnsi="宋体" w:eastAsia="宋体"/>
          <w:highlight w:val="none"/>
        </w:rPr>
        <w:t>特定元素的面密度，荧光峰值下的积分计数率与标定的特定元素面密度呈线性关系</w:t>
      </w:r>
      <w:r>
        <w:rPr>
          <w:rFonts w:hint="eastAsia" w:ascii="宋体" w:hAnsi="宋体"/>
          <w:szCs w:val="20"/>
          <w:highlight w:val="none"/>
        </w:rPr>
        <w:t>。</w:t>
      </w:r>
      <w:bookmarkStart w:id="17" w:name="_Toc38959403"/>
      <w:bookmarkStart w:id="18" w:name="_Toc38878171"/>
      <w:r>
        <w:rPr>
          <w:rFonts w:hint="eastAsia" w:ascii="宋体" w:hAnsi="宋体" w:eastAsia="宋体"/>
          <w:highlight w:val="none"/>
        </w:rPr>
        <w:t>校准样品在测试区域内至少有一个已知元素的面密度，TXRF仪对标准样品进行分析，得出对应已知元素面密度的荧光积分计数率，然后在相同条件下测试一个或多个样品，使用与每个已知标定元素相关的相对灵敏度因子（RSF），可确定被测样品中元素的荧光积分计数率。如果X射线能量源改变，R</w:t>
      </w:r>
      <w:r>
        <w:rPr>
          <w:rFonts w:ascii="宋体" w:hAnsi="宋体" w:eastAsia="宋体"/>
          <w:highlight w:val="none"/>
        </w:rPr>
        <w:t>SF</w:t>
      </w:r>
      <w:r>
        <w:rPr>
          <w:rFonts w:hint="eastAsia" w:ascii="宋体" w:hAnsi="宋体" w:eastAsia="宋体"/>
          <w:highlight w:val="none"/>
        </w:rPr>
        <w:t>应使用不同的设置。</w:t>
      </w:r>
    </w:p>
    <w:p>
      <w:pPr>
        <w:pStyle w:val="25"/>
        <w:ind w:firstLine="0" w:firstLineChars="0"/>
        <w:jc w:val="center"/>
        <w:rPr>
          <w:highlight w:val="none"/>
        </w:rPr>
      </w:pPr>
      <w:r>
        <w:rPr>
          <w:rFonts w:ascii="Times New Roman"/>
          <w:kern w:val="2"/>
          <w:szCs w:val="24"/>
          <w:highlight w:val="none"/>
        </w:rPr>
        <w:drawing>
          <wp:inline distT="0" distB="0" distL="0" distR="0">
            <wp:extent cx="2947035" cy="2356485"/>
            <wp:effectExtent l="0" t="0" r="5715" b="0"/>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47035" cy="2356485"/>
                    </a:xfrm>
                    <a:prstGeom prst="rect">
                      <a:avLst/>
                    </a:prstGeom>
                    <a:noFill/>
                    <a:ln>
                      <a:noFill/>
                    </a:ln>
                  </pic:spPr>
                </pic:pic>
              </a:graphicData>
            </a:graphic>
          </wp:inline>
        </w:drawing>
      </w:r>
    </w:p>
    <w:p>
      <w:pPr>
        <w:pStyle w:val="25"/>
        <w:ind w:firstLine="0" w:firstLineChars="0"/>
        <w:rPr>
          <w:sz w:val="18"/>
          <w:szCs w:val="18"/>
          <w:highlight w:val="none"/>
        </w:rPr>
      </w:pPr>
      <w:bookmarkStart w:id="19" w:name="_Hlk131091111"/>
      <w:r>
        <w:rPr>
          <w:rFonts w:hint="eastAsia"/>
          <w:sz w:val="18"/>
          <w:szCs w:val="18"/>
          <w:highlight w:val="none"/>
        </w:rPr>
        <w:t>标引序号说明：</w:t>
      </w:r>
    </w:p>
    <w:p>
      <w:pPr>
        <w:pStyle w:val="25"/>
        <w:ind w:firstLine="0" w:firstLineChars="0"/>
        <w:rPr>
          <w:sz w:val="18"/>
          <w:szCs w:val="18"/>
          <w:highlight w:val="none"/>
        </w:rPr>
      </w:pPr>
      <w:r>
        <w:rPr>
          <w:sz w:val="18"/>
          <w:szCs w:val="18"/>
          <w:highlight w:val="none"/>
        </w:rPr>
        <w:t>1——</w:t>
      </w:r>
      <w:r>
        <w:rPr>
          <w:rFonts w:hint="eastAsia"/>
          <w:sz w:val="18"/>
          <w:szCs w:val="18"/>
          <w:highlight w:val="none"/>
        </w:rPr>
        <w:t>单色仪；</w:t>
      </w:r>
    </w:p>
    <w:p>
      <w:pPr>
        <w:pStyle w:val="25"/>
        <w:ind w:firstLine="0" w:firstLineChars="0"/>
        <w:rPr>
          <w:sz w:val="18"/>
          <w:szCs w:val="18"/>
          <w:highlight w:val="none"/>
        </w:rPr>
      </w:pPr>
      <w:r>
        <w:rPr>
          <w:rFonts w:hint="eastAsia"/>
          <w:sz w:val="18"/>
          <w:szCs w:val="18"/>
          <w:highlight w:val="none"/>
        </w:rPr>
        <w:t>2——探测器；</w:t>
      </w:r>
    </w:p>
    <w:p>
      <w:pPr>
        <w:pStyle w:val="25"/>
        <w:ind w:firstLine="0" w:firstLineChars="0"/>
        <w:rPr>
          <w:sz w:val="18"/>
          <w:szCs w:val="18"/>
          <w:highlight w:val="none"/>
        </w:rPr>
      </w:pPr>
      <w:r>
        <w:rPr>
          <w:sz w:val="18"/>
          <w:szCs w:val="18"/>
          <w:highlight w:val="none"/>
        </w:rPr>
        <w:t>3</w:t>
      </w:r>
      <w:r>
        <w:rPr>
          <w:rFonts w:hint="eastAsia"/>
          <w:sz w:val="18"/>
          <w:szCs w:val="18"/>
          <w:highlight w:val="none"/>
        </w:rPr>
        <w:t>——样品台（可自如操作的X</w:t>
      </w:r>
      <w:r>
        <w:rPr>
          <w:sz w:val="18"/>
          <w:szCs w:val="18"/>
          <w:highlight w:val="none"/>
        </w:rPr>
        <w:t>,Y,Z</w:t>
      </w:r>
      <w:r>
        <w:rPr>
          <w:rFonts w:hint="eastAsia"/>
          <w:sz w:val="18"/>
          <w:szCs w:val="18"/>
          <w:highlight w:val="none"/>
        </w:rPr>
        <w:t>）；</w:t>
      </w:r>
    </w:p>
    <w:p>
      <w:pPr>
        <w:pStyle w:val="25"/>
        <w:ind w:firstLine="0" w:firstLineChars="0"/>
        <w:rPr>
          <w:sz w:val="18"/>
          <w:szCs w:val="18"/>
          <w:highlight w:val="none"/>
        </w:rPr>
      </w:pPr>
      <w:r>
        <w:rPr>
          <w:rFonts w:hint="eastAsia"/>
          <w:sz w:val="18"/>
          <w:szCs w:val="18"/>
          <w:highlight w:val="none"/>
        </w:rPr>
        <w:t>4——X射线源。</w:t>
      </w:r>
    </w:p>
    <w:bookmarkEnd w:id="19"/>
    <w:p>
      <w:pPr>
        <w:pStyle w:val="131"/>
        <w:rPr>
          <w:highlight w:val="none"/>
        </w:rPr>
      </w:pPr>
      <w:r>
        <w:rPr>
          <w:rFonts w:hint="eastAsia"/>
          <w:highlight w:val="none"/>
        </w:rPr>
        <w:t>TXRF方法原理示意图</w:t>
      </w:r>
    </w:p>
    <w:p>
      <w:pPr>
        <w:pStyle w:val="48"/>
        <w:rPr>
          <w:rFonts w:ascii="宋体" w:hAnsi="宋体" w:eastAsia="宋体"/>
          <w:highlight w:val="none"/>
        </w:rPr>
      </w:pPr>
      <w:r>
        <w:rPr>
          <w:rFonts w:hint="eastAsia"/>
          <w:highlight w:val="none"/>
        </w:rPr>
        <w:t>干扰</w:t>
      </w:r>
      <w:r>
        <w:rPr>
          <w:rFonts w:hint="eastAsia" w:ascii="宋体" w:hAnsi="宋体" w:eastAsia="宋体"/>
          <w:highlight w:val="none"/>
        </w:rPr>
        <w:t>因素</w:t>
      </w:r>
    </w:p>
    <w:p>
      <w:pPr>
        <w:pStyle w:val="45"/>
        <w:numPr>
          <w:ilvl w:val="1"/>
          <w:numId w:val="20"/>
        </w:numPr>
        <w:outlineLvl w:val="9"/>
        <w:rPr>
          <w:rFonts w:hAnsi="黑体"/>
          <w:highlight w:val="none"/>
        </w:rPr>
      </w:pPr>
      <w:r>
        <w:rPr>
          <w:rFonts w:hint="eastAsia" w:hAnsi="黑体"/>
          <w:highlight w:val="none"/>
        </w:rPr>
        <w:t>TXRF方法因素：</w:t>
      </w:r>
    </w:p>
    <w:p>
      <w:pPr>
        <w:pStyle w:val="66"/>
        <w:ind w:left="0"/>
        <w:rPr>
          <w:highlight w:val="none"/>
        </w:rPr>
      </w:pPr>
      <w:r>
        <w:rPr>
          <w:rFonts w:hint="eastAsia"/>
          <w:highlight w:val="none"/>
        </w:rPr>
        <w:t>掠射角的校准不应重复，否则测试时会引入变异性。</w:t>
      </w:r>
    </w:p>
    <w:p>
      <w:pPr>
        <w:pStyle w:val="66"/>
        <w:ind w:left="0"/>
        <w:rPr>
          <w:rFonts w:hint="eastAsia"/>
          <w:highlight w:val="none"/>
        </w:rPr>
      </w:pPr>
      <w:r>
        <w:rPr>
          <w:rFonts w:hint="eastAsia"/>
          <w:highlight w:val="none"/>
        </w:rPr>
        <w:t>掠射角的选择应考虑被测样品表面的主要金属沾污类型，即金属沾污主要位于氧化层（包括自然氧化层）中还是位于样品表面的颗粒，严格的说，两种类型的金属沾污选择的掠射角应有差异。如主要沾污为表面颗粒型，则选择过低的掠射角会致使测试结果带来较大的误差。</w:t>
      </w:r>
    </w:p>
    <w:p>
      <w:pPr>
        <w:pStyle w:val="66"/>
        <w:ind w:left="0"/>
        <w:rPr>
          <w:highlight w:val="none"/>
        </w:rPr>
      </w:pPr>
      <w:r>
        <w:rPr>
          <w:rFonts w:hint="eastAsia"/>
          <w:highlight w:val="none"/>
        </w:rPr>
        <w:t>掠射角校准的不正确，会引入测试结果偏差。</w:t>
      </w:r>
    </w:p>
    <w:p>
      <w:pPr>
        <w:pStyle w:val="66"/>
        <w:ind w:left="0"/>
        <w:rPr>
          <w:highlight w:val="none"/>
        </w:rPr>
      </w:pPr>
      <w:r>
        <w:rPr>
          <w:rFonts w:hint="eastAsia"/>
          <w:highlight w:val="none"/>
        </w:rPr>
        <w:t>机械振动会降低探测器的能量分辨率，还可能影响检测限。</w:t>
      </w:r>
    </w:p>
    <w:p>
      <w:pPr>
        <w:pStyle w:val="66"/>
        <w:ind w:left="0"/>
        <w:rPr>
          <w:highlight w:val="none"/>
        </w:rPr>
      </w:pPr>
      <w:r>
        <w:rPr>
          <w:rFonts w:hint="eastAsia"/>
          <w:highlight w:val="none"/>
        </w:rPr>
        <w:t>荧光线的相对灵敏度因子（RSF）偏差会引入测试结果偏差。</w:t>
      </w:r>
    </w:p>
    <w:p>
      <w:pPr>
        <w:pStyle w:val="66"/>
        <w:ind w:left="0"/>
        <w:rPr>
          <w:highlight w:val="none"/>
        </w:rPr>
      </w:pPr>
      <w:r>
        <w:rPr>
          <w:rFonts w:hint="eastAsia"/>
          <w:highlight w:val="none"/>
        </w:rPr>
        <w:t>如果X射线束在被测晶片上发生衍射，该衍射光束进入探测器，激发在探测器窗口或探测器内的金属产生仪器的峰值，对测试结果有影响。</w:t>
      </w:r>
    </w:p>
    <w:p>
      <w:pPr>
        <w:pStyle w:val="66"/>
        <w:ind w:left="0"/>
        <w:rPr>
          <w:highlight w:val="none"/>
        </w:rPr>
      </w:pPr>
      <w:r>
        <w:rPr>
          <w:rFonts w:hint="eastAsia"/>
          <w:highlight w:val="none"/>
        </w:rPr>
        <w:t>与杂质面密度对应的荧光探测信号呈非线性，可在高-总信号计数速率条件下产生探测器的死时间。</w:t>
      </w:r>
    </w:p>
    <w:p>
      <w:pPr>
        <w:pStyle w:val="66"/>
        <w:ind w:left="0"/>
        <w:rPr>
          <w:highlight w:val="none"/>
        </w:rPr>
      </w:pPr>
      <w:r>
        <w:rPr>
          <w:rFonts w:hint="eastAsia"/>
          <w:highlight w:val="none"/>
        </w:rPr>
        <w:t>荧光曲线的平滑程度会影响测试数值的精确性。</w:t>
      </w:r>
    </w:p>
    <w:p>
      <w:pPr>
        <w:pStyle w:val="66"/>
        <w:ind w:left="0"/>
        <w:rPr>
          <w:rFonts w:hint="eastAsia"/>
          <w:highlight w:val="none"/>
        </w:rPr>
      </w:pPr>
      <w:r>
        <w:rPr>
          <w:rFonts w:hint="eastAsia"/>
          <w:highlight w:val="none"/>
        </w:rPr>
        <w:t>不同的靶材适用于的不同的被测元素，靶的固定或旋转工作方式也对检出限有影响。</w:t>
      </w:r>
    </w:p>
    <w:p>
      <w:pPr>
        <w:pStyle w:val="66"/>
        <w:ind w:left="0"/>
        <w:rPr>
          <w:highlight w:val="none"/>
        </w:rPr>
      </w:pPr>
      <w:r>
        <w:rPr>
          <w:rFonts w:hint="eastAsia"/>
          <w:highlight w:val="none"/>
        </w:rPr>
        <w:t>试元素周期表16（S）以下元素，如</w:t>
      </w:r>
      <w:r>
        <w:rPr>
          <w:rFonts w:hint="eastAsia"/>
          <w:highlight w:val="none"/>
        </w:rPr>
        <w:t>N</w:t>
      </w:r>
      <w:r>
        <w:rPr>
          <w:rFonts w:hint="eastAsia"/>
          <w:highlight w:val="none"/>
        </w:rPr>
        <w:t>a、</w:t>
      </w:r>
      <w:r>
        <w:rPr>
          <w:rFonts w:hint="eastAsia"/>
          <w:highlight w:val="none"/>
        </w:rPr>
        <w:t>A</w:t>
      </w:r>
      <w:r>
        <w:rPr>
          <w:rFonts w:hint="eastAsia"/>
          <w:highlight w:val="none"/>
        </w:rPr>
        <w:t>l等，检出限较高，通常大于</w:t>
      </w:r>
      <w:r>
        <w:rPr>
          <w:highlight w:val="none"/>
        </w:rPr>
        <w:t>10</w:t>
      </w:r>
      <w:r>
        <w:rPr>
          <w:highlight w:val="none"/>
          <w:vertAlign w:val="superscript"/>
        </w:rPr>
        <w:t>1</w:t>
      </w:r>
      <w:r>
        <w:rPr>
          <w:rFonts w:hint="eastAsia"/>
          <w:highlight w:val="none"/>
          <w:vertAlign w:val="superscript"/>
        </w:rPr>
        <w:t>1</w:t>
      </w:r>
      <w:r>
        <w:rPr>
          <w:rFonts w:hint="eastAsia"/>
          <w:highlight w:val="none"/>
        </w:rPr>
        <w:t>atoms</w:t>
      </w:r>
      <w:r>
        <w:rPr>
          <w:highlight w:val="none"/>
        </w:rPr>
        <w:t>/</w:t>
      </w:r>
      <w:r>
        <w:rPr>
          <w:rFonts w:hint="eastAsia"/>
          <w:highlight w:val="none"/>
        </w:rPr>
        <w:t>cm</w:t>
      </w:r>
      <w:r>
        <w:rPr>
          <w:rFonts w:hint="eastAsia"/>
          <w:highlight w:val="none"/>
          <w:vertAlign w:val="superscript"/>
        </w:rPr>
        <w:t>2</w:t>
      </w:r>
      <w:r>
        <w:rPr>
          <w:rFonts w:hint="eastAsia"/>
          <w:highlight w:val="none"/>
        </w:rPr>
        <w:t>，甚至更高。</w:t>
      </w:r>
    </w:p>
    <w:p>
      <w:pPr>
        <w:pStyle w:val="45"/>
        <w:outlineLvl w:val="9"/>
        <w:rPr>
          <w:highlight w:val="none"/>
        </w:rPr>
      </w:pPr>
      <w:r>
        <w:rPr>
          <w:rFonts w:hint="eastAsia" w:hAnsi="黑体"/>
          <w:highlight w:val="none"/>
        </w:rPr>
        <w:t>TXRF设备因素</w:t>
      </w:r>
      <w:r>
        <w:rPr>
          <w:rFonts w:hint="eastAsia"/>
          <w:highlight w:val="none"/>
        </w:rPr>
        <w:t>：</w:t>
      </w:r>
    </w:p>
    <w:p>
      <w:pPr>
        <w:pStyle w:val="49"/>
        <w:spacing w:before="0" w:beforeLines="0" w:after="0" w:afterLines="0"/>
        <w:ind w:left="0"/>
        <w:rPr>
          <w:rFonts w:ascii="宋体" w:hAnsi="宋体" w:eastAsia="宋体"/>
          <w:highlight w:val="none"/>
        </w:rPr>
      </w:pPr>
      <w:r>
        <w:rPr>
          <w:rFonts w:hint="eastAsia" w:ascii="宋体" w:hAnsi="宋体" w:eastAsia="宋体"/>
          <w:highlight w:val="none"/>
        </w:rPr>
        <w:t>X射线荧光光谱学中已知的干扰因素均适用于本方法，它们包括但不限于：荧光线的重叠、逃逸峰与和峰的重叠、能量增益的校准漂移、X射线源的稳定性、仪器的本底峰等，</w:t>
      </w:r>
      <w:r>
        <w:rPr>
          <w:rFonts w:ascii="宋体" w:hAnsi="宋体" w:eastAsia="宋体"/>
          <w:highlight w:val="none"/>
        </w:rPr>
        <w:t>但不要求设备对二次荧光或基体吸收进行修正。</w:t>
      </w:r>
      <w:r>
        <w:rPr>
          <w:rFonts w:hint="eastAsia" w:ascii="宋体" w:hAnsi="宋体" w:eastAsia="宋体"/>
          <w:highlight w:val="none"/>
        </w:rPr>
        <w:t>软件程序和计算的共同干扰可通过比较数据系统进行估算（见附录A中A.1）。</w:t>
      </w:r>
    </w:p>
    <w:p>
      <w:pPr>
        <w:pStyle w:val="8"/>
        <w:rPr>
          <w:highlight w:val="none"/>
          <w:lang w:eastAsia="zh-CN"/>
        </w:rPr>
      </w:pPr>
      <w:r>
        <w:rPr>
          <w:rFonts w:hint="eastAsia"/>
          <w:highlight w:val="none"/>
          <w:lang w:eastAsia="zh-CN"/>
        </w:rPr>
        <w:t>5.2.2 探测极限取决于原子序数、激发能量、激发x射线的光子通量、仪器背景、积分时间和空白值。</w:t>
      </w:r>
    </w:p>
    <w:p>
      <w:pPr>
        <w:pStyle w:val="8"/>
        <w:rPr>
          <w:rFonts w:ascii="宋体" w:hAnsi="宋体"/>
          <w:highlight w:val="none"/>
          <w:lang w:eastAsia="zh-CN"/>
        </w:rPr>
      </w:pPr>
      <w:r>
        <w:rPr>
          <w:rFonts w:hint="eastAsia" w:ascii="黑体" w:hAnsi="黑体" w:eastAsia="黑体"/>
          <w:highlight w:val="none"/>
          <w:lang w:eastAsia="zh-CN"/>
        </w:rPr>
        <w:t>521.3</w:t>
      </w:r>
      <w:r>
        <w:rPr>
          <w:rFonts w:hint="eastAsia" w:ascii="宋体" w:hAnsi="宋体"/>
          <w:highlight w:val="none"/>
          <w:lang w:eastAsia="zh-CN"/>
        </w:rPr>
        <w:t xml:space="preserve"> X射线靶材腔室的真空度会影响测试精度；</w:t>
      </w:r>
    </w:p>
    <w:p>
      <w:pPr>
        <w:pStyle w:val="8"/>
        <w:rPr>
          <w:rFonts w:ascii="宋体" w:hAnsi="宋体"/>
          <w:highlight w:val="none"/>
          <w:lang w:eastAsia="zh-CN"/>
        </w:rPr>
      </w:pPr>
      <w:r>
        <w:rPr>
          <w:rFonts w:hint="eastAsia" w:ascii="宋体" w:hAnsi="宋体"/>
          <w:highlight w:val="none"/>
          <w:lang w:eastAsia="zh-CN"/>
        </w:rPr>
        <w:t>5</w:t>
      </w:r>
      <w:r>
        <w:rPr>
          <w:rFonts w:hint="eastAsia" w:ascii="黑体" w:hAnsi="黑体" w:eastAsia="黑体"/>
          <w:highlight w:val="none"/>
          <w:lang w:eastAsia="zh-CN"/>
        </w:rPr>
        <w:t>.2.4</w:t>
      </w:r>
      <w:r>
        <w:rPr>
          <w:rFonts w:hint="eastAsia" w:ascii="宋体" w:hAnsi="宋体"/>
          <w:highlight w:val="none"/>
          <w:lang w:eastAsia="zh-CN"/>
        </w:rPr>
        <w:t>为</w:t>
      </w:r>
      <w:r>
        <w:rPr>
          <w:rFonts w:ascii="宋体" w:hAnsi="宋体"/>
          <w:highlight w:val="none"/>
          <w:lang w:val="en-US" w:eastAsia="zh-CN"/>
        </w:rPr>
        <w:t>防止任何颗粒污染并聚集，冲洗主腔室使用的氮气应优于</w:t>
      </w:r>
      <w:r>
        <w:rPr>
          <w:rFonts w:hint="eastAsia" w:ascii="宋体" w:hAnsi="宋体"/>
          <w:highlight w:val="none"/>
          <w:lang w:val="en-US" w:eastAsia="zh-CN"/>
        </w:rPr>
        <w:t>GB/T 8979中高纯氮的标准</w:t>
      </w:r>
      <w:r>
        <w:rPr>
          <w:rFonts w:ascii="宋体" w:hAnsi="宋体"/>
          <w:highlight w:val="none"/>
          <w:lang w:val="en-US" w:eastAsia="zh-CN"/>
        </w:rPr>
        <w:t>，否则可能导致对腔室的污染从而影响测试结果。</w:t>
      </w:r>
    </w:p>
    <w:p>
      <w:pPr>
        <w:pStyle w:val="45"/>
        <w:numPr>
          <w:ilvl w:val="1"/>
          <w:numId w:val="21"/>
        </w:numPr>
        <w:outlineLvl w:val="9"/>
        <w:rPr>
          <w:rFonts w:ascii="宋体" w:hAnsi="宋体" w:eastAsia="宋体"/>
          <w:highlight w:val="none"/>
        </w:rPr>
      </w:pPr>
      <w:r>
        <w:rPr>
          <w:rFonts w:hint="eastAsia" w:hAnsi="黑体"/>
          <w:highlight w:val="none"/>
        </w:rPr>
        <w:t>样品表面因素</w:t>
      </w:r>
      <w:r>
        <w:rPr>
          <w:rFonts w:hint="eastAsia" w:ascii="宋体" w:hAnsi="宋体" w:eastAsia="宋体"/>
          <w:highlight w:val="none"/>
        </w:rPr>
        <w:t>：</w:t>
      </w:r>
    </w:p>
    <w:p>
      <w:pPr>
        <w:pStyle w:val="66"/>
        <w:ind w:left="0"/>
        <w:rPr>
          <w:highlight w:val="none"/>
        </w:rPr>
      </w:pPr>
      <w:r>
        <w:rPr>
          <w:rFonts w:hint="eastAsia"/>
          <w:highlight w:val="none"/>
        </w:rPr>
        <w:t>本方法对于被测样品表面凸起的颗粒与在位于化层内的颗粒的掠射角会有微小的差别</w:t>
      </w:r>
      <w:r>
        <w:rPr>
          <w:rFonts w:hint="eastAsia"/>
          <w:highlight w:val="none"/>
        </w:rPr>
        <w:t>，因此校准样品表面已知元素与测试样品表面元素的角扫描不同，例如，在测试样品上测试到颗粒的金属沾污，而在使用的校准样品上被校准的金属位于自然氧化层中，则会引入一个量值的偏差。</w:t>
      </w:r>
    </w:p>
    <w:p>
      <w:pPr>
        <w:pStyle w:val="66"/>
        <w:ind w:left="0"/>
        <w:rPr>
          <w:highlight w:val="none"/>
        </w:rPr>
      </w:pPr>
      <w:r>
        <w:rPr>
          <w:rFonts w:hint="eastAsia"/>
          <w:highlight w:val="none"/>
        </w:rPr>
        <w:t>样品表面粗糙和波纹的差异也可造成干扰，例如，样品不是化学机械抛光表面，会导致探测能力的下降、量值的偏移和测试变异性的增加；不同清洗工艺造成的抛光片表面粗糙或波纹的差异也可形成干扰。</w:t>
      </w:r>
    </w:p>
    <w:p>
      <w:pPr>
        <w:pStyle w:val="66"/>
        <w:numPr>
          <w:ilvl w:val="0"/>
          <w:numId w:val="0"/>
        </w:numPr>
        <w:rPr>
          <w:sz w:val="18"/>
          <w:szCs w:val="18"/>
          <w:highlight w:val="none"/>
        </w:rPr>
      </w:pPr>
      <w:r>
        <w:rPr>
          <w:rFonts w:hint="eastAsia" w:ascii="黑体" w:hAnsi="黑体" w:eastAsia="黑体"/>
          <w:sz w:val="18"/>
          <w:szCs w:val="18"/>
          <w:highlight w:val="none"/>
        </w:rPr>
        <w:t>注：</w:t>
      </w:r>
      <w:r>
        <w:rPr>
          <w:rFonts w:hint="eastAsia" w:hAnsi="宋体"/>
          <w:sz w:val="18"/>
          <w:szCs w:val="18"/>
          <w:highlight w:val="none"/>
        </w:rPr>
        <w:t>使用原子力显微镜测量</w:t>
      </w:r>
      <w:r>
        <w:rPr>
          <w:rFonts w:hint="eastAsia"/>
          <w:sz w:val="18"/>
          <w:szCs w:val="18"/>
          <w:highlight w:val="none"/>
        </w:rPr>
        <w:t>蓝宝石抛光片时，表面粗糙度</w:t>
      </w:r>
      <w:r>
        <w:rPr>
          <w:rFonts w:hint="eastAsia"/>
          <w:i/>
          <w:iCs/>
          <w:sz w:val="18"/>
          <w:szCs w:val="18"/>
          <w:highlight w:val="none"/>
        </w:rPr>
        <w:t>R</w:t>
      </w:r>
      <w:r>
        <w:rPr>
          <w:rFonts w:hint="eastAsia"/>
          <w:sz w:val="18"/>
          <w:szCs w:val="18"/>
          <w:highlight w:val="none"/>
        </w:rPr>
        <w:t>a在5</w:t>
      </w:r>
      <w:r>
        <w:rPr>
          <w:rFonts w:hint="eastAsia" w:hAnsi="宋体"/>
          <w:sz w:val="18"/>
          <w:szCs w:val="18"/>
          <w:highlight w:val="none"/>
        </w:rPr>
        <w:t>μ</w:t>
      </w:r>
      <w:r>
        <w:rPr>
          <w:rFonts w:hint="eastAsia"/>
          <w:sz w:val="18"/>
          <w:szCs w:val="18"/>
          <w:highlight w:val="none"/>
        </w:rPr>
        <w:t>mx5μm区域内应不</w:t>
      </w:r>
      <w:r>
        <w:rPr>
          <w:rFonts w:hint="eastAsia"/>
          <w:sz w:val="18"/>
          <w:szCs w:val="18"/>
          <w:highlight w:val="none"/>
        </w:rPr>
        <w:t>大</w:t>
      </w:r>
      <w:r>
        <w:rPr>
          <w:rFonts w:hint="eastAsia"/>
          <w:sz w:val="18"/>
          <w:szCs w:val="18"/>
          <w:highlight w:val="none"/>
        </w:rPr>
        <w:t>于3</w:t>
      </w:r>
      <w:r>
        <w:rPr>
          <w:sz w:val="18"/>
          <w:szCs w:val="18"/>
          <w:highlight w:val="none"/>
          <w:vertAlign w:val="subscript"/>
        </w:rPr>
        <w:t xml:space="preserve"> </w:t>
      </w:r>
      <w:r>
        <w:rPr>
          <w:rFonts w:hint="eastAsia"/>
          <w:sz w:val="18"/>
          <w:szCs w:val="18"/>
          <w:highlight w:val="none"/>
        </w:rPr>
        <w:t>nm；其他材料的表面粗糙度对TXRF法测试的半定量影响尚未确定。</w:t>
      </w:r>
    </w:p>
    <w:p>
      <w:pPr>
        <w:pStyle w:val="66"/>
        <w:ind w:left="0"/>
        <w:rPr>
          <w:highlight w:val="none"/>
        </w:rPr>
      </w:pPr>
      <w:r>
        <w:rPr>
          <w:rFonts w:hint="eastAsia"/>
          <w:highlight w:val="none"/>
        </w:rPr>
        <w:t>校准样品中元素面密度的量值偏差会导致TXRF法测试面密度的偏差。</w:t>
      </w:r>
    </w:p>
    <w:p>
      <w:pPr>
        <w:pStyle w:val="66"/>
        <w:ind w:left="0"/>
        <w:rPr>
          <w:highlight w:val="none"/>
        </w:rPr>
      </w:pPr>
      <w:r>
        <w:rPr>
          <w:rFonts w:hint="eastAsia"/>
          <w:highlight w:val="none"/>
        </w:rPr>
        <w:t>在测试样品处理或测试过程中引入表面沾污，且沾污的元素属于探测元素，会带来测试结果的偏差。</w:t>
      </w:r>
    </w:p>
    <w:p>
      <w:pPr>
        <w:pStyle w:val="66"/>
        <w:ind w:left="0"/>
        <w:rPr>
          <w:highlight w:val="none"/>
        </w:rPr>
      </w:pPr>
      <w:r>
        <w:rPr>
          <w:rFonts w:hint="eastAsia"/>
          <w:highlight w:val="none"/>
        </w:rPr>
        <w:t>测试样品表面沾污的不均匀可能带来不同位置测试结果的不同，特别是在与其他测试方法作比较时，可能对结果的判断造成影响。</w:t>
      </w:r>
    </w:p>
    <w:bookmarkEnd w:id="17"/>
    <w:bookmarkEnd w:id="18"/>
    <w:p>
      <w:pPr>
        <w:pStyle w:val="48"/>
        <w:rPr>
          <w:highlight w:val="none"/>
        </w:rPr>
      </w:pPr>
      <w:bookmarkStart w:id="20" w:name="SectionMark1"/>
      <w:bookmarkEnd w:id="20"/>
      <w:bookmarkStart w:id="21" w:name="计算"/>
      <w:bookmarkEnd w:id="21"/>
      <w:bookmarkStart w:id="22" w:name="设备"/>
      <w:bookmarkEnd w:id="22"/>
      <w:r>
        <w:rPr>
          <w:rFonts w:hint="eastAsia"/>
          <w:highlight w:val="none"/>
        </w:rPr>
        <w:t>试验条件</w:t>
      </w:r>
    </w:p>
    <w:p>
      <w:pPr>
        <w:pStyle w:val="25"/>
        <w:rPr>
          <w:highlight w:val="none"/>
        </w:rPr>
      </w:pPr>
      <w:r>
        <w:rPr>
          <w:rFonts w:hint="eastAsia"/>
          <w:highlight w:val="none"/>
        </w:rPr>
        <w:t>测试应在下列环境中进行：</w:t>
      </w:r>
    </w:p>
    <w:p>
      <w:pPr>
        <w:pStyle w:val="25"/>
        <w:rPr>
          <w:color w:val="000000"/>
          <w:highlight w:val="none"/>
        </w:rPr>
      </w:pPr>
      <w:r>
        <w:rPr>
          <w:rFonts w:hint="eastAsia"/>
          <w:color w:val="000000"/>
          <w:highlight w:val="none"/>
        </w:rPr>
        <w:t>a）</w:t>
      </w:r>
      <w:r>
        <w:rPr>
          <w:rFonts w:hint="eastAsia"/>
          <w:color w:val="000000"/>
          <w:highlight w:val="none"/>
        </w:rPr>
        <w:t>温度：23</w:t>
      </w:r>
      <m:oMath>
        <m:r>
          <m:rPr>
            <m:sty m:val="p"/>
          </m:rPr>
          <w:rPr>
            <w:rFonts w:ascii="Cambria Math" w:hAnsi="Cambria Math"/>
            <w:color w:val="000000"/>
            <w:highlight w:val="none"/>
          </w:rPr>
          <m:t>±</m:t>
        </m:r>
      </m:oMath>
      <w:r>
        <w:rPr>
          <w:rFonts w:hint="eastAsia"/>
          <w:color w:val="000000"/>
          <w:highlight w:val="none"/>
        </w:rPr>
        <w:t>5</w:t>
      </w:r>
      <w:r>
        <w:rPr>
          <w:rFonts w:ascii="Times New Roman"/>
          <w:color w:val="000000"/>
          <w:highlight w:val="none"/>
        </w:rPr>
        <w:t>°</w:t>
      </w:r>
      <w:r>
        <w:rPr>
          <w:rFonts w:hint="eastAsia"/>
          <w:color w:val="000000"/>
          <w:highlight w:val="none"/>
        </w:rPr>
        <w:t>C，使用期间应保持在</w:t>
      </w:r>
      <m:oMath>
        <m:r>
          <m:rPr>
            <m:sty m:val="p"/>
          </m:rPr>
          <w:rPr>
            <w:rFonts w:ascii="Cambria Math" w:hAnsi="Cambria Math"/>
            <w:color w:val="000000"/>
            <w:highlight w:val="none"/>
          </w:rPr>
          <m:t>±</m:t>
        </m:r>
      </m:oMath>
      <w:r>
        <w:rPr>
          <w:rFonts w:hint="eastAsia"/>
          <w:color w:val="000000"/>
          <w:highlight w:val="none"/>
        </w:rPr>
        <w:t>2</w:t>
      </w:r>
      <w:r>
        <w:rPr>
          <w:color w:val="000000"/>
          <w:highlight w:val="none"/>
        </w:rPr>
        <w:t>°</w:t>
      </w:r>
      <w:r>
        <w:rPr>
          <w:rFonts w:hint="eastAsia"/>
          <w:color w:val="000000"/>
          <w:highlight w:val="none"/>
        </w:rPr>
        <w:t>C；</w:t>
      </w:r>
    </w:p>
    <w:p>
      <w:pPr>
        <w:pStyle w:val="25"/>
        <w:rPr>
          <w:color w:val="000000"/>
          <w:highlight w:val="none"/>
        </w:rPr>
      </w:pPr>
      <w:r>
        <w:rPr>
          <w:rFonts w:hint="eastAsia"/>
          <w:color w:val="000000"/>
          <w:highlight w:val="none"/>
        </w:rPr>
        <w:t>b）相对湿度：不大于60%；</w:t>
      </w:r>
    </w:p>
    <w:p>
      <w:pPr>
        <w:pStyle w:val="25"/>
        <w:rPr>
          <w:color w:val="000000"/>
          <w:highlight w:val="none"/>
        </w:rPr>
      </w:pPr>
      <w:r>
        <w:rPr>
          <w:rFonts w:hint="eastAsia"/>
          <w:color w:val="000000"/>
          <w:highlight w:val="none"/>
        </w:rPr>
        <w:t>c）在不低于GB/T</w:t>
      </w:r>
      <w:r>
        <w:rPr>
          <w:color w:val="000000"/>
          <w:highlight w:val="none"/>
        </w:rPr>
        <w:t xml:space="preserve"> </w:t>
      </w:r>
      <w:r>
        <w:rPr>
          <w:rFonts w:hint="eastAsia"/>
          <w:color w:val="000000"/>
          <w:highlight w:val="none"/>
        </w:rPr>
        <w:t>25915.1-2021中</w:t>
      </w:r>
      <w:r>
        <w:rPr>
          <w:color w:val="000000"/>
          <w:highlight w:val="none"/>
        </w:rPr>
        <w:t>5</w:t>
      </w:r>
      <w:r>
        <w:rPr>
          <w:rFonts w:hint="eastAsia"/>
          <w:color w:val="000000"/>
          <w:highlight w:val="none"/>
        </w:rPr>
        <w:t>级情况下；</w:t>
      </w:r>
    </w:p>
    <w:p>
      <w:pPr>
        <w:pStyle w:val="25"/>
        <w:rPr>
          <w:color w:val="000000"/>
          <w:highlight w:val="none"/>
        </w:rPr>
      </w:pPr>
      <w:r>
        <w:rPr>
          <w:color w:val="000000"/>
          <w:highlight w:val="none"/>
        </w:rPr>
        <w:t>d</w:t>
      </w:r>
      <w:r>
        <w:rPr>
          <w:rFonts w:hint="eastAsia"/>
          <w:color w:val="000000"/>
          <w:highlight w:val="none"/>
        </w:rPr>
        <w:t>）仪器应置于无明显振动的环境</w:t>
      </w:r>
      <w:r>
        <w:rPr>
          <w:rFonts w:hint="eastAsia"/>
          <w:color w:val="000000"/>
          <w:highlight w:val="none"/>
        </w:rPr>
        <w:t>。</w:t>
      </w:r>
    </w:p>
    <w:p>
      <w:pPr>
        <w:pStyle w:val="48"/>
        <w:rPr>
          <w:highlight w:val="none"/>
        </w:rPr>
      </w:pPr>
      <w:r>
        <w:rPr>
          <w:rFonts w:hint="eastAsia"/>
          <w:highlight w:val="none"/>
        </w:rPr>
        <w:t>仪器设备</w:t>
      </w:r>
    </w:p>
    <w:p>
      <w:pPr>
        <w:pStyle w:val="45"/>
        <w:spacing w:before="0" w:beforeLines="0" w:after="0" w:afterLines="0"/>
        <w:rPr>
          <w:rFonts w:ascii="宋体" w:eastAsia="宋体"/>
          <w:highlight w:val="none"/>
        </w:rPr>
      </w:pPr>
      <w:r>
        <w:rPr>
          <w:rFonts w:hint="eastAsia" w:ascii="宋体" w:hAnsi="宋体" w:eastAsia="宋体"/>
          <w:highlight w:val="none"/>
        </w:rPr>
        <w:t>全反射X光荧光光谱仪（TXRF仪）应满足如下要求：单色X射线源、测试样品操作装置、能量-色散光度计的X射线探测器和用于本底扣除、峰积分、RSF计算和分析的软件（RSF由仪器制造商开发并存储在仪器计算机程序中），以及一个无氩的分析环境（如1.33</w:t>
      </w:r>
      <w:r>
        <w:rPr>
          <w:rFonts w:ascii="宋体" w:hAnsi="宋体" w:eastAsia="宋体"/>
          <w:highlight w:val="none"/>
          <w:vertAlign w:val="subscript"/>
        </w:rPr>
        <w:t xml:space="preserve"> </w:t>
      </w:r>
      <w:r>
        <w:rPr>
          <w:rFonts w:hint="eastAsia" w:ascii="宋体" w:hAnsi="宋体" w:eastAsia="宋体"/>
          <w:highlight w:val="none"/>
        </w:rPr>
        <w:t>Pa的真空或氦气）组成。能够提供掠射角校准方法及扣除逃逸峰的衰减程序，可去除逃逸峰信号。</w:t>
      </w:r>
    </w:p>
    <w:p>
      <w:pPr>
        <w:pStyle w:val="45"/>
        <w:spacing w:before="0" w:beforeLines="0" w:after="0" w:afterLines="0"/>
        <w:rPr>
          <w:rFonts w:ascii="宋体" w:eastAsia="宋体"/>
          <w:highlight w:val="none"/>
        </w:rPr>
      </w:pPr>
      <w:r>
        <w:rPr>
          <w:rFonts w:hint="eastAsia" w:ascii="宋体" w:hAnsi="宋体" w:eastAsia="宋体"/>
          <w:highlight w:val="none"/>
        </w:rPr>
        <w:t>校准样品的数据系统：能利用统计基础工具进行仪器重复性研究得到的，以确认在仪器的重复性限内仪器是否具有可操作性。</w:t>
      </w:r>
      <w:r>
        <w:rPr>
          <w:rFonts w:hint="eastAsia" w:ascii="宋体" w:hAnsi="宋体" w:eastAsia="宋体"/>
          <w:highlight w:val="none"/>
        </w:rPr>
        <w:t>参见规范性附录A中A.2比较数据系统。</w:t>
      </w:r>
    </w:p>
    <w:p>
      <w:pPr>
        <w:pStyle w:val="48"/>
        <w:rPr>
          <w:highlight w:val="none"/>
        </w:rPr>
      </w:pPr>
      <w:bookmarkStart w:id="23" w:name="OLE_LINK7"/>
      <w:bookmarkStart w:id="24" w:name="OLE_LINK8"/>
      <w:r>
        <w:rPr>
          <w:rFonts w:hint="eastAsia"/>
          <w:highlight w:val="none"/>
        </w:rPr>
        <w:t>样品</w:t>
      </w:r>
    </w:p>
    <w:bookmarkEnd w:id="23"/>
    <w:bookmarkEnd w:id="24"/>
    <w:p>
      <w:pPr>
        <w:pStyle w:val="25"/>
        <w:rPr>
          <w:highlight w:val="none"/>
        </w:rPr>
      </w:pPr>
      <w:r>
        <w:rPr>
          <w:rFonts w:hint="eastAsia"/>
          <w:highlight w:val="none"/>
        </w:rPr>
        <w:t>样品表面应平整、洁净，测试表面应是经过化学机械抛光至镜面状态，或镜面状态上带有氧化层的样品。</w:t>
      </w:r>
    </w:p>
    <w:p>
      <w:pPr>
        <w:pStyle w:val="48"/>
        <w:rPr>
          <w:highlight w:val="none"/>
        </w:rPr>
      </w:pPr>
      <w:r>
        <w:rPr>
          <w:rFonts w:hint="eastAsia"/>
          <w:highlight w:val="none"/>
        </w:rPr>
        <w:t>校准</w:t>
      </w:r>
    </w:p>
    <w:p>
      <w:pPr>
        <w:pStyle w:val="25"/>
        <w:tabs>
          <w:tab w:val="clear" w:pos="4201"/>
          <w:tab w:val="clear" w:pos="9298"/>
        </w:tabs>
        <w:spacing w:before="156" w:beforeLines="50" w:after="156" w:afterLines="50"/>
        <w:ind w:firstLine="0" w:firstLineChars="0"/>
        <w:jc w:val="left"/>
        <w:rPr>
          <w:rFonts w:ascii="黑体" w:hAnsi="黑体" w:eastAsia="黑体"/>
          <w:highlight w:val="none"/>
        </w:rPr>
      </w:pPr>
      <w:r>
        <w:rPr>
          <w:rFonts w:hint="eastAsia" w:ascii="黑体" w:hAnsi="黑体" w:eastAsia="黑体"/>
          <w:highlight w:val="none"/>
        </w:rPr>
        <w:t>9.1校准元素的标定</w:t>
      </w:r>
    </w:p>
    <w:p>
      <w:pPr>
        <w:pStyle w:val="45"/>
        <w:numPr>
          <w:ilvl w:val="0"/>
          <w:numId w:val="0"/>
        </w:numPr>
        <w:spacing w:before="0" w:beforeLines="0" w:after="0" w:afterLines="0"/>
        <w:rPr>
          <w:rFonts w:ascii="宋体" w:hAnsi="宋体" w:eastAsia="宋体"/>
          <w:highlight w:val="none"/>
        </w:rPr>
      </w:pPr>
      <w:r>
        <w:rPr>
          <w:rFonts w:hint="eastAsia" w:hAnsi="黑体"/>
          <w:highlight w:val="none"/>
        </w:rPr>
        <w:t>9.1.1</w:t>
      </w:r>
      <w:r>
        <w:rPr>
          <w:rFonts w:hint="eastAsia" w:ascii="宋体" w:hAnsi="宋体" w:eastAsia="宋体"/>
          <w:highlight w:val="none"/>
        </w:rPr>
        <w:t>校准元素的标定及制定方法应由供需双方协商确定。</w:t>
      </w:r>
    </w:p>
    <w:p>
      <w:pPr>
        <w:pStyle w:val="45"/>
        <w:numPr>
          <w:ilvl w:val="0"/>
          <w:numId w:val="0"/>
        </w:numPr>
        <w:spacing w:before="0" w:beforeLines="0" w:after="0" w:afterLines="0"/>
        <w:rPr>
          <w:rFonts w:ascii="宋体" w:hAnsi="宋体" w:eastAsia="宋体"/>
          <w:highlight w:val="none"/>
        </w:rPr>
      </w:pPr>
      <w:r>
        <w:rPr>
          <w:rFonts w:hint="eastAsia" w:hAnsi="黑体"/>
          <w:highlight w:val="none"/>
        </w:rPr>
        <w:t>9.1.2</w:t>
      </w:r>
      <w:r>
        <w:rPr>
          <w:rFonts w:hint="eastAsia" w:ascii="宋体" w:hAnsi="宋体" w:eastAsia="宋体"/>
          <w:highlight w:val="none"/>
        </w:rPr>
        <w:t>为标定校准元素面密度值，由供需双方协商确定标定校准元素面密度值的方法，见附录B.2。</w:t>
      </w:r>
    </w:p>
    <w:p>
      <w:pPr>
        <w:pStyle w:val="45"/>
        <w:numPr>
          <w:ilvl w:val="0"/>
          <w:numId w:val="0"/>
        </w:numPr>
        <w:spacing w:before="0" w:beforeLines="0" w:after="0" w:afterLines="0"/>
        <w:rPr>
          <w:rFonts w:ascii="宋体" w:hAnsi="宋体" w:eastAsia="宋体"/>
          <w:color w:val="FF0000"/>
          <w:highlight w:val="none"/>
        </w:rPr>
      </w:pPr>
      <w:r>
        <w:rPr>
          <w:rFonts w:hint="eastAsia" w:hAnsi="黑体"/>
          <w:highlight w:val="none"/>
        </w:rPr>
        <w:t>9.1.3</w:t>
      </w:r>
      <w:r>
        <w:rPr>
          <w:rFonts w:hint="eastAsia" w:ascii="宋体" w:hAnsi="宋体" w:eastAsia="宋体"/>
          <w:color w:val="FF0000"/>
          <w:highlight w:val="none"/>
        </w:rPr>
        <w:t xml:space="preserve"> </w:t>
      </w:r>
      <w:r>
        <w:rPr>
          <w:rFonts w:hint="eastAsia" w:ascii="宋体" w:hAnsi="宋体" w:eastAsia="宋体"/>
          <w:highlight w:val="none"/>
        </w:rPr>
        <w:t>T</w:t>
      </w:r>
      <w:r>
        <w:rPr>
          <w:rFonts w:ascii="宋体" w:hAnsi="宋体" w:eastAsia="宋体"/>
          <w:highlight w:val="none"/>
        </w:rPr>
        <w:t>XRF</w:t>
      </w:r>
      <w:r>
        <w:rPr>
          <w:rFonts w:hint="eastAsia" w:ascii="宋体" w:hAnsi="宋体" w:eastAsia="宋体"/>
          <w:highlight w:val="none"/>
        </w:rPr>
        <w:t>仪检测的其他元素的标定测试应通过事先确定并存储于设备程序中的相对灵敏度因子R</w:t>
      </w:r>
      <w:r>
        <w:rPr>
          <w:rFonts w:ascii="宋体" w:hAnsi="宋体" w:eastAsia="宋体"/>
          <w:highlight w:val="none"/>
        </w:rPr>
        <w:t>SF</w:t>
      </w:r>
      <w:r>
        <w:rPr>
          <w:rFonts w:hint="eastAsia" w:ascii="宋体" w:hAnsi="宋体" w:eastAsia="宋体"/>
          <w:highlight w:val="none"/>
        </w:rPr>
        <w:t>完成。R</w:t>
      </w:r>
      <w:r>
        <w:rPr>
          <w:rFonts w:ascii="宋体" w:hAnsi="宋体" w:eastAsia="宋体"/>
          <w:highlight w:val="none"/>
        </w:rPr>
        <w:t>SF</w:t>
      </w:r>
      <w:r>
        <w:rPr>
          <w:rFonts w:hint="eastAsia" w:ascii="宋体" w:hAnsi="宋体" w:eastAsia="宋体"/>
          <w:highlight w:val="none"/>
        </w:rPr>
        <w:t>是X射线源能量、产生荧光元素的原子序数以及荧光能量水平的函数，因此，如果X射线源能量改变，R</w:t>
      </w:r>
      <w:r>
        <w:rPr>
          <w:rFonts w:ascii="宋体" w:hAnsi="宋体" w:eastAsia="宋体"/>
          <w:highlight w:val="none"/>
        </w:rPr>
        <w:t>SF</w:t>
      </w:r>
      <w:r>
        <w:rPr>
          <w:rFonts w:hint="eastAsia" w:ascii="宋体" w:hAnsi="宋体" w:eastAsia="宋体"/>
          <w:highlight w:val="none"/>
        </w:rPr>
        <w:t>应使用不同的设置。</w:t>
      </w:r>
    </w:p>
    <w:p>
      <w:pPr>
        <w:pStyle w:val="25"/>
        <w:tabs>
          <w:tab w:val="clear" w:pos="4201"/>
          <w:tab w:val="clear" w:pos="9298"/>
        </w:tabs>
        <w:spacing w:before="156" w:beforeLines="50" w:after="156" w:afterLines="50"/>
        <w:ind w:firstLine="0" w:firstLineChars="0"/>
        <w:jc w:val="left"/>
        <w:rPr>
          <w:rFonts w:ascii="黑体" w:hAnsi="黑体" w:eastAsia="黑体"/>
          <w:highlight w:val="none"/>
        </w:rPr>
      </w:pPr>
      <w:r>
        <w:rPr>
          <w:rFonts w:hint="eastAsia" w:ascii="黑体" w:hAnsi="黑体" w:eastAsia="黑体"/>
          <w:highlight w:val="none"/>
        </w:rPr>
        <w:t>9.2设备校准</w:t>
      </w:r>
    </w:p>
    <w:p>
      <w:pPr>
        <w:pStyle w:val="45"/>
        <w:numPr>
          <w:ilvl w:val="0"/>
          <w:numId w:val="0"/>
        </w:numPr>
        <w:spacing w:before="0" w:beforeLines="0" w:after="0" w:afterLines="0"/>
        <w:rPr>
          <w:rFonts w:ascii="宋体" w:hAnsi="宋体" w:eastAsia="宋体"/>
          <w:highlight w:val="none"/>
        </w:rPr>
      </w:pPr>
      <w:r>
        <w:rPr>
          <w:rFonts w:hint="eastAsia" w:hAnsi="黑体"/>
          <w:highlight w:val="none"/>
        </w:rPr>
        <w:t>9.2.1</w:t>
      </w:r>
      <w:r>
        <w:rPr>
          <w:rFonts w:hint="eastAsia" w:ascii="宋体" w:hAnsi="宋体" w:eastAsia="宋体"/>
          <w:highlight w:val="none"/>
        </w:rPr>
        <w:t>将校准样品放入TXRF仪。</w:t>
      </w:r>
    </w:p>
    <w:p>
      <w:pPr>
        <w:pStyle w:val="45"/>
        <w:numPr>
          <w:ilvl w:val="0"/>
          <w:numId w:val="0"/>
        </w:numPr>
        <w:spacing w:before="0" w:beforeLines="0" w:after="0" w:afterLines="0"/>
        <w:jc w:val="both"/>
        <w:rPr>
          <w:rFonts w:ascii="宋体" w:hAnsi="宋体" w:eastAsia="宋体"/>
          <w:highlight w:val="none"/>
        </w:rPr>
      </w:pPr>
      <w:r>
        <w:rPr>
          <w:rFonts w:hint="eastAsia" w:hAnsi="黑体"/>
          <w:highlight w:val="none"/>
        </w:rPr>
        <w:t>9.2.2</w:t>
      </w:r>
      <w:r>
        <w:rPr>
          <w:rFonts w:hint="eastAsia" w:ascii="宋体" w:hAnsi="宋体" w:eastAsia="宋体"/>
          <w:highlight w:val="none"/>
        </w:rPr>
        <w:t>选择与测试样品相同的X射线源电压、电流和掠射角，测试校准样品上标定元素的TXRF谱，校准样品和测试样品的测试时间、分析室的环境（真空、气体、氮或氦等））可不同。</w:t>
      </w:r>
    </w:p>
    <w:p>
      <w:pPr>
        <w:pStyle w:val="45"/>
        <w:numPr>
          <w:ilvl w:val="0"/>
          <w:numId w:val="0"/>
        </w:numPr>
        <w:spacing w:before="0" w:beforeLines="0" w:after="0" w:afterLines="0"/>
        <w:jc w:val="both"/>
        <w:rPr>
          <w:rFonts w:hint="eastAsia" w:ascii="宋体" w:hAnsi="宋体" w:eastAsia="宋体"/>
          <w:highlight w:val="none"/>
        </w:rPr>
      </w:pPr>
      <w:r>
        <w:rPr>
          <w:rFonts w:hint="eastAsia" w:hAnsi="黑体"/>
          <w:highlight w:val="none"/>
        </w:rPr>
        <w:t>9.2.3</w:t>
      </w:r>
      <w:r>
        <w:rPr>
          <w:rFonts w:hint="eastAsia" w:ascii="宋体" w:hAnsi="宋体" w:eastAsia="宋体"/>
          <w:highlight w:val="none"/>
        </w:rPr>
        <w:t>掠射角的设定及校准</w:t>
      </w:r>
    </w:p>
    <w:p>
      <w:pPr>
        <w:pStyle w:val="45"/>
        <w:numPr>
          <w:ilvl w:val="0"/>
          <w:numId w:val="0"/>
        </w:numPr>
        <w:spacing w:before="0" w:beforeLines="0" w:after="0" w:afterLines="0"/>
        <w:jc w:val="both"/>
        <w:rPr>
          <w:rFonts w:ascii="宋体" w:hAnsi="宋体" w:eastAsia="宋体"/>
          <w:highlight w:val="none"/>
        </w:rPr>
      </w:pPr>
      <w:r>
        <w:rPr>
          <w:rFonts w:hint="eastAsia" w:hAnsi="黑体"/>
          <w:highlight w:val="none"/>
        </w:rPr>
        <w:t>9.2.3.1</w:t>
      </w:r>
      <w:r>
        <w:rPr>
          <w:rFonts w:hint="eastAsia" w:ascii="宋体" w:hAnsi="宋体" w:eastAsia="宋体"/>
          <w:highlight w:val="none"/>
        </w:rPr>
        <w:t>全反射临界角的近似计算方法如式（1）所示：</w:t>
      </w:r>
    </w:p>
    <w:p>
      <w:pPr>
        <w:pStyle w:val="25"/>
        <w:ind w:firstLine="3360" w:firstLineChars="1600"/>
        <w:rPr>
          <w:highlight w:val="none"/>
        </w:rPr>
      </w:pPr>
      <m:oMath>
        <m:sSub>
          <m:sSubPr>
            <m:ctrlPr>
              <w:rPr>
                <w:rFonts w:ascii="Cambria Math" w:hAnsi="Cambria Math"/>
                <w:i/>
                <w:highlight w:val="none"/>
              </w:rPr>
            </m:ctrlPr>
          </m:sSubPr>
          <m:e>
            <m:r>
              <m:rPr/>
              <w:rPr>
                <w:rFonts w:ascii="Cambria Math" w:hAnsi="Cambria Math"/>
                <w:highlight w:val="none"/>
              </w:rPr>
              <m:t>∅</m:t>
            </m:r>
            <m:ctrlPr>
              <w:rPr>
                <w:rFonts w:ascii="Cambria Math" w:hAnsi="Cambria Math"/>
                <w:i/>
                <w:highlight w:val="none"/>
              </w:rPr>
            </m:ctrlPr>
          </m:e>
          <m:sub>
            <m:r>
              <m:rPr/>
              <w:rPr>
                <w:rFonts w:hint="eastAsia" w:ascii="Cambria Math" w:hAnsi="Cambria Math"/>
                <w:highlight w:val="none"/>
              </w:rPr>
              <m:t>c</m:t>
            </m:r>
            <m:ctrlPr>
              <w:rPr>
                <w:rFonts w:ascii="Cambria Math" w:hAnsi="Cambria Math"/>
                <w:i/>
                <w:highlight w:val="none"/>
              </w:rPr>
            </m:ctrlPr>
          </m:sub>
        </m:sSub>
        <m:r>
          <m:rPr/>
          <w:rPr>
            <w:rFonts w:hint="eastAsia" w:ascii="Cambria Math" w:hAnsi="Cambria Math"/>
            <w:highlight w:val="none"/>
          </w:rPr>
          <m:t>=</m:t>
        </m:r>
        <m:r>
          <m:rPr/>
          <w:rPr>
            <w:rFonts w:ascii="Cambria Math" w:hAnsi="Cambria Math"/>
            <w:highlight w:val="none"/>
          </w:rPr>
          <m:t>1.64×</m:t>
        </m:r>
        <m:rad>
          <m:radPr>
            <m:degHide m:val="1"/>
            <m:ctrlPr>
              <w:rPr>
                <w:rFonts w:ascii="Cambria Math" w:hAnsi="Cambria Math"/>
                <w:i/>
                <w:highlight w:val="none"/>
              </w:rPr>
            </m:ctrlPr>
          </m:radPr>
          <m:deg>
            <m:ctrlPr>
              <w:rPr>
                <w:rFonts w:ascii="Cambria Math" w:hAnsi="Cambria Math"/>
                <w:i/>
                <w:highlight w:val="none"/>
              </w:rPr>
            </m:ctrlPr>
          </m:deg>
          <m:e>
            <m:r>
              <m:rPr/>
              <w:rPr>
                <w:rFonts w:ascii="Cambria Math" w:hAnsi="Cambria Math"/>
                <w:highlight w:val="none"/>
              </w:rPr>
              <m:t>ρ</m:t>
            </m:r>
            <m:ctrlPr>
              <w:rPr>
                <w:rFonts w:ascii="Cambria Math" w:hAnsi="Cambria Math"/>
                <w:i/>
                <w:highlight w:val="none"/>
              </w:rPr>
            </m:ctrlPr>
          </m:e>
        </m:rad>
        <m:r>
          <m:rPr/>
          <w:rPr>
            <w:rFonts w:ascii="Cambria Math" w:hAnsi="Cambria Math"/>
            <w:highlight w:val="none"/>
          </w:rPr>
          <m:t>×</m:t>
        </m:r>
        <m:f>
          <m:fPr>
            <m:ctrlPr>
              <w:rPr>
                <w:rFonts w:ascii="Cambria Math" w:hAnsi="Cambria Math"/>
                <w:i/>
                <w:highlight w:val="none"/>
              </w:rPr>
            </m:ctrlPr>
          </m:fPr>
          <m:num>
            <m:r>
              <m:rPr/>
              <w:rPr>
                <w:rFonts w:ascii="Cambria Math" w:hAnsi="Cambria Math"/>
                <w:highlight w:val="none"/>
              </w:rPr>
              <m:t>12.396</m:t>
            </m:r>
            <m:ctrlPr>
              <w:rPr>
                <w:rFonts w:ascii="Cambria Math" w:hAnsi="Cambria Math"/>
                <w:i/>
                <w:highlight w:val="none"/>
              </w:rPr>
            </m:ctrlPr>
          </m:num>
          <m:den>
            <m:r>
              <m:rPr/>
              <w:rPr>
                <w:rFonts w:ascii="Cambria Math" w:hAnsi="Cambria Math"/>
                <w:highlight w:val="none"/>
              </w:rPr>
              <m:t>E</m:t>
            </m:r>
            <m:ctrlPr>
              <w:rPr>
                <w:rFonts w:ascii="Cambria Math" w:hAnsi="Cambria Math"/>
                <w:i/>
                <w:highlight w:val="none"/>
              </w:rPr>
            </m:ctrlPr>
          </m:den>
        </m:f>
        <m:r>
          <m:rPr/>
          <w:rPr>
            <w:rFonts w:ascii="Cambria Math" w:hAnsi="Cambria Math"/>
            <w:highlight w:val="none"/>
          </w:rPr>
          <m:t>×</m:t>
        </m:r>
        <m:sSup>
          <m:sSupPr>
            <m:ctrlPr>
              <w:rPr>
                <w:rFonts w:ascii="Cambria Math" w:hAnsi="Cambria Math"/>
                <w:i/>
                <w:highlight w:val="none"/>
              </w:rPr>
            </m:ctrlPr>
          </m:sSupPr>
          <m:e>
            <m:r>
              <m:rPr/>
              <w:rPr>
                <w:rFonts w:ascii="Cambria Math" w:hAnsi="Cambria Math"/>
                <w:highlight w:val="none"/>
              </w:rPr>
              <m:t>10</m:t>
            </m:r>
            <m:ctrlPr>
              <w:rPr>
                <w:rFonts w:ascii="Cambria Math" w:hAnsi="Cambria Math"/>
                <w:i/>
                <w:highlight w:val="none"/>
              </w:rPr>
            </m:ctrlPr>
          </m:e>
          <m:sup>
            <m:r>
              <m:rPr/>
              <w:rPr>
                <w:rFonts w:hint="eastAsia" w:ascii="微软雅黑" w:hAnsi="微软雅黑" w:eastAsia="微软雅黑" w:cs="微软雅黑"/>
                <w:highlight w:val="none"/>
              </w:rPr>
              <m:t>−</m:t>
            </m:r>
            <m:r>
              <m:rPr/>
              <w:rPr>
                <w:rFonts w:ascii="Cambria Math" w:hAnsi="Cambria Math"/>
                <w:highlight w:val="none"/>
              </w:rPr>
              <m:t>3</m:t>
            </m:r>
            <m:ctrlPr>
              <w:rPr>
                <w:rFonts w:ascii="Cambria Math" w:hAnsi="Cambria Math"/>
                <w:i/>
                <w:highlight w:val="none"/>
              </w:rPr>
            </m:ctrlPr>
          </m:sup>
        </m:sSup>
        <m:r>
          <m:rPr/>
          <w:rPr>
            <w:rFonts w:ascii="Cambria Math" w:hAnsi="Cambria Math"/>
            <w:highlight w:val="none"/>
          </w:rPr>
          <m:t>×</m:t>
        </m:r>
        <m:f>
          <m:fPr>
            <m:ctrlPr>
              <w:rPr>
                <w:rFonts w:ascii="Cambria Math" w:hAnsi="Cambria Math"/>
                <w:i/>
                <w:highlight w:val="none"/>
              </w:rPr>
            </m:ctrlPr>
          </m:fPr>
          <m:num>
            <m:r>
              <m:rPr/>
              <w:rPr>
                <w:rFonts w:ascii="Cambria Math" w:hAnsi="Cambria Math"/>
                <w:highlight w:val="none"/>
              </w:rPr>
              <m:t>180</m:t>
            </m:r>
            <m:ctrlPr>
              <w:rPr>
                <w:rFonts w:ascii="Cambria Math" w:hAnsi="Cambria Math"/>
                <w:i/>
                <w:highlight w:val="none"/>
              </w:rPr>
            </m:ctrlPr>
          </m:num>
          <m:den>
            <m:r>
              <m:rPr/>
              <w:rPr>
                <w:rFonts w:ascii="Cambria Math" w:hAnsi="Cambria Math"/>
                <w:highlight w:val="none"/>
              </w:rPr>
              <m:t>π</m:t>
            </m:r>
            <m:ctrlPr>
              <w:rPr>
                <w:rFonts w:ascii="Cambria Math" w:hAnsi="Cambria Math"/>
                <w:i/>
                <w:highlight w:val="none"/>
              </w:rPr>
            </m:ctrlPr>
          </m:den>
        </m:f>
      </m:oMath>
      <w:r>
        <w:rPr>
          <w:highlight w:val="none"/>
        </w:rPr>
        <w:t>…………………………</w:t>
      </w:r>
      <w:r>
        <w:rPr>
          <w:rFonts w:hint="eastAsia"/>
          <w:highlight w:val="none"/>
        </w:rPr>
        <w:t>（1）</w:t>
      </w:r>
    </w:p>
    <w:p>
      <w:pPr>
        <w:pStyle w:val="25"/>
        <w:jc w:val="left"/>
        <w:rPr>
          <w:highlight w:val="none"/>
        </w:rPr>
      </w:pPr>
      <w:r>
        <w:rPr>
          <w:rFonts w:hint="eastAsia"/>
          <w:highlight w:val="none"/>
        </w:rPr>
        <w:t>式中：</w:t>
      </w:r>
    </w:p>
    <w:p>
      <w:pPr>
        <w:pStyle w:val="25"/>
        <w:jc w:val="left"/>
        <w:rPr>
          <w:highlight w:val="none"/>
        </w:rPr>
      </w:pPr>
      <w:r>
        <w:rPr>
          <w:rFonts w:hint="eastAsia" w:hAnsi="宋体"/>
          <w:i/>
          <w:highlight w:val="none"/>
        </w:rPr>
        <w:t>Φ</w:t>
      </w:r>
      <w:r>
        <w:rPr>
          <w:highlight w:val="none"/>
          <w:vertAlign w:val="subscript"/>
        </w:rPr>
        <w:t>c</w:t>
      </w:r>
      <w:r>
        <w:rPr>
          <w:highlight w:val="none"/>
        </w:rPr>
        <w:t xml:space="preserve"> _____</w:t>
      </w:r>
      <w:r>
        <w:rPr>
          <w:rFonts w:hint="eastAsia"/>
          <w:highlight w:val="none"/>
        </w:rPr>
        <w:t>全反射的临界角，单位为度（°）；</w:t>
      </w:r>
    </w:p>
    <w:p>
      <w:pPr>
        <w:pStyle w:val="25"/>
        <w:jc w:val="left"/>
        <w:rPr>
          <w:rFonts w:hAnsi="宋体"/>
          <w:i/>
          <w:iCs/>
          <w:highlight w:val="none"/>
        </w:rPr>
      </w:pPr>
      <w:r>
        <w:rPr>
          <w:rFonts w:hint="eastAsia" w:hAnsi="宋体"/>
          <w:i/>
          <w:iCs/>
          <w:highlight w:val="none"/>
        </w:rPr>
        <w:t xml:space="preserve">ρ </w:t>
      </w:r>
      <w:r>
        <w:rPr>
          <w:rFonts w:hint="eastAsia" w:hAnsi="宋体"/>
          <w:highlight w:val="none"/>
        </w:rPr>
        <w:t>_</w:t>
      </w:r>
      <w:r>
        <w:rPr>
          <w:rFonts w:hAnsi="宋体"/>
          <w:highlight w:val="none"/>
        </w:rPr>
        <w:t>____</w:t>
      </w:r>
      <w:r>
        <w:rPr>
          <w:rFonts w:hAnsi="宋体"/>
          <w:highlight w:val="none"/>
        </w:rPr>
        <w:t>样品表面材料</w:t>
      </w:r>
      <w:r>
        <w:rPr>
          <w:rFonts w:hAnsi="宋体"/>
          <w:highlight w:val="none"/>
        </w:rPr>
        <w:t>的密度</w:t>
      </w:r>
      <w:r>
        <w:rPr>
          <w:rFonts w:hint="eastAsia" w:hAnsi="宋体"/>
          <w:highlight w:val="none"/>
        </w:rPr>
        <w:t>，单位为克每立方厘米（g/cm</w:t>
      </w:r>
      <w:r>
        <w:rPr>
          <w:rFonts w:hAnsi="宋体"/>
          <w:highlight w:val="none"/>
          <w:vertAlign w:val="superscript"/>
        </w:rPr>
        <w:t>3</w:t>
      </w:r>
      <w:r>
        <w:rPr>
          <w:rFonts w:hint="eastAsia" w:hAnsi="宋体"/>
          <w:highlight w:val="none"/>
        </w:rPr>
        <w:t>）；</w:t>
      </w:r>
    </w:p>
    <w:p>
      <w:pPr>
        <w:pStyle w:val="25"/>
        <w:jc w:val="left"/>
        <w:rPr>
          <w:b/>
          <w:bCs/>
          <w:highlight w:val="none"/>
        </w:rPr>
      </w:pPr>
      <w:r>
        <w:rPr>
          <w:rFonts w:hAnsi="宋体"/>
          <w:i/>
          <w:iCs/>
          <w:highlight w:val="none"/>
        </w:rPr>
        <w:t xml:space="preserve">E </w:t>
      </w:r>
      <w:r>
        <w:rPr>
          <w:rFonts w:hint="eastAsia" w:hAnsi="宋体"/>
          <w:highlight w:val="none"/>
        </w:rPr>
        <w:t>_</w:t>
      </w:r>
      <w:r>
        <w:rPr>
          <w:rFonts w:hAnsi="宋体"/>
          <w:highlight w:val="none"/>
        </w:rPr>
        <w:t>_____X</w:t>
      </w:r>
      <w:r>
        <w:rPr>
          <w:rFonts w:hint="eastAsia" w:hAnsi="宋体"/>
          <w:highlight w:val="none"/>
        </w:rPr>
        <w:t>射线的</w:t>
      </w:r>
      <w:r>
        <w:rPr>
          <w:rFonts w:hint="eastAsia" w:hAnsi="宋体"/>
          <w:highlight w:val="none"/>
        </w:rPr>
        <w:t>激发</w:t>
      </w:r>
      <w:r>
        <w:rPr>
          <w:rFonts w:hint="eastAsia" w:hAnsi="宋体"/>
          <w:highlight w:val="none"/>
        </w:rPr>
        <w:t>能，单位为千电子伏特（ke</w:t>
      </w:r>
      <w:r>
        <w:rPr>
          <w:rFonts w:hAnsi="宋体"/>
          <w:highlight w:val="none"/>
        </w:rPr>
        <w:t>V</w:t>
      </w:r>
      <w:r>
        <w:rPr>
          <w:rFonts w:hint="eastAsia" w:hAnsi="宋体"/>
          <w:highlight w:val="none"/>
        </w:rPr>
        <w:t>）。</w:t>
      </w:r>
    </w:p>
    <w:p>
      <w:pPr>
        <w:pStyle w:val="45"/>
        <w:numPr>
          <w:ilvl w:val="0"/>
          <w:numId w:val="0"/>
        </w:numPr>
        <w:spacing w:before="0" w:beforeLines="0" w:after="0" w:afterLines="0"/>
        <w:jc w:val="both"/>
        <w:rPr>
          <w:rFonts w:ascii="宋体" w:hAnsi="宋体" w:eastAsia="宋体"/>
          <w:highlight w:val="none"/>
        </w:rPr>
      </w:pPr>
      <w:r>
        <w:rPr>
          <w:rFonts w:hint="eastAsia" w:hAnsi="黑体"/>
          <w:highlight w:val="none"/>
        </w:rPr>
        <w:t>9.2.3,2</w:t>
      </w:r>
      <w:r>
        <w:rPr>
          <w:rFonts w:hint="eastAsia" w:ascii="宋体" w:hAnsi="宋体" w:eastAsia="宋体"/>
          <w:highlight w:val="none"/>
        </w:rPr>
        <w:t>也可根据对被测样品进行角扫描得到的曲线与图2中的曲线进行相似比较，根据被测样品中主要金属沾污类型设置临界角的25%～80％作为掠射角。</w:t>
      </w:r>
    </w:p>
    <w:p>
      <w:pPr>
        <w:pStyle w:val="25"/>
        <w:spacing w:before="156" w:beforeLines="50" w:after="156" w:afterLines="50"/>
        <w:ind w:firstLine="0" w:firstLineChars="0"/>
        <w:jc w:val="center"/>
        <w:rPr>
          <w:szCs w:val="21"/>
          <w:highlight w:val="none"/>
        </w:rPr>
      </w:pPr>
      <w:r>
        <w:rPr>
          <w:rFonts w:hint="eastAsia"/>
          <w:szCs w:val="21"/>
          <w:highlight w:val="none"/>
        </w:rPr>
        <w:drawing>
          <wp:inline distT="0" distB="0" distL="0" distR="0">
            <wp:extent cx="2589530" cy="36728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589530" cy="3672840"/>
                    </a:xfrm>
                    <a:prstGeom prst="rect">
                      <a:avLst/>
                    </a:prstGeom>
                    <a:noFill/>
                    <a:ln>
                      <a:noFill/>
                    </a:ln>
                  </pic:spPr>
                </pic:pic>
              </a:graphicData>
            </a:graphic>
          </wp:inline>
        </w:drawing>
      </w:r>
    </w:p>
    <w:p>
      <w:pPr>
        <w:pStyle w:val="25"/>
        <w:ind w:firstLine="0" w:firstLineChars="0"/>
        <w:jc w:val="center"/>
        <w:rPr>
          <w:rFonts w:hAnsi="宋体" w:cs="黑体"/>
          <w:sz w:val="18"/>
          <w:szCs w:val="21"/>
          <w:highlight w:val="none"/>
        </w:rPr>
      </w:pPr>
      <w:r>
        <w:rPr>
          <w:rFonts w:hint="eastAsia" w:hAnsi="宋体"/>
          <w:sz w:val="18"/>
          <w:szCs w:val="21"/>
          <w:highlight w:val="none"/>
        </w:rPr>
        <w:t>电镀或溅射镍亚原子层（</w:t>
      </w:r>
      <w:r>
        <w:rPr>
          <w:rFonts w:hint="eastAsia" w:hAnsi="宋体"/>
          <w:sz w:val="15"/>
          <w:szCs w:val="21"/>
          <w:highlight w:val="none"/>
        </w:rPr>
        <w:t>△</w:t>
      </w:r>
      <w:r>
        <w:rPr>
          <w:rFonts w:hint="eastAsia" w:hAnsi="宋体"/>
          <w:sz w:val="18"/>
          <w:szCs w:val="21"/>
          <w:highlight w:val="none"/>
        </w:rPr>
        <w:t>）；蒸发镍盐溶液（o）；硅衬底（</w:t>
      </w:r>
      <w:r>
        <w:rPr>
          <w:rFonts w:hint="eastAsia" w:hAnsi="宋体" w:cs="宋体"/>
          <w:sz w:val="18"/>
          <w:szCs w:val="21"/>
          <w:highlight w:val="none"/>
        </w:rPr>
        <w:t>•</w:t>
      </w:r>
      <w:r>
        <w:rPr>
          <w:rFonts w:hint="eastAsia" w:hAnsi="宋体" w:cs="黑体"/>
          <w:sz w:val="18"/>
          <w:szCs w:val="21"/>
          <w:highlight w:val="none"/>
        </w:rPr>
        <w:t>）</w:t>
      </w:r>
    </w:p>
    <w:p>
      <w:pPr>
        <w:pStyle w:val="25"/>
        <w:ind w:firstLine="0" w:firstLineChars="0"/>
        <w:rPr>
          <w:sz w:val="18"/>
          <w:szCs w:val="18"/>
          <w:highlight w:val="none"/>
        </w:rPr>
      </w:pPr>
      <w:r>
        <w:rPr>
          <w:rFonts w:hint="eastAsia"/>
          <w:sz w:val="18"/>
          <w:szCs w:val="18"/>
          <w:highlight w:val="none"/>
        </w:rPr>
        <w:t>标引序号说明：</w:t>
      </w:r>
    </w:p>
    <w:p>
      <w:pPr>
        <w:pStyle w:val="25"/>
        <w:ind w:firstLine="0" w:firstLineChars="0"/>
        <w:rPr>
          <w:sz w:val="18"/>
          <w:szCs w:val="18"/>
          <w:highlight w:val="none"/>
        </w:rPr>
      </w:pPr>
      <w:r>
        <w:rPr>
          <w:rFonts w:hint="eastAsia"/>
          <w:sz w:val="18"/>
          <w:szCs w:val="18"/>
          <w:highlight w:val="none"/>
        </w:rPr>
        <w:t>a——残留物；</w:t>
      </w:r>
    </w:p>
    <w:p>
      <w:pPr>
        <w:pStyle w:val="25"/>
        <w:ind w:firstLine="0" w:firstLineChars="0"/>
        <w:rPr>
          <w:sz w:val="18"/>
          <w:szCs w:val="18"/>
          <w:highlight w:val="none"/>
        </w:rPr>
      </w:pPr>
      <w:r>
        <w:rPr>
          <w:rFonts w:hint="eastAsia"/>
          <w:sz w:val="18"/>
          <w:szCs w:val="18"/>
          <w:highlight w:val="none"/>
        </w:rPr>
        <w:t>b——薄膜中；</w:t>
      </w:r>
    </w:p>
    <w:p>
      <w:pPr>
        <w:pStyle w:val="25"/>
        <w:ind w:firstLine="0" w:firstLineChars="0"/>
        <w:rPr>
          <w:sz w:val="18"/>
          <w:szCs w:val="18"/>
          <w:highlight w:val="none"/>
        </w:rPr>
      </w:pPr>
      <w:r>
        <w:rPr>
          <w:rFonts w:hint="eastAsia"/>
          <w:sz w:val="18"/>
          <w:szCs w:val="18"/>
          <w:highlight w:val="none"/>
        </w:rPr>
        <w:t>c——</w:t>
      </w:r>
      <w:r>
        <w:rPr>
          <w:rFonts w:hint="eastAsia" w:hAnsi="宋体"/>
          <w:sz w:val="18"/>
          <w:szCs w:val="18"/>
          <w:highlight w:val="none"/>
        </w:rPr>
        <w:t>衬底</w:t>
      </w:r>
      <w:r>
        <w:rPr>
          <w:rFonts w:hint="eastAsia"/>
          <w:sz w:val="18"/>
          <w:szCs w:val="18"/>
          <w:highlight w:val="none"/>
        </w:rPr>
        <w:t>；</w:t>
      </w:r>
    </w:p>
    <w:p>
      <w:pPr>
        <w:pStyle w:val="25"/>
        <w:ind w:firstLine="0" w:firstLineChars="0"/>
        <w:rPr>
          <w:sz w:val="18"/>
          <w:szCs w:val="18"/>
          <w:highlight w:val="none"/>
        </w:rPr>
      </w:pPr>
      <w:r>
        <w:rPr>
          <w:rFonts w:hint="eastAsia"/>
          <w:sz w:val="18"/>
          <w:szCs w:val="18"/>
          <w:highlight w:val="none"/>
        </w:rPr>
        <w:t>d——</w:t>
      </w:r>
      <w:r>
        <w:rPr>
          <w:rFonts w:hint="eastAsia" w:hAnsi="宋体"/>
          <w:sz w:val="18"/>
          <w:szCs w:val="18"/>
          <w:highlight w:val="none"/>
        </w:rPr>
        <w:t>φ</w:t>
      </w:r>
      <w:r>
        <w:rPr>
          <w:rFonts w:hint="eastAsia"/>
          <w:sz w:val="18"/>
          <w:szCs w:val="18"/>
          <w:highlight w:val="none"/>
        </w:rPr>
        <w:t>临界角。</w:t>
      </w:r>
    </w:p>
    <w:p>
      <w:pPr>
        <w:pStyle w:val="131"/>
        <w:numPr>
          <w:ilvl w:val="0"/>
          <w:numId w:val="0"/>
        </w:numPr>
        <w:rPr>
          <w:highlight w:val="none"/>
        </w:rPr>
      </w:pPr>
      <w:r>
        <w:rPr>
          <w:rFonts w:hint="eastAsia"/>
          <w:highlight w:val="none"/>
        </w:rPr>
        <w:t>图2  入射角度与相对荧光强度的试验曲线</w:t>
      </w:r>
    </w:p>
    <w:p>
      <w:pPr>
        <w:pStyle w:val="25"/>
        <w:rPr>
          <w:rFonts w:hint="eastAsia"/>
          <w:highlight w:val="none"/>
        </w:rPr>
      </w:pPr>
      <w:r>
        <w:rPr>
          <w:rFonts w:hint="eastAsia"/>
          <w:highlight w:val="none"/>
        </w:rPr>
        <w:t>以图2中硅为例，如果角扫描曲线与图2中曲线a（残留物）相似，为颗粒型沾污，选择低于临界角的85%作为掠射角；如果角扫描与图2中曲线b（薄膜中）相似，则选择低于临界角的70%</w:t>
      </w:r>
      <w:r>
        <w:rPr>
          <w:rFonts w:hint="eastAsia" w:hAnsi="宋体"/>
          <w:highlight w:val="none"/>
          <w:vertAlign w:val="subscript"/>
        </w:rPr>
        <w:t>~</w:t>
      </w:r>
      <w:r>
        <w:rPr>
          <w:rFonts w:hint="eastAsia"/>
          <w:highlight w:val="none"/>
        </w:rPr>
        <w:t>80%作为掠射角。当考虑到实际情况兼顾两种类型的沾污都存在时，选择图2中曲线a和曲线b的交叉点（约为1.3mrad）。</w:t>
      </w:r>
    </w:p>
    <w:p>
      <w:pPr>
        <w:pStyle w:val="45"/>
        <w:numPr>
          <w:ilvl w:val="0"/>
          <w:numId w:val="0"/>
        </w:numPr>
        <w:spacing w:before="0" w:beforeLines="0" w:after="0" w:afterLines="0"/>
        <w:jc w:val="both"/>
        <w:rPr>
          <w:rFonts w:ascii="宋体" w:hAnsi="宋体" w:eastAsia="宋体"/>
          <w:highlight w:val="none"/>
        </w:rPr>
      </w:pPr>
      <w:r>
        <w:rPr>
          <w:rFonts w:hint="eastAsia" w:hAnsi="黑体"/>
          <w:highlight w:val="none"/>
        </w:rPr>
        <w:t>9.2.5</w:t>
      </w:r>
      <w:r>
        <w:rPr>
          <w:rFonts w:hint="eastAsia" w:ascii="宋体" w:hAnsi="宋体" w:eastAsia="宋体"/>
          <w:highlight w:val="none"/>
        </w:rPr>
        <w:t>没有测到元素沾污的晶片作为一个空白样品，每一个没有测到特别关注元素的晶片组成一系列特定元素的空白样品。对所有</w:t>
      </w:r>
      <w:r>
        <w:rPr>
          <w:rFonts w:hint="eastAsia" w:ascii="宋体" w:hAnsi="宋体" w:eastAsia="宋体"/>
          <w:highlight w:val="none"/>
        </w:rPr>
        <w:t>关注</w:t>
      </w:r>
      <w:r>
        <w:rPr>
          <w:rFonts w:hint="eastAsia" w:ascii="宋体" w:hAnsi="宋体" w:eastAsia="宋体"/>
          <w:highlight w:val="none"/>
        </w:rPr>
        <w:t>元素，在相同的</w:t>
      </w:r>
      <w:r>
        <w:rPr>
          <w:rFonts w:hint="eastAsia" w:ascii="宋体" w:hAnsi="宋体" w:eastAsia="宋体"/>
          <w:highlight w:val="none"/>
        </w:rPr>
        <w:t>测试</w:t>
      </w:r>
      <w:r>
        <w:rPr>
          <w:rFonts w:hint="eastAsia" w:ascii="宋体" w:hAnsi="宋体" w:eastAsia="宋体"/>
          <w:highlight w:val="none"/>
        </w:rPr>
        <w:t>条件下，用TXRF法做三次测试，验证没有设备的本底信号则形成它们的共同空白。图3为所有元素的空白（除硫外）示例。</w:t>
      </w:r>
    </w:p>
    <w:p>
      <w:pPr>
        <w:pStyle w:val="131"/>
        <w:numPr>
          <w:ilvl w:val="0"/>
          <w:numId w:val="0"/>
        </w:numPr>
        <w:rPr>
          <w:highlight w:val="none"/>
        </w:rPr>
      </w:pPr>
      <w:bookmarkStart w:id="25" w:name="OLE_LINK1"/>
      <w:bookmarkStart w:id="26" w:name="OLE_LINK2"/>
      <w:r>
        <w:rPr>
          <w:rFonts w:hint="eastAsia"/>
          <w:highlight w:val="none"/>
        </w:rPr>
        <w:drawing>
          <wp:inline distT="0" distB="0" distL="0" distR="0">
            <wp:extent cx="6070600" cy="33039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070600" cy="3303905"/>
                    </a:xfrm>
                    <a:prstGeom prst="rect">
                      <a:avLst/>
                    </a:prstGeom>
                    <a:noFill/>
                    <a:ln>
                      <a:noFill/>
                    </a:ln>
                  </pic:spPr>
                </pic:pic>
              </a:graphicData>
            </a:graphic>
          </wp:inline>
        </w:drawing>
      </w:r>
      <w:bookmarkEnd w:id="25"/>
      <w:bookmarkEnd w:id="26"/>
    </w:p>
    <w:p>
      <w:pPr>
        <w:pStyle w:val="131"/>
        <w:rPr>
          <w:highlight w:val="none"/>
        </w:rPr>
      </w:pPr>
      <w:r>
        <w:rPr>
          <w:rFonts w:hint="eastAsia"/>
          <w:highlight w:val="none"/>
        </w:rPr>
        <w:t>空白（除硫元素外）示例</w:t>
      </w:r>
    </w:p>
    <w:p>
      <w:pPr>
        <w:pStyle w:val="45"/>
        <w:numPr>
          <w:ilvl w:val="0"/>
          <w:numId w:val="0"/>
        </w:numPr>
        <w:spacing w:before="0" w:beforeLines="0" w:after="0" w:afterLines="0"/>
        <w:jc w:val="both"/>
        <w:rPr>
          <w:rFonts w:ascii="宋体" w:hAnsi="宋体" w:eastAsia="宋体"/>
          <w:highlight w:val="none"/>
        </w:rPr>
      </w:pPr>
      <w:r>
        <w:rPr>
          <w:rFonts w:hint="eastAsia" w:hAnsi="黑体"/>
          <w:highlight w:val="none"/>
        </w:rPr>
        <w:t>9.2.6</w:t>
      </w:r>
      <w:r>
        <w:rPr>
          <w:rFonts w:hint="eastAsia" w:ascii="宋体" w:hAnsi="宋体" w:eastAsia="宋体"/>
          <w:highlight w:val="none"/>
        </w:rPr>
        <w:t xml:space="preserve"> TXRF仪器对标定元素的荧光信号求积分并减去本底，获得净积分计数率，得到相应元素的面密度值。本底可由一个常规去卷积程序或一个适宜的线性程序扣除。</w:t>
      </w:r>
    </w:p>
    <w:p>
      <w:pPr>
        <w:pStyle w:val="48"/>
        <w:rPr>
          <w:highlight w:val="none"/>
        </w:rPr>
      </w:pPr>
      <w:r>
        <w:rPr>
          <w:rFonts w:hint="eastAsia"/>
          <w:highlight w:val="none"/>
        </w:rPr>
        <w:t>试验步骤</w:t>
      </w:r>
    </w:p>
    <w:p>
      <w:pPr>
        <w:pStyle w:val="45"/>
        <w:spacing w:before="0" w:beforeLines="0" w:after="0" w:afterLines="0"/>
        <w:rPr>
          <w:rFonts w:ascii="宋体" w:hAnsi="宋体" w:eastAsia="宋体"/>
          <w:highlight w:val="none"/>
        </w:rPr>
      </w:pPr>
      <w:r>
        <w:rPr>
          <w:rFonts w:hint="eastAsia" w:ascii="宋体" w:hAnsi="宋体" w:eastAsia="宋体"/>
          <w:highlight w:val="none"/>
        </w:rPr>
        <w:t>开启T</w:t>
      </w:r>
      <w:r>
        <w:rPr>
          <w:rFonts w:ascii="宋体" w:hAnsi="宋体" w:eastAsia="宋体"/>
          <w:highlight w:val="none"/>
        </w:rPr>
        <w:t>XRF</w:t>
      </w:r>
      <w:r>
        <w:rPr>
          <w:rFonts w:hint="eastAsia" w:ascii="宋体" w:hAnsi="宋体" w:eastAsia="宋体"/>
          <w:highlight w:val="none"/>
        </w:rPr>
        <w:t>设备。</w:t>
      </w:r>
    </w:p>
    <w:p>
      <w:pPr>
        <w:pStyle w:val="45"/>
        <w:numPr>
          <w:ilvl w:val="0"/>
          <w:numId w:val="0"/>
        </w:numPr>
        <w:spacing w:before="0" w:beforeLines="0" w:after="0" w:afterLines="0"/>
        <w:rPr>
          <w:rFonts w:ascii="宋体" w:hAnsi="宋体" w:eastAsia="宋体"/>
          <w:highlight w:val="none"/>
        </w:rPr>
      </w:pPr>
      <w:r>
        <w:rPr>
          <w:rFonts w:hint="eastAsia" w:hAnsi="黑体"/>
          <w:highlight w:val="none"/>
        </w:rPr>
        <w:t>10.2</w:t>
      </w:r>
      <w:r>
        <w:rPr>
          <w:rFonts w:hint="eastAsia" w:ascii="宋体" w:hAnsi="宋体" w:eastAsia="宋体"/>
          <w:highlight w:val="none"/>
        </w:rPr>
        <w:t>选择并记录测试样品的分析条件：</w:t>
      </w:r>
    </w:p>
    <w:p>
      <w:pPr>
        <w:pStyle w:val="25"/>
        <w:numPr>
          <w:ilvl w:val="0"/>
          <w:numId w:val="22"/>
        </w:numPr>
        <w:ind w:firstLineChars="0"/>
        <w:rPr>
          <w:highlight w:val="none"/>
        </w:rPr>
      </w:pPr>
      <w:r>
        <w:rPr>
          <w:rFonts w:hint="eastAsia"/>
          <w:highlight w:val="none"/>
        </w:rPr>
        <w:t>X射线源的电压；</w:t>
      </w:r>
    </w:p>
    <w:p>
      <w:pPr>
        <w:pStyle w:val="25"/>
        <w:numPr>
          <w:ilvl w:val="0"/>
          <w:numId w:val="22"/>
        </w:numPr>
        <w:ind w:firstLineChars="0"/>
        <w:rPr>
          <w:highlight w:val="none"/>
        </w:rPr>
      </w:pPr>
      <w:r>
        <w:rPr>
          <w:rFonts w:hint="eastAsia"/>
          <w:highlight w:val="none"/>
        </w:rPr>
        <w:t>X射线源的电流；</w:t>
      </w:r>
    </w:p>
    <w:p>
      <w:pPr>
        <w:pStyle w:val="25"/>
        <w:numPr>
          <w:ilvl w:val="0"/>
          <w:numId w:val="22"/>
        </w:numPr>
        <w:ind w:firstLineChars="0"/>
        <w:rPr>
          <w:highlight w:val="none"/>
        </w:rPr>
      </w:pPr>
      <w:r>
        <w:rPr>
          <w:rFonts w:hint="eastAsia"/>
          <w:highlight w:val="none"/>
        </w:rPr>
        <w:t>X射线源能量；</w:t>
      </w:r>
    </w:p>
    <w:p>
      <w:pPr>
        <w:pStyle w:val="25"/>
        <w:numPr>
          <w:ilvl w:val="0"/>
          <w:numId w:val="22"/>
        </w:numPr>
        <w:ind w:firstLineChars="0"/>
        <w:rPr>
          <w:highlight w:val="none"/>
        </w:rPr>
      </w:pPr>
      <w:r>
        <w:rPr>
          <w:rFonts w:hint="eastAsia"/>
          <w:highlight w:val="none"/>
        </w:rPr>
        <w:t>掠射角；</w:t>
      </w:r>
    </w:p>
    <w:p>
      <w:pPr>
        <w:pStyle w:val="25"/>
        <w:numPr>
          <w:ilvl w:val="0"/>
          <w:numId w:val="22"/>
        </w:numPr>
        <w:ind w:firstLineChars="0"/>
        <w:rPr>
          <w:highlight w:val="none"/>
        </w:rPr>
      </w:pPr>
      <w:r>
        <w:rPr>
          <w:rFonts w:hint="eastAsia"/>
          <w:highlight w:val="none"/>
        </w:rPr>
        <w:t>积分时间；</w:t>
      </w:r>
    </w:p>
    <w:p>
      <w:pPr>
        <w:pStyle w:val="25"/>
        <w:numPr>
          <w:ilvl w:val="0"/>
          <w:numId w:val="22"/>
        </w:numPr>
        <w:ind w:firstLineChars="0"/>
        <w:rPr>
          <w:highlight w:val="none"/>
        </w:rPr>
      </w:pPr>
      <w:r>
        <w:rPr>
          <w:rFonts w:hint="eastAsia"/>
          <w:highlight w:val="none"/>
        </w:rPr>
        <w:t>实验室的环境；</w:t>
      </w:r>
    </w:p>
    <w:p>
      <w:pPr>
        <w:pStyle w:val="25"/>
        <w:numPr>
          <w:ilvl w:val="0"/>
          <w:numId w:val="22"/>
        </w:numPr>
        <w:ind w:firstLineChars="0"/>
        <w:rPr>
          <w:highlight w:val="none"/>
        </w:rPr>
      </w:pPr>
      <w:r>
        <w:rPr>
          <w:rFonts w:hint="eastAsia"/>
          <w:highlight w:val="none"/>
        </w:rPr>
        <w:t>样品上的测试位置，可由供需双方协商确定；</w:t>
      </w:r>
    </w:p>
    <w:p>
      <w:pPr>
        <w:pStyle w:val="45"/>
        <w:numPr>
          <w:ilvl w:val="0"/>
          <w:numId w:val="0"/>
        </w:numPr>
        <w:spacing w:before="0" w:beforeLines="0" w:after="0" w:afterLines="0"/>
        <w:rPr>
          <w:rFonts w:ascii="宋体" w:hAnsi="宋体" w:eastAsia="宋体"/>
          <w:highlight w:val="none"/>
        </w:rPr>
      </w:pPr>
      <w:r>
        <w:rPr>
          <w:rFonts w:hint="eastAsia" w:hAnsi="黑体"/>
          <w:highlight w:val="none"/>
        </w:rPr>
        <w:t>10.3</w:t>
      </w:r>
      <w:r>
        <w:rPr>
          <w:rFonts w:hint="eastAsia" w:ascii="宋体" w:hAnsi="宋体" w:eastAsia="宋体"/>
          <w:highlight w:val="none"/>
        </w:rPr>
        <w:t>装载测试样品；</w:t>
      </w:r>
    </w:p>
    <w:p>
      <w:pPr>
        <w:pStyle w:val="45"/>
        <w:numPr>
          <w:ilvl w:val="0"/>
          <w:numId w:val="0"/>
        </w:numPr>
        <w:spacing w:before="0" w:beforeLines="0" w:after="0" w:afterLines="0"/>
        <w:rPr>
          <w:rFonts w:ascii="宋体" w:hAnsi="宋体" w:eastAsia="宋体"/>
          <w:highlight w:val="none"/>
        </w:rPr>
      </w:pPr>
      <w:r>
        <w:rPr>
          <w:rFonts w:hint="eastAsia" w:hAnsi="黑体"/>
          <w:highlight w:val="none"/>
        </w:rPr>
        <w:t>10.4</w:t>
      </w:r>
      <w:r>
        <w:rPr>
          <w:rFonts w:hint="eastAsia" w:ascii="宋体" w:hAnsi="宋体" w:eastAsia="宋体"/>
          <w:highlight w:val="none"/>
        </w:rPr>
        <w:t>测试样品的TXRF；</w:t>
      </w:r>
    </w:p>
    <w:p>
      <w:pPr>
        <w:pStyle w:val="45"/>
        <w:numPr>
          <w:ilvl w:val="0"/>
          <w:numId w:val="0"/>
        </w:numPr>
        <w:spacing w:before="0" w:beforeLines="0" w:after="0" w:afterLines="0"/>
        <w:rPr>
          <w:rFonts w:ascii="宋体" w:hAnsi="宋体" w:eastAsia="宋体"/>
          <w:highlight w:val="none"/>
        </w:rPr>
      </w:pPr>
      <w:r>
        <w:rPr>
          <w:rFonts w:hint="eastAsia" w:hAnsi="黑体"/>
          <w:highlight w:val="none"/>
        </w:rPr>
        <w:t>10.5</w:t>
      </w:r>
      <w:r>
        <w:rPr>
          <w:rFonts w:hint="eastAsia" w:ascii="宋体" w:hAnsi="宋体" w:eastAsia="宋体"/>
          <w:highlight w:val="none"/>
        </w:rPr>
        <w:t>对检测到的元素峰值计算净积分计数率；</w:t>
      </w:r>
    </w:p>
    <w:p>
      <w:pPr>
        <w:pStyle w:val="45"/>
        <w:numPr>
          <w:ilvl w:val="0"/>
          <w:numId w:val="0"/>
        </w:numPr>
        <w:spacing w:before="0" w:beforeLines="0" w:after="0" w:afterLines="0"/>
        <w:rPr>
          <w:rFonts w:ascii="宋体" w:hAnsi="宋体" w:eastAsia="宋体"/>
          <w:highlight w:val="none"/>
        </w:rPr>
      </w:pPr>
      <w:r>
        <w:rPr>
          <w:rFonts w:hint="eastAsia" w:hAnsi="黑体"/>
          <w:highlight w:val="none"/>
        </w:rPr>
        <w:t>10.6</w:t>
      </w:r>
      <w:r>
        <w:rPr>
          <w:rFonts w:hint="eastAsia" w:ascii="宋体" w:hAnsi="宋体" w:eastAsia="宋体"/>
          <w:highlight w:val="none"/>
        </w:rPr>
        <w:t>使用特定校准元素的校准样品数据和其他元素的RSF，根据公式（1）计算测试样品上检测到的每种元素的面密度。</w:t>
      </w:r>
    </w:p>
    <w:p>
      <w:pPr>
        <w:pStyle w:val="130"/>
        <w:rPr>
          <w:highlight w:val="none"/>
        </w:rPr>
      </w:pPr>
      <w:r>
        <w:rPr>
          <w:highlight w:val="none"/>
        </w:rPr>
        <w:tab/>
      </w:r>
      <w:r>
        <w:rPr>
          <w:position w:val="-60"/>
          <w:highlight w:val="none"/>
        </w:rPr>
        <w:object>
          <v:shape id="_x0000_i1025" o:spt="75" type="#_x0000_t75" style="height:39.45pt;width:153.7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highlight w:val="none"/>
        </w:rPr>
        <w:tab/>
      </w:r>
      <w:r>
        <w:rPr>
          <w:rFonts w:hint="eastAsia"/>
          <w:highlight w:val="none"/>
        </w:rPr>
        <w:t>（</w:t>
      </w:r>
      <w:r>
        <w:rPr>
          <w:highlight w:val="none"/>
        </w:rPr>
        <w:t>2</w:t>
      </w:r>
      <w:r>
        <w:rPr>
          <w:rFonts w:hint="eastAsia"/>
          <w:highlight w:val="none"/>
        </w:rPr>
        <w:t>）</w:t>
      </w:r>
    </w:p>
    <w:p>
      <w:pPr>
        <w:pStyle w:val="25"/>
        <w:rPr>
          <w:highlight w:val="none"/>
        </w:rPr>
      </w:pPr>
      <w:r>
        <w:rPr>
          <w:rFonts w:hint="eastAsia"/>
          <w:highlight w:val="none"/>
        </w:rPr>
        <w:t>式中：</w:t>
      </w:r>
    </w:p>
    <w:p>
      <w:pPr>
        <w:pStyle w:val="25"/>
        <w:rPr>
          <w:highlight w:val="none"/>
        </w:rPr>
      </w:pPr>
      <w:r>
        <w:rPr>
          <w:rFonts w:hint="eastAsia"/>
          <w:i/>
          <w:highlight w:val="none"/>
        </w:rPr>
        <w:t>D</w:t>
      </w:r>
      <w:r>
        <w:rPr>
          <w:rFonts w:hint="eastAsia"/>
          <w:i/>
          <w:highlight w:val="none"/>
          <w:vertAlign w:val="subscript"/>
        </w:rPr>
        <w:t>u，m</w:t>
      </w:r>
      <w:r>
        <w:rPr>
          <w:rFonts w:hint="eastAsia"/>
          <w:highlight w:val="none"/>
        </w:rPr>
        <w:t>——测试样品u表面元素“m”的面密度，单位为原子数每平方厘米（atoms/cm</w:t>
      </w:r>
      <w:r>
        <w:rPr>
          <w:rFonts w:hint="eastAsia"/>
          <w:highlight w:val="none"/>
          <w:vertAlign w:val="superscript"/>
        </w:rPr>
        <w:t>2</w:t>
      </w:r>
      <w:r>
        <w:rPr>
          <w:rFonts w:hint="eastAsia"/>
          <w:highlight w:val="none"/>
        </w:rPr>
        <w:t>）；</w:t>
      </w:r>
    </w:p>
    <w:p>
      <w:pPr>
        <w:pStyle w:val="25"/>
        <w:rPr>
          <w:highlight w:val="none"/>
        </w:rPr>
      </w:pPr>
      <w:r>
        <w:rPr>
          <w:rFonts w:hint="eastAsia"/>
          <w:i/>
          <w:highlight w:val="none"/>
        </w:rPr>
        <w:t>F</w:t>
      </w:r>
      <w:r>
        <w:rPr>
          <w:rFonts w:hint="eastAsia"/>
          <w:i/>
          <w:highlight w:val="none"/>
          <w:vertAlign w:val="subscript"/>
        </w:rPr>
        <w:t>s,m</w:t>
      </w:r>
      <w:r>
        <w:rPr>
          <w:rFonts w:hint="eastAsia"/>
          <w:highlight w:val="none"/>
        </w:rPr>
        <w:t>——校准元素“s”相对于元素“m”的RSF；</w:t>
      </w:r>
    </w:p>
    <w:p>
      <w:pPr>
        <w:pStyle w:val="25"/>
        <w:rPr>
          <w:highlight w:val="none"/>
        </w:rPr>
      </w:pPr>
      <w:r>
        <w:rPr>
          <w:rFonts w:hint="eastAsia"/>
          <w:i/>
          <w:highlight w:val="none"/>
        </w:rPr>
        <w:t>CPS</w:t>
      </w:r>
      <w:r>
        <w:rPr>
          <w:rFonts w:hint="eastAsia"/>
          <w:i/>
          <w:highlight w:val="none"/>
          <w:vertAlign w:val="subscript"/>
        </w:rPr>
        <w:t>u,m</w:t>
      </w:r>
      <w:r>
        <w:rPr>
          <w:rFonts w:hint="eastAsia"/>
          <w:highlight w:val="none"/>
        </w:rPr>
        <w:t>——在测试样品u表面探测到的元素“m”的积分计数率；</w:t>
      </w:r>
    </w:p>
    <w:p>
      <w:pPr>
        <w:pStyle w:val="25"/>
        <w:rPr>
          <w:highlight w:val="none"/>
        </w:rPr>
      </w:pPr>
      <w:r>
        <w:rPr>
          <w:rFonts w:hint="eastAsia"/>
          <w:i/>
          <w:highlight w:val="none"/>
        </w:rPr>
        <w:t>CPS</w:t>
      </w:r>
      <w:r>
        <w:rPr>
          <w:rFonts w:hint="eastAsia"/>
          <w:i/>
          <w:highlight w:val="none"/>
          <w:vertAlign w:val="subscript"/>
        </w:rPr>
        <w:t>s</w:t>
      </w:r>
      <w:r>
        <w:rPr>
          <w:rFonts w:hint="eastAsia"/>
          <w:highlight w:val="none"/>
        </w:rPr>
        <w:t>——校准样品表面校准元素“s”的积分计数率；</w:t>
      </w:r>
    </w:p>
    <w:p>
      <w:pPr>
        <w:pStyle w:val="25"/>
        <w:rPr>
          <w:highlight w:val="none"/>
        </w:rPr>
      </w:pPr>
      <w:r>
        <w:rPr>
          <w:rFonts w:hint="eastAsia"/>
          <w:i/>
          <w:highlight w:val="none"/>
        </w:rPr>
        <w:t>A</w:t>
      </w:r>
      <w:r>
        <w:rPr>
          <w:rFonts w:hint="eastAsia"/>
          <w:i/>
          <w:highlight w:val="none"/>
          <w:vertAlign w:val="subscript"/>
        </w:rPr>
        <w:t>s</w:t>
      </w:r>
      <w:r>
        <w:rPr>
          <w:rFonts w:hint="eastAsia"/>
          <w:highlight w:val="none"/>
        </w:rPr>
        <w:t>——校准元素“s”的面密度，单位为原子数每平方厘米（atoms/cm</w:t>
      </w:r>
      <w:r>
        <w:rPr>
          <w:rFonts w:hint="eastAsia"/>
          <w:highlight w:val="none"/>
          <w:vertAlign w:val="superscript"/>
        </w:rPr>
        <w:t>2</w:t>
      </w:r>
      <w:r>
        <w:rPr>
          <w:rFonts w:hint="eastAsia"/>
          <w:highlight w:val="none"/>
        </w:rPr>
        <w:t>）。</w:t>
      </w:r>
    </w:p>
    <w:p>
      <w:pPr>
        <w:pStyle w:val="48"/>
        <w:rPr>
          <w:highlight w:val="none"/>
        </w:rPr>
      </w:pPr>
      <w:bookmarkStart w:id="27" w:name="精密度及偏差"/>
      <w:bookmarkEnd w:id="27"/>
      <w:bookmarkStart w:id="28" w:name="SectionMark4"/>
      <w:bookmarkEnd w:id="28"/>
      <w:r>
        <w:rPr>
          <w:rFonts w:hint="eastAsia"/>
          <w:highlight w:val="none"/>
        </w:rPr>
        <w:t>精密度</w:t>
      </w:r>
    </w:p>
    <w:p>
      <w:pPr>
        <w:pStyle w:val="45"/>
        <w:rPr>
          <w:highlight w:val="none"/>
        </w:rPr>
      </w:pPr>
      <w:r>
        <w:rPr>
          <w:rFonts w:hint="eastAsia"/>
          <w:highlight w:val="none"/>
        </w:rPr>
        <w:t>重复性</w:t>
      </w:r>
    </w:p>
    <w:p>
      <w:pPr>
        <w:pStyle w:val="25"/>
        <w:rPr>
          <w:rFonts w:hint="eastAsia"/>
          <w:highlight w:val="none"/>
        </w:rPr>
      </w:pPr>
      <w:r>
        <w:rPr>
          <w:rFonts w:hint="eastAsia"/>
          <w:highlight w:val="none"/>
        </w:rPr>
        <w:t>在同一个实验室内对</w:t>
      </w:r>
      <w:r>
        <w:rPr>
          <w:highlight w:val="none"/>
        </w:rPr>
        <w:t>1</w:t>
      </w:r>
      <w:r>
        <w:rPr>
          <w:rFonts w:hint="eastAsia"/>
          <w:highlight w:val="none"/>
        </w:rPr>
        <w:t>片镍面密度为1</w:t>
      </w:r>
      <w:r>
        <w:rPr>
          <w:highlight w:val="none"/>
        </w:rPr>
        <w:t>0</w:t>
      </w:r>
      <w:r>
        <w:rPr>
          <w:highlight w:val="none"/>
          <w:vertAlign w:val="superscript"/>
        </w:rPr>
        <w:t>12</w:t>
      </w:r>
      <w:r>
        <w:rPr>
          <w:highlight w:val="none"/>
          <w:vertAlign w:val="subscript"/>
        </w:rPr>
        <w:t xml:space="preserve"> </w:t>
      </w:r>
      <w:r>
        <w:rPr>
          <w:rFonts w:hint="eastAsia"/>
          <w:highlight w:val="none"/>
        </w:rPr>
        <w:t>atoms</w:t>
      </w:r>
      <w:r>
        <w:rPr>
          <w:highlight w:val="none"/>
        </w:rPr>
        <w:t>/cm</w:t>
      </w:r>
      <w:r>
        <w:rPr>
          <w:highlight w:val="none"/>
          <w:vertAlign w:val="superscript"/>
        </w:rPr>
        <w:t>2</w:t>
      </w:r>
      <w:r>
        <w:rPr>
          <w:highlight w:val="none"/>
        </w:rPr>
        <w:t>的</w:t>
      </w:r>
      <w:r>
        <w:rPr>
          <w:rFonts w:hint="eastAsia"/>
          <w:highlight w:val="none"/>
        </w:rPr>
        <w:t>校准样品进行重复7次测试，选用钨靶的X射线固定正电极，掠射角</w:t>
      </w:r>
      <w:r>
        <w:rPr>
          <w:highlight w:val="none"/>
        </w:rPr>
        <w:t>0.05</w:t>
      </w:r>
      <w:r>
        <w:rPr>
          <w:rFonts w:hint="eastAsia"/>
          <w:highlight w:val="none"/>
        </w:rPr>
        <w:t>°，积分时间3</w:t>
      </w:r>
      <w:r>
        <w:rPr>
          <w:highlight w:val="none"/>
        </w:rPr>
        <w:t>00</w:t>
      </w:r>
      <w:r>
        <w:rPr>
          <w:rFonts w:hint="eastAsia"/>
          <w:highlight w:val="none"/>
          <w:vertAlign w:val="subscript"/>
        </w:rPr>
        <w:t xml:space="preserve"> </w:t>
      </w:r>
      <w:r>
        <w:rPr>
          <w:rFonts w:hint="eastAsia"/>
          <w:highlight w:val="none"/>
        </w:rPr>
        <w:t>s。计算得到实验室内的的平均值  和标准偏差  。</w:t>
      </w:r>
    </w:p>
    <w:p>
      <w:pPr>
        <w:pStyle w:val="25"/>
        <w:rPr>
          <w:highlight w:val="none"/>
        </w:rPr>
      </w:pPr>
      <w:r>
        <w:rPr>
          <w:rFonts w:hint="eastAsia"/>
          <w:highlight w:val="none"/>
        </w:rPr>
        <w:t>由五个实验室分别对对2片200mm硅抛光片、3片150mm碳化硅抛光片及5片100mm蓝宝石抛光片的每片中心点的K、Ca、Ti、Cr、Mn、Fe、Ni、Cu、Zn9个元素进行4次重复测试，其中 个实验室选用钨靶的X射线固定正电极， 0.05°掠射角，积分时间300 s； 个实验室选用钨靶的X射线旋转正电极，掠射角0.1°，积分时间100s。每片重复测试4次，计算得到实验室间所有测试元素元素的平均值为    ，标准偏差不大于    。</w:t>
      </w:r>
    </w:p>
    <w:p>
      <w:pPr>
        <w:pStyle w:val="48"/>
        <w:rPr>
          <w:highlight w:val="none"/>
        </w:rPr>
      </w:pPr>
      <w:r>
        <w:rPr>
          <w:rFonts w:hint="eastAsia"/>
          <w:highlight w:val="none"/>
        </w:rPr>
        <w:t>试验报告</w:t>
      </w:r>
    </w:p>
    <w:p>
      <w:pPr>
        <w:pStyle w:val="25"/>
        <w:rPr>
          <w:highlight w:val="none"/>
        </w:rPr>
      </w:pPr>
      <w:r>
        <w:rPr>
          <w:rFonts w:hint="eastAsia"/>
          <w:highlight w:val="none"/>
        </w:rPr>
        <w:t>试验报告应包括以下内容：</w:t>
      </w:r>
    </w:p>
    <w:p>
      <w:pPr>
        <w:pStyle w:val="62"/>
        <w:numPr>
          <w:ilvl w:val="0"/>
          <w:numId w:val="23"/>
        </w:numPr>
        <w:rPr>
          <w:highlight w:val="none"/>
        </w:rPr>
      </w:pPr>
      <w:r>
        <w:rPr>
          <w:rFonts w:hint="eastAsia"/>
          <w:highlight w:val="none"/>
        </w:rPr>
        <w:t>测试样品信息；</w:t>
      </w:r>
    </w:p>
    <w:p>
      <w:pPr>
        <w:pStyle w:val="62"/>
        <w:numPr>
          <w:ilvl w:val="0"/>
          <w:numId w:val="24"/>
        </w:numPr>
        <w:rPr>
          <w:highlight w:val="none"/>
        </w:rPr>
      </w:pPr>
      <w:r>
        <w:rPr>
          <w:rFonts w:hint="eastAsia"/>
          <w:highlight w:val="none"/>
        </w:rPr>
        <w:t>校准样品信息；</w:t>
      </w:r>
    </w:p>
    <w:p>
      <w:pPr>
        <w:pStyle w:val="62"/>
        <w:numPr>
          <w:ilvl w:val="0"/>
          <w:numId w:val="24"/>
        </w:numPr>
        <w:rPr>
          <w:highlight w:val="none"/>
        </w:rPr>
      </w:pPr>
      <w:r>
        <w:rPr>
          <w:rFonts w:hint="eastAsia"/>
          <w:highlight w:val="none"/>
        </w:rPr>
        <w:t>设备类型，包括型号和生产厂家；</w:t>
      </w:r>
    </w:p>
    <w:p>
      <w:pPr>
        <w:pStyle w:val="62"/>
        <w:numPr>
          <w:ilvl w:val="0"/>
          <w:numId w:val="25"/>
        </w:numPr>
        <w:rPr>
          <w:highlight w:val="none"/>
        </w:rPr>
      </w:pPr>
      <w:r>
        <w:rPr>
          <w:rFonts w:hint="eastAsia"/>
          <w:highlight w:val="none"/>
        </w:rPr>
        <w:t>阳极材料；</w:t>
      </w:r>
    </w:p>
    <w:p>
      <w:pPr>
        <w:pStyle w:val="62"/>
        <w:rPr>
          <w:highlight w:val="none"/>
        </w:rPr>
      </w:pPr>
      <w:r>
        <w:rPr>
          <w:rFonts w:hint="eastAsia"/>
          <w:highlight w:val="none"/>
        </w:rPr>
        <w:t>单色仪；</w:t>
      </w:r>
    </w:p>
    <w:p>
      <w:pPr>
        <w:pStyle w:val="62"/>
        <w:rPr>
          <w:highlight w:val="none"/>
        </w:rPr>
      </w:pPr>
      <w:r>
        <w:rPr>
          <w:rFonts w:hint="eastAsia"/>
          <w:highlight w:val="none"/>
        </w:rPr>
        <w:t>X射线源的电压；</w:t>
      </w:r>
    </w:p>
    <w:p>
      <w:pPr>
        <w:pStyle w:val="62"/>
        <w:rPr>
          <w:highlight w:val="none"/>
        </w:rPr>
      </w:pPr>
      <w:r>
        <w:rPr>
          <w:rFonts w:hint="eastAsia"/>
          <w:highlight w:val="none"/>
        </w:rPr>
        <w:t>X射线源的电流；</w:t>
      </w:r>
    </w:p>
    <w:p>
      <w:pPr>
        <w:pStyle w:val="62"/>
        <w:rPr>
          <w:highlight w:val="none"/>
        </w:rPr>
      </w:pPr>
      <w:r>
        <w:rPr>
          <w:rFonts w:hint="eastAsia"/>
          <w:highlight w:val="none"/>
        </w:rPr>
        <w:t>X射线源能量；</w:t>
      </w:r>
    </w:p>
    <w:p>
      <w:pPr>
        <w:pStyle w:val="62"/>
        <w:rPr>
          <w:highlight w:val="none"/>
        </w:rPr>
      </w:pPr>
      <w:r>
        <w:rPr>
          <w:rFonts w:hint="eastAsia"/>
          <w:highlight w:val="none"/>
        </w:rPr>
        <w:t>掠射角；</w:t>
      </w:r>
    </w:p>
    <w:p>
      <w:pPr>
        <w:pStyle w:val="62"/>
        <w:rPr>
          <w:highlight w:val="none"/>
        </w:rPr>
      </w:pPr>
      <w:r>
        <w:rPr>
          <w:rFonts w:hint="eastAsia"/>
          <w:highlight w:val="none"/>
        </w:rPr>
        <w:t>积分时间；</w:t>
      </w:r>
    </w:p>
    <w:p>
      <w:pPr>
        <w:pStyle w:val="62"/>
        <w:rPr>
          <w:highlight w:val="none"/>
        </w:rPr>
      </w:pPr>
      <w:r>
        <w:rPr>
          <w:rFonts w:hint="eastAsia"/>
          <w:highlight w:val="none"/>
        </w:rPr>
        <w:t>实验</w:t>
      </w:r>
      <w:r>
        <w:rPr>
          <w:rFonts w:hint="eastAsia"/>
          <w:highlight w:val="none"/>
        </w:rPr>
        <w:t>室的环境；</w:t>
      </w:r>
    </w:p>
    <w:p>
      <w:pPr>
        <w:pStyle w:val="62"/>
        <w:rPr>
          <w:highlight w:val="none"/>
        </w:rPr>
      </w:pPr>
      <w:r>
        <w:rPr>
          <w:rFonts w:hint="eastAsia"/>
          <w:highlight w:val="none"/>
        </w:rPr>
        <w:t>测试结果；</w:t>
      </w:r>
    </w:p>
    <w:p>
      <w:pPr>
        <w:pStyle w:val="62"/>
        <w:rPr>
          <w:highlight w:val="none"/>
        </w:rPr>
      </w:pPr>
      <w:r>
        <w:rPr>
          <w:rFonts w:hint="eastAsia"/>
          <w:highlight w:val="none"/>
        </w:rPr>
        <w:t>操作人及分析时间；</w:t>
      </w:r>
    </w:p>
    <w:p>
      <w:pPr>
        <w:pStyle w:val="101"/>
        <w:rPr>
          <w:highlight w:val="none"/>
        </w:rPr>
      </w:pPr>
    </w:p>
    <w:p>
      <w:pPr>
        <w:pStyle w:val="89"/>
        <w:rPr>
          <w:highlight w:val="none"/>
        </w:rPr>
      </w:pPr>
    </w:p>
    <w:p>
      <w:pPr>
        <w:pStyle w:val="87"/>
        <w:rPr>
          <w:highlight w:val="none"/>
        </w:rPr>
      </w:pPr>
      <w:r>
        <w:rPr>
          <w:highlight w:val="none"/>
        </w:rPr>
        <w:br w:type="textWrapping"/>
      </w:r>
      <w:r>
        <w:rPr>
          <w:rFonts w:hint="eastAsia"/>
          <w:highlight w:val="none"/>
        </w:rPr>
        <w:t>（规范性附录）</w:t>
      </w:r>
      <w:r>
        <w:rPr>
          <w:highlight w:val="none"/>
        </w:rPr>
        <w:br w:type="textWrapping"/>
      </w:r>
      <w:r>
        <w:rPr>
          <w:rFonts w:hint="eastAsia"/>
          <w:highlight w:val="none"/>
        </w:rPr>
        <w:t>重复性和检测限</w:t>
      </w:r>
    </w:p>
    <w:p>
      <w:pPr>
        <w:pStyle w:val="105"/>
        <w:spacing w:before="312" w:after="312"/>
        <w:rPr>
          <w:kern w:val="0"/>
          <w:highlight w:val="none"/>
        </w:rPr>
      </w:pPr>
      <w:bookmarkStart w:id="29" w:name="OLE_LINK3"/>
      <w:bookmarkStart w:id="30" w:name="OLE_LINK4"/>
      <w:r>
        <w:rPr>
          <w:rFonts w:hint="eastAsia"/>
          <w:kern w:val="0"/>
          <w:highlight w:val="none"/>
        </w:rPr>
        <w:t>重复性和检测限的关系</w:t>
      </w:r>
      <w:bookmarkEnd w:id="29"/>
      <w:bookmarkEnd w:id="30"/>
    </w:p>
    <w:p>
      <w:pPr>
        <w:pStyle w:val="106"/>
        <w:spacing w:before="0" w:beforeLines="0" w:after="0" w:afterLines="0"/>
        <w:rPr>
          <w:rFonts w:ascii="宋体" w:hAnsi="宋体" w:eastAsia="宋体"/>
          <w:kern w:val="0"/>
          <w:highlight w:val="none"/>
        </w:rPr>
      </w:pPr>
      <w:r>
        <w:rPr>
          <w:rFonts w:hint="eastAsia" w:ascii="宋体" w:hAnsi="宋体" w:eastAsia="宋体"/>
          <w:kern w:val="0"/>
          <w:highlight w:val="none"/>
        </w:rPr>
        <w:t>在没有设备峰值的时候，光子光谱仪中检测限</w:t>
      </w:r>
      <w:r>
        <w:rPr>
          <w:rFonts w:hint="eastAsia" w:ascii="宋体" w:hAnsi="宋体" w:eastAsia="宋体"/>
          <w:i/>
          <w:kern w:val="0"/>
          <w:highlight w:val="none"/>
        </w:rPr>
        <w:t>C</w:t>
      </w:r>
      <w:r>
        <w:rPr>
          <w:rFonts w:hint="eastAsia" w:ascii="宋体" w:hAnsi="宋体" w:eastAsia="宋体"/>
          <w:i/>
          <w:kern w:val="0"/>
          <w:highlight w:val="none"/>
          <w:vertAlign w:val="subscript"/>
        </w:rPr>
        <w:t>L</w:t>
      </w:r>
      <w:r>
        <w:rPr>
          <w:rFonts w:hint="eastAsia" w:ascii="宋体" w:hAnsi="宋体" w:eastAsia="宋体"/>
          <w:kern w:val="0"/>
          <w:highlight w:val="none"/>
        </w:rPr>
        <w:t>由公式A.1给出：</w:t>
      </w:r>
    </w:p>
    <w:p>
      <w:pPr>
        <w:wordWrap w:val="0"/>
        <w:autoSpaceDE w:val="0"/>
        <w:autoSpaceDN w:val="0"/>
        <w:adjustRightInd w:val="0"/>
        <w:jc w:val="right"/>
        <w:rPr>
          <w:rFonts w:ascii="宋体" w:hAnsi="宋体"/>
          <w:kern w:val="0"/>
          <w:szCs w:val="21"/>
          <w:highlight w:val="none"/>
        </w:rPr>
      </w:pPr>
      <w:r>
        <w:rPr>
          <w:rFonts w:hint="eastAsia" w:ascii="宋体" w:hAnsi="宋体"/>
          <w:i/>
          <w:iCs/>
          <w:kern w:val="0"/>
          <w:szCs w:val="21"/>
          <w:highlight w:val="none"/>
        </w:rPr>
        <w:t>C</w:t>
      </w:r>
      <w:r>
        <w:rPr>
          <w:rFonts w:hint="eastAsia" w:ascii="宋体" w:hAnsi="宋体"/>
          <w:i/>
          <w:iCs/>
          <w:kern w:val="0"/>
          <w:szCs w:val="21"/>
          <w:highlight w:val="none"/>
          <w:vertAlign w:val="subscript"/>
        </w:rPr>
        <w:t>L</w:t>
      </w:r>
      <w:r>
        <w:rPr>
          <w:rFonts w:hint="eastAsia" w:ascii="宋体" w:hAnsi="宋体"/>
          <w:i/>
          <w:iCs/>
          <w:kern w:val="0"/>
          <w:szCs w:val="21"/>
          <w:highlight w:val="none"/>
        </w:rPr>
        <w:t>=</w:t>
      </w:r>
      <w:r>
        <w:rPr>
          <w:rFonts w:hint="eastAsia" w:ascii="宋体" w:hAnsi="宋体"/>
          <w:iCs/>
          <w:kern w:val="0"/>
          <w:szCs w:val="21"/>
          <w:highlight w:val="none"/>
        </w:rPr>
        <w:t>3</w:t>
      </w:r>
      <w:r>
        <w:rPr>
          <w:rFonts w:hint="eastAsia" w:ascii="宋体" w:hAnsi="宋体"/>
          <w:i/>
          <w:iCs/>
          <w:kern w:val="0"/>
          <w:szCs w:val="21"/>
          <w:highlight w:val="none"/>
        </w:rPr>
        <w:t>s</w:t>
      </w:r>
      <w:r>
        <w:rPr>
          <w:rFonts w:hint="eastAsia" w:ascii="宋体" w:hAnsi="宋体"/>
          <w:i/>
          <w:iCs/>
          <w:kern w:val="0"/>
          <w:szCs w:val="21"/>
          <w:highlight w:val="none"/>
          <w:vertAlign w:val="subscript"/>
        </w:rPr>
        <w:t>b</w:t>
      </w:r>
      <w:r>
        <w:rPr>
          <w:rFonts w:hint="eastAsia" w:ascii="宋体" w:hAnsi="宋体"/>
          <w:i/>
          <w:iCs/>
          <w:kern w:val="0"/>
          <w:sz w:val="24"/>
          <w:highlight w:val="none"/>
          <w:vertAlign w:val="subscript"/>
        </w:rPr>
        <w:t xml:space="preserve"> </w:t>
      </w:r>
      <w:r>
        <w:rPr>
          <w:rFonts w:hint="eastAsia" w:ascii="宋体" w:hAnsi="宋体"/>
          <w:i/>
          <w:iCs/>
          <w:kern w:val="0"/>
          <w:szCs w:val="21"/>
          <w:highlight w:val="none"/>
        </w:rPr>
        <w:t xml:space="preserve">/S </w:t>
      </w:r>
      <w:r>
        <w:rPr>
          <w:rFonts w:ascii="宋体" w:hAnsi="宋体"/>
          <w:iCs/>
          <w:kern w:val="0"/>
          <w:szCs w:val="21"/>
          <w:highlight w:val="none"/>
        </w:rPr>
        <w:t>………………………………………</w:t>
      </w:r>
      <w:r>
        <w:rPr>
          <w:rFonts w:hint="eastAsia" w:ascii="宋体" w:hAnsi="宋体"/>
          <w:iCs/>
          <w:kern w:val="0"/>
          <w:szCs w:val="21"/>
          <w:highlight w:val="none"/>
        </w:rPr>
        <w:t xml:space="preserve">  </w:t>
      </w:r>
      <w:r>
        <w:rPr>
          <w:rFonts w:ascii="宋体" w:hAnsi="宋体"/>
          <w:kern w:val="0"/>
          <w:szCs w:val="21"/>
          <w:highlight w:val="none"/>
        </w:rPr>
        <w:t>(A</w:t>
      </w:r>
      <w:r>
        <w:rPr>
          <w:rFonts w:hint="eastAsia" w:ascii="宋体" w:hAnsi="宋体"/>
          <w:kern w:val="0"/>
          <w:szCs w:val="21"/>
          <w:highlight w:val="none"/>
        </w:rPr>
        <w:t>.</w:t>
      </w:r>
      <w:r>
        <w:rPr>
          <w:rFonts w:ascii="宋体" w:hAnsi="宋体"/>
          <w:kern w:val="0"/>
          <w:szCs w:val="21"/>
          <w:highlight w:val="none"/>
        </w:rPr>
        <w:t>1)</w:t>
      </w:r>
    </w:p>
    <w:p>
      <w:pPr>
        <w:pStyle w:val="25"/>
        <w:rPr>
          <w:highlight w:val="none"/>
        </w:rPr>
      </w:pPr>
      <w:r>
        <w:rPr>
          <w:rFonts w:hint="eastAsia"/>
          <w:highlight w:val="none"/>
        </w:rPr>
        <w:t xml:space="preserve">式中：      </w:t>
      </w:r>
    </w:p>
    <w:p>
      <w:pPr>
        <w:pStyle w:val="25"/>
        <w:rPr>
          <w:highlight w:val="none"/>
        </w:rPr>
      </w:pPr>
      <w:r>
        <w:rPr>
          <w:rFonts w:hint="eastAsia" w:hAnsi="宋体"/>
          <w:i/>
          <w:iCs/>
          <w:szCs w:val="21"/>
          <w:highlight w:val="none"/>
        </w:rPr>
        <w:t>s</w:t>
      </w:r>
      <w:r>
        <w:rPr>
          <w:rFonts w:hint="eastAsia" w:hAnsi="宋体"/>
          <w:i/>
          <w:iCs/>
          <w:szCs w:val="21"/>
          <w:highlight w:val="none"/>
          <w:vertAlign w:val="subscript"/>
        </w:rPr>
        <w:t>b</w:t>
      </w:r>
      <w:r>
        <w:rPr>
          <w:i/>
          <w:iCs/>
          <w:highlight w:val="none"/>
          <w:vertAlign w:val="subscript"/>
        </w:rPr>
        <w:t xml:space="preserve"> </w:t>
      </w:r>
      <w:r>
        <w:rPr>
          <w:rFonts w:hint="eastAsia"/>
          <w:highlight w:val="none"/>
        </w:rPr>
        <w:t>——空白测试的标准偏差；</w:t>
      </w:r>
    </w:p>
    <w:p>
      <w:pPr>
        <w:pStyle w:val="25"/>
        <w:rPr>
          <w:highlight w:val="none"/>
        </w:rPr>
      </w:pPr>
      <w:r>
        <w:rPr>
          <w:i/>
          <w:iCs/>
          <w:highlight w:val="none"/>
        </w:rPr>
        <w:t>S</w:t>
      </w:r>
      <w:r>
        <w:rPr>
          <w:rFonts w:hint="eastAsia"/>
          <w:highlight w:val="none"/>
        </w:rPr>
        <w:t>——灵敏度，单位为信号每平方厘米。</w:t>
      </w:r>
    </w:p>
    <w:p>
      <w:pPr>
        <w:pStyle w:val="25"/>
        <w:rPr>
          <w:highlight w:val="none"/>
        </w:rPr>
      </w:pPr>
      <w:r>
        <w:rPr>
          <w:rFonts w:hint="eastAsia"/>
          <w:highlight w:val="none"/>
        </w:rPr>
        <w:t>对一个严格单边的高斯分布取99.6％的置信水平，公式A.1中的数字选择3。但是验证表明低浓度时，更多的时候可能不是高斯分布。</w:t>
      </w:r>
    </w:p>
    <w:p>
      <w:pPr>
        <w:pStyle w:val="106"/>
        <w:spacing w:before="0" w:beforeLines="0" w:after="0" w:afterLines="0"/>
        <w:rPr>
          <w:rFonts w:ascii="宋体" w:hAnsi="宋体" w:eastAsia="宋体"/>
          <w:kern w:val="0"/>
          <w:highlight w:val="none"/>
        </w:rPr>
      </w:pPr>
      <w:r>
        <w:rPr>
          <w:rFonts w:hint="eastAsia" w:ascii="宋体" w:hAnsi="宋体" w:eastAsia="宋体"/>
          <w:kern w:val="0"/>
          <w:highlight w:val="none"/>
        </w:rPr>
        <w:t>对短期测试，通常假定空白测试的标准偏差是由泊松光子统计学给出，并导出了在文献中通常报道的检测限的公式A.2。</w:t>
      </w:r>
    </w:p>
    <w:p>
      <w:pPr>
        <w:autoSpaceDE w:val="0"/>
        <w:autoSpaceDN w:val="0"/>
        <w:adjustRightInd w:val="0"/>
        <w:jc w:val="right"/>
        <w:rPr>
          <w:rFonts w:ascii="宋体" w:hAnsi="宋体"/>
          <w:kern w:val="0"/>
          <w:szCs w:val="21"/>
          <w:highlight w:val="none"/>
        </w:rPr>
      </w:pPr>
      <w:r>
        <w:rPr>
          <w:rFonts w:hint="eastAsia" w:ascii="宋体" w:hAnsi="宋体"/>
          <w:i/>
          <w:iCs/>
          <w:kern w:val="0"/>
          <w:szCs w:val="21"/>
          <w:highlight w:val="none"/>
        </w:rPr>
        <w:t>C</w:t>
      </w:r>
      <w:r>
        <w:rPr>
          <w:rFonts w:hint="eastAsia" w:ascii="宋体" w:hAnsi="宋体"/>
          <w:i/>
          <w:iCs/>
          <w:kern w:val="0"/>
          <w:szCs w:val="21"/>
          <w:highlight w:val="none"/>
          <w:vertAlign w:val="subscript"/>
        </w:rPr>
        <w:t>L</w:t>
      </w:r>
      <w:r>
        <w:rPr>
          <w:rFonts w:hint="eastAsia" w:ascii="宋体" w:hAnsi="宋体"/>
          <w:i/>
          <w:iCs/>
          <w:kern w:val="0"/>
          <w:szCs w:val="21"/>
          <w:highlight w:val="none"/>
        </w:rPr>
        <w:t>=</w:t>
      </w:r>
      <w:r>
        <w:rPr>
          <w:rFonts w:ascii="宋体" w:hAnsi="宋体"/>
          <w:kern w:val="0"/>
          <w:szCs w:val="21"/>
          <w:highlight w:val="none"/>
        </w:rPr>
        <w:t>3(</w:t>
      </w:r>
      <w:r>
        <w:rPr>
          <w:rFonts w:hint="eastAsia" w:ascii="宋体" w:hAnsi="宋体"/>
          <w:kern w:val="0"/>
          <w:szCs w:val="21"/>
          <w:highlight w:val="none"/>
        </w:rPr>
        <w:t>参考面密度×本底计数)</w:t>
      </w:r>
      <w:r>
        <w:rPr>
          <w:rFonts w:ascii="宋体" w:hAnsi="宋体"/>
          <w:kern w:val="0"/>
          <w:szCs w:val="21"/>
          <w:highlight w:val="none"/>
          <w:vertAlign w:val="superscript"/>
        </w:rPr>
        <w:t>1/2</w:t>
      </w:r>
      <w:r>
        <w:rPr>
          <w:rFonts w:ascii="宋体" w:hAnsi="宋体"/>
          <w:kern w:val="0"/>
          <w:szCs w:val="21"/>
          <w:highlight w:val="none"/>
        </w:rPr>
        <w:t>/</w:t>
      </w:r>
      <w:r>
        <w:rPr>
          <w:rFonts w:hint="eastAsia" w:ascii="宋体" w:hAnsi="宋体"/>
          <w:kern w:val="0"/>
          <w:szCs w:val="21"/>
          <w:highlight w:val="none"/>
        </w:rPr>
        <w:t>（净信号）</w:t>
      </w:r>
      <w:r>
        <w:rPr>
          <w:rFonts w:ascii="宋体" w:hAnsi="宋体"/>
          <w:kern w:val="0"/>
          <w:szCs w:val="21"/>
          <w:highlight w:val="none"/>
        </w:rPr>
        <w:t>………………</w:t>
      </w:r>
      <w:r>
        <w:rPr>
          <w:rFonts w:hint="eastAsia" w:ascii="宋体" w:hAnsi="宋体"/>
          <w:kern w:val="0"/>
          <w:szCs w:val="21"/>
          <w:highlight w:val="none"/>
        </w:rPr>
        <w:t>（</w:t>
      </w:r>
      <w:r>
        <w:rPr>
          <w:rFonts w:ascii="宋体" w:hAnsi="宋体"/>
          <w:kern w:val="0"/>
          <w:szCs w:val="21"/>
          <w:highlight w:val="none"/>
        </w:rPr>
        <w:t>A.2</w:t>
      </w:r>
      <w:r>
        <w:rPr>
          <w:rFonts w:hint="eastAsia" w:ascii="宋体" w:hAnsi="宋体"/>
          <w:kern w:val="0"/>
          <w:szCs w:val="21"/>
          <w:highlight w:val="none"/>
        </w:rPr>
        <w:t>）</w:t>
      </w:r>
    </w:p>
    <w:p>
      <w:pPr>
        <w:pStyle w:val="25"/>
        <w:rPr>
          <w:highlight w:val="none"/>
        </w:rPr>
      </w:pPr>
      <w:r>
        <w:rPr>
          <w:rFonts w:hint="eastAsia"/>
          <w:highlight w:val="none"/>
        </w:rPr>
        <w:t>这一检测限包括下述关键假定：空白测试的标准偏差仅由X射线泊松光子统计给出，没有其他的可变性贡献对该项有意义。这一假定仅对于检测限的短期估计是正确的。</w:t>
      </w:r>
    </w:p>
    <w:p>
      <w:pPr>
        <w:pStyle w:val="106"/>
        <w:spacing w:before="0" w:beforeLines="0" w:after="0" w:afterLines="0"/>
        <w:rPr>
          <w:rFonts w:ascii="宋体" w:hAnsi="宋体" w:eastAsia="宋体"/>
          <w:kern w:val="0"/>
          <w:highlight w:val="none"/>
        </w:rPr>
      </w:pPr>
      <w:r>
        <w:rPr>
          <w:rFonts w:hint="eastAsia" w:ascii="宋体" w:hAnsi="宋体" w:eastAsia="宋体"/>
          <w:kern w:val="0"/>
          <w:highlight w:val="none"/>
        </w:rPr>
        <w:t>对于检测限的长期估计，空白测试的标准偏差被认为有来自于其他的可变性，而不仅仅是泊松统计学的贡献，因此长期的检测限的估计比短期的检测限大，在空白测试中对可变性的其他贡献可包括但不限于：掠射角校准和X射线束发散。</w:t>
      </w:r>
    </w:p>
    <w:p>
      <w:pPr>
        <w:pStyle w:val="105"/>
        <w:spacing w:before="312" w:after="312"/>
        <w:rPr>
          <w:kern w:val="0"/>
          <w:highlight w:val="none"/>
        </w:rPr>
      </w:pPr>
      <w:r>
        <w:rPr>
          <w:rFonts w:hint="eastAsia"/>
          <w:kern w:val="0"/>
          <w:highlight w:val="none"/>
        </w:rPr>
        <w:t>比较数据系统</w:t>
      </w:r>
    </w:p>
    <w:p>
      <w:pPr>
        <w:pStyle w:val="106"/>
        <w:spacing w:before="156" w:after="156"/>
        <w:rPr>
          <w:kern w:val="0"/>
          <w:highlight w:val="none"/>
        </w:rPr>
      </w:pPr>
      <w:r>
        <w:rPr>
          <w:rFonts w:hint="eastAsia"/>
          <w:kern w:val="0"/>
          <w:highlight w:val="none"/>
        </w:rPr>
        <w:t>引言</w:t>
      </w:r>
    </w:p>
    <w:p>
      <w:pPr>
        <w:pStyle w:val="92"/>
        <w:ind w:left="0"/>
        <w:rPr>
          <w:highlight w:val="none"/>
        </w:rPr>
      </w:pPr>
      <w:r>
        <w:rPr>
          <w:rFonts w:hint="eastAsia"/>
          <w:kern w:val="0"/>
          <w:highlight w:val="none"/>
        </w:rPr>
        <w:t>在一</w:t>
      </w:r>
      <w:r>
        <w:rPr>
          <w:rFonts w:hint="eastAsia"/>
          <w:highlight w:val="none"/>
        </w:rPr>
        <w:t>个有资质的测试系统中进行操作，将比较值归为人造品的做法是可用的。像测试期间因设备上人为生成物而得到的与参照样品形成对照的东西，这种附加物略述了一种途径，可利用多个元素的测试数据来监控可能来自于设备软件和计算的干扰。</w:t>
      </w:r>
    </w:p>
    <w:p>
      <w:pPr>
        <w:pStyle w:val="92"/>
        <w:ind w:left="0"/>
        <w:rPr>
          <w:highlight w:val="none"/>
        </w:rPr>
      </w:pPr>
      <w:r>
        <w:rPr>
          <w:rFonts w:hint="eastAsia"/>
          <w:highlight w:val="none"/>
        </w:rPr>
        <w:t>TXRF 用于计算表面元素沾污使用的数据组。</w:t>
      </w:r>
    </w:p>
    <w:p>
      <w:pPr>
        <w:pStyle w:val="92"/>
        <w:ind w:left="0"/>
        <w:rPr>
          <w:highlight w:val="none"/>
        </w:rPr>
      </w:pPr>
      <w:r>
        <w:rPr>
          <w:rFonts w:hint="eastAsia"/>
          <w:highlight w:val="none"/>
        </w:rPr>
        <w:t>一个具有仲裁数据系统（RDS）的仲裁片（人造物品），其每一个数据点都是重复测试数据的均值。在设备上测试人造物，并对照测试抽样数据组的结果比较其RDS。在这数据组里差是计算得到的。</w:t>
      </w:r>
    </w:p>
    <w:p>
      <w:pPr>
        <w:pStyle w:val="92"/>
        <w:ind w:left="0"/>
        <w:rPr>
          <w:kern w:val="0"/>
          <w:highlight w:val="none"/>
        </w:rPr>
      </w:pPr>
      <w:r>
        <w:rPr>
          <w:rFonts w:hint="eastAsia"/>
          <w:highlight w:val="none"/>
        </w:rPr>
        <w:t>使用人造物与系统间</w:t>
      </w:r>
      <w:r>
        <w:rPr>
          <w:rFonts w:hint="eastAsia"/>
          <w:kern w:val="0"/>
          <w:highlight w:val="none"/>
        </w:rPr>
        <w:t>测试一致的参数，一致的可接受水平由供需双方协商。</w:t>
      </w:r>
    </w:p>
    <w:p>
      <w:pPr>
        <w:pStyle w:val="106"/>
        <w:spacing w:before="156" w:after="156"/>
        <w:rPr>
          <w:kern w:val="0"/>
          <w:highlight w:val="none"/>
        </w:rPr>
      </w:pPr>
      <w:r>
        <w:rPr>
          <w:rFonts w:hint="eastAsia"/>
          <w:kern w:val="0"/>
          <w:highlight w:val="none"/>
        </w:rPr>
        <w:t>测试方法概述</w:t>
      </w:r>
    </w:p>
    <w:p>
      <w:pPr>
        <w:pStyle w:val="92"/>
        <w:ind w:left="0"/>
        <w:rPr>
          <w:highlight w:val="none"/>
        </w:rPr>
      </w:pPr>
      <w:r>
        <w:rPr>
          <w:rFonts w:hint="eastAsia"/>
          <w:kern w:val="0"/>
          <w:highlight w:val="none"/>
        </w:rPr>
        <w:t>选</w:t>
      </w:r>
      <w:r>
        <w:rPr>
          <w:rFonts w:hint="eastAsia"/>
          <w:highlight w:val="none"/>
        </w:rPr>
        <w:t>择一合适标准的仲裁片，该片已具有一仲裁数据系统。</w:t>
      </w:r>
    </w:p>
    <w:p>
      <w:pPr>
        <w:pStyle w:val="92"/>
        <w:ind w:left="0"/>
        <w:rPr>
          <w:highlight w:val="none"/>
        </w:rPr>
      </w:pPr>
      <w:r>
        <w:rPr>
          <w:rFonts w:hint="eastAsia"/>
          <w:highlight w:val="none"/>
        </w:rPr>
        <w:t>在设备上测试参考片获得样品数据系统</w:t>
      </w:r>
      <w:r>
        <w:rPr>
          <w:highlight w:val="none"/>
        </w:rPr>
        <w:t>SDS</w:t>
      </w:r>
      <w:r>
        <w:rPr>
          <w:rFonts w:hint="eastAsia"/>
          <w:highlight w:val="none"/>
        </w:rPr>
        <w:t>。</w:t>
      </w:r>
    </w:p>
    <w:p>
      <w:pPr>
        <w:pStyle w:val="92"/>
        <w:ind w:left="0"/>
        <w:rPr>
          <w:kern w:val="0"/>
          <w:highlight w:val="none"/>
        </w:rPr>
      </w:pPr>
      <w:r>
        <w:rPr>
          <w:rFonts w:hint="eastAsia"/>
          <w:kern w:val="0"/>
          <w:highlight w:val="none"/>
        </w:rPr>
        <w:t>两数相减获得两个不同的数据系统的数值差DDS,如公式A.3所示。</w:t>
      </w:r>
    </w:p>
    <w:p>
      <w:pPr>
        <w:autoSpaceDE w:val="0"/>
        <w:autoSpaceDN w:val="0"/>
        <w:adjustRightInd w:val="0"/>
        <w:jc w:val="right"/>
        <w:rPr>
          <w:rFonts w:ascii="宋体" w:hAnsi="宋体"/>
          <w:kern w:val="0"/>
          <w:szCs w:val="21"/>
          <w:highlight w:val="none"/>
        </w:rPr>
      </w:pPr>
      <w:r>
        <w:rPr>
          <w:rFonts w:ascii="宋体" w:hAnsi="宋体"/>
          <w:i/>
          <w:iCs/>
          <w:kern w:val="0"/>
          <w:szCs w:val="21"/>
          <w:highlight w:val="none"/>
        </w:rPr>
        <w:t>RDS</w:t>
      </w:r>
      <w:r>
        <w:rPr>
          <w:rFonts w:hint="eastAsia" w:ascii="宋体" w:hAnsi="宋体"/>
          <w:i/>
          <w:iCs/>
          <w:kern w:val="0"/>
          <w:szCs w:val="21"/>
          <w:highlight w:val="none"/>
        </w:rPr>
        <w:t>-</w:t>
      </w:r>
      <w:r>
        <w:rPr>
          <w:rFonts w:ascii="宋体" w:hAnsi="宋体"/>
          <w:i/>
          <w:iCs/>
          <w:kern w:val="0"/>
          <w:szCs w:val="21"/>
          <w:highlight w:val="none"/>
        </w:rPr>
        <w:t xml:space="preserve">SDS </w:t>
      </w:r>
      <w:r>
        <w:rPr>
          <w:rFonts w:hint="eastAsia" w:ascii="宋体" w:hAnsi="宋体"/>
          <w:kern w:val="0"/>
          <w:szCs w:val="21"/>
          <w:highlight w:val="none"/>
        </w:rPr>
        <w:t>=</w:t>
      </w:r>
      <w:r>
        <w:rPr>
          <w:rFonts w:ascii="宋体" w:hAnsi="宋体"/>
          <w:i/>
          <w:iCs/>
          <w:kern w:val="0"/>
          <w:szCs w:val="21"/>
          <w:highlight w:val="none"/>
        </w:rPr>
        <w:t>DDS</w:t>
      </w:r>
      <w:r>
        <w:rPr>
          <w:rFonts w:hint="eastAsia" w:ascii="宋体" w:hAnsi="宋体"/>
          <w:i/>
          <w:iCs/>
          <w:kern w:val="0"/>
          <w:szCs w:val="21"/>
          <w:highlight w:val="none"/>
        </w:rPr>
        <w:t xml:space="preserve"> </w:t>
      </w:r>
      <w:r>
        <w:rPr>
          <w:rFonts w:ascii="宋体" w:hAnsi="宋体"/>
          <w:iCs/>
          <w:kern w:val="0"/>
          <w:szCs w:val="21"/>
          <w:highlight w:val="none"/>
        </w:rPr>
        <w:t>…………</w:t>
      </w:r>
      <w:r>
        <w:rPr>
          <w:rFonts w:ascii="宋体" w:hAnsi="宋体"/>
          <w:i/>
          <w:iCs/>
          <w:kern w:val="0"/>
          <w:szCs w:val="21"/>
          <w:highlight w:val="none"/>
        </w:rPr>
        <w:t>…………………………</w:t>
      </w:r>
      <w:r>
        <w:rPr>
          <w:rFonts w:ascii="宋体" w:hAnsi="宋体"/>
          <w:kern w:val="0"/>
          <w:szCs w:val="21"/>
          <w:highlight w:val="none"/>
        </w:rPr>
        <w:t>(A.</w:t>
      </w:r>
      <w:r>
        <w:rPr>
          <w:rFonts w:hint="eastAsia" w:ascii="宋体" w:hAnsi="宋体"/>
          <w:kern w:val="0"/>
          <w:szCs w:val="21"/>
          <w:highlight w:val="none"/>
        </w:rPr>
        <w:t>3</w:t>
      </w:r>
      <w:r>
        <w:rPr>
          <w:rFonts w:ascii="宋体" w:hAnsi="宋体"/>
          <w:kern w:val="0"/>
          <w:szCs w:val="21"/>
          <w:highlight w:val="none"/>
        </w:rPr>
        <w:t>)</w:t>
      </w:r>
    </w:p>
    <w:p>
      <w:pPr>
        <w:pStyle w:val="25"/>
        <w:rPr>
          <w:highlight w:val="none"/>
        </w:rPr>
      </w:pPr>
      <w:r>
        <w:rPr>
          <w:rFonts w:hint="eastAsia"/>
          <w:highlight w:val="none"/>
        </w:rPr>
        <w:t>式中：</w:t>
      </w:r>
    </w:p>
    <w:p>
      <w:pPr>
        <w:pStyle w:val="25"/>
        <w:rPr>
          <w:highlight w:val="none"/>
        </w:rPr>
      </w:pPr>
      <w:r>
        <w:rPr>
          <w:i/>
          <w:iCs/>
          <w:highlight w:val="none"/>
        </w:rPr>
        <w:t>DDS</w:t>
      </w:r>
      <w:r>
        <w:rPr>
          <w:rFonts w:hint="eastAsia"/>
          <w:highlight w:val="none"/>
        </w:rPr>
        <w:t>——在测试数据和仲裁数据间的测试差值;</w:t>
      </w:r>
    </w:p>
    <w:p>
      <w:pPr>
        <w:pStyle w:val="25"/>
        <w:rPr>
          <w:highlight w:val="none"/>
        </w:rPr>
      </w:pPr>
      <w:r>
        <w:rPr>
          <w:rFonts w:hint="eastAsia"/>
          <w:highlight w:val="none"/>
        </w:rPr>
        <w:t>DDS包含了很多值，用于确定可接受的简单的度量标准是最大差值，即在DDS中最大的绝对值。它是在使用设备完成测试数据和仲裁数据之间最坏情况的不一致描述。</w:t>
      </w:r>
    </w:p>
    <w:p>
      <w:pPr>
        <w:pStyle w:val="92"/>
        <w:ind w:left="0"/>
        <w:rPr>
          <w:highlight w:val="none"/>
        </w:rPr>
      </w:pPr>
      <w:r>
        <w:rPr>
          <w:rFonts w:hint="eastAsia"/>
          <w:kern w:val="0"/>
          <w:highlight w:val="none"/>
        </w:rPr>
        <w:t>如果</w:t>
      </w:r>
      <w:r>
        <w:rPr>
          <w:rFonts w:hint="eastAsia"/>
          <w:highlight w:val="none"/>
        </w:rPr>
        <w:t>测试的最大差值小于供需双方都可接受的值，该设备的测试可接受。</w:t>
      </w:r>
    </w:p>
    <w:p>
      <w:pPr>
        <w:pStyle w:val="92"/>
        <w:ind w:left="0"/>
        <w:rPr>
          <w:highlight w:val="none"/>
        </w:rPr>
      </w:pPr>
      <w:r>
        <w:rPr>
          <w:rFonts w:hint="eastAsia"/>
          <w:highlight w:val="none"/>
        </w:rPr>
        <w:t>也可使用更复杂的计算，例如，可比较DDS的元素值连同统计量（平均值 σ等）的各个元素的柱状图。这些量</w:t>
      </w:r>
      <w:r>
        <w:rPr>
          <w:rFonts w:hint="eastAsia"/>
          <w:kern w:val="0"/>
          <w:highlight w:val="none"/>
        </w:rPr>
        <w:t>可描述应用特定的极限或用于提供差值的来源和种类。</w:t>
      </w:r>
    </w:p>
    <w:p>
      <w:pPr>
        <w:tabs>
          <w:tab w:val="left" w:pos="6060"/>
        </w:tabs>
        <w:rPr>
          <w:highlight w:val="none"/>
        </w:rPr>
      </w:pPr>
    </w:p>
    <w:p>
      <w:pPr>
        <w:pStyle w:val="101"/>
        <w:rPr>
          <w:highlight w:val="none"/>
        </w:rPr>
      </w:pPr>
    </w:p>
    <w:p>
      <w:pPr>
        <w:pStyle w:val="89"/>
        <w:rPr>
          <w:highlight w:val="none"/>
        </w:rPr>
      </w:pPr>
    </w:p>
    <w:p>
      <w:pPr>
        <w:pStyle w:val="87"/>
        <w:rPr>
          <w:highlight w:val="none"/>
        </w:rPr>
      </w:pPr>
      <w:r>
        <w:rPr>
          <w:highlight w:val="none"/>
        </w:rPr>
        <w:br w:type="textWrapping"/>
      </w:r>
      <w:r>
        <w:rPr>
          <w:rFonts w:hint="eastAsia"/>
          <w:highlight w:val="none"/>
        </w:rPr>
        <w:t>（资料性附录）</w:t>
      </w:r>
      <w:r>
        <w:rPr>
          <w:highlight w:val="none"/>
        </w:rPr>
        <w:br w:type="textWrapping"/>
      </w:r>
      <w:r>
        <w:rPr>
          <w:rFonts w:hint="eastAsia"/>
          <w:highlight w:val="none"/>
        </w:rPr>
        <w:t>TXRF与不同表面金属测试方法的比较及校准样品的标定</w:t>
      </w:r>
    </w:p>
    <w:p>
      <w:pPr>
        <w:pStyle w:val="105"/>
        <w:spacing w:before="312" w:after="312"/>
        <w:rPr>
          <w:highlight w:val="none"/>
        </w:rPr>
      </w:pPr>
      <w:r>
        <w:rPr>
          <w:rFonts w:hint="eastAsia"/>
          <w:highlight w:val="none"/>
        </w:rPr>
        <w:t>方法补充</w:t>
      </w:r>
    </w:p>
    <w:p>
      <w:pPr>
        <w:pStyle w:val="25"/>
        <w:rPr>
          <w:highlight w:val="none"/>
        </w:rPr>
      </w:pPr>
      <w:r>
        <w:rPr>
          <w:rFonts w:hint="eastAsia"/>
          <w:highlight w:val="none"/>
        </w:rPr>
        <w:t>TXRF是对以下测试方法的补充：</w:t>
      </w:r>
    </w:p>
    <w:p>
      <w:pPr>
        <w:pStyle w:val="62"/>
        <w:numPr>
          <w:ilvl w:val="0"/>
          <w:numId w:val="26"/>
        </w:numPr>
        <w:rPr>
          <w:highlight w:val="none"/>
        </w:rPr>
      </w:pPr>
      <w:r>
        <w:rPr>
          <w:rFonts w:hint="eastAsia"/>
          <w:highlight w:val="none"/>
        </w:rPr>
        <w:t>化学分析电子能谱，其测试元素的表面面密度检测限为</w:t>
      </w:r>
      <w:r>
        <w:rPr>
          <w:highlight w:val="none"/>
        </w:rPr>
        <w:t>10</w:t>
      </w:r>
      <w:r>
        <w:rPr>
          <w:highlight w:val="none"/>
          <w:vertAlign w:val="superscript"/>
        </w:rPr>
        <w:t>1</w:t>
      </w:r>
      <w:r>
        <w:rPr>
          <w:rFonts w:hint="eastAsia"/>
          <w:highlight w:val="none"/>
          <w:vertAlign w:val="superscript"/>
        </w:rPr>
        <w:t>3</w:t>
      </w:r>
      <w:r>
        <w:rPr>
          <w:rFonts w:hint="eastAsia"/>
          <w:highlight w:val="none"/>
        </w:rPr>
        <w:t>atoms/cm</w:t>
      </w:r>
      <w:r>
        <w:rPr>
          <w:rFonts w:hint="eastAsia"/>
          <w:highlight w:val="none"/>
          <w:vertAlign w:val="superscript"/>
        </w:rPr>
        <w:t>2</w:t>
      </w:r>
      <w:r>
        <w:rPr>
          <w:rFonts w:hint="eastAsia"/>
          <w:highlight w:val="none"/>
        </w:rPr>
        <w:t>；</w:t>
      </w:r>
    </w:p>
    <w:p>
      <w:pPr>
        <w:pStyle w:val="62"/>
        <w:numPr>
          <w:ilvl w:val="0"/>
          <w:numId w:val="27"/>
        </w:numPr>
        <w:tabs>
          <w:tab w:val="left" w:pos="846"/>
        </w:tabs>
        <w:rPr>
          <w:highlight w:val="none"/>
        </w:rPr>
      </w:pPr>
      <w:r>
        <w:rPr>
          <w:rFonts w:hint="eastAsia"/>
          <w:highlight w:val="none"/>
        </w:rPr>
        <w:t>俄歇电子能谱，其测试表面元素面密度测定限为</w:t>
      </w:r>
      <w:r>
        <w:rPr>
          <w:highlight w:val="none"/>
        </w:rPr>
        <w:t>10</w:t>
      </w:r>
      <w:r>
        <w:rPr>
          <w:rFonts w:hint="eastAsia"/>
          <w:highlight w:val="none"/>
          <w:vertAlign w:val="superscript"/>
        </w:rPr>
        <w:t>2</w:t>
      </w:r>
      <w:r>
        <w:rPr>
          <w:rFonts w:hint="eastAsia"/>
          <w:highlight w:val="none"/>
        </w:rPr>
        <w:t>atoms/cm</w:t>
      </w:r>
      <w:r>
        <w:rPr>
          <w:rFonts w:hint="eastAsia"/>
          <w:highlight w:val="none"/>
          <w:vertAlign w:val="superscript"/>
        </w:rPr>
        <w:t>2</w:t>
      </w:r>
      <w:r>
        <w:rPr>
          <w:rFonts w:hint="eastAsia"/>
          <w:highlight w:val="none"/>
        </w:rPr>
        <w:t>；</w:t>
      </w:r>
    </w:p>
    <w:p>
      <w:pPr>
        <w:pStyle w:val="62"/>
        <w:numPr>
          <w:ilvl w:val="0"/>
          <w:numId w:val="28"/>
        </w:numPr>
        <w:rPr>
          <w:highlight w:val="none"/>
        </w:rPr>
      </w:pPr>
      <w:r>
        <w:rPr>
          <w:rFonts w:hint="eastAsia"/>
          <w:highlight w:val="none"/>
        </w:rPr>
        <w:t>氮束-卢瑟福背散射谱，对某些元素的检测限为</w:t>
      </w:r>
      <w:r>
        <w:rPr>
          <w:highlight w:val="none"/>
        </w:rPr>
        <w:t>10</w:t>
      </w:r>
      <w:r>
        <w:rPr>
          <w:highlight w:val="none"/>
          <w:vertAlign w:val="superscript"/>
        </w:rPr>
        <w:t>1</w:t>
      </w:r>
      <w:r>
        <w:rPr>
          <w:rFonts w:hint="eastAsia"/>
          <w:highlight w:val="none"/>
          <w:vertAlign w:val="superscript"/>
        </w:rPr>
        <w:t>0</w:t>
      </w:r>
      <w:r>
        <w:rPr>
          <w:rFonts w:hint="eastAsia"/>
          <w:highlight w:val="none"/>
        </w:rPr>
        <w:t>atoms/cm</w:t>
      </w:r>
      <w:r>
        <w:rPr>
          <w:rFonts w:hint="eastAsia"/>
          <w:highlight w:val="none"/>
          <w:vertAlign w:val="superscript"/>
        </w:rPr>
        <w:t>2</w:t>
      </w:r>
      <w:r>
        <w:rPr>
          <w:rFonts w:hint="eastAsia"/>
          <w:highlight w:val="none"/>
        </w:rPr>
        <w:t>，但不能给出原子序数排列邻近的重元素；</w:t>
      </w:r>
    </w:p>
    <w:p>
      <w:pPr>
        <w:pStyle w:val="62"/>
        <w:rPr>
          <w:highlight w:val="none"/>
        </w:rPr>
      </w:pPr>
      <w:r>
        <w:rPr>
          <w:rFonts w:hint="eastAsia"/>
          <w:highlight w:val="none"/>
        </w:rPr>
        <w:t>二次离子质谱，可检测原子序数较小的元素，其检测范围为</w:t>
      </w:r>
      <w:r>
        <w:rPr>
          <w:highlight w:val="none"/>
        </w:rPr>
        <w:t>10</w:t>
      </w:r>
      <w:r>
        <w:rPr>
          <w:rFonts w:hint="eastAsia"/>
          <w:highlight w:val="none"/>
          <w:vertAlign w:val="superscript"/>
        </w:rPr>
        <w:t>8</w:t>
      </w:r>
      <w:r>
        <w:rPr>
          <w:rFonts w:hint="eastAsia"/>
          <w:highlight w:val="none"/>
        </w:rPr>
        <w:t xml:space="preserve"> atoms/cm</w:t>
      </w:r>
      <w:r>
        <w:rPr>
          <w:rFonts w:hint="eastAsia"/>
          <w:highlight w:val="none"/>
          <w:vertAlign w:val="superscript"/>
        </w:rPr>
        <w:t>2</w:t>
      </w:r>
      <w:r>
        <w:rPr>
          <w:rFonts w:hint="eastAsia"/>
          <w:highlight w:val="none"/>
        </w:rPr>
        <w:t>～</w:t>
      </w:r>
      <w:r>
        <w:rPr>
          <w:highlight w:val="none"/>
        </w:rPr>
        <w:t>10</w:t>
      </w:r>
      <w:r>
        <w:rPr>
          <w:highlight w:val="none"/>
          <w:vertAlign w:val="superscript"/>
        </w:rPr>
        <w:t>1</w:t>
      </w:r>
      <w:r>
        <w:rPr>
          <w:rFonts w:hint="eastAsia"/>
          <w:highlight w:val="none"/>
          <w:vertAlign w:val="superscript"/>
        </w:rPr>
        <w:t>2</w:t>
      </w:r>
      <w:r>
        <w:rPr>
          <w:rFonts w:hint="eastAsia"/>
          <w:highlight w:val="none"/>
        </w:rPr>
        <w:t>atoms/cm</w:t>
      </w:r>
      <w:r>
        <w:rPr>
          <w:rFonts w:hint="eastAsia"/>
          <w:highlight w:val="none"/>
          <w:vertAlign w:val="superscript"/>
        </w:rPr>
        <w:t>2</w:t>
      </w:r>
      <w:r>
        <w:rPr>
          <w:rFonts w:hint="eastAsia"/>
          <w:highlight w:val="none"/>
        </w:rPr>
        <w:t>，但对原子序数在22～30的钛和锌之间的过渡元素不能提供足够的检测限，且该方法是破坏性的；</w:t>
      </w:r>
    </w:p>
    <w:p>
      <w:pPr>
        <w:pStyle w:val="62"/>
        <w:rPr>
          <w:highlight w:val="none"/>
        </w:rPr>
      </w:pPr>
      <w:r>
        <w:rPr>
          <w:rFonts w:hint="eastAsia"/>
          <w:highlight w:val="none"/>
        </w:rPr>
        <w:t>气相分解(VPD)原子吸收光谱（AAS），其对表面金属检测范围为</w:t>
      </w:r>
      <w:r>
        <w:rPr>
          <w:highlight w:val="none"/>
        </w:rPr>
        <w:t>10</w:t>
      </w:r>
      <w:r>
        <w:rPr>
          <w:rFonts w:hint="eastAsia"/>
          <w:highlight w:val="none"/>
          <w:vertAlign w:val="superscript"/>
        </w:rPr>
        <w:t>8</w:t>
      </w:r>
      <w:r>
        <w:rPr>
          <w:rFonts w:hint="eastAsia"/>
          <w:highlight w:val="none"/>
        </w:rPr>
        <w:t xml:space="preserve"> atoms/cm</w:t>
      </w:r>
      <w:r>
        <w:rPr>
          <w:rFonts w:hint="eastAsia"/>
          <w:highlight w:val="none"/>
          <w:vertAlign w:val="superscript"/>
        </w:rPr>
        <w:t>2</w:t>
      </w:r>
      <w:r>
        <w:rPr>
          <w:rFonts w:hint="eastAsia"/>
          <w:highlight w:val="none"/>
        </w:rPr>
        <w:t>～</w:t>
      </w:r>
      <w:r>
        <w:rPr>
          <w:highlight w:val="none"/>
        </w:rPr>
        <w:t>10</w:t>
      </w:r>
      <w:r>
        <w:rPr>
          <w:highlight w:val="none"/>
          <w:vertAlign w:val="superscript"/>
        </w:rPr>
        <w:t>1</w:t>
      </w:r>
      <w:r>
        <w:rPr>
          <w:rFonts w:hint="eastAsia"/>
          <w:highlight w:val="none"/>
          <w:vertAlign w:val="superscript"/>
        </w:rPr>
        <w:t>1</w:t>
      </w:r>
      <w:r>
        <w:rPr>
          <w:rFonts w:hint="eastAsia"/>
          <w:highlight w:val="none"/>
        </w:rPr>
        <w:t>atoms/cm</w:t>
      </w:r>
      <w:r>
        <w:rPr>
          <w:rFonts w:hint="eastAsia"/>
          <w:highlight w:val="none"/>
          <w:vertAlign w:val="superscript"/>
        </w:rPr>
        <w:t>2</w:t>
      </w:r>
      <w:r>
        <w:rPr>
          <w:rFonts w:hint="eastAsia"/>
          <w:highlight w:val="none"/>
        </w:rPr>
        <w:t>，但是没有有效空间信息，并且分析时间比TXRF长，该方法也是破坏性的。</w:t>
      </w:r>
    </w:p>
    <w:p>
      <w:pPr>
        <w:pStyle w:val="105"/>
        <w:spacing w:before="312" w:after="312"/>
        <w:rPr>
          <w:b/>
          <w:bCs/>
          <w:highlight w:val="none"/>
        </w:rPr>
      </w:pPr>
      <w:r>
        <w:rPr>
          <w:rFonts w:hint="eastAsia"/>
          <w:highlight w:val="none"/>
        </w:rPr>
        <w:t>校准样品的标定</w:t>
      </w:r>
    </w:p>
    <w:p>
      <w:pPr>
        <w:pStyle w:val="106"/>
        <w:spacing w:before="0" w:beforeLines="0" w:after="0" w:afterLines="0"/>
        <w:rPr>
          <w:rFonts w:ascii="宋体" w:hAnsi="宋体" w:eastAsia="宋体"/>
          <w:highlight w:val="none"/>
        </w:rPr>
      </w:pPr>
      <w:r>
        <w:rPr>
          <w:rFonts w:hint="eastAsia" w:ascii="宋体" w:hAnsi="宋体" w:eastAsia="宋体"/>
          <w:highlight w:val="none"/>
        </w:rPr>
        <w:t>提供目前工艺水平的化学机械抛光硅片衬底，其表面金属面密度为</w:t>
      </w:r>
      <w:r>
        <w:rPr>
          <w:rFonts w:ascii="宋体" w:hAnsi="宋体" w:eastAsia="宋体"/>
          <w:highlight w:val="none"/>
        </w:rPr>
        <w:t>10</w:t>
      </w:r>
      <w:r>
        <w:rPr>
          <w:rFonts w:hint="eastAsia" w:ascii="宋体" w:hAnsi="宋体" w:eastAsia="宋体"/>
          <w:highlight w:val="none"/>
          <w:vertAlign w:val="superscript"/>
        </w:rPr>
        <w:t>12</w:t>
      </w:r>
      <w:r>
        <w:rPr>
          <w:rFonts w:hint="eastAsia" w:ascii="宋体" w:hAnsi="宋体" w:eastAsia="宋体"/>
          <w:highlight w:val="none"/>
        </w:rPr>
        <w:t>atoms/cm</w:t>
      </w:r>
      <w:r>
        <w:rPr>
          <w:rFonts w:hint="eastAsia" w:ascii="宋体" w:hAnsi="宋体" w:eastAsia="宋体"/>
          <w:highlight w:val="none"/>
          <w:vertAlign w:val="superscript"/>
        </w:rPr>
        <w:t>2</w:t>
      </w:r>
      <w:r>
        <w:rPr>
          <w:rFonts w:hint="eastAsia"/>
          <w:highlight w:val="none"/>
        </w:rPr>
        <w:t>～</w:t>
      </w:r>
      <w:r>
        <w:rPr>
          <w:rFonts w:ascii="宋体" w:hAnsi="宋体" w:eastAsia="宋体"/>
          <w:highlight w:val="none"/>
        </w:rPr>
        <w:t>10</w:t>
      </w:r>
      <w:r>
        <w:rPr>
          <w:rFonts w:ascii="宋体" w:hAnsi="宋体" w:eastAsia="宋体"/>
          <w:highlight w:val="none"/>
          <w:vertAlign w:val="superscript"/>
        </w:rPr>
        <w:t>1</w:t>
      </w:r>
      <w:r>
        <w:rPr>
          <w:rFonts w:hint="eastAsia" w:ascii="宋体" w:hAnsi="宋体" w:eastAsia="宋体"/>
          <w:highlight w:val="none"/>
          <w:vertAlign w:val="superscript"/>
        </w:rPr>
        <w:t>4</w:t>
      </w:r>
      <w:r>
        <w:rPr>
          <w:rFonts w:hint="eastAsia" w:ascii="宋体" w:hAnsi="宋体" w:eastAsia="宋体"/>
          <w:highlight w:val="none"/>
        </w:rPr>
        <w:t>atoms/cm</w:t>
      </w:r>
      <w:r>
        <w:rPr>
          <w:rFonts w:hint="eastAsia" w:ascii="宋体" w:hAnsi="宋体" w:eastAsia="宋体"/>
          <w:highlight w:val="none"/>
          <w:vertAlign w:val="superscript"/>
        </w:rPr>
        <w:t>2</w:t>
      </w:r>
      <w:r>
        <w:rPr>
          <w:rFonts w:hint="eastAsia" w:ascii="宋体" w:hAnsi="宋体" w:eastAsia="宋体"/>
          <w:highlight w:val="none"/>
        </w:rPr>
        <w:t>。从标定标准得到的K-</w:t>
      </w:r>
      <w:r>
        <w:rPr>
          <w:rFonts w:ascii="Times New Roman" w:eastAsia="宋体"/>
          <w:highlight w:val="none"/>
        </w:rPr>
        <w:t>α</w:t>
      </w:r>
      <w:r>
        <w:rPr>
          <w:rFonts w:hint="eastAsia" w:ascii="宋体" w:hAnsi="宋体" w:eastAsia="宋体"/>
          <w:highlight w:val="none"/>
        </w:rPr>
        <w:t>荧光信号是没有干扰的，即没有逃逸峰、和峰和其他沾污的荧光峰；无外部沾污源；首选元素不应该是容易增加沾污的元素（如铁），或随时间扩散到深处的元素（如金和铜）。因此首选元素是镍或钒。定标是选用一组带有已知不同种类特定元素面密度的硅片制作的。</w:t>
      </w:r>
    </w:p>
    <w:p>
      <w:pPr>
        <w:pStyle w:val="106"/>
        <w:spacing w:before="0" w:beforeLines="0" w:after="0" w:afterLines="0"/>
        <w:rPr>
          <w:rFonts w:ascii="宋体" w:hAnsi="宋体" w:eastAsia="宋体"/>
          <w:highlight w:val="none"/>
        </w:rPr>
      </w:pPr>
      <w:r>
        <w:rPr>
          <w:rFonts w:hint="eastAsia" w:ascii="宋体" w:hAnsi="宋体" w:eastAsia="宋体"/>
          <w:highlight w:val="none"/>
        </w:rPr>
        <w:t>校准片的标定应有一适当的可分析的方法确定标定金属的面密度。可提供标准值的几种适宜的标准标定方法包括：</w:t>
      </w:r>
    </w:p>
    <w:p>
      <w:pPr>
        <w:pStyle w:val="62"/>
        <w:numPr>
          <w:ilvl w:val="0"/>
          <w:numId w:val="29"/>
        </w:numPr>
        <w:tabs>
          <w:tab w:val="left" w:pos="846"/>
        </w:tabs>
        <w:rPr>
          <w:highlight w:val="none"/>
        </w:rPr>
      </w:pPr>
      <w:r>
        <w:rPr>
          <w:rFonts w:hint="eastAsia"/>
          <w:highlight w:val="none"/>
        </w:rPr>
        <w:t>氮束-卢瑟福背散射光谱（N-RBS）——使用这一方法，在±5原子质量单位范围内任何其他金属不能超过标定金属面密度的1％。N-RBS的测试是绝对测试，并且应在TXRF区域内进行。其他的背散射方法也可用标定元素面密度，它包括前向散射卢瑟福背散射（F-RBS）和重离子背散射光谱（HIBS）；</w:t>
      </w:r>
    </w:p>
    <w:p>
      <w:pPr>
        <w:pStyle w:val="62"/>
        <w:numPr>
          <w:ilvl w:val="0"/>
          <w:numId w:val="30"/>
        </w:numPr>
        <w:rPr>
          <w:highlight w:val="none"/>
        </w:rPr>
      </w:pPr>
      <w:r>
        <w:rPr>
          <w:rFonts w:hint="eastAsia"/>
          <w:highlight w:val="none"/>
        </w:rPr>
        <w:t>气相分解——采用气相分解－原子吸收光谱测定法（VPD/AAS）可对一个旋转涂敷制成的沾污进行标定。VPD/AAS测试方法是破坏性的。由TXRF或SIMS图的方法显示的沾污均匀分布于整个硅片表面。VPD/AAS标定的值依据原子吸收光谱的标准，本方法的精度主要源于VPD元素回收率；</w:t>
      </w:r>
    </w:p>
    <w:p>
      <w:pPr>
        <w:pStyle w:val="62"/>
        <w:rPr>
          <w:highlight w:val="none"/>
        </w:rPr>
      </w:pPr>
      <w:r>
        <w:rPr>
          <w:rFonts w:hint="eastAsia"/>
          <w:highlight w:val="none"/>
        </w:rPr>
        <w:t>注入-离子注入将参比元素注入到一个预先存在的无定型硅的表面，用固态外延生长方法使无定型硅变为单晶硅。如果参比元素在无定型硅中比单晶硅中溶解的多，这一过程可将离子注入的参比元素扫到样品表面，应用离子注入流确定的离子剂量可完成面密度的量化定标；</w:t>
      </w:r>
    </w:p>
    <w:p>
      <w:pPr>
        <w:pStyle w:val="62"/>
        <w:rPr>
          <w:highlight w:val="none"/>
        </w:rPr>
      </w:pPr>
      <w:r>
        <w:rPr>
          <w:rFonts w:hint="eastAsia"/>
          <w:highlight w:val="none"/>
        </w:rPr>
        <w:t>稀释的原子吸收标准溶液——在抛光硅衬底上沉积一些稀释的金属原子吸收标准溶液，形成局部斑点，其尺寸应小于TXRF的分析区域。这个方法假定在溶液干燥期间，标定金属绝对没有丢失。为了分析全部沉积的干了的溶液，TXRF应很容易找到沉积的斑点，根据AAS确定定标数值。沉积的溶液应产生下述两种TXRF角扫描中的一种:</w:t>
      </w:r>
    </w:p>
    <w:p>
      <w:pPr>
        <w:pStyle w:val="57"/>
        <w:rPr>
          <w:highlight w:val="none"/>
        </w:rPr>
      </w:pPr>
      <w:r>
        <w:rPr>
          <w:rFonts w:hint="eastAsia"/>
          <w:highlight w:val="none"/>
        </w:rPr>
        <w:t>金属荧光计数率作为角度的函数，该角度在低于临界角80%时，与掠射角无关，见图2中曲线a；</w:t>
      </w:r>
    </w:p>
    <w:p>
      <w:pPr>
        <w:pStyle w:val="57"/>
        <w:rPr>
          <w:highlight w:val="none"/>
        </w:rPr>
      </w:pPr>
      <w:r>
        <w:rPr>
          <w:rFonts w:hint="eastAsia"/>
          <w:highlight w:val="none"/>
        </w:rPr>
        <w:t>金属荧光计数率作为角度的函数，表示位于表面3nm内金属沾污的特性，见图2中曲线b。</w:t>
      </w:r>
    </w:p>
    <w:p>
      <w:pPr>
        <w:pStyle w:val="105"/>
        <w:spacing w:before="312" w:after="312"/>
        <w:rPr>
          <w:highlight w:val="none"/>
        </w:rPr>
      </w:pPr>
      <w:r>
        <w:rPr>
          <w:rFonts w:hint="eastAsia" w:hAnsi="宋体"/>
          <w:highlight w:val="none"/>
        </w:rPr>
        <w:t>ASTM标准中的</w:t>
      </w:r>
      <w:r>
        <w:rPr>
          <w:rFonts w:hint="eastAsia"/>
          <w:highlight w:val="none"/>
        </w:rPr>
        <w:t>精密度及偏差</w:t>
      </w:r>
    </w:p>
    <w:p>
      <w:pPr>
        <w:pStyle w:val="106"/>
        <w:spacing w:before="156" w:after="156"/>
        <w:rPr>
          <w:highlight w:val="none"/>
        </w:rPr>
      </w:pPr>
      <w:r>
        <w:rPr>
          <w:rFonts w:hint="eastAsia"/>
          <w:highlight w:val="none"/>
        </w:rPr>
        <w:t>精密度</w:t>
      </w:r>
    </w:p>
    <w:p>
      <w:pPr>
        <w:pStyle w:val="92"/>
        <w:ind w:left="0"/>
        <w:rPr>
          <w:highlight w:val="none"/>
        </w:rPr>
      </w:pPr>
      <w:r>
        <w:rPr>
          <w:rFonts w:hint="eastAsia"/>
          <w:highlight w:val="none"/>
        </w:rPr>
        <w:t>精密度使用单色TXRF设备通过两次循环测试得到评估。</w:t>
      </w:r>
    </w:p>
    <w:p>
      <w:pPr>
        <w:pStyle w:val="92"/>
        <w:ind w:left="0"/>
        <w:rPr>
          <w:highlight w:val="none"/>
        </w:rPr>
      </w:pPr>
      <w:bookmarkStart w:id="31" w:name="OLE_LINK11"/>
      <w:bookmarkStart w:id="32" w:name="OLE_LINK12"/>
      <w:r>
        <w:rPr>
          <w:rFonts w:hint="eastAsia"/>
          <w:highlight w:val="none"/>
        </w:rPr>
        <w:t>实验室内精度是对2个参考样品和6个未知的表面沾污铁、镍、铜、锌在10</w:t>
      </w:r>
      <w:r>
        <w:rPr>
          <w:rFonts w:hint="eastAsia"/>
          <w:highlight w:val="none"/>
          <w:vertAlign w:val="superscript"/>
        </w:rPr>
        <w:t>11</w:t>
      </w:r>
      <w:r>
        <w:rPr>
          <w:rFonts w:hint="eastAsia"/>
          <w:highlight w:val="none"/>
        </w:rPr>
        <w:t xml:space="preserve"> atoms/cm</w:t>
      </w:r>
      <w:r>
        <w:rPr>
          <w:rFonts w:hint="eastAsia"/>
          <w:highlight w:val="none"/>
          <w:vertAlign w:val="superscript"/>
        </w:rPr>
        <w:t>2</w:t>
      </w:r>
      <w:r>
        <w:rPr>
          <w:rFonts w:hint="eastAsia"/>
          <w:highlight w:val="none"/>
        </w:rPr>
        <w:t>～10</w:t>
      </w:r>
      <w:r>
        <w:rPr>
          <w:rFonts w:hint="eastAsia"/>
          <w:highlight w:val="none"/>
          <w:vertAlign w:val="superscript"/>
        </w:rPr>
        <w:t>12</w:t>
      </w:r>
      <w:r>
        <w:rPr>
          <w:rFonts w:hint="eastAsia"/>
          <w:highlight w:val="none"/>
        </w:rPr>
        <w:t>atoms/cm</w:t>
      </w:r>
      <w:r>
        <w:rPr>
          <w:rFonts w:hint="eastAsia"/>
          <w:highlight w:val="none"/>
          <w:vertAlign w:val="superscript"/>
        </w:rPr>
        <w:t>2</w:t>
      </w:r>
      <w:r>
        <w:rPr>
          <w:rFonts w:hint="eastAsia"/>
          <w:highlight w:val="none"/>
        </w:rPr>
        <w:t>的样品上巡回评估，13个实验室参与评估。在每个实验室里，每天测试1次样品，做4天测试。测试条件是钨钯的X射线旋转正电极。LiF200单色仪（选择9.67kev线）30kV,200mA，0.05</w:t>
      </w:r>
      <w:r>
        <w:rPr>
          <w:rFonts w:hint="eastAsia" w:cs="宋体"/>
          <w:highlight w:val="none"/>
        </w:rPr>
        <w:t>º</w:t>
      </w:r>
      <w:r>
        <w:rPr>
          <w:rFonts w:hint="eastAsia" w:cs="黑体"/>
          <w:highlight w:val="none"/>
        </w:rPr>
        <w:t>掠射角，</w:t>
      </w:r>
      <w:r>
        <w:rPr>
          <w:rFonts w:hint="eastAsia"/>
          <w:highlight w:val="none"/>
        </w:rPr>
        <w:t>1.33Pa真空环境，10mm直径的分析区域，1000s的积分时间。由每个实验室报告4个数据读数的平均值和4次读数的标准偏差，95％置信度下实验室内相对精度28％，是实验室内一个相对标准偏差10％的2.8倍。</w:t>
      </w:r>
    </w:p>
    <w:p>
      <w:pPr>
        <w:pStyle w:val="92"/>
        <w:ind w:left="0"/>
        <w:rPr>
          <w:highlight w:val="none"/>
        </w:rPr>
      </w:pPr>
      <w:r>
        <w:rPr>
          <w:rFonts w:hint="eastAsia"/>
          <w:highlight w:val="none"/>
        </w:rPr>
        <w:t>实验室间精度的评估是使用1套参考样品和3个未知样品循环测试得到的。其中1个是空白，参考样品和未知的表面的镍沾污在10</w:t>
      </w:r>
      <w:r>
        <w:rPr>
          <w:rFonts w:hint="eastAsia"/>
          <w:highlight w:val="none"/>
          <w:vertAlign w:val="superscript"/>
        </w:rPr>
        <w:t>11</w:t>
      </w:r>
      <w:r>
        <w:rPr>
          <w:rFonts w:hint="eastAsia"/>
          <w:highlight w:val="none"/>
        </w:rPr>
        <w:t xml:space="preserve"> atoms/cm</w:t>
      </w:r>
      <w:r>
        <w:rPr>
          <w:rFonts w:hint="eastAsia"/>
          <w:highlight w:val="none"/>
          <w:vertAlign w:val="superscript"/>
        </w:rPr>
        <w:t>2</w:t>
      </w:r>
      <w:r>
        <w:rPr>
          <w:rFonts w:hint="eastAsia"/>
          <w:highlight w:val="none"/>
        </w:rPr>
        <w:t>～10</w:t>
      </w:r>
      <w:r>
        <w:rPr>
          <w:rFonts w:hint="eastAsia"/>
          <w:highlight w:val="none"/>
          <w:vertAlign w:val="superscript"/>
        </w:rPr>
        <w:t>12</w:t>
      </w:r>
      <w:r>
        <w:rPr>
          <w:rFonts w:hint="eastAsia"/>
          <w:highlight w:val="none"/>
        </w:rPr>
        <w:t>atoms/cm</w:t>
      </w:r>
      <w:r>
        <w:rPr>
          <w:rFonts w:hint="eastAsia"/>
          <w:highlight w:val="none"/>
          <w:vertAlign w:val="superscript"/>
        </w:rPr>
        <w:t>2</w:t>
      </w:r>
      <w:r>
        <w:rPr>
          <w:rFonts w:hint="eastAsia"/>
          <w:highlight w:val="none"/>
        </w:rPr>
        <w:t>。17个机构参与了评估。每个实验室测试样品若干天。测试条件是钨钯的X射线旋转正电极。LiF200单色仪（选择9.67kev或更高线）30kV,200mA或更高，0.1</w:t>
      </w:r>
      <w:r>
        <w:rPr>
          <w:rFonts w:hint="eastAsia" w:hAnsi="宋体"/>
          <w:kern w:val="0"/>
          <w:szCs w:val="20"/>
          <w:highlight w:val="none"/>
        </w:rPr>
        <w:t>º的掠射角，</w:t>
      </w:r>
      <w:r>
        <w:rPr>
          <w:rFonts w:hint="eastAsia"/>
          <w:highlight w:val="none"/>
        </w:rPr>
        <w:t>10mm直径的分析区域，1000s的积分时间。95％置信度，在平均15×10</w:t>
      </w:r>
      <w:r>
        <w:rPr>
          <w:rFonts w:hint="eastAsia"/>
          <w:highlight w:val="none"/>
          <w:vertAlign w:val="superscript"/>
        </w:rPr>
        <w:t>10</w:t>
      </w:r>
      <w:r>
        <w:rPr>
          <w:rFonts w:hint="eastAsia"/>
          <w:highlight w:val="none"/>
        </w:rPr>
        <w:t>atoms/cm</w:t>
      </w:r>
      <w:r>
        <w:rPr>
          <w:rFonts w:hint="eastAsia"/>
          <w:highlight w:val="none"/>
          <w:vertAlign w:val="superscript"/>
        </w:rPr>
        <w:t>2</w:t>
      </w:r>
      <w:r>
        <w:rPr>
          <w:rFonts w:hint="eastAsia"/>
          <w:highlight w:val="none"/>
        </w:rPr>
        <w:t>下,实验室间精度±8×10</w:t>
      </w:r>
      <w:r>
        <w:rPr>
          <w:rFonts w:hint="eastAsia"/>
          <w:highlight w:val="none"/>
          <w:vertAlign w:val="superscript"/>
        </w:rPr>
        <w:t>10</w:t>
      </w:r>
      <w:r>
        <w:rPr>
          <w:rFonts w:hint="eastAsia"/>
          <w:highlight w:val="none"/>
        </w:rPr>
        <w:t>atoms/cm</w:t>
      </w:r>
      <w:r>
        <w:rPr>
          <w:rFonts w:hint="eastAsia"/>
          <w:highlight w:val="none"/>
          <w:vertAlign w:val="superscript"/>
        </w:rPr>
        <w:t>2</w:t>
      </w:r>
      <w:r>
        <w:rPr>
          <w:rFonts w:hint="eastAsia"/>
          <w:highlight w:val="none"/>
        </w:rPr>
        <w:t>,在平均45×10</w:t>
      </w:r>
      <w:r>
        <w:rPr>
          <w:rFonts w:hint="eastAsia"/>
          <w:highlight w:val="none"/>
          <w:vertAlign w:val="superscript"/>
        </w:rPr>
        <w:t>10</w:t>
      </w:r>
      <w:r>
        <w:rPr>
          <w:rFonts w:hint="eastAsia"/>
          <w:highlight w:val="none"/>
        </w:rPr>
        <w:t>atoms/cm</w:t>
      </w:r>
      <w:r>
        <w:rPr>
          <w:rFonts w:hint="eastAsia"/>
          <w:highlight w:val="none"/>
          <w:vertAlign w:val="superscript"/>
        </w:rPr>
        <w:t>2</w:t>
      </w:r>
      <w:r>
        <w:rPr>
          <w:rFonts w:hint="eastAsia"/>
          <w:highlight w:val="none"/>
        </w:rPr>
        <w:t>下,实验室间精度±20×10</w:t>
      </w:r>
      <w:r>
        <w:rPr>
          <w:rFonts w:hint="eastAsia"/>
          <w:highlight w:val="none"/>
          <w:vertAlign w:val="superscript"/>
        </w:rPr>
        <w:t>10</w:t>
      </w:r>
      <w:r>
        <w:rPr>
          <w:rFonts w:hint="eastAsia"/>
          <w:highlight w:val="none"/>
        </w:rPr>
        <w:t>atoms/cm</w:t>
      </w:r>
      <w:r>
        <w:rPr>
          <w:rFonts w:hint="eastAsia"/>
          <w:highlight w:val="none"/>
          <w:vertAlign w:val="superscript"/>
        </w:rPr>
        <w:t>2</w:t>
      </w:r>
      <w:r>
        <w:rPr>
          <w:rFonts w:hint="eastAsia"/>
          <w:highlight w:val="none"/>
        </w:rPr>
        <w:t>。</w:t>
      </w:r>
    </w:p>
    <w:p>
      <w:pPr>
        <w:pStyle w:val="92"/>
        <w:ind w:left="0"/>
        <w:rPr>
          <w:highlight w:val="none"/>
        </w:rPr>
      </w:pPr>
      <w:r>
        <w:rPr>
          <w:rFonts w:hint="eastAsia"/>
          <w:highlight w:val="none"/>
        </w:rPr>
        <w:t>除了在B.3.1.2，B.3.1.3列出的巡回测试条件外也可使用其他分析方法，但没有对其他分析条件的精度进行评估。</w:t>
      </w:r>
    </w:p>
    <w:bookmarkEnd w:id="31"/>
    <w:bookmarkEnd w:id="32"/>
    <w:p>
      <w:pPr>
        <w:pStyle w:val="106"/>
        <w:spacing w:before="156" w:after="156"/>
        <w:rPr>
          <w:highlight w:val="none"/>
        </w:rPr>
      </w:pPr>
      <w:r>
        <w:rPr>
          <w:rFonts w:hint="eastAsia"/>
          <w:highlight w:val="none"/>
        </w:rPr>
        <w:t>偏差</w:t>
      </w:r>
    </w:p>
    <w:p>
      <w:pPr>
        <w:pStyle w:val="25"/>
        <w:rPr>
          <w:highlight w:val="none"/>
        </w:rPr>
      </w:pPr>
      <w:r>
        <w:rPr>
          <w:rFonts w:hint="eastAsia"/>
          <w:highlight w:val="none"/>
        </w:rPr>
        <w:t>本方法的偏差无法评估，因为本方法没有绝对标准。</w:t>
      </w:r>
    </w:p>
    <w:p>
      <w:pPr>
        <w:pStyle w:val="105"/>
        <w:spacing w:before="312" w:after="312"/>
        <w:rPr>
          <w:rFonts w:hAnsi="宋体"/>
          <w:highlight w:val="none"/>
        </w:rPr>
      </w:pPr>
      <w:r>
        <w:rPr>
          <w:rFonts w:hint="eastAsia" w:hAnsi="宋体"/>
          <w:highlight w:val="none"/>
        </w:rPr>
        <w:t>安全</w:t>
      </w:r>
      <w:bookmarkStart w:id="33" w:name="_GoBack"/>
      <w:bookmarkEnd w:id="33"/>
    </w:p>
    <w:p>
      <w:pPr>
        <w:pStyle w:val="25"/>
        <w:rPr>
          <w:highlight w:val="none"/>
        </w:rPr>
      </w:pPr>
      <w:r>
        <w:rPr>
          <w:rFonts w:hint="eastAsia"/>
          <w:highlight w:val="none"/>
        </w:rPr>
        <w:t>本方法使用X射线，对于暴露在X射线的个人应提供防护。特别重要的是保护手或手指不被X光直接照射，并保护眼睛免受二次散射的辐照。推荐使用底片式射线剂量器或放射量测定仪，以及标准核源校准过的GeigerMuller 计数器定期检查手和身体部位的辐射剂量。对于全身不定期暴露于外部X射线不超过3MeV量子辐照能量的个人，现行最大允许剂量为每季度1.25R（</w:t>
      </w:r>
      <w:r>
        <w:rPr>
          <w:highlight w:val="none"/>
        </w:rPr>
        <w:t xml:space="preserve">3.22 </w:t>
      </w:r>
      <w:r>
        <w:rPr>
          <w:rFonts w:hint="eastAsia"/>
          <w:highlight w:val="none"/>
        </w:rPr>
        <w:t>×</w:t>
      </w:r>
      <w:r>
        <w:rPr>
          <w:rFonts w:hint="eastAsia" w:cs="Universal-GreekwithMathPi"/>
          <w:highlight w:val="none"/>
        </w:rPr>
        <w:t>10</w:t>
      </w:r>
      <w:r>
        <w:rPr>
          <w:highlight w:val="none"/>
          <w:vertAlign w:val="superscript"/>
        </w:rPr>
        <w:t>−4</w:t>
      </w:r>
      <w:r>
        <w:rPr>
          <w:highlight w:val="none"/>
        </w:rPr>
        <w:t xml:space="preserve"> C/kg</w:t>
      </w:r>
      <w:r>
        <w:rPr>
          <w:rFonts w:hint="eastAsia"/>
          <w:highlight w:val="none"/>
        </w:rPr>
        <w:t>），（相当于</w:t>
      </w:r>
      <w:r>
        <w:rPr>
          <w:highlight w:val="none"/>
        </w:rPr>
        <w:t xml:space="preserve">0.6 mR/h (1.5 </w:t>
      </w:r>
      <w:r>
        <w:rPr>
          <w:rFonts w:hint="eastAsia"/>
          <w:highlight w:val="none"/>
        </w:rPr>
        <w:t>×</w:t>
      </w:r>
      <w:r>
        <w:rPr>
          <w:highlight w:val="none"/>
        </w:rPr>
        <w:t>10</w:t>
      </w:r>
      <w:r>
        <w:rPr>
          <w:highlight w:val="none"/>
          <w:vertAlign w:val="superscript"/>
        </w:rPr>
        <w:t xml:space="preserve"> −7</w:t>
      </w:r>
      <w:r>
        <w:rPr>
          <w:highlight w:val="none"/>
        </w:rPr>
        <w:t xml:space="preserve"> C/kg·h)</w:t>
      </w:r>
      <w:r>
        <w:rPr>
          <w:rFonts w:hint="eastAsia"/>
          <w:highlight w:val="none"/>
        </w:rPr>
        <w:t>）。在同样条件下，手和前臂暴露的最大允许剂量为每季度</w:t>
      </w:r>
      <w:r>
        <w:rPr>
          <w:highlight w:val="none"/>
        </w:rPr>
        <w:t>18.75 R</w:t>
      </w:r>
      <w:r>
        <w:rPr>
          <w:rFonts w:hint="eastAsia"/>
          <w:highlight w:val="none"/>
        </w:rPr>
        <w:t xml:space="preserve"> </w:t>
      </w:r>
      <w:r>
        <w:rPr>
          <w:highlight w:val="none"/>
        </w:rPr>
        <w:t>(4.85</w:t>
      </w:r>
      <w:r>
        <w:rPr>
          <w:rFonts w:hint="eastAsia"/>
          <w:highlight w:val="none"/>
        </w:rPr>
        <w:t>×</w:t>
      </w:r>
      <w:r>
        <w:rPr>
          <w:highlight w:val="none"/>
        </w:rPr>
        <w:t>10</w:t>
      </w:r>
      <w:r>
        <w:rPr>
          <w:highlight w:val="none"/>
          <w:vertAlign w:val="superscript"/>
        </w:rPr>
        <w:t>−3</w:t>
      </w:r>
      <w:r>
        <w:rPr>
          <w:highlight w:val="none"/>
        </w:rPr>
        <w:t xml:space="preserve"> C/kg)</w:t>
      </w:r>
      <w:r>
        <w:rPr>
          <w:rFonts w:hint="eastAsia"/>
          <w:highlight w:val="none"/>
        </w:rPr>
        <w:t>（相当于</w:t>
      </w:r>
      <w:r>
        <w:rPr>
          <w:highlight w:val="none"/>
        </w:rPr>
        <w:t>9.3</w:t>
      </w:r>
      <w:r>
        <w:rPr>
          <w:rFonts w:hint="eastAsia"/>
          <w:highlight w:val="none"/>
        </w:rPr>
        <w:t xml:space="preserve"> </w:t>
      </w:r>
      <w:r>
        <w:rPr>
          <w:highlight w:val="none"/>
        </w:rPr>
        <w:t>mR/h (2.4</w:t>
      </w:r>
      <w:r>
        <w:rPr>
          <w:rFonts w:hint="eastAsia"/>
          <w:highlight w:val="none"/>
        </w:rPr>
        <w:t>×</w:t>
      </w:r>
      <w:r>
        <w:rPr>
          <w:highlight w:val="none"/>
        </w:rPr>
        <w:t>10</w:t>
      </w:r>
      <w:r>
        <w:rPr>
          <w:highlight w:val="none"/>
          <w:vertAlign w:val="superscript"/>
        </w:rPr>
        <w:t>−6</w:t>
      </w:r>
      <w:r>
        <w:rPr>
          <w:highlight w:val="none"/>
        </w:rPr>
        <w:t xml:space="preserve"> C/kg·h)</w:t>
      </w:r>
      <w:r>
        <w:rPr>
          <w:rFonts w:hint="eastAsia"/>
          <w:highlight w:val="none"/>
        </w:rPr>
        <w:t>）。除上述规定外，其他各个政府及管理部门也有相应的安全要求。</w:t>
      </w:r>
    </w:p>
    <w:p>
      <w:pPr>
        <w:pStyle w:val="25"/>
        <w:rPr>
          <w:highlight w:val="none"/>
        </w:rPr>
      </w:pPr>
      <w:r>
        <w:rPr>
          <w:rFonts w:hint="eastAsia"/>
          <w:highlight w:val="none"/>
        </w:rPr>
        <w:t>本标准不涉及安全问题，即使有也与标准的使用相联系。标准使用前，建立合适的安全和保障措施以及确定规章制度的应用范围是标准使用者的责任。</w:t>
      </w:r>
    </w:p>
    <w:p>
      <w:pPr>
        <w:pStyle w:val="25"/>
        <w:rPr>
          <w:highlight w:val="none"/>
        </w:rPr>
      </w:pPr>
    </w:p>
    <w:p>
      <w:pPr>
        <w:pStyle w:val="132"/>
        <w:framePr w:wrap="around"/>
        <w:rPr>
          <w:highlight w:val="none"/>
        </w:rPr>
      </w:pPr>
      <w:r>
        <w:rPr>
          <w:highlight w:val="none"/>
        </w:rPr>
        <w:t>_________________________________</w:t>
      </w:r>
    </w:p>
    <w:sectPr>
      <w:headerReference r:id="rId7" w:type="even"/>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Universal-GreekwithMathPi">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6</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PAGE  \* MERGEFORMAT </w:instrText>
    </w:r>
    <w:r>
      <w:fldChar w:fldCharType="separate"/>
    </w:r>
    <w: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left"/>
    </w:pPr>
    <w:r>
      <w:t xml:space="preserve">GB/T </w:t>
    </w:r>
    <w:r>
      <w:rPr>
        <w:rFonts w:hint="eastAsia"/>
      </w:rPr>
      <w:t>24578</w:t>
    </w:r>
    <w:r>
      <w:t>—</w:t>
    </w:r>
    <w:r>
      <w:rPr>
        <w:rFonts w:hint="eastAsia"/>
      </w:rPr>
      <w:t>201</w:t>
    </w:r>
    <w: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 xml:space="preserve">GB/T </w:t>
    </w:r>
    <w:r>
      <w:rPr>
        <w:rFonts w:hint="eastAsia"/>
      </w:rPr>
      <w:t>24578</w:t>
    </w:r>
    <w:r>
      <w:t>—</w:t>
    </w:r>
    <w:r>
      <w:rPr>
        <w:rFonts w:hint="eastAsia"/>
      </w:rPr>
      <w:t>20</w:t>
    </w:r>
    <w:r>
      <w:t>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left"/>
    </w:pPr>
    <w:r>
      <w:t xml:space="preserve">GB/T </w:t>
    </w:r>
    <w:r>
      <w:rPr>
        <w:rFonts w:hint="eastAsia"/>
      </w:rPr>
      <w:t>24578</w:t>
    </w:r>
    <w:r>
      <w:t>—</w:t>
    </w:r>
    <w:r>
      <w:rPr>
        <w:rFonts w:hint="eastAsia"/>
      </w:rPr>
      <w:t>201</w:t>
    </w:r>
    <w: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0750D"/>
    <w:multiLevelType w:val="multilevel"/>
    <w:tmpl w:val="0160750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lang w:val="en-US"/>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44"/>
      <w:suff w:val="nothing"/>
      <w:lvlText w:val="%1%2.%3　"/>
      <w:lvlJc w:val="left"/>
      <w:pPr>
        <w:ind w:left="0" w:firstLine="0"/>
      </w:pPr>
      <w:rPr>
        <w:rFonts w:hint="eastAsia" w:ascii="黑体" w:hAnsi="Times New Roman" w:eastAsia="黑体"/>
        <w:b w:val="0"/>
        <w:i w:val="0"/>
        <w:sz w:val="21"/>
      </w:rPr>
    </w:lvl>
    <w:lvl w:ilvl="3" w:tentative="0">
      <w:start w:val="1"/>
      <w:numFmt w:val="decimal"/>
      <w:pStyle w:val="140"/>
      <w:suff w:val="nothing"/>
      <w:lvlText w:val="%1%2.%3.%4　"/>
      <w:lvlJc w:val="left"/>
      <w:pPr>
        <w:ind w:left="0" w:firstLine="0"/>
      </w:pPr>
      <w:rPr>
        <w:rFonts w:hint="eastAsia" w:ascii="黑体" w:hAnsi="Times New Roman" w:eastAsia="黑体"/>
        <w:b w:val="0"/>
        <w:i w:val="0"/>
        <w:sz w:val="21"/>
      </w:rPr>
    </w:lvl>
    <w:lvl w:ilvl="4" w:tentative="0">
      <w:start w:val="1"/>
      <w:numFmt w:val="decimal"/>
      <w:pStyle w:val="141"/>
      <w:suff w:val="nothing"/>
      <w:lvlText w:val="%1%2.%3.%4.%5　"/>
      <w:lvlJc w:val="left"/>
      <w:pPr>
        <w:ind w:left="0" w:firstLine="0"/>
      </w:pPr>
      <w:rPr>
        <w:rFonts w:hint="eastAsia" w:ascii="黑体" w:hAnsi="Times New Roman" w:eastAsia="黑体"/>
        <w:b w:val="0"/>
        <w:i w:val="0"/>
        <w:sz w:val="21"/>
      </w:rPr>
    </w:lvl>
    <w:lvl w:ilvl="5" w:tentative="0">
      <w:start w:val="1"/>
      <w:numFmt w:val="decimal"/>
      <w:pStyle w:val="142"/>
      <w:suff w:val="nothing"/>
      <w:lvlText w:val="%1%2.%3.%4.%5.%6　"/>
      <w:lvlJc w:val="left"/>
      <w:pPr>
        <w:ind w:left="0" w:firstLine="0"/>
      </w:pPr>
      <w:rPr>
        <w:rFonts w:hint="eastAsia" w:ascii="黑体" w:hAnsi="Times New Roman" w:eastAsia="黑体"/>
        <w:b w:val="0"/>
        <w:i w:val="0"/>
        <w:sz w:val="21"/>
      </w:rPr>
    </w:lvl>
    <w:lvl w:ilvl="6" w:tentative="0">
      <w:start w:val="1"/>
      <w:numFmt w:val="decimal"/>
      <w:pStyle w:val="14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79102AD"/>
    <w:multiLevelType w:val="multilevel"/>
    <w:tmpl w:val="079102AD"/>
    <w:lvl w:ilvl="0" w:tentative="0">
      <w:start w:val="1"/>
      <w:numFmt w:val="decimal"/>
      <w:pStyle w:val="61"/>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11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5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2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6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DDF3641"/>
    <w:multiLevelType w:val="multilevel"/>
    <w:tmpl w:val="1DDF3641"/>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
    <w:nsid w:val="1FC91163"/>
    <w:multiLevelType w:val="multilevel"/>
    <w:tmpl w:val="1FC91163"/>
    <w:lvl w:ilvl="0" w:tentative="0">
      <w:start w:val="1"/>
      <w:numFmt w:val="decimal"/>
      <w:pStyle w:val="48"/>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45"/>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9"/>
      <w:suff w:val="nothing"/>
      <w:lvlText w:val="%1.%2.%3　"/>
      <w:lvlJc w:val="left"/>
      <w:pPr>
        <w:ind w:left="709" w:firstLine="0"/>
      </w:pPr>
      <w:rPr>
        <w:rFonts w:hint="eastAsia" w:ascii="黑体" w:hAnsi="Times New Roman" w:eastAsia="黑体"/>
        <w:b w:val="0"/>
        <w:i w:val="0"/>
        <w:sz w:val="21"/>
      </w:rPr>
    </w:lvl>
    <w:lvl w:ilvl="3" w:tentative="0">
      <w:start w:val="1"/>
      <w:numFmt w:val="decimal"/>
      <w:pStyle w:val="54"/>
      <w:suff w:val="nothing"/>
      <w:lvlText w:val="%1.%2.%3.%4　"/>
      <w:lvlJc w:val="left"/>
      <w:pPr>
        <w:ind w:left="0" w:firstLine="0"/>
      </w:pPr>
      <w:rPr>
        <w:rFonts w:hint="eastAsia" w:ascii="黑体" w:hAnsi="Times New Roman" w:eastAsia="黑体"/>
        <w:b w:val="0"/>
        <w:i w:val="0"/>
        <w:sz w:val="21"/>
      </w:rPr>
    </w:lvl>
    <w:lvl w:ilvl="4" w:tentative="0">
      <w:start w:val="1"/>
      <w:numFmt w:val="decimal"/>
      <w:pStyle w:val="58"/>
      <w:suff w:val="nothing"/>
      <w:lvlText w:val="%1.%2.%3.%4.%5　"/>
      <w:lvlJc w:val="left"/>
      <w:pPr>
        <w:ind w:left="0" w:firstLine="0"/>
      </w:pPr>
      <w:rPr>
        <w:rFonts w:hint="eastAsia" w:ascii="黑体" w:hAnsi="Times New Roman" w:eastAsia="黑体"/>
        <w:b w:val="0"/>
        <w:i w:val="0"/>
        <w:sz w:val="21"/>
      </w:rPr>
    </w:lvl>
    <w:lvl w:ilvl="5" w:tentative="0">
      <w:start w:val="1"/>
      <w:numFmt w:val="decimal"/>
      <w:pStyle w:val="5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A8F7113"/>
    <w:multiLevelType w:val="multilevel"/>
    <w:tmpl w:val="2A8F7113"/>
    <w:lvl w:ilvl="0" w:tentative="0">
      <w:start w:val="1"/>
      <w:numFmt w:val="upperLetter"/>
      <w:pStyle w:val="101"/>
      <w:suff w:val="space"/>
      <w:lvlText w:val="%1"/>
      <w:lvlJc w:val="left"/>
      <w:pPr>
        <w:ind w:left="623" w:hanging="425"/>
      </w:pPr>
      <w:rPr>
        <w:rFonts w:hint="eastAsia"/>
      </w:rPr>
    </w:lvl>
    <w:lvl w:ilvl="1" w:tentative="0">
      <w:start w:val="1"/>
      <w:numFmt w:val="decimal"/>
      <w:pStyle w:val="10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51"/>
      <w:suff w:val="nothing"/>
      <w:lvlText w:val="%1——"/>
      <w:lvlJc w:val="left"/>
      <w:pPr>
        <w:ind w:left="833" w:hanging="408"/>
      </w:pPr>
      <w:rPr>
        <w:rFonts w:hint="default" w:ascii="Times New Roman" w:hAnsi="Times New Roman" w:cs="Times New Roman"/>
      </w:rPr>
    </w:lvl>
    <w:lvl w:ilvl="1" w:tentative="0">
      <w:start w:val="1"/>
      <w:numFmt w:val="bullet"/>
      <w:pStyle w:val="52"/>
      <w:lvlText w:val=""/>
      <w:lvlJc w:val="left"/>
      <w:pPr>
        <w:tabs>
          <w:tab w:val="left" w:pos="760"/>
        </w:tabs>
        <w:ind w:left="1264" w:hanging="413"/>
      </w:pPr>
      <w:rPr>
        <w:rFonts w:hint="default" w:ascii="Symbol" w:hAnsi="Symbol"/>
        <w:color w:val="auto"/>
      </w:rPr>
    </w:lvl>
    <w:lvl w:ilvl="2" w:tentative="0">
      <w:start w:val="1"/>
      <w:numFmt w:val="bullet"/>
      <w:pStyle w:val="6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731833"/>
    <w:multiLevelType w:val="multilevel"/>
    <w:tmpl w:val="3273183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40FB2923"/>
    <w:multiLevelType w:val="multilevel"/>
    <w:tmpl w:val="40FB2923"/>
    <w:lvl w:ilvl="0" w:tentative="0">
      <w:start w:val="4"/>
      <w:numFmt w:val="lowerLetter"/>
      <w:lvlText w:val="%1)"/>
      <w:lvlJc w:val="left"/>
      <w:pPr>
        <w:tabs>
          <w:tab w:val="left" w:pos="846"/>
        </w:tabs>
        <w:ind w:left="845" w:hanging="419"/>
      </w:pPr>
      <w:rPr>
        <w:rFonts w:hint="eastAsia" w:ascii="宋体" w:eastAsia="宋体"/>
        <w:b w:val="0"/>
        <w:i w:val="0"/>
        <w:sz w:val="21"/>
        <w:szCs w:val="21"/>
      </w:rPr>
    </w:lvl>
    <w:lvl w:ilvl="1" w:tentative="0">
      <w:start w:val="1"/>
      <w:numFmt w:val="decimal"/>
      <w:lvlText w:val="%2)"/>
      <w:lvlJc w:val="left"/>
      <w:pPr>
        <w:tabs>
          <w:tab w:val="left" w:pos="1266"/>
        </w:tabs>
        <w:ind w:left="1265" w:hanging="419"/>
      </w:pPr>
      <w:rPr>
        <w:rFonts w:hint="eastAsia"/>
      </w:rPr>
    </w:lvl>
    <w:lvl w:ilvl="2" w:tentative="0">
      <w:start w:val="1"/>
      <w:numFmt w:val="decimal"/>
      <w:lvlText w:val="(%3)"/>
      <w:lvlJc w:val="left"/>
      <w:pPr>
        <w:tabs>
          <w:tab w:val="left" w:pos="6"/>
        </w:tabs>
        <w:ind w:left="1685" w:hanging="420"/>
      </w:pPr>
      <w:rPr>
        <w:rFonts w:hint="eastAsia" w:ascii="宋体" w:eastAsia="宋体"/>
        <w:b w:val="0"/>
        <w:i w:val="0"/>
        <w:sz w:val="21"/>
        <w:szCs w:val="21"/>
      </w:rPr>
    </w:lvl>
    <w:lvl w:ilvl="3" w:tentative="0">
      <w:start w:val="1"/>
      <w:numFmt w:val="decimal"/>
      <w:lvlText w:val="%4."/>
      <w:lvlJc w:val="left"/>
      <w:pPr>
        <w:tabs>
          <w:tab w:val="left" w:pos="2106"/>
        </w:tabs>
        <w:ind w:left="2105" w:hanging="419"/>
      </w:pPr>
      <w:rPr>
        <w:rFonts w:hint="eastAsia"/>
      </w:rPr>
    </w:lvl>
    <w:lvl w:ilvl="4" w:tentative="0">
      <w:start w:val="1"/>
      <w:numFmt w:val="lowerLetter"/>
      <w:lvlText w:val="%5)"/>
      <w:lvlJc w:val="left"/>
      <w:pPr>
        <w:tabs>
          <w:tab w:val="left" w:pos="2526"/>
        </w:tabs>
        <w:ind w:left="2525" w:hanging="419"/>
      </w:pPr>
      <w:rPr>
        <w:rFonts w:hint="eastAsia"/>
      </w:rPr>
    </w:lvl>
    <w:lvl w:ilvl="5" w:tentative="0">
      <w:start w:val="1"/>
      <w:numFmt w:val="lowerRoman"/>
      <w:lvlText w:val="%6."/>
      <w:lvlJc w:val="right"/>
      <w:pPr>
        <w:tabs>
          <w:tab w:val="left" w:pos="2946"/>
        </w:tabs>
        <w:ind w:left="2945" w:hanging="419"/>
      </w:pPr>
      <w:rPr>
        <w:rFonts w:hint="eastAsia"/>
      </w:rPr>
    </w:lvl>
    <w:lvl w:ilvl="6" w:tentative="0">
      <w:start w:val="1"/>
      <w:numFmt w:val="decimal"/>
      <w:lvlText w:val="%7."/>
      <w:lvlJc w:val="left"/>
      <w:pPr>
        <w:tabs>
          <w:tab w:val="left" w:pos="3366"/>
        </w:tabs>
        <w:ind w:left="3365" w:hanging="419"/>
      </w:pPr>
      <w:rPr>
        <w:rFonts w:hint="eastAsia"/>
      </w:rPr>
    </w:lvl>
    <w:lvl w:ilvl="7" w:tentative="0">
      <w:start w:val="1"/>
      <w:numFmt w:val="lowerLetter"/>
      <w:lvlText w:val="%8)"/>
      <w:lvlJc w:val="left"/>
      <w:pPr>
        <w:tabs>
          <w:tab w:val="left" w:pos="3786"/>
        </w:tabs>
        <w:ind w:left="3785" w:hanging="419"/>
      </w:pPr>
      <w:rPr>
        <w:rFonts w:hint="eastAsia"/>
      </w:rPr>
    </w:lvl>
    <w:lvl w:ilvl="8" w:tentative="0">
      <w:start w:val="1"/>
      <w:numFmt w:val="lowerRoman"/>
      <w:lvlText w:val="%9."/>
      <w:lvlJc w:val="right"/>
      <w:pPr>
        <w:tabs>
          <w:tab w:val="left" w:pos="4206"/>
        </w:tabs>
        <w:ind w:left="4205" w:hanging="419"/>
      </w:pPr>
      <w:rPr>
        <w:rFonts w:hint="eastAsia"/>
      </w:rPr>
    </w:lvl>
  </w:abstractNum>
  <w:abstractNum w:abstractNumId="14">
    <w:nsid w:val="4B733A5F"/>
    <w:multiLevelType w:val="multilevel"/>
    <w:tmpl w:val="4B733A5F"/>
    <w:lvl w:ilvl="0" w:tentative="0">
      <w:start w:val="1"/>
      <w:numFmt w:val="decimal"/>
      <w:pStyle w:val="6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5">
    <w:nsid w:val="557C2AF5"/>
    <w:multiLevelType w:val="multilevel"/>
    <w:tmpl w:val="557C2AF5"/>
    <w:lvl w:ilvl="0" w:tentative="0">
      <w:start w:val="1"/>
      <w:numFmt w:val="decimal"/>
      <w:pStyle w:val="13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60B55DC2"/>
    <w:multiLevelType w:val="multilevel"/>
    <w:tmpl w:val="60B55DC2"/>
    <w:lvl w:ilvl="0" w:tentative="0">
      <w:start w:val="1"/>
      <w:numFmt w:val="upperLetter"/>
      <w:pStyle w:val="89"/>
      <w:lvlText w:val="%1"/>
      <w:lvlJc w:val="left"/>
      <w:pPr>
        <w:tabs>
          <w:tab w:val="left" w:pos="0"/>
        </w:tabs>
        <w:ind w:left="0" w:hanging="425"/>
      </w:pPr>
      <w:rPr>
        <w:rFonts w:hint="eastAsia"/>
      </w:rPr>
    </w:lvl>
    <w:lvl w:ilvl="1" w:tentative="0">
      <w:start w:val="1"/>
      <w:numFmt w:val="decimal"/>
      <w:pStyle w:val="9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7">
    <w:nsid w:val="646260FA"/>
    <w:multiLevelType w:val="multilevel"/>
    <w:tmpl w:val="646260FA"/>
    <w:lvl w:ilvl="0" w:tentative="0">
      <w:start w:val="1"/>
      <w:numFmt w:val="decimal"/>
      <w:pStyle w:val="12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4C2240A"/>
    <w:multiLevelType w:val="multilevel"/>
    <w:tmpl w:val="64C2240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657D3FBC"/>
    <w:multiLevelType w:val="multilevel"/>
    <w:tmpl w:val="657D3FBC"/>
    <w:lvl w:ilvl="0" w:tentative="0">
      <w:start w:val="1"/>
      <w:numFmt w:val="upperLetter"/>
      <w:pStyle w:val="8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6"/>
      <w:suff w:val="nothing"/>
      <w:lvlText w:val="%1.%2.%3　"/>
      <w:lvlJc w:val="left"/>
      <w:pPr>
        <w:ind w:left="0" w:firstLine="0"/>
      </w:pPr>
      <w:rPr>
        <w:rFonts w:hint="eastAsia" w:ascii="黑体" w:hAnsi="Times New Roman" w:eastAsia="黑体"/>
        <w:b w:val="0"/>
        <w:i w:val="0"/>
        <w:sz w:val="21"/>
      </w:rPr>
    </w:lvl>
    <w:lvl w:ilvl="3" w:tentative="0">
      <w:start w:val="1"/>
      <w:numFmt w:val="decimal"/>
      <w:pStyle w:val="91"/>
      <w:suff w:val="nothing"/>
      <w:lvlText w:val="%1.%2.%3.%4　"/>
      <w:lvlJc w:val="left"/>
      <w:pPr>
        <w:ind w:left="993" w:firstLine="0"/>
      </w:pPr>
      <w:rPr>
        <w:rFonts w:hint="eastAsia" w:ascii="黑体" w:hAnsi="Times New Roman" w:eastAsia="黑体"/>
        <w:b w:val="0"/>
        <w:i w:val="0"/>
        <w:sz w:val="21"/>
      </w:rPr>
    </w:lvl>
    <w:lvl w:ilvl="4" w:tentative="0">
      <w:start w:val="1"/>
      <w:numFmt w:val="decimal"/>
      <w:pStyle w:val="96"/>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10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6B07418C"/>
    <w:multiLevelType w:val="multilevel"/>
    <w:tmpl w:val="6B07418C"/>
    <w:lvl w:ilvl="0" w:tentative="0">
      <w:start w:val="5"/>
      <w:numFmt w:val="lowerLetter"/>
      <w:pStyle w:val="6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7"/>
      <w:lvlText w:val="%2)"/>
      <w:lvlJc w:val="left"/>
      <w:pPr>
        <w:tabs>
          <w:tab w:val="left" w:pos="1260"/>
        </w:tabs>
        <w:ind w:left="1259" w:hanging="419"/>
      </w:pPr>
      <w:rPr>
        <w:rFonts w:hint="eastAsia"/>
      </w:rPr>
    </w:lvl>
    <w:lvl w:ilvl="2" w:tentative="0">
      <w:start w:val="1"/>
      <w:numFmt w:val="decimal"/>
      <w:pStyle w:val="64"/>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6D6C07CD"/>
    <w:multiLevelType w:val="multilevel"/>
    <w:tmpl w:val="6D6C07CD"/>
    <w:lvl w:ilvl="0" w:tentative="0">
      <w:start w:val="1"/>
      <w:numFmt w:val="lowerLetter"/>
      <w:pStyle w:val="108"/>
      <w:lvlText w:val="%1)"/>
      <w:lvlJc w:val="left"/>
      <w:pPr>
        <w:tabs>
          <w:tab w:val="left" w:pos="839"/>
        </w:tabs>
        <w:ind w:left="839" w:hanging="419"/>
      </w:pPr>
      <w:rPr>
        <w:rFonts w:hint="eastAsia" w:ascii="宋体" w:eastAsia="宋体"/>
        <w:b w:val="0"/>
        <w:i w:val="0"/>
        <w:sz w:val="21"/>
      </w:rPr>
    </w:lvl>
    <w:lvl w:ilvl="1" w:tentative="0">
      <w:start w:val="1"/>
      <w:numFmt w:val="decimal"/>
      <w:pStyle w:val="9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2">
    <w:nsid w:val="6DBF04F4"/>
    <w:multiLevelType w:val="multilevel"/>
    <w:tmpl w:val="6DBF04F4"/>
    <w:lvl w:ilvl="0" w:tentative="0">
      <w:start w:val="1"/>
      <w:numFmt w:val="none"/>
      <w:pStyle w:val="6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3">
    <w:nsid w:val="76933334"/>
    <w:multiLevelType w:val="multilevel"/>
    <w:tmpl w:val="76933334"/>
    <w:lvl w:ilvl="0" w:tentative="0">
      <w:start w:val="1"/>
      <w:numFmt w:val="none"/>
      <w:pStyle w:val="14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8"/>
  </w:num>
  <w:num w:numId="3">
    <w:abstractNumId w:val="10"/>
  </w:num>
  <w:num w:numId="4">
    <w:abstractNumId w:val="4"/>
  </w:num>
  <w:num w:numId="5">
    <w:abstractNumId w:val="20"/>
  </w:num>
  <w:num w:numId="6">
    <w:abstractNumId w:val="22"/>
  </w:num>
  <w:num w:numId="7">
    <w:abstractNumId w:val="2"/>
  </w:num>
  <w:num w:numId="8">
    <w:abstractNumId w:val="14"/>
  </w:num>
  <w:num w:numId="9">
    <w:abstractNumId w:val="6"/>
  </w:num>
  <w:num w:numId="10">
    <w:abstractNumId w:val="19"/>
  </w:num>
  <w:num w:numId="11">
    <w:abstractNumId w:val="16"/>
  </w:num>
  <w:num w:numId="12">
    <w:abstractNumId w:val="21"/>
  </w:num>
  <w:num w:numId="13">
    <w:abstractNumId w:val="9"/>
  </w:num>
  <w:num w:numId="14">
    <w:abstractNumId w:val="3"/>
  </w:num>
  <w:num w:numId="15">
    <w:abstractNumId w:val="5"/>
  </w:num>
  <w:num w:numId="16">
    <w:abstractNumId w:val="17"/>
  </w:num>
  <w:num w:numId="17">
    <w:abstractNumId w:val="15"/>
  </w:num>
  <w:num w:numId="18">
    <w:abstractNumId w:val="1"/>
  </w:num>
  <w:num w:numId="19">
    <w:abstractNumId w:val="2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5"/>
    </w:lvlOverride>
    <w:lvlOverride w:ilvl="1">
      <w:startOverride w:val="3"/>
    </w:lvlOverride>
  </w:num>
  <w:num w:numId="22">
    <w:abstractNumId w:val="7"/>
  </w:num>
  <w:num w:numId="23">
    <w:abstractNumId w:val="11"/>
  </w:num>
  <w:num w:numId="2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035925"/>
    <w:rsid w:val="00000244"/>
    <w:rsid w:val="0000185F"/>
    <w:rsid w:val="000030D1"/>
    <w:rsid w:val="000037AF"/>
    <w:rsid w:val="000054A6"/>
    <w:rsid w:val="0000586F"/>
    <w:rsid w:val="00012131"/>
    <w:rsid w:val="00013D86"/>
    <w:rsid w:val="00013E02"/>
    <w:rsid w:val="00014E37"/>
    <w:rsid w:val="00020942"/>
    <w:rsid w:val="0002143C"/>
    <w:rsid w:val="00025A65"/>
    <w:rsid w:val="00026196"/>
    <w:rsid w:val="00026C31"/>
    <w:rsid w:val="00027280"/>
    <w:rsid w:val="000320A7"/>
    <w:rsid w:val="0003268C"/>
    <w:rsid w:val="0003488F"/>
    <w:rsid w:val="000353B1"/>
    <w:rsid w:val="00035925"/>
    <w:rsid w:val="00036273"/>
    <w:rsid w:val="000417D6"/>
    <w:rsid w:val="00044E2D"/>
    <w:rsid w:val="00051282"/>
    <w:rsid w:val="000513ED"/>
    <w:rsid w:val="000537F6"/>
    <w:rsid w:val="000544CD"/>
    <w:rsid w:val="00055030"/>
    <w:rsid w:val="00055ECC"/>
    <w:rsid w:val="000605DB"/>
    <w:rsid w:val="0006080A"/>
    <w:rsid w:val="00066024"/>
    <w:rsid w:val="00067035"/>
    <w:rsid w:val="00067CDF"/>
    <w:rsid w:val="000703B4"/>
    <w:rsid w:val="000720D8"/>
    <w:rsid w:val="00073B10"/>
    <w:rsid w:val="000747D3"/>
    <w:rsid w:val="00074FBE"/>
    <w:rsid w:val="00075577"/>
    <w:rsid w:val="00083A09"/>
    <w:rsid w:val="00084043"/>
    <w:rsid w:val="000855D9"/>
    <w:rsid w:val="0009005E"/>
    <w:rsid w:val="00092857"/>
    <w:rsid w:val="00093AE2"/>
    <w:rsid w:val="00096361"/>
    <w:rsid w:val="00096E58"/>
    <w:rsid w:val="000970A6"/>
    <w:rsid w:val="000A2093"/>
    <w:rsid w:val="000A20A9"/>
    <w:rsid w:val="000A292E"/>
    <w:rsid w:val="000A48B1"/>
    <w:rsid w:val="000B17D9"/>
    <w:rsid w:val="000B183A"/>
    <w:rsid w:val="000B18FF"/>
    <w:rsid w:val="000B1D9B"/>
    <w:rsid w:val="000B1EE4"/>
    <w:rsid w:val="000B3143"/>
    <w:rsid w:val="000B3C59"/>
    <w:rsid w:val="000B7EE8"/>
    <w:rsid w:val="000C4356"/>
    <w:rsid w:val="000C50F3"/>
    <w:rsid w:val="000C6B05"/>
    <w:rsid w:val="000C6DD6"/>
    <w:rsid w:val="000C73D4"/>
    <w:rsid w:val="000C79DD"/>
    <w:rsid w:val="000D3D4C"/>
    <w:rsid w:val="000D4F51"/>
    <w:rsid w:val="000D718B"/>
    <w:rsid w:val="000E0C46"/>
    <w:rsid w:val="000E1E50"/>
    <w:rsid w:val="000F030C"/>
    <w:rsid w:val="000F0FA1"/>
    <w:rsid w:val="000F129C"/>
    <w:rsid w:val="000F30EB"/>
    <w:rsid w:val="000F3263"/>
    <w:rsid w:val="000F3ED1"/>
    <w:rsid w:val="000F4CEF"/>
    <w:rsid w:val="000F5D71"/>
    <w:rsid w:val="000F7895"/>
    <w:rsid w:val="001031D9"/>
    <w:rsid w:val="001056DE"/>
    <w:rsid w:val="00112076"/>
    <w:rsid w:val="001124C0"/>
    <w:rsid w:val="0011317F"/>
    <w:rsid w:val="001136AB"/>
    <w:rsid w:val="001137FB"/>
    <w:rsid w:val="00114472"/>
    <w:rsid w:val="00120722"/>
    <w:rsid w:val="00120ACF"/>
    <w:rsid w:val="001215C7"/>
    <w:rsid w:val="0013175F"/>
    <w:rsid w:val="0013347E"/>
    <w:rsid w:val="00134C7C"/>
    <w:rsid w:val="00136DD2"/>
    <w:rsid w:val="00142698"/>
    <w:rsid w:val="00142E46"/>
    <w:rsid w:val="001501F3"/>
    <w:rsid w:val="001512B4"/>
    <w:rsid w:val="00154222"/>
    <w:rsid w:val="001568FA"/>
    <w:rsid w:val="00160F13"/>
    <w:rsid w:val="001620A5"/>
    <w:rsid w:val="00162436"/>
    <w:rsid w:val="00162546"/>
    <w:rsid w:val="00164E53"/>
    <w:rsid w:val="00165C2F"/>
    <w:rsid w:val="001665D8"/>
    <w:rsid w:val="0016699D"/>
    <w:rsid w:val="001739A4"/>
    <w:rsid w:val="00175159"/>
    <w:rsid w:val="00176208"/>
    <w:rsid w:val="0018211B"/>
    <w:rsid w:val="001840D3"/>
    <w:rsid w:val="001900F8"/>
    <w:rsid w:val="00191258"/>
    <w:rsid w:val="001925FE"/>
    <w:rsid w:val="00192680"/>
    <w:rsid w:val="00193037"/>
    <w:rsid w:val="00193A2C"/>
    <w:rsid w:val="0019506D"/>
    <w:rsid w:val="001A0589"/>
    <w:rsid w:val="001A1DDE"/>
    <w:rsid w:val="001A288E"/>
    <w:rsid w:val="001A64A6"/>
    <w:rsid w:val="001A77A2"/>
    <w:rsid w:val="001B30D4"/>
    <w:rsid w:val="001B363B"/>
    <w:rsid w:val="001B6DC2"/>
    <w:rsid w:val="001C149C"/>
    <w:rsid w:val="001C21AC"/>
    <w:rsid w:val="001C47BA"/>
    <w:rsid w:val="001C59EA"/>
    <w:rsid w:val="001C7B7C"/>
    <w:rsid w:val="001D0C40"/>
    <w:rsid w:val="001D1A7B"/>
    <w:rsid w:val="001D3D13"/>
    <w:rsid w:val="001D406C"/>
    <w:rsid w:val="001D41EE"/>
    <w:rsid w:val="001D5880"/>
    <w:rsid w:val="001E0380"/>
    <w:rsid w:val="001E0FFA"/>
    <w:rsid w:val="001E13B1"/>
    <w:rsid w:val="001E66AC"/>
    <w:rsid w:val="001E76CE"/>
    <w:rsid w:val="001F2664"/>
    <w:rsid w:val="001F3A19"/>
    <w:rsid w:val="001F50C2"/>
    <w:rsid w:val="001F5928"/>
    <w:rsid w:val="001F6A54"/>
    <w:rsid w:val="001F6AB7"/>
    <w:rsid w:val="001F7711"/>
    <w:rsid w:val="00200F42"/>
    <w:rsid w:val="00205B78"/>
    <w:rsid w:val="0020742B"/>
    <w:rsid w:val="002131F7"/>
    <w:rsid w:val="00213706"/>
    <w:rsid w:val="00214E71"/>
    <w:rsid w:val="0022243D"/>
    <w:rsid w:val="00226DE4"/>
    <w:rsid w:val="0022786F"/>
    <w:rsid w:val="00231C26"/>
    <w:rsid w:val="002335C5"/>
    <w:rsid w:val="00234467"/>
    <w:rsid w:val="00237D8D"/>
    <w:rsid w:val="00241DA2"/>
    <w:rsid w:val="00245497"/>
    <w:rsid w:val="00246D06"/>
    <w:rsid w:val="00247778"/>
    <w:rsid w:val="00247FEE"/>
    <w:rsid w:val="00250E7D"/>
    <w:rsid w:val="0025100E"/>
    <w:rsid w:val="00252B8A"/>
    <w:rsid w:val="002565D5"/>
    <w:rsid w:val="00256F8B"/>
    <w:rsid w:val="0025795E"/>
    <w:rsid w:val="00260A6B"/>
    <w:rsid w:val="00260E67"/>
    <w:rsid w:val="002622C0"/>
    <w:rsid w:val="0026539C"/>
    <w:rsid w:val="00266EF4"/>
    <w:rsid w:val="00271177"/>
    <w:rsid w:val="00272DF1"/>
    <w:rsid w:val="002744E4"/>
    <w:rsid w:val="002778AE"/>
    <w:rsid w:val="00281D09"/>
    <w:rsid w:val="0028269A"/>
    <w:rsid w:val="00283590"/>
    <w:rsid w:val="00286285"/>
    <w:rsid w:val="00286973"/>
    <w:rsid w:val="002912E5"/>
    <w:rsid w:val="002915C5"/>
    <w:rsid w:val="002940A0"/>
    <w:rsid w:val="00294E70"/>
    <w:rsid w:val="002A1924"/>
    <w:rsid w:val="002A5D47"/>
    <w:rsid w:val="002A7420"/>
    <w:rsid w:val="002A7D9F"/>
    <w:rsid w:val="002B0F12"/>
    <w:rsid w:val="002B1308"/>
    <w:rsid w:val="002B4554"/>
    <w:rsid w:val="002C085E"/>
    <w:rsid w:val="002C2A0B"/>
    <w:rsid w:val="002C44FD"/>
    <w:rsid w:val="002C499A"/>
    <w:rsid w:val="002C4D62"/>
    <w:rsid w:val="002C574D"/>
    <w:rsid w:val="002C72D8"/>
    <w:rsid w:val="002D0926"/>
    <w:rsid w:val="002D11FA"/>
    <w:rsid w:val="002D4B78"/>
    <w:rsid w:val="002E0DDF"/>
    <w:rsid w:val="002E2906"/>
    <w:rsid w:val="002E307F"/>
    <w:rsid w:val="002E5635"/>
    <w:rsid w:val="002E5F69"/>
    <w:rsid w:val="002E64C3"/>
    <w:rsid w:val="002E6A2C"/>
    <w:rsid w:val="002F1D8C"/>
    <w:rsid w:val="002F1E8B"/>
    <w:rsid w:val="002F21DA"/>
    <w:rsid w:val="00301DF9"/>
    <w:rsid w:val="00301F39"/>
    <w:rsid w:val="00305073"/>
    <w:rsid w:val="00315209"/>
    <w:rsid w:val="003228C9"/>
    <w:rsid w:val="00325926"/>
    <w:rsid w:val="003276AD"/>
    <w:rsid w:val="00327710"/>
    <w:rsid w:val="00327A8A"/>
    <w:rsid w:val="0033246E"/>
    <w:rsid w:val="00332626"/>
    <w:rsid w:val="00336610"/>
    <w:rsid w:val="003401CD"/>
    <w:rsid w:val="00342EE7"/>
    <w:rsid w:val="00343431"/>
    <w:rsid w:val="00343F73"/>
    <w:rsid w:val="00345060"/>
    <w:rsid w:val="00351853"/>
    <w:rsid w:val="0035323B"/>
    <w:rsid w:val="003538F1"/>
    <w:rsid w:val="00355533"/>
    <w:rsid w:val="0035561C"/>
    <w:rsid w:val="003609D2"/>
    <w:rsid w:val="003613C9"/>
    <w:rsid w:val="00363F22"/>
    <w:rsid w:val="003677A8"/>
    <w:rsid w:val="00375564"/>
    <w:rsid w:val="00383191"/>
    <w:rsid w:val="003835C6"/>
    <w:rsid w:val="0038629C"/>
    <w:rsid w:val="00386DED"/>
    <w:rsid w:val="00387D46"/>
    <w:rsid w:val="00390881"/>
    <w:rsid w:val="003912E7"/>
    <w:rsid w:val="0039136A"/>
    <w:rsid w:val="003913F6"/>
    <w:rsid w:val="00393947"/>
    <w:rsid w:val="00396F6C"/>
    <w:rsid w:val="003A070C"/>
    <w:rsid w:val="003A2275"/>
    <w:rsid w:val="003A3E4F"/>
    <w:rsid w:val="003A6A4E"/>
    <w:rsid w:val="003A6A4F"/>
    <w:rsid w:val="003A7088"/>
    <w:rsid w:val="003A7EDA"/>
    <w:rsid w:val="003B00DF"/>
    <w:rsid w:val="003B050A"/>
    <w:rsid w:val="003B1275"/>
    <w:rsid w:val="003B1778"/>
    <w:rsid w:val="003B3505"/>
    <w:rsid w:val="003B7296"/>
    <w:rsid w:val="003C11CB"/>
    <w:rsid w:val="003C4ADA"/>
    <w:rsid w:val="003C5FD0"/>
    <w:rsid w:val="003C61FB"/>
    <w:rsid w:val="003C73F3"/>
    <w:rsid w:val="003C75F3"/>
    <w:rsid w:val="003C78A3"/>
    <w:rsid w:val="003D3DE1"/>
    <w:rsid w:val="003D418B"/>
    <w:rsid w:val="003D58CC"/>
    <w:rsid w:val="003E1867"/>
    <w:rsid w:val="003E44F8"/>
    <w:rsid w:val="003E4620"/>
    <w:rsid w:val="003E5729"/>
    <w:rsid w:val="003E6FEE"/>
    <w:rsid w:val="003F18C2"/>
    <w:rsid w:val="003F338C"/>
    <w:rsid w:val="003F4EE0"/>
    <w:rsid w:val="00402153"/>
    <w:rsid w:val="00402FC1"/>
    <w:rsid w:val="00403B13"/>
    <w:rsid w:val="004055F4"/>
    <w:rsid w:val="00410516"/>
    <w:rsid w:val="004109C5"/>
    <w:rsid w:val="00411558"/>
    <w:rsid w:val="00413E1C"/>
    <w:rsid w:val="00415DEC"/>
    <w:rsid w:val="00417F24"/>
    <w:rsid w:val="0042034D"/>
    <w:rsid w:val="0042112B"/>
    <w:rsid w:val="004237AA"/>
    <w:rsid w:val="00423941"/>
    <w:rsid w:val="00425082"/>
    <w:rsid w:val="0042555D"/>
    <w:rsid w:val="004259D2"/>
    <w:rsid w:val="00431DEB"/>
    <w:rsid w:val="00431E22"/>
    <w:rsid w:val="00432FD6"/>
    <w:rsid w:val="00437023"/>
    <w:rsid w:val="00437237"/>
    <w:rsid w:val="00437543"/>
    <w:rsid w:val="00441F44"/>
    <w:rsid w:val="00444B15"/>
    <w:rsid w:val="00446B29"/>
    <w:rsid w:val="00450E01"/>
    <w:rsid w:val="00451B09"/>
    <w:rsid w:val="00453F9A"/>
    <w:rsid w:val="00457C64"/>
    <w:rsid w:val="0046162C"/>
    <w:rsid w:val="00462B1F"/>
    <w:rsid w:val="00467347"/>
    <w:rsid w:val="00471011"/>
    <w:rsid w:val="00471920"/>
    <w:rsid w:val="00471E91"/>
    <w:rsid w:val="00474675"/>
    <w:rsid w:val="0047470C"/>
    <w:rsid w:val="004764CD"/>
    <w:rsid w:val="004769DD"/>
    <w:rsid w:val="00477070"/>
    <w:rsid w:val="0047771B"/>
    <w:rsid w:val="00477773"/>
    <w:rsid w:val="00480EFC"/>
    <w:rsid w:val="00481DB8"/>
    <w:rsid w:val="00482D99"/>
    <w:rsid w:val="00483C43"/>
    <w:rsid w:val="0048611A"/>
    <w:rsid w:val="004902D4"/>
    <w:rsid w:val="00490632"/>
    <w:rsid w:val="004945D7"/>
    <w:rsid w:val="004A0C32"/>
    <w:rsid w:val="004A35F9"/>
    <w:rsid w:val="004A591C"/>
    <w:rsid w:val="004B0DAB"/>
    <w:rsid w:val="004B24C1"/>
    <w:rsid w:val="004B5A6B"/>
    <w:rsid w:val="004B7664"/>
    <w:rsid w:val="004B7A58"/>
    <w:rsid w:val="004C1D11"/>
    <w:rsid w:val="004C292F"/>
    <w:rsid w:val="004D4535"/>
    <w:rsid w:val="004D4DE9"/>
    <w:rsid w:val="004D5349"/>
    <w:rsid w:val="004D669C"/>
    <w:rsid w:val="004E2FB0"/>
    <w:rsid w:val="004E3B31"/>
    <w:rsid w:val="004E5EED"/>
    <w:rsid w:val="004F1D0C"/>
    <w:rsid w:val="004F1DFF"/>
    <w:rsid w:val="004F200D"/>
    <w:rsid w:val="004F5173"/>
    <w:rsid w:val="004F6736"/>
    <w:rsid w:val="005020C0"/>
    <w:rsid w:val="0050602F"/>
    <w:rsid w:val="005065DA"/>
    <w:rsid w:val="00507A7E"/>
    <w:rsid w:val="00507C39"/>
    <w:rsid w:val="00510280"/>
    <w:rsid w:val="00512060"/>
    <w:rsid w:val="005128F2"/>
    <w:rsid w:val="00513D73"/>
    <w:rsid w:val="00514A43"/>
    <w:rsid w:val="005164A2"/>
    <w:rsid w:val="00517220"/>
    <w:rsid w:val="005174E5"/>
    <w:rsid w:val="0052158E"/>
    <w:rsid w:val="00521C11"/>
    <w:rsid w:val="00522393"/>
    <w:rsid w:val="00522620"/>
    <w:rsid w:val="00524A28"/>
    <w:rsid w:val="005251F2"/>
    <w:rsid w:val="00525656"/>
    <w:rsid w:val="00526E40"/>
    <w:rsid w:val="00526E5E"/>
    <w:rsid w:val="00532ECF"/>
    <w:rsid w:val="00534C02"/>
    <w:rsid w:val="00535146"/>
    <w:rsid w:val="00535E9C"/>
    <w:rsid w:val="00536522"/>
    <w:rsid w:val="0054264B"/>
    <w:rsid w:val="0054285B"/>
    <w:rsid w:val="00543786"/>
    <w:rsid w:val="005511CB"/>
    <w:rsid w:val="005533D7"/>
    <w:rsid w:val="005569AB"/>
    <w:rsid w:val="005570A4"/>
    <w:rsid w:val="00566761"/>
    <w:rsid w:val="00566898"/>
    <w:rsid w:val="005703DE"/>
    <w:rsid w:val="00572346"/>
    <w:rsid w:val="00574AE9"/>
    <w:rsid w:val="005757E1"/>
    <w:rsid w:val="005776EE"/>
    <w:rsid w:val="00577A55"/>
    <w:rsid w:val="00577CD4"/>
    <w:rsid w:val="005802B8"/>
    <w:rsid w:val="00582410"/>
    <w:rsid w:val="00582AAA"/>
    <w:rsid w:val="00583AD1"/>
    <w:rsid w:val="0058464E"/>
    <w:rsid w:val="0058551D"/>
    <w:rsid w:val="0058618E"/>
    <w:rsid w:val="00596B03"/>
    <w:rsid w:val="005977E8"/>
    <w:rsid w:val="00597F38"/>
    <w:rsid w:val="005A01CB"/>
    <w:rsid w:val="005A0340"/>
    <w:rsid w:val="005A1C18"/>
    <w:rsid w:val="005A58FF"/>
    <w:rsid w:val="005A5EAF"/>
    <w:rsid w:val="005A64C0"/>
    <w:rsid w:val="005B1C54"/>
    <w:rsid w:val="005B33E7"/>
    <w:rsid w:val="005B3C11"/>
    <w:rsid w:val="005C0FAB"/>
    <w:rsid w:val="005C1C28"/>
    <w:rsid w:val="005C6DB5"/>
    <w:rsid w:val="005D351E"/>
    <w:rsid w:val="005D4A0B"/>
    <w:rsid w:val="005D6C21"/>
    <w:rsid w:val="005E19E7"/>
    <w:rsid w:val="005E388B"/>
    <w:rsid w:val="005E5F70"/>
    <w:rsid w:val="005E6FCE"/>
    <w:rsid w:val="005F2249"/>
    <w:rsid w:val="005F5EBF"/>
    <w:rsid w:val="005F66D2"/>
    <w:rsid w:val="006014CB"/>
    <w:rsid w:val="006020B0"/>
    <w:rsid w:val="0060211D"/>
    <w:rsid w:val="00605DBD"/>
    <w:rsid w:val="00605E9A"/>
    <w:rsid w:val="006144B6"/>
    <w:rsid w:val="0061584F"/>
    <w:rsid w:val="0061716C"/>
    <w:rsid w:val="006242FD"/>
    <w:rsid w:val="006243A1"/>
    <w:rsid w:val="0062605C"/>
    <w:rsid w:val="006272B0"/>
    <w:rsid w:val="00632E56"/>
    <w:rsid w:val="00635CBA"/>
    <w:rsid w:val="0064338B"/>
    <w:rsid w:val="00643B06"/>
    <w:rsid w:val="00643B12"/>
    <w:rsid w:val="006449CF"/>
    <w:rsid w:val="00646542"/>
    <w:rsid w:val="006475BA"/>
    <w:rsid w:val="006504F4"/>
    <w:rsid w:val="00650D99"/>
    <w:rsid w:val="00654BC9"/>
    <w:rsid w:val="006552FD"/>
    <w:rsid w:val="006555FB"/>
    <w:rsid w:val="0066084B"/>
    <w:rsid w:val="00663750"/>
    <w:rsid w:val="00663AF3"/>
    <w:rsid w:val="00664E88"/>
    <w:rsid w:val="00666B6C"/>
    <w:rsid w:val="00666E7D"/>
    <w:rsid w:val="006700A0"/>
    <w:rsid w:val="00670181"/>
    <w:rsid w:val="006705D8"/>
    <w:rsid w:val="00671580"/>
    <w:rsid w:val="006737A3"/>
    <w:rsid w:val="00677485"/>
    <w:rsid w:val="0068058B"/>
    <w:rsid w:val="00682682"/>
    <w:rsid w:val="00682702"/>
    <w:rsid w:val="0068307F"/>
    <w:rsid w:val="00685D30"/>
    <w:rsid w:val="00686C98"/>
    <w:rsid w:val="00690920"/>
    <w:rsid w:val="006919B0"/>
    <w:rsid w:val="00692368"/>
    <w:rsid w:val="0069296E"/>
    <w:rsid w:val="00692F6D"/>
    <w:rsid w:val="00693FFA"/>
    <w:rsid w:val="006956FD"/>
    <w:rsid w:val="006A0620"/>
    <w:rsid w:val="006A2EBC"/>
    <w:rsid w:val="006A5EA0"/>
    <w:rsid w:val="006A783B"/>
    <w:rsid w:val="006A7B33"/>
    <w:rsid w:val="006B2C37"/>
    <w:rsid w:val="006B3B55"/>
    <w:rsid w:val="006B4E13"/>
    <w:rsid w:val="006B52B9"/>
    <w:rsid w:val="006B542E"/>
    <w:rsid w:val="006B5CA4"/>
    <w:rsid w:val="006B6ED3"/>
    <w:rsid w:val="006B72A0"/>
    <w:rsid w:val="006B75DD"/>
    <w:rsid w:val="006C34E8"/>
    <w:rsid w:val="006C4F06"/>
    <w:rsid w:val="006C67E0"/>
    <w:rsid w:val="006C7ABA"/>
    <w:rsid w:val="006D0D60"/>
    <w:rsid w:val="006D0E6B"/>
    <w:rsid w:val="006D1122"/>
    <w:rsid w:val="006D3C00"/>
    <w:rsid w:val="006D481D"/>
    <w:rsid w:val="006E08C9"/>
    <w:rsid w:val="006E0A19"/>
    <w:rsid w:val="006E3675"/>
    <w:rsid w:val="006E4A7F"/>
    <w:rsid w:val="006F3CC6"/>
    <w:rsid w:val="007019BD"/>
    <w:rsid w:val="00703BF5"/>
    <w:rsid w:val="00704A13"/>
    <w:rsid w:val="00704DF6"/>
    <w:rsid w:val="0070651C"/>
    <w:rsid w:val="00710F8E"/>
    <w:rsid w:val="00711863"/>
    <w:rsid w:val="007132A3"/>
    <w:rsid w:val="00715747"/>
    <w:rsid w:val="00716421"/>
    <w:rsid w:val="0071742D"/>
    <w:rsid w:val="00721A9E"/>
    <w:rsid w:val="00724EFB"/>
    <w:rsid w:val="00737233"/>
    <w:rsid w:val="007402F3"/>
    <w:rsid w:val="007419C3"/>
    <w:rsid w:val="00741E73"/>
    <w:rsid w:val="00743BCE"/>
    <w:rsid w:val="007467A7"/>
    <w:rsid w:val="007469DD"/>
    <w:rsid w:val="0074741B"/>
    <w:rsid w:val="0074759D"/>
    <w:rsid w:val="0074759E"/>
    <w:rsid w:val="007478EA"/>
    <w:rsid w:val="00750DD7"/>
    <w:rsid w:val="0075135C"/>
    <w:rsid w:val="007525DF"/>
    <w:rsid w:val="0075415C"/>
    <w:rsid w:val="00755536"/>
    <w:rsid w:val="00757D32"/>
    <w:rsid w:val="00762A6F"/>
    <w:rsid w:val="00763502"/>
    <w:rsid w:val="00770CA1"/>
    <w:rsid w:val="00772BAA"/>
    <w:rsid w:val="0077356D"/>
    <w:rsid w:val="007856F1"/>
    <w:rsid w:val="007913AB"/>
    <w:rsid w:val="007914F7"/>
    <w:rsid w:val="007931D7"/>
    <w:rsid w:val="0079368D"/>
    <w:rsid w:val="0079474E"/>
    <w:rsid w:val="00795062"/>
    <w:rsid w:val="007A2353"/>
    <w:rsid w:val="007A3D46"/>
    <w:rsid w:val="007A632C"/>
    <w:rsid w:val="007A6D7A"/>
    <w:rsid w:val="007B1625"/>
    <w:rsid w:val="007B3739"/>
    <w:rsid w:val="007B3DE2"/>
    <w:rsid w:val="007B3E66"/>
    <w:rsid w:val="007B4C04"/>
    <w:rsid w:val="007B706E"/>
    <w:rsid w:val="007B71EB"/>
    <w:rsid w:val="007C0EB7"/>
    <w:rsid w:val="007C4103"/>
    <w:rsid w:val="007C6205"/>
    <w:rsid w:val="007C686A"/>
    <w:rsid w:val="007C728E"/>
    <w:rsid w:val="007D2C53"/>
    <w:rsid w:val="007D3D60"/>
    <w:rsid w:val="007D4843"/>
    <w:rsid w:val="007D55E4"/>
    <w:rsid w:val="007E0A64"/>
    <w:rsid w:val="007E0EAC"/>
    <w:rsid w:val="007E1980"/>
    <w:rsid w:val="007E3773"/>
    <w:rsid w:val="007E39FC"/>
    <w:rsid w:val="007E4B76"/>
    <w:rsid w:val="007E5EA8"/>
    <w:rsid w:val="007F02C1"/>
    <w:rsid w:val="007F0CF1"/>
    <w:rsid w:val="007F0D50"/>
    <w:rsid w:val="007F12A5"/>
    <w:rsid w:val="007F157E"/>
    <w:rsid w:val="007F4CCC"/>
    <w:rsid w:val="007F4CF1"/>
    <w:rsid w:val="007F602C"/>
    <w:rsid w:val="007F758D"/>
    <w:rsid w:val="007F7D52"/>
    <w:rsid w:val="0080654C"/>
    <w:rsid w:val="008071C6"/>
    <w:rsid w:val="00811654"/>
    <w:rsid w:val="00812A8A"/>
    <w:rsid w:val="00817A00"/>
    <w:rsid w:val="00817A45"/>
    <w:rsid w:val="00822EA2"/>
    <w:rsid w:val="0082450A"/>
    <w:rsid w:val="00824751"/>
    <w:rsid w:val="0082562E"/>
    <w:rsid w:val="00826BE4"/>
    <w:rsid w:val="008306A2"/>
    <w:rsid w:val="00832E62"/>
    <w:rsid w:val="00834A8B"/>
    <w:rsid w:val="00835DB3"/>
    <w:rsid w:val="0083617B"/>
    <w:rsid w:val="008368FB"/>
    <w:rsid w:val="008371BD"/>
    <w:rsid w:val="00840CBC"/>
    <w:rsid w:val="00841987"/>
    <w:rsid w:val="0084393F"/>
    <w:rsid w:val="008452D3"/>
    <w:rsid w:val="008504A8"/>
    <w:rsid w:val="00851401"/>
    <w:rsid w:val="0085282E"/>
    <w:rsid w:val="00852B80"/>
    <w:rsid w:val="0085403A"/>
    <w:rsid w:val="00855699"/>
    <w:rsid w:val="0085679D"/>
    <w:rsid w:val="008567C5"/>
    <w:rsid w:val="008639BC"/>
    <w:rsid w:val="00863CCF"/>
    <w:rsid w:val="00864723"/>
    <w:rsid w:val="00865259"/>
    <w:rsid w:val="00867021"/>
    <w:rsid w:val="00867901"/>
    <w:rsid w:val="00870C5E"/>
    <w:rsid w:val="0087198C"/>
    <w:rsid w:val="00872C1F"/>
    <w:rsid w:val="008731CF"/>
    <w:rsid w:val="00873B42"/>
    <w:rsid w:val="008771EB"/>
    <w:rsid w:val="00880309"/>
    <w:rsid w:val="00880976"/>
    <w:rsid w:val="00880ECD"/>
    <w:rsid w:val="00882494"/>
    <w:rsid w:val="008856D8"/>
    <w:rsid w:val="0089238A"/>
    <w:rsid w:val="00892E82"/>
    <w:rsid w:val="00894031"/>
    <w:rsid w:val="00895E4B"/>
    <w:rsid w:val="00897516"/>
    <w:rsid w:val="00897F03"/>
    <w:rsid w:val="008A28DB"/>
    <w:rsid w:val="008A4592"/>
    <w:rsid w:val="008B4C31"/>
    <w:rsid w:val="008B55D9"/>
    <w:rsid w:val="008B5DC1"/>
    <w:rsid w:val="008B74F6"/>
    <w:rsid w:val="008C00CC"/>
    <w:rsid w:val="008C1B58"/>
    <w:rsid w:val="008C39AE"/>
    <w:rsid w:val="008C5825"/>
    <w:rsid w:val="008C590D"/>
    <w:rsid w:val="008C646C"/>
    <w:rsid w:val="008C7A8C"/>
    <w:rsid w:val="008D1C86"/>
    <w:rsid w:val="008D79D8"/>
    <w:rsid w:val="008E031B"/>
    <w:rsid w:val="008E7029"/>
    <w:rsid w:val="008E7EF6"/>
    <w:rsid w:val="008F1F98"/>
    <w:rsid w:val="008F23EB"/>
    <w:rsid w:val="008F291E"/>
    <w:rsid w:val="008F6758"/>
    <w:rsid w:val="008F67DE"/>
    <w:rsid w:val="008F6C2B"/>
    <w:rsid w:val="00903753"/>
    <w:rsid w:val="00903B0C"/>
    <w:rsid w:val="009040DD"/>
    <w:rsid w:val="00905B47"/>
    <w:rsid w:val="0090645D"/>
    <w:rsid w:val="0091331C"/>
    <w:rsid w:val="009162FD"/>
    <w:rsid w:val="0091786B"/>
    <w:rsid w:val="009241C7"/>
    <w:rsid w:val="009279DE"/>
    <w:rsid w:val="00930116"/>
    <w:rsid w:val="00931F0C"/>
    <w:rsid w:val="0093599B"/>
    <w:rsid w:val="00937590"/>
    <w:rsid w:val="0094212C"/>
    <w:rsid w:val="009429E5"/>
    <w:rsid w:val="00945B78"/>
    <w:rsid w:val="009507E5"/>
    <w:rsid w:val="00953AB7"/>
    <w:rsid w:val="00954438"/>
    <w:rsid w:val="00954689"/>
    <w:rsid w:val="009557D9"/>
    <w:rsid w:val="00955F7B"/>
    <w:rsid w:val="00960893"/>
    <w:rsid w:val="009617C9"/>
    <w:rsid w:val="00961C93"/>
    <w:rsid w:val="00962C4D"/>
    <w:rsid w:val="0096342C"/>
    <w:rsid w:val="009641B9"/>
    <w:rsid w:val="009649E2"/>
    <w:rsid w:val="00965324"/>
    <w:rsid w:val="0097091E"/>
    <w:rsid w:val="009760D3"/>
    <w:rsid w:val="00977132"/>
    <w:rsid w:val="00977E7A"/>
    <w:rsid w:val="00981A4B"/>
    <w:rsid w:val="00982501"/>
    <w:rsid w:val="00984717"/>
    <w:rsid w:val="00986CD9"/>
    <w:rsid w:val="00987039"/>
    <w:rsid w:val="009877D3"/>
    <w:rsid w:val="00992019"/>
    <w:rsid w:val="00993993"/>
    <w:rsid w:val="00994E8F"/>
    <w:rsid w:val="009951DC"/>
    <w:rsid w:val="009956B0"/>
    <w:rsid w:val="009959BB"/>
    <w:rsid w:val="00997158"/>
    <w:rsid w:val="009A3A7C"/>
    <w:rsid w:val="009A7D29"/>
    <w:rsid w:val="009B2ADB"/>
    <w:rsid w:val="009B2C3C"/>
    <w:rsid w:val="009B603A"/>
    <w:rsid w:val="009C215C"/>
    <w:rsid w:val="009C2D0E"/>
    <w:rsid w:val="009C3DAC"/>
    <w:rsid w:val="009C42E0"/>
    <w:rsid w:val="009C4F07"/>
    <w:rsid w:val="009C64C2"/>
    <w:rsid w:val="009C7447"/>
    <w:rsid w:val="009C7E60"/>
    <w:rsid w:val="009D2683"/>
    <w:rsid w:val="009D5362"/>
    <w:rsid w:val="009E1415"/>
    <w:rsid w:val="009E1E3B"/>
    <w:rsid w:val="009E3F7A"/>
    <w:rsid w:val="009E6116"/>
    <w:rsid w:val="009E693F"/>
    <w:rsid w:val="009E6AC7"/>
    <w:rsid w:val="009F1805"/>
    <w:rsid w:val="009F3B56"/>
    <w:rsid w:val="009F43E4"/>
    <w:rsid w:val="00A000F2"/>
    <w:rsid w:val="00A02E43"/>
    <w:rsid w:val="00A03827"/>
    <w:rsid w:val="00A04A55"/>
    <w:rsid w:val="00A065F9"/>
    <w:rsid w:val="00A07F34"/>
    <w:rsid w:val="00A117FE"/>
    <w:rsid w:val="00A14E27"/>
    <w:rsid w:val="00A15D95"/>
    <w:rsid w:val="00A16598"/>
    <w:rsid w:val="00A20C53"/>
    <w:rsid w:val="00A22154"/>
    <w:rsid w:val="00A2241D"/>
    <w:rsid w:val="00A25C38"/>
    <w:rsid w:val="00A25E8E"/>
    <w:rsid w:val="00A278F0"/>
    <w:rsid w:val="00A35B67"/>
    <w:rsid w:val="00A36BBE"/>
    <w:rsid w:val="00A4307A"/>
    <w:rsid w:val="00A47EBB"/>
    <w:rsid w:val="00A51CDD"/>
    <w:rsid w:val="00A53B3A"/>
    <w:rsid w:val="00A53E50"/>
    <w:rsid w:val="00A6730D"/>
    <w:rsid w:val="00A71625"/>
    <w:rsid w:val="00A71A0B"/>
    <w:rsid w:val="00A71B9B"/>
    <w:rsid w:val="00A751C7"/>
    <w:rsid w:val="00A76887"/>
    <w:rsid w:val="00A85289"/>
    <w:rsid w:val="00A87844"/>
    <w:rsid w:val="00A92139"/>
    <w:rsid w:val="00A92A02"/>
    <w:rsid w:val="00A94BEB"/>
    <w:rsid w:val="00A9625B"/>
    <w:rsid w:val="00A963FF"/>
    <w:rsid w:val="00AA038C"/>
    <w:rsid w:val="00AA03B2"/>
    <w:rsid w:val="00AA20A6"/>
    <w:rsid w:val="00AA246D"/>
    <w:rsid w:val="00AA4DE3"/>
    <w:rsid w:val="00AA5CF9"/>
    <w:rsid w:val="00AA7814"/>
    <w:rsid w:val="00AA7A09"/>
    <w:rsid w:val="00AB0653"/>
    <w:rsid w:val="00AB0B30"/>
    <w:rsid w:val="00AB2B5C"/>
    <w:rsid w:val="00AB3B50"/>
    <w:rsid w:val="00AB4636"/>
    <w:rsid w:val="00AB5A06"/>
    <w:rsid w:val="00AC05B1"/>
    <w:rsid w:val="00AD01C2"/>
    <w:rsid w:val="00AD356C"/>
    <w:rsid w:val="00AD5198"/>
    <w:rsid w:val="00AE092B"/>
    <w:rsid w:val="00AE2914"/>
    <w:rsid w:val="00AE62FD"/>
    <w:rsid w:val="00AE6D15"/>
    <w:rsid w:val="00AF0798"/>
    <w:rsid w:val="00AF400A"/>
    <w:rsid w:val="00AF46B6"/>
    <w:rsid w:val="00AF484B"/>
    <w:rsid w:val="00AF6051"/>
    <w:rsid w:val="00AF730D"/>
    <w:rsid w:val="00B00D08"/>
    <w:rsid w:val="00B04182"/>
    <w:rsid w:val="00B07AE3"/>
    <w:rsid w:val="00B11430"/>
    <w:rsid w:val="00B119ED"/>
    <w:rsid w:val="00B164B8"/>
    <w:rsid w:val="00B17714"/>
    <w:rsid w:val="00B227BF"/>
    <w:rsid w:val="00B23D57"/>
    <w:rsid w:val="00B25038"/>
    <w:rsid w:val="00B32B39"/>
    <w:rsid w:val="00B353EB"/>
    <w:rsid w:val="00B37122"/>
    <w:rsid w:val="00B43580"/>
    <w:rsid w:val="00B439C4"/>
    <w:rsid w:val="00B4535E"/>
    <w:rsid w:val="00B4709B"/>
    <w:rsid w:val="00B50063"/>
    <w:rsid w:val="00B51871"/>
    <w:rsid w:val="00B52A8C"/>
    <w:rsid w:val="00B5316A"/>
    <w:rsid w:val="00B53A96"/>
    <w:rsid w:val="00B549E7"/>
    <w:rsid w:val="00B56FB6"/>
    <w:rsid w:val="00B603AC"/>
    <w:rsid w:val="00B62154"/>
    <w:rsid w:val="00B63069"/>
    <w:rsid w:val="00B636A8"/>
    <w:rsid w:val="00B64664"/>
    <w:rsid w:val="00B665C6"/>
    <w:rsid w:val="00B73D9D"/>
    <w:rsid w:val="00B748D5"/>
    <w:rsid w:val="00B7515D"/>
    <w:rsid w:val="00B75C49"/>
    <w:rsid w:val="00B75ED0"/>
    <w:rsid w:val="00B76683"/>
    <w:rsid w:val="00B80082"/>
    <w:rsid w:val="00B805AF"/>
    <w:rsid w:val="00B82CD7"/>
    <w:rsid w:val="00B8397B"/>
    <w:rsid w:val="00B85097"/>
    <w:rsid w:val="00B85D38"/>
    <w:rsid w:val="00B869EC"/>
    <w:rsid w:val="00B87A97"/>
    <w:rsid w:val="00B93091"/>
    <w:rsid w:val="00B9397A"/>
    <w:rsid w:val="00B9633D"/>
    <w:rsid w:val="00B964E0"/>
    <w:rsid w:val="00BA2EBE"/>
    <w:rsid w:val="00BB0F28"/>
    <w:rsid w:val="00BB1B43"/>
    <w:rsid w:val="00BB24A7"/>
    <w:rsid w:val="00BB458A"/>
    <w:rsid w:val="00BB4607"/>
    <w:rsid w:val="00BC006E"/>
    <w:rsid w:val="00BC0582"/>
    <w:rsid w:val="00BC2324"/>
    <w:rsid w:val="00BC4ED4"/>
    <w:rsid w:val="00BC699F"/>
    <w:rsid w:val="00BD00D3"/>
    <w:rsid w:val="00BD1659"/>
    <w:rsid w:val="00BD3AA9"/>
    <w:rsid w:val="00BD4A18"/>
    <w:rsid w:val="00BD4F95"/>
    <w:rsid w:val="00BD5EE6"/>
    <w:rsid w:val="00BD6DB2"/>
    <w:rsid w:val="00BD6F67"/>
    <w:rsid w:val="00BE11CF"/>
    <w:rsid w:val="00BE14E5"/>
    <w:rsid w:val="00BE2130"/>
    <w:rsid w:val="00BE21AB"/>
    <w:rsid w:val="00BE55CB"/>
    <w:rsid w:val="00BE71BD"/>
    <w:rsid w:val="00BF29B3"/>
    <w:rsid w:val="00BF617A"/>
    <w:rsid w:val="00BF700B"/>
    <w:rsid w:val="00BF7D50"/>
    <w:rsid w:val="00C01E58"/>
    <w:rsid w:val="00C0379D"/>
    <w:rsid w:val="00C03931"/>
    <w:rsid w:val="00C04E7A"/>
    <w:rsid w:val="00C05FE3"/>
    <w:rsid w:val="00C101F1"/>
    <w:rsid w:val="00C129B6"/>
    <w:rsid w:val="00C171C0"/>
    <w:rsid w:val="00C2136D"/>
    <w:rsid w:val="00C214EE"/>
    <w:rsid w:val="00C2314B"/>
    <w:rsid w:val="00C2408B"/>
    <w:rsid w:val="00C24971"/>
    <w:rsid w:val="00C26987"/>
    <w:rsid w:val="00C26BE5"/>
    <w:rsid w:val="00C26E4D"/>
    <w:rsid w:val="00C26FEE"/>
    <w:rsid w:val="00C27909"/>
    <w:rsid w:val="00C27B03"/>
    <w:rsid w:val="00C314E1"/>
    <w:rsid w:val="00C34397"/>
    <w:rsid w:val="00C35A6B"/>
    <w:rsid w:val="00C4095D"/>
    <w:rsid w:val="00C431C9"/>
    <w:rsid w:val="00C526E4"/>
    <w:rsid w:val="00C56D20"/>
    <w:rsid w:val="00C601D2"/>
    <w:rsid w:val="00C635E7"/>
    <w:rsid w:val="00C657AB"/>
    <w:rsid w:val="00C65BBC"/>
    <w:rsid w:val="00C65BCC"/>
    <w:rsid w:val="00C66970"/>
    <w:rsid w:val="00C74FFE"/>
    <w:rsid w:val="00C80173"/>
    <w:rsid w:val="00C81310"/>
    <w:rsid w:val="00C8691C"/>
    <w:rsid w:val="00C91642"/>
    <w:rsid w:val="00C92B5E"/>
    <w:rsid w:val="00C94E9F"/>
    <w:rsid w:val="00C95284"/>
    <w:rsid w:val="00C95754"/>
    <w:rsid w:val="00C957B0"/>
    <w:rsid w:val="00C95C94"/>
    <w:rsid w:val="00C97FD2"/>
    <w:rsid w:val="00CA168A"/>
    <w:rsid w:val="00CA357E"/>
    <w:rsid w:val="00CA44F9"/>
    <w:rsid w:val="00CA4A69"/>
    <w:rsid w:val="00CA74A0"/>
    <w:rsid w:val="00CB0146"/>
    <w:rsid w:val="00CB7FE8"/>
    <w:rsid w:val="00CC3E0C"/>
    <w:rsid w:val="00CC4314"/>
    <w:rsid w:val="00CC569C"/>
    <w:rsid w:val="00CC589A"/>
    <w:rsid w:val="00CC58D3"/>
    <w:rsid w:val="00CC784D"/>
    <w:rsid w:val="00CD3E6F"/>
    <w:rsid w:val="00CD493F"/>
    <w:rsid w:val="00CE32A5"/>
    <w:rsid w:val="00CE4452"/>
    <w:rsid w:val="00CE4C83"/>
    <w:rsid w:val="00CE6737"/>
    <w:rsid w:val="00CE6D76"/>
    <w:rsid w:val="00CE7D86"/>
    <w:rsid w:val="00CF4025"/>
    <w:rsid w:val="00CF44D6"/>
    <w:rsid w:val="00CF4505"/>
    <w:rsid w:val="00CF7626"/>
    <w:rsid w:val="00D015C0"/>
    <w:rsid w:val="00D01AC5"/>
    <w:rsid w:val="00D0337B"/>
    <w:rsid w:val="00D079B2"/>
    <w:rsid w:val="00D114E9"/>
    <w:rsid w:val="00D13981"/>
    <w:rsid w:val="00D14374"/>
    <w:rsid w:val="00D20AFC"/>
    <w:rsid w:val="00D20F29"/>
    <w:rsid w:val="00D235EF"/>
    <w:rsid w:val="00D2391D"/>
    <w:rsid w:val="00D24497"/>
    <w:rsid w:val="00D26AC9"/>
    <w:rsid w:val="00D27B2D"/>
    <w:rsid w:val="00D27D27"/>
    <w:rsid w:val="00D31DEC"/>
    <w:rsid w:val="00D32E79"/>
    <w:rsid w:val="00D35261"/>
    <w:rsid w:val="00D41D82"/>
    <w:rsid w:val="00D42171"/>
    <w:rsid w:val="00D429C6"/>
    <w:rsid w:val="00D4654E"/>
    <w:rsid w:val="00D47584"/>
    <w:rsid w:val="00D47748"/>
    <w:rsid w:val="00D5166B"/>
    <w:rsid w:val="00D52074"/>
    <w:rsid w:val="00D52DA8"/>
    <w:rsid w:val="00D541FA"/>
    <w:rsid w:val="00D54CC3"/>
    <w:rsid w:val="00D60241"/>
    <w:rsid w:val="00D6041A"/>
    <w:rsid w:val="00D60E1E"/>
    <w:rsid w:val="00D633EB"/>
    <w:rsid w:val="00D6623A"/>
    <w:rsid w:val="00D7314F"/>
    <w:rsid w:val="00D75487"/>
    <w:rsid w:val="00D76CC7"/>
    <w:rsid w:val="00D80141"/>
    <w:rsid w:val="00D82FF7"/>
    <w:rsid w:val="00D847FE"/>
    <w:rsid w:val="00D90FCC"/>
    <w:rsid w:val="00D9452D"/>
    <w:rsid w:val="00D964EA"/>
    <w:rsid w:val="00D966D0"/>
    <w:rsid w:val="00D97AC9"/>
    <w:rsid w:val="00DA094D"/>
    <w:rsid w:val="00DA0C59"/>
    <w:rsid w:val="00DA3991"/>
    <w:rsid w:val="00DA4B4C"/>
    <w:rsid w:val="00DA5E7B"/>
    <w:rsid w:val="00DA72D3"/>
    <w:rsid w:val="00DA7B3F"/>
    <w:rsid w:val="00DB1947"/>
    <w:rsid w:val="00DB4420"/>
    <w:rsid w:val="00DB4C9C"/>
    <w:rsid w:val="00DB7E6C"/>
    <w:rsid w:val="00DC1254"/>
    <w:rsid w:val="00DC140F"/>
    <w:rsid w:val="00DC210F"/>
    <w:rsid w:val="00DC3487"/>
    <w:rsid w:val="00DC60B0"/>
    <w:rsid w:val="00DC7E9D"/>
    <w:rsid w:val="00DD3506"/>
    <w:rsid w:val="00DD5374"/>
    <w:rsid w:val="00DD5A29"/>
    <w:rsid w:val="00DD5D9D"/>
    <w:rsid w:val="00DD677E"/>
    <w:rsid w:val="00DD7035"/>
    <w:rsid w:val="00DD70F3"/>
    <w:rsid w:val="00DE0343"/>
    <w:rsid w:val="00DE12D2"/>
    <w:rsid w:val="00DE35CB"/>
    <w:rsid w:val="00DE5230"/>
    <w:rsid w:val="00DE6937"/>
    <w:rsid w:val="00DF1EAC"/>
    <w:rsid w:val="00DF21E9"/>
    <w:rsid w:val="00E00F14"/>
    <w:rsid w:val="00E01B56"/>
    <w:rsid w:val="00E031AC"/>
    <w:rsid w:val="00E03623"/>
    <w:rsid w:val="00E036E7"/>
    <w:rsid w:val="00E06386"/>
    <w:rsid w:val="00E070C7"/>
    <w:rsid w:val="00E1078E"/>
    <w:rsid w:val="00E125C1"/>
    <w:rsid w:val="00E136A7"/>
    <w:rsid w:val="00E13C33"/>
    <w:rsid w:val="00E156E1"/>
    <w:rsid w:val="00E158AF"/>
    <w:rsid w:val="00E201C9"/>
    <w:rsid w:val="00E20F95"/>
    <w:rsid w:val="00E2124D"/>
    <w:rsid w:val="00E24C25"/>
    <w:rsid w:val="00E24EB4"/>
    <w:rsid w:val="00E27652"/>
    <w:rsid w:val="00E320ED"/>
    <w:rsid w:val="00E32297"/>
    <w:rsid w:val="00E33AFB"/>
    <w:rsid w:val="00E34218"/>
    <w:rsid w:val="00E42C82"/>
    <w:rsid w:val="00E44C34"/>
    <w:rsid w:val="00E46282"/>
    <w:rsid w:val="00E46F2A"/>
    <w:rsid w:val="00E47C5F"/>
    <w:rsid w:val="00E514F6"/>
    <w:rsid w:val="00E5216E"/>
    <w:rsid w:val="00E551D7"/>
    <w:rsid w:val="00E60A36"/>
    <w:rsid w:val="00E61741"/>
    <w:rsid w:val="00E61EF9"/>
    <w:rsid w:val="00E63231"/>
    <w:rsid w:val="00E66CCE"/>
    <w:rsid w:val="00E67983"/>
    <w:rsid w:val="00E72BC0"/>
    <w:rsid w:val="00E7785D"/>
    <w:rsid w:val="00E80704"/>
    <w:rsid w:val="00E82344"/>
    <w:rsid w:val="00E84C82"/>
    <w:rsid w:val="00E84D64"/>
    <w:rsid w:val="00E87408"/>
    <w:rsid w:val="00E914C4"/>
    <w:rsid w:val="00E934F5"/>
    <w:rsid w:val="00E9519B"/>
    <w:rsid w:val="00E95219"/>
    <w:rsid w:val="00E96961"/>
    <w:rsid w:val="00E97C6D"/>
    <w:rsid w:val="00EA37E5"/>
    <w:rsid w:val="00EA383D"/>
    <w:rsid w:val="00EA3E39"/>
    <w:rsid w:val="00EA72EC"/>
    <w:rsid w:val="00EB11CB"/>
    <w:rsid w:val="00EB275A"/>
    <w:rsid w:val="00EB35E8"/>
    <w:rsid w:val="00EB4DE9"/>
    <w:rsid w:val="00EB605F"/>
    <w:rsid w:val="00EB786A"/>
    <w:rsid w:val="00EB7922"/>
    <w:rsid w:val="00EB7C61"/>
    <w:rsid w:val="00EC1578"/>
    <w:rsid w:val="00EC1C72"/>
    <w:rsid w:val="00EC3CC9"/>
    <w:rsid w:val="00EC3CCE"/>
    <w:rsid w:val="00EC680A"/>
    <w:rsid w:val="00ED0536"/>
    <w:rsid w:val="00ED09AF"/>
    <w:rsid w:val="00ED2A28"/>
    <w:rsid w:val="00ED453A"/>
    <w:rsid w:val="00ED6B1E"/>
    <w:rsid w:val="00EE00AC"/>
    <w:rsid w:val="00EE2BED"/>
    <w:rsid w:val="00EE374B"/>
    <w:rsid w:val="00EE77B4"/>
    <w:rsid w:val="00EF1802"/>
    <w:rsid w:val="00EF1CFD"/>
    <w:rsid w:val="00EF235D"/>
    <w:rsid w:val="00EF745B"/>
    <w:rsid w:val="00F057D8"/>
    <w:rsid w:val="00F06408"/>
    <w:rsid w:val="00F11BB5"/>
    <w:rsid w:val="00F12B31"/>
    <w:rsid w:val="00F12EF9"/>
    <w:rsid w:val="00F13BAB"/>
    <w:rsid w:val="00F1417B"/>
    <w:rsid w:val="00F16724"/>
    <w:rsid w:val="00F2027A"/>
    <w:rsid w:val="00F21EF9"/>
    <w:rsid w:val="00F25D81"/>
    <w:rsid w:val="00F25E12"/>
    <w:rsid w:val="00F27827"/>
    <w:rsid w:val="00F31A11"/>
    <w:rsid w:val="00F327B7"/>
    <w:rsid w:val="00F34B99"/>
    <w:rsid w:val="00F3784C"/>
    <w:rsid w:val="00F40D05"/>
    <w:rsid w:val="00F464A5"/>
    <w:rsid w:val="00F52DAB"/>
    <w:rsid w:val="00F53CED"/>
    <w:rsid w:val="00F543F0"/>
    <w:rsid w:val="00F60F34"/>
    <w:rsid w:val="00F6342E"/>
    <w:rsid w:val="00F6765A"/>
    <w:rsid w:val="00F717D6"/>
    <w:rsid w:val="00F73770"/>
    <w:rsid w:val="00F77367"/>
    <w:rsid w:val="00F81D29"/>
    <w:rsid w:val="00F83BC5"/>
    <w:rsid w:val="00F86651"/>
    <w:rsid w:val="00F8744B"/>
    <w:rsid w:val="00F90CDA"/>
    <w:rsid w:val="00F91C4D"/>
    <w:rsid w:val="00F92FD9"/>
    <w:rsid w:val="00F97EE7"/>
    <w:rsid w:val="00FA6684"/>
    <w:rsid w:val="00FA6697"/>
    <w:rsid w:val="00FA731E"/>
    <w:rsid w:val="00FB0F31"/>
    <w:rsid w:val="00FB1795"/>
    <w:rsid w:val="00FB18FC"/>
    <w:rsid w:val="00FB2B38"/>
    <w:rsid w:val="00FB2EAA"/>
    <w:rsid w:val="00FB321B"/>
    <w:rsid w:val="00FB5246"/>
    <w:rsid w:val="00FC0700"/>
    <w:rsid w:val="00FC409D"/>
    <w:rsid w:val="00FC421D"/>
    <w:rsid w:val="00FC5649"/>
    <w:rsid w:val="00FC6358"/>
    <w:rsid w:val="00FD320D"/>
    <w:rsid w:val="00FD3D05"/>
    <w:rsid w:val="00FE23DE"/>
    <w:rsid w:val="00FE2925"/>
    <w:rsid w:val="00FF1405"/>
    <w:rsid w:val="00FF1AB1"/>
    <w:rsid w:val="00FF241B"/>
    <w:rsid w:val="00FF24B9"/>
    <w:rsid w:val="00FF37DF"/>
    <w:rsid w:val="00FF4D79"/>
    <w:rsid w:val="00FF7814"/>
    <w:rsid w:val="00FF7C75"/>
    <w:rsid w:val="635B3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6"/>
    <w:qFormat/>
    <w:uiPriority w:val="0"/>
    <w:pPr>
      <w:keepNext/>
      <w:keepLines/>
      <w:spacing w:before="480"/>
      <w:outlineLvl w:val="0"/>
    </w:pPr>
    <w:rPr>
      <w:rFonts w:asciiTheme="majorHAnsi" w:hAnsiTheme="majorHAnsi" w:eastAsiaTheme="majorEastAsia" w:cstheme="majorBidi"/>
      <w:b/>
      <w:bCs/>
      <w:color w:val="2F5597" w:themeColor="accent1" w:themeShade="BF"/>
      <w:sz w:val="28"/>
      <w:szCs w:val="28"/>
    </w:rPr>
  </w:style>
  <w:style w:type="character" w:default="1" w:styleId="37">
    <w:name w:val="Default Paragraph Font"/>
    <w:unhideWhenUsed/>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0"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50"/>
    <w:qFormat/>
    <w:uiPriority w:val="0"/>
    <w:pPr>
      <w:jc w:val="left"/>
    </w:pPr>
    <w:rPr>
      <w:lang w:val="zh-CN" w:eastAsia="zh-CN"/>
    </w:r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link w:val="147"/>
    <w:uiPriority w:val="0"/>
    <w:pPr>
      <w:spacing w:after="120"/>
    </w:pPr>
    <w:rPr>
      <w:lang w:val="zh-CN" w:eastAsia="zh-CN"/>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semiHidden/>
    <w:qFormat/>
    <w:uiPriority w:val="0"/>
    <w:pPr>
      <w:tabs>
        <w:tab w:val="right" w:leader="dot" w:pos="9241"/>
      </w:tabs>
      <w:ind w:firstLine="100"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Date"/>
    <w:basedOn w:val="1"/>
    <w:next w:val="1"/>
    <w:link w:val="155"/>
    <w:qFormat/>
    <w:uiPriority w:val="0"/>
  </w:style>
  <w:style w:type="paragraph" w:styleId="17">
    <w:name w:val="endnote text"/>
    <w:basedOn w:val="1"/>
    <w:semiHidden/>
    <w:qFormat/>
    <w:uiPriority w:val="0"/>
    <w:pPr>
      <w:snapToGrid w:val="0"/>
      <w:jc w:val="left"/>
    </w:pPr>
  </w:style>
  <w:style w:type="paragraph" w:styleId="18">
    <w:name w:val="Balloon Text"/>
    <w:basedOn w:val="1"/>
    <w:link w:val="149"/>
    <w:qFormat/>
    <w:uiPriority w:val="0"/>
    <w:rPr>
      <w:sz w:val="18"/>
      <w:szCs w:val="18"/>
      <w:lang w:val="zh-CN" w:eastAsia="zh-CN"/>
    </w:rPr>
  </w:style>
  <w:style w:type="paragraph" w:styleId="19">
    <w:name w:val="footer"/>
    <w:basedOn w:val="1"/>
    <w:link w:val="152"/>
    <w:qFormat/>
    <w:uiPriority w:val="99"/>
    <w:pPr>
      <w:snapToGrid w:val="0"/>
      <w:ind w:right="210" w:rightChars="100"/>
      <w:jc w:val="right"/>
    </w:pPr>
    <w:rPr>
      <w:sz w:val="18"/>
      <w:szCs w:val="18"/>
      <w:lang w:val="zh-CN" w:eastAsia="zh-CN"/>
    </w:rPr>
  </w:style>
  <w:style w:type="paragraph" w:styleId="20">
    <w:name w:val="header"/>
    <w:basedOn w:val="1"/>
    <w:uiPriority w:val="0"/>
    <w:pPr>
      <w:snapToGrid w:val="0"/>
      <w:jc w:val="left"/>
    </w:pPr>
    <w:rPr>
      <w:sz w:val="18"/>
      <w:szCs w:val="18"/>
    </w:rPr>
  </w:style>
  <w:style w:type="paragraph" w:styleId="21">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semiHidden/>
    <w:qFormat/>
    <w:uiPriority w:val="0"/>
    <w:pPr>
      <w:tabs>
        <w:tab w:val="right" w:leader="dot" w:pos="9242"/>
      </w:tabs>
    </w:pPr>
    <w:rPr>
      <w:rFonts w:ascii="宋体"/>
      <w:szCs w:val="21"/>
    </w:rPr>
  </w:style>
  <w:style w:type="paragraph" w:styleId="31">
    <w:name w:val="toc 9"/>
    <w:basedOn w:val="1"/>
    <w:next w:val="1"/>
    <w:semiHidden/>
    <w:uiPriority w:val="0"/>
    <w:pPr>
      <w:ind w:left="1470"/>
      <w:jc w:val="left"/>
    </w:pPr>
    <w:rPr>
      <w:sz w:val="20"/>
      <w:szCs w:val="20"/>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8"/>
    <w:next w:val="8"/>
    <w:link w:val="151"/>
    <w:qFormat/>
    <w:uiPriority w:val="0"/>
    <w:rPr>
      <w:b/>
      <w:bCs/>
    </w:rPr>
  </w:style>
  <w:style w:type="paragraph" w:styleId="34">
    <w:name w:val="Body Text First Indent"/>
    <w:basedOn w:val="10"/>
    <w:link w:val="148"/>
    <w:qFormat/>
    <w:uiPriority w:val="0"/>
    <w:pPr>
      <w:adjustRightInd w:val="0"/>
      <w:spacing w:after="0" w:line="240" w:lineRule="atLeast"/>
      <w:jc w:val="left"/>
      <w:textAlignment w:val="baseline"/>
    </w:pPr>
    <w:rPr>
      <w:rFonts w:ascii="宋体" w:hAnsi="宋体"/>
      <w:color w:val="000000"/>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Hyperlink"/>
    <w:uiPriority w:val="0"/>
    <w:rPr>
      <w:color w:val="0000FF"/>
      <w:spacing w:val="0"/>
      <w:w w:val="100"/>
      <w:szCs w:val="21"/>
      <w:u w:val="single"/>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character" w:customStyle="1" w:styleId="44">
    <w:name w:val="段 Char"/>
    <w:link w:val="25"/>
    <w:qFormat/>
    <w:uiPriority w:val="0"/>
    <w:rPr>
      <w:rFonts w:ascii="宋体"/>
      <w:sz w:val="21"/>
      <w:lang w:val="en-US" w:eastAsia="zh-CN" w:bidi="ar-SA"/>
    </w:rPr>
  </w:style>
  <w:style w:type="paragraph" w:customStyle="1" w:styleId="45">
    <w:name w:val="一级条标题"/>
    <w:next w:val="25"/>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6">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8">
    <w:name w:val="章标题"/>
    <w:next w:val="25"/>
    <w:qFormat/>
    <w:uiPriority w:val="0"/>
    <w:pPr>
      <w:numPr>
        <w:ilvl w:val="0"/>
        <w:numId w:val="2"/>
      </w:numPr>
      <w:spacing w:before="312" w:beforeLines="100" w:after="312" w:afterLines="100"/>
      <w:ind w:left="0"/>
      <w:jc w:val="both"/>
      <w:outlineLvl w:val="1"/>
    </w:pPr>
    <w:rPr>
      <w:rFonts w:ascii="黑体" w:hAnsi="Times New Roman" w:eastAsia="黑体" w:cs="Times New Roman"/>
      <w:sz w:val="21"/>
      <w:lang w:val="en-US" w:eastAsia="zh-CN" w:bidi="ar-SA"/>
    </w:rPr>
  </w:style>
  <w:style w:type="paragraph" w:customStyle="1" w:styleId="49">
    <w:name w:val="二级条标题"/>
    <w:basedOn w:val="45"/>
    <w:next w:val="25"/>
    <w:qFormat/>
    <w:uiPriority w:val="0"/>
    <w:pPr>
      <w:numPr>
        <w:ilvl w:val="2"/>
      </w:numPr>
      <w:spacing w:before="50" w:after="50"/>
      <w:ind w:left="142"/>
      <w:outlineLvl w:val="3"/>
    </w:pPr>
  </w:style>
  <w:style w:type="paragraph" w:customStyle="1" w:styleId="50">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1">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2">
    <w:name w:val="列项●（二级）"/>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3">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4">
    <w:name w:val="三级条标题"/>
    <w:basedOn w:val="49"/>
    <w:next w:val="25"/>
    <w:qFormat/>
    <w:uiPriority w:val="0"/>
    <w:pPr>
      <w:numPr>
        <w:ilvl w:val="3"/>
      </w:numPr>
      <w:outlineLvl w:val="4"/>
    </w:pPr>
  </w:style>
  <w:style w:type="paragraph" w:customStyle="1" w:styleId="55">
    <w:name w:val="示例"/>
    <w:next w:val="56"/>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7">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8">
    <w:name w:val="四级条标题"/>
    <w:basedOn w:val="54"/>
    <w:next w:val="25"/>
    <w:uiPriority w:val="0"/>
    <w:pPr>
      <w:numPr>
        <w:ilvl w:val="4"/>
      </w:numPr>
      <w:outlineLvl w:val="5"/>
    </w:pPr>
  </w:style>
  <w:style w:type="paragraph" w:customStyle="1" w:styleId="59">
    <w:name w:val="五级条标题"/>
    <w:basedOn w:val="58"/>
    <w:next w:val="25"/>
    <w:uiPriority w:val="0"/>
    <w:pPr>
      <w:numPr>
        <w:ilvl w:val="5"/>
      </w:numPr>
      <w:outlineLvl w:val="6"/>
    </w:pPr>
  </w:style>
  <w:style w:type="paragraph" w:customStyle="1" w:styleId="60">
    <w:name w:val="注："/>
    <w:next w:val="25"/>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1">
    <w:name w:val="注×："/>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2">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3">
    <w:name w:val="列项◆（三级）"/>
    <w:basedOn w:val="1"/>
    <w:qFormat/>
    <w:uiPriority w:val="0"/>
    <w:pPr>
      <w:numPr>
        <w:ilvl w:val="2"/>
        <w:numId w:val="3"/>
      </w:numPr>
    </w:pPr>
    <w:rPr>
      <w:rFonts w:ascii="宋体"/>
      <w:szCs w:val="21"/>
    </w:rPr>
  </w:style>
  <w:style w:type="paragraph" w:customStyle="1" w:styleId="64">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5">
    <w:name w:val="示例×："/>
    <w:basedOn w:val="48"/>
    <w:qFormat/>
    <w:uiPriority w:val="0"/>
    <w:pPr>
      <w:numPr>
        <w:numId w:val="8"/>
      </w:numPr>
      <w:spacing w:before="0" w:beforeLines="0" w:after="0" w:afterLines="0"/>
      <w:outlineLvl w:val="9"/>
    </w:pPr>
    <w:rPr>
      <w:rFonts w:ascii="宋体" w:eastAsia="宋体"/>
      <w:sz w:val="18"/>
      <w:szCs w:val="18"/>
    </w:rPr>
  </w:style>
  <w:style w:type="paragraph" w:customStyle="1" w:styleId="66">
    <w:name w:val="二级无"/>
    <w:basedOn w:val="49"/>
    <w:uiPriority w:val="0"/>
    <w:pPr>
      <w:spacing w:before="0" w:beforeLines="0" w:after="0" w:afterLines="0"/>
      <w:ind w:left="709"/>
    </w:pPr>
    <w:rPr>
      <w:rFonts w:ascii="宋体" w:eastAsia="宋体"/>
    </w:rPr>
  </w:style>
  <w:style w:type="paragraph" w:customStyle="1" w:styleId="67">
    <w:name w:val="注：（正文）"/>
    <w:basedOn w:val="60"/>
    <w:next w:val="25"/>
    <w:qFormat/>
    <w:uiPriority w:val="0"/>
  </w:style>
  <w:style w:type="paragraph" w:customStyle="1" w:styleId="68">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2">
    <w:name w:val="标准书眉_偶数页"/>
    <w:basedOn w:val="47"/>
    <w:next w:val="1"/>
    <w:uiPriority w:val="0"/>
    <w:pPr>
      <w:jc w:val="left"/>
    </w:p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参考文献"/>
    <w:basedOn w:val="1"/>
    <w:next w:val="25"/>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5">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6">
    <w:name w:val="发布"/>
    <w:uiPriority w:val="0"/>
    <w:rPr>
      <w:rFonts w:ascii="黑体" w:eastAsia="黑体"/>
      <w:spacing w:val="85"/>
      <w:w w:val="100"/>
      <w:position w:val="3"/>
      <w:sz w:val="28"/>
      <w:szCs w:val="28"/>
    </w:rPr>
  </w:style>
  <w:style w:type="paragraph" w:customStyle="1" w:styleId="77">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0">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1">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封面标准英文名称"/>
    <w:basedOn w:val="81"/>
    <w:qFormat/>
    <w:uiPriority w:val="0"/>
    <w:pPr>
      <w:framePr w:wrap="around"/>
      <w:spacing w:before="370" w:line="400" w:lineRule="exact"/>
    </w:pPr>
    <w:rPr>
      <w:rFonts w:ascii="Times New Roman"/>
      <w:sz w:val="28"/>
      <w:szCs w:val="28"/>
    </w:rPr>
  </w:style>
  <w:style w:type="paragraph" w:customStyle="1" w:styleId="83">
    <w:name w:val="封面一致性程度标识"/>
    <w:basedOn w:val="82"/>
    <w:uiPriority w:val="0"/>
    <w:pPr>
      <w:framePr w:wrap="around"/>
      <w:spacing w:before="440"/>
    </w:pPr>
    <w:rPr>
      <w:rFonts w:ascii="宋体" w:eastAsia="宋体"/>
    </w:rPr>
  </w:style>
  <w:style w:type="paragraph" w:customStyle="1" w:styleId="84">
    <w:name w:val="封面标准文稿类别"/>
    <w:basedOn w:val="83"/>
    <w:qFormat/>
    <w:uiPriority w:val="0"/>
    <w:pPr>
      <w:framePr w:wrap="around"/>
      <w:spacing w:after="160" w:line="240" w:lineRule="auto"/>
    </w:pPr>
    <w:rPr>
      <w:sz w:val="24"/>
    </w:rPr>
  </w:style>
  <w:style w:type="paragraph" w:customStyle="1" w:styleId="85">
    <w:name w:val="封面标准文稿编辑信息"/>
    <w:basedOn w:val="84"/>
    <w:qFormat/>
    <w:uiPriority w:val="0"/>
    <w:pPr>
      <w:framePr w:wrap="around"/>
      <w:spacing w:before="180" w:line="180" w:lineRule="exact"/>
    </w:pPr>
    <w:rPr>
      <w:sz w:val="21"/>
    </w:rPr>
  </w:style>
  <w:style w:type="paragraph" w:customStyle="1" w:styleId="86">
    <w:name w:val="封面正文"/>
    <w:qFormat/>
    <w:uiPriority w:val="0"/>
    <w:pPr>
      <w:jc w:val="both"/>
    </w:pPr>
    <w:rPr>
      <w:rFonts w:ascii="Times New Roman" w:hAnsi="Times New Roman" w:eastAsia="宋体" w:cs="Times New Roman"/>
      <w:lang w:val="en-US" w:eastAsia="zh-CN" w:bidi="ar-SA"/>
    </w:rPr>
  </w:style>
  <w:style w:type="paragraph" w:customStyle="1" w:styleId="87">
    <w:name w:val="附录标识"/>
    <w:basedOn w:val="1"/>
    <w:next w:val="25"/>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8">
    <w:name w:val="附录标题"/>
    <w:basedOn w:val="25"/>
    <w:next w:val="25"/>
    <w:qFormat/>
    <w:uiPriority w:val="0"/>
    <w:pPr>
      <w:ind w:firstLine="0" w:firstLineChars="0"/>
      <w:jc w:val="center"/>
    </w:pPr>
    <w:rPr>
      <w:rFonts w:ascii="黑体" w:eastAsia="黑体"/>
    </w:rPr>
  </w:style>
  <w:style w:type="paragraph" w:customStyle="1" w:styleId="89">
    <w:name w:val="附录表标号"/>
    <w:basedOn w:val="1"/>
    <w:next w:val="25"/>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90">
    <w:name w:val="附录表标题"/>
    <w:basedOn w:val="1"/>
    <w:next w:val="25"/>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91">
    <w:name w:val="附录二级条标题"/>
    <w:basedOn w:val="1"/>
    <w:next w:val="25"/>
    <w:qFormat/>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2">
    <w:name w:val="附录二级无"/>
    <w:basedOn w:val="91"/>
    <w:uiPriority w:val="0"/>
    <w:pPr>
      <w:tabs>
        <w:tab w:val="clear" w:pos="360"/>
      </w:tabs>
      <w:spacing w:before="0" w:beforeLines="0" w:after="0" w:afterLines="0"/>
    </w:pPr>
    <w:rPr>
      <w:rFonts w:ascii="宋体" w:eastAsia="宋体"/>
      <w:szCs w:val="21"/>
    </w:rPr>
  </w:style>
  <w:style w:type="paragraph" w:customStyle="1" w:styleId="93">
    <w:name w:val="附录公式"/>
    <w:basedOn w:val="25"/>
    <w:next w:val="25"/>
    <w:link w:val="94"/>
    <w:qFormat/>
    <w:uiPriority w:val="0"/>
  </w:style>
  <w:style w:type="character" w:customStyle="1" w:styleId="94">
    <w:name w:val="附录公式 Char"/>
    <w:basedOn w:val="44"/>
    <w:link w:val="93"/>
    <w:qFormat/>
    <w:uiPriority w:val="0"/>
    <w:rPr>
      <w:rFonts w:ascii="宋体"/>
      <w:sz w:val="21"/>
      <w:lang w:val="en-US" w:eastAsia="zh-CN" w:bidi="ar-SA"/>
    </w:rPr>
  </w:style>
  <w:style w:type="paragraph" w:customStyle="1" w:styleId="95">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6">
    <w:name w:val="附录三级条标题"/>
    <w:basedOn w:val="91"/>
    <w:next w:val="25"/>
    <w:qFormat/>
    <w:uiPriority w:val="0"/>
    <w:pPr>
      <w:numPr>
        <w:ilvl w:val="4"/>
      </w:numPr>
      <w:outlineLvl w:val="4"/>
    </w:pPr>
  </w:style>
  <w:style w:type="paragraph" w:customStyle="1" w:styleId="97">
    <w:name w:val="附录三级无"/>
    <w:basedOn w:val="96"/>
    <w:qFormat/>
    <w:uiPriority w:val="0"/>
    <w:pPr>
      <w:tabs>
        <w:tab w:val="clear" w:pos="360"/>
      </w:tabs>
      <w:spacing w:before="0" w:beforeLines="0" w:after="0" w:afterLines="0"/>
    </w:pPr>
    <w:rPr>
      <w:rFonts w:ascii="宋体" w:eastAsia="宋体"/>
      <w:szCs w:val="21"/>
    </w:rPr>
  </w:style>
  <w:style w:type="paragraph" w:customStyle="1" w:styleId="98">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9">
    <w:name w:val="附录四级条标题"/>
    <w:basedOn w:val="96"/>
    <w:next w:val="25"/>
    <w:qFormat/>
    <w:uiPriority w:val="0"/>
    <w:pPr>
      <w:numPr>
        <w:ilvl w:val="5"/>
      </w:numPr>
      <w:outlineLvl w:val="5"/>
    </w:pPr>
  </w:style>
  <w:style w:type="paragraph" w:customStyle="1" w:styleId="100">
    <w:name w:val="附录四级无"/>
    <w:basedOn w:val="99"/>
    <w:qFormat/>
    <w:uiPriority w:val="0"/>
    <w:pPr>
      <w:tabs>
        <w:tab w:val="clear" w:pos="360"/>
      </w:tabs>
      <w:spacing w:before="0" w:beforeLines="0" w:after="0" w:afterLines="0"/>
    </w:pPr>
    <w:rPr>
      <w:rFonts w:ascii="宋体" w:eastAsia="宋体"/>
      <w:szCs w:val="21"/>
    </w:rPr>
  </w:style>
  <w:style w:type="paragraph" w:customStyle="1" w:styleId="101">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2">
    <w:name w:val="附录图标题"/>
    <w:basedOn w:val="1"/>
    <w:next w:val="25"/>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103">
    <w:name w:val="附录五级条标题"/>
    <w:basedOn w:val="99"/>
    <w:next w:val="25"/>
    <w:qFormat/>
    <w:uiPriority w:val="0"/>
    <w:pPr>
      <w:numPr>
        <w:ilvl w:val="6"/>
      </w:numPr>
      <w:outlineLvl w:val="6"/>
    </w:pPr>
  </w:style>
  <w:style w:type="paragraph" w:customStyle="1" w:styleId="104">
    <w:name w:val="附录五级无"/>
    <w:basedOn w:val="103"/>
    <w:qFormat/>
    <w:uiPriority w:val="0"/>
    <w:pPr>
      <w:tabs>
        <w:tab w:val="clear" w:pos="360"/>
      </w:tabs>
      <w:spacing w:before="0" w:beforeLines="0" w:after="0" w:afterLines="0"/>
    </w:pPr>
    <w:rPr>
      <w:rFonts w:ascii="宋体" w:eastAsia="宋体"/>
      <w:szCs w:val="21"/>
    </w:rPr>
  </w:style>
  <w:style w:type="paragraph" w:customStyle="1" w:styleId="105">
    <w:name w:val="附录章标题"/>
    <w:next w:val="25"/>
    <w:qFormat/>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6">
    <w:name w:val="附录一级条标题"/>
    <w:basedOn w:val="105"/>
    <w:next w:val="25"/>
    <w:qFormat/>
    <w:uiPriority w:val="0"/>
    <w:pPr>
      <w:numPr>
        <w:ilvl w:val="2"/>
      </w:numPr>
      <w:autoSpaceDN w:val="0"/>
      <w:spacing w:before="50" w:beforeLines="50" w:after="50" w:afterLines="50"/>
      <w:outlineLvl w:val="2"/>
    </w:pPr>
  </w:style>
  <w:style w:type="paragraph" w:customStyle="1" w:styleId="107">
    <w:name w:val="附录一级无"/>
    <w:basedOn w:val="106"/>
    <w:uiPriority w:val="0"/>
    <w:pPr>
      <w:tabs>
        <w:tab w:val="clear" w:pos="360"/>
      </w:tabs>
      <w:spacing w:before="0" w:beforeLines="0" w:after="0" w:afterLines="0"/>
    </w:pPr>
    <w:rPr>
      <w:rFonts w:ascii="宋体" w:eastAsia="宋体"/>
      <w:szCs w:val="21"/>
    </w:rPr>
  </w:style>
  <w:style w:type="paragraph" w:customStyle="1" w:styleId="108">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2">
    <w:name w:val="其他标准标志"/>
    <w:basedOn w:val="69"/>
    <w:qFormat/>
    <w:uiPriority w:val="0"/>
    <w:pPr>
      <w:framePr w:w="6101" w:wrap="around" w:vAnchor="page" w:hAnchor="page" w:x="4673" w:y="942"/>
    </w:pPr>
    <w:rPr>
      <w:w w:val="130"/>
    </w:rPr>
  </w:style>
  <w:style w:type="paragraph" w:customStyle="1" w:styleId="113">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4">
    <w:name w:val="其他发布部门"/>
    <w:basedOn w:val="77"/>
    <w:qFormat/>
    <w:uiPriority w:val="0"/>
    <w:pPr>
      <w:framePr w:wrap="around" w:y="15310"/>
      <w:spacing w:line="0" w:lineRule="atLeast"/>
    </w:pPr>
    <w:rPr>
      <w:rFonts w:ascii="黑体" w:eastAsia="黑体"/>
      <w:b w:val="0"/>
    </w:rPr>
  </w:style>
  <w:style w:type="paragraph" w:customStyle="1" w:styleId="115">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6">
    <w:name w:val="三级无"/>
    <w:basedOn w:val="54"/>
    <w:qFormat/>
    <w:uiPriority w:val="0"/>
    <w:pPr>
      <w:spacing w:before="0" w:beforeLines="0" w:after="0" w:afterLines="0"/>
    </w:pPr>
    <w:rPr>
      <w:rFonts w:ascii="宋体" w:eastAsia="宋体"/>
    </w:rPr>
  </w:style>
  <w:style w:type="paragraph" w:customStyle="1" w:styleId="117">
    <w:name w:val="实施日期"/>
    <w:basedOn w:val="78"/>
    <w:uiPriority w:val="0"/>
    <w:pPr>
      <w:framePr w:wrap="around" w:vAnchor="page" w:hAnchor="text"/>
      <w:jc w:val="right"/>
    </w:pPr>
  </w:style>
  <w:style w:type="paragraph" w:customStyle="1" w:styleId="118">
    <w:name w:val="示例后文字"/>
    <w:basedOn w:val="25"/>
    <w:next w:val="25"/>
    <w:qFormat/>
    <w:uiPriority w:val="0"/>
    <w:pPr>
      <w:ind w:firstLine="360"/>
    </w:pPr>
    <w:rPr>
      <w:sz w:val="18"/>
    </w:rPr>
  </w:style>
  <w:style w:type="paragraph" w:customStyle="1" w:styleId="119">
    <w:name w:val="首示例"/>
    <w:next w:val="25"/>
    <w:link w:val="120"/>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0">
    <w:name w:val="首示例 Char"/>
    <w:link w:val="119"/>
    <w:qFormat/>
    <w:uiPriority w:val="0"/>
    <w:rPr>
      <w:rFonts w:ascii="宋体" w:hAnsi="宋体"/>
      <w:kern w:val="2"/>
      <w:sz w:val="18"/>
      <w:szCs w:val="18"/>
      <w:lang w:val="en-US" w:eastAsia="zh-CN" w:bidi="ar-SA"/>
    </w:rPr>
  </w:style>
  <w:style w:type="paragraph" w:customStyle="1" w:styleId="121">
    <w:name w:val="四级无"/>
    <w:basedOn w:val="58"/>
    <w:qFormat/>
    <w:uiPriority w:val="0"/>
    <w:pPr>
      <w:spacing w:before="0" w:beforeLines="0" w:after="0" w:afterLines="0"/>
    </w:pPr>
    <w:rPr>
      <w:rFonts w:ascii="宋体" w:eastAsia="宋体"/>
    </w:rPr>
  </w:style>
  <w:style w:type="paragraph" w:customStyle="1" w:styleId="122">
    <w:name w:val="条文脚注"/>
    <w:basedOn w:val="26"/>
    <w:qFormat/>
    <w:uiPriority w:val="0"/>
    <w:pPr>
      <w:numPr>
        <w:numId w:val="0"/>
      </w:numPr>
      <w:jc w:val="both"/>
    </w:pPr>
  </w:style>
  <w:style w:type="paragraph" w:customStyle="1" w:styleId="123">
    <w:name w:val="图标脚注说明"/>
    <w:basedOn w:val="25"/>
    <w:qFormat/>
    <w:uiPriority w:val="0"/>
    <w:pPr>
      <w:ind w:left="840" w:hanging="420" w:firstLineChars="0"/>
    </w:pPr>
    <w:rPr>
      <w:sz w:val="18"/>
      <w:szCs w:val="18"/>
    </w:rPr>
  </w:style>
  <w:style w:type="paragraph" w:customStyle="1" w:styleId="124">
    <w:name w:val="图表脚注说明"/>
    <w:basedOn w:val="1"/>
    <w:qFormat/>
    <w:uiPriority w:val="0"/>
    <w:pPr>
      <w:numPr>
        <w:ilvl w:val="0"/>
        <w:numId w:val="15"/>
      </w:numPr>
    </w:pPr>
    <w:rPr>
      <w:rFonts w:ascii="宋体"/>
      <w:sz w:val="18"/>
      <w:szCs w:val="18"/>
    </w:rPr>
  </w:style>
  <w:style w:type="paragraph" w:customStyle="1" w:styleId="125">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7">
    <w:name w:val="五级无"/>
    <w:basedOn w:val="59"/>
    <w:qFormat/>
    <w:uiPriority w:val="0"/>
    <w:pPr>
      <w:spacing w:before="0" w:beforeLines="0" w:after="0" w:afterLines="0"/>
    </w:pPr>
    <w:rPr>
      <w:rFonts w:ascii="宋体" w:eastAsia="宋体"/>
    </w:rPr>
  </w:style>
  <w:style w:type="paragraph" w:customStyle="1" w:styleId="128">
    <w:name w:val="一级无"/>
    <w:basedOn w:val="45"/>
    <w:qFormat/>
    <w:uiPriority w:val="0"/>
    <w:pPr>
      <w:spacing w:before="0" w:beforeLines="0" w:after="0" w:afterLines="0"/>
    </w:pPr>
    <w:rPr>
      <w:rFonts w:ascii="宋体" w:eastAsia="宋体"/>
    </w:rPr>
  </w:style>
  <w:style w:type="paragraph" w:customStyle="1" w:styleId="129">
    <w:name w:val="正文表标题"/>
    <w:next w:val="25"/>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0">
    <w:name w:val="正文公式编号制表符"/>
    <w:basedOn w:val="25"/>
    <w:next w:val="25"/>
    <w:qFormat/>
    <w:uiPriority w:val="0"/>
    <w:pPr>
      <w:ind w:firstLine="0" w:firstLineChars="0"/>
    </w:pPr>
  </w:style>
  <w:style w:type="paragraph" w:customStyle="1" w:styleId="131">
    <w:name w:val="正文图标题"/>
    <w:next w:val="25"/>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2">
    <w:name w:val="终结线"/>
    <w:basedOn w:val="1"/>
    <w:qFormat/>
    <w:uiPriority w:val="0"/>
    <w:pPr>
      <w:framePr w:hSpace="181" w:vSpace="181" w:wrap="around" w:vAnchor="text" w:hAnchor="margin" w:xAlign="center" w:y="285"/>
    </w:pPr>
  </w:style>
  <w:style w:type="paragraph" w:customStyle="1" w:styleId="133">
    <w:name w:val="其他发布日期"/>
    <w:basedOn w:val="78"/>
    <w:qFormat/>
    <w:uiPriority w:val="0"/>
    <w:pPr>
      <w:framePr w:wrap="around" w:vAnchor="page" w:hAnchor="text" w:x="1419"/>
    </w:pPr>
  </w:style>
  <w:style w:type="paragraph" w:customStyle="1" w:styleId="134">
    <w:name w:val="其他实施日期"/>
    <w:basedOn w:val="117"/>
    <w:qFormat/>
    <w:uiPriority w:val="0"/>
    <w:pPr>
      <w:framePr w:wrap="around"/>
    </w:pPr>
  </w:style>
  <w:style w:type="paragraph" w:customStyle="1" w:styleId="135">
    <w:name w:val="封面标准名称2"/>
    <w:basedOn w:val="81"/>
    <w:qFormat/>
    <w:uiPriority w:val="0"/>
    <w:pPr>
      <w:framePr w:wrap="around" w:y="4469"/>
      <w:spacing w:before="630" w:beforeLines="630"/>
    </w:pPr>
  </w:style>
  <w:style w:type="paragraph" w:customStyle="1" w:styleId="136">
    <w:name w:val="封面标准英文名称2"/>
    <w:basedOn w:val="82"/>
    <w:uiPriority w:val="0"/>
    <w:pPr>
      <w:framePr w:wrap="around" w:y="4469"/>
    </w:pPr>
  </w:style>
  <w:style w:type="paragraph" w:customStyle="1" w:styleId="137">
    <w:name w:val="封面一致性程度标识2"/>
    <w:basedOn w:val="83"/>
    <w:qFormat/>
    <w:uiPriority w:val="0"/>
    <w:pPr>
      <w:framePr w:wrap="around" w:y="4469"/>
    </w:pPr>
  </w:style>
  <w:style w:type="paragraph" w:customStyle="1" w:styleId="138">
    <w:name w:val="封面标准文稿类别2"/>
    <w:basedOn w:val="84"/>
    <w:qFormat/>
    <w:uiPriority w:val="0"/>
    <w:pPr>
      <w:framePr w:wrap="around" w:y="4469"/>
    </w:pPr>
  </w:style>
  <w:style w:type="paragraph" w:customStyle="1" w:styleId="139">
    <w:name w:val="封面标准文稿编辑信息2"/>
    <w:basedOn w:val="85"/>
    <w:qFormat/>
    <w:uiPriority w:val="0"/>
    <w:pPr>
      <w:framePr w:wrap="around" w:y="4469"/>
    </w:pPr>
  </w:style>
  <w:style w:type="paragraph" w:customStyle="1" w:styleId="140">
    <w:name w:val="二级无标题条"/>
    <w:basedOn w:val="1"/>
    <w:qFormat/>
    <w:uiPriority w:val="0"/>
    <w:pPr>
      <w:numPr>
        <w:ilvl w:val="3"/>
        <w:numId w:val="18"/>
      </w:numPr>
    </w:pPr>
  </w:style>
  <w:style w:type="paragraph" w:customStyle="1" w:styleId="141">
    <w:name w:val="三级无标题条"/>
    <w:basedOn w:val="1"/>
    <w:qFormat/>
    <w:uiPriority w:val="0"/>
    <w:pPr>
      <w:numPr>
        <w:ilvl w:val="4"/>
        <w:numId w:val="18"/>
      </w:numPr>
    </w:pPr>
  </w:style>
  <w:style w:type="paragraph" w:customStyle="1" w:styleId="142">
    <w:name w:val="四级无标题条"/>
    <w:basedOn w:val="1"/>
    <w:qFormat/>
    <w:uiPriority w:val="0"/>
    <w:pPr>
      <w:numPr>
        <w:ilvl w:val="5"/>
        <w:numId w:val="18"/>
      </w:numPr>
    </w:pPr>
  </w:style>
  <w:style w:type="paragraph" w:customStyle="1" w:styleId="143">
    <w:name w:val="五级无标题条"/>
    <w:basedOn w:val="1"/>
    <w:qFormat/>
    <w:uiPriority w:val="0"/>
    <w:pPr>
      <w:numPr>
        <w:ilvl w:val="6"/>
        <w:numId w:val="18"/>
      </w:numPr>
    </w:pPr>
  </w:style>
  <w:style w:type="paragraph" w:customStyle="1" w:styleId="144">
    <w:name w:val="一级无标题条"/>
    <w:basedOn w:val="1"/>
    <w:qFormat/>
    <w:uiPriority w:val="0"/>
    <w:pPr>
      <w:numPr>
        <w:ilvl w:val="2"/>
        <w:numId w:val="18"/>
      </w:numPr>
    </w:pPr>
  </w:style>
  <w:style w:type="paragraph" w:customStyle="1" w:styleId="145">
    <w:name w:val="列项——"/>
    <w:uiPriority w:val="0"/>
    <w:pPr>
      <w:widowControl w:val="0"/>
      <w:numPr>
        <w:ilvl w:val="0"/>
        <w:numId w:val="19"/>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46">
    <w:name w:val="A 标准正文"/>
    <w:basedOn w:val="1"/>
    <w:qFormat/>
    <w:uiPriority w:val="0"/>
    <w:pPr>
      <w:adjustRightInd w:val="0"/>
      <w:snapToGrid w:val="0"/>
      <w:jc w:val="left"/>
    </w:pPr>
    <w:rPr>
      <w:rFonts w:ascii="宋体" w:hAnsi="宋体"/>
      <w:szCs w:val="21"/>
    </w:rPr>
  </w:style>
  <w:style w:type="character" w:customStyle="1" w:styleId="147">
    <w:name w:val="正文文本 Char"/>
    <w:link w:val="10"/>
    <w:qFormat/>
    <w:uiPriority w:val="0"/>
    <w:rPr>
      <w:kern w:val="2"/>
      <w:sz w:val="21"/>
      <w:szCs w:val="24"/>
    </w:rPr>
  </w:style>
  <w:style w:type="character" w:customStyle="1" w:styleId="148">
    <w:name w:val="正文首行缩进 Char"/>
    <w:link w:val="34"/>
    <w:uiPriority w:val="0"/>
    <w:rPr>
      <w:rFonts w:ascii="宋体" w:hAnsi="宋体"/>
      <w:color w:val="000000"/>
      <w:kern w:val="2"/>
      <w:sz w:val="21"/>
      <w:szCs w:val="24"/>
    </w:rPr>
  </w:style>
  <w:style w:type="character" w:customStyle="1" w:styleId="149">
    <w:name w:val="批注框文本 Char"/>
    <w:link w:val="18"/>
    <w:qFormat/>
    <w:uiPriority w:val="0"/>
    <w:rPr>
      <w:kern w:val="2"/>
      <w:sz w:val="18"/>
      <w:szCs w:val="18"/>
    </w:rPr>
  </w:style>
  <w:style w:type="character" w:customStyle="1" w:styleId="150">
    <w:name w:val="批注文字 Char"/>
    <w:link w:val="8"/>
    <w:qFormat/>
    <w:uiPriority w:val="0"/>
    <w:rPr>
      <w:kern w:val="2"/>
      <w:sz w:val="21"/>
      <w:szCs w:val="24"/>
    </w:rPr>
  </w:style>
  <w:style w:type="character" w:customStyle="1" w:styleId="151">
    <w:name w:val="批注主题 Char"/>
    <w:link w:val="33"/>
    <w:qFormat/>
    <w:uiPriority w:val="0"/>
    <w:rPr>
      <w:b/>
      <w:bCs/>
      <w:kern w:val="2"/>
      <w:sz w:val="21"/>
      <w:szCs w:val="24"/>
    </w:rPr>
  </w:style>
  <w:style w:type="character" w:customStyle="1" w:styleId="152">
    <w:name w:val="页脚 Char"/>
    <w:link w:val="19"/>
    <w:qFormat/>
    <w:uiPriority w:val="99"/>
    <w:rPr>
      <w:kern w:val="2"/>
      <w:sz w:val="18"/>
      <w:szCs w:val="18"/>
    </w:rPr>
  </w:style>
  <w:style w:type="paragraph" w:customStyle="1" w:styleId="153">
    <w:name w:val="Revision"/>
    <w:hidden/>
    <w:semiHidden/>
    <w:uiPriority w:val="99"/>
    <w:rPr>
      <w:rFonts w:ascii="Times New Roman" w:hAnsi="Times New Roman" w:eastAsia="宋体" w:cs="Times New Roman"/>
      <w:kern w:val="2"/>
      <w:sz w:val="21"/>
      <w:szCs w:val="24"/>
      <w:lang w:val="en-US" w:eastAsia="zh-CN" w:bidi="ar-SA"/>
    </w:rPr>
  </w:style>
  <w:style w:type="character" w:styleId="154">
    <w:name w:val="Placeholder Text"/>
    <w:basedOn w:val="37"/>
    <w:semiHidden/>
    <w:qFormat/>
    <w:uiPriority w:val="99"/>
    <w:rPr>
      <w:color w:val="808080"/>
    </w:rPr>
  </w:style>
  <w:style w:type="character" w:customStyle="1" w:styleId="155">
    <w:name w:val="日期 Char"/>
    <w:basedOn w:val="37"/>
    <w:link w:val="16"/>
    <w:qFormat/>
    <w:uiPriority w:val="0"/>
    <w:rPr>
      <w:kern w:val="2"/>
      <w:sz w:val="21"/>
      <w:szCs w:val="24"/>
    </w:rPr>
  </w:style>
  <w:style w:type="character" w:customStyle="1" w:styleId="156">
    <w:name w:val="标题 1 Char"/>
    <w:basedOn w:val="37"/>
    <w:link w:val="2"/>
    <w:qFormat/>
    <w:uiPriority w:val="0"/>
    <w:rPr>
      <w:rFonts w:asciiTheme="majorHAnsi" w:hAnsiTheme="majorHAnsi" w:eastAsiaTheme="majorEastAsia" w:cstheme="majorBidi"/>
      <w:b/>
      <w:bCs/>
      <w:color w:val="2F5597" w:themeColor="accent1" w:themeShade="BF"/>
      <w:kern w:val="2"/>
      <w:sz w:val="28"/>
      <w:szCs w:val="28"/>
    </w:rPr>
  </w:style>
  <w:style w:type="paragraph" w:customStyle="1" w:styleId="157">
    <w:name w:val="列出段落1"/>
    <w:basedOn w:val="1"/>
    <w:next w:val="158"/>
    <w:qFormat/>
    <w:uiPriority w:val="34"/>
    <w:pPr>
      <w:widowControl/>
      <w:spacing w:after="200" w:line="276" w:lineRule="auto"/>
      <w:ind w:left="720"/>
      <w:contextualSpacing/>
      <w:jc w:val="left"/>
    </w:pPr>
    <w:rPr>
      <w:rFonts w:ascii="Calibri" w:hAnsi="Calibri"/>
      <w:kern w:val="0"/>
      <w:sz w:val="22"/>
      <w:szCs w:val="22"/>
    </w:rPr>
  </w:style>
  <w:style w:type="paragraph" w:styleId="158">
    <w:name w:val="List Paragraph"/>
    <w:basedOn w:val="1"/>
    <w:qFormat/>
    <w:uiPriority w:val="34"/>
    <w:pPr>
      <w:ind w:left="720"/>
      <w:contextualSpacing/>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wmf"/><Relationship Id="rId14" Type="http://schemas.openxmlformats.org/officeDocument/2006/relationships/oleObject" Target="embeddings/oleObject1.bin"/><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D80334-11FC-43B1-85CC-DA121581E018}">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7280</Words>
  <Characters>8512</Characters>
  <Lines>63</Lines>
  <Paragraphs>18</Paragraphs>
  <TotalTime>1</TotalTime>
  <ScaleCrop>false</ScaleCrop>
  <LinksUpToDate>false</LinksUpToDate>
  <CharactersWithSpaces>8647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2023-08-16T12:21:00Z</dcterms:created>
  <dcterms:modified xsi:type="dcterms:W3CDTF">2023-08-17T08:10:25Z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2FEDC1E5A3E0448B98B633B2809B7CCA_12</vt:lpwstr>
  </property>
</Properties>
</file>