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665" w:firstLineChars="3650"/>
        <w:rPr>
          <w:rFonts w:eastAsia="黑体"/>
          <w:b/>
          <w:w w:val="130"/>
          <w:kern w:val="0"/>
          <w:sz w:val="96"/>
          <w:szCs w:val="20"/>
        </w:rPr>
      </w:pPr>
      <w:bookmarkStart w:id="0" w:name="SectionMark0"/>
      <w:r>
        <w:rPr>
          <w:rFonts w:eastAsia="黑体"/>
        </w:rPr>
        <w:pict>
          <v:shape id="文本框 107" o:spid="_x0000_s1138" o:spt="202" type="#_x0000_t202" style="position:absolute;left:0pt;margin-left:1.5pt;margin-top:1.1pt;height:38.4pt;width:82.7pt;mso-wrap-style:none;z-index:251662336;mso-width-relative:page;mso-height-relative:page;" stroked="f" coordsize="21600,21600">
            <v:path/>
            <v:fill focussize="0,0"/>
            <v:stroke on="f" joinstyle="miter"/>
            <v:imagedata o:title=""/>
            <o:lock v:ext="edit"/>
            <v:textbox style="mso-fit-shape-to-text:t;">
              <w:txbxContent>
                <w:p>
                  <w:pPr>
                    <w:rPr>
                      <w:rFonts w:ascii="黑体" w:hAnsi="黑体" w:eastAsia="黑体" w:cs="黑体"/>
                      <w:bCs/>
                      <w:szCs w:val="21"/>
                    </w:rPr>
                  </w:pPr>
                  <w:r>
                    <w:rPr>
                      <w:rFonts w:hint="eastAsia" w:ascii="黑体" w:hAnsi="黑体" w:eastAsia="黑体" w:cs="黑体"/>
                      <w:bCs/>
                      <w:szCs w:val="21"/>
                    </w:rPr>
                    <w:t>ICS 71.100.10</w:t>
                  </w:r>
                </w:p>
                <w:p>
                  <w:pPr>
                    <w:rPr>
                      <w:rFonts w:ascii="黑体" w:hAnsi="黑体" w:eastAsia="黑体" w:cs="黑体"/>
                      <w:bCs/>
                      <w:szCs w:val="21"/>
                    </w:rPr>
                  </w:pPr>
                  <w:r>
                    <w:rPr>
                      <w:rFonts w:hint="eastAsia" w:ascii="黑体" w:hAnsi="黑体" w:eastAsia="黑体" w:cs="黑体"/>
                      <w:bCs/>
                      <w:szCs w:val="21"/>
                    </w:rPr>
                    <w:t>CCS H30</w:t>
                  </w:r>
                </w:p>
              </w:txbxContent>
            </v:textbox>
          </v:shape>
        </w:pict>
      </w:r>
      <w:r>
        <w:rPr>
          <w:rFonts w:eastAsia="黑体"/>
          <w:b/>
          <w:w w:val="130"/>
          <w:kern w:val="0"/>
          <w:sz w:val="96"/>
          <w:szCs w:val="20"/>
        </w:rPr>
        <w:t>YS</w:t>
      </w:r>
      <w:r>
        <w:rPr>
          <w:rFonts w:eastAsia="黑体"/>
          <w:b/>
          <w:kern w:val="0"/>
          <w:sz w:val="96"/>
          <w:szCs w:val="20"/>
        </w:rPr>
        <w:pict>
          <v:shape id="fmFrame3" o:spid="_x0000_s1139" o:spt="202" type="#_x0000_t202" style="position:absolute;left:0pt;margin-left:3.8pt;margin-top:56.8pt;height:32.3pt;width:456.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55"/>
                    <w:rPr>
                      <w:rFonts w:hAnsi="黑体"/>
                    </w:rPr>
                  </w:pPr>
                  <w:r>
                    <w:rPr>
                      <w:rFonts w:hint="eastAsia" w:hAnsi="黑体"/>
                    </w:rPr>
                    <w:t>中华人民共和国有色金属行业标准</w:t>
                  </w:r>
                </w:p>
                <w:p>
                  <w:pPr>
                    <w:pStyle w:val="53"/>
                  </w:pPr>
                </w:p>
              </w:txbxContent>
            </v:textbox>
            <w10:anchorlock/>
          </v:shape>
        </w:pict>
      </w:r>
    </w:p>
    <w:p>
      <w:pPr>
        <w:spacing w:line="240" w:lineRule="exact"/>
        <w:ind w:right="-380" w:rightChars="-181" w:firstLine="7140" w:firstLineChars="2550"/>
        <w:rPr>
          <w:rFonts w:ascii="黑体" w:hAnsi="黑体" w:eastAsia="黑体"/>
          <w:kern w:val="0"/>
          <w:sz w:val="28"/>
          <w:szCs w:val="20"/>
          <w:lang w:val="fr-FR"/>
        </w:rPr>
      </w:pPr>
      <w:r>
        <w:rPr>
          <w:rFonts w:ascii="黑体" w:hAnsi="黑体" w:eastAsia="黑体"/>
          <w:kern w:val="0"/>
          <w:sz w:val="28"/>
          <w:szCs w:val="20"/>
          <w:lang w:val="fr-FR"/>
        </w:rPr>
        <w:t xml:space="preserve">YS/T </w:t>
      </w:r>
    </w:p>
    <w:p>
      <w:pPr>
        <w:rPr>
          <w:rFonts w:eastAsia="黑体"/>
          <w:lang w:val="de-DE"/>
        </w:rPr>
      </w:pPr>
      <w:r>
        <w:rPr>
          <w:rFonts w:hint="eastAsia"/>
          <w:vanish/>
        </w:rPr>
        <w:t xml:space="preserve"> 林郭勒市52432.004</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eastAsia="黑体"/>
          <w:b/>
          <w:kern w:val="0"/>
          <w:sz w:val="96"/>
          <w:szCs w:val="20"/>
        </w:rPr>
        <w:pict>
          <v:shape id="_x0000_s1140" o:spid="_x0000_s1140" o:spt="202" type="#_x0000_t202" style="position:absolute;left:0pt;margin-left:3.8pt;margin-top:56.8pt;height:32.3pt;width:456.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55"/>
                    <w:rPr>
                      <w:rFonts w:hAnsi="黑体"/>
                    </w:rPr>
                  </w:pPr>
                  <w:r>
                    <w:rPr>
                      <w:rFonts w:hint="eastAsia" w:hAnsi="黑体"/>
                    </w:rPr>
                    <w:t>中华人民共和国有色金属行业标准</w:t>
                  </w:r>
                </w:p>
                <w:p>
                  <w:pPr>
                    <w:pStyle w:val="53"/>
                  </w:pPr>
                </w:p>
              </w:txbxContent>
            </v:textbox>
            <w10:anchorlock/>
          </v:shape>
        </w:pict>
      </w:r>
    </w:p>
    <w:p>
      <w:pPr>
        <w:spacing w:line="240" w:lineRule="exact"/>
        <w:ind w:right="-380" w:rightChars="-181" w:firstLine="7140" w:firstLineChars="2550"/>
        <w:rPr>
          <w:rFonts w:ascii="黑体" w:hAnsi="黑体" w:eastAsia="黑体"/>
          <w:kern w:val="0"/>
          <w:sz w:val="28"/>
          <w:szCs w:val="20"/>
          <w:lang w:val="fr-FR"/>
        </w:rPr>
      </w:pPr>
    </w:p>
    <w:p>
      <w:pPr>
        <w:spacing w:line="240" w:lineRule="exact"/>
        <w:ind w:right="-380" w:rightChars="-181" w:firstLine="7280" w:firstLineChars="2600"/>
        <w:rPr>
          <w:rFonts w:ascii="黑体" w:hAnsi="黑体" w:eastAsia="黑体"/>
          <w:kern w:val="0"/>
          <w:sz w:val="28"/>
          <w:szCs w:val="20"/>
          <w:lang w:val="fr-FR"/>
        </w:rPr>
      </w:pPr>
      <w:r>
        <w:rPr>
          <w:rFonts w:ascii="黑体" w:hAnsi="黑体" w:eastAsia="黑体"/>
          <w:kern w:val="0"/>
          <w:sz w:val="28"/>
          <w:szCs w:val="20"/>
          <w:lang w:val="fr-FR"/>
        </w:rPr>
        <w:t xml:space="preserve">YS/T </w:t>
      </w:r>
      <w:r>
        <w:rPr>
          <w:rFonts w:hint="eastAsia" w:ascii="黑体" w:hAnsi="黑体" w:eastAsia="黑体"/>
          <w:kern w:val="0"/>
          <w:sz w:val="28"/>
          <w:szCs w:val="20"/>
          <w:lang w:val="fr-FR"/>
        </w:rPr>
        <w:t>273.7-202</w:t>
      </w:r>
      <w:r>
        <w:rPr>
          <w:rFonts w:ascii="黑体" w:hAnsi="黑体" w:eastAsia="黑体"/>
          <w:kern w:val="0"/>
          <w:sz w:val="28"/>
          <w:szCs w:val="20"/>
          <w:lang w:val="fr-FR"/>
        </w:rPr>
        <w:t>X</w:t>
      </w:r>
    </w:p>
    <w:p>
      <w:pPr>
        <w:ind w:firstLine="7245" w:firstLineChars="3450"/>
        <w:rPr>
          <w:rFonts w:eastAsia="黑体"/>
        </w:rPr>
      </w:pPr>
      <w:r>
        <w:rPr>
          <w:rFonts w:hint="eastAsia" w:ascii="黑体" w:hAnsi="黑体" w:eastAsia="黑体"/>
          <w:szCs w:val="21"/>
        </w:rPr>
        <w:t>代替</w:t>
      </w:r>
      <w:r>
        <w:rPr>
          <w:rFonts w:hint="eastAsia" w:ascii="黑体" w:hAnsi="黑体" w:eastAsia="黑体"/>
          <w:szCs w:val="21"/>
          <w:lang w:val="fr-FR"/>
        </w:rPr>
        <w:t>YS/T 273.7-2006</w:t>
      </w:r>
    </w:p>
    <w:p>
      <w:pPr>
        <w:spacing w:line="240" w:lineRule="exact"/>
        <w:ind w:left="5460" w:right="-380" w:rightChars="-181" w:hanging="5460" w:hangingChars="2600"/>
        <w:rPr>
          <w:rFonts w:eastAsia="黑体"/>
          <w:lang w:val="de-DE"/>
        </w:rPr>
      </w:pPr>
      <w:r>
        <w:pict>
          <v:line id="_x0000_s1128" o:spid="_x0000_s1128" o:spt="20" style="position:absolute;left:0pt;margin-left:-3.7pt;margin-top:5.2pt;height:0.25pt;width:477pt;mso-wrap-distance-left:9pt;mso-wrap-distance-right:9pt;z-index:251660288;mso-width-relative:page;mso-height-relative:page;" coordsize="21600,21600" wrapcoords="-39 0 -39 0 21639 0 21639 0 -39 0">
            <v:path arrowok="t"/>
            <v:fill focussize="0,0"/>
            <v:stroke/>
            <v:imagedata o:title=""/>
            <o:lock v:ext="edit"/>
            <w10:wrap type="through"/>
          </v:line>
        </w:pict>
      </w:r>
    </w:p>
    <w:p>
      <w:pPr>
        <w:spacing w:line="240" w:lineRule="exact"/>
        <w:ind w:left="5460" w:right="-380" w:rightChars="-181" w:hanging="5460" w:hangingChars="2600"/>
        <w:rPr>
          <w:rFonts w:eastAsia="黑体"/>
          <w:lang w:val="de-DE"/>
        </w:rPr>
      </w:pPr>
    </w:p>
    <w:p>
      <w:pPr>
        <w:spacing w:line="240" w:lineRule="exact"/>
        <w:ind w:left="5460" w:right="-380" w:rightChars="-181" w:hanging="5460" w:hangingChars="2600"/>
        <w:rPr>
          <w:rFonts w:eastAsia="黑体"/>
          <w:lang w:val="de-DE"/>
        </w:rPr>
      </w:pPr>
    </w:p>
    <w:p>
      <w:pPr>
        <w:spacing w:line="380" w:lineRule="exact"/>
        <w:rPr>
          <w:sz w:val="28"/>
          <w:lang w:val="de-DE"/>
        </w:rPr>
      </w:pPr>
    </w:p>
    <w:p>
      <w:pPr>
        <w:ind w:firstLine="480" w:firstLineChars="100"/>
        <w:rPr>
          <w:rFonts w:ascii="黑体" w:hAnsi="黑体" w:eastAsia="黑体" w:cs="黑体"/>
          <w:bCs/>
          <w:spacing w:val="-20"/>
          <w:kern w:val="16"/>
          <w:sz w:val="52"/>
          <w:szCs w:val="52"/>
        </w:rPr>
      </w:pPr>
      <w:r>
        <w:rPr>
          <w:rFonts w:hint="eastAsia" w:ascii="黑体" w:hAnsi="黑体" w:eastAsia="黑体" w:cs="黑体"/>
          <w:bCs/>
          <w:spacing w:val="-20"/>
          <w:kern w:val="16"/>
          <w:sz w:val="52"/>
          <w:szCs w:val="52"/>
        </w:rPr>
        <w:t>冰晶石化学分析方法和物理性能测定方法</w:t>
      </w:r>
    </w:p>
    <w:p>
      <w:pPr>
        <w:pStyle w:val="52"/>
        <w:spacing w:line="360" w:lineRule="auto"/>
        <w:ind w:firstLine="960"/>
        <w:jc w:val="center"/>
        <w:rPr>
          <w:rFonts w:ascii="黑体" w:hAnsi="黑体" w:eastAsia="黑体" w:cs="黑体"/>
          <w:bCs/>
          <w:spacing w:val="-20"/>
          <w:kern w:val="11"/>
          <w:sz w:val="52"/>
          <w:szCs w:val="52"/>
        </w:rPr>
      </w:pPr>
      <w:r>
        <w:rPr>
          <w:rFonts w:hint="eastAsia" w:ascii="黑体" w:hAnsi="黑体" w:eastAsia="黑体" w:cs="黑体"/>
          <w:bCs/>
          <w:spacing w:val="-20"/>
          <w:kern w:val="11"/>
          <w:sz w:val="52"/>
          <w:szCs w:val="52"/>
        </w:rPr>
        <w:t>第7部分：三氧化二铁含量的测定</w:t>
      </w:r>
    </w:p>
    <w:p>
      <w:pPr>
        <w:pStyle w:val="52"/>
        <w:spacing w:line="360" w:lineRule="auto"/>
        <w:ind w:firstLine="960"/>
        <w:jc w:val="center"/>
        <w:rPr>
          <w:rFonts w:ascii="黑体" w:hAnsi="黑体" w:eastAsia="黑体" w:cs="黑体"/>
          <w:bCs/>
          <w:spacing w:val="-20"/>
          <w:kern w:val="11"/>
          <w:sz w:val="52"/>
          <w:szCs w:val="52"/>
        </w:rPr>
      </w:pPr>
      <w:r>
        <w:rPr>
          <w:rFonts w:hint="eastAsia" w:ascii="黑体" w:hAnsi="黑体" w:eastAsia="黑体" w:cs="黑体"/>
          <w:bCs/>
          <w:spacing w:val="-20"/>
          <w:kern w:val="11"/>
          <w:sz w:val="52"/>
          <w:szCs w:val="52"/>
        </w:rPr>
        <w:t>邻二氮杂菲分光光度法</w:t>
      </w:r>
    </w:p>
    <w:p>
      <w:pPr>
        <w:jc w:val="center"/>
        <w:rPr>
          <w:rFonts w:ascii="黑体" w:eastAsia="黑体"/>
          <w:bCs/>
          <w:color w:val="000000"/>
          <w:sz w:val="28"/>
          <w:szCs w:val="28"/>
        </w:rPr>
      </w:pPr>
    </w:p>
    <w:p>
      <w:pPr>
        <w:jc w:val="center"/>
        <w:rPr>
          <w:rFonts w:ascii="黑体" w:eastAsia="黑体"/>
          <w:bCs/>
          <w:color w:val="000000"/>
          <w:sz w:val="28"/>
          <w:szCs w:val="28"/>
        </w:rPr>
      </w:pPr>
      <w:r>
        <w:rPr>
          <w:rFonts w:hint="eastAsia" w:ascii="黑体" w:eastAsia="黑体"/>
          <w:bCs/>
          <w:color w:val="000000"/>
          <w:sz w:val="28"/>
          <w:szCs w:val="28"/>
        </w:rPr>
        <w:t>Chemical analysis methods and physical properties of cryolite—</w:t>
      </w:r>
    </w:p>
    <w:p>
      <w:pPr>
        <w:jc w:val="center"/>
        <w:rPr>
          <w:rFonts w:ascii="黑体" w:eastAsia="黑体"/>
          <w:bCs/>
          <w:color w:val="000000"/>
          <w:sz w:val="28"/>
          <w:szCs w:val="28"/>
        </w:rPr>
      </w:pPr>
      <w:r>
        <w:rPr>
          <w:rFonts w:hint="eastAsia" w:ascii="黑体" w:eastAsia="黑体"/>
          <w:bCs/>
          <w:color w:val="000000"/>
          <w:sz w:val="28"/>
          <w:szCs w:val="28"/>
        </w:rPr>
        <w:t xml:space="preserve">Part 7：Determination of iron content </w:t>
      </w:r>
      <w:r>
        <w:rPr>
          <w:rFonts w:hint="eastAsia" w:ascii="黑体" w:eastAsia="黑体"/>
          <w:sz w:val="28"/>
          <w:szCs w:val="28"/>
        </w:rPr>
        <w:t>—</w:t>
      </w:r>
    </w:p>
    <w:p>
      <w:pPr>
        <w:jc w:val="center"/>
        <w:rPr>
          <w:rFonts w:ascii="黑体" w:eastAsia="黑体"/>
          <w:bCs/>
          <w:color w:val="000000"/>
          <w:sz w:val="28"/>
          <w:szCs w:val="28"/>
        </w:rPr>
      </w:pPr>
      <w:r>
        <w:rPr>
          <w:rFonts w:hint="eastAsia" w:ascii="黑体" w:eastAsia="黑体"/>
          <w:bCs/>
          <w:color w:val="000000"/>
          <w:sz w:val="28"/>
          <w:szCs w:val="28"/>
        </w:rPr>
        <w:t>Orthophenantholine photometric method</w:t>
      </w:r>
    </w:p>
    <w:p>
      <w:pPr>
        <w:jc w:val="center"/>
        <w:rPr>
          <w:rFonts w:eastAsia="黑体"/>
          <w:sz w:val="28"/>
        </w:rPr>
      </w:pPr>
      <w:r>
        <w:rPr>
          <w:sz w:val="28"/>
        </w:rPr>
        <w:t>（</w:t>
      </w:r>
      <w:r>
        <w:rPr>
          <w:rFonts w:hint="eastAsia"/>
          <w:sz w:val="28"/>
        </w:rPr>
        <w:t>送审稿</w:t>
      </w:r>
      <w:r>
        <w:rPr>
          <w:sz w:val="28"/>
        </w:rPr>
        <w:t>）</w:t>
      </w:r>
    </w:p>
    <w:p>
      <w:pPr>
        <w:rPr>
          <w:rFonts w:eastAsia="黑体"/>
          <w:sz w:val="28"/>
        </w:rPr>
      </w:pPr>
    </w:p>
    <w:p>
      <w:pPr>
        <w:jc w:val="center"/>
        <w:rPr>
          <w:rFonts w:eastAsia="黑体"/>
          <w:sz w:val="28"/>
        </w:rPr>
      </w:pPr>
    </w:p>
    <w:p>
      <w:pPr>
        <w:jc w:val="center"/>
        <w:rPr>
          <w:rFonts w:eastAsia="黑体"/>
          <w:sz w:val="28"/>
        </w:rPr>
      </w:pPr>
    </w:p>
    <w:p>
      <w:pPr>
        <w:ind w:right="-561" w:rightChars="-267" w:firstLine="210" w:firstLineChars="100"/>
        <w:rPr>
          <w:rFonts w:eastAsia="黑体"/>
          <w:sz w:val="48"/>
        </w:rPr>
      </w:pPr>
      <w:r>
        <w:pict>
          <v:line id="_x0000_s1127" o:spid="_x0000_s1127" o:spt="20" style="position:absolute;left:0pt;margin-left:1.5pt;margin-top:30.3pt;height:0pt;width:459pt;mso-wrap-distance-left:9pt;mso-wrap-distance-right:9pt;z-index:251659264;mso-width-relative:page;mso-height-relative:page;" coordsize="21600,21600" wrapcoords="-36 0 -36 0 21636 0 21636 0 -36 0">
            <v:path arrowok="t"/>
            <v:fill focussize="0,0"/>
            <v:stroke/>
            <v:imagedata o:title=""/>
            <o:lock v:ext="edit"/>
            <w10:wrap type="through"/>
          </v:line>
        </w:pict>
      </w:r>
      <w:r>
        <w:rPr>
          <w:rFonts w:hint="eastAsia" w:eastAsia="黑体"/>
          <w:sz w:val="28"/>
        </w:rPr>
        <w:t>20</w:t>
      </w:r>
      <w:r>
        <w:rPr>
          <w:rFonts w:hint="eastAsia" w:eastAsia="黑体"/>
          <w:sz w:val="28"/>
          <w:lang w:val="en-US" w:eastAsia="zh-CN"/>
        </w:rPr>
        <w:t>2</w:t>
      </w:r>
      <w:r>
        <w:rPr>
          <w:rFonts w:eastAsia="黑体"/>
          <w:sz w:val="28"/>
        </w:rPr>
        <w:t xml:space="preserve">X－XX－XX 发布                         </w:t>
      </w:r>
      <w:r>
        <w:rPr>
          <w:rFonts w:hint="eastAsia" w:eastAsia="黑体"/>
          <w:sz w:val="28"/>
        </w:rPr>
        <w:t>202</w:t>
      </w:r>
      <w:r>
        <w:rPr>
          <w:rFonts w:eastAsia="黑体"/>
          <w:sz w:val="28"/>
        </w:rPr>
        <w:t>X－XX－XX实施</w:t>
      </w:r>
    </w:p>
    <w:p>
      <w:pPr>
        <w:spacing w:line="480" w:lineRule="exact"/>
        <w:jc w:val="center"/>
        <w:rPr>
          <w:sz w:val="28"/>
          <w:szCs w:val="28"/>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851" w:footer="1247" w:gutter="0"/>
          <w:pgNumType w:start="29"/>
          <w:cols w:space="720" w:num="1"/>
          <w:titlePg/>
          <w:docGrid w:type="lines" w:linePitch="312" w:charSpace="0"/>
        </w:sectPr>
      </w:pPr>
      <w:r>
        <w:pict>
          <v:shape id="fmFrame7" o:spid="_x0000_s1130" o:spt="202" type="#_x0000_t202" style="position:absolute;left:0pt;margin-left:-9pt;margin-top:647.4pt;height:28.6pt;width:481.9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80"/>
                  </w:pPr>
                  <w:r>
                    <w:rPr>
                      <w:rFonts w:hint="eastAsia" w:hAnsi="宋体"/>
                      <w:sz w:val="32"/>
                      <w:szCs w:val="32"/>
                    </w:rPr>
                    <w:t xml:space="preserve">中华人民共和国工业和信息化部 </w:t>
                  </w:r>
                  <w:r>
                    <w:rPr>
                      <w:rStyle w:val="49"/>
                      <w:rFonts w:hint="eastAsia"/>
                    </w:rPr>
                    <w:t>发布</w:t>
                  </w:r>
                </w:p>
              </w:txbxContent>
            </v:textbox>
            <w10:anchorlock/>
          </v:shape>
        </w:pict>
      </w:r>
    </w:p>
    <w:bookmarkEnd w:id="0"/>
    <w:p>
      <w:pPr>
        <w:pStyle w:val="31"/>
      </w:pPr>
      <w:bookmarkStart w:id="1" w:name="SectionMark2"/>
      <w:r>
        <w:rPr>
          <w:rFonts w:hint="eastAsia"/>
        </w:rPr>
        <w:t>前    言</w:t>
      </w:r>
    </w:p>
    <w:bookmarkEnd w:id="1"/>
    <w:p>
      <w:pPr>
        <w:ind w:firstLine="420"/>
        <w:rPr>
          <w:rFonts w:ascii="宋体"/>
          <w:szCs w:val="21"/>
        </w:rPr>
      </w:pPr>
      <w:bookmarkStart w:id="2" w:name="SectionMark4"/>
      <w:r>
        <w:rPr>
          <w:rFonts w:hint="eastAsia" w:ascii="宋体"/>
          <w:szCs w:val="21"/>
        </w:rPr>
        <w:t>本文件按照GB/T 1</w:t>
      </w:r>
      <w:r>
        <w:rPr>
          <w:rFonts w:ascii="宋体"/>
          <w:szCs w:val="21"/>
        </w:rPr>
        <w:t>.</w:t>
      </w:r>
      <w:r>
        <w:rPr>
          <w:rFonts w:hint="eastAsia" w:ascii="宋体"/>
          <w:szCs w:val="21"/>
        </w:rPr>
        <w:t>1-20</w:t>
      </w:r>
      <w:r>
        <w:rPr>
          <w:rFonts w:ascii="宋体"/>
          <w:szCs w:val="21"/>
        </w:rPr>
        <w:t>20</w:t>
      </w:r>
      <w:r>
        <w:rPr>
          <w:rFonts w:hint="eastAsia" w:ascii="宋体"/>
          <w:szCs w:val="21"/>
        </w:rPr>
        <w:t>《标准化工作导则 第1部分：标准化文件的结构和起草规则》的规定起草。</w:t>
      </w:r>
    </w:p>
    <w:p>
      <w:pPr>
        <w:autoSpaceDE w:val="0"/>
        <w:autoSpaceDN w:val="0"/>
        <w:ind w:firstLine="420" w:firstLineChars="200"/>
      </w:pPr>
      <w:r>
        <w:rPr>
          <w:rFonts w:hint="eastAsia" w:ascii="宋体"/>
          <w:szCs w:val="21"/>
        </w:rPr>
        <w:t>本文件是</w:t>
      </w:r>
      <w:r>
        <w:rPr>
          <w:rFonts w:hint="eastAsia" w:ascii="宋体"/>
          <w:spacing w:val="-2"/>
          <w:szCs w:val="21"/>
        </w:rPr>
        <w:t xml:space="preserve">YS/T </w:t>
      </w:r>
      <w:r>
        <w:rPr>
          <w:rFonts w:ascii="宋体"/>
          <w:spacing w:val="-2"/>
          <w:szCs w:val="21"/>
        </w:rPr>
        <w:t>273</w:t>
      </w:r>
      <w:r>
        <w:rPr>
          <w:rFonts w:hint="eastAsia" w:ascii="宋体"/>
          <w:spacing w:val="-2"/>
          <w:szCs w:val="21"/>
        </w:rPr>
        <w:t>《冰晶石化学分析方法和物理性能测定方法》的第</w:t>
      </w:r>
      <w:r>
        <w:rPr>
          <w:rFonts w:hint="eastAsia" w:ascii="宋体"/>
          <w:spacing w:val="-2"/>
          <w:szCs w:val="21"/>
          <w:lang w:val="en-US" w:eastAsia="zh-CN"/>
        </w:rPr>
        <w:t>7</w:t>
      </w:r>
      <w:r>
        <w:rPr>
          <w:rFonts w:hint="eastAsia" w:ascii="宋体"/>
          <w:spacing w:val="-2"/>
          <w:szCs w:val="21"/>
        </w:rPr>
        <w:t xml:space="preserve">部分。YS/T </w:t>
      </w:r>
      <w:r>
        <w:rPr>
          <w:rFonts w:ascii="宋体"/>
          <w:spacing w:val="-2"/>
          <w:szCs w:val="21"/>
        </w:rPr>
        <w:t>273</w:t>
      </w:r>
      <w:r>
        <w:rPr>
          <w:rFonts w:hint="eastAsia" w:ascii="宋体"/>
          <w:spacing w:val="-2"/>
          <w:szCs w:val="21"/>
        </w:rPr>
        <w:t>已经发布了以下部分：</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w:t>
      </w:r>
      <w:r>
        <w:rPr>
          <w:rFonts w:hint="eastAsia" w:asciiTheme="minorEastAsia" w:hAnsiTheme="minorEastAsia" w:eastAsiaTheme="minorEastAsia"/>
        </w:rPr>
        <w:t>部分：湿存水含量的测定 重量法；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2</w:t>
      </w:r>
      <w:r>
        <w:rPr>
          <w:rFonts w:hint="eastAsia" w:asciiTheme="minorEastAsia" w:hAnsiTheme="minorEastAsia" w:eastAsiaTheme="minorEastAsia"/>
        </w:rPr>
        <w:t>部分：烧减量的测定；</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3</w:t>
      </w:r>
      <w:r>
        <w:rPr>
          <w:rFonts w:hint="eastAsia" w:asciiTheme="minorEastAsia" w:hAnsiTheme="minorEastAsia" w:eastAsiaTheme="minorEastAsia"/>
        </w:rPr>
        <w:t>部分：氟含量的测定；</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4</w:t>
      </w:r>
      <w:r>
        <w:rPr>
          <w:rFonts w:hint="eastAsia" w:asciiTheme="minorEastAsia" w:hAnsiTheme="minorEastAsia" w:eastAsiaTheme="minorEastAsia"/>
        </w:rPr>
        <w:t xml:space="preserve">部分：铝含量的测定  </w:t>
      </w:r>
      <w:r>
        <w:rPr>
          <w:rFonts w:asciiTheme="minorEastAsia" w:hAnsiTheme="minorEastAsia" w:eastAsiaTheme="minorEastAsia"/>
        </w:rPr>
        <w:t>EDTA</w:t>
      </w:r>
      <w:r>
        <w:rPr>
          <w:rFonts w:hint="eastAsia" w:asciiTheme="minorEastAsia" w:hAnsiTheme="minorEastAsia" w:eastAsiaTheme="minorEastAsia"/>
        </w:rPr>
        <w:t>滴定法；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5</w:t>
      </w:r>
      <w:r>
        <w:rPr>
          <w:rFonts w:hint="eastAsia" w:asciiTheme="minorEastAsia" w:hAnsiTheme="minorEastAsia" w:eastAsiaTheme="minorEastAsia"/>
        </w:rPr>
        <w:t>部分：火焰原子吸收光谱法测定钠含量；</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6</w:t>
      </w:r>
      <w:r>
        <w:rPr>
          <w:rFonts w:hint="eastAsia" w:asciiTheme="minorEastAsia" w:hAnsiTheme="minorEastAsia" w:eastAsiaTheme="minorEastAsia"/>
        </w:rPr>
        <w:t>部分：二氧化硅含量的测定  钼蓝分光光度法；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7</w:t>
      </w:r>
      <w:r>
        <w:rPr>
          <w:rFonts w:hint="eastAsia" w:asciiTheme="minorEastAsia" w:hAnsiTheme="minorEastAsia" w:eastAsiaTheme="minorEastAsia"/>
        </w:rPr>
        <w:t>部分：三氧化二铁含量的测定  邻二氮杂菲分光光度法；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8</w:t>
      </w:r>
      <w:r>
        <w:rPr>
          <w:rFonts w:hint="eastAsia" w:asciiTheme="minorEastAsia" w:hAnsiTheme="minorEastAsia" w:eastAsiaTheme="minorEastAsia"/>
        </w:rPr>
        <w:t>部分：硫酸根含量的测定  硫酸钡重量法；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9</w:t>
      </w:r>
      <w:r>
        <w:rPr>
          <w:rFonts w:hint="eastAsia" w:asciiTheme="minorEastAsia" w:hAnsiTheme="minorEastAsia" w:eastAsiaTheme="minorEastAsia"/>
        </w:rPr>
        <w:t>部分：五氧化二磷含量的测定  钼蓝分光光度法；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10</w:t>
      </w:r>
      <w:r>
        <w:rPr>
          <w:rFonts w:hint="eastAsia" w:asciiTheme="minorEastAsia" w:hAnsiTheme="minorEastAsia" w:eastAsiaTheme="minorEastAsia"/>
        </w:rPr>
        <w:t>部分：重量法测定游离氧化铝含量；</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11</w:t>
      </w:r>
      <w:r>
        <w:rPr>
          <w:rFonts w:hint="eastAsia" w:asciiTheme="minorEastAsia" w:hAnsiTheme="minorEastAsia" w:eastAsiaTheme="minorEastAsia"/>
        </w:rPr>
        <w:t xml:space="preserve">部分：元素含量的测定  </w:t>
      </w:r>
      <w:r>
        <w:rPr>
          <w:rFonts w:asciiTheme="minorEastAsia" w:hAnsiTheme="minorEastAsia" w:eastAsiaTheme="minorEastAsia"/>
        </w:rPr>
        <w:t>X</w:t>
      </w:r>
      <w:r>
        <w:rPr>
          <w:rFonts w:hint="eastAsia" w:asciiTheme="minorEastAsia" w:hAnsiTheme="minorEastAsia" w:eastAsiaTheme="minorEastAsia"/>
        </w:rPr>
        <w:t>射线荧光光谱法；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12</w:t>
      </w:r>
      <w:r>
        <w:rPr>
          <w:rFonts w:hint="eastAsia" w:asciiTheme="minorEastAsia" w:hAnsiTheme="minorEastAsia" w:eastAsiaTheme="minorEastAsia"/>
        </w:rPr>
        <w:t>部分：</w:t>
      </w:r>
      <w:r>
        <w:rPr>
          <w:rFonts w:hint="eastAsia" w:ascii="宋体" w:hAnsi="宋体"/>
        </w:rPr>
        <w:t>氧化钙含量的测定  火焰原子吸收光谱法；</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13</w:t>
      </w:r>
      <w:r>
        <w:rPr>
          <w:rFonts w:hint="eastAsia" w:asciiTheme="minorEastAsia" w:hAnsiTheme="minorEastAsia" w:eastAsiaTheme="minorEastAsia"/>
        </w:rPr>
        <w:t>部分：试样的制备和贮存；</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w:t>
      </w:r>
      <w:r>
        <w:rPr>
          <w:rFonts w:hint="eastAsia" w:asciiTheme="minorEastAsia" w:hAnsiTheme="minorEastAsia" w:eastAsiaTheme="minorEastAsia"/>
        </w:rPr>
        <w:t>6部分：</w:t>
      </w:r>
      <w:r>
        <w:rPr>
          <w:rFonts w:asciiTheme="minorEastAsia" w:hAnsiTheme="minorEastAsia" w:eastAsiaTheme="minorEastAsia"/>
        </w:rPr>
        <w:t xml:space="preserve">锂含量的测定 </w:t>
      </w:r>
      <w:r>
        <w:rPr>
          <w:rFonts w:hint="eastAsia" w:asciiTheme="minorEastAsia" w:hAnsiTheme="minorEastAsia" w:eastAsiaTheme="minorEastAsia"/>
        </w:rPr>
        <w:t xml:space="preserve"> </w:t>
      </w:r>
      <w:r>
        <w:rPr>
          <w:rFonts w:asciiTheme="minorEastAsia" w:hAnsiTheme="minorEastAsia" w:eastAsiaTheme="minorEastAsia"/>
        </w:rPr>
        <w:t>火焰原子吸收光谱法</w:t>
      </w:r>
      <w:r>
        <w:rPr>
          <w:rFonts w:hint="eastAsia" w:asciiTheme="minorEastAsia" w:hAnsiTheme="minorEastAsia" w:eastAsiaTheme="minorEastAsia"/>
        </w:rPr>
        <w:t>；</w:t>
      </w:r>
    </w:p>
    <w:p>
      <w:pPr>
        <w:ind w:firstLine="42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1</w:t>
      </w:r>
      <w:r>
        <w:rPr>
          <w:rFonts w:hint="eastAsia" w:asciiTheme="minorEastAsia" w:hAnsiTheme="minorEastAsia" w:eastAsiaTheme="minorEastAsia"/>
        </w:rPr>
        <w:t>7部分：</w:t>
      </w:r>
      <w:r>
        <w:rPr>
          <w:rFonts w:asciiTheme="minorEastAsia" w:hAnsiTheme="minorEastAsia" w:eastAsiaTheme="minorEastAsia"/>
        </w:rPr>
        <w:t xml:space="preserve">元素含量的测定 </w:t>
      </w:r>
      <w:r>
        <w:rPr>
          <w:rFonts w:hint="eastAsia" w:asciiTheme="minorEastAsia" w:hAnsiTheme="minorEastAsia" w:eastAsiaTheme="minorEastAsia"/>
        </w:rPr>
        <w:t xml:space="preserve"> </w:t>
      </w:r>
      <w:r>
        <w:rPr>
          <w:rFonts w:asciiTheme="minorEastAsia" w:hAnsiTheme="minorEastAsia" w:eastAsiaTheme="minorEastAsia"/>
        </w:rPr>
        <w:t>电感耦合等离子体原子发射光谱法</w:t>
      </w:r>
      <w:r>
        <w:rPr>
          <w:rFonts w:hint="eastAsia" w:asciiTheme="minorEastAsia" w:hAnsiTheme="minorEastAsia" w:eastAsiaTheme="minorEastAsia"/>
        </w:rPr>
        <w:t>。</w:t>
      </w:r>
    </w:p>
    <w:p>
      <w:pPr>
        <w:numPr>
          <w:ilvl w:val="0"/>
          <w:numId w:val="1"/>
        </w:numPr>
        <w:rPr>
          <w:rFonts w:ascii="宋体" w:hAnsi="宋体"/>
        </w:rPr>
      </w:pPr>
      <w:r>
        <w:rPr>
          <w:rFonts w:hint="eastAsia" w:ascii="宋体" w:hAnsi="宋体"/>
        </w:rPr>
        <w:t xml:space="preserve">    本文件代替</w:t>
      </w:r>
      <w:r>
        <w:rPr>
          <w:rFonts w:ascii="宋体" w:hAnsi="宋体"/>
        </w:rPr>
        <w:t>YS</w:t>
      </w:r>
      <w:r>
        <w:rPr>
          <w:rFonts w:hint="eastAsia" w:ascii="宋体" w:hAnsi="宋体"/>
        </w:rPr>
        <w:t xml:space="preserve">/T </w:t>
      </w:r>
      <w:r>
        <w:rPr>
          <w:rFonts w:ascii="宋体" w:hAnsi="宋体"/>
        </w:rPr>
        <w:t>273.</w:t>
      </w:r>
      <w:r>
        <w:rPr>
          <w:rFonts w:hint="eastAsia" w:ascii="宋体" w:hAnsi="宋体"/>
        </w:rPr>
        <w:t>7</w:t>
      </w:r>
      <w:r>
        <w:rPr>
          <w:rFonts w:ascii="宋体" w:hAnsi="宋体"/>
        </w:rPr>
        <w:t>-2006</w:t>
      </w:r>
      <w:r>
        <w:rPr>
          <w:rFonts w:hint="eastAsia" w:ascii="宋体" w:hAnsi="宋体"/>
        </w:rPr>
        <w:t>《冰晶石化学分析方法和物理性能测定方法 第7部分：</w:t>
      </w:r>
      <w:r>
        <w:rPr>
          <w:rFonts w:hint="eastAsia" w:ascii="宋体"/>
        </w:rPr>
        <w:t>邻二氮杂菲分光光度法测定三氧化二铁含量</w:t>
      </w:r>
      <w:r>
        <w:rPr>
          <w:rFonts w:hint="eastAsia" w:ascii="宋体" w:hAnsi="宋体"/>
        </w:rPr>
        <w:t>》，与</w:t>
      </w:r>
      <w:r>
        <w:rPr>
          <w:rFonts w:ascii="宋体" w:hAnsi="宋体"/>
        </w:rPr>
        <w:t>YS</w:t>
      </w:r>
      <w:r>
        <w:rPr>
          <w:rFonts w:hint="eastAsia" w:ascii="宋体" w:hAnsi="宋体"/>
        </w:rPr>
        <w:t xml:space="preserve">/T </w:t>
      </w:r>
      <w:r>
        <w:rPr>
          <w:rFonts w:ascii="宋体" w:hAnsi="宋体"/>
        </w:rPr>
        <w:t>273.</w:t>
      </w:r>
      <w:r>
        <w:rPr>
          <w:rFonts w:hint="eastAsia" w:ascii="宋体" w:hAnsi="宋体"/>
        </w:rPr>
        <w:t>7</w:t>
      </w:r>
      <w:r>
        <w:rPr>
          <w:rFonts w:ascii="宋体" w:hAnsi="宋体"/>
        </w:rPr>
        <w:t>-2006</w:t>
      </w:r>
      <w:r>
        <w:rPr>
          <w:rFonts w:hint="eastAsia" w:ascii="宋体" w:hAnsi="宋体"/>
        </w:rPr>
        <w:t>相比，</w:t>
      </w:r>
      <w:r>
        <w:rPr>
          <w:rFonts w:hint="eastAsia" w:ascii="宋体"/>
          <w:spacing w:val="-2"/>
          <w:szCs w:val="21"/>
        </w:rPr>
        <w:t>除结构调整和编辑性改动外，主要技术变化如下</w:t>
      </w:r>
      <w:r>
        <w:rPr>
          <w:rFonts w:hint="eastAsia" w:ascii="宋体" w:hAnsi="宋体"/>
        </w:rPr>
        <w:t>：</w:t>
      </w:r>
    </w:p>
    <w:p>
      <w:pPr>
        <w:ind w:firstLine="420" w:firstLineChars="200"/>
        <w:rPr>
          <w:rFonts w:ascii="宋体" w:hAnsi="宋体"/>
        </w:rPr>
      </w:pPr>
      <w:r>
        <w:rPr>
          <w:rFonts w:hint="eastAsia" w:ascii="宋体" w:hAnsi="宋体"/>
        </w:rPr>
        <w:t>a)更改</w:t>
      </w:r>
      <w:r>
        <w:rPr>
          <w:rFonts w:hint="eastAsia" w:ascii="宋体" w:hAnsi="宋体"/>
          <w:color w:val="000000"/>
        </w:rPr>
        <w:t>了测定范围</w:t>
      </w:r>
      <w:r>
        <w:rPr>
          <w:rFonts w:hint="eastAsia" w:ascii="宋体"/>
        </w:rPr>
        <w:t>（见第1章，</w:t>
      </w:r>
      <w:r>
        <w:rPr>
          <w:rFonts w:ascii="宋体"/>
        </w:rPr>
        <w:t>2006</w:t>
      </w:r>
      <w:r>
        <w:rPr>
          <w:rFonts w:hint="eastAsia" w:ascii="宋体"/>
        </w:rPr>
        <w:t>年版的第1章）</w:t>
      </w:r>
      <w:r>
        <w:rPr>
          <w:rFonts w:hint="eastAsia" w:ascii="宋体" w:hAnsi="宋体"/>
        </w:rPr>
        <w:t>；</w:t>
      </w:r>
    </w:p>
    <w:p>
      <w:pPr>
        <w:ind w:firstLine="420" w:firstLineChars="200"/>
        <w:rPr>
          <w:rFonts w:ascii="宋体" w:hAnsi="宋体"/>
        </w:rPr>
      </w:pPr>
      <w:r>
        <w:rPr>
          <w:rFonts w:ascii="宋体" w:hAnsi="宋体"/>
        </w:rPr>
        <w:t>b</w:t>
      </w:r>
      <w:r>
        <w:rPr>
          <w:rFonts w:hint="eastAsia" w:ascii="宋体" w:hAnsi="宋体"/>
        </w:rPr>
        <w:t>)修改了部分试剂及试剂配制方法</w:t>
      </w:r>
      <w:r>
        <w:rPr>
          <w:rFonts w:hint="eastAsia" w:ascii="宋体"/>
        </w:rPr>
        <w:t>（见第5章，</w:t>
      </w:r>
      <w:r>
        <w:rPr>
          <w:rFonts w:ascii="宋体"/>
        </w:rPr>
        <w:t>2006</w:t>
      </w:r>
      <w:r>
        <w:rPr>
          <w:rFonts w:hint="eastAsia" w:ascii="宋体"/>
        </w:rPr>
        <w:t>年版的第3章）；</w:t>
      </w:r>
    </w:p>
    <w:p>
      <w:pPr>
        <w:ind w:firstLine="420" w:firstLineChars="200"/>
        <w:rPr>
          <w:rFonts w:ascii="宋体"/>
        </w:rPr>
      </w:pPr>
      <w:r>
        <w:rPr>
          <w:rFonts w:ascii="宋体" w:hAnsi="宋体"/>
        </w:rPr>
        <w:t>c</w:t>
      </w:r>
      <w:r>
        <w:rPr>
          <w:rFonts w:hint="eastAsia" w:ascii="宋体" w:hAnsi="宋体"/>
        </w:rPr>
        <w:t>)更改了熔剂用量、熔融温度和时间、</w:t>
      </w:r>
      <w:r>
        <w:rPr>
          <w:rFonts w:hint="eastAsia" w:ascii="宋体" w:hAnsi="宋体"/>
          <w:color w:val="000000"/>
        </w:rPr>
        <w:t>调节pH值方法</w:t>
      </w:r>
      <w:r>
        <w:rPr>
          <w:rFonts w:hint="eastAsia" w:ascii="宋体" w:hAnsi="宋体"/>
        </w:rPr>
        <w:t>（</w:t>
      </w:r>
      <w:r>
        <w:rPr>
          <w:rFonts w:hint="eastAsia" w:ascii="宋体"/>
        </w:rPr>
        <w:t>见8</w:t>
      </w:r>
      <w:r>
        <w:rPr>
          <w:rFonts w:ascii="宋体"/>
        </w:rPr>
        <w:t>.4</w:t>
      </w:r>
      <w:r>
        <w:rPr>
          <w:rFonts w:hint="eastAsia" w:ascii="宋体"/>
        </w:rPr>
        <w:t>，</w:t>
      </w:r>
      <w:r>
        <w:rPr>
          <w:rFonts w:ascii="宋体"/>
        </w:rPr>
        <w:t>2006</w:t>
      </w:r>
      <w:r>
        <w:rPr>
          <w:rFonts w:hint="eastAsia" w:ascii="宋体"/>
        </w:rPr>
        <w:t>年版的6.4）</w:t>
      </w:r>
    </w:p>
    <w:p>
      <w:pPr>
        <w:ind w:firstLine="420" w:firstLineChars="200"/>
      </w:pPr>
      <w:r>
        <w:rPr>
          <w:rFonts w:hint="eastAsia"/>
        </w:rPr>
        <w:t>请注意本文件的某些内容可能涉及专利。本文件的发布机构不承担识别专利的责任。</w:t>
      </w:r>
    </w:p>
    <w:p>
      <w:pPr>
        <w:ind w:firstLine="420" w:firstLineChars="200"/>
        <w:rPr>
          <w:rFonts w:ascii="宋体"/>
        </w:rPr>
      </w:pPr>
      <w:r>
        <w:rPr>
          <w:rFonts w:hint="eastAsia" w:ascii="宋体"/>
        </w:rPr>
        <w:t>本文件由全国有色金属标准化技术委员会（SAC/TC 243）提出并归口。</w:t>
      </w:r>
    </w:p>
    <w:p>
      <w:pPr>
        <w:ind w:firstLine="420" w:firstLineChars="200"/>
        <w:rPr>
          <w:rFonts w:ascii="宋体" w:hAnsi="宋体"/>
          <w:color w:val="FF0000"/>
          <w:szCs w:val="21"/>
        </w:rPr>
      </w:pPr>
      <w:r>
        <w:rPr>
          <w:rFonts w:hint="eastAsia" w:ascii="宋体"/>
        </w:rPr>
        <w:t>本文件起草单位：中铝郑州有色金属研究院有限公司、</w:t>
      </w:r>
      <w:r>
        <w:rPr>
          <w:rFonts w:hint="eastAsia" w:ascii="宋体" w:hAnsi="宋体" w:cs="仿宋_GB2312"/>
          <w:szCs w:val="21"/>
        </w:rPr>
        <w:t>有色金属技术经济研究院有限责任公司、</w:t>
      </w:r>
      <w:r>
        <w:rPr>
          <w:rFonts w:hint="eastAsia" w:ascii="宋体" w:hAnsi="宋体"/>
          <w:szCs w:val="21"/>
        </w:rPr>
        <w:t>多氟多新材料有限责任公司、内蒙古霍煤鸿骏铝电有限责任公司、</w:t>
      </w:r>
      <w:r>
        <w:rPr>
          <w:rFonts w:hint="eastAsia" w:ascii="宋体" w:hAnsi="宋体" w:cs="宋体"/>
          <w:kern w:val="0"/>
          <w:sz w:val="22"/>
          <w:szCs w:val="22"/>
        </w:rPr>
        <w:t>中铝中州铝业有限公司、</w:t>
      </w:r>
      <w:r>
        <w:rPr>
          <w:rFonts w:hint="eastAsia" w:ascii="宋体" w:hAnsi="宋体"/>
          <w:szCs w:val="21"/>
        </w:rPr>
        <w:t>贵州兴仁登高新材料有限公司、</w:t>
      </w:r>
      <w:r>
        <w:rPr>
          <w:rFonts w:hint="eastAsia" w:ascii="宋体" w:hAnsi="宋体" w:cs="宋体"/>
          <w:kern w:val="0"/>
          <w:sz w:val="22"/>
          <w:szCs w:val="22"/>
        </w:rPr>
        <w:t>内蒙古锦联铝材有限公司、山东南山铝业股份有限公司、昆明冶金研究院有限公司。</w:t>
      </w:r>
    </w:p>
    <w:p>
      <w:pPr>
        <w:ind w:firstLine="420" w:firstLineChars="200"/>
        <w:rPr>
          <w:rFonts w:ascii="宋体" w:hAnsi="宋体"/>
          <w:szCs w:val="21"/>
        </w:rPr>
      </w:pPr>
      <w:r>
        <w:rPr>
          <w:rFonts w:hint="eastAsia" w:ascii="宋体" w:hAnsi="宋体"/>
          <w:szCs w:val="21"/>
        </w:rPr>
        <w:t>本文件主要起草人：XXX、XXX、XXX</w:t>
      </w:r>
    </w:p>
    <w:p>
      <w:pPr>
        <w:ind w:firstLine="420" w:firstLineChars="200"/>
        <w:rPr>
          <w:rFonts w:ascii="宋体"/>
        </w:rPr>
      </w:pPr>
      <w:r>
        <w:rPr>
          <w:rFonts w:hint="eastAsia" w:ascii="宋体"/>
        </w:rPr>
        <w:t>本文件及其所代替文件的历次版本发布情况为：</w:t>
      </w:r>
    </w:p>
    <w:p>
      <w:pPr>
        <w:ind w:firstLine="420" w:firstLineChars="200"/>
        <w:rPr>
          <w:rFonts w:ascii="宋体"/>
        </w:rPr>
      </w:pPr>
      <w:r>
        <w:rPr>
          <w:rFonts w:ascii="宋体"/>
        </w:rPr>
        <w:t>——</w:t>
      </w:r>
      <w:r>
        <w:rPr>
          <w:rFonts w:hint="eastAsia" w:ascii="宋体"/>
        </w:rPr>
        <w:t>1987年首次发布为GB/T 8154.7-1987《天然和人造冰晶石化学分析方法 邻二氮杂菲光度法测定铁量》；</w:t>
      </w:r>
    </w:p>
    <w:p>
      <w:pPr>
        <w:ind w:firstLine="420" w:firstLineChars="200"/>
        <w:rPr>
          <w:rFonts w:ascii="宋体"/>
        </w:rPr>
      </w:pPr>
      <w:r>
        <w:rPr>
          <w:rFonts w:ascii="宋体"/>
        </w:rPr>
        <w:t>——</w:t>
      </w:r>
      <w:r>
        <w:rPr>
          <w:rFonts w:hint="eastAsia" w:ascii="宋体"/>
        </w:rPr>
        <w:t>1994年第一次修订为YS/T 273.7-1994《天然和人造冰晶石化学分析方法 邻二氮杂菲光度法测定铁量》；</w:t>
      </w:r>
    </w:p>
    <w:p>
      <w:pPr>
        <w:ind w:firstLine="420" w:firstLineChars="200"/>
        <w:rPr>
          <w:rFonts w:ascii="宋体"/>
        </w:rPr>
      </w:pPr>
      <w:r>
        <w:rPr>
          <w:rFonts w:ascii="宋体"/>
        </w:rPr>
        <w:t>——</w:t>
      </w:r>
      <w:r>
        <w:rPr>
          <w:rFonts w:hint="eastAsia" w:ascii="宋体"/>
        </w:rPr>
        <w:t>2006年第二次修订</w:t>
      </w:r>
      <w:bookmarkStart w:id="3" w:name="_Hlk108449748"/>
      <w:r>
        <w:rPr>
          <w:rFonts w:hint="eastAsia" w:ascii="宋体"/>
        </w:rPr>
        <w:t>为YS/T 273.7-2006《冰晶石化学分析方法和物理性能测定方法 第7部分：邻二氮杂菲分光光度法测定三氧化二铁含量</w:t>
      </w:r>
      <w:bookmarkEnd w:id="3"/>
      <w:r>
        <w:rPr>
          <w:rFonts w:hint="eastAsia" w:ascii="宋体"/>
        </w:rPr>
        <w:t>》；</w:t>
      </w:r>
    </w:p>
    <w:p>
      <w:pPr>
        <w:ind w:firstLine="420" w:firstLineChars="200"/>
        <w:rPr>
          <w:rFonts w:ascii="黑体" w:eastAsia="黑体"/>
          <w:sz w:val="28"/>
          <w:szCs w:val="28"/>
        </w:rPr>
      </w:pPr>
      <w:r>
        <w:rPr>
          <w:rFonts w:ascii="宋体"/>
        </w:rPr>
        <w:t>——</w:t>
      </w:r>
      <w:r>
        <w:rPr>
          <w:rFonts w:hint="eastAsia" w:ascii="宋体"/>
        </w:rPr>
        <w:t>本次为第三次修订。</w:t>
      </w:r>
    </w:p>
    <w:p>
      <w:pPr>
        <w:ind w:firstLine="420" w:firstLineChars="200"/>
        <w:rPr>
          <w:rFonts w:ascii="宋体"/>
        </w:rPr>
      </w:pPr>
    </w:p>
    <w:p>
      <w:pPr>
        <w:ind w:firstLine="420" w:firstLineChars="200"/>
        <w:rPr>
          <w:rFonts w:ascii="宋体"/>
        </w:rPr>
      </w:pPr>
    </w:p>
    <w:p>
      <w:pPr>
        <w:widowControl/>
        <w:jc w:val="left"/>
        <w:rPr>
          <w:rFonts w:ascii="宋体"/>
        </w:rPr>
      </w:pPr>
      <w:r>
        <w:rPr>
          <w:rFonts w:ascii="宋体"/>
        </w:rPr>
        <w:br w:type="page"/>
      </w:r>
    </w:p>
    <w:p>
      <w:pPr>
        <w:pStyle w:val="68"/>
        <w:numPr>
          <w:ilvl w:val="0"/>
          <w:numId w:val="0"/>
        </w:numPr>
      </w:pPr>
      <w:r>
        <w:rPr>
          <w:rFonts w:hint="eastAsia"/>
        </w:rPr>
        <w:t>引 言</w:t>
      </w:r>
    </w:p>
    <w:p>
      <w:pPr>
        <w:ind w:firstLine="420" w:firstLineChars="200"/>
        <w:rPr>
          <w:rFonts w:hint="eastAsia" w:ascii="宋体" w:hAnsi="宋体" w:cs="宋体"/>
          <w:szCs w:val="21"/>
        </w:rPr>
      </w:pPr>
      <w:r>
        <w:rPr>
          <w:rFonts w:hint="eastAsia" w:ascii="宋体" w:hAnsi="宋体" w:cs="宋体"/>
          <w:szCs w:val="21"/>
        </w:rPr>
        <w:t>冰晶石是铝电解生产中的主要原材料。在铝工业标准体系中，冰晶石检测方法系列标准是非常重要的部分，在保证冰晶石质量方面发挥着重要作用。该系列方法标准服务于冰晶石生产、贸易结算、分析比对、电解铝生产等领域，为我国冰晶石产业高质量发展提供技术支撑。</w:t>
      </w:r>
    </w:p>
    <w:p>
      <w:pPr>
        <w:ind w:firstLine="420" w:firstLineChars="200"/>
        <w:rPr>
          <w:rFonts w:hint="eastAsia" w:ascii="宋体" w:hAnsi="宋体" w:cs="宋体"/>
          <w:szCs w:val="21"/>
          <w:highlight w:val="none"/>
        </w:rPr>
      </w:pPr>
      <w:r>
        <w:rPr>
          <w:rFonts w:hint="eastAsia" w:ascii="宋体" w:hAnsi="宋体" w:cs="宋体"/>
          <w:szCs w:val="21"/>
        </w:rPr>
        <w:t>YS/T 273《冰晶石化学分析方法和物理性能测定方法》系列标准包含了湿存水、氟、铝、钠、二氧化</w:t>
      </w:r>
      <w:r>
        <w:rPr>
          <w:rFonts w:hint="eastAsia" w:ascii="宋体" w:hAnsi="宋体" w:cs="宋体"/>
          <w:szCs w:val="21"/>
          <w:highlight w:val="none"/>
        </w:rPr>
        <w:t>硅、三氧化二铁等指标的测定。</w:t>
      </w:r>
    </w:p>
    <w:p>
      <w:pPr>
        <w:ind w:firstLine="420" w:firstLineChars="200"/>
        <w:rPr>
          <w:rFonts w:hint="eastAsia" w:ascii="宋体" w:hAnsi="宋体" w:cs="宋体"/>
          <w:szCs w:val="21"/>
          <w:highlight w:val="none"/>
        </w:rPr>
      </w:pPr>
      <w:r>
        <w:rPr>
          <w:rFonts w:hint="eastAsia" w:ascii="宋体" w:hAnsi="宋体" w:cs="宋体"/>
          <w:szCs w:val="21"/>
          <w:highlight w:val="none"/>
        </w:rPr>
        <w:t>YS/T 273.7规定了冰晶石中三氧化二铁含量的测定方法。</w:t>
      </w:r>
      <w:r>
        <w:rPr>
          <w:rFonts w:hint="eastAsia" w:ascii="宋体" w:hAnsi="宋体" w:cs="宋体"/>
          <w:szCs w:val="21"/>
          <w:highlight w:val="none"/>
          <w:lang w:eastAsia="zh-CN"/>
        </w:rPr>
        <w:t>三氧化二铁含量是冰晶石产品质量的一项重要指标，准确测定冰晶石中三氧化二铁含量对冰晶石产品质量具有重要意义。</w:t>
      </w:r>
      <w:r>
        <w:rPr>
          <w:rFonts w:hint="eastAsia" w:ascii="宋体" w:hAnsi="宋体" w:cs="宋体"/>
          <w:szCs w:val="21"/>
          <w:highlight w:val="none"/>
        </w:rPr>
        <w:t>本次修订扩大了测定范围，满足了日常分析检测和贸易等的需要。</w:t>
      </w:r>
    </w:p>
    <w:p>
      <w:pPr>
        <w:ind w:firstLine="420" w:firstLineChars="200"/>
        <w:rPr>
          <w:rFonts w:hint="eastAsia" w:ascii="宋体" w:hAnsi="宋体" w:cs="宋体"/>
          <w:szCs w:val="21"/>
          <w:highlight w:val="none"/>
        </w:rPr>
      </w:pPr>
    </w:p>
    <w:p>
      <w:pPr>
        <w:widowControl/>
        <w:jc w:val="left"/>
        <w:rPr>
          <w:rFonts w:ascii="宋体"/>
        </w:rPr>
      </w:pPr>
      <w:r>
        <w:rPr>
          <w:rFonts w:ascii="宋体"/>
        </w:rPr>
        <w:br w:type="page"/>
      </w:r>
    </w:p>
    <w:p>
      <w:pPr>
        <w:pStyle w:val="52"/>
        <w:ind w:firstLine="199" w:firstLineChars="95"/>
        <w:rPr>
          <w:rFonts w:hAnsi="宋体"/>
        </w:rPr>
        <w:sectPr>
          <w:headerReference r:id="rId9" w:type="default"/>
          <w:footerReference r:id="rId11" w:type="default"/>
          <w:headerReference r:id="rId10" w:type="even"/>
          <w:footerReference r:id="rId12" w:type="even"/>
          <w:pgSz w:w="11907" w:h="16839"/>
          <w:pgMar w:top="1418" w:right="1134" w:bottom="1134" w:left="1418" w:header="1418" w:footer="851" w:gutter="0"/>
          <w:pgNumType w:fmt="upperRoman" w:start="1"/>
          <w:cols w:space="720" w:num="1"/>
          <w:docGrid w:type="lines" w:linePitch="312" w:charSpace="0"/>
        </w:sectPr>
      </w:pPr>
    </w:p>
    <w:bookmarkEnd w:id="2"/>
    <w:p>
      <w:pPr>
        <w:spacing w:line="0" w:lineRule="atLeast"/>
        <w:jc w:val="center"/>
        <w:rPr>
          <w:rFonts w:ascii="黑体" w:eastAsia="黑体"/>
          <w:sz w:val="28"/>
          <w:szCs w:val="28"/>
        </w:rPr>
      </w:pPr>
      <w:r>
        <w:rPr>
          <w:rFonts w:hint="eastAsia" w:ascii="黑体" w:eastAsia="黑体"/>
          <w:sz w:val="28"/>
          <w:szCs w:val="28"/>
        </w:rPr>
        <w:t>冰晶石化学分析方法和物理性能测定方法</w:t>
      </w:r>
    </w:p>
    <w:p>
      <w:pPr>
        <w:pStyle w:val="52"/>
        <w:spacing w:line="0" w:lineRule="atLeast"/>
        <w:ind w:firstLine="2660" w:firstLineChars="950"/>
        <w:rPr>
          <w:rFonts w:ascii="黑体" w:eastAsia="黑体"/>
          <w:kern w:val="2"/>
          <w:sz w:val="28"/>
          <w:szCs w:val="28"/>
        </w:rPr>
      </w:pPr>
      <w:r>
        <w:rPr>
          <w:rFonts w:hint="eastAsia" w:ascii="黑体" w:eastAsia="黑体"/>
          <w:kern w:val="2"/>
          <w:sz w:val="28"/>
          <w:szCs w:val="28"/>
        </w:rPr>
        <w:t>第7部分：三氧化二铁含量的测定</w:t>
      </w:r>
    </w:p>
    <w:p>
      <w:pPr>
        <w:pStyle w:val="52"/>
        <w:spacing w:line="0" w:lineRule="atLeast"/>
        <w:ind w:firstLine="840" w:firstLineChars="300"/>
        <w:rPr>
          <w:rFonts w:ascii="黑体" w:eastAsia="黑体"/>
          <w:kern w:val="2"/>
          <w:sz w:val="28"/>
          <w:szCs w:val="28"/>
        </w:rPr>
      </w:pPr>
      <w:r>
        <w:rPr>
          <w:rFonts w:hint="eastAsia" w:ascii="黑体" w:eastAsia="黑体"/>
          <w:kern w:val="2"/>
          <w:sz w:val="28"/>
          <w:szCs w:val="28"/>
        </w:rPr>
        <w:t xml:space="preserve">                邻二氮杂菲分光光度法</w:t>
      </w:r>
    </w:p>
    <w:p>
      <w:pPr>
        <w:pStyle w:val="52"/>
        <w:spacing w:line="0" w:lineRule="atLeast"/>
        <w:ind w:firstLine="840" w:firstLineChars="300"/>
        <w:rPr>
          <w:rFonts w:ascii="黑体" w:eastAsia="黑体"/>
          <w:kern w:val="2"/>
          <w:sz w:val="28"/>
          <w:szCs w:val="28"/>
        </w:rPr>
      </w:pPr>
    </w:p>
    <w:p>
      <w:pPr>
        <w:spacing w:beforeLines="50" w:afterLines="50"/>
        <w:rPr>
          <w:rFonts w:ascii="黑体" w:eastAsia="黑体"/>
          <w:bCs/>
        </w:rPr>
      </w:pPr>
      <w:r>
        <w:rPr>
          <w:rFonts w:hint="eastAsia" w:ascii="黑体" w:eastAsia="黑体"/>
          <w:bCs/>
        </w:rPr>
        <w:t>1  范围</w:t>
      </w:r>
    </w:p>
    <w:p>
      <w:r>
        <w:rPr>
          <w:rFonts w:hint="eastAsia"/>
        </w:rPr>
        <w:t xml:space="preserve">  本文件规定了冰晶石中三氧化二铁含量的测定方法。</w:t>
      </w:r>
    </w:p>
    <w:p>
      <w:pPr>
        <w:rPr>
          <w:color w:val="auto"/>
        </w:rPr>
      </w:pPr>
      <w:r>
        <w:rPr>
          <w:rFonts w:hint="eastAsia"/>
        </w:rPr>
        <w:t xml:space="preserve">  本文件适用于冰晶石中三氧化二铁含</w:t>
      </w:r>
      <w:r>
        <w:rPr>
          <w:rFonts w:hint="eastAsia"/>
          <w:color w:val="auto"/>
        </w:rPr>
        <w:t>量的测定。测定范围：</w:t>
      </w:r>
      <w:r>
        <w:rPr>
          <w:rFonts w:asciiTheme="minorEastAsia" w:hAnsiTheme="minorEastAsia" w:eastAsiaTheme="minorEastAsia"/>
          <w:color w:val="auto"/>
        </w:rPr>
        <w:t>0.00</w:t>
      </w:r>
      <w:r>
        <w:rPr>
          <w:rFonts w:hint="eastAsia" w:asciiTheme="minorEastAsia" w:hAnsiTheme="minorEastAsia" w:eastAsiaTheme="minorEastAsia"/>
          <w:color w:val="auto"/>
        </w:rPr>
        <w:t>50</w:t>
      </w:r>
      <w:r>
        <w:rPr>
          <w:rFonts w:asciiTheme="minorEastAsia" w:hAnsiTheme="minorEastAsia" w:eastAsiaTheme="minorEastAsia"/>
          <w:color w:val="auto"/>
        </w:rPr>
        <w:t>%</w:t>
      </w:r>
      <w:r>
        <w:rPr>
          <w:rFonts w:hint="eastAsia" w:asciiTheme="minorEastAsia" w:hAnsiTheme="minorEastAsia" w:eastAsiaTheme="minorEastAsia"/>
          <w:color w:val="auto"/>
        </w:rPr>
        <w:t>～0.5</w:t>
      </w:r>
      <w:r>
        <w:rPr>
          <w:rFonts w:asciiTheme="minorEastAsia" w:hAnsiTheme="minorEastAsia" w:eastAsiaTheme="minorEastAsia"/>
          <w:color w:val="auto"/>
        </w:rPr>
        <w:t>0%</w:t>
      </w:r>
      <w:r>
        <w:rPr>
          <w:rFonts w:hint="eastAsia" w:asciiTheme="minorEastAsia" w:hAnsiTheme="minorEastAsia" w:eastAsiaTheme="minorEastAsia"/>
          <w:color w:val="auto"/>
        </w:rPr>
        <w:t>。</w:t>
      </w:r>
    </w:p>
    <w:p>
      <w:pPr>
        <w:spacing w:beforeLines="50" w:afterLines="50"/>
        <w:rPr>
          <w:rFonts w:ascii="黑体" w:eastAsia="黑体"/>
          <w:bCs/>
          <w:color w:val="auto"/>
        </w:rPr>
      </w:pPr>
      <w:r>
        <w:rPr>
          <w:rFonts w:hint="eastAsia" w:ascii="黑体" w:eastAsia="黑体"/>
          <w:bCs/>
          <w:color w:val="auto"/>
        </w:rPr>
        <w:t>2  规范性引用文件</w:t>
      </w:r>
    </w:p>
    <w:p>
      <w:pPr>
        <w:ind w:firstLine="420" w:firstLineChars="200"/>
        <w:rPr>
          <w:color w:val="auto"/>
        </w:rPr>
      </w:pPr>
      <w:r>
        <w:rPr>
          <w:rFonts w:hint="eastAsia"/>
          <w:color w:val="auto"/>
        </w:rPr>
        <w:t>下列文件的内容通过文中的规范性引用而构成本文件必不可少的条款。其中，注日期的引用文件，仅该日期对应的版本适用于本文件；不注日期的引用文件，其最新版本（包括所有的修改单）适用于本文件。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color w:val="auto"/>
        </w:rPr>
      </w:pPr>
      <w:r>
        <w:rPr>
          <w:rFonts w:ascii="宋体" w:hAnsi="宋体"/>
          <w:color w:val="auto"/>
        </w:rPr>
        <w:t>GB/T 6682分析实验室用水规格和试验方法</w:t>
      </w:r>
    </w:p>
    <w:p>
      <w:pPr>
        <w:ind w:firstLine="420" w:firstLineChars="200"/>
        <w:rPr>
          <w:rFonts w:ascii="宋体" w:hAnsi="宋体"/>
          <w:color w:val="auto"/>
        </w:rPr>
      </w:pPr>
      <w:r>
        <w:rPr>
          <w:rFonts w:ascii="宋体" w:hAnsi="宋体"/>
          <w:color w:val="auto"/>
        </w:rPr>
        <w:t>GB/T 8170</w:t>
      </w:r>
      <w:r>
        <w:rPr>
          <w:rFonts w:hAnsi="宋体"/>
          <w:color w:val="auto"/>
          <w:szCs w:val="21"/>
        </w:rPr>
        <w:t>数值修约规则与极限数值的表示和判定</w:t>
      </w:r>
    </w:p>
    <w:p>
      <w:pPr>
        <w:spacing w:beforeLines="50" w:afterLines="50"/>
        <w:rPr>
          <w:rFonts w:ascii="黑体" w:eastAsia="黑体"/>
          <w:bCs/>
          <w:color w:val="auto"/>
        </w:rPr>
      </w:pPr>
      <w:r>
        <w:rPr>
          <w:rFonts w:hint="eastAsia" w:ascii="黑体" w:eastAsia="黑体"/>
          <w:bCs/>
          <w:color w:val="auto"/>
        </w:rPr>
        <w:t>3  术语和定义</w:t>
      </w:r>
    </w:p>
    <w:p>
      <w:pPr>
        <w:pStyle w:val="61"/>
        <w:numPr>
          <w:ilvl w:val="0"/>
          <w:numId w:val="0"/>
        </w:numPr>
        <w:spacing w:before="155" w:after="155"/>
        <w:rPr>
          <w:color w:val="auto"/>
        </w:rPr>
      </w:pPr>
      <w:r>
        <w:rPr>
          <w:rFonts w:hint="eastAsia" w:ascii="宋体" w:hAnsi="宋体" w:eastAsia="宋体" w:cs="黑体"/>
          <w:color w:val="auto"/>
          <w:szCs w:val="21"/>
        </w:rPr>
        <w:t xml:space="preserve">     本文件没有需要界定的术语和定义</w:t>
      </w:r>
      <w:r>
        <w:rPr>
          <w:rFonts w:hint="eastAsia"/>
          <w:color w:val="auto"/>
        </w:rPr>
        <w:t>。</w:t>
      </w:r>
    </w:p>
    <w:p>
      <w:pPr>
        <w:spacing w:beforeLines="50" w:afterLines="50"/>
        <w:rPr>
          <w:rFonts w:ascii="黑体" w:eastAsia="黑体"/>
          <w:bCs/>
          <w:color w:val="auto"/>
        </w:rPr>
      </w:pPr>
      <w:r>
        <w:rPr>
          <w:rFonts w:hint="eastAsia" w:ascii="黑体" w:eastAsia="黑体"/>
          <w:bCs/>
          <w:color w:val="auto"/>
        </w:rPr>
        <w:t>4  原理</w:t>
      </w:r>
    </w:p>
    <w:p>
      <w:pPr>
        <w:ind w:firstLine="420" w:firstLineChars="200"/>
        <w:rPr>
          <w:color w:val="auto"/>
        </w:rPr>
      </w:pPr>
      <w:r>
        <w:rPr>
          <w:rFonts w:hint="eastAsia"/>
          <w:color w:val="auto"/>
        </w:rPr>
        <w:t>试料用Na</w:t>
      </w:r>
      <w:r>
        <w:rPr>
          <w:rFonts w:hint="eastAsia"/>
          <w:color w:val="auto"/>
          <w:vertAlign w:val="subscript"/>
        </w:rPr>
        <w:t>2</w:t>
      </w:r>
      <w:r>
        <w:rPr>
          <w:rFonts w:hint="eastAsia"/>
          <w:color w:val="auto"/>
        </w:rPr>
        <w:t>CO</w:t>
      </w:r>
      <w:r>
        <w:rPr>
          <w:rFonts w:hint="eastAsia"/>
          <w:color w:val="auto"/>
          <w:vertAlign w:val="subscript"/>
        </w:rPr>
        <w:t>3</w:t>
      </w:r>
      <w:r>
        <w:rPr>
          <w:rFonts w:hint="eastAsia"/>
          <w:color w:val="auto"/>
        </w:rPr>
        <w:t>-H</w:t>
      </w:r>
      <w:r>
        <w:rPr>
          <w:rFonts w:hint="eastAsia"/>
          <w:color w:val="auto"/>
          <w:vertAlign w:val="subscript"/>
        </w:rPr>
        <w:t>3</w:t>
      </w:r>
      <w:r>
        <w:rPr>
          <w:rFonts w:hint="eastAsia"/>
          <w:color w:val="auto"/>
        </w:rPr>
        <w:t>BO</w:t>
      </w:r>
      <w:r>
        <w:rPr>
          <w:rFonts w:hint="eastAsia"/>
          <w:color w:val="auto"/>
          <w:vertAlign w:val="subscript"/>
        </w:rPr>
        <w:t>3</w:t>
      </w:r>
      <w:r>
        <w:rPr>
          <w:rFonts w:hint="eastAsia"/>
          <w:color w:val="auto"/>
        </w:rPr>
        <w:t>或焦硫酸钾熔融，热水浸取，酸化后用盐酸羟胺将Fe</w:t>
      </w:r>
      <w:r>
        <w:rPr>
          <w:rFonts w:hint="eastAsia"/>
          <w:color w:val="auto"/>
          <w:vertAlign w:val="superscript"/>
        </w:rPr>
        <w:t>3+</w:t>
      </w:r>
      <w:r>
        <w:rPr>
          <w:rFonts w:hint="eastAsia"/>
          <w:color w:val="auto"/>
        </w:rPr>
        <w:t>还原为Fe</w:t>
      </w:r>
      <w:r>
        <w:rPr>
          <w:rFonts w:hint="eastAsia"/>
          <w:color w:val="auto"/>
          <w:vertAlign w:val="superscript"/>
        </w:rPr>
        <w:t>2+</w:t>
      </w:r>
      <w:r>
        <w:rPr>
          <w:rFonts w:hint="eastAsia"/>
          <w:color w:val="auto"/>
        </w:rPr>
        <w:t>，在乙酸-乙酸钠缓冲溶液中（pH3.5～4.2）Fe</w:t>
      </w:r>
      <w:r>
        <w:rPr>
          <w:rFonts w:hint="eastAsia"/>
          <w:color w:val="auto"/>
          <w:vertAlign w:val="superscript"/>
        </w:rPr>
        <w:t>2+</w:t>
      </w:r>
      <w:r>
        <w:rPr>
          <w:rFonts w:hint="eastAsia"/>
          <w:color w:val="auto"/>
        </w:rPr>
        <w:t>与邻二氮杂菲形成红色络合物，在</w:t>
      </w:r>
      <w:r>
        <w:rPr>
          <w:rFonts w:hint="eastAsia"/>
          <w:color w:val="auto"/>
          <w:lang w:val="en-US" w:eastAsia="zh-CN"/>
        </w:rPr>
        <w:t>分光光度计</w:t>
      </w:r>
      <w:r>
        <w:rPr>
          <w:rFonts w:hint="eastAsia"/>
          <w:color w:val="auto"/>
        </w:rPr>
        <w:t>波长510nm处测量其吸光度。</w:t>
      </w:r>
    </w:p>
    <w:p>
      <w:pPr>
        <w:spacing w:beforeLines="50" w:afterLines="50"/>
        <w:rPr>
          <w:rFonts w:ascii="黑体" w:eastAsia="黑体"/>
          <w:bCs/>
          <w:color w:val="auto"/>
        </w:rPr>
      </w:pPr>
      <w:r>
        <w:rPr>
          <w:rFonts w:hint="eastAsia" w:ascii="黑体" w:eastAsia="黑体"/>
          <w:bCs/>
          <w:color w:val="auto"/>
        </w:rPr>
        <w:t>5  试剂或材料</w:t>
      </w:r>
    </w:p>
    <w:p>
      <w:pPr>
        <w:ind w:firstLine="420" w:firstLineChars="200"/>
        <w:rPr>
          <w:color w:val="auto"/>
        </w:rPr>
      </w:pPr>
      <w:r>
        <w:rPr>
          <w:color w:val="auto"/>
        </w:rPr>
        <w:t>除非另有说明，在分析中仅使用</w:t>
      </w:r>
      <w:r>
        <w:rPr>
          <w:rFonts w:hint="eastAsia"/>
          <w:color w:val="auto"/>
        </w:rPr>
        <w:t>确认为优级</w:t>
      </w:r>
      <w:r>
        <w:rPr>
          <w:color w:val="auto"/>
        </w:rPr>
        <w:t>纯</w:t>
      </w:r>
      <w:r>
        <w:rPr>
          <w:rFonts w:hint="eastAsia"/>
          <w:color w:val="auto"/>
        </w:rPr>
        <w:t>的</w:t>
      </w:r>
      <w:r>
        <w:rPr>
          <w:color w:val="auto"/>
        </w:rPr>
        <w:t>试剂和</w:t>
      </w:r>
      <w:r>
        <w:rPr>
          <w:rFonts w:hint="eastAsia"/>
          <w:color w:val="auto"/>
        </w:rPr>
        <w:t>符合</w:t>
      </w:r>
      <w:r>
        <w:rPr>
          <w:rFonts w:ascii="宋体" w:hAnsi="宋体"/>
          <w:color w:val="auto"/>
        </w:rPr>
        <w:t>GB/T 6682</w:t>
      </w:r>
      <w:r>
        <w:rPr>
          <w:rFonts w:hint="eastAsia" w:ascii="宋体" w:hAnsi="宋体"/>
          <w:color w:val="auto"/>
        </w:rPr>
        <w:t>规定的二级水。</w:t>
      </w:r>
    </w:p>
    <w:p>
      <w:pPr>
        <w:rPr>
          <w:color w:val="auto"/>
          <w:szCs w:val="21"/>
        </w:rPr>
      </w:pPr>
      <w:r>
        <w:rPr>
          <w:rFonts w:hint="eastAsia" w:ascii="黑体" w:eastAsia="黑体"/>
          <w:color w:val="auto"/>
          <w:szCs w:val="21"/>
        </w:rPr>
        <w:t>5.1</w:t>
      </w:r>
      <w:r>
        <w:rPr>
          <w:color w:val="auto"/>
          <w:szCs w:val="21"/>
        </w:rPr>
        <w:t xml:space="preserve"> 无水碳酸钠。</w:t>
      </w:r>
    </w:p>
    <w:p>
      <w:pPr>
        <w:rPr>
          <w:color w:val="auto"/>
          <w:szCs w:val="21"/>
        </w:rPr>
      </w:pPr>
      <w:r>
        <w:rPr>
          <w:rFonts w:hint="eastAsia" w:ascii="黑体" w:eastAsia="黑体"/>
          <w:color w:val="auto"/>
          <w:szCs w:val="21"/>
        </w:rPr>
        <w:t>5</w:t>
      </w:r>
      <w:r>
        <w:rPr>
          <w:rFonts w:ascii="黑体" w:eastAsia="黑体"/>
          <w:color w:val="auto"/>
          <w:szCs w:val="21"/>
        </w:rPr>
        <w:t>.2</w:t>
      </w:r>
      <w:r>
        <w:rPr>
          <w:color w:val="auto"/>
          <w:szCs w:val="21"/>
        </w:rPr>
        <w:t xml:space="preserve"> 硼酸。</w:t>
      </w:r>
    </w:p>
    <w:p>
      <w:pPr>
        <w:rPr>
          <w:color w:val="auto"/>
          <w:szCs w:val="21"/>
        </w:rPr>
      </w:pPr>
      <w:r>
        <w:rPr>
          <w:rFonts w:hint="eastAsia" w:ascii="黑体" w:eastAsia="黑体"/>
          <w:color w:val="auto"/>
          <w:szCs w:val="21"/>
        </w:rPr>
        <w:t>5.3</w:t>
      </w:r>
      <w:r>
        <w:rPr>
          <w:rFonts w:hint="eastAsia"/>
          <w:color w:val="auto"/>
          <w:szCs w:val="21"/>
        </w:rPr>
        <w:t xml:space="preserve"> 焦硫酸钾。</w:t>
      </w:r>
    </w:p>
    <w:p>
      <w:pPr>
        <w:rPr>
          <w:color w:val="auto"/>
          <w:szCs w:val="21"/>
        </w:rPr>
      </w:pPr>
      <w:r>
        <w:rPr>
          <w:rFonts w:hint="eastAsia" w:ascii="黑体" w:eastAsia="黑体"/>
          <w:color w:val="auto"/>
          <w:szCs w:val="21"/>
        </w:rPr>
        <w:t>5</w:t>
      </w:r>
      <w:r>
        <w:rPr>
          <w:rFonts w:ascii="黑体" w:eastAsia="黑体"/>
          <w:color w:val="auto"/>
          <w:szCs w:val="21"/>
        </w:rPr>
        <w:t>.</w:t>
      </w:r>
      <w:r>
        <w:rPr>
          <w:rFonts w:hint="eastAsia" w:ascii="黑体" w:eastAsia="黑体"/>
          <w:color w:val="auto"/>
          <w:szCs w:val="21"/>
        </w:rPr>
        <w:t>4</w:t>
      </w:r>
      <w:r>
        <w:rPr>
          <w:color w:val="auto"/>
          <w:szCs w:val="21"/>
        </w:rPr>
        <w:t xml:space="preserve"> 硫酸（</w:t>
      </w:r>
      <w:r>
        <w:rPr>
          <w:rFonts w:asciiTheme="minorEastAsia" w:hAnsiTheme="minorEastAsia" w:eastAsiaTheme="minorEastAsia"/>
          <w:color w:val="auto"/>
          <w:szCs w:val="21"/>
        </w:rPr>
        <w:t>ρ</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1.84 g/mL</w:t>
      </w:r>
      <w:r>
        <w:rPr>
          <w:color w:val="auto"/>
          <w:szCs w:val="21"/>
        </w:rPr>
        <w:t>）。</w:t>
      </w:r>
    </w:p>
    <w:p>
      <w:pPr>
        <w:tabs>
          <w:tab w:val="left" w:pos="1335"/>
        </w:tabs>
        <w:rPr>
          <w:color w:val="auto"/>
          <w:szCs w:val="21"/>
          <w:shd w:val="clear" w:color="auto" w:fill="FFFFFF"/>
        </w:rPr>
      </w:pPr>
      <w:r>
        <w:rPr>
          <w:rFonts w:hint="eastAsia" w:ascii="黑体" w:eastAsia="黑体"/>
          <w:color w:val="auto"/>
          <w:szCs w:val="21"/>
        </w:rPr>
        <w:t xml:space="preserve">5.5 </w:t>
      </w:r>
      <w:r>
        <w:rPr>
          <w:rFonts w:hint="eastAsia"/>
          <w:color w:val="auto"/>
          <w:szCs w:val="21"/>
        </w:rPr>
        <w:t>盐酸</w:t>
      </w:r>
      <w:r>
        <w:rPr>
          <w:color w:val="auto"/>
          <w:szCs w:val="21"/>
        </w:rPr>
        <w:t>（</w:t>
      </w:r>
      <w:r>
        <w:rPr>
          <w:rFonts w:asciiTheme="minorEastAsia" w:hAnsiTheme="minorEastAsia" w:eastAsiaTheme="minorEastAsia"/>
          <w:color w:val="auto"/>
          <w:szCs w:val="21"/>
          <w:shd w:val="clear" w:color="auto" w:fill="FFFFFF"/>
        </w:rPr>
        <w:t>ρ</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shd w:val="clear" w:color="auto" w:fill="FFFFFF"/>
        </w:rPr>
        <w:t>1.19 g/mL</w:t>
      </w:r>
      <w:r>
        <w:rPr>
          <w:color w:val="auto"/>
          <w:szCs w:val="21"/>
          <w:shd w:val="clear" w:color="auto" w:fill="FFFFFF"/>
        </w:rPr>
        <w:t>）</w:t>
      </w:r>
      <w:r>
        <w:rPr>
          <w:rFonts w:hint="eastAsia"/>
          <w:color w:val="auto"/>
          <w:szCs w:val="21"/>
          <w:shd w:val="clear" w:color="auto" w:fill="FFFFFF"/>
        </w:rPr>
        <w:t>。</w:t>
      </w:r>
    </w:p>
    <w:p>
      <w:pPr>
        <w:tabs>
          <w:tab w:val="left" w:pos="1335"/>
        </w:tabs>
        <w:rPr>
          <w:color w:val="auto"/>
          <w:szCs w:val="21"/>
          <w:shd w:val="clear" w:color="auto" w:fill="FFFFFF"/>
        </w:rPr>
      </w:pPr>
      <w:r>
        <w:rPr>
          <w:rFonts w:hint="eastAsia" w:ascii="黑体" w:eastAsia="黑体"/>
          <w:color w:val="auto"/>
          <w:szCs w:val="21"/>
        </w:rPr>
        <w:t>5.6</w:t>
      </w:r>
      <w:r>
        <w:rPr>
          <w:rFonts w:hint="eastAsia"/>
          <w:color w:val="auto"/>
          <w:szCs w:val="21"/>
          <w:shd w:val="clear" w:color="auto" w:fill="FFFFFF"/>
        </w:rPr>
        <w:t xml:space="preserve"> 冰乙酸</w:t>
      </w:r>
      <w:r>
        <w:rPr>
          <w:color w:val="auto"/>
          <w:szCs w:val="21"/>
        </w:rPr>
        <w:t>（</w:t>
      </w:r>
      <w:r>
        <w:rPr>
          <w:rFonts w:asciiTheme="minorEastAsia" w:hAnsiTheme="minorEastAsia" w:eastAsiaTheme="minorEastAsia"/>
          <w:color w:val="auto"/>
          <w:szCs w:val="21"/>
          <w:shd w:val="clear" w:color="auto" w:fill="FFFFFF"/>
        </w:rPr>
        <w:t>ρ</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shd w:val="clear" w:color="auto" w:fill="FFFFFF"/>
        </w:rPr>
        <w:t xml:space="preserve"> </w:t>
      </w:r>
      <w:r>
        <w:rPr>
          <w:rFonts w:asciiTheme="minorEastAsia" w:hAnsiTheme="minorEastAsia" w:eastAsiaTheme="minorEastAsia"/>
          <w:color w:val="auto"/>
          <w:szCs w:val="21"/>
          <w:shd w:val="clear" w:color="auto" w:fill="FFFFFF"/>
        </w:rPr>
        <w:t>1.</w:t>
      </w:r>
      <w:r>
        <w:rPr>
          <w:rFonts w:hint="eastAsia" w:asciiTheme="minorEastAsia" w:hAnsiTheme="minorEastAsia" w:eastAsiaTheme="minorEastAsia"/>
          <w:color w:val="auto"/>
          <w:szCs w:val="21"/>
          <w:shd w:val="clear" w:color="auto" w:fill="FFFFFF"/>
        </w:rPr>
        <w:t>05</w:t>
      </w:r>
      <w:r>
        <w:rPr>
          <w:rFonts w:asciiTheme="minorEastAsia" w:hAnsiTheme="minorEastAsia" w:eastAsiaTheme="minorEastAsia"/>
          <w:color w:val="auto"/>
          <w:szCs w:val="21"/>
          <w:shd w:val="clear" w:color="auto" w:fill="FFFFFF"/>
        </w:rPr>
        <w:t xml:space="preserve"> g/mL</w:t>
      </w:r>
      <w:r>
        <w:rPr>
          <w:color w:val="auto"/>
          <w:szCs w:val="21"/>
          <w:shd w:val="clear" w:color="auto" w:fill="FFFFFF"/>
        </w:rPr>
        <w:t>）</w:t>
      </w:r>
      <w:r>
        <w:rPr>
          <w:rFonts w:hint="eastAsia"/>
          <w:color w:val="auto"/>
          <w:szCs w:val="21"/>
          <w:shd w:val="clear" w:color="auto" w:fill="FFFFFF"/>
        </w:rPr>
        <w:t>。</w:t>
      </w:r>
    </w:p>
    <w:p>
      <w:pPr>
        <w:rPr>
          <w:rFonts w:asciiTheme="minorEastAsia" w:hAnsiTheme="minorEastAsia" w:eastAsiaTheme="minorEastAsia"/>
          <w:color w:val="auto"/>
          <w:szCs w:val="21"/>
        </w:rPr>
      </w:pPr>
      <w:r>
        <w:rPr>
          <w:rFonts w:hint="eastAsia" w:ascii="黑体" w:eastAsia="黑体"/>
          <w:color w:val="auto"/>
          <w:szCs w:val="21"/>
        </w:rPr>
        <w:t>5</w:t>
      </w:r>
      <w:r>
        <w:rPr>
          <w:rFonts w:ascii="黑体" w:eastAsia="黑体"/>
          <w:color w:val="auto"/>
          <w:szCs w:val="21"/>
        </w:rPr>
        <w:t>.</w:t>
      </w:r>
      <w:r>
        <w:rPr>
          <w:rFonts w:hint="eastAsia" w:ascii="黑体" w:eastAsia="黑体"/>
          <w:color w:val="auto"/>
          <w:szCs w:val="21"/>
        </w:rPr>
        <w:t>7</w:t>
      </w:r>
      <w:r>
        <w:rPr>
          <w:color w:val="auto"/>
          <w:szCs w:val="21"/>
        </w:rPr>
        <w:t xml:space="preserve"> 硫酸（</w:t>
      </w:r>
      <w:r>
        <w:rPr>
          <w:rFonts w:asciiTheme="minorEastAsia" w:hAnsiTheme="minorEastAsia" w:eastAsiaTheme="minorEastAsia"/>
          <w:color w:val="auto"/>
          <w:szCs w:val="21"/>
        </w:rPr>
        <w:t>1+1）。</w:t>
      </w:r>
    </w:p>
    <w:p>
      <w:pPr>
        <w:rPr>
          <w:rFonts w:asciiTheme="minorEastAsia" w:hAnsiTheme="minorEastAsia" w:eastAsiaTheme="minorEastAsia"/>
          <w:color w:val="auto"/>
          <w:szCs w:val="21"/>
        </w:rPr>
      </w:pPr>
      <w:r>
        <w:rPr>
          <w:rFonts w:hint="eastAsia" w:ascii="黑体" w:eastAsia="黑体"/>
          <w:color w:val="auto"/>
          <w:szCs w:val="21"/>
        </w:rPr>
        <w:t>5.8</w:t>
      </w:r>
      <w:r>
        <w:rPr>
          <w:rFonts w:hint="eastAsia" w:asciiTheme="minorEastAsia" w:hAnsiTheme="minorEastAsia" w:eastAsiaTheme="minorEastAsia"/>
          <w:color w:val="auto"/>
          <w:szCs w:val="21"/>
        </w:rPr>
        <w:t xml:space="preserve"> 盐酸（1+1）。</w:t>
      </w:r>
    </w:p>
    <w:p>
      <w:pPr>
        <w:rPr>
          <w:rFonts w:asciiTheme="minorEastAsia" w:hAnsiTheme="minorEastAsia" w:eastAsiaTheme="minorEastAsia"/>
          <w:color w:val="auto"/>
          <w:szCs w:val="21"/>
        </w:rPr>
      </w:pPr>
      <w:r>
        <w:rPr>
          <w:rFonts w:hint="eastAsia" w:ascii="黑体" w:eastAsia="黑体"/>
          <w:color w:val="auto"/>
          <w:szCs w:val="21"/>
        </w:rPr>
        <w:t>5.9</w:t>
      </w:r>
      <w:r>
        <w:rPr>
          <w:rFonts w:hint="eastAsia" w:asciiTheme="minorEastAsia" w:hAnsiTheme="minorEastAsia" w:eastAsiaTheme="minorEastAsia"/>
          <w:color w:val="auto"/>
          <w:szCs w:val="21"/>
        </w:rPr>
        <w:t xml:space="preserve"> 盐酸羟胺溶液（10 g/L）。</w:t>
      </w:r>
    </w:p>
    <w:p>
      <w:pPr>
        <w:rPr>
          <w:rFonts w:asciiTheme="minorEastAsia" w:hAnsiTheme="minorEastAsia" w:eastAsiaTheme="minorEastAsia"/>
          <w:color w:val="auto"/>
          <w:szCs w:val="21"/>
        </w:rPr>
      </w:pPr>
      <w:r>
        <w:rPr>
          <w:rFonts w:hint="eastAsia" w:ascii="黑体" w:eastAsia="黑体"/>
          <w:color w:val="auto"/>
          <w:szCs w:val="21"/>
        </w:rPr>
        <w:t>5.10</w:t>
      </w:r>
      <w:r>
        <w:rPr>
          <w:rFonts w:hint="eastAsia" w:asciiTheme="minorEastAsia" w:hAnsiTheme="minorEastAsia" w:eastAsiaTheme="minorEastAsia"/>
          <w:color w:val="auto"/>
          <w:szCs w:val="21"/>
        </w:rPr>
        <w:t xml:space="preserve"> 邻二氮杂菲溶液（2.5 g/L）。</w:t>
      </w:r>
    </w:p>
    <w:p>
      <w:pPr>
        <w:rPr>
          <w:rFonts w:asciiTheme="minorEastAsia" w:hAnsiTheme="minorEastAsia" w:eastAsiaTheme="minorEastAsia"/>
          <w:color w:val="auto"/>
          <w:szCs w:val="21"/>
        </w:rPr>
      </w:pPr>
      <w:r>
        <w:rPr>
          <w:rFonts w:hint="eastAsia" w:ascii="黑体" w:eastAsia="黑体"/>
          <w:color w:val="auto"/>
          <w:szCs w:val="21"/>
        </w:rPr>
        <w:t>5.11</w:t>
      </w:r>
      <w:r>
        <w:rPr>
          <w:rFonts w:hint="eastAsia" w:asciiTheme="minorEastAsia" w:hAnsiTheme="minorEastAsia" w:eastAsiaTheme="minorEastAsia"/>
          <w:color w:val="auto"/>
          <w:szCs w:val="21"/>
        </w:rPr>
        <w:t xml:space="preserve"> 乙酸-乙酸钠缓冲溶液（pH 4.9）：称取272 g三水合乙酸钠溶解于500 mL水中，加入240 mL冰乙酸（5.6），用水稀释至1 L，混匀。</w:t>
      </w:r>
    </w:p>
    <w:p>
      <w:pPr>
        <w:rPr>
          <w:rFonts w:asciiTheme="minorEastAsia" w:hAnsiTheme="minorEastAsia" w:eastAsiaTheme="minorEastAsia"/>
          <w:color w:val="auto"/>
          <w:szCs w:val="21"/>
        </w:rPr>
      </w:pPr>
      <w:r>
        <w:rPr>
          <w:rFonts w:hint="eastAsia" w:ascii="黑体" w:eastAsia="黑体"/>
          <w:color w:val="auto"/>
          <w:szCs w:val="21"/>
        </w:rPr>
        <w:t>5.1</w:t>
      </w:r>
      <w:r>
        <w:rPr>
          <w:rFonts w:ascii="黑体" w:eastAsia="黑体"/>
          <w:color w:val="auto"/>
          <w:szCs w:val="21"/>
        </w:rPr>
        <w:t>2</w:t>
      </w:r>
      <w:r>
        <w:rPr>
          <w:rFonts w:hint="eastAsia" w:asciiTheme="minorEastAsia" w:hAnsiTheme="minorEastAsia" w:eastAsiaTheme="minorEastAsia"/>
          <w:color w:val="auto"/>
          <w:szCs w:val="21"/>
        </w:rPr>
        <w:t xml:space="preserve"> 三氧化二铁标准贮存溶液（0.20 mg/mL</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，下面有两种方法可任选用一种。</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——称取0.9820 g六水合硫酸亚铁铵[Fe(NH</w:t>
      </w:r>
      <w:r>
        <w:rPr>
          <w:rFonts w:hint="eastAsia" w:asciiTheme="minorEastAsia" w:hAnsiTheme="minorEastAsia" w:eastAsiaTheme="minorEastAsia"/>
          <w:color w:val="auto"/>
          <w:szCs w:val="21"/>
          <w:vertAlign w:val="subscript"/>
        </w:rPr>
        <w:t>4</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vertAlign w:val="subscript"/>
        </w:rPr>
        <w:t>2</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 xml:space="preserve"> 6H</w:t>
      </w:r>
      <w:r>
        <w:rPr>
          <w:rFonts w:hint="eastAsia" w:asciiTheme="minorEastAsia" w:hAnsiTheme="minorEastAsia" w:eastAsiaTheme="minorEastAsia"/>
          <w:color w:val="auto"/>
          <w:szCs w:val="21"/>
          <w:vertAlign w:val="subscript"/>
        </w:rPr>
        <w:t>2</w:t>
      </w:r>
      <w:r>
        <w:rPr>
          <w:rFonts w:hint="eastAsia" w:asciiTheme="minorEastAsia" w:hAnsiTheme="minorEastAsia" w:eastAsiaTheme="minorEastAsia"/>
          <w:color w:val="auto"/>
          <w:szCs w:val="21"/>
        </w:rPr>
        <w:t>O]</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szCs w:val="21"/>
        </w:rPr>
        <w:t>，置于100 mL烧杯中，加少量水溶解，再加入20 mL硫酸（5.4），移入1000 mL容量瓶中，用水稀释至刻度，混匀。</w:t>
      </w:r>
    </w:p>
    <w:p>
      <w:pPr>
        <w:rPr>
          <w:rFonts w:asciiTheme="minorEastAsia" w:hAnsiTheme="minorEastAsia" w:eastAsiaTheme="minorEastAsia"/>
          <w:color w:val="auto"/>
          <w:szCs w:val="21"/>
        </w:rPr>
      </w:pPr>
      <w:r>
        <w:rPr>
          <w:rFonts w:asciiTheme="minorEastAsia" w:hAnsiTheme="minorEastAsia" w:eastAsiaTheme="minorEastAsia"/>
          <w:color w:val="auto"/>
          <w:szCs w:val="21"/>
        </w:rPr>
        <w:softHyphen/>
      </w:r>
      <w:r>
        <w:rPr>
          <w:rFonts w:hint="eastAsia" w:asciiTheme="minorEastAsia" w:hAnsiTheme="minorEastAsia" w:eastAsiaTheme="minorEastAsia"/>
          <w:color w:val="auto"/>
          <w:szCs w:val="21"/>
        </w:rPr>
        <w:t>——称取0.200</w:t>
      </w:r>
      <w:r>
        <w:rPr>
          <w:rFonts w:hint="eastAsia" w:asciiTheme="minorEastAsia" w:hAnsiTheme="minorEastAsia" w:eastAsiaTheme="minorEastAsia"/>
          <w:color w:val="auto"/>
          <w:szCs w:val="21"/>
          <w:lang w:val="en-US" w:eastAsia="zh-CN"/>
        </w:rPr>
        <w:t>0</w:t>
      </w:r>
      <w:r>
        <w:rPr>
          <w:rFonts w:hint="eastAsia" w:asciiTheme="minorEastAsia" w:hAnsiTheme="minorEastAsia" w:eastAsiaTheme="minorEastAsia"/>
          <w:color w:val="auto"/>
          <w:szCs w:val="21"/>
        </w:rPr>
        <w:t xml:space="preserve"> g预先在600 ℃灼烧并在干燥器中冷却的三氧化二铁</w:t>
      </w:r>
      <w:r>
        <w:rPr>
          <w:rFonts w:hint="eastAsia" w:asciiTheme="minorEastAsia" w:hAnsiTheme="minorEastAsia" w:eastAsiaTheme="minorEastAsia"/>
          <w:color w:val="auto"/>
        </w:rPr>
        <w:t>（基准试剂</w:t>
      </w:r>
      <w:r>
        <w:rPr>
          <w:rFonts w:hint="eastAsia" w:asciiTheme="minorEastAsia" w:hAnsiTheme="minorEastAsia" w:eastAsiaTheme="minorEastAsia"/>
          <w:color w:val="auto"/>
          <w:szCs w:val="21"/>
        </w:rPr>
        <w:t>），置于100 mL烧杯中，加</w:t>
      </w:r>
      <w:r>
        <w:rPr>
          <w:rFonts w:hint="eastAsia" w:asciiTheme="minorEastAsia" w:hAnsiTheme="minorEastAsia" w:eastAsiaTheme="minorEastAsia"/>
          <w:color w:val="auto"/>
          <w:szCs w:val="21"/>
          <w:lang w:val="en-US" w:eastAsia="zh-CN"/>
        </w:rPr>
        <w:t>入</w:t>
      </w:r>
      <w:r>
        <w:rPr>
          <w:rFonts w:hint="eastAsia" w:asciiTheme="minorEastAsia" w:hAnsiTheme="minorEastAsia" w:eastAsiaTheme="minorEastAsia"/>
          <w:color w:val="auto"/>
          <w:szCs w:val="21"/>
        </w:rPr>
        <w:t>10 mL盐酸（5.5），</w:t>
      </w:r>
      <w:r>
        <w:rPr>
          <w:rFonts w:hint="eastAsia" w:asciiTheme="minorEastAsia" w:hAnsiTheme="minorEastAsia" w:eastAsiaTheme="minorEastAsia"/>
          <w:color w:val="auto"/>
          <w:szCs w:val="21"/>
          <w:lang w:val="en-US" w:eastAsia="zh-CN"/>
        </w:rPr>
        <w:t>加适量水，</w:t>
      </w:r>
      <w:r>
        <w:rPr>
          <w:rFonts w:hint="eastAsia" w:asciiTheme="minorEastAsia" w:hAnsiTheme="minorEastAsia" w:eastAsiaTheme="minorEastAsia"/>
          <w:color w:val="auto"/>
          <w:szCs w:val="21"/>
        </w:rPr>
        <w:t>慢慢加热至完全溶解，冷却，移入1000 mL容量瓶中，用水稀释至刻度，混匀。</w:t>
      </w:r>
    </w:p>
    <w:p>
      <w:pPr>
        <w:rPr>
          <w:rFonts w:asciiTheme="minorEastAsia" w:hAnsiTheme="minorEastAsia" w:eastAsiaTheme="minorEastAsia"/>
          <w:color w:val="auto"/>
          <w:szCs w:val="21"/>
        </w:rPr>
      </w:pPr>
      <w:r>
        <w:rPr>
          <w:rFonts w:hint="eastAsia" w:ascii="黑体" w:eastAsia="黑体"/>
          <w:color w:val="auto"/>
          <w:szCs w:val="21"/>
        </w:rPr>
        <w:t>5.1</w:t>
      </w:r>
      <w:r>
        <w:rPr>
          <w:rFonts w:ascii="黑体" w:eastAsia="黑体"/>
          <w:color w:val="auto"/>
          <w:szCs w:val="21"/>
        </w:rPr>
        <w:t>3</w:t>
      </w:r>
      <w:r>
        <w:rPr>
          <w:rFonts w:hint="eastAsia" w:asciiTheme="minorEastAsia" w:hAnsiTheme="minorEastAsia" w:eastAsiaTheme="minorEastAsia"/>
          <w:color w:val="auto"/>
          <w:szCs w:val="21"/>
        </w:rPr>
        <w:t xml:space="preserve"> 三氧化二铁标准溶液：移取50.00 mL三氧化二铁标准贮存溶液（5.1</w:t>
      </w: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）于1000 mL容量瓶中，用水稀释至刻度，混匀。此溶液1 mL含0.010 mg三氧化二铁（用时现配）。</w:t>
      </w:r>
    </w:p>
    <w:p>
      <w:pPr>
        <w:spacing w:beforeLines="50" w:afterLines="50"/>
        <w:rPr>
          <w:rFonts w:ascii="黑体" w:eastAsia="黑体"/>
          <w:bCs/>
          <w:color w:val="auto"/>
        </w:rPr>
      </w:pPr>
      <w:r>
        <w:rPr>
          <w:rFonts w:hint="eastAsia" w:ascii="黑体" w:eastAsia="黑体"/>
          <w:bCs/>
          <w:color w:val="auto"/>
        </w:rPr>
        <w:t>6  仪器设备</w:t>
      </w:r>
    </w:p>
    <w:p>
      <w:pPr>
        <w:rPr>
          <w:color w:val="auto"/>
        </w:rPr>
      </w:pPr>
      <w:r>
        <w:rPr>
          <w:rFonts w:hint="eastAsia" w:ascii="黑体" w:hAnsi="黑体" w:eastAsia="黑体" w:cs="黑体"/>
          <w:color w:val="auto"/>
        </w:rPr>
        <w:t xml:space="preserve">6.1 </w:t>
      </w:r>
      <w:r>
        <w:rPr>
          <w:rFonts w:hint="eastAsia"/>
          <w:color w:val="auto"/>
        </w:rPr>
        <w:t>分光光度计。</w:t>
      </w:r>
    </w:p>
    <w:p>
      <w:pPr>
        <w:rPr>
          <w:color w:val="auto"/>
        </w:rPr>
      </w:pPr>
      <w:r>
        <w:rPr>
          <w:rFonts w:hint="eastAsia" w:ascii="黑体" w:hAnsi="黑体" w:eastAsia="黑体" w:cs="黑体"/>
          <w:color w:val="auto"/>
        </w:rPr>
        <w:t>6.2</w:t>
      </w:r>
      <w:r>
        <w:rPr>
          <w:rFonts w:hint="eastAsia"/>
          <w:color w:val="auto"/>
        </w:rPr>
        <w:t xml:space="preserve"> 高温炉：能控制温度在</w:t>
      </w:r>
      <w:r>
        <w:rPr>
          <w:rFonts w:hint="eastAsia" w:asciiTheme="minorEastAsia" w:hAnsiTheme="minorEastAsia" w:eastAsiaTheme="minorEastAsia"/>
          <w:color w:val="auto"/>
        </w:rPr>
        <w:t>850 ℃</w:t>
      </w:r>
      <w:r>
        <w:rPr>
          <w:rFonts w:asciiTheme="minorEastAsia" w:hAnsiTheme="minorEastAsia" w:eastAsiaTheme="minorEastAsia"/>
          <w:color w:val="auto"/>
        </w:rPr>
        <w:t>±</w:t>
      </w:r>
      <w:r>
        <w:rPr>
          <w:rFonts w:hint="eastAsia" w:asciiTheme="minorEastAsia" w:hAnsiTheme="minorEastAsia" w:eastAsiaTheme="minorEastAsia"/>
          <w:color w:val="auto"/>
        </w:rPr>
        <w:t>2</w:t>
      </w:r>
      <w:r>
        <w:rPr>
          <w:rFonts w:asciiTheme="minorEastAsia" w:hAnsiTheme="minorEastAsia" w:eastAsiaTheme="minorEastAsia"/>
          <w:color w:val="auto"/>
        </w:rPr>
        <w:t>0℃</w:t>
      </w:r>
      <w:r>
        <w:rPr>
          <w:color w:val="auto"/>
        </w:rPr>
        <w:t>。</w:t>
      </w:r>
    </w:p>
    <w:p>
      <w:pPr>
        <w:rPr>
          <w:color w:val="auto"/>
        </w:rPr>
      </w:pPr>
      <w:r>
        <w:rPr>
          <w:rFonts w:hint="eastAsia" w:ascii="黑体" w:hAnsi="黑体" w:eastAsia="黑体" w:cs="黑体"/>
          <w:color w:val="auto"/>
        </w:rPr>
        <w:t>6.3</w:t>
      </w:r>
      <w:r>
        <w:rPr>
          <w:rFonts w:hint="eastAsia"/>
          <w:color w:val="auto"/>
        </w:rPr>
        <w:t xml:space="preserve"> 铂坩埚：</w:t>
      </w:r>
      <w:r>
        <w:rPr>
          <w:rFonts w:hint="eastAsia" w:asciiTheme="minorEastAsia" w:hAnsiTheme="minorEastAsia" w:eastAsiaTheme="minorEastAsia"/>
          <w:color w:val="auto"/>
        </w:rPr>
        <w:t>50 mL</w:t>
      </w:r>
      <w:r>
        <w:rPr>
          <w:rFonts w:hint="eastAsia"/>
          <w:color w:val="auto"/>
        </w:rPr>
        <w:t>，带铂盖。</w:t>
      </w:r>
    </w:p>
    <w:p>
      <w:pPr>
        <w:spacing w:beforeLines="50" w:afterLines="50"/>
        <w:rPr>
          <w:rFonts w:ascii="黑体" w:eastAsia="黑体"/>
          <w:bCs/>
          <w:color w:val="auto"/>
        </w:rPr>
      </w:pPr>
      <w:r>
        <w:rPr>
          <w:rFonts w:hint="eastAsia" w:ascii="黑体" w:eastAsia="黑体"/>
          <w:bCs/>
          <w:color w:val="auto"/>
        </w:rPr>
        <w:t>7  样品</w:t>
      </w:r>
    </w:p>
    <w:p>
      <w:pPr>
        <w:rPr>
          <w:color w:val="auto"/>
        </w:rPr>
      </w:pPr>
      <w:r>
        <w:rPr>
          <w:rFonts w:hint="eastAsia"/>
          <w:color w:val="auto"/>
        </w:rPr>
        <w:t xml:space="preserve">   样品研磨混匀后通过</w:t>
      </w:r>
      <w:r>
        <w:rPr>
          <w:rFonts w:hint="eastAsia" w:asciiTheme="minorEastAsia" w:hAnsiTheme="minorEastAsia" w:eastAsiaTheme="minorEastAsia"/>
          <w:color w:val="auto"/>
        </w:rPr>
        <w:t>75</w:t>
      </w:r>
      <w:r>
        <w:rPr>
          <w:rFonts w:asciiTheme="minorEastAsia" w:hAnsiTheme="minorEastAsia" w:eastAsiaTheme="minorEastAsia"/>
          <w:color w:val="auto"/>
        </w:rPr>
        <w:t>μm</w:t>
      </w:r>
      <w:r>
        <w:rPr>
          <w:rFonts w:hint="eastAsia"/>
          <w:color w:val="auto"/>
        </w:rPr>
        <w:t>筛，在</w:t>
      </w:r>
      <w:r>
        <w:rPr>
          <w:rFonts w:hint="eastAsia" w:asciiTheme="minorEastAsia" w:hAnsiTheme="minorEastAsia" w:eastAsiaTheme="minorEastAsia"/>
          <w:color w:val="auto"/>
        </w:rPr>
        <w:t>110 ℃</w:t>
      </w:r>
      <w:r>
        <w:rPr>
          <w:rFonts w:hint="eastAsia" w:asciiTheme="minorEastAsia" w:hAnsiTheme="minorEastAsia" w:eastAsiaTheme="minorEastAsia"/>
          <w:color w:val="auto"/>
          <w:shd w:val="clear" w:color="auto" w:fill="FFFFFF"/>
        </w:rPr>
        <w:t>±</w:t>
      </w:r>
      <w:r>
        <w:rPr>
          <w:rFonts w:hint="eastAsia" w:asciiTheme="minorEastAsia" w:hAnsiTheme="minorEastAsia" w:eastAsiaTheme="minorEastAsia"/>
          <w:color w:val="auto"/>
        </w:rPr>
        <w:t>5 ℃干燥2 h，</w:t>
      </w:r>
      <w:r>
        <w:rPr>
          <w:rFonts w:hint="eastAsia"/>
          <w:color w:val="auto"/>
        </w:rPr>
        <w:t>于干燥器中冷却至室温，备用。</w:t>
      </w:r>
    </w:p>
    <w:p>
      <w:pPr>
        <w:spacing w:beforeLines="50" w:afterLines="50"/>
        <w:rPr>
          <w:rFonts w:ascii="黑体" w:eastAsia="黑体"/>
          <w:bCs/>
          <w:color w:val="auto"/>
        </w:rPr>
      </w:pPr>
      <w:r>
        <w:rPr>
          <w:rFonts w:hint="eastAsia" w:ascii="黑体" w:eastAsia="黑体"/>
          <w:bCs/>
          <w:color w:val="auto"/>
        </w:rPr>
        <w:t>8  试验步骤</w:t>
      </w:r>
    </w:p>
    <w:p>
      <w:pPr>
        <w:spacing w:beforeLines="50" w:afterLines="50"/>
        <w:rPr>
          <w:rFonts w:ascii="黑体" w:eastAsia="黑体"/>
          <w:bCs/>
          <w:color w:val="auto"/>
        </w:rPr>
      </w:pPr>
      <w:r>
        <w:rPr>
          <w:rFonts w:hint="eastAsia" w:ascii="黑体" w:eastAsia="黑体"/>
          <w:bCs/>
          <w:color w:val="auto"/>
        </w:rPr>
        <w:t>8</w:t>
      </w:r>
      <w:r>
        <w:rPr>
          <w:rFonts w:ascii="黑体" w:eastAsia="黑体"/>
          <w:bCs/>
          <w:color w:val="auto"/>
        </w:rPr>
        <w:t xml:space="preserve">.1 </w:t>
      </w:r>
      <w:r>
        <w:rPr>
          <w:rFonts w:hint="eastAsia" w:ascii="黑体" w:eastAsia="黑体"/>
          <w:bCs/>
          <w:color w:val="auto"/>
        </w:rPr>
        <w:t>试料</w:t>
      </w:r>
    </w:p>
    <w:p>
      <w:pPr>
        <w:ind w:firstLine="315" w:firstLineChars="150"/>
        <w:rPr>
          <w:color w:val="auto"/>
          <w:szCs w:val="21"/>
        </w:rPr>
      </w:pPr>
      <w:r>
        <w:rPr>
          <w:rFonts w:hint="eastAsia"/>
          <w:color w:val="auto"/>
          <w:szCs w:val="21"/>
        </w:rPr>
        <w:t>称取</w:t>
      </w:r>
      <w:r>
        <w:rPr>
          <w:rFonts w:hint="eastAsia" w:asciiTheme="minorEastAsia" w:hAnsiTheme="minorEastAsia" w:eastAsiaTheme="minorEastAsia"/>
          <w:color w:val="auto"/>
          <w:szCs w:val="21"/>
        </w:rPr>
        <w:t>0.50 g样品</w:t>
      </w:r>
      <w:r>
        <w:rPr>
          <w:rFonts w:hint="eastAsia" w:asciiTheme="minorEastAsia" w:hAnsiTheme="minorEastAsia" w:eastAsiaTheme="minorEastAsia"/>
          <w:color w:val="auto"/>
        </w:rPr>
        <w:t>（7）</w:t>
      </w:r>
      <w:r>
        <w:rPr>
          <w:rFonts w:hint="eastAsia" w:asciiTheme="minorEastAsia" w:hAnsiTheme="minorEastAsia" w:eastAsiaTheme="minorEastAsia"/>
          <w:color w:val="auto"/>
          <w:szCs w:val="21"/>
        </w:rPr>
        <w:t>，精确至</w:t>
      </w:r>
      <w:r>
        <w:rPr>
          <w:rFonts w:asciiTheme="minorEastAsia" w:hAnsiTheme="minorEastAsia" w:eastAsiaTheme="minorEastAsia"/>
          <w:color w:val="auto"/>
          <w:szCs w:val="21"/>
        </w:rPr>
        <w:t>0.0001g</w:t>
      </w:r>
      <w:r>
        <w:rPr>
          <w:rFonts w:hint="eastAsia" w:asciiTheme="minorEastAsia" w:hAnsiTheme="minorEastAsia" w:eastAsiaTheme="minorEastAsia"/>
          <w:color w:val="auto"/>
          <w:szCs w:val="21"/>
        </w:rPr>
        <w:t>。</w:t>
      </w:r>
    </w:p>
    <w:p>
      <w:pPr>
        <w:spacing w:beforeLines="50" w:afterLines="50"/>
        <w:rPr>
          <w:bCs/>
          <w:color w:val="auto"/>
        </w:rPr>
      </w:pPr>
      <w:r>
        <w:rPr>
          <w:rFonts w:hint="eastAsia" w:ascii="黑体" w:hAnsi="黑体" w:eastAsia="黑体" w:cs="黑体"/>
          <w:bCs/>
          <w:color w:val="auto"/>
        </w:rPr>
        <w:t>8.2 平行试验</w:t>
      </w:r>
    </w:p>
    <w:p>
      <w:pPr>
        <w:ind w:firstLine="315" w:firstLineChars="150"/>
        <w:rPr>
          <w:color w:val="auto"/>
          <w:szCs w:val="21"/>
        </w:rPr>
      </w:pPr>
      <w:r>
        <w:rPr>
          <w:rFonts w:hint="eastAsia"/>
          <w:color w:val="auto"/>
        </w:rPr>
        <w:t>平行做两份试验，取其平均值。</w:t>
      </w:r>
    </w:p>
    <w:p>
      <w:pPr>
        <w:spacing w:beforeLines="50" w:afterLines="50"/>
        <w:rPr>
          <w:rFonts w:ascii="黑体" w:eastAsia="黑体"/>
          <w:bCs/>
          <w:color w:val="auto"/>
        </w:rPr>
      </w:pPr>
      <w:r>
        <w:rPr>
          <w:rFonts w:hint="eastAsia" w:ascii="黑体" w:eastAsia="黑体"/>
          <w:bCs/>
          <w:color w:val="auto"/>
        </w:rPr>
        <w:t>8</w:t>
      </w:r>
      <w:r>
        <w:rPr>
          <w:rFonts w:ascii="黑体" w:eastAsia="黑体"/>
          <w:bCs/>
          <w:color w:val="auto"/>
        </w:rPr>
        <w:t xml:space="preserve">.3 </w:t>
      </w:r>
      <w:r>
        <w:rPr>
          <w:rFonts w:hint="eastAsia" w:ascii="黑体" w:eastAsia="黑体"/>
          <w:bCs/>
          <w:color w:val="auto"/>
        </w:rPr>
        <w:t>空白试验</w:t>
      </w:r>
    </w:p>
    <w:p>
      <w:pPr>
        <w:ind w:firstLine="315" w:firstLineChars="150"/>
        <w:rPr>
          <w:color w:val="auto"/>
        </w:rPr>
      </w:pPr>
      <w:r>
        <w:rPr>
          <w:rFonts w:hint="eastAsia"/>
          <w:color w:val="auto"/>
        </w:rPr>
        <w:t>随同试料</w:t>
      </w:r>
      <w:r>
        <w:rPr>
          <w:rFonts w:hint="eastAsia" w:asciiTheme="minorEastAsia" w:hAnsiTheme="minorEastAsia" w:eastAsiaTheme="minorEastAsia"/>
          <w:color w:val="auto"/>
        </w:rPr>
        <w:t>（8.1）</w:t>
      </w:r>
      <w:r>
        <w:rPr>
          <w:rFonts w:hint="eastAsia"/>
          <w:color w:val="auto"/>
        </w:rPr>
        <w:t>做空白试验。</w:t>
      </w:r>
    </w:p>
    <w:p>
      <w:pPr>
        <w:spacing w:beforeLines="50" w:afterLines="50"/>
        <w:rPr>
          <w:rFonts w:ascii="黑体" w:eastAsia="黑体"/>
          <w:bCs/>
          <w:color w:val="auto"/>
        </w:rPr>
      </w:pPr>
      <w:r>
        <w:rPr>
          <w:rFonts w:hint="eastAsia" w:ascii="黑体" w:eastAsia="黑体"/>
          <w:bCs/>
          <w:color w:val="auto"/>
        </w:rPr>
        <w:t>8</w:t>
      </w:r>
      <w:r>
        <w:rPr>
          <w:rFonts w:ascii="黑体" w:eastAsia="黑体"/>
          <w:bCs/>
          <w:color w:val="auto"/>
        </w:rPr>
        <w:t xml:space="preserve">.4 </w:t>
      </w:r>
      <w:r>
        <w:rPr>
          <w:rFonts w:hint="eastAsia" w:ascii="黑体" w:eastAsia="黑体"/>
          <w:bCs/>
          <w:color w:val="auto"/>
        </w:rPr>
        <w:t>测定</w:t>
      </w:r>
    </w:p>
    <w:p>
      <w:pPr>
        <w:rPr>
          <w:color w:val="auto"/>
          <w:szCs w:val="21"/>
        </w:rPr>
      </w:pPr>
      <w:r>
        <w:rPr>
          <w:rFonts w:hint="eastAsia" w:ascii="黑体" w:eastAsia="黑体"/>
          <w:color w:val="auto"/>
          <w:szCs w:val="21"/>
        </w:rPr>
        <w:t>8.4.1</w:t>
      </w:r>
      <w:r>
        <w:rPr>
          <w:rFonts w:hint="eastAsia"/>
          <w:color w:val="auto"/>
          <w:szCs w:val="21"/>
        </w:rPr>
        <w:t xml:space="preserve"> 试验溶液的制备，采用下面其中的一种</w:t>
      </w:r>
    </w:p>
    <w:p>
      <w:pPr>
        <w:rPr>
          <w:rFonts w:asciiTheme="minorEastAsia" w:hAnsiTheme="minorEastAsia" w:eastAsiaTheme="minorEastAsia"/>
          <w:color w:val="auto"/>
          <w:szCs w:val="21"/>
        </w:rPr>
      </w:pPr>
      <w:r>
        <w:rPr>
          <w:rFonts w:hint="eastAsia"/>
          <w:color w:val="auto"/>
          <w:szCs w:val="21"/>
        </w:rPr>
        <w:t>——碱熔融：</w:t>
      </w:r>
      <w:r>
        <w:rPr>
          <w:rFonts w:hint="eastAsia" w:asciiTheme="minorEastAsia" w:hAnsiTheme="minorEastAsia" w:eastAsiaTheme="minorEastAsia"/>
          <w:color w:val="auto"/>
          <w:szCs w:val="21"/>
        </w:rPr>
        <w:t>将试料（8.1）置于铂坩埚（6.3）中，加入6 g无水碳酸钠（5.1）和2 g硼酸（5.2），小心地用铂勺混匀，盖上铂盖。将铂皿置于850 ℃±20 ℃的高温炉（6.2）中熔融30 min（空白熔5 min），取出，冷却至室温。向铂坩埚中加入热水并加热至熔块完全溶解，将试液移入盛有10 mL硫酸（5.7）的300 mL聚四氟乙烯烧杯中，用6 mL硫酸（5.7）溶解粘在坩埚壁上的残渣，用热水洗涤铂坩埚及坩埚盖，洗液合并于烧杯中，加热使盐类全部溶解，冷却至室温。将试液移入250 mL容量瓶中，用水稀释至刻度，混匀。</w:t>
      </w:r>
    </w:p>
    <w:p>
      <w:pPr>
        <w:rPr>
          <w:color w:val="auto"/>
          <w:szCs w:val="21"/>
        </w:rPr>
      </w:pPr>
      <w:r>
        <w:rPr>
          <w:rFonts w:hint="eastAsia"/>
          <w:color w:val="auto"/>
          <w:szCs w:val="21"/>
        </w:rPr>
        <w:t>酸熔融</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——酸熔融：将试料（8.1）置于铂坩埚（6.3）中，加入10 g焦硫酸钾（5.3），小心地用铂勺混匀，盖上铂盖。将铂坩埚置于850 ℃±20 ℃的高温炉（6.2）中熔融30 min（空白熔5 min），取出，冷却至室温。向铂坩埚中加入热水和10 mL盐酸（5.8），加热至熔块完全溶解，将试液移入250 mL容量瓶中，用热水洗涤铂坩埚及坩埚盖，洗液合并于容量瓶中，冷却至室温，用水稀释至刻度，混匀。</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8.4.2按表</w:t>
      </w: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分取试液，置于</w:t>
      </w:r>
      <w:r>
        <w:rPr>
          <w:rFonts w:asciiTheme="minorEastAsia" w:hAnsiTheme="minorEastAsia" w:eastAsiaTheme="minorEastAsia"/>
          <w:color w:val="auto"/>
          <w:szCs w:val="21"/>
        </w:rPr>
        <w:t>100</w:t>
      </w:r>
      <w:r>
        <w:rPr>
          <w:rFonts w:hint="eastAsia" w:asciiTheme="minorEastAsia" w:hAnsiTheme="minorEastAsia" w:eastAsiaTheme="minorEastAsia"/>
          <w:color w:val="auto"/>
          <w:szCs w:val="21"/>
        </w:rPr>
        <w:t xml:space="preserve"> </w:t>
      </w:r>
      <w:r>
        <w:rPr>
          <w:rFonts w:asciiTheme="minorEastAsia" w:hAnsiTheme="minorEastAsia" w:eastAsiaTheme="minorEastAsia"/>
          <w:color w:val="auto"/>
          <w:szCs w:val="21"/>
        </w:rPr>
        <w:t>mL</w:t>
      </w:r>
      <w:r>
        <w:rPr>
          <w:rFonts w:hint="eastAsia" w:asciiTheme="minorEastAsia" w:hAnsiTheme="minorEastAsia" w:eastAsiaTheme="minorEastAsia"/>
          <w:color w:val="auto"/>
          <w:szCs w:val="21"/>
        </w:rPr>
        <w:t>容量瓶中。</w:t>
      </w:r>
    </w:p>
    <w:p>
      <w:pPr>
        <w:jc w:val="center"/>
        <w:rPr>
          <w:rFonts w:ascii="黑体" w:eastAsia="黑体"/>
          <w:bCs/>
          <w:color w:val="auto"/>
        </w:rPr>
      </w:pPr>
      <w:r>
        <w:rPr>
          <w:rFonts w:hint="eastAsia" w:ascii="黑体" w:eastAsia="黑体"/>
          <w:bCs/>
          <w:color w:val="auto"/>
        </w:rPr>
        <w:t>表1 分取试液体积</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536"/>
        <w:gridCol w:w="398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4536" w:type="dxa"/>
            <w:vAlign w:val="center"/>
          </w:tcPr>
          <w:p>
            <w:pPr>
              <w:jc w:val="center"/>
              <w:rPr>
                <w:rFonts w:hint="eastAsia"/>
                <w:color w:val="auto"/>
                <w:szCs w:val="21"/>
              </w:rPr>
            </w:pPr>
            <w:r>
              <w:rPr>
                <w:rFonts w:hint="eastAsia"/>
                <w:color w:val="auto"/>
                <w:szCs w:val="21"/>
              </w:rPr>
              <w:t>三氧化二铁</w:t>
            </w:r>
            <w:r>
              <w:rPr>
                <w:color w:val="auto"/>
                <w:szCs w:val="21"/>
              </w:rPr>
              <w:t>的质量分数</w:t>
            </w:r>
          </w:p>
          <w:p>
            <w:pPr>
              <w:jc w:val="center"/>
              <w:rPr>
                <w:color w:val="auto"/>
                <w:szCs w:val="21"/>
              </w:rPr>
            </w:pPr>
            <w:r>
              <w:rPr>
                <w:rFonts w:hint="eastAsia" w:asciiTheme="minorEastAsia" w:hAnsiTheme="minorEastAsia" w:eastAsiaTheme="minorEastAsia"/>
                <w:color w:val="auto"/>
                <w:szCs w:val="21"/>
              </w:rPr>
              <w:t>%</w:t>
            </w:r>
          </w:p>
        </w:tc>
        <w:tc>
          <w:tcPr>
            <w:tcW w:w="3986" w:type="dxa"/>
            <w:vAlign w:val="center"/>
          </w:tcPr>
          <w:p>
            <w:pPr>
              <w:jc w:val="center"/>
              <w:rPr>
                <w:rFonts w:hint="eastAsia"/>
                <w:color w:val="auto"/>
                <w:szCs w:val="21"/>
              </w:rPr>
            </w:pPr>
            <w:r>
              <w:rPr>
                <w:color w:val="auto"/>
                <w:szCs w:val="21"/>
              </w:rPr>
              <w:t>分取试液量</w:t>
            </w:r>
          </w:p>
          <w:p>
            <w:pPr>
              <w:jc w:val="center"/>
              <w:rPr>
                <w:color w:val="auto"/>
                <w:szCs w:val="21"/>
              </w:rPr>
            </w:pPr>
            <w:r>
              <w:rPr>
                <w:rFonts w:asciiTheme="minorEastAsia" w:hAnsiTheme="minorEastAsia" w:eastAsiaTheme="minorEastAsia"/>
                <w:color w:val="auto"/>
                <w:szCs w:val="21"/>
              </w:rPr>
              <w:t>mL</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4536"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＞0.</w:t>
            </w:r>
            <w:r>
              <w:rPr>
                <w:rFonts w:hint="eastAsia" w:asciiTheme="minorEastAsia" w:hAnsiTheme="minorEastAsia" w:eastAsiaTheme="minorEastAsia"/>
                <w:color w:val="auto"/>
                <w:szCs w:val="21"/>
              </w:rPr>
              <w:t>0050</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0.10</w:t>
            </w:r>
          </w:p>
        </w:tc>
        <w:tc>
          <w:tcPr>
            <w:tcW w:w="3986"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50</w:t>
            </w:r>
            <w:r>
              <w:rPr>
                <w:rFonts w:asciiTheme="minorEastAsia" w:hAnsiTheme="minorEastAsia" w:eastAsiaTheme="minorEastAsia"/>
                <w:color w:val="auto"/>
                <w:szCs w:val="21"/>
              </w:rPr>
              <w:t>.00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4536"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＞0.</w:t>
            </w:r>
            <w:r>
              <w:rPr>
                <w:rFonts w:hint="eastAsia" w:asciiTheme="minorEastAsia" w:hAnsiTheme="minorEastAsia" w:eastAsiaTheme="minorEastAsia"/>
                <w:color w:val="auto"/>
                <w:szCs w:val="21"/>
              </w:rPr>
              <w:t>10</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0.25</w:t>
            </w:r>
          </w:p>
        </w:tc>
        <w:tc>
          <w:tcPr>
            <w:tcW w:w="3986"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20</w:t>
            </w:r>
            <w:r>
              <w:rPr>
                <w:rFonts w:asciiTheme="minorEastAsia" w:hAnsiTheme="minorEastAsia" w:eastAsiaTheme="minorEastAsia"/>
                <w:color w:val="auto"/>
                <w:szCs w:val="21"/>
              </w:rPr>
              <w:t>.00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4536" w:type="dxa"/>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＞0.</w:t>
            </w:r>
            <w:r>
              <w:rPr>
                <w:rFonts w:hint="eastAsia" w:asciiTheme="minorEastAsia" w:hAnsiTheme="minorEastAsia" w:eastAsiaTheme="minorEastAsia"/>
                <w:color w:val="auto"/>
                <w:szCs w:val="21"/>
              </w:rPr>
              <w:t>25</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0.50</w:t>
            </w:r>
          </w:p>
        </w:tc>
        <w:tc>
          <w:tcPr>
            <w:tcW w:w="3986"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10</w:t>
            </w:r>
            <w:r>
              <w:rPr>
                <w:rFonts w:asciiTheme="minorEastAsia" w:hAnsiTheme="minorEastAsia" w:eastAsiaTheme="minorEastAsia"/>
                <w:color w:val="auto"/>
                <w:szCs w:val="21"/>
              </w:rPr>
              <w:t>.00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8.4.3</w:t>
      </w:r>
      <w:r>
        <w:rPr>
          <w:rFonts w:hint="eastAsia"/>
          <w:color w:val="auto"/>
          <w:szCs w:val="21"/>
        </w:rPr>
        <w:t xml:space="preserve"> </w:t>
      </w:r>
      <w:r>
        <w:rPr>
          <w:rFonts w:hint="eastAsia" w:asciiTheme="minorEastAsia" w:hAnsiTheme="minorEastAsia" w:eastAsiaTheme="minorEastAsia"/>
          <w:color w:val="auto"/>
          <w:szCs w:val="21"/>
        </w:rPr>
        <w:t>用水将体积稀释至50 mL，加入5 mL盐酸羟胺溶液（5.9）、5 mL邻二氮杂菲溶液（5.10）和25 mL乙酸-乙酸钠缓冲溶液（5.11），用水稀释至刻度，混匀，放置15 min。</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8.4.4 将部分溶液（8.4.3）移入1 cm吸收池中，以水为参比，于分光光度计波长510 nm处测量其吸光度。减去空白吸光度后，从工作曲线上查出相应的三氧化二铁量。</w:t>
      </w:r>
    </w:p>
    <w:p>
      <w:pPr>
        <w:spacing w:beforeLines="50" w:afterLines="50"/>
        <w:rPr>
          <w:rFonts w:ascii="黑体" w:eastAsia="黑体"/>
          <w:bCs/>
          <w:color w:val="auto"/>
        </w:rPr>
      </w:pPr>
      <w:r>
        <w:rPr>
          <w:rFonts w:hint="eastAsia" w:ascii="黑体" w:eastAsia="黑体"/>
          <w:bCs/>
          <w:color w:val="auto"/>
        </w:rPr>
        <w:t>8.5 工作曲线的绘制</w:t>
      </w:r>
    </w:p>
    <w:p>
      <w:pPr>
        <w:rPr>
          <w:rFonts w:asciiTheme="minorEastAsia" w:hAnsiTheme="minorEastAsia" w:eastAsiaTheme="minorEastAsia"/>
          <w:color w:val="auto"/>
          <w:szCs w:val="21"/>
        </w:rPr>
      </w:pPr>
      <w:r>
        <w:rPr>
          <w:rFonts w:hint="eastAsia" w:ascii="黑体" w:eastAsia="黑体" w:hAnsiTheme="minorEastAsia"/>
          <w:color w:val="auto"/>
          <w:szCs w:val="21"/>
        </w:rPr>
        <w:t>8.5.1</w:t>
      </w:r>
      <w:r>
        <w:rPr>
          <w:rFonts w:hint="eastAsia" w:asciiTheme="minorEastAsia" w:hAnsiTheme="minorEastAsia" w:eastAsiaTheme="minorEastAsia"/>
          <w:color w:val="auto"/>
          <w:szCs w:val="21"/>
        </w:rPr>
        <w:t xml:space="preserve"> 分别移取0 mL、0.50ml、1.00 mL、2.50 mL、5.00 mL、7.00 mL、10.00 mL三氧化二铁标准溶液（5.1</w:t>
      </w: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），置于一组100 mL容量瓶中，以下按分析步骤8.4.3进行。</w:t>
      </w:r>
    </w:p>
    <w:p>
      <w:pPr>
        <w:rPr>
          <w:rFonts w:asciiTheme="minorEastAsia" w:hAnsiTheme="minorEastAsia" w:eastAsiaTheme="minorEastAsia"/>
          <w:color w:val="auto"/>
          <w:szCs w:val="21"/>
        </w:rPr>
      </w:pPr>
      <w:r>
        <w:rPr>
          <w:rFonts w:hint="eastAsia" w:ascii="黑体" w:eastAsia="黑体" w:hAnsiTheme="minorEastAsia"/>
          <w:color w:val="auto"/>
          <w:szCs w:val="21"/>
        </w:rPr>
        <w:t>8.5.2</w:t>
      </w:r>
      <w:r>
        <w:rPr>
          <w:rFonts w:hint="eastAsia" w:asciiTheme="minorEastAsia" w:hAnsiTheme="minorEastAsia" w:eastAsiaTheme="minorEastAsia"/>
          <w:color w:val="auto"/>
          <w:szCs w:val="21"/>
        </w:rPr>
        <w:t xml:space="preserve"> 将部分溶液（8.5.1）移入1cm吸收池中，以水为参比，于分光光度计波长510 nm处测量其吸光度。减去试剂空白溶液吸光度后，以三氧化二铁质量为横坐标，相应的吸光度为纵坐标，绘制工作曲线。</w:t>
      </w:r>
    </w:p>
    <w:p>
      <w:pPr>
        <w:spacing w:beforeLines="50" w:afterLines="50"/>
        <w:rPr>
          <w:rFonts w:ascii="黑体" w:eastAsia="黑体"/>
          <w:bCs/>
          <w:color w:val="auto"/>
        </w:rPr>
      </w:pPr>
      <w:r>
        <w:rPr>
          <w:rFonts w:hint="eastAsia" w:ascii="黑体" w:eastAsia="黑体"/>
          <w:bCs/>
          <w:color w:val="auto"/>
        </w:rPr>
        <w:t>9  试验数据处理</w:t>
      </w:r>
    </w:p>
    <w:p>
      <w:pPr>
        <w:ind w:firstLine="420" w:firstLineChars="200"/>
        <w:rPr>
          <w:color w:val="auto"/>
          <w:szCs w:val="21"/>
        </w:rPr>
      </w:pPr>
      <w:r>
        <w:rPr>
          <w:rFonts w:hint="eastAsia"/>
          <w:color w:val="auto"/>
          <w:szCs w:val="21"/>
        </w:rPr>
        <w:t>三氧化二铁含量以三氧化二铁质量分数</w:t>
      </w:r>
      <w:r>
        <w:rPr>
          <w:rFonts w:hint="eastAsia"/>
          <w:i/>
          <w:iCs/>
          <w:color w:val="auto"/>
        </w:rPr>
        <w:t>w</w:t>
      </w:r>
      <w:r>
        <w:rPr>
          <w:rFonts w:hint="eastAsia"/>
          <w:i/>
          <w:iCs/>
          <w:color w:val="auto"/>
          <w:sz w:val="10"/>
          <w:szCs w:val="10"/>
        </w:rPr>
        <w:t>Fe</w:t>
      </w:r>
      <w:r>
        <w:rPr>
          <w:rFonts w:hint="eastAsia"/>
          <w:i/>
          <w:iCs/>
          <w:color w:val="auto"/>
          <w:sz w:val="10"/>
          <w:szCs w:val="10"/>
          <w:vertAlign w:val="subscript"/>
        </w:rPr>
        <w:t>2</w:t>
      </w:r>
      <w:r>
        <w:rPr>
          <w:rFonts w:hint="eastAsia"/>
          <w:i/>
          <w:iCs/>
          <w:color w:val="auto"/>
          <w:sz w:val="10"/>
          <w:szCs w:val="10"/>
        </w:rPr>
        <w:t>O</w:t>
      </w:r>
      <w:r>
        <w:rPr>
          <w:rFonts w:hint="eastAsia"/>
          <w:i/>
          <w:iCs/>
          <w:color w:val="auto"/>
          <w:sz w:val="10"/>
          <w:szCs w:val="10"/>
          <w:vertAlign w:val="subscript"/>
        </w:rPr>
        <w:t>3</w:t>
      </w:r>
      <w:r>
        <w:rPr>
          <w:rFonts w:hint="eastAsia"/>
          <w:color w:val="auto"/>
          <w:szCs w:val="21"/>
        </w:rPr>
        <w:t>计，按公式（1）计算：</w:t>
      </w:r>
    </w:p>
    <w:p>
      <w:pPr>
        <w:spacing w:line="360" w:lineRule="auto"/>
        <w:ind w:firstLine="420" w:firstLineChars="200"/>
        <w:jc w:val="center"/>
        <w:rPr>
          <w:color w:val="auto"/>
          <w:sz w:val="24"/>
        </w:rPr>
      </w:pPr>
      <w:r>
        <w:rPr>
          <w:rFonts w:hint="eastAsia"/>
          <w:i/>
          <w:iCs/>
          <w:color w:val="auto"/>
        </w:rPr>
        <w:t>w</w:t>
      </w:r>
      <w:r>
        <w:rPr>
          <w:rFonts w:hint="eastAsia"/>
          <w:i/>
          <w:iCs/>
          <w:color w:val="auto"/>
          <w:sz w:val="10"/>
          <w:szCs w:val="10"/>
        </w:rPr>
        <w:t>Fe</w:t>
      </w:r>
      <w:r>
        <w:rPr>
          <w:rFonts w:hint="eastAsia"/>
          <w:i/>
          <w:iCs/>
          <w:color w:val="auto"/>
          <w:sz w:val="10"/>
          <w:szCs w:val="10"/>
          <w:vertAlign w:val="subscript"/>
        </w:rPr>
        <w:t>2</w:t>
      </w:r>
      <w:r>
        <w:rPr>
          <w:rFonts w:hint="eastAsia"/>
          <w:i/>
          <w:iCs/>
          <w:color w:val="auto"/>
          <w:sz w:val="10"/>
          <w:szCs w:val="10"/>
        </w:rPr>
        <w:t>O</w:t>
      </w:r>
      <w:r>
        <w:rPr>
          <w:rFonts w:hint="eastAsia"/>
          <w:i/>
          <w:iCs/>
          <w:color w:val="auto"/>
          <w:sz w:val="10"/>
          <w:szCs w:val="10"/>
          <w:vertAlign w:val="subscript"/>
        </w:rPr>
        <w:t>3</w:t>
      </w:r>
      <w:r>
        <w:rPr>
          <w:rFonts w:hint="eastAsia"/>
          <w:color w:val="auto"/>
          <w:position w:val="-30"/>
        </w:rPr>
        <w:object>
          <v:shape id="_x0000_i1025" o:spt="75" type="#_x0000_t75" style="height:36.3pt;width:111.75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rFonts w:hint="eastAsia"/>
          <w:color w:val="auto"/>
          <w:sz w:val="24"/>
        </w:rPr>
        <w:t>…………………………………（1）</w:t>
      </w:r>
    </w:p>
    <w:p>
      <w:pPr>
        <w:rPr>
          <w:color w:val="auto"/>
          <w:szCs w:val="21"/>
        </w:rPr>
      </w:pPr>
      <w:r>
        <w:rPr>
          <w:rFonts w:hint="eastAsia"/>
          <w:color w:val="auto"/>
          <w:szCs w:val="21"/>
        </w:rPr>
        <w:t xml:space="preserve">    式中：</w:t>
      </w:r>
    </w:p>
    <w:p>
      <w:pPr>
        <w:ind w:firstLine="420"/>
        <w:rPr>
          <w:color w:val="auto"/>
          <w:sz w:val="28"/>
          <w:szCs w:val="28"/>
        </w:rPr>
      </w:pPr>
      <w:r>
        <w:rPr>
          <w:rFonts w:hint="eastAsia"/>
          <w:i/>
          <w:color w:val="auto"/>
          <w:szCs w:val="21"/>
        </w:rPr>
        <w:t>m</w:t>
      </w:r>
      <w:r>
        <w:rPr>
          <w:rFonts w:hint="eastAsia"/>
          <w:i/>
          <w:color w:val="auto"/>
          <w:szCs w:val="21"/>
          <w:vertAlign w:val="subscript"/>
        </w:rPr>
        <w:t>1</w:t>
      </w:r>
      <w:r>
        <w:rPr>
          <w:rFonts w:hint="eastAsia"/>
          <w:color w:val="auto"/>
          <w:szCs w:val="21"/>
        </w:rPr>
        <w:t>——从工作曲线上查得的三氧化二铁质量，单位为毫克（</w:t>
      </w:r>
      <w:r>
        <w:rPr>
          <w:rFonts w:hint="eastAsia" w:asciiTheme="minorEastAsia" w:hAnsiTheme="minorEastAsia" w:eastAsiaTheme="minorEastAsia"/>
          <w:color w:val="auto"/>
          <w:szCs w:val="21"/>
        </w:rPr>
        <w:t>mg</w:t>
      </w:r>
      <w:r>
        <w:rPr>
          <w:rFonts w:hint="eastAsia"/>
          <w:color w:val="auto"/>
          <w:szCs w:val="21"/>
        </w:rPr>
        <w:t>）；</w:t>
      </w:r>
    </w:p>
    <w:p>
      <w:pPr>
        <w:ind w:firstLine="315" w:firstLineChars="150"/>
        <w:rPr>
          <w:color w:val="auto"/>
          <w:szCs w:val="21"/>
        </w:rPr>
      </w:pPr>
      <w:r>
        <w:rPr>
          <w:rFonts w:hint="eastAsia"/>
          <w:i/>
          <w:color w:val="auto"/>
          <w:szCs w:val="21"/>
        </w:rPr>
        <w:t xml:space="preserve"> V</w:t>
      </w:r>
      <w:r>
        <w:rPr>
          <w:rFonts w:hint="eastAsia"/>
          <w:i/>
          <w:color w:val="auto"/>
          <w:szCs w:val="21"/>
          <w:vertAlign w:val="subscript"/>
        </w:rPr>
        <w:t>0</w:t>
      </w:r>
      <w:r>
        <w:rPr>
          <w:rFonts w:hint="eastAsia"/>
          <w:color w:val="auto"/>
          <w:szCs w:val="21"/>
        </w:rPr>
        <w:t>——试液总体积，单位为毫升（</w:t>
      </w:r>
      <w:r>
        <w:rPr>
          <w:rFonts w:hint="eastAsia" w:asciiTheme="minorEastAsia" w:hAnsiTheme="minorEastAsia" w:eastAsiaTheme="minorEastAsia"/>
          <w:color w:val="auto"/>
          <w:szCs w:val="21"/>
        </w:rPr>
        <w:t>mL</w:t>
      </w:r>
      <w:r>
        <w:rPr>
          <w:rFonts w:hint="eastAsia"/>
          <w:color w:val="auto"/>
          <w:szCs w:val="21"/>
        </w:rPr>
        <w:t>）；</w:t>
      </w:r>
    </w:p>
    <w:p>
      <w:pPr>
        <w:rPr>
          <w:color w:val="auto"/>
          <w:szCs w:val="21"/>
        </w:rPr>
      </w:pPr>
      <w:r>
        <w:rPr>
          <w:rFonts w:hint="eastAsia"/>
          <w:color w:val="auto"/>
          <w:szCs w:val="21"/>
        </w:rPr>
        <w:t xml:space="preserve">    </w:t>
      </w:r>
      <w:r>
        <w:rPr>
          <w:rFonts w:hint="eastAsia"/>
          <w:i/>
          <w:color w:val="auto"/>
          <w:szCs w:val="21"/>
        </w:rPr>
        <w:t>m</w:t>
      </w:r>
      <w:r>
        <w:rPr>
          <w:rFonts w:hint="eastAsia"/>
          <w:i/>
          <w:color w:val="auto"/>
          <w:szCs w:val="21"/>
          <w:vertAlign w:val="subscript"/>
        </w:rPr>
        <w:t>0</w:t>
      </w:r>
      <w:r>
        <w:rPr>
          <w:rFonts w:hint="eastAsia"/>
          <w:color w:val="auto"/>
          <w:szCs w:val="21"/>
        </w:rPr>
        <w:t>——试料的质量，单位为克（</w:t>
      </w:r>
      <w:r>
        <w:rPr>
          <w:rFonts w:hint="eastAsia" w:asciiTheme="minorEastAsia" w:hAnsiTheme="minorEastAsia" w:eastAsiaTheme="minorEastAsia"/>
          <w:color w:val="auto"/>
          <w:szCs w:val="21"/>
        </w:rPr>
        <w:t>g</w:t>
      </w:r>
      <w:r>
        <w:rPr>
          <w:rFonts w:hint="eastAsia"/>
          <w:color w:val="auto"/>
          <w:szCs w:val="21"/>
        </w:rPr>
        <w:t>）；</w:t>
      </w:r>
    </w:p>
    <w:p>
      <w:pPr>
        <w:rPr>
          <w:color w:val="auto"/>
          <w:szCs w:val="21"/>
        </w:rPr>
      </w:pPr>
      <w:r>
        <w:rPr>
          <w:rFonts w:hint="eastAsia"/>
          <w:color w:val="auto"/>
          <w:szCs w:val="21"/>
        </w:rPr>
        <w:t xml:space="preserve">    </w:t>
      </w:r>
      <w:r>
        <w:rPr>
          <w:rFonts w:hint="eastAsia"/>
          <w:i/>
          <w:color w:val="auto"/>
          <w:szCs w:val="21"/>
        </w:rPr>
        <w:t>V</w:t>
      </w:r>
      <w:r>
        <w:rPr>
          <w:rFonts w:hint="eastAsia"/>
          <w:i/>
          <w:color w:val="auto"/>
          <w:szCs w:val="21"/>
          <w:vertAlign w:val="subscript"/>
        </w:rPr>
        <w:t>1</w:t>
      </w:r>
      <w:r>
        <w:rPr>
          <w:rFonts w:hint="eastAsia"/>
          <w:color w:val="auto"/>
          <w:szCs w:val="21"/>
        </w:rPr>
        <w:t>——分取试液体积，单位为毫升（</w:t>
      </w:r>
      <w:r>
        <w:rPr>
          <w:rFonts w:hint="eastAsia" w:asciiTheme="minorEastAsia" w:hAnsiTheme="minorEastAsia" w:eastAsiaTheme="minorEastAsia"/>
          <w:color w:val="auto"/>
          <w:szCs w:val="21"/>
        </w:rPr>
        <w:t>mL</w:t>
      </w:r>
      <w:r>
        <w:rPr>
          <w:rFonts w:hint="eastAsia"/>
          <w:color w:val="auto"/>
          <w:szCs w:val="21"/>
        </w:rPr>
        <w:t>）。</w:t>
      </w:r>
    </w:p>
    <w:p>
      <w:pPr>
        <w:spacing w:beforeLines="50" w:afterLines="50"/>
        <w:rPr>
          <w:rFonts w:ascii="黑体" w:eastAsia="黑体"/>
          <w:bCs/>
          <w:color w:val="auto"/>
        </w:rPr>
      </w:pPr>
      <w:r>
        <w:rPr>
          <w:rFonts w:hint="eastAsia" w:ascii="黑体" w:eastAsia="黑体"/>
          <w:bCs/>
          <w:color w:val="auto"/>
        </w:rPr>
        <w:t>10  精密度</w:t>
      </w:r>
    </w:p>
    <w:p>
      <w:pPr>
        <w:rPr>
          <w:color w:val="auto"/>
        </w:rPr>
      </w:pPr>
      <w:r>
        <w:rPr>
          <w:rFonts w:hint="eastAsia" w:ascii="黑体" w:eastAsia="黑体"/>
          <w:color w:val="auto"/>
        </w:rPr>
        <w:t>10.1</w:t>
      </w:r>
      <w:r>
        <w:rPr>
          <w:rFonts w:hint="eastAsia"/>
          <w:color w:val="auto"/>
        </w:rPr>
        <w:t xml:space="preserve"> 重复性限</w:t>
      </w:r>
    </w:p>
    <w:p>
      <w:pPr>
        <w:rPr>
          <w:color w:val="auto"/>
        </w:rPr>
      </w:pPr>
      <w:r>
        <w:rPr>
          <w:rFonts w:hint="eastAsia"/>
          <w:color w:val="auto"/>
        </w:rPr>
        <w:t xml:space="preserve">    在重复性条件下获得的两次独立测试结果的测定值，在以下给出的平均值范围内，这两个测试结果的绝对差值不超过重复性限（r），超过重复性限（r）情况不超过5％。重复性限（r）按以下数据采用线性内插法求得：</w:t>
      </w:r>
    </w:p>
    <w:p>
      <w:pPr>
        <w:pStyle w:val="52"/>
        <w:widowControl w:val="0"/>
        <w:autoSpaceDE/>
        <w:autoSpaceDN/>
        <w:ind w:firstLine="0" w:firstLineChars="0"/>
        <w:jc w:val="center"/>
        <w:rPr>
          <w:rFonts w:ascii="黑体" w:hAnsi="黑体" w:eastAsia="黑体" w:cs="黑体"/>
          <w:color w:val="auto"/>
        </w:rPr>
      </w:pPr>
      <w:r>
        <w:rPr>
          <w:rFonts w:hint="eastAsia" w:ascii="黑体" w:hAnsi="黑体" w:eastAsia="黑体" w:cs="黑体"/>
          <w:color w:val="auto"/>
        </w:rPr>
        <w:t>表2 重复性限(</w:t>
      </w:r>
      <w:r>
        <w:rPr>
          <w:rFonts w:hint="eastAsia" w:hAnsi="宋体"/>
          <w:i/>
          <w:color w:val="auto"/>
          <w:sz w:val="18"/>
          <w:szCs w:val="18"/>
        </w:rPr>
        <w:t>r</w:t>
      </w:r>
      <w:r>
        <w:rPr>
          <w:rFonts w:hint="eastAsia" w:ascii="黑体" w:hAnsi="黑体" w:eastAsia="黑体" w:cs="黑体"/>
          <w:color w:val="auto"/>
        </w:rPr>
        <w:t>)</w:t>
      </w:r>
    </w:p>
    <w:tbl>
      <w:tblPr>
        <w:tblStyle w:val="32"/>
        <w:tblW w:w="9088" w:type="dxa"/>
        <w:tblInd w:w="9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17"/>
        <w:gridCol w:w="1818"/>
        <w:gridCol w:w="1817"/>
        <w:gridCol w:w="1818"/>
        <w:gridCol w:w="18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17" w:hRule="atLeast"/>
        </w:trPr>
        <w:tc>
          <w:tcPr>
            <w:tcW w:w="1817" w:type="dxa"/>
            <w:tcBorders>
              <w:top w:val="single" w:color="auto" w:sz="12" w:space="0"/>
              <w:left w:val="single" w:color="auto" w:sz="12" w:space="0"/>
              <w:bottom w:val="single" w:color="auto" w:sz="6" w:space="0"/>
              <w:right w:val="single" w:color="auto" w:sz="12" w:space="0"/>
            </w:tcBorders>
            <w:vAlign w:val="center"/>
          </w:tcPr>
          <w:p>
            <w:pPr>
              <w:ind w:firstLine="630" w:firstLineChars="300"/>
              <w:jc w:val="both"/>
              <w:rPr>
                <w:rFonts w:hint="eastAsia" w:hAnsi="宋体"/>
                <w:i/>
                <w:iCs/>
                <w:color w:val="auto"/>
                <w:sz w:val="18"/>
                <w:szCs w:val="18"/>
                <w:lang w:val="en-US" w:eastAsia="zh-CN"/>
              </w:rPr>
            </w:pPr>
            <w:r>
              <w:rPr>
                <w:rFonts w:hint="eastAsia"/>
                <w:i/>
                <w:iCs/>
                <w:color w:val="auto"/>
              </w:rPr>
              <w:t>w</w:t>
            </w:r>
          </w:p>
          <w:p>
            <w:pPr>
              <w:ind w:firstLine="540" w:firstLineChars="300"/>
              <w:jc w:val="both"/>
              <w:rPr>
                <w:rFonts w:ascii="宋体" w:hAnsi="宋体"/>
                <w:color w:val="auto"/>
                <w:sz w:val="18"/>
                <w:szCs w:val="18"/>
              </w:rPr>
            </w:pPr>
            <w:r>
              <w:rPr>
                <w:rFonts w:hAnsi="宋体"/>
                <w:color w:val="auto"/>
                <w:sz w:val="18"/>
                <w:szCs w:val="18"/>
              </w:rPr>
              <w:t>%</w:t>
            </w:r>
          </w:p>
        </w:tc>
        <w:tc>
          <w:tcPr>
            <w:tcW w:w="181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0.0090</w:t>
            </w:r>
          </w:p>
        </w:tc>
        <w:tc>
          <w:tcPr>
            <w:tcW w:w="1817"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0.027</w:t>
            </w:r>
          </w:p>
        </w:tc>
        <w:tc>
          <w:tcPr>
            <w:tcW w:w="1818"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0.090</w:t>
            </w:r>
          </w:p>
        </w:tc>
        <w:tc>
          <w:tcPr>
            <w:tcW w:w="1818"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0.37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17" w:hRule="atLeast"/>
        </w:trPr>
        <w:tc>
          <w:tcPr>
            <w:tcW w:w="1817" w:type="dxa"/>
            <w:tcBorders>
              <w:top w:val="single" w:color="auto" w:sz="6" w:space="0"/>
              <w:left w:val="single" w:color="auto" w:sz="12" w:space="0"/>
              <w:bottom w:val="single" w:color="auto" w:sz="12" w:space="0"/>
              <w:right w:val="single" w:color="auto" w:sz="12" w:space="0"/>
            </w:tcBorders>
            <w:vAlign w:val="center"/>
          </w:tcPr>
          <w:p>
            <w:pPr>
              <w:pStyle w:val="52"/>
              <w:widowControl w:val="0"/>
              <w:autoSpaceDE/>
              <w:autoSpaceDN/>
              <w:ind w:firstLine="540" w:firstLineChars="300"/>
              <w:jc w:val="both"/>
              <w:rPr>
                <w:rFonts w:hint="eastAsia" w:hAnsi="宋体"/>
                <w:color w:val="auto"/>
                <w:sz w:val="18"/>
                <w:szCs w:val="18"/>
              </w:rPr>
            </w:pPr>
            <w:r>
              <w:rPr>
                <w:rFonts w:hAnsi="宋体"/>
                <w:i/>
                <w:iCs/>
                <w:color w:val="auto"/>
                <w:sz w:val="18"/>
                <w:szCs w:val="18"/>
              </w:rPr>
              <w:t>r</w:t>
            </w:r>
          </w:p>
          <w:p>
            <w:pPr>
              <w:pStyle w:val="52"/>
              <w:widowControl w:val="0"/>
              <w:autoSpaceDE/>
              <w:autoSpaceDN/>
              <w:ind w:firstLine="540" w:firstLineChars="300"/>
              <w:jc w:val="both"/>
              <w:rPr>
                <w:rFonts w:hAnsi="宋体"/>
                <w:color w:val="auto"/>
                <w:sz w:val="18"/>
                <w:szCs w:val="18"/>
              </w:rPr>
            </w:pPr>
            <w:r>
              <w:rPr>
                <w:rFonts w:hAnsi="宋体"/>
                <w:color w:val="auto"/>
                <w:sz w:val="18"/>
                <w:szCs w:val="18"/>
              </w:rPr>
              <w:t>%</w:t>
            </w:r>
          </w:p>
        </w:tc>
        <w:tc>
          <w:tcPr>
            <w:tcW w:w="1818"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0.0015</w:t>
            </w:r>
          </w:p>
        </w:tc>
        <w:tc>
          <w:tcPr>
            <w:tcW w:w="1817"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0.002</w:t>
            </w:r>
          </w:p>
        </w:tc>
        <w:tc>
          <w:tcPr>
            <w:tcW w:w="181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0.010</w:t>
            </w:r>
          </w:p>
        </w:tc>
        <w:tc>
          <w:tcPr>
            <w:tcW w:w="181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0.02</w:t>
            </w:r>
          </w:p>
        </w:tc>
      </w:tr>
    </w:tbl>
    <w:p>
      <w:pPr>
        <w:rPr>
          <w:color w:val="auto"/>
        </w:rPr>
      </w:pPr>
      <w:r>
        <w:rPr>
          <w:rFonts w:hint="eastAsia"/>
          <w:color w:val="auto"/>
        </w:rPr>
        <w:t>10.2再现性限</w:t>
      </w:r>
    </w:p>
    <w:p>
      <w:pPr>
        <w:ind w:firstLine="420"/>
        <w:rPr>
          <w:rFonts w:ascii="宋体" w:hAnsi="宋体"/>
          <w:color w:val="auto"/>
          <w:szCs w:val="21"/>
        </w:rPr>
      </w:pPr>
      <w:r>
        <w:rPr>
          <w:rFonts w:hint="eastAsia" w:ascii="宋体" w:hAnsi="宋体"/>
          <w:color w:val="auto"/>
          <w:szCs w:val="21"/>
        </w:rPr>
        <w:t>在再现性条件下获得的两次独立测试结果的绝对差值不大于再现性限</w:t>
      </w:r>
      <w:r>
        <w:rPr>
          <w:rFonts w:hint="eastAsia" w:ascii="宋体" w:hAnsi="宋体"/>
          <w:i/>
          <w:color w:val="auto"/>
          <w:szCs w:val="21"/>
        </w:rPr>
        <w:t>R</w:t>
      </w:r>
      <w:r>
        <w:rPr>
          <w:rFonts w:hint="eastAsia" w:ascii="宋体" w:hAnsi="宋体"/>
          <w:color w:val="auto"/>
          <w:szCs w:val="21"/>
        </w:rPr>
        <w:t>，超过再现性限R的情况不超过5%。再现性限</w:t>
      </w:r>
      <w:r>
        <w:rPr>
          <w:rFonts w:hint="eastAsia" w:ascii="宋体" w:hAnsi="宋体"/>
          <w:i/>
          <w:color w:val="auto"/>
          <w:szCs w:val="21"/>
        </w:rPr>
        <w:t>R</w:t>
      </w:r>
      <w:r>
        <w:rPr>
          <w:rFonts w:hint="eastAsia" w:ascii="宋体" w:hAnsi="宋体"/>
          <w:color w:val="auto"/>
          <w:szCs w:val="21"/>
        </w:rPr>
        <w:t>按以下数据采用线性内插法或外延法求得。</w:t>
      </w:r>
    </w:p>
    <w:p>
      <w:pPr>
        <w:pStyle w:val="52"/>
        <w:widowControl w:val="0"/>
        <w:autoSpaceDE/>
        <w:autoSpaceDN/>
        <w:ind w:firstLine="0" w:firstLineChars="0"/>
        <w:jc w:val="center"/>
        <w:rPr>
          <w:rFonts w:ascii="黑体" w:hAnsi="黑体" w:eastAsia="黑体" w:cs="黑体"/>
          <w:color w:val="auto"/>
        </w:rPr>
      </w:pPr>
      <w:r>
        <w:rPr>
          <w:rFonts w:hint="eastAsia" w:ascii="黑体" w:hAnsi="黑体" w:eastAsia="黑体" w:cs="黑体"/>
          <w:color w:val="auto"/>
        </w:rPr>
        <w:t>表3 再现性限(</w:t>
      </w:r>
      <w:r>
        <w:rPr>
          <w:rFonts w:hAnsi="宋体"/>
          <w:i/>
          <w:color w:val="auto"/>
          <w:sz w:val="18"/>
          <w:szCs w:val="18"/>
        </w:rPr>
        <w:t>R</w:t>
      </w:r>
      <w:r>
        <w:rPr>
          <w:rFonts w:hint="eastAsia" w:ascii="黑体" w:hAnsi="黑体" w:eastAsia="黑体" w:cs="黑体"/>
          <w:color w:val="auto"/>
        </w:rPr>
        <w:t>)</w:t>
      </w:r>
    </w:p>
    <w:tbl>
      <w:tblPr>
        <w:tblStyle w:val="32"/>
        <w:tblW w:w="0" w:type="auto"/>
        <w:tblInd w:w="9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17"/>
        <w:gridCol w:w="1818"/>
        <w:gridCol w:w="1817"/>
        <w:gridCol w:w="1818"/>
        <w:gridCol w:w="18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78" w:hRule="atLeast"/>
        </w:trPr>
        <w:tc>
          <w:tcPr>
            <w:tcW w:w="1817" w:type="dxa"/>
            <w:tcBorders>
              <w:top w:val="single" w:color="auto" w:sz="12" w:space="0"/>
              <w:left w:val="single" w:color="auto" w:sz="12" w:space="0"/>
              <w:bottom w:val="single" w:color="auto" w:sz="6" w:space="0"/>
              <w:right w:val="single" w:color="auto" w:sz="12" w:space="0"/>
            </w:tcBorders>
            <w:vAlign w:val="center"/>
          </w:tcPr>
          <w:p>
            <w:pPr>
              <w:ind w:firstLine="630" w:firstLineChars="300"/>
              <w:jc w:val="both"/>
              <w:rPr>
                <w:rFonts w:hint="eastAsia"/>
                <w:i/>
                <w:iCs/>
                <w:color w:val="auto"/>
                <w:sz w:val="10"/>
                <w:szCs w:val="10"/>
                <w:vertAlign w:val="subscript"/>
              </w:rPr>
            </w:pPr>
            <w:r>
              <w:rPr>
                <w:rFonts w:hint="eastAsia"/>
                <w:i/>
                <w:iCs/>
                <w:color w:val="auto"/>
              </w:rPr>
              <w:t>w</w:t>
            </w:r>
            <w:r>
              <w:rPr>
                <w:rFonts w:hint="eastAsia"/>
                <w:i/>
                <w:iCs/>
                <w:color w:val="auto"/>
                <w:sz w:val="10"/>
                <w:szCs w:val="10"/>
              </w:rPr>
              <w:t>Fe</w:t>
            </w:r>
            <w:r>
              <w:rPr>
                <w:rFonts w:hint="eastAsia"/>
                <w:i/>
                <w:iCs/>
                <w:color w:val="auto"/>
                <w:sz w:val="10"/>
                <w:szCs w:val="10"/>
                <w:vertAlign w:val="subscript"/>
              </w:rPr>
              <w:t>2</w:t>
            </w:r>
            <w:r>
              <w:rPr>
                <w:rFonts w:hint="eastAsia"/>
                <w:i/>
                <w:iCs/>
                <w:color w:val="auto"/>
                <w:sz w:val="10"/>
                <w:szCs w:val="10"/>
              </w:rPr>
              <w:t>O</w:t>
            </w:r>
            <w:r>
              <w:rPr>
                <w:rFonts w:hint="eastAsia"/>
                <w:i/>
                <w:iCs/>
                <w:color w:val="auto"/>
                <w:sz w:val="10"/>
                <w:szCs w:val="10"/>
                <w:vertAlign w:val="subscript"/>
              </w:rPr>
              <w:t>3</w:t>
            </w:r>
          </w:p>
          <w:p>
            <w:pPr>
              <w:ind w:firstLine="540" w:firstLineChars="300"/>
              <w:jc w:val="both"/>
              <w:rPr>
                <w:rFonts w:ascii="宋体" w:hAnsi="宋体"/>
                <w:color w:val="auto"/>
                <w:sz w:val="18"/>
                <w:szCs w:val="18"/>
              </w:rPr>
            </w:pPr>
            <w:r>
              <w:rPr>
                <w:rFonts w:ascii="宋体" w:hAnsi="宋体"/>
                <w:color w:val="auto"/>
                <w:sz w:val="18"/>
                <w:szCs w:val="18"/>
              </w:rPr>
              <w:t>%</w:t>
            </w:r>
          </w:p>
        </w:tc>
        <w:tc>
          <w:tcPr>
            <w:tcW w:w="181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0.0090</w:t>
            </w:r>
          </w:p>
        </w:tc>
        <w:tc>
          <w:tcPr>
            <w:tcW w:w="1817"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0.027</w:t>
            </w:r>
          </w:p>
        </w:tc>
        <w:tc>
          <w:tcPr>
            <w:tcW w:w="1818"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0.090</w:t>
            </w:r>
          </w:p>
        </w:tc>
        <w:tc>
          <w:tcPr>
            <w:tcW w:w="1818"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0.37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78" w:hRule="atLeast"/>
        </w:trPr>
        <w:tc>
          <w:tcPr>
            <w:tcW w:w="1817" w:type="dxa"/>
            <w:tcBorders>
              <w:top w:val="single" w:color="auto" w:sz="6" w:space="0"/>
              <w:left w:val="single" w:color="auto" w:sz="12" w:space="0"/>
              <w:bottom w:val="single" w:color="auto" w:sz="12" w:space="0"/>
              <w:right w:val="single" w:color="auto" w:sz="12" w:space="0"/>
            </w:tcBorders>
            <w:vAlign w:val="center"/>
          </w:tcPr>
          <w:p>
            <w:pPr>
              <w:pStyle w:val="52"/>
              <w:widowControl w:val="0"/>
              <w:autoSpaceDE/>
              <w:autoSpaceDN/>
              <w:ind w:firstLine="540" w:firstLineChars="300"/>
              <w:jc w:val="both"/>
              <w:rPr>
                <w:rFonts w:hint="eastAsia" w:hAnsi="宋体"/>
                <w:color w:val="auto"/>
                <w:sz w:val="18"/>
                <w:szCs w:val="18"/>
              </w:rPr>
            </w:pPr>
            <w:r>
              <w:rPr>
                <w:rFonts w:hAnsi="宋体"/>
                <w:i/>
                <w:color w:val="auto"/>
                <w:sz w:val="18"/>
                <w:szCs w:val="18"/>
              </w:rPr>
              <w:t>R</w:t>
            </w:r>
          </w:p>
          <w:p>
            <w:pPr>
              <w:pStyle w:val="52"/>
              <w:widowControl w:val="0"/>
              <w:autoSpaceDE/>
              <w:autoSpaceDN/>
              <w:ind w:firstLine="540" w:firstLineChars="300"/>
              <w:jc w:val="both"/>
              <w:rPr>
                <w:rFonts w:hAnsi="宋体"/>
                <w:color w:val="auto"/>
                <w:sz w:val="18"/>
                <w:szCs w:val="18"/>
              </w:rPr>
            </w:pPr>
            <w:r>
              <w:rPr>
                <w:rFonts w:hAnsi="宋体"/>
                <w:color w:val="auto"/>
                <w:sz w:val="18"/>
                <w:szCs w:val="18"/>
              </w:rPr>
              <w:t>%</w:t>
            </w:r>
          </w:p>
        </w:tc>
        <w:tc>
          <w:tcPr>
            <w:tcW w:w="1818"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0.0020</w:t>
            </w:r>
          </w:p>
        </w:tc>
        <w:tc>
          <w:tcPr>
            <w:tcW w:w="1817"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0.003</w:t>
            </w:r>
          </w:p>
        </w:tc>
        <w:tc>
          <w:tcPr>
            <w:tcW w:w="181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0.015</w:t>
            </w:r>
          </w:p>
        </w:tc>
        <w:tc>
          <w:tcPr>
            <w:tcW w:w="181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auto"/>
                <w:sz w:val="18"/>
                <w:szCs w:val="18"/>
              </w:rPr>
            </w:pPr>
            <w:r>
              <w:rPr>
                <w:rFonts w:hint="eastAsia" w:ascii="宋体" w:hAnsi="宋体"/>
                <w:color w:val="auto"/>
                <w:sz w:val="18"/>
                <w:szCs w:val="18"/>
              </w:rPr>
              <w:t>0.03</w:t>
            </w:r>
          </w:p>
        </w:tc>
      </w:tr>
    </w:tbl>
    <w:p>
      <w:pPr>
        <w:spacing w:beforeLines="50" w:afterLines="50"/>
        <w:rPr>
          <w:rFonts w:ascii="黑体" w:eastAsia="黑体"/>
          <w:bCs/>
          <w:color w:val="auto"/>
        </w:rPr>
      </w:pPr>
      <w:bookmarkStart w:id="4" w:name="_Hlk52716673"/>
      <w:r>
        <w:rPr>
          <w:rFonts w:hint="eastAsia" w:ascii="黑体" w:eastAsia="黑体"/>
          <w:bCs/>
          <w:color w:val="auto"/>
        </w:rPr>
        <w:t>11 试验报告</w:t>
      </w:r>
    </w:p>
    <w:bookmarkEnd w:id="4"/>
    <w:p>
      <w:pPr>
        <w:spacing w:line="264" w:lineRule="auto"/>
        <w:ind w:firstLine="403"/>
        <w:rPr>
          <w:rFonts w:ascii="宋体"/>
          <w:color w:val="auto"/>
          <w:szCs w:val="21"/>
        </w:rPr>
      </w:pPr>
      <w:r>
        <w:rPr>
          <w:rFonts w:hint="eastAsia" w:ascii="宋体"/>
          <w:color w:val="auto"/>
          <w:szCs w:val="21"/>
        </w:rPr>
        <w:t>试验报告至少应给出以下几个方面的内容：</w:t>
      </w:r>
    </w:p>
    <w:p>
      <w:pPr>
        <w:spacing w:line="264" w:lineRule="auto"/>
        <w:ind w:firstLine="403"/>
        <w:rPr>
          <w:rFonts w:ascii="宋体"/>
          <w:color w:val="auto"/>
          <w:szCs w:val="21"/>
        </w:rPr>
      </w:pPr>
      <w:r>
        <w:rPr>
          <w:color w:val="auto"/>
        </w:rPr>
        <w:t>——</w:t>
      </w:r>
      <w:r>
        <w:rPr>
          <w:rFonts w:hint="eastAsia" w:ascii="宋体"/>
          <w:color w:val="auto"/>
          <w:szCs w:val="21"/>
        </w:rPr>
        <w:t>试验对象；</w:t>
      </w:r>
    </w:p>
    <w:p>
      <w:pPr>
        <w:spacing w:line="264" w:lineRule="auto"/>
        <w:ind w:firstLine="403"/>
        <w:rPr>
          <w:rFonts w:ascii="宋体"/>
          <w:color w:val="auto"/>
          <w:szCs w:val="21"/>
        </w:rPr>
      </w:pPr>
      <w:r>
        <w:rPr>
          <w:color w:val="auto"/>
        </w:rPr>
        <w:t>——</w:t>
      </w:r>
      <w:r>
        <w:rPr>
          <w:rFonts w:hint="eastAsia"/>
          <w:color w:val="auto"/>
        </w:rPr>
        <w:t>本文件编号</w:t>
      </w:r>
      <w:r>
        <w:rPr>
          <w:rFonts w:hint="eastAsia" w:ascii="宋体"/>
          <w:color w:val="auto"/>
          <w:szCs w:val="21"/>
        </w:rPr>
        <w:t>；</w:t>
      </w:r>
    </w:p>
    <w:p>
      <w:pPr>
        <w:spacing w:line="264" w:lineRule="auto"/>
        <w:ind w:firstLine="403"/>
        <w:rPr>
          <w:rFonts w:ascii="宋体"/>
          <w:color w:val="auto"/>
          <w:szCs w:val="21"/>
        </w:rPr>
      </w:pPr>
      <w:r>
        <w:rPr>
          <w:color w:val="auto"/>
        </w:rPr>
        <w:t>——</w:t>
      </w:r>
      <w:r>
        <w:rPr>
          <w:rFonts w:hint="eastAsia" w:ascii="宋体"/>
          <w:color w:val="auto"/>
          <w:szCs w:val="21"/>
        </w:rPr>
        <w:t>分析结果及其表示；</w:t>
      </w:r>
    </w:p>
    <w:p>
      <w:pPr>
        <w:spacing w:line="264" w:lineRule="auto"/>
        <w:ind w:firstLine="403"/>
        <w:rPr>
          <w:rFonts w:ascii="宋体"/>
          <w:color w:val="auto"/>
          <w:szCs w:val="21"/>
        </w:rPr>
      </w:pPr>
      <w:r>
        <w:rPr>
          <w:color w:val="auto"/>
        </w:rPr>
        <w:t>——</w:t>
      </w:r>
      <w:r>
        <w:rPr>
          <w:rFonts w:hint="eastAsia" w:ascii="宋体"/>
          <w:color w:val="auto"/>
          <w:szCs w:val="21"/>
        </w:rPr>
        <w:t>与基本分析步骤的差异；</w:t>
      </w:r>
    </w:p>
    <w:p>
      <w:pPr>
        <w:spacing w:line="264" w:lineRule="auto"/>
        <w:ind w:firstLine="403"/>
        <w:rPr>
          <w:rFonts w:ascii="宋体"/>
          <w:color w:val="auto"/>
          <w:szCs w:val="21"/>
        </w:rPr>
      </w:pPr>
      <w:r>
        <w:rPr>
          <w:color w:val="auto"/>
        </w:rPr>
        <w:t>——</w:t>
      </w:r>
      <w:r>
        <w:rPr>
          <w:rFonts w:hint="eastAsia" w:ascii="宋体"/>
          <w:color w:val="auto"/>
          <w:szCs w:val="21"/>
        </w:rPr>
        <w:t>测定中观察到的异常现象；</w:t>
      </w:r>
    </w:p>
    <w:p>
      <w:pPr>
        <w:spacing w:line="264" w:lineRule="auto"/>
        <w:ind w:firstLine="403"/>
        <w:rPr>
          <w:rFonts w:ascii="宋体" w:hAnsi="宋体"/>
          <w:color w:val="auto"/>
          <w:szCs w:val="21"/>
        </w:rPr>
      </w:pPr>
      <w:r>
        <w:rPr>
          <w:color w:val="auto"/>
        </w:rPr>
        <w:t>——</w:t>
      </w:r>
      <w:r>
        <w:rPr>
          <w:rFonts w:hint="eastAsia" w:ascii="宋体"/>
          <w:color w:val="auto"/>
          <w:szCs w:val="21"/>
        </w:rPr>
        <w:t>试验日期。</w:t>
      </w:r>
    </w:p>
    <w:p>
      <w:pPr>
        <w:rPr>
          <w:color w:val="auto"/>
          <w:u w:val="single"/>
        </w:rPr>
      </w:pPr>
    </w:p>
    <w:p>
      <w:pPr>
        <w:pStyle w:val="22"/>
        <w:spacing w:line="360" w:lineRule="exact"/>
        <w:rPr>
          <w:color w:val="auto"/>
        </w:rPr>
      </w:pPr>
      <w:bookmarkStart w:id="5" w:name="_GoBack"/>
      <w:bookmarkEnd w:id="5"/>
    </w:p>
    <w:sectPr>
      <w:footerReference r:id="rId13" w:type="default"/>
      <w:footerReference r:id="rId14" w:type="even"/>
      <w:pgSz w:w="11907" w:h="16839"/>
      <w:pgMar w:top="1418" w:right="1134" w:bottom="1134" w:left="1418" w:header="1418" w:footer="851" w:gutter="0"/>
      <w:pgNumType w:start="1"/>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6"/>
      </w:rPr>
    </w:pPr>
    <w:r>
      <w:fldChar w:fldCharType="begin"/>
    </w:r>
    <w:r>
      <w:rPr>
        <w:rStyle w:val="36"/>
      </w:rPr>
      <w:instrText xml:space="preserve">PAGE  </w:instrText>
    </w:r>
    <w:r>
      <w:fldChar w:fldCharType="separate"/>
    </w:r>
    <w:r>
      <w:rPr>
        <w:rStyle w:val="36"/>
      </w:rPr>
      <w:t>29</w:t>
    </w:r>
    <w:r>
      <w:fldChar w:fldCharType="end"/>
    </w:r>
  </w:p>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6"/>
      </w:rPr>
    </w:pPr>
  </w:p>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rPr>
        <w:rStyle w:val="36"/>
      </w:rPr>
    </w:pPr>
    <w:r>
      <w:fldChar w:fldCharType="begin"/>
    </w:r>
    <w:r>
      <w:rPr>
        <w:rStyle w:val="36"/>
      </w:rPr>
      <w:instrText xml:space="preserve">PAGE  </w:instrText>
    </w:r>
    <w:r>
      <w:fldChar w:fldCharType="separate"/>
    </w:r>
    <w:r>
      <w:rPr>
        <w:rStyle w:val="36"/>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36"/>
      </w:rPr>
    </w:pPr>
    <w:r>
      <w:fldChar w:fldCharType="begin"/>
    </w:r>
    <w:r>
      <w:rPr>
        <w:rStyle w:val="36"/>
      </w:rPr>
      <w:instrText xml:space="preserve">PAGE  </w:instrText>
    </w:r>
    <w:r>
      <w:fldChar w:fldCharType="separate"/>
    </w:r>
    <w:r>
      <w:rPr>
        <w:rStyle w:val="36"/>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rPr>
        <w:rStyle w:val="36"/>
      </w:rPr>
    </w:pPr>
    <w:r>
      <w:fldChar w:fldCharType="begin"/>
    </w:r>
    <w:r>
      <w:rPr>
        <w:rStyle w:val="36"/>
      </w:rPr>
      <w:instrText xml:space="preserve">PAGE  </w:instrText>
    </w:r>
    <w:r>
      <w:fldChar w:fldCharType="separate"/>
    </w:r>
    <w:r>
      <w:rPr>
        <w:rStyle w:val="36"/>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36"/>
      </w:rPr>
    </w:pPr>
    <w:r>
      <w:fldChar w:fldCharType="begin"/>
    </w:r>
    <w:r>
      <w:rPr>
        <w:rStyle w:val="36"/>
      </w:rPr>
      <w:instrText xml:space="preserve">PAGE  </w:instrText>
    </w:r>
    <w:r>
      <w:fldChar w:fldCharType="separate"/>
    </w:r>
    <w:r>
      <w:rPr>
        <w:rStyle w:val="36"/>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eastAsia="黑体"/>
      </w:rPr>
    </w:pPr>
    <w:r>
      <w:rPr>
        <w:rFonts w:hint="eastAsia" w:ascii="黑体" w:eastAsia="黑体"/>
      </w:rPr>
      <w:t xml:space="preserve">YS/T 273.7-202X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ind w:firstLine="7770" w:firstLineChars="3700"/>
      <w:rPr>
        <w:rFonts w:ascii="黑体" w:eastAsia="黑体"/>
      </w:rPr>
    </w:pPr>
    <w:r>
      <w:rPr>
        <w:rFonts w:hint="eastAsia" w:ascii="黑体" w:eastAsia="黑体"/>
      </w:rPr>
      <w:t>YS/T 273.7-202X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0"/>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82"/>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9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8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95"/>
      <w:suff w:val="nothing"/>
      <w:lvlText w:val="附　录　%1"/>
      <w:lvlJc w:val="left"/>
      <w:pPr>
        <w:ind w:left="0" w:firstLine="0"/>
      </w:pPr>
      <w:rPr>
        <w:rFonts w:hint="eastAsia" w:ascii="黑体" w:hAnsi="Times New Roman" w:eastAsia="黑体"/>
        <w:b w:val="0"/>
        <w:i w:val="0"/>
        <w:sz w:val="21"/>
      </w:rPr>
    </w:lvl>
    <w:lvl w:ilvl="1" w:tentative="0">
      <w:start w:val="1"/>
      <w:numFmt w:val="decimal"/>
      <w:pStyle w:val="7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6"/>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73"/>
      <w:suff w:val="nothing"/>
      <w:lvlText w:val="%1.%2.%3.%4.%5.%6　"/>
      <w:lvlJc w:val="left"/>
      <w:pPr>
        <w:ind w:left="0" w:firstLine="0"/>
      </w:pPr>
      <w:rPr>
        <w:rFonts w:hint="eastAsia" w:ascii="黑体" w:hAnsi="Times New Roman" w:eastAsia="黑体"/>
        <w:b w:val="0"/>
        <w:i w:val="0"/>
        <w:sz w:val="21"/>
      </w:rPr>
    </w:lvl>
    <w:lvl w:ilvl="6" w:tentative="0">
      <w:start w:val="1"/>
      <w:numFmt w:val="decimal"/>
      <w:pStyle w:val="8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68"/>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6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9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10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0"/>
  </w:num>
  <w:num w:numId="3">
    <w:abstractNumId w:val="6"/>
  </w:num>
  <w:num w:numId="4">
    <w:abstractNumId w:val="2"/>
  </w:num>
  <w:num w:numId="5">
    <w:abstractNumId w:val="4"/>
  </w:num>
  <w:num w:numId="6">
    <w:abstractNumId w:val="5"/>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2"/>
  <w:drawingGridVerticalSpacing w:val="15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0E2A"/>
    <w:rsid w:val="00014448"/>
    <w:rsid w:val="00015F33"/>
    <w:rsid w:val="000226B9"/>
    <w:rsid w:val="000311C4"/>
    <w:rsid w:val="000326EA"/>
    <w:rsid w:val="00040F9A"/>
    <w:rsid w:val="0007023D"/>
    <w:rsid w:val="00073468"/>
    <w:rsid w:val="000773B8"/>
    <w:rsid w:val="00080CF4"/>
    <w:rsid w:val="00092E34"/>
    <w:rsid w:val="00092ECF"/>
    <w:rsid w:val="0009396D"/>
    <w:rsid w:val="000C3ED3"/>
    <w:rsid w:val="000C7950"/>
    <w:rsid w:val="000D7D1E"/>
    <w:rsid w:val="00104A2B"/>
    <w:rsid w:val="00110896"/>
    <w:rsid w:val="00116DD3"/>
    <w:rsid w:val="001462E6"/>
    <w:rsid w:val="0015584F"/>
    <w:rsid w:val="00156A4C"/>
    <w:rsid w:val="00182AF7"/>
    <w:rsid w:val="0018693F"/>
    <w:rsid w:val="001A5771"/>
    <w:rsid w:val="001C235A"/>
    <w:rsid w:val="001D2A5A"/>
    <w:rsid w:val="001F261C"/>
    <w:rsid w:val="002000AF"/>
    <w:rsid w:val="002017A8"/>
    <w:rsid w:val="00203079"/>
    <w:rsid w:val="002102EE"/>
    <w:rsid w:val="00212086"/>
    <w:rsid w:val="00213EE9"/>
    <w:rsid w:val="0021758F"/>
    <w:rsid w:val="002222DE"/>
    <w:rsid w:val="0022296A"/>
    <w:rsid w:val="002339EC"/>
    <w:rsid w:val="00240270"/>
    <w:rsid w:val="00251982"/>
    <w:rsid w:val="00265C3D"/>
    <w:rsid w:val="00280598"/>
    <w:rsid w:val="00286BC6"/>
    <w:rsid w:val="002952F7"/>
    <w:rsid w:val="002A6C4B"/>
    <w:rsid w:val="002B5602"/>
    <w:rsid w:val="002D4D1F"/>
    <w:rsid w:val="002D52B8"/>
    <w:rsid w:val="002E0BBF"/>
    <w:rsid w:val="002F798F"/>
    <w:rsid w:val="0032476B"/>
    <w:rsid w:val="00334941"/>
    <w:rsid w:val="00347B26"/>
    <w:rsid w:val="003563A0"/>
    <w:rsid w:val="00357CEE"/>
    <w:rsid w:val="00357D19"/>
    <w:rsid w:val="00361507"/>
    <w:rsid w:val="00370F18"/>
    <w:rsid w:val="003A536F"/>
    <w:rsid w:val="003B3509"/>
    <w:rsid w:val="003D30BE"/>
    <w:rsid w:val="003D383E"/>
    <w:rsid w:val="003E4966"/>
    <w:rsid w:val="003E4C03"/>
    <w:rsid w:val="004052D5"/>
    <w:rsid w:val="004100DD"/>
    <w:rsid w:val="00422F5D"/>
    <w:rsid w:val="00445874"/>
    <w:rsid w:val="00445A82"/>
    <w:rsid w:val="004547DA"/>
    <w:rsid w:val="00464A65"/>
    <w:rsid w:val="0047595E"/>
    <w:rsid w:val="00477C4E"/>
    <w:rsid w:val="004967DD"/>
    <w:rsid w:val="004B4D0A"/>
    <w:rsid w:val="004B6E73"/>
    <w:rsid w:val="004B6FDE"/>
    <w:rsid w:val="004D6517"/>
    <w:rsid w:val="004F417D"/>
    <w:rsid w:val="005109EA"/>
    <w:rsid w:val="0052150C"/>
    <w:rsid w:val="00533A30"/>
    <w:rsid w:val="00544539"/>
    <w:rsid w:val="00565702"/>
    <w:rsid w:val="00565915"/>
    <w:rsid w:val="0056743E"/>
    <w:rsid w:val="00576FA4"/>
    <w:rsid w:val="00596B7C"/>
    <w:rsid w:val="005A632B"/>
    <w:rsid w:val="005B5775"/>
    <w:rsid w:val="005B7B3E"/>
    <w:rsid w:val="005C1CD1"/>
    <w:rsid w:val="005F2675"/>
    <w:rsid w:val="005F567B"/>
    <w:rsid w:val="00643501"/>
    <w:rsid w:val="00643C21"/>
    <w:rsid w:val="00670225"/>
    <w:rsid w:val="00680F15"/>
    <w:rsid w:val="00681245"/>
    <w:rsid w:val="00685FFE"/>
    <w:rsid w:val="00687DD1"/>
    <w:rsid w:val="006933A7"/>
    <w:rsid w:val="006C5FDC"/>
    <w:rsid w:val="006D000B"/>
    <w:rsid w:val="006D23B2"/>
    <w:rsid w:val="0071675F"/>
    <w:rsid w:val="00730E2D"/>
    <w:rsid w:val="0074106D"/>
    <w:rsid w:val="0074631D"/>
    <w:rsid w:val="0075445E"/>
    <w:rsid w:val="00755A32"/>
    <w:rsid w:val="00763DFA"/>
    <w:rsid w:val="007721F9"/>
    <w:rsid w:val="007723F1"/>
    <w:rsid w:val="00783434"/>
    <w:rsid w:val="00783D17"/>
    <w:rsid w:val="007855C5"/>
    <w:rsid w:val="007949DE"/>
    <w:rsid w:val="00794DB3"/>
    <w:rsid w:val="007A5EEC"/>
    <w:rsid w:val="007B534A"/>
    <w:rsid w:val="007F4135"/>
    <w:rsid w:val="008027E5"/>
    <w:rsid w:val="0082361F"/>
    <w:rsid w:val="00840F8D"/>
    <w:rsid w:val="00855265"/>
    <w:rsid w:val="008666A9"/>
    <w:rsid w:val="008701AA"/>
    <w:rsid w:val="0087169C"/>
    <w:rsid w:val="0088008E"/>
    <w:rsid w:val="00883BFA"/>
    <w:rsid w:val="00893908"/>
    <w:rsid w:val="0089405D"/>
    <w:rsid w:val="008944F4"/>
    <w:rsid w:val="008A222F"/>
    <w:rsid w:val="008B0EB4"/>
    <w:rsid w:val="008D30FC"/>
    <w:rsid w:val="008D57D0"/>
    <w:rsid w:val="008E310E"/>
    <w:rsid w:val="008F02E1"/>
    <w:rsid w:val="008F4E4A"/>
    <w:rsid w:val="008F5C40"/>
    <w:rsid w:val="008F707A"/>
    <w:rsid w:val="00902A53"/>
    <w:rsid w:val="00954D4B"/>
    <w:rsid w:val="00957E4C"/>
    <w:rsid w:val="00966383"/>
    <w:rsid w:val="00992A1B"/>
    <w:rsid w:val="009D75E3"/>
    <w:rsid w:val="009E2DD1"/>
    <w:rsid w:val="009E64E8"/>
    <w:rsid w:val="009F13A3"/>
    <w:rsid w:val="00A17367"/>
    <w:rsid w:val="00A17E2F"/>
    <w:rsid w:val="00A24AD6"/>
    <w:rsid w:val="00A274BC"/>
    <w:rsid w:val="00A30639"/>
    <w:rsid w:val="00A41D14"/>
    <w:rsid w:val="00A42AE7"/>
    <w:rsid w:val="00A641CD"/>
    <w:rsid w:val="00A730AA"/>
    <w:rsid w:val="00A7355D"/>
    <w:rsid w:val="00A7405D"/>
    <w:rsid w:val="00A95E1F"/>
    <w:rsid w:val="00AA17C0"/>
    <w:rsid w:val="00AA2B4F"/>
    <w:rsid w:val="00AA2CB9"/>
    <w:rsid w:val="00AC3783"/>
    <w:rsid w:val="00AC37E4"/>
    <w:rsid w:val="00AC54DD"/>
    <w:rsid w:val="00AC6C52"/>
    <w:rsid w:val="00AF28F9"/>
    <w:rsid w:val="00AF4929"/>
    <w:rsid w:val="00AF4ED1"/>
    <w:rsid w:val="00B11DFA"/>
    <w:rsid w:val="00B24424"/>
    <w:rsid w:val="00B31EDC"/>
    <w:rsid w:val="00B37797"/>
    <w:rsid w:val="00B42735"/>
    <w:rsid w:val="00B66A82"/>
    <w:rsid w:val="00B84812"/>
    <w:rsid w:val="00B908D0"/>
    <w:rsid w:val="00B9103B"/>
    <w:rsid w:val="00BA567D"/>
    <w:rsid w:val="00BA62D1"/>
    <w:rsid w:val="00BC2912"/>
    <w:rsid w:val="00BC46D8"/>
    <w:rsid w:val="00BC4DA7"/>
    <w:rsid w:val="00BC5FDE"/>
    <w:rsid w:val="00C01192"/>
    <w:rsid w:val="00C03266"/>
    <w:rsid w:val="00C211CF"/>
    <w:rsid w:val="00C30D91"/>
    <w:rsid w:val="00C50E5F"/>
    <w:rsid w:val="00C65851"/>
    <w:rsid w:val="00C6725F"/>
    <w:rsid w:val="00C74E25"/>
    <w:rsid w:val="00C76469"/>
    <w:rsid w:val="00C8309D"/>
    <w:rsid w:val="00C8342C"/>
    <w:rsid w:val="00C90A71"/>
    <w:rsid w:val="00C94037"/>
    <w:rsid w:val="00CE7999"/>
    <w:rsid w:val="00CF0569"/>
    <w:rsid w:val="00D0089B"/>
    <w:rsid w:val="00D0581F"/>
    <w:rsid w:val="00D06DBA"/>
    <w:rsid w:val="00D376B5"/>
    <w:rsid w:val="00D41867"/>
    <w:rsid w:val="00D50A40"/>
    <w:rsid w:val="00D5101A"/>
    <w:rsid w:val="00D528EF"/>
    <w:rsid w:val="00D74B0A"/>
    <w:rsid w:val="00D7515F"/>
    <w:rsid w:val="00D87C8E"/>
    <w:rsid w:val="00D96D1C"/>
    <w:rsid w:val="00DB4F79"/>
    <w:rsid w:val="00DD0E2A"/>
    <w:rsid w:val="00DD5A9A"/>
    <w:rsid w:val="00DD6D27"/>
    <w:rsid w:val="00DF6A61"/>
    <w:rsid w:val="00E223ED"/>
    <w:rsid w:val="00E25EC1"/>
    <w:rsid w:val="00E433A9"/>
    <w:rsid w:val="00E4482E"/>
    <w:rsid w:val="00E5309A"/>
    <w:rsid w:val="00E5372E"/>
    <w:rsid w:val="00E90C8F"/>
    <w:rsid w:val="00E93A1C"/>
    <w:rsid w:val="00EA3761"/>
    <w:rsid w:val="00EC24E8"/>
    <w:rsid w:val="00EC3452"/>
    <w:rsid w:val="00ED64D6"/>
    <w:rsid w:val="00EF1440"/>
    <w:rsid w:val="00EF1FFA"/>
    <w:rsid w:val="00F20C60"/>
    <w:rsid w:val="00F21EA5"/>
    <w:rsid w:val="00F365CE"/>
    <w:rsid w:val="00F479AC"/>
    <w:rsid w:val="00F54414"/>
    <w:rsid w:val="00F5516C"/>
    <w:rsid w:val="00F577B8"/>
    <w:rsid w:val="00F72043"/>
    <w:rsid w:val="00F80917"/>
    <w:rsid w:val="00F91885"/>
    <w:rsid w:val="00F92B40"/>
    <w:rsid w:val="00FB0BA8"/>
    <w:rsid w:val="00FC1E4D"/>
    <w:rsid w:val="00FE5A2E"/>
    <w:rsid w:val="00FF1AE2"/>
    <w:rsid w:val="01881C3D"/>
    <w:rsid w:val="01B75249"/>
    <w:rsid w:val="01EF70F7"/>
    <w:rsid w:val="02515880"/>
    <w:rsid w:val="027471E3"/>
    <w:rsid w:val="02C366F7"/>
    <w:rsid w:val="0328510B"/>
    <w:rsid w:val="03B72ACC"/>
    <w:rsid w:val="03BB23F8"/>
    <w:rsid w:val="03E8123A"/>
    <w:rsid w:val="0437137D"/>
    <w:rsid w:val="04DC63AB"/>
    <w:rsid w:val="04E95DC5"/>
    <w:rsid w:val="050827A1"/>
    <w:rsid w:val="056918D0"/>
    <w:rsid w:val="06E14890"/>
    <w:rsid w:val="06F86451"/>
    <w:rsid w:val="08BB06F8"/>
    <w:rsid w:val="090D2646"/>
    <w:rsid w:val="09835D1E"/>
    <w:rsid w:val="0A281059"/>
    <w:rsid w:val="0A584C6E"/>
    <w:rsid w:val="0A7D1D38"/>
    <w:rsid w:val="0A8C47EC"/>
    <w:rsid w:val="0C166404"/>
    <w:rsid w:val="0C806F21"/>
    <w:rsid w:val="0CC50C04"/>
    <w:rsid w:val="0CE745B1"/>
    <w:rsid w:val="0CF440FC"/>
    <w:rsid w:val="0D1D1D02"/>
    <w:rsid w:val="0D6B171A"/>
    <w:rsid w:val="0F8974C4"/>
    <w:rsid w:val="0FBD160E"/>
    <w:rsid w:val="104E4C65"/>
    <w:rsid w:val="10545038"/>
    <w:rsid w:val="1087226B"/>
    <w:rsid w:val="113F3AFA"/>
    <w:rsid w:val="12306DBF"/>
    <w:rsid w:val="147A239E"/>
    <w:rsid w:val="154306C6"/>
    <w:rsid w:val="154A6590"/>
    <w:rsid w:val="15B22016"/>
    <w:rsid w:val="164D20D0"/>
    <w:rsid w:val="1901197E"/>
    <w:rsid w:val="19590F15"/>
    <w:rsid w:val="1A0E72C6"/>
    <w:rsid w:val="1AA25558"/>
    <w:rsid w:val="1AB94B3B"/>
    <w:rsid w:val="1ABB2C04"/>
    <w:rsid w:val="1ADB77D2"/>
    <w:rsid w:val="1D390F71"/>
    <w:rsid w:val="1DE32CDB"/>
    <w:rsid w:val="1EBC78E9"/>
    <w:rsid w:val="1F173493"/>
    <w:rsid w:val="1F540F98"/>
    <w:rsid w:val="1F824DF5"/>
    <w:rsid w:val="1FC47E79"/>
    <w:rsid w:val="20326550"/>
    <w:rsid w:val="20F518BB"/>
    <w:rsid w:val="21344F8D"/>
    <w:rsid w:val="21E7016E"/>
    <w:rsid w:val="22386142"/>
    <w:rsid w:val="23222259"/>
    <w:rsid w:val="233F38B0"/>
    <w:rsid w:val="23704D8D"/>
    <w:rsid w:val="238C1A16"/>
    <w:rsid w:val="2425799A"/>
    <w:rsid w:val="24484368"/>
    <w:rsid w:val="250D0942"/>
    <w:rsid w:val="253368C5"/>
    <w:rsid w:val="253957EB"/>
    <w:rsid w:val="25962960"/>
    <w:rsid w:val="26315D7E"/>
    <w:rsid w:val="276155F2"/>
    <w:rsid w:val="27A568C9"/>
    <w:rsid w:val="281F273A"/>
    <w:rsid w:val="28601407"/>
    <w:rsid w:val="29652010"/>
    <w:rsid w:val="29B77387"/>
    <w:rsid w:val="2A1F510C"/>
    <w:rsid w:val="2A450282"/>
    <w:rsid w:val="2A8E5F44"/>
    <w:rsid w:val="2C41246E"/>
    <w:rsid w:val="2D2D5CD9"/>
    <w:rsid w:val="2EC40DCF"/>
    <w:rsid w:val="2F1C531C"/>
    <w:rsid w:val="2F347207"/>
    <w:rsid w:val="2F9E0E26"/>
    <w:rsid w:val="2FBD0F88"/>
    <w:rsid w:val="314172EA"/>
    <w:rsid w:val="31602AB6"/>
    <w:rsid w:val="31A61D09"/>
    <w:rsid w:val="32737C77"/>
    <w:rsid w:val="32F07C6D"/>
    <w:rsid w:val="32F20AB1"/>
    <w:rsid w:val="32FA1AC5"/>
    <w:rsid w:val="33112FA0"/>
    <w:rsid w:val="331634BD"/>
    <w:rsid w:val="331E025F"/>
    <w:rsid w:val="33F1442E"/>
    <w:rsid w:val="35075DB8"/>
    <w:rsid w:val="35175729"/>
    <w:rsid w:val="35392D4B"/>
    <w:rsid w:val="35CE06D0"/>
    <w:rsid w:val="35E35C3B"/>
    <w:rsid w:val="35F67B54"/>
    <w:rsid w:val="36321F8B"/>
    <w:rsid w:val="379071AF"/>
    <w:rsid w:val="39810892"/>
    <w:rsid w:val="3B2A05C6"/>
    <w:rsid w:val="3BA95657"/>
    <w:rsid w:val="3C824707"/>
    <w:rsid w:val="3D9B63BF"/>
    <w:rsid w:val="3E1A404C"/>
    <w:rsid w:val="3E2A0580"/>
    <w:rsid w:val="3E8F0714"/>
    <w:rsid w:val="3E933C5D"/>
    <w:rsid w:val="3F4061C3"/>
    <w:rsid w:val="3F940E18"/>
    <w:rsid w:val="3FA5372C"/>
    <w:rsid w:val="4085022D"/>
    <w:rsid w:val="415A5F6A"/>
    <w:rsid w:val="426B6C03"/>
    <w:rsid w:val="42AB07B3"/>
    <w:rsid w:val="43714DC6"/>
    <w:rsid w:val="445B6EC2"/>
    <w:rsid w:val="446C0DBA"/>
    <w:rsid w:val="455E0486"/>
    <w:rsid w:val="46401791"/>
    <w:rsid w:val="46AC7516"/>
    <w:rsid w:val="46FA5790"/>
    <w:rsid w:val="47220A27"/>
    <w:rsid w:val="47333F5B"/>
    <w:rsid w:val="484C1A1F"/>
    <w:rsid w:val="485F5E32"/>
    <w:rsid w:val="486E3C63"/>
    <w:rsid w:val="494A6F15"/>
    <w:rsid w:val="49636C6F"/>
    <w:rsid w:val="4A646825"/>
    <w:rsid w:val="4B3B0401"/>
    <w:rsid w:val="4B5F72F9"/>
    <w:rsid w:val="4B733ADB"/>
    <w:rsid w:val="4B926B5A"/>
    <w:rsid w:val="4CC46711"/>
    <w:rsid w:val="4EC10F8E"/>
    <w:rsid w:val="4FD865E1"/>
    <w:rsid w:val="5070171B"/>
    <w:rsid w:val="509267CF"/>
    <w:rsid w:val="50AF6AE9"/>
    <w:rsid w:val="5118388D"/>
    <w:rsid w:val="527A1836"/>
    <w:rsid w:val="52F8477A"/>
    <w:rsid w:val="53672E9F"/>
    <w:rsid w:val="538F404D"/>
    <w:rsid w:val="53AD5623"/>
    <w:rsid w:val="53E76AE7"/>
    <w:rsid w:val="547946B5"/>
    <w:rsid w:val="54D61191"/>
    <w:rsid w:val="55372005"/>
    <w:rsid w:val="5583461F"/>
    <w:rsid w:val="55CC201E"/>
    <w:rsid w:val="55DB1451"/>
    <w:rsid w:val="56094BCE"/>
    <w:rsid w:val="56350251"/>
    <w:rsid w:val="56382DD0"/>
    <w:rsid w:val="567D3E0D"/>
    <w:rsid w:val="56C91ED9"/>
    <w:rsid w:val="57BF15D6"/>
    <w:rsid w:val="588268D3"/>
    <w:rsid w:val="58B95925"/>
    <w:rsid w:val="5968550B"/>
    <w:rsid w:val="59D7761B"/>
    <w:rsid w:val="5A2D6363"/>
    <w:rsid w:val="5B985BFA"/>
    <w:rsid w:val="5CB56F1C"/>
    <w:rsid w:val="5DBF1CA0"/>
    <w:rsid w:val="5E7814FB"/>
    <w:rsid w:val="5E9A1464"/>
    <w:rsid w:val="5ECB7820"/>
    <w:rsid w:val="5EEA6C93"/>
    <w:rsid w:val="5F105848"/>
    <w:rsid w:val="5F914DE0"/>
    <w:rsid w:val="5FAD222A"/>
    <w:rsid w:val="608A385A"/>
    <w:rsid w:val="62271D9E"/>
    <w:rsid w:val="62B829BE"/>
    <w:rsid w:val="62C639BF"/>
    <w:rsid w:val="630812EE"/>
    <w:rsid w:val="633424F1"/>
    <w:rsid w:val="638940B3"/>
    <w:rsid w:val="63CE757B"/>
    <w:rsid w:val="640C3D50"/>
    <w:rsid w:val="65A82BAE"/>
    <w:rsid w:val="65B344E6"/>
    <w:rsid w:val="65EE3ED4"/>
    <w:rsid w:val="66B17A52"/>
    <w:rsid w:val="66FA7950"/>
    <w:rsid w:val="67BE4DD9"/>
    <w:rsid w:val="69B4036D"/>
    <w:rsid w:val="6A083392"/>
    <w:rsid w:val="6A133589"/>
    <w:rsid w:val="6B272274"/>
    <w:rsid w:val="6BC15C98"/>
    <w:rsid w:val="6BEC18A5"/>
    <w:rsid w:val="6D75633E"/>
    <w:rsid w:val="6DBE2DDB"/>
    <w:rsid w:val="6DE556DB"/>
    <w:rsid w:val="6EA04F51"/>
    <w:rsid w:val="6F9562A5"/>
    <w:rsid w:val="6FA102F3"/>
    <w:rsid w:val="6FAF640D"/>
    <w:rsid w:val="6FC85060"/>
    <w:rsid w:val="70662FFE"/>
    <w:rsid w:val="70EC1249"/>
    <w:rsid w:val="71093391"/>
    <w:rsid w:val="71436D60"/>
    <w:rsid w:val="71D2332D"/>
    <w:rsid w:val="72017FDE"/>
    <w:rsid w:val="721A0534"/>
    <w:rsid w:val="722761F4"/>
    <w:rsid w:val="72EC21EE"/>
    <w:rsid w:val="73C4752C"/>
    <w:rsid w:val="75BA4F26"/>
    <w:rsid w:val="76B04450"/>
    <w:rsid w:val="78234ED6"/>
    <w:rsid w:val="79B95172"/>
    <w:rsid w:val="7A7315E8"/>
    <w:rsid w:val="7ABA2F1F"/>
    <w:rsid w:val="7B081C39"/>
    <w:rsid w:val="7BB159B6"/>
    <w:rsid w:val="7C0B7A7C"/>
    <w:rsid w:val="7C3655C3"/>
    <w:rsid w:val="7CD8347B"/>
    <w:rsid w:val="7D073CE1"/>
    <w:rsid w:val="7DE771B4"/>
    <w:rsid w:val="7EEB6F36"/>
    <w:rsid w:val="7F1D298A"/>
    <w:rsid w:val="7F8B3A70"/>
    <w:rsid w:val="7F935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uiPriority w:val="0"/>
  </w:style>
  <w:style w:type="paragraph" w:styleId="13">
    <w:name w:val="toc 5"/>
    <w:basedOn w:val="14"/>
    <w:next w:val="1"/>
    <w:semiHidden/>
    <w:uiPriority w:val="0"/>
  </w:style>
  <w:style w:type="paragraph" w:styleId="14">
    <w:name w:val="toc 4"/>
    <w:basedOn w:val="15"/>
    <w:next w:val="1"/>
    <w:semiHidden/>
    <w:uiPriority w:val="0"/>
  </w:style>
  <w:style w:type="paragraph" w:styleId="15">
    <w:name w:val="toc 3"/>
    <w:basedOn w:val="16"/>
    <w:next w:val="1"/>
    <w:semiHidden/>
    <w:uiPriority w:val="0"/>
  </w:style>
  <w:style w:type="paragraph" w:styleId="16">
    <w:name w:val="toc 2"/>
    <w:basedOn w:val="17"/>
    <w:next w:val="1"/>
    <w:semiHidden/>
    <w:uiPriority w:val="0"/>
  </w:style>
  <w:style w:type="paragraph" w:styleId="17">
    <w:name w:val="toc 1"/>
    <w:next w:val="1"/>
    <w:semiHidden/>
    <w:uiPriority w:val="0"/>
    <w:pPr>
      <w:jc w:val="both"/>
    </w:pPr>
    <w:rPr>
      <w:rFonts w:ascii="宋体" w:hAnsi="Times New Roman" w:eastAsia="宋体" w:cs="Times New Roman"/>
      <w:sz w:val="21"/>
      <w:lang w:val="en-US" w:eastAsia="zh-CN" w:bidi="ar-SA"/>
    </w:rPr>
  </w:style>
  <w:style w:type="paragraph" w:styleId="18">
    <w:name w:val="Normal Indent"/>
    <w:basedOn w:val="1"/>
    <w:uiPriority w:val="0"/>
    <w:pPr>
      <w:ind w:firstLine="420" w:firstLineChars="200"/>
    </w:pPr>
  </w:style>
  <w:style w:type="paragraph" w:styleId="19">
    <w:name w:val="Body Text"/>
    <w:basedOn w:val="1"/>
    <w:uiPriority w:val="0"/>
    <w:pPr>
      <w:spacing w:after="120"/>
    </w:pPr>
  </w:style>
  <w:style w:type="paragraph" w:styleId="20">
    <w:name w:val="Body Text Indent"/>
    <w:basedOn w:val="1"/>
    <w:uiPriority w:val="0"/>
    <w:pPr>
      <w:spacing w:line="360" w:lineRule="auto"/>
      <w:ind w:firstLine="420" w:firstLineChars="200"/>
    </w:pPr>
  </w:style>
  <w:style w:type="paragraph" w:styleId="21">
    <w:name w:val="HTML Address"/>
    <w:basedOn w:val="1"/>
    <w:uiPriority w:val="0"/>
    <w:rPr>
      <w:i/>
      <w:iCs/>
    </w:rPr>
  </w:style>
  <w:style w:type="paragraph" w:styleId="22">
    <w:name w:val="Plain Text"/>
    <w:basedOn w:val="1"/>
    <w:uiPriority w:val="0"/>
    <w:rPr>
      <w:rFonts w:ascii="宋体" w:hAnsi="Courier New"/>
      <w:szCs w:val="20"/>
    </w:rPr>
  </w:style>
  <w:style w:type="paragraph" w:styleId="23">
    <w:name w:val="toc 8"/>
    <w:basedOn w:val="11"/>
    <w:next w:val="1"/>
    <w:semiHidden/>
    <w:uiPriority w:val="0"/>
  </w:style>
  <w:style w:type="paragraph" w:styleId="24">
    <w:name w:val="Balloon Text"/>
    <w:basedOn w:val="1"/>
    <w:semiHidden/>
    <w:uiPriority w:val="0"/>
    <w:rPr>
      <w:sz w:val="18"/>
      <w:szCs w:val="18"/>
    </w:rPr>
  </w:style>
  <w:style w:type="paragraph" w:styleId="25">
    <w:name w:val="footer"/>
    <w:basedOn w:val="1"/>
    <w:uiPriority w:val="0"/>
    <w:pPr>
      <w:tabs>
        <w:tab w:val="center" w:pos="4153"/>
        <w:tab w:val="right" w:pos="8306"/>
      </w:tabs>
      <w:snapToGrid w:val="0"/>
      <w:ind w:right="210" w:rightChars="100"/>
      <w:jc w:val="right"/>
    </w:pPr>
    <w:rPr>
      <w:sz w:val="18"/>
      <w:szCs w:val="18"/>
    </w:rPr>
  </w:style>
  <w:style w:type="paragraph" w:styleId="2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uiPriority w:val="0"/>
    <w:pPr>
      <w:snapToGrid w:val="0"/>
      <w:jc w:val="left"/>
    </w:pPr>
    <w:rPr>
      <w:sz w:val="18"/>
      <w:szCs w:val="18"/>
    </w:rPr>
  </w:style>
  <w:style w:type="paragraph" w:styleId="28">
    <w:name w:val="Body Text Indent 3"/>
    <w:basedOn w:val="1"/>
    <w:uiPriority w:val="0"/>
    <w:pPr>
      <w:spacing w:after="120"/>
      <w:ind w:left="420" w:leftChars="200"/>
    </w:pPr>
    <w:rPr>
      <w:sz w:val="16"/>
      <w:szCs w:val="16"/>
    </w:rPr>
  </w:style>
  <w:style w:type="paragraph" w:styleId="29">
    <w:name w:val="toc 9"/>
    <w:basedOn w:val="23"/>
    <w:next w:val="1"/>
    <w:semiHidden/>
    <w:uiPriority w:val="0"/>
  </w:style>
  <w:style w:type="paragraph" w:styleId="30">
    <w:name w:val="HTML Preformatted"/>
    <w:basedOn w:val="1"/>
    <w:uiPriority w:val="0"/>
    <w:rPr>
      <w:rFonts w:ascii="Courier New" w:hAnsi="Courier New" w:cs="Courier New"/>
      <w:sz w:val="20"/>
      <w:szCs w:val="20"/>
    </w:rPr>
  </w:style>
  <w:style w:type="paragraph" w:styleId="31">
    <w:name w:val="Title"/>
    <w:basedOn w:val="1"/>
    <w:qFormat/>
    <w:uiPriority w:val="0"/>
    <w:pPr>
      <w:spacing w:before="240" w:after="60"/>
      <w:jc w:val="center"/>
      <w:outlineLvl w:val="0"/>
    </w:pPr>
    <w:rPr>
      <w:rFonts w:ascii="Arial" w:hAnsi="Arial" w:cs="Arial"/>
      <w:b/>
      <w:bCs/>
      <w:sz w:val="32"/>
      <w:szCs w:val="32"/>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uiPriority w:val="0"/>
    <w:rPr>
      <w:rFonts w:ascii="Times New Roman" w:hAnsi="Times New Roman" w:eastAsia="宋体"/>
      <w:sz w:val="18"/>
    </w:rPr>
  </w:style>
  <w:style w:type="character" w:styleId="37">
    <w:name w:val="FollowedHyperlink"/>
    <w:basedOn w:val="34"/>
    <w:uiPriority w:val="0"/>
    <w:rPr>
      <w:color w:val="800080"/>
      <w:u w:val="single"/>
    </w:rPr>
  </w:style>
  <w:style w:type="character" w:styleId="38">
    <w:name w:val="HTML Definition"/>
    <w:basedOn w:val="34"/>
    <w:uiPriority w:val="0"/>
    <w:rPr>
      <w:i/>
      <w:iCs/>
    </w:rPr>
  </w:style>
  <w:style w:type="character" w:styleId="39">
    <w:name w:val="HTML Typewriter"/>
    <w:basedOn w:val="34"/>
    <w:uiPriority w:val="0"/>
    <w:rPr>
      <w:rFonts w:ascii="Courier New" w:hAnsi="Courier New"/>
      <w:sz w:val="20"/>
      <w:szCs w:val="20"/>
    </w:rPr>
  </w:style>
  <w:style w:type="character" w:styleId="40">
    <w:name w:val="HTML Acronym"/>
    <w:basedOn w:val="34"/>
    <w:uiPriority w:val="0"/>
  </w:style>
  <w:style w:type="character" w:styleId="41">
    <w:name w:val="HTML Variable"/>
    <w:basedOn w:val="34"/>
    <w:uiPriority w:val="0"/>
    <w:rPr>
      <w:i/>
      <w:iCs/>
    </w:rPr>
  </w:style>
  <w:style w:type="character" w:styleId="42">
    <w:name w:val="Hyperlink"/>
    <w:uiPriority w:val="0"/>
    <w:rPr>
      <w:rFonts w:ascii="Times New Roman" w:hAnsi="Times New Roman" w:eastAsia="宋体"/>
      <w:color w:val="auto"/>
      <w:spacing w:val="0"/>
      <w:w w:val="100"/>
      <w:position w:val="0"/>
      <w:sz w:val="21"/>
      <w:u w:val="none"/>
      <w:vertAlign w:val="baseline"/>
    </w:rPr>
  </w:style>
  <w:style w:type="character" w:styleId="43">
    <w:name w:val="HTML Code"/>
    <w:basedOn w:val="34"/>
    <w:uiPriority w:val="0"/>
    <w:rPr>
      <w:rFonts w:ascii="Courier New" w:hAnsi="Courier New"/>
      <w:sz w:val="20"/>
      <w:szCs w:val="20"/>
    </w:rPr>
  </w:style>
  <w:style w:type="character" w:styleId="44">
    <w:name w:val="HTML Cite"/>
    <w:basedOn w:val="34"/>
    <w:qFormat/>
    <w:uiPriority w:val="0"/>
    <w:rPr>
      <w:i/>
      <w:iCs/>
    </w:rPr>
  </w:style>
  <w:style w:type="character" w:styleId="45">
    <w:name w:val="footnote reference"/>
    <w:basedOn w:val="34"/>
    <w:semiHidden/>
    <w:uiPriority w:val="0"/>
    <w:rPr>
      <w:vertAlign w:val="superscript"/>
    </w:rPr>
  </w:style>
  <w:style w:type="character" w:styleId="46">
    <w:name w:val="HTML Keyboard"/>
    <w:basedOn w:val="34"/>
    <w:uiPriority w:val="0"/>
    <w:rPr>
      <w:rFonts w:ascii="Courier New" w:hAnsi="Courier New"/>
      <w:sz w:val="20"/>
      <w:szCs w:val="20"/>
    </w:rPr>
  </w:style>
  <w:style w:type="character" w:styleId="47">
    <w:name w:val="HTML Sample"/>
    <w:basedOn w:val="34"/>
    <w:uiPriority w:val="0"/>
    <w:rPr>
      <w:rFonts w:ascii="Courier New" w:hAnsi="Courier New"/>
    </w:rPr>
  </w:style>
  <w:style w:type="character" w:customStyle="1" w:styleId="48">
    <w:name w:val="个人撰写风格"/>
    <w:basedOn w:val="34"/>
    <w:uiPriority w:val="0"/>
    <w:rPr>
      <w:rFonts w:ascii="Arial" w:hAnsi="Arial" w:eastAsia="宋体" w:cs="Arial"/>
      <w:color w:val="auto"/>
      <w:sz w:val="20"/>
    </w:rPr>
  </w:style>
  <w:style w:type="character" w:customStyle="1" w:styleId="49">
    <w:name w:val="发布"/>
    <w:basedOn w:val="34"/>
    <w:uiPriority w:val="0"/>
    <w:rPr>
      <w:rFonts w:ascii="黑体" w:eastAsia="黑体"/>
      <w:spacing w:val="22"/>
      <w:w w:val="100"/>
      <w:position w:val="3"/>
      <w:sz w:val="28"/>
    </w:rPr>
  </w:style>
  <w:style w:type="character" w:customStyle="1" w:styleId="50">
    <w:name w:val="个人答复风格"/>
    <w:basedOn w:val="34"/>
    <w:uiPriority w:val="0"/>
    <w:rPr>
      <w:rFonts w:ascii="Arial" w:hAnsi="Arial" w:eastAsia="宋体" w:cs="Arial"/>
      <w:color w:val="auto"/>
      <w:sz w:val="20"/>
    </w:rPr>
  </w:style>
  <w:style w:type="paragraph" w:customStyle="1" w:styleId="51">
    <w:name w:val="图表脚注"/>
    <w:next w:val="52"/>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52">
    <w:name w:val="段"/>
    <w:link w:val="11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55">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56">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8">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59">
    <w:name w:val="二级条标题"/>
    <w:basedOn w:val="60"/>
    <w:next w:val="52"/>
    <w:qFormat/>
    <w:uiPriority w:val="0"/>
    <w:pPr>
      <w:numPr>
        <w:ilvl w:val="3"/>
      </w:numPr>
      <w:outlineLvl w:val="3"/>
    </w:pPr>
  </w:style>
  <w:style w:type="paragraph" w:customStyle="1" w:styleId="60">
    <w:name w:val="一级条标题"/>
    <w:basedOn w:val="61"/>
    <w:next w:val="52"/>
    <w:qFormat/>
    <w:uiPriority w:val="0"/>
    <w:pPr>
      <w:numPr>
        <w:ilvl w:val="2"/>
      </w:numPr>
      <w:spacing w:beforeLines="0" w:afterLines="0"/>
      <w:outlineLvl w:val="2"/>
    </w:pPr>
  </w:style>
  <w:style w:type="paragraph" w:customStyle="1" w:styleId="61">
    <w:name w:val="章标题"/>
    <w:next w:val="52"/>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三级条标题"/>
    <w:basedOn w:val="59"/>
    <w:next w:val="52"/>
    <w:uiPriority w:val="0"/>
    <w:pPr>
      <w:numPr>
        <w:ilvl w:val="4"/>
      </w:numPr>
      <w:outlineLvl w:val="4"/>
    </w:pPr>
  </w:style>
  <w:style w:type="paragraph" w:customStyle="1" w:styleId="63">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64">
    <w:name w:val="五级条标题"/>
    <w:basedOn w:val="65"/>
    <w:next w:val="52"/>
    <w:uiPriority w:val="0"/>
    <w:pPr>
      <w:numPr>
        <w:ilvl w:val="6"/>
      </w:numPr>
      <w:outlineLvl w:val="6"/>
    </w:pPr>
  </w:style>
  <w:style w:type="paragraph" w:customStyle="1" w:styleId="65">
    <w:name w:val="四级条标题"/>
    <w:basedOn w:val="62"/>
    <w:next w:val="52"/>
    <w:uiPriority w:val="0"/>
    <w:pPr>
      <w:numPr>
        <w:ilvl w:val="5"/>
      </w:numPr>
      <w:outlineLvl w:val="5"/>
    </w:pPr>
  </w:style>
  <w:style w:type="paragraph" w:customStyle="1" w:styleId="66">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67">
    <w:name w:val="目次、标准名称标题"/>
    <w:basedOn w:val="68"/>
    <w:next w:val="52"/>
    <w:uiPriority w:val="0"/>
    <w:pPr>
      <w:numPr>
        <w:numId w:val="0"/>
      </w:numPr>
      <w:spacing w:line="460" w:lineRule="exact"/>
    </w:pPr>
  </w:style>
  <w:style w:type="paragraph" w:customStyle="1" w:styleId="6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9">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0">
    <w:name w:val="四级无标题条"/>
    <w:basedOn w:val="1"/>
    <w:qFormat/>
    <w:uiPriority w:val="0"/>
    <w:pPr>
      <w:numPr>
        <w:ilvl w:val="5"/>
        <w:numId w:val="2"/>
      </w:numPr>
    </w:pPr>
  </w:style>
  <w:style w:type="paragraph" w:customStyle="1" w:styleId="71">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三级无标题条"/>
    <w:basedOn w:val="1"/>
    <w:qFormat/>
    <w:uiPriority w:val="0"/>
    <w:pPr>
      <w:numPr>
        <w:ilvl w:val="4"/>
        <w:numId w:val="2"/>
      </w:numPr>
    </w:pPr>
  </w:style>
  <w:style w:type="paragraph" w:customStyle="1" w:styleId="73">
    <w:name w:val="附录四级条标题"/>
    <w:basedOn w:val="74"/>
    <w:next w:val="52"/>
    <w:uiPriority w:val="0"/>
    <w:pPr>
      <w:numPr>
        <w:ilvl w:val="5"/>
      </w:numPr>
      <w:outlineLvl w:val="5"/>
    </w:pPr>
  </w:style>
  <w:style w:type="paragraph" w:customStyle="1" w:styleId="74">
    <w:name w:val="附录三级条标题"/>
    <w:basedOn w:val="75"/>
    <w:next w:val="52"/>
    <w:uiPriority w:val="0"/>
    <w:pPr>
      <w:numPr>
        <w:ilvl w:val="4"/>
      </w:numPr>
      <w:outlineLvl w:val="4"/>
    </w:pPr>
  </w:style>
  <w:style w:type="paragraph" w:customStyle="1" w:styleId="75">
    <w:name w:val="附录二级条标题"/>
    <w:basedOn w:val="76"/>
    <w:next w:val="52"/>
    <w:uiPriority w:val="0"/>
    <w:pPr>
      <w:numPr>
        <w:ilvl w:val="3"/>
      </w:numPr>
      <w:outlineLvl w:val="3"/>
    </w:pPr>
  </w:style>
  <w:style w:type="paragraph" w:customStyle="1" w:styleId="76">
    <w:name w:val="附录一级条标题"/>
    <w:basedOn w:val="77"/>
    <w:next w:val="52"/>
    <w:qFormat/>
    <w:uiPriority w:val="0"/>
    <w:pPr>
      <w:numPr>
        <w:ilvl w:val="2"/>
      </w:numPr>
      <w:autoSpaceDN w:val="0"/>
      <w:spacing w:beforeLines="0" w:afterLines="0"/>
      <w:outlineLvl w:val="2"/>
    </w:pPr>
  </w:style>
  <w:style w:type="paragraph" w:customStyle="1" w:styleId="77">
    <w:name w:val="附录章标题"/>
    <w:next w:val="52"/>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8">
    <w:name w:val="发布部门"/>
    <w:next w:val="52"/>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0">
    <w:name w:val="其他发布部门"/>
    <w:basedOn w:val="78"/>
    <w:uiPriority w:val="0"/>
    <w:pPr>
      <w:framePr w:wrap="around"/>
      <w:spacing w:line="0" w:lineRule="atLeast"/>
    </w:pPr>
    <w:rPr>
      <w:rFonts w:ascii="黑体" w:eastAsia="黑体"/>
      <w:b w:val="0"/>
    </w:rPr>
  </w:style>
  <w:style w:type="paragraph" w:customStyle="1" w:styleId="81">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82">
    <w:name w:val="列项·"/>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3">
    <w:name w:val="条文脚注"/>
    <w:basedOn w:val="27"/>
    <w:qFormat/>
    <w:uiPriority w:val="0"/>
    <w:pPr>
      <w:ind w:left="780" w:leftChars="200" w:hanging="360" w:hangingChars="200"/>
      <w:jc w:val="both"/>
    </w:pPr>
    <w:rPr>
      <w:rFonts w:ascii="宋体"/>
    </w:rPr>
  </w:style>
  <w:style w:type="paragraph" w:customStyle="1" w:styleId="84">
    <w:name w:val="附录五级条标题"/>
    <w:basedOn w:val="73"/>
    <w:next w:val="52"/>
    <w:uiPriority w:val="0"/>
    <w:pPr>
      <w:numPr>
        <w:ilvl w:val="6"/>
      </w:numPr>
      <w:outlineLvl w:val="6"/>
    </w:pPr>
  </w:style>
  <w:style w:type="paragraph" w:customStyle="1" w:styleId="85">
    <w:name w:val="正文图标题"/>
    <w:next w:val="52"/>
    <w:uiPriority w:val="0"/>
    <w:pPr>
      <w:numPr>
        <w:ilvl w:val="0"/>
        <w:numId w:val="5"/>
      </w:numPr>
      <w:jc w:val="center"/>
    </w:pPr>
    <w:rPr>
      <w:rFonts w:ascii="黑体" w:hAnsi="Times New Roman" w:eastAsia="黑体" w:cs="Times New Roman"/>
      <w:sz w:val="21"/>
      <w:lang w:val="en-US" w:eastAsia="zh-CN" w:bidi="ar-SA"/>
    </w:rPr>
  </w:style>
  <w:style w:type="paragraph" w:customStyle="1" w:styleId="86">
    <w:name w:val="正文表标题"/>
    <w:next w:val="52"/>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7">
    <w:name w:val="标准书眉一"/>
    <w:uiPriority w:val="0"/>
    <w:pPr>
      <w:jc w:val="both"/>
    </w:pPr>
    <w:rPr>
      <w:rFonts w:ascii="Times New Roman" w:hAnsi="Times New Roman" w:eastAsia="宋体" w:cs="Times New Roman"/>
      <w:lang w:val="en-US" w:eastAsia="zh-CN" w:bidi="ar-SA"/>
    </w:rPr>
  </w:style>
  <w:style w:type="paragraph" w:customStyle="1" w:styleId="88">
    <w:name w:val="无标题条"/>
    <w:next w:val="52"/>
    <w:qFormat/>
    <w:uiPriority w:val="0"/>
    <w:pPr>
      <w:jc w:val="both"/>
    </w:pPr>
    <w:rPr>
      <w:rFonts w:ascii="Times New Roman" w:hAnsi="Times New Roman" w:eastAsia="宋体" w:cs="Times New Roman"/>
      <w:sz w:val="21"/>
      <w:lang w:val="en-US" w:eastAsia="zh-CN" w:bidi="ar-SA"/>
    </w:rPr>
  </w:style>
  <w:style w:type="paragraph" w:customStyle="1" w:styleId="8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0">
    <w:name w:val="一级无标题条"/>
    <w:basedOn w:val="1"/>
    <w:qFormat/>
    <w:uiPriority w:val="0"/>
    <w:pPr>
      <w:numPr>
        <w:ilvl w:val="2"/>
        <w:numId w:val="2"/>
      </w:numPr>
    </w:pPr>
  </w:style>
  <w:style w:type="paragraph" w:customStyle="1" w:styleId="9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注："/>
    <w:next w:val="52"/>
    <w:qFormat/>
    <w:uiPriority w:val="0"/>
    <w:pPr>
      <w:widowControl w:val="0"/>
      <w:numPr>
        <w:ilvl w:val="0"/>
        <w:numId w:val="7"/>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93">
    <w:name w:val="附录图标题"/>
    <w:next w:val="52"/>
    <w:qFormat/>
    <w:uiPriority w:val="0"/>
    <w:pPr>
      <w:jc w:val="center"/>
    </w:pPr>
    <w:rPr>
      <w:rFonts w:ascii="黑体" w:hAnsi="Times New Roman" w:eastAsia="黑体" w:cs="Times New Roman"/>
      <w:sz w:val="21"/>
      <w:lang w:val="en-US" w:eastAsia="zh-CN" w:bidi="ar-SA"/>
    </w:rPr>
  </w:style>
  <w:style w:type="paragraph" w:customStyle="1" w:styleId="9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5">
    <w:name w:val="附录标识"/>
    <w:basedOn w:val="68"/>
    <w:qFormat/>
    <w:uiPriority w:val="0"/>
    <w:pPr>
      <w:numPr>
        <w:ilvl w:val="0"/>
        <w:numId w:val="3"/>
      </w:numPr>
      <w:tabs>
        <w:tab w:val="left" w:pos="6405"/>
      </w:tabs>
      <w:spacing w:after="200"/>
    </w:pPr>
    <w:rPr>
      <w:sz w:val="21"/>
    </w:rPr>
  </w:style>
  <w:style w:type="paragraph" w:customStyle="1" w:styleId="96">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7">
    <w:name w:val="封面标准号2"/>
    <w:basedOn w:val="53"/>
    <w:qFormat/>
    <w:uiPriority w:val="0"/>
    <w:pPr>
      <w:framePr w:w="9138" w:h="1244" w:hRule="exact" w:wrap="around" w:vAnchor="page" w:hAnchor="margin" w:y="2908"/>
      <w:adjustRightInd w:val="0"/>
      <w:spacing w:before="357" w:line="280" w:lineRule="exact"/>
    </w:pPr>
  </w:style>
  <w:style w:type="paragraph" w:customStyle="1" w:styleId="98">
    <w:name w:val="参考文献、索引标题"/>
    <w:basedOn w:val="68"/>
    <w:next w:val="1"/>
    <w:uiPriority w:val="0"/>
    <w:pPr>
      <w:numPr>
        <w:numId w:val="0"/>
      </w:numPr>
      <w:spacing w:after="200"/>
    </w:pPr>
    <w:rPr>
      <w:sz w:val="21"/>
    </w:rPr>
  </w:style>
  <w:style w:type="paragraph" w:customStyle="1" w:styleId="99">
    <w:name w:val="封面标准代替信息"/>
    <w:basedOn w:val="97"/>
    <w:qFormat/>
    <w:uiPriority w:val="0"/>
    <w:pPr>
      <w:framePr w:wrap="around"/>
      <w:spacing w:before="57"/>
    </w:pPr>
    <w:rPr>
      <w:rFonts w:ascii="宋体"/>
      <w:sz w:val="21"/>
    </w:rPr>
  </w:style>
  <w:style w:type="paragraph" w:customStyle="1" w:styleId="100">
    <w:name w:val="标准书眉_偶数页"/>
    <w:basedOn w:val="57"/>
    <w:next w:val="1"/>
    <w:qFormat/>
    <w:uiPriority w:val="0"/>
    <w:pPr>
      <w:jc w:val="left"/>
    </w:pPr>
  </w:style>
  <w:style w:type="paragraph" w:customStyle="1" w:styleId="101">
    <w:name w:val="封面正文"/>
    <w:qFormat/>
    <w:uiPriority w:val="0"/>
    <w:pPr>
      <w:jc w:val="both"/>
    </w:pPr>
    <w:rPr>
      <w:rFonts w:ascii="Times New Roman" w:hAnsi="Times New Roman" w:eastAsia="宋体" w:cs="Times New Roman"/>
      <w:lang w:val="en-US" w:eastAsia="zh-CN" w:bidi="ar-SA"/>
    </w:rPr>
  </w:style>
  <w:style w:type="paragraph" w:customStyle="1" w:styleId="102">
    <w:name w:val="二级无标题条"/>
    <w:basedOn w:val="1"/>
    <w:qFormat/>
    <w:uiPriority w:val="0"/>
    <w:pPr>
      <w:numPr>
        <w:ilvl w:val="3"/>
        <w:numId w:val="2"/>
      </w:numPr>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列项——"/>
    <w:qFormat/>
    <w:uiPriority w:val="0"/>
    <w:pPr>
      <w:widowControl w:val="0"/>
      <w:numPr>
        <w:ilvl w:val="0"/>
        <w:numId w:val="9"/>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5">
    <w:name w:val="实施日期"/>
    <w:basedOn w:val="69"/>
    <w:qFormat/>
    <w:uiPriority w:val="0"/>
    <w:pPr>
      <w:framePr w:hSpace="0" w:wrap="around" w:xAlign="right"/>
      <w:jc w:val="right"/>
    </w:pPr>
  </w:style>
  <w:style w:type="paragraph" w:customStyle="1" w:styleId="10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7">
    <w:name w:val="五级无标题条"/>
    <w:basedOn w:val="1"/>
    <w:uiPriority w:val="0"/>
    <w:pPr>
      <w:numPr>
        <w:ilvl w:val="6"/>
        <w:numId w:val="2"/>
      </w:numPr>
    </w:pPr>
  </w:style>
  <w:style w:type="paragraph" w:customStyle="1" w:styleId="108">
    <w:name w:val="示例"/>
    <w:next w:val="52"/>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0">
    <w:name w:val="附录表标题"/>
    <w:next w:val="52"/>
    <w:qFormat/>
    <w:uiPriority w:val="0"/>
    <w:pPr>
      <w:jc w:val="center"/>
      <w:textAlignment w:val="baseline"/>
    </w:pPr>
    <w:rPr>
      <w:rFonts w:ascii="黑体" w:hAnsi="Times New Roman" w:eastAsia="黑体" w:cs="Times New Roman"/>
      <w:kern w:val="21"/>
      <w:sz w:val="21"/>
      <w:lang w:val="en-US" w:eastAsia="zh-CN" w:bidi="ar-SA"/>
    </w:rPr>
  </w:style>
  <w:style w:type="character" w:customStyle="1" w:styleId="111">
    <w:name w:val="段 Char"/>
    <w:link w:val="52"/>
    <w:qFormat/>
    <w:uiPriority w:val="0"/>
    <w:rPr>
      <w:rFonts w:ascii="宋体"/>
      <w:sz w:val="21"/>
      <w:lang w:bidi="ar-SA"/>
    </w:rPr>
  </w:style>
  <w:style w:type="paragraph" w:customStyle="1" w:styleId="112">
    <w:name w:val="p15"/>
    <w:basedOn w:val="1"/>
    <w:qFormat/>
    <w:uiPriority w:val="0"/>
    <w:pPr>
      <w:ind w:firstLine="420"/>
    </w:pPr>
    <w:rPr>
      <w:rFonts w:ascii="宋体" w:hAnsi="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38"/>
    <customShpInfo spid="_x0000_s1139"/>
    <customShpInfo spid="_x0000_s1140"/>
    <customShpInfo spid="_x0000_s1128"/>
    <customShpInfo spid="_x0000_s1127"/>
    <customShpInfo spid="_x0000_s11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10</Pages>
  <Words>722</Words>
  <Characters>4121</Characters>
  <Lines>34</Lines>
  <Paragraphs>9</Paragraphs>
  <TotalTime>3</TotalTime>
  <ScaleCrop>false</ScaleCrop>
  <LinksUpToDate>false</LinksUpToDate>
  <CharactersWithSpaces>4834</CharactersWithSpaces>
  <Application>WPS Office_11.8.2.11023_F1E327BC-269C-435d-A152-05C5408002CA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2023-06-04T07:50:00Z</dcterms:created>
  <dc:creator>Huxuan</dc:creator>
  <cp:lastModifiedBy>zyy_kyy</cp:lastModifiedBy>
  <cp:lastPrinted>2007-05-09T00:20:00Z</cp:lastPrinted>
  <dcterms:modified xsi:type="dcterms:W3CDTF">2023-08-10T09:12:04Z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2052-11.8.2.11023</vt:lpwstr>
  </property>
  <property fmtid="{D5CDD505-2E9C-101B-9397-08002B2CF9AE}" pid="3" name="ICV">
    <vt:lpwstr>E197A93EB48F4168937036CEE5F5F4F5</vt:lpwstr>
  </property>
</Properties>
</file>