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Times New Roman" w:hAnsi="Times New Roman"/>
          <w:b/>
          <w:bCs/>
          <w:color w:val="000000"/>
          <w:sz w:val="44"/>
          <w:szCs w:val="44"/>
        </w:rPr>
      </w:pPr>
    </w:p>
    <w:p>
      <w:pPr>
        <w:spacing w:line="1000" w:lineRule="exact"/>
        <w:jc w:val="center"/>
        <w:rPr>
          <w:rFonts w:ascii="Times New Roman" w:hAnsi="Times New Roman"/>
          <w:b/>
          <w:bCs/>
          <w:color w:val="000000"/>
          <w:sz w:val="44"/>
          <w:szCs w:val="44"/>
        </w:rPr>
      </w:pPr>
    </w:p>
    <w:p>
      <w:pPr>
        <w:spacing w:line="1000" w:lineRule="exact"/>
        <w:jc w:val="center"/>
        <w:rPr>
          <w:rFonts w:ascii="Times New Roman" w:hAnsi="Times New Roman"/>
          <w:b/>
          <w:bCs/>
          <w:color w:val="000000"/>
          <w:sz w:val="44"/>
          <w:szCs w:val="44"/>
        </w:rPr>
      </w:pPr>
      <w:r>
        <w:rPr>
          <w:rFonts w:ascii="Times New Roman" w:hAnsi="Times New Roman"/>
          <w:b/>
          <w:bCs/>
          <w:color w:val="000000"/>
          <w:sz w:val="44"/>
          <w:szCs w:val="44"/>
        </w:rPr>
        <w:t>冰晶石化学分析方法和物理性能测定方法</w:t>
      </w:r>
    </w:p>
    <w:p>
      <w:pPr>
        <w:spacing w:line="1000" w:lineRule="exact"/>
        <w:jc w:val="center"/>
        <w:rPr>
          <w:rFonts w:ascii="Times New Roman" w:hAnsi="Times New Roman"/>
          <w:b/>
          <w:bCs/>
          <w:color w:val="000000"/>
          <w:sz w:val="44"/>
          <w:szCs w:val="44"/>
        </w:rPr>
      </w:pPr>
      <w:r>
        <w:rPr>
          <w:rFonts w:ascii="Times New Roman" w:hAnsi="Times New Roman"/>
          <w:b/>
          <w:bCs/>
          <w:color w:val="000000"/>
          <w:sz w:val="44"/>
          <w:szCs w:val="44"/>
        </w:rPr>
        <w:t>第7部分：</w:t>
      </w:r>
      <w:r>
        <w:rPr>
          <w:rFonts w:hint="eastAsia" w:ascii="Times New Roman" w:hAnsi="Times New Roman"/>
          <w:b/>
          <w:bCs/>
          <w:color w:val="000000"/>
          <w:sz w:val="44"/>
          <w:szCs w:val="44"/>
        </w:rPr>
        <w:t>三氧化二铁</w:t>
      </w:r>
      <w:r>
        <w:rPr>
          <w:rFonts w:ascii="Times New Roman" w:hAnsi="Times New Roman"/>
          <w:b/>
          <w:bCs/>
          <w:color w:val="000000"/>
          <w:sz w:val="44"/>
          <w:szCs w:val="44"/>
        </w:rPr>
        <w:t>含量的测定</w:t>
      </w:r>
    </w:p>
    <w:p>
      <w:pPr>
        <w:spacing w:line="1000" w:lineRule="exact"/>
        <w:jc w:val="center"/>
        <w:rPr>
          <w:rFonts w:ascii="Times New Roman" w:hAnsi="Times New Roman"/>
          <w:b/>
          <w:bCs/>
          <w:color w:val="000000"/>
          <w:sz w:val="44"/>
          <w:szCs w:val="44"/>
        </w:rPr>
      </w:pPr>
      <w:r>
        <w:rPr>
          <w:rFonts w:hint="eastAsia" w:ascii="Times New Roman" w:hAnsi="Times New Roman"/>
          <w:b/>
          <w:bCs/>
          <w:color w:val="000000"/>
          <w:sz w:val="44"/>
          <w:szCs w:val="44"/>
        </w:rPr>
        <w:t>邻二氮杂菲分光光度法</w:t>
      </w:r>
    </w:p>
    <w:p>
      <w:pPr>
        <w:pStyle w:val="18"/>
        <w:spacing w:line="360" w:lineRule="auto"/>
        <w:ind w:firstLine="2088" w:firstLineChars="400"/>
        <w:rPr>
          <w:rFonts w:ascii="Times New Roman" w:hAnsi="Times New Roman" w:eastAsia="黑体"/>
          <w:b/>
          <w:bCs/>
          <w:sz w:val="52"/>
          <w:szCs w:val="52"/>
        </w:rPr>
      </w:pPr>
    </w:p>
    <w:p>
      <w:pPr>
        <w:jc w:val="center"/>
        <w:rPr>
          <w:rFonts w:ascii="Times New Roman" w:hAnsi="Times New Roman" w:eastAsia="黑体"/>
          <w:b/>
          <w:bCs/>
          <w:sz w:val="32"/>
        </w:rPr>
      </w:pPr>
    </w:p>
    <w:p>
      <w:pPr>
        <w:jc w:val="center"/>
        <w:rPr>
          <w:rFonts w:ascii="Times New Roman" w:hAnsi="Times New Roman" w:eastAsia="黑体"/>
          <w:b/>
          <w:bCs/>
          <w:sz w:val="32"/>
        </w:rPr>
      </w:pPr>
    </w:p>
    <w:p>
      <w:pPr>
        <w:jc w:val="center"/>
        <w:rPr>
          <w:rFonts w:ascii="Times New Roman" w:hAnsi="Times New Roman" w:eastAsia="黑体"/>
          <w:bCs/>
          <w:sz w:val="52"/>
          <w:szCs w:val="52"/>
        </w:rPr>
      </w:pPr>
      <w:r>
        <w:rPr>
          <w:rFonts w:ascii="Times New Roman" w:hAnsi="Times New Roman" w:eastAsia="黑体"/>
          <w:bCs/>
          <w:sz w:val="52"/>
          <w:szCs w:val="52"/>
        </w:rPr>
        <w:t>编制说明</w:t>
      </w:r>
    </w:p>
    <w:p>
      <w:pPr>
        <w:jc w:val="center"/>
        <w:rPr>
          <w:rFonts w:ascii="Times New Roman" w:hAnsi="Times New Roman" w:eastAsia="黑体"/>
          <w:bCs/>
          <w:sz w:val="52"/>
          <w:szCs w:val="52"/>
        </w:rPr>
      </w:pPr>
      <w:r>
        <w:rPr>
          <w:rFonts w:ascii="Times New Roman" w:hAnsi="Times New Roman" w:eastAsia="黑体"/>
          <w:bCs/>
          <w:sz w:val="52"/>
          <w:szCs w:val="52"/>
        </w:rPr>
        <w:t>(</w:t>
      </w:r>
      <w:r>
        <w:rPr>
          <w:rFonts w:hint="eastAsia" w:ascii="Times New Roman" w:hAnsi="Times New Roman" w:eastAsia="黑体"/>
          <w:bCs/>
          <w:sz w:val="52"/>
          <w:szCs w:val="52"/>
        </w:rPr>
        <w:t>送审稿</w:t>
      </w:r>
      <w:r>
        <w:rPr>
          <w:rFonts w:ascii="Times New Roman" w:hAnsi="Times New Roman" w:eastAsia="黑体"/>
          <w:bCs/>
          <w:sz w:val="52"/>
          <w:szCs w:val="52"/>
        </w:rPr>
        <w:t>)</w:t>
      </w:r>
    </w:p>
    <w:p>
      <w:pPr>
        <w:jc w:val="center"/>
        <w:rPr>
          <w:rFonts w:ascii="Times New Roman" w:hAnsi="Times New Roman" w:eastAsia="黑体"/>
          <w:bCs/>
          <w:sz w:val="44"/>
        </w:rPr>
      </w:pPr>
    </w:p>
    <w:p>
      <w:pPr>
        <w:rPr>
          <w:rFonts w:ascii="Times New Roman" w:hAnsi="Times New Roman" w:eastAsia="黑体"/>
          <w:b/>
          <w:bCs/>
          <w:sz w:val="44"/>
        </w:rPr>
      </w:pPr>
    </w:p>
    <w:p>
      <w:pPr>
        <w:rPr>
          <w:rFonts w:ascii="Times New Roman" w:hAnsi="Times New Roman" w:eastAsia="黑体"/>
          <w:b/>
          <w:bCs/>
          <w:sz w:val="44"/>
        </w:rPr>
      </w:pPr>
    </w:p>
    <w:p>
      <w:pPr>
        <w:pStyle w:val="4"/>
        <w:ind w:leftChars="0"/>
        <w:jc w:val="center"/>
        <w:rPr>
          <w:rFonts w:ascii="Times New Roman" w:hAnsi="Times New Roman" w:eastAsia="黑体"/>
          <w:sz w:val="32"/>
          <w:szCs w:val="32"/>
        </w:rPr>
      </w:pPr>
    </w:p>
    <w:p>
      <w:pPr>
        <w:rPr>
          <w:lang w:bidi="ar-SA"/>
        </w:rPr>
      </w:pPr>
    </w:p>
    <w:p>
      <w:pPr>
        <w:rPr>
          <w:lang w:bidi="ar-SA"/>
        </w:rPr>
      </w:pPr>
    </w:p>
    <w:p>
      <w:pPr>
        <w:rPr>
          <w:lang w:bidi="ar-SA"/>
        </w:rPr>
      </w:pPr>
    </w:p>
    <w:p>
      <w:pPr>
        <w:pStyle w:val="4"/>
        <w:ind w:left="0" w:leftChars="0"/>
        <w:jc w:val="center"/>
        <w:rPr>
          <w:rFonts w:ascii="Times New Roman" w:hAnsi="Times New Roman" w:eastAsia="黑体"/>
          <w:sz w:val="32"/>
          <w:szCs w:val="32"/>
        </w:rPr>
      </w:pPr>
      <w:r>
        <w:rPr>
          <w:rFonts w:ascii="Times New Roman" w:hAnsi="Times New Roman" w:eastAsia="黑体"/>
          <w:sz w:val="32"/>
          <w:szCs w:val="32"/>
        </w:rPr>
        <w:t>中铝郑州有色金属研究院有限公司</w:t>
      </w:r>
    </w:p>
    <w:p>
      <w:pPr>
        <w:pStyle w:val="4"/>
        <w:ind w:leftChars="0" w:firstLine="640" w:firstLineChars="200"/>
        <w:rPr>
          <w:rFonts w:ascii="Times New Roman" w:hAnsi="Times New Roman" w:eastAsia="黑体"/>
          <w:sz w:val="32"/>
          <w:szCs w:val="32"/>
        </w:rPr>
      </w:pPr>
      <w:r>
        <w:rPr>
          <w:rFonts w:ascii="Times New Roman" w:hAnsi="Times New Roman" w:eastAsia="黑体"/>
          <w:sz w:val="32"/>
          <w:szCs w:val="32"/>
        </w:rPr>
        <w:t>202</w:t>
      </w:r>
      <w:r>
        <w:rPr>
          <w:rFonts w:hint="eastAsia" w:ascii="Times New Roman" w:hAnsi="Times New Roman" w:eastAsia="黑体"/>
          <w:sz w:val="32"/>
          <w:szCs w:val="32"/>
        </w:rPr>
        <w:t>3</w:t>
      </w:r>
      <w:r>
        <w:rPr>
          <w:rFonts w:ascii="Times New Roman" w:hAnsi="Times New Roman" w:eastAsia="黑体"/>
          <w:sz w:val="32"/>
          <w:szCs w:val="32"/>
        </w:rPr>
        <w:t>年</w:t>
      </w:r>
      <w:r>
        <w:rPr>
          <w:rFonts w:hint="eastAsia" w:ascii="Times New Roman" w:hAnsi="Times New Roman" w:eastAsia="黑体"/>
          <w:sz w:val="32"/>
          <w:szCs w:val="32"/>
          <w:lang w:val="en-US" w:eastAsia="zh-CN"/>
        </w:rPr>
        <w:t>8</w:t>
      </w:r>
      <w:r>
        <w:rPr>
          <w:rFonts w:ascii="Times New Roman" w:hAnsi="Times New Roman" w:eastAsia="黑体"/>
          <w:sz w:val="32"/>
          <w:szCs w:val="32"/>
        </w:rPr>
        <w:t>月</w:t>
      </w:r>
    </w:p>
    <w:p>
      <w:pPr>
        <w:rPr>
          <w:rFonts w:ascii="Times New Roman" w:hAnsi="Times New Roman"/>
          <w:lang w:bidi="ar-SA"/>
        </w:rPr>
      </w:pPr>
    </w:p>
    <w:p>
      <w:pPr>
        <w:jc w:val="center"/>
        <w:rPr>
          <w:rFonts w:ascii="Times New Roman" w:hAnsi="Times New Roman" w:eastAsia="黑体"/>
          <w:sz w:val="32"/>
          <w:szCs w:val="32"/>
        </w:rPr>
      </w:pPr>
      <w:r>
        <w:rPr>
          <w:rFonts w:ascii="Times New Roman" w:hAnsi="Times New Roman" w:eastAsia="黑体"/>
          <w:sz w:val="32"/>
          <w:szCs w:val="32"/>
        </w:rPr>
        <w:t>冰晶石化学分析方法和物理性能测定方法</w:t>
      </w:r>
    </w:p>
    <w:p>
      <w:pPr>
        <w:pStyle w:val="18"/>
        <w:spacing w:line="360" w:lineRule="auto"/>
        <w:ind w:firstLine="0" w:firstLineChars="0"/>
        <w:jc w:val="center"/>
        <w:rPr>
          <w:rFonts w:ascii="Times New Roman" w:hAnsi="Times New Roman" w:eastAsia="黑体"/>
          <w:kern w:val="2"/>
          <w:sz w:val="32"/>
          <w:szCs w:val="32"/>
          <w:lang w:bidi="he-IL"/>
        </w:rPr>
      </w:pPr>
      <w:r>
        <w:rPr>
          <w:rFonts w:ascii="Times New Roman" w:hAnsi="Times New Roman" w:eastAsia="黑体"/>
          <w:sz w:val="32"/>
          <w:szCs w:val="32"/>
        </w:rPr>
        <w:t>第7部分：</w:t>
      </w:r>
      <w:r>
        <w:rPr>
          <w:rFonts w:hint="eastAsia" w:ascii="Times New Roman" w:hAnsi="Times New Roman" w:eastAsia="黑体"/>
          <w:kern w:val="2"/>
          <w:sz w:val="32"/>
          <w:szCs w:val="32"/>
          <w:lang w:bidi="he-IL"/>
        </w:rPr>
        <w:t>三氧化二铁</w:t>
      </w:r>
      <w:r>
        <w:rPr>
          <w:rFonts w:ascii="Times New Roman" w:hAnsi="Times New Roman" w:eastAsia="黑体"/>
          <w:kern w:val="2"/>
          <w:sz w:val="32"/>
          <w:szCs w:val="32"/>
          <w:lang w:bidi="he-IL"/>
        </w:rPr>
        <w:t>含量的测定</w:t>
      </w:r>
      <w:r>
        <w:rPr>
          <w:rFonts w:hint="eastAsia" w:ascii="Times New Roman" w:hAnsi="Times New Roman" w:eastAsia="黑体"/>
          <w:kern w:val="2"/>
          <w:sz w:val="32"/>
          <w:szCs w:val="32"/>
          <w:lang w:bidi="he-IL"/>
        </w:rPr>
        <w:t xml:space="preserve"> </w:t>
      </w:r>
    </w:p>
    <w:p>
      <w:pPr>
        <w:pStyle w:val="18"/>
        <w:spacing w:line="360" w:lineRule="auto"/>
        <w:ind w:firstLine="0" w:firstLineChars="0"/>
        <w:jc w:val="center"/>
        <w:rPr>
          <w:rFonts w:ascii="Times New Roman" w:hAnsi="Times New Roman" w:eastAsia="黑体"/>
          <w:kern w:val="2"/>
          <w:sz w:val="32"/>
          <w:szCs w:val="32"/>
          <w:lang w:bidi="he-IL"/>
        </w:rPr>
      </w:pPr>
      <w:r>
        <w:rPr>
          <w:rFonts w:hint="eastAsia" w:ascii="Times New Roman" w:hAnsi="Times New Roman" w:eastAsia="黑体"/>
          <w:kern w:val="2"/>
          <w:sz w:val="32"/>
          <w:szCs w:val="32"/>
          <w:lang w:bidi="he-IL"/>
        </w:rPr>
        <w:t>邻二氮杂菲分光光度法</w:t>
      </w:r>
    </w:p>
    <w:p>
      <w:pPr>
        <w:jc w:val="center"/>
        <w:rPr>
          <w:rFonts w:ascii="Times New Roman" w:hAnsi="Times New Roman" w:eastAsia="黑体"/>
          <w:sz w:val="32"/>
          <w:szCs w:val="32"/>
        </w:rPr>
      </w:pPr>
      <w:r>
        <w:rPr>
          <w:rFonts w:ascii="Times New Roman" w:hAnsi="Times New Roman" w:eastAsia="黑体"/>
          <w:sz w:val="32"/>
          <w:szCs w:val="32"/>
        </w:rPr>
        <w:t>编制说明</w:t>
      </w:r>
    </w:p>
    <w:p>
      <w:pPr>
        <w:numPr>
          <w:ilvl w:val="0"/>
          <w:numId w:val="1"/>
        </w:numPr>
        <w:spacing w:line="360" w:lineRule="auto"/>
        <w:ind w:right="1176" w:rightChars="560" w:firstLine="120" w:firstLineChars="50"/>
        <w:jc w:val="left"/>
        <w:rPr>
          <w:rFonts w:asciiTheme="minorEastAsia" w:hAnsiTheme="minorEastAsia" w:eastAsiaTheme="minorEastAsia"/>
          <w:color w:val="000000"/>
          <w:kern w:val="0"/>
          <w:szCs w:val="21"/>
        </w:rPr>
      </w:pPr>
      <w:r>
        <w:rPr>
          <w:rFonts w:ascii="Times New Roman" w:hAnsi="Times New Roman" w:eastAsia="黑体"/>
          <w:sz w:val="24"/>
        </w:rPr>
        <w:t>工作简况</w:t>
      </w:r>
    </w:p>
    <w:p>
      <w:pPr>
        <w:spacing w:line="360" w:lineRule="auto"/>
        <w:ind w:right="1176" w:rightChars="56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（一）任务来源</w:t>
      </w:r>
    </w:p>
    <w:p>
      <w:pPr>
        <w:spacing w:line="288" w:lineRule="auto"/>
        <w:ind w:firstLine="420" w:firstLineChars="200"/>
        <w:rPr>
          <w:rFonts w:cs="仿宋_GB2312" w:asciiTheme="minorEastAsia" w:hAnsiTheme="minorEastAsia"/>
          <w:szCs w:val="21"/>
        </w:rPr>
      </w:pPr>
      <w:r>
        <w:rPr>
          <w:rFonts w:hint="eastAsia" w:cs="仿宋_GB2312" w:asciiTheme="minorEastAsia" w:hAnsiTheme="minorEastAsia"/>
          <w:szCs w:val="21"/>
        </w:rPr>
        <w:t>2</w:t>
      </w:r>
      <w:r>
        <w:rPr>
          <w:rFonts w:cs="仿宋_GB2312" w:asciiTheme="minorEastAsia" w:hAnsiTheme="minorEastAsia"/>
          <w:szCs w:val="21"/>
        </w:rPr>
        <w:t>022</w:t>
      </w:r>
      <w:r>
        <w:rPr>
          <w:rFonts w:hint="eastAsia" w:cs="仿宋_GB2312" w:asciiTheme="minorEastAsia" w:hAnsiTheme="minorEastAsia"/>
          <w:szCs w:val="21"/>
        </w:rPr>
        <w:t>年</w:t>
      </w:r>
      <w:r>
        <w:rPr>
          <w:rFonts w:hint="eastAsia"/>
          <w:kern w:val="0"/>
          <w:szCs w:val="21"/>
        </w:rPr>
        <w:t>工业和信息化部发布的《2022年第一批行业标准制修订和外文版项目计划》的通知</w:t>
      </w:r>
      <w:r>
        <w:rPr>
          <w:rFonts w:hint="eastAsia" w:cs="仿宋_GB2312" w:asciiTheme="minorEastAsia" w:hAnsiTheme="minorEastAsia"/>
          <w:szCs w:val="21"/>
        </w:rPr>
        <w:t>，</w:t>
      </w:r>
      <w:r>
        <w:rPr>
          <w:rFonts w:hint="eastAsia" w:asciiTheme="majorEastAsia" w:hAnsiTheme="majorEastAsia" w:eastAsiaTheme="majorEastAsia"/>
          <w:szCs w:val="21"/>
        </w:rPr>
        <w:t xml:space="preserve"> YS/T </w:t>
      </w:r>
      <w:r>
        <w:rPr>
          <w:rFonts w:asciiTheme="majorEastAsia" w:hAnsiTheme="majorEastAsia" w:eastAsiaTheme="majorEastAsia"/>
          <w:szCs w:val="21"/>
        </w:rPr>
        <w:t>273.</w:t>
      </w:r>
      <w:r>
        <w:rPr>
          <w:rFonts w:hint="eastAsia" w:asciiTheme="majorEastAsia" w:hAnsiTheme="majorEastAsia" w:eastAsiaTheme="majorEastAsia"/>
          <w:szCs w:val="21"/>
        </w:rPr>
        <w:t>7</w:t>
      </w:r>
      <w:r>
        <w:rPr>
          <w:rFonts w:hint="eastAsia"/>
          <w:kern w:val="0"/>
          <w:szCs w:val="21"/>
        </w:rPr>
        <w:t>《冰晶石化学分析方法和物理性能测定方法 第7部分：三氧化二铁含量的测定 邻二氮杂菲分光光度法》的</w:t>
      </w:r>
      <w:r>
        <w:rPr>
          <w:kern w:val="0"/>
          <w:szCs w:val="21"/>
        </w:rPr>
        <w:t>修订</w:t>
      </w:r>
      <w:r>
        <w:rPr>
          <w:rFonts w:hint="eastAsia"/>
          <w:kern w:val="0"/>
          <w:szCs w:val="21"/>
        </w:rPr>
        <w:t>工作由全国有色金属标准化技术委员会归口，项</w:t>
      </w:r>
      <w:r>
        <w:rPr>
          <w:rFonts w:hint="eastAsia" w:asciiTheme="majorEastAsia" w:hAnsiTheme="majorEastAsia" w:eastAsiaTheme="majorEastAsia"/>
          <w:szCs w:val="21"/>
        </w:rPr>
        <w:t>目编号</w:t>
      </w:r>
      <w:r>
        <w:rPr>
          <w:rFonts w:hint="eastAsia" w:ascii="宋体" w:hAnsi="宋体" w:cs="宋体"/>
          <w:kern w:val="0"/>
          <w:sz w:val="22"/>
          <w:szCs w:val="22"/>
        </w:rPr>
        <w:t>2022-0196T-YS</w:t>
      </w:r>
      <w:r>
        <w:rPr>
          <w:rFonts w:hint="eastAsia" w:asciiTheme="majorEastAsia" w:hAnsiTheme="majorEastAsia" w:eastAsiaTheme="majorEastAsia"/>
          <w:szCs w:val="21"/>
        </w:rPr>
        <w:t>。</w:t>
      </w:r>
      <w:r>
        <w:rPr>
          <w:rFonts w:hint="eastAsia" w:ascii="宋体" w:hAnsi="宋体"/>
          <w:szCs w:val="21"/>
        </w:rPr>
        <w:t>项目编制组成员由中铝郑州有色金属研究院有限公司、多氟多新材料有限责任公司、有色金属技术经济研究院有限责任公司、山东南山铝业股份有限公司等组成。</w:t>
      </w:r>
    </w:p>
    <w:p>
      <w:pPr>
        <w:spacing w:line="360" w:lineRule="auto"/>
        <w:rPr>
          <w:rFonts w:asciiTheme="minorEastAsia" w:hAnsiTheme="minorEastAsia" w:eastAsiaTheme="minorEastAsia"/>
          <w:kern w:val="0"/>
          <w:szCs w:val="21"/>
        </w:rPr>
      </w:pPr>
      <w:r>
        <w:rPr>
          <w:rFonts w:asciiTheme="minorEastAsia" w:hAnsiTheme="minorEastAsia" w:eastAsiaTheme="minorEastAsia"/>
          <w:kern w:val="0"/>
          <w:szCs w:val="21"/>
        </w:rPr>
        <w:t>（二）主要参加单位和工作成员及其所作的工作</w:t>
      </w:r>
    </w:p>
    <w:p>
      <w:pPr>
        <w:widowControl/>
        <w:spacing w:line="360" w:lineRule="auto"/>
        <w:jc w:val="left"/>
        <w:rPr>
          <w:rFonts w:ascii="Times New Roman" w:hAnsi="Times New Roman"/>
          <w:szCs w:val="21"/>
        </w:rPr>
      </w:pPr>
      <w:r>
        <w:rPr>
          <w:rFonts w:hint="eastAsia" w:ascii="Times New Roman" w:hAnsi="Times New Roman"/>
          <w:szCs w:val="21"/>
        </w:rPr>
        <w:t>2.1 主要参加单位情况</w:t>
      </w:r>
    </w:p>
    <w:p>
      <w:pPr>
        <w:widowControl/>
        <w:spacing w:line="360" w:lineRule="auto"/>
        <w:ind w:firstLine="480"/>
        <w:rPr>
          <w:rFonts w:ascii="宋体" w:hAnsi="宋体"/>
          <w:szCs w:val="21"/>
        </w:rPr>
      </w:pPr>
      <w:r>
        <w:rPr>
          <w:rFonts w:hint="eastAsia" w:ascii="宋体" w:hAnsi="宋体"/>
          <w:szCs w:val="21"/>
        </w:rPr>
        <w:t>中铝郑州有色金属研究院有限公司作为本标准主编单位，在标准编制过程中，积极主动与一些有代表性的企业联系调研，在广泛征求意见的基础上，确定起草思路，牵头制定合适的试验方案，认真开展试验研究，整理汇总试验验证数据，带领编制组成员单位认真细致修改标准文本，征求多家企业的修改意见，按计划完成了标准的编制工作。</w:t>
      </w:r>
    </w:p>
    <w:p>
      <w:pPr>
        <w:widowControl/>
        <w:spacing w:line="360" w:lineRule="auto"/>
        <w:ind w:firstLine="420" w:firstLineChars="200"/>
        <w:jc w:val="left"/>
        <w:rPr>
          <w:rFonts w:ascii="宋体" w:hAnsi="宋体"/>
          <w:szCs w:val="21"/>
        </w:rPr>
      </w:pPr>
      <w:r>
        <w:rPr>
          <w:rFonts w:hint="eastAsia"/>
        </w:rPr>
        <w:t>山东南山铝业股份有限公司、</w:t>
      </w:r>
      <w:r>
        <w:rPr>
          <w:rFonts w:hint="eastAsia" w:ascii="宋体" w:hAnsi="宋体" w:cs="宋体"/>
          <w:kern w:val="0"/>
          <w:sz w:val="22"/>
          <w:szCs w:val="22"/>
        </w:rPr>
        <w:t>内蒙古锦联铝材有限公司，</w:t>
      </w:r>
      <w:r>
        <w:rPr>
          <w:rFonts w:hint="eastAsia"/>
        </w:rPr>
        <w:t>昆明冶金研究院有限公司</w:t>
      </w:r>
      <w:r>
        <w:rPr>
          <w:rFonts w:hint="eastAsia" w:ascii="宋体" w:hAnsi="宋体"/>
          <w:szCs w:val="21"/>
        </w:rPr>
        <w:t>积极参与标准验证工作，对标准各项条件实验进行了验证，并对主编单位提供的试验样品进行了详细分析，为标准的准确性、重复性与再现性等提供了数据支撑。</w:t>
      </w:r>
    </w:p>
    <w:p>
      <w:pPr>
        <w:spacing w:line="360" w:lineRule="auto"/>
        <w:ind w:firstLine="440" w:firstLineChars="200"/>
      </w:pPr>
      <w:r>
        <w:rPr>
          <w:rFonts w:hint="eastAsia" w:ascii="宋体" w:hAnsi="宋体" w:cs="宋体"/>
          <w:kern w:val="0"/>
          <w:sz w:val="22"/>
          <w:szCs w:val="22"/>
        </w:rPr>
        <w:t>中铝中州铝业有限公司，</w:t>
      </w:r>
      <w:r>
        <w:rPr>
          <w:rFonts w:hint="eastAsia" w:ascii="宋体" w:hAnsi="宋体"/>
          <w:szCs w:val="21"/>
        </w:rPr>
        <w:t>贵州兴仁登高新材料有限公司，</w:t>
      </w:r>
      <w:r>
        <w:rPr>
          <w:rFonts w:hint="eastAsia"/>
        </w:rPr>
        <w:t>内蒙古霍煤鸿骏铝电有限责任公司、</w:t>
      </w:r>
      <w:r>
        <w:rPr>
          <w:rFonts w:hint="eastAsia"/>
          <w:szCs w:val="21"/>
        </w:rPr>
        <w:t>多氟多新材料股份有限公司</w:t>
      </w:r>
      <w:r>
        <w:rPr>
          <w:rFonts w:hint="eastAsia" w:ascii="宋体" w:hAnsi="宋体"/>
          <w:szCs w:val="21"/>
        </w:rPr>
        <w:t>对标准进行了复核，主要对主编单位提供的试验样品进行了重复性验证，为标准的重复性限与再现性限提供了数据支撑。</w:t>
      </w:r>
    </w:p>
    <w:p>
      <w:pPr>
        <w:spacing w:line="360" w:lineRule="auto"/>
        <w:rPr>
          <w:rFonts w:cs="仿宋_GB2312" w:asciiTheme="minorEastAsia" w:hAnsiTheme="minorEastAsia" w:eastAsiaTheme="minorEastAsia"/>
          <w:szCs w:val="21"/>
        </w:rPr>
      </w:pPr>
      <w:r>
        <w:rPr>
          <w:rFonts w:hint="eastAsia" w:asciiTheme="minorEastAsia" w:hAnsiTheme="minorEastAsia" w:eastAsiaTheme="minorEastAsia"/>
          <w:color w:val="000000"/>
          <w:kern w:val="0"/>
          <w:szCs w:val="21"/>
        </w:rPr>
        <w:t xml:space="preserve">2.2 </w:t>
      </w:r>
      <w:r>
        <w:rPr>
          <w:rFonts w:hint="eastAsia" w:cs="仿宋_GB2312" w:asciiTheme="minorEastAsia" w:hAnsiTheme="minorEastAsia" w:eastAsiaTheme="minorEastAsia"/>
          <w:szCs w:val="21"/>
        </w:rPr>
        <w:t>主要工作成员所负责的工作情况</w:t>
      </w:r>
    </w:p>
    <w:p>
      <w:pPr>
        <w:spacing w:line="288" w:lineRule="auto"/>
        <w:ind w:firstLine="420"/>
        <w:rPr>
          <w:rFonts w:cs="仿宋_GB2312" w:asciiTheme="minorEastAsia" w:hAnsiTheme="minorEastAsia"/>
          <w:szCs w:val="21"/>
        </w:rPr>
      </w:pPr>
      <w:r>
        <w:rPr>
          <w:rFonts w:hint="eastAsia" w:cs="仿宋_GB2312" w:asciiTheme="minorEastAsia" w:hAnsiTheme="minorEastAsia"/>
          <w:szCs w:val="21"/>
        </w:rPr>
        <w:t>本标准主要起草人及工作职责见表1。</w:t>
      </w:r>
    </w:p>
    <w:p>
      <w:pPr>
        <w:spacing w:line="288" w:lineRule="auto"/>
        <w:ind w:firstLine="420"/>
        <w:jc w:val="center"/>
        <w:rPr>
          <w:rFonts w:cs="仿宋_GB2312" w:asciiTheme="minorEastAsia" w:hAnsiTheme="minorEastAsia"/>
          <w:sz w:val="20"/>
          <w:szCs w:val="18"/>
        </w:rPr>
      </w:pPr>
      <w:r>
        <w:rPr>
          <w:rFonts w:hint="eastAsia" w:cs="仿宋_GB2312" w:asciiTheme="minorEastAsia" w:hAnsiTheme="minorEastAsia"/>
          <w:sz w:val="20"/>
          <w:szCs w:val="18"/>
        </w:rPr>
        <w:t>表1主要起草人及工作职责</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11"/>
        <w:gridCol w:w="197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szCs w:val="21"/>
              </w:rPr>
            </w:pPr>
            <w:r>
              <w:rPr>
                <w:rFonts w:hint="eastAsia" w:ascii="宋体" w:hAnsi="宋体"/>
                <w:szCs w:val="21"/>
              </w:rPr>
              <w:t>参加单位</w:t>
            </w:r>
          </w:p>
        </w:tc>
        <w:tc>
          <w:tcPr>
            <w:tcW w:w="1970" w:type="dxa"/>
            <w:shd w:val="clear" w:color="auto" w:fill="auto"/>
            <w:vAlign w:val="center"/>
          </w:tcPr>
          <w:p>
            <w:pPr>
              <w:spacing w:line="360" w:lineRule="auto"/>
              <w:jc w:val="center"/>
              <w:rPr>
                <w:rFonts w:ascii="宋体" w:hAnsi="宋体"/>
                <w:szCs w:val="21"/>
              </w:rPr>
            </w:pPr>
            <w:r>
              <w:rPr>
                <w:rFonts w:hint="eastAsia" w:ascii="宋体" w:hAnsi="宋体"/>
                <w:szCs w:val="21"/>
              </w:rPr>
              <w:t>工作成员</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所作的工作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szCs w:val="21"/>
              </w:rPr>
            </w:pPr>
            <w:r>
              <w:rPr>
                <w:rFonts w:hint="eastAsia" w:ascii="宋体" w:hAnsi="宋体"/>
                <w:szCs w:val="21"/>
              </w:rPr>
              <w:t>中铝郑州有色金属研究院有限公司</w:t>
            </w:r>
          </w:p>
        </w:tc>
        <w:tc>
          <w:tcPr>
            <w:tcW w:w="1970" w:type="dxa"/>
            <w:shd w:val="clear" w:color="auto" w:fill="auto"/>
            <w:vAlign w:val="center"/>
          </w:tcPr>
          <w:p>
            <w:pPr>
              <w:spacing w:line="360" w:lineRule="auto"/>
              <w:jc w:val="center"/>
              <w:rPr>
                <w:rFonts w:ascii="宋体" w:hAnsi="宋体"/>
                <w:szCs w:val="21"/>
              </w:rPr>
            </w:pPr>
            <w:r>
              <w:rPr>
                <w:rFonts w:hint="eastAsia" w:ascii="宋体" w:hAnsi="宋体"/>
                <w:szCs w:val="21"/>
              </w:rPr>
              <w:t>匡玉云、晏唯真、</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主编人员，负责方案制定、资料收集、技术参数的确定、标准条款编写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jc w:val="center"/>
        </w:trPr>
        <w:tc>
          <w:tcPr>
            <w:tcW w:w="3711" w:type="dxa"/>
            <w:vAlign w:val="center"/>
          </w:tcPr>
          <w:p>
            <w:pPr>
              <w:jc w:val="center"/>
              <w:rPr>
                <w:rFonts w:ascii="宋体" w:hAnsi="宋体" w:cs="仿宋_GB2312"/>
                <w:szCs w:val="21"/>
              </w:rPr>
            </w:pPr>
            <w:r>
              <w:rPr>
                <w:rFonts w:hint="eastAsia" w:ascii="宋体" w:hAnsi="宋体" w:cs="仿宋_GB2312"/>
                <w:szCs w:val="21"/>
              </w:rPr>
              <w:t>有色金属技术经济研究院有限责任公司</w:t>
            </w:r>
          </w:p>
        </w:tc>
        <w:tc>
          <w:tcPr>
            <w:tcW w:w="1970" w:type="dxa"/>
            <w:vAlign w:val="center"/>
          </w:tcPr>
          <w:p>
            <w:pPr>
              <w:jc w:val="center"/>
              <w:rPr>
                <w:rFonts w:ascii="宋体" w:hAnsi="宋体" w:cs="仿宋_GB2312"/>
                <w:szCs w:val="21"/>
              </w:rPr>
            </w:pPr>
            <w:r>
              <w:rPr>
                <w:rFonts w:hint="eastAsia" w:ascii="宋体" w:hAnsi="宋体" w:cs="仿宋_GB2312"/>
                <w:szCs w:val="21"/>
              </w:rPr>
              <w:t>李志刚</w:t>
            </w:r>
          </w:p>
        </w:tc>
        <w:tc>
          <w:tcPr>
            <w:tcW w:w="2841" w:type="dxa"/>
            <w:vAlign w:val="center"/>
          </w:tcPr>
          <w:p>
            <w:pPr>
              <w:jc w:val="left"/>
              <w:rPr>
                <w:rFonts w:ascii="宋体" w:hAnsi="宋体" w:cs="仿宋_GB2312"/>
                <w:szCs w:val="21"/>
              </w:rPr>
            </w:pPr>
            <w:r>
              <w:rPr>
                <w:rFonts w:hint="eastAsia" w:ascii="宋体" w:hAnsi="宋体" w:cs="仿宋_GB2312"/>
                <w:szCs w:val="21"/>
              </w:rPr>
              <w:t>标准组织协调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szCs w:val="21"/>
              </w:rPr>
            </w:pPr>
            <w:r>
              <w:rPr>
                <w:rFonts w:hint="eastAsia" w:ascii="宋体" w:hAnsi="宋体"/>
                <w:szCs w:val="21"/>
              </w:rPr>
              <w:t>多氟多新材料有限责任公司</w:t>
            </w:r>
          </w:p>
        </w:tc>
        <w:tc>
          <w:tcPr>
            <w:tcW w:w="1970" w:type="dxa"/>
            <w:shd w:val="clear" w:color="auto" w:fill="auto"/>
            <w:vAlign w:val="center"/>
          </w:tcPr>
          <w:p>
            <w:pPr>
              <w:spacing w:line="360" w:lineRule="auto"/>
              <w:jc w:val="center"/>
              <w:rPr>
                <w:rFonts w:ascii="宋体" w:hAnsi="宋体"/>
                <w:szCs w:val="21"/>
              </w:rPr>
            </w:pPr>
            <w:r>
              <w:rPr>
                <w:rFonts w:hint="eastAsia" w:ascii="宋体" w:hAnsi="宋体"/>
                <w:szCs w:val="21"/>
              </w:rPr>
              <w:t>冀然</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参编人员，负责试验验证工作及验证报告的编写。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szCs w:val="21"/>
              </w:rPr>
            </w:pPr>
            <w:r>
              <w:rPr>
                <w:rFonts w:hint="eastAsia" w:ascii="宋体" w:hAnsi="宋体"/>
                <w:szCs w:val="21"/>
              </w:rPr>
              <w:t>内蒙古霍煤鸿骏铝电有限责任公司</w:t>
            </w:r>
          </w:p>
        </w:tc>
        <w:tc>
          <w:tcPr>
            <w:tcW w:w="1970" w:type="dxa"/>
            <w:shd w:val="clear" w:color="auto" w:fill="auto"/>
            <w:vAlign w:val="center"/>
          </w:tcPr>
          <w:p>
            <w:pPr>
              <w:spacing w:line="360" w:lineRule="auto"/>
              <w:jc w:val="center"/>
              <w:rPr>
                <w:rFonts w:ascii="宋体" w:hAnsi="宋体"/>
                <w:szCs w:val="21"/>
              </w:rPr>
            </w:pPr>
            <w:r>
              <w:rPr>
                <w:rFonts w:hint="eastAsia" w:ascii="宋体" w:hAnsi="宋体"/>
                <w:szCs w:val="21"/>
              </w:rPr>
              <w:t>何春燕</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参编人员，负责试验验证工作及验证报告的编写。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szCs w:val="21"/>
              </w:rPr>
            </w:pPr>
            <w:r>
              <w:rPr>
                <w:rFonts w:hint="eastAsia" w:ascii="宋体" w:hAnsi="宋体" w:cs="宋体"/>
                <w:kern w:val="0"/>
                <w:sz w:val="22"/>
                <w:szCs w:val="22"/>
              </w:rPr>
              <w:t>中铝中州铝业有限公司</w:t>
            </w:r>
          </w:p>
        </w:tc>
        <w:tc>
          <w:tcPr>
            <w:tcW w:w="1970" w:type="dxa"/>
            <w:shd w:val="clear" w:color="auto" w:fill="auto"/>
            <w:vAlign w:val="center"/>
          </w:tcPr>
          <w:p>
            <w:pPr>
              <w:spacing w:line="360" w:lineRule="auto"/>
              <w:jc w:val="center"/>
              <w:rPr>
                <w:rFonts w:ascii="宋体" w:hAnsi="宋体"/>
                <w:szCs w:val="21"/>
              </w:rPr>
            </w:pPr>
            <w:r>
              <w:rPr>
                <w:rFonts w:hint="eastAsia" w:ascii="宋体" w:hAnsi="宋体"/>
                <w:szCs w:val="21"/>
              </w:rPr>
              <w:t>贾音  贺婕</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参编人员，负责试验验证工作及验证报告的编写。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szCs w:val="21"/>
              </w:rPr>
            </w:pPr>
            <w:r>
              <w:rPr>
                <w:rFonts w:hint="eastAsia" w:ascii="宋体" w:hAnsi="宋体"/>
                <w:szCs w:val="21"/>
              </w:rPr>
              <w:t>贵州兴仁登高新材料有限公司</w:t>
            </w:r>
          </w:p>
        </w:tc>
        <w:tc>
          <w:tcPr>
            <w:tcW w:w="1970" w:type="dxa"/>
            <w:shd w:val="clear" w:color="auto" w:fill="auto"/>
            <w:vAlign w:val="center"/>
          </w:tcPr>
          <w:p>
            <w:pPr>
              <w:widowControl/>
              <w:spacing w:line="360" w:lineRule="auto"/>
              <w:ind w:firstLine="525" w:firstLineChars="250"/>
              <w:jc w:val="left"/>
              <w:rPr>
                <w:rFonts w:ascii="宋体" w:hAnsi="宋体"/>
                <w:szCs w:val="21"/>
              </w:rPr>
            </w:pPr>
            <w:r>
              <w:rPr>
                <w:rFonts w:hint="eastAsia" w:ascii="宋体" w:hAnsi="宋体"/>
                <w:szCs w:val="21"/>
              </w:rPr>
              <w:t>刘建英</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参编人员，负责试验验证工作及验证报告的编写。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3711" w:type="dxa"/>
            <w:shd w:val="clear" w:color="auto" w:fill="auto"/>
            <w:vAlign w:val="center"/>
          </w:tcPr>
          <w:p>
            <w:pPr>
              <w:spacing w:line="360" w:lineRule="auto"/>
              <w:jc w:val="center"/>
              <w:rPr>
                <w:rFonts w:ascii="宋体" w:hAnsi="宋体"/>
                <w:szCs w:val="21"/>
              </w:rPr>
            </w:pPr>
            <w:r>
              <w:rPr>
                <w:rFonts w:hint="eastAsia" w:ascii="宋体" w:hAnsi="宋体" w:cs="宋体"/>
                <w:kern w:val="0"/>
                <w:sz w:val="22"/>
                <w:szCs w:val="22"/>
              </w:rPr>
              <w:t>内蒙古锦联铝材有限公司</w:t>
            </w:r>
          </w:p>
        </w:tc>
        <w:tc>
          <w:tcPr>
            <w:tcW w:w="1970" w:type="dxa"/>
            <w:shd w:val="clear" w:color="auto" w:fill="auto"/>
            <w:vAlign w:val="center"/>
          </w:tcPr>
          <w:p>
            <w:pPr>
              <w:jc w:val="center"/>
              <w:rPr>
                <w:rFonts w:ascii="宋体" w:hAnsi="宋体"/>
                <w:szCs w:val="21"/>
              </w:rPr>
            </w:pPr>
            <w:r>
              <w:rPr>
                <w:rFonts w:hint="eastAsia" w:ascii="宋体" w:hAnsi="宋体"/>
                <w:szCs w:val="21"/>
              </w:rPr>
              <w:t>张伟南、杨柳、</w:t>
            </w:r>
          </w:p>
          <w:p>
            <w:pPr>
              <w:jc w:val="center"/>
              <w:rPr>
                <w:rFonts w:ascii="宋体" w:hAnsi="宋体"/>
                <w:szCs w:val="21"/>
              </w:rPr>
            </w:pPr>
            <w:r>
              <w:rPr>
                <w:rFonts w:hint="eastAsia" w:ascii="宋体" w:hAnsi="宋体"/>
                <w:szCs w:val="21"/>
              </w:rPr>
              <w:t>李欣、王伊娜</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参编人员，负责试验验证工作及验证报告的编写。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szCs w:val="21"/>
              </w:rPr>
            </w:pPr>
            <w:r>
              <w:rPr>
                <w:rFonts w:hint="eastAsia" w:ascii="宋体" w:hAnsi="宋体" w:cs="宋体"/>
                <w:kern w:val="0"/>
                <w:sz w:val="22"/>
                <w:szCs w:val="22"/>
              </w:rPr>
              <w:t>山东南山铝业股份有限公司</w:t>
            </w:r>
          </w:p>
        </w:tc>
        <w:tc>
          <w:tcPr>
            <w:tcW w:w="1970" w:type="dxa"/>
            <w:shd w:val="clear" w:color="auto" w:fill="auto"/>
            <w:vAlign w:val="center"/>
          </w:tcPr>
          <w:p>
            <w:pPr>
              <w:pStyle w:val="25"/>
              <w:spacing w:line="360" w:lineRule="auto"/>
              <w:ind w:right="105"/>
              <w:jc w:val="right"/>
              <w:rPr>
                <w:rFonts w:ascii="宋体" w:hAnsi="宋体"/>
                <w:szCs w:val="21"/>
              </w:rPr>
            </w:pPr>
            <w:r>
              <w:rPr>
                <w:rFonts w:ascii="宋体" w:hAnsi="宋体"/>
                <w:szCs w:val="21"/>
              </w:rPr>
              <w:t>张宁</w:t>
            </w:r>
            <w:r>
              <w:rPr>
                <w:rFonts w:hint="eastAsia" w:ascii="宋体" w:hAnsi="宋体"/>
                <w:szCs w:val="21"/>
              </w:rPr>
              <w:t>、</w:t>
            </w:r>
            <w:r>
              <w:rPr>
                <w:rFonts w:ascii="宋体" w:hAnsi="宋体"/>
                <w:szCs w:val="21"/>
              </w:rPr>
              <w:t>姜雪艳</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参编人员，负责试验验证工作及验证报告的编写。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11" w:type="dxa"/>
            <w:shd w:val="clear" w:color="auto" w:fill="auto"/>
            <w:vAlign w:val="center"/>
          </w:tcPr>
          <w:p>
            <w:pPr>
              <w:spacing w:line="360" w:lineRule="auto"/>
              <w:jc w:val="center"/>
              <w:rPr>
                <w:rFonts w:ascii="宋体" w:hAnsi="宋体" w:cs="宋体"/>
                <w:kern w:val="0"/>
                <w:sz w:val="22"/>
                <w:szCs w:val="22"/>
              </w:rPr>
            </w:pPr>
            <w:r>
              <w:rPr>
                <w:rFonts w:hint="eastAsia" w:ascii="宋体" w:hAnsi="宋体" w:cs="宋体"/>
                <w:kern w:val="0"/>
                <w:sz w:val="22"/>
                <w:szCs w:val="22"/>
              </w:rPr>
              <w:t>昆明冶金研究院有限公司</w:t>
            </w:r>
          </w:p>
        </w:tc>
        <w:tc>
          <w:tcPr>
            <w:tcW w:w="1970" w:type="dxa"/>
            <w:shd w:val="clear" w:color="auto" w:fill="auto"/>
            <w:vAlign w:val="center"/>
          </w:tcPr>
          <w:p>
            <w:pPr>
              <w:spacing w:line="360" w:lineRule="auto"/>
              <w:jc w:val="center"/>
              <w:rPr>
                <w:rFonts w:ascii="宋体" w:hAnsi="宋体"/>
                <w:szCs w:val="21"/>
              </w:rPr>
            </w:pPr>
            <w:r>
              <w:rPr>
                <w:rFonts w:hint="eastAsia" w:ascii="宋体" w:hAnsi="宋体"/>
                <w:szCs w:val="21"/>
              </w:rPr>
              <w:t>刘英波</w:t>
            </w:r>
          </w:p>
        </w:tc>
        <w:tc>
          <w:tcPr>
            <w:tcW w:w="2841" w:type="dxa"/>
            <w:shd w:val="clear" w:color="auto" w:fill="auto"/>
            <w:vAlign w:val="center"/>
          </w:tcPr>
          <w:p>
            <w:pPr>
              <w:spacing w:line="360" w:lineRule="auto"/>
              <w:jc w:val="center"/>
              <w:rPr>
                <w:rFonts w:ascii="宋体" w:hAnsi="宋体"/>
                <w:szCs w:val="21"/>
              </w:rPr>
            </w:pPr>
            <w:r>
              <w:rPr>
                <w:rFonts w:hint="eastAsia" w:ascii="宋体" w:hAnsi="宋体"/>
                <w:szCs w:val="21"/>
              </w:rPr>
              <w:t>参编人员，负责试验验证工作及验证报告的编写。</w:t>
            </w:r>
          </w:p>
        </w:tc>
      </w:tr>
    </w:tbl>
    <w:p>
      <w:pPr>
        <w:widowControl/>
        <w:spacing w:line="360" w:lineRule="auto"/>
        <w:ind w:firstLine="420" w:firstLineChars="200"/>
        <w:jc w:val="left"/>
        <w:rPr>
          <w:rFonts w:ascii="Times New Roman" w:hAnsi="Times New Roman"/>
          <w:bCs/>
          <w:szCs w:val="21"/>
        </w:rPr>
      </w:pPr>
    </w:p>
    <w:p>
      <w:pPr>
        <w:spacing w:line="360" w:lineRule="auto"/>
        <w:ind w:firstLine="360" w:firstLineChars="150"/>
        <w:rPr>
          <w:rFonts w:eastAsia="黑体"/>
          <w:sz w:val="24"/>
        </w:rPr>
      </w:pPr>
      <w:r>
        <w:rPr>
          <w:rFonts w:hAnsi="黑体" w:eastAsia="黑体"/>
          <w:sz w:val="24"/>
        </w:rPr>
        <w:t>（三）工作过程</w:t>
      </w:r>
    </w:p>
    <w:p>
      <w:pPr>
        <w:spacing w:line="360" w:lineRule="auto"/>
        <w:ind w:firstLine="420" w:firstLineChars="200"/>
        <w:rPr>
          <w:color w:val="000000"/>
          <w:kern w:val="0"/>
          <w:szCs w:val="21"/>
        </w:rPr>
      </w:pPr>
      <w:r>
        <w:rPr>
          <w:color w:val="000000"/>
          <w:kern w:val="0"/>
          <w:szCs w:val="21"/>
        </w:rPr>
        <w:t>1、预研阶段：</w:t>
      </w:r>
      <w:r>
        <w:rPr>
          <w:rFonts w:hint="eastAsia"/>
          <w:color w:val="000000"/>
          <w:kern w:val="0"/>
          <w:szCs w:val="21"/>
        </w:rPr>
        <w:t>从2020年3月对多家氟化盐生产、电解铝生产的单位调研，调研中发现原版标准存在如下问题：1、三氧化二铁的检测范围没有规定检测下限，只给出了测定范围为：≤0.25%。由于标准中没有明确的检测下限，使得不同企业在低含量检测时给出了不同检测结果。这对于氟化盐行业的贸易造成不便。2、三氧化二铁的检测上限0</w:t>
      </w:r>
      <w:r>
        <w:rPr>
          <w:color w:val="000000"/>
          <w:kern w:val="0"/>
          <w:szCs w:val="21"/>
        </w:rPr>
        <w:t>.25</w:t>
      </w:r>
      <w:r>
        <w:rPr>
          <w:rFonts w:hint="eastAsia"/>
          <w:color w:val="000000"/>
          <w:kern w:val="0"/>
          <w:szCs w:val="21"/>
        </w:rPr>
        <w:t>%已不能满足当前冰晶石产品检测的要求，有些产品中三氧化二铁含量较高，已超出当前检测上限。3、</w:t>
      </w:r>
      <w:r>
        <w:rPr>
          <w:color w:val="000000"/>
          <w:kern w:val="0"/>
          <w:szCs w:val="21"/>
        </w:rPr>
        <w:t>旧版本YS/T273.</w:t>
      </w:r>
      <w:r>
        <w:rPr>
          <w:rFonts w:hint="eastAsia"/>
          <w:color w:val="000000"/>
          <w:kern w:val="0"/>
          <w:szCs w:val="21"/>
        </w:rPr>
        <w:t>7</w:t>
      </w:r>
      <w:r>
        <w:rPr>
          <w:color w:val="000000"/>
          <w:kern w:val="0"/>
          <w:szCs w:val="21"/>
        </w:rPr>
        <w:t>-2006中称样量较多（</w:t>
      </w:r>
      <w:r>
        <w:rPr>
          <w:rFonts w:hint="eastAsia"/>
          <w:color w:val="000000"/>
          <w:kern w:val="0"/>
          <w:szCs w:val="21"/>
        </w:rPr>
        <w:t>1</w:t>
      </w:r>
      <w:r>
        <w:rPr>
          <w:color w:val="000000"/>
          <w:kern w:val="0"/>
          <w:szCs w:val="21"/>
        </w:rPr>
        <w:t>.0g），且加入的熔剂也较多，导致高温熔融完之后在用热水浸提时需花费较多时间去溶解熔块</w:t>
      </w:r>
      <w:r>
        <w:rPr>
          <w:rFonts w:hint="eastAsia"/>
          <w:color w:val="000000"/>
          <w:kern w:val="0"/>
          <w:szCs w:val="21"/>
        </w:rPr>
        <w:t>，在操作过程中试样容易溢出铂皿外</w:t>
      </w:r>
      <w:r>
        <w:rPr>
          <w:color w:val="000000"/>
          <w:kern w:val="0"/>
          <w:szCs w:val="21"/>
        </w:rPr>
        <w:t>。</w:t>
      </w:r>
      <w:r>
        <w:rPr>
          <w:rFonts w:hint="eastAsia"/>
          <w:color w:val="000000"/>
          <w:kern w:val="0"/>
          <w:szCs w:val="21"/>
        </w:rPr>
        <w:t>4</w:t>
      </w:r>
      <w:r>
        <w:rPr>
          <w:color w:val="000000"/>
          <w:kern w:val="0"/>
          <w:szCs w:val="21"/>
        </w:rPr>
        <w:t>旧版本YS/T273.</w:t>
      </w:r>
      <w:r>
        <w:rPr>
          <w:rFonts w:hint="eastAsia"/>
          <w:color w:val="000000"/>
          <w:kern w:val="0"/>
          <w:szCs w:val="21"/>
        </w:rPr>
        <w:t>7</w:t>
      </w:r>
      <w:r>
        <w:rPr>
          <w:color w:val="000000"/>
          <w:kern w:val="0"/>
          <w:szCs w:val="21"/>
        </w:rPr>
        <w:t>-2006中采用的是825℃熔融</w:t>
      </w:r>
      <w:r>
        <w:rPr>
          <w:rFonts w:hint="eastAsia"/>
          <w:color w:val="000000"/>
          <w:kern w:val="0"/>
          <w:szCs w:val="21"/>
        </w:rPr>
        <w:t>30</w:t>
      </w:r>
      <w:r>
        <w:rPr>
          <w:color w:val="000000"/>
          <w:kern w:val="0"/>
          <w:szCs w:val="21"/>
        </w:rPr>
        <w:t>min，在日常检测过程中偶见样品溶不清的现象</w:t>
      </w:r>
      <w:r>
        <w:rPr>
          <w:rFonts w:hint="eastAsia"/>
          <w:color w:val="000000"/>
          <w:kern w:val="0"/>
          <w:szCs w:val="21"/>
        </w:rPr>
        <w:t>。</w:t>
      </w:r>
    </w:p>
    <w:p>
      <w:pPr>
        <w:spacing w:line="360" w:lineRule="auto"/>
        <w:rPr>
          <w:color w:val="000000"/>
          <w:kern w:val="0"/>
          <w:szCs w:val="21"/>
        </w:rPr>
      </w:pPr>
      <w:r>
        <w:rPr>
          <w:rFonts w:hint="eastAsia"/>
          <w:color w:val="000000"/>
          <w:kern w:val="0"/>
          <w:szCs w:val="21"/>
        </w:rPr>
        <w:t>因此亟需对该标准进行修订。</w:t>
      </w:r>
    </w:p>
    <w:p>
      <w:pPr>
        <w:spacing w:line="360" w:lineRule="auto"/>
        <w:ind w:firstLine="525" w:firstLineChars="250"/>
        <w:rPr>
          <w:color w:val="000000"/>
          <w:szCs w:val="21"/>
        </w:rPr>
      </w:pPr>
      <w:r>
        <w:rPr>
          <w:rFonts w:hint="eastAsia"/>
          <w:color w:val="000000"/>
          <w:kern w:val="0"/>
          <w:szCs w:val="21"/>
        </w:rPr>
        <w:t xml:space="preserve">最终提出YS/T 273.7 </w:t>
      </w:r>
      <w:r>
        <w:rPr>
          <w:rFonts w:hint="eastAsia"/>
          <w:color w:val="000000"/>
          <w:szCs w:val="21"/>
        </w:rPr>
        <w:t xml:space="preserve">《冰晶石化学分析方法和物理性能测定方法 第7部分：三氧化二铁含量的测定  </w:t>
      </w:r>
      <w:r>
        <w:rPr>
          <w:rFonts w:hint="eastAsia"/>
          <w:color w:val="000000"/>
          <w:kern w:val="0"/>
          <w:szCs w:val="21"/>
        </w:rPr>
        <w:t>邻二氮杂菲分光光度法</w:t>
      </w:r>
      <w:r>
        <w:rPr>
          <w:rFonts w:hint="eastAsia"/>
          <w:color w:val="000000"/>
          <w:szCs w:val="21"/>
        </w:rPr>
        <w:t>》</w:t>
      </w:r>
      <w:r>
        <w:rPr>
          <w:color w:val="000000"/>
          <w:szCs w:val="21"/>
        </w:rPr>
        <w:t>的标准修订</w:t>
      </w:r>
      <w:r>
        <w:rPr>
          <w:rFonts w:hint="eastAsia"/>
          <w:color w:val="000000"/>
          <w:szCs w:val="21"/>
        </w:rPr>
        <w:t>计划。</w:t>
      </w:r>
    </w:p>
    <w:p>
      <w:pPr>
        <w:spacing w:line="360" w:lineRule="auto"/>
        <w:ind w:firstLine="420" w:firstLineChars="200"/>
        <w:rPr>
          <w:color w:val="000000"/>
          <w:kern w:val="0"/>
          <w:szCs w:val="21"/>
        </w:rPr>
      </w:pPr>
      <w:r>
        <w:rPr>
          <w:color w:val="000000"/>
          <w:kern w:val="0"/>
          <w:szCs w:val="21"/>
        </w:rPr>
        <w:t>2、立项阶段</w:t>
      </w:r>
    </w:p>
    <w:p>
      <w:pPr>
        <w:spacing w:line="360" w:lineRule="auto"/>
        <w:ind w:firstLine="420" w:firstLineChars="200"/>
        <w:rPr>
          <w:rFonts w:ascii="宋体" w:hAnsi="宋体" w:cs="宋体"/>
          <w:szCs w:val="21"/>
        </w:rPr>
      </w:pPr>
      <w:r>
        <w:rPr>
          <w:rFonts w:hint="eastAsia" w:asciiTheme="minorEastAsia" w:hAnsiTheme="minorEastAsia"/>
          <w:szCs w:val="21"/>
        </w:rPr>
        <w:t>20</w:t>
      </w:r>
      <w:r>
        <w:rPr>
          <w:rFonts w:asciiTheme="minorEastAsia" w:hAnsiTheme="minorEastAsia"/>
          <w:szCs w:val="21"/>
        </w:rPr>
        <w:t>21</w:t>
      </w:r>
      <w:r>
        <w:rPr>
          <w:rFonts w:hint="eastAsia" w:asciiTheme="minorEastAsia" w:hAnsiTheme="minorEastAsia"/>
          <w:szCs w:val="21"/>
        </w:rPr>
        <w:t>年5月</w:t>
      </w:r>
      <w:r>
        <w:rPr>
          <w:rFonts w:hint="eastAsia" w:asciiTheme="minorEastAsia" w:hAnsiTheme="minorEastAsia"/>
          <w:strike/>
          <w:szCs w:val="21"/>
        </w:rPr>
        <w:t>，</w:t>
      </w:r>
      <w:r>
        <w:rPr>
          <w:rFonts w:hint="eastAsia" w:asciiTheme="minorEastAsia" w:hAnsiTheme="minorEastAsia"/>
          <w:szCs w:val="21"/>
        </w:rPr>
        <w:t>中铝郑州有色金属研究院有限公司向全体委员会提交了</w:t>
      </w:r>
      <w:r>
        <w:rPr>
          <w:rFonts w:hint="eastAsia"/>
          <w:color w:val="000000"/>
          <w:kern w:val="0"/>
          <w:szCs w:val="21"/>
        </w:rPr>
        <w:t xml:space="preserve">YS/T </w:t>
      </w:r>
      <w:r>
        <w:rPr>
          <w:color w:val="000000"/>
          <w:kern w:val="0"/>
          <w:szCs w:val="21"/>
        </w:rPr>
        <w:t>273.</w:t>
      </w:r>
      <w:r>
        <w:rPr>
          <w:rFonts w:hint="eastAsia"/>
          <w:color w:val="000000"/>
          <w:kern w:val="0"/>
          <w:szCs w:val="21"/>
        </w:rPr>
        <w:t>7《冰晶石化学分析方法和物理性能测定方法 第7部分：三氧化二铁含量的测定 邻二氮杂菲分光光度法》</w:t>
      </w:r>
      <w:r>
        <w:rPr>
          <w:rFonts w:hint="eastAsia" w:ascii="宋体" w:hAnsi="宋体" w:cs="宋体"/>
          <w:szCs w:val="21"/>
        </w:rPr>
        <w:t>的标准项目建议书、标准草案，立项报告等材料，全体委员会论证结论为同意行业标准立项。</w:t>
      </w:r>
    </w:p>
    <w:p>
      <w:pPr>
        <w:spacing w:line="360" w:lineRule="auto"/>
        <w:ind w:firstLine="420" w:firstLineChars="200"/>
        <w:rPr>
          <w:kern w:val="0"/>
          <w:szCs w:val="21"/>
        </w:rPr>
      </w:pPr>
      <w:r>
        <w:rPr>
          <w:rFonts w:hint="eastAsia"/>
          <w:color w:val="000000"/>
          <w:kern w:val="0"/>
          <w:szCs w:val="21"/>
        </w:rPr>
        <w:t>2</w:t>
      </w:r>
      <w:r>
        <w:rPr>
          <w:color w:val="000000"/>
          <w:kern w:val="0"/>
          <w:szCs w:val="21"/>
        </w:rPr>
        <w:t>0</w:t>
      </w:r>
      <w:r>
        <w:rPr>
          <w:kern w:val="0"/>
          <w:szCs w:val="21"/>
        </w:rPr>
        <w:t>22</w:t>
      </w:r>
      <w:r>
        <w:rPr>
          <w:rFonts w:hint="eastAsia"/>
          <w:kern w:val="0"/>
          <w:szCs w:val="21"/>
        </w:rPr>
        <w:t>年，工信部下达了《</w:t>
      </w:r>
      <w:r>
        <w:rPr>
          <w:rFonts w:hint="eastAsia"/>
          <w:szCs w:val="21"/>
        </w:rPr>
        <w:t>2022年第一批行业标准制修订计划</w:t>
      </w:r>
      <w:r>
        <w:rPr>
          <w:rFonts w:hint="eastAsia"/>
          <w:kern w:val="0"/>
          <w:szCs w:val="21"/>
        </w:rPr>
        <w:t xml:space="preserve">》，批准了YS/T </w:t>
      </w:r>
      <w:r>
        <w:rPr>
          <w:kern w:val="0"/>
          <w:szCs w:val="21"/>
        </w:rPr>
        <w:t>273.</w:t>
      </w:r>
      <w:r>
        <w:rPr>
          <w:rFonts w:hint="eastAsia"/>
          <w:kern w:val="0"/>
          <w:szCs w:val="21"/>
        </w:rPr>
        <w:t>7《冰晶石化学分析方法和物理性能测定方法 第7部分：三氧化二铁含量的测定 邻二氮杂菲分光光度法》的修订计划，</w:t>
      </w:r>
      <w:r>
        <w:rPr>
          <w:rFonts w:hint="eastAsia" w:asciiTheme="majorEastAsia" w:hAnsiTheme="majorEastAsia" w:eastAsiaTheme="majorEastAsia"/>
          <w:szCs w:val="21"/>
        </w:rPr>
        <w:t>项目编号</w:t>
      </w:r>
      <w:r>
        <w:rPr>
          <w:rFonts w:hint="eastAsia" w:ascii="宋体" w:hAnsi="宋体" w:cs="宋体"/>
          <w:kern w:val="0"/>
          <w:sz w:val="22"/>
          <w:szCs w:val="22"/>
        </w:rPr>
        <w:t>2022-0196T-YS</w:t>
      </w:r>
      <w:r>
        <w:rPr>
          <w:rFonts w:hint="eastAsia" w:asciiTheme="majorEastAsia" w:hAnsiTheme="majorEastAsia" w:eastAsiaTheme="majorEastAsia"/>
          <w:szCs w:val="21"/>
        </w:rPr>
        <w:t>，</w:t>
      </w:r>
      <w:r>
        <w:rPr>
          <w:rFonts w:hint="eastAsia"/>
          <w:color w:val="000000"/>
          <w:szCs w:val="21"/>
        </w:rPr>
        <w:t>技术归口单位为全国有色金属标准化技术委员会</w:t>
      </w:r>
      <w:r>
        <w:rPr>
          <w:rFonts w:hint="eastAsia" w:asciiTheme="majorEastAsia" w:hAnsiTheme="majorEastAsia" w:eastAsiaTheme="majorEastAsia"/>
          <w:szCs w:val="21"/>
        </w:rPr>
        <w:t>。</w:t>
      </w:r>
      <w:bookmarkStart w:id="0" w:name="_GoBack"/>
      <w:bookmarkEnd w:id="0"/>
    </w:p>
    <w:p>
      <w:pPr>
        <w:spacing w:line="360" w:lineRule="auto"/>
        <w:ind w:firstLine="420" w:firstLineChars="200"/>
        <w:rPr>
          <w:kern w:val="0"/>
          <w:szCs w:val="21"/>
        </w:rPr>
      </w:pPr>
      <w:r>
        <w:rPr>
          <w:kern w:val="0"/>
          <w:szCs w:val="21"/>
        </w:rPr>
        <w:t>3、起草阶段：</w:t>
      </w:r>
    </w:p>
    <w:p>
      <w:pPr>
        <w:spacing w:line="360" w:lineRule="auto"/>
        <w:ind w:firstLine="420" w:firstLineChars="200"/>
        <w:rPr>
          <w:kern w:val="0"/>
          <w:szCs w:val="21"/>
        </w:rPr>
      </w:pPr>
      <w:r>
        <w:rPr>
          <w:rFonts w:hint="eastAsia"/>
          <w:kern w:val="0"/>
          <w:szCs w:val="21"/>
        </w:rPr>
        <w:t>3.1 第一次工作会议（任务落实会）</w:t>
      </w:r>
    </w:p>
    <w:p>
      <w:pPr>
        <w:spacing w:line="360" w:lineRule="auto"/>
        <w:ind w:firstLine="420" w:firstLineChars="200"/>
        <w:rPr>
          <w:rFonts w:ascii="宋体" w:hAnsi="宋体" w:cs="仿宋_GB2312"/>
          <w:szCs w:val="21"/>
        </w:rPr>
      </w:pPr>
      <w:r>
        <w:rPr>
          <w:rFonts w:hint="eastAsia" w:ascii="宋体" w:hAnsi="宋体" w:cs="仿宋_GB2312"/>
          <w:szCs w:val="21"/>
        </w:rPr>
        <w:t>2022年3月，全国有色金属标准化技术委员会召开标准工作网络会议，来自中铝郑州有色金属研究院有限公司、多氟多新材料有限公司，</w:t>
      </w:r>
      <w:r>
        <w:rPr>
          <w:rFonts w:hint="eastAsia" w:ascii="宋体" w:hAnsi="宋体"/>
          <w:szCs w:val="21"/>
        </w:rPr>
        <w:t>内蒙古</w:t>
      </w:r>
      <w:r>
        <w:rPr>
          <w:rFonts w:ascii="宋体" w:hAnsi="宋体"/>
          <w:szCs w:val="21"/>
        </w:rPr>
        <w:t>锦联铝材有限公司</w:t>
      </w:r>
      <w:r>
        <w:rPr>
          <w:rFonts w:hint="eastAsia" w:ascii="宋体" w:hAnsi="宋体" w:cs="仿宋_GB2312"/>
          <w:szCs w:val="21"/>
        </w:rPr>
        <w:t>、</w:t>
      </w:r>
      <w:r>
        <w:rPr>
          <w:rFonts w:hint="eastAsia" w:ascii="宋体" w:hAnsi="宋体"/>
          <w:szCs w:val="21"/>
        </w:rPr>
        <w:t>南山铝业股份有限公司</w:t>
      </w:r>
      <w:r>
        <w:rPr>
          <w:rFonts w:hint="eastAsia" w:ascii="宋体" w:hAnsi="宋体" w:cs="仿宋_GB2312"/>
          <w:szCs w:val="21"/>
        </w:rPr>
        <w:t>等多家单位的代表参加会议，会议对标准草案进行了充分的讨论，</w:t>
      </w:r>
      <w:r>
        <w:rPr>
          <w:rFonts w:hint="eastAsia"/>
          <w:color w:val="000000"/>
          <w:kern w:val="0"/>
          <w:szCs w:val="21"/>
        </w:rPr>
        <w:t>起草单位根据国内外查新及对氟化铝工艺的深度研究制订了本项目试验方案，并形成征求意见稿Ⅰ。</w:t>
      </w:r>
      <w:r>
        <w:rPr>
          <w:rFonts w:hint="eastAsia" w:ascii="宋体" w:hAnsi="宋体" w:cs="宋体"/>
        </w:rPr>
        <w:t>会议决定由</w:t>
      </w:r>
      <w:r>
        <w:rPr>
          <w:rFonts w:hint="eastAsia" w:ascii="宋体" w:hAnsi="宋体"/>
          <w:szCs w:val="21"/>
        </w:rPr>
        <w:t>中铝郑州有色金属研究院有限公司、</w:t>
      </w:r>
      <w:r>
        <w:rPr>
          <w:rFonts w:hint="eastAsia"/>
          <w:color w:val="000000"/>
          <w:kern w:val="0"/>
          <w:szCs w:val="21"/>
        </w:rPr>
        <w:t>山东南山铝业股份有限公司、多氟多新材料有限责任公司、内蒙古霍煤鸿骏铝电有限责任公司、贵州路兴实业有限公司、中铝中州铝业有限公司、昆明冶金研究院有限公司、内蒙古锦联铝材有限公司</w:t>
      </w:r>
      <w:r>
        <w:rPr>
          <w:rFonts w:hint="eastAsia" w:ascii="宋体" w:hAnsi="宋体" w:cs="仿宋_GB2312"/>
          <w:szCs w:val="21"/>
        </w:rPr>
        <w:t>共8家单位参与标准修订与试验验证工作。</w:t>
      </w:r>
    </w:p>
    <w:p>
      <w:pPr>
        <w:spacing w:line="360" w:lineRule="auto"/>
        <w:ind w:firstLine="315" w:firstLineChars="150"/>
        <w:rPr>
          <w:color w:val="000000"/>
          <w:szCs w:val="21"/>
        </w:rPr>
      </w:pPr>
      <w:r>
        <w:rPr>
          <w:rFonts w:hint="eastAsia"/>
          <w:color w:val="000000"/>
          <w:szCs w:val="21"/>
        </w:rPr>
        <w:t>3.2 试验及验证情况</w:t>
      </w:r>
    </w:p>
    <w:p>
      <w:pPr>
        <w:spacing w:line="360" w:lineRule="auto"/>
        <w:ind w:firstLine="315" w:firstLineChars="150"/>
        <w:rPr>
          <w:color w:val="000000"/>
          <w:szCs w:val="21"/>
        </w:rPr>
      </w:pPr>
      <w:r>
        <w:rPr>
          <w:rFonts w:hint="eastAsia"/>
          <w:color w:val="000000"/>
          <w:szCs w:val="21"/>
        </w:rPr>
        <w:t>2022年12月20日，主编单位根据实验结果对标准讨论稿进行了修改，形成了标准征求意见稿</w:t>
      </w:r>
      <w:r>
        <w:rPr>
          <w:rFonts w:hint="eastAsia" w:ascii="宋体" w:hAnsi="宋体"/>
          <w:color w:val="000000"/>
          <w:szCs w:val="21"/>
        </w:rPr>
        <w:t>Ⅱ</w:t>
      </w:r>
      <w:r>
        <w:rPr>
          <w:rFonts w:hint="eastAsia"/>
          <w:color w:val="000000"/>
          <w:szCs w:val="21"/>
        </w:rPr>
        <w:t>，同时向</w:t>
      </w:r>
      <w:r>
        <w:rPr>
          <w:rFonts w:hint="eastAsia" w:ascii="宋体" w:hAnsi="宋体"/>
          <w:szCs w:val="21"/>
        </w:rPr>
        <w:t>山东南山铝业股份有限公司、昆明冶金研究院、霍煤鸿骏有限公司、贵州兴仁登高新材料有限公司、</w:t>
      </w:r>
      <w:r>
        <w:rPr>
          <w:rFonts w:hint="eastAsia" w:ascii="宋体" w:hAnsi="宋体" w:cs="宋体"/>
          <w:kern w:val="0"/>
          <w:sz w:val="22"/>
          <w:szCs w:val="22"/>
        </w:rPr>
        <w:t>中铝中州铝业有限公司、</w:t>
      </w:r>
      <w:r>
        <w:rPr>
          <w:rFonts w:hint="eastAsia" w:ascii="宋体" w:hAnsi="宋体"/>
          <w:szCs w:val="21"/>
        </w:rPr>
        <w:t>多氟多新材料股份有限公司、内蒙古锦联铝材有限公司等7家报名参与标准的复验复核工作的单位</w:t>
      </w:r>
      <w:r>
        <w:rPr>
          <w:rFonts w:hint="eastAsia"/>
          <w:color w:val="000000"/>
          <w:szCs w:val="21"/>
        </w:rPr>
        <w:t>发放标准征求意见稿</w:t>
      </w:r>
      <w:r>
        <w:rPr>
          <w:rFonts w:hint="eastAsia" w:ascii="宋体" w:hAnsi="宋体"/>
          <w:color w:val="000000"/>
          <w:szCs w:val="21"/>
        </w:rPr>
        <w:t>Ⅱ</w:t>
      </w:r>
      <w:r>
        <w:rPr>
          <w:rFonts w:hint="eastAsia"/>
          <w:color w:val="000000"/>
          <w:szCs w:val="21"/>
        </w:rPr>
        <w:t>以及4个标准复验及复核的样品和1个标准内控样品。2023年4月，主编单位根据返回的复验复核报告，对实验样品数据进行汇总与处理，计算重复性与再现性限。标准主编单位根据复验复核结果、征求意见并合理吸纳意见的基础上，形成了预审稿和预审稿编制说明。</w:t>
      </w:r>
    </w:p>
    <w:p>
      <w:pPr>
        <w:spacing w:line="360" w:lineRule="auto"/>
        <w:ind w:firstLine="315" w:firstLineChars="150"/>
        <w:rPr>
          <w:color w:val="000000"/>
          <w:szCs w:val="21"/>
        </w:rPr>
      </w:pPr>
      <w:r>
        <w:rPr>
          <w:rFonts w:hint="eastAsia"/>
          <w:color w:val="000000"/>
          <w:szCs w:val="21"/>
        </w:rPr>
        <w:t>3.3 第二次工作会议</w:t>
      </w:r>
    </w:p>
    <w:p>
      <w:pPr>
        <w:spacing w:line="360" w:lineRule="auto"/>
        <w:ind w:firstLine="420" w:firstLineChars="200"/>
        <w:rPr>
          <w:color w:val="000000"/>
          <w:szCs w:val="21"/>
        </w:rPr>
      </w:pPr>
      <w:r>
        <w:rPr>
          <w:rFonts w:hint="eastAsia"/>
          <w:color w:val="000000"/>
          <w:szCs w:val="21"/>
        </w:rPr>
        <w:t>2023年</w:t>
      </w:r>
      <w:r>
        <w:rPr>
          <w:rFonts w:hint="eastAsia"/>
          <w:color w:val="000000"/>
          <w:szCs w:val="21"/>
          <w:lang w:val="en-US" w:eastAsia="zh-CN"/>
        </w:rPr>
        <w:t>5</w:t>
      </w:r>
      <w:r>
        <w:rPr>
          <w:rFonts w:hint="eastAsia"/>
          <w:color w:val="000000"/>
          <w:szCs w:val="21"/>
        </w:rPr>
        <w:t>月</w:t>
      </w:r>
      <w:r>
        <w:rPr>
          <w:rFonts w:hint="eastAsia"/>
          <w:color w:val="000000"/>
          <w:szCs w:val="21"/>
          <w:lang w:val="en-US" w:eastAsia="zh-CN"/>
        </w:rPr>
        <w:t>30</w:t>
      </w:r>
      <w:r>
        <w:rPr>
          <w:rFonts w:hint="eastAsia" w:ascii="宋体" w:hAnsi="宋体"/>
          <w:color w:val="000000"/>
          <w:szCs w:val="21"/>
        </w:rPr>
        <w:t>～</w:t>
      </w:r>
      <w:r>
        <w:rPr>
          <w:rFonts w:hint="eastAsia" w:ascii="宋体" w:hAnsi="宋体"/>
          <w:color w:val="000000"/>
          <w:szCs w:val="21"/>
          <w:lang w:val="en-US" w:eastAsia="zh-CN"/>
        </w:rPr>
        <w:t>31</w:t>
      </w:r>
      <w:r>
        <w:rPr>
          <w:rFonts w:hint="eastAsia" w:ascii="宋体" w:hAnsi="宋体"/>
          <w:color w:val="000000"/>
          <w:szCs w:val="21"/>
        </w:rPr>
        <w:t>日，</w:t>
      </w:r>
      <w:r>
        <w:rPr>
          <w:rFonts w:hint="eastAsia"/>
          <w:color w:val="000000"/>
          <w:szCs w:val="21"/>
        </w:rPr>
        <w:t>由全国有色金属标准化技术委员会</w:t>
      </w:r>
      <w:r>
        <w:rPr>
          <w:rFonts w:hint="eastAsia"/>
          <w:color w:val="000000"/>
          <w:szCs w:val="21"/>
          <w:lang w:eastAsia="zh-CN"/>
        </w:rPr>
        <w:t>在大理</w:t>
      </w:r>
      <w:r>
        <w:rPr>
          <w:rFonts w:hint="eastAsia"/>
          <w:color w:val="000000"/>
          <w:szCs w:val="21"/>
        </w:rPr>
        <w:t>组织召开了标准预审会议，与会专家及企业代表对YS/T 273.</w:t>
      </w:r>
      <w:r>
        <w:rPr>
          <w:rFonts w:hint="eastAsia"/>
          <w:color w:val="000000"/>
          <w:szCs w:val="21"/>
          <w:lang w:val="en-US" w:eastAsia="zh-CN"/>
        </w:rPr>
        <w:t>7</w:t>
      </w:r>
      <w:r>
        <w:rPr>
          <w:rFonts w:hint="eastAsia"/>
          <w:color w:val="000000"/>
          <w:szCs w:val="21"/>
        </w:rPr>
        <w:t>《冰晶石化学分析方法和物理性能测定方法 第</w:t>
      </w:r>
      <w:r>
        <w:rPr>
          <w:rFonts w:hint="eastAsia"/>
          <w:color w:val="000000"/>
          <w:szCs w:val="21"/>
          <w:lang w:val="en-US" w:eastAsia="zh-CN"/>
        </w:rPr>
        <w:t>7</w:t>
      </w:r>
      <w:r>
        <w:rPr>
          <w:rFonts w:hint="eastAsia"/>
          <w:color w:val="000000"/>
          <w:szCs w:val="21"/>
        </w:rPr>
        <w:t>部分：</w:t>
      </w:r>
      <w:r>
        <w:rPr>
          <w:rFonts w:hint="eastAsia"/>
          <w:color w:val="000000"/>
          <w:szCs w:val="21"/>
          <w:lang w:eastAsia="zh-CN"/>
        </w:rPr>
        <w:t>三氧化二铁</w:t>
      </w:r>
      <w:r>
        <w:rPr>
          <w:rFonts w:hint="eastAsia"/>
          <w:color w:val="000000"/>
          <w:szCs w:val="21"/>
        </w:rPr>
        <w:t xml:space="preserve">含量的测定 </w:t>
      </w:r>
      <w:r>
        <w:rPr>
          <w:rFonts w:hint="eastAsia"/>
          <w:kern w:val="0"/>
          <w:szCs w:val="21"/>
        </w:rPr>
        <w:t>邻二氮杂菲分光光度法</w:t>
      </w:r>
      <w:r>
        <w:rPr>
          <w:rFonts w:hint="eastAsia"/>
          <w:szCs w:val="21"/>
        </w:rPr>
        <w:t>》预审稿</w:t>
      </w:r>
      <w:r>
        <w:rPr>
          <w:rFonts w:hint="eastAsia"/>
          <w:color w:val="000000"/>
          <w:szCs w:val="21"/>
        </w:rPr>
        <w:t>进行了审查，与会专家及代表</w:t>
      </w:r>
      <w:r>
        <w:rPr>
          <w:rFonts w:hint="eastAsia" w:ascii="宋体" w:hAnsi="宋体" w:eastAsia="宋体" w:cs="宋体"/>
          <w:szCs w:val="21"/>
        </w:rPr>
        <w:t>对标准预审稿进行全面的分析,并逐个询问参编单位在复验复核过程中发现的问题及解决的办法。除了编辑性修改外，会议认为：</w:t>
      </w:r>
      <w:r>
        <w:rPr>
          <w:rFonts w:hint="eastAsia" w:ascii="宋体" w:hAnsi="宋体" w:cs="宋体"/>
          <w:szCs w:val="21"/>
          <w:lang w:eastAsia="zh-CN"/>
        </w:rPr>
        <w:t>新标准中修改了称样量，熔样温度和溶解熔块酸及用量，应说明修改依据，补充条件条件</w:t>
      </w:r>
      <w:r>
        <w:rPr>
          <w:rFonts w:hint="eastAsia" w:ascii="宋体" w:hAnsi="宋体" w:eastAsia="宋体" w:cs="宋体"/>
          <w:szCs w:val="21"/>
        </w:rPr>
        <w:t>试验</w:t>
      </w:r>
      <w:r>
        <w:rPr>
          <w:rFonts w:hint="eastAsia" w:ascii="宋体" w:hAnsi="宋体" w:cs="宋体"/>
          <w:szCs w:val="21"/>
          <w:lang w:eastAsia="zh-CN"/>
        </w:rPr>
        <w:t>，会后，</w:t>
      </w:r>
      <w:r>
        <w:rPr>
          <w:rFonts w:hint="eastAsia"/>
          <w:color w:val="000000"/>
          <w:szCs w:val="21"/>
        </w:rPr>
        <w:t>标准编制组根据上述反馈意见</w:t>
      </w:r>
      <w:r>
        <w:rPr>
          <w:rFonts w:hint="eastAsia"/>
          <w:color w:val="000000"/>
          <w:szCs w:val="21"/>
          <w:lang w:eastAsia="zh-CN"/>
        </w:rPr>
        <w:t>，补加了条件试验和并由复验单位进行了复验，并</w:t>
      </w:r>
      <w:r>
        <w:rPr>
          <w:rFonts w:hint="eastAsia"/>
          <w:color w:val="000000"/>
          <w:szCs w:val="21"/>
        </w:rPr>
        <w:t>对预审稿和预审稿编制说明进行了修改，形成了标准送审稿和送审稿编制说明。</w:t>
      </w:r>
    </w:p>
    <w:p>
      <w:pPr>
        <w:rPr>
          <w:rFonts w:hint="eastAsia"/>
          <w:color w:val="000000"/>
          <w:kern w:val="0"/>
          <w:szCs w:val="21"/>
        </w:rPr>
      </w:pPr>
    </w:p>
    <w:p>
      <w:pPr>
        <w:spacing w:line="360" w:lineRule="auto"/>
        <w:ind w:firstLine="105" w:firstLineChars="50"/>
        <w:rPr>
          <w:szCs w:val="21"/>
        </w:rPr>
      </w:pPr>
      <w:r>
        <w:rPr>
          <w:rFonts w:hint="eastAsia"/>
          <w:szCs w:val="21"/>
        </w:rPr>
        <w:t>4、征求意见阶段</w:t>
      </w:r>
    </w:p>
    <w:p>
      <w:pPr>
        <w:spacing w:line="360" w:lineRule="auto"/>
        <w:ind w:firstLine="420" w:firstLineChars="200"/>
        <w:jc w:val="left"/>
        <w:rPr>
          <w:rFonts w:ascii="宋体" w:hAnsi="宋体" w:cs="宋体"/>
          <w:szCs w:val="21"/>
        </w:rPr>
      </w:pPr>
      <w:r>
        <w:rPr>
          <w:rFonts w:hint="eastAsia" w:ascii="宋体" w:hAnsi="宋体" w:cs="宋体"/>
          <w:szCs w:val="21"/>
        </w:rPr>
        <w:t>标准主编单位对YS/T 273.7《冰晶石化学分析方法和物理性能测定方法 第7部分：三氧化二铁含量的测定 邻二氮杂菲分光光度法</w:t>
      </w:r>
      <w:r>
        <w:rPr>
          <w:rFonts w:hint="eastAsia" w:ascii="宋体" w:hAnsi="宋体" w:cs="宋体"/>
          <w:kern w:val="0"/>
          <w:szCs w:val="21"/>
        </w:rPr>
        <w:t>》进行广泛征求意见，</w:t>
      </w:r>
      <w:r>
        <w:rPr>
          <w:rFonts w:hint="eastAsia" w:ascii="宋体" w:hAnsi="宋体" w:cs="宋体"/>
          <w:szCs w:val="21"/>
        </w:rPr>
        <w:t>共发送单位14个，</w:t>
      </w:r>
      <w:r>
        <w:rPr>
          <w:rFonts w:hint="eastAsia" w:ascii="宋体" w:hAnsi="宋体"/>
        </w:rPr>
        <w:t>其中，</w:t>
      </w:r>
      <w:r>
        <w:rPr>
          <w:rFonts w:hint="eastAsia" w:ascii="宋体" w:hAnsi="宋体"/>
          <w:szCs w:val="21"/>
        </w:rPr>
        <w:t>使用单位</w:t>
      </w:r>
      <w:r>
        <w:rPr>
          <w:rFonts w:ascii="宋体" w:hAnsi="宋体"/>
          <w:szCs w:val="21"/>
        </w:rPr>
        <w:t>1</w:t>
      </w:r>
      <w:r>
        <w:rPr>
          <w:rFonts w:hint="eastAsia" w:ascii="宋体" w:hAnsi="宋体"/>
          <w:szCs w:val="21"/>
        </w:rPr>
        <w:t>0个，</w:t>
      </w:r>
      <w:r>
        <w:rPr>
          <w:rFonts w:hint="eastAsia" w:ascii="宋体" w:hAnsi="宋体"/>
          <w:szCs w:val="21"/>
          <w:lang w:eastAsia="zh-CN"/>
        </w:rPr>
        <w:t>占比</w:t>
      </w:r>
      <w:r>
        <w:rPr>
          <w:rFonts w:hint="eastAsia" w:ascii="宋体" w:hAnsi="宋体"/>
          <w:szCs w:val="21"/>
          <w:lang w:val="en-US" w:eastAsia="zh-CN"/>
        </w:rPr>
        <w:t>71.4%，</w:t>
      </w:r>
      <w:r>
        <w:rPr>
          <w:rFonts w:hint="eastAsia" w:ascii="宋体" w:hAnsi="宋体"/>
          <w:szCs w:val="21"/>
        </w:rPr>
        <w:t>科研院所2个</w:t>
      </w:r>
      <w:r>
        <w:rPr>
          <w:rFonts w:hint="eastAsia" w:ascii="宋体" w:hAnsi="宋体"/>
          <w:szCs w:val="21"/>
          <w:lang w:eastAsia="zh-CN"/>
        </w:rPr>
        <w:t>，占比</w:t>
      </w:r>
      <w:r>
        <w:rPr>
          <w:rFonts w:hint="eastAsia" w:ascii="宋体" w:hAnsi="宋体"/>
          <w:szCs w:val="21"/>
          <w:lang w:val="en-US" w:eastAsia="zh-CN"/>
        </w:rPr>
        <w:t>14.3%</w:t>
      </w:r>
      <w:r>
        <w:rPr>
          <w:rFonts w:hint="eastAsia" w:ascii="宋体" w:hAnsi="宋体"/>
          <w:szCs w:val="21"/>
        </w:rPr>
        <w:t>，其他单位2个</w:t>
      </w:r>
      <w:r>
        <w:rPr>
          <w:rFonts w:hint="eastAsia" w:ascii="宋体" w:hAnsi="宋体"/>
          <w:szCs w:val="21"/>
          <w:lang w:eastAsia="zh-CN"/>
        </w:rPr>
        <w:t>，占比</w:t>
      </w:r>
      <w:r>
        <w:rPr>
          <w:rFonts w:hint="eastAsia" w:ascii="宋体" w:hAnsi="宋体"/>
          <w:szCs w:val="21"/>
          <w:lang w:val="en-US" w:eastAsia="zh-CN"/>
        </w:rPr>
        <w:t>14.3%</w:t>
      </w:r>
      <w:r>
        <w:rPr>
          <w:rFonts w:hint="eastAsia" w:ascii="宋体" w:hAnsi="宋体"/>
          <w:szCs w:val="21"/>
        </w:rPr>
        <w:t>，</w:t>
      </w:r>
      <w:r>
        <w:rPr>
          <w:rFonts w:hint="eastAsia" w:ascii="宋体" w:hAnsi="宋体" w:cs="宋体"/>
          <w:szCs w:val="21"/>
        </w:rPr>
        <w:t>回函的单位数14个，回函并有建议或意见的单位数13个，没有回函单位数0个。各单位提出了规范标准文本格式等意见或建议，根据征求意见稿的回函情况及反馈意见情况，标准编制组再次进行了讨论研究，确定了意见的采纳情况，编写了《标准征求意见稿的征求意见汇总表》</w:t>
      </w:r>
      <w:r>
        <w:rPr>
          <w:rFonts w:hint="eastAsia" w:ascii="宋体" w:hAnsi="宋体" w:cs="宋体"/>
          <w:szCs w:val="21"/>
          <w:lang w:eastAsia="zh-CN"/>
        </w:rPr>
        <w:t>。</w:t>
      </w:r>
      <w:r>
        <w:rPr>
          <w:rFonts w:ascii="宋体" w:hAnsi="宋体" w:cs="宋体"/>
          <w:szCs w:val="21"/>
        </w:rPr>
        <w:t xml:space="preserve"> </w:t>
      </w:r>
    </w:p>
    <w:p>
      <w:pPr>
        <w:spacing w:line="360" w:lineRule="auto"/>
        <w:rPr>
          <w:szCs w:val="21"/>
        </w:rPr>
      </w:pPr>
      <w:r>
        <w:rPr>
          <w:rFonts w:hint="eastAsia"/>
          <w:szCs w:val="21"/>
        </w:rPr>
        <w:t>5、审查阶段</w:t>
      </w:r>
    </w:p>
    <w:p>
      <w:pPr>
        <w:spacing w:line="360" w:lineRule="auto"/>
        <w:rPr>
          <w:szCs w:val="21"/>
        </w:rPr>
      </w:pPr>
      <w:r>
        <w:rPr>
          <w:szCs w:val="21"/>
        </w:rPr>
        <w:t>6</w:t>
      </w:r>
      <w:r>
        <w:rPr>
          <w:rFonts w:hint="eastAsia"/>
          <w:szCs w:val="21"/>
        </w:rPr>
        <w:t>、报批阶段</w:t>
      </w:r>
    </w:p>
    <w:p>
      <w:pPr>
        <w:spacing w:line="360" w:lineRule="auto"/>
        <w:rPr>
          <w:szCs w:val="21"/>
        </w:rPr>
      </w:pPr>
      <w:r>
        <w:rPr>
          <w:rFonts w:eastAsia="黑体"/>
          <w:color w:val="000000"/>
          <w:sz w:val="28"/>
          <w:szCs w:val="28"/>
        </w:rPr>
        <w:t>二 标准编制原则</w:t>
      </w:r>
    </w:p>
    <w:p>
      <w:pPr>
        <w:spacing w:line="360" w:lineRule="auto"/>
        <w:rPr>
          <w:color w:val="000000"/>
          <w:kern w:val="0"/>
          <w:szCs w:val="21"/>
        </w:rPr>
      </w:pPr>
      <w:r>
        <w:rPr>
          <w:rFonts w:hint="eastAsia"/>
          <w:color w:val="000000"/>
          <w:kern w:val="0"/>
          <w:szCs w:val="21"/>
        </w:rPr>
        <w:t>1、符合性：</w:t>
      </w:r>
      <w:r>
        <w:rPr>
          <w:color w:val="000000"/>
          <w:kern w:val="0"/>
          <w:szCs w:val="21"/>
        </w:rPr>
        <w:t>本标准</w:t>
      </w:r>
      <w:r>
        <w:rPr>
          <w:rFonts w:hint="eastAsia"/>
          <w:color w:val="000000"/>
          <w:kern w:val="0"/>
          <w:szCs w:val="21"/>
        </w:rPr>
        <w:t>第三次修订</w:t>
      </w:r>
      <w:r>
        <w:rPr>
          <w:color w:val="000000"/>
          <w:kern w:val="0"/>
          <w:szCs w:val="21"/>
        </w:rPr>
        <w:t>。</w:t>
      </w:r>
      <w:r>
        <w:rPr>
          <w:rFonts w:hint="eastAsia"/>
          <w:color w:val="000000"/>
          <w:kern w:val="0"/>
          <w:szCs w:val="21"/>
        </w:rPr>
        <w:t>在</w:t>
      </w:r>
      <w:r>
        <w:rPr>
          <w:color w:val="000000"/>
          <w:kern w:val="0"/>
          <w:szCs w:val="21"/>
        </w:rPr>
        <w:t>编写格式上严格按照GB/T 1.1-2020《</w:t>
      </w:r>
      <w:r>
        <w:rPr>
          <w:rFonts w:hint="eastAsia"/>
          <w:color w:val="000000"/>
          <w:szCs w:val="21"/>
        </w:rPr>
        <w:t>标准化工作导则第</w:t>
      </w:r>
      <w:r>
        <w:rPr>
          <w:color w:val="000000"/>
          <w:szCs w:val="21"/>
        </w:rPr>
        <w:t>1</w:t>
      </w:r>
      <w:r>
        <w:rPr>
          <w:rFonts w:hint="eastAsia"/>
          <w:color w:val="000000"/>
          <w:szCs w:val="21"/>
        </w:rPr>
        <w:t>部分：标准化文件的结构和起草规则</w:t>
      </w:r>
      <w:r>
        <w:rPr>
          <w:color w:val="000000"/>
          <w:kern w:val="0"/>
          <w:szCs w:val="21"/>
        </w:rPr>
        <w:t>》要求编写。</w:t>
      </w:r>
    </w:p>
    <w:p>
      <w:pPr>
        <w:spacing w:line="360" w:lineRule="auto"/>
        <w:rPr>
          <w:color w:val="000000"/>
          <w:kern w:val="0"/>
          <w:szCs w:val="21"/>
        </w:rPr>
      </w:pPr>
      <w:r>
        <w:rPr>
          <w:rFonts w:hint="eastAsia"/>
          <w:color w:val="000000"/>
          <w:kern w:val="0"/>
          <w:szCs w:val="21"/>
        </w:rPr>
        <w:t>2、合理性：以满足我国冰晶石实际生产和使用的需要为原则，与实际相结合，提高标准的适用性。</w:t>
      </w:r>
    </w:p>
    <w:p>
      <w:pPr>
        <w:spacing w:beforeLines="50" w:afterLines="50" w:line="360" w:lineRule="auto"/>
        <w:rPr>
          <w:rFonts w:ascii="宋体" w:hAnsi="宋体"/>
          <w:szCs w:val="21"/>
        </w:rPr>
      </w:pPr>
      <w:r>
        <w:rPr>
          <w:rFonts w:hint="eastAsia" w:ascii="宋体" w:hAnsi="宋体"/>
          <w:szCs w:val="21"/>
        </w:rPr>
        <w:t>3、先进性：修订后的标准将更好地满足我国冰晶石相关产品中对三氧化二铁含量的测定要求，同时方法操作简单，精密度和准确度好。</w:t>
      </w:r>
    </w:p>
    <w:p>
      <w:pPr>
        <w:spacing w:line="360" w:lineRule="auto"/>
        <w:rPr>
          <w:rFonts w:eastAsia="黑体"/>
          <w:color w:val="000000"/>
          <w:sz w:val="28"/>
          <w:szCs w:val="28"/>
        </w:rPr>
      </w:pPr>
      <w:r>
        <w:rPr>
          <w:rFonts w:hint="eastAsia" w:eastAsia="黑体"/>
          <w:color w:val="000000"/>
          <w:sz w:val="28"/>
          <w:szCs w:val="28"/>
        </w:rPr>
        <w:t>三  标准主要内容的确定依据及主要试验和验证情况分析</w:t>
      </w:r>
    </w:p>
    <w:p>
      <w:pPr>
        <w:spacing w:line="360" w:lineRule="auto"/>
        <w:ind w:firstLine="420" w:firstLineChars="200"/>
        <w:rPr>
          <w:rFonts w:ascii="宋体" w:hAnsi="宋体"/>
          <w:szCs w:val="21"/>
        </w:rPr>
      </w:pPr>
      <w:r>
        <w:rPr>
          <w:rFonts w:hint="eastAsia" w:ascii="宋体" w:hAnsi="宋体"/>
          <w:szCs w:val="21"/>
        </w:rPr>
        <w:t>在前期调研和长期实践经验累</w:t>
      </w:r>
      <w:r>
        <w:rPr>
          <w:rFonts w:hint="eastAsia" w:ascii="宋体" w:hAnsi="宋体"/>
          <w:color w:val="000000" w:themeColor="text1"/>
          <w:szCs w:val="21"/>
        </w:rPr>
        <w:t>积的基础上，确立了本次标准修订的试验方案和技术路线。与前版标准相比，本次修订主要内容是：修改了测定范围、称样量、熔样和测定条件等，新旧标准在主</w:t>
      </w:r>
      <w:r>
        <w:rPr>
          <w:rFonts w:hint="eastAsia" w:ascii="宋体" w:hAnsi="宋体"/>
          <w:szCs w:val="21"/>
        </w:rPr>
        <w:t>要内容方面的变化见表2。</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1867"/>
        <w:gridCol w:w="1833"/>
        <w:gridCol w:w="2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项目</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新标准</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旧标准</w:t>
            </w:r>
          </w:p>
        </w:tc>
        <w:tc>
          <w:tcPr>
            <w:tcW w:w="26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修改依据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标准题目</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color w:val="000000"/>
                <w:szCs w:val="21"/>
              </w:rPr>
              <w:t xml:space="preserve">《冰晶石化学分析方法和物理性能测定方法第7部分：三氧化二铁含量的测定 </w:t>
            </w:r>
            <w:r>
              <w:rPr>
                <w:rFonts w:hint="eastAsia"/>
                <w:color w:val="000000"/>
                <w:kern w:val="0"/>
                <w:szCs w:val="21"/>
              </w:rPr>
              <w:t>邻二氮杂菲分光光度法</w:t>
            </w:r>
            <w:r>
              <w:rPr>
                <w:rFonts w:hint="eastAsia"/>
                <w:color w:val="000000"/>
                <w:szCs w:val="21"/>
              </w:rPr>
              <w:t>》</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18"/>
                <w:szCs w:val="18"/>
              </w:rPr>
            </w:pPr>
            <w:r>
              <w:rPr>
                <w:rFonts w:hint="eastAsia"/>
                <w:color w:val="000000"/>
                <w:szCs w:val="21"/>
              </w:rPr>
              <w:t xml:space="preserve">《冰晶石化学分析方法和物理性能测定方法第7部分 </w:t>
            </w:r>
            <w:r>
              <w:rPr>
                <w:rFonts w:hint="eastAsia"/>
                <w:color w:val="000000"/>
                <w:kern w:val="0"/>
                <w:szCs w:val="21"/>
              </w:rPr>
              <w:t>邻二氮杂菲分光光度法</w:t>
            </w:r>
            <w:r>
              <w:rPr>
                <w:rFonts w:hint="eastAsia"/>
                <w:color w:val="000000"/>
                <w:szCs w:val="21"/>
              </w:rPr>
              <w:t>测定三氧化二铁含量》</w:t>
            </w:r>
          </w:p>
        </w:tc>
        <w:tc>
          <w:tcPr>
            <w:tcW w:w="268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themeColor="text1"/>
                <w:sz w:val="18"/>
                <w:szCs w:val="18"/>
              </w:rPr>
            </w:pPr>
            <w:r>
              <w:rPr>
                <w:rFonts w:hint="eastAsia"/>
                <w:color w:val="000000"/>
                <w:kern w:val="0"/>
                <w:szCs w:val="21"/>
              </w:rPr>
              <w:t>保持与系列标准题目格式一致性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测定范围（以二氧化硅表示）</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18"/>
                <w:szCs w:val="18"/>
              </w:rPr>
            </w:pPr>
            <w:r>
              <w:rPr>
                <w:rFonts w:hint="eastAsia" w:ascii="宋体" w:hAnsi="宋体"/>
                <w:sz w:val="18"/>
                <w:szCs w:val="18"/>
              </w:rPr>
              <w:t>0</w:t>
            </w:r>
            <w:r>
              <w:rPr>
                <w:rFonts w:ascii="宋体" w:hAnsi="宋体"/>
                <w:sz w:val="18"/>
                <w:szCs w:val="18"/>
              </w:rPr>
              <w:t>.0</w:t>
            </w:r>
            <w:r>
              <w:rPr>
                <w:rFonts w:hint="eastAsia" w:ascii="宋体" w:hAnsi="宋体"/>
                <w:sz w:val="18"/>
                <w:szCs w:val="18"/>
              </w:rPr>
              <w:t>050</w:t>
            </w:r>
            <w:r>
              <w:rPr>
                <w:rFonts w:hint="eastAsia" w:asciiTheme="minorEastAsia" w:hAnsiTheme="minorEastAsia"/>
                <w:sz w:val="18"/>
                <w:szCs w:val="18"/>
              </w:rPr>
              <w:t>～</w:t>
            </w:r>
            <w:r>
              <w:rPr>
                <w:rFonts w:hint="eastAsia" w:ascii="宋体" w:hAnsi="宋体"/>
                <w:sz w:val="18"/>
                <w:szCs w:val="18"/>
              </w:rPr>
              <w:t>0.5</w:t>
            </w:r>
            <w:r>
              <w:rPr>
                <w:rFonts w:ascii="宋体" w:hAnsi="宋体"/>
                <w:sz w:val="18"/>
                <w:szCs w:val="18"/>
              </w:rPr>
              <w:t>0</w:t>
            </w:r>
            <w:r>
              <w:rPr>
                <w:rFonts w:hint="eastAsia" w:ascii="宋体" w:hAnsi="宋体"/>
                <w:sz w:val="18"/>
                <w:szCs w:val="18"/>
              </w:rPr>
              <w:t>％</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70" w:firstLineChars="150"/>
              <w:rPr>
                <w:rFonts w:ascii="宋体" w:hAnsi="宋体" w:cs="宋体"/>
                <w:kern w:val="0"/>
                <w:sz w:val="18"/>
                <w:szCs w:val="18"/>
              </w:rPr>
            </w:pPr>
            <w:r>
              <w:rPr>
                <w:rFonts w:hint="eastAsia" w:ascii="宋体" w:hAnsi="宋体"/>
                <w:sz w:val="18"/>
                <w:szCs w:val="18"/>
              </w:rPr>
              <w:t>≤0.25％</w:t>
            </w:r>
          </w:p>
        </w:tc>
        <w:tc>
          <w:tcPr>
            <w:tcW w:w="268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themeColor="text1"/>
                <w:sz w:val="18"/>
                <w:szCs w:val="18"/>
              </w:rPr>
            </w:pPr>
            <w:r>
              <w:rPr>
                <w:rFonts w:hint="eastAsia" w:ascii="宋体" w:hAnsi="宋体"/>
                <w:color w:val="000000" w:themeColor="text1"/>
                <w:sz w:val="18"/>
                <w:szCs w:val="18"/>
              </w:rPr>
              <w:t>工业生产分析要求，确定分析下限，提高检测上限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称样量</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sz w:val="18"/>
                <w:szCs w:val="18"/>
              </w:rPr>
            </w:pPr>
            <w:r>
              <w:rPr>
                <w:rFonts w:hint="eastAsia" w:asciiTheme="minorEastAsia" w:hAnsiTheme="minorEastAsia"/>
                <w:sz w:val="18"/>
                <w:szCs w:val="18"/>
              </w:rPr>
              <w:t>0.50g</w:t>
            </w:r>
          </w:p>
          <w:p>
            <w:pPr>
              <w:rPr>
                <w:rFonts w:ascii="宋体" w:hAnsi="宋体"/>
                <w:color w:val="000000" w:themeColor="text1"/>
                <w:sz w:val="18"/>
                <w:szCs w:val="18"/>
              </w:rPr>
            </w:pP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70" w:firstLineChars="150"/>
              <w:rPr>
                <w:rFonts w:ascii="宋体" w:hAnsi="宋体" w:cs="宋体"/>
                <w:color w:val="000000" w:themeColor="text1"/>
                <w:kern w:val="0"/>
                <w:sz w:val="18"/>
                <w:szCs w:val="18"/>
              </w:rPr>
            </w:pPr>
            <w:r>
              <w:rPr>
                <w:rFonts w:hint="eastAsia" w:ascii="宋体" w:hAnsi="宋体" w:cs="宋体"/>
                <w:color w:val="000000" w:themeColor="text1"/>
                <w:kern w:val="0"/>
                <w:sz w:val="18"/>
                <w:szCs w:val="18"/>
              </w:rPr>
              <w:t>1.00g</w:t>
            </w:r>
          </w:p>
        </w:tc>
        <w:tc>
          <w:tcPr>
            <w:tcW w:w="268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themeColor="text1"/>
                <w:sz w:val="18"/>
                <w:szCs w:val="18"/>
              </w:rPr>
            </w:pPr>
            <w:r>
              <w:rPr>
                <w:rFonts w:hint="eastAsia" w:ascii="宋体" w:hAnsi="宋体"/>
                <w:sz w:val="18"/>
                <w:szCs w:val="18"/>
              </w:rPr>
              <w:t>熔样和提取更方便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2" w:hRule="atLeast"/>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themeColor="text1"/>
                <w:kern w:val="0"/>
                <w:sz w:val="18"/>
                <w:szCs w:val="18"/>
              </w:rPr>
            </w:pPr>
            <w:r>
              <w:rPr>
                <w:rFonts w:hint="eastAsia" w:ascii="宋体" w:hAnsi="宋体" w:cs="宋体"/>
                <w:color w:val="000000" w:themeColor="text1"/>
                <w:kern w:val="0"/>
                <w:sz w:val="18"/>
                <w:szCs w:val="18"/>
              </w:rPr>
              <w:t>熔样温度</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8"/>
                <w:szCs w:val="18"/>
              </w:rPr>
            </w:pPr>
            <w:r>
              <w:rPr>
                <w:rFonts w:hint="eastAsia" w:asciiTheme="minorEastAsia" w:hAnsiTheme="minorEastAsia"/>
                <w:color w:val="000000" w:themeColor="text1"/>
                <w:sz w:val="18"/>
                <w:szCs w:val="18"/>
              </w:rPr>
              <w:t>850℃</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70" w:firstLineChars="150"/>
              <w:rPr>
                <w:rFonts w:ascii="宋体" w:hAnsi="宋体" w:cs="宋体"/>
                <w:color w:val="000000" w:themeColor="text1"/>
                <w:kern w:val="0"/>
                <w:sz w:val="18"/>
                <w:szCs w:val="18"/>
              </w:rPr>
            </w:pPr>
            <w:r>
              <w:rPr>
                <w:rFonts w:hint="eastAsia" w:asciiTheme="minorEastAsia" w:hAnsiTheme="minorEastAsia"/>
                <w:color w:val="000000" w:themeColor="text1"/>
                <w:sz w:val="18"/>
                <w:szCs w:val="18"/>
              </w:rPr>
              <w:t>825℃</w:t>
            </w:r>
          </w:p>
        </w:tc>
        <w:tc>
          <w:tcPr>
            <w:tcW w:w="268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themeColor="text1"/>
                <w:sz w:val="18"/>
                <w:szCs w:val="18"/>
              </w:rPr>
            </w:pPr>
            <w:r>
              <w:rPr>
                <w:rFonts w:hint="eastAsia" w:ascii="宋体" w:hAnsi="宋体"/>
                <w:color w:val="000000" w:themeColor="text1"/>
                <w:sz w:val="18"/>
                <w:szCs w:val="18"/>
              </w:rPr>
              <w:t>样品完全熔融，测定结果更准确。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4" w:hRule="atLeast"/>
          <w:jc w:val="center"/>
        </w:trPr>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themeColor="text1"/>
                <w:sz w:val="18"/>
                <w:szCs w:val="18"/>
              </w:rPr>
            </w:pPr>
            <w:r>
              <w:rPr>
                <w:rFonts w:hint="eastAsia"/>
                <w:color w:val="000000" w:themeColor="text1"/>
                <w:sz w:val="18"/>
                <w:szCs w:val="18"/>
              </w:rPr>
              <w:t>酸及用量</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硫酸（1+1）16ml</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8"/>
                <w:szCs w:val="18"/>
              </w:rPr>
            </w:pPr>
            <w:r>
              <w:rPr>
                <w:rFonts w:hint="eastAsia" w:ascii="宋体" w:hAnsi="宋体"/>
                <w:color w:val="000000" w:themeColor="text1"/>
                <w:sz w:val="18"/>
                <w:szCs w:val="18"/>
              </w:rPr>
              <w:t>硝酸（1+1）38 ml</w:t>
            </w:r>
          </w:p>
        </w:tc>
        <w:tc>
          <w:tcPr>
            <w:tcW w:w="268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olor w:val="000000" w:themeColor="text1"/>
                <w:sz w:val="18"/>
                <w:szCs w:val="18"/>
              </w:rPr>
            </w:pPr>
            <w:r>
              <w:rPr>
                <w:rFonts w:hint="eastAsia" w:ascii="宋体" w:hAnsi="宋体"/>
                <w:color w:val="000000" w:themeColor="text1"/>
                <w:sz w:val="18"/>
                <w:szCs w:val="18"/>
              </w:rPr>
              <w:t>与冰晶石中磷、硅的测定溶样方法保持一致，适合磷硅铁联测，提高分析效率</w:t>
            </w:r>
          </w:p>
        </w:tc>
      </w:tr>
    </w:tbl>
    <w:p>
      <w:pPr>
        <w:spacing w:line="360" w:lineRule="auto"/>
        <w:rPr>
          <w:rFonts w:eastAsia="黑体"/>
          <w:color w:val="000000"/>
          <w:sz w:val="24"/>
        </w:rPr>
      </w:pPr>
      <w:r>
        <w:rPr>
          <w:rFonts w:hint="eastAsia" w:eastAsia="黑体"/>
          <w:color w:val="000000"/>
          <w:sz w:val="24"/>
        </w:rPr>
        <w:t xml:space="preserve">3.1 </w:t>
      </w:r>
      <w:r>
        <w:rPr>
          <w:rFonts w:eastAsia="黑体"/>
          <w:color w:val="000000"/>
          <w:sz w:val="24"/>
        </w:rPr>
        <w:t>标准题目的确定</w:t>
      </w:r>
    </w:p>
    <w:p>
      <w:pPr>
        <w:spacing w:line="360" w:lineRule="auto"/>
        <w:ind w:firstLine="482"/>
        <w:rPr>
          <w:color w:val="000000"/>
          <w:kern w:val="0"/>
          <w:szCs w:val="21"/>
        </w:rPr>
      </w:pPr>
      <w:r>
        <w:rPr>
          <w:color w:val="000000"/>
          <w:kern w:val="0"/>
          <w:szCs w:val="21"/>
        </w:rPr>
        <w:t>本次修订</w:t>
      </w:r>
      <w:r>
        <w:rPr>
          <w:rFonts w:hint="eastAsia"/>
          <w:color w:val="000000"/>
          <w:kern w:val="0"/>
          <w:szCs w:val="21"/>
        </w:rPr>
        <w:t>为了保持与系列标准题目格式一致性，将原标准题目为</w:t>
      </w:r>
      <w:r>
        <w:rPr>
          <w:rFonts w:hint="eastAsia"/>
          <w:color w:val="000000"/>
          <w:szCs w:val="21"/>
        </w:rPr>
        <w:t xml:space="preserve">《冰晶石化学分析方法和物理性能测定方法第7部分 </w:t>
      </w:r>
      <w:r>
        <w:rPr>
          <w:rFonts w:hint="eastAsia"/>
          <w:color w:val="000000"/>
          <w:kern w:val="0"/>
          <w:szCs w:val="21"/>
        </w:rPr>
        <w:t>邻二氮杂菲分光光度法</w:t>
      </w:r>
      <w:r>
        <w:rPr>
          <w:rFonts w:hint="eastAsia"/>
          <w:color w:val="000000"/>
          <w:szCs w:val="21"/>
        </w:rPr>
        <w:t xml:space="preserve">测定三氧化二铁含量》修改为《冰晶石化学分析方法和物理性能测定方法第7部分：三氧化二铁含量的测定 </w:t>
      </w:r>
      <w:r>
        <w:rPr>
          <w:rFonts w:hint="eastAsia"/>
          <w:color w:val="000000"/>
          <w:kern w:val="0"/>
          <w:szCs w:val="21"/>
        </w:rPr>
        <w:t>邻二氮杂菲分光光度法</w:t>
      </w:r>
      <w:r>
        <w:rPr>
          <w:rFonts w:hint="eastAsia"/>
          <w:color w:val="000000"/>
          <w:szCs w:val="21"/>
        </w:rPr>
        <w:t>》</w:t>
      </w:r>
      <w:r>
        <w:rPr>
          <w:color w:val="000000"/>
          <w:kern w:val="0"/>
          <w:szCs w:val="21"/>
        </w:rPr>
        <w:t>。</w:t>
      </w:r>
    </w:p>
    <w:p>
      <w:pPr>
        <w:spacing w:line="360" w:lineRule="auto"/>
        <w:rPr>
          <w:rFonts w:eastAsia="黑体"/>
          <w:color w:val="000000"/>
          <w:sz w:val="24"/>
        </w:rPr>
      </w:pPr>
      <w:r>
        <w:rPr>
          <w:rFonts w:hint="eastAsia" w:eastAsia="黑体"/>
          <w:color w:val="000000"/>
          <w:sz w:val="24"/>
        </w:rPr>
        <w:t>3.</w:t>
      </w:r>
      <w:r>
        <w:rPr>
          <w:rFonts w:eastAsia="黑体"/>
          <w:color w:val="000000"/>
          <w:sz w:val="24"/>
        </w:rPr>
        <w:t>2</w:t>
      </w:r>
      <w:r>
        <w:rPr>
          <w:rFonts w:hint="eastAsia" w:ascii="宋体" w:hAnsi="宋体"/>
          <w:szCs w:val="21"/>
        </w:rPr>
        <w:t>测定范围的确定</w:t>
      </w:r>
    </w:p>
    <w:p>
      <w:pPr>
        <w:spacing w:line="360" w:lineRule="auto"/>
        <w:ind w:firstLine="420" w:firstLineChars="200"/>
        <w:rPr>
          <w:rFonts w:eastAsia="黑体"/>
          <w:color w:val="000000"/>
          <w:szCs w:val="21"/>
        </w:rPr>
      </w:pPr>
      <w:r>
        <w:rPr>
          <w:rFonts w:hint="eastAsia" w:ascii="宋体" w:hAnsi="宋体" w:cs="宋体"/>
          <w:szCs w:val="21"/>
        </w:rPr>
        <w:t>原标准YS/T 273.7-2006规定三氧化二铁的测定范围为≤</w:t>
      </w:r>
      <w:r>
        <w:rPr>
          <w:rFonts w:hint="eastAsia" w:ascii="宋体" w:hAnsi="宋体"/>
          <w:szCs w:val="21"/>
        </w:rPr>
        <w:t>0.25%</w:t>
      </w:r>
      <w:r>
        <w:rPr>
          <w:rFonts w:hint="eastAsia" w:ascii="宋体" w:hAnsi="宋体" w:cs="宋体"/>
          <w:szCs w:val="21"/>
        </w:rPr>
        <w:t>，</w:t>
      </w:r>
      <w:r>
        <w:rPr>
          <w:rFonts w:hint="eastAsia" w:ascii="宋体" w:hAnsi="宋体"/>
          <w:szCs w:val="21"/>
        </w:rPr>
        <w:t>没有规定检测下限，只给出了测定范围为：</w:t>
      </w:r>
      <w:r>
        <w:rPr>
          <w:rFonts w:hint="eastAsia" w:ascii="宋体" w:hAnsi="宋体" w:cs="宋体"/>
          <w:szCs w:val="21"/>
        </w:rPr>
        <w:t>≤</w:t>
      </w:r>
      <w:r>
        <w:rPr>
          <w:rFonts w:hint="eastAsia" w:ascii="宋体" w:hAnsi="宋体"/>
          <w:szCs w:val="21"/>
        </w:rPr>
        <w:t>0.25%。由于标准中没有明确的检测下限，使得不同企业在低含量检测时给出了不同检测结果，有些产品中三氧化二铁含量较高，已超出当前检测上限%，最高能到0.5</w:t>
      </w:r>
      <w:r>
        <w:rPr>
          <w:rFonts w:ascii="Times New Roman" w:hAnsi="Times New Roman"/>
          <w:color w:val="000000"/>
          <w:kern w:val="0"/>
          <w:szCs w:val="21"/>
        </w:rPr>
        <w:t>%</w:t>
      </w:r>
      <w:r>
        <w:rPr>
          <w:rFonts w:hint="eastAsia" w:ascii="Times New Roman" w:hAnsi="Times New Roman"/>
          <w:color w:val="000000"/>
          <w:kern w:val="0"/>
          <w:szCs w:val="21"/>
        </w:rPr>
        <w:t>，</w:t>
      </w:r>
      <w:r>
        <w:rPr>
          <w:rFonts w:hint="eastAsia" w:ascii="宋体" w:hAnsi="宋体"/>
          <w:szCs w:val="21"/>
        </w:rPr>
        <w:t>不能满足当前冰晶石产品检测的要求，</w:t>
      </w:r>
      <w:r>
        <w:rPr>
          <w:rFonts w:hint="eastAsia" w:ascii="宋体" w:hAnsi="宋体" w:cs="宋体"/>
          <w:szCs w:val="21"/>
        </w:rPr>
        <w:t>因此确定测定范围为： 0.0050%～0.50%。</w:t>
      </w:r>
    </w:p>
    <w:p>
      <w:pPr>
        <w:spacing w:line="360" w:lineRule="auto"/>
      </w:pPr>
      <w:r>
        <w:rPr>
          <w:rFonts w:hint="eastAsia" w:ascii="黑体" w:hAnsi="宋体" w:eastAsia="黑体"/>
          <w:sz w:val="24"/>
        </w:rPr>
        <w:t xml:space="preserve">3.3 </w:t>
      </w:r>
      <w:r>
        <w:rPr>
          <w:rFonts w:hint="eastAsia"/>
        </w:rPr>
        <w:t xml:space="preserve">  称样量的选择</w:t>
      </w:r>
    </w:p>
    <w:p>
      <w:pPr>
        <w:spacing w:line="360" w:lineRule="auto"/>
        <w:ind w:firstLine="420" w:firstLineChars="200"/>
        <w:rPr>
          <w:rFonts w:asciiTheme="minorEastAsia" w:hAnsiTheme="minorEastAsia"/>
          <w:szCs w:val="21"/>
        </w:rPr>
      </w:pPr>
      <w:r>
        <w:rPr>
          <w:rFonts w:hint="eastAsia" w:asciiTheme="minorEastAsia" w:hAnsiTheme="minorEastAsia"/>
          <w:szCs w:val="21"/>
        </w:rPr>
        <w:t>此试验选择1#、2#、</w:t>
      </w:r>
      <w:r>
        <w:rPr>
          <w:rFonts w:hint="eastAsia" w:asciiTheme="minorEastAsia" w:hAnsiTheme="minorEastAsia"/>
          <w:sz w:val="18"/>
          <w:szCs w:val="21"/>
        </w:rPr>
        <w:t>3#</w:t>
      </w:r>
      <w:r>
        <w:rPr>
          <w:rFonts w:hint="eastAsia" w:asciiTheme="minorEastAsia" w:hAnsiTheme="minorEastAsia"/>
          <w:szCs w:val="21"/>
        </w:rPr>
        <w:t>冰晶石样品。</w:t>
      </w:r>
    </w:p>
    <w:p>
      <w:pPr>
        <w:spacing w:line="360" w:lineRule="auto"/>
        <w:rPr>
          <w:rFonts w:asciiTheme="minorEastAsia" w:hAnsiTheme="minorEastAsia"/>
          <w:szCs w:val="21"/>
        </w:rPr>
      </w:pPr>
      <w:r>
        <w:rPr>
          <w:rFonts w:hint="eastAsia" w:asciiTheme="minorEastAsia" w:hAnsiTheme="minorEastAsia"/>
          <w:szCs w:val="21"/>
        </w:rPr>
        <w:t>3.3.1  分别称取0.50g试样，加入6g无水碳酸钠和2g硼酸，按表3分取试液，其余按样品测定步骤进行，结果如表3。</w:t>
      </w:r>
    </w:p>
    <w:p>
      <w:pPr>
        <w:ind w:firstLine="198"/>
        <w:jc w:val="center"/>
        <w:rPr>
          <w:rFonts w:asciiTheme="minorEastAsia" w:hAnsiTheme="minorEastAsia"/>
          <w:szCs w:val="21"/>
        </w:rPr>
      </w:pPr>
      <w:r>
        <w:rPr>
          <w:rFonts w:hint="eastAsia" w:asciiTheme="minorEastAsia" w:hAnsiTheme="minorEastAsia"/>
          <w:szCs w:val="21"/>
        </w:rPr>
        <w:t>表3</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1723"/>
        <w:gridCol w:w="1722"/>
        <w:gridCol w:w="172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722" w:type="dxa"/>
            <w:vAlign w:val="center"/>
          </w:tcPr>
          <w:p>
            <w:pPr>
              <w:spacing w:line="360" w:lineRule="auto"/>
              <w:ind w:firstLine="200"/>
              <w:rPr>
                <w:rFonts w:asciiTheme="minorEastAsia" w:hAnsiTheme="minorEastAsia"/>
                <w:sz w:val="18"/>
                <w:szCs w:val="21"/>
              </w:rPr>
            </w:pP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称样量/g</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试液量/mL</w:t>
            </w:r>
          </w:p>
        </w:tc>
        <w:tc>
          <w:tcPr>
            <w:tcW w:w="1723" w:type="dxa"/>
            <w:vAlign w:val="center"/>
          </w:tcPr>
          <w:p>
            <w:pPr>
              <w:spacing w:line="360" w:lineRule="auto"/>
              <w:rPr>
                <w:rFonts w:asciiTheme="minorEastAsia" w:hAnsiTheme="minorEastAsia"/>
                <w:sz w:val="18"/>
                <w:szCs w:val="21"/>
              </w:rPr>
            </w:pPr>
            <w:r>
              <w:rPr>
                <w:rFonts w:hint="eastAsia" w:asciiTheme="minorEastAsia" w:hAnsiTheme="minorEastAsia"/>
                <w:sz w:val="18"/>
                <w:szCs w:val="21"/>
              </w:rPr>
              <w:t>分取试液量/mL</w:t>
            </w:r>
          </w:p>
        </w:tc>
        <w:tc>
          <w:tcPr>
            <w:tcW w:w="1723" w:type="dxa"/>
            <w:vAlign w:val="center"/>
          </w:tcPr>
          <w:p>
            <w:pPr>
              <w:spacing w:line="360" w:lineRule="auto"/>
              <w:rPr>
                <w:rFonts w:asciiTheme="minorEastAsia" w:hAnsiTheme="minorEastAsia"/>
                <w:sz w:val="18"/>
                <w:szCs w:val="21"/>
              </w:rPr>
            </w:pPr>
            <w:r>
              <w:rPr>
                <w:rFonts w:hint="eastAsia" w:asciiTheme="minorEastAsia" w:hAnsiTheme="minorEastAsia"/>
                <w:sz w:val="18"/>
                <w:szCs w:val="21"/>
              </w:rP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1#</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0.50</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250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50.00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0.50</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250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20.00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3#</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0.50</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250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10.00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0.38</w:t>
            </w:r>
          </w:p>
        </w:tc>
      </w:tr>
    </w:tbl>
    <w:p>
      <w:pPr>
        <w:spacing w:line="360" w:lineRule="auto"/>
        <w:rPr>
          <w:rFonts w:asciiTheme="minorEastAsia" w:hAnsiTheme="minorEastAsia"/>
          <w:szCs w:val="21"/>
        </w:rPr>
      </w:pPr>
      <w:r>
        <w:rPr>
          <w:rFonts w:hint="eastAsia" w:asciiTheme="minorEastAsia" w:hAnsiTheme="minorEastAsia"/>
          <w:szCs w:val="21"/>
        </w:rPr>
        <w:t>3.2.2  称取1.00 g试样，加入12g无水碳酸钠和4g硼酸</w:t>
      </w:r>
      <w:r>
        <w:rPr>
          <w:rFonts w:asciiTheme="minorEastAsia" w:hAnsiTheme="minorEastAsia"/>
          <w:szCs w:val="21"/>
        </w:rPr>
        <w:t>，</w:t>
      </w:r>
      <w:r>
        <w:rPr>
          <w:rFonts w:hint="eastAsia" w:asciiTheme="minorEastAsia" w:hAnsiTheme="minorEastAsia"/>
          <w:szCs w:val="21"/>
        </w:rPr>
        <w:t>按表4分取试液，其余按样品测定步骤进行，结果如表4。</w:t>
      </w:r>
    </w:p>
    <w:p>
      <w:pPr>
        <w:ind w:firstLine="198"/>
        <w:jc w:val="center"/>
        <w:rPr>
          <w:rFonts w:asciiTheme="minorEastAsia" w:hAnsiTheme="minorEastAsia"/>
          <w:szCs w:val="21"/>
        </w:rPr>
      </w:pPr>
      <w:r>
        <w:rPr>
          <w:rFonts w:hint="eastAsia" w:asciiTheme="minorEastAsia" w:hAnsiTheme="minorEastAsia"/>
          <w:szCs w:val="21"/>
        </w:rPr>
        <w:t>表4</w:t>
      </w:r>
    </w:p>
    <w:tbl>
      <w:tblPr>
        <w:tblStyle w:val="1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1723"/>
        <w:gridCol w:w="1722"/>
        <w:gridCol w:w="172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722" w:type="dxa"/>
            <w:vAlign w:val="center"/>
          </w:tcPr>
          <w:p>
            <w:pPr>
              <w:spacing w:line="360" w:lineRule="auto"/>
              <w:ind w:firstLine="200"/>
              <w:rPr>
                <w:rFonts w:asciiTheme="minorEastAsia" w:hAnsiTheme="minorEastAsia"/>
                <w:sz w:val="18"/>
                <w:szCs w:val="21"/>
              </w:rPr>
            </w:pP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称样量/g</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试液量/mL</w:t>
            </w:r>
          </w:p>
        </w:tc>
        <w:tc>
          <w:tcPr>
            <w:tcW w:w="1723" w:type="dxa"/>
            <w:vAlign w:val="center"/>
          </w:tcPr>
          <w:p>
            <w:pPr>
              <w:spacing w:line="360" w:lineRule="auto"/>
              <w:rPr>
                <w:rFonts w:asciiTheme="minorEastAsia" w:hAnsiTheme="minorEastAsia"/>
                <w:sz w:val="18"/>
                <w:szCs w:val="21"/>
              </w:rPr>
            </w:pPr>
            <w:r>
              <w:rPr>
                <w:rFonts w:hint="eastAsia" w:asciiTheme="minorEastAsia" w:hAnsiTheme="minorEastAsia"/>
                <w:sz w:val="18"/>
                <w:szCs w:val="21"/>
              </w:rPr>
              <w:t>分取试液量/mL</w:t>
            </w:r>
          </w:p>
        </w:tc>
        <w:tc>
          <w:tcPr>
            <w:tcW w:w="1723" w:type="dxa"/>
            <w:vAlign w:val="center"/>
          </w:tcPr>
          <w:p>
            <w:pPr>
              <w:spacing w:line="360" w:lineRule="auto"/>
              <w:rPr>
                <w:rFonts w:asciiTheme="minorEastAsia" w:hAnsiTheme="minorEastAsia"/>
                <w:sz w:val="18"/>
                <w:szCs w:val="21"/>
              </w:rPr>
            </w:pPr>
            <w:r>
              <w:rPr>
                <w:rFonts w:hint="eastAsia" w:asciiTheme="minorEastAsia" w:hAnsiTheme="minorEastAsia"/>
                <w:sz w:val="18"/>
                <w:szCs w:val="21"/>
              </w:rPr>
              <w:t>测定结果/％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1#</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1.00</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250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25.00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1.00</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250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10.00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3#</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1.00</w:t>
            </w:r>
          </w:p>
        </w:tc>
        <w:tc>
          <w:tcPr>
            <w:tcW w:w="1722"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250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5.00</w:t>
            </w:r>
          </w:p>
        </w:tc>
        <w:tc>
          <w:tcPr>
            <w:tcW w:w="1723" w:type="dxa"/>
            <w:vAlign w:val="center"/>
          </w:tcPr>
          <w:p>
            <w:pPr>
              <w:spacing w:line="360" w:lineRule="auto"/>
              <w:ind w:firstLine="200"/>
              <w:rPr>
                <w:rFonts w:asciiTheme="minorEastAsia" w:hAnsiTheme="minorEastAsia"/>
                <w:sz w:val="18"/>
                <w:szCs w:val="21"/>
              </w:rPr>
            </w:pPr>
            <w:r>
              <w:rPr>
                <w:rFonts w:hint="eastAsia" w:asciiTheme="minorEastAsia" w:hAnsiTheme="minorEastAsia"/>
                <w:sz w:val="18"/>
                <w:szCs w:val="21"/>
              </w:rPr>
              <w:t>0.37</w:t>
            </w:r>
          </w:p>
        </w:tc>
      </w:tr>
    </w:tbl>
    <w:p>
      <w:pPr>
        <w:spacing w:line="360" w:lineRule="auto"/>
        <w:ind w:firstLine="200"/>
        <w:rPr>
          <w:rFonts w:asciiTheme="minorEastAsia" w:hAnsiTheme="minorEastAsia"/>
          <w:szCs w:val="21"/>
        </w:rPr>
      </w:pPr>
      <w:r>
        <w:rPr>
          <w:rFonts w:hint="eastAsia" w:asciiTheme="minorEastAsia" w:hAnsiTheme="minorEastAsia"/>
          <w:szCs w:val="21"/>
        </w:rPr>
        <w:t>称样量为1g和0.5g时样品的测定结果基本一致，减少称样量和熔剂加入量,熔样和提取更简单。</w:t>
      </w:r>
    </w:p>
    <w:p>
      <w:pPr>
        <w:spacing w:line="360" w:lineRule="auto"/>
        <w:rPr>
          <w:rFonts w:asciiTheme="minorEastAsia" w:hAnsiTheme="minorEastAsia"/>
          <w:szCs w:val="21"/>
        </w:rPr>
      </w:pPr>
      <w:r>
        <w:rPr>
          <w:rFonts w:hint="eastAsia" w:asciiTheme="majorEastAsia" w:hAnsiTheme="majorEastAsia" w:eastAsiaTheme="majorEastAsia"/>
          <w:szCs w:val="21"/>
        </w:rPr>
        <w:t xml:space="preserve">3.4  </w:t>
      </w:r>
      <w:r>
        <w:rPr>
          <w:rFonts w:hint="eastAsia" w:asciiTheme="minorEastAsia" w:hAnsiTheme="minorEastAsia"/>
          <w:szCs w:val="21"/>
        </w:rPr>
        <w:t>熔样温度选择试验</w:t>
      </w:r>
    </w:p>
    <w:p>
      <w:pPr>
        <w:spacing w:line="360" w:lineRule="auto"/>
        <w:ind w:firstLine="420" w:firstLineChars="200"/>
        <w:rPr>
          <w:rFonts w:asciiTheme="minorEastAsia" w:hAnsiTheme="minorEastAsia"/>
        </w:rPr>
      </w:pPr>
      <w:r>
        <w:rPr>
          <w:rFonts w:hint="eastAsia" w:asciiTheme="minorEastAsia" w:hAnsiTheme="minorEastAsia"/>
        </w:rPr>
        <w:t>此试验选择2#冰晶石样品，分别在温度750℃、800℃、850℃、900℃时熔融30分钟，按样品测定步骤进行，测得结果如表5。</w:t>
      </w:r>
    </w:p>
    <w:p>
      <w:pPr>
        <w:rPr>
          <w:rFonts w:asciiTheme="minorEastAsia" w:hAnsiTheme="minorEastAsia"/>
        </w:rPr>
      </w:pPr>
      <w:r>
        <w:rPr>
          <w:rFonts w:hint="eastAsia" w:asciiTheme="minorEastAsia" w:hAnsiTheme="minorEastAsia"/>
        </w:rPr>
        <w:t xml:space="preserve">  表5  2#</w:t>
      </w:r>
      <w:r>
        <w:rPr>
          <w:rFonts w:hint="eastAsia" w:asciiTheme="minorEastAsia" w:hAnsiTheme="minorEastAsia"/>
          <w:lang w:val="en-US" w:eastAsia="zh-CN"/>
        </w:rPr>
        <w:t>冰晶石</w:t>
      </w:r>
      <w:r>
        <w:rPr>
          <w:rFonts w:hint="eastAsia" w:asciiTheme="minorEastAsia" w:hAnsiTheme="minorEastAsia"/>
        </w:rPr>
        <w:t>样品不同温度下熔解时的测定结果</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61"/>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tcPr>
          <w:p>
            <w:pPr>
              <w:jc w:val="center"/>
              <w:rPr>
                <w:rFonts w:asciiTheme="minorEastAsia" w:hAnsiTheme="minorEastAsia"/>
                <w:sz w:val="18"/>
              </w:rPr>
            </w:pPr>
            <w:r>
              <w:rPr>
                <w:rFonts w:hint="eastAsia" w:asciiTheme="minorEastAsia" w:hAnsiTheme="minorEastAsia"/>
                <w:sz w:val="18"/>
              </w:rPr>
              <w:t>熔样温度/℃</w:t>
            </w:r>
          </w:p>
        </w:tc>
        <w:tc>
          <w:tcPr>
            <w:tcW w:w="4111" w:type="dxa"/>
          </w:tcPr>
          <w:p>
            <w:pPr>
              <w:jc w:val="center"/>
              <w:rPr>
                <w:rFonts w:asciiTheme="minorEastAsia" w:hAnsiTheme="minorEastAsia"/>
                <w:sz w:val="18"/>
              </w:rPr>
            </w:pPr>
            <w:r>
              <w:rPr>
                <w:rFonts w:hint="eastAsia" w:asciiTheme="minorEastAsia" w:hAnsiTheme="minorEastAsia"/>
                <w:sz w:val="18"/>
              </w:rPr>
              <w:t>测定结果/％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vAlign w:val="center"/>
          </w:tcPr>
          <w:p>
            <w:pPr>
              <w:jc w:val="center"/>
              <w:rPr>
                <w:rFonts w:asciiTheme="minorEastAsia" w:hAnsiTheme="minorEastAsia"/>
                <w:sz w:val="18"/>
              </w:rPr>
            </w:pPr>
            <w:r>
              <w:rPr>
                <w:rFonts w:hint="eastAsia" w:asciiTheme="minorEastAsia" w:hAnsiTheme="minorEastAsia"/>
                <w:sz w:val="18"/>
              </w:rPr>
              <w:t>800</w:t>
            </w:r>
          </w:p>
        </w:tc>
        <w:tc>
          <w:tcPr>
            <w:tcW w:w="4111" w:type="dxa"/>
            <w:vAlign w:val="center"/>
          </w:tcPr>
          <w:p>
            <w:pPr>
              <w:spacing w:line="360" w:lineRule="auto"/>
              <w:ind w:firstLine="1279" w:firstLineChars="711"/>
              <w:rPr>
                <w:rFonts w:asciiTheme="minorEastAsia" w:hAnsiTheme="minorEastAsia"/>
                <w:sz w:val="18"/>
                <w:szCs w:val="21"/>
              </w:rPr>
            </w:pPr>
            <w:r>
              <w:rPr>
                <w:rFonts w:hint="eastAsia" w:asciiTheme="minorEastAsia" w:hAnsiTheme="minorEastAsia"/>
                <w:sz w:val="18"/>
                <w:szCs w:val="21"/>
              </w:rPr>
              <w:t>0.080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vAlign w:val="center"/>
          </w:tcPr>
          <w:p>
            <w:pPr>
              <w:jc w:val="center"/>
              <w:rPr>
                <w:rFonts w:asciiTheme="minorEastAsia" w:hAnsiTheme="minorEastAsia"/>
                <w:sz w:val="18"/>
              </w:rPr>
            </w:pPr>
            <w:r>
              <w:rPr>
                <w:rFonts w:hint="eastAsia" w:asciiTheme="minorEastAsia" w:hAnsiTheme="minorEastAsia"/>
                <w:sz w:val="18"/>
              </w:rPr>
              <w:t>825</w:t>
            </w:r>
          </w:p>
        </w:tc>
        <w:tc>
          <w:tcPr>
            <w:tcW w:w="4111" w:type="dxa"/>
            <w:vAlign w:val="center"/>
          </w:tcPr>
          <w:p>
            <w:pPr>
              <w:spacing w:line="360" w:lineRule="auto"/>
              <w:ind w:firstLine="1279" w:firstLineChars="711"/>
              <w:rPr>
                <w:rFonts w:asciiTheme="minorEastAsia" w:hAnsiTheme="minorEastAsia"/>
                <w:sz w:val="18"/>
                <w:szCs w:val="21"/>
              </w:rPr>
            </w:pPr>
            <w:r>
              <w:rPr>
                <w:rFonts w:hint="eastAsia" w:asciiTheme="minorEastAsia" w:hAnsiTheme="minorEastAsia"/>
                <w:sz w:val="18"/>
                <w:szCs w:val="21"/>
              </w:rPr>
              <w:t>0.087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vAlign w:val="center"/>
          </w:tcPr>
          <w:p>
            <w:pPr>
              <w:jc w:val="center"/>
              <w:rPr>
                <w:rFonts w:asciiTheme="minorEastAsia" w:hAnsiTheme="minorEastAsia"/>
                <w:sz w:val="18"/>
              </w:rPr>
            </w:pPr>
            <w:r>
              <w:rPr>
                <w:rFonts w:hint="eastAsia" w:asciiTheme="minorEastAsia" w:hAnsiTheme="minorEastAsia"/>
                <w:sz w:val="18"/>
              </w:rPr>
              <w:t>850</w:t>
            </w:r>
          </w:p>
        </w:tc>
        <w:tc>
          <w:tcPr>
            <w:tcW w:w="4111" w:type="dxa"/>
            <w:vAlign w:val="center"/>
          </w:tcPr>
          <w:p>
            <w:pPr>
              <w:spacing w:line="360" w:lineRule="auto"/>
              <w:ind w:firstLine="1279" w:firstLineChars="711"/>
              <w:rPr>
                <w:rFonts w:asciiTheme="minorEastAsia" w:hAnsiTheme="minorEastAsia"/>
                <w:sz w:val="18"/>
                <w:szCs w:val="21"/>
              </w:rPr>
            </w:pPr>
            <w:r>
              <w:rPr>
                <w:rFonts w:hint="eastAsia" w:asciiTheme="minorEastAsia" w:hAnsiTheme="minorEastAsia"/>
                <w:sz w:val="18"/>
                <w:szCs w:val="21"/>
              </w:rPr>
              <w:t>0.090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vAlign w:val="center"/>
          </w:tcPr>
          <w:p>
            <w:pPr>
              <w:jc w:val="center"/>
              <w:rPr>
                <w:rFonts w:asciiTheme="minorEastAsia" w:hAnsiTheme="minorEastAsia"/>
                <w:sz w:val="18"/>
              </w:rPr>
            </w:pPr>
            <w:r>
              <w:rPr>
                <w:rFonts w:hint="eastAsia" w:asciiTheme="minorEastAsia" w:hAnsiTheme="minorEastAsia"/>
                <w:sz w:val="18"/>
              </w:rPr>
              <w:t>9</w:t>
            </w:r>
            <w:r>
              <w:rPr>
                <w:rFonts w:asciiTheme="minorEastAsia" w:hAnsiTheme="minorEastAsia"/>
                <w:sz w:val="18"/>
              </w:rPr>
              <w:t>00</w:t>
            </w:r>
          </w:p>
        </w:tc>
        <w:tc>
          <w:tcPr>
            <w:tcW w:w="4111" w:type="dxa"/>
            <w:vAlign w:val="center"/>
          </w:tcPr>
          <w:p>
            <w:pPr>
              <w:spacing w:line="360" w:lineRule="auto"/>
              <w:ind w:firstLine="1279" w:firstLineChars="711"/>
              <w:rPr>
                <w:rFonts w:asciiTheme="minorEastAsia" w:hAnsiTheme="minorEastAsia"/>
                <w:sz w:val="18"/>
                <w:szCs w:val="21"/>
              </w:rPr>
            </w:pPr>
            <w:r>
              <w:rPr>
                <w:rFonts w:hint="eastAsia" w:asciiTheme="minorEastAsia" w:hAnsiTheme="minorEastAsia"/>
                <w:sz w:val="18"/>
                <w:szCs w:val="21"/>
              </w:rPr>
              <w:t>0.090</w:t>
            </w:r>
          </w:p>
        </w:tc>
      </w:tr>
    </w:tbl>
    <w:p>
      <w:pPr>
        <w:spacing w:line="360" w:lineRule="auto"/>
        <w:ind w:firstLine="420" w:firstLineChars="200"/>
        <w:rPr>
          <w:rFonts w:asciiTheme="minorEastAsia" w:hAnsiTheme="minorEastAsia"/>
        </w:rPr>
      </w:pPr>
      <w:r>
        <w:rPr>
          <w:rFonts w:hint="eastAsia" w:asciiTheme="minorEastAsia" w:hAnsiTheme="minorEastAsia"/>
        </w:rPr>
        <w:t>熔样温度低于850℃时，样品有溶不清的现象，溶样温度高于</w:t>
      </w:r>
      <w:r>
        <w:rPr>
          <w:rFonts w:hint="eastAsia" w:cs="宋体" w:asciiTheme="majorEastAsia" w:hAnsiTheme="majorEastAsia" w:eastAsiaTheme="majorEastAsia"/>
          <w:szCs w:val="21"/>
        </w:rPr>
        <w:t>850 ℃时，样品可以完全溶清</w:t>
      </w:r>
      <w:r>
        <w:rPr>
          <w:rFonts w:hint="eastAsia" w:asciiTheme="minorEastAsia" w:hAnsiTheme="minorEastAsia"/>
        </w:rPr>
        <w:t>。为了保证试样和试剂空白完全熔融，熔样温度选择850℃。</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 硫酸用量试验</w:t>
      </w:r>
    </w:p>
    <w:p>
      <w:pPr>
        <w:spacing w:line="360" w:lineRule="auto"/>
        <w:ind w:firstLine="420" w:firstLineChars="200"/>
        <w:rPr>
          <w:rFonts w:asciiTheme="minorEastAsia" w:hAnsiTheme="minorEastAsia"/>
        </w:rPr>
      </w:pPr>
      <w:r>
        <w:rPr>
          <w:rFonts w:hint="eastAsia" w:asciiTheme="minorEastAsia" w:hAnsiTheme="minorEastAsia"/>
        </w:rPr>
        <w:t>溶液的显色酸度为</w:t>
      </w:r>
      <w:r>
        <w:rPr>
          <w:rFonts w:hint="eastAsia"/>
        </w:rPr>
        <w:t>pH3.5～4.2，</w:t>
      </w:r>
      <w:r>
        <w:rPr>
          <w:rFonts w:hint="eastAsia" w:asciiTheme="minorEastAsia" w:hAnsiTheme="minorEastAsia"/>
        </w:rPr>
        <w:t>硫酸用量影响显色酸度。</w:t>
      </w:r>
      <w:r>
        <w:rPr>
          <w:rFonts w:asciiTheme="minorEastAsia" w:hAnsiTheme="minorEastAsia"/>
        </w:rPr>
        <w:t>此试验选择</w:t>
      </w:r>
      <w:r>
        <w:rPr>
          <w:rFonts w:hint="eastAsia" w:asciiTheme="minorEastAsia" w:hAnsiTheme="minorEastAsia"/>
        </w:rPr>
        <w:t>2</w:t>
      </w:r>
      <w:r>
        <w:rPr>
          <w:rFonts w:asciiTheme="minorEastAsia" w:hAnsiTheme="minorEastAsia"/>
        </w:rPr>
        <w:t>#</w:t>
      </w:r>
      <w:r>
        <w:rPr>
          <w:rFonts w:hint="eastAsia" w:asciiTheme="minorEastAsia" w:hAnsiTheme="minorEastAsia"/>
        </w:rPr>
        <w:t>冰晶石</w:t>
      </w:r>
      <w:r>
        <w:rPr>
          <w:rFonts w:asciiTheme="minorEastAsia" w:hAnsiTheme="minorEastAsia"/>
        </w:rPr>
        <w:t>样品，在850℃熔融后，提取样品时分别加入</w:t>
      </w:r>
      <w:r>
        <w:rPr>
          <w:rFonts w:hint="eastAsia" w:asciiTheme="minorEastAsia" w:hAnsiTheme="minorEastAsia"/>
        </w:rPr>
        <w:t>硫</w:t>
      </w:r>
      <w:r>
        <w:rPr>
          <w:rFonts w:asciiTheme="minorEastAsia" w:hAnsiTheme="minorEastAsia"/>
        </w:rPr>
        <w:t>酸（1+1）</w:t>
      </w:r>
      <w:r>
        <w:rPr>
          <w:rFonts w:hint="eastAsia" w:asciiTheme="minorEastAsia" w:hAnsiTheme="minorEastAsia"/>
        </w:rPr>
        <w:t>5</w:t>
      </w:r>
      <w:r>
        <w:rPr>
          <w:rFonts w:asciiTheme="minorEastAsia" w:hAnsiTheme="minorEastAsia"/>
        </w:rPr>
        <w:t>mL、</w:t>
      </w:r>
      <w:r>
        <w:rPr>
          <w:rFonts w:hint="eastAsia" w:asciiTheme="minorEastAsia" w:hAnsiTheme="minorEastAsia"/>
        </w:rPr>
        <w:t>10</w:t>
      </w:r>
      <w:r>
        <w:rPr>
          <w:rFonts w:asciiTheme="minorEastAsia" w:hAnsiTheme="minorEastAsia"/>
        </w:rPr>
        <w:t>mL、</w:t>
      </w:r>
      <w:r>
        <w:rPr>
          <w:rFonts w:hint="eastAsia" w:asciiTheme="minorEastAsia" w:hAnsiTheme="minorEastAsia"/>
        </w:rPr>
        <w:t>16</w:t>
      </w:r>
      <w:r>
        <w:rPr>
          <w:rFonts w:asciiTheme="minorEastAsia" w:hAnsiTheme="minorEastAsia"/>
        </w:rPr>
        <w:t>mL、</w:t>
      </w:r>
      <w:r>
        <w:rPr>
          <w:rFonts w:hint="eastAsia" w:asciiTheme="minorEastAsia" w:hAnsiTheme="minorEastAsia"/>
        </w:rPr>
        <w:t>20</w:t>
      </w:r>
      <w:r>
        <w:rPr>
          <w:rFonts w:asciiTheme="minorEastAsia" w:hAnsiTheme="minorEastAsia"/>
        </w:rPr>
        <w:t>mL、</w:t>
      </w:r>
      <w:r>
        <w:rPr>
          <w:rFonts w:hint="eastAsia" w:asciiTheme="minorEastAsia" w:hAnsiTheme="minorEastAsia"/>
        </w:rPr>
        <w:t>25</w:t>
      </w:r>
      <w:r>
        <w:rPr>
          <w:rFonts w:asciiTheme="minorEastAsia" w:hAnsiTheme="minorEastAsia"/>
        </w:rPr>
        <w:t>mL，按样品测定步骤</w:t>
      </w:r>
      <w:r>
        <w:rPr>
          <w:rFonts w:hint="eastAsia" w:asciiTheme="minorEastAsia" w:hAnsiTheme="minorEastAsia"/>
        </w:rPr>
        <w:t>进行，测得结果如表6。</w:t>
      </w:r>
    </w:p>
    <w:p>
      <w:pPr>
        <w:rPr>
          <w:rFonts w:asciiTheme="minorEastAsia" w:hAnsiTheme="minorEastAsia"/>
        </w:rPr>
      </w:pPr>
      <w:r>
        <w:rPr>
          <w:rFonts w:hint="eastAsia" w:asciiTheme="minorEastAsia" w:hAnsiTheme="minorEastAsia"/>
        </w:rPr>
        <w:t xml:space="preserve">                表6  硫酸加入量对2#冰晶石样品测定结果的影响</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361"/>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tcPr>
          <w:p>
            <w:pPr>
              <w:jc w:val="center"/>
              <w:rPr>
                <w:rFonts w:asciiTheme="minorEastAsia" w:hAnsiTheme="minorEastAsia"/>
                <w:sz w:val="18"/>
              </w:rPr>
            </w:pPr>
            <w:r>
              <w:rPr>
                <w:rFonts w:hint="eastAsia" w:asciiTheme="minorEastAsia" w:hAnsiTheme="minorEastAsia"/>
                <w:sz w:val="18"/>
                <w:lang w:val="en-US" w:eastAsia="zh-CN"/>
              </w:rPr>
              <w:t>硫酸</w:t>
            </w:r>
            <w:r>
              <w:rPr>
                <w:rFonts w:asciiTheme="minorEastAsia" w:hAnsiTheme="minorEastAsia"/>
                <w:sz w:val="18"/>
              </w:rPr>
              <w:t>(1+1)加</w:t>
            </w:r>
            <w:r>
              <w:rPr>
                <w:rFonts w:hint="eastAsia" w:asciiTheme="minorEastAsia" w:hAnsiTheme="minorEastAsia"/>
                <w:sz w:val="18"/>
              </w:rPr>
              <w:t>入量/mL</w:t>
            </w:r>
          </w:p>
        </w:tc>
        <w:tc>
          <w:tcPr>
            <w:tcW w:w="4111" w:type="dxa"/>
          </w:tcPr>
          <w:p>
            <w:pPr>
              <w:jc w:val="center"/>
              <w:rPr>
                <w:rFonts w:asciiTheme="minorEastAsia" w:hAnsiTheme="minorEastAsia"/>
                <w:sz w:val="18"/>
              </w:rPr>
            </w:pPr>
            <w:r>
              <w:rPr>
                <w:rFonts w:hint="eastAsia" w:asciiTheme="minorEastAsia" w:hAnsiTheme="minorEastAsia"/>
                <w:sz w:val="18"/>
              </w:rPr>
              <w:t>测定结果/％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tcPr>
          <w:p>
            <w:pPr>
              <w:jc w:val="center"/>
              <w:rPr>
                <w:rFonts w:asciiTheme="minorEastAsia" w:hAnsiTheme="minorEastAsia"/>
                <w:sz w:val="18"/>
              </w:rPr>
            </w:pPr>
            <w:r>
              <w:rPr>
                <w:rFonts w:hint="eastAsia" w:asciiTheme="minorEastAsia" w:hAnsiTheme="minorEastAsia"/>
                <w:sz w:val="18"/>
              </w:rPr>
              <w:t>5</w:t>
            </w:r>
          </w:p>
        </w:tc>
        <w:tc>
          <w:tcPr>
            <w:tcW w:w="4111" w:type="dxa"/>
            <w:vAlign w:val="center"/>
          </w:tcPr>
          <w:p>
            <w:pPr>
              <w:spacing w:line="360" w:lineRule="auto"/>
              <w:ind w:firstLine="1369" w:firstLineChars="761"/>
              <w:rPr>
                <w:rFonts w:asciiTheme="minorEastAsia" w:hAnsiTheme="minorEastAsia"/>
                <w:sz w:val="18"/>
                <w:szCs w:val="21"/>
              </w:rPr>
            </w:pPr>
            <w:r>
              <w:rPr>
                <w:rFonts w:hint="eastAsia" w:asciiTheme="minorEastAsia" w:hAnsiTheme="minorEastAsia"/>
                <w:sz w:val="18"/>
                <w:szCs w:val="21"/>
              </w:rPr>
              <w:t>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tcPr>
          <w:p>
            <w:pPr>
              <w:jc w:val="center"/>
              <w:rPr>
                <w:rFonts w:asciiTheme="minorEastAsia" w:hAnsiTheme="minorEastAsia"/>
                <w:sz w:val="18"/>
              </w:rPr>
            </w:pPr>
            <w:r>
              <w:rPr>
                <w:rFonts w:hint="eastAsia" w:asciiTheme="minorEastAsia" w:hAnsiTheme="minorEastAsia"/>
                <w:sz w:val="18"/>
              </w:rPr>
              <w:t>10</w:t>
            </w:r>
          </w:p>
        </w:tc>
        <w:tc>
          <w:tcPr>
            <w:tcW w:w="4111" w:type="dxa"/>
            <w:vAlign w:val="center"/>
          </w:tcPr>
          <w:p>
            <w:pPr>
              <w:spacing w:line="360" w:lineRule="auto"/>
              <w:ind w:firstLine="1369" w:firstLineChars="761"/>
              <w:rPr>
                <w:rFonts w:asciiTheme="minorEastAsia" w:hAnsiTheme="minorEastAsia"/>
                <w:sz w:val="18"/>
                <w:szCs w:val="21"/>
              </w:rPr>
            </w:pPr>
            <w:r>
              <w:rPr>
                <w:rFonts w:hint="eastAsia" w:asciiTheme="minorEastAsia" w:hAnsiTheme="minorEastAsia"/>
                <w:sz w:val="18"/>
                <w:szCs w:val="21"/>
              </w:rPr>
              <w:t>0.088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tcPr>
          <w:p>
            <w:pPr>
              <w:jc w:val="center"/>
              <w:rPr>
                <w:rFonts w:asciiTheme="minorEastAsia" w:hAnsiTheme="minorEastAsia"/>
                <w:sz w:val="18"/>
              </w:rPr>
            </w:pPr>
            <w:r>
              <w:rPr>
                <w:rFonts w:hint="eastAsia" w:asciiTheme="minorEastAsia" w:hAnsiTheme="minorEastAsia"/>
                <w:sz w:val="18"/>
              </w:rPr>
              <w:t>16</w:t>
            </w:r>
          </w:p>
        </w:tc>
        <w:tc>
          <w:tcPr>
            <w:tcW w:w="4111" w:type="dxa"/>
            <w:vAlign w:val="center"/>
          </w:tcPr>
          <w:p>
            <w:pPr>
              <w:spacing w:line="360" w:lineRule="auto"/>
              <w:ind w:firstLine="1369" w:firstLineChars="761"/>
              <w:rPr>
                <w:rFonts w:asciiTheme="minorEastAsia" w:hAnsiTheme="minorEastAsia"/>
                <w:sz w:val="18"/>
                <w:szCs w:val="21"/>
              </w:rPr>
            </w:pPr>
            <w:r>
              <w:rPr>
                <w:rFonts w:hint="eastAsia" w:asciiTheme="minorEastAsia" w:hAnsiTheme="minorEastAsia"/>
                <w:sz w:val="18"/>
                <w:szCs w:val="21"/>
              </w:rPr>
              <w:t>0.089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tcPr>
          <w:p>
            <w:pPr>
              <w:jc w:val="center"/>
              <w:rPr>
                <w:rFonts w:asciiTheme="minorEastAsia" w:hAnsiTheme="minorEastAsia"/>
                <w:sz w:val="18"/>
              </w:rPr>
            </w:pPr>
            <w:r>
              <w:rPr>
                <w:rFonts w:hint="eastAsia" w:asciiTheme="minorEastAsia" w:hAnsiTheme="minorEastAsia"/>
                <w:sz w:val="18"/>
              </w:rPr>
              <w:t>20</w:t>
            </w:r>
          </w:p>
        </w:tc>
        <w:tc>
          <w:tcPr>
            <w:tcW w:w="4111" w:type="dxa"/>
            <w:vAlign w:val="center"/>
          </w:tcPr>
          <w:p>
            <w:pPr>
              <w:spacing w:line="360" w:lineRule="auto"/>
              <w:ind w:firstLine="1369" w:firstLineChars="761"/>
              <w:rPr>
                <w:rFonts w:asciiTheme="minorEastAsia" w:hAnsiTheme="minorEastAsia"/>
                <w:sz w:val="18"/>
                <w:szCs w:val="21"/>
              </w:rPr>
            </w:pPr>
            <w:r>
              <w:rPr>
                <w:rFonts w:hint="eastAsia" w:asciiTheme="minorEastAsia" w:hAnsiTheme="minorEastAsia"/>
                <w:sz w:val="18"/>
                <w:szCs w:val="21"/>
              </w:rPr>
              <w:t>0.090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361" w:type="dxa"/>
          </w:tcPr>
          <w:p>
            <w:pPr>
              <w:jc w:val="center"/>
              <w:rPr>
                <w:rFonts w:asciiTheme="minorEastAsia" w:hAnsiTheme="minorEastAsia"/>
                <w:sz w:val="18"/>
              </w:rPr>
            </w:pPr>
            <w:r>
              <w:rPr>
                <w:rFonts w:hint="eastAsia" w:asciiTheme="minorEastAsia" w:hAnsiTheme="minorEastAsia"/>
                <w:sz w:val="18"/>
              </w:rPr>
              <w:t>25</w:t>
            </w:r>
          </w:p>
        </w:tc>
        <w:tc>
          <w:tcPr>
            <w:tcW w:w="4111" w:type="dxa"/>
            <w:vAlign w:val="center"/>
          </w:tcPr>
          <w:p>
            <w:pPr>
              <w:spacing w:line="360" w:lineRule="auto"/>
              <w:ind w:firstLine="1369" w:firstLineChars="761"/>
              <w:rPr>
                <w:rFonts w:asciiTheme="minorEastAsia" w:hAnsiTheme="minorEastAsia"/>
                <w:sz w:val="18"/>
                <w:szCs w:val="21"/>
              </w:rPr>
            </w:pPr>
            <w:r>
              <w:rPr>
                <w:rFonts w:hint="eastAsia" w:asciiTheme="minorEastAsia" w:hAnsiTheme="minorEastAsia"/>
                <w:sz w:val="18"/>
                <w:szCs w:val="21"/>
              </w:rPr>
              <w:t>0.089</w:t>
            </w:r>
          </w:p>
        </w:tc>
      </w:tr>
    </w:tbl>
    <w:p>
      <w:pPr>
        <w:spacing w:beforeLines="50" w:line="360" w:lineRule="auto"/>
        <w:ind w:firstLine="420" w:firstLineChars="200"/>
        <w:rPr>
          <w:rFonts w:asciiTheme="minorEastAsia" w:hAnsiTheme="minorEastAsia"/>
          <w:color w:val="FF0000"/>
        </w:rPr>
      </w:pPr>
      <w:r>
        <w:rPr>
          <w:rFonts w:hint="eastAsia" w:asciiTheme="minorEastAsia" w:hAnsiTheme="minorEastAsia"/>
        </w:rPr>
        <w:t>硫</w:t>
      </w:r>
      <w:r>
        <w:rPr>
          <w:rFonts w:asciiTheme="minorEastAsia" w:hAnsiTheme="minorEastAsia"/>
        </w:rPr>
        <w:t>酸（1+1）加入量在</w:t>
      </w:r>
      <w:r>
        <w:rPr>
          <w:rFonts w:hint="eastAsia" w:asciiTheme="minorEastAsia" w:hAnsiTheme="minorEastAsia"/>
        </w:rPr>
        <w:t>10</w:t>
      </w:r>
      <w:r>
        <w:rPr>
          <w:rFonts w:asciiTheme="minorEastAsia" w:hAnsiTheme="minorEastAsia"/>
        </w:rPr>
        <w:t>mL-</w:t>
      </w:r>
      <w:r>
        <w:rPr>
          <w:rFonts w:hint="eastAsia" w:asciiTheme="minorEastAsia" w:hAnsiTheme="minorEastAsia"/>
        </w:rPr>
        <w:t>25</w:t>
      </w:r>
      <w:r>
        <w:rPr>
          <w:rFonts w:asciiTheme="minorEastAsia" w:hAnsiTheme="minorEastAsia"/>
        </w:rPr>
        <w:t>mL之间，样品的测得数据接近，样品的测得数据接近</w:t>
      </w:r>
      <w:r>
        <w:rPr>
          <w:rFonts w:hint="eastAsia" w:asciiTheme="minorEastAsia" w:hAnsiTheme="minorEastAsia"/>
        </w:rPr>
        <w:t>，</w:t>
      </w:r>
      <w:r>
        <w:rPr>
          <w:rFonts w:asciiTheme="minorEastAsia" w:hAnsiTheme="minorEastAsia"/>
        </w:rPr>
        <w:t>选择加入</w:t>
      </w:r>
      <w:r>
        <w:rPr>
          <w:rFonts w:hint="eastAsia" w:asciiTheme="minorEastAsia" w:hAnsiTheme="minorEastAsia"/>
        </w:rPr>
        <w:t>16</w:t>
      </w:r>
      <w:r>
        <w:rPr>
          <w:rFonts w:asciiTheme="minorEastAsia" w:hAnsiTheme="minorEastAsia"/>
        </w:rPr>
        <w:t>mL</w:t>
      </w:r>
      <w:r>
        <w:rPr>
          <w:rFonts w:hint="eastAsia" w:asciiTheme="minorEastAsia" w:hAnsiTheme="minorEastAsia"/>
        </w:rPr>
        <w:t>硫</w:t>
      </w:r>
      <w:r>
        <w:rPr>
          <w:rFonts w:asciiTheme="minorEastAsia" w:hAnsiTheme="minorEastAsia"/>
        </w:rPr>
        <w:t>酸（1+1）溶液。</w:t>
      </w:r>
    </w:p>
    <w:p>
      <w:pPr>
        <w:spacing w:line="360" w:lineRule="auto"/>
        <w:rPr>
          <w:rFonts w:asciiTheme="majorEastAsia" w:hAnsiTheme="majorEastAsia" w:eastAsiaTheme="majorEastAsia"/>
          <w:szCs w:val="21"/>
        </w:rPr>
      </w:pPr>
      <w:r>
        <w:rPr>
          <w:rFonts w:hint="eastAsia" w:eastAsia="黑体"/>
          <w:color w:val="000000"/>
          <w:sz w:val="24"/>
        </w:rPr>
        <w:t>3.6</w:t>
      </w:r>
      <w:r>
        <w:rPr>
          <w:rFonts w:hint="eastAsia" w:asciiTheme="majorEastAsia" w:hAnsiTheme="majorEastAsia" w:eastAsiaTheme="majorEastAsia"/>
          <w:szCs w:val="21"/>
        </w:rPr>
        <w:t>工作曲线与检出限</w:t>
      </w:r>
    </w:p>
    <w:p>
      <w:pPr>
        <w:spacing w:line="360" w:lineRule="auto"/>
        <w:rPr>
          <w:color w:val="000000"/>
          <w:szCs w:val="21"/>
        </w:rPr>
      </w:pPr>
      <w:r>
        <w:rPr>
          <w:rFonts w:hint="eastAsia"/>
          <w:color w:val="000000"/>
          <w:szCs w:val="21"/>
        </w:rPr>
        <w:t>3.6.1分别移取0 mL、0.50ml、1.00 mL、2.50 mL、</w:t>
      </w:r>
      <w:r>
        <w:rPr>
          <w:rFonts w:hint="eastAsia"/>
          <w:szCs w:val="21"/>
        </w:rPr>
        <w:t>5.00 mL、7.00ml、10.00 mL</w:t>
      </w:r>
      <w:r>
        <w:rPr>
          <w:rFonts w:hint="eastAsia"/>
          <w:color w:val="000000"/>
          <w:szCs w:val="21"/>
        </w:rPr>
        <w:t>三氧化二铁标准溶液，置于一组100 mL容量瓶中，以下按</w:t>
      </w:r>
      <w:r>
        <w:rPr>
          <w:rFonts w:hint="eastAsia"/>
          <w:color w:val="000000"/>
          <w:szCs w:val="21"/>
          <w:lang w:val="en-US" w:eastAsia="zh-CN"/>
        </w:rPr>
        <w:t>标准文本中</w:t>
      </w:r>
      <w:r>
        <w:rPr>
          <w:rFonts w:hint="eastAsia"/>
          <w:color w:val="000000"/>
          <w:szCs w:val="21"/>
        </w:rPr>
        <w:t>分析步骤8.4.3进行。</w:t>
      </w:r>
    </w:p>
    <w:p>
      <w:pPr>
        <w:spacing w:line="360" w:lineRule="auto"/>
        <w:rPr>
          <w:color w:val="000000"/>
          <w:szCs w:val="21"/>
        </w:rPr>
      </w:pPr>
      <w:r>
        <w:rPr>
          <w:rFonts w:hint="eastAsia"/>
          <w:color w:val="000000"/>
          <w:szCs w:val="21"/>
        </w:rPr>
        <w:t>3.6.2 将部分溶液（</w:t>
      </w:r>
      <w:r>
        <w:rPr>
          <w:rFonts w:hint="eastAsia"/>
          <w:color w:val="000000"/>
          <w:szCs w:val="21"/>
          <w:lang w:val="en-US" w:eastAsia="zh-CN"/>
        </w:rPr>
        <w:t>3.6.</w:t>
      </w:r>
      <w:r>
        <w:rPr>
          <w:rFonts w:hint="eastAsia"/>
          <w:color w:val="000000"/>
          <w:szCs w:val="21"/>
        </w:rPr>
        <w:t>1）移入1cm吸收池中，以水为参比，于分光光度计波长510 nm处测量其吸光度。减去试剂空白溶液吸光度后，以三氧化二铁量为横坐标，相应的吸光度为纵坐标，绘制工作曲线。</w:t>
      </w:r>
    </w:p>
    <w:p>
      <w:pPr>
        <w:spacing w:line="360" w:lineRule="auto"/>
        <w:jc w:val="center"/>
      </w:pPr>
    </w:p>
    <w:p>
      <w:pPr>
        <w:spacing w:line="360" w:lineRule="auto"/>
        <w:jc w:val="center"/>
      </w:pPr>
    </w:p>
    <w:p>
      <w:pPr>
        <w:spacing w:line="360" w:lineRule="auto"/>
        <w:jc w:val="center"/>
      </w:pPr>
      <w:r>
        <w:rPr>
          <w:rFonts w:hint="eastAsia"/>
        </w:rPr>
        <w:t xml:space="preserve">表2 </w:t>
      </w:r>
      <w:r>
        <w:t>工作曲线的线性范围、线性方程</w:t>
      </w:r>
      <w:r>
        <w:rPr>
          <w:rFonts w:hint="eastAsia"/>
        </w:rPr>
        <w:t>和</w:t>
      </w:r>
      <w:r>
        <w:t>相关系数</w:t>
      </w:r>
    </w:p>
    <w:tbl>
      <w:tblPr>
        <w:tblStyle w:val="10"/>
        <w:tblW w:w="446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6"/>
        <w:gridCol w:w="678"/>
        <w:gridCol w:w="922"/>
        <w:gridCol w:w="922"/>
        <w:gridCol w:w="922"/>
        <w:gridCol w:w="922"/>
        <w:gridCol w:w="929"/>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911"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三氧化二铁</w:t>
            </w:r>
          </w:p>
          <w:p>
            <w:pPr>
              <w:spacing w:line="360" w:lineRule="auto"/>
              <w:jc w:val="center"/>
              <w:rPr>
                <w:rFonts w:ascii="宋体" w:hAnsi="宋体" w:cs="宋体"/>
                <w:color w:val="000000"/>
                <w:sz w:val="18"/>
                <w:szCs w:val="18"/>
              </w:rPr>
            </w:pPr>
            <w:r>
              <w:rPr>
                <w:rFonts w:hint="eastAsia" w:ascii="宋体" w:hAnsi="宋体" w:cs="宋体"/>
                <w:color w:val="000000"/>
                <w:sz w:val="18"/>
                <w:szCs w:val="18"/>
              </w:rPr>
              <w:t>质量/</w:t>
            </w:r>
            <w:r>
              <w:rPr>
                <w:rFonts w:hint="eastAsia" w:ascii="宋体" w:hAnsi="宋体"/>
                <w:color w:val="000000"/>
                <w:sz w:val="18"/>
                <w:szCs w:val="18"/>
              </w:rPr>
              <w:t>μg</w:t>
            </w:r>
          </w:p>
        </w:tc>
        <w:tc>
          <w:tcPr>
            <w:tcW w:w="44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0</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5</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10</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25</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50</w:t>
            </w:r>
          </w:p>
        </w:tc>
        <w:tc>
          <w:tcPr>
            <w:tcW w:w="611"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70</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11"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吸光度/A</w:t>
            </w:r>
          </w:p>
        </w:tc>
        <w:tc>
          <w:tcPr>
            <w:tcW w:w="44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0</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0.007</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0.014</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0.036</w:t>
            </w:r>
          </w:p>
        </w:tc>
        <w:tc>
          <w:tcPr>
            <w:tcW w:w="606" w:type="pct"/>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0.071</w:t>
            </w:r>
          </w:p>
        </w:tc>
        <w:tc>
          <w:tcPr>
            <w:tcW w:w="611" w:type="pct"/>
            <w:vAlign w:val="center"/>
          </w:tcPr>
          <w:p>
            <w:pPr>
              <w:spacing w:line="360" w:lineRule="auto"/>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0.</w:t>
            </w:r>
            <w:r>
              <w:rPr>
                <w:rFonts w:hint="eastAsia" w:ascii="宋体" w:hAnsi="宋体" w:cs="宋体"/>
                <w:color w:val="000000"/>
                <w:sz w:val="18"/>
                <w:szCs w:val="18"/>
                <w:lang w:val="en-US" w:eastAsia="zh-CN"/>
              </w:rPr>
              <w:t>099</w:t>
            </w:r>
          </w:p>
        </w:tc>
        <w:tc>
          <w:tcPr>
            <w:tcW w:w="606" w:type="pct"/>
          </w:tcPr>
          <w:p>
            <w:pPr>
              <w:spacing w:line="360" w:lineRule="auto"/>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0.</w:t>
            </w:r>
            <w:r>
              <w:rPr>
                <w:rFonts w:hint="eastAsia" w:ascii="宋体" w:hAnsi="宋体" w:cs="宋体"/>
                <w:color w:val="000000"/>
                <w:sz w:val="18"/>
                <w:szCs w:val="18"/>
                <w:lang w:val="en-US" w:eastAsia="zh-CN"/>
              </w:rPr>
              <w:t>143</w:t>
            </w:r>
          </w:p>
        </w:tc>
      </w:tr>
    </w:tbl>
    <w:p>
      <w:pPr>
        <w:spacing w:line="360" w:lineRule="auto"/>
        <w:rPr>
          <w:color w:val="000000"/>
          <w:szCs w:val="21"/>
        </w:rPr>
      </w:pPr>
    </w:p>
    <w:p>
      <w:pPr>
        <w:spacing w:line="360" w:lineRule="auto"/>
        <w:rPr>
          <w:color w:val="000000"/>
          <w:szCs w:val="21"/>
        </w:rPr>
      </w:pPr>
      <w:r>
        <w:rPr>
          <w:color w:val="000000"/>
          <w:szCs w:val="21"/>
          <w:lang w:bidi="ar-SA"/>
        </w:rPr>
        <w:drawing>
          <wp:inline distT="0" distB="0" distL="0" distR="0">
            <wp:extent cx="4572000" cy="27432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360" w:lineRule="auto"/>
        <w:rPr>
          <w:rFonts w:ascii="黑体" w:hAnsi="宋体" w:eastAsia="黑体"/>
          <w:color w:val="000000"/>
          <w:sz w:val="24"/>
        </w:rPr>
      </w:pPr>
    </w:p>
    <w:p>
      <w:pPr>
        <w:pStyle w:val="25"/>
        <w:spacing w:line="360" w:lineRule="auto"/>
        <w:ind w:firstLine="480"/>
        <w:jc w:val="left"/>
        <w:rPr>
          <w:szCs w:val="21"/>
        </w:rPr>
      </w:pPr>
      <w:r>
        <w:rPr>
          <w:rFonts w:hint="eastAsia"/>
          <w:sz w:val="24"/>
        </w:rPr>
        <w:t>按</w:t>
      </w:r>
      <w:r>
        <w:rPr>
          <w:rFonts w:hint="eastAsia"/>
          <w:szCs w:val="21"/>
        </w:rPr>
        <w:t>照分析方法制取空白液，分取50ml，对空白溶液测试11次，空白的标准偏差为0.00035%，空白标准偏差的3倍作为方法的检出限，三氧化二铁检出限为：0.0012%。 空白标准偏差的10倍作为方法的定量限，定量限为0.0035%，因此，在标准中将该方法的三氧化二铁测定下限定为0.0050%。</w:t>
      </w:r>
    </w:p>
    <w:p>
      <w:pPr>
        <w:pStyle w:val="25"/>
        <w:spacing w:line="360" w:lineRule="auto"/>
        <w:jc w:val="left"/>
        <w:rPr>
          <w:szCs w:val="21"/>
        </w:rPr>
      </w:pPr>
      <w:r>
        <w:rPr>
          <w:rFonts w:hint="eastAsia"/>
          <w:szCs w:val="21"/>
        </w:rPr>
        <w:t xml:space="preserve">                    表3</w:t>
      </w:r>
    </w:p>
    <w:tbl>
      <w:tblPr>
        <w:tblStyle w:val="11"/>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9"/>
        <w:gridCol w:w="1559"/>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9" w:type="dxa"/>
          </w:tcPr>
          <w:p>
            <w:pPr>
              <w:spacing w:line="360" w:lineRule="auto"/>
              <w:jc w:val="center"/>
              <w:rPr>
                <w:rFonts w:ascii="Times New Roman" w:hAnsi="Times New Roman"/>
                <w:szCs w:val="21"/>
              </w:rPr>
            </w:pPr>
            <w:r>
              <w:rPr>
                <w:rFonts w:hint="eastAsia" w:ascii="Times New Roman" w:hAnsi="Times New Roman"/>
                <w:szCs w:val="21"/>
              </w:rPr>
              <w:t>空白的吸光度（Abs）</w:t>
            </w:r>
          </w:p>
        </w:tc>
        <w:tc>
          <w:tcPr>
            <w:tcW w:w="1559" w:type="dxa"/>
          </w:tcPr>
          <w:p>
            <w:pPr>
              <w:spacing w:line="360" w:lineRule="auto"/>
              <w:jc w:val="center"/>
              <w:rPr>
                <w:rFonts w:ascii="Times New Roman" w:hAnsi="Times New Roman"/>
                <w:szCs w:val="21"/>
              </w:rPr>
            </w:pPr>
            <w:r>
              <w:rPr>
                <w:rFonts w:ascii="Times New Roman" w:hAnsiTheme="minorEastAsia"/>
                <w:szCs w:val="21"/>
              </w:rPr>
              <w:t>标准偏差（</w:t>
            </w:r>
            <w:r>
              <w:rPr>
                <w:rFonts w:hint="eastAsia" w:ascii="Times New Roman" w:hAnsi="Times New Roman"/>
                <w:szCs w:val="21"/>
              </w:rPr>
              <w:t>%</w:t>
            </w:r>
            <w:r>
              <w:rPr>
                <w:rFonts w:ascii="Times New Roman" w:hAnsiTheme="minorEastAsia"/>
                <w:szCs w:val="21"/>
              </w:rPr>
              <w:t>）</w:t>
            </w:r>
          </w:p>
        </w:tc>
        <w:tc>
          <w:tcPr>
            <w:tcW w:w="1418" w:type="dxa"/>
          </w:tcPr>
          <w:p>
            <w:pPr>
              <w:spacing w:line="360" w:lineRule="auto"/>
              <w:jc w:val="center"/>
              <w:rPr>
                <w:rFonts w:ascii="Times New Roman" w:hAnsi="Times New Roman"/>
                <w:szCs w:val="21"/>
              </w:rPr>
            </w:pPr>
            <w:r>
              <w:rPr>
                <w:rFonts w:hint="eastAsia" w:ascii="Times New Roman" w:hAnsi="Times New Roman"/>
                <w:szCs w:val="21"/>
              </w:rPr>
              <w:t>3倍检出限%</w:t>
            </w:r>
          </w:p>
        </w:tc>
        <w:tc>
          <w:tcPr>
            <w:tcW w:w="1559" w:type="dxa"/>
          </w:tcPr>
          <w:p>
            <w:pPr>
              <w:spacing w:line="360" w:lineRule="auto"/>
              <w:jc w:val="center"/>
              <w:rPr>
                <w:rFonts w:ascii="Times New Roman" w:hAnsi="Times New Roman"/>
                <w:szCs w:val="21"/>
              </w:rPr>
            </w:pPr>
            <w:r>
              <w:rPr>
                <w:rFonts w:hint="eastAsia" w:ascii="Times New Roman" w:hAnsi="Times New Roman"/>
                <w:szCs w:val="21"/>
              </w:rPr>
              <w:t>10倍定量限%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9" w:type="dxa"/>
          </w:tcPr>
          <w:p>
            <w:pPr>
              <w:spacing w:line="360" w:lineRule="auto"/>
              <w:jc w:val="center"/>
              <w:rPr>
                <w:rFonts w:ascii="宋体" w:hAnsi="宋体" w:cs="宋体"/>
                <w:color w:val="000000"/>
                <w:szCs w:val="21"/>
              </w:rPr>
            </w:pPr>
            <w:r>
              <w:rPr>
                <w:rFonts w:hint="eastAsia"/>
                <w:color w:val="000000"/>
                <w:szCs w:val="21"/>
              </w:rPr>
              <w:t>0.005、0.004、0.005、0.005、0.004、0.005、0.004</w:t>
            </w:r>
            <w:r>
              <w:rPr>
                <w:rFonts w:hint="eastAsia"/>
                <w:color w:val="000000"/>
                <w:szCs w:val="21"/>
                <w:lang w:eastAsia="zh-CN"/>
              </w:rPr>
              <w:t>、</w:t>
            </w:r>
            <w:r>
              <w:rPr>
                <w:rFonts w:hint="eastAsia"/>
                <w:color w:val="000000"/>
                <w:szCs w:val="21"/>
              </w:rPr>
              <w:t xml:space="preserve"> 0.005、 0.004、0.005、0.005</w:t>
            </w:r>
          </w:p>
        </w:tc>
        <w:tc>
          <w:tcPr>
            <w:tcW w:w="1559" w:type="dxa"/>
          </w:tcPr>
          <w:p>
            <w:pPr>
              <w:spacing w:line="360" w:lineRule="auto"/>
              <w:jc w:val="center"/>
              <w:rPr>
                <w:rFonts w:ascii="宋体" w:hAnsi="宋体" w:cs="宋体"/>
                <w:color w:val="000000"/>
                <w:szCs w:val="21"/>
              </w:rPr>
            </w:pPr>
            <w:r>
              <w:rPr>
                <w:rFonts w:hint="eastAsia"/>
                <w:color w:val="000000"/>
                <w:szCs w:val="21"/>
              </w:rPr>
              <w:t>0.00035</w:t>
            </w:r>
          </w:p>
        </w:tc>
        <w:tc>
          <w:tcPr>
            <w:tcW w:w="1418" w:type="dxa"/>
          </w:tcPr>
          <w:p>
            <w:pPr>
              <w:spacing w:line="360" w:lineRule="auto"/>
              <w:jc w:val="center"/>
              <w:rPr>
                <w:rFonts w:ascii="Times New Roman" w:hAnsi="Times New Roman"/>
                <w:szCs w:val="21"/>
              </w:rPr>
            </w:pPr>
            <w:r>
              <w:rPr>
                <w:rFonts w:hint="eastAsia" w:ascii="Times New Roman" w:hAnsi="Times New Roman"/>
                <w:szCs w:val="21"/>
              </w:rPr>
              <w:t>0.0012</w:t>
            </w:r>
          </w:p>
        </w:tc>
        <w:tc>
          <w:tcPr>
            <w:tcW w:w="1559" w:type="dxa"/>
          </w:tcPr>
          <w:p>
            <w:pPr>
              <w:spacing w:line="360" w:lineRule="auto"/>
              <w:jc w:val="center"/>
              <w:rPr>
                <w:rFonts w:ascii="Times New Roman" w:hAnsi="Times New Roman"/>
                <w:szCs w:val="21"/>
              </w:rPr>
            </w:pPr>
            <w:r>
              <w:rPr>
                <w:rFonts w:hint="eastAsia" w:ascii="Times New Roman" w:hAnsi="Times New Roman"/>
                <w:szCs w:val="21"/>
              </w:rPr>
              <w:t>0.0035</w:t>
            </w:r>
          </w:p>
        </w:tc>
      </w:tr>
    </w:tbl>
    <w:p>
      <w:pPr>
        <w:spacing w:line="360" w:lineRule="auto"/>
        <w:rPr>
          <w:rFonts w:ascii="黑体" w:hAnsi="宋体" w:eastAsia="黑体"/>
          <w:color w:val="000000"/>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3.7精密度实验</w:t>
      </w:r>
    </w:p>
    <w:p>
      <w:pPr>
        <w:spacing w:line="360" w:lineRule="auto"/>
        <w:ind w:firstLine="420" w:firstLineChars="200"/>
        <w:rPr>
          <w:szCs w:val="21"/>
        </w:rPr>
      </w:pPr>
      <w:r>
        <w:rPr>
          <w:rFonts w:hint="eastAsia" w:hAnsi="宋体"/>
          <w:szCs w:val="21"/>
        </w:rPr>
        <w:t>选定覆盖测定范围的4个</w:t>
      </w:r>
      <w:r>
        <w:rPr>
          <w:rFonts w:hAnsi="宋体"/>
          <w:szCs w:val="21"/>
        </w:rPr>
        <w:t>样品，按照</w:t>
      </w:r>
      <w:r>
        <w:rPr>
          <w:rFonts w:hint="eastAsia"/>
          <w:szCs w:val="21"/>
        </w:rPr>
        <w:t>试验方法</w:t>
      </w:r>
      <w:r>
        <w:rPr>
          <w:rFonts w:hAnsi="宋体"/>
          <w:szCs w:val="21"/>
        </w:rPr>
        <w:t>方法进行重复测定</w:t>
      </w:r>
      <w:r>
        <w:rPr>
          <w:szCs w:val="21"/>
        </w:rPr>
        <w:t>11</w:t>
      </w:r>
      <w:r>
        <w:rPr>
          <w:rFonts w:hAnsi="宋体"/>
          <w:szCs w:val="21"/>
        </w:rPr>
        <w:t>次进行数据统计。统计结果见表</w:t>
      </w:r>
      <w:r>
        <w:rPr>
          <w:rFonts w:hint="eastAsia" w:hAnsi="宋体"/>
          <w:szCs w:val="21"/>
          <w:lang w:val="en-US" w:eastAsia="zh-CN"/>
        </w:rPr>
        <w:t>4</w:t>
      </w:r>
      <w:r>
        <w:rPr>
          <w:rFonts w:hAnsi="宋体"/>
          <w:szCs w:val="21"/>
        </w:rPr>
        <w:t>。</w:t>
      </w:r>
    </w:p>
    <w:p>
      <w:pPr>
        <w:spacing w:line="360" w:lineRule="auto"/>
        <w:ind w:firstLine="2730" w:firstLineChars="1300"/>
        <w:rPr>
          <w:szCs w:val="21"/>
        </w:rPr>
      </w:pPr>
      <w:r>
        <w:rPr>
          <w:rFonts w:hint="eastAsia"/>
          <w:szCs w:val="21"/>
        </w:rPr>
        <w:t>表4</w:t>
      </w:r>
    </w:p>
    <w:tbl>
      <w:tblPr>
        <w:tblStyle w:val="10"/>
        <w:tblW w:w="9087" w:type="dxa"/>
        <w:tblInd w:w="93" w:type="dxa"/>
        <w:tblLayout w:type="fixed"/>
        <w:tblCellMar>
          <w:top w:w="0" w:type="dxa"/>
          <w:left w:w="108" w:type="dxa"/>
          <w:bottom w:w="0" w:type="dxa"/>
          <w:right w:w="108" w:type="dxa"/>
        </w:tblCellMar>
      </w:tblPr>
      <w:tblGrid>
        <w:gridCol w:w="1858"/>
        <w:gridCol w:w="2126"/>
        <w:gridCol w:w="1701"/>
        <w:gridCol w:w="1843"/>
        <w:gridCol w:w="1559"/>
      </w:tblGrid>
      <w:tr>
        <w:trPr>
          <w:trHeight w:val="315" w:hRule="atLeast"/>
        </w:trPr>
        <w:tc>
          <w:tcPr>
            <w:tcW w:w="18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宋体" w:hAnsi="宋体"/>
                <w:kern w:val="0"/>
                <w:sz w:val="24"/>
                <w:lang w:bidi="ar-SA"/>
              </w:rPr>
              <w:t>样品</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1#</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2</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3#</w:t>
            </w:r>
          </w:p>
        </w:tc>
        <w:tc>
          <w:tcPr>
            <w:tcW w:w="1559"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4#</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1</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0.0091</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0.027</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0.090</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0.38</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2</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0.0085</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0.028</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0.088</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0.37</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3</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0.0090</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0.026</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0.092</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0.37</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4</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0.0087</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0.027</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0.091</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0.38</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5</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0.0093</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0.028</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0.089</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0.38</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6</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0.0092</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0.027</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0.088</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0.37</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7</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0.0091</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0.028</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0.091</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0.38</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8</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0.0086</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0.027</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0.092</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0.37</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9</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0.0092</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0.026</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0.091</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0.38</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10</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0.0088</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0.027</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0.089</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0.37</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ascii="Times New Roman" w:hAnsi="Times New Roman"/>
                <w:kern w:val="0"/>
                <w:sz w:val="24"/>
                <w:lang w:bidi="ar-SA"/>
              </w:rPr>
              <w:t>11</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0.0089</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0.028</w:t>
            </w:r>
          </w:p>
        </w:tc>
        <w:tc>
          <w:tcPr>
            <w:tcW w:w="18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0.090</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ascii="Times New Roman" w:hAnsi="Times New Roman"/>
                <w:kern w:val="0"/>
                <w:sz w:val="24"/>
                <w:lang w:bidi="ar-SA"/>
              </w:rPr>
              <w:t>0.37</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宋体" w:hAnsi="宋体"/>
                <w:kern w:val="0"/>
                <w:sz w:val="24"/>
                <w:lang w:bidi="ar-SA"/>
              </w:rPr>
              <w:t>平均值（</w:t>
            </w:r>
            <w:r>
              <w:rPr>
                <w:rFonts w:ascii="Times New Roman" w:hAnsi="Times New Roman"/>
                <w:kern w:val="0"/>
                <w:sz w:val="24"/>
                <w:lang w:bidi="ar-SA"/>
              </w:rPr>
              <w:t>%</w:t>
            </w:r>
            <w:r>
              <w:rPr>
                <w:rFonts w:hint="eastAsia" w:ascii="宋体" w:hAnsi="宋体"/>
                <w:kern w:val="0"/>
                <w:sz w:val="24"/>
                <w:lang w:bidi="ar-SA"/>
              </w:rPr>
              <w:t>）</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0.0089</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0.027</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0.090</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0.38</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宋体" w:hAnsi="宋体"/>
                <w:kern w:val="0"/>
                <w:sz w:val="24"/>
                <w:lang w:bidi="ar-SA"/>
              </w:rPr>
              <w:t>标准偏差（</w:t>
            </w:r>
            <w:r>
              <w:rPr>
                <w:rFonts w:ascii="Times New Roman" w:hAnsi="Times New Roman"/>
                <w:kern w:val="0"/>
                <w:sz w:val="24"/>
                <w:lang w:bidi="ar-SA"/>
              </w:rPr>
              <w:t>%</w:t>
            </w:r>
            <w:r>
              <w:rPr>
                <w:rFonts w:hint="eastAsia" w:ascii="宋体" w:hAnsi="宋体"/>
                <w:kern w:val="0"/>
                <w:sz w:val="24"/>
                <w:lang w:bidi="ar-SA"/>
              </w:rPr>
              <w:t>）</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0.0003</w:t>
            </w:r>
          </w:p>
        </w:tc>
        <w:tc>
          <w:tcPr>
            <w:tcW w:w="1701" w:type="dxa"/>
            <w:tcBorders>
              <w:top w:val="single" w:color="auto" w:sz="4" w:space="0"/>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0.0008</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0.0014</w:t>
            </w:r>
          </w:p>
        </w:tc>
        <w:tc>
          <w:tcPr>
            <w:tcW w:w="1559" w:type="dxa"/>
            <w:tcBorders>
              <w:top w:val="nil"/>
              <w:left w:val="nil"/>
              <w:bottom w:val="single" w:color="auto" w:sz="4" w:space="0"/>
              <w:right w:val="single" w:color="auto" w:sz="4" w:space="0"/>
            </w:tcBorders>
          </w:tcPr>
          <w:p>
            <w:pPr>
              <w:widowControl/>
              <w:jc w:val="center"/>
              <w:rPr>
                <w:rFonts w:ascii="Times New Roman" w:hAnsi="Times New Roman"/>
                <w:kern w:val="0"/>
                <w:sz w:val="24"/>
                <w:lang w:bidi="ar-SA"/>
              </w:rPr>
            </w:pPr>
            <w:r>
              <w:rPr>
                <w:rFonts w:hint="eastAsia" w:ascii="Times New Roman" w:hAnsi="Times New Roman"/>
                <w:kern w:val="0"/>
                <w:sz w:val="24"/>
                <w:lang w:bidi="ar-SA"/>
              </w:rPr>
              <w:t>0.0052</w:t>
            </w:r>
          </w:p>
        </w:tc>
      </w:tr>
      <w:tr>
        <w:trPr>
          <w:trHeight w:val="315" w:hRule="atLeast"/>
        </w:trPr>
        <w:tc>
          <w:tcPr>
            <w:tcW w:w="185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宋体" w:hAnsi="宋体"/>
                <w:kern w:val="0"/>
                <w:sz w:val="24"/>
                <w:lang w:bidi="ar-SA"/>
              </w:rPr>
              <w:t>相对标准偏差（</w:t>
            </w:r>
            <w:r>
              <w:rPr>
                <w:rFonts w:ascii="Times New Roman" w:hAnsi="Times New Roman"/>
                <w:kern w:val="0"/>
                <w:sz w:val="24"/>
                <w:lang w:bidi="ar-SA"/>
              </w:rPr>
              <w:t>%</w:t>
            </w:r>
            <w:r>
              <w:rPr>
                <w:rFonts w:hint="eastAsia" w:ascii="宋体" w:hAnsi="宋体"/>
                <w:kern w:val="0"/>
                <w:sz w:val="24"/>
                <w:lang w:bidi="ar-SA"/>
              </w:rPr>
              <w:t>）</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3.37</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2.96</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1.56</w:t>
            </w:r>
          </w:p>
        </w:tc>
        <w:tc>
          <w:tcPr>
            <w:tcW w:w="1559"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4"/>
                <w:lang w:bidi="ar-SA"/>
              </w:rPr>
            </w:pPr>
            <w:r>
              <w:rPr>
                <w:rFonts w:hint="eastAsia" w:ascii="Times New Roman" w:hAnsi="Times New Roman"/>
                <w:kern w:val="0"/>
                <w:sz w:val="24"/>
                <w:lang w:bidi="ar-SA"/>
              </w:rPr>
              <w:t>1.37</w:t>
            </w:r>
          </w:p>
        </w:tc>
      </w:tr>
    </w:tbl>
    <w:p>
      <w:pPr>
        <w:snapToGrid w:val="0"/>
        <w:spacing w:beforeLines="50" w:line="360" w:lineRule="auto"/>
        <w:ind w:firstLine="525" w:firstLineChars="250"/>
        <w:jc w:val="left"/>
        <w:rPr>
          <w:rFonts w:asciiTheme="minorEastAsia" w:hAnsiTheme="minorEastAsia"/>
        </w:rPr>
      </w:pPr>
      <w:r>
        <w:rPr>
          <w:rFonts w:hint="eastAsia" w:asciiTheme="minorEastAsia" w:hAnsiTheme="minorEastAsia"/>
        </w:rPr>
        <w:t>从复验结果统计情况来看，各单位之间的元素测量值吻合较好，各单位验证数据见复验报告。复验数据汇总见表5。各单位相关数据根据GB/T 6379.2进行分析，统计出冰晶石中三氧化二铁含量测定的重复性限和再现性限，见表</w:t>
      </w:r>
      <w:r>
        <w:rPr>
          <w:rFonts w:hint="eastAsia" w:asciiTheme="minorEastAsia" w:hAnsiTheme="minorEastAsia"/>
          <w:lang w:val="en-US" w:eastAsia="zh-CN"/>
        </w:rPr>
        <w:t>6</w:t>
      </w:r>
      <w:r>
        <w:rPr>
          <w:rFonts w:hint="eastAsia" w:asciiTheme="minorEastAsia" w:hAnsiTheme="minorEastAsia"/>
        </w:rPr>
        <w:t>。</w:t>
      </w:r>
    </w:p>
    <w:p>
      <w:pPr>
        <w:spacing w:line="360" w:lineRule="auto"/>
        <w:jc w:val="center"/>
        <w:rPr>
          <w:rFonts w:asciiTheme="minorEastAsia" w:hAnsiTheme="minorEastAsia"/>
        </w:rPr>
      </w:pPr>
      <w:r>
        <w:rPr>
          <w:rFonts w:hint="eastAsia" w:asciiTheme="minorEastAsia" w:hAnsiTheme="minorEastAsia"/>
        </w:rPr>
        <w:t>表5冰晶石样品中三氧化二铁含量的测定复验复核报告数据汇总（%）</w:t>
      </w:r>
    </w:p>
    <w:tbl>
      <w:tblPr>
        <w:tblStyle w:val="10"/>
        <w:tblW w:w="5324" w:type="pct"/>
        <w:tblInd w:w="-318" w:type="dxa"/>
        <w:tblLayout w:type="fixed"/>
        <w:tblCellMar>
          <w:top w:w="0" w:type="dxa"/>
          <w:left w:w="108" w:type="dxa"/>
          <w:bottom w:w="0" w:type="dxa"/>
          <w:right w:w="108" w:type="dxa"/>
        </w:tblCellMar>
      </w:tblPr>
      <w:tblGrid>
        <w:gridCol w:w="709"/>
        <w:gridCol w:w="992"/>
        <w:gridCol w:w="993"/>
        <w:gridCol w:w="993"/>
        <w:gridCol w:w="953"/>
        <w:gridCol w:w="949"/>
        <w:gridCol w:w="793"/>
        <w:gridCol w:w="835"/>
        <w:gridCol w:w="1009"/>
        <w:gridCol w:w="848"/>
      </w:tblGrid>
      <w:tr>
        <w:trPr>
          <w:trHeight w:val="663" w:hRule="atLeast"/>
        </w:trPr>
        <w:tc>
          <w:tcPr>
            <w:tcW w:w="39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样品编号</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　</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中铝研究院</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南山铝业</w:t>
            </w:r>
          </w:p>
        </w:tc>
        <w:tc>
          <w:tcPr>
            <w:tcW w:w="525"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asciiTheme="minorEastAsia" w:hAnsiTheme="minorEastAsia"/>
              </w:rPr>
              <w:t>霍煤鸿骏</w:t>
            </w:r>
          </w:p>
        </w:tc>
        <w:tc>
          <w:tcPr>
            <w:tcW w:w="523"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昆明冶金院</w:t>
            </w:r>
          </w:p>
        </w:tc>
        <w:tc>
          <w:tcPr>
            <w:tcW w:w="43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多氟多</w:t>
            </w:r>
          </w:p>
        </w:tc>
        <w:tc>
          <w:tcPr>
            <w:tcW w:w="460"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中州铝业</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锦联铝材</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兴仁登高</w:t>
            </w:r>
          </w:p>
        </w:tc>
      </w:tr>
      <w:tr>
        <w:trPr>
          <w:trHeight w:val="270" w:hRule="atLeast"/>
        </w:trPr>
        <w:tc>
          <w:tcPr>
            <w:tcW w:w="39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1#</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平均值</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0.0089</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0.0086</w:t>
            </w:r>
          </w:p>
        </w:tc>
        <w:tc>
          <w:tcPr>
            <w:tcW w:w="52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0.010</w:t>
            </w:r>
          </w:p>
        </w:tc>
        <w:tc>
          <w:tcPr>
            <w:tcW w:w="52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0.0097</w:t>
            </w:r>
          </w:p>
        </w:tc>
        <w:tc>
          <w:tcPr>
            <w:tcW w:w="43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0.0084</w:t>
            </w:r>
          </w:p>
        </w:tc>
        <w:tc>
          <w:tcPr>
            <w:tcW w:w="46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0.0096</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0.0082</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0.0087</w:t>
            </w:r>
          </w:p>
        </w:tc>
      </w:tr>
      <w:tr>
        <w:trPr>
          <w:trHeight w:val="270" w:hRule="atLeast"/>
        </w:trPr>
        <w:tc>
          <w:tcPr>
            <w:tcW w:w="391"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inorEastAsia" w:hAnsiTheme="minorEastAsia"/>
              </w:rPr>
            </w:pP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标准偏差</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0.0003</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0.0005</w:t>
            </w:r>
          </w:p>
        </w:tc>
        <w:tc>
          <w:tcPr>
            <w:tcW w:w="52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0.0001</w:t>
            </w:r>
          </w:p>
        </w:tc>
        <w:tc>
          <w:tcPr>
            <w:tcW w:w="52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0.0003</w:t>
            </w:r>
          </w:p>
        </w:tc>
        <w:tc>
          <w:tcPr>
            <w:tcW w:w="43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0.0003</w:t>
            </w:r>
          </w:p>
        </w:tc>
        <w:tc>
          <w:tcPr>
            <w:tcW w:w="46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0.0010</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0.0002</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0.0002</w:t>
            </w:r>
          </w:p>
        </w:tc>
      </w:tr>
      <w:tr>
        <w:trPr>
          <w:trHeight w:val="270" w:hRule="atLeast"/>
        </w:trPr>
        <w:tc>
          <w:tcPr>
            <w:tcW w:w="39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2#</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平均值</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0.027</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0.027</w:t>
            </w:r>
          </w:p>
        </w:tc>
        <w:tc>
          <w:tcPr>
            <w:tcW w:w="52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0.027</w:t>
            </w:r>
          </w:p>
        </w:tc>
        <w:tc>
          <w:tcPr>
            <w:tcW w:w="52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0.027</w:t>
            </w:r>
          </w:p>
        </w:tc>
        <w:tc>
          <w:tcPr>
            <w:tcW w:w="43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0.025</w:t>
            </w:r>
          </w:p>
        </w:tc>
        <w:tc>
          <w:tcPr>
            <w:tcW w:w="46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0.030</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0.027</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0.027</w:t>
            </w:r>
          </w:p>
        </w:tc>
      </w:tr>
      <w:tr>
        <w:trPr>
          <w:trHeight w:val="270" w:hRule="atLeast"/>
        </w:trPr>
        <w:tc>
          <w:tcPr>
            <w:tcW w:w="391" w:type="pct"/>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inorEastAsia" w:hAnsiTheme="minorEastAsia"/>
              </w:rPr>
            </w:pP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标准偏差</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0.0008</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0.0014</w:t>
            </w:r>
          </w:p>
        </w:tc>
        <w:tc>
          <w:tcPr>
            <w:tcW w:w="52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0.0008</w:t>
            </w:r>
          </w:p>
        </w:tc>
        <w:tc>
          <w:tcPr>
            <w:tcW w:w="52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0.0004</w:t>
            </w:r>
          </w:p>
        </w:tc>
        <w:tc>
          <w:tcPr>
            <w:tcW w:w="43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0.0010</w:t>
            </w:r>
          </w:p>
        </w:tc>
        <w:tc>
          <w:tcPr>
            <w:tcW w:w="46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0.0020</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0.0005</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0.0008</w:t>
            </w:r>
          </w:p>
        </w:tc>
      </w:tr>
      <w:tr>
        <w:trPr>
          <w:trHeight w:val="270" w:hRule="atLeast"/>
        </w:trPr>
        <w:tc>
          <w:tcPr>
            <w:tcW w:w="391"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3#</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平均值</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0.090</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0.088</w:t>
            </w:r>
          </w:p>
        </w:tc>
        <w:tc>
          <w:tcPr>
            <w:tcW w:w="52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0.090</w:t>
            </w:r>
          </w:p>
        </w:tc>
        <w:tc>
          <w:tcPr>
            <w:tcW w:w="52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0.090</w:t>
            </w:r>
          </w:p>
        </w:tc>
        <w:tc>
          <w:tcPr>
            <w:tcW w:w="43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0.088</w:t>
            </w:r>
          </w:p>
        </w:tc>
        <w:tc>
          <w:tcPr>
            <w:tcW w:w="46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0.091</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0.090</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0.089</w:t>
            </w:r>
          </w:p>
        </w:tc>
      </w:tr>
      <w:tr>
        <w:trPr>
          <w:trHeight w:val="270" w:hRule="atLeast"/>
        </w:trPr>
        <w:tc>
          <w:tcPr>
            <w:tcW w:w="391" w:type="pct"/>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inorEastAsia" w:hAnsiTheme="minorEastAsia"/>
              </w:rPr>
            </w:pP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标准偏差</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0.0014</w:t>
            </w:r>
          </w:p>
        </w:tc>
        <w:tc>
          <w:tcPr>
            <w:tcW w:w="54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0.0017</w:t>
            </w:r>
          </w:p>
        </w:tc>
        <w:tc>
          <w:tcPr>
            <w:tcW w:w="52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0.0011</w:t>
            </w:r>
          </w:p>
        </w:tc>
        <w:tc>
          <w:tcPr>
            <w:tcW w:w="523"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0.0006</w:t>
            </w:r>
          </w:p>
        </w:tc>
        <w:tc>
          <w:tcPr>
            <w:tcW w:w="437"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0.0031</w:t>
            </w:r>
          </w:p>
        </w:tc>
        <w:tc>
          <w:tcPr>
            <w:tcW w:w="460"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0.0030</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0.0007</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0.0011</w:t>
            </w:r>
          </w:p>
        </w:tc>
      </w:tr>
      <w:tr>
        <w:trPr>
          <w:trHeight w:val="270" w:hRule="atLeast"/>
        </w:trPr>
        <w:tc>
          <w:tcPr>
            <w:tcW w:w="391" w:type="pct"/>
            <w:tcBorders>
              <w:top w:val="single" w:color="auto" w:sz="4" w:space="0"/>
              <w:left w:val="single" w:color="auto" w:sz="4" w:space="0"/>
              <w:bottom w:val="nil"/>
              <w:right w:val="single" w:color="auto" w:sz="4" w:space="0"/>
            </w:tcBorders>
            <w:vAlign w:val="center"/>
          </w:tcPr>
          <w:p>
            <w:pPr>
              <w:widowControl/>
              <w:spacing w:line="360" w:lineRule="auto"/>
              <w:ind w:firstLine="105" w:firstLineChars="50"/>
              <w:jc w:val="left"/>
              <w:rPr>
                <w:rFonts w:asciiTheme="minorEastAsia" w:hAnsiTheme="minorEastAsia"/>
              </w:rPr>
            </w:pPr>
            <w:r>
              <w:rPr>
                <w:rFonts w:hint="eastAsia" w:asciiTheme="minorEastAsia" w:hAnsiTheme="minorEastAsia"/>
              </w:rPr>
              <w:t>4#</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平均值</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0.38</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0.37</w:t>
            </w:r>
          </w:p>
        </w:tc>
        <w:tc>
          <w:tcPr>
            <w:tcW w:w="525"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0.38</w:t>
            </w:r>
          </w:p>
        </w:tc>
        <w:tc>
          <w:tcPr>
            <w:tcW w:w="523"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0.38</w:t>
            </w:r>
          </w:p>
        </w:tc>
        <w:tc>
          <w:tcPr>
            <w:tcW w:w="43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0.38</w:t>
            </w:r>
          </w:p>
        </w:tc>
        <w:tc>
          <w:tcPr>
            <w:tcW w:w="460"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0.37</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0.38</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0.37</w:t>
            </w:r>
          </w:p>
        </w:tc>
      </w:tr>
      <w:tr>
        <w:trPr>
          <w:trHeight w:val="482" w:hRule="atLeast"/>
        </w:trPr>
        <w:tc>
          <w:tcPr>
            <w:tcW w:w="391" w:type="pct"/>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inorEastAsia" w:hAnsiTheme="minorEastAsia"/>
              </w:rPr>
            </w:pP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标准偏差</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0.0052</w:t>
            </w:r>
          </w:p>
        </w:tc>
        <w:tc>
          <w:tcPr>
            <w:tcW w:w="54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0.0027</w:t>
            </w:r>
          </w:p>
        </w:tc>
        <w:tc>
          <w:tcPr>
            <w:tcW w:w="525"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0.0075</w:t>
            </w:r>
          </w:p>
        </w:tc>
        <w:tc>
          <w:tcPr>
            <w:tcW w:w="523"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0.0036</w:t>
            </w:r>
          </w:p>
        </w:tc>
        <w:tc>
          <w:tcPr>
            <w:tcW w:w="437"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0.0092</w:t>
            </w:r>
          </w:p>
        </w:tc>
        <w:tc>
          <w:tcPr>
            <w:tcW w:w="460"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0.0050</w:t>
            </w:r>
          </w:p>
        </w:tc>
        <w:tc>
          <w:tcPr>
            <w:tcW w:w="556"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0.0040</w:t>
            </w:r>
          </w:p>
        </w:tc>
        <w:tc>
          <w:tcPr>
            <w:tcW w:w="4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0.0070</w:t>
            </w:r>
          </w:p>
        </w:tc>
      </w:tr>
    </w:tbl>
    <w:p>
      <w:pPr>
        <w:spacing w:beforeLines="50" w:line="360" w:lineRule="auto"/>
        <w:jc w:val="center"/>
        <w:rPr>
          <w:rFonts w:asciiTheme="minorEastAsia" w:hAnsiTheme="minorEastAsia"/>
        </w:rPr>
      </w:pPr>
      <w:r>
        <w:rPr>
          <w:rFonts w:hint="eastAsia" w:asciiTheme="minorEastAsia" w:hAnsiTheme="minorEastAsia"/>
        </w:rPr>
        <w:t>表6冰晶石样品中三氧化二铁含量的测定重复性限和再现性限（%）</w:t>
      </w:r>
    </w:p>
    <w:tbl>
      <w:tblPr>
        <w:tblStyle w:val="10"/>
        <w:tblW w:w="5000" w:type="pct"/>
        <w:jc w:val="center"/>
        <w:tblLayout w:type="autofit"/>
        <w:tblCellMar>
          <w:top w:w="0" w:type="dxa"/>
          <w:left w:w="108" w:type="dxa"/>
          <w:bottom w:w="0" w:type="dxa"/>
          <w:right w:w="108" w:type="dxa"/>
        </w:tblCellMar>
      </w:tblPr>
      <w:tblGrid>
        <w:gridCol w:w="1968"/>
        <w:gridCol w:w="1759"/>
        <w:gridCol w:w="1713"/>
        <w:gridCol w:w="1541"/>
        <w:gridCol w:w="1541"/>
      </w:tblGrid>
      <w:tr>
        <w:trPr>
          <w:trHeight w:val="270" w:hRule="atLeast"/>
          <w:jc w:val="center"/>
        </w:trPr>
        <w:tc>
          <w:tcPr>
            <w:tcW w:w="11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样品名称</w:t>
            </w:r>
          </w:p>
        </w:tc>
        <w:tc>
          <w:tcPr>
            <w:tcW w:w="1032"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1#</w:t>
            </w:r>
          </w:p>
        </w:tc>
        <w:tc>
          <w:tcPr>
            <w:tcW w:w="1005" w:type="pct"/>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2#</w:t>
            </w:r>
          </w:p>
        </w:tc>
        <w:tc>
          <w:tcPr>
            <w:tcW w:w="904"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3#</w:t>
            </w:r>
          </w:p>
        </w:tc>
        <w:tc>
          <w:tcPr>
            <w:tcW w:w="90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4#</w:t>
            </w:r>
          </w:p>
        </w:tc>
      </w:tr>
      <w:tr>
        <w:trPr>
          <w:trHeight w:val="270" w:hRule="atLeast"/>
          <w:jc w:val="center"/>
        </w:trPr>
        <w:tc>
          <w:tcPr>
            <w:tcW w:w="1155"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平均值/%</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0.0090</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0.0271</w:t>
            </w:r>
          </w:p>
        </w:tc>
        <w:tc>
          <w:tcPr>
            <w:tcW w:w="904"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0.0895</w:t>
            </w:r>
          </w:p>
        </w:tc>
        <w:tc>
          <w:tcPr>
            <w:tcW w:w="90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0.373</w:t>
            </w:r>
          </w:p>
        </w:tc>
      </w:tr>
      <w:tr>
        <w:trPr>
          <w:trHeight w:val="270" w:hRule="atLeast"/>
          <w:jc w:val="center"/>
        </w:trPr>
        <w:tc>
          <w:tcPr>
            <w:tcW w:w="1155"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重复性限r/%</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eastAsia" w:eastAsia="宋体" w:asciiTheme="minorEastAsia" w:hAnsiTheme="minorEastAsia"/>
                <w:lang w:eastAsia="zh-CN"/>
              </w:rPr>
            </w:pPr>
            <w:r>
              <w:rPr>
                <w:rFonts w:hint="eastAsia" w:asciiTheme="minorEastAsia" w:hAnsiTheme="minorEastAsia"/>
              </w:rPr>
              <w:t>0.001</w:t>
            </w:r>
            <w:r>
              <w:rPr>
                <w:rFonts w:hint="eastAsia" w:asciiTheme="minorEastAsia" w:hAnsiTheme="minorEastAsia"/>
                <w:lang w:val="en-US" w:eastAsia="zh-CN"/>
              </w:rPr>
              <w:t>5</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0.0016</w:t>
            </w:r>
          </w:p>
        </w:tc>
        <w:tc>
          <w:tcPr>
            <w:tcW w:w="904" w:type="pct"/>
            <w:tcBorders>
              <w:top w:val="single" w:color="auto" w:sz="4" w:space="0"/>
              <w:left w:val="nil"/>
              <w:bottom w:val="single" w:color="auto" w:sz="4" w:space="0"/>
              <w:right w:val="single" w:color="auto" w:sz="4" w:space="0"/>
            </w:tcBorders>
          </w:tcPr>
          <w:p>
            <w:pPr>
              <w:widowControl/>
              <w:spacing w:line="360" w:lineRule="auto"/>
              <w:jc w:val="center"/>
              <w:rPr>
                <w:rFonts w:asciiTheme="minorEastAsia" w:hAnsiTheme="minorEastAsia"/>
              </w:rPr>
            </w:pPr>
            <w:r>
              <w:rPr>
                <w:rFonts w:hint="eastAsia" w:asciiTheme="minorEastAsia" w:hAnsiTheme="minorEastAsia"/>
              </w:rPr>
              <w:t>0.0</w:t>
            </w:r>
            <w:r>
              <w:rPr>
                <w:rFonts w:hint="eastAsia" w:asciiTheme="minorEastAsia" w:hAnsiTheme="minorEastAsia"/>
                <w:lang w:val="en-US" w:eastAsia="zh-CN"/>
              </w:rPr>
              <w:t>1</w:t>
            </w:r>
            <w:r>
              <w:rPr>
                <w:rFonts w:hint="eastAsia" w:asciiTheme="minorEastAsia" w:hAnsiTheme="minorEastAsia"/>
              </w:rPr>
              <w:t>0</w:t>
            </w:r>
          </w:p>
        </w:tc>
        <w:tc>
          <w:tcPr>
            <w:tcW w:w="90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0.018</w:t>
            </w:r>
          </w:p>
        </w:tc>
      </w:tr>
      <w:tr>
        <w:trPr>
          <w:trHeight w:val="270" w:hRule="atLeast"/>
          <w:jc w:val="center"/>
        </w:trPr>
        <w:tc>
          <w:tcPr>
            <w:tcW w:w="1155"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再现性限R/%</w:t>
            </w:r>
          </w:p>
        </w:tc>
        <w:tc>
          <w:tcPr>
            <w:tcW w:w="1032"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hint="default" w:eastAsia="宋体" w:asciiTheme="minorEastAsia" w:hAnsiTheme="minorEastAsia"/>
                <w:lang w:val="en-US" w:eastAsia="zh-CN"/>
              </w:rPr>
            </w:pPr>
            <w:r>
              <w:rPr>
                <w:rFonts w:hint="eastAsia" w:asciiTheme="minorEastAsia" w:hAnsiTheme="minorEastAsia"/>
              </w:rPr>
              <w:t>0.00</w:t>
            </w:r>
            <w:r>
              <w:rPr>
                <w:rFonts w:hint="eastAsia" w:asciiTheme="minorEastAsia" w:hAnsiTheme="minorEastAsia"/>
                <w:lang w:val="en-US" w:eastAsia="zh-CN"/>
              </w:rPr>
              <w:t>20</w:t>
            </w:r>
          </w:p>
        </w:tc>
        <w:tc>
          <w:tcPr>
            <w:tcW w:w="1005" w:type="pct"/>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0.0022</w:t>
            </w:r>
          </w:p>
        </w:tc>
        <w:tc>
          <w:tcPr>
            <w:tcW w:w="904" w:type="pct"/>
            <w:tcBorders>
              <w:top w:val="single" w:color="auto" w:sz="4" w:space="0"/>
              <w:left w:val="nil"/>
              <w:bottom w:val="single" w:color="auto" w:sz="4" w:space="0"/>
              <w:right w:val="single" w:color="auto" w:sz="4" w:space="0"/>
            </w:tcBorders>
          </w:tcPr>
          <w:p>
            <w:pPr>
              <w:widowControl/>
              <w:spacing w:line="360" w:lineRule="auto"/>
              <w:jc w:val="center"/>
              <w:rPr>
                <w:rFonts w:hint="eastAsia" w:eastAsia="宋体" w:asciiTheme="minorEastAsia" w:hAnsiTheme="minorEastAsia"/>
                <w:lang w:eastAsia="zh-CN"/>
              </w:rPr>
            </w:pPr>
            <w:r>
              <w:rPr>
                <w:rFonts w:hint="eastAsia" w:asciiTheme="minorEastAsia" w:hAnsiTheme="minorEastAsia"/>
              </w:rPr>
              <w:t>0.01</w:t>
            </w:r>
            <w:r>
              <w:rPr>
                <w:rFonts w:hint="eastAsia" w:asciiTheme="minorEastAsia" w:hAnsiTheme="minorEastAsia"/>
                <w:lang w:val="en-US" w:eastAsia="zh-CN"/>
              </w:rPr>
              <w:t>5</w:t>
            </w:r>
          </w:p>
        </w:tc>
        <w:tc>
          <w:tcPr>
            <w:tcW w:w="904" w:type="pc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inorEastAsia" w:hAnsiTheme="minorEastAsia"/>
              </w:rPr>
            </w:pPr>
            <w:r>
              <w:rPr>
                <w:rFonts w:hint="eastAsia" w:asciiTheme="minorEastAsia" w:hAnsiTheme="minorEastAsia"/>
              </w:rPr>
              <w:t>0.024</w:t>
            </w:r>
          </w:p>
        </w:tc>
      </w:tr>
    </w:tbl>
    <w:p>
      <w:pPr>
        <w:spacing w:line="360" w:lineRule="auto"/>
        <w:ind w:firstLine="437"/>
        <w:rPr>
          <w:rFonts w:hint="eastAsia" w:eastAsia="宋体"/>
          <w:lang w:eastAsia="zh-CN"/>
        </w:rPr>
      </w:pPr>
      <w:r>
        <w:rPr>
          <w:rFonts w:hint="eastAsia"/>
        </w:rPr>
        <w:t>考虑</w:t>
      </w:r>
      <w:r>
        <w:rPr>
          <w:rFonts w:hint="eastAsia"/>
          <w:lang w:val="en-US" w:eastAsia="zh-CN"/>
        </w:rPr>
        <w:t>数字修约</w:t>
      </w:r>
      <w:r>
        <w:rPr>
          <w:rFonts w:hint="eastAsia"/>
        </w:rPr>
        <w:t>情况将方法的重现性限和再现性限作了调整，见表7和</w:t>
      </w:r>
      <w:r>
        <w:rPr>
          <w:rFonts w:hint="eastAsia"/>
          <w:lang w:val="en-US" w:eastAsia="zh-CN"/>
        </w:rPr>
        <w:t>表</w:t>
      </w:r>
      <w:r>
        <w:rPr>
          <w:rFonts w:hint="eastAsia"/>
        </w:rPr>
        <w:t>8</w:t>
      </w:r>
      <w:r>
        <w:rPr>
          <w:rFonts w:hint="eastAsia"/>
          <w:lang w:eastAsia="zh-CN"/>
        </w:rPr>
        <w:t>。</w:t>
      </w:r>
    </w:p>
    <w:p>
      <w:pPr>
        <w:jc w:val="center"/>
      </w:pPr>
      <w:r>
        <w:rPr>
          <w:rFonts w:hint="eastAsia"/>
        </w:rPr>
        <w:t>表7 重复性限</w:t>
      </w:r>
    </w:p>
    <w:tbl>
      <w:tblPr>
        <w:tblStyle w:val="10"/>
        <w:tblW w:w="4929" w:type="pct"/>
        <w:tblInd w:w="1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751"/>
        <w:gridCol w:w="1751"/>
        <w:gridCol w:w="1620"/>
        <w:gridCol w:w="1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8" w:hRule="atLeast"/>
        </w:trPr>
        <w:tc>
          <w:tcPr>
            <w:tcW w:w="987" w:type="pct"/>
            <w:tcBorders>
              <w:right w:val="single" w:color="auto" w:sz="12" w:space="0"/>
            </w:tcBorders>
            <w:vAlign w:val="center"/>
          </w:tcPr>
          <w:p>
            <w:pPr>
              <w:jc w:val="center"/>
              <w:rPr>
                <w:rFonts w:ascii="宋体" w:hAnsi="宋体"/>
                <w:color w:val="000000"/>
                <w:sz w:val="18"/>
                <w:szCs w:val="18"/>
              </w:rPr>
            </w:pPr>
            <w:r>
              <w:rPr>
                <w:rFonts w:hint="eastAsia" w:ascii="宋体" w:hAnsi="宋体"/>
                <w:i/>
                <w:iCs/>
                <w:sz w:val="18"/>
                <w:szCs w:val="18"/>
              </w:rPr>
              <w:t>ω</w:t>
            </w:r>
            <w:r>
              <w:rPr>
                <w:rFonts w:hint="eastAsia" w:ascii="宋体" w:hAnsi="宋体"/>
                <w:sz w:val="18"/>
                <w:szCs w:val="18"/>
              </w:rPr>
              <w:t>/</w:t>
            </w:r>
            <w:r>
              <w:rPr>
                <w:rFonts w:ascii="宋体" w:hAnsi="宋体"/>
                <w:sz w:val="18"/>
                <w:szCs w:val="18"/>
              </w:rPr>
              <w:t>%</w:t>
            </w:r>
          </w:p>
        </w:tc>
        <w:tc>
          <w:tcPr>
            <w:tcW w:w="1042" w:type="pct"/>
            <w:tcBorders>
              <w:left w:val="single" w:color="auto" w:sz="12" w:space="0"/>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0.0090</w:t>
            </w:r>
          </w:p>
        </w:tc>
        <w:tc>
          <w:tcPr>
            <w:tcW w:w="1042" w:type="pct"/>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0.027</w:t>
            </w:r>
          </w:p>
        </w:tc>
        <w:tc>
          <w:tcPr>
            <w:tcW w:w="964" w:type="pct"/>
            <w:tcBorders>
              <w:tl2br w:val="nil"/>
              <w:tr2bl w:val="nil"/>
            </w:tcBorders>
          </w:tcPr>
          <w:p>
            <w:pPr>
              <w:jc w:val="center"/>
              <w:rPr>
                <w:rFonts w:ascii="宋体" w:hAnsi="宋体"/>
                <w:color w:val="000000"/>
                <w:sz w:val="18"/>
                <w:szCs w:val="18"/>
              </w:rPr>
            </w:pPr>
            <w:r>
              <w:rPr>
                <w:rFonts w:hint="eastAsia" w:ascii="宋体" w:hAnsi="宋体"/>
                <w:color w:val="000000"/>
                <w:sz w:val="18"/>
                <w:szCs w:val="18"/>
              </w:rPr>
              <w:t>0.090</w:t>
            </w:r>
          </w:p>
        </w:tc>
        <w:tc>
          <w:tcPr>
            <w:tcW w:w="964" w:type="pct"/>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987" w:type="pct"/>
            <w:tcBorders>
              <w:right w:val="single" w:color="auto" w:sz="12" w:space="0"/>
            </w:tcBorders>
            <w:vAlign w:val="center"/>
          </w:tcPr>
          <w:p>
            <w:pPr>
              <w:pStyle w:val="18"/>
              <w:widowControl w:val="0"/>
              <w:autoSpaceDE/>
              <w:autoSpaceDN/>
              <w:ind w:firstLine="0" w:firstLineChars="0"/>
              <w:jc w:val="center"/>
              <w:rPr>
                <w:rFonts w:hAnsi="宋体" w:eastAsia="宋体" w:cs="Times New Roman"/>
                <w:color w:val="000000"/>
                <w:sz w:val="18"/>
                <w:szCs w:val="18"/>
              </w:rPr>
            </w:pPr>
            <w:r>
              <w:rPr>
                <w:rFonts w:hAnsi="宋体" w:eastAsia="宋体" w:cs="Times New Roman"/>
                <w:i/>
                <w:iCs/>
                <w:sz w:val="18"/>
                <w:szCs w:val="18"/>
              </w:rPr>
              <w:t>r</w:t>
            </w:r>
            <w:r>
              <w:rPr>
                <w:rFonts w:hint="eastAsia" w:hAnsi="宋体" w:eastAsia="宋体" w:cs="Times New Roman"/>
                <w:sz w:val="18"/>
                <w:szCs w:val="18"/>
              </w:rPr>
              <w:t>/</w:t>
            </w:r>
            <w:r>
              <w:rPr>
                <w:rFonts w:hAnsi="宋体" w:eastAsia="宋体" w:cs="Times New Roman"/>
                <w:sz w:val="18"/>
                <w:szCs w:val="18"/>
              </w:rPr>
              <w:t>%</w:t>
            </w:r>
          </w:p>
        </w:tc>
        <w:tc>
          <w:tcPr>
            <w:tcW w:w="1042" w:type="pct"/>
            <w:tcBorders>
              <w:left w:val="single" w:color="auto" w:sz="12" w:space="0"/>
              <w:tl2br w:val="nil"/>
              <w:tr2bl w:val="nil"/>
            </w:tcBorders>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rPr>
              <w:t>0.001</w:t>
            </w:r>
            <w:r>
              <w:rPr>
                <w:rFonts w:hint="eastAsia" w:ascii="宋体" w:hAnsi="宋体"/>
                <w:color w:val="000000"/>
                <w:sz w:val="18"/>
                <w:szCs w:val="18"/>
                <w:lang w:val="en-US" w:eastAsia="zh-CN"/>
              </w:rPr>
              <w:t>5</w:t>
            </w:r>
          </w:p>
        </w:tc>
        <w:tc>
          <w:tcPr>
            <w:tcW w:w="1042" w:type="pct"/>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0.002</w:t>
            </w:r>
          </w:p>
        </w:tc>
        <w:tc>
          <w:tcPr>
            <w:tcW w:w="964" w:type="pct"/>
            <w:tcBorders>
              <w:tl2br w:val="nil"/>
              <w:tr2bl w:val="nil"/>
            </w:tcBorders>
          </w:tcPr>
          <w:p>
            <w:pPr>
              <w:jc w:val="center"/>
              <w:rPr>
                <w:rFonts w:hint="default" w:ascii="宋体" w:hAnsi="宋体" w:eastAsia="宋体"/>
                <w:color w:val="000000"/>
                <w:sz w:val="18"/>
                <w:szCs w:val="18"/>
                <w:lang w:val="en-US" w:eastAsia="zh-CN"/>
              </w:rPr>
            </w:pPr>
            <w:r>
              <w:rPr>
                <w:rFonts w:hint="eastAsia" w:ascii="宋体" w:hAnsi="宋体"/>
                <w:color w:val="000000"/>
                <w:sz w:val="18"/>
                <w:szCs w:val="18"/>
              </w:rPr>
              <w:t>0.0</w:t>
            </w:r>
            <w:r>
              <w:rPr>
                <w:rFonts w:hint="eastAsia" w:ascii="宋体" w:hAnsi="宋体"/>
                <w:color w:val="000000"/>
                <w:sz w:val="18"/>
                <w:szCs w:val="18"/>
                <w:lang w:val="en-US" w:eastAsia="zh-CN"/>
              </w:rPr>
              <w:t>10</w:t>
            </w:r>
          </w:p>
        </w:tc>
        <w:tc>
          <w:tcPr>
            <w:tcW w:w="964" w:type="pct"/>
            <w:tcBorders>
              <w:tl2br w:val="nil"/>
              <w:tr2bl w:val="nil"/>
            </w:tcBorders>
            <w:vAlign w:val="center"/>
          </w:tcPr>
          <w:p>
            <w:pPr>
              <w:jc w:val="center"/>
              <w:rPr>
                <w:rFonts w:hint="eastAsia" w:ascii="宋体" w:hAnsi="宋体" w:eastAsia="宋体"/>
                <w:color w:val="000000"/>
                <w:sz w:val="18"/>
                <w:szCs w:val="18"/>
                <w:lang w:val="en-US" w:eastAsia="zh-CN"/>
              </w:rPr>
            </w:pPr>
            <w:r>
              <w:rPr>
                <w:rFonts w:hint="eastAsia" w:ascii="宋体" w:hAnsi="宋体"/>
                <w:color w:val="000000"/>
                <w:sz w:val="18"/>
                <w:szCs w:val="18"/>
              </w:rPr>
              <w:t>0.02</w:t>
            </w:r>
          </w:p>
        </w:tc>
      </w:tr>
    </w:tbl>
    <w:p>
      <w:pPr>
        <w:jc w:val="center"/>
      </w:pPr>
      <w:r>
        <w:rPr>
          <w:rFonts w:hint="eastAsia"/>
        </w:rPr>
        <w:t>表8再现性限</w:t>
      </w:r>
    </w:p>
    <w:tbl>
      <w:tblPr>
        <w:tblStyle w:val="10"/>
        <w:tblW w:w="4911" w:type="pct"/>
        <w:tblInd w:w="1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1745"/>
        <w:gridCol w:w="1745"/>
        <w:gridCol w:w="1624"/>
        <w:gridCol w:w="1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975" w:type="pct"/>
            <w:tcBorders>
              <w:right w:val="single" w:color="auto" w:sz="12" w:space="0"/>
            </w:tcBorders>
            <w:vAlign w:val="center"/>
          </w:tcPr>
          <w:p>
            <w:pPr>
              <w:jc w:val="center"/>
              <w:rPr>
                <w:rFonts w:ascii="宋体" w:hAnsi="宋体"/>
                <w:color w:val="000000"/>
                <w:sz w:val="18"/>
                <w:szCs w:val="18"/>
              </w:rPr>
            </w:pPr>
            <w:r>
              <w:rPr>
                <w:rFonts w:hint="eastAsia" w:ascii="宋体" w:hAnsi="宋体"/>
                <w:i/>
                <w:iCs/>
                <w:sz w:val="18"/>
                <w:szCs w:val="18"/>
              </w:rPr>
              <w:t>ω</w:t>
            </w:r>
            <w:r>
              <w:rPr>
                <w:rFonts w:hint="eastAsia" w:ascii="宋体" w:hAnsi="宋体"/>
                <w:sz w:val="18"/>
                <w:szCs w:val="18"/>
              </w:rPr>
              <w:t>/</w:t>
            </w:r>
            <w:r>
              <w:rPr>
                <w:rFonts w:ascii="宋体" w:hAnsi="宋体"/>
                <w:sz w:val="18"/>
                <w:szCs w:val="18"/>
              </w:rPr>
              <w:t>%</w:t>
            </w:r>
          </w:p>
        </w:tc>
        <w:tc>
          <w:tcPr>
            <w:tcW w:w="1042" w:type="pct"/>
            <w:tcBorders>
              <w:left w:val="single" w:color="auto" w:sz="12" w:space="0"/>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0.0090</w:t>
            </w:r>
          </w:p>
        </w:tc>
        <w:tc>
          <w:tcPr>
            <w:tcW w:w="1042" w:type="pct"/>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0.027</w:t>
            </w:r>
          </w:p>
        </w:tc>
        <w:tc>
          <w:tcPr>
            <w:tcW w:w="970" w:type="pct"/>
            <w:tcBorders>
              <w:tl2br w:val="nil"/>
              <w:tr2bl w:val="nil"/>
            </w:tcBorders>
          </w:tcPr>
          <w:p>
            <w:pPr>
              <w:jc w:val="center"/>
              <w:rPr>
                <w:rFonts w:ascii="宋体" w:hAnsi="宋体"/>
                <w:color w:val="000000"/>
                <w:sz w:val="18"/>
                <w:szCs w:val="18"/>
              </w:rPr>
            </w:pPr>
            <w:r>
              <w:rPr>
                <w:rFonts w:hint="eastAsia" w:ascii="宋体" w:hAnsi="宋体"/>
                <w:color w:val="000000"/>
                <w:sz w:val="18"/>
                <w:szCs w:val="18"/>
              </w:rPr>
              <w:t>0.090</w:t>
            </w:r>
          </w:p>
        </w:tc>
        <w:tc>
          <w:tcPr>
            <w:tcW w:w="970" w:type="pct"/>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 w:hRule="atLeast"/>
        </w:trPr>
        <w:tc>
          <w:tcPr>
            <w:tcW w:w="975" w:type="pct"/>
            <w:tcBorders>
              <w:right w:val="single" w:color="auto" w:sz="12" w:space="0"/>
            </w:tcBorders>
            <w:vAlign w:val="center"/>
          </w:tcPr>
          <w:p>
            <w:pPr>
              <w:pStyle w:val="18"/>
              <w:widowControl w:val="0"/>
              <w:autoSpaceDE/>
              <w:autoSpaceDN/>
              <w:ind w:firstLine="0" w:firstLineChars="0"/>
              <w:jc w:val="center"/>
              <w:rPr>
                <w:rFonts w:hAnsi="宋体" w:eastAsia="宋体" w:cs="Times New Roman"/>
                <w:color w:val="000000"/>
                <w:sz w:val="18"/>
                <w:szCs w:val="18"/>
              </w:rPr>
            </w:pPr>
            <w:r>
              <w:rPr>
                <w:rFonts w:hAnsi="宋体" w:eastAsia="宋体" w:cs="Times New Roman"/>
                <w:i/>
                <w:sz w:val="18"/>
                <w:szCs w:val="18"/>
              </w:rPr>
              <w:t>R</w:t>
            </w:r>
            <w:r>
              <w:rPr>
                <w:rFonts w:hint="eastAsia" w:hAnsi="宋体" w:eastAsia="宋体" w:cs="Times New Roman"/>
                <w:sz w:val="18"/>
                <w:szCs w:val="18"/>
              </w:rPr>
              <w:t>/</w:t>
            </w:r>
            <w:r>
              <w:rPr>
                <w:rFonts w:hAnsi="宋体" w:eastAsia="宋体" w:cs="Times New Roman"/>
                <w:sz w:val="18"/>
                <w:szCs w:val="18"/>
              </w:rPr>
              <w:t>%</w:t>
            </w:r>
          </w:p>
        </w:tc>
        <w:tc>
          <w:tcPr>
            <w:tcW w:w="1042" w:type="pct"/>
            <w:tcBorders>
              <w:left w:val="single" w:color="auto" w:sz="12" w:space="0"/>
              <w:tl2br w:val="nil"/>
              <w:tr2bl w:val="nil"/>
            </w:tcBorders>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rPr>
              <w:t>0.00</w:t>
            </w:r>
            <w:r>
              <w:rPr>
                <w:rFonts w:hint="eastAsia" w:ascii="宋体" w:hAnsi="宋体"/>
                <w:color w:val="000000"/>
                <w:sz w:val="18"/>
                <w:szCs w:val="18"/>
                <w:lang w:val="en-US" w:eastAsia="zh-CN"/>
              </w:rPr>
              <w:t>20</w:t>
            </w:r>
          </w:p>
        </w:tc>
        <w:tc>
          <w:tcPr>
            <w:tcW w:w="1042" w:type="pct"/>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0.003</w:t>
            </w:r>
          </w:p>
        </w:tc>
        <w:tc>
          <w:tcPr>
            <w:tcW w:w="970" w:type="pct"/>
            <w:tcBorders>
              <w:tl2br w:val="nil"/>
              <w:tr2bl w:val="nil"/>
            </w:tcBorders>
          </w:tcPr>
          <w:p>
            <w:pPr>
              <w:jc w:val="center"/>
              <w:rPr>
                <w:rFonts w:hint="eastAsia" w:ascii="宋体" w:hAnsi="宋体" w:eastAsia="宋体"/>
                <w:color w:val="000000"/>
                <w:sz w:val="18"/>
                <w:szCs w:val="18"/>
                <w:lang w:val="en-US" w:eastAsia="zh-CN"/>
              </w:rPr>
            </w:pPr>
            <w:r>
              <w:rPr>
                <w:rFonts w:hint="eastAsia" w:ascii="宋体" w:hAnsi="宋体"/>
                <w:color w:val="000000"/>
                <w:sz w:val="18"/>
                <w:szCs w:val="18"/>
              </w:rPr>
              <w:t>0.01</w:t>
            </w:r>
            <w:r>
              <w:rPr>
                <w:rFonts w:hint="eastAsia" w:ascii="宋体" w:hAnsi="宋体"/>
                <w:color w:val="000000"/>
                <w:sz w:val="18"/>
                <w:szCs w:val="18"/>
                <w:lang w:val="en-US" w:eastAsia="zh-CN"/>
              </w:rPr>
              <w:t>5</w:t>
            </w:r>
          </w:p>
        </w:tc>
        <w:tc>
          <w:tcPr>
            <w:tcW w:w="970" w:type="pct"/>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0.03</w:t>
            </w:r>
          </w:p>
        </w:tc>
      </w:tr>
    </w:tbl>
    <w:p>
      <w:pPr>
        <w:spacing w:line="360" w:lineRule="auto"/>
        <w:rPr>
          <w:rFonts w:eastAsia="黑体"/>
          <w:color w:val="000000"/>
          <w:sz w:val="28"/>
          <w:szCs w:val="28"/>
        </w:rPr>
      </w:pPr>
      <w:r>
        <w:rPr>
          <w:rFonts w:hint="eastAsia" w:eastAsia="黑体"/>
          <w:color w:val="000000"/>
          <w:sz w:val="28"/>
          <w:szCs w:val="28"/>
        </w:rPr>
        <w:t xml:space="preserve">四  </w:t>
      </w:r>
      <w:r>
        <w:rPr>
          <w:rFonts w:eastAsia="黑体"/>
          <w:color w:val="000000"/>
          <w:sz w:val="28"/>
          <w:szCs w:val="28"/>
        </w:rPr>
        <w:t>标准中如涉及专利，应由明确的知识产权说明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line="360" w:lineRule="auto"/>
        <w:rPr>
          <w:rFonts w:eastAsia="黑体"/>
          <w:color w:val="000000"/>
          <w:sz w:val="28"/>
          <w:szCs w:val="28"/>
        </w:rPr>
      </w:pPr>
      <w:r>
        <w:rPr>
          <w:rFonts w:hint="eastAsia" w:eastAsia="黑体"/>
          <w:color w:val="000000"/>
          <w:sz w:val="28"/>
          <w:szCs w:val="28"/>
        </w:rPr>
        <w:t>五  预期达到的社会效益等情况</w:t>
      </w:r>
    </w:p>
    <w:p>
      <w:pPr>
        <w:spacing w:line="312" w:lineRule="auto"/>
        <w:ind w:firstLine="315" w:firstLineChars="150"/>
        <w:rPr>
          <w:rFonts w:ascii="宋体" w:hAnsi="宋体"/>
          <w:szCs w:val="21"/>
        </w:rPr>
      </w:pPr>
      <w:r>
        <w:rPr>
          <w:rFonts w:hint="eastAsia" w:ascii="宋体" w:hAnsi="宋体"/>
          <w:szCs w:val="21"/>
        </w:rPr>
        <w:t>（一）项目的必要性简述</w:t>
      </w:r>
    </w:p>
    <w:p>
      <w:pPr>
        <w:spacing w:line="360" w:lineRule="auto"/>
        <w:ind w:firstLine="420" w:firstLineChars="200"/>
        <w:rPr>
          <w:rFonts w:ascii="宋体" w:hAnsi="宋体"/>
          <w:szCs w:val="21"/>
        </w:rPr>
      </w:pPr>
      <w:r>
        <w:rPr>
          <w:rFonts w:hint="eastAsia" w:ascii="宋体" w:hAnsi="宋体"/>
          <w:szCs w:val="21"/>
        </w:rPr>
        <w:t>冰晶石作为电解铝生产中主要的原材料，其产品质量直接关系到电解铝工业中电解效率的大小，关系到吨铝电解能耗的高低和电解铝产品质量的优劣。 随着我国对落后产能的淘汰以及全球对环境保护关注以及监控力度的加大，不管是从电解铝行业还是氟化盐行业出发，调整产业结构，提高符合循环经济发展要求的产品质量都是发展趋势。准确测定冰晶石中三氧化二铁含量不仅是保证产品质量的一个重要手段，也是氟化盐行业未来推进技术进步、合理选择生产工艺，实现资源可持续利用的重要保证。我国现行的冰晶石中三氧化二铁含量的测定标准是</w:t>
      </w:r>
      <w:r>
        <w:rPr>
          <w:rFonts w:hint="eastAsia" w:ascii="宋体" w:hAnsi="宋体" w:cs="宋体"/>
          <w:color w:val="000000"/>
          <w:kern w:val="0"/>
          <w:szCs w:val="21"/>
        </w:rPr>
        <w:t>YS/T 273.7-2006，该标准是我国在2006年发布，该标准实施至今已十多年了。</w:t>
      </w:r>
      <w:r>
        <w:rPr>
          <w:rFonts w:hint="eastAsia" w:ascii="宋体" w:hAnsi="宋体"/>
          <w:szCs w:val="21"/>
        </w:rPr>
        <w:t>对于YS/T273.7部分中三氧化二铁含量的测定，现标准中三氧化二铁的测定范围是小于等于0.25%，已不能满足当前冰晶石产品中三氧化二铁含量的测试要求。国际标准ISO</w:t>
      </w:r>
      <w:r>
        <w:rPr>
          <w:rFonts w:ascii="宋体" w:hAnsi="宋体"/>
          <w:szCs w:val="21"/>
        </w:rPr>
        <w:t xml:space="preserve"> </w:t>
      </w:r>
      <w:r>
        <w:rPr>
          <w:rFonts w:hint="eastAsia" w:ascii="宋体" w:hAnsi="宋体"/>
          <w:szCs w:val="21"/>
        </w:rPr>
        <w:t>ISO</w:t>
      </w:r>
      <w:r>
        <w:rPr>
          <w:rFonts w:hint="eastAsia"/>
          <w:b/>
          <w:bCs/>
          <w:color w:val="404040"/>
          <w:sz w:val="16"/>
          <w:szCs w:val="16"/>
          <w:shd w:val="clear" w:color="auto" w:fill="FFFFFF"/>
        </w:rPr>
        <w:t xml:space="preserve"> </w:t>
      </w:r>
      <w:r>
        <w:rPr>
          <w:rFonts w:hint="eastAsia" w:ascii="宋体" w:hAnsi="宋体"/>
          <w:szCs w:val="21"/>
        </w:rPr>
        <w:t>1694-1976规定了天然和人造冰晶石 铁含量的测定 1,10-菲罗啉光度法。未见美国ASTM、日本JIS等相应的标准。因此，有必要对Y</w:t>
      </w:r>
      <w:r>
        <w:rPr>
          <w:rFonts w:ascii="宋体" w:hAnsi="宋体"/>
          <w:szCs w:val="21"/>
        </w:rPr>
        <w:t>S/T 273.12-2006</w:t>
      </w:r>
      <w:r>
        <w:rPr>
          <w:rFonts w:hint="eastAsia" w:ascii="宋体" w:hAnsi="宋体"/>
          <w:szCs w:val="21"/>
        </w:rPr>
        <w:t>《冰晶石化学分析方法和物理性能测定方法 第7部分：三氧化二铁含量的测定 邻二氮杂菲分光光度法》进行修订，以满足我国冰晶石检测和质量控制的要求。</w:t>
      </w:r>
    </w:p>
    <w:p>
      <w:pPr>
        <w:spacing w:line="312" w:lineRule="auto"/>
        <w:ind w:firstLine="315" w:firstLineChars="150"/>
        <w:rPr>
          <w:rFonts w:ascii="宋体" w:hAnsi="宋体"/>
          <w:szCs w:val="21"/>
        </w:rPr>
      </w:pPr>
      <w:r>
        <w:rPr>
          <w:rFonts w:hint="eastAsia" w:ascii="宋体" w:hAnsi="宋体"/>
          <w:szCs w:val="21"/>
        </w:rPr>
        <w:t>（二）项目的可行性简述</w:t>
      </w:r>
    </w:p>
    <w:p>
      <w:pPr>
        <w:widowControl/>
        <w:spacing w:line="360" w:lineRule="auto"/>
        <w:ind w:firstLine="420" w:firstLineChars="200"/>
        <w:jc w:val="left"/>
        <w:rPr>
          <w:szCs w:val="21"/>
        </w:rPr>
      </w:pPr>
      <w:r>
        <w:rPr>
          <w:rFonts w:hint="eastAsia"/>
          <w:szCs w:val="21"/>
        </w:rPr>
        <w:t>近年来，随着我国原铝产能的提升以及资源综合利用的快速发展，冰晶石产品作为电解铝必要的原材料，其再生冰晶石在市场上已有一定的份额。作为电解铝的原辅材料，其化学成分的准确分析对产品的使用有重要的意义。我国现行的冰晶石中</w:t>
      </w:r>
      <w:r>
        <w:rPr>
          <w:rFonts w:hint="eastAsia" w:ascii="宋体" w:hAnsi="宋体"/>
          <w:szCs w:val="21"/>
        </w:rPr>
        <w:t>三氧化二铁</w:t>
      </w:r>
      <w:r>
        <w:rPr>
          <w:rFonts w:hint="eastAsia"/>
          <w:szCs w:val="21"/>
        </w:rPr>
        <w:t>含量的测定标准是YS/T 273.7-2006，该标准是我国在2006年发布，该标准实施至今已十多年了。</w:t>
      </w:r>
      <w:r>
        <w:rPr>
          <w:rFonts w:hint="eastAsia" w:ascii="宋体" w:hAnsi="宋体"/>
          <w:szCs w:val="21"/>
        </w:rPr>
        <w:t>对于原版标准存在如下问题：</w:t>
      </w:r>
      <w:r>
        <w:rPr>
          <w:rFonts w:hint="eastAsia"/>
          <w:color w:val="000000"/>
          <w:kern w:val="0"/>
          <w:szCs w:val="21"/>
        </w:rPr>
        <w:t>1、</w:t>
      </w:r>
      <w:r>
        <w:rPr>
          <w:rFonts w:hint="eastAsia" w:ascii="宋体" w:hAnsi="宋体"/>
          <w:szCs w:val="21"/>
        </w:rPr>
        <w:t>三氧化二铁</w:t>
      </w:r>
      <w:r>
        <w:rPr>
          <w:rFonts w:hint="eastAsia"/>
          <w:color w:val="000000"/>
          <w:kern w:val="0"/>
          <w:szCs w:val="21"/>
        </w:rPr>
        <w:t>含量的测定范围</w:t>
      </w:r>
      <w:r>
        <w:rPr>
          <w:rFonts w:hint="eastAsia" w:ascii="宋体" w:hAnsi="宋体"/>
          <w:color w:val="000000"/>
          <w:kern w:val="0"/>
          <w:szCs w:val="21"/>
        </w:rPr>
        <w:t>≤</w:t>
      </w:r>
      <w:r>
        <w:rPr>
          <w:rFonts w:hint="eastAsia"/>
          <w:color w:val="000000"/>
          <w:kern w:val="0"/>
          <w:szCs w:val="21"/>
        </w:rPr>
        <w:t>0.25%，一是无法满足当前冰晶石产品中高含量</w:t>
      </w:r>
      <w:r>
        <w:rPr>
          <w:rFonts w:hint="eastAsia" w:ascii="宋体" w:hAnsi="宋体"/>
          <w:szCs w:val="21"/>
        </w:rPr>
        <w:t>三氧化二铁</w:t>
      </w:r>
      <w:r>
        <w:rPr>
          <w:rFonts w:hint="eastAsia"/>
          <w:color w:val="000000"/>
          <w:kern w:val="0"/>
          <w:szCs w:val="21"/>
        </w:rPr>
        <w:t>的测试要求，二是没有规定测定下限。对于</w:t>
      </w:r>
      <w:r>
        <w:rPr>
          <w:rFonts w:hint="eastAsia" w:ascii="宋体" w:hAnsi="宋体"/>
          <w:szCs w:val="21"/>
        </w:rPr>
        <w:t>三氧化二铁</w:t>
      </w:r>
      <w:r>
        <w:rPr>
          <w:rFonts w:hint="eastAsia"/>
          <w:color w:val="000000"/>
          <w:kern w:val="0"/>
          <w:szCs w:val="21"/>
        </w:rPr>
        <w:t>含量低于仪器检出下限的冰晶石，由于不同仪器检出限的不同导致其检测结果报出存在差异。这严重制约了冰晶石中</w:t>
      </w:r>
      <w:r>
        <w:rPr>
          <w:rFonts w:hint="eastAsia" w:ascii="宋体" w:hAnsi="宋体"/>
          <w:szCs w:val="21"/>
        </w:rPr>
        <w:t>三氧化二铁</w:t>
      </w:r>
      <w:r>
        <w:rPr>
          <w:rFonts w:hint="eastAsia"/>
          <w:color w:val="000000"/>
          <w:kern w:val="0"/>
          <w:szCs w:val="21"/>
        </w:rPr>
        <w:t>分析方法在现有市场中的应用。</w:t>
      </w:r>
      <w:r>
        <w:rPr>
          <w:rFonts w:hint="eastAsia" w:ascii="宋体" w:hAnsi="宋体"/>
          <w:color w:val="000000"/>
          <w:szCs w:val="21"/>
        </w:rPr>
        <w:t>本标准根据近年来在工作实践与经验积累的基础上，广泛查阅资料，针对我国近年来冰晶石产品质量变化，经多方调研、总结得出急需对原有分析标准的测定范围及操作方法等需要修订，修订后的标准</w:t>
      </w:r>
      <w:r>
        <w:rPr>
          <w:rFonts w:hint="eastAsia" w:ascii="宋体" w:hAnsi="宋体"/>
          <w:szCs w:val="21"/>
        </w:rPr>
        <w:t>可以更好地控制电解铝生产指标要求和规范冰晶石产品市场需要，使得检测结果更科学、准确、合理地指导生产。</w:t>
      </w:r>
    </w:p>
    <w:p>
      <w:pPr>
        <w:spacing w:line="312" w:lineRule="auto"/>
        <w:ind w:firstLine="315" w:firstLineChars="150"/>
        <w:rPr>
          <w:rFonts w:ascii="宋体" w:hAnsi="宋体"/>
          <w:szCs w:val="21"/>
        </w:rPr>
      </w:pPr>
      <w:r>
        <w:rPr>
          <w:rFonts w:hint="eastAsia" w:ascii="宋体" w:hAnsi="宋体"/>
          <w:szCs w:val="21"/>
        </w:rPr>
        <w:t>（三）标准的先进性、创新性、标准实施后预期产生的经济效益和社会效益</w:t>
      </w:r>
    </w:p>
    <w:p>
      <w:pPr>
        <w:spacing w:line="312" w:lineRule="auto"/>
        <w:ind w:firstLine="420" w:firstLineChars="200"/>
        <w:rPr>
          <w:rFonts w:ascii="宋体" w:hAnsi="宋体"/>
          <w:szCs w:val="21"/>
        </w:rPr>
      </w:pPr>
      <w:r>
        <w:rPr>
          <w:rFonts w:hint="eastAsia" w:ascii="宋体" w:hAnsi="宋体"/>
          <w:color w:val="000000"/>
          <w:szCs w:val="21"/>
        </w:rPr>
        <w:t>本次修订意义：（1）与时俱进地依据当今冰晶石产品质量，制定适合当今产品的范围，使分析标准真正起到规范、引领的指导作用，为当今冰晶石产品服务；（2）</w:t>
      </w:r>
      <w:r>
        <w:rPr>
          <w:rFonts w:hint="eastAsia" w:ascii="宋体" w:hAnsi="宋体"/>
        </w:rPr>
        <w:t>更改了熔剂用量、熔融温度和时间、</w:t>
      </w:r>
      <w:r>
        <w:rPr>
          <w:rFonts w:hint="eastAsia" w:ascii="宋体" w:hAnsi="宋体"/>
          <w:color w:val="000000"/>
        </w:rPr>
        <w:t>调节pH值方法</w:t>
      </w:r>
      <w:r>
        <w:rPr>
          <w:rFonts w:hint="eastAsia" w:ascii="宋体" w:hAnsi="宋体"/>
          <w:color w:val="000000"/>
          <w:szCs w:val="21"/>
        </w:rPr>
        <w:t>，在保证准确度的基础上，为一线操作人员减少操作难度；（3）</w:t>
      </w:r>
      <w:r>
        <w:rPr>
          <w:rFonts w:hint="eastAsia" w:ascii="宋体" w:hAnsi="宋体"/>
        </w:rPr>
        <w:t>修改了部分试剂及试剂配制方法，</w:t>
      </w:r>
      <w:r>
        <w:rPr>
          <w:rFonts w:hint="eastAsia" w:ascii="宋体" w:hAnsi="宋体"/>
          <w:color w:val="000000"/>
          <w:szCs w:val="21"/>
        </w:rPr>
        <w:t>（4）原标准的编辑性文本修改也将进一步增加本标准的严谨度，利于标准及相关检测技术的宣传，提高本标准在铝行业的实际应用程度。</w:t>
      </w:r>
    </w:p>
    <w:p>
      <w:pPr>
        <w:spacing w:line="360" w:lineRule="auto"/>
        <w:rPr>
          <w:rFonts w:eastAsia="黑体"/>
          <w:color w:val="000000"/>
          <w:sz w:val="28"/>
          <w:szCs w:val="28"/>
        </w:rPr>
      </w:pPr>
      <w:r>
        <w:rPr>
          <w:rFonts w:hint="eastAsia" w:eastAsia="黑体"/>
          <w:color w:val="000000"/>
          <w:sz w:val="28"/>
          <w:szCs w:val="28"/>
        </w:rPr>
        <w:t>六  采用国际标准和国外先进标准的情况</w:t>
      </w:r>
    </w:p>
    <w:p>
      <w:pPr>
        <w:spacing w:line="360" w:lineRule="auto"/>
        <w:ind w:firstLine="420" w:firstLineChars="200"/>
        <w:rPr>
          <w:rFonts w:ascii="宋体" w:hAnsi="宋体"/>
          <w:szCs w:val="21"/>
        </w:rPr>
      </w:pPr>
      <w:r>
        <w:rPr>
          <w:rFonts w:hint="eastAsia" w:ascii="宋体" w:hAnsi="宋体"/>
          <w:szCs w:val="21"/>
        </w:rPr>
        <w:t>经查阅，冰晶石中三氧化二铁含量的测定有国际标准ISO</w:t>
      </w:r>
      <w:r>
        <w:rPr>
          <w:rFonts w:hint="eastAsia"/>
          <w:b/>
          <w:bCs/>
          <w:color w:val="404040"/>
          <w:sz w:val="16"/>
          <w:szCs w:val="16"/>
          <w:shd w:val="clear" w:color="auto" w:fill="FFFFFF"/>
        </w:rPr>
        <w:t xml:space="preserve"> </w:t>
      </w:r>
      <w:r>
        <w:rPr>
          <w:rFonts w:hint="eastAsia" w:ascii="宋体" w:hAnsi="宋体"/>
          <w:szCs w:val="21"/>
        </w:rPr>
        <w:t>1694-1976。本部分是YS/T273.7-202X修订部分，</w:t>
      </w:r>
      <w:r>
        <w:rPr>
          <w:rFonts w:hint="eastAsia"/>
          <w:szCs w:val="21"/>
        </w:rPr>
        <w:t>在修订过程中参照了国内、国际相关标准，修订后的</w:t>
      </w:r>
      <w:r>
        <w:rPr>
          <w:rFonts w:hint="eastAsia" w:ascii="宋体" w:hAnsi="宋体"/>
          <w:szCs w:val="21"/>
        </w:rPr>
        <w:t>标准</w:t>
      </w:r>
      <w:r>
        <w:rPr>
          <w:rFonts w:hint="eastAsia"/>
          <w:szCs w:val="21"/>
        </w:rPr>
        <w:t>涉及内容全面、条款详细，</w:t>
      </w:r>
      <w:r>
        <w:rPr>
          <w:rFonts w:hint="eastAsia" w:ascii="宋体" w:hAnsi="宋体"/>
          <w:szCs w:val="21"/>
        </w:rPr>
        <w:t>该标准与其他国家标准、行业标准互为补充、衔接配套，达到国内先进水平。</w:t>
      </w:r>
    </w:p>
    <w:p>
      <w:pPr>
        <w:tabs>
          <w:tab w:val="left" w:pos="426"/>
        </w:tabs>
        <w:spacing w:line="312" w:lineRule="auto"/>
        <w:rPr>
          <w:rFonts w:eastAsia="黑体"/>
          <w:color w:val="000000"/>
          <w:sz w:val="28"/>
          <w:szCs w:val="28"/>
        </w:rPr>
      </w:pPr>
      <w:r>
        <w:rPr>
          <w:rFonts w:hint="eastAsia" w:eastAsia="黑体"/>
          <w:color w:val="000000"/>
          <w:sz w:val="28"/>
          <w:szCs w:val="28"/>
        </w:rPr>
        <w:t>七  与现行相关法律、法规、规章及相关标准，特别是强制性国家标准的协调配套情况</w:t>
      </w:r>
    </w:p>
    <w:p>
      <w:pPr>
        <w:spacing w:line="360" w:lineRule="auto"/>
        <w:ind w:firstLine="420" w:firstLineChars="200"/>
        <w:rPr>
          <w:rFonts w:ascii="宋体" w:hAnsi="宋体"/>
          <w:szCs w:val="21"/>
        </w:rPr>
      </w:pPr>
      <w:r>
        <w:rPr>
          <w:rFonts w:hint="eastAsia" w:ascii="宋体" w:hAnsi="宋体"/>
          <w:szCs w:val="21"/>
        </w:rPr>
        <w:t>本标准与现行标准属于协调一致标准，冰晶石含量的检测是满足现有产品标准的发展需求而修订的，是属于为现有标准服务配套标准。</w:t>
      </w:r>
    </w:p>
    <w:p>
      <w:pPr>
        <w:spacing w:line="360" w:lineRule="auto"/>
        <w:ind w:firstLine="420" w:firstLineChars="200"/>
        <w:rPr>
          <w:rFonts w:ascii="宋体" w:hAnsi="宋体"/>
          <w:szCs w:val="21"/>
        </w:rPr>
      </w:pPr>
      <w:r>
        <w:rPr>
          <w:rFonts w:hint="eastAsia" w:ascii="宋体" w:hAnsi="宋体"/>
          <w:szCs w:val="21"/>
        </w:rPr>
        <w:t>本标准不涉及与任何国家法律、法规、规章及强制国家标准冲突问题，标准的修订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协调。</w:t>
      </w:r>
    </w:p>
    <w:p>
      <w:pPr>
        <w:tabs>
          <w:tab w:val="left" w:pos="426"/>
        </w:tabs>
        <w:spacing w:line="312" w:lineRule="auto"/>
        <w:rPr>
          <w:rFonts w:eastAsia="黑体"/>
          <w:color w:val="000000"/>
          <w:sz w:val="28"/>
          <w:szCs w:val="28"/>
        </w:rPr>
      </w:pPr>
      <w:r>
        <w:rPr>
          <w:rFonts w:hint="eastAsia" w:eastAsia="黑体"/>
          <w:color w:val="000000"/>
          <w:sz w:val="28"/>
          <w:szCs w:val="28"/>
        </w:rPr>
        <w:t>八  重大分歧意见的处理经过和依据</w:t>
      </w:r>
    </w:p>
    <w:p>
      <w:pPr>
        <w:tabs>
          <w:tab w:val="left" w:pos="426"/>
        </w:tabs>
        <w:spacing w:line="312" w:lineRule="auto"/>
        <w:rPr>
          <w:rFonts w:ascii="宋体" w:hAnsi="宋体"/>
          <w:szCs w:val="21"/>
        </w:rPr>
      </w:pPr>
      <w:r>
        <w:rPr>
          <w:rFonts w:hint="eastAsia" w:ascii="宋体" w:hAnsi="宋体"/>
          <w:szCs w:val="21"/>
        </w:rPr>
        <w:t xml:space="preserve">    无</w:t>
      </w:r>
    </w:p>
    <w:p>
      <w:pPr>
        <w:tabs>
          <w:tab w:val="left" w:pos="426"/>
        </w:tabs>
        <w:spacing w:line="312" w:lineRule="auto"/>
        <w:rPr>
          <w:rFonts w:eastAsia="黑体"/>
          <w:color w:val="000000"/>
          <w:sz w:val="28"/>
          <w:szCs w:val="28"/>
        </w:rPr>
      </w:pPr>
      <w:r>
        <w:rPr>
          <w:rFonts w:hint="eastAsia" w:eastAsia="黑体"/>
          <w:color w:val="000000"/>
          <w:sz w:val="28"/>
          <w:szCs w:val="28"/>
        </w:rPr>
        <w:t>九  标准性质的建议说明</w:t>
      </w:r>
    </w:p>
    <w:p>
      <w:pPr>
        <w:spacing w:line="360" w:lineRule="auto"/>
        <w:ind w:firstLine="420" w:firstLineChars="200"/>
        <w:rPr>
          <w:rFonts w:ascii="宋体" w:hAnsi="宋体" w:cs="宋体"/>
          <w:szCs w:val="21"/>
        </w:rPr>
      </w:pPr>
      <w:r>
        <w:rPr>
          <w:rFonts w:hint="eastAsia" w:ascii="宋体" w:hAnsi="宋体"/>
          <w:szCs w:val="21"/>
        </w:rPr>
        <w:t>本标准是YS/T 273《冰晶石化学分析和物理性能测定方法》系列有色标准中的一部分，建议本标准为推荐性有色</w:t>
      </w:r>
      <w:r>
        <w:rPr>
          <w:rFonts w:hint="eastAsia" w:ascii="宋体" w:hAnsi="宋体" w:cs="宋体"/>
          <w:szCs w:val="21"/>
        </w:rPr>
        <w:t>行业标准。</w:t>
      </w:r>
    </w:p>
    <w:p>
      <w:pPr>
        <w:tabs>
          <w:tab w:val="left" w:pos="426"/>
        </w:tabs>
        <w:spacing w:line="312" w:lineRule="auto"/>
        <w:rPr>
          <w:rFonts w:eastAsia="黑体"/>
          <w:color w:val="000000"/>
          <w:sz w:val="28"/>
          <w:szCs w:val="28"/>
        </w:rPr>
      </w:pPr>
      <w:r>
        <w:rPr>
          <w:rFonts w:hint="eastAsia" w:eastAsia="黑体"/>
          <w:color w:val="000000"/>
          <w:sz w:val="28"/>
          <w:szCs w:val="28"/>
        </w:rPr>
        <w:t>十  贯彻标准的要求和措施建议</w:t>
      </w:r>
    </w:p>
    <w:p>
      <w:pPr>
        <w:tabs>
          <w:tab w:val="left" w:pos="525"/>
        </w:tabs>
        <w:spacing w:line="360" w:lineRule="auto"/>
        <w:ind w:firstLine="465"/>
        <w:outlineLvl w:val="0"/>
        <w:rPr>
          <w:rFonts w:ascii="宋体" w:hAnsi="宋体"/>
          <w:szCs w:val="21"/>
        </w:rPr>
      </w:pPr>
      <w:r>
        <w:rPr>
          <w:rFonts w:hint="eastAsia" w:ascii="宋体" w:hAnsi="宋体"/>
          <w:szCs w:val="21"/>
        </w:rPr>
        <w:t>建议相关部门组织贯彻本标准的实施，采取有效措施向冰晶石产品的设计、生产、应用单位以及有关的检测机构宣贯本标准。建议本标准尽快发布，各相关单位及科研院所尽快开始执行本标准。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ascii="宋体" w:hAnsi="宋体"/>
          <w:szCs w:val="21"/>
        </w:rPr>
      </w:pPr>
      <w:r>
        <w:rPr>
          <w:rFonts w:hint="eastAsia" w:ascii="宋体" w:hAnsi="宋体"/>
          <w:szCs w:val="21"/>
        </w:rPr>
        <w:t>组织措施：建议由国家标准化管理委员会组织贯彻本标准的相关活动，利用各种条件，如工作组活动、标委会管理及活动、标准化技术期刊刊登、相关官网网上发布等。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ascii="宋体" w:hAnsi="宋体"/>
          <w:szCs w:val="21"/>
        </w:rPr>
      </w:pPr>
      <w:r>
        <w:rPr>
          <w:rFonts w:hint="eastAsia" w:ascii="宋体" w:hAnsi="宋体"/>
          <w:szCs w:val="21"/>
        </w:rPr>
        <w:t>技术措施：通过专家培训、技术交流等措施进行宣贯执行。</w:t>
      </w:r>
    </w:p>
    <w:p>
      <w:pPr>
        <w:tabs>
          <w:tab w:val="left" w:pos="525"/>
        </w:tabs>
        <w:spacing w:line="360" w:lineRule="auto"/>
        <w:ind w:firstLine="465"/>
        <w:outlineLvl w:val="0"/>
        <w:rPr>
          <w:rFonts w:ascii="宋体" w:hAnsi="宋体"/>
          <w:szCs w:val="21"/>
        </w:rPr>
      </w:pPr>
      <w:r>
        <w:rPr>
          <w:rFonts w:hint="eastAsia" w:ascii="宋体" w:hAnsi="宋体"/>
          <w:szCs w:val="21"/>
        </w:rPr>
        <w:t>过渡办法：无。</w:t>
      </w:r>
    </w:p>
    <w:p>
      <w:pPr>
        <w:tabs>
          <w:tab w:val="left" w:pos="426"/>
        </w:tabs>
        <w:spacing w:line="312" w:lineRule="auto"/>
        <w:rPr>
          <w:rFonts w:eastAsia="黑体"/>
          <w:color w:val="000000"/>
          <w:sz w:val="28"/>
          <w:szCs w:val="28"/>
        </w:rPr>
      </w:pPr>
      <w:r>
        <w:rPr>
          <w:rFonts w:hint="eastAsia" w:eastAsia="黑体"/>
          <w:color w:val="000000"/>
          <w:sz w:val="28"/>
          <w:szCs w:val="28"/>
        </w:rPr>
        <w:t>十一 废止现行相关标准的建议</w:t>
      </w:r>
    </w:p>
    <w:p>
      <w:pPr>
        <w:spacing w:line="312" w:lineRule="auto"/>
        <w:ind w:firstLine="420" w:firstLineChars="200"/>
        <w:rPr>
          <w:rFonts w:ascii="宋体" w:hAnsi="宋体"/>
          <w:szCs w:val="21"/>
        </w:rPr>
      </w:pPr>
      <w:r>
        <w:rPr>
          <w:rFonts w:hint="eastAsia" w:ascii="宋体" w:hAnsi="宋体"/>
          <w:szCs w:val="21"/>
        </w:rPr>
        <w:t>在本标准发布实施之日起，代替YS/T 273.7-2006。</w:t>
      </w:r>
    </w:p>
    <w:p>
      <w:pPr>
        <w:tabs>
          <w:tab w:val="left" w:pos="426"/>
        </w:tabs>
        <w:spacing w:line="312" w:lineRule="auto"/>
        <w:rPr>
          <w:rFonts w:eastAsia="黑体"/>
          <w:color w:val="000000"/>
          <w:sz w:val="28"/>
          <w:szCs w:val="28"/>
        </w:rPr>
      </w:pPr>
      <w:r>
        <w:rPr>
          <w:rFonts w:hint="eastAsia" w:eastAsia="黑体"/>
          <w:color w:val="000000"/>
          <w:sz w:val="28"/>
          <w:szCs w:val="28"/>
        </w:rPr>
        <w:t>十二 其他应予说明的事项</w:t>
      </w:r>
    </w:p>
    <w:p>
      <w:pPr>
        <w:spacing w:line="360" w:lineRule="auto"/>
        <w:rPr>
          <w:color w:val="000000"/>
          <w:sz w:val="24"/>
        </w:rPr>
      </w:pPr>
      <w:r>
        <w:rPr>
          <w:rFonts w:hint="eastAsia"/>
          <w:color w:val="000000"/>
          <w:sz w:val="24"/>
        </w:rPr>
        <w:t xml:space="preserve">    无</w:t>
      </w:r>
    </w:p>
    <w:p>
      <w:pPr>
        <w:pStyle w:val="8"/>
        <w:spacing w:line="360" w:lineRule="auto"/>
        <w:rPr>
          <w:color w:val="000000"/>
          <w:sz w:val="24"/>
          <w:lang w:eastAsia="zh-CN"/>
        </w:rPr>
      </w:pPr>
    </w:p>
    <w:p>
      <w:pPr>
        <w:pStyle w:val="8"/>
        <w:spacing w:line="360" w:lineRule="auto"/>
        <w:ind w:left="0" w:leftChars="0" w:right="360" w:firstLine="1928" w:firstLineChars="800"/>
        <w:jc w:val="right"/>
        <w:rPr>
          <w:b/>
          <w:color w:val="000000"/>
          <w:sz w:val="24"/>
          <w:lang w:eastAsia="zh-CN"/>
        </w:rPr>
      </w:pPr>
      <w:r>
        <w:rPr>
          <w:rFonts w:hint="eastAsia"/>
          <w:b/>
          <w:color w:val="000000"/>
          <w:sz w:val="24"/>
          <w:lang w:eastAsia="zh-CN"/>
        </w:rPr>
        <w:t>《冰晶石化学分析方法和物理性能》行业</w:t>
      </w:r>
      <w:r>
        <w:rPr>
          <w:b/>
          <w:color w:val="000000"/>
          <w:sz w:val="24"/>
          <w:lang w:eastAsia="zh-CN"/>
        </w:rPr>
        <w:t>标准编制小组</w:t>
      </w:r>
    </w:p>
    <w:p>
      <w:pPr>
        <w:widowControl/>
        <w:spacing w:beforeLines="50"/>
        <w:ind w:firstLine="6987" w:firstLineChars="2900"/>
        <w:jc w:val="left"/>
        <w:rPr>
          <w:rFonts w:hint="eastAsia" w:eastAsia="宋体"/>
          <w:lang w:eastAsia="zh-CN"/>
        </w:rPr>
      </w:pPr>
      <w:r>
        <w:rPr>
          <w:b/>
          <w:color w:val="000000"/>
          <w:sz w:val="24"/>
        </w:rPr>
        <w:t>202</w:t>
      </w:r>
      <w:r>
        <w:rPr>
          <w:rFonts w:hint="eastAsia"/>
          <w:b/>
          <w:color w:val="000000"/>
          <w:sz w:val="24"/>
        </w:rPr>
        <w:t>3-</w:t>
      </w:r>
      <w:r>
        <w:rPr>
          <w:rFonts w:hint="eastAsia"/>
          <w:b/>
          <w:color w:val="000000"/>
          <w:sz w:val="24"/>
          <w:lang w:val="en-US" w:eastAsia="zh-CN"/>
        </w:rPr>
        <w:t>8</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auto"/>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CD1BAA"/>
    <w:multiLevelType w:val="singleLevel"/>
    <w:tmpl w:val="33CD1B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289C"/>
    <w:rsid w:val="00002625"/>
    <w:rsid w:val="00011D2F"/>
    <w:rsid w:val="00012182"/>
    <w:rsid w:val="00040945"/>
    <w:rsid w:val="000459EC"/>
    <w:rsid w:val="00055012"/>
    <w:rsid w:val="00064ADB"/>
    <w:rsid w:val="000708F9"/>
    <w:rsid w:val="00080E4C"/>
    <w:rsid w:val="000B374B"/>
    <w:rsid w:val="000E4D61"/>
    <w:rsid w:val="000F4D67"/>
    <w:rsid w:val="00102F77"/>
    <w:rsid w:val="00106554"/>
    <w:rsid w:val="00112200"/>
    <w:rsid w:val="001649DB"/>
    <w:rsid w:val="0017232D"/>
    <w:rsid w:val="00182C4A"/>
    <w:rsid w:val="001D6E08"/>
    <w:rsid w:val="001F6571"/>
    <w:rsid w:val="0020146F"/>
    <w:rsid w:val="0021677A"/>
    <w:rsid w:val="002208DC"/>
    <w:rsid w:val="0022394E"/>
    <w:rsid w:val="0025006D"/>
    <w:rsid w:val="0025478A"/>
    <w:rsid w:val="00262ED5"/>
    <w:rsid w:val="00263B73"/>
    <w:rsid w:val="002679D3"/>
    <w:rsid w:val="002A50E4"/>
    <w:rsid w:val="002B32E3"/>
    <w:rsid w:val="002D180E"/>
    <w:rsid w:val="00347076"/>
    <w:rsid w:val="003726AE"/>
    <w:rsid w:val="00386F06"/>
    <w:rsid w:val="003C5AA3"/>
    <w:rsid w:val="003D6A5A"/>
    <w:rsid w:val="003E4714"/>
    <w:rsid w:val="003E4789"/>
    <w:rsid w:val="0041616B"/>
    <w:rsid w:val="004353FC"/>
    <w:rsid w:val="004A6D68"/>
    <w:rsid w:val="004E05FC"/>
    <w:rsid w:val="004F78A1"/>
    <w:rsid w:val="004F7F0D"/>
    <w:rsid w:val="0051337F"/>
    <w:rsid w:val="005218F7"/>
    <w:rsid w:val="00526E48"/>
    <w:rsid w:val="005307BE"/>
    <w:rsid w:val="00541E0F"/>
    <w:rsid w:val="00574B37"/>
    <w:rsid w:val="0059047D"/>
    <w:rsid w:val="005A13CF"/>
    <w:rsid w:val="005C1E96"/>
    <w:rsid w:val="005C339D"/>
    <w:rsid w:val="005D3B51"/>
    <w:rsid w:val="005F0F12"/>
    <w:rsid w:val="005F1265"/>
    <w:rsid w:val="0060455D"/>
    <w:rsid w:val="0060777F"/>
    <w:rsid w:val="00620744"/>
    <w:rsid w:val="00626F2C"/>
    <w:rsid w:val="00641BA8"/>
    <w:rsid w:val="006513DF"/>
    <w:rsid w:val="006B6632"/>
    <w:rsid w:val="006B717E"/>
    <w:rsid w:val="006C0104"/>
    <w:rsid w:val="006E09A2"/>
    <w:rsid w:val="006E62E6"/>
    <w:rsid w:val="00712E8F"/>
    <w:rsid w:val="0072386F"/>
    <w:rsid w:val="007273B8"/>
    <w:rsid w:val="00781715"/>
    <w:rsid w:val="007A471B"/>
    <w:rsid w:val="007A59F8"/>
    <w:rsid w:val="007E79D6"/>
    <w:rsid w:val="007F2398"/>
    <w:rsid w:val="007F6A71"/>
    <w:rsid w:val="008132B7"/>
    <w:rsid w:val="008247FE"/>
    <w:rsid w:val="0083375E"/>
    <w:rsid w:val="008376AE"/>
    <w:rsid w:val="008518FC"/>
    <w:rsid w:val="008855A0"/>
    <w:rsid w:val="00895BBB"/>
    <w:rsid w:val="00895E58"/>
    <w:rsid w:val="008B4FC8"/>
    <w:rsid w:val="008C163F"/>
    <w:rsid w:val="008C2C3A"/>
    <w:rsid w:val="008D0DB4"/>
    <w:rsid w:val="008E7A05"/>
    <w:rsid w:val="00902795"/>
    <w:rsid w:val="00905147"/>
    <w:rsid w:val="00921545"/>
    <w:rsid w:val="0092289C"/>
    <w:rsid w:val="00981480"/>
    <w:rsid w:val="0098239D"/>
    <w:rsid w:val="00996D5E"/>
    <w:rsid w:val="009979C9"/>
    <w:rsid w:val="009C4256"/>
    <w:rsid w:val="009D4F62"/>
    <w:rsid w:val="009D7E67"/>
    <w:rsid w:val="00A07D61"/>
    <w:rsid w:val="00A266F9"/>
    <w:rsid w:val="00A74D23"/>
    <w:rsid w:val="00AA5FA9"/>
    <w:rsid w:val="00AB2AE5"/>
    <w:rsid w:val="00AB4427"/>
    <w:rsid w:val="00AB492B"/>
    <w:rsid w:val="00AE7A27"/>
    <w:rsid w:val="00B0311B"/>
    <w:rsid w:val="00B060C2"/>
    <w:rsid w:val="00B06DF7"/>
    <w:rsid w:val="00B3112F"/>
    <w:rsid w:val="00B633CF"/>
    <w:rsid w:val="00B82585"/>
    <w:rsid w:val="00B854C4"/>
    <w:rsid w:val="00B95304"/>
    <w:rsid w:val="00BC3553"/>
    <w:rsid w:val="00BC5D9D"/>
    <w:rsid w:val="00BD129B"/>
    <w:rsid w:val="00BF7C41"/>
    <w:rsid w:val="00C02A40"/>
    <w:rsid w:val="00C22F71"/>
    <w:rsid w:val="00C370F2"/>
    <w:rsid w:val="00C470F0"/>
    <w:rsid w:val="00C5633C"/>
    <w:rsid w:val="00C77DD2"/>
    <w:rsid w:val="00C8350E"/>
    <w:rsid w:val="00CA333B"/>
    <w:rsid w:val="00CA6626"/>
    <w:rsid w:val="00CB13F5"/>
    <w:rsid w:val="00CD006F"/>
    <w:rsid w:val="00CE5815"/>
    <w:rsid w:val="00D018D4"/>
    <w:rsid w:val="00D1656C"/>
    <w:rsid w:val="00D2193C"/>
    <w:rsid w:val="00D2466B"/>
    <w:rsid w:val="00D36D4E"/>
    <w:rsid w:val="00D44C38"/>
    <w:rsid w:val="00D57CCB"/>
    <w:rsid w:val="00D67F40"/>
    <w:rsid w:val="00D72C1E"/>
    <w:rsid w:val="00D74DCF"/>
    <w:rsid w:val="00D76442"/>
    <w:rsid w:val="00DC10BC"/>
    <w:rsid w:val="00DD0F3F"/>
    <w:rsid w:val="00DE6528"/>
    <w:rsid w:val="00E02CA7"/>
    <w:rsid w:val="00E052C2"/>
    <w:rsid w:val="00E10A79"/>
    <w:rsid w:val="00E371BF"/>
    <w:rsid w:val="00E45B56"/>
    <w:rsid w:val="00E85A62"/>
    <w:rsid w:val="00E967FC"/>
    <w:rsid w:val="00EB4CC7"/>
    <w:rsid w:val="00EC2C39"/>
    <w:rsid w:val="00EC4718"/>
    <w:rsid w:val="00EC6652"/>
    <w:rsid w:val="00ED3C3C"/>
    <w:rsid w:val="00ED443E"/>
    <w:rsid w:val="00ED4B3B"/>
    <w:rsid w:val="00EE6838"/>
    <w:rsid w:val="00F04853"/>
    <w:rsid w:val="00F0703C"/>
    <w:rsid w:val="00F41FA8"/>
    <w:rsid w:val="00F7544E"/>
    <w:rsid w:val="00F84BAA"/>
    <w:rsid w:val="00F855EB"/>
    <w:rsid w:val="00F92614"/>
    <w:rsid w:val="00F93B22"/>
    <w:rsid w:val="00FB49F8"/>
    <w:rsid w:val="00FC0FE7"/>
    <w:rsid w:val="00FE169B"/>
    <w:rsid w:val="00FF4600"/>
    <w:rsid w:val="04680D84"/>
    <w:rsid w:val="0D2003ED"/>
    <w:rsid w:val="1A722EA9"/>
    <w:rsid w:val="297A7389"/>
    <w:rsid w:val="304C0433"/>
    <w:rsid w:val="33BA04B6"/>
    <w:rsid w:val="393A6895"/>
    <w:rsid w:val="3F0E22A3"/>
    <w:rsid w:val="46946462"/>
    <w:rsid w:val="52BA7969"/>
    <w:rsid w:val="59EF41F8"/>
    <w:rsid w:val="5AA9417B"/>
    <w:rsid w:val="5CA3673B"/>
    <w:rsid w:val="61C810F0"/>
    <w:rsid w:val="63181460"/>
    <w:rsid w:val="73FB20F7"/>
    <w:rsid w:val="77136BC1"/>
    <w:rsid w:val="77AD7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he-IL"/>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unhideWhenUsed/>
    <w:uiPriority w:val="99"/>
    <w:pPr>
      <w:jc w:val="left"/>
    </w:pPr>
  </w:style>
  <w:style w:type="paragraph" w:styleId="3">
    <w:name w:val="Plain Text"/>
    <w:basedOn w:val="1"/>
    <w:link w:val="16"/>
    <w:qFormat/>
    <w:uiPriority w:val="0"/>
    <w:rPr>
      <w:rFonts w:ascii="宋体" w:hAnsi="Courier New" w:cstheme="minorBidi"/>
      <w:szCs w:val="20"/>
      <w:lang w:bidi="ar-SA"/>
    </w:rPr>
  </w:style>
  <w:style w:type="paragraph" w:styleId="4">
    <w:name w:val="Date"/>
    <w:basedOn w:val="1"/>
    <w:next w:val="1"/>
    <w:link w:val="19"/>
    <w:uiPriority w:val="0"/>
    <w:pPr>
      <w:ind w:left="2500" w:leftChars="2500"/>
    </w:pPr>
    <w:rPr>
      <w:sz w:val="28"/>
      <w:lang w:bidi="ar-SA"/>
    </w:rPr>
  </w:style>
  <w:style w:type="paragraph" w:styleId="5">
    <w:name w:val="Balloon Text"/>
    <w:basedOn w:val="1"/>
    <w:link w:val="21"/>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4"/>
    <w:uiPriority w:val="0"/>
    <w:pPr>
      <w:spacing w:after="120"/>
      <w:ind w:left="420" w:leftChars="200"/>
    </w:pPr>
    <w:rPr>
      <w:rFonts w:ascii="Verdana" w:hAnsi="Verdana"/>
      <w:sz w:val="16"/>
      <w:szCs w:val="16"/>
      <w:lang w:eastAsia="en-US" w:bidi="ar-SA"/>
    </w:rPr>
  </w:style>
  <w:style w:type="paragraph" w:styleId="9">
    <w:name w:val="annotation subject"/>
    <w:basedOn w:val="2"/>
    <w:next w:val="2"/>
    <w:link w:val="23"/>
    <w:semiHidden/>
    <w:unhideWhenUsed/>
    <w:uiPriority w:val="99"/>
    <w:rPr>
      <w:b/>
      <w:bCs/>
    </w:rPr>
  </w:style>
  <w:style w:type="table" w:styleId="11">
    <w:name w:val="Table Grid"/>
    <w:basedOn w:val="10"/>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uiPriority w:val="99"/>
    <w:rPr>
      <w:sz w:val="21"/>
      <w:szCs w:val="21"/>
    </w:rPr>
  </w:style>
  <w:style w:type="character" w:customStyle="1" w:styleId="14">
    <w:name w:val="页眉 Char"/>
    <w:basedOn w:val="12"/>
    <w:link w:val="7"/>
    <w:qFormat/>
    <w:uiPriority w:val="99"/>
    <w:rPr>
      <w:sz w:val="18"/>
      <w:szCs w:val="18"/>
    </w:rPr>
  </w:style>
  <w:style w:type="character" w:customStyle="1" w:styleId="15">
    <w:name w:val="页脚 Char"/>
    <w:basedOn w:val="12"/>
    <w:link w:val="6"/>
    <w:uiPriority w:val="99"/>
    <w:rPr>
      <w:sz w:val="18"/>
      <w:szCs w:val="18"/>
    </w:rPr>
  </w:style>
  <w:style w:type="character" w:customStyle="1" w:styleId="16">
    <w:name w:val="纯文本 Char"/>
    <w:link w:val="3"/>
    <w:qFormat/>
    <w:locked/>
    <w:uiPriority w:val="0"/>
    <w:rPr>
      <w:rFonts w:ascii="宋体" w:hAnsi="Courier New" w:eastAsia="宋体"/>
      <w:szCs w:val="20"/>
    </w:rPr>
  </w:style>
  <w:style w:type="character" w:customStyle="1" w:styleId="17">
    <w:name w:val="段 Char"/>
    <w:link w:val="18"/>
    <w:qFormat/>
    <w:uiPriority w:val="0"/>
    <w:rPr>
      <w:rFonts w:ascii="宋体" w:hAnsi="Verdana"/>
      <w:kern w:val="0"/>
      <w:szCs w:val="20"/>
    </w:rPr>
  </w:style>
  <w:style w:type="paragraph" w:customStyle="1" w:styleId="18">
    <w:name w:val="段"/>
    <w:link w:val="17"/>
    <w:qFormat/>
    <w:uiPriority w:val="0"/>
    <w:pPr>
      <w:autoSpaceDE w:val="0"/>
      <w:autoSpaceDN w:val="0"/>
      <w:ind w:firstLine="200" w:firstLineChars="200"/>
      <w:jc w:val="both"/>
    </w:pPr>
    <w:rPr>
      <w:rFonts w:ascii="宋体" w:hAnsi="Verdana" w:eastAsiaTheme="minorEastAsia" w:cstheme="minorBidi"/>
      <w:sz w:val="21"/>
      <w:lang w:val="en-US" w:eastAsia="zh-CN" w:bidi="ar-SA"/>
    </w:rPr>
  </w:style>
  <w:style w:type="character" w:customStyle="1" w:styleId="19">
    <w:name w:val="日期 Char"/>
    <w:basedOn w:val="12"/>
    <w:link w:val="4"/>
    <w:uiPriority w:val="0"/>
    <w:rPr>
      <w:rFonts w:ascii="Calibri" w:hAnsi="Calibri" w:eastAsia="宋体" w:cs="Times New Roman"/>
      <w:sz w:val="28"/>
      <w:szCs w:val="24"/>
    </w:rPr>
  </w:style>
  <w:style w:type="character" w:customStyle="1" w:styleId="20">
    <w:name w:val="纯文本 Char1"/>
    <w:basedOn w:val="12"/>
    <w:semiHidden/>
    <w:uiPriority w:val="99"/>
    <w:rPr>
      <w:rFonts w:ascii="宋体" w:hAnsi="Courier New" w:eastAsia="宋体" w:cs="Courier New"/>
      <w:szCs w:val="21"/>
      <w:lang w:bidi="he-IL"/>
    </w:rPr>
  </w:style>
  <w:style w:type="character" w:customStyle="1" w:styleId="21">
    <w:name w:val="批注框文本 Char"/>
    <w:basedOn w:val="12"/>
    <w:link w:val="5"/>
    <w:semiHidden/>
    <w:uiPriority w:val="99"/>
    <w:rPr>
      <w:rFonts w:ascii="Calibri" w:hAnsi="Calibri" w:eastAsia="宋体" w:cs="Times New Roman"/>
      <w:kern w:val="2"/>
      <w:sz w:val="18"/>
      <w:szCs w:val="18"/>
      <w:lang w:bidi="he-IL"/>
    </w:rPr>
  </w:style>
  <w:style w:type="character" w:customStyle="1" w:styleId="22">
    <w:name w:val="批注文字 Char"/>
    <w:basedOn w:val="12"/>
    <w:link w:val="2"/>
    <w:semiHidden/>
    <w:uiPriority w:val="99"/>
    <w:rPr>
      <w:rFonts w:ascii="Calibri" w:hAnsi="Calibri" w:eastAsia="宋体" w:cs="Times New Roman"/>
      <w:kern w:val="2"/>
      <w:sz w:val="21"/>
      <w:szCs w:val="24"/>
      <w:lang w:bidi="he-IL"/>
    </w:rPr>
  </w:style>
  <w:style w:type="character" w:customStyle="1" w:styleId="23">
    <w:name w:val="批注主题 Char"/>
    <w:basedOn w:val="22"/>
    <w:link w:val="9"/>
    <w:semiHidden/>
    <w:uiPriority w:val="99"/>
    <w:rPr>
      <w:rFonts w:ascii="Calibri" w:hAnsi="Calibri" w:eastAsia="宋体" w:cs="Times New Roman"/>
      <w:b/>
      <w:bCs/>
      <w:kern w:val="2"/>
      <w:sz w:val="21"/>
      <w:szCs w:val="24"/>
      <w:lang w:bidi="he-IL"/>
    </w:rPr>
  </w:style>
  <w:style w:type="character" w:customStyle="1" w:styleId="24">
    <w:name w:val="正文文本缩进 3 Char"/>
    <w:basedOn w:val="12"/>
    <w:link w:val="8"/>
    <w:uiPriority w:val="0"/>
    <w:rPr>
      <w:rFonts w:ascii="Verdana" w:hAnsi="Verdana" w:eastAsia="宋体" w:cs="Times New Roman"/>
      <w:kern w:val="2"/>
      <w:sz w:val="16"/>
      <w:szCs w:val="16"/>
      <w:lang w:eastAsia="en-US"/>
    </w:rPr>
  </w:style>
  <w:style w:type="paragraph" w:styleId="2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yy_kyy\My%20Documents\&#20912;&#26230;&#30707;&#34892;&#19994;&#26631;&#20934;\&#20912;&#26230;&#30707;&#20013;&#38081;&#30340;&#27979;&#23450;\&#20912;&#26230;&#30707;&#20013;&#38081;&#30340;&#27979;&#2345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cmpd="sng" algn="ctr">
              <a:no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trendline>
            <c:spPr>
              <a:ln w="19050" cap="rnd" cmpd="sng" algn="ctr">
                <a:solidFill>
                  <a:schemeClr val="accent1"/>
                </a:solidFill>
                <a:prstDash val="sysDot"/>
                <a:round/>
              </a:ln>
              <a:effectLst/>
            </c:spPr>
            <c:trendlineType val="linear"/>
            <c:dispRSqr val="1"/>
            <c:dispEq val="1"/>
            <c:trendlineLbl>
              <c:layout/>
              <c:tx>
                <c:rich>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en-US" baseline="0"/>
                      <a:t>y = 0.001x - 0.005
R² = 0.999</a:t>
                    </a:r>
                    <a:endParaRPr lang="en-US" altLang="en-US"/>
                  </a:p>
                </c:rich>
              </c:tx>
              <c:numFmt formatCode="General" sourceLinked="0"/>
              <c:spPr>
                <a:noFill/>
                <a:ln>
                  <a:noFill/>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trendlineLbl>
          </c:trendline>
          <c:xVal>
            <c:numRef>
              <c:f>标准曲线!$B$21:$B$28</c:f>
              <c:numCache>
                <c:formatCode>General</c:formatCode>
                <c:ptCount val="8"/>
                <c:pt idx="0">
                  <c:v>0</c:v>
                </c:pt>
                <c:pt idx="1" c:formatCode="0_ ">
                  <c:v>5</c:v>
                </c:pt>
                <c:pt idx="2" c:formatCode="0_ ">
                  <c:v>10</c:v>
                </c:pt>
                <c:pt idx="3" c:formatCode="0_ ">
                  <c:v>25</c:v>
                </c:pt>
                <c:pt idx="4" c:formatCode="0_ ">
                  <c:v>50</c:v>
                </c:pt>
                <c:pt idx="5" c:formatCode="0_ ">
                  <c:v>70</c:v>
                </c:pt>
                <c:pt idx="6" c:formatCode="0_ ">
                  <c:v>100</c:v>
                </c:pt>
              </c:numCache>
            </c:numRef>
          </c:xVal>
          <c:yVal>
            <c:numRef>
              <c:f>标准曲线!$C$21:$C$28</c:f>
              <c:numCache>
                <c:formatCode>General</c:formatCode>
                <c:ptCount val="8"/>
                <c:pt idx="0">
                  <c:v>0</c:v>
                </c:pt>
                <c:pt idx="1">
                  <c:v>0.007</c:v>
                </c:pt>
                <c:pt idx="2">
                  <c:v>0.014</c:v>
                </c:pt>
                <c:pt idx="3">
                  <c:v>0.036</c:v>
                </c:pt>
                <c:pt idx="4">
                  <c:v>0.071</c:v>
                </c:pt>
                <c:pt idx="5">
                  <c:v>0.099</c:v>
                </c:pt>
                <c:pt idx="6">
                  <c:v>0.143</c:v>
                </c:pt>
              </c:numCache>
            </c:numRef>
          </c:yVal>
          <c:smooth val="0"/>
        </c:ser>
        <c:dLbls>
          <c:showLegendKey val="0"/>
          <c:showVal val="0"/>
          <c:showCatName val="0"/>
          <c:showSerName val="0"/>
          <c:showPercent val="0"/>
          <c:showBubbleSize val="0"/>
        </c:dLbls>
        <c:axId val="113447680"/>
        <c:axId val="113449600"/>
      </c:scatterChart>
      <c:valAx>
        <c:axId val="113447680"/>
        <c:scaling>
          <c:orientation val="minMax"/>
        </c:scaling>
        <c:delete val="0"/>
        <c:axPos val="b"/>
        <c:title>
          <c:tx>
            <c:rich>
              <a:bodyPr rot="0" spcFirstLastPara="0" vertOverflow="ellipsis" vert="horz" wrap="square" anchor="ctr" anchorCtr="1"/>
              <a:lstStyle/>
              <a:p>
                <a:pPr>
                  <a:defRPr lang="zh-CN" sz="10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sz="1000" b="0" i="0" strike="noStrike">
                    <a:solidFill>
                      <a:srgbClr val="333333"/>
                    </a:solidFill>
                    <a:latin typeface="宋体" panose="02010600030101010101" charset="-122"/>
                    <a:ea typeface="宋体" panose="02010600030101010101" charset="-122"/>
                  </a:rPr>
                  <a:t>三氧化二铁质量</a:t>
                </a:r>
                <a:r>
                  <a:rPr lang="en-US" altLang="zh-CN" sz="1000" b="0" i="0" strike="noStrike">
                    <a:solidFill>
                      <a:srgbClr val="333333"/>
                    </a:solidFill>
                    <a:latin typeface="Calibri" panose="020F0502020204030204"/>
                  </a:rPr>
                  <a:t>/</a:t>
                </a:r>
                <a:r>
                  <a:rPr lang="zh-CN" altLang="en-US" sz="1000" b="0" i="0" strike="noStrike">
                    <a:solidFill>
                      <a:srgbClr val="333333"/>
                    </a:solidFill>
                    <a:latin typeface="宋体" panose="02010600030101010101" charset="-122"/>
                    <a:ea typeface="宋体" panose="02010600030101010101" charset="-122"/>
                  </a:rPr>
                  <a:t>微克</a:t>
                </a:r>
                <a:endParaRPr lang="zh-CN" altLang="en-US"/>
              </a:p>
            </c:rich>
          </c:tx>
          <c:layout>
            <c:manualLayout>
              <c:xMode val="edge"/>
              <c:yMode val="edge"/>
              <c:x val="0.471604166666667"/>
              <c:y val="0.88055555555555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13449600"/>
        <c:crosses val="autoZero"/>
        <c:crossBetween val="midCat"/>
      </c:valAx>
      <c:valAx>
        <c:axId val="113449600"/>
        <c:scaling>
          <c:orientation val="minMax"/>
          <c:min val="0"/>
        </c:scaling>
        <c:delete val="0"/>
        <c:axPos val="l"/>
        <c:title>
          <c:tx>
            <c:rich>
              <a:bodyPr rot="-5400000" spcFirstLastPara="0" vertOverflow="ellipsis" vert="horz" wrap="square" anchor="ctr" anchorCtr="1"/>
              <a:lstStyle/>
              <a:p>
                <a:pPr>
                  <a:defRPr lang="zh-CN" sz="10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吸光度</a:t>
                </a:r>
                <a:endParaRPr lang="zh-CN" altLang="en-US"/>
              </a:p>
            </c:rich>
          </c:tx>
          <c:layout/>
          <c:overlay val="0"/>
          <c:spPr>
            <a:noFill/>
            <a:ln>
              <a:noFill/>
            </a:ln>
            <a:effectLst/>
          </c:spPr>
        </c:title>
        <c:numFmt formatCode="#,##0.00;[Red]\-#,##0.00" sourceLinked="0"/>
        <c:majorTickMark val="none"/>
        <c:minorTickMark val="none"/>
        <c:tickLblPos val="nextTo"/>
        <c:spPr>
          <a:noFill/>
          <a:ln w="9525" cap="flat" cmpd="sng" algn="ctr">
            <a:solidFill>
              <a:schemeClr val="tx1">
                <a:lumMod val="25000"/>
                <a:lumOff val="7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134476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4F6F-8579-4539-BF0D-32F6D3886F2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1333</Words>
  <Characters>7600</Characters>
  <Lines>63</Lines>
  <Paragraphs>17</Paragraphs>
  <TotalTime>50</TotalTime>
  <ScaleCrop>false</ScaleCrop>
  <LinksUpToDate>false</LinksUpToDate>
  <CharactersWithSpaces>8916</CharactersWithSpaces>
  <Application>WPS Office_11.8.2.11023_F1E327BC-269C-435d-A152-05C5408002CA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2023-06-04T08:40:00Z</dcterms:created>
  <dc:creator>费露露</dc:creator>
  <cp:lastModifiedBy>zyy_kyy</cp:lastModifiedBy>
  <dcterms:modified xsi:type="dcterms:W3CDTF">2023-08-10T08:59:38Z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2052-11.8.2.11023</vt:lpwstr>
  </property>
  <property fmtid="{D5CDD505-2E9C-101B-9397-08002B2CF9AE}" pid="3" name="ICV">
    <vt:lpwstr>8FF38E6BD1E843409FB3104E13DC6A42</vt:lpwstr>
  </property>
</Properties>
</file>