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52"/>
          <w:szCs w:val="52"/>
        </w:rPr>
      </w:pPr>
    </w:p>
    <w:p>
      <w:pPr>
        <w:jc w:val="center"/>
        <w:rPr>
          <w:rFonts w:ascii="黑体" w:hAnsi="黑体" w:eastAsia="黑体" w:cs="黑体"/>
          <w:sz w:val="52"/>
          <w:szCs w:val="52"/>
        </w:rPr>
      </w:pPr>
      <w:r>
        <w:rPr>
          <w:rFonts w:hint="eastAsia" w:ascii="黑体" w:hAnsi="黑体" w:eastAsia="黑体" w:cs="黑体"/>
          <w:sz w:val="52"/>
          <w:szCs w:val="52"/>
        </w:rPr>
        <w:t>行业标准</w:t>
      </w:r>
    </w:p>
    <w:p>
      <w:pPr>
        <w:jc w:val="center"/>
        <w:rPr>
          <w:rFonts w:ascii="黑体" w:hAnsi="黑体" w:eastAsia="黑体" w:cs="黑体"/>
          <w:sz w:val="52"/>
          <w:szCs w:val="52"/>
        </w:rPr>
      </w:pPr>
      <w:r>
        <w:rPr>
          <w:rFonts w:hint="eastAsia" w:ascii="黑体" w:hAnsi="黑体" w:eastAsia="黑体" w:cs="黑体"/>
          <w:sz w:val="52"/>
          <w:szCs w:val="52"/>
        </w:rPr>
        <w:t>《湿法冶金铜电积用阳极板》</w:t>
      </w:r>
    </w:p>
    <w:p>
      <w:pPr>
        <w:spacing w:before="312" w:beforeLines="100" w:after="156" w:afterLines="50"/>
        <w:jc w:val="center"/>
        <w:rPr>
          <w:rFonts w:ascii="黑体" w:hAnsi="黑体" w:eastAsia="黑体" w:cs="黑体"/>
          <w:sz w:val="52"/>
          <w:szCs w:val="52"/>
        </w:rPr>
      </w:pPr>
      <w:r>
        <w:rPr>
          <w:rFonts w:hint="eastAsia" w:ascii="黑体" w:hAnsi="黑体" w:eastAsia="黑体" w:cs="黑体"/>
          <w:sz w:val="52"/>
          <w:szCs w:val="52"/>
        </w:rPr>
        <w:t>YS/T1089-2015</w:t>
      </w:r>
    </w:p>
    <w:p>
      <w:pPr>
        <w:spacing w:before="312" w:beforeLines="100" w:after="156" w:afterLines="50"/>
        <w:jc w:val="center"/>
        <w:rPr>
          <w:rFonts w:eastAsia="黑体"/>
          <w:sz w:val="52"/>
          <w:szCs w:val="52"/>
        </w:rPr>
      </w:pPr>
      <w:r>
        <w:rPr>
          <w:rFonts w:eastAsia="黑体"/>
          <w:sz w:val="52"/>
          <w:szCs w:val="52"/>
        </w:rPr>
        <w:t>修订编制说明</w:t>
      </w:r>
    </w:p>
    <w:p>
      <w:pPr>
        <w:spacing w:before="156" w:beforeLines="50" w:after="156" w:afterLines="50"/>
        <w:jc w:val="center"/>
        <w:rPr>
          <w:rFonts w:eastAsia="黑体"/>
          <w:sz w:val="44"/>
        </w:rPr>
      </w:pPr>
    </w:p>
    <w:p>
      <w:pPr>
        <w:spacing w:before="312" w:beforeLines="100" w:after="156" w:afterLines="50"/>
        <w:jc w:val="center"/>
        <w:rPr>
          <w:rFonts w:eastAsia="黑体"/>
          <w:sz w:val="52"/>
          <w:szCs w:val="52"/>
        </w:rPr>
      </w:pPr>
      <w:r>
        <w:rPr>
          <w:rFonts w:hint="eastAsia" w:eastAsia="黑体"/>
          <w:sz w:val="52"/>
          <w:szCs w:val="52"/>
          <w:lang w:val="en-US" w:eastAsia="zh-CN"/>
        </w:rPr>
        <w:t>征求意见</w:t>
      </w:r>
      <w:r>
        <w:rPr>
          <w:rFonts w:eastAsia="黑体"/>
          <w:sz w:val="52"/>
          <w:szCs w:val="52"/>
        </w:rPr>
        <w:t>稿</w:t>
      </w:r>
    </w:p>
    <w:p>
      <w:pPr>
        <w:spacing w:before="312" w:beforeLines="100" w:after="156" w:afterLines="50"/>
        <w:jc w:val="center"/>
        <w:rPr>
          <w:rFonts w:eastAsia="黑体"/>
          <w:sz w:val="44"/>
        </w:rPr>
      </w:pPr>
    </w:p>
    <w:p>
      <w:pPr>
        <w:spacing w:before="312" w:beforeLines="100" w:after="156" w:afterLines="50"/>
        <w:jc w:val="center"/>
        <w:rPr>
          <w:rFonts w:eastAsia="黑体"/>
          <w:sz w:val="52"/>
          <w:szCs w:val="52"/>
        </w:rPr>
      </w:pPr>
    </w:p>
    <w:p>
      <w:pPr>
        <w:spacing w:before="156" w:beforeLines="50" w:after="156" w:afterLines="50"/>
        <w:rPr>
          <w:rFonts w:eastAsia="黑体"/>
        </w:rPr>
      </w:pPr>
    </w:p>
    <w:p>
      <w:pPr>
        <w:spacing w:before="156" w:beforeLines="50" w:after="156" w:afterLines="50"/>
        <w:rPr>
          <w:rFonts w:eastAsia="黑体"/>
        </w:rPr>
      </w:pPr>
    </w:p>
    <w:p>
      <w:pPr>
        <w:spacing w:before="156" w:beforeLines="50" w:after="156" w:afterLines="50"/>
        <w:rPr>
          <w:rFonts w:eastAsia="黑体"/>
        </w:rPr>
      </w:pPr>
    </w:p>
    <w:p>
      <w:pPr>
        <w:spacing w:before="156" w:beforeLines="50" w:after="156" w:afterLines="50"/>
        <w:rPr>
          <w:rFonts w:eastAsia="黑体"/>
        </w:rPr>
      </w:pPr>
    </w:p>
    <w:p>
      <w:pPr>
        <w:spacing w:before="156" w:beforeLines="50" w:after="156" w:afterLines="50"/>
        <w:rPr>
          <w:rFonts w:eastAsia="黑体"/>
        </w:rPr>
      </w:pPr>
    </w:p>
    <w:p>
      <w:pPr>
        <w:spacing w:before="156" w:beforeLines="50" w:after="156" w:afterLines="50"/>
        <w:rPr>
          <w:rFonts w:eastAsia="黑体"/>
        </w:rPr>
      </w:pPr>
    </w:p>
    <w:p>
      <w:pPr>
        <w:jc w:val="center"/>
        <w:rPr>
          <w:rFonts w:ascii="黑体" w:hAnsi="黑体" w:eastAsia="黑体" w:cs="黑体"/>
          <w:b/>
          <w:sz w:val="32"/>
          <w:szCs w:val="32"/>
        </w:rPr>
      </w:pPr>
      <w:r>
        <w:rPr>
          <w:rFonts w:hint="eastAsia" w:ascii="黑体" w:hAnsi="黑体" w:eastAsia="黑体" w:cs="黑体"/>
          <w:b/>
          <w:sz w:val="32"/>
          <w:szCs w:val="32"/>
        </w:rPr>
        <w:t>《</w:t>
      </w:r>
      <w:r>
        <w:rPr>
          <w:rFonts w:hint="eastAsia" w:ascii="黑体" w:hAnsi="黑体" w:eastAsia="黑体" w:cs="黑体"/>
          <w:sz w:val="32"/>
          <w:szCs w:val="32"/>
        </w:rPr>
        <w:t>湿法冶金铜电积用阳极板</w:t>
      </w:r>
      <w:r>
        <w:rPr>
          <w:rFonts w:hint="eastAsia" w:ascii="黑体" w:hAnsi="黑体" w:eastAsia="黑体" w:cs="黑体"/>
          <w:b/>
          <w:sz w:val="32"/>
          <w:szCs w:val="32"/>
        </w:rPr>
        <w:t>》编制组</w:t>
      </w:r>
    </w:p>
    <w:p>
      <w:pPr>
        <w:spacing w:line="360" w:lineRule="auto"/>
        <w:jc w:val="center"/>
        <w:rPr>
          <w:rFonts w:ascii="黑体" w:hAnsi="黑体" w:eastAsia="黑体" w:cs="黑体"/>
          <w:b/>
          <w:sz w:val="32"/>
          <w:szCs w:val="32"/>
        </w:rPr>
      </w:pPr>
      <w:r>
        <w:rPr>
          <w:rFonts w:hint="eastAsia" w:ascii="黑体" w:hAnsi="黑体" w:eastAsia="黑体" w:cs="黑体"/>
          <w:b/>
          <w:sz w:val="32"/>
          <w:szCs w:val="32"/>
        </w:rPr>
        <w:t>202</w:t>
      </w:r>
      <w:r>
        <w:rPr>
          <w:rFonts w:hint="eastAsia" w:ascii="黑体" w:hAnsi="黑体" w:eastAsia="黑体" w:cs="黑体"/>
          <w:b/>
          <w:sz w:val="32"/>
          <w:szCs w:val="32"/>
          <w:lang w:val="en-US" w:eastAsia="zh-CN"/>
        </w:rPr>
        <w:t>3</w:t>
      </w:r>
      <w:r>
        <w:rPr>
          <w:rFonts w:hint="eastAsia" w:ascii="黑体" w:hAnsi="黑体" w:eastAsia="黑体" w:cs="黑体"/>
          <w:b/>
          <w:sz w:val="32"/>
          <w:szCs w:val="32"/>
        </w:rPr>
        <w:t>年</w:t>
      </w:r>
      <w:r>
        <w:rPr>
          <w:rFonts w:hint="eastAsia" w:ascii="黑体" w:hAnsi="黑体" w:eastAsia="黑体" w:cs="黑体"/>
          <w:b/>
          <w:sz w:val="32"/>
          <w:szCs w:val="32"/>
          <w:lang w:val="en-US" w:eastAsia="zh-CN"/>
        </w:rPr>
        <w:t>7</w:t>
      </w:r>
      <w:r>
        <w:rPr>
          <w:rFonts w:hint="eastAsia" w:ascii="黑体" w:hAnsi="黑体" w:eastAsia="黑体" w:cs="黑体"/>
          <w:b/>
          <w:sz w:val="32"/>
          <w:szCs w:val="32"/>
        </w:rPr>
        <w:t>月</w:t>
      </w:r>
    </w:p>
    <w:p/>
    <w:p/>
    <w:p>
      <w:pPr>
        <w:spacing w:line="360" w:lineRule="auto"/>
        <w:jc w:val="center"/>
        <w:rPr>
          <w:rFonts w:eastAsia="黑体"/>
          <w:sz w:val="30"/>
          <w:szCs w:val="30"/>
        </w:rPr>
      </w:pPr>
      <w:r>
        <w:rPr>
          <w:rFonts w:eastAsia="黑体"/>
          <w:sz w:val="30"/>
          <w:szCs w:val="30"/>
        </w:rPr>
        <w:t>行业标准《</w:t>
      </w:r>
      <w:bookmarkStart w:id="0" w:name="_Hlk119263633"/>
      <w:r>
        <w:rPr>
          <w:rFonts w:hint="eastAsia" w:ascii="黑体" w:hAnsi="黑体" w:eastAsia="黑体" w:cs="黑体"/>
          <w:sz w:val="30"/>
          <w:szCs w:val="30"/>
        </w:rPr>
        <w:t>湿法冶金铜电积用阳极板</w:t>
      </w:r>
      <w:bookmarkEnd w:id="0"/>
      <w:r>
        <w:rPr>
          <w:rFonts w:eastAsia="黑体"/>
          <w:sz w:val="30"/>
          <w:szCs w:val="30"/>
        </w:rPr>
        <w:t>》（</w:t>
      </w:r>
      <w:r>
        <w:rPr>
          <w:rFonts w:hint="eastAsia" w:eastAsia="黑体"/>
          <w:sz w:val="30"/>
          <w:szCs w:val="30"/>
          <w:lang w:val="en-US" w:eastAsia="zh-CN"/>
        </w:rPr>
        <w:t>征求意见</w:t>
      </w:r>
      <w:r>
        <w:rPr>
          <w:rFonts w:eastAsia="黑体"/>
          <w:sz w:val="30"/>
          <w:szCs w:val="30"/>
        </w:rPr>
        <w:t>稿）</w:t>
      </w:r>
    </w:p>
    <w:p>
      <w:pPr>
        <w:spacing w:line="360" w:lineRule="auto"/>
        <w:jc w:val="center"/>
        <w:rPr>
          <w:rFonts w:eastAsia="黑体"/>
          <w:sz w:val="30"/>
          <w:szCs w:val="30"/>
        </w:rPr>
      </w:pPr>
      <w:r>
        <w:rPr>
          <w:rFonts w:eastAsia="黑体"/>
          <w:sz w:val="30"/>
          <w:szCs w:val="30"/>
        </w:rPr>
        <w:t>编制说明</w:t>
      </w:r>
    </w:p>
    <w:p>
      <w:pPr>
        <w:pStyle w:val="3"/>
        <w:numPr>
          <w:ilvl w:val="0"/>
          <w:numId w:val="1"/>
        </w:numPr>
        <w:ind w:firstLine="0" w:firstLineChars="0"/>
        <w:rPr>
          <w:rFonts w:ascii="Times New Roman" w:hAnsi="Times New Roman" w:eastAsia="黑体"/>
          <w:sz w:val="21"/>
          <w:szCs w:val="21"/>
        </w:rPr>
      </w:pPr>
      <w:r>
        <w:rPr>
          <w:rFonts w:ascii="Times New Roman" w:hAnsi="Times New Roman" w:eastAsia="黑体"/>
          <w:sz w:val="21"/>
          <w:szCs w:val="21"/>
        </w:rPr>
        <w:t>任务来源</w:t>
      </w:r>
    </w:p>
    <w:p>
      <w:pPr>
        <w:spacing w:line="360" w:lineRule="auto"/>
        <w:ind w:firstLine="420" w:firstLineChars="200"/>
        <w:rPr>
          <w:rFonts w:ascii="宋体" w:hAnsi="宋体" w:cs="宋体"/>
          <w:sz w:val="24"/>
        </w:rPr>
      </w:pPr>
      <w:r>
        <w:rPr>
          <w:rFonts w:hint="eastAsia" w:ascii="宋体" w:hAnsi="宋体" w:cs="宋体"/>
          <w:color w:val="auto"/>
          <w:szCs w:val="21"/>
        </w:rPr>
        <w:t>根据工信部《工业和信息化部办公厅关于印发2022年第一批行业标准制修订和外文版项目计划的通知（工信厅科函[2022]94号）文件要求，行业标准YS/T1089-2015《湿法冶金铜电积用阳极板》的修订，由全国有色金属标准化技术委员会负责归口，计划编号为2022-0</w:t>
      </w:r>
      <w:r>
        <w:rPr>
          <w:rFonts w:ascii="宋体" w:hAnsi="宋体" w:cs="宋体"/>
          <w:color w:val="auto"/>
          <w:szCs w:val="21"/>
        </w:rPr>
        <w:t>218</w:t>
      </w:r>
      <w:r>
        <w:rPr>
          <w:rFonts w:hint="eastAsia" w:ascii="宋体" w:hAnsi="宋体" w:cs="宋体"/>
          <w:color w:val="auto"/>
          <w:szCs w:val="21"/>
        </w:rPr>
        <w:t>T-YS，项目计划完成时间为2023年。</w:t>
      </w:r>
      <w:r>
        <w:rPr>
          <w:rFonts w:hint="eastAsia" w:ascii="宋体" w:hAnsi="宋体" w:cs="宋体"/>
          <w:color w:val="000000" w:themeColor="text1"/>
          <w:szCs w:val="21"/>
          <w14:textFill>
            <w14:solidFill>
              <w14:schemeClr w14:val="tx1"/>
            </w14:solidFill>
          </w14:textFill>
        </w:rPr>
        <w:t>由云南大泽电极科技股份有限公司负责主编，白银有色集团股份有限公司、豫光锌业有限公司、驰宏锌锗股份有限公司参编。</w:t>
      </w:r>
    </w:p>
    <w:p>
      <w:pPr>
        <w:pStyle w:val="3"/>
        <w:numPr>
          <w:ilvl w:val="0"/>
          <w:numId w:val="1"/>
        </w:numPr>
        <w:ind w:firstLine="0" w:firstLineChars="0"/>
        <w:rPr>
          <w:rFonts w:ascii="Times New Roman" w:hAnsi="Times New Roman" w:eastAsia="黑体"/>
          <w:sz w:val="21"/>
          <w:szCs w:val="21"/>
        </w:rPr>
      </w:pPr>
      <w:r>
        <w:rPr>
          <w:rFonts w:ascii="Times New Roman" w:hAnsi="Times New Roman" w:eastAsia="黑体"/>
          <w:sz w:val="21"/>
          <w:szCs w:val="21"/>
        </w:rPr>
        <w:t>立项依据</w:t>
      </w:r>
    </w:p>
    <w:p>
      <w:pPr>
        <w:spacing w:line="360" w:lineRule="auto"/>
        <w:ind w:firstLine="420" w:firstLineChars="200"/>
        <w:rPr>
          <w:rFonts w:ascii="宋体" w:hAnsi="宋体" w:cs="宋体"/>
        </w:rPr>
      </w:pPr>
      <w:r>
        <w:rPr>
          <w:rFonts w:hint="eastAsia" w:ascii="宋体" w:hAnsi="宋体" w:cs="宋体"/>
        </w:rPr>
        <w:t>为切实发挥标准化和质量工作对装备制造业的引领和支撑作用，推进结构性改革尤其是供给侧结构性改革，促进产品产业迈向中高端，建设制造强国、质量强国。《中国制造2025》明确了加大先进节能环保技术、工艺和装备的研发力度，加快制造业绿色改造升级；积极推行低碳化、循环化和集约化，提高制造业资源利用效率；强化产品全生命周期绿色管理，努力构建高效、清洁、低碳、循环的绿色制造体系的战略任务。</w:t>
      </w:r>
    </w:p>
    <w:p>
      <w:pPr>
        <w:spacing w:line="360" w:lineRule="auto"/>
        <w:ind w:firstLine="420" w:firstLineChars="200"/>
        <w:rPr>
          <w:rFonts w:ascii="宋体" w:hAnsi="宋体" w:cs="宋体"/>
        </w:rPr>
      </w:pPr>
      <w:r>
        <w:rPr>
          <w:rFonts w:hint="eastAsia" w:ascii="宋体" w:hAnsi="宋体" w:cs="宋体"/>
        </w:rPr>
        <w:t>同时也指明了生产企业树立质量为先，坚持把质量作为建设制造强国的生命线，强化企业质量主体责任，加强质量技术攻关、自主品牌培育。建设法规标准体系、质量监管体系、先进质量文化，营造诚信经营的市场环境，走以质取胜的发展道路的基本方针。</w:t>
      </w:r>
    </w:p>
    <w:p>
      <w:pPr>
        <w:spacing w:line="360" w:lineRule="auto"/>
        <w:ind w:firstLine="420" w:firstLineChars="200"/>
        <w:rPr>
          <w:rFonts w:ascii="宋体" w:hAnsi="宋体" w:cs="宋体"/>
        </w:rPr>
      </w:pPr>
      <w:r>
        <w:rPr>
          <w:rFonts w:hint="eastAsia" w:ascii="宋体" w:hAnsi="宋体" w:cs="宋体"/>
        </w:rPr>
        <w:t>随着湿法冶金工业的快速发展，对铅合金阳极板需求量也将增大，在国家“节能减排”和“3060碳达峰、碳中和”双碳战略目标的要求下，铅合金阳极板产品的制备加工技术及物化性能就应更加符合绿色低碳、资源可循环利用的发展理念，推动领域的技术进步，实现节约资源，降低能耗和提高效益。</w:t>
      </w:r>
    </w:p>
    <w:p>
      <w:pPr>
        <w:spacing w:line="360" w:lineRule="auto"/>
        <w:ind w:firstLine="420" w:firstLineChars="200"/>
      </w:pPr>
      <w:r>
        <w:rPr>
          <w:rFonts w:hint="eastAsia" w:ascii="宋体" w:hAnsi="宋体" w:cs="宋体"/>
        </w:rPr>
        <w:t>原标准经过6年的运用，已经有新的工艺和设备得到提升、开发和运用，因此，对《湿法冶金铜电积用阳极板》行业标准进行适应性修订，就是为了在当前发展形势下，更加规范制备加工秩序、改进生产工艺、提高产品质量、促进我国湿法冶金电积铜行业有序快速发展。</w:t>
      </w:r>
    </w:p>
    <w:p>
      <w:pPr>
        <w:pStyle w:val="3"/>
        <w:ind w:firstLine="0" w:firstLineChars="0"/>
        <w:rPr>
          <w:rFonts w:ascii="Times New Roman" w:hAnsi="Times New Roman" w:eastAsia="黑体"/>
          <w:sz w:val="21"/>
          <w:szCs w:val="21"/>
        </w:rPr>
      </w:pPr>
      <w:r>
        <w:rPr>
          <w:rFonts w:ascii="Times New Roman" w:hAnsi="Times New Roman" w:eastAsia="黑体"/>
          <w:sz w:val="21"/>
          <w:szCs w:val="21"/>
        </w:rPr>
        <w:t>三、项目编制组和工作过程</w:t>
      </w:r>
    </w:p>
    <w:p>
      <w:pPr>
        <w:spacing w:before="156" w:beforeLines="50" w:after="156" w:afterLines="50" w:line="360" w:lineRule="auto"/>
        <w:rPr>
          <w:rFonts w:eastAsia="黑体"/>
          <w:szCs w:val="21"/>
        </w:rPr>
      </w:pPr>
      <w:r>
        <w:rPr>
          <w:rFonts w:eastAsia="黑体"/>
          <w:szCs w:val="21"/>
        </w:rPr>
        <w:t>3.1</w:t>
      </w:r>
      <w:r>
        <w:rPr>
          <w:rFonts w:hint="eastAsia" w:eastAsia="黑体"/>
          <w:szCs w:val="21"/>
        </w:rPr>
        <w:t>.1</w:t>
      </w:r>
      <w:r>
        <w:rPr>
          <w:rFonts w:eastAsia="黑体"/>
          <w:szCs w:val="21"/>
        </w:rPr>
        <w:t xml:space="preserve">  编制组成员单位及其所作工作</w:t>
      </w:r>
    </w:p>
    <w:p>
      <w:pPr>
        <w:adjustRightInd w:val="0"/>
        <w:spacing w:line="360" w:lineRule="auto"/>
        <w:ind w:firstLine="420" w:firstLineChars="200"/>
      </w:pPr>
      <w:r>
        <w:rPr>
          <w:rFonts w:hint="eastAsia"/>
          <w:bCs/>
          <w:szCs w:val="21"/>
        </w:rPr>
        <w:t>基于任务的完成目标</w:t>
      </w:r>
      <w:r>
        <w:rPr>
          <w:bCs/>
          <w:szCs w:val="21"/>
        </w:rPr>
        <w:t>，成立了标准</w:t>
      </w:r>
      <w:r>
        <w:rPr>
          <w:rFonts w:hint="eastAsia"/>
          <w:bCs/>
          <w:szCs w:val="21"/>
        </w:rPr>
        <w:t>修订</w:t>
      </w:r>
      <w:r>
        <w:rPr>
          <w:bCs/>
          <w:szCs w:val="21"/>
        </w:rPr>
        <w:t>编制组并落实起草任务，</w:t>
      </w:r>
      <w:r>
        <w:rPr>
          <w:rFonts w:hint="eastAsia"/>
          <w:bCs/>
          <w:szCs w:val="21"/>
        </w:rPr>
        <w:t>具体分工为：云南大泽电极科技股份有限公司作为</w:t>
      </w:r>
      <w:r>
        <w:rPr>
          <w:bCs/>
          <w:szCs w:val="21"/>
        </w:rPr>
        <w:t>标准的主要起草人，拟定该标准的工作计划</w:t>
      </w:r>
      <w:r>
        <w:rPr>
          <w:rFonts w:hint="eastAsia"/>
          <w:bCs/>
          <w:szCs w:val="21"/>
        </w:rPr>
        <w:t>并且</w:t>
      </w:r>
      <w:r>
        <w:rPr>
          <w:bCs/>
          <w:szCs w:val="21"/>
        </w:rPr>
        <w:t>负责市场</w:t>
      </w:r>
      <w:r>
        <w:rPr>
          <w:rFonts w:hint="eastAsia"/>
          <w:bCs/>
          <w:szCs w:val="21"/>
        </w:rPr>
        <w:t>调研</w:t>
      </w:r>
      <w:r>
        <w:rPr>
          <w:bCs/>
          <w:szCs w:val="21"/>
        </w:rPr>
        <w:t>和</w:t>
      </w:r>
      <w:r>
        <w:rPr>
          <w:rFonts w:hint="eastAsia"/>
          <w:bCs/>
          <w:szCs w:val="21"/>
        </w:rPr>
        <w:t>产品运用的</w:t>
      </w:r>
      <w:r>
        <w:rPr>
          <w:bCs/>
          <w:szCs w:val="21"/>
        </w:rPr>
        <w:t>行业</w:t>
      </w:r>
      <w:r>
        <w:rPr>
          <w:rFonts w:hint="eastAsia"/>
          <w:bCs/>
          <w:szCs w:val="21"/>
        </w:rPr>
        <w:t>领域</w:t>
      </w:r>
      <w:r>
        <w:rPr>
          <w:bCs/>
          <w:szCs w:val="21"/>
        </w:rPr>
        <w:t>信息收集、资料汇总及执笔</w:t>
      </w:r>
      <w:r>
        <w:rPr>
          <w:rFonts w:hint="eastAsia"/>
          <w:bCs/>
          <w:szCs w:val="21"/>
          <w:lang w:eastAsia="zh-CN"/>
        </w:rPr>
        <w:t>，</w:t>
      </w:r>
      <w:r>
        <w:t>云南驰宏锌锗股份有限公司、</w:t>
      </w:r>
      <w:r>
        <w:rPr>
          <w:rFonts w:hint="eastAsia" w:ascii="宋体" w:hAnsi="宋体" w:cs="宋体"/>
          <w:color w:val="000000" w:themeColor="text1"/>
          <w:szCs w:val="21"/>
          <w14:textFill>
            <w14:solidFill>
              <w14:schemeClr w14:val="tx1"/>
            </w14:solidFill>
          </w14:textFill>
        </w:rPr>
        <w:t>白银有色集团股份有限公司</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 w:val="21"/>
          <w:szCs w:val="21"/>
          <w:highlight w:val="none"/>
          <w:u w:val="none"/>
          <w:lang w:val="en-US" w:eastAsia="zh-CN"/>
          <w14:textFill>
            <w14:solidFill>
              <w14:schemeClr w14:val="tx1"/>
            </w14:solidFill>
          </w14:textFill>
        </w:rPr>
        <w:t>河南豫光锌业有限公司</w:t>
      </w:r>
      <w:r>
        <w:rPr>
          <w:rFonts w:hint="eastAsia" w:ascii="宋体" w:hAnsi="宋体" w:cs="宋体"/>
          <w:color w:val="000000" w:themeColor="text1"/>
          <w:szCs w:val="21"/>
          <w14:textFill>
            <w14:solidFill>
              <w14:schemeClr w14:val="tx1"/>
            </w14:solidFill>
          </w14:textFill>
        </w:rPr>
        <w:t>根据各公司在生产实践中，对标准运用的改进、修订情况</w:t>
      </w:r>
      <w:r>
        <w:rPr>
          <w:bCs/>
          <w:szCs w:val="21"/>
        </w:rPr>
        <w:t>负责补充相关数据</w:t>
      </w:r>
      <w:r>
        <w:rPr>
          <w:rFonts w:hint="eastAsia"/>
          <w:bCs/>
          <w:szCs w:val="21"/>
          <w:lang w:eastAsia="zh-CN"/>
        </w:rPr>
        <w:t>，</w:t>
      </w:r>
      <w:r>
        <w:rPr>
          <w:bCs/>
          <w:szCs w:val="21"/>
        </w:rPr>
        <w:t>分工明确，紧密合作，共同完成标准的修订工作，详见表1</w:t>
      </w:r>
      <w:r>
        <w:t>。</w:t>
      </w:r>
    </w:p>
    <w:p>
      <w:pPr>
        <w:pStyle w:val="2"/>
      </w:pPr>
    </w:p>
    <w:p>
      <w:pPr>
        <w:adjustRightInd w:val="0"/>
        <w:spacing w:line="360" w:lineRule="auto"/>
        <w:rPr>
          <w:rFonts w:eastAsia="黑体"/>
          <w:b/>
          <w:bCs/>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3.1.2</w:t>
      </w:r>
      <w:r>
        <w:rPr>
          <w:b/>
          <w:bCs/>
          <w:color w:val="000000" w:themeColor="text1"/>
          <w:highlight w:val="none"/>
          <w14:textFill>
            <w14:solidFill>
              <w14:schemeClr w14:val="tx1"/>
            </w14:solidFill>
          </w14:textFill>
        </w:rPr>
        <w:t xml:space="preserve"> </w:t>
      </w:r>
      <w:r>
        <w:rPr>
          <w:rFonts w:eastAsia="黑体"/>
          <w:b/>
          <w:bCs/>
          <w:color w:val="000000" w:themeColor="text1"/>
          <w:highlight w:val="none"/>
          <w14:textFill>
            <w14:solidFill>
              <w14:schemeClr w14:val="tx1"/>
            </w14:solidFill>
          </w14:textFill>
        </w:rPr>
        <w:t>主编单位简介</w:t>
      </w:r>
    </w:p>
    <w:p>
      <w:pPr>
        <w:spacing w:line="360" w:lineRule="auto"/>
        <w:ind w:firstLine="54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云南大泽电极科技股份有限公司前身是成立于2000年6月的昆明大泽矿业设备有限公司，22年来</w:t>
      </w:r>
      <w:r>
        <w:rPr>
          <w:rFonts w:hint="eastAsia" w:ascii="宋体" w:hAnsi="宋体" w:cs="宋体"/>
          <w:iCs/>
          <w:color w:val="000000" w:themeColor="text1"/>
          <w:szCs w:val="21"/>
          <w:highlight w:val="none"/>
          <w14:textFill>
            <w14:solidFill>
              <w14:schemeClr w14:val="tx1"/>
            </w14:solidFill>
          </w14:textFill>
        </w:rPr>
        <w:t>一直专注于湿法冶金用阴阳极板的生产、销售及成套技术服务。</w:t>
      </w:r>
      <w:r>
        <w:rPr>
          <w:rFonts w:hint="eastAsia" w:ascii="宋体" w:hAnsi="宋体" w:cs="宋体"/>
          <w:color w:val="000000" w:themeColor="text1"/>
          <w:szCs w:val="21"/>
          <w:highlight w:val="none"/>
          <w14:textFill>
            <w14:solidFill>
              <w14:schemeClr w14:val="tx1"/>
            </w14:solidFill>
          </w14:textFill>
        </w:rPr>
        <w:t>主导产品属于制造强国战略十大重点产业领域的新材料领域和工业“六基”关键核心基础材料领域。“大泽”牌极板销往全国以及15个国家，已成为最具市场影响和竞争力的品牌。2015年在全国股转系统新三板挂牌上市。</w:t>
      </w:r>
    </w:p>
    <w:p>
      <w:pPr>
        <w:spacing w:line="360" w:lineRule="auto"/>
        <w:ind w:firstLine="54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秉持“为世界湿法冶金企业提供最优质的先进电极材料”为发展使命，大力推进节能降耗、提高能源利用率。在“合作与发展命运共同体”为思想指导，云南大泽电极科技股份有限公司首创了“产品全生命周期管理”服务型制造绿色发展模式，围绕国家“节能减排”和“3060双碳”战略目标，在当前低品位和成分复杂的矿料条件下，为用户实现提高电解效能，降低能源消耗和经济效益目标。</w:t>
      </w:r>
    </w:p>
    <w:p>
      <w:pPr>
        <w:spacing w:line="360" w:lineRule="auto"/>
        <w:ind w:firstLine="54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历经20多年发展，已成为生产基地多、产能大、机械化程度高、装备技术先进、综合实力强的服务型制造企业。分别在云南、内蒙古、湖南、陕西、河南、建设了</w:t>
      </w:r>
      <w:r>
        <w:rPr>
          <w:rFonts w:hint="eastAsia" w:ascii="宋体" w:hAnsi="宋体" w:cs="宋体"/>
          <w:color w:val="000000" w:themeColor="text1"/>
          <w:szCs w:val="21"/>
          <w:highlight w:val="none"/>
          <w:lang w:val="en-US" w:eastAsia="zh-CN"/>
          <w14:textFill>
            <w14:solidFill>
              <w14:schemeClr w14:val="tx1"/>
            </w14:solidFill>
          </w14:textFill>
        </w:rPr>
        <w:t>6</w:t>
      </w:r>
      <w:r>
        <w:rPr>
          <w:rFonts w:hint="eastAsia" w:ascii="宋体" w:hAnsi="宋体" w:cs="宋体"/>
          <w:color w:val="000000" w:themeColor="text1"/>
          <w:szCs w:val="21"/>
          <w:highlight w:val="none"/>
          <w14:textFill>
            <w14:solidFill>
              <w14:schemeClr w14:val="tx1"/>
            </w14:solidFill>
          </w14:textFill>
        </w:rPr>
        <w:t>个生产基地，产品现已出口至非洲、南美洲、东亚、南亚、西亚、东南亚等地区国家。</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公司重新成果</w:t>
      </w:r>
      <w:r>
        <w:rPr>
          <w:rFonts w:hint="eastAsia" w:ascii="宋体" w:hAnsi="宋体" w:cs="宋体"/>
          <w:color w:val="000000" w:themeColor="text1"/>
          <w:szCs w:val="21"/>
          <w:highlight w:val="none"/>
          <w14:textFill>
            <w14:solidFill>
              <w14:schemeClr w14:val="tx1"/>
            </w14:solidFill>
          </w14:textFill>
        </w:rPr>
        <w:t>获得了二十多项国家和省市科技资金立项支持，其中，与昆明理工大学合作研发的“电化学工业用关键技术及运用”的成果经鉴定，整体技术达到了国际先进水平，部分达到了国际领先水平。申报专利</w:t>
      </w:r>
      <w:r>
        <w:rPr>
          <w:rFonts w:hint="eastAsia" w:ascii="宋体" w:hAnsi="宋体" w:cs="宋体"/>
          <w:color w:val="000000" w:themeColor="text1"/>
          <w:szCs w:val="21"/>
          <w:highlight w:val="none"/>
          <w:lang w:val="en-US" w:eastAsia="zh-CN"/>
          <w14:textFill>
            <w14:solidFill>
              <w14:schemeClr w14:val="tx1"/>
            </w14:solidFill>
          </w14:textFill>
        </w:rPr>
        <w:t>93</w:t>
      </w:r>
      <w:r>
        <w:rPr>
          <w:rFonts w:hint="eastAsia" w:ascii="宋体" w:hAnsi="宋体" w:cs="宋体"/>
          <w:color w:val="000000" w:themeColor="text1"/>
          <w:szCs w:val="21"/>
          <w:highlight w:val="none"/>
          <w14:textFill>
            <w14:solidFill>
              <w14:schemeClr w14:val="tx1"/>
            </w14:solidFill>
          </w14:textFill>
        </w:rPr>
        <w:t>项，其中发明专利</w:t>
      </w:r>
      <w:r>
        <w:rPr>
          <w:rFonts w:hint="eastAsia" w:ascii="宋体" w:hAnsi="宋体" w:cs="宋体"/>
          <w:color w:val="000000" w:themeColor="text1"/>
          <w:szCs w:val="21"/>
          <w:highlight w:val="none"/>
          <w:lang w:val="en-US" w:eastAsia="zh-CN"/>
          <w14:textFill>
            <w14:solidFill>
              <w14:schemeClr w14:val="tx1"/>
            </w14:solidFill>
          </w14:textFill>
        </w:rPr>
        <w:t>19</w:t>
      </w:r>
      <w:r>
        <w:rPr>
          <w:rFonts w:hint="eastAsia" w:ascii="宋体" w:hAnsi="宋体" w:cs="宋体"/>
          <w:color w:val="000000" w:themeColor="text1"/>
          <w:szCs w:val="21"/>
          <w:highlight w:val="none"/>
          <w14:textFill>
            <w14:solidFill>
              <w14:schemeClr w14:val="tx1"/>
            </w14:solidFill>
          </w14:textFill>
        </w:rPr>
        <w:t>项，实用新型</w:t>
      </w:r>
      <w:r>
        <w:rPr>
          <w:rFonts w:hint="eastAsia" w:ascii="宋体" w:hAnsi="宋体" w:cs="宋体"/>
          <w:color w:val="000000" w:themeColor="text1"/>
          <w:szCs w:val="21"/>
          <w:highlight w:val="none"/>
          <w:lang w:val="en-US" w:eastAsia="zh-CN"/>
          <w14:textFill>
            <w14:solidFill>
              <w14:schemeClr w14:val="tx1"/>
            </w14:solidFill>
          </w14:textFill>
        </w:rPr>
        <w:t>74</w:t>
      </w:r>
      <w:r>
        <w:rPr>
          <w:rFonts w:hint="eastAsia" w:ascii="宋体" w:hAnsi="宋体" w:cs="宋体"/>
          <w:color w:val="000000" w:themeColor="text1"/>
          <w:szCs w:val="21"/>
          <w:highlight w:val="none"/>
          <w14:textFill>
            <w14:solidFill>
              <w14:schemeClr w14:val="tx1"/>
            </w14:solidFill>
          </w14:textFill>
        </w:rPr>
        <w:t>项。制定了六项企业标准，起草制定的4项国家行业标准填补了行业空白。</w:t>
      </w:r>
      <w:bookmarkStart w:id="1" w:name="_Toc9217"/>
      <w:r>
        <w:rPr>
          <w:rFonts w:hint="eastAsia" w:ascii="宋体" w:hAnsi="宋体" w:cs="宋体"/>
          <w:color w:val="000000" w:themeColor="text1"/>
          <w:szCs w:val="21"/>
          <w:highlight w:val="none"/>
          <w14:textFill>
            <w14:solidFill>
              <w14:schemeClr w14:val="tx1"/>
            </w14:solidFill>
          </w14:textFill>
        </w:rPr>
        <w:t>现已取得了国家高新技术企业、国家级专精特新小巨人企业、省级知识产权优势企业、专精特新成长型企业、企业技术中心、创新性试点企业、民营小巨人企业等认定，入围云南省优势型制造业集群。产品荣获了国家重点新产品、中国有色金属工业科学奖、云南省科学技术进步奖提名，中国国际铅锌冶炼最佳产品质量奖和绿色发展贡献奖、云南重点新产品 、著名商标、名牌产品等荣誉。</w:t>
      </w:r>
    </w:p>
    <w:bookmarkEnd w:id="1"/>
    <w:p>
      <w:pPr>
        <w:adjustRightInd w:val="0"/>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公司近五年主持完成的行业标准有：</w:t>
      </w:r>
    </w:p>
    <w:p>
      <w:pPr>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YS/T1089-2015 湿法冶金铜电积用阳极板</w:t>
      </w:r>
    </w:p>
    <w:p>
      <w:pPr>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YS/T 1090_2015 湿法冶金用铜电积用阴极板</w:t>
      </w:r>
    </w:p>
    <w:p>
      <w:pPr>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YS/T 995--2014 湿法冶金电解锌用阳极板</w:t>
      </w:r>
    </w:p>
    <w:p>
      <w:pPr>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YS/T 1088-2015 湿法冶金用锌电积用阴极板</w:t>
      </w:r>
    </w:p>
    <w:p>
      <w:pPr>
        <w:spacing w:before="156" w:beforeLines="50" w:after="156" w:afterLines="50" w:line="360" w:lineRule="auto"/>
        <w:rPr>
          <w:rFonts w:eastAsia="黑体"/>
          <w:color w:val="000000" w:themeColor="text1"/>
          <w:szCs w:val="21"/>
          <w:highlight w:val="none"/>
          <w14:textFill>
            <w14:solidFill>
              <w14:schemeClr w14:val="tx1"/>
            </w14:solidFill>
          </w14:textFill>
        </w:rPr>
      </w:pPr>
      <w:r>
        <w:rPr>
          <w:rFonts w:hint="eastAsia" w:eastAsia="黑体"/>
          <w:color w:val="000000" w:themeColor="text1"/>
          <w:szCs w:val="21"/>
          <w:highlight w:val="none"/>
          <w14:textFill>
            <w14:solidFill>
              <w14:schemeClr w14:val="tx1"/>
            </w14:solidFill>
          </w14:textFill>
        </w:rPr>
        <w:t>3.1.3</w:t>
      </w:r>
      <w:r>
        <w:rPr>
          <w:rFonts w:eastAsia="黑体"/>
          <w:color w:val="000000" w:themeColor="text1"/>
          <w:szCs w:val="21"/>
          <w:highlight w:val="none"/>
          <w14:textFill>
            <w14:solidFill>
              <w14:schemeClr w14:val="tx1"/>
            </w14:solidFill>
          </w14:textFill>
        </w:rPr>
        <w:t xml:space="preserve"> </w:t>
      </w:r>
      <w:r>
        <w:rPr>
          <w:rFonts w:hint="eastAsia" w:eastAsia="黑体"/>
          <w:color w:val="000000" w:themeColor="text1"/>
          <w:szCs w:val="21"/>
          <w:highlight w:val="none"/>
          <w14:textFill>
            <w14:solidFill>
              <w14:schemeClr w14:val="tx1"/>
            </w14:solidFill>
          </w14:textFill>
        </w:rPr>
        <w:t xml:space="preserve">编制单位起草人所作工作 </w:t>
      </w:r>
      <w:r>
        <w:rPr>
          <w:rFonts w:eastAsia="黑体"/>
          <w:color w:val="000000" w:themeColor="text1"/>
          <w:szCs w:val="21"/>
          <w:highlight w:val="none"/>
          <w14:textFill>
            <w14:solidFill>
              <w14:schemeClr w14:val="tx1"/>
            </w14:solidFill>
          </w14:textFill>
        </w:rPr>
        <w:t xml:space="preserve"> </w:t>
      </w:r>
    </w:p>
    <w:p>
      <w:pPr>
        <w:adjustRightInd w:val="0"/>
        <w:spacing w:line="360" w:lineRule="auto"/>
        <w:ind w:firstLine="2310" w:firstLineChars="11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表1 标准的主要起草人工作分工情况</w:t>
      </w:r>
    </w:p>
    <w:tbl>
      <w:tblPr>
        <w:tblStyle w:val="8"/>
        <w:tblW w:w="98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1"/>
        <w:gridCol w:w="1079"/>
        <w:gridCol w:w="4134"/>
        <w:gridCol w:w="4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551" w:type="dxa"/>
            <w:vAlign w:val="center"/>
          </w:tcPr>
          <w:p>
            <w:pP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序号</w:t>
            </w:r>
          </w:p>
        </w:tc>
        <w:tc>
          <w:tcPr>
            <w:tcW w:w="1079" w:type="dxa"/>
            <w:vAlign w:val="center"/>
          </w:tcPr>
          <w:p>
            <w:pPr>
              <w:bidi w:val="0"/>
              <w:jc w:val="center"/>
              <w:rPr>
                <w:rFonts w:hint="eastAsia"/>
              </w:rPr>
            </w:pPr>
            <w:r>
              <w:rPr>
                <w:rFonts w:hint="eastAsia"/>
              </w:rPr>
              <w:t>起草人</w:t>
            </w:r>
          </w:p>
          <w:p>
            <w:pPr>
              <w:bidi w:val="0"/>
              <w:jc w:val="center"/>
            </w:pPr>
            <w:r>
              <w:rPr>
                <w:rFonts w:hint="eastAsia"/>
              </w:rPr>
              <w:t>姓名</w:t>
            </w:r>
          </w:p>
        </w:tc>
        <w:tc>
          <w:tcPr>
            <w:tcW w:w="4134" w:type="dxa"/>
            <w:vAlign w:val="center"/>
          </w:tcPr>
          <w:p>
            <w:pPr>
              <w:bidi w:val="0"/>
              <w:jc w:val="center"/>
            </w:pPr>
            <w:r>
              <w:rPr>
                <w:rFonts w:hint="eastAsia"/>
              </w:rPr>
              <w:t>职责及分工</w:t>
            </w:r>
          </w:p>
        </w:tc>
        <w:tc>
          <w:tcPr>
            <w:tcW w:w="4134" w:type="dxa"/>
            <w:vAlign w:val="center"/>
          </w:tcPr>
          <w:p>
            <w:pPr>
              <w:bidi w:val="0"/>
              <w:jc w:val="center"/>
              <w:rPr>
                <w:rFonts w:hint="eastAsia"/>
                <w:lang w:val="en-US" w:eastAsia="zh-CN"/>
              </w:rPr>
            </w:pPr>
            <w:r>
              <w:rPr>
                <w:rFonts w:hint="eastAsia"/>
                <w:lang w:val="en-US" w:eastAsia="zh-CN"/>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trPr>
        <w:tc>
          <w:tcPr>
            <w:tcW w:w="551" w:type="dxa"/>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w:t>
            </w:r>
          </w:p>
        </w:tc>
        <w:tc>
          <w:tcPr>
            <w:tcW w:w="1079" w:type="dxa"/>
            <w:vAlign w:val="center"/>
          </w:tcPr>
          <w:p>
            <w:pPr>
              <w:bidi w:val="0"/>
              <w:rPr>
                <w:rFonts w:hint="eastAsia"/>
              </w:rPr>
            </w:pPr>
            <w:r>
              <w:rPr>
                <w:rFonts w:hint="eastAsia"/>
              </w:rPr>
              <w:t>李剑</w:t>
            </w:r>
            <w:bookmarkStart w:id="7" w:name="_GoBack"/>
            <w:bookmarkEnd w:id="7"/>
          </w:p>
        </w:tc>
        <w:tc>
          <w:tcPr>
            <w:tcW w:w="4134" w:type="dxa"/>
            <w:vAlign w:val="center"/>
          </w:tcPr>
          <w:p>
            <w:pPr>
              <w:bidi w:val="0"/>
              <w:rPr>
                <w:rFonts w:hint="eastAsia"/>
              </w:rPr>
            </w:pPr>
            <w:r>
              <w:rPr>
                <w:rFonts w:hint="eastAsia"/>
              </w:rPr>
              <w:t>标准执笔人，负责标准编制方案的确定和编制；负责指标汇总计算及确定；负责标准修订工作协调管理；</w:t>
            </w:r>
          </w:p>
        </w:tc>
        <w:tc>
          <w:tcPr>
            <w:tcW w:w="4134" w:type="dxa"/>
            <w:vAlign w:val="center"/>
          </w:tcPr>
          <w:p>
            <w:pPr>
              <w:bidi w:val="0"/>
              <w:rPr>
                <w:rFonts w:hint="eastAsia"/>
                <w:lang w:val="en-US" w:eastAsia="zh-CN"/>
              </w:rPr>
            </w:pPr>
            <w:r>
              <w:rPr>
                <w:rFonts w:hint="eastAsia"/>
                <w:lang w:val="en-US" w:eastAsia="zh-CN"/>
              </w:rPr>
              <w:t>云南大泽电极科技股份有限公司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51" w:type="dxa"/>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w:t>
            </w:r>
          </w:p>
        </w:tc>
        <w:tc>
          <w:tcPr>
            <w:tcW w:w="1079" w:type="dxa"/>
            <w:vAlign w:val="center"/>
          </w:tcPr>
          <w:p>
            <w:pPr>
              <w:bidi w:val="0"/>
              <w:rPr>
                <w:rFonts w:hint="eastAsia"/>
              </w:rPr>
            </w:pPr>
            <w:r>
              <w:rPr>
                <w:rFonts w:hint="eastAsia"/>
              </w:rPr>
              <w:t>张益</w:t>
            </w:r>
          </w:p>
        </w:tc>
        <w:tc>
          <w:tcPr>
            <w:tcW w:w="4134" w:type="dxa"/>
            <w:vAlign w:val="center"/>
          </w:tcPr>
          <w:p>
            <w:pPr>
              <w:bidi w:val="0"/>
              <w:rPr>
                <w:rFonts w:hint="eastAsia"/>
              </w:rPr>
            </w:pPr>
            <w:r>
              <w:rPr>
                <w:rFonts w:hint="eastAsia"/>
              </w:rPr>
              <w:t>负责实际生产数据验证，参与原标准与修订标准指标的讨论与确定</w:t>
            </w:r>
          </w:p>
        </w:tc>
        <w:tc>
          <w:tcPr>
            <w:tcW w:w="4134" w:type="dxa"/>
            <w:vAlign w:val="center"/>
          </w:tcPr>
          <w:p>
            <w:pPr>
              <w:bidi w:val="0"/>
              <w:rPr>
                <w:rFonts w:hint="eastAsia"/>
              </w:rPr>
            </w:pPr>
            <w:r>
              <w:rPr>
                <w:rFonts w:hint="eastAsia"/>
                <w:lang w:val="en-US" w:eastAsia="zh-CN"/>
              </w:rPr>
              <w:t>云南大泽电极科技股份有限公司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551" w:type="dxa"/>
            <w:vAlign w:val="center"/>
          </w:tcPr>
          <w:p>
            <w:pPr>
              <w:ind w:firstLine="0" w:firstLineChars="0"/>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w:t>
            </w:r>
          </w:p>
        </w:tc>
        <w:tc>
          <w:tcPr>
            <w:tcW w:w="1079" w:type="dxa"/>
            <w:vAlign w:val="center"/>
          </w:tcPr>
          <w:p>
            <w:pPr>
              <w:bidi w:val="0"/>
              <w:rPr>
                <w:rFonts w:hint="eastAsia"/>
              </w:rPr>
            </w:pPr>
            <w:r>
              <w:rPr>
                <w:rFonts w:hint="eastAsia"/>
              </w:rPr>
              <w:t>李超</w:t>
            </w:r>
          </w:p>
        </w:tc>
        <w:tc>
          <w:tcPr>
            <w:tcW w:w="4134" w:type="dxa"/>
            <w:vAlign w:val="center"/>
          </w:tcPr>
          <w:p>
            <w:pPr>
              <w:bidi w:val="0"/>
              <w:rPr>
                <w:rFonts w:hint="eastAsia"/>
              </w:rPr>
            </w:pPr>
            <w:r>
              <w:rPr>
                <w:rFonts w:hint="eastAsia"/>
              </w:rPr>
              <w:t>负责</w:t>
            </w:r>
            <w:r>
              <w:rPr>
                <w:rFonts w:hint="eastAsia"/>
                <w:lang w:val="en-US" w:eastAsia="zh-CN"/>
              </w:rPr>
              <w:t>标准</w:t>
            </w:r>
            <w:r>
              <w:rPr>
                <w:rFonts w:hint="eastAsia"/>
              </w:rPr>
              <w:t>资料信息归集整理，参与标准指标的讨论与确定</w:t>
            </w:r>
          </w:p>
        </w:tc>
        <w:tc>
          <w:tcPr>
            <w:tcW w:w="4134" w:type="dxa"/>
            <w:vAlign w:val="center"/>
          </w:tcPr>
          <w:p>
            <w:pPr>
              <w:bidi w:val="0"/>
              <w:rPr>
                <w:rFonts w:hint="eastAsia"/>
              </w:rPr>
            </w:pPr>
            <w:r>
              <w:rPr>
                <w:rFonts w:hint="eastAsia"/>
                <w:lang w:val="en-US" w:eastAsia="zh-CN"/>
              </w:rPr>
              <w:t>云南大泽电极科技股份有限公司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551" w:type="dxa"/>
            <w:vAlign w:val="center"/>
          </w:tcPr>
          <w:p>
            <w:pPr>
              <w:ind w:firstLine="0" w:firstLineChars="0"/>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4</w:t>
            </w:r>
          </w:p>
        </w:tc>
        <w:tc>
          <w:tcPr>
            <w:tcW w:w="1079" w:type="dxa"/>
            <w:vAlign w:val="center"/>
          </w:tcPr>
          <w:p>
            <w:pPr>
              <w:bidi w:val="0"/>
              <w:rPr>
                <w:rFonts w:hint="eastAsia"/>
                <w:lang w:val="en-US" w:eastAsia="zh-CN"/>
              </w:rPr>
            </w:pPr>
            <w:r>
              <w:rPr>
                <w:rFonts w:hint="eastAsia"/>
                <w:lang w:val="en-US" w:eastAsia="zh-CN"/>
              </w:rPr>
              <w:t>尹学华</w:t>
            </w:r>
          </w:p>
        </w:tc>
        <w:tc>
          <w:tcPr>
            <w:tcW w:w="4134" w:type="dxa"/>
            <w:vAlign w:val="center"/>
          </w:tcPr>
          <w:p>
            <w:pPr>
              <w:bidi w:val="0"/>
              <w:rPr>
                <w:rFonts w:hint="eastAsia"/>
                <w:lang w:val="en-US" w:eastAsia="zh-CN"/>
              </w:rPr>
            </w:pPr>
            <w:r>
              <w:rPr>
                <w:rFonts w:hint="eastAsia"/>
                <w:lang w:val="en-US" w:eastAsia="zh-CN"/>
              </w:rPr>
              <w:t>负责生产数据，参与标准修订。</w:t>
            </w:r>
          </w:p>
        </w:tc>
        <w:tc>
          <w:tcPr>
            <w:tcW w:w="4134" w:type="dxa"/>
            <w:vAlign w:val="center"/>
          </w:tcPr>
          <w:p>
            <w:pPr>
              <w:bidi w:val="0"/>
              <w:rPr>
                <w:rFonts w:hint="eastAsia"/>
                <w:lang w:val="en-US" w:eastAsia="zh-CN"/>
              </w:rPr>
            </w:pPr>
            <w:r>
              <w:rPr>
                <w:rFonts w:hint="eastAsia"/>
                <w:lang w:val="en-US" w:eastAsia="zh-CN"/>
              </w:rPr>
              <w:t>内蒙古大泽电极科技有限公司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551" w:type="dxa"/>
            <w:vAlign w:val="center"/>
          </w:tcPr>
          <w:p>
            <w:pPr>
              <w:ind w:firstLine="0" w:firstLineChars="0"/>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5</w:t>
            </w:r>
          </w:p>
        </w:tc>
        <w:tc>
          <w:tcPr>
            <w:tcW w:w="1079" w:type="dxa"/>
            <w:vAlign w:val="center"/>
          </w:tcPr>
          <w:p>
            <w:pPr>
              <w:bidi w:val="0"/>
              <w:rPr>
                <w:rFonts w:hint="eastAsia"/>
                <w:lang w:val="en-US" w:eastAsia="zh-CN"/>
              </w:rPr>
            </w:pPr>
            <w:r>
              <w:rPr>
                <w:rFonts w:hint="eastAsia"/>
                <w:lang w:val="en-US" w:eastAsia="zh-CN"/>
              </w:rPr>
              <w:t>杨友华</w:t>
            </w:r>
          </w:p>
        </w:tc>
        <w:tc>
          <w:tcPr>
            <w:tcW w:w="4134" w:type="dxa"/>
            <w:vAlign w:val="center"/>
          </w:tcPr>
          <w:p>
            <w:pPr>
              <w:bidi w:val="0"/>
              <w:rPr>
                <w:rFonts w:hint="eastAsia"/>
              </w:rPr>
            </w:pPr>
            <w:r>
              <w:rPr>
                <w:rFonts w:hint="eastAsia"/>
              </w:rPr>
              <w:t>负责数据</w:t>
            </w:r>
            <w:r>
              <w:rPr>
                <w:rFonts w:hint="eastAsia"/>
                <w:lang w:val="en-US" w:eastAsia="zh-CN"/>
              </w:rPr>
              <w:t>分析及修订协调</w:t>
            </w:r>
            <w:r>
              <w:rPr>
                <w:rFonts w:hint="eastAsia"/>
              </w:rPr>
              <w:t>，参与标准指标的讨论与确定</w:t>
            </w:r>
          </w:p>
        </w:tc>
        <w:tc>
          <w:tcPr>
            <w:tcW w:w="4134" w:type="dxa"/>
            <w:vAlign w:val="center"/>
          </w:tcPr>
          <w:p>
            <w:pPr>
              <w:bidi w:val="0"/>
              <w:rPr>
                <w:rFonts w:hint="eastAsia"/>
              </w:rPr>
            </w:pPr>
            <w:r>
              <w:rPr>
                <w:rFonts w:hint="eastAsia"/>
                <w:lang w:val="en-US" w:eastAsia="zh-CN"/>
              </w:rPr>
              <w:t>云南驰宏锌锗股份有限公司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551" w:type="dxa"/>
            <w:vAlign w:val="center"/>
          </w:tcPr>
          <w:p>
            <w:pPr>
              <w:ind w:firstLine="0" w:firstLineChars="0"/>
              <w:jc w:val="center"/>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6</w:t>
            </w:r>
          </w:p>
        </w:tc>
        <w:tc>
          <w:tcPr>
            <w:tcW w:w="1079" w:type="dxa"/>
            <w:vAlign w:val="center"/>
          </w:tcPr>
          <w:p>
            <w:pPr>
              <w:bidi w:val="0"/>
              <w:rPr>
                <w:rFonts w:hint="eastAsia"/>
              </w:rPr>
            </w:pPr>
            <w:r>
              <w:rPr>
                <w:rFonts w:hint="eastAsia"/>
              </w:rPr>
              <w:t>张小丽</w:t>
            </w:r>
          </w:p>
        </w:tc>
        <w:tc>
          <w:tcPr>
            <w:tcW w:w="4134" w:type="dxa"/>
            <w:vAlign w:val="center"/>
          </w:tcPr>
          <w:p>
            <w:pPr>
              <w:bidi w:val="0"/>
              <w:rPr>
                <w:rFonts w:hint="eastAsia"/>
              </w:rPr>
            </w:pPr>
            <w:r>
              <w:rPr>
                <w:rFonts w:hint="eastAsia"/>
              </w:rPr>
              <w:t>负责</w:t>
            </w:r>
            <w:r>
              <w:rPr>
                <w:rFonts w:hint="eastAsia"/>
                <w:lang w:val="en-US" w:eastAsia="zh-CN"/>
              </w:rPr>
              <w:t>相关</w:t>
            </w:r>
            <w:r>
              <w:rPr>
                <w:rFonts w:hint="eastAsia"/>
              </w:rPr>
              <w:t>数据的归集和分析，参与标准指标的讨论与确定</w:t>
            </w:r>
          </w:p>
        </w:tc>
        <w:tc>
          <w:tcPr>
            <w:tcW w:w="4134" w:type="dxa"/>
            <w:vAlign w:val="center"/>
          </w:tcPr>
          <w:p>
            <w:pPr>
              <w:bidi w:val="0"/>
              <w:rPr>
                <w:rFonts w:hint="eastAsia"/>
              </w:rPr>
            </w:pPr>
            <w:r>
              <w:rPr>
                <w:rFonts w:hint="eastAsia"/>
                <w:lang w:val="en-US" w:eastAsia="zh-CN"/>
              </w:rPr>
              <w:t>云南驰宏锌锗股份有限公司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trPr>
        <w:tc>
          <w:tcPr>
            <w:tcW w:w="551" w:type="dxa"/>
            <w:vAlign w:val="center"/>
          </w:tcPr>
          <w:p>
            <w:pPr>
              <w:ind w:firstLine="0" w:firstLineChars="0"/>
              <w:jc w:val="cente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7</w:t>
            </w:r>
          </w:p>
        </w:tc>
        <w:tc>
          <w:tcPr>
            <w:tcW w:w="1079" w:type="dxa"/>
            <w:vAlign w:val="center"/>
          </w:tcPr>
          <w:p>
            <w:pPr>
              <w:bidi w:val="0"/>
              <w:rPr>
                <w:rFonts w:hint="eastAsia"/>
                <w:lang w:val="en-US" w:eastAsia="zh-CN"/>
              </w:rPr>
            </w:pPr>
            <w:r>
              <w:rPr>
                <w:rFonts w:hint="eastAsia"/>
                <w:lang w:val="en-US" w:eastAsia="zh-CN"/>
              </w:rPr>
              <w:t>胡如忠</w:t>
            </w:r>
          </w:p>
        </w:tc>
        <w:tc>
          <w:tcPr>
            <w:tcW w:w="4134" w:type="dxa"/>
            <w:vAlign w:val="center"/>
          </w:tcPr>
          <w:p>
            <w:pPr>
              <w:bidi w:val="0"/>
              <w:rPr>
                <w:rFonts w:hint="eastAsia"/>
                <w:lang w:val="en-US" w:eastAsia="zh-CN"/>
              </w:rPr>
            </w:pPr>
            <w:r>
              <w:rPr>
                <w:rFonts w:hint="eastAsia"/>
              </w:rPr>
              <w:t>负责</w:t>
            </w:r>
            <w:r>
              <w:rPr>
                <w:rFonts w:hint="eastAsia"/>
                <w:lang w:val="en-US" w:eastAsia="zh-CN"/>
              </w:rPr>
              <w:t>技术</w:t>
            </w:r>
            <w:r>
              <w:rPr>
                <w:rFonts w:hint="eastAsia"/>
              </w:rPr>
              <w:t>数据的归集和分析，参与标准指标的讨论与确定</w:t>
            </w:r>
          </w:p>
        </w:tc>
        <w:tc>
          <w:tcPr>
            <w:tcW w:w="4134" w:type="dxa"/>
            <w:vAlign w:val="center"/>
          </w:tcPr>
          <w:p>
            <w:pPr>
              <w:bidi w:val="0"/>
              <w:rPr>
                <w:rFonts w:hint="eastAsia"/>
              </w:rPr>
            </w:pPr>
            <w:r>
              <w:rPr>
                <w:rFonts w:hint="eastAsia"/>
                <w:lang w:val="en-US" w:eastAsia="zh-CN"/>
              </w:rPr>
              <w:t>云南驰宏锌锗股份有限公司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trPr>
        <w:tc>
          <w:tcPr>
            <w:tcW w:w="551" w:type="dxa"/>
            <w:vAlign w:val="center"/>
          </w:tcPr>
          <w:p>
            <w:pPr>
              <w:ind w:firstLine="0" w:firstLineChars="0"/>
              <w:jc w:val="cente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8</w:t>
            </w:r>
          </w:p>
        </w:tc>
        <w:tc>
          <w:tcPr>
            <w:tcW w:w="1079" w:type="dxa"/>
            <w:vAlign w:val="center"/>
          </w:tcPr>
          <w:p>
            <w:pPr>
              <w:bidi w:val="0"/>
              <w:rPr>
                <w:rFonts w:hint="eastAsia"/>
                <w:lang w:val="en-US" w:eastAsia="zh-CN"/>
              </w:rPr>
            </w:pPr>
            <w:r>
              <w:rPr>
                <w:rFonts w:hint="eastAsia"/>
                <w:lang w:val="en-US" w:eastAsia="zh-CN"/>
              </w:rPr>
              <w:t>任晓</w:t>
            </w:r>
          </w:p>
        </w:tc>
        <w:tc>
          <w:tcPr>
            <w:tcW w:w="4134" w:type="dxa"/>
            <w:vAlign w:val="center"/>
          </w:tcPr>
          <w:p>
            <w:pPr>
              <w:bidi w:val="0"/>
              <w:rPr>
                <w:rFonts w:hint="eastAsia"/>
                <w:lang w:val="en-US" w:eastAsia="zh-CN"/>
              </w:rPr>
            </w:pPr>
            <w:r>
              <w:rPr>
                <w:rFonts w:hint="eastAsia"/>
              </w:rPr>
              <w:t>负责</w:t>
            </w:r>
            <w:r>
              <w:rPr>
                <w:rFonts w:hint="eastAsia"/>
                <w:lang w:val="en-US" w:eastAsia="zh-CN"/>
              </w:rPr>
              <w:t>技术</w:t>
            </w:r>
            <w:r>
              <w:rPr>
                <w:rFonts w:hint="eastAsia"/>
              </w:rPr>
              <w:t>数据的归集和分析，参与标准指标的讨论与确定</w:t>
            </w:r>
          </w:p>
        </w:tc>
        <w:tc>
          <w:tcPr>
            <w:tcW w:w="4134" w:type="dxa"/>
            <w:vAlign w:val="center"/>
          </w:tcPr>
          <w:p>
            <w:pPr>
              <w:bidi w:val="0"/>
              <w:rPr>
                <w:rFonts w:hint="eastAsia"/>
              </w:rPr>
            </w:pPr>
            <w:r>
              <w:rPr>
                <w:rFonts w:hint="eastAsia"/>
                <w:lang w:val="en-US" w:eastAsia="zh-CN"/>
              </w:rPr>
              <w:t>云南驰宏锌锗股份有限公司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551" w:type="dxa"/>
            <w:vAlign w:val="center"/>
          </w:tcPr>
          <w:p>
            <w:pPr>
              <w:ind w:firstLine="0" w:firstLineChars="0"/>
              <w:jc w:val="cente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9</w:t>
            </w:r>
          </w:p>
        </w:tc>
        <w:tc>
          <w:tcPr>
            <w:tcW w:w="1079" w:type="dxa"/>
            <w:vAlign w:val="center"/>
          </w:tcPr>
          <w:p>
            <w:pPr>
              <w:bidi w:val="0"/>
              <w:rPr>
                <w:rFonts w:hint="eastAsia"/>
                <w:lang w:val="en-US" w:eastAsia="zh-CN"/>
              </w:rPr>
            </w:pPr>
            <w:r>
              <w:rPr>
                <w:rFonts w:hint="eastAsia"/>
              </w:rPr>
              <w:t>尹</w:t>
            </w:r>
            <w:r>
              <w:rPr>
                <w:rFonts w:hint="eastAsia"/>
                <w:lang w:val="en-US" w:eastAsia="zh-CN"/>
              </w:rPr>
              <w:t>荣花</w:t>
            </w:r>
          </w:p>
        </w:tc>
        <w:tc>
          <w:tcPr>
            <w:tcW w:w="4134" w:type="dxa"/>
            <w:vAlign w:val="center"/>
          </w:tcPr>
          <w:p>
            <w:pPr>
              <w:bidi w:val="0"/>
              <w:rPr>
                <w:rFonts w:hint="eastAsia"/>
                <w:lang w:val="en-US" w:eastAsia="zh-CN"/>
              </w:rPr>
            </w:pPr>
            <w:r>
              <w:rPr>
                <w:rFonts w:hint="eastAsia"/>
              </w:rPr>
              <w:t>负责</w:t>
            </w:r>
            <w:r>
              <w:rPr>
                <w:rFonts w:hint="eastAsia"/>
                <w:lang w:val="en-US" w:eastAsia="zh-CN"/>
              </w:rPr>
              <w:t>工艺及技术</w:t>
            </w:r>
            <w:r>
              <w:rPr>
                <w:rFonts w:hint="eastAsia"/>
              </w:rPr>
              <w:t>数据的归集和分析，参与标准指标的讨论与确定</w:t>
            </w:r>
          </w:p>
        </w:tc>
        <w:tc>
          <w:tcPr>
            <w:tcW w:w="4134" w:type="dxa"/>
            <w:vAlign w:val="center"/>
          </w:tcPr>
          <w:p>
            <w:pPr>
              <w:bidi w:val="0"/>
              <w:rPr>
                <w:rFonts w:hint="eastAsia"/>
                <w:lang w:val="en-US" w:eastAsia="zh-CN"/>
              </w:rPr>
            </w:pPr>
            <w:r>
              <w:rPr>
                <w:rFonts w:hint="eastAsia"/>
                <w:lang w:val="en-US" w:eastAsia="zh-CN"/>
              </w:rPr>
              <w:t>河南豫光锌业有限公司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551" w:type="dxa"/>
            <w:vAlign w:val="center"/>
          </w:tcPr>
          <w:p>
            <w:pPr>
              <w:ind w:firstLine="0" w:firstLineChars="0"/>
              <w:jc w:val="cente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10</w:t>
            </w:r>
          </w:p>
        </w:tc>
        <w:tc>
          <w:tcPr>
            <w:tcW w:w="1079" w:type="dxa"/>
            <w:vAlign w:val="center"/>
          </w:tcPr>
          <w:p>
            <w:pPr>
              <w:bidi w:val="0"/>
              <w:rPr>
                <w:rFonts w:hint="eastAsia"/>
                <w:lang w:val="en-US" w:eastAsia="zh-CN"/>
              </w:rPr>
            </w:pPr>
            <w:r>
              <w:rPr>
                <w:rFonts w:hint="eastAsia"/>
                <w:lang w:val="en-US" w:eastAsia="zh-CN"/>
              </w:rPr>
              <w:t>许丹丹</w:t>
            </w:r>
          </w:p>
        </w:tc>
        <w:tc>
          <w:tcPr>
            <w:tcW w:w="4134" w:type="dxa"/>
            <w:vAlign w:val="center"/>
          </w:tcPr>
          <w:p>
            <w:pPr>
              <w:bidi w:val="0"/>
              <w:rPr>
                <w:rFonts w:hint="eastAsia"/>
              </w:rPr>
            </w:pPr>
            <w:r>
              <w:rPr>
                <w:rFonts w:hint="eastAsia"/>
                <w:lang w:val="en-US" w:eastAsia="zh-CN"/>
              </w:rPr>
              <w:t>参与</w:t>
            </w:r>
            <w:r>
              <w:rPr>
                <w:rFonts w:hint="eastAsia"/>
              </w:rPr>
              <w:t>修订编制组织、协调</w:t>
            </w:r>
            <w:r>
              <w:rPr>
                <w:rFonts w:hint="eastAsia"/>
                <w:lang w:eastAsia="zh-CN"/>
              </w:rPr>
              <w:t>、</w:t>
            </w:r>
            <w:r>
              <w:rPr>
                <w:rFonts w:hint="eastAsia"/>
              </w:rPr>
              <w:t>讨论</w:t>
            </w:r>
          </w:p>
        </w:tc>
        <w:tc>
          <w:tcPr>
            <w:tcW w:w="4134" w:type="dxa"/>
            <w:vAlign w:val="center"/>
          </w:tcPr>
          <w:p>
            <w:pPr>
              <w:bidi w:val="0"/>
              <w:rPr>
                <w:rFonts w:hint="eastAsia"/>
              </w:rPr>
            </w:pPr>
            <w:r>
              <w:rPr>
                <w:rFonts w:hint="eastAsia"/>
                <w:lang w:val="en-US" w:eastAsia="zh-CN"/>
              </w:rPr>
              <w:t>河南豫光锌业有限公司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551" w:type="dxa"/>
            <w:vAlign w:val="center"/>
          </w:tcPr>
          <w:p>
            <w:pPr>
              <w:bidi w:val="0"/>
              <w:ind w:firstLine="0" w:firstLineChars="0"/>
              <w:jc w:val="cente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11</w:t>
            </w:r>
          </w:p>
        </w:tc>
        <w:tc>
          <w:tcPr>
            <w:tcW w:w="1079" w:type="dxa"/>
            <w:vAlign w:val="center"/>
          </w:tcPr>
          <w:p>
            <w:pPr>
              <w:bidi w:val="0"/>
              <w:rPr>
                <w:rFonts w:hint="eastAsia"/>
                <w:lang w:val="en-US" w:eastAsia="zh-CN"/>
              </w:rPr>
            </w:pPr>
            <w:r>
              <w:rPr>
                <w:rFonts w:hint="eastAsia"/>
                <w:lang w:val="en-US" w:eastAsia="zh-CN"/>
              </w:rPr>
              <w:t>张鑫波</w:t>
            </w:r>
          </w:p>
        </w:tc>
        <w:tc>
          <w:tcPr>
            <w:tcW w:w="4134" w:type="dxa"/>
            <w:vAlign w:val="center"/>
          </w:tcPr>
          <w:p>
            <w:pPr>
              <w:bidi w:val="0"/>
              <w:rPr>
                <w:rFonts w:hint="eastAsia"/>
                <w:lang w:val="en-US" w:eastAsia="zh-CN"/>
              </w:rPr>
            </w:pPr>
            <w:r>
              <w:rPr>
                <w:rFonts w:hint="eastAsia"/>
                <w:lang w:val="en-US" w:eastAsia="zh-CN"/>
              </w:rPr>
              <w:t>参与</w:t>
            </w:r>
            <w:r>
              <w:rPr>
                <w:rFonts w:hint="eastAsia"/>
              </w:rPr>
              <w:t>修订编制组织、协调</w:t>
            </w:r>
            <w:r>
              <w:rPr>
                <w:rFonts w:hint="eastAsia"/>
                <w:lang w:eastAsia="zh-CN"/>
              </w:rPr>
              <w:t>、</w:t>
            </w:r>
            <w:r>
              <w:rPr>
                <w:rFonts w:hint="eastAsia"/>
              </w:rPr>
              <w:t>讨论</w:t>
            </w:r>
          </w:p>
        </w:tc>
        <w:tc>
          <w:tcPr>
            <w:tcW w:w="4134" w:type="dxa"/>
            <w:vAlign w:val="center"/>
          </w:tcPr>
          <w:p>
            <w:pPr>
              <w:bidi w:val="0"/>
              <w:rPr>
                <w:rFonts w:hint="eastAsia"/>
              </w:rPr>
            </w:pPr>
            <w:r>
              <w:rPr>
                <w:rFonts w:hint="eastAsia"/>
                <w:lang w:val="en-US" w:eastAsia="zh-CN"/>
              </w:rPr>
              <w:t>河南豫光锌业有限公司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551" w:type="dxa"/>
            <w:vAlign w:val="center"/>
          </w:tcPr>
          <w:p>
            <w:pPr>
              <w:ind w:firstLine="0" w:firstLineChars="0"/>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12</w:t>
            </w:r>
          </w:p>
        </w:tc>
        <w:tc>
          <w:tcPr>
            <w:tcW w:w="1079" w:type="dxa"/>
            <w:vAlign w:val="center"/>
          </w:tcPr>
          <w:p>
            <w:pPr>
              <w:bidi w:val="0"/>
              <w:rPr>
                <w:rFonts w:hint="eastAsia"/>
              </w:rPr>
            </w:pPr>
            <w:r>
              <w:rPr>
                <w:rFonts w:hint="eastAsia"/>
              </w:rPr>
              <w:t>张兴宝</w:t>
            </w:r>
          </w:p>
        </w:tc>
        <w:tc>
          <w:tcPr>
            <w:tcW w:w="4134" w:type="dxa"/>
            <w:vAlign w:val="center"/>
          </w:tcPr>
          <w:p>
            <w:pPr>
              <w:bidi w:val="0"/>
              <w:rPr>
                <w:rFonts w:hint="eastAsia"/>
              </w:rPr>
            </w:pPr>
            <w:r>
              <w:rPr>
                <w:rFonts w:hint="eastAsia"/>
              </w:rPr>
              <w:t>参与标准讨论</w:t>
            </w:r>
          </w:p>
        </w:tc>
        <w:tc>
          <w:tcPr>
            <w:tcW w:w="4134" w:type="dxa"/>
            <w:vAlign w:val="center"/>
          </w:tcPr>
          <w:p>
            <w:pPr>
              <w:bidi w:val="0"/>
              <w:rPr>
                <w:rFonts w:hint="eastAsia"/>
              </w:rPr>
            </w:pPr>
            <w:r>
              <w:rPr>
                <w:rFonts w:hint="eastAsia"/>
              </w:rPr>
              <w:t>白银有色集团股份有限公司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551" w:type="dxa"/>
            <w:vAlign w:val="center"/>
          </w:tcPr>
          <w:p>
            <w:pPr>
              <w:bidi w:val="0"/>
              <w:ind w:firstLine="0" w:firstLineChars="0"/>
              <w:jc w:val="cente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13</w:t>
            </w:r>
          </w:p>
        </w:tc>
        <w:tc>
          <w:tcPr>
            <w:tcW w:w="1079" w:type="dxa"/>
            <w:vAlign w:val="center"/>
          </w:tcPr>
          <w:p>
            <w:pPr>
              <w:bidi w:val="0"/>
              <w:rPr>
                <w:rFonts w:hint="eastAsia"/>
                <w:lang w:val="en-US" w:eastAsia="zh-CN"/>
              </w:rPr>
            </w:pPr>
            <w:r>
              <w:rPr>
                <w:rFonts w:hint="eastAsia"/>
                <w:lang w:val="en-US" w:eastAsia="zh-CN"/>
              </w:rPr>
              <w:t>李济安</w:t>
            </w:r>
          </w:p>
        </w:tc>
        <w:tc>
          <w:tcPr>
            <w:tcW w:w="4134" w:type="dxa"/>
            <w:vAlign w:val="center"/>
          </w:tcPr>
          <w:p>
            <w:pPr>
              <w:bidi w:val="0"/>
              <w:rPr>
                <w:rFonts w:hint="eastAsia"/>
                <w:lang w:val="en-US" w:eastAsia="zh-CN"/>
              </w:rPr>
            </w:pPr>
            <w:r>
              <w:rPr>
                <w:rFonts w:hint="eastAsia"/>
              </w:rPr>
              <w:t>负责</w:t>
            </w:r>
            <w:r>
              <w:rPr>
                <w:rFonts w:hint="eastAsia"/>
                <w:lang w:val="en-US" w:eastAsia="zh-CN"/>
              </w:rPr>
              <w:t>技术</w:t>
            </w:r>
            <w:r>
              <w:rPr>
                <w:rFonts w:hint="eastAsia"/>
              </w:rPr>
              <w:t>数据归集，参与标准讨论</w:t>
            </w:r>
          </w:p>
        </w:tc>
        <w:tc>
          <w:tcPr>
            <w:tcW w:w="4134" w:type="dxa"/>
            <w:vAlign w:val="center"/>
          </w:tcPr>
          <w:p>
            <w:pPr>
              <w:bidi w:val="0"/>
              <w:rPr>
                <w:rFonts w:hint="eastAsia"/>
              </w:rPr>
            </w:pPr>
            <w:r>
              <w:rPr>
                <w:rFonts w:hint="eastAsia"/>
              </w:rPr>
              <w:t>白银有色集团股份有限公司</w:t>
            </w:r>
          </w:p>
        </w:tc>
      </w:tr>
    </w:tbl>
    <w:p>
      <w:pPr>
        <w:spacing w:before="156" w:beforeLines="50" w:after="156" w:afterLines="50" w:line="360" w:lineRule="auto"/>
        <w:rPr>
          <w:rFonts w:eastAsia="黑体"/>
          <w:color w:val="000000" w:themeColor="text1"/>
          <w:highlight w:val="none"/>
          <w14:textFill>
            <w14:solidFill>
              <w14:schemeClr w14:val="tx1"/>
            </w14:solidFill>
          </w14:textFill>
        </w:rPr>
      </w:pPr>
      <w:r>
        <w:rPr>
          <w:rFonts w:eastAsia="黑体"/>
          <w:color w:val="000000" w:themeColor="text1"/>
          <w:highlight w:val="none"/>
          <w14:textFill>
            <w14:solidFill>
              <w14:schemeClr w14:val="tx1"/>
            </w14:solidFill>
          </w14:textFill>
        </w:rPr>
        <w:t>3.3  标准工作过程</w:t>
      </w:r>
    </w:p>
    <w:p>
      <w:pPr>
        <w:spacing w:before="156" w:beforeLines="50" w:after="156" w:afterLines="50" w:line="360" w:lineRule="auto"/>
        <w:rPr>
          <w:rFonts w:eastAsia="黑体"/>
          <w:color w:val="000000" w:themeColor="text1"/>
          <w:highlight w:val="none"/>
          <w14:textFill>
            <w14:solidFill>
              <w14:schemeClr w14:val="tx1"/>
            </w14:solidFill>
          </w14:textFill>
        </w:rPr>
      </w:pPr>
      <w:r>
        <w:rPr>
          <w:rFonts w:eastAsia="黑体"/>
          <w:color w:val="000000" w:themeColor="text1"/>
          <w:highlight w:val="none"/>
          <w14:textFill>
            <w14:solidFill>
              <w14:schemeClr w14:val="tx1"/>
            </w14:solidFill>
          </w14:textFill>
        </w:rPr>
        <w:t>3.3.1  标准的编制原则和依据</w:t>
      </w:r>
    </w:p>
    <w:p>
      <w:pPr>
        <w:spacing w:line="360" w:lineRule="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3.3.1.1本标准根据GB/T1.1《标准化工作导则》的规定编写。</w:t>
      </w:r>
    </w:p>
    <w:p>
      <w:pPr>
        <w:spacing w:line="360" w:lineRule="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3.3.1.2标准的制定应充分考虑生产企业的产品质量和相关单位用户要求与建议，以及用户的需求，为用户提供满意的产品。</w:t>
      </w:r>
    </w:p>
    <w:p>
      <w:pPr>
        <w:spacing w:line="360" w:lineRule="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3.3.1.3标准的制定借鉴相关产品的检验、检测规范，对该项标准中的铜电积用阳极板的牌号状态分类、化学成分、试验方法、检验规则、包装、标识、运输、贮存要求等进行制定。制定后的标准应更加科学合理，具有可操作性，同时促进湿法冶金铜电积用阳极板制作行业技术水平的提高。</w:t>
      </w:r>
    </w:p>
    <w:p>
      <w:pPr>
        <w:spacing w:line="360" w:lineRule="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3.3.1.4 随着湿法冶金工业的快速发展，国内外市场对铅合金阳极板需求量也将增大，在国家“节能减排”和“3060碳达峰、碳中和”双碳战略目标的要求下，铅合金阳极板产品的制备加工技术及物化性能就应更加符合绿色低碳、资源可循环利用的发展理念，推动领域的技术进步，实现节约资源，降低能耗和提高效益，修订标准需满足国内外两个市场的用户需求。</w:t>
      </w:r>
    </w:p>
    <w:p>
      <w:pPr>
        <w:spacing w:line="360" w:lineRule="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3.3.1.5 修订标准应根据我国国情，突出绿色发展理念，推动资源循环利用，确保我国铅合金阳极板产品达到国际先进水平。</w:t>
      </w:r>
    </w:p>
    <w:p>
      <w:pPr>
        <w:spacing w:line="360" w:lineRule="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3.3.1.6  修订后的标准应科学合理、切实可行、具有可操作性。</w:t>
      </w:r>
    </w:p>
    <w:p>
      <w:pPr>
        <w:spacing w:before="156" w:beforeLines="50" w:after="156" w:afterLines="50" w:line="360" w:lineRule="auto"/>
        <w:rPr>
          <w:rFonts w:eastAsia="黑体"/>
          <w:b/>
          <w:bCs/>
          <w:color w:val="000000" w:themeColor="text1"/>
          <w:szCs w:val="21"/>
          <w:highlight w:val="none"/>
          <w14:textFill>
            <w14:solidFill>
              <w14:schemeClr w14:val="tx1"/>
            </w14:solidFill>
          </w14:textFill>
        </w:rPr>
      </w:pPr>
      <w:r>
        <w:rPr>
          <w:rFonts w:eastAsia="黑体"/>
          <w:b/>
          <w:bCs/>
          <w:color w:val="000000" w:themeColor="text1"/>
          <w:szCs w:val="21"/>
          <w:highlight w:val="none"/>
          <w14:textFill>
            <w14:solidFill>
              <w14:schemeClr w14:val="tx1"/>
            </w14:solidFill>
          </w14:textFill>
        </w:rPr>
        <w:t xml:space="preserve">3.3.2  </w:t>
      </w:r>
      <w:r>
        <w:rPr>
          <w:rFonts w:hint="eastAsia" w:eastAsia="黑体"/>
          <w:b/>
          <w:bCs/>
          <w:color w:val="000000" w:themeColor="text1"/>
          <w:szCs w:val="21"/>
          <w:highlight w:val="none"/>
          <w14:textFill>
            <w14:solidFill>
              <w14:schemeClr w14:val="tx1"/>
            </w14:solidFill>
          </w14:textFill>
        </w:rPr>
        <w:t>标准征求意见修订阶段</w:t>
      </w:r>
    </w:p>
    <w:p>
      <w:pPr>
        <w:adjustRightInd w:val="0"/>
        <w:spacing w:line="360" w:lineRule="auto"/>
        <w:ind w:firstLine="420" w:firstLineChars="200"/>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根据任务要求，起草了</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关于对行业标准《湿法冶金铜电积用阳极板》征求意见的函》，分别向行业用户单位和生产企业对湿法冶金铜电积用阳极板生产企业的产量、合金种类、牌号、矿料杂质含量进行函调，收集生产企业对标准修订的意见和建议。</w:t>
      </w:r>
    </w:p>
    <w:p>
      <w:pPr>
        <w:spacing w:before="156" w:beforeLines="50" w:after="156" w:afterLines="50" w:line="360" w:lineRule="auto"/>
        <w:rPr>
          <w:rFonts w:eastAsia="黑体"/>
          <w:b/>
          <w:bCs/>
          <w:color w:val="000000" w:themeColor="text1"/>
          <w:szCs w:val="21"/>
          <w:highlight w:val="none"/>
          <w14:textFill>
            <w14:solidFill>
              <w14:schemeClr w14:val="tx1"/>
            </w14:solidFill>
          </w14:textFill>
        </w:rPr>
      </w:pPr>
      <w:r>
        <w:rPr>
          <w:rFonts w:eastAsia="黑体"/>
          <w:b/>
          <w:bCs/>
          <w:color w:val="000000" w:themeColor="text1"/>
          <w:szCs w:val="21"/>
          <w:highlight w:val="none"/>
          <w14:textFill>
            <w14:solidFill>
              <w14:schemeClr w14:val="tx1"/>
            </w14:solidFill>
          </w14:textFill>
        </w:rPr>
        <w:t>4  标准主要内容的确定</w:t>
      </w:r>
    </w:p>
    <w:p>
      <w:pPr>
        <w:spacing w:before="156" w:beforeLines="50" w:after="156" w:afterLines="50" w:line="360" w:lineRule="auto"/>
        <w:rPr>
          <w:rFonts w:eastAsia="黑体"/>
          <w:b/>
          <w:bCs/>
          <w:color w:val="000000" w:themeColor="text1"/>
          <w:highlight w:val="none"/>
          <w14:textFill>
            <w14:solidFill>
              <w14:schemeClr w14:val="tx1"/>
            </w14:solidFill>
          </w14:textFill>
        </w:rPr>
      </w:pPr>
      <w:r>
        <w:rPr>
          <w:rFonts w:eastAsia="黑体"/>
          <w:b/>
          <w:bCs/>
          <w:color w:val="000000" w:themeColor="text1"/>
          <w:highlight w:val="none"/>
          <w14:textFill>
            <w14:solidFill>
              <w14:schemeClr w14:val="tx1"/>
            </w14:solidFill>
          </w14:textFill>
        </w:rPr>
        <w:t>4.1 规范性引用文件</w:t>
      </w:r>
    </w:p>
    <w:p>
      <w:pPr>
        <w:spacing w:line="360" w:lineRule="auto"/>
        <w:ind w:firstLine="420" w:firstLineChars="200"/>
        <w:rPr>
          <w:rFonts w:hint="eastAsia"/>
          <w:color w:val="000000" w:themeColor="text1"/>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增加</w:t>
      </w:r>
      <w:r>
        <w:rPr>
          <w:rFonts w:hint="eastAsia"/>
          <w:color w:val="000000" w:themeColor="text1"/>
          <w:highlight w:val="none"/>
          <w14:textFill>
            <w14:solidFill>
              <w14:schemeClr w14:val="tx1"/>
            </w14:solidFill>
          </w14:textFill>
        </w:rPr>
        <w:t>了</w:t>
      </w:r>
      <w:r>
        <w:rPr>
          <w:rFonts w:hint="eastAsia"/>
          <w:color w:val="000000" w:themeColor="text1"/>
          <w:highlight w:val="none"/>
          <w:lang w:val="en-US" w:eastAsia="zh-CN"/>
          <w14:textFill>
            <w14:solidFill>
              <w14:schemeClr w14:val="tx1"/>
            </w14:solidFill>
          </w14:textFill>
        </w:rPr>
        <w:t>“</w:t>
      </w:r>
      <w:r>
        <w:rPr>
          <w:rFonts w:hint="eastAsia"/>
          <w:color w:val="000000" w:themeColor="text1"/>
          <w:highlight w:val="none"/>
          <w14:textFill>
            <w14:solidFill>
              <w14:schemeClr w14:val="tx1"/>
            </w14:solidFill>
          </w14:textFill>
        </w:rPr>
        <w:t>规范性引用文件</w:t>
      </w:r>
      <w:r>
        <w:rPr>
          <w:rFonts w:hint="eastAsia"/>
          <w:color w:val="000000" w:themeColor="text1"/>
          <w:highlight w:val="none"/>
          <w:lang w:val="en-US" w:eastAsia="zh-CN"/>
          <w14:textFill>
            <w14:solidFill>
              <w14:schemeClr w14:val="tx1"/>
            </w14:solidFill>
          </w14:textFill>
        </w:rPr>
        <w:t>”的条目，替换被废止的 “</w:t>
      </w:r>
      <w:r>
        <w:rPr>
          <w:rFonts w:hint="eastAsia"/>
          <w:color w:val="000000" w:themeColor="text1"/>
          <w:highlight w:val="none"/>
          <w14:textFill>
            <w14:solidFill>
              <w14:schemeClr w14:val="tx1"/>
            </w14:solidFill>
          </w14:textFill>
        </w:rPr>
        <w:t>YS/T 478铜及铜合金导电率涡流测试方法</w:t>
      </w:r>
      <w:r>
        <w:rPr>
          <w:rFonts w:hint="eastAsia"/>
          <w:color w:val="000000" w:themeColor="text1"/>
          <w:highlight w:val="none"/>
          <w:lang w:val="en-US" w:eastAsia="zh-CN"/>
          <w14:textFill>
            <w14:solidFill>
              <w14:schemeClr w14:val="tx1"/>
            </w14:solidFill>
          </w14:textFill>
        </w:rPr>
        <w:t>”为“</w:t>
      </w:r>
      <w:r>
        <w:rPr>
          <w:rFonts w:hint="eastAsia"/>
          <w:color w:val="000000" w:themeColor="text1"/>
          <w:highlight w:val="none"/>
          <w14:textFill>
            <w14:solidFill>
              <w14:schemeClr w14:val="tx1"/>
            </w14:solidFill>
          </w14:textFill>
        </w:rPr>
        <w:t>GB/T 32791铜及铜合金导电率涡流测试方法</w:t>
      </w:r>
      <w:r>
        <w:rPr>
          <w:rFonts w:hint="eastAsia"/>
          <w:color w:val="000000" w:themeColor="text1"/>
          <w:highlight w:val="none"/>
          <w:lang w:eastAsia="zh-CN"/>
          <w14:textFill>
            <w14:solidFill>
              <w14:schemeClr w14:val="tx1"/>
            </w14:solidFill>
          </w14:textFill>
        </w:rPr>
        <w:t>”。</w:t>
      </w:r>
    </w:p>
    <w:p>
      <w:pPr>
        <w:bidi w:val="0"/>
        <w:spacing w:line="360" w:lineRule="auto"/>
        <w:ind w:firstLine="420" w:firstLineChars="200"/>
        <w:rPr>
          <w:rFonts w:hint="eastAsia"/>
          <w:color w:val="000000" w:themeColor="text1"/>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替换</w:t>
      </w:r>
      <w:r>
        <w:rPr>
          <w:rFonts w:hint="eastAsia" w:ascii="宋体" w:hAnsi="宋体" w:eastAsia="宋体" w:cs="宋体"/>
          <w:color w:val="000000" w:themeColor="text1"/>
          <w:highlight w:val="none"/>
          <w14:textFill>
            <w14:solidFill>
              <w14:schemeClr w14:val="tx1"/>
            </w14:solidFill>
          </w14:textFill>
        </w:rPr>
        <w:t>GB/T 8888</w:t>
      </w:r>
      <w:r>
        <w:rPr>
          <w:rFonts w:hint="eastAsia" w:ascii="宋体" w:hAnsi="宋体" w:eastAsia="宋体" w:cs="宋体"/>
          <w:color w:val="000000" w:themeColor="text1"/>
          <w:highlight w:val="none"/>
          <w:lang w:val="en-US" w:eastAsia="zh-CN"/>
          <w14:textFill>
            <w14:solidFill>
              <w14:schemeClr w14:val="tx1"/>
            </w14:solidFill>
          </w14:textFill>
        </w:rPr>
        <w:t>的</w:t>
      </w:r>
      <w:r>
        <w:rPr>
          <w:rFonts w:hint="eastAsia"/>
          <w:color w:val="000000" w:themeColor="text1"/>
          <w:highlight w:val="none"/>
          <w:lang w:val="en-US" w:eastAsia="zh-CN"/>
          <w14:textFill>
            <w14:solidFill>
              <w14:schemeClr w14:val="tx1"/>
            </w14:solidFill>
          </w14:textFill>
        </w:rPr>
        <w:t>2022版</w:t>
      </w:r>
      <w:r>
        <w:rPr>
          <w:rFonts w:hint="eastAsia" w:ascii="宋体" w:hAnsi="宋体" w:eastAsia="宋体" w:cs="宋体"/>
          <w:color w:val="000000" w:themeColor="text1"/>
          <w:highlight w:val="none"/>
          <w:lang w:val="en-US" w:eastAsia="zh-CN"/>
          <w14:textFill>
            <w14:solidFill>
              <w14:schemeClr w14:val="tx1"/>
            </w14:solidFill>
          </w14:textFill>
        </w:rPr>
        <w:t>名称</w:t>
      </w:r>
      <w:r>
        <w:rPr>
          <w:rFonts w:hint="eastAsia" w:ascii="宋体" w:hAnsi="宋体" w:cs="宋体"/>
          <w:color w:val="000000" w:themeColor="text1"/>
          <w:highlight w:val="none"/>
          <w:lang w:val="en-US" w:eastAsia="zh-CN"/>
          <w14:textFill>
            <w14:solidFill>
              <w14:schemeClr w14:val="tx1"/>
            </w14:solidFill>
          </w14:textFill>
        </w:rPr>
        <w:t>为</w:t>
      </w:r>
      <w:r>
        <w:rPr>
          <w:rFonts w:hint="eastAsia"/>
          <w:color w:val="000000" w:themeColor="text1"/>
          <w:highlight w:val="none"/>
          <w:lang w:eastAsia="zh-CN"/>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重有色金属加工产品的包装、标志、运输、贮存和质量证明书</w:t>
      </w:r>
      <w:r>
        <w:rPr>
          <w:rFonts w:hint="eastAsia"/>
          <w:color w:val="000000" w:themeColor="text1"/>
          <w:highlight w:val="none"/>
          <w:lang w:eastAsia="zh-CN"/>
          <w14:textFill>
            <w14:solidFill>
              <w14:schemeClr w14:val="tx1"/>
            </w14:solidFill>
          </w14:textFill>
        </w:rPr>
        <w:t>”。</w:t>
      </w:r>
    </w:p>
    <w:p>
      <w:pPr>
        <w:spacing w:line="360" w:lineRule="auto"/>
        <w:ind w:firstLine="420" w:firstLineChars="200"/>
        <w:rPr>
          <w:rFonts w:hint="eastAsia" w:ascii="宋体" w:hAnsi="宋体" w:eastAsia="宋体" w:cs="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增加“</w:t>
      </w:r>
      <w:r>
        <w:rPr>
          <w:rFonts w:hint="eastAsia"/>
          <w:color w:val="000000" w:themeColor="text1"/>
          <w:highlight w:val="none"/>
          <w14:textFill>
            <w14:solidFill>
              <w14:schemeClr w14:val="tx1"/>
            </w14:solidFill>
          </w14:textFill>
        </w:rPr>
        <w:t>GB/T 37568-2019铜及铜合金镀锡带材</w:t>
      </w:r>
      <w:r>
        <w:rPr>
          <w:rFonts w:hint="eastAsia"/>
          <w:color w:val="000000" w:themeColor="text1"/>
          <w:highlight w:val="none"/>
          <w:lang w:val="en-US" w:eastAsia="zh-CN"/>
          <w14:textFill>
            <w14:solidFill>
              <w14:schemeClr w14:val="tx1"/>
            </w14:solidFill>
          </w14:textFill>
        </w:rPr>
        <w:t>”</w:t>
      </w:r>
      <w:r>
        <w:rPr>
          <w:rFonts w:hint="eastAsia"/>
          <w:color w:val="000000" w:themeColor="text1"/>
          <w:szCs w:val="21"/>
          <w:highlight w:val="none"/>
          <w14:textFill>
            <w14:solidFill>
              <w14:schemeClr w14:val="tx1"/>
            </w14:solidFill>
          </w14:textFill>
        </w:rPr>
        <w:t>。</w:t>
      </w:r>
      <w:r>
        <w:rPr>
          <w:rFonts w:hint="eastAsia"/>
          <w:color w:val="000000" w:themeColor="text1"/>
          <w:szCs w:val="21"/>
          <w:highlight w:val="none"/>
          <w:lang w:val="en-US" w:eastAsia="zh-CN"/>
          <w14:textFill>
            <w14:solidFill>
              <w14:schemeClr w14:val="tx1"/>
            </w14:solidFill>
          </w14:textFill>
        </w:rPr>
        <w:t>因为原文件</w:t>
      </w:r>
      <w:r>
        <w:rPr>
          <w:rFonts w:hint="eastAsia"/>
          <w:color w:val="000000" w:themeColor="text1"/>
          <w:highlight w:val="none"/>
          <w14:textFill>
            <w14:solidFill>
              <w14:schemeClr w14:val="tx1"/>
            </w14:solidFill>
          </w14:textFill>
        </w:rPr>
        <w:t>导电横梁的内芯导电率试</w:t>
      </w:r>
      <w:r>
        <w:rPr>
          <w:rFonts w:hint="eastAsia" w:ascii="宋体" w:hAnsi="宋体" w:eastAsia="宋体" w:cs="宋体"/>
          <w:color w:val="000000" w:themeColor="text1"/>
          <w:highlight w:val="none"/>
          <w14:textFill>
            <w14:solidFill>
              <w14:schemeClr w14:val="tx1"/>
            </w14:solidFill>
          </w14:textFill>
        </w:rPr>
        <w:t>验</w:t>
      </w:r>
      <w:r>
        <w:rPr>
          <w:rFonts w:hint="eastAsia" w:ascii="宋体" w:hAnsi="宋体" w:eastAsia="宋体" w:cs="宋体"/>
          <w:color w:val="000000" w:themeColor="text1"/>
          <w:highlight w:val="none"/>
          <w:lang w:val="en-US" w:eastAsia="zh-CN"/>
          <w14:textFill>
            <w14:solidFill>
              <w14:schemeClr w14:val="tx1"/>
            </w14:solidFill>
          </w14:textFill>
        </w:rPr>
        <w:t>规定用此标准更合适</w:t>
      </w:r>
    </w:p>
    <w:p>
      <w:pPr>
        <w:tabs>
          <w:tab w:val="right" w:pos="9354"/>
        </w:tabs>
        <w:wordWrap w:val="0"/>
        <w:spacing w:line="360" w:lineRule="auto"/>
        <w:ind w:firstLine="420" w:firstLineChars="200"/>
        <w:rPr>
          <w:rFonts w:hint="default" w:eastAsia="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增加了“</w:t>
      </w:r>
      <w:r>
        <w:rPr>
          <w:rFonts w:hint="eastAsia" w:ascii="宋体" w:hAnsi="宋体" w:eastAsia="宋体" w:cs="宋体"/>
          <w:color w:val="000000" w:themeColor="text1"/>
          <w:highlight w:val="none"/>
          <w14:textFill>
            <w14:solidFill>
              <w14:schemeClr w14:val="tx1"/>
            </w14:solidFill>
          </w14:textFill>
        </w:rPr>
        <w:t>GB/T 8170　数值修约规则与极限数值的表示和判定</w:t>
      </w:r>
      <w:r>
        <w:rPr>
          <w:rFonts w:hint="eastAsia" w:ascii="宋体" w:hAnsi="宋体" w:eastAsia="宋体" w:cs="宋体"/>
          <w:color w:val="000000" w:themeColor="text1"/>
          <w:highlight w:val="none"/>
          <w:lang w:val="en-US" w:eastAsia="zh-CN"/>
          <w14:textFill>
            <w14:solidFill>
              <w14:schemeClr w14:val="tx1"/>
            </w14:solidFill>
          </w14:textFill>
        </w:rPr>
        <w:t>”，为</w:t>
      </w:r>
      <w:r>
        <w:rPr>
          <w:rFonts w:hint="eastAsia" w:ascii="宋体" w:hAnsi="宋体" w:eastAsia="宋体" w:cs="宋体"/>
          <w:color w:val="000000" w:themeColor="text1"/>
          <w:highlight w:val="none"/>
          <w14:textFill>
            <w14:solidFill>
              <w14:schemeClr w14:val="tx1"/>
            </w14:solidFill>
          </w14:textFill>
        </w:rPr>
        <w:t>检验结果的判定</w:t>
      </w:r>
      <w:r>
        <w:rPr>
          <w:rFonts w:hint="eastAsia" w:ascii="宋体" w:hAnsi="宋体" w:eastAsia="宋体" w:cs="宋体"/>
          <w:color w:val="000000" w:themeColor="text1"/>
          <w:highlight w:val="none"/>
          <w:lang w:val="en-US" w:eastAsia="zh-CN"/>
          <w14:textFill>
            <w14:solidFill>
              <w14:schemeClr w14:val="tx1"/>
            </w14:solidFill>
          </w14:textFill>
        </w:rPr>
        <w:t>提供</w:t>
      </w:r>
      <w:r>
        <w:rPr>
          <w:rFonts w:hint="eastAsia" w:ascii="宋体" w:hAnsi="宋体" w:eastAsia="宋体" w:cs="宋体"/>
          <w:color w:val="000000" w:themeColor="text1"/>
          <w:szCs w:val="21"/>
          <w:highlight w:val="none"/>
          <w14:textFill>
            <w14:solidFill>
              <w14:schemeClr w14:val="tx1"/>
            </w14:solidFill>
          </w14:textFill>
        </w:rPr>
        <w:t>采用修约值比较法判定</w:t>
      </w:r>
      <w:r>
        <w:rPr>
          <w:rFonts w:hint="eastAsia" w:ascii="宋体" w:hAnsi="宋体" w:eastAsia="宋体" w:cs="宋体"/>
          <w:color w:val="000000" w:themeColor="text1"/>
          <w:szCs w:val="21"/>
          <w:highlight w:val="none"/>
          <w:lang w:eastAsia="zh-CN"/>
          <w14:textFill>
            <w14:solidFill>
              <w14:schemeClr w14:val="tx1"/>
            </w14:solidFill>
          </w14:textFill>
        </w:rPr>
        <w:t>的</w:t>
      </w:r>
      <w:r>
        <w:rPr>
          <w:rFonts w:hint="eastAsia" w:ascii="宋体" w:hAnsi="宋体" w:eastAsia="宋体" w:cs="宋体"/>
          <w:color w:val="000000" w:themeColor="text1"/>
          <w:szCs w:val="21"/>
          <w:highlight w:val="none"/>
          <w:lang w:val="en-US" w:eastAsia="zh-CN"/>
          <w14:textFill>
            <w14:solidFill>
              <w14:schemeClr w14:val="tx1"/>
            </w14:solidFill>
          </w14:textFill>
        </w:rPr>
        <w:t>依据</w:t>
      </w:r>
    </w:p>
    <w:p>
      <w:pPr>
        <w:spacing w:before="156" w:beforeLines="50" w:after="156" w:afterLines="50" w:line="360" w:lineRule="auto"/>
        <w:rPr>
          <w:rFonts w:eastAsia="黑体"/>
          <w:b/>
          <w:bCs/>
          <w:color w:val="000000" w:themeColor="text1"/>
          <w:highlight w:val="none"/>
          <w14:textFill>
            <w14:solidFill>
              <w14:schemeClr w14:val="tx1"/>
            </w14:solidFill>
          </w14:textFill>
        </w:rPr>
      </w:pPr>
      <w:r>
        <w:rPr>
          <w:rFonts w:eastAsia="黑体"/>
          <w:b/>
          <w:bCs/>
          <w:color w:val="000000" w:themeColor="text1"/>
          <w:highlight w:val="none"/>
          <w14:textFill>
            <w14:solidFill>
              <w14:schemeClr w14:val="tx1"/>
            </w14:solidFill>
          </w14:textFill>
        </w:rPr>
        <w:t>4.2  产品</w:t>
      </w:r>
      <w:r>
        <w:rPr>
          <w:rFonts w:hint="eastAsia" w:eastAsia="黑体"/>
          <w:b/>
          <w:bCs/>
          <w:color w:val="000000" w:themeColor="text1"/>
          <w:highlight w:val="none"/>
          <w14:textFill>
            <w14:solidFill>
              <w14:schemeClr w14:val="tx1"/>
            </w14:solidFill>
          </w14:textFill>
        </w:rPr>
        <w:t>定义</w:t>
      </w:r>
      <w:r>
        <w:rPr>
          <w:rFonts w:eastAsia="黑体"/>
          <w:b/>
          <w:bCs/>
          <w:color w:val="000000" w:themeColor="text1"/>
          <w:highlight w:val="none"/>
          <w14:textFill>
            <w14:solidFill>
              <w14:schemeClr w14:val="tx1"/>
            </w14:solidFill>
          </w14:textFill>
        </w:rPr>
        <w:t>的确定</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80" w:lineRule="exact"/>
        <w:ind w:right="0" w:rightChars="0" w:firstLine="420" w:firstLineChars="200"/>
        <w:jc w:val="both"/>
        <w:textAlignment w:val="auto"/>
        <w:outlineLvl w:val="9"/>
        <w:rPr>
          <w:rFonts w:hint="eastAsia" w:ascii="宋体" w:hAnsi="宋体" w:eastAsia="宋体" w:cs="宋体"/>
          <w:b w:val="0"/>
          <w:bCs w:val="0"/>
          <w:i w:val="0"/>
          <w:caps w:val="0"/>
          <w:color w:val="000000" w:themeColor="text1"/>
          <w:spacing w:val="0"/>
          <w:sz w:val="21"/>
          <w:szCs w:val="21"/>
          <w:highlight w:val="none"/>
          <w:shd w:val="clear" w:color="auto" w:fill="FFFFFF"/>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原标准的产品定义不够确切，</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在市场上也有称为弓形梁阳极板或</w:t>
      </w:r>
      <w:r>
        <w:rPr>
          <w:rFonts w:hint="eastAsia" w:ascii="宋体" w:hAnsi="宋体" w:eastAsia="宋体" w:cs="宋体"/>
          <w:b w:val="0"/>
          <w:bCs w:val="0"/>
          <w:color w:val="000000" w:themeColor="text1"/>
          <w:sz w:val="21"/>
          <w:szCs w:val="21"/>
          <w:highlight w:val="none"/>
          <w14:textFill>
            <w14:solidFill>
              <w14:schemeClr w14:val="tx1"/>
            </w14:solidFill>
          </w14:textFill>
        </w:rPr>
        <w:t>U型导电横梁</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阳极板</w:t>
      </w:r>
      <w:r>
        <w:rPr>
          <w:rFonts w:hint="eastAsia" w:ascii="宋体" w:hAnsi="宋体" w:eastAsia="宋体" w:cs="宋体"/>
          <w:b w:val="0"/>
          <w:bCs w:val="0"/>
          <w:color w:val="000000" w:themeColor="text1"/>
          <w:sz w:val="21"/>
          <w:szCs w:val="21"/>
          <w:highlight w:val="none"/>
          <w:lang w:eastAsia="zh-CN"/>
          <w14:textFill>
            <w14:solidFill>
              <w14:schemeClr w14:val="tx1"/>
            </w14:solidFill>
          </w14:textFill>
        </w:rPr>
        <w:t>，</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为了便于统一，相对于传统直梁，</w:t>
      </w:r>
      <w:r>
        <w:rPr>
          <w:rFonts w:hint="eastAsia" w:ascii="宋体" w:hAnsi="宋体" w:eastAsia="宋体" w:cs="宋体"/>
          <w:b w:val="0"/>
          <w:bCs w:val="0"/>
          <w:color w:val="000000" w:themeColor="text1"/>
          <w:sz w:val="21"/>
          <w:szCs w:val="21"/>
          <w:highlight w:val="none"/>
          <w14:textFill>
            <w14:solidFill>
              <w14:schemeClr w14:val="tx1"/>
            </w14:solidFill>
          </w14:textFill>
        </w:rPr>
        <w:t>修订为：异型导电横梁</w:t>
      </w:r>
      <w:r>
        <w:rPr>
          <w:rFonts w:hint="eastAsia" w:ascii="宋体" w:hAnsi="宋体" w:eastAsia="宋体" w:cs="宋体"/>
          <w:b w:val="0"/>
          <w:bCs w:val="0"/>
          <w:i w:val="0"/>
          <w:caps w:val="0"/>
          <w:color w:val="000000" w:themeColor="text1"/>
          <w:spacing w:val="0"/>
          <w:sz w:val="21"/>
          <w:szCs w:val="21"/>
          <w:highlight w:val="none"/>
          <w:shd w:val="clear" w:color="auto" w:fill="FFFFFF"/>
          <w14:textFill>
            <w14:solidFill>
              <w14:schemeClr w14:val="tx1"/>
            </w14:solidFill>
          </w14:textFill>
        </w:rPr>
        <w:t>Special-shaped conductive crossbeam</w:t>
      </w:r>
    </w:p>
    <w:p>
      <w:pPr>
        <w:numPr>
          <w:ilvl w:val="0"/>
          <w:numId w:val="0"/>
        </w:numPr>
        <w:spacing w:beforeLines="0" w:afterLines="0" w:line="380" w:lineRule="exact"/>
        <w:ind w:firstLine="420" w:firstLineChars="200"/>
        <w:outlineLvl w:val="9"/>
        <w:rPr>
          <w:rFonts w:ascii="宋体" w:hAnsi="宋体" w:eastAsia="宋体" w:cs="宋体"/>
          <w:color w:val="000000" w:themeColor="text1"/>
          <w:sz w:val="21"/>
          <w:szCs w:val="21"/>
          <w:highlight w:val="none"/>
          <w:shd w:val="clear" w:color="auto" w:fill="F5F5F5"/>
          <w14:textFill>
            <w14:solidFill>
              <w14:schemeClr w14:val="tx1"/>
            </w14:solidFill>
          </w14:textFill>
        </w:rPr>
      </w:pPr>
    </w:p>
    <w:p>
      <w:pPr>
        <w:pStyle w:val="13"/>
        <w:spacing w:before="0" w:beforeLines="0" w:after="0" w:afterLines="0" w:line="360" w:lineRule="auto"/>
        <w:ind w:left="0" w:firstLine="0"/>
        <w:rPr>
          <w:rFonts w:ascii="宋体" w:hAnsi="宋体" w:eastAsia="宋体" w:cs="宋体"/>
          <w:b/>
          <w:bCs/>
          <w:color w:val="000000" w:themeColor="text1"/>
          <w:szCs w:val="21"/>
          <w:highlight w:val="none"/>
          <w14:textFill>
            <w14:solidFill>
              <w14:schemeClr w14:val="tx1"/>
            </w14:solidFill>
          </w14:textFill>
        </w:rPr>
      </w:pPr>
      <w:r>
        <w:rPr>
          <w:rFonts w:hint="eastAsia" w:ascii="宋体" w:hAnsi="宋体" w:eastAsia="宋体" w:cs="宋体"/>
          <w:b/>
          <w:bCs/>
          <w:color w:val="000000" w:themeColor="text1"/>
          <w:szCs w:val="21"/>
          <w:highlight w:val="none"/>
          <w14:textFill>
            <w14:solidFill>
              <w14:schemeClr w14:val="tx1"/>
            </w14:solidFill>
          </w14:textFill>
        </w:rPr>
        <w:t>4.3 产品分类的确定</w:t>
      </w:r>
    </w:p>
    <w:p>
      <w:pPr>
        <w:pStyle w:val="14"/>
        <w:spacing w:line="360" w:lineRule="auto"/>
        <w:ind w:firstLine="420"/>
        <w:rPr>
          <w:rFonts w:hint="eastAsia"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对原标准中表述的分类形状作修订确定：U型修改为：异型；原</w:t>
      </w:r>
      <w:r>
        <w:rPr>
          <w:rFonts w:hint="eastAsia" w:hAnsi="宋体" w:cs="宋体"/>
          <w:b/>
          <w:bCs/>
          <w:color w:val="000000" w:themeColor="text1"/>
          <w:szCs w:val="21"/>
          <w:highlight w:val="none"/>
          <w14:textFill>
            <w14:solidFill>
              <w14:schemeClr w14:val="tx1"/>
            </w14:solidFill>
          </w14:textFill>
        </w:rPr>
        <w:t>U</w:t>
      </w:r>
      <w:r>
        <w:rPr>
          <w:rFonts w:hint="eastAsia" w:hAnsi="宋体" w:cs="宋体"/>
          <w:color w:val="000000" w:themeColor="text1"/>
          <w:szCs w:val="21"/>
          <w:highlight w:val="none"/>
          <w14:textFill>
            <w14:solidFill>
              <w14:schemeClr w14:val="tx1"/>
            </w14:solidFill>
          </w14:textFill>
        </w:rPr>
        <w:t>型梁阳极板修改为：异性梁阳极板</w:t>
      </w:r>
    </w:p>
    <w:p>
      <w:pPr>
        <w:spacing w:before="156" w:beforeLines="50" w:after="156" w:afterLines="50" w:line="360" w:lineRule="auto"/>
        <w:rPr>
          <w:rFonts w:eastAsia="黑体"/>
          <w:b/>
          <w:bCs/>
          <w:color w:val="000000" w:themeColor="text1"/>
          <w:highlight w:val="none"/>
          <w14:textFill>
            <w14:solidFill>
              <w14:schemeClr w14:val="tx1"/>
            </w14:solidFill>
          </w14:textFill>
        </w:rPr>
      </w:pPr>
      <w:r>
        <w:rPr>
          <w:rFonts w:eastAsia="黑体"/>
          <w:b/>
          <w:bCs/>
          <w:color w:val="000000" w:themeColor="text1"/>
          <w:highlight w:val="none"/>
          <w14:textFill>
            <w14:solidFill>
              <w14:schemeClr w14:val="tx1"/>
            </w14:solidFill>
          </w14:textFill>
        </w:rPr>
        <w:t>4.</w:t>
      </w:r>
      <w:r>
        <w:rPr>
          <w:rFonts w:hint="eastAsia" w:eastAsia="黑体"/>
          <w:b/>
          <w:bCs/>
          <w:color w:val="000000" w:themeColor="text1"/>
          <w:highlight w:val="none"/>
          <w:lang w:val="en-US" w:eastAsia="zh-CN"/>
          <w14:textFill>
            <w14:solidFill>
              <w14:schemeClr w14:val="tx1"/>
            </w14:solidFill>
          </w14:textFill>
        </w:rPr>
        <w:t>4</w:t>
      </w:r>
      <w:r>
        <w:rPr>
          <w:rFonts w:eastAsia="黑体"/>
          <w:b/>
          <w:bCs/>
          <w:color w:val="000000" w:themeColor="text1"/>
          <w:highlight w:val="none"/>
          <w14:textFill>
            <w14:solidFill>
              <w14:schemeClr w14:val="tx1"/>
            </w14:solidFill>
          </w14:textFill>
        </w:rPr>
        <w:t xml:space="preserve">  标准主要内容的确定</w:t>
      </w:r>
    </w:p>
    <w:p>
      <w:pPr>
        <w:pStyle w:val="4"/>
        <w:ind w:firstLine="420" w:firstLineChars="200"/>
        <w:rPr>
          <w:rFonts w:hint="eastAsia" w:hAnsi="宋体" w:cs="宋体"/>
          <w:color w:val="000000" w:themeColor="text1"/>
          <w:szCs w:val="2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对第4章要求部分修改为：第4章质量保证和第五章分类和标记</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这样</w:t>
      </w:r>
      <w:r>
        <w:rPr>
          <w:rFonts w:hint="eastAsia"/>
          <w:color w:val="000000" w:themeColor="text1"/>
          <w:highlight w:val="none"/>
          <w:lang w:val="en-US" w:eastAsia="zh-CN"/>
          <w14:textFill>
            <w14:solidFill>
              <w14:schemeClr w14:val="tx1"/>
            </w14:solidFill>
          </w14:textFill>
        </w:rPr>
        <w:t>与</w:t>
      </w:r>
      <w:r>
        <w:rPr>
          <w:rFonts w:hint="eastAsia"/>
          <w:color w:val="000000" w:themeColor="text1"/>
          <w:highlight w:val="none"/>
          <w14:textFill>
            <w14:solidFill>
              <w14:schemeClr w14:val="tx1"/>
            </w14:solidFill>
          </w14:textFill>
        </w:rPr>
        <w:t>6、7</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8</w:t>
      </w:r>
      <w:r>
        <w:rPr>
          <w:color w:val="000000" w:themeColor="text1"/>
          <w:highlight w:val="none"/>
          <w14:textFill>
            <w14:solidFill>
              <w14:schemeClr w14:val="tx1"/>
            </w14:solidFill>
          </w14:textFill>
        </w:rPr>
        <w:t>三章</w:t>
      </w:r>
      <w:r>
        <w:rPr>
          <w:rFonts w:hint="eastAsia"/>
          <w:color w:val="000000" w:themeColor="text1"/>
          <w:highlight w:val="none"/>
          <w:lang w:eastAsia="zh-CN"/>
          <w14:textFill>
            <w14:solidFill>
              <w14:schemeClr w14:val="tx1"/>
            </w14:solidFill>
          </w14:textFill>
        </w:rPr>
        <w:t>的</w:t>
      </w:r>
      <w:r>
        <w:rPr>
          <w:rFonts w:hint="eastAsia"/>
          <w:color w:val="000000" w:themeColor="text1"/>
          <w:highlight w:val="none"/>
          <w:lang w:val="en-US" w:eastAsia="zh-CN"/>
          <w14:textFill>
            <w14:solidFill>
              <w14:schemeClr w14:val="tx1"/>
            </w14:solidFill>
          </w14:textFill>
        </w:rPr>
        <w:t>内容</w:t>
      </w:r>
      <w:r>
        <w:rPr>
          <w:rFonts w:hint="eastAsia"/>
          <w:color w:val="000000" w:themeColor="text1"/>
          <w:highlight w:val="none"/>
          <w14:textFill>
            <w14:solidFill>
              <w14:schemeClr w14:val="tx1"/>
            </w14:solidFill>
          </w14:textFill>
        </w:rPr>
        <w:t>能够</w:t>
      </w:r>
      <w:r>
        <w:rPr>
          <w:rFonts w:hint="eastAsia"/>
          <w:color w:val="000000" w:themeColor="text1"/>
          <w:highlight w:val="none"/>
          <w:lang w:val="en-US" w:eastAsia="zh-CN"/>
          <w14:textFill>
            <w14:solidFill>
              <w14:schemeClr w14:val="tx1"/>
            </w14:solidFill>
          </w14:textFill>
        </w:rPr>
        <w:t>相互衔接</w:t>
      </w:r>
      <w:r>
        <w:rPr>
          <w:rFonts w:hint="eastAsia"/>
          <w:color w:val="000000" w:themeColor="text1"/>
          <w:highlight w:val="none"/>
          <w14:textFill>
            <w14:solidFill>
              <w14:schemeClr w14:val="tx1"/>
            </w14:solidFill>
          </w14:textFill>
        </w:rPr>
        <w:t>对应</w:t>
      </w:r>
    </w:p>
    <w:p>
      <w:pPr>
        <w:pStyle w:val="14"/>
        <w:spacing w:line="360" w:lineRule="auto"/>
        <w:ind w:firstLine="420" w:firstLineChars="200"/>
        <w:rPr>
          <w:rFonts w:hint="eastAsia"/>
          <w:color w:val="000000" w:themeColor="text1"/>
          <w:highlight w:val="none"/>
          <w:lang w:val="en-US" w:eastAsia="zh-CN"/>
          <w14:textFill>
            <w14:solidFill>
              <w14:schemeClr w14:val="tx1"/>
            </w14:solidFill>
          </w14:textFill>
        </w:rPr>
      </w:pPr>
      <w:r>
        <w:rPr>
          <w:rFonts w:hint="eastAsia" w:hAnsi="宋体" w:cs="宋体"/>
          <w:color w:val="000000" w:themeColor="text1"/>
          <w:szCs w:val="21"/>
          <w:highlight w:val="none"/>
          <w:lang w:val="en-US" w:eastAsia="zh-CN"/>
          <w14:textFill>
            <w14:solidFill>
              <w14:schemeClr w14:val="tx1"/>
            </w14:solidFill>
          </w14:textFill>
        </w:rPr>
        <w:t xml:space="preserve">增加4.3 </w:t>
      </w:r>
      <w:r>
        <w:rPr>
          <w:rFonts w:hint="eastAsia"/>
          <w:color w:val="000000" w:themeColor="text1"/>
          <w:highlight w:val="none"/>
          <w:lang w:val="en-US" w:eastAsia="zh-CN"/>
          <w14:textFill>
            <w14:solidFill>
              <w14:schemeClr w14:val="tx1"/>
            </w14:solidFill>
          </w14:textFill>
        </w:rPr>
        <w:t>原材料要求</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w:t>
      </w:r>
      <w:r>
        <w:rPr>
          <w:rFonts w:hint="eastAsia"/>
          <w:color w:val="000000" w:themeColor="text1"/>
          <w:highlight w:val="none"/>
          <w14:textFill>
            <w14:solidFill>
              <w14:schemeClr w14:val="tx1"/>
            </w14:solidFill>
          </w14:textFill>
        </w:rPr>
        <w:t>铜原料：应符合GB/T 5231中的规定要求</w:t>
      </w:r>
      <w:r>
        <w:rPr>
          <w:rFonts w:hint="eastAsia"/>
          <w:color w:val="000000" w:themeColor="text1"/>
          <w:highlight w:val="none"/>
          <w:lang w:val="en-US" w:eastAsia="zh-CN"/>
          <w14:textFill>
            <w14:solidFill>
              <w14:schemeClr w14:val="tx1"/>
            </w14:solidFill>
          </w14:textFill>
        </w:rPr>
        <w:t>”。</w:t>
      </w:r>
    </w:p>
    <w:p>
      <w:pPr>
        <w:pStyle w:val="14"/>
        <w:spacing w:line="360" w:lineRule="auto"/>
        <w:ind w:firstLine="420" w:firstLineChars="200"/>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14:textFill>
            <w14:solidFill>
              <w14:schemeClr w14:val="tx1"/>
            </w14:solidFill>
          </w14:textFill>
        </w:rPr>
        <w:t>修改了</w:t>
      </w:r>
      <w:r>
        <w:rPr>
          <w:rFonts w:hint="eastAsia"/>
          <w:color w:val="000000" w:themeColor="text1"/>
          <w:highlight w:val="none"/>
          <w:lang w:val="en-US" w:eastAsia="zh-CN"/>
          <w14:textFill>
            <w14:solidFill>
              <w14:schemeClr w14:val="tx1"/>
            </w14:solidFill>
          </w14:textFill>
        </w:rPr>
        <w:t>表1 板面状态和规格，其中，制造方法</w:t>
      </w:r>
      <w:r>
        <w:rPr>
          <w:rFonts w:hint="eastAsia"/>
          <w:color w:val="000000" w:themeColor="text1"/>
          <w:highlight w:val="none"/>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准确定义板面的制造方法</w:t>
      </w:r>
      <w:r>
        <w:rPr>
          <w:rFonts w:hint="eastAsia"/>
          <w:color w:val="000000" w:themeColor="text1"/>
          <w:highlight w:val="none"/>
          <w14:textFill>
            <w14:solidFill>
              <w14:schemeClr w14:val="tx1"/>
            </w14:solidFill>
          </w14:textFill>
        </w:rPr>
        <w:t>从</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经熔炼、轧制、焊接组装而成”</w:t>
      </w:r>
      <w:r>
        <w:rPr>
          <w:rFonts w:hint="eastAsia"/>
          <w:color w:val="000000" w:themeColor="text1"/>
          <w:highlight w:val="none"/>
          <w14:textFill>
            <w14:solidFill>
              <w14:schemeClr w14:val="tx1"/>
            </w14:solidFill>
          </w14:textFill>
        </w:rPr>
        <w:t>修改为</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轧制</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增加了浇铸板的规格和制造方法</w:t>
      </w:r>
    </w:p>
    <w:p>
      <w:pPr>
        <w:pStyle w:val="14"/>
        <w:spacing w:line="360" w:lineRule="auto"/>
        <w:ind w:firstLine="420"/>
        <w:rPr>
          <w:rFonts w:hint="eastAsia" w:hAnsi="宋体" w:cs="宋体"/>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修改了表</w:t>
      </w:r>
      <w:r>
        <w:rPr>
          <w:rFonts w:hint="eastAsia" w:hAnsi="宋体" w:cs="宋体"/>
          <w:color w:val="000000" w:themeColor="text1"/>
          <w:szCs w:val="21"/>
          <w:highlight w:val="none"/>
          <w:lang w:val="en-US" w:eastAsia="zh-CN"/>
          <w14:textFill>
            <w14:solidFill>
              <w14:schemeClr w14:val="tx1"/>
            </w14:solidFill>
          </w14:textFill>
        </w:rPr>
        <w:t>2</w:t>
      </w:r>
      <w:r>
        <w:rPr>
          <w:rFonts w:hint="eastAsia" w:hAnsi="宋体" w:cs="宋体"/>
          <w:color w:val="000000" w:themeColor="text1"/>
          <w:szCs w:val="21"/>
          <w:highlight w:val="none"/>
          <w14:textFill>
            <w14:solidFill>
              <w14:schemeClr w14:val="tx1"/>
            </w14:solidFill>
          </w14:textFill>
        </w:rPr>
        <w:t>阳极板面的化学成分参数</w:t>
      </w:r>
    </w:p>
    <w:p>
      <w:pPr>
        <w:pStyle w:val="14"/>
        <w:spacing w:line="360" w:lineRule="auto"/>
        <w:ind w:firstLine="0" w:firstLineChars="0"/>
        <w:jc w:val="center"/>
        <w:rPr>
          <w:rFonts w:hint="eastAsia" w:ascii="黑体" w:hAnsi="黑体" w:eastAsia="黑体"/>
          <w:color w:val="000000" w:themeColor="text1"/>
          <w:highlight w:val="none"/>
          <w14:textFill>
            <w14:solidFill>
              <w14:schemeClr w14:val="tx1"/>
            </w14:solidFill>
          </w14:textFill>
        </w:rPr>
      </w:pPr>
      <w:r>
        <w:rPr>
          <w:rFonts w:hint="eastAsia" w:ascii="黑体" w:hAnsi="黑体" w:eastAsia="黑体"/>
          <w:color w:val="000000" w:themeColor="text1"/>
          <w:highlight w:val="none"/>
          <w14:textFill>
            <w14:solidFill>
              <w14:schemeClr w14:val="tx1"/>
            </w14:solidFill>
          </w14:textFill>
        </w:rPr>
        <w:t>表2  阳极板面的化学成分</w:t>
      </w:r>
    </w:p>
    <w:tbl>
      <w:tblPr>
        <w:tblStyle w:val="8"/>
        <w:tblW w:w="505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8"/>
        <w:gridCol w:w="547"/>
        <w:gridCol w:w="631"/>
        <w:gridCol w:w="973"/>
        <w:gridCol w:w="988"/>
        <w:gridCol w:w="806"/>
        <w:gridCol w:w="631"/>
        <w:gridCol w:w="631"/>
        <w:gridCol w:w="631"/>
        <w:gridCol w:w="631"/>
        <w:gridCol w:w="63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515" w:type="pct"/>
            <w:vMerge w:val="restart"/>
            <w:tcBorders>
              <w:top w:val="single" w:color="auto" w:sz="4" w:space="0"/>
              <w:left w:val="single" w:color="auto" w:sz="4" w:space="0"/>
              <w:right w:val="single" w:color="auto" w:sz="4" w:space="0"/>
            </w:tcBorders>
            <w:noWrap w:val="0"/>
            <w:tcMar>
              <w:left w:w="57" w:type="dxa"/>
              <w:right w:w="57" w:type="dxa"/>
            </w:tcMar>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牌号</w:t>
            </w:r>
          </w:p>
        </w:tc>
        <w:tc>
          <w:tcPr>
            <w:tcW w:w="4485" w:type="pct"/>
            <w:gridSpan w:val="11"/>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化学成分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515" w:type="pct"/>
            <w:vMerge w:val="continue"/>
            <w:tcBorders>
              <w:left w:val="single" w:color="auto" w:sz="4" w:space="0"/>
              <w:right w:val="single" w:color="auto" w:sz="4" w:space="0"/>
            </w:tcBorders>
            <w:noWrap w:val="0"/>
            <w:tcMar>
              <w:left w:w="57" w:type="dxa"/>
              <w:right w:w="57" w:type="dxa"/>
            </w:tcMar>
            <w:vAlign w:val="center"/>
          </w:tcPr>
          <w:p>
            <w:pPr>
              <w:jc w:val="center"/>
              <w:rPr>
                <w:rFonts w:hint="eastAsia" w:ascii="宋体" w:hAnsi="宋体" w:cs="宋体"/>
                <w:color w:val="000000" w:themeColor="text1"/>
                <w:sz w:val="18"/>
                <w:szCs w:val="18"/>
                <w:highlight w:val="none"/>
                <w14:textFill>
                  <w14:solidFill>
                    <w14:schemeClr w14:val="tx1"/>
                  </w14:solidFill>
                </w14:textFill>
              </w:rPr>
            </w:pPr>
          </w:p>
        </w:tc>
        <w:tc>
          <w:tcPr>
            <w:tcW w:w="2286" w:type="pct"/>
            <w:gridSpan w:val="5"/>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合金成分（质量分数）</w:t>
            </w:r>
          </w:p>
        </w:tc>
        <w:tc>
          <w:tcPr>
            <w:tcW w:w="2198" w:type="pct"/>
            <w:gridSpan w:val="6"/>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杂质含量（质量分数），不大于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515" w:type="pct"/>
            <w:vMerge w:val="continue"/>
            <w:tcBorders>
              <w:left w:val="single" w:color="auto" w:sz="4" w:space="0"/>
              <w:bottom w:val="single" w:color="auto" w:sz="4" w:space="0"/>
              <w:right w:val="single" w:color="auto" w:sz="4" w:space="0"/>
            </w:tcBorders>
            <w:noWrap w:val="0"/>
            <w:tcMar>
              <w:left w:w="57" w:type="dxa"/>
              <w:right w:w="57" w:type="dxa"/>
            </w:tcMar>
            <w:vAlign w:val="center"/>
          </w:tcPr>
          <w:p>
            <w:pPr>
              <w:jc w:val="center"/>
              <w:rPr>
                <w:rFonts w:hint="eastAsia" w:ascii="宋体" w:hAnsi="宋体" w:cs="宋体"/>
                <w:color w:val="000000" w:themeColor="text1"/>
                <w:sz w:val="18"/>
                <w:szCs w:val="18"/>
                <w:highlight w:val="none"/>
                <w14:textFill>
                  <w14:solidFill>
                    <w14:schemeClr w14:val="tx1"/>
                  </w14:solidFill>
                </w14:textFill>
              </w:rPr>
            </w:pPr>
          </w:p>
        </w:tc>
        <w:tc>
          <w:tcPr>
            <w:tcW w:w="317" w:type="pc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Pb</w:t>
            </w:r>
          </w:p>
        </w:tc>
        <w:tc>
          <w:tcPr>
            <w:tcW w:w="366" w:type="pc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Sn</w:t>
            </w:r>
          </w:p>
        </w:tc>
        <w:tc>
          <w:tcPr>
            <w:tcW w:w="564" w:type="pc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Ca</w:t>
            </w:r>
          </w:p>
        </w:tc>
        <w:tc>
          <w:tcPr>
            <w:tcW w:w="573" w:type="pc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Sr</w:t>
            </w:r>
          </w:p>
        </w:tc>
        <w:tc>
          <w:tcPr>
            <w:tcW w:w="467" w:type="pc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Sb</w:t>
            </w:r>
          </w:p>
        </w:tc>
        <w:tc>
          <w:tcPr>
            <w:tcW w:w="366" w:type="pc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Cu</w:t>
            </w:r>
          </w:p>
        </w:tc>
        <w:tc>
          <w:tcPr>
            <w:tcW w:w="366" w:type="pc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Sb</w:t>
            </w:r>
          </w:p>
        </w:tc>
        <w:tc>
          <w:tcPr>
            <w:tcW w:w="366" w:type="pc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As</w:t>
            </w:r>
          </w:p>
        </w:tc>
        <w:tc>
          <w:tcPr>
            <w:tcW w:w="366" w:type="pc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Bi</w:t>
            </w:r>
          </w:p>
        </w:tc>
        <w:tc>
          <w:tcPr>
            <w:tcW w:w="366" w:type="pc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Fe</w:t>
            </w:r>
          </w:p>
        </w:tc>
        <w:tc>
          <w:tcPr>
            <w:tcW w:w="368" w:type="pc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Zn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515" w:type="pc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PbSb</w:t>
            </w:r>
          </w:p>
        </w:tc>
        <w:tc>
          <w:tcPr>
            <w:tcW w:w="317" w:type="pct"/>
            <w:vMerge w:val="restart"/>
            <w:tcBorders>
              <w:top w:val="single" w:color="auto" w:sz="4" w:space="0"/>
              <w:left w:val="single" w:color="auto" w:sz="4" w:space="0"/>
              <w:right w:val="single" w:color="auto" w:sz="4" w:space="0"/>
            </w:tcBorders>
            <w:noWrap w:val="0"/>
            <w:tcMar>
              <w:left w:w="57" w:type="dxa"/>
              <w:right w:w="57" w:type="dxa"/>
            </w:tcMar>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余量</w:t>
            </w:r>
          </w:p>
        </w:tc>
        <w:tc>
          <w:tcPr>
            <w:tcW w:w="366" w:type="pct"/>
            <w:vMerge w:val="restart"/>
            <w:tcBorders>
              <w:top w:val="single" w:color="auto" w:sz="4" w:space="0"/>
              <w:left w:val="single" w:color="auto" w:sz="4" w:space="0"/>
              <w:right w:val="single" w:color="auto" w:sz="4" w:space="0"/>
            </w:tcBorders>
            <w:noWrap w:val="0"/>
            <w:tcMar>
              <w:left w:w="57" w:type="dxa"/>
              <w:right w:w="57" w:type="dxa"/>
            </w:tcMar>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w:t>
            </w:r>
          </w:p>
        </w:tc>
        <w:tc>
          <w:tcPr>
            <w:tcW w:w="564" w:type="pc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w:t>
            </w:r>
          </w:p>
        </w:tc>
        <w:tc>
          <w:tcPr>
            <w:tcW w:w="573" w:type="pc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w:t>
            </w:r>
          </w:p>
        </w:tc>
        <w:tc>
          <w:tcPr>
            <w:tcW w:w="467" w:type="pc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hint="default"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sz w:val="18"/>
                <w:szCs w:val="18"/>
                <w:highlight w:val="none"/>
                <w:lang w:val="en-US" w:eastAsia="zh-CN"/>
                <w14:textFill>
                  <w14:solidFill>
                    <w14:schemeClr w14:val="tx1"/>
                  </w14:solidFill>
                </w14:textFill>
              </w:rPr>
              <w:t>2</w:t>
            </w:r>
            <w:r>
              <w:rPr>
                <w:rFonts w:hint="eastAsia" w:ascii="宋体" w:hAnsi="宋体" w:cs="宋体"/>
                <w:color w:val="000000" w:themeColor="text1"/>
                <w:sz w:val="18"/>
                <w:szCs w:val="18"/>
                <w:highlight w:val="none"/>
                <w14:textFill>
                  <w14:solidFill>
                    <w14:schemeClr w14:val="tx1"/>
                  </w14:solidFill>
                </w14:textFill>
              </w:rPr>
              <w:t>.0～</w:t>
            </w:r>
            <w:r>
              <w:rPr>
                <w:rFonts w:hint="eastAsia" w:ascii="宋体" w:hAnsi="宋体" w:cs="宋体"/>
                <w:color w:val="000000" w:themeColor="text1"/>
                <w:sz w:val="18"/>
                <w:szCs w:val="18"/>
                <w:highlight w:val="none"/>
                <w:lang w:val="en-US" w:eastAsia="zh-CN"/>
                <w14:textFill>
                  <w14:solidFill>
                    <w14:schemeClr w14:val="tx1"/>
                  </w14:solidFill>
                </w14:textFill>
              </w:rPr>
              <w:t>10</w:t>
            </w:r>
          </w:p>
        </w:tc>
        <w:tc>
          <w:tcPr>
            <w:tcW w:w="366" w:type="pc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0.001</w:t>
            </w:r>
          </w:p>
        </w:tc>
        <w:tc>
          <w:tcPr>
            <w:tcW w:w="366" w:type="pc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w:t>
            </w:r>
          </w:p>
        </w:tc>
        <w:tc>
          <w:tcPr>
            <w:tcW w:w="366" w:type="pc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0.010</w:t>
            </w:r>
          </w:p>
        </w:tc>
        <w:tc>
          <w:tcPr>
            <w:tcW w:w="366" w:type="pc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hint="default"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0.</w:t>
            </w:r>
            <w:r>
              <w:rPr>
                <w:rFonts w:hint="eastAsia" w:ascii="宋体" w:hAnsi="宋体" w:cs="宋体"/>
                <w:color w:val="000000" w:themeColor="text1"/>
                <w:sz w:val="18"/>
                <w:szCs w:val="18"/>
                <w:highlight w:val="none"/>
                <w:lang w:val="en-US" w:eastAsia="zh-CN"/>
                <w14:textFill>
                  <w14:solidFill>
                    <w14:schemeClr w14:val="tx1"/>
                  </w14:solidFill>
                </w14:textFill>
              </w:rPr>
              <w:t>003</w:t>
            </w:r>
          </w:p>
        </w:tc>
        <w:tc>
          <w:tcPr>
            <w:tcW w:w="366" w:type="pc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0.001</w:t>
            </w:r>
          </w:p>
        </w:tc>
        <w:tc>
          <w:tcPr>
            <w:tcW w:w="368" w:type="pc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515" w:type="pc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PbCa</w:t>
            </w:r>
          </w:p>
        </w:tc>
        <w:tc>
          <w:tcPr>
            <w:tcW w:w="317" w:type="pct"/>
            <w:vMerge w:val="continue"/>
            <w:tcBorders>
              <w:left w:val="single" w:color="auto" w:sz="4" w:space="0"/>
              <w:right w:val="single" w:color="auto" w:sz="4" w:space="0"/>
            </w:tcBorders>
            <w:noWrap w:val="0"/>
            <w:tcMar>
              <w:left w:w="57" w:type="dxa"/>
              <w:right w:w="57" w:type="dxa"/>
            </w:tcMar>
            <w:vAlign w:val="center"/>
          </w:tcPr>
          <w:p>
            <w:pPr>
              <w:jc w:val="center"/>
              <w:rPr>
                <w:rFonts w:hint="eastAsia" w:ascii="宋体" w:hAnsi="宋体" w:cs="宋体"/>
                <w:color w:val="000000" w:themeColor="text1"/>
                <w:sz w:val="18"/>
                <w:szCs w:val="18"/>
                <w:highlight w:val="none"/>
                <w14:textFill>
                  <w14:solidFill>
                    <w14:schemeClr w14:val="tx1"/>
                  </w14:solidFill>
                </w14:textFill>
              </w:rPr>
            </w:pPr>
          </w:p>
        </w:tc>
        <w:tc>
          <w:tcPr>
            <w:tcW w:w="366" w:type="pct"/>
            <w:vMerge w:val="continue"/>
            <w:tcBorders>
              <w:top w:val="single" w:color="auto" w:sz="4" w:space="0"/>
              <w:left w:val="single" w:color="auto" w:sz="4" w:space="0"/>
              <w:right w:val="single" w:color="auto" w:sz="4" w:space="0"/>
            </w:tcBorders>
            <w:noWrap w:val="0"/>
            <w:tcMar>
              <w:left w:w="57" w:type="dxa"/>
              <w:right w:w="57" w:type="dxa"/>
            </w:tcMar>
            <w:vAlign w:val="center"/>
          </w:tcPr>
          <w:p>
            <w:pPr>
              <w:jc w:val="center"/>
              <w:rPr>
                <w:rFonts w:hint="eastAsia" w:ascii="宋体" w:hAnsi="宋体" w:cs="宋体"/>
                <w:color w:val="000000" w:themeColor="text1"/>
                <w:sz w:val="18"/>
                <w:szCs w:val="18"/>
                <w:highlight w:val="none"/>
                <w14:textFill>
                  <w14:solidFill>
                    <w14:schemeClr w14:val="tx1"/>
                  </w14:solidFill>
                </w14:textFill>
              </w:rPr>
            </w:pPr>
          </w:p>
        </w:tc>
        <w:tc>
          <w:tcPr>
            <w:tcW w:w="564" w:type="pc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0.04</w:t>
            </w:r>
            <w:r>
              <w:rPr>
                <w:rFonts w:hint="eastAsia" w:ascii="Arial" w:hAnsi="Arial" w:cs="Arial"/>
                <w:color w:val="000000" w:themeColor="text1"/>
                <w:sz w:val="18"/>
                <w:highlight w:val="none"/>
                <w14:textFill>
                  <w14:solidFill>
                    <w14:schemeClr w14:val="tx1"/>
                  </w14:solidFill>
                </w14:textFill>
              </w:rPr>
              <w:t>～</w:t>
            </w:r>
            <w:r>
              <w:rPr>
                <w:rFonts w:hint="eastAsia" w:ascii="宋体" w:hAnsi="宋体" w:cs="宋体"/>
                <w:color w:val="000000" w:themeColor="text1"/>
                <w:sz w:val="18"/>
                <w:szCs w:val="18"/>
                <w:highlight w:val="none"/>
                <w14:textFill>
                  <w14:solidFill>
                    <w14:schemeClr w14:val="tx1"/>
                  </w14:solidFill>
                </w14:textFill>
              </w:rPr>
              <w:t>1.0</w:t>
            </w:r>
          </w:p>
        </w:tc>
        <w:tc>
          <w:tcPr>
            <w:tcW w:w="573" w:type="pc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w:t>
            </w:r>
          </w:p>
        </w:tc>
        <w:tc>
          <w:tcPr>
            <w:tcW w:w="467" w:type="pc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w:t>
            </w:r>
          </w:p>
        </w:tc>
        <w:tc>
          <w:tcPr>
            <w:tcW w:w="366" w:type="pc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0.001</w:t>
            </w:r>
          </w:p>
        </w:tc>
        <w:tc>
          <w:tcPr>
            <w:tcW w:w="366" w:type="pc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0.001</w:t>
            </w:r>
          </w:p>
        </w:tc>
        <w:tc>
          <w:tcPr>
            <w:tcW w:w="366" w:type="pc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0.001</w:t>
            </w:r>
          </w:p>
        </w:tc>
        <w:tc>
          <w:tcPr>
            <w:tcW w:w="366" w:type="pc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hint="eastAsia" w:ascii="宋体" w:hAnsi="宋体" w:eastAsia="宋体" w:cs="宋体"/>
                <w:color w:val="000000" w:themeColor="text1"/>
                <w:sz w:val="18"/>
                <w:szCs w:val="18"/>
                <w:highlight w:val="none"/>
                <w:lang w:eastAsia="zh-CN"/>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0.00</w:t>
            </w:r>
            <w:r>
              <w:rPr>
                <w:rFonts w:hint="eastAsia" w:ascii="宋体" w:hAnsi="宋体" w:cs="宋体"/>
                <w:color w:val="000000" w:themeColor="text1"/>
                <w:sz w:val="18"/>
                <w:szCs w:val="18"/>
                <w:highlight w:val="none"/>
                <w:lang w:val="en-US" w:eastAsia="zh-CN"/>
                <w14:textFill>
                  <w14:solidFill>
                    <w14:schemeClr w14:val="tx1"/>
                  </w14:solidFill>
                </w14:textFill>
              </w:rPr>
              <w:t>3</w:t>
            </w:r>
          </w:p>
        </w:tc>
        <w:tc>
          <w:tcPr>
            <w:tcW w:w="366" w:type="pc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0.001</w:t>
            </w:r>
          </w:p>
        </w:tc>
        <w:tc>
          <w:tcPr>
            <w:tcW w:w="368" w:type="pc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515" w:type="pc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Pb</w:t>
            </w:r>
            <w:r>
              <w:rPr>
                <w:rFonts w:hint="eastAsia" w:ascii="宋体" w:hAnsi="宋体"/>
                <w:color w:val="000000" w:themeColor="text1"/>
                <w:sz w:val="18"/>
                <w:szCs w:val="18"/>
                <w:highlight w:val="none"/>
                <w14:textFill>
                  <w14:solidFill>
                    <w14:schemeClr w14:val="tx1"/>
                  </w14:solidFill>
                </w14:textFill>
              </w:rPr>
              <w:t>CaSn</w:t>
            </w:r>
          </w:p>
        </w:tc>
        <w:tc>
          <w:tcPr>
            <w:tcW w:w="317" w:type="pct"/>
            <w:vMerge w:val="continue"/>
            <w:tcBorders>
              <w:left w:val="single" w:color="auto" w:sz="4" w:space="0"/>
              <w:right w:val="single" w:color="auto" w:sz="4" w:space="0"/>
            </w:tcBorders>
            <w:noWrap w:val="0"/>
            <w:tcMar>
              <w:left w:w="57" w:type="dxa"/>
              <w:right w:w="57" w:type="dxa"/>
            </w:tcMar>
            <w:vAlign w:val="center"/>
          </w:tcPr>
          <w:p>
            <w:pPr>
              <w:jc w:val="center"/>
              <w:rPr>
                <w:rFonts w:hint="eastAsia" w:ascii="宋体" w:hAnsi="宋体" w:cs="宋体"/>
                <w:color w:val="000000" w:themeColor="text1"/>
                <w:sz w:val="18"/>
                <w:szCs w:val="18"/>
                <w:highlight w:val="none"/>
                <w14:textFill>
                  <w14:solidFill>
                    <w14:schemeClr w14:val="tx1"/>
                  </w14:solidFill>
                </w14:textFill>
              </w:rPr>
            </w:pPr>
          </w:p>
        </w:tc>
        <w:tc>
          <w:tcPr>
            <w:tcW w:w="366" w:type="pct"/>
            <w:vMerge w:val="restart"/>
            <w:tcBorders>
              <w:top w:val="single" w:color="auto" w:sz="4" w:space="0"/>
              <w:left w:val="single" w:color="auto" w:sz="4" w:space="0"/>
              <w:right w:val="single" w:color="auto" w:sz="4" w:space="0"/>
            </w:tcBorders>
            <w:noWrap w:val="0"/>
            <w:tcMar>
              <w:left w:w="57" w:type="dxa"/>
              <w:right w:w="57" w:type="dxa"/>
            </w:tcMar>
            <w:vAlign w:val="center"/>
          </w:tcPr>
          <w:p>
            <w:pPr>
              <w:jc w:val="center"/>
              <w:rPr>
                <w:rFonts w:hint="eastAsia" w:ascii="宋体" w:hAnsi="宋体" w:cs="Arial"/>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0.5</w:t>
            </w:r>
            <w:r>
              <w:rPr>
                <w:rFonts w:hint="eastAsia" w:ascii="宋体" w:hAnsi="宋体" w:cs="Arial"/>
                <w:color w:val="000000" w:themeColor="text1"/>
                <w:sz w:val="18"/>
                <w:szCs w:val="18"/>
                <w:highlight w:val="none"/>
                <w14:textFill>
                  <w14:solidFill>
                    <w14:schemeClr w14:val="tx1"/>
                  </w14:solidFill>
                </w14:textFill>
              </w:rPr>
              <w:t>～</w:t>
            </w:r>
          </w:p>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4.0</w:t>
            </w:r>
          </w:p>
        </w:tc>
        <w:tc>
          <w:tcPr>
            <w:tcW w:w="564" w:type="pc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0.04</w:t>
            </w:r>
            <w:r>
              <w:rPr>
                <w:rFonts w:hint="eastAsia" w:ascii="Arial" w:hAnsi="Arial" w:cs="Arial"/>
                <w:color w:val="000000" w:themeColor="text1"/>
                <w:sz w:val="18"/>
                <w:highlight w:val="none"/>
                <w14:textFill>
                  <w14:solidFill>
                    <w14:schemeClr w14:val="tx1"/>
                  </w14:solidFill>
                </w14:textFill>
              </w:rPr>
              <w:t>～</w:t>
            </w:r>
            <w:r>
              <w:rPr>
                <w:rFonts w:hint="eastAsia" w:ascii="宋体" w:hAnsi="宋体" w:cs="宋体"/>
                <w:color w:val="000000" w:themeColor="text1"/>
                <w:sz w:val="18"/>
                <w:szCs w:val="18"/>
                <w:highlight w:val="none"/>
                <w14:textFill>
                  <w14:solidFill>
                    <w14:schemeClr w14:val="tx1"/>
                  </w14:solidFill>
                </w14:textFill>
              </w:rPr>
              <w:t>0.2</w:t>
            </w:r>
          </w:p>
        </w:tc>
        <w:tc>
          <w:tcPr>
            <w:tcW w:w="573" w:type="pc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w:t>
            </w:r>
          </w:p>
        </w:tc>
        <w:tc>
          <w:tcPr>
            <w:tcW w:w="467" w:type="pc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w:t>
            </w:r>
          </w:p>
        </w:tc>
        <w:tc>
          <w:tcPr>
            <w:tcW w:w="366" w:type="pc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0.001</w:t>
            </w:r>
          </w:p>
        </w:tc>
        <w:tc>
          <w:tcPr>
            <w:tcW w:w="366" w:type="pc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0.001</w:t>
            </w:r>
          </w:p>
        </w:tc>
        <w:tc>
          <w:tcPr>
            <w:tcW w:w="366" w:type="pc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0.001</w:t>
            </w:r>
          </w:p>
        </w:tc>
        <w:tc>
          <w:tcPr>
            <w:tcW w:w="63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0.</w:t>
            </w:r>
            <w:r>
              <w:rPr>
                <w:rFonts w:hint="eastAsia" w:ascii="宋体" w:hAnsi="宋体" w:cs="宋体"/>
                <w:color w:val="000000" w:themeColor="text1"/>
                <w:sz w:val="18"/>
                <w:szCs w:val="18"/>
                <w:highlight w:val="none"/>
                <w:lang w:val="en-US" w:eastAsia="zh-CN"/>
                <w14:textFill>
                  <w14:solidFill>
                    <w14:schemeClr w14:val="tx1"/>
                  </w14:solidFill>
                </w14:textFill>
              </w:rPr>
              <w:t>003</w:t>
            </w:r>
          </w:p>
        </w:tc>
        <w:tc>
          <w:tcPr>
            <w:tcW w:w="366" w:type="pc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0.001</w:t>
            </w:r>
          </w:p>
        </w:tc>
        <w:tc>
          <w:tcPr>
            <w:tcW w:w="368" w:type="pc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515" w:type="pc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Pb</w:t>
            </w:r>
            <w:r>
              <w:rPr>
                <w:rFonts w:hint="eastAsia" w:ascii="宋体" w:hAnsi="宋体"/>
                <w:color w:val="000000" w:themeColor="text1"/>
                <w:sz w:val="18"/>
                <w:szCs w:val="18"/>
                <w:highlight w:val="none"/>
                <w14:textFill>
                  <w14:solidFill>
                    <w14:schemeClr w14:val="tx1"/>
                  </w14:solidFill>
                </w14:textFill>
              </w:rPr>
              <w:t>CaSnSr</w:t>
            </w:r>
          </w:p>
        </w:tc>
        <w:tc>
          <w:tcPr>
            <w:tcW w:w="317" w:type="pct"/>
            <w:vMerge w:val="continue"/>
            <w:tcBorders>
              <w:left w:val="single" w:color="auto" w:sz="4" w:space="0"/>
              <w:right w:val="single" w:color="auto" w:sz="4" w:space="0"/>
            </w:tcBorders>
            <w:noWrap w:val="0"/>
            <w:tcMar>
              <w:left w:w="57" w:type="dxa"/>
              <w:right w:w="57" w:type="dxa"/>
            </w:tcMar>
            <w:vAlign w:val="center"/>
          </w:tcPr>
          <w:p>
            <w:pPr>
              <w:jc w:val="center"/>
              <w:rPr>
                <w:rFonts w:hint="eastAsia" w:ascii="宋体" w:hAnsi="宋体" w:cs="宋体"/>
                <w:color w:val="000000" w:themeColor="text1"/>
                <w:sz w:val="18"/>
                <w:szCs w:val="18"/>
                <w:highlight w:val="none"/>
                <w14:textFill>
                  <w14:solidFill>
                    <w14:schemeClr w14:val="tx1"/>
                  </w14:solidFill>
                </w14:textFill>
              </w:rPr>
            </w:pPr>
          </w:p>
        </w:tc>
        <w:tc>
          <w:tcPr>
            <w:tcW w:w="366" w:type="pct"/>
            <w:vMerge w:val="continue"/>
            <w:tcBorders>
              <w:left w:val="single" w:color="auto" w:sz="4" w:space="0"/>
              <w:right w:val="single" w:color="auto" w:sz="4" w:space="0"/>
            </w:tcBorders>
            <w:noWrap w:val="0"/>
            <w:tcMar>
              <w:left w:w="57" w:type="dxa"/>
              <w:right w:w="57" w:type="dxa"/>
            </w:tcMar>
            <w:vAlign w:val="center"/>
          </w:tcPr>
          <w:p>
            <w:pPr>
              <w:jc w:val="center"/>
              <w:rPr>
                <w:rFonts w:hint="eastAsia" w:ascii="宋体" w:hAnsi="宋体" w:cs="宋体"/>
                <w:color w:val="000000" w:themeColor="text1"/>
                <w:sz w:val="18"/>
                <w:szCs w:val="18"/>
                <w:highlight w:val="none"/>
                <w14:textFill>
                  <w14:solidFill>
                    <w14:schemeClr w14:val="tx1"/>
                  </w14:solidFill>
                </w14:textFill>
              </w:rPr>
            </w:pPr>
          </w:p>
        </w:tc>
        <w:tc>
          <w:tcPr>
            <w:tcW w:w="564" w:type="pc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0.04</w:t>
            </w:r>
            <w:r>
              <w:rPr>
                <w:rFonts w:hint="eastAsia" w:ascii="Arial" w:hAnsi="Arial" w:cs="Arial"/>
                <w:color w:val="000000" w:themeColor="text1"/>
                <w:sz w:val="18"/>
                <w:highlight w:val="none"/>
                <w14:textFill>
                  <w14:solidFill>
                    <w14:schemeClr w14:val="tx1"/>
                  </w14:solidFill>
                </w14:textFill>
              </w:rPr>
              <w:t>～</w:t>
            </w:r>
            <w:r>
              <w:rPr>
                <w:rFonts w:hint="eastAsia" w:ascii="宋体" w:hAnsi="宋体" w:cs="宋体"/>
                <w:color w:val="000000" w:themeColor="text1"/>
                <w:sz w:val="18"/>
                <w:szCs w:val="18"/>
                <w:highlight w:val="none"/>
                <w14:textFill>
                  <w14:solidFill>
                    <w14:schemeClr w14:val="tx1"/>
                  </w14:solidFill>
                </w14:textFill>
              </w:rPr>
              <w:t>0.2</w:t>
            </w:r>
          </w:p>
        </w:tc>
        <w:tc>
          <w:tcPr>
            <w:tcW w:w="573" w:type="pc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highlight w:val="none"/>
                <w14:textFill>
                  <w14:solidFill>
                    <w14:schemeClr w14:val="tx1"/>
                  </w14:solidFill>
                </w14:textFill>
              </w:rPr>
              <w:t>0.002</w:t>
            </w:r>
            <w:r>
              <w:rPr>
                <w:rFonts w:hint="eastAsia" w:ascii="Arial" w:hAnsi="Arial" w:cs="Arial"/>
                <w:color w:val="000000" w:themeColor="text1"/>
                <w:sz w:val="18"/>
                <w:highlight w:val="none"/>
                <w14:textFill>
                  <w14:solidFill>
                    <w14:schemeClr w14:val="tx1"/>
                  </w14:solidFill>
                </w14:textFill>
              </w:rPr>
              <w:t>～</w:t>
            </w:r>
            <w:r>
              <w:rPr>
                <w:rFonts w:hint="eastAsia" w:ascii="宋体" w:hAnsi="宋体" w:cs="宋体"/>
                <w:color w:val="000000" w:themeColor="text1"/>
                <w:sz w:val="18"/>
                <w:highlight w:val="none"/>
                <w14:textFill>
                  <w14:solidFill>
                    <w14:schemeClr w14:val="tx1"/>
                  </w14:solidFill>
                </w14:textFill>
              </w:rPr>
              <w:t>0.1</w:t>
            </w:r>
          </w:p>
        </w:tc>
        <w:tc>
          <w:tcPr>
            <w:tcW w:w="467" w:type="pc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w:t>
            </w:r>
          </w:p>
        </w:tc>
        <w:tc>
          <w:tcPr>
            <w:tcW w:w="366" w:type="pc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0.001</w:t>
            </w:r>
          </w:p>
        </w:tc>
        <w:tc>
          <w:tcPr>
            <w:tcW w:w="366" w:type="pc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0.001</w:t>
            </w:r>
          </w:p>
        </w:tc>
        <w:tc>
          <w:tcPr>
            <w:tcW w:w="366" w:type="pc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0.001</w:t>
            </w:r>
          </w:p>
        </w:tc>
        <w:tc>
          <w:tcPr>
            <w:tcW w:w="63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0.00</w:t>
            </w:r>
            <w:r>
              <w:rPr>
                <w:rFonts w:hint="eastAsia" w:ascii="宋体" w:hAnsi="宋体" w:cs="宋体"/>
                <w:color w:val="000000" w:themeColor="text1"/>
                <w:sz w:val="18"/>
                <w:szCs w:val="18"/>
                <w:highlight w:val="none"/>
                <w:lang w:val="en-US" w:eastAsia="zh-CN"/>
                <w14:textFill>
                  <w14:solidFill>
                    <w14:schemeClr w14:val="tx1"/>
                  </w14:solidFill>
                </w14:textFill>
              </w:rPr>
              <w:t>3</w:t>
            </w:r>
          </w:p>
        </w:tc>
        <w:tc>
          <w:tcPr>
            <w:tcW w:w="366" w:type="pc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0.001</w:t>
            </w:r>
          </w:p>
        </w:tc>
        <w:tc>
          <w:tcPr>
            <w:tcW w:w="368" w:type="pc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0.001</w:t>
            </w:r>
          </w:p>
        </w:tc>
      </w:tr>
    </w:tbl>
    <w:p>
      <w:pPr>
        <w:pStyle w:val="14"/>
        <w:spacing w:line="360" w:lineRule="auto"/>
        <w:ind w:firstLine="420"/>
        <w:rPr>
          <w:rFonts w:hint="eastAsia" w:hAnsi="宋体" w:cs="宋体"/>
          <w:color w:val="000000" w:themeColor="text1"/>
          <w:szCs w:val="21"/>
          <w:highlight w:val="none"/>
          <w14:textFill>
            <w14:solidFill>
              <w14:schemeClr w14:val="tx1"/>
            </w14:solidFill>
          </w14:textFill>
        </w:rPr>
      </w:pPr>
    </w:p>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hAnsi="宋体" w:cs="宋体"/>
          <w:color w:val="000000" w:themeColor="text1"/>
          <w:szCs w:val="21"/>
          <w:highlight w:val="none"/>
          <w:lang w:val="en-US" w:eastAsia="zh-CN"/>
          <w14:textFill>
            <w14:solidFill>
              <w14:schemeClr w14:val="tx1"/>
            </w14:solidFill>
          </w14:textFill>
        </w:rPr>
        <w:t>（1）在当前用户使用的矿料</w:t>
      </w:r>
      <w:r>
        <w:rPr>
          <w:rFonts w:hint="eastAsia" w:ascii="宋体" w:hAnsi="宋体" w:eastAsia="宋体" w:cs="宋体"/>
          <w:color w:val="000000" w:themeColor="text1"/>
          <w:sz w:val="21"/>
          <w:szCs w:val="21"/>
          <w:highlight w:val="none"/>
          <w14:textFill>
            <w14:solidFill>
              <w14:schemeClr w14:val="tx1"/>
            </w14:solidFill>
          </w14:textFill>
        </w:rPr>
        <w:t>随着</w:t>
      </w:r>
      <w:r>
        <w:rPr>
          <w:rFonts w:hint="eastAsia" w:ascii="宋体" w:hAnsi="宋体" w:eastAsia="宋体" w:cs="宋体"/>
          <w:color w:val="000000" w:themeColor="text1"/>
          <w:sz w:val="21"/>
          <w:szCs w:val="21"/>
          <w:highlight w:val="none"/>
          <w:lang w:val="en-US" w:eastAsia="zh-CN"/>
          <w14:textFill>
            <w14:solidFill>
              <w14:schemeClr w14:val="tx1"/>
            </w14:solidFill>
          </w14:textFill>
        </w:rPr>
        <w:t>社会经济发展对金属的需求不断增加</w:t>
      </w: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冶金企业发展规模使得可以获得的</w:t>
      </w:r>
      <w:r>
        <w:rPr>
          <w:rFonts w:hint="eastAsia" w:ascii="宋体" w:hAnsi="宋体" w:eastAsia="宋体" w:cs="宋体"/>
          <w:color w:val="000000" w:themeColor="text1"/>
          <w:sz w:val="21"/>
          <w:szCs w:val="21"/>
          <w:highlight w:val="none"/>
          <w14:textFill>
            <w14:solidFill>
              <w14:schemeClr w14:val="tx1"/>
            </w14:solidFill>
          </w14:textFill>
        </w:rPr>
        <w:t>矿石</w:t>
      </w:r>
      <w:r>
        <w:rPr>
          <w:rFonts w:hint="eastAsia" w:ascii="宋体" w:hAnsi="宋体" w:eastAsia="宋体" w:cs="宋体"/>
          <w:color w:val="000000" w:themeColor="text1"/>
          <w:sz w:val="21"/>
          <w:szCs w:val="21"/>
          <w:highlight w:val="none"/>
          <w:lang w:val="en-US" w:eastAsia="zh-CN"/>
          <w14:textFill>
            <w14:solidFill>
              <w14:schemeClr w14:val="tx1"/>
            </w14:solidFill>
          </w14:textFill>
        </w:rPr>
        <w:t>原料的金属</w:t>
      </w:r>
      <w:r>
        <w:rPr>
          <w:rFonts w:hint="eastAsia" w:ascii="宋体" w:hAnsi="宋体" w:eastAsia="宋体" w:cs="宋体"/>
          <w:color w:val="000000" w:themeColor="text1"/>
          <w:sz w:val="21"/>
          <w:szCs w:val="21"/>
          <w:highlight w:val="none"/>
          <w14:textFill>
            <w14:solidFill>
              <w14:schemeClr w14:val="tx1"/>
            </w14:solidFill>
          </w14:textFill>
        </w:rPr>
        <w:t>品位逐渐降低，</w:t>
      </w:r>
      <w:r>
        <w:rPr>
          <w:rFonts w:hint="eastAsia" w:ascii="宋体" w:hAnsi="宋体" w:eastAsia="宋体" w:cs="宋体"/>
          <w:color w:val="000000" w:themeColor="text1"/>
          <w:sz w:val="21"/>
          <w:szCs w:val="21"/>
          <w:highlight w:val="none"/>
          <w:lang w:val="en-US" w:eastAsia="zh-CN"/>
          <w14:textFill>
            <w14:solidFill>
              <w14:schemeClr w14:val="tx1"/>
            </w14:solidFill>
          </w14:textFill>
        </w:rPr>
        <w:t>金属杂质成分复杂，特别是</w:t>
      </w:r>
      <w:r>
        <w:rPr>
          <w:rFonts w:hint="eastAsia" w:ascii="宋体" w:hAnsi="宋体" w:eastAsia="宋体" w:cs="宋体"/>
          <w:color w:val="000000" w:themeColor="text1"/>
          <w:sz w:val="21"/>
          <w:szCs w:val="21"/>
          <w:highlight w:val="none"/>
          <w14:textFill>
            <w14:solidFill>
              <w14:schemeClr w14:val="tx1"/>
            </w14:solidFill>
          </w14:textFill>
        </w:rPr>
        <w:t>电解液中的各种离子的含量增大（比如氟、氯离子）。</w:t>
      </w:r>
      <w:r>
        <w:rPr>
          <w:rFonts w:hint="eastAsia" w:ascii="宋体" w:hAnsi="宋体" w:eastAsia="宋体" w:cs="宋体"/>
          <w:color w:val="000000" w:themeColor="text1"/>
          <w:sz w:val="21"/>
          <w:szCs w:val="21"/>
          <w:highlight w:val="none"/>
          <w:lang w:val="en-US" w:eastAsia="zh-CN"/>
          <w14:textFill>
            <w14:solidFill>
              <w14:schemeClr w14:val="tx1"/>
            </w14:solidFill>
          </w14:textFill>
        </w:rPr>
        <w:t>直接影响着电极材料的耐</w:t>
      </w:r>
      <w:r>
        <w:rPr>
          <w:rFonts w:hint="eastAsia" w:ascii="宋体" w:hAnsi="宋体" w:eastAsia="宋体" w:cs="宋体"/>
          <w:color w:val="000000" w:themeColor="text1"/>
          <w:sz w:val="21"/>
          <w:szCs w:val="21"/>
          <w:highlight w:val="none"/>
          <w14:textFill>
            <w14:solidFill>
              <w14:schemeClr w14:val="tx1"/>
            </w14:solidFill>
          </w14:textFill>
        </w:rPr>
        <w:t>腐蚀</w:t>
      </w:r>
      <w:r>
        <w:rPr>
          <w:rFonts w:hint="eastAsia" w:ascii="宋体" w:hAnsi="宋体" w:eastAsia="宋体" w:cs="宋体"/>
          <w:color w:val="000000" w:themeColor="text1"/>
          <w:sz w:val="21"/>
          <w:szCs w:val="21"/>
          <w:highlight w:val="none"/>
          <w:lang w:val="en-US" w:eastAsia="zh-CN"/>
          <w14:textFill>
            <w14:solidFill>
              <w14:schemeClr w14:val="tx1"/>
            </w14:solidFill>
          </w14:textFill>
        </w:rPr>
        <w:t>性能和使用寿命</w:t>
      </w:r>
      <w:r>
        <w:rPr>
          <w:rFonts w:hint="eastAsia" w:ascii="宋体" w:hAnsi="宋体" w:eastAsia="宋体" w:cs="宋体"/>
          <w:color w:val="000000" w:themeColor="text1"/>
          <w:sz w:val="21"/>
          <w:szCs w:val="21"/>
          <w:highlight w:val="none"/>
          <w14:textFill>
            <w14:solidFill>
              <w14:schemeClr w14:val="tx1"/>
            </w14:solidFill>
          </w14:textFill>
        </w:rPr>
        <w:t>，甚至影响阴极还原产品的质量。</w:t>
      </w:r>
    </w:p>
    <w:p>
      <w:pPr>
        <w:bidi w:val="0"/>
        <w:spacing w:line="360" w:lineRule="auto"/>
        <w:ind w:firstLine="420" w:firstLineChars="20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通过实验对比，</w:t>
      </w:r>
      <w:r>
        <w:rPr>
          <w:rFonts w:hint="eastAsia" w:ascii="宋体" w:hAnsi="宋体" w:eastAsia="宋体" w:cs="宋体"/>
          <w:color w:val="000000" w:themeColor="text1"/>
          <w:sz w:val="21"/>
          <w:szCs w:val="21"/>
          <w:highlight w:val="none"/>
          <w14:textFill>
            <w14:solidFill>
              <w14:schemeClr w14:val="tx1"/>
            </w14:solidFill>
          </w14:textFill>
        </w:rPr>
        <w:t>在前期研究工作及生产经验的基础上，PbSb</w:t>
      </w:r>
      <w:r>
        <w:rPr>
          <w:rFonts w:hint="eastAsia" w:ascii="宋体" w:hAnsi="宋体" w:eastAsia="宋体" w:cs="宋体"/>
          <w:color w:val="000000" w:themeColor="text1"/>
          <w:sz w:val="21"/>
          <w:szCs w:val="21"/>
          <w:highlight w:val="none"/>
          <w:lang w:val="en-US" w:eastAsia="zh-CN"/>
          <w14:textFill>
            <w14:solidFill>
              <w14:schemeClr w14:val="tx1"/>
            </w14:solidFill>
          </w14:textFill>
        </w:rPr>
        <w:t>合金阳极板Sb</w:t>
      </w:r>
      <w:r>
        <w:rPr>
          <w:rFonts w:hint="eastAsia" w:ascii="宋体" w:hAnsi="宋体" w:eastAsia="宋体" w:cs="宋体"/>
          <w:color w:val="000000" w:themeColor="text1"/>
          <w:sz w:val="21"/>
          <w:szCs w:val="21"/>
          <w:highlight w:val="none"/>
          <w14:textFill>
            <w14:solidFill>
              <w14:schemeClr w14:val="tx1"/>
            </w14:solidFill>
          </w14:textFill>
        </w:rPr>
        <w:t>的合金</w:t>
      </w:r>
      <w:r>
        <w:rPr>
          <w:rFonts w:hint="eastAsia" w:ascii="宋体" w:hAnsi="宋体" w:eastAsia="宋体" w:cs="宋体"/>
          <w:color w:val="000000" w:themeColor="text1"/>
          <w:sz w:val="21"/>
          <w:szCs w:val="21"/>
          <w:highlight w:val="none"/>
          <w:lang w:val="en-US" w:eastAsia="zh-CN"/>
          <w14:textFill>
            <w14:solidFill>
              <w14:schemeClr w14:val="tx1"/>
            </w14:solidFill>
          </w14:textFill>
        </w:rPr>
        <w:t>成分含量做适度的扩大范围后，提高Sb的含量，对于提高阳极板的使用寿命有明显提高。因此</w:t>
      </w:r>
      <w:r>
        <w:rPr>
          <w:rFonts w:hint="eastAsia" w:ascii="宋体" w:hAnsi="宋体" w:eastAsia="宋体" w:cs="宋体"/>
          <w:color w:val="000000" w:themeColor="text1"/>
          <w:sz w:val="21"/>
          <w:szCs w:val="21"/>
          <w:highlight w:val="none"/>
          <w14:textFill>
            <w14:solidFill>
              <w14:schemeClr w14:val="tx1"/>
            </w14:solidFill>
          </w14:textFill>
        </w:rPr>
        <w:t>着眼于解决低矿石品位、电解液</w:t>
      </w:r>
      <w:r>
        <w:rPr>
          <w:rFonts w:hint="eastAsia" w:ascii="宋体" w:hAnsi="宋体" w:eastAsia="宋体" w:cs="宋体"/>
          <w:color w:val="000000" w:themeColor="text1"/>
          <w:sz w:val="21"/>
          <w:szCs w:val="21"/>
          <w:highlight w:val="none"/>
          <w:lang w:val="en-US" w:eastAsia="zh-CN"/>
          <w14:textFill>
            <w14:solidFill>
              <w14:schemeClr w14:val="tx1"/>
            </w14:solidFill>
          </w14:textFill>
        </w:rPr>
        <w:t>杂质成分</w:t>
      </w:r>
      <w:r>
        <w:rPr>
          <w:rFonts w:hint="eastAsia" w:ascii="宋体" w:hAnsi="宋体" w:eastAsia="宋体" w:cs="宋体"/>
          <w:color w:val="000000" w:themeColor="text1"/>
          <w:sz w:val="21"/>
          <w:szCs w:val="21"/>
          <w:highlight w:val="none"/>
          <w14:textFill>
            <w14:solidFill>
              <w14:schemeClr w14:val="tx1"/>
            </w14:solidFill>
          </w14:textFill>
        </w:rPr>
        <w:t>复杂</w:t>
      </w:r>
      <w:r>
        <w:rPr>
          <w:rFonts w:hint="eastAsia" w:ascii="宋体" w:hAnsi="宋体" w:eastAsia="宋体" w:cs="宋体"/>
          <w:color w:val="000000" w:themeColor="text1"/>
          <w:sz w:val="21"/>
          <w:szCs w:val="21"/>
          <w:highlight w:val="none"/>
          <w:lang w:val="en-US" w:eastAsia="zh-CN"/>
          <w14:textFill>
            <w14:solidFill>
              <w14:schemeClr w14:val="tx1"/>
            </w14:solidFill>
          </w14:textFill>
        </w:rPr>
        <w:t>条件下的阳极板使用寿命是有积极意义的。故将原Sb的值</w:t>
      </w:r>
      <w:r>
        <w:rPr>
          <w:rFonts w:hint="eastAsia" w:ascii="宋体" w:hAnsi="宋体" w:eastAsia="宋体" w:cs="宋体"/>
          <w:color w:val="000000" w:themeColor="text1"/>
          <w:sz w:val="21"/>
          <w:szCs w:val="21"/>
          <w:highlight w:val="none"/>
          <w14:textFill>
            <w14:solidFill>
              <w14:schemeClr w14:val="tx1"/>
            </w14:solidFill>
          </w14:textFill>
        </w:rPr>
        <w:t>3.0~7.5</w:t>
      </w:r>
      <w:r>
        <w:rPr>
          <w:rFonts w:hint="eastAsia" w:ascii="宋体" w:hAnsi="宋体" w:eastAsia="宋体" w:cs="宋体"/>
          <w:color w:val="000000" w:themeColor="text1"/>
          <w:sz w:val="21"/>
          <w:szCs w:val="21"/>
          <w:highlight w:val="none"/>
          <w:lang w:val="en-US" w:eastAsia="zh-CN"/>
          <w14:textFill>
            <w14:solidFill>
              <w14:schemeClr w14:val="tx1"/>
            </w14:solidFill>
          </w14:textFill>
        </w:rPr>
        <w:t>修订设置为：修订为2.0－10。</w:t>
      </w:r>
    </w:p>
    <w:p>
      <w:pPr>
        <w:pStyle w:val="14"/>
        <w:spacing w:line="360" w:lineRule="auto"/>
        <w:ind w:firstLine="420"/>
        <w:rPr>
          <w:rFonts w:hint="default"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（2）在表2 中牌号为</w:t>
      </w:r>
      <w:r>
        <w:rPr>
          <w:rFonts w:hint="eastAsia" w:ascii="宋体" w:hAnsi="宋体" w:eastAsia="宋体" w:cs="宋体"/>
          <w:color w:val="000000" w:themeColor="text1"/>
          <w:sz w:val="21"/>
          <w:szCs w:val="21"/>
          <w:highlight w:val="none"/>
          <w14:textFill>
            <w14:solidFill>
              <w14:schemeClr w14:val="tx1"/>
            </w14:solidFill>
          </w14:textFill>
        </w:rPr>
        <w:t>PbSb</w:t>
      </w:r>
      <w:r>
        <w:rPr>
          <w:rFonts w:hint="eastAsia" w:ascii="宋体" w:hAnsi="宋体" w:eastAsia="宋体" w:cs="宋体"/>
          <w:color w:val="000000" w:themeColor="text1"/>
          <w:sz w:val="21"/>
          <w:szCs w:val="21"/>
          <w:highlight w:val="none"/>
          <w:lang w:val="en-US" w:eastAsia="zh-CN"/>
          <w14:textFill>
            <w14:solidFill>
              <w14:schemeClr w14:val="tx1"/>
            </w14:solidFill>
          </w14:textFill>
        </w:rPr>
        <w:t>和</w:t>
      </w:r>
      <w:r>
        <w:rPr>
          <w:rFonts w:hint="eastAsia" w:ascii="宋体" w:hAnsi="宋体" w:eastAsia="宋体" w:cs="宋体"/>
          <w:color w:val="000000" w:themeColor="text1"/>
          <w:sz w:val="21"/>
          <w:szCs w:val="21"/>
          <w:highlight w:val="none"/>
          <w14:textFill>
            <w14:solidFill>
              <w14:schemeClr w14:val="tx1"/>
            </w14:solidFill>
          </w14:textFill>
        </w:rPr>
        <w:t>PbCa</w:t>
      </w:r>
      <w:r>
        <w:rPr>
          <w:rFonts w:hint="eastAsia" w:ascii="宋体" w:hAnsi="宋体" w:eastAsia="宋体" w:cs="宋体"/>
          <w:color w:val="000000" w:themeColor="text1"/>
          <w:sz w:val="21"/>
          <w:szCs w:val="21"/>
          <w:highlight w:val="none"/>
          <w:lang w:eastAsia="zh-CN"/>
          <w14:textFill>
            <w14:solidFill>
              <w14:schemeClr w14:val="tx1"/>
            </w14:solidFill>
          </w14:textFill>
        </w:rPr>
        <w:t>的</w:t>
      </w:r>
      <w:r>
        <w:rPr>
          <w:rFonts w:hint="eastAsia" w:ascii="宋体" w:hAnsi="宋体" w:eastAsia="宋体" w:cs="宋体"/>
          <w:color w:val="000000" w:themeColor="text1"/>
          <w:sz w:val="21"/>
          <w:szCs w:val="21"/>
          <w:highlight w:val="none"/>
          <w:lang w:val="en-US" w:eastAsia="zh-CN"/>
          <w14:textFill>
            <w14:solidFill>
              <w14:schemeClr w14:val="tx1"/>
            </w14:solidFill>
          </w14:textFill>
        </w:rPr>
        <w:t>杂质含量“</w:t>
      </w:r>
      <w:r>
        <w:rPr>
          <w:rFonts w:hint="eastAsia" w:ascii="宋体" w:hAnsi="宋体" w:eastAsia="宋体" w:cs="宋体"/>
          <w:color w:val="000000" w:themeColor="text1"/>
          <w:sz w:val="21"/>
          <w:szCs w:val="21"/>
          <w:highlight w:val="none"/>
          <w14:textFill>
            <w14:solidFill>
              <w14:schemeClr w14:val="tx1"/>
            </w14:solidFill>
          </w14:textFill>
        </w:rPr>
        <w:t>Bi</w:t>
      </w:r>
      <w:r>
        <w:rPr>
          <w:rFonts w:hint="eastAsia" w:ascii="宋体" w:hAnsi="宋体" w:eastAsia="宋体" w:cs="宋体"/>
          <w:color w:val="000000" w:themeColor="text1"/>
          <w:sz w:val="21"/>
          <w:szCs w:val="21"/>
          <w:highlight w:val="none"/>
          <w:lang w:val="en-US" w:eastAsia="zh-CN"/>
          <w14:textFill>
            <w14:solidFill>
              <w14:schemeClr w14:val="tx1"/>
            </w14:solidFill>
          </w14:textFill>
        </w:rPr>
        <w:t>”的检测标准应与按照现行</w:t>
      </w:r>
      <w:r>
        <w:rPr>
          <w:rFonts w:hint="eastAsia" w:ascii="宋体" w:hAnsi="宋体" w:eastAsia="宋体" w:cs="宋体"/>
          <w:color w:val="000000" w:themeColor="text1"/>
          <w:highlight w:val="none"/>
          <w14:textFill>
            <w14:solidFill>
              <w14:schemeClr w14:val="tx1"/>
            </w14:solidFill>
          </w14:textFill>
        </w:rPr>
        <w:t>GB/T 469</w:t>
      </w:r>
      <w:r>
        <w:rPr>
          <w:rFonts w:hint="eastAsia" w:ascii="宋体" w:hAnsi="宋体" w:eastAsia="宋体" w:cs="宋体"/>
          <w:color w:val="000000" w:themeColor="text1"/>
          <w:highlight w:val="none"/>
          <w:lang w:eastAsia="zh-CN"/>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铅锭</w:t>
      </w:r>
      <w:r>
        <w:rPr>
          <w:rFonts w:hint="eastAsia" w:ascii="宋体" w:hAnsi="宋体" w:eastAsia="宋体" w:cs="宋体"/>
          <w:color w:val="000000" w:themeColor="text1"/>
          <w:highlight w:val="none"/>
          <w:lang w:eastAsia="zh-CN"/>
          <w14:textFill>
            <w14:solidFill>
              <w14:schemeClr w14:val="tx1"/>
            </w14:solidFill>
          </w14:textFill>
        </w:rPr>
        <w:t>》</w:t>
      </w:r>
      <w:r>
        <w:rPr>
          <w:rFonts w:hint="eastAsia" w:ascii="宋体" w:hAnsi="宋体" w:eastAsia="宋体" w:cs="宋体"/>
          <w:color w:val="000000" w:themeColor="text1"/>
          <w:highlight w:val="none"/>
          <w:lang w:val="en-US" w:eastAsia="zh-CN"/>
          <w14:textFill>
            <w14:solidFill>
              <w14:schemeClr w14:val="tx1"/>
            </w14:solidFill>
          </w14:textFill>
        </w:rPr>
        <w:t>标准执行，故将原值修订为</w:t>
      </w:r>
      <w:r>
        <w:rPr>
          <w:rFonts w:hint="eastAsia" w:ascii="宋体" w:hAnsi="宋体" w:eastAsia="宋体" w:cs="宋体"/>
          <w:color w:val="000000" w:themeColor="text1"/>
          <w:sz w:val="21"/>
          <w:szCs w:val="21"/>
          <w:highlight w:val="none"/>
          <w:lang w:val="en-US" w:eastAsia="zh-CN"/>
          <w14:textFill>
            <w14:solidFill>
              <w14:schemeClr w14:val="tx1"/>
            </w14:solidFill>
          </w14:textFill>
        </w:rPr>
        <w:t>：</w:t>
      </w:r>
    </w:p>
    <w:p>
      <w:pPr>
        <w:pStyle w:val="14"/>
        <w:spacing w:line="360" w:lineRule="auto"/>
        <w:ind w:firstLine="42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a)牌号PbSb的合金成分Sb的值：原3.0~7.5修订为2.0－10；杂质含量，不大于Bi的值：原0.080修订为0.003</w:t>
      </w:r>
    </w:p>
    <w:p>
      <w:pPr>
        <w:pStyle w:val="14"/>
        <w:spacing w:line="360" w:lineRule="auto"/>
        <w:ind w:firstLine="420"/>
        <w:rPr>
          <w:rFonts w:hint="eastAsia"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b)牌号PbCa的杂质含量，不大于Bi的值：原0.005修订为0.003</w:t>
      </w:r>
    </w:p>
    <w:p>
      <w:pPr>
        <w:pStyle w:val="14"/>
        <w:keepNext w:val="0"/>
        <w:keepLines w:val="0"/>
        <w:pageBreakBefore w:val="0"/>
        <w:kinsoku/>
        <w:wordWrap/>
        <w:overflowPunct/>
        <w:topLinePunct w:val="0"/>
        <w:bidi w:val="0"/>
        <w:adjustRightInd/>
        <w:snapToGrid/>
        <w:spacing w:line="360" w:lineRule="auto"/>
        <w:ind w:left="0" w:leftChars="0" w:firstLine="420" w:firstLineChars="200"/>
        <w:textAlignment w:val="auto"/>
        <w:rPr>
          <w:rFonts w:hint="eastAsia" w:ascii="宋体"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lang w:val="en-US" w:eastAsia="zh-CN"/>
          <w14:textFill>
            <w14:solidFill>
              <w14:schemeClr w14:val="tx1"/>
            </w14:solidFill>
          </w14:textFill>
        </w:rPr>
        <w:t>c</w:t>
      </w:r>
      <w:r>
        <w:rPr>
          <w:rFonts w:hint="eastAsia" w:hAnsi="宋体"/>
          <w:color w:val="000000" w:themeColor="text1"/>
          <w:sz w:val="21"/>
          <w:szCs w:val="21"/>
          <w:highlight w:val="none"/>
          <w:lang w:eastAsia="zh-CN"/>
          <w14:textFill>
            <w14:solidFill>
              <w14:schemeClr w14:val="tx1"/>
            </w14:solidFill>
          </w14:textFill>
        </w:rPr>
        <w:t>）</w:t>
      </w:r>
      <w:r>
        <w:rPr>
          <w:rFonts w:hint="eastAsia" w:hAnsi="宋体"/>
          <w:color w:val="000000" w:themeColor="text1"/>
          <w:sz w:val="21"/>
          <w:szCs w:val="21"/>
          <w:highlight w:val="none"/>
          <w:lang w:val="en-US" w:eastAsia="zh-CN"/>
          <w14:textFill>
            <w14:solidFill>
              <w14:schemeClr w14:val="tx1"/>
            </w14:solidFill>
          </w14:textFill>
        </w:rPr>
        <w:t>牌号</w:t>
      </w:r>
      <w:r>
        <w:rPr>
          <w:rFonts w:ascii="宋体" w:hAnsi="宋体"/>
          <w:color w:val="000000" w:themeColor="text1"/>
          <w:sz w:val="21"/>
          <w:szCs w:val="21"/>
          <w:highlight w:val="none"/>
          <w14:textFill>
            <w14:solidFill>
              <w14:schemeClr w14:val="tx1"/>
            </w14:solidFill>
          </w14:textFill>
        </w:rPr>
        <w:t>Pb</w:t>
      </w:r>
      <w:r>
        <w:rPr>
          <w:rFonts w:hint="eastAsia" w:ascii="宋体" w:hAnsi="宋体"/>
          <w:color w:val="000000" w:themeColor="text1"/>
          <w:sz w:val="21"/>
          <w:szCs w:val="21"/>
          <w:highlight w:val="none"/>
          <w14:textFill>
            <w14:solidFill>
              <w14:schemeClr w14:val="tx1"/>
            </w14:solidFill>
          </w14:textFill>
        </w:rPr>
        <w:t>CaSn</w:t>
      </w:r>
      <w:r>
        <w:rPr>
          <w:rFonts w:hint="eastAsia" w:ascii="宋体" w:hAnsi="宋体" w:eastAsia="宋体" w:cs="宋体"/>
          <w:color w:val="000000" w:themeColor="text1"/>
          <w:sz w:val="21"/>
          <w:szCs w:val="21"/>
          <w:highlight w:val="none"/>
          <w:lang w:val="en-US" w:eastAsia="zh-CN"/>
          <w14:textFill>
            <w14:solidFill>
              <w14:schemeClr w14:val="tx1"/>
            </w14:solidFill>
          </w14:textFill>
        </w:rPr>
        <w:t>的</w:t>
      </w:r>
      <w:r>
        <w:rPr>
          <w:rFonts w:hint="eastAsia" w:ascii="宋体" w:hAnsi="宋体" w:eastAsia="宋体" w:cs="宋体"/>
          <w:color w:val="000000" w:themeColor="text1"/>
          <w:sz w:val="21"/>
          <w:szCs w:val="21"/>
          <w:highlight w:val="none"/>
          <w14:textFill>
            <w14:solidFill>
              <w14:schemeClr w14:val="tx1"/>
            </w14:solidFill>
          </w14:textFill>
        </w:rPr>
        <w:t>杂质含量，不大于Bi</w:t>
      </w:r>
      <w:r>
        <w:rPr>
          <w:rFonts w:hint="eastAsia" w:ascii="宋体" w:hAnsi="宋体" w:eastAsia="宋体" w:cs="宋体"/>
          <w:color w:val="000000" w:themeColor="text1"/>
          <w:sz w:val="21"/>
          <w:szCs w:val="21"/>
          <w:highlight w:val="none"/>
          <w:lang w:val="en-US" w:eastAsia="zh-CN"/>
          <w14:textFill>
            <w14:solidFill>
              <w14:schemeClr w14:val="tx1"/>
            </w14:solidFill>
          </w14:textFill>
        </w:rPr>
        <w:t>的值：原</w:t>
      </w:r>
      <w:r>
        <w:rPr>
          <w:rFonts w:hint="eastAsia" w:ascii="宋体" w:hAnsi="宋体" w:eastAsia="宋体" w:cs="宋体"/>
          <w:color w:val="000000" w:themeColor="text1"/>
          <w:sz w:val="21"/>
          <w:szCs w:val="21"/>
          <w:highlight w:val="none"/>
          <w14:textFill>
            <w14:solidFill>
              <w14:schemeClr w14:val="tx1"/>
            </w14:solidFill>
          </w14:textFill>
        </w:rPr>
        <w:t>0.0</w:t>
      </w:r>
      <w:r>
        <w:rPr>
          <w:rFonts w:hint="eastAsia" w:hAnsi="宋体" w:cs="宋体"/>
          <w:color w:val="000000" w:themeColor="text1"/>
          <w:sz w:val="21"/>
          <w:szCs w:val="21"/>
          <w:highlight w:val="none"/>
          <w:lang w:val="en-US" w:eastAsia="zh-CN"/>
          <w14:textFill>
            <w14:solidFill>
              <w14:schemeClr w14:val="tx1"/>
            </w14:solidFill>
          </w14:textFill>
        </w:rPr>
        <w:t>2</w:t>
      </w:r>
      <w:r>
        <w:rPr>
          <w:rFonts w:hint="eastAsia" w:ascii="宋体" w:hAnsi="宋体" w:eastAsia="宋体" w:cs="宋体"/>
          <w:color w:val="000000" w:themeColor="text1"/>
          <w:sz w:val="21"/>
          <w:szCs w:val="21"/>
          <w:highlight w:val="none"/>
          <w14:textFill>
            <w14:solidFill>
              <w14:schemeClr w14:val="tx1"/>
            </w14:solidFill>
          </w14:textFill>
        </w:rPr>
        <w:t>5</w:t>
      </w:r>
      <w:r>
        <w:rPr>
          <w:rFonts w:hint="eastAsia" w:ascii="宋体" w:hAnsi="宋体" w:eastAsia="宋体" w:cs="宋体"/>
          <w:color w:val="000000" w:themeColor="text1"/>
          <w:sz w:val="21"/>
          <w:szCs w:val="21"/>
          <w:highlight w:val="none"/>
          <w:lang w:val="en-US" w:eastAsia="zh-CN"/>
          <w14:textFill>
            <w14:solidFill>
              <w14:schemeClr w14:val="tx1"/>
            </w14:solidFill>
          </w14:textFill>
        </w:rPr>
        <w:t>修订为0.003</w:t>
      </w:r>
    </w:p>
    <w:p>
      <w:pPr>
        <w:pStyle w:val="14"/>
        <w:spacing w:line="360" w:lineRule="auto"/>
        <w:ind w:firstLine="420" w:firstLineChars="20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hAnsi="宋体"/>
          <w:color w:val="000000" w:themeColor="text1"/>
          <w:sz w:val="21"/>
          <w:szCs w:val="21"/>
          <w:highlight w:val="none"/>
          <w:lang w:val="en-US" w:eastAsia="zh-CN"/>
          <w14:textFill>
            <w14:solidFill>
              <w14:schemeClr w14:val="tx1"/>
            </w14:solidFill>
          </w14:textFill>
        </w:rPr>
        <w:t xml:space="preserve">d)牌号 </w:t>
      </w:r>
      <w:r>
        <w:rPr>
          <w:rFonts w:ascii="宋体" w:hAnsi="宋体"/>
          <w:color w:val="000000" w:themeColor="text1"/>
          <w:sz w:val="21"/>
          <w:szCs w:val="21"/>
          <w:highlight w:val="none"/>
          <w14:textFill>
            <w14:solidFill>
              <w14:schemeClr w14:val="tx1"/>
            </w14:solidFill>
          </w14:textFill>
        </w:rPr>
        <w:t>Pb</w:t>
      </w:r>
      <w:r>
        <w:rPr>
          <w:rFonts w:hint="eastAsia" w:ascii="宋体" w:hAnsi="宋体"/>
          <w:color w:val="000000" w:themeColor="text1"/>
          <w:sz w:val="21"/>
          <w:szCs w:val="21"/>
          <w:highlight w:val="none"/>
          <w14:textFill>
            <w14:solidFill>
              <w14:schemeClr w14:val="tx1"/>
            </w14:solidFill>
          </w14:textFill>
        </w:rPr>
        <w:t>CaSnSr</w:t>
      </w:r>
      <w:r>
        <w:rPr>
          <w:rFonts w:hint="eastAsia" w:ascii="宋体" w:hAnsi="宋体" w:eastAsia="宋体" w:cs="宋体"/>
          <w:color w:val="000000" w:themeColor="text1"/>
          <w:sz w:val="21"/>
          <w:szCs w:val="21"/>
          <w:highlight w:val="none"/>
          <w:lang w:val="en-US" w:eastAsia="zh-CN"/>
          <w14:textFill>
            <w14:solidFill>
              <w14:schemeClr w14:val="tx1"/>
            </w14:solidFill>
          </w14:textFill>
        </w:rPr>
        <w:t>的</w:t>
      </w:r>
      <w:r>
        <w:rPr>
          <w:rFonts w:hint="eastAsia" w:ascii="宋体" w:hAnsi="宋体" w:eastAsia="宋体" w:cs="宋体"/>
          <w:color w:val="000000" w:themeColor="text1"/>
          <w:sz w:val="21"/>
          <w:szCs w:val="21"/>
          <w:highlight w:val="none"/>
          <w14:textFill>
            <w14:solidFill>
              <w14:schemeClr w14:val="tx1"/>
            </w14:solidFill>
          </w14:textFill>
        </w:rPr>
        <w:t>杂质含量，不大于Bi</w:t>
      </w:r>
      <w:r>
        <w:rPr>
          <w:rFonts w:hint="eastAsia" w:ascii="宋体" w:hAnsi="宋体" w:eastAsia="宋体" w:cs="宋体"/>
          <w:color w:val="000000" w:themeColor="text1"/>
          <w:sz w:val="21"/>
          <w:szCs w:val="21"/>
          <w:highlight w:val="none"/>
          <w:lang w:val="en-US" w:eastAsia="zh-CN"/>
          <w14:textFill>
            <w14:solidFill>
              <w14:schemeClr w14:val="tx1"/>
            </w14:solidFill>
          </w14:textFill>
        </w:rPr>
        <w:t>的值：原</w:t>
      </w:r>
      <w:r>
        <w:rPr>
          <w:rFonts w:hint="eastAsia" w:ascii="宋体" w:hAnsi="宋体" w:eastAsia="宋体" w:cs="宋体"/>
          <w:color w:val="000000" w:themeColor="text1"/>
          <w:sz w:val="21"/>
          <w:szCs w:val="21"/>
          <w:highlight w:val="none"/>
          <w14:textFill>
            <w14:solidFill>
              <w14:schemeClr w14:val="tx1"/>
            </w14:solidFill>
          </w14:textFill>
        </w:rPr>
        <w:t>0.0</w:t>
      </w:r>
      <w:r>
        <w:rPr>
          <w:rFonts w:hint="eastAsia" w:hAnsi="宋体" w:cs="宋体"/>
          <w:color w:val="000000" w:themeColor="text1"/>
          <w:sz w:val="21"/>
          <w:szCs w:val="21"/>
          <w:highlight w:val="none"/>
          <w:lang w:val="en-US" w:eastAsia="zh-CN"/>
          <w14:textFill>
            <w14:solidFill>
              <w14:schemeClr w14:val="tx1"/>
            </w14:solidFill>
          </w14:textFill>
        </w:rPr>
        <w:t>2</w:t>
      </w:r>
      <w:r>
        <w:rPr>
          <w:rFonts w:hint="eastAsia" w:ascii="宋体" w:hAnsi="宋体" w:eastAsia="宋体" w:cs="宋体"/>
          <w:color w:val="000000" w:themeColor="text1"/>
          <w:sz w:val="21"/>
          <w:szCs w:val="21"/>
          <w:highlight w:val="none"/>
          <w14:textFill>
            <w14:solidFill>
              <w14:schemeClr w14:val="tx1"/>
            </w14:solidFill>
          </w14:textFill>
        </w:rPr>
        <w:t>5</w:t>
      </w:r>
      <w:r>
        <w:rPr>
          <w:rFonts w:hint="eastAsia" w:ascii="宋体" w:hAnsi="宋体" w:eastAsia="宋体" w:cs="宋体"/>
          <w:color w:val="000000" w:themeColor="text1"/>
          <w:sz w:val="21"/>
          <w:szCs w:val="21"/>
          <w:highlight w:val="none"/>
          <w:lang w:val="en-US" w:eastAsia="zh-CN"/>
          <w14:textFill>
            <w14:solidFill>
              <w14:schemeClr w14:val="tx1"/>
            </w14:solidFill>
          </w14:textFill>
        </w:rPr>
        <w:t>修订为0.003</w:t>
      </w:r>
    </w:p>
    <w:p>
      <w:pPr>
        <w:pStyle w:val="14"/>
        <w:spacing w:line="360" w:lineRule="auto"/>
        <w:ind w:firstLine="420" w:firstLineChars="200"/>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修改了表3中包覆物，“铅合金”修改为“精铅”，其化学成分对应应符合“应符合</w:t>
      </w:r>
      <w:r>
        <w:rPr>
          <w:rFonts w:hint="eastAsia" w:ascii="宋体" w:hAnsi="宋体" w:eastAsia="宋体" w:cs="宋体"/>
          <w:b w:val="0"/>
          <w:bCs w:val="0"/>
          <w:color w:val="000000" w:themeColor="text1"/>
          <w:sz w:val="21"/>
          <w:szCs w:val="21"/>
          <w:highlight w:val="none"/>
          <w14:textFill>
            <w14:solidFill>
              <w14:schemeClr w14:val="tx1"/>
            </w14:solidFill>
          </w14:textFill>
        </w:rPr>
        <w:t>GB/T 469</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的规定”</w:t>
      </w:r>
    </w:p>
    <w:p>
      <w:pPr>
        <w:pStyle w:val="14"/>
        <w:spacing w:line="360" w:lineRule="auto"/>
        <w:ind w:firstLine="422" w:firstLineChars="200"/>
        <w:rPr>
          <w:rFonts w:eastAsia="黑体"/>
          <w:b/>
          <w:bCs/>
          <w:color w:val="000000" w:themeColor="text1"/>
          <w:highlight w:val="none"/>
          <w14:textFill>
            <w14:solidFill>
              <w14:schemeClr w14:val="tx1"/>
            </w14:solidFill>
          </w14:textFill>
        </w:rPr>
      </w:pPr>
      <w:r>
        <w:rPr>
          <w:rFonts w:eastAsia="黑体"/>
          <w:b/>
          <w:bCs/>
          <w:color w:val="000000" w:themeColor="text1"/>
          <w:highlight w:val="none"/>
          <w14:textFill>
            <w14:solidFill>
              <w14:schemeClr w14:val="tx1"/>
            </w14:solidFill>
          </w14:textFill>
        </w:rPr>
        <w:t>4.4  产品物理规格的确定</w:t>
      </w:r>
    </w:p>
    <w:p>
      <w:pPr>
        <w:pStyle w:val="2"/>
        <w:ind w:firstLine="420" w:firstLineChars="20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随着生产工艺不断提升以及促进产品质量的提升，产品外形允许偏差值应达到更加合理的范围，故对4.4.2至4.4.4修改为</w:t>
      </w:r>
      <w:r>
        <w:rPr>
          <w:rFonts w:hint="eastAsia"/>
          <w:color w:val="000000" w:themeColor="text1"/>
          <w:highlight w:val="none"/>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 xml:space="preserve"> 表5 阳极板板面尺寸偏差应符合表5规定”。</w:t>
      </w:r>
    </w:p>
    <w:p>
      <w:pPr>
        <w:rPr>
          <w:rFonts w:hint="eastAsia"/>
          <w:color w:val="000000" w:themeColor="text1"/>
          <w:highlight w:val="none"/>
          <w:lang w:val="en-US" w:eastAsia="zh-CN"/>
          <w14:textFill>
            <w14:solidFill>
              <w14:schemeClr w14:val="tx1"/>
            </w14:solidFill>
          </w14:textFill>
        </w:rPr>
      </w:pPr>
    </w:p>
    <w:p>
      <w:pPr>
        <w:spacing w:before="156" w:beforeLines="50" w:after="156" w:afterLines="50" w:line="360" w:lineRule="auto"/>
        <w:rPr>
          <w:rFonts w:eastAsia="黑体"/>
          <w:b/>
          <w:bCs/>
          <w:color w:val="000000" w:themeColor="text1"/>
          <w:highlight w:val="none"/>
          <w14:textFill>
            <w14:solidFill>
              <w14:schemeClr w14:val="tx1"/>
            </w14:solidFill>
          </w14:textFill>
        </w:rPr>
      </w:pPr>
      <w:r>
        <w:rPr>
          <w:rFonts w:eastAsia="黑体"/>
          <w:b/>
          <w:bCs/>
          <w:color w:val="000000" w:themeColor="text1"/>
          <w:highlight w:val="none"/>
          <w14:textFill>
            <w14:solidFill>
              <w14:schemeClr w14:val="tx1"/>
            </w14:solidFill>
          </w14:textFill>
        </w:rPr>
        <w:t>4.5  产品试验方法和检验规则</w:t>
      </w:r>
    </w:p>
    <w:p>
      <w:pPr>
        <w:spacing w:line="360" w:lineRule="auto"/>
        <w:ind w:firstLine="420" w:firstLineChars="200"/>
        <w:rPr>
          <w:rFonts w:hint="eastAsia"/>
          <w:color w:val="000000" w:themeColor="text1"/>
          <w:highlight w:val="none"/>
          <w:lang w:val="en-US"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（1）目前对产品实验检测通常使用</w:t>
      </w:r>
      <w:r>
        <w:rPr>
          <w:rFonts w:hint="eastAsia" w:ascii="宋体" w:hAnsi="宋体" w:eastAsia="宋体" w:cs="宋体"/>
          <w:color w:val="000000" w:themeColor="text1"/>
          <w:highlight w:val="none"/>
          <w14:textFill>
            <w14:solidFill>
              <w14:schemeClr w14:val="tx1"/>
            </w14:solidFill>
          </w14:textFill>
        </w:rPr>
        <w:t>GB/T 4103铅及铅合金化学分析方法</w:t>
      </w:r>
      <w:r>
        <w:rPr>
          <w:rFonts w:hint="eastAsia" w:ascii="宋体" w:hAnsi="宋体" w:eastAsia="宋体" w:cs="宋体"/>
          <w:color w:val="000000" w:themeColor="text1"/>
          <w:highlight w:val="none"/>
          <w:lang w:val="en-US" w:eastAsia="zh-CN"/>
          <w14:textFill>
            <w14:solidFill>
              <w14:schemeClr w14:val="tx1"/>
            </w14:solidFill>
          </w14:textFill>
        </w:rPr>
        <w:t>和</w:t>
      </w:r>
      <w:r>
        <w:rPr>
          <w:rFonts w:hint="eastAsia"/>
          <w:color w:val="000000" w:themeColor="text1"/>
          <w:highlight w:val="none"/>
          <w14:textFill>
            <w14:solidFill>
              <w14:schemeClr w14:val="tx1"/>
            </w14:solidFill>
          </w14:textFill>
        </w:rPr>
        <w:t>GB/T 4103.16-2009光电直读发射光谱法</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为了保证产品快速准确进行检测，故对5.1.1修订为：</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color w:val="000000" w:themeColor="text1"/>
          <w:highlight w:val="none"/>
          <w14:textFill>
            <w14:solidFill>
              <w14:schemeClr w14:val="tx1"/>
            </w14:solidFill>
          </w14:textFill>
        </w:rPr>
        <w:t>阳极板面与导电横梁包铅层中的锡、锑、铜、铁、铋、砷、钙、锌含量的分析按</w:t>
      </w:r>
      <w:r>
        <w:rPr>
          <w:color w:val="000000" w:themeColor="text1"/>
          <w:highlight w:val="none"/>
          <w14:textFill>
            <w14:solidFill>
              <w14:schemeClr w14:val="tx1"/>
            </w14:solidFill>
          </w14:textFill>
        </w:rPr>
        <w:t>GB/T4103</w:t>
      </w:r>
      <w:r>
        <w:rPr>
          <w:rFonts w:hint="eastAsia"/>
          <w:color w:val="000000" w:themeColor="text1"/>
          <w:highlight w:val="none"/>
          <w14:textFill>
            <w14:solidFill>
              <w14:schemeClr w14:val="tx1"/>
            </w14:solidFill>
          </w14:textFill>
        </w:rPr>
        <w:t xml:space="preserve">.1、 </w:t>
      </w:r>
      <w:r>
        <w:rPr>
          <w:color w:val="000000" w:themeColor="text1"/>
          <w:highlight w:val="none"/>
          <w14:textFill>
            <w14:solidFill>
              <w14:schemeClr w14:val="tx1"/>
            </w14:solidFill>
          </w14:textFill>
        </w:rPr>
        <w:t>GB/T4103</w:t>
      </w:r>
      <w:r>
        <w:rPr>
          <w:rFonts w:hint="eastAsia"/>
          <w:color w:val="000000" w:themeColor="text1"/>
          <w:highlight w:val="none"/>
          <w14:textFill>
            <w14:solidFill>
              <w14:schemeClr w14:val="tx1"/>
            </w14:solidFill>
          </w14:textFill>
        </w:rPr>
        <w:t>.2、</w:t>
      </w:r>
      <w:r>
        <w:rPr>
          <w:color w:val="000000" w:themeColor="text1"/>
          <w:highlight w:val="none"/>
          <w14:textFill>
            <w14:solidFill>
              <w14:schemeClr w14:val="tx1"/>
            </w14:solidFill>
          </w14:textFill>
        </w:rPr>
        <w:t xml:space="preserve"> GB/T4103</w:t>
      </w:r>
      <w:r>
        <w:rPr>
          <w:rFonts w:hint="eastAsia"/>
          <w:color w:val="000000" w:themeColor="text1"/>
          <w:highlight w:val="none"/>
          <w14:textFill>
            <w14:solidFill>
              <w14:schemeClr w14:val="tx1"/>
            </w14:solidFill>
          </w14:textFill>
        </w:rPr>
        <w:t>.3、</w:t>
      </w:r>
      <w:r>
        <w:rPr>
          <w:color w:val="000000" w:themeColor="text1"/>
          <w:highlight w:val="none"/>
          <w14:textFill>
            <w14:solidFill>
              <w14:schemeClr w14:val="tx1"/>
            </w14:solidFill>
          </w14:textFill>
        </w:rPr>
        <w:t xml:space="preserve"> GB/T4103</w:t>
      </w:r>
      <w:r>
        <w:rPr>
          <w:rFonts w:hint="eastAsia"/>
          <w:color w:val="000000" w:themeColor="text1"/>
          <w:highlight w:val="none"/>
          <w14:textFill>
            <w14:solidFill>
              <w14:schemeClr w14:val="tx1"/>
            </w14:solidFill>
          </w14:textFill>
        </w:rPr>
        <w:t>.4、</w:t>
      </w:r>
      <w:r>
        <w:rPr>
          <w:color w:val="000000" w:themeColor="text1"/>
          <w:highlight w:val="none"/>
          <w14:textFill>
            <w14:solidFill>
              <w14:schemeClr w14:val="tx1"/>
            </w14:solidFill>
          </w14:textFill>
        </w:rPr>
        <w:t xml:space="preserve"> GB/T4103</w:t>
      </w:r>
      <w:r>
        <w:rPr>
          <w:rFonts w:hint="eastAsia"/>
          <w:color w:val="000000" w:themeColor="text1"/>
          <w:highlight w:val="none"/>
          <w14:textFill>
            <w14:solidFill>
              <w14:schemeClr w14:val="tx1"/>
            </w14:solidFill>
          </w14:textFill>
        </w:rPr>
        <w:t>.5、</w:t>
      </w:r>
      <w:r>
        <w:rPr>
          <w:color w:val="000000" w:themeColor="text1"/>
          <w:highlight w:val="none"/>
          <w14:textFill>
            <w14:solidFill>
              <w14:schemeClr w14:val="tx1"/>
            </w14:solidFill>
          </w14:textFill>
        </w:rPr>
        <w:t xml:space="preserve"> GB/T4103</w:t>
      </w:r>
      <w:r>
        <w:rPr>
          <w:rFonts w:hint="eastAsia"/>
          <w:color w:val="000000" w:themeColor="text1"/>
          <w:highlight w:val="none"/>
          <w14:textFill>
            <w14:solidFill>
              <w14:schemeClr w14:val="tx1"/>
            </w14:solidFill>
          </w14:textFill>
        </w:rPr>
        <w:t>.6、</w:t>
      </w:r>
      <w:r>
        <w:rPr>
          <w:color w:val="000000" w:themeColor="text1"/>
          <w:highlight w:val="none"/>
          <w14:textFill>
            <w14:solidFill>
              <w14:schemeClr w14:val="tx1"/>
            </w14:solidFill>
          </w14:textFill>
        </w:rPr>
        <w:t xml:space="preserve"> GB/T4103</w:t>
      </w:r>
      <w:r>
        <w:rPr>
          <w:rFonts w:hint="eastAsia"/>
          <w:color w:val="000000" w:themeColor="text1"/>
          <w:highlight w:val="none"/>
          <w14:textFill>
            <w14:solidFill>
              <w14:schemeClr w14:val="tx1"/>
            </w14:solidFill>
          </w14:textFill>
        </w:rPr>
        <w:t>.9、</w:t>
      </w:r>
      <w:r>
        <w:rPr>
          <w:color w:val="000000" w:themeColor="text1"/>
          <w:highlight w:val="none"/>
          <w14:textFill>
            <w14:solidFill>
              <w14:schemeClr w14:val="tx1"/>
            </w14:solidFill>
          </w14:textFill>
        </w:rPr>
        <w:t>GB/T4103</w:t>
      </w:r>
      <w:r>
        <w:rPr>
          <w:rFonts w:hint="eastAsia"/>
          <w:color w:val="000000" w:themeColor="text1"/>
          <w:highlight w:val="none"/>
          <w14:textFill>
            <w14:solidFill>
              <w14:schemeClr w14:val="tx1"/>
            </w14:solidFill>
          </w14:textFill>
        </w:rPr>
        <w:t>.11的规定进行。</w:t>
      </w:r>
      <w:r>
        <w:rPr>
          <w:rFonts w:hint="eastAsia"/>
          <w:color w:val="000000" w:themeColor="text1"/>
          <w:highlight w:val="none"/>
          <w:lang w:val="en-US" w:eastAsia="zh-CN"/>
          <w14:textFill>
            <w14:solidFill>
              <w14:schemeClr w14:val="tx1"/>
            </w14:solidFill>
          </w14:textFill>
        </w:rPr>
        <w:t>也可采用</w:t>
      </w:r>
      <w:r>
        <w:rPr>
          <w:rFonts w:hint="eastAsia" w:ascii="宋体" w:hAnsi="宋体" w:eastAsia="宋体" w:cs="宋体"/>
          <w:b w:val="0"/>
          <w:bCs w:val="0"/>
          <w:color w:val="000000" w:themeColor="text1"/>
          <w:sz w:val="21"/>
          <w:szCs w:val="21"/>
          <w:highlight w:val="none"/>
          <w14:textFill>
            <w14:solidFill>
              <w14:schemeClr w14:val="tx1"/>
            </w14:solidFill>
          </w14:textFill>
        </w:rPr>
        <w:t>GB/T4103.</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16</w:t>
      </w:r>
      <w:r>
        <w:rPr>
          <w:rFonts w:hint="eastAsia" w:ascii="宋体" w:hAnsi="宋体" w:eastAsia="宋体" w:cs="宋体"/>
          <w:b w:val="0"/>
          <w:bCs w:val="0"/>
          <w:color w:val="000000" w:themeColor="text1"/>
          <w:sz w:val="21"/>
          <w:szCs w:val="21"/>
          <w:highlight w:val="none"/>
          <w14:textFill>
            <w14:solidFill>
              <w14:schemeClr w14:val="tx1"/>
            </w14:solidFill>
          </w14:textFill>
        </w:rPr>
        <w:t>的规定进行</w:t>
      </w:r>
      <w:r>
        <w:rPr>
          <w:rFonts w:hint="eastAsia"/>
          <w:color w:val="000000" w:themeColor="text1"/>
          <w:highlight w:val="none"/>
          <w14:textFill>
            <w14:solidFill>
              <w14:schemeClr w14:val="tx1"/>
            </w14:solidFill>
          </w14:textFill>
        </w:rPr>
        <w:t xml:space="preserve">铜、银、铋、砷、锑、锡、锌量的测定 </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仲裁时按</w:t>
      </w:r>
      <w:r>
        <w:rPr>
          <w:color w:val="000000" w:themeColor="text1"/>
          <w:highlight w:val="none"/>
          <w14:textFill>
            <w14:solidFill>
              <w14:schemeClr w14:val="tx1"/>
            </w14:solidFill>
          </w14:textFill>
        </w:rPr>
        <w:t xml:space="preserve">GB/T </w:t>
      </w:r>
      <w:r>
        <w:rPr>
          <w:rFonts w:hint="eastAsia"/>
          <w:color w:val="000000" w:themeColor="text1"/>
          <w:highlight w:val="none"/>
          <w:lang w:val="en-US" w:eastAsia="zh-CN"/>
          <w14:textFill>
            <w14:solidFill>
              <w14:schemeClr w14:val="tx1"/>
            </w14:solidFill>
          </w14:textFill>
        </w:rPr>
        <w:t>4103</w:t>
      </w:r>
      <w:r>
        <w:rPr>
          <w:rFonts w:hint="eastAsia"/>
          <w:color w:val="000000" w:themeColor="text1"/>
          <w:highlight w:val="none"/>
          <w14:textFill>
            <w14:solidFill>
              <w14:schemeClr w14:val="tx1"/>
            </w14:solidFill>
          </w14:textFill>
        </w:rPr>
        <w:t>的规定进行。</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eastAsia="zh-CN"/>
          <w14:textFill>
            <w14:solidFill>
              <w14:schemeClr w14:val="tx1"/>
            </w14:solidFill>
          </w14:textFill>
        </w:rPr>
        <w:t>（</w:t>
      </w:r>
      <w:r>
        <w:rPr>
          <w:rFonts w:hint="eastAsia" w:ascii="宋体" w:hAnsi="宋体" w:cs="宋体"/>
          <w:color w:val="000000" w:themeColor="text1"/>
          <w:szCs w:val="21"/>
          <w:highlight w:val="none"/>
          <w:lang w:val="en-US" w:eastAsia="zh-CN"/>
          <w14:textFill>
            <w14:solidFill>
              <w14:schemeClr w14:val="tx1"/>
            </w14:solidFill>
          </w14:textFill>
        </w:rPr>
        <w:t>2</w:t>
      </w:r>
      <w:r>
        <w:rPr>
          <w:rFonts w:hint="eastAsia" w:ascii="宋体" w:hAnsi="宋体" w:cs="宋体"/>
          <w:color w:val="000000" w:themeColor="text1"/>
          <w:szCs w:val="21"/>
          <w:highlight w:val="none"/>
          <w:lang w:eastAsia="zh-CN"/>
          <w14:textFill>
            <w14:solidFill>
              <w14:schemeClr w14:val="tx1"/>
            </w14:solidFill>
          </w14:textFill>
        </w:rPr>
        <w:t>）</w:t>
      </w:r>
      <w:r>
        <w:rPr>
          <w:rFonts w:hint="eastAsia" w:ascii="宋体" w:hAnsi="宋体" w:cs="宋体"/>
          <w:color w:val="000000" w:themeColor="text1"/>
          <w:szCs w:val="21"/>
          <w:highlight w:val="none"/>
          <w:lang w:val="en-US" w:eastAsia="zh-CN"/>
          <w14:textFill>
            <w14:solidFill>
              <w14:schemeClr w14:val="tx1"/>
            </w14:solidFill>
          </w14:textFill>
        </w:rPr>
        <w:t>对5.2尺寸偏差修订定义，明确阳极板各部件名称。修订为：</w:t>
      </w:r>
      <w:r>
        <w:rPr>
          <w:rFonts w:hint="eastAsia" w:ascii="宋体" w:hAnsi="宋体" w:cs="宋体"/>
          <w:color w:val="000000" w:themeColor="text1"/>
          <w:szCs w:val="21"/>
          <w:highlight w:val="none"/>
          <w14:textFill>
            <w14:solidFill>
              <w14:schemeClr w14:val="tx1"/>
            </w14:solidFill>
          </w14:textFill>
        </w:rPr>
        <w:t>阳极板的</w:t>
      </w:r>
      <w:r>
        <w:rPr>
          <w:rFonts w:hint="eastAsia"/>
          <w:color w:val="000000" w:themeColor="text1"/>
          <w:szCs w:val="21"/>
          <w:highlight w:val="none"/>
          <w14:textFill>
            <w14:solidFill>
              <w14:schemeClr w14:val="tx1"/>
            </w14:solidFill>
          </w14:textFill>
        </w:rPr>
        <w:t>长、宽、高</w:t>
      </w:r>
      <w:r>
        <w:rPr>
          <w:rFonts w:hint="eastAsia"/>
          <w:color w:val="000000" w:themeColor="text1"/>
          <w:szCs w:val="21"/>
          <w:highlight w:val="none"/>
          <w:lang w:eastAsia="zh-CN"/>
          <w14:textFill>
            <w14:solidFill>
              <w14:schemeClr w14:val="tx1"/>
            </w14:solidFill>
          </w14:textFill>
        </w:rPr>
        <w:t>（</w:t>
      </w:r>
      <w:r>
        <w:rPr>
          <w:rFonts w:hint="eastAsia"/>
          <w:color w:val="000000" w:themeColor="text1"/>
          <w:szCs w:val="21"/>
          <w:highlight w:val="none"/>
          <w:lang w:val="en-US" w:eastAsia="zh-CN"/>
          <w14:textFill>
            <w14:solidFill>
              <w14:schemeClr w14:val="tx1"/>
            </w14:solidFill>
          </w14:textFill>
        </w:rPr>
        <w:t>厚）</w:t>
      </w:r>
      <w:r>
        <w:rPr>
          <w:rFonts w:hint="eastAsia"/>
          <w:color w:val="000000" w:themeColor="text1"/>
          <w:szCs w:val="21"/>
          <w:highlight w:val="none"/>
          <w14:textFill>
            <w14:solidFill>
              <w14:schemeClr w14:val="tx1"/>
            </w14:solidFill>
          </w14:textFill>
        </w:rPr>
        <w:t>的尺寸偏差</w:t>
      </w:r>
      <w:r>
        <w:rPr>
          <w:rFonts w:hint="eastAsia" w:ascii="宋体" w:hAnsi="宋体" w:cs="宋体"/>
          <w:color w:val="000000" w:themeColor="text1"/>
          <w:szCs w:val="21"/>
          <w:highlight w:val="none"/>
          <w14:textFill>
            <w14:solidFill>
              <w14:schemeClr w14:val="tx1"/>
            </w14:solidFill>
          </w14:textFill>
        </w:rPr>
        <w:t>。</w:t>
      </w:r>
    </w:p>
    <w:p>
      <w:pPr>
        <w:tabs>
          <w:tab w:val="right" w:pos="9354"/>
        </w:tabs>
        <w:spacing w:line="360" w:lineRule="auto"/>
        <w:ind w:firstLine="420" w:firstLineChars="200"/>
        <w:rPr>
          <w:rFonts w:hint="eastAsia" w:ascii="宋体" w:hAnsi="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lang w:eastAsia="zh-CN"/>
          <w14:textFill>
            <w14:solidFill>
              <w14:schemeClr w14:val="tx1"/>
            </w14:solidFill>
          </w14:textFill>
        </w:rPr>
        <w:t>（</w:t>
      </w:r>
      <w:r>
        <w:rPr>
          <w:rFonts w:hint="eastAsia" w:ascii="宋体" w:hAnsi="宋体" w:cs="宋体"/>
          <w:color w:val="000000" w:themeColor="text1"/>
          <w:szCs w:val="21"/>
          <w:highlight w:val="none"/>
          <w:lang w:val="en-US" w:eastAsia="zh-CN"/>
          <w14:textFill>
            <w14:solidFill>
              <w14:schemeClr w14:val="tx1"/>
            </w14:solidFill>
          </w14:textFill>
        </w:rPr>
        <w:t>3</w:t>
      </w:r>
      <w:r>
        <w:rPr>
          <w:rFonts w:hint="eastAsia" w:ascii="宋体" w:hAnsi="宋体" w:cs="宋体"/>
          <w:color w:val="000000" w:themeColor="text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修改了6.1检验规则的检查和验收内容，以符合实际产品检验情况。</w:t>
      </w:r>
    </w:p>
    <w:p>
      <w:pPr>
        <w:tabs>
          <w:tab w:val="right" w:pos="9354"/>
        </w:tabs>
        <w:spacing w:line="360" w:lineRule="auto"/>
        <w:ind w:firstLine="420" w:firstLineChars="20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（4）</w:t>
      </w:r>
      <w:r>
        <w:rPr>
          <w:rFonts w:hint="eastAsia" w:ascii="宋体" w:hAnsi="宋体" w:cs="宋体"/>
          <w:color w:val="000000" w:themeColor="text1"/>
          <w:szCs w:val="21"/>
          <w:highlight w:val="none"/>
          <w:lang w:val="en-US" w:eastAsia="zh-CN"/>
          <w14:textFill>
            <w14:solidFill>
              <w14:schemeClr w14:val="tx1"/>
            </w14:solidFill>
          </w14:textFill>
        </w:rPr>
        <w:t>对6.3检验项目</w:t>
      </w:r>
      <w:r>
        <w:rPr>
          <w:rFonts w:hint="eastAsia" w:ascii="宋体" w:hAnsi="宋体" w:cs="宋体"/>
          <w:color w:val="000000" w:themeColor="text1"/>
          <w:szCs w:val="21"/>
          <w:highlight w:val="none"/>
          <w14:textFill>
            <w14:solidFill>
              <w14:schemeClr w14:val="tx1"/>
            </w14:solidFill>
          </w14:textFill>
        </w:rPr>
        <w:t>修改为：</w:t>
      </w:r>
      <w:r>
        <w:rPr>
          <w:rFonts w:hint="eastAsia" w:ascii="宋体" w:hAnsi="宋体"/>
          <w:color w:val="000000" w:themeColor="text1"/>
          <w:szCs w:val="21"/>
          <w:highlight w:val="none"/>
          <w14:textFill>
            <w14:solidFill>
              <w14:schemeClr w14:val="tx1"/>
            </w14:solidFill>
          </w14:textFill>
        </w:rPr>
        <w:t>每批产品应进行化学成分、外形尺寸、外观质量和焊接质量的检验，并在</w:t>
      </w:r>
      <w:r>
        <w:rPr>
          <w:rFonts w:hint="eastAsia"/>
          <w:color w:val="000000" w:themeColor="text1"/>
          <w:highlight w:val="none"/>
          <w14:textFill>
            <w14:solidFill>
              <w14:schemeClr w14:val="tx1"/>
            </w14:solidFill>
          </w14:textFill>
        </w:rPr>
        <w:t>发货单</w:t>
      </w:r>
      <w:r>
        <w:rPr>
          <w:rFonts w:hint="eastAsia" w:ascii="宋体" w:hAnsi="宋体"/>
          <w:color w:val="000000" w:themeColor="text1"/>
          <w:szCs w:val="21"/>
          <w:highlight w:val="none"/>
          <w14:textFill>
            <w14:solidFill>
              <w14:schemeClr w14:val="tx1"/>
            </w14:solidFill>
          </w14:textFill>
        </w:rPr>
        <w:t>中注明</w:t>
      </w:r>
      <w:r>
        <w:rPr>
          <w:rFonts w:hint="eastAsia" w:ascii="宋体" w:hAnsi="宋体" w:cs="宋体"/>
          <w:color w:val="000000" w:themeColor="text1"/>
          <w:szCs w:val="21"/>
          <w:highlight w:val="none"/>
          <w14:textFill>
            <w14:solidFill>
              <w14:schemeClr w14:val="tx1"/>
            </w14:solidFill>
          </w14:textFill>
        </w:rPr>
        <w:t>硬度、抗拉强度性能、导电率等检测数据。产品经</w:t>
      </w:r>
      <w:r>
        <w:rPr>
          <w:rFonts w:hint="eastAsia" w:ascii="宋体" w:hAnsi="宋体"/>
          <w:color w:val="000000" w:themeColor="text1"/>
          <w:szCs w:val="21"/>
          <w:highlight w:val="none"/>
          <w14:textFill>
            <w14:solidFill>
              <w14:schemeClr w14:val="tx1"/>
            </w14:solidFill>
          </w14:textFill>
        </w:rPr>
        <w:t>检验合格</w:t>
      </w:r>
      <w:r>
        <w:rPr>
          <w:rFonts w:hint="eastAsia" w:ascii="宋体" w:hAnsi="宋体"/>
          <w:color w:val="000000" w:themeColor="text1"/>
          <w:szCs w:val="21"/>
          <w:highlight w:val="none"/>
          <w:lang w:val="en-US" w:eastAsia="zh-CN"/>
          <w14:textFill>
            <w14:solidFill>
              <w14:schemeClr w14:val="tx1"/>
            </w14:solidFill>
          </w14:textFill>
        </w:rPr>
        <w:t>应</w:t>
      </w:r>
      <w:r>
        <w:rPr>
          <w:rFonts w:hint="eastAsia" w:ascii="宋体" w:hAnsi="宋体"/>
          <w:color w:val="000000" w:themeColor="text1"/>
          <w:szCs w:val="21"/>
          <w:highlight w:val="none"/>
          <w14:textFill>
            <w14:solidFill>
              <w14:schemeClr w14:val="tx1"/>
            </w14:solidFill>
          </w14:textFill>
        </w:rPr>
        <w:t>附有质量证明书</w:t>
      </w:r>
      <w:r>
        <w:rPr>
          <w:rFonts w:hint="eastAsia" w:ascii="宋体" w:hAnsi="宋体"/>
          <w:color w:val="000000" w:themeColor="text1"/>
          <w:szCs w:val="21"/>
          <w:highlight w:val="none"/>
          <w:lang w:val="en-US" w:eastAsia="zh-CN"/>
          <w14:textFill>
            <w14:solidFill>
              <w14:schemeClr w14:val="tx1"/>
            </w14:solidFill>
          </w14:textFill>
        </w:rPr>
        <w:t>和产品合格证</w:t>
      </w:r>
    </w:p>
    <w:p>
      <w:pPr>
        <w:spacing w:line="360" w:lineRule="auto"/>
        <w:ind w:firstLine="42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（5）修改了6.5检验结果的判定，以更加符合产品检验结果的判定规定。</w:t>
      </w:r>
    </w:p>
    <w:p>
      <w:pPr>
        <w:pStyle w:val="2"/>
        <w:spacing w:line="360" w:lineRule="auto"/>
        <w:ind w:firstLine="42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（6）增加了力学性能的试验方法的内容：</w:t>
      </w:r>
    </w:p>
    <w:p>
      <w:pPr>
        <w:keepNext w:val="0"/>
        <w:keepLines w:val="0"/>
        <w:pageBreakBefore w:val="0"/>
        <w:widowControl/>
        <w:kinsoku/>
        <w:wordWrap/>
        <w:overflowPunct/>
        <w:topLinePunct w:val="0"/>
        <w:autoSpaceDE w:val="0"/>
        <w:autoSpaceDN w:val="0"/>
        <w:bidi w:val="0"/>
        <w:adjustRightInd/>
        <w:snapToGrid/>
        <w:spacing w:line="360" w:lineRule="auto"/>
        <w:ind w:firstLine="0" w:firstLineChars="0"/>
        <w:textAlignment w:val="auto"/>
        <w:rPr>
          <w:rFonts w:hint="eastAsia"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val="en-US" w:eastAsia="zh-CN" w:bidi="ar-SA"/>
        </w:rPr>
        <w:t xml:space="preserve">7.3.3 </w:t>
      </w:r>
      <w:r>
        <w:rPr>
          <w:rFonts w:hint="eastAsia" w:ascii="宋体" w:hAnsi="宋体" w:eastAsia="宋体" w:cs="宋体"/>
          <w:color w:val="000000"/>
          <w:sz w:val="21"/>
          <w:szCs w:val="21"/>
          <w:highlight w:val="none"/>
        </w:rPr>
        <w:t>导电铜梁的硬度试验</w:t>
      </w:r>
      <w:r>
        <w:rPr>
          <w:rFonts w:hint="eastAsia" w:ascii="宋体" w:hAnsi="宋体" w:eastAsia="宋体" w:cs="宋体"/>
          <w:color w:val="000000"/>
          <w:sz w:val="21"/>
          <w:szCs w:val="21"/>
          <w:highlight w:val="none"/>
          <w:lang w:val="en-US" w:eastAsia="zh-CN"/>
        </w:rPr>
        <w:t>按</w:t>
      </w:r>
      <w:r>
        <w:rPr>
          <w:rFonts w:hint="eastAsia" w:ascii="宋体" w:hAnsi="宋体" w:eastAsia="宋体" w:cs="宋体"/>
          <w:color w:val="000000"/>
          <w:sz w:val="21"/>
          <w:szCs w:val="21"/>
          <w:highlight w:val="none"/>
        </w:rPr>
        <w:t>GB/T 231.1的规定进行。</w:t>
      </w:r>
    </w:p>
    <w:p>
      <w:pPr>
        <w:spacing w:line="360" w:lineRule="auto"/>
        <w:ind w:firstLine="0" w:firstLineChars="0"/>
        <w:rPr>
          <w:rFonts w:hint="eastAsia"/>
          <w:color w:val="000000"/>
          <w:highlight w:val="none"/>
          <w:lang w:val="en-US" w:eastAsia="zh-CN"/>
        </w:rPr>
      </w:pPr>
      <w:r>
        <w:rPr>
          <w:rFonts w:hint="eastAsia" w:ascii="宋体" w:hAnsi="宋体" w:eastAsia="宋体" w:cs="宋体"/>
          <w:color w:val="000000"/>
          <w:kern w:val="0"/>
          <w:sz w:val="21"/>
          <w:szCs w:val="21"/>
          <w:highlight w:val="none"/>
          <w:lang w:val="en-US" w:eastAsia="zh-CN" w:bidi="ar-SA"/>
        </w:rPr>
        <w:t xml:space="preserve">7.3.4 </w:t>
      </w:r>
      <w:r>
        <w:rPr>
          <w:rFonts w:hint="eastAsia" w:ascii="宋体" w:hAnsi="宋体" w:eastAsia="宋体" w:cs="宋体"/>
          <w:b w:val="0"/>
          <w:bCs w:val="0"/>
          <w:color w:val="000000"/>
          <w:sz w:val="21"/>
          <w:szCs w:val="21"/>
          <w:highlight w:val="none"/>
          <w:lang w:val="en-US" w:eastAsia="zh-CN"/>
        </w:rPr>
        <w:t>导电铜梁的拉伸试验按</w:t>
      </w:r>
      <w:r>
        <w:rPr>
          <w:rFonts w:hint="eastAsia" w:ascii="宋体" w:hAnsi="宋体" w:eastAsia="宋体" w:cs="宋体"/>
          <w:b w:val="0"/>
          <w:bCs w:val="0"/>
          <w:i w:val="0"/>
          <w:iCs w:val="0"/>
          <w:caps w:val="0"/>
          <w:color w:val="000000"/>
          <w:spacing w:val="0"/>
          <w:sz w:val="21"/>
          <w:szCs w:val="21"/>
          <w:highlight w:val="none"/>
        </w:rPr>
        <w:t xml:space="preserve">GB/T </w:t>
      </w:r>
      <w:r>
        <w:rPr>
          <w:rFonts w:hint="eastAsia" w:ascii="宋体" w:hAnsi="宋体" w:eastAsia="宋体" w:cs="宋体"/>
          <w:b w:val="0"/>
          <w:bCs w:val="0"/>
          <w:i w:val="0"/>
          <w:iCs w:val="0"/>
          <w:caps w:val="0"/>
          <w:color w:val="000000"/>
          <w:spacing w:val="0"/>
          <w:sz w:val="21"/>
          <w:szCs w:val="21"/>
          <w:highlight w:val="none"/>
          <w:lang w:val="en-US" w:eastAsia="zh-CN"/>
        </w:rPr>
        <w:t>34505</w:t>
      </w:r>
      <w:r>
        <w:rPr>
          <w:rFonts w:hint="eastAsia" w:ascii="宋体" w:hAnsi="宋体" w:eastAsia="宋体" w:cs="宋体"/>
          <w:b w:val="0"/>
          <w:bCs w:val="0"/>
          <w:i w:val="0"/>
          <w:iCs w:val="0"/>
          <w:caps w:val="0"/>
          <w:color w:val="000000"/>
          <w:spacing w:val="0"/>
          <w:kern w:val="0"/>
          <w:sz w:val="21"/>
          <w:szCs w:val="21"/>
          <w:highlight w:val="none"/>
          <w:lang w:val="en-US" w:eastAsia="zh-CN" w:bidi="ar"/>
        </w:rPr>
        <w:t>的规定进行，</w:t>
      </w:r>
      <w:r>
        <w:rPr>
          <w:rFonts w:hint="eastAsia" w:ascii="宋体" w:hAnsi="宋体" w:eastAsia="宋体" w:cs="宋体"/>
          <w:color w:val="000000"/>
          <w:sz w:val="21"/>
          <w:szCs w:val="21"/>
          <w:highlight w:val="none"/>
        </w:rPr>
        <w:t xml:space="preserve">其拉伸试样按GB/T </w:t>
      </w:r>
      <w:r>
        <w:rPr>
          <w:rFonts w:hint="eastAsia" w:ascii="宋体" w:hAnsi="宋体" w:eastAsia="宋体" w:cs="宋体"/>
          <w:i w:val="0"/>
          <w:iCs w:val="0"/>
          <w:caps w:val="0"/>
          <w:color w:val="000000"/>
          <w:spacing w:val="0"/>
          <w:sz w:val="21"/>
          <w:szCs w:val="21"/>
          <w:highlight w:val="none"/>
          <w:shd w:val="clear" w:color="auto" w:fill="FFFFFF"/>
          <w:lang w:val="en-US" w:eastAsia="zh-CN"/>
        </w:rPr>
        <w:t>34505-2017中</w:t>
      </w:r>
      <w:r>
        <w:rPr>
          <w:rFonts w:hint="eastAsia" w:ascii="宋体" w:hAnsi="宋体" w:eastAsia="宋体" w:cs="宋体"/>
          <w:color w:val="000000"/>
          <w:sz w:val="21"/>
          <w:szCs w:val="21"/>
          <w:highlight w:val="none"/>
          <w:vertAlign w:val="baseline"/>
          <w:lang w:val="en-US" w:eastAsia="zh-CN"/>
        </w:rPr>
        <w:t>5.3.3 棒材产品试样类型的选取</w:t>
      </w:r>
      <w:r>
        <w:rPr>
          <w:rFonts w:hint="eastAsia" w:ascii="宋体" w:hAnsi="宋体" w:eastAsia="宋体" w:cs="宋体"/>
          <w:i w:val="0"/>
          <w:iCs w:val="0"/>
          <w:caps w:val="0"/>
          <w:color w:val="000000"/>
          <w:spacing w:val="0"/>
          <w:sz w:val="21"/>
          <w:szCs w:val="21"/>
          <w:highlight w:val="none"/>
          <w:shd w:val="clear" w:color="auto" w:fill="FFFFFF"/>
          <w:lang w:val="en-US" w:eastAsia="zh-CN"/>
        </w:rPr>
        <w:t>表11</w:t>
      </w:r>
      <w:r>
        <w:rPr>
          <w:rFonts w:hint="eastAsia" w:ascii="宋体" w:hAnsi="宋体" w:eastAsia="宋体" w:cs="宋体"/>
          <w:color w:val="000000"/>
          <w:sz w:val="21"/>
          <w:szCs w:val="21"/>
          <w:highlight w:val="none"/>
        </w:rPr>
        <w:t>试样的规定进行</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lang w:val="en-US" w:eastAsia="zh-CN"/>
        </w:rPr>
        <w:t>见下表</w:t>
      </w:r>
      <w:r>
        <w:rPr>
          <w:rFonts w:hint="eastAsia" w:ascii="宋体" w:hAnsi="宋体" w:eastAsia="宋体" w:cs="宋体"/>
          <w:color w:val="000000"/>
          <w:sz w:val="21"/>
          <w:szCs w:val="21"/>
          <w:highlight w:val="none"/>
        </w:rPr>
        <w:t>。</w:t>
      </w:r>
    </w:p>
    <w:p>
      <w:pPr>
        <w:jc w:val="center"/>
        <w:rPr>
          <w:color w:val="000000"/>
          <w:highlight w:val="none"/>
        </w:rPr>
      </w:pPr>
      <w:r>
        <w:rPr>
          <w:rFonts w:hint="eastAsia"/>
          <w:color w:val="000000"/>
          <w:highlight w:val="none"/>
          <w:lang w:val="en-US" w:eastAsia="zh-CN"/>
        </w:rPr>
        <w:t>表10 棒材比例试样的试样类型</w:t>
      </w:r>
    </w:p>
    <w:tbl>
      <w:tblPr>
        <w:tblStyle w:val="9"/>
        <w:tblW w:w="84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06"/>
        <w:gridCol w:w="2806"/>
        <w:gridCol w:w="2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2806" w:type="dxa"/>
            <w:noWrap w:val="0"/>
            <w:vAlign w:val="center"/>
          </w:tcPr>
          <w:p>
            <w:pPr>
              <w:jc w:val="center"/>
              <w:rPr>
                <w:rFonts w:hint="eastAsia" w:ascii="宋体" w:hAnsi="宋体" w:eastAsia="宋体" w:cs="宋体"/>
                <w:color w:val="000000"/>
                <w:sz w:val="18"/>
                <w:szCs w:val="18"/>
                <w:highlight w:val="none"/>
                <w:vertAlign w:val="baseline"/>
                <w:lang w:val="en-US" w:eastAsia="zh-CN"/>
              </w:rPr>
            </w:pPr>
            <w:r>
              <w:rPr>
                <w:rFonts w:hint="eastAsia" w:ascii="宋体" w:hAnsi="宋体" w:eastAsia="宋体" w:cs="宋体"/>
                <w:color w:val="000000"/>
                <w:sz w:val="18"/>
                <w:szCs w:val="18"/>
                <w:highlight w:val="none"/>
                <w:vertAlign w:val="baseline"/>
                <w:lang w:val="en-US" w:eastAsia="zh-CN"/>
              </w:rPr>
              <w:t>直径（或公称直径）d</w:t>
            </w:r>
            <w:r>
              <w:rPr>
                <w:rFonts w:hint="eastAsia" w:ascii="宋体" w:hAnsi="宋体" w:eastAsia="宋体" w:cs="宋体"/>
                <w:color w:val="000000"/>
                <w:sz w:val="18"/>
                <w:szCs w:val="18"/>
                <w:highlight w:val="none"/>
                <w:vertAlign w:val="subscript"/>
                <w:lang w:val="en-US" w:eastAsia="zh-CN"/>
              </w:rPr>
              <w:t>0</w:t>
            </w:r>
            <w:r>
              <w:rPr>
                <w:rFonts w:hint="eastAsia" w:ascii="宋体" w:hAnsi="宋体" w:eastAsia="宋体" w:cs="宋体"/>
                <w:color w:val="000000"/>
                <w:sz w:val="18"/>
                <w:szCs w:val="18"/>
                <w:highlight w:val="none"/>
                <w:vertAlign w:val="baseline"/>
                <w:lang w:val="en-US" w:eastAsia="zh-CN"/>
              </w:rPr>
              <w:t>/mm</w:t>
            </w:r>
          </w:p>
        </w:tc>
        <w:tc>
          <w:tcPr>
            <w:tcW w:w="5613" w:type="dxa"/>
            <w:gridSpan w:val="2"/>
            <w:noWrap w:val="0"/>
            <w:vAlign w:val="center"/>
          </w:tcPr>
          <w:p>
            <w:pPr>
              <w:jc w:val="center"/>
              <w:rPr>
                <w:rFonts w:hint="eastAsia" w:ascii="宋体" w:hAnsi="宋体" w:eastAsia="宋体" w:cs="宋体"/>
                <w:color w:val="000000"/>
                <w:sz w:val="18"/>
                <w:szCs w:val="18"/>
                <w:highlight w:val="none"/>
                <w:vertAlign w:val="baseline"/>
                <w:lang w:val="en-US" w:eastAsia="zh-CN"/>
              </w:rPr>
            </w:pPr>
            <w:r>
              <w:rPr>
                <w:rFonts w:hint="eastAsia" w:ascii="宋体" w:hAnsi="宋体" w:eastAsia="宋体" w:cs="宋体"/>
                <w:color w:val="000000"/>
                <w:sz w:val="18"/>
                <w:szCs w:val="18"/>
                <w:highlight w:val="none"/>
                <w:vertAlign w:val="baseline"/>
                <w:lang w:val="en-US" w:eastAsia="zh-CN"/>
              </w:rPr>
              <w:t>试样类型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2806" w:type="dxa"/>
            <w:noWrap w:val="0"/>
            <w:vAlign w:val="center"/>
          </w:tcPr>
          <w:p>
            <w:pPr>
              <w:jc w:val="center"/>
              <w:rPr>
                <w:rFonts w:hint="eastAsia" w:ascii="宋体" w:hAnsi="宋体" w:eastAsia="宋体" w:cs="宋体"/>
                <w:color w:val="000000"/>
                <w:sz w:val="18"/>
                <w:szCs w:val="18"/>
                <w:highlight w:val="none"/>
                <w:vertAlign w:val="baseline"/>
                <w:lang w:val="en-US" w:eastAsia="zh-CN"/>
              </w:rPr>
            </w:pPr>
            <w:r>
              <w:rPr>
                <w:rFonts w:hint="eastAsia" w:ascii="宋体" w:hAnsi="宋体" w:eastAsia="宋体" w:cs="宋体"/>
                <w:color w:val="000000"/>
                <w:sz w:val="18"/>
                <w:szCs w:val="18"/>
                <w:highlight w:val="none"/>
                <w:vertAlign w:val="baseline"/>
                <w:lang w:val="en-US" w:eastAsia="zh-CN"/>
              </w:rPr>
              <w:t>≤12.5</w:t>
            </w:r>
          </w:p>
        </w:tc>
        <w:tc>
          <w:tcPr>
            <w:tcW w:w="5613" w:type="dxa"/>
            <w:gridSpan w:val="2"/>
            <w:noWrap w:val="0"/>
            <w:vAlign w:val="center"/>
          </w:tcPr>
          <w:p>
            <w:pPr>
              <w:jc w:val="center"/>
              <w:rPr>
                <w:rFonts w:hint="eastAsia" w:ascii="宋体" w:hAnsi="宋体" w:eastAsia="宋体" w:cs="宋体"/>
                <w:color w:val="000000"/>
                <w:sz w:val="18"/>
                <w:szCs w:val="18"/>
                <w:highlight w:val="none"/>
                <w:vertAlign w:val="baseline"/>
                <w:lang w:val="en-US" w:eastAsia="zh-CN"/>
              </w:rPr>
            </w:pPr>
            <w:r>
              <w:rPr>
                <w:rFonts w:hint="eastAsia" w:ascii="宋体" w:hAnsi="宋体" w:eastAsia="宋体" w:cs="宋体"/>
                <w:color w:val="000000"/>
                <w:sz w:val="18"/>
                <w:szCs w:val="18"/>
                <w:highlight w:val="none"/>
                <w:vertAlign w:val="baseline"/>
                <w:lang w:val="en-US" w:eastAsia="zh-CN"/>
              </w:rPr>
              <w:t>全截面试样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2806" w:type="dxa"/>
            <w:noWrap w:val="0"/>
            <w:vAlign w:val="center"/>
          </w:tcPr>
          <w:p>
            <w:pPr>
              <w:jc w:val="center"/>
              <w:rPr>
                <w:rFonts w:hint="eastAsia" w:ascii="宋体" w:hAnsi="宋体" w:eastAsia="宋体" w:cs="宋体"/>
                <w:color w:val="000000"/>
                <w:sz w:val="18"/>
                <w:szCs w:val="18"/>
                <w:highlight w:val="none"/>
                <w:vertAlign w:val="baseline"/>
                <w:lang w:val="en-US"/>
              </w:rPr>
            </w:pPr>
            <w:r>
              <w:rPr>
                <w:rFonts w:hint="eastAsia" w:ascii="宋体" w:hAnsi="宋体" w:eastAsia="宋体" w:cs="宋体"/>
                <w:color w:val="000000"/>
                <w:sz w:val="18"/>
                <w:szCs w:val="18"/>
                <w:highlight w:val="none"/>
                <w:vertAlign w:val="baseline"/>
                <w:lang w:val="en-US" w:eastAsia="zh-CN"/>
              </w:rPr>
              <w:t>＞12.5～15</w:t>
            </w:r>
          </w:p>
        </w:tc>
        <w:tc>
          <w:tcPr>
            <w:tcW w:w="2806" w:type="dxa"/>
            <w:noWrap w:val="0"/>
            <w:vAlign w:val="center"/>
          </w:tcPr>
          <w:p>
            <w:pPr>
              <w:jc w:val="center"/>
              <w:rPr>
                <w:rFonts w:hint="eastAsia" w:ascii="宋体" w:hAnsi="宋体" w:eastAsia="宋体" w:cs="宋体"/>
                <w:color w:val="000000"/>
                <w:sz w:val="18"/>
                <w:szCs w:val="18"/>
                <w:highlight w:val="none"/>
                <w:vertAlign w:val="baseline"/>
                <w:lang w:val="en-US" w:eastAsia="zh-CN"/>
              </w:rPr>
            </w:pPr>
            <w:r>
              <w:rPr>
                <w:rFonts w:hint="eastAsia" w:ascii="宋体" w:hAnsi="宋体" w:eastAsia="宋体" w:cs="宋体"/>
                <w:color w:val="000000"/>
                <w:sz w:val="18"/>
                <w:szCs w:val="18"/>
                <w:highlight w:val="none"/>
                <w:vertAlign w:val="baseline"/>
                <w:lang w:val="en-US" w:eastAsia="zh-CN"/>
              </w:rPr>
              <w:t>R2</w:t>
            </w:r>
          </w:p>
        </w:tc>
        <w:tc>
          <w:tcPr>
            <w:tcW w:w="2807" w:type="dxa"/>
            <w:noWrap w:val="0"/>
            <w:vAlign w:val="center"/>
          </w:tcPr>
          <w:p>
            <w:pPr>
              <w:jc w:val="center"/>
              <w:rPr>
                <w:rFonts w:hint="eastAsia" w:ascii="宋体" w:hAnsi="宋体" w:eastAsia="宋体" w:cs="宋体"/>
                <w:color w:val="000000"/>
                <w:sz w:val="18"/>
                <w:szCs w:val="18"/>
                <w:highlight w:val="none"/>
                <w:vertAlign w:val="baseline"/>
                <w:lang w:val="en-US" w:eastAsia="zh-CN"/>
              </w:rPr>
            </w:pPr>
            <w:r>
              <w:rPr>
                <w:rFonts w:hint="eastAsia" w:ascii="宋体" w:hAnsi="宋体" w:eastAsia="宋体" w:cs="宋体"/>
                <w:color w:val="000000"/>
                <w:sz w:val="18"/>
                <w:szCs w:val="18"/>
                <w:highlight w:val="none"/>
                <w:vertAlign w:val="baseline"/>
                <w:lang w:val="en-US" w:eastAsia="zh-CN"/>
              </w:rPr>
              <w:t>R02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2806" w:type="dxa"/>
            <w:noWrap w:val="0"/>
            <w:vAlign w:val="center"/>
          </w:tcPr>
          <w:p>
            <w:pPr>
              <w:jc w:val="center"/>
              <w:rPr>
                <w:rFonts w:hint="eastAsia" w:ascii="宋体" w:hAnsi="宋体" w:eastAsia="宋体" w:cs="宋体"/>
                <w:color w:val="000000"/>
                <w:sz w:val="18"/>
                <w:szCs w:val="18"/>
                <w:highlight w:val="none"/>
                <w:vertAlign w:val="baseline"/>
                <w:lang w:val="en-US"/>
              </w:rPr>
            </w:pPr>
            <w:r>
              <w:rPr>
                <w:rFonts w:hint="eastAsia" w:ascii="宋体" w:hAnsi="宋体" w:eastAsia="宋体" w:cs="宋体"/>
                <w:color w:val="000000"/>
                <w:sz w:val="18"/>
                <w:szCs w:val="18"/>
                <w:highlight w:val="none"/>
                <w:vertAlign w:val="baseline"/>
                <w:lang w:val="en-US" w:eastAsia="zh-CN"/>
              </w:rPr>
              <w:t>＞15</w:t>
            </w:r>
          </w:p>
        </w:tc>
        <w:tc>
          <w:tcPr>
            <w:tcW w:w="2806" w:type="dxa"/>
            <w:noWrap w:val="0"/>
            <w:vAlign w:val="center"/>
          </w:tcPr>
          <w:p>
            <w:pPr>
              <w:jc w:val="center"/>
              <w:rPr>
                <w:rFonts w:hint="eastAsia" w:ascii="宋体" w:hAnsi="宋体" w:eastAsia="宋体" w:cs="宋体"/>
                <w:color w:val="000000"/>
                <w:sz w:val="18"/>
                <w:szCs w:val="18"/>
                <w:highlight w:val="none"/>
                <w:vertAlign w:val="baseline"/>
                <w:lang w:val="en-US" w:eastAsia="zh-CN"/>
              </w:rPr>
            </w:pPr>
            <w:r>
              <w:rPr>
                <w:rFonts w:hint="eastAsia" w:ascii="宋体" w:hAnsi="宋体" w:eastAsia="宋体" w:cs="宋体"/>
                <w:color w:val="000000"/>
                <w:sz w:val="18"/>
                <w:szCs w:val="18"/>
                <w:highlight w:val="none"/>
                <w:vertAlign w:val="baseline"/>
                <w:lang w:val="en-US" w:eastAsia="zh-CN"/>
              </w:rPr>
              <w:t>R1</w:t>
            </w:r>
          </w:p>
        </w:tc>
        <w:tc>
          <w:tcPr>
            <w:tcW w:w="2807" w:type="dxa"/>
            <w:noWrap w:val="0"/>
            <w:vAlign w:val="center"/>
          </w:tcPr>
          <w:p>
            <w:pPr>
              <w:jc w:val="center"/>
              <w:rPr>
                <w:rFonts w:hint="eastAsia" w:ascii="宋体" w:hAnsi="宋体" w:eastAsia="宋体" w:cs="宋体"/>
                <w:color w:val="000000"/>
                <w:sz w:val="18"/>
                <w:szCs w:val="18"/>
                <w:highlight w:val="none"/>
                <w:vertAlign w:val="baseline"/>
                <w:lang w:val="en-US" w:eastAsia="zh-CN"/>
              </w:rPr>
            </w:pPr>
            <w:r>
              <w:rPr>
                <w:rFonts w:hint="eastAsia" w:ascii="宋体" w:hAnsi="宋体" w:eastAsia="宋体" w:cs="宋体"/>
                <w:color w:val="000000"/>
                <w:sz w:val="18"/>
                <w:szCs w:val="18"/>
                <w:highlight w:val="none"/>
                <w:vertAlign w:val="baseline"/>
                <w:lang w:val="en-US" w:eastAsia="zh-CN"/>
              </w:rPr>
              <w:t>R01</w:t>
            </w:r>
          </w:p>
        </w:tc>
      </w:tr>
    </w:tbl>
    <w:p>
      <w:pPr>
        <w:rPr>
          <w:rFonts w:hint="default"/>
          <w:lang w:val="en-US" w:eastAsia="zh-CN"/>
        </w:rPr>
      </w:pPr>
    </w:p>
    <w:p>
      <w:pPr>
        <w:spacing w:before="156" w:beforeLines="50" w:after="156" w:afterLines="50" w:line="360" w:lineRule="auto"/>
        <w:rPr>
          <w:rFonts w:eastAsia="黑体"/>
          <w:b/>
          <w:bCs/>
          <w:color w:val="auto"/>
        </w:rPr>
      </w:pPr>
      <w:r>
        <w:rPr>
          <w:rFonts w:eastAsia="黑体"/>
          <w:b/>
          <w:bCs/>
          <w:color w:val="auto"/>
        </w:rPr>
        <w:t>4.6  标志、包装、运输、贮存及随行文件</w:t>
      </w:r>
    </w:p>
    <w:p>
      <w:pPr>
        <w:numPr>
          <w:ilvl w:val="-1"/>
          <w:numId w:val="0"/>
        </w:numPr>
        <w:spacing w:line="360" w:lineRule="auto"/>
        <w:ind w:firstLine="420" w:firstLineChars="200"/>
        <w:rPr>
          <w:color w:val="auto"/>
        </w:rPr>
      </w:pPr>
      <w:r>
        <w:rPr>
          <w:rFonts w:hint="eastAsia"/>
          <w:color w:val="auto"/>
          <w:lang w:val="en-US" w:eastAsia="zh-CN"/>
        </w:rPr>
        <w:t>分别对</w:t>
      </w:r>
      <w:r>
        <w:rPr>
          <w:rFonts w:hint="eastAsia"/>
          <w:lang w:val="en-US" w:eastAsia="zh-CN"/>
        </w:rPr>
        <w:t>标志、包装、运输、</w:t>
      </w:r>
      <w:r>
        <w:rPr>
          <w:rFonts w:eastAsia="黑体"/>
          <w:b w:val="0"/>
          <w:bCs w:val="0"/>
          <w:color w:val="auto"/>
        </w:rPr>
        <w:t>贮存</w:t>
      </w:r>
      <w:r>
        <w:rPr>
          <w:rFonts w:hint="eastAsia" w:eastAsia="黑体"/>
          <w:b w:val="0"/>
          <w:bCs w:val="0"/>
          <w:color w:val="auto"/>
          <w:lang w:val="en-US" w:eastAsia="zh-CN"/>
        </w:rPr>
        <w:t>的规定</w:t>
      </w:r>
      <w:r>
        <w:rPr>
          <w:rFonts w:hint="eastAsia"/>
          <w:lang w:val="en-US" w:eastAsia="zh-CN"/>
        </w:rPr>
        <w:t>，质量证明书及产品合格证等随行文件的条目及内容进行了修改，使之符合GBT8888新发布的标准规定。</w:t>
      </w:r>
    </w:p>
    <w:p>
      <w:pPr>
        <w:spacing w:before="156" w:beforeLines="50" w:after="156" w:afterLines="50" w:line="360" w:lineRule="auto"/>
        <w:rPr>
          <w:rFonts w:eastAsia="黑体"/>
          <w:b/>
          <w:bCs/>
          <w:color w:val="auto"/>
        </w:rPr>
      </w:pPr>
      <w:r>
        <w:rPr>
          <w:rFonts w:eastAsia="黑体"/>
          <w:b/>
          <w:bCs/>
          <w:color w:val="auto"/>
        </w:rPr>
        <w:t>4.7  订货单内容</w:t>
      </w:r>
    </w:p>
    <w:p>
      <w:pPr>
        <w:numPr>
          <w:ilvl w:val="-1"/>
          <w:numId w:val="0"/>
        </w:numPr>
        <w:spacing w:line="360" w:lineRule="auto"/>
        <w:rPr>
          <w:rFonts w:hint="default" w:eastAsia="黑体"/>
          <w:b/>
          <w:bCs/>
          <w:color w:val="auto"/>
          <w:lang w:val="en-US" w:eastAsia="zh-CN"/>
        </w:rPr>
      </w:pPr>
      <w:r>
        <w:rPr>
          <w:rFonts w:hint="eastAsia" w:eastAsia="黑体"/>
          <w:b/>
          <w:bCs/>
          <w:color w:val="auto"/>
          <w:lang w:val="en-US" w:eastAsia="zh-CN"/>
        </w:rPr>
        <w:t xml:space="preserve">    </w:t>
      </w:r>
      <w:r>
        <w:rPr>
          <w:rFonts w:hint="eastAsia" w:asciiTheme="minorEastAsia" w:hAnsiTheme="minorEastAsia" w:eastAsiaTheme="minorEastAsia" w:cstheme="minorEastAsia"/>
          <w:b w:val="0"/>
          <w:bCs w:val="0"/>
          <w:color w:val="auto"/>
          <w:lang w:val="en-US" w:eastAsia="zh-CN"/>
        </w:rPr>
        <w:t xml:space="preserve"> 修改了件数为重量和片数的规定</w:t>
      </w:r>
    </w:p>
    <w:p>
      <w:pPr>
        <w:numPr>
          <w:ilvl w:val="0"/>
          <w:numId w:val="2"/>
        </w:numPr>
        <w:spacing w:line="360" w:lineRule="auto"/>
        <w:rPr>
          <w:rFonts w:eastAsia="黑体"/>
          <w:b/>
          <w:bCs/>
          <w:color w:val="auto"/>
        </w:rPr>
      </w:pPr>
      <w:r>
        <w:rPr>
          <w:rFonts w:eastAsia="黑体"/>
          <w:b/>
          <w:bCs/>
          <w:color w:val="auto"/>
        </w:rPr>
        <w:t>国外先进标准情况</w:t>
      </w:r>
    </w:p>
    <w:p>
      <w:pPr>
        <w:pStyle w:val="2"/>
        <w:spacing w:line="360" w:lineRule="auto"/>
        <w:rPr>
          <w:color w:val="auto"/>
        </w:rPr>
      </w:pPr>
      <w:r>
        <w:rPr>
          <w:rFonts w:hint="eastAsia"/>
          <w:color w:val="auto"/>
        </w:rPr>
        <w:t xml:space="preserve">   </w:t>
      </w:r>
      <w:r>
        <w:rPr>
          <w:rFonts w:hint="eastAsia" w:ascii="宋体" w:hAnsi="宋体" w:eastAsia="宋体" w:cs="宋体"/>
          <w:color w:val="auto"/>
          <w:sz w:val="21"/>
          <w:szCs w:val="21"/>
        </w:rPr>
        <w:t>未查到相关标准情况</w:t>
      </w:r>
    </w:p>
    <w:p>
      <w:pPr>
        <w:spacing w:before="156" w:beforeLines="50" w:after="156" w:afterLines="50" w:line="360" w:lineRule="auto"/>
        <w:rPr>
          <w:rFonts w:eastAsia="黑体"/>
          <w:b/>
          <w:bCs/>
          <w:color w:val="auto"/>
        </w:rPr>
      </w:pPr>
      <w:r>
        <w:rPr>
          <w:rFonts w:eastAsia="黑体"/>
          <w:b/>
          <w:bCs/>
          <w:color w:val="auto"/>
        </w:rPr>
        <w:t>六、与现行相关法律、法规、规章及相关标准，特别是强制性标准的协调性</w:t>
      </w:r>
    </w:p>
    <w:p>
      <w:pPr>
        <w:spacing w:line="360" w:lineRule="auto"/>
        <w:ind w:firstLine="420" w:firstLineChars="200"/>
        <w:jc w:val="left"/>
        <w:rPr>
          <w:color w:val="auto"/>
          <w:szCs w:val="21"/>
        </w:rPr>
      </w:pPr>
      <w:r>
        <w:rPr>
          <w:color w:val="auto"/>
          <w:szCs w:val="21"/>
        </w:rPr>
        <w:t>与有关的现行法律、法规和强制性标准没有冲突。</w:t>
      </w:r>
    </w:p>
    <w:p>
      <w:pPr>
        <w:spacing w:before="156" w:beforeLines="50" w:after="156" w:afterLines="50" w:line="360" w:lineRule="auto"/>
        <w:rPr>
          <w:rFonts w:eastAsia="黑体"/>
          <w:b/>
          <w:bCs/>
          <w:color w:val="auto"/>
        </w:rPr>
      </w:pPr>
      <w:bookmarkStart w:id="2" w:name="_Toc26642_WPSOffice_Level1"/>
      <w:r>
        <w:rPr>
          <w:rFonts w:eastAsia="黑体"/>
          <w:b/>
          <w:bCs/>
          <w:color w:val="auto"/>
        </w:rPr>
        <w:t>七、标准中涉及的专利或知识产权说明</w:t>
      </w:r>
      <w:bookmarkEnd w:id="2"/>
    </w:p>
    <w:p>
      <w:pPr>
        <w:spacing w:line="360" w:lineRule="exact"/>
        <w:ind w:firstLine="420" w:firstLineChars="200"/>
        <w:jc w:val="left"/>
        <w:rPr>
          <w:color w:val="auto"/>
          <w:szCs w:val="21"/>
        </w:rPr>
      </w:pPr>
      <w:r>
        <w:rPr>
          <w:color w:val="auto"/>
          <w:szCs w:val="21"/>
        </w:rPr>
        <w:t>无。</w:t>
      </w:r>
    </w:p>
    <w:p>
      <w:pPr>
        <w:spacing w:before="156" w:beforeLines="50" w:after="156" w:afterLines="50" w:line="360" w:lineRule="auto"/>
        <w:rPr>
          <w:rFonts w:eastAsia="黑体"/>
          <w:b/>
          <w:bCs/>
          <w:color w:val="auto"/>
        </w:rPr>
      </w:pPr>
      <w:bookmarkStart w:id="3" w:name="_Toc7561_WPSOffice_Level1"/>
      <w:r>
        <w:rPr>
          <w:rFonts w:eastAsia="黑体"/>
          <w:b/>
          <w:bCs/>
          <w:color w:val="auto"/>
        </w:rPr>
        <w:t>八、重大分歧意见的处理经过和依据</w:t>
      </w:r>
      <w:bookmarkEnd w:id="3"/>
    </w:p>
    <w:p>
      <w:pPr>
        <w:spacing w:line="360" w:lineRule="exact"/>
        <w:ind w:firstLine="420" w:firstLineChars="200"/>
        <w:jc w:val="left"/>
        <w:rPr>
          <w:color w:val="auto"/>
          <w:szCs w:val="21"/>
        </w:rPr>
      </w:pPr>
      <w:r>
        <w:rPr>
          <w:color w:val="auto"/>
          <w:szCs w:val="21"/>
        </w:rPr>
        <w:t>无。</w:t>
      </w:r>
    </w:p>
    <w:p>
      <w:pPr>
        <w:spacing w:before="156" w:beforeLines="50" w:after="156" w:afterLines="50" w:line="360" w:lineRule="auto"/>
        <w:rPr>
          <w:rFonts w:eastAsia="黑体"/>
          <w:b/>
          <w:bCs/>
          <w:color w:val="auto"/>
        </w:rPr>
      </w:pPr>
      <w:bookmarkStart w:id="4" w:name="_Toc10925_WPSOffice_Level1"/>
      <w:r>
        <w:rPr>
          <w:rFonts w:eastAsia="黑体"/>
          <w:b/>
          <w:bCs/>
          <w:color w:val="auto"/>
        </w:rPr>
        <w:t>九、标准作为强制性或推荐性行业标准的建议</w:t>
      </w:r>
      <w:bookmarkEnd w:id="4"/>
    </w:p>
    <w:p>
      <w:pPr>
        <w:spacing w:line="360" w:lineRule="exact"/>
        <w:ind w:firstLine="420" w:firstLineChars="200"/>
        <w:jc w:val="left"/>
        <w:rPr>
          <w:color w:val="auto"/>
          <w:szCs w:val="21"/>
        </w:rPr>
      </w:pPr>
      <w:r>
        <w:rPr>
          <w:color w:val="auto"/>
          <w:szCs w:val="21"/>
        </w:rPr>
        <w:t>建议本标准作为推荐性标准发布实施。</w:t>
      </w:r>
    </w:p>
    <w:p>
      <w:pPr>
        <w:spacing w:before="156" w:beforeLines="50" w:after="156" w:afterLines="50" w:line="360" w:lineRule="auto"/>
        <w:rPr>
          <w:rFonts w:eastAsia="黑体"/>
          <w:b/>
          <w:bCs/>
          <w:color w:val="auto"/>
        </w:rPr>
      </w:pPr>
      <w:bookmarkStart w:id="5" w:name="_Toc20186_WPSOffice_Level1"/>
      <w:r>
        <w:rPr>
          <w:rFonts w:eastAsia="黑体"/>
          <w:b/>
          <w:bCs/>
          <w:color w:val="auto"/>
        </w:rPr>
        <w:t>十、贯彻标准的要求和措施建议</w:t>
      </w:r>
      <w:bookmarkEnd w:id="5"/>
    </w:p>
    <w:p>
      <w:pPr>
        <w:spacing w:line="240" w:lineRule="auto"/>
        <w:ind w:firstLine="0" w:firstLineChars="0"/>
        <w:jc w:val="left"/>
        <w:rPr>
          <w:szCs w:val="24"/>
        </w:rPr>
      </w:pPr>
      <w:r>
        <w:rPr>
          <w:szCs w:val="24"/>
        </w:rPr>
        <w:t>建议本标准尽快完成报批。</w:t>
      </w:r>
    </w:p>
    <w:p>
      <w:pPr>
        <w:spacing w:before="156" w:beforeLines="50" w:after="156" w:afterLines="50" w:line="360" w:lineRule="auto"/>
        <w:rPr>
          <w:rFonts w:eastAsia="黑体"/>
          <w:color w:val="auto"/>
        </w:rPr>
      </w:pPr>
      <w:bookmarkStart w:id="6" w:name="_Toc17142_WPSOffice_Level1"/>
      <w:r>
        <w:rPr>
          <w:rFonts w:eastAsia="黑体"/>
          <w:color w:val="auto"/>
        </w:rPr>
        <w:t>十一、废止现行有关标准的建议</w:t>
      </w:r>
      <w:bookmarkEnd w:id="6"/>
    </w:p>
    <w:p>
      <w:pPr>
        <w:ind w:firstLine="435"/>
        <w:rPr>
          <w:color w:val="auto"/>
        </w:rPr>
      </w:pPr>
      <w:r>
        <w:rPr>
          <w:rFonts w:hint="eastAsia"/>
          <w:color w:val="auto"/>
          <w:szCs w:val="21"/>
        </w:rPr>
        <w:t>建议批准修订后的标准，废止现行标准。</w:t>
      </w:r>
      <w:r>
        <w:rPr>
          <w:color w:val="auto"/>
        </w:rPr>
        <w:t xml:space="preserve">        </w:t>
      </w:r>
    </w:p>
    <w:p>
      <w:pPr>
        <w:ind w:firstLine="435"/>
        <w:rPr>
          <w:color w:val="auto"/>
        </w:rPr>
      </w:pPr>
      <w:r>
        <w:rPr>
          <w:color w:val="auto"/>
        </w:rPr>
        <w:t xml:space="preserve">                </w:t>
      </w:r>
    </w:p>
    <w:p>
      <w:pPr>
        <w:spacing w:line="360" w:lineRule="auto"/>
        <w:ind w:firstLine="4418" w:firstLineChars="2104"/>
        <w:rPr>
          <w:rFonts w:asciiTheme="minorEastAsia" w:hAnsiTheme="minorEastAsia" w:eastAsiaTheme="minorEastAsia" w:cstheme="minorEastAsia"/>
          <w:color w:val="auto"/>
          <w:szCs w:val="21"/>
        </w:rPr>
      </w:pPr>
      <w:r>
        <w:rPr>
          <w:color w:val="auto"/>
        </w:rPr>
        <w:t xml:space="preserve"> </w:t>
      </w:r>
      <w:r>
        <w:rPr>
          <w:rFonts w:hint="eastAsia" w:asciiTheme="minorEastAsia" w:hAnsiTheme="minorEastAsia" w:eastAsiaTheme="minorEastAsia" w:cstheme="minorEastAsia"/>
          <w:color w:val="auto"/>
          <w:szCs w:val="21"/>
        </w:rPr>
        <w:t>《湿法冶金铜电积用阳极板》编制组</w:t>
      </w:r>
    </w:p>
    <w:p>
      <w:pPr>
        <w:spacing w:line="360" w:lineRule="auto"/>
        <w:ind w:firstLine="6090" w:firstLineChars="2900"/>
      </w:pPr>
      <w:r>
        <w:rPr>
          <w:color w:val="auto"/>
        </w:rPr>
        <w:t>202</w:t>
      </w:r>
      <w:r>
        <w:rPr>
          <w:rFonts w:hint="eastAsia"/>
          <w:color w:val="auto"/>
          <w:lang w:val="en-US" w:eastAsia="zh-CN"/>
        </w:rPr>
        <w:t>3</w:t>
      </w:r>
      <w:r>
        <w:rPr>
          <w:color w:val="auto"/>
        </w:rPr>
        <w:t>年</w:t>
      </w:r>
      <w:r>
        <w:rPr>
          <w:rFonts w:hint="eastAsia"/>
          <w:lang w:val="en-US" w:eastAsia="zh-CN"/>
        </w:rPr>
        <w:t>7</w:t>
      </w:r>
      <w:r>
        <w:t>月</w:t>
      </w:r>
    </w:p>
    <w:sectPr>
      <w:pgSz w:w="11906" w:h="16838"/>
      <w:pgMar w:top="1383" w:right="1746" w:bottom="1327" w:left="17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885AEF"/>
    <w:multiLevelType w:val="singleLevel"/>
    <w:tmpl w:val="B8885AEF"/>
    <w:lvl w:ilvl="0" w:tentative="0">
      <w:start w:val="5"/>
      <w:numFmt w:val="chineseCounting"/>
      <w:suff w:val="nothing"/>
      <w:lvlText w:val="%1、"/>
      <w:lvlJc w:val="left"/>
      <w:rPr>
        <w:rFonts w:hint="eastAsia"/>
      </w:rPr>
    </w:lvl>
  </w:abstractNum>
  <w:abstractNum w:abstractNumId="1">
    <w:nsid w:val="4A141C9B"/>
    <w:multiLevelType w:val="singleLevel"/>
    <w:tmpl w:val="4A141C9B"/>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0NzhmODVmNGUwODY4MjllZmE3N2I3MjZiMjQ2NDUifQ=="/>
  </w:docVars>
  <w:rsids>
    <w:rsidRoot w:val="7EB31126"/>
    <w:rsid w:val="001A4866"/>
    <w:rsid w:val="0069158E"/>
    <w:rsid w:val="0074048D"/>
    <w:rsid w:val="02472B2E"/>
    <w:rsid w:val="02F767A0"/>
    <w:rsid w:val="030F481B"/>
    <w:rsid w:val="03B011B3"/>
    <w:rsid w:val="04B94D79"/>
    <w:rsid w:val="05325ADC"/>
    <w:rsid w:val="06041D09"/>
    <w:rsid w:val="063841C5"/>
    <w:rsid w:val="071028D2"/>
    <w:rsid w:val="0B8F031A"/>
    <w:rsid w:val="11901B3D"/>
    <w:rsid w:val="123837FA"/>
    <w:rsid w:val="19083363"/>
    <w:rsid w:val="1D4B7BA4"/>
    <w:rsid w:val="20564FE6"/>
    <w:rsid w:val="23905CA7"/>
    <w:rsid w:val="25FD2840"/>
    <w:rsid w:val="32265E55"/>
    <w:rsid w:val="32DC4E3A"/>
    <w:rsid w:val="35702676"/>
    <w:rsid w:val="3835650F"/>
    <w:rsid w:val="41233751"/>
    <w:rsid w:val="44E352CA"/>
    <w:rsid w:val="460B365C"/>
    <w:rsid w:val="492D11F2"/>
    <w:rsid w:val="49C93E29"/>
    <w:rsid w:val="4D3261DD"/>
    <w:rsid w:val="60904FAE"/>
    <w:rsid w:val="60E52053"/>
    <w:rsid w:val="6311467A"/>
    <w:rsid w:val="6A9734C0"/>
    <w:rsid w:val="6C1206E0"/>
    <w:rsid w:val="6E8C4F0C"/>
    <w:rsid w:val="7049602D"/>
    <w:rsid w:val="705E128B"/>
    <w:rsid w:val="72B6372A"/>
    <w:rsid w:val="747C0AA7"/>
    <w:rsid w:val="74E225E4"/>
    <w:rsid w:val="74EA7FE3"/>
    <w:rsid w:val="74FC0CE6"/>
    <w:rsid w:val="76056AC3"/>
    <w:rsid w:val="79F27785"/>
    <w:rsid w:val="7BF61D7C"/>
    <w:rsid w:val="7EB311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line="360" w:lineRule="exact"/>
      <w:ind w:firstLine="1044" w:firstLineChars="200"/>
      <w:jc w:val="left"/>
      <w:outlineLvl w:val="0"/>
    </w:pPr>
    <w:rPr>
      <w:rFonts w:ascii="宋体" w:hAnsi="宋体"/>
      <w:b/>
      <w:kern w:val="44"/>
      <w:sz w:val="48"/>
      <w:szCs w:val="4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unhideWhenUsed/>
    <w:qFormat/>
    <w:uiPriority w:val="39"/>
    <w:pPr>
      <w:tabs>
        <w:tab w:val="right" w:leader="dot" w:pos="8296"/>
      </w:tabs>
      <w:spacing w:line="480" w:lineRule="exact"/>
    </w:pPr>
    <w:rPr>
      <w:rFonts w:eastAsia="黑体"/>
      <w:sz w:val="28"/>
    </w:rPr>
  </w:style>
  <w:style w:type="paragraph" w:styleId="4">
    <w:name w:val="annotation text"/>
    <w:basedOn w:val="1"/>
    <w:link w:val="18"/>
    <w:qFormat/>
    <w:uiPriority w:val="0"/>
    <w:pPr>
      <w:jc w:val="left"/>
    </w:pPr>
  </w:style>
  <w:style w:type="paragraph" w:styleId="5">
    <w:name w:val="footer"/>
    <w:basedOn w:val="1"/>
    <w:link w:val="16"/>
    <w:qFormat/>
    <w:uiPriority w:val="0"/>
    <w:pPr>
      <w:tabs>
        <w:tab w:val="center" w:pos="4153"/>
        <w:tab w:val="right" w:pos="8306"/>
      </w:tabs>
      <w:snapToGrid w:val="0"/>
      <w:jc w:val="left"/>
    </w:pPr>
    <w:rPr>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4"/>
    <w:next w:val="4"/>
    <w:link w:val="19"/>
    <w:qFormat/>
    <w:uiPriority w:val="0"/>
    <w:rPr>
      <w:b/>
      <w:bCs/>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qFormat/>
    <w:uiPriority w:val="0"/>
    <w:rPr>
      <w:color w:val="0000FF"/>
      <w:u w:val="single"/>
    </w:rPr>
  </w:style>
  <w:style w:type="character" w:styleId="12">
    <w:name w:val="annotation reference"/>
    <w:basedOn w:val="10"/>
    <w:qFormat/>
    <w:uiPriority w:val="0"/>
    <w:rPr>
      <w:sz w:val="21"/>
      <w:szCs w:val="21"/>
    </w:rPr>
  </w:style>
  <w:style w:type="paragraph" w:customStyle="1" w:styleId="13">
    <w:name w:val="章标题"/>
    <w:next w:val="14"/>
    <w:qFormat/>
    <w:uiPriority w:val="0"/>
    <w:pPr>
      <w:tabs>
        <w:tab w:val="left" w:pos="840"/>
      </w:tabs>
      <w:spacing w:before="156" w:beforeLines="50" w:after="156" w:afterLines="50"/>
      <w:ind w:left="840" w:hanging="420"/>
      <w:jc w:val="both"/>
      <w:outlineLvl w:val="1"/>
    </w:pPr>
    <w:rPr>
      <w:rFonts w:ascii="黑体" w:hAnsi="Times New Roman" w:eastAsia="黑体" w:cs="Times New Roman"/>
      <w:sz w:val="21"/>
      <w:lang w:val="en-US" w:eastAsia="zh-CN" w:bidi="ar-SA"/>
    </w:rPr>
  </w:style>
  <w:style w:type="paragraph" w:customStyle="1" w:styleId="1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15">
    <w:name w:val="页眉 字符"/>
    <w:basedOn w:val="10"/>
    <w:link w:val="6"/>
    <w:qFormat/>
    <w:uiPriority w:val="0"/>
    <w:rPr>
      <w:kern w:val="2"/>
      <w:sz w:val="18"/>
      <w:szCs w:val="18"/>
    </w:rPr>
  </w:style>
  <w:style w:type="character" w:customStyle="1" w:styleId="16">
    <w:name w:val="页脚 字符"/>
    <w:basedOn w:val="10"/>
    <w:link w:val="5"/>
    <w:qFormat/>
    <w:uiPriority w:val="0"/>
    <w:rPr>
      <w:kern w:val="2"/>
      <w:sz w:val="18"/>
      <w:szCs w:val="18"/>
    </w:rPr>
  </w:style>
  <w:style w:type="paragraph" w:customStyle="1" w:styleId="17">
    <w:name w:val="Revision"/>
    <w:hidden/>
    <w:semiHidden/>
    <w:qFormat/>
    <w:uiPriority w:val="99"/>
    <w:rPr>
      <w:rFonts w:ascii="Times New Roman" w:hAnsi="Times New Roman" w:eastAsia="宋体" w:cs="Times New Roman"/>
      <w:kern w:val="2"/>
      <w:sz w:val="21"/>
      <w:szCs w:val="24"/>
      <w:lang w:val="en-US" w:eastAsia="zh-CN" w:bidi="ar-SA"/>
    </w:rPr>
  </w:style>
  <w:style w:type="character" w:customStyle="1" w:styleId="18">
    <w:name w:val="批注文字 字符"/>
    <w:basedOn w:val="10"/>
    <w:link w:val="4"/>
    <w:qFormat/>
    <w:uiPriority w:val="0"/>
    <w:rPr>
      <w:kern w:val="2"/>
      <w:sz w:val="21"/>
      <w:szCs w:val="24"/>
    </w:rPr>
  </w:style>
  <w:style w:type="character" w:customStyle="1" w:styleId="19">
    <w:name w:val="批注主题 字符"/>
    <w:basedOn w:val="18"/>
    <w:link w:val="7"/>
    <w:qFormat/>
    <w:uiPriority w:val="0"/>
    <w:rPr>
      <w:b/>
      <w:bCs/>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4971</Words>
  <Characters>5697</Characters>
  <Lines>31</Lines>
  <Paragraphs>8</Paragraphs>
  <TotalTime>3</TotalTime>
  <ScaleCrop>false</ScaleCrop>
  <LinksUpToDate>false</LinksUpToDate>
  <CharactersWithSpaces>5810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2022-10-27T02:51:00Z</dcterms:created>
  <dc:creator>Administrator</dc:creator>
  <cp:lastModifiedBy>Lijian</cp:lastModifiedBy>
  <dcterms:modified xsi:type="dcterms:W3CDTF">2023-08-13T10:33:22Z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8A47EB6AE5714389A6B891F627AF3821</vt:lpwstr>
  </property>
</Properties>
</file>