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行业标准</w:t>
      </w:r>
    </w:p>
    <w:p>
      <w:pPr>
        <w:jc w:val="center"/>
        <w:rPr>
          <w:rFonts w:hint="eastAsia" w:ascii="黑体" w:hAnsi="黑体" w:eastAsia="黑体" w:cs="黑体"/>
          <w:sz w:val="52"/>
          <w:szCs w:val="52"/>
        </w:rPr>
      </w:pPr>
      <w:r>
        <w:rPr>
          <w:rFonts w:hint="eastAsia" w:ascii="黑体" w:hAnsi="黑体" w:eastAsia="黑体" w:cs="黑体"/>
          <w:sz w:val="52"/>
          <w:szCs w:val="52"/>
        </w:rPr>
        <w:t>《</w:t>
      </w:r>
      <w:r>
        <w:rPr>
          <w:rFonts w:hint="eastAsia"/>
          <w:sz w:val="52"/>
          <w:szCs w:val="52"/>
        </w:rPr>
        <w:t>湿法冶金锌</w:t>
      </w:r>
      <w:r>
        <w:rPr>
          <w:rFonts w:hint="eastAsia"/>
          <w:sz w:val="52"/>
          <w:szCs w:val="52"/>
          <w:lang w:val="en-US" w:eastAsia="zh-CN"/>
        </w:rPr>
        <w:t>电积</w:t>
      </w:r>
      <w:r>
        <w:rPr>
          <w:rFonts w:hint="eastAsia"/>
          <w:sz w:val="52"/>
          <w:szCs w:val="52"/>
        </w:rPr>
        <w:t>用阳极板</w:t>
      </w:r>
      <w:r>
        <w:rPr>
          <w:rFonts w:hint="eastAsia" w:ascii="黑体" w:hAnsi="黑体" w:eastAsia="黑体" w:cs="黑体"/>
          <w:sz w:val="52"/>
          <w:szCs w:val="52"/>
        </w:rPr>
        <w:t>》</w:t>
      </w:r>
    </w:p>
    <w:p>
      <w:pPr>
        <w:spacing w:before="312" w:beforeLines="100" w:after="156" w:afterLines="50"/>
        <w:jc w:val="center"/>
        <w:rPr>
          <w:rFonts w:hint="eastAsia"/>
          <w:sz w:val="48"/>
          <w:szCs w:val="48"/>
        </w:rPr>
      </w:pPr>
      <w:r>
        <w:rPr>
          <w:rFonts w:hint="eastAsia"/>
          <w:sz w:val="48"/>
          <w:szCs w:val="48"/>
        </w:rPr>
        <w:t>YS/T 995--2014</w:t>
      </w:r>
    </w:p>
    <w:p>
      <w:pPr>
        <w:spacing w:before="312" w:beforeLines="100" w:after="156" w:afterLines="50"/>
        <w:jc w:val="center"/>
        <w:rPr>
          <w:rFonts w:eastAsia="黑体"/>
          <w:sz w:val="52"/>
          <w:szCs w:val="52"/>
        </w:rPr>
      </w:pPr>
      <w:r>
        <w:rPr>
          <w:rFonts w:eastAsia="黑体"/>
          <w:sz w:val="52"/>
          <w:szCs w:val="52"/>
        </w:rPr>
        <w:t>修订编制说明</w:t>
      </w:r>
    </w:p>
    <w:p>
      <w:pPr>
        <w:spacing w:before="156" w:beforeLines="50" w:after="156" w:afterLines="50"/>
        <w:jc w:val="center"/>
        <w:rPr>
          <w:rFonts w:eastAsia="黑体"/>
          <w:sz w:val="44"/>
        </w:rPr>
      </w:pPr>
    </w:p>
    <w:p>
      <w:pPr>
        <w:spacing w:before="312" w:beforeLines="100" w:after="156" w:afterLines="50"/>
        <w:jc w:val="center"/>
        <w:rPr>
          <w:rFonts w:eastAsia="黑体"/>
          <w:sz w:val="52"/>
          <w:szCs w:val="52"/>
        </w:rPr>
      </w:pPr>
      <w:r>
        <w:rPr>
          <w:rFonts w:hint="eastAsia" w:eastAsia="黑体"/>
          <w:sz w:val="52"/>
          <w:szCs w:val="52"/>
          <w:lang w:val="en-US" w:eastAsia="zh-CN"/>
        </w:rPr>
        <w:t>征求意见</w:t>
      </w:r>
      <w:r>
        <w:rPr>
          <w:rFonts w:eastAsia="黑体"/>
          <w:sz w:val="52"/>
          <w:szCs w:val="52"/>
        </w:rPr>
        <w:t>稿</w:t>
      </w:r>
    </w:p>
    <w:p>
      <w:pPr>
        <w:spacing w:before="312" w:beforeLines="100" w:after="156" w:afterLines="50"/>
        <w:jc w:val="center"/>
        <w:rPr>
          <w:rFonts w:eastAsia="黑体"/>
          <w:sz w:val="44"/>
        </w:rPr>
      </w:pPr>
    </w:p>
    <w:p>
      <w:pPr>
        <w:spacing w:before="312" w:beforeLines="100" w:after="156" w:afterLines="50"/>
        <w:jc w:val="center"/>
        <w:rPr>
          <w:rFonts w:eastAsia="黑体"/>
          <w:sz w:val="52"/>
          <w:szCs w:val="52"/>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b w:val="0"/>
          <w:bCs w:val="0"/>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《湿法冶金电解锌用阳极板》编制组</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月</w:t>
      </w:r>
    </w:p>
    <w:p/>
    <w:p/>
    <w:p>
      <w:pPr>
        <w:spacing w:line="360" w:lineRule="auto"/>
        <w:jc w:val="center"/>
        <w:rPr>
          <w:rFonts w:eastAsia="黑体"/>
          <w:sz w:val="30"/>
          <w:szCs w:val="30"/>
        </w:rPr>
      </w:pPr>
      <w:r>
        <w:rPr>
          <w:rFonts w:eastAsia="黑体"/>
          <w:sz w:val="30"/>
          <w:szCs w:val="30"/>
        </w:rPr>
        <w:t>行业标准《</w:t>
      </w:r>
      <w:r>
        <w:rPr>
          <w:rFonts w:hint="eastAsia" w:ascii="黑体" w:hAnsi="黑体" w:eastAsia="黑体" w:cs="黑体"/>
          <w:sz w:val="30"/>
          <w:szCs w:val="30"/>
        </w:rPr>
        <w:t>湿法冶金</w:t>
      </w:r>
      <w:r>
        <w:rPr>
          <w:rFonts w:hint="eastAsia" w:ascii="黑体" w:hAnsi="黑体" w:eastAsia="黑体" w:cs="黑体"/>
          <w:sz w:val="30"/>
          <w:szCs w:val="30"/>
          <w:lang w:val="en-US" w:eastAsia="zh-CN"/>
        </w:rPr>
        <w:t>电解锌用</w:t>
      </w:r>
      <w:r>
        <w:rPr>
          <w:rFonts w:hint="eastAsia" w:ascii="黑体" w:hAnsi="黑体" w:eastAsia="黑体" w:cs="黑体"/>
          <w:sz w:val="30"/>
          <w:szCs w:val="30"/>
        </w:rPr>
        <w:t>阳极板</w:t>
      </w:r>
      <w:r>
        <w:rPr>
          <w:rFonts w:eastAsia="黑体"/>
          <w:sz w:val="30"/>
          <w:szCs w:val="30"/>
        </w:rPr>
        <w:t>》（</w:t>
      </w:r>
      <w:r>
        <w:rPr>
          <w:rFonts w:hint="eastAsia" w:eastAsia="黑体"/>
          <w:sz w:val="30"/>
          <w:szCs w:val="30"/>
          <w:lang w:val="en-US" w:eastAsia="zh-CN"/>
        </w:rPr>
        <w:t>征求意见</w:t>
      </w:r>
      <w:r>
        <w:rPr>
          <w:rFonts w:eastAsia="黑体"/>
          <w:sz w:val="30"/>
          <w:szCs w:val="30"/>
        </w:rPr>
        <w:t>稿）</w:t>
      </w:r>
    </w:p>
    <w:p>
      <w:pPr>
        <w:spacing w:line="360" w:lineRule="auto"/>
        <w:jc w:val="center"/>
        <w:rPr>
          <w:rFonts w:eastAsia="黑体"/>
          <w:sz w:val="30"/>
          <w:szCs w:val="30"/>
        </w:rPr>
      </w:pPr>
      <w:r>
        <w:rPr>
          <w:rFonts w:eastAsia="黑体"/>
          <w:sz w:val="30"/>
          <w:szCs w:val="30"/>
        </w:rPr>
        <w:t>编制说明</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任务来源</w:t>
      </w:r>
    </w:p>
    <w:p>
      <w:pPr>
        <w:spacing w:line="360" w:lineRule="auto"/>
        <w:ind w:firstLine="420" w:firstLineChars="200"/>
        <w:rPr>
          <w:rFonts w:ascii="宋体" w:hAnsi="宋体" w:cs="宋体"/>
          <w:sz w:val="24"/>
        </w:rPr>
      </w:pPr>
      <w:r>
        <w:rPr>
          <w:rFonts w:hint="eastAsia" w:ascii="宋体" w:hAnsi="宋体" w:cs="宋体"/>
          <w:color w:val="000000" w:themeColor="text1"/>
          <w:szCs w:val="21"/>
          <w14:textFill>
            <w14:solidFill>
              <w14:schemeClr w14:val="tx1"/>
            </w14:solidFill>
          </w14:textFill>
        </w:rPr>
        <w:t>根据工信部《工业和信息化部办公厅关于印发2022年第一批行业标准制修订和外文版项目计划的通知（工信厅科函[2022]94号）文件要求，行业标准YS/T 995-2014《湿法冶金</w:t>
      </w:r>
      <w:r>
        <w:rPr>
          <w:rFonts w:hint="eastAsia" w:ascii="宋体" w:hAnsi="宋体" w:cs="宋体"/>
          <w:color w:val="000000" w:themeColor="text1"/>
          <w:szCs w:val="21"/>
          <w:lang w:val="en-US" w:eastAsia="zh-CN"/>
          <w14:textFill>
            <w14:solidFill>
              <w14:schemeClr w14:val="tx1"/>
            </w14:solidFill>
          </w14:textFill>
        </w:rPr>
        <w:t>电解锌</w:t>
      </w:r>
      <w:r>
        <w:rPr>
          <w:rFonts w:hint="eastAsia" w:ascii="宋体" w:hAnsi="宋体" w:cs="宋体"/>
          <w:color w:val="000000" w:themeColor="text1"/>
          <w:szCs w:val="21"/>
          <w14:textFill>
            <w14:solidFill>
              <w14:schemeClr w14:val="tx1"/>
            </w14:solidFill>
          </w14:textFill>
        </w:rPr>
        <w:t>用阳极板》的修订，由全国有色金属标准化技术委员会负责归口，计划编号为2022-0</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T-YS，项目计划完成时间为2023年。由云南大泽电极科技股份有限公司负责主编，白银有色集团股份有限公司、豫光锌业有限公司、驰宏锌锗股份有限公司参编。</w:t>
      </w:r>
    </w:p>
    <w:p>
      <w:pPr>
        <w:pStyle w:val="3"/>
        <w:numPr>
          <w:ilvl w:val="0"/>
          <w:numId w:val="1"/>
        </w:numPr>
        <w:ind w:left="0" w:leftChars="0" w:firstLine="0" w:firstLineChars="0"/>
        <w:rPr>
          <w:rFonts w:ascii="Times New Roman" w:hAnsi="Times New Roman" w:eastAsia="黑体"/>
          <w:sz w:val="21"/>
          <w:szCs w:val="21"/>
        </w:rPr>
      </w:pPr>
      <w:r>
        <w:rPr>
          <w:rFonts w:ascii="Times New Roman" w:hAnsi="Times New Roman" w:eastAsia="黑体"/>
          <w:sz w:val="21"/>
          <w:szCs w:val="21"/>
        </w:rPr>
        <w:t>立项依据</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为</w:t>
      </w:r>
      <w:r>
        <w:rPr>
          <w:rFonts w:hint="eastAsia" w:ascii="宋体" w:hAnsi="宋体" w:eastAsia="宋体" w:cs="宋体"/>
        </w:rPr>
        <w:t>切实发挥标准化和质量工作对装备制造业的引领和支撑作用，推进结构性改革尤其是供给侧结构性改革，促进产品产业迈向中高端，建设制造强国、质量强国</w:t>
      </w:r>
      <w:r>
        <w:rPr>
          <w:rFonts w:hint="eastAsia" w:ascii="宋体" w:hAnsi="宋体" w:eastAsia="宋体" w:cs="宋体"/>
          <w:lang w:eastAsia="zh-CN"/>
        </w:rPr>
        <w:t>。</w:t>
      </w:r>
      <w:r>
        <w:rPr>
          <w:rFonts w:hint="eastAsia" w:ascii="宋体" w:hAnsi="宋体" w:eastAsia="宋体" w:cs="宋体"/>
        </w:rPr>
        <w:t>《中国制造2025》</w:t>
      </w:r>
      <w:r>
        <w:rPr>
          <w:rFonts w:hint="eastAsia" w:ascii="宋体" w:hAnsi="宋体" w:eastAsia="宋体" w:cs="宋体"/>
          <w:lang w:val="en-US" w:eastAsia="zh-CN"/>
        </w:rPr>
        <w:t>明确了</w:t>
      </w:r>
      <w:r>
        <w:rPr>
          <w:rFonts w:hint="eastAsia" w:ascii="宋体" w:hAnsi="宋体" w:eastAsia="宋体" w:cs="宋体"/>
        </w:rPr>
        <w:t>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hint="eastAsia" w:ascii="宋体" w:hAnsi="宋体" w:eastAsia="宋体" w:cs="宋体"/>
          <w:lang w:eastAsia="zh-CN"/>
        </w:rPr>
        <w:t>的</w:t>
      </w:r>
      <w:r>
        <w:rPr>
          <w:rFonts w:hint="eastAsia" w:ascii="宋体" w:hAnsi="宋体" w:eastAsia="宋体" w:cs="宋体"/>
          <w:lang w:val="en-US" w:eastAsia="zh-CN"/>
        </w:rPr>
        <w:t>战略任务。</w:t>
      </w:r>
    </w:p>
    <w:p>
      <w:p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同时也指明了生产企业树立</w:t>
      </w:r>
      <w:r>
        <w:rPr>
          <w:rFonts w:hint="eastAsia" w:ascii="宋体" w:hAnsi="宋体" w:eastAsia="宋体" w:cs="宋体"/>
        </w:rPr>
        <w:t>质量为先</w:t>
      </w:r>
      <w:r>
        <w:rPr>
          <w:rFonts w:hint="eastAsia" w:ascii="宋体" w:hAnsi="宋体" w:eastAsia="宋体" w:cs="宋体"/>
          <w:lang w:eastAsia="zh-CN"/>
        </w:rPr>
        <w:t>，</w:t>
      </w:r>
      <w:r>
        <w:rPr>
          <w:rFonts w:hint="eastAsia" w:ascii="宋体" w:hAnsi="宋体" w:eastAsia="宋体" w:cs="宋体"/>
        </w:rPr>
        <w:t>坚持把质量作为建设制造强国的生命线，强化企业质量主体责任，加强质量技术攻关、自主品牌培育。建设法规标准体系、质量监管体系、先进质量文化，营造诚信经营的市场环境，走以质取胜的发展道路</w:t>
      </w:r>
      <w:r>
        <w:rPr>
          <w:rFonts w:hint="eastAsia" w:ascii="宋体" w:hAnsi="宋体" w:eastAsia="宋体" w:cs="宋体"/>
          <w:lang w:eastAsia="zh-CN"/>
        </w:rPr>
        <w:t>的</w:t>
      </w:r>
      <w:r>
        <w:rPr>
          <w:rFonts w:hint="eastAsia" w:ascii="宋体" w:hAnsi="宋体" w:eastAsia="宋体" w:cs="宋体"/>
          <w:lang w:val="en-US" w:eastAsia="zh-CN"/>
        </w:rPr>
        <w:t>基本方针。</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rPr>
        <w:t>随着湿法冶金工业的快速发展，</w:t>
      </w:r>
      <w:r>
        <w:rPr>
          <w:rFonts w:hint="eastAsia" w:ascii="宋体" w:hAnsi="宋体" w:eastAsia="宋体" w:cs="宋体"/>
          <w:lang w:val="en-US" w:eastAsia="zh-CN"/>
        </w:rPr>
        <w:t>对</w:t>
      </w:r>
      <w:r>
        <w:rPr>
          <w:rFonts w:hint="eastAsia" w:ascii="宋体" w:hAnsi="宋体" w:eastAsia="宋体" w:cs="宋体"/>
        </w:rPr>
        <w:t>铅合金阳极板需求量也将增大，</w:t>
      </w:r>
      <w:r>
        <w:rPr>
          <w:rFonts w:hint="eastAsia" w:ascii="宋体" w:hAnsi="宋体" w:eastAsia="宋体" w:cs="宋体"/>
          <w:lang w:val="en-US" w:eastAsia="zh-CN"/>
        </w:rPr>
        <w:t>在国家</w:t>
      </w:r>
      <w:r>
        <w:rPr>
          <w:rFonts w:hint="eastAsia" w:ascii="宋体" w:hAnsi="宋体" w:eastAsia="宋体" w:cs="宋体"/>
        </w:rPr>
        <w:t>“</w:t>
      </w:r>
      <w:r>
        <w:rPr>
          <w:rFonts w:hint="eastAsia" w:ascii="宋体" w:hAnsi="宋体" w:eastAsia="宋体" w:cs="宋体"/>
          <w:lang w:val="en-US" w:eastAsia="zh-CN"/>
        </w:rPr>
        <w:t>节能减排</w:t>
      </w:r>
      <w:r>
        <w:rPr>
          <w:rFonts w:hint="eastAsia" w:ascii="宋体" w:hAnsi="宋体" w:eastAsia="宋体" w:cs="宋体"/>
        </w:rPr>
        <w:t>”</w:t>
      </w:r>
      <w:r>
        <w:rPr>
          <w:rFonts w:hint="eastAsia" w:ascii="宋体" w:hAnsi="宋体" w:eastAsia="宋体" w:cs="宋体"/>
          <w:lang w:val="en-US" w:eastAsia="zh-CN"/>
        </w:rPr>
        <w:t>和“3060</w:t>
      </w:r>
      <w:r>
        <w:rPr>
          <w:rFonts w:hint="eastAsia" w:ascii="宋体" w:hAnsi="宋体" w:eastAsia="宋体" w:cs="宋体"/>
        </w:rPr>
        <w:t>碳达峰</w:t>
      </w:r>
      <w:r>
        <w:rPr>
          <w:rFonts w:hint="eastAsia" w:ascii="宋体" w:hAnsi="宋体" w:eastAsia="宋体" w:cs="宋体"/>
          <w:lang w:eastAsia="zh-CN"/>
        </w:rPr>
        <w:t>、</w:t>
      </w:r>
      <w:r>
        <w:rPr>
          <w:rFonts w:hint="eastAsia" w:ascii="宋体" w:hAnsi="宋体" w:eastAsia="宋体" w:cs="宋体"/>
          <w:lang w:val="en-US" w:eastAsia="zh-CN"/>
        </w:rPr>
        <w:t>碳中和”双碳战略目标的要求下，</w:t>
      </w:r>
      <w:r>
        <w:rPr>
          <w:rFonts w:hint="eastAsia" w:ascii="宋体" w:hAnsi="宋体" w:eastAsia="宋体" w:cs="宋体"/>
        </w:rPr>
        <w:t>铅合金阳极板产品的制备加工技术及物化性能</w:t>
      </w:r>
      <w:r>
        <w:rPr>
          <w:rFonts w:hint="eastAsia" w:ascii="宋体" w:hAnsi="宋体" w:eastAsia="宋体" w:cs="宋体"/>
          <w:lang w:val="en-US" w:eastAsia="zh-CN"/>
        </w:rPr>
        <w:t>就应更加符合绿色低碳、资源可循环利用的发展理念，推动</w:t>
      </w:r>
      <w:r>
        <w:rPr>
          <w:rFonts w:hint="eastAsia" w:ascii="宋体" w:hAnsi="宋体" w:eastAsia="宋体" w:cs="宋体"/>
        </w:rPr>
        <w:t>领域的技术进步，</w:t>
      </w:r>
      <w:r>
        <w:rPr>
          <w:rFonts w:hint="eastAsia" w:ascii="宋体" w:hAnsi="宋体" w:eastAsia="宋体" w:cs="宋体"/>
          <w:lang w:val="en-US" w:eastAsia="zh-CN"/>
        </w:rPr>
        <w:t>实现</w:t>
      </w:r>
      <w:r>
        <w:rPr>
          <w:rFonts w:hint="eastAsia" w:ascii="宋体" w:hAnsi="宋体" w:eastAsia="宋体" w:cs="宋体"/>
        </w:rPr>
        <w:t>节约资源，降低能耗和提高效益</w:t>
      </w:r>
      <w:r>
        <w:rPr>
          <w:rFonts w:hint="eastAsia" w:ascii="宋体" w:hAnsi="宋体" w:eastAsia="宋体" w:cs="宋体"/>
          <w:lang w:eastAsia="zh-CN"/>
        </w:rPr>
        <w:t>。</w:t>
      </w:r>
    </w:p>
    <w:p>
      <w:pPr>
        <w:spacing w:line="360" w:lineRule="auto"/>
        <w:ind w:firstLine="420" w:firstLineChars="200"/>
      </w:pPr>
      <w:r>
        <w:rPr>
          <w:rFonts w:hint="eastAsia" w:ascii="宋体" w:hAnsi="宋体" w:eastAsia="宋体" w:cs="宋体"/>
          <w:lang w:val="en-US" w:eastAsia="zh-CN"/>
        </w:rPr>
        <w:t>原标准经过6年的运用，已经有新的工艺和设备得到提升、开发和运用，因此，对</w:t>
      </w:r>
      <w:r>
        <w:rPr>
          <w:rFonts w:hint="eastAsia" w:ascii="宋体" w:hAnsi="宋体" w:eastAsia="宋体" w:cs="宋体"/>
        </w:rPr>
        <w:t>《湿法冶金</w:t>
      </w:r>
      <w:r>
        <w:rPr>
          <w:rFonts w:hint="eastAsia" w:ascii="宋体" w:hAnsi="宋体" w:cs="宋体"/>
          <w:lang w:val="en-US" w:eastAsia="zh-CN"/>
        </w:rPr>
        <w:t>电解锌</w:t>
      </w:r>
      <w:r>
        <w:rPr>
          <w:rFonts w:hint="eastAsia" w:ascii="宋体" w:hAnsi="宋体" w:eastAsia="宋体" w:cs="宋体"/>
        </w:rPr>
        <w:t>用阳极板》行业标准</w:t>
      </w:r>
      <w:r>
        <w:rPr>
          <w:rFonts w:hint="eastAsia" w:ascii="宋体" w:hAnsi="宋体" w:eastAsia="宋体" w:cs="宋体"/>
          <w:lang w:val="en-US" w:eastAsia="zh-CN"/>
        </w:rPr>
        <w:t>进行适应性修订</w:t>
      </w:r>
      <w:r>
        <w:rPr>
          <w:rFonts w:hint="eastAsia" w:ascii="宋体" w:hAnsi="宋体" w:eastAsia="宋体" w:cs="宋体"/>
        </w:rPr>
        <w:t>，</w:t>
      </w:r>
      <w:r>
        <w:rPr>
          <w:rFonts w:hint="eastAsia" w:ascii="宋体" w:hAnsi="宋体" w:eastAsia="宋体" w:cs="宋体"/>
          <w:lang w:val="en-US" w:eastAsia="zh-CN"/>
        </w:rPr>
        <w:t>就是为了在当前发展形势下，更加规范</w:t>
      </w:r>
      <w:r>
        <w:rPr>
          <w:rFonts w:hint="eastAsia" w:ascii="宋体" w:hAnsi="宋体" w:eastAsia="宋体" w:cs="宋体"/>
        </w:rPr>
        <w:t>制备加工秩序、改进生产工艺、提高产品质量、促进我国湿法冶金</w:t>
      </w:r>
      <w:r>
        <w:rPr>
          <w:rFonts w:hint="eastAsia" w:ascii="宋体" w:hAnsi="宋体" w:cs="宋体"/>
          <w:lang w:val="en-US" w:eastAsia="zh-CN"/>
        </w:rPr>
        <w:t>电解锌</w:t>
      </w:r>
      <w:r>
        <w:rPr>
          <w:rFonts w:hint="eastAsia" w:ascii="宋体" w:hAnsi="宋体" w:eastAsia="宋体" w:cs="宋体"/>
        </w:rPr>
        <w:t>行业有序快速发展。</w:t>
      </w:r>
    </w:p>
    <w:p>
      <w:pPr>
        <w:pStyle w:val="3"/>
        <w:ind w:firstLine="0" w:firstLineChars="0"/>
        <w:rPr>
          <w:rFonts w:ascii="Times New Roman" w:hAnsi="Times New Roman" w:eastAsia="黑体"/>
          <w:sz w:val="21"/>
          <w:szCs w:val="21"/>
        </w:rPr>
      </w:pPr>
      <w:r>
        <w:rPr>
          <w:rFonts w:ascii="Times New Roman" w:hAnsi="Times New Roman" w:eastAsia="黑体"/>
          <w:sz w:val="21"/>
          <w:szCs w:val="21"/>
        </w:rPr>
        <w:t>三、项目编制组和工作过程</w:t>
      </w:r>
    </w:p>
    <w:p>
      <w:pPr>
        <w:spacing w:before="156" w:beforeLines="50" w:after="156" w:afterLines="50" w:line="360" w:lineRule="auto"/>
        <w:rPr>
          <w:rFonts w:eastAsia="黑体"/>
          <w:szCs w:val="21"/>
        </w:rPr>
      </w:pPr>
      <w:r>
        <w:rPr>
          <w:rFonts w:eastAsia="黑体"/>
          <w:szCs w:val="21"/>
        </w:rPr>
        <w:t>3.1</w:t>
      </w:r>
      <w:r>
        <w:rPr>
          <w:rFonts w:hint="eastAsia" w:eastAsia="黑体"/>
          <w:szCs w:val="21"/>
        </w:rPr>
        <w:t>.1</w:t>
      </w:r>
      <w:r>
        <w:rPr>
          <w:rFonts w:eastAsia="黑体"/>
          <w:szCs w:val="21"/>
        </w:rPr>
        <w:t xml:space="preserve">  编制组成员单位及其所作工作</w:t>
      </w:r>
    </w:p>
    <w:p>
      <w:pPr>
        <w:adjustRightInd w:val="0"/>
        <w:spacing w:line="360" w:lineRule="auto"/>
        <w:ind w:firstLine="420" w:firstLineChars="200"/>
      </w:pPr>
      <w:r>
        <w:rPr>
          <w:rFonts w:hint="eastAsia"/>
          <w:bCs/>
          <w:szCs w:val="21"/>
          <w:lang w:val="en-US" w:eastAsia="zh-CN"/>
        </w:rPr>
        <w:t>基于任务的完成目标</w:t>
      </w:r>
      <w:r>
        <w:rPr>
          <w:bCs/>
          <w:szCs w:val="21"/>
        </w:rPr>
        <w:t>，成立了标准</w:t>
      </w:r>
      <w:r>
        <w:rPr>
          <w:rFonts w:hint="eastAsia"/>
          <w:bCs/>
          <w:szCs w:val="21"/>
          <w:lang w:val="en-US" w:eastAsia="zh-CN"/>
        </w:rPr>
        <w:t>修订</w:t>
      </w:r>
      <w:r>
        <w:rPr>
          <w:bCs/>
          <w:szCs w:val="21"/>
        </w:rPr>
        <w:t>编制组并落实起草任务，</w:t>
      </w:r>
      <w:r>
        <w:rPr>
          <w:rFonts w:hint="eastAsia"/>
          <w:bCs/>
          <w:szCs w:val="21"/>
          <w:lang w:val="en-US" w:eastAsia="zh-CN"/>
        </w:rPr>
        <w:t>具体分工为：云南大泽电极科技股份有限公司作为</w:t>
      </w:r>
      <w:r>
        <w:rPr>
          <w:bCs/>
          <w:szCs w:val="21"/>
        </w:rPr>
        <w:t>标准的主要起草人，拟定该标准的工作计划</w:t>
      </w:r>
      <w:r>
        <w:rPr>
          <w:rFonts w:hint="eastAsia"/>
          <w:bCs/>
          <w:szCs w:val="21"/>
          <w:lang w:val="en-US" w:eastAsia="zh-CN"/>
        </w:rPr>
        <w:t>并且</w:t>
      </w:r>
      <w:r>
        <w:rPr>
          <w:bCs/>
          <w:szCs w:val="21"/>
        </w:rPr>
        <w:t>负责市场</w:t>
      </w:r>
      <w:r>
        <w:rPr>
          <w:rFonts w:hint="eastAsia"/>
          <w:bCs/>
          <w:szCs w:val="21"/>
          <w:lang w:val="en-US" w:eastAsia="zh-CN"/>
        </w:rPr>
        <w:t>调研</w:t>
      </w:r>
      <w:r>
        <w:rPr>
          <w:bCs/>
          <w:szCs w:val="21"/>
        </w:rPr>
        <w:t>和</w:t>
      </w:r>
      <w:r>
        <w:rPr>
          <w:rFonts w:hint="eastAsia"/>
          <w:bCs/>
          <w:szCs w:val="21"/>
          <w:lang w:val="en-US" w:eastAsia="zh-CN"/>
        </w:rPr>
        <w:t>产品运用的</w:t>
      </w:r>
      <w:r>
        <w:rPr>
          <w:bCs/>
          <w:szCs w:val="21"/>
        </w:rPr>
        <w:t>行业</w:t>
      </w:r>
      <w:r>
        <w:rPr>
          <w:rFonts w:hint="eastAsia"/>
          <w:bCs/>
          <w:szCs w:val="21"/>
          <w:lang w:val="en-US" w:eastAsia="zh-CN"/>
        </w:rPr>
        <w:t>领域</w:t>
      </w:r>
      <w:r>
        <w:rPr>
          <w:bCs/>
          <w:szCs w:val="21"/>
        </w:rPr>
        <w:t>信息收集、资料汇总及执笔；</w:t>
      </w:r>
      <w:r>
        <w:t>云南驰宏锌锗股份有限公司、</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白银有色集团股份有限公司根据各公司在生产实践中，对标准运用的改进、修订情况</w:t>
      </w:r>
      <w:r>
        <w:rPr>
          <w:bCs/>
          <w:szCs w:val="21"/>
        </w:rPr>
        <w:t>负责补充相关标准数据。各企业分工明确，紧密合作，共同完成标准的修订工作，详见表1</w:t>
      </w:r>
      <w:r>
        <w:t>。</w:t>
      </w:r>
    </w:p>
    <w:p>
      <w:pPr>
        <w:pStyle w:val="2"/>
        <w:spacing w:line="360" w:lineRule="auto"/>
      </w:pPr>
    </w:p>
    <w:p>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pPr>
        <w:spacing w:line="360" w:lineRule="auto"/>
        <w:ind w:firstLine="54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云南大泽电极科技股份有限公司前身是</w:t>
      </w:r>
      <w:r>
        <w:rPr>
          <w:rFonts w:hint="eastAsia" w:ascii="宋体" w:hAnsi="宋体" w:eastAsia="宋体" w:cs="宋体"/>
          <w:sz w:val="21"/>
          <w:szCs w:val="21"/>
        </w:rPr>
        <w:t>成立于2000年6月</w:t>
      </w:r>
      <w:r>
        <w:rPr>
          <w:rFonts w:hint="eastAsia" w:ascii="宋体" w:hAnsi="宋体" w:eastAsia="宋体" w:cs="宋体"/>
          <w:sz w:val="21"/>
          <w:szCs w:val="21"/>
          <w:lang w:eastAsia="zh-CN"/>
        </w:rPr>
        <w:t>的</w:t>
      </w:r>
      <w:r>
        <w:rPr>
          <w:rFonts w:hint="eastAsia" w:ascii="宋体" w:hAnsi="宋体" w:eastAsia="宋体" w:cs="宋体"/>
          <w:sz w:val="21"/>
          <w:szCs w:val="21"/>
          <w:lang w:val="en-US" w:eastAsia="zh-CN"/>
        </w:rPr>
        <w:t>昆明大泽矿业设备有限公司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22年来</w:t>
      </w:r>
      <w:r>
        <w:rPr>
          <w:rFonts w:hint="eastAsia" w:ascii="宋体" w:hAnsi="宋体" w:eastAsia="宋体" w:cs="宋体"/>
          <w:iCs/>
          <w:sz w:val="21"/>
          <w:szCs w:val="21"/>
        </w:rPr>
        <w:t>一直专注于湿法冶金用阴阳极板的生产、销售及成套技术服务。</w:t>
      </w:r>
      <w:r>
        <w:rPr>
          <w:rFonts w:hint="eastAsia" w:ascii="宋体" w:hAnsi="宋体" w:eastAsia="宋体" w:cs="宋体"/>
          <w:sz w:val="21"/>
          <w:szCs w:val="21"/>
        </w:rPr>
        <w:t>主导产品属于制造强国战略十大重点产业领域的新材料领域</w:t>
      </w:r>
      <w:r>
        <w:rPr>
          <w:rFonts w:hint="eastAsia" w:ascii="宋体" w:hAnsi="宋体" w:eastAsia="宋体" w:cs="宋体"/>
          <w:sz w:val="21"/>
          <w:szCs w:val="21"/>
          <w:lang w:val="en-US" w:eastAsia="zh-CN"/>
        </w:rPr>
        <w:t>和工业“六基”</w:t>
      </w:r>
      <w:r>
        <w:rPr>
          <w:rFonts w:hint="eastAsia" w:ascii="宋体" w:hAnsi="宋体" w:eastAsia="宋体" w:cs="宋体"/>
          <w:sz w:val="21"/>
          <w:szCs w:val="21"/>
        </w:rPr>
        <w:t>关键核心</w:t>
      </w:r>
      <w:r>
        <w:rPr>
          <w:rFonts w:hint="eastAsia" w:ascii="宋体" w:hAnsi="宋体" w:eastAsia="宋体" w:cs="宋体"/>
          <w:sz w:val="21"/>
          <w:szCs w:val="21"/>
          <w:lang w:val="en-US" w:eastAsia="zh-CN"/>
        </w:rPr>
        <w:t>基础材料</w:t>
      </w:r>
      <w:r>
        <w:rPr>
          <w:rFonts w:hint="eastAsia" w:ascii="宋体" w:hAnsi="宋体" w:eastAsia="宋体" w:cs="宋体"/>
          <w:sz w:val="21"/>
          <w:szCs w:val="21"/>
        </w:rPr>
        <w:t>领域。“大泽”牌极板销往全国以及15个国家，</w:t>
      </w:r>
      <w:r>
        <w:rPr>
          <w:rFonts w:hint="eastAsia" w:ascii="宋体" w:hAnsi="宋体" w:eastAsia="宋体" w:cs="宋体"/>
          <w:sz w:val="21"/>
          <w:szCs w:val="21"/>
          <w:lang w:val="en-US" w:eastAsia="zh-CN"/>
        </w:rPr>
        <w:t>已成为最具市场影响和</w:t>
      </w:r>
      <w:r>
        <w:rPr>
          <w:rFonts w:hint="eastAsia" w:ascii="宋体" w:hAnsi="宋体" w:eastAsia="宋体" w:cs="宋体"/>
          <w:sz w:val="21"/>
          <w:szCs w:val="21"/>
        </w:rPr>
        <w:t>竞争力的品</w:t>
      </w:r>
      <w:r>
        <w:rPr>
          <w:rFonts w:hint="eastAsia" w:ascii="宋体" w:hAnsi="宋体" w:eastAsia="宋体" w:cs="宋体"/>
          <w:sz w:val="21"/>
          <w:szCs w:val="21"/>
          <w:lang w:val="en-US" w:eastAsia="zh-CN"/>
        </w:rPr>
        <w:t>牌。2015年在全国股转系统新三板挂牌上市。</w:t>
      </w:r>
    </w:p>
    <w:p>
      <w:pPr>
        <w:spacing w:line="360" w:lineRule="auto"/>
        <w:ind w:firstLine="54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秉持</w:t>
      </w:r>
      <w:r>
        <w:rPr>
          <w:rFonts w:hint="eastAsia" w:ascii="宋体" w:hAnsi="宋体" w:eastAsia="宋体" w:cs="宋体"/>
          <w:sz w:val="21"/>
          <w:szCs w:val="21"/>
        </w:rPr>
        <w:t>“为世界湿法冶金企业提供最优质的</w:t>
      </w:r>
      <w:r>
        <w:rPr>
          <w:rFonts w:hint="eastAsia" w:ascii="宋体" w:hAnsi="宋体" w:eastAsia="宋体" w:cs="宋体"/>
          <w:sz w:val="21"/>
          <w:szCs w:val="21"/>
          <w:lang w:val="en-US" w:eastAsia="zh-CN"/>
        </w:rPr>
        <w:t>先进</w:t>
      </w:r>
      <w:r>
        <w:rPr>
          <w:rFonts w:hint="eastAsia" w:ascii="宋体" w:hAnsi="宋体" w:eastAsia="宋体" w:cs="宋体"/>
          <w:sz w:val="21"/>
          <w:szCs w:val="21"/>
        </w:rPr>
        <w:t>电极材料”为</w:t>
      </w:r>
      <w:r>
        <w:rPr>
          <w:rFonts w:hint="eastAsia" w:ascii="宋体" w:hAnsi="宋体" w:eastAsia="宋体" w:cs="宋体"/>
          <w:sz w:val="21"/>
          <w:szCs w:val="21"/>
          <w:lang w:val="en-US" w:eastAsia="zh-CN"/>
        </w:rPr>
        <w:t>发展使命</w:t>
      </w:r>
      <w:r>
        <w:rPr>
          <w:rFonts w:hint="eastAsia" w:ascii="宋体" w:hAnsi="宋体" w:eastAsia="宋体" w:cs="宋体"/>
          <w:sz w:val="21"/>
          <w:szCs w:val="21"/>
        </w:rPr>
        <w:t>，大力推进节能降耗、提高能源利用率。在“合作与发展命运共同体”</w:t>
      </w:r>
      <w:r>
        <w:rPr>
          <w:rFonts w:hint="eastAsia" w:ascii="宋体" w:hAnsi="宋体" w:eastAsia="宋体" w:cs="宋体"/>
          <w:sz w:val="21"/>
          <w:szCs w:val="21"/>
          <w:lang w:val="en-US" w:eastAsia="zh-CN"/>
        </w:rPr>
        <w:t>为</w:t>
      </w:r>
      <w:r>
        <w:rPr>
          <w:rFonts w:hint="eastAsia" w:ascii="宋体" w:hAnsi="宋体" w:eastAsia="宋体" w:cs="宋体"/>
          <w:sz w:val="21"/>
          <w:szCs w:val="21"/>
        </w:rPr>
        <w:t>思想</w:t>
      </w:r>
      <w:r>
        <w:rPr>
          <w:rFonts w:hint="eastAsia" w:ascii="宋体" w:hAnsi="宋体" w:eastAsia="宋体" w:cs="宋体"/>
          <w:sz w:val="21"/>
          <w:szCs w:val="21"/>
          <w:lang w:val="en-US" w:eastAsia="zh-CN"/>
        </w:rPr>
        <w:t>指导，云南大泽电极科技股份有限公司首创了</w:t>
      </w:r>
      <w:r>
        <w:rPr>
          <w:rFonts w:hint="eastAsia" w:ascii="宋体" w:hAnsi="宋体" w:eastAsia="宋体" w:cs="宋体"/>
          <w:sz w:val="21"/>
          <w:szCs w:val="21"/>
        </w:rPr>
        <w:t>“产品全生命周期管理”</w:t>
      </w:r>
      <w:r>
        <w:rPr>
          <w:rFonts w:hint="eastAsia" w:ascii="宋体" w:hAnsi="宋体" w:eastAsia="宋体" w:cs="宋体"/>
          <w:sz w:val="21"/>
          <w:szCs w:val="21"/>
          <w:lang w:val="en-US" w:eastAsia="zh-CN"/>
        </w:rPr>
        <w:t>服务型制造绿色发展模式</w:t>
      </w:r>
      <w:r>
        <w:rPr>
          <w:rFonts w:hint="eastAsia" w:ascii="宋体" w:hAnsi="宋体" w:eastAsia="宋体" w:cs="宋体"/>
          <w:sz w:val="21"/>
          <w:szCs w:val="21"/>
        </w:rPr>
        <w:t>，</w:t>
      </w:r>
      <w:r>
        <w:rPr>
          <w:rFonts w:hint="eastAsia" w:ascii="宋体" w:hAnsi="宋体" w:eastAsia="宋体" w:cs="宋体"/>
          <w:sz w:val="21"/>
          <w:szCs w:val="21"/>
          <w:lang w:val="en-US" w:eastAsia="zh-CN"/>
        </w:rPr>
        <w:t>围绕国家</w:t>
      </w:r>
      <w:r>
        <w:rPr>
          <w:rFonts w:hint="eastAsia" w:ascii="宋体" w:hAnsi="宋体" w:eastAsia="宋体" w:cs="宋体"/>
          <w:sz w:val="21"/>
          <w:szCs w:val="21"/>
        </w:rPr>
        <w:t>“</w:t>
      </w:r>
      <w:r>
        <w:rPr>
          <w:rFonts w:hint="eastAsia" w:ascii="宋体" w:hAnsi="宋体" w:eastAsia="宋体" w:cs="宋体"/>
          <w:sz w:val="21"/>
          <w:szCs w:val="21"/>
          <w:lang w:val="en-US" w:eastAsia="zh-CN"/>
        </w:rPr>
        <w:t>节能减排</w:t>
      </w:r>
      <w:r>
        <w:rPr>
          <w:rFonts w:hint="eastAsia" w:ascii="宋体" w:hAnsi="宋体" w:eastAsia="宋体" w:cs="宋体"/>
          <w:sz w:val="21"/>
          <w:szCs w:val="21"/>
        </w:rPr>
        <w:t>”</w:t>
      </w:r>
      <w:r>
        <w:rPr>
          <w:rFonts w:hint="eastAsia" w:ascii="宋体" w:hAnsi="宋体" w:eastAsia="宋体" w:cs="宋体"/>
          <w:sz w:val="21"/>
          <w:szCs w:val="21"/>
          <w:lang w:val="en-US" w:eastAsia="zh-CN"/>
        </w:rPr>
        <w:t>和</w:t>
      </w:r>
      <w:r>
        <w:rPr>
          <w:rFonts w:hint="eastAsia" w:ascii="宋体" w:hAnsi="宋体" w:eastAsia="宋体" w:cs="宋体"/>
          <w:sz w:val="21"/>
          <w:szCs w:val="21"/>
        </w:rPr>
        <w:t>“</w:t>
      </w:r>
      <w:r>
        <w:rPr>
          <w:rFonts w:hint="eastAsia" w:ascii="宋体" w:hAnsi="宋体" w:eastAsia="宋体" w:cs="宋体"/>
          <w:sz w:val="21"/>
          <w:szCs w:val="21"/>
          <w:lang w:val="en-US" w:eastAsia="zh-CN"/>
        </w:rPr>
        <w:t>3060双碳</w:t>
      </w:r>
      <w:r>
        <w:rPr>
          <w:rFonts w:hint="eastAsia" w:ascii="宋体" w:hAnsi="宋体" w:eastAsia="宋体" w:cs="宋体"/>
          <w:sz w:val="21"/>
          <w:szCs w:val="21"/>
        </w:rPr>
        <w:t>”战略目标，</w:t>
      </w:r>
      <w:r>
        <w:rPr>
          <w:rFonts w:hint="eastAsia" w:ascii="宋体" w:hAnsi="宋体" w:eastAsia="宋体" w:cs="宋体"/>
          <w:sz w:val="21"/>
          <w:szCs w:val="21"/>
          <w:lang w:val="en-US" w:eastAsia="zh-CN"/>
        </w:rPr>
        <w:t>在当前低品位和成分复杂的矿料条件下，为用户实现提高电解效能，降低能源消耗和经济效益目标。</w:t>
      </w:r>
    </w:p>
    <w:p>
      <w:pPr>
        <w:spacing w:line="360" w:lineRule="auto"/>
        <w:ind w:firstLine="540"/>
        <w:rPr>
          <w:rFonts w:hint="eastAsia" w:ascii="宋体" w:hAnsi="宋体" w:eastAsia="宋体" w:cs="宋体"/>
          <w:sz w:val="21"/>
          <w:szCs w:val="21"/>
        </w:rPr>
      </w:pPr>
      <w:r>
        <w:rPr>
          <w:rFonts w:hint="eastAsia" w:ascii="宋体" w:hAnsi="宋体" w:eastAsia="宋体" w:cs="宋体"/>
          <w:sz w:val="21"/>
          <w:szCs w:val="21"/>
        </w:rPr>
        <w:t>历经20</w:t>
      </w:r>
      <w:r>
        <w:rPr>
          <w:rFonts w:hint="eastAsia" w:ascii="宋体" w:hAnsi="宋体" w:eastAsia="宋体" w:cs="宋体"/>
          <w:sz w:val="21"/>
          <w:szCs w:val="21"/>
          <w:lang w:val="en-US" w:eastAsia="zh-CN"/>
        </w:rPr>
        <w:t>多</w:t>
      </w:r>
      <w:r>
        <w:rPr>
          <w:rFonts w:hint="eastAsia" w:ascii="宋体" w:hAnsi="宋体" w:eastAsia="宋体" w:cs="宋体"/>
          <w:sz w:val="21"/>
          <w:szCs w:val="21"/>
        </w:rPr>
        <w:t>年发展，已成为生产基地多</w:t>
      </w:r>
      <w:r>
        <w:rPr>
          <w:rFonts w:hint="eastAsia" w:ascii="宋体" w:hAnsi="宋体" w:eastAsia="宋体" w:cs="宋体"/>
          <w:sz w:val="21"/>
          <w:szCs w:val="21"/>
          <w:lang w:eastAsia="zh-CN"/>
        </w:rPr>
        <w:t>、</w:t>
      </w:r>
      <w:r>
        <w:rPr>
          <w:rFonts w:hint="eastAsia" w:ascii="宋体" w:hAnsi="宋体" w:eastAsia="宋体" w:cs="宋体"/>
          <w:sz w:val="21"/>
          <w:szCs w:val="21"/>
        </w:rPr>
        <w:t>产能大</w:t>
      </w:r>
      <w:r>
        <w:rPr>
          <w:rFonts w:hint="eastAsia" w:ascii="宋体" w:hAnsi="宋体" w:eastAsia="宋体" w:cs="宋体"/>
          <w:sz w:val="21"/>
          <w:szCs w:val="21"/>
          <w:lang w:eastAsia="zh-CN"/>
        </w:rPr>
        <w:t>、</w:t>
      </w:r>
      <w:r>
        <w:rPr>
          <w:rFonts w:hint="eastAsia" w:ascii="宋体" w:hAnsi="宋体" w:eastAsia="宋体" w:cs="宋体"/>
          <w:sz w:val="21"/>
          <w:szCs w:val="21"/>
        </w:rPr>
        <w:t>机械化程度高</w:t>
      </w:r>
      <w:r>
        <w:rPr>
          <w:rFonts w:hint="eastAsia" w:ascii="宋体" w:hAnsi="宋体" w:eastAsia="宋体" w:cs="宋体"/>
          <w:sz w:val="21"/>
          <w:szCs w:val="21"/>
          <w:lang w:eastAsia="zh-CN"/>
        </w:rPr>
        <w:t>、</w:t>
      </w:r>
      <w:r>
        <w:rPr>
          <w:rFonts w:hint="eastAsia" w:ascii="宋体" w:hAnsi="宋体" w:eastAsia="宋体" w:cs="宋体"/>
          <w:sz w:val="21"/>
          <w:szCs w:val="21"/>
        </w:rPr>
        <w:t>装备技术先进</w:t>
      </w:r>
      <w:r>
        <w:rPr>
          <w:rFonts w:hint="eastAsia" w:ascii="宋体" w:hAnsi="宋体" w:eastAsia="宋体" w:cs="宋体"/>
          <w:sz w:val="21"/>
          <w:szCs w:val="21"/>
          <w:lang w:eastAsia="zh-CN"/>
        </w:rPr>
        <w:t>、</w:t>
      </w:r>
      <w:r>
        <w:rPr>
          <w:rFonts w:hint="eastAsia" w:ascii="宋体" w:hAnsi="宋体" w:eastAsia="宋体" w:cs="宋体"/>
          <w:sz w:val="21"/>
          <w:szCs w:val="21"/>
        </w:rPr>
        <w:t>综合实力强的</w:t>
      </w:r>
      <w:r>
        <w:rPr>
          <w:rFonts w:hint="eastAsia" w:ascii="宋体" w:hAnsi="宋体" w:eastAsia="宋体" w:cs="宋体"/>
          <w:sz w:val="21"/>
          <w:szCs w:val="21"/>
          <w:lang w:val="en-US" w:eastAsia="zh-CN"/>
        </w:rPr>
        <w:t>服务型</w:t>
      </w:r>
      <w:r>
        <w:rPr>
          <w:rFonts w:hint="eastAsia" w:ascii="宋体" w:hAnsi="宋体" w:eastAsia="宋体" w:cs="宋体"/>
          <w:sz w:val="21"/>
          <w:szCs w:val="21"/>
        </w:rPr>
        <w:t>制造</w:t>
      </w:r>
      <w:r>
        <w:rPr>
          <w:rFonts w:hint="eastAsia" w:ascii="宋体" w:hAnsi="宋体" w:eastAsia="宋体" w:cs="宋体"/>
          <w:sz w:val="21"/>
          <w:szCs w:val="21"/>
          <w:lang w:val="en-US" w:eastAsia="zh-CN"/>
        </w:rPr>
        <w:t>企业。分别</w:t>
      </w:r>
      <w:r>
        <w:rPr>
          <w:rFonts w:hint="eastAsia" w:ascii="宋体" w:hAnsi="宋体" w:eastAsia="宋体" w:cs="宋体"/>
          <w:sz w:val="21"/>
          <w:szCs w:val="21"/>
        </w:rPr>
        <w:t>在云南、内蒙古、湖南、陕西、河南、广西及缅甸建设了</w:t>
      </w:r>
      <w:r>
        <w:rPr>
          <w:rFonts w:hint="eastAsia" w:ascii="宋体" w:hAnsi="宋体" w:eastAsia="宋体" w:cs="宋体"/>
          <w:sz w:val="21"/>
          <w:szCs w:val="21"/>
          <w:lang w:val="en-US" w:eastAsia="zh-CN"/>
        </w:rPr>
        <w:t>多个</w:t>
      </w:r>
      <w:r>
        <w:rPr>
          <w:rFonts w:hint="eastAsia" w:ascii="宋体" w:hAnsi="宋体" w:eastAsia="宋体" w:cs="宋体"/>
          <w:sz w:val="21"/>
          <w:szCs w:val="21"/>
        </w:rPr>
        <w:t>生产基地，</w:t>
      </w:r>
      <w:r>
        <w:rPr>
          <w:rFonts w:hint="eastAsia" w:ascii="宋体" w:hAnsi="宋体" w:eastAsia="宋体" w:cs="宋体"/>
          <w:sz w:val="21"/>
          <w:szCs w:val="21"/>
          <w:lang w:val="en-US" w:eastAsia="zh-CN"/>
        </w:rPr>
        <w:t>布局</w:t>
      </w:r>
      <w:r>
        <w:rPr>
          <w:rFonts w:hint="eastAsia" w:ascii="宋体" w:hAnsi="宋体" w:eastAsia="宋体" w:cs="宋体"/>
          <w:sz w:val="21"/>
          <w:szCs w:val="21"/>
        </w:rPr>
        <w:t>全国，辐射周边，产品现已出口至</w:t>
      </w:r>
      <w:r>
        <w:rPr>
          <w:rFonts w:hint="eastAsia" w:ascii="宋体" w:hAnsi="宋体" w:eastAsia="宋体" w:cs="宋体"/>
          <w:sz w:val="21"/>
          <w:szCs w:val="21"/>
          <w:lang w:val="en-US" w:eastAsia="zh-CN"/>
        </w:rPr>
        <w:t>非洲、南美洲、东亚、南亚、西亚、东南亚等地区国家</w:t>
      </w:r>
      <w:r>
        <w:rPr>
          <w:rFonts w:hint="eastAsia" w:ascii="宋体" w:hAnsi="宋体" w:eastAsia="宋体" w:cs="宋体"/>
          <w:sz w:val="21"/>
          <w:szCs w:val="21"/>
        </w:rPr>
        <w:t>。</w:t>
      </w:r>
    </w:p>
    <w:p>
      <w:pPr>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云南大泽电极科技股份有限公司不断投入创新研发，获得了二十多项国家和省市科技资金立项支持的自研科技项目，其中，与昆明理工大学合作研发的</w:t>
      </w:r>
      <w:r>
        <w:rPr>
          <w:rFonts w:hint="eastAsia" w:ascii="宋体" w:hAnsi="宋体" w:eastAsia="宋体" w:cs="宋体"/>
          <w:sz w:val="21"/>
          <w:szCs w:val="21"/>
        </w:rPr>
        <w:t>“电化学工业用关键技术及运用”的成果经鉴定，整体</w:t>
      </w:r>
      <w:r>
        <w:rPr>
          <w:rFonts w:hint="eastAsia" w:ascii="宋体" w:hAnsi="宋体" w:eastAsia="宋体" w:cs="宋体"/>
          <w:sz w:val="21"/>
          <w:szCs w:val="21"/>
          <w:lang w:val="en-US" w:eastAsia="zh-CN"/>
        </w:rPr>
        <w:t>技术</w:t>
      </w:r>
      <w:r>
        <w:rPr>
          <w:rFonts w:hint="eastAsia" w:ascii="宋体" w:hAnsi="宋体" w:eastAsia="宋体" w:cs="宋体"/>
          <w:sz w:val="21"/>
          <w:szCs w:val="21"/>
        </w:rPr>
        <w:t>达到了国际先进水平，部分达到了国际领先水平。</w:t>
      </w:r>
      <w:r>
        <w:rPr>
          <w:rFonts w:hint="eastAsia" w:ascii="宋体" w:hAnsi="宋体" w:eastAsia="宋体" w:cs="宋体"/>
          <w:sz w:val="21"/>
          <w:szCs w:val="21"/>
          <w:lang w:val="en-US" w:eastAsia="zh-CN"/>
        </w:rPr>
        <w:t>申报专利83项，其中发明专利14项，实用新型69项。制定了六项</w:t>
      </w:r>
      <w:r>
        <w:rPr>
          <w:rFonts w:hint="eastAsia" w:ascii="宋体" w:hAnsi="宋体" w:eastAsia="宋体" w:cs="宋体"/>
          <w:sz w:val="21"/>
          <w:szCs w:val="21"/>
        </w:rPr>
        <w:t>企业标准</w:t>
      </w:r>
      <w:r>
        <w:rPr>
          <w:rFonts w:hint="eastAsia" w:ascii="宋体" w:hAnsi="宋体" w:eastAsia="宋体" w:cs="宋体"/>
          <w:sz w:val="21"/>
          <w:szCs w:val="21"/>
          <w:lang w:eastAsia="zh-CN"/>
        </w:rPr>
        <w:t>，</w:t>
      </w:r>
      <w:r>
        <w:rPr>
          <w:rFonts w:hint="eastAsia" w:ascii="宋体" w:hAnsi="宋体" w:eastAsia="宋体" w:cs="宋体"/>
          <w:sz w:val="21"/>
          <w:szCs w:val="21"/>
        </w:rPr>
        <w:t>起草制定</w:t>
      </w:r>
      <w:r>
        <w:rPr>
          <w:rFonts w:hint="eastAsia" w:ascii="宋体" w:hAnsi="宋体" w:eastAsia="宋体" w:cs="宋体"/>
          <w:sz w:val="21"/>
          <w:szCs w:val="21"/>
          <w:lang w:eastAsia="zh-CN"/>
        </w:rPr>
        <w:t>的</w:t>
      </w:r>
      <w:r>
        <w:rPr>
          <w:rFonts w:hint="eastAsia" w:ascii="宋体" w:hAnsi="宋体" w:eastAsia="宋体" w:cs="宋体"/>
          <w:sz w:val="21"/>
          <w:szCs w:val="21"/>
          <w:lang w:val="en-US" w:eastAsia="zh-CN"/>
        </w:rPr>
        <w:t>4</w:t>
      </w:r>
      <w:r>
        <w:rPr>
          <w:rFonts w:hint="eastAsia" w:ascii="宋体" w:hAnsi="宋体" w:eastAsia="宋体" w:cs="宋体"/>
          <w:sz w:val="21"/>
          <w:szCs w:val="21"/>
        </w:rPr>
        <w:t>项国家行业标准填补了行业空白。</w:t>
      </w:r>
      <w:bookmarkStart w:id="0" w:name="_Toc9217"/>
      <w:r>
        <w:rPr>
          <w:rFonts w:hint="eastAsia" w:ascii="宋体" w:hAnsi="宋体" w:eastAsia="宋体" w:cs="宋体"/>
          <w:sz w:val="21"/>
          <w:szCs w:val="21"/>
          <w:lang w:val="en-US" w:eastAsia="zh-CN"/>
        </w:rPr>
        <w:t>现已</w:t>
      </w:r>
      <w:r>
        <w:rPr>
          <w:rFonts w:hint="eastAsia" w:ascii="宋体" w:hAnsi="宋体" w:eastAsia="宋体" w:cs="宋体"/>
          <w:sz w:val="21"/>
          <w:szCs w:val="21"/>
        </w:rPr>
        <w:t>取得了</w:t>
      </w:r>
      <w:r>
        <w:rPr>
          <w:rFonts w:hint="eastAsia" w:ascii="宋体" w:hAnsi="宋体" w:eastAsia="宋体" w:cs="宋体"/>
          <w:sz w:val="21"/>
          <w:szCs w:val="21"/>
          <w:lang w:val="en-US" w:eastAsia="zh-CN"/>
        </w:rPr>
        <w:t>国家</w:t>
      </w:r>
      <w:r>
        <w:rPr>
          <w:rFonts w:hint="eastAsia" w:ascii="宋体" w:hAnsi="宋体" w:eastAsia="宋体" w:cs="宋体"/>
          <w:sz w:val="21"/>
          <w:szCs w:val="21"/>
        </w:rPr>
        <w:t>高新技术企业、</w:t>
      </w:r>
      <w:r>
        <w:rPr>
          <w:rFonts w:hint="eastAsia" w:ascii="宋体" w:hAnsi="宋体" w:eastAsia="宋体" w:cs="宋体"/>
          <w:sz w:val="21"/>
          <w:szCs w:val="21"/>
          <w:lang w:val="en-US" w:eastAsia="zh-CN"/>
        </w:rPr>
        <w:t>国家级专精特新小巨人企业、省级知识产权优势企业、专精特新成长型企业、</w:t>
      </w:r>
      <w:r>
        <w:rPr>
          <w:rFonts w:hint="eastAsia" w:ascii="宋体" w:hAnsi="宋体" w:eastAsia="宋体" w:cs="宋体"/>
          <w:sz w:val="21"/>
          <w:szCs w:val="21"/>
        </w:rPr>
        <w:t>企业技术中心</w:t>
      </w:r>
      <w:r>
        <w:rPr>
          <w:rFonts w:hint="eastAsia" w:ascii="宋体" w:hAnsi="宋体" w:eastAsia="宋体" w:cs="宋体"/>
          <w:sz w:val="21"/>
          <w:szCs w:val="21"/>
          <w:lang w:eastAsia="zh-CN"/>
        </w:rPr>
        <w:t>、</w:t>
      </w:r>
      <w:r>
        <w:rPr>
          <w:rFonts w:hint="eastAsia" w:ascii="宋体" w:hAnsi="宋体" w:eastAsia="宋体" w:cs="宋体"/>
          <w:sz w:val="21"/>
          <w:szCs w:val="21"/>
        </w:rPr>
        <w:t>创新性试点企业、民营小巨人企业</w:t>
      </w:r>
      <w:r>
        <w:rPr>
          <w:rFonts w:hint="eastAsia" w:ascii="宋体" w:hAnsi="宋体" w:eastAsia="宋体" w:cs="宋体"/>
          <w:sz w:val="21"/>
          <w:szCs w:val="21"/>
          <w:lang w:val="en-US" w:eastAsia="zh-CN"/>
        </w:rPr>
        <w:t>等认定</w:t>
      </w:r>
      <w:r>
        <w:rPr>
          <w:rFonts w:hint="eastAsia" w:ascii="宋体" w:hAnsi="宋体" w:eastAsia="宋体" w:cs="宋体"/>
          <w:sz w:val="21"/>
          <w:szCs w:val="21"/>
        </w:rPr>
        <w:t>，</w:t>
      </w:r>
      <w:r>
        <w:rPr>
          <w:rFonts w:hint="eastAsia" w:ascii="宋体" w:hAnsi="宋体" w:eastAsia="宋体" w:cs="宋体"/>
          <w:sz w:val="21"/>
          <w:szCs w:val="21"/>
          <w:lang w:val="en-US" w:eastAsia="zh-CN"/>
        </w:rPr>
        <w:t>入围</w:t>
      </w:r>
      <w:r>
        <w:rPr>
          <w:rFonts w:hint="eastAsia" w:ascii="宋体" w:hAnsi="宋体" w:eastAsia="宋体" w:cs="宋体"/>
          <w:kern w:val="2"/>
          <w:sz w:val="21"/>
          <w:szCs w:val="21"/>
          <w:vertAlign w:val="baseline"/>
          <w:lang w:val="en-US" w:eastAsia="zh-CN" w:bidi="ar-SA"/>
        </w:rPr>
        <w:t>云南省优势型制造业集群。</w:t>
      </w:r>
      <w:r>
        <w:rPr>
          <w:rFonts w:hint="eastAsia" w:ascii="宋体" w:hAnsi="宋体" w:eastAsia="宋体" w:cs="宋体"/>
          <w:sz w:val="21"/>
          <w:szCs w:val="21"/>
        </w:rPr>
        <w:t>产品荣获</w:t>
      </w:r>
      <w:r>
        <w:rPr>
          <w:rFonts w:hint="eastAsia" w:ascii="宋体" w:hAnsi="宋体" w:eastAsia="宋体" w:cs="宋体"/>
          <w:sz w:val="21"/>
          <w:szCs w:val="21"/>
          <w:lang w:val="en-US" w:eastAsia="zh-CN"/>
        </w:rPr>
        <w:t>了</w:t>
      </w:r>
      <w:r>
        <w:rPr>
          <w:rFonts w:hint="eastAsia" w:ascii="宋体" w:hAnsi="宋体" w:eastAsia="宋体" w:cs="宋体"/>
          <w:sz w:val="21"/>
          <w:szCs w:val="21"/>
        </w:rPr>
        <w:t>国家重点新产品、中国有色金属工业科学奖、</w:t>
      </w:r>
      <w:r>
        <w:rPr>
          <w:rFonts w:hint="eastAsia" w:ascii="宋体" w:hAnsi="宋体" w:eastAsia="宋体" w:cs="宋体"/>
          <w:sz w:val="21"/>
          <w:szCs w:val="21"/>
          <w:lang w:val="en-US" w:eastAsia="zh-CN"/>
        </w:rPr>
        <w:t>云南省科学技术进步奖提名，</w:t>
      </w:r>
      <w:r>
        <w:rPr>
          <w:rFonts w:hint="eastAsia" w:ascii="宋体" w:hAnsi="宋体" w:eastAsia="宋体" w:cs="宋体"/>
          <w:sz w:val="21"/>
          <w:szCs w:val="21"/>
        </w:rPr>
        <w:t>中国国际铅锌冶炼最佳产品</w:t>
      </w:r>
      <w:r>
        <w:rPr>
          <w:rFonts w:hint="eastAsia" w:ascii="宋体" w:hAnsi="宋体" w:eastAsia="宋体" w:cs="宋体"/>
          <w:sz w:val="21"/>
          <w:szCs w:val="21"/>
          <w:lang w:val="en-US" w:eastAsia="zh-CN"/>
        </w:rPr>
        <w:t>质量</w:t>
      </w:r>
      <w:r>
        <w:rPr>
          <w:rFonts w:hint="eastAsia" w:ascii="宋体" w:hAnsi="宋体" w:eastAsia="宋体" w:cs="宋体"/>
          <w:sz w:val="21"/>
          <w:szCs w:val="21"/>
        </w:rPr>
        <w:t>奖</w:t>
      </w:r>
      <w:r>
        <w:rPr>
          <w:rFonts w:hint="eastAsia" w:ascii="宋体" w:hAnsi="宋体" w:eastAsia="宋体" w:cs="宋体"/>
          <w:sz w:val="21"/>
          <w:szCs w:val="21"/>
          <w:lang w:val="en-US" w:eastAsia="zh-CN"/>
        </w:rPr>
        <w:t>和绿色发展贡献奖、</w:t>
      </w:r>
      <w:r>
        <w:rPr>
          <w:rFonts w:hint="eastAsia" w:ascii="宋体" w:hAnsi="宋体" w:eastAsia="宋体" w:cs="宋体"/>
          <w:sz w:val="21"/>
          <w:szCs w:val="21"/>
        </w:rPr>
        <w:t>云南重点新产品 、著名商标、名牌产品等荣誉</w:t>
      </w:r>
      <w:r>
        <w:rPr>
          <w:rFonts w:hint="eastAsia" w:ascii="宋体" w:hAnsi="宋体" w:eastAsia="宋体" w:cs="宋体"/>
          <w:sz w:val="21"/>
          <w:szCs w:val="21"/>
          <w:lang w:eastAsia="zh-CN"/>
        </w:rPr>
        <w:t>。</w:t>
      </w:r>
    </w:p>
    <w:bookmarkEnd w:id="0"/>
    <w:p>
      <w:pPr>
        <w:adjustRightInd w:val="0"/>
        <w:spacing w:line="360" w:lineRule="auto"/>
        <w:ind w:firstLine="420" w:firstLineChars="200"/>
      </w:pPr>
      <w:r>
        <w:t>公司近五年主持完成的行业标准有：</w:t>
      </w:r>
    </w:p>
    <w:p>
      <w:pPr>
        <w:spacing w:line="360" w:lineRule="auto"/>
        <w:ind w:firstLine="420" w:firstLineChars="200"/>
        <w:rPr>
          <w:rFonts w:hint="eastAsia"/>
        </w:rPr>
      </w:pPr>
      <w:r>
        <w:rPr>
          <w:rFonts w:hint="eastAsia"/>
          <w:lang w:val="en-US" w:eastAsia="zh-CN"/>
        </w:rPr>
        <w:t xml:space="preserve">YS/T1089-2015 </w:t>
      </w:r>
      <w:r>
        <w:rPr>
          <w:rFonts w:hint="eastAsia"/>
        </w:rPr>
        <w:t>湿法冶金铜</w:t>
      </w:r>
      <w:r>
        <w:rPr>
          <w:rFonts w:hint="eastAsia"/>
          <w:lang w:val="en-US" w:eastAsia="zh-CN"/>
        </w:rPr>
        <w:t>电积用</w:t>
      </w:r>
      <w:r>
        <w:rPr>
          <w:rFonts w:hint="eastAsia"/>
        </w:rPr>
        <w:t>阳极板</w:t>
      </w:r>
    </w:p>
    <w:p>
      <w:pPr>
        <w:spacing w:line="360" w:lineRule="auto"/>
        <w:ind w:firstLine="420" w:firstLineChars="200"/>
        <w:rPr>
          <w:rFonts w:hint="eastAsia"/>
        </w:rPr>
      </w:pPr>
      <w:r>
        <w:rPr>
          <w:rFonts w:hint="eastAsia"/>
          <w:lang w:val="en-US" w:eastAsia="zh-CN"/>
        </w:rPr>
        <w:t xml:space="preserve">YS/T 1090_2015 </w:t>
      </w:r>
      <w:r>
        <w:rPr>
          <w:rFonts w:hint="eastAsia"/>
        </w:rPr>
        <w:t>湿法冶金用铜</w:t>
      </w:r>
      <w:r>
        <w:rPr>
          <w:rFonts w:hint="eastAsia"/>
          <w:lang w:val="en-US" w:eastAsia="zh-CN"/>
        </w:rPr>
        <w:t>电积用</w:t>
      </w:r>
      <w:r>
        <w:rPr>
          <w:rFonts w:hint="eastAsia"/>
        </w:rPr>
        <w:t>阴极板</w:t>
      </w:r>
    </w:p>
    <w:p>
      <w:pPr>
        <w:spacing w:line="360" w:lineRule="auto"/>
        <w:ind w:firstLine="420" w:firstLineChars="200"/>
        <w:rPr>
          <w:rFonts w:hint="eastAsia"/>
        </w:rPr>
      </w:pPr>
      <w:r>
        <w:rPr>
          <w:rFonts w:hint="eastAsia"/>
        </w:rPr>
        <w:t>YS/T 995--2014</w:t>
      </w:r>
      <w:r>
        <w:rPr>
          <w:rFonts w:hint="eastAsia"/>
          <w:lang w:val="en-US" w:eastAsia="zh-CN"/>
        </w:rPr>
        <w:t xml:space="preserve"> </w:t>
      </w:r>
      <w:r>
        <w:rPr>
          <w:rFonts w:hint="eastAsia"/>
        </w:rPr>
        <w:t>湿法冶金电解锌用阳极板</w:t>
      </w:r>
    </w:p>
    <w:p>
      <w:pPr>
        <w:spacing w:line="360" w:lineRule="auto"/>
        <w:ind w:firstLine="420" w:firstLineChars="200"/>
      </w:pPr>
      <w:r>
        <w:rPr>
          <w:rFonts w:hint="eastAsia"/>
        </w:rPr>
        <w:t>YS</w:t>
      </w:r>
      <w:r>
        <w:rPr>
          <w:rFonts w:hint="eastAsia"/>
          <w:lang w:val="en-US" w:eastAsia="zh-CN"/>
        </w:rPr>
        <w:t>/</w:t>
      </w:r>
      <w:r>
        <w:rPr>
          <w:rFonts w:hint="eastAsia"/>
        </w:rPr>
        <w:t>T 1</w:t>
      </w:r>
      <w:r>
        <w:rPr>
          <w:rFonts w:hint="eastAsia"/>
          <w:lang w:val="en-US" w:eastAsia="zh-CN"/>
        </w:rPr>
        <w:t>088</w:t>
      </w:r>
      <w:r>
        <w:rPr>
          <w:rFonts w:hint="eastAsia"/>
        </w:rPr>
        <w:t>-</w:t>
      </w:r>
      <w:r>
        <w:rPr>
          <w:rFonts w:hint="eastAsia"/>
          <w:lang w:val="en-US" w:eastAsia="zh-CN"/>
        </w:rPr>
        <w:t xml:space="preserve">2015 </w:t>
      </w:r>
      <w:r>
        <w:rPr>
          <w:rFonts w:hint="eastAsia"/>
        </w:rPr>
        <w:t>湿法冶金用锌</w:t>
      </w:r>
      <w:r>
        <w:rPr>
          <w:rFonts w:hint="eastAsia"/>
          <w:lang w:val="en-US" w:eastAsia="zh-CN"/>
        </w:rPr>
        <w:t>电积用</w:t>
      </w:r>
      <w:r>
        <w:rPr>
          <w:rFonts w:hint="eastAsia"/>
        </w:rPr>
        <w:t>阴极板</w:t>
      </w:r>
    </w:p>
    <w:p>
      <w:pPr>
        <w:spacing w:before="156" w:beforeLines="50" w:after="156" w:afterLines="50" w:line="360" w:lineRule="auto"/>
        <w:rPr>
          <w:rFonts w:eastAsia="黑体"/>
          <w:b/>
          <w:bCs/>
          <w:szCs w:val="21"/>
        </w:rPr>
      </w:pPr>
      <w:r>
        <w:rPr>
          <w:rFonts w:hint="eastAsia" w:eastAsia="黑体"/>
          <w:b/>
          <w:bCs/>
          <w:szCs w:val="21"/>
        </w:rPr>
        <w:t>3.1.3</w:t>
      </w:r>
      <w:r>
        <w:rPr>
          <w:rFonts w:eastAsia="黑体"/>
          <w:b/>
          <w:bCs/>
          <w:szCs w:val="21"/>
        </w:rPr>
        <w:t xml:space="preserve"> </w:t>
      </w:r>
      <w:r>
        <w:rPr>
          <w:rFonts w:hint="eastAsia" w:eastAsia="黑体"/>
          <w:b/>
          <w:bCs/>
          <w:szCs w:val="21"/>
        </w:rPr>
        <w:t xml:space="preserve">编制单位起草人所作工作 </w:t>
      </w:r>
      <w:r>
        <w:rPr>
          <w:rFonts w:eastAsia="黑体"/>
          <w:b/>
          <w:bCs/>
          <w:szCs w:val="21"/>
        </w:rPr>
        <w:t xml:space="preserve"> </w:t>
      </w:r>
    </w:p>
    <w:p>
      <w:pPr>
        <w:adjustRightInd w:val="0"/>
        <w:spacing w:line="360" w:lineRule="auto"/>
        <w:ind w:firstLine="2310" w:firstLineChars="1100"/>
        <w:rPr>
          <w:rFonts w:hint="eastAsia" w:eastAsia="宋体"/>
          <w:lang w:eastAsia="zh-CN"/>
        </w:rPr>
      </w:pPr>
      <w:r>
        <w:rPr>
          <w:rFonts w:hint="eastAsia"/>
          <w:lang w:val="en-US" w:eastAsia="zh-CN"/>
        </w:rPr>
        <w:t xml:space="preserve">表1 </w:t>
      </w:r>
      <w:r>
        <w:rPr>
          <w:rFonts w:hint="eastAsia"/>
        </w:rPr>
        <w:t>标准的主要起草人工作分工</w:t>
      </w:r>
      <w:r>
        <w:rPr>
          <w:rFonts w:hint="eastAsia"/>
          <w:lang w:val="en-US" w:eastAsia="zh-CN"/>
        </w:rPr>
        <w:t>情况</w:t>
      </w:r>
    </w:p>
    <w:tbl>
      <w:tblPr>
        <w:tblStyle w:val="4"/>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086"/>
        <w:gridCol w:w="4158"/>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rPr>
                <w:rFonts w:ascii="宋体" w:hAnsi="宋体" w:cs="宋体"/>
                <w:szCs w:val="21"/>
              </w:rPr>
            </w:pPr>
            <w:r>
              <w:rPr>
                <w:rFonts w:hint="eastAsia" w:ascii="宋体" w:hAnsi="宋体" w:cs="宋体"/>
                <w:szCs w:val="21"/>
              </w:rPr>
              <w:t>序号</w:t>
            </w:r>
          </w:p>
        </w:tc>
        <w:tc>
          <w:tcPr>
            <w:tcW w:w="1086" w:type="dxa"/>
            <w:vAlign w:val="center"/>
          </w:tcPr>
          <w:p>
            <w:pPr>
              <w:ind w:firstLine="210" w:firstLineChars="100"/>
              <w:rPr>
                <w:rFonts w:ascii="宋体" w:hAnsi="宋体" w:cs="宋体"/>
                <w:szCs w:val="21"/>
              </w:rPr>
            </w:pPr>
            <w:r>
              <w:rPr>
                <w:rFonts w:hint="eastAsia" w:ascii="宋体" w:hAnsi="宋体" w:cs="宋体"/>
                <w:szCs w:val="21"/>
              </w:rPr>
              <w:t>起草人姓名</w:t>
            </w:r>
          </w:p>
        </w:tc>
        <w:tc>
          <w:tcPr>
            <w:tcW w:w="4158" w:type="dxa"/>
            <w:vAlign w:val="center"/>
          </w:tcPr>
          <w:p>
            <w:pPr>
              <w:jc w:val="center"/>
              <w:rPr>
                <w:rFonts w:ascii="宋体" w:hAnsi="宋体" w:cs="宋体"/>
                <w:szCs w:val="21"/>
              </w:rPr>
            </w:pPr>
            <w:r>
              <w:rPr>
                <w:rFonts w:hint="eastAsia" w:ascii="宋体" w:hAnsi="宋体" w:cs="宋体"/>
                <w:szCs w:val="21"/>
              </w:rPr>
              <w:t>职责及分工</w:t>
            </w:r>
          </w:p>
        </w:tc>
        <w:tc>
          <w:tcPr>
            <w:tcW w:w="3242"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李剑</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标准执笔人，负责标准编制方案的确定和编制；负责指标汇总计算及确定；负责标准修订工作协调管理；</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张益</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负责实际生产数据验证，参与原标准与修订标准指标的讨论与确定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李超</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标准</w:t>
            </w:r>
            <w:r>
              <w:rPr>
                <w:rFonts w:hint="eastAsia" w:ascii="宋体" w:hAnsi="宋体" w:eastAsia="宋体" w:cs="宋体"/>
                <w:sz w:val="21"/>
                <w:szCs w:val="21"/>
              </w:rPr>
              <w:t>资料信息归集整理，参与标准指标的讨论与确定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尹学华</w:t>
            </w:r>
          </w:p>
        </w:tc>
        <w:tc>
          <w:tcPr>
            <w:tcW w:w="4158" w:type="dxa"/>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负责生产数据，参与标准修订。</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内蒙古大泽电极科技有限公司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杨友华</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负责数据</w:t>
            </w:r>
            <w:r>
              <w:rPr>
                <w:rFonts w:hint="eastAsia" w:ascii="宋体" w:hAnsi="宋体" w:eastAsia="宋体" w:cs="宋体"/>
                <w:sz w:val="21"/>
                <w:szCs w:val="21"/>
                <w:lang w:val="en-US" w:eastAsia="zh-CN"/>
              </w:rPr>
              <w:t>分析及修订协调</w:t>
            </w:r>
            <w:r>
              <w:rPr>
                <w:rFonts w:hint="eastAsia" w:ascii="宋体" w:hAnsi="宋体" w:eastAsia="宋体" w:cs="宋体"/>
                <w:sz w:val="21"/>
                <w:szCs w:val="21"/>
              </w:rPr>
              <w:t>，参与标准指标的讨论与确定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张小丽</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相关</w:t>
            </w:r>
            <w:r>
              <w:rPr>
                <w:rFonts w:hint="eastAsia" w:ascii="宋体" w:hAnsi="宋体" w:eastAsia="宋体" w:cs="宋体"/>
                <w:sz w:val="21"/>
                <w:szCs w:val="21"/>
              </w:rPr>
              <w:t>数据的归集和分析，参与标准指标的讨论与确定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08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胡如忠</w:t>
            </w:r>
          </w:p>
        </w:tc>
        <w:tc>
          <w:tcPr>
            <w:tcW w:w="4158" w:type="dxa"/>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数据的归集和分析，参与标准指标的讨论与确定</w:t>
            </w:r>
          </w:p>
        </w:tc>
        <w:tc>
          <w:tcPr>
            <w:tcW w:w="3242" w:type="dxa"/>
            <w:vAlign w:val="center"/>
          </w:tcPr>
          <w:p>
            <w:pPr>
              <w:bidi w:val="0"/>
              <w:spacing w:line="360" w:lineRule="auto"/>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108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任晓</w:t>
            </w:r>
          </w:p>
        </w:tc>
        <w:tc>
          <w:tcPr>
            <w:tcW w:w="4158" w:type="dxa"/>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数据的归集和分析，参与标准指标的讨论与确定</w:t>
            </w:r>
          </w:p>
        </w:tc>
        <w:tc>
          <w:tcPr>
            <w:tcW w:w="3242" w:type="dxa"/>
            <w:vAlign w:val="center"/>
          </w:tcPr>
          <w:p>
            <w:pPr>
              <w:bidi w:val="0"/>
              <w:spacing w:line="360" w:lineRule="auto"/>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尹</w:t>
            </w:r>
            <w:r>
              <w:rPr>
                <w:rFonts w:hint="eastAsia" w:ascii="宋体" w:hAnsi="宋体" w:eastAsia="宋体" w:cs="宋体"/>
                <w:sz w:val="21"/>
                <w:szCs w:val="21"/>
                <w:lang w:val="en-US" w:eastAsia="zh-CN"/>
              </w:rPr>
              <w:t>荣花</w:t>
            </w:r>
          </w:p>
        </w:tc>
        <w:tc>
          <w:tcPr>
            <w:tcW w:w="4158"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工艺及技术</w:t>
            </w:r>
            <w:r>
              <w:rPr>
                <w:rFonts w:hint="eastAsia" w:ascii="宋体" w:hAnsi="宋体" w:eastAsia="宋体" w:cs="宋体"/>
                <w:sz w:val="21"/>
                <w:szCs w:val="21"/>
              </w:rPr>
              <w:t>数据的归集和分析，参与标准指标的讨论与确定</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许丹丹</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参与</w:t>
            </w:r>
            <w:r>
              <w:rPr>
                <w:rFonts w:hint="eastAsia" w:ascii="宋体" w:hAnsi="宋体" w:eastAsia="宋体" w:cs="宋体"/>
                <w:sz w:val="21"/>
                <w:szCs w:val="21"/>
              </w:rPr>
              <w:t>修订编制组织、协调</w:t>
            </w:r>
            <w:r>
              <w:rPr>
                <w:rFonts w:hint="eastAsia" w:ascii="宋体" w:hAnsi="宋体" w:eastAsia="宋体" w:cs="宋体"/>
                <w:sz w:val="21"/>
                <w:szCs w:val="21"/>
                <w:lang w:eastAsia="zh-CN"/>
              </w:rPr>
              <w:t>、</w:t>
            </w:r>
            <w:r>
              <w:rPr>
                <w:rFonts w:hint="eastAsia" w:ascii="宋体" w:hAnsi="宋体" w:eastAsia="宋体" w:cs="宋体"/>
                <w:sz w:val="21"/>
                <w:szCs w:val="21"/>
              </w:rPr>
              <w:t>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bidi w:val="0"/>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张鑫波</w:t>
            </w:r>
          </w:p>
        </w:tc>
        <w:tc>
          <w:tcPr>
            <w:tcW w:w="4158"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参与</w:t>
            </w:r>
            <w:r>
              <w:rPr>
                <w:rFonts w:hint="eastAsia" w:ascii="宋体" w:hAnsi="宋体" w:eastAsia="宋体" w:cs="宋体"/>
                <w:sz w:val="21"/>
                <w:szCs w:val="21"/>
              </w:rPr>
              <w:t>修订编制组织、协调</w:t>
            </w:r>
            <w:r>
              <w:rPr>
                <w:rFonts w:hint="eastAsia" w:ascii="宋体" w:hAnsi="宋体" w:eastAsia="宋体" w:cs="宋体"/>
                <w:sz w:val="21"/>
                <w:szCs w:val="21"/>
                <w:lang w:eastAsia="zh-CN"/>
              </w:rPr>
              <w:t>、</w:t>
            </w:r>
            <w:r>
              <w:rPr>
                <w:rFonts w:hint="eastAsia" w:ascii="宋体" w:hAnsi="宋体" w:eastAsia="宋体" w:cs="宋体"/>
                <w:sz w:val="21"/>
                <w:szCs w:val="21"/>
              </w:rPr>
              <w:t>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张兴宝</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参与标准讨论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bidi w:val="0"/>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李济安</w:t>
            </w:r>
          </w:p>
        </w:tc>
        <w:tc>
          <w:tcPr>
            <w:tcW w:w="4158" w:type="dxa"/>
            <w:vAlign w:val="center"/>
          </w:tcPr>
          <w:p>
            <w:pPr>
              <w:bidi w:val="0"/>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数据归集，参与标准讨论</w:t>
            </w:r>
          </w:p>
        </w:tc>
        <w:tc>
          <w:tcPr>
            <w:tcW w:w="3242" w:type="dxa"/>
            <w:vAlign w:val="center"/>
          </w:tcPr>
          <w:p>
            <w:pPr>
              <w:bidi w:val="0"/>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56" w:type="dxa"/>
            <w:vAlign w:val="center"/>
          </w:tcPr>
          <w:p>
            <w:pPr>
              <w:bidi w:val="0"/>
              <w:ind w:firstLine="0" w:firstLineChars="0"/>
              <w:rPr>
                <w:rFonts w:hint="default" w:ascii="Times New Roman" w:hAnsi="Times New Roman" w:cs="Times New Roman"/>
                <w:sz w:val="21"/>
                <w:szCs w:val="24"/>
                <w:lang w:val="en-US" w:eastAsia="zh-CN"/>
              </w:rPr>
            </w:pPr>
          </w:p>
        </w:tc>
        <w:tc>
          <w:tcPr>
            <w:tcW w:w="1086" w:type="dxa"/>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左鸿毅</w:t>
            </w:r>
          </w:p>
        </w:tc>
        <w:tc>
          <w:tcPr>
            <w:tcW w:w="4158" w:type="dxa"/>
            <w:vAlign w:val="center"/>
          </w:tcPr>
          <w:p>
            <w:pPr>
              <w:bidi w:val="0"/>
              <w:ind w:left="0" w:leftChars="0" w:firstLine="0" w:firstLineChars="0"/>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负责检验检测技术数据及生产工艺等相关</w:t>
            </w:r>
            <w:r>
              <w:rPr>
                <w:rFonts w:hint="eastAsia" w:ascii="宋体" w:hAnsi="宋体" w:eastAsia="宋体" w:cs="宋体"/>
                <w:sz w:val="21"/>
                <w:szCs w:val="21"/>
              </w:rPr>
              <w:t>标准指标的讨论与确定</w:t>
            </w:r>
          </w:p>
        </w:tc>
        <w:tc>
          <w:tcPr>
            <w:tcW w:w="3242" w:type="dxa"/>
            <w:vAlign w:val="center"/>
          </w:tcPr>
          <w:p>
            <w:pPr>
              <w:bidi w:val="0"/>
              <w:ind w:left="0" w:leftChars="0" w:firstLine="0" w:firstLineChars="0"/>
              <w:rPr>
                <w:rFonts w:hint="eastAsia" w:ascii="宋体" w:hAnsi="宋体" w:eastAsia="宋体" w:cs="宋体"/>
                <w:sz w:val="21"/>
                <w:szCs w:val="21"/>
              </w:rPr>
            </w:pPr>
            <w:r>
              <w:rPr>
                <w:rFonts w:hint="eastAsia"/>
                <w:sz w:val="21"/>
                <w:szCs w:val="21"/>
                <w:u w:val="none"/>
                <w:lang w:val="en-US" w:eastAsia="zh-CN"/>
              </w:rPr>
              <w:t>深圳市中金岭南有色金属股份有限公司丹霞冶炼厂</w:t>
            </w:r>
          </w:p>
        </w:tc>
      </w:tr>
    </w:tbl>
    <w:p>
      <w:pPr>
        <w:bidi w:val="0"/>
      </w:pPr>
    </w:p>
    <w:p>
      <w:pPr>
        <w:spacing w:before="156" w:beforeLines="50" w:after="156" w:afterLines="50" w:line="360" w:lineRule="auto"/>
        <w:rPr>
          <w:rFonts w:eastAsia="黑体"/>
          <w:b/>
          <w:bCs/>
        </w:rPr>
      </w:pPr>
      <w:r>
        <w:rPr>
          <w:rFonts w:eastAsia="黑体"/>
          <w:b/>
          <w:bCs/>
        </w:rPr>
        <w:t>3.3  标准工作过程</w:t>
      </w:r>
    </w:p>
    <w:p>
      <w:pPr>
        <w:spacing w:before="156" w:beforeLines="50" w:after="156" w:afterLines="50" w:line="360" w:lineRule="auto"/>
        <w:rPr>
          <w:rFonts w:eastAsia="黑体"/>
          <w:b/>
          <w:bCs/>
        </w:rPr>
      </w:pPr>
      <w:r>
        <w:rPr>
          <w:rFonts w:eastAsia="黑体"/>
          <w:b/>
          <w:bCs/>
        </w:rPr>
        <w:t>3.3.1  标准的编制原则和依据</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1本标准根据GB/T1.1《标准化工作导则》的规定编写。</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.2标准的制定应充分考虑生产企业的产品质量和相关单位用户要求与建议，以及用户的需求，为用户提供满意的产品。</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.3标准的制定借鉴相关产品的检验、检测规范，对该项标准中的</w:t>
      </w:r>
      <w:r>
        <w:rPr>
          <w:rFonts w:hint="eastAsia" w:ascii="宋体" w:hAnsi="宋体" w:cs="宋体"/>
          <w:sz w:val="21"/>
          <w:szCs w:val="21"/>
          <w:lang w:val="en-US" w:eastAsia="zh-CN"/>
        </w:rPr>
        <w:t>锌电解</w:t>
      </w:r>
      <w:r>
        <w:rPr>
          <w:rFonts w:hint="eastAsia" w:ascii="宋体" w:hAnsi="宋体" w:eastAsia="宋体" w:cs="宋体"/>
          <w:sz w:val="21"/>
          <w:szCs w:val="21"/>
        </w:rPr>
        <w:t>用阳极板的牌号状态分类、化学成分、试验方法、检验规则、包装、标识、运输、贮存要求等进行制定。制定后的标准应更加科学合理，具有可操作性，同时促进湿法冶金</w:t>
      </w:r>
      <w:r>
        <w:rPr>
          <w:rFonts w:hint="eastAsia" w:ascii="宋体" w:hAnsi="宋体" w:cs="宋体"/>
          <w:sz w:val="21"/>
          <w:szCs w:val="21"/>
          <w:lang w:val="en-US" w:eastAsia="zh-CN"/>
        </w:rPr>
        <w:t>锌电解</w:t>
      </w:r>
      <w:r>
        <w:rPr>
          <w:rFonts w:hint="eastAsia" w:ascii="宋体" w:hAnsi="宋体" w:eastAsia="宋体" w:cs="宋体"/>
          <w:sz w:val="21"/>
          <w:szCs w:val="21"/>
        </w:rPr>
        <w:t>用阳极板制作行业技术水平的提高。</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3.3.1.4 </w:t>
      </w:r>
      <w:r>
        <w:rPr>
          <w:rFonts w:hint="eastAsia" w:ascii="宋体" w:hAnsi="宋体" w:eastAsia="宋体" w:cs="宋体"/>
          <w:sz w:val="21"/>
          <w:szCs w:val="21"/>
        </w:rPr>
        <w:t>随着湿法冶金工业的快速发展，</w:t>
      </w:r>
      <w:r>
        <w:rPr>
          <w:rFonts w:hint="eastAsia" w:ascii="宋体" w:hAnsi="宋体" w:eastAsia="宋体" w:cs="宋体"/>
          <w:sz w:val="21"/>
          <w:szCs w:val="21"/>
          <w:lang w:val="en-US" w:eastAsia="zh-CN"/>
        </w:rPr>
        <w:t>国内外市场对</w:t>
      </w:r>
      <w:r>
        <w:rPr>
          <w:rFonts w:hint="eastAsia" w:ascii="宋体" w:hAnsi="宋体" w:eastAsia="宋体" w:cs="宋体"/>
          <w:sz w:val="21"/>
          <w:szCs w:val="21"/>
        </w:rPr>
        <w:t>铅合金阳极板需求量也将增大，</w:t>
      </w:r>
      <w:r>
        <w:rPr>
          <w:rFonts w:hint="eastAsia" w:ascii="宋体" w:hAnsi="宋体" w:eastAsia="宋体" w:cs="宋体"/>
          <w:sz w:val="21"/>
          <w:szCs w:val="21"/>
          <w:lang w:val="en-US" w:eastAsia="zh-CN"/>
        </w:rPr>
        <w:t>在国家</w:t>
      </w:r>
      <w:r>
        <w:rPr>
          <w:rFonts w:hint="eastAsia" w:ascii="宋体" w:hAnsi="宋体" w:eastAsia="宋体" w:cs="宋体"/>
          <w:sz w:val="21"/>
          <w:szCs w:val="21"/>
        </w:rPr>
        <w:t>“</w:t>
      </w:r>
      <w:r>
        <w:rPr>
          <w:rFonts w:hint="eastAsia" w:ascii="宋体" w:hAnsi="宋体" w:eastAsia="宋体" w:cs="宋体"/>
          <w:sz w:val="21"/>
          <w:szCs w:val="21"/>
          <w:lang w:val="en-US" w:eastAsia="zh-CN"/>
        </w:rPr>
        <w:t>节能减排</w:t>
      </w:r>
      <w:r>
        <w:rPr>
          <w:rFonts w:hint="eastAsia" w:ascii="宋体" w:hAnsi="宋体" w:eastAsia="宋体" w:cs="宋体"/>
          <w:sz w:val="21"/>
          <w:szCs w:val="21"/>
        </w:rPr>
        <w:t>”</w:t>
      </w:r>
      <w:r>
        <w:rPr>
          <w:rFonts w:hint="eastAsia" w:ascii="宋体" w:hAnsi="宋体" w:eastAsia="宋体" w:cs="宋体"/>
          <w:sz w:val="21"/>
          <w:szCs w:val="21"/>
          <w:lang w:val="en-US" w:eastAsia="zh-CN"/>
        </w:rPr>
        <w:t>和“3060</w:t>
      </w:r>
      <w:r>
        <w:rPr>
          <w:rFonts w:hint="eastAsia" w:ascii="宋体" w:hAnsi="宋体" w:eastAsia="宋体" w:cs="宋体"/>
          <w:sz w:val="21"/>
          <w:szCs w:val="21"/>
        </w:rPr>
        <w:t>碳达峰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碳中和”双碳战略目标的要求下，</w:t>
      </w:r>
      <w:r>
        <w:rPr>
          <w:rFonts w:hint="eastAsia" w:ascii="宋体" w:hAnsi="宋体" w:eastAsia="宋体" w:cs="宋体"/>
          <w:sz w:val="21"/>
          <w:szCs w:val="21"/>
        </w:rPr>
        <w:t>铅合金阳极板产品的制备加工技术及物化性能</w:t>
      </w:r>
      <w:r>
        <w:rPr>
          <w:rFonts w:hint="eastAsia" w:ascii="宋体" w:hAnsi="宋体" w:eastAsia="宋体" w:cs="宋体"/>
          <w:sz w:val="21"/>
          <w:szCs w:val="21"/>
          <w:lang w:val="en-US" w:eastAsia="zh-CN"/>
        </w:rPr>
        <w:t>就应更加符合绿色低碳、资源可循环利用的发展理念，推动</w:t>
      </w:r>
      <w:r>
        <w:rPr>
          <w:rFonts w:hint="eastAsia" w:ascii="宋体" w:hAnsi="宋体" w:eastAsia="宋体" w:cs="宋体"/>
          <w:sz w:val="21"/>
          <w:szCs w:val="21"/>
        </w:rPr>
        <w:t>领域的技术进步，</w:t>
      </w:r>
      <w:r>
        <w:rPr>
          <w:rFonts w:hint="eastAsia" w:ascii="宋体" w:hAnsi="宋体" w:eastAsia="宋体" w:cs="宋体"/>
          <w:sz w:val="21"/>
          <w:szCs w:val="21"/>
          <w:lang w:val="en-US" w:eastAsia="zh-CN"/>
        </w:rPr>
        <w:t>实现</w:t>
      </w:r>
      <w:r>
        <w:rPr>
          <w:rFonts w:hint="eastAsia" w:ascii="宋体" w:hAnsi="宋体" w:eastAsia="宋体" w:cs="宋体"/>
          <w:sz w:val="21"/>
          <w:szCs w:val="21"/>
        </w:rPr>
        <w:t>节约资源，降低能耗和提高效益，修订标准需满足国内外两个市场的用户需求。</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修订标准应根据我国国情，</w:t>
      </w:r>
      <w:r>
        <w:rPr>
          <w:rFonts w:hint="eastAsia" w:ascii="宋体" w:hAnsi="宋体" w:eastAsia="宋体" w:cs="宋体"/>
          <w:sz w:val="21"/>
          <w:szCs w:val="21"/>
          <w:lang w:val="en-US" w:eastAsia="zh-CN"/>
        </w:rPr>
        <w:t>突出绿色发展理念</w:t>
      </w:r>
      <w:r>
        <w:rPr>
          <w:rFonts w:hint="eastAsia" w:ascii="宋体" w:hAnsi="宋体" w:eastAsia="宋体" w:cs="宋体"/>
          <w:sz w:val="21"/>
          <w:szCs w:val="21"/>
        </w:rPr>
        <w:t>，</w:t>
      </w:r>
      <w:r>
        <w:rPr>
          <w:rFonts w:hint="eastAsia" w:ascii="宋体" w:hAnsi="宋体" w:eastAsia="宋体" w:cs="宋体"/>
          <w:sz w:val="21"/>
          <w:szCs w:val="21"/>
          <w:lang w:val="en-US" w:eastAsia="zh-CN"/>
        </w:rPr>
        <w:t>推动资源循环利用</w:t>
      </w:r>
      <w:r>
        <w:rPr>
          <w:rFonts w:hint="eastAsia" w:ascii="宋体" w:hAnsi="宋体" w:eastAsia="宋体" w:cs="宋体"/>
          <w:sz w:val="21"/>
          <w:szCs w:val="21"/>
        </w:rPr>
        <w:t>，确保我国</w:t>
      </w:r>
      <w:r>
        <w:rPr>
          <w:rFonts w:hint="eastAsia" w:ascii="宋体" w:hAnsi="宋体" w:eastAsia="宋体" w:cs="宋体"/>
          <w:sz w:val="21"/>
          <w:szCs w:val="21"/>
          <w:lang w:val="en-US" w:eastAsia="zh-CN"/>
        </w:rPr>
        <w:t>铅合金阳极板</w:t>
      </w:r>
      <w:r>
        <w:rPr>
          <w:rFonts w:hint="eastAsia" w:ascii="宋体" w:hAnsi="宋体" w:eastAsia="宋体" w:cs="宋体"/>
          <w:sz w:val="21"/>
          <w:szCs w:val="21"/>
        </w:rPr>
        <w:t>产品达到国际先进水平。</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修订后的标准应科学合理、切实可行、具有可操作性。</w:t>
      </w:r>
    </w:p>
    <w:p>
      <w:pPr>
        <w:spacing w:before="156" w:beforeLines="50" w:after="156" w:afterLines="50" w:line="360" w:lineRule="auto"/>
        <w:rPr>
          <w:rFonts w:hint="eastAsia" w:eastAsia="黑体"/>
          <w:b/>
          <w:bCs/>
          <w:sz w:val="21"/>
          <w:szCs w:val="21"/>
        </w:rPr>
      </w:pPr>
      <w:r>
        <w:rPr>
          <w:rFonts w:eastAsia="黑体"/>
          <w:b/>
          <w:bCs/>
          <w:sz w:val="21"/>
          <w:szCs w:val="21"/>
        </w:rPr>
        <w:t xml:space="preserve">3.3.2  </w:t>
      </w:r>
      <w:r>
        <w:rPr>
          <w:rFonts w:hint="eastAsia" w:eastAsia="黑体"/>
          <w:b/>
          <w:bCs/>
          <w:sz w:val="21"/>
          <w:szCs w:val="21"/>
        </w:rPr>
        <w:t>标准征求意见</w:t>
      </w:r>
      <w:r>
        <w:rPr>
          <w:rFonts w:hint="eastAsia" w:eastAsia="黑体"/>
          <w:b/>
          <w:bCs/>
          <w:sz w:val="21"/>
          <w:szCs w:val="21"/>
          <w:lang w:val="en-US" w:eastAsia="zh-CN"/>
        </w:rPr>
        <w:t>修订</w:t>
      </w:r>
      <w:r>
        <w:rPr>
          <w:rFonts w:hint="eastAsia" w:eastAsia="黑体"/>
          <w:b/>
          <w:bCs/>
          <w:sz w:val="21"/>
          <w:szCs w:val="21"/>
        </w:rPr>
        <w:t>阶段</w:t>
      </w:r>
    </w:p>
    <w:p>
      <w:pPr>
        <w:adjustRightIn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年1月起草《关于对行业标准</w:t>
      </w:r>
      <w:r>
        <w:rPr>
          <w:rFonts w:hint="eastAsia" w:ascii="宋体" w:hAnsi="宋体" w:eastAsia="宋体" w:cs="宋体"/>
          <w:sz w:val="21"/>
          <w:szCs w:val="21"/>
        </w:rPr>
        <w:t>《湿法冶金电解锌用阳极板》征求意见的函》，</w:t>
      </w:r>
      <w:r>
        <w:rPr>
          <w:rFonts w:hint="eastAsia" w:ascii="宋体" w:hAnsi="宋体" w:eastAsia="宋体" w:cs="宋体"/>
          <w:sz w:val="21"/>
          <w:szCs w:val="21"/>
          <w:lang w:val="en-US" w:eastAsia="zh-CN"/>
        </w:rPr>
        <w:t>分别向行业用户</w:t>
      </w:r>
      <w:r>
        <w:rPr>
          <w:rFonts w:hint="eastAsia" w:asciiTheme="minorEastAsia" w:hAnsiTheme="minorEastAsia" w:eastAsiaTheme="minorEastAsia" w:cstheme="minorEastAsia"/>
          <w:sz w:val="21"/>
          <w:szCs w:val="21"/>
          <w:lang w:val="en-US" w:eastAsia="zh-CN"/>
        </w:rPr>
        <w:t>单位和生产企业</w:t>
      </w:r>
      <w:r>
        <w:rPr>
          <w:rFonts w:hint="eastAsia" w:asciiTheme="minorEastAsia" w:hAnsiTheme="minorEastAsia" w:eastAsiaTheme="minorEastAsia" w:cstheme="minorEastAsia"/>
          <w:sz w:val="21"/>
          <w:szCs w:val="21"/>
        </w:rPr>
        <w:t>对湿法冶金</w:t>
      </w:r>
      <w:r>
        <w:rPr>
          <w:rFonts w:hint="eastAsia" w:asciiTheme="minorEastAsia" w:hAnsiTheme="minorEastAsia" w:eastAsiaTheme="minorEastAsia" w:cstheme="minorEastAsia"/>
          <w:sz w:val="21"/>
          <w:szCs w:val="21"/>
          <w:lang w:val="en-US" w:eastAsia="zh-CN"/>
        </w:rPr>
        <w:t>电解锌用</w:t>
      </w:r>
      <w:r>
        <w:rPr>
          <w:rFonts w:hint="eastAsia" w:asciiTheme="minorEastAsia" w:hAnsiTheme="minorEastAsia" w:eastAsiaTheme="minorEastAsia" w:cstheme="minorEastAsia"/>
          <w:sz w:val="21"/>
          <w:szCs w:val="21"/>
        </w:rPr>
        <w:t>阳极板生产企业的产量、合金种类、牌号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矿料杂质含量</w:t>
      </w:r>
      <w:r>
        <w:rPr>
          <w:rFonts w:hint="eastAsia" w:asciiTheme="minorEastAsia" w:hAnsiTheme="minorEastAsia" w:eastAsiaTheme="minorEastAsia" w:cstheme="minorEastAsia"/>
          <w:sz w:val="21"/>
          <w:szCs w:val="21"/>
        </w:rPr>
        <w:t>进行函调，收集生产企业对标准修订的意见和建议。</w:t>
      </w:r>
    </w:p>
    <w:p>
      <w:pPr>
        <w:spacing w:before="156" w:beforeLines="50" w:after="156" w:afterLines="50" w:line="360" w:lineRule="auto"/>
        <w:rPr>
          <w:rFonts w:eastAsia="黑体"/>
          <w:b/>
          <w:bCs/>
          <w:sz w:val="21"/>
          <w:szCs w:val="21"/>
        </w:rPr>
      </w:pPr>
      <w:r>
        <w:rPr>
          <w:rFonts w:eastAsia="黑体"/>
          <w:b/>
          <w:bCs/>
          <w:sz w:val="21"/>
          <w:szCs w:val="21"/>
        </w:rPr>
        <w:t>4  标准主要内容的确定</w:t>
      </w:r>
    </w:p>
    <w:p>
      <w:pPr>
        <w:spacing w:before="156" w:beforeLines="50" w:after="156" w:afterLines="50" w:line="360" w:lineRule="auto"/>
        <w:rPr>
          <w:rFonts w:eastAsia="黑体"/>
          <w:b/>
          <w:bCs/>
        </w:rPr>
      </w:pPr>
      <w:r>
        <w:rPr>
          <w:rFonts w:eastAsia="黑体"/>
          <w:b/>
          <w:bCs/>
        </w:rPr>
        <w:t>4.1 规范性引用文件</w:t>
      </w:r>
    </w:p>
    <w:p>
      <w:pPr>
        <w:pStyle w:val="2"/>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修改了标准名称，修改为“</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湿法冶金锌</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电积</w:t>
      </w:r>
      <w:r>
        <w:rPr>
          <w:rFonts w:hint="eastAsia" w:ascii="宋体" w:hAnsi="宋体" w:eastAsia="宋体" w:cs="宋体"/>
          <w:b w:val="0"/>
          <w:bCs w:val="0"/>
          <w:color w:val="000000" w:themeColor="text1"/>
          <w:kern w:val="0"/>
          <w:sz w:val="21"/>
          <w:szCs w:val="21"/>
          <w:highlight w:val="none"/>
          <w14:textFill>
            <w14:solidFill>
              <w14:schemeClr w14:val="tx1"/>
            </w14:solidFill>
          </w14:textFill>
        </w:rPr>
        <w:t xml:space="preserve">用阳极板 </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”规范名称与产品用途的工艺性质，使之与阴极板相对应。</w:t>
      </w:r>
    </w:p>
    <w:p>
      <w:pPr>
        <w:numPr>
          <w:ilvl w:val="0"/>
          <w:numId w:val="0"/>
        </w:num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修改前言第一条</w:t>
      </w:r>
      <w:r>
        <w:rPr>
          <w:rFonts w:hint="eastAsia" w:ascii="宋体" w:hAnsi="宋体" w:eastAsia="宋体" w:cs="宋体"/>
          <w:b w:val="0"/>
          <w:bCs w:val="0"/>
          <w:color w:val="000000" w:themeColor="text1"/>
          <w:sz w:val="21"/>
          <w:szCs w:val="21"/>
          <w:highlight w:val="none"/>
          <w:vertAlign w:val="baseline"/>
          <w:lang w:val="en-US" w:eastAsia="zh-CN"/>
          <w14:textFill>
            <w14:solidFill>
              <w14:schemeClr w14:val="tx1"/>
            </w14:solidFill>
          </w14:textFill>
        </w:rPr>
        <w:t>“本标准按照GB/T 1.1-2009给出的规则起草”修改为：</w:t>
      </w:r>
      <w:r>
        <w:rPr>
          <w:rFonts w:hint="eastAsia" w:ascii="宋体" w:hAnsi="宋体" w:eastAsia="宋体" w:cs="宋体"/>
          <w:b w:val="0"/>
          <w:bCs w:val="0"/>
          <w:color w:val="000000" w:themeColor="text1"/>
          <w:sz w:val="21"/>
          <w:szCs w:val="21"/>
          <w:highlight w:val="none"/>
          <w14:textFill>
            <w14:solidFill>
              <w14:schemeClr w14:val="tx1"/>
            </w14:solidFill>
          </w14:textFill>
        </w:rPr>
        <w:t>本文件按照GB/T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1.1-2020《标准化工作导则 第1部分标准化文件的结构和起草规则》的规定起草。</w:t>
      </w:r>
    </w:p>
    <w:p>
      <w:pPr>
        <w:pStyle w:val="10"/>
        <w:spacing w:line="360" w:lineRule="auto"/>
        <w:ind w:firstLine="42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为最大范围的使用金属元素检测的标准引用依据，提高检验效率，对引用的标准修订二项，增加15项“</w:t>
      </w:r>
      <w:r>
        <w:rPr>
          <w:rFonts w:hint="eastAsia" w:ascii="宋体" w:hAnsi="宋体" w:eastAsia="宋体" w:cs="宋体"/>
          <w:b w:val="0"/>
          <w:bCs w:val="0"/>
          <w:color w:val="000000" w:themeColor="text1"/>
          <w:sz w:val="21"/>
          <w:szCs w:val="21"/>
          <w:highlight w:val="none"/>
          <w14:textFill>
            <w14:solidFill>
              <w14:schemeClr w14:val="tx1"/>
            </w14:solidFill>
          </w14:textFill>
        </w:rPr>
        <w:t>规范性引用文件</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”的条目，修改为：GB/T 191 包装储运图示标志；</w:t>
      </w:r>
      <w:r>
        <w:rPr>
          <w:rFonts w:hint="eastAsia" w:ascii="宋体" w:hAnsi="宋体" w:eastAsia="宋体" w:cs="宋体"/>
          <w:b w:val="0"/>
          <w:bCs w:val="0"/>
          <w:color w:val="000000" w:themeColor="text1"/>
          <w:sz w:val="21"/>
          <w:szCs w:val="21"/>
          <w:highlight w:val="none"/>
          <w14:textFill>
            <w14:solidFill>
              <w14:schemeClr w14:val="tx1"/>
            </w14:solidFill>
          </w14:textFill>
        </w:rPr>
        <w:t>GB/T 223（所有部分）  钢铁及合金化学分析方法</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728</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锡锭</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1220不锈钢棒</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3280 不锈钢冷轧钢板和钢带</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4103.16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铅及铅合金化学分析方法.第16部分:铜、银、铋、砷、锑、锡、锌量的测定.光电直读发射光谱法</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4423</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铜及铜合金拉制棒；</w:t>
      </w:r>
      <w:r>
        <w:rPr>
          <w:rFonts w:hint="eastAsia" w:ascii="宋体" w:hAnsi="宋体" w:eastAsia="宋体" w:cs="宋体"/>
          <w:b w:val="0"/>
          <w:bCs w:val="0"/>
          <w:color w:val="000000" w:themeColor="text1"/>
          <w:sz w:val="21"/>
          <w:szCs w:val="21"/>
          <w:highlight w:val="none"/>
          <w14:textFill>
            <w14:solidFill>
              <w14:schemeClr w14:val="tx1"/>
            </w14:solidFill>
          </w14:textFill>
        </w:rPr>
        <w:t>GB/T 5121.28铜及铜合金化学分析方法　第28部分：铬、铁、锰、钴、镍、锌、砷、硒、银、镉、锡、锑、碲、铅和铋含量的</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测定 电感耦合等离子体质普法 </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5231加工铜及铜合金牌号和化学成分</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32791铜及铜合金导电率涡流测试方法</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GB/T 13148</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不锈钢复合钢板焊接技术</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要求；</w:t>
      </w:r>
      <w:r>
        <w:rPr>
          <w:rFonts w:hint="eastAsia" w:ascii="宋体" w:hAnsi="宋体" w:eastAsia="宋体" w:cs="宋体"/>
          <w:b w:val="0"/>
          <w:bCs w:val="0"/>
          <w:color w:val="000000" w:themeColor="text1"/>
          <w:sz w:val="21"/>
          <w:szCs w:val="21"/>
          <w:highlight w:val="none"/>
          <w14:textFill>
            <w14:solidFill>
              <w14:schemeClr w14:val="tx1"/>
            </w14:solidFill>
          </w14:textFill>
        </w:rPr>
        <w:t>GB/T 32791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铜及铜合金导电率涡流测试方法</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GB</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T 34505铜及铜合金材料 室温拉伸试验方法</w:t>
      </w:r>
    </w:p>
    <w:p>
      <w:pPr>
        <w:bidi w:val="0"/>
        <w:spacing w:line="360" w:lineRule="auto"/>
        <w:ind w:firstLine="420" w:firstLineChars="200"/>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替换</w:t>
      </w:r>
      <w:r>
        <w:rPr>
          <w:rFonts w:hint="eastAsia" w:ascii="宋体" w:hAnsi="宋体" w:eastAsia="宋体" w:cs="宋体"/>
          <w:b w:val="0"/>
          <w:bCs w:val="0"/>
          <w:color w:val="000000" w:themeColor="text1"/>
          <w:sz w:val="21"/>
          <w:szCs w:val="21"/>
          <w:highlight w:val="none"/>
          <w14:textFill>
            <w14:solidFill>
              <w14:schemeClr w14:val="tx1"/>
            </w14:solidFill>
          </w14:textFill>
        </w:rPr>
        <w:t>GB/T 8888</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的2022版的替代名称</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重有色金属加工产品的包装、标志、运输、贮存和质量证明书</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p>
    <w:p>
      <w:pPr>
        <w:pStyle w:val="2"/>
        <w:rPr>
          <w:rFonts w:hint="eastAsia"/>
          <w:lang w:eastAsia="zh-CN"/>
        </w:rPr>
      </w:pPr>
    </w:p>
    <w:p>
      <w:pPr>
        <w:bidi w:val="0"/>
        <w:spacing w:line="360" w:lineRule="auto"/>
        <w:rPr>
          <w:rFonts w:eastAsia="黑体"/>
          <w:b/>
          <w:bCs/>
        </w:rPr>
      </w:pPr>
      <w:r>
        <w:rPr>
          <w:rFonts w:eastAsia="黑体"/>
          <w:b/>
          <w:bCs/>
        </w:rPr>
        <w:t>4.2  产品</w:t>
      </w:r>
      <w:r>
        <w:rPr>
          <w:rFonts w:hint="eastAsia" w:eastAsia="黑体"/>
          <w:b/>
          <w:bCs/>
          <w:lang w:val="en-US" w:eastAsia="zh-CN"/>
        </w:rPr>
        <w:t>定义</w:t>
      </w:r>
      <w:r>
        <w:rPr>
          <w:rFonts w:eastAsia="黑体"/>
          <w:b/>
          <w:bCs/>
        </w:rPr>
        <w:t>的确定</w:t>
      </w:r>
    </w:p>
    <w:p>
      <w:pPr>
        <w:pStyle w:val="10"/>
        <w:keepNext w:val="0"/>
        <w:keepLines w:val="0"/>
        <w:pageBreakBefore w:val="0"/>
        <w:kinsoku/>
        <w:wordWrap/>
        <w:overflowPunct/>
        <w:topLinePunct w:val="0"/>
        <w:bidi w:val="0"/>
        <w:adjustRightInd/>
        <w:snapToGrid/>
        <w:spacing w:line="360" w:lineRule="auto"/>
        <w:ind w:left="0" w:leftChars="0" w:firstLine="420" w:firstLineChars="200"/>
        <w:textAlignment w:val="auto"/>
        <w:rPr>
          <w:rFonts w:hint="eastAsia" w:ascii="宋体" w:hAnsi="宋体" w:eastAsia="宋体" w:cs="宋体"/>
          <w:b w:val="0"/>
          <w:bCs w:val="0"/>
          <w:color w:val="000000"/>
          <w:lang w:val="en-US" w:eastAsia="zh-CN"/>
        </w:rPr>
      </w:pPr>
      <w:r>
        <w:rPr>
          <w:rFonts w:hint="eastAsia" w:ascii="宋体" w:hAnsi="宋体" w:eastAsia="宋体" w:cs="宋体"/>
          <w:b w:val="0"/>
          <w:bCs w:val="0"/>
          <w:sz w:val="21"/>
          <w:szCs w:val="21"/>
          <w:lang w:val="en-US" w:eastAsia="zh-CN"/>
        </w:rPr>
        <w:t>原标准的产品定义不够确切，</w:t>
      </w:r>
      <w:r>
        <w:rPr>
          <w:rFonts w:hint="eastAsia" w:hAnsi="宋体" w:cs="宋体"/>
          <w:b w:val="0"/>
          <w:bCs w:val="0"/>
          <w:sz w:val="21"/>
          <w:szCs w:val="21"/>
          <w:lang w:val="en-US" w:eastAsia="zh-CN"/>
        </w:rPr>
        <w:t>且产品的需求规格已经发生了变化，因此修改为：</w:t>
      </w:r>
      <w:r>
        <w:rPr>
          <w:rFonts w:hint="eastAsia" w:ascii="宋体" w:hAnsi="宋体" w:eastAsia="宋体" w:cs="宋体"/>
          <w:b w:val="0"/>
          <w:bCs w:val="0"/>
          <w:color w:val="000000"/>
          <w:lang w:val="en-US" w:eastAsia="zh-CN"/>
        </w:rPr>
        <w:t>以铅为</w:t>
      </w:r>
      <w:r>
        <w:rPr>
          <w:rFonts w:hint="eastAsia" w:hAnsi="宋体" w:cs="宋体"/>
          <w:b w:val="0"/>
          <w:bCs w:val="0"/>
          <w:color w:val="000000"/>
          <w:lang w:val="en-US" w:eastAsia="zh-CN"/>
        </w:rPr>
        <w:t>基础</w:t>
      </w:r>
      <w:r>
        <w:rPr>
          <w:rFonts w:hint="eastAsia" w:ascii="宋体" w:hAnsi="宋体" w:eastAsia="宋体" w:cs="宋体"/>
          <w:b w:val="0"/>
          <w:bCs w:val="0"/>
          <w:color w:val="000000"/>
          <w:lang w:val="en-US" w:eastAsia="zh-CN"/>
        </w:rPr>
        <w:t>原料，添加银、钙、锶及稀土等元素，</w:t>
      </w:r>
      <w:r>
        <w:rPr>
          <w:rFonts w:hint="eastAsia" w:ascii="宋体" w:hAnsi="宋体" w:eastAsia="宋体" w:cs="宋体"/>
          <w:b w:val="0"/>
          <w:bCs w:val="0"/>
          <w:color w:val="000000"/>
        </w:rPr>
        <w:t>按照特定配方和经熔炼、轧制、焊接</w:t>
      </w:r>
      <w:r>
        <w:rPr>
          <w:rFonts w:hint="eastAsia" w:ascii="宋体" w:hAnsi="宋体" w:eastAsia="宋体" w:cs="宋体"/>
          <w:b w:val="0"/>
          <w:bCs w:val="0"/>
          <w:color w:val="000000"/>
          <w:lang w:val="en-US" w:eastAsia="zh-CN"/>
        </w:rPr>
        <w:t>等</w:t>
      </w:r>
      <w:r>
        <w:rPr>
          <w:rFonts w:hint="eastAsia" w:ascii="宋体" w:hAnsi="宋体" w:eastAsia="宋体" w:cs="宋体"/>
          <w:b w:val="0"/>
          <w:bCs w:val="0"/>
          <w:color w:val="000000"/>
        </w:rPr>
        <w:t>工艺生产的适用于湿法冶金电解锌的</w:t>
      </w:r>
      <w:r>
        <w:rPr>
          <w:rFonts w:hint="eastAsia" w:ascii="宋体" w:hAnsi="宋体" w:eastAsia="宋体" w:cs="宋体"/>
          <w:b w:val="0"/>
          <w:bCs w:val="0"/>
          <w:color w:val="000000"/>
          <w:lang w:val="en-US" w:eastAsia="zh-CN"/>
        </w:rPr>
        <w:t>铅合金阳极板。</w:t>
      </w:r>
    </w:p>
    <w:p>
      <w:pPr>
        <w:pStyle w:val="10"/>
        <w:spacing w:line="360" w:lineRule="auto"/>
        <w:ind w:firstLine="420"/>
        <w:rPr>
          <w:rFonts w:hint="default" w:ascii="宋体" w:hAnsi="宋体" w:eastAsia="宋体" w:cs="宋体"/>
          <w:i w:val="0"/>
          <w:caps w:val="0"/>
          <w:color w:val="000000"/>
          <w:spacing w:val="0"/>
          <w:sz w:val="21"/>
          <w:szCs w:val="21"/>
          <w:shd w:val="clear" w:color="auto" w:fill="F5F5F5"/>
          <w:lang w:val="en-US" w:eastAsia="zh-CN"/>
        </w:rPr>
      </w:pPr>
      <w:r>
        <w:rPr>
          <w:rFonts w:hint="eastAsia" w:hAnsi="宋体" w:cs="宋体"/>
          <w:b w:val="0"/>
          <w:bCs w:val="0"/>
          <w:color w:val="000000"/>
          <w:lang w:val="en-US" w:eastAsia="zh-CN"/>
        </w:rPr>
        <w:t>另外，</w:t>
      </w:r>
      <w:r>
        <w:rPr>
          <w:rFonts w:hint="eastAsia" w:hAnsi="宋体" w:eastAsia="宋体" w:cs="宋体"/>
          <w:b w:val="0"/>
          <w:bCs w:val="0"/>
          <w:color w:val="000000"/>
          <w:lang w:val="en-US" w:eastAsia="zh-CN"/>
        </w:rPr>
        <w:t>增加</w:t>
      </w:r>
      <w:r>
        <w:rPr>
          <w:rFonts w:hint="eastAsia" w:hAnsi="宋体" w:cs="宋体"/>
          <w:b w:val="0"/>
          <w:bCs w:val="0"/>
          <w:color w:val="000000"/>
          <w:lang w:val="en-US" w:eastAsia="zh-CN"/>
        </w:rPr>
        <w:t>“</w:t>
      </w:r>
      <w:r>
        <w:rPr>
          <w:rFonts w:hint="eastAsia"/>
          <w:b w:val="0"/>
          <w:bCs w:val="0"/>
        </w:rPr>
        <w:t>导电横梁</w:t>
      </w:r>
      <w:r>
        <w:rPr>
          <w:rFonts w:hint="eastAsia"/>
          <w:b w:val="0"/>
          <w:bCs w:val="0"/>
          <w:lang w:val="en-US" w:eastAsia="zh-CN"/>
        </w:rPr>
        <w:t xml:space="preserve">  </w:t>
      </w:r>
      <w:r>
        <w:rPr>
          <w:rFonts w:hint="eastAsia"/>
          <w:b w:val="0"/>
          <w:bCs w:val="0"/>
        </w:rPr>
        <w:t>Straight conductive beam</w:t>
      </w:r>
      <w:r>
        <w:rPr>
          <w:rFonts w:hint="eastAsia" w:hAnsi="宋体" w:cs="宋体"/>
          <w:b w:val="0"/>
          <w:bCs w:val="0"/>
          <w:color w:val="000000"/>
          <w:lang w:val="en-US" w:eastAsia="zh-CN"/>
        </w:rPr>
        <w:t>”</w:t>
      </w:r>
      <w:r>
        <w:rPr>
          <w:rFonts w:hint="eastAsia"/>
          <w:b w:val="0"/>
          <w:bCs w:val="0"/>
          <w:lang w:eastAsia="zh-CN"/>
        </w:rPr>
        <w:t>的</w:t>
      </w:r>
      <w:r>
        <w:rPr>
          <w:rFonts w:hint="eastAsia"/>
          <w:b w:val="0"/>
          <w:bCs w:val="0"/>
          <w:lang w:val="en-US" w:eastAsia="zh-CN"/>
        </w:rPr>
        <w:t>产品定义，定义为：</w:t>
      </w:r>
      <w:r>
        <w:rPr>
          <w:rFonts w:hint="eastAsia" w:ascii="宋体" w:hAnsi="宋体" w:eastAsia="宋体" w:cs="宋体"/>
          <w:b w:val="0"/>
          <w:bCs w:val="0"/>
          <w:color w:val="000000" w:themeColor="text1"/>
          <w:highlight w:val="none"/>
          <w14:textFill>
            <w14:solidFill>
              <w14:schemeClr w14:val="tx1"/>
            </w14:solidFill>
          </w14:textFill>
        </w:rPr>
        <w:t>将T2紫铜棒材经表面处理后，在模具中经浇铸工艺处理在其表面包覆铅合金层而成</w:t>
      </w:r>
      <w:r>
        <w:rPr>
          <w:rFonts w:hint="eastAsia" w:ascii="宋体" w:hAnsi="宋体" w:eastAsia="宋体" w:cs="宋体"/>
          <w:b w:val="0"/>
          <w:bCs w:val="0"/>
          <w:color w:val="000000" w:themeColor="text1"/>
          <w:highlight w:val="none"/>
          <w:lang w:eastAsia="zh-CN"/>
          <w14:textFill>
            <w14:solidFill>
              <w14:schemeClr w14:val="tx1"/>
            </w14:solidFill>
          </w14:textFill>
        </w:rPr>
        <w:t>。</w:t>
      </w:r>
    </w:p>
    <w:p>
      <w:pPr>
        <w:pStyle w:val="9"/>
        <w:keepNext w:val="0"/>
        <w:keepLines w:val="0"/>
        <w:pageBreakBefore w:val="0"/>
        <w:kinsoku/>
        <w:wordWrap/>
        <w:overflowPunct/>
        <w:topLinePunct w:val="0"/>
        <w:bidi w:val="0"/>
        <w:adjustRightInd/>
        <w:snapToGrid/>
        <w:spacing w:before="0" w:beforeLines="0" w:after="0" w:afterLines="0" w:line="36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4.3 产品分类的确定</w:t>
      </w:r>
    </w:p>
    <w:p>
      <w:pPr>
        <w:keepNext w:val="0"/>
        <w:keepLines w:val="0"/>
        <w:pageBreakBefore w:val="0"/>
        <w:kinsoku/>
        <w:wordWrap/>
        <w:overflowPunct/>
        <w:topLinePunct w:val="0"/>
        <w:bidi w:val="0"/>
        <w:adjustRightInd/>
        <w:snapToGrid/>
        <w:spacing w:line="360" w:lineRule="auto"/>
        <w:textAlignment w:val="auto"/>
        <w:rPr>
          <w:rFonts w:hint="eastAsia" w:hAnsi="宋体" w:cs="宋体"/>
          <w:b/>
          <w:bCs/>
          <w:sz w:val="21"/>
          <w:szCs w:val="21"/>
          <w:lang w:val="en-US" w:eastAsia="zh-CN"/>
        </w:rPr>
      </w:pPr>
      <w:r>
        <w:rPr>
          <w:rFonts w:hint="eastAsia" w:hAnsi="宋体" w:cs="宋体"/>
          <w:b/>
          <w:bCs/>
          <w:sz w:val="21"/>
          <w:szCs w:val="21"/>
          <w:lang w:val="en-US" w:eastAsia="zh-CN"/>
        </w:rPr>
        <w:t>4.1.4原材料质量要求，增加了</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锡原料：应符合GB/T 728</w:t>
      </w:r>
      <w:r>
        <w:rPr>
          <w:rFonts w:hint="eastAsia" w:ascii="宋体" w:hAnsi="宋体" w:eastAsia="宋体" w:cs="宋体"/>
          <w:color w:val="000000"/>
          <w:lang w:val="en-US" w:eastAsia="zh-CN"/>
        </w:rPr>
        <w:t>锡锭</w:t>
      </w:r>
      <w:r>
        <w:rPr>
          <w:rFonts w:hint="eastAsia" w:ascii="宋体" w:hAnsi="宋体" w:eastAsia="宋体" w:cs="宋体"/>
          <w:color w:val="000000"/>
        </w:rPr>
        <w:t>中</w:t>
      </w:r>
      <w:r>
        <w:rPr>
          <w:rFonts w:hint="eastAsia" w:ascii="宋体" w:hAnsi="宋体" w:eastAsia="宋体" w:cs="宋体"/>
          <w:color w:val="000000"/>
          <w:lang w:val="en-US" w:eastAsia="zh-CN"/>
        </w:rPr>
        <w:t>牌号为Sn99.90AA级</w:t>
      </w:r>
      <w:r>
        <w:rPr>
          <w:rFonts w:hint="eastAsia" w:ascii="宋体" w:hAnsi="宋体" w:eastAsia="宋体" w:cs="宋体"/>
          <w:color w:val="000000"/>
        </w:rPr>
        <w:t>的规定要求。</w:t>
      </w:r>
    </w:p>
    <w:p>
      <w:pPr>
        <w:pStyle w:val="10"/>
        <w:spacing w:line="360" w:lineRule="auto"/>
        <w:rPr>
          <w:rFonts w:hint="eastAsia" w:ascii="宋体" w:hAnsi="宋体" w:eastAsia="宋体" w:cs="宋体"/>
          <w:color w:val="000000"/>
        </w:rPr>
      </w:pPr>
      <w:r>
        <w:rPr>
          <w:rFonts w:hint="eastAsia" w:ascii="宋体" w:hAnsi="宋体" w:eastAsia="宋体" w:cs="宋体"/>
          <w:color w:val="000000"/>
        </w:rPr>
        <w:t>铜原料：应符合GB/T 5231中</w:t>
      </w:r>
      <w:r>
        <w:rPr>
          <w:rFonts w:hint="eastAsia" w:ascii="宋体" w:hAnsi="宋体" w:eastAsia="宋体" w:cs="宋体"/>
          <w:color w:val="000000"/>
          <w:lang w:val="en-US" w:eastAsia="zh-CN"/>
        </w:rPr>
        <w:t>牌号为T2</w:t>
      </w:r>
      <w:r>
        <w:rPr>
          <w:rFonts w:hint="eastAsia" w:ascii="宋体" w:hAnsi="宋体" w:eastAsia="宋体" w:cs="宋体"/>
          <w:color w:val="000000"/>
        </w:rPr>
        <w:t>的规定要求。</w:t>
      </w:r>
    </w:p>
    <w:p>
      <w:pPr>
        <w:pStyle w:val="10"/>
        <w:spacing w:line="240" w:lineRule="auto"/>
        <w:ind w:firstLine="420"/>
        <w:rPr>
          <w:rFonts w:hint="default" w:ascii="Times New Roman" w:hAnsi="Times New Roman" w:cs="Times New Roman"/>
          <w:szCs w:val="21"/>
        </w:rPr>
      </w:pPr>
      <w:r>
        <w:rPr>
          <w:rFonts w:hint="default" w:ascii="Times New Roman" w:hAnsi="Times New Roman" w:cs="Times New Roman"/>
          <w:szCs w:val="21"/>
        </w:rPr>
        <w:t>不锈钢板应符合GB/T 3280中022Cr17Ni12Mo2牌号的规定。</w:t>
      </w:r>
    </w:p>
    <w:p>
      <w:pPr>
        <w:pStyle w:val="10"/>
        <w:spacing w:line="240" w:lineRule="auto"/>
        <w:ind w:firstLine="420"/>
        <w:rPr>
          <w:rFonts w:hint="default" w:ascii="Times New Roman" w:hAnsi="Times New Roman" w:eastAsia="宋体" w:cs="Times New Roman"/>
          <w:szCs w:val="21"/>
          <w:lang w:val="en-US" w:eastAsia="zh-CN"/>
        </w:rPr>
      </w:pPr>
      <w:r>
        <w:rPr>
          <w:rFonts w:hint="default" w:ascii="Times New Roman" w:hAnsi="Times New Roman" w:eastAsia="宋体" w:cs="Times New Roman"/>
        </w:rPr>
        <w:t>不锈钢</w:t>
      </w:r>
      <w:r>
        <w:rPr>
          <w:rFonts w:hint="default" w:ascii="Times New Roman" w:hAnsi="Times New Roman" w:eastAsia="宋体" w:cs="Times New Roman"/>
          <w:lang w:val="en-US" w:eastAsia="zh-CN"/>
        </w:rPr>
        <w:t>棒应符合</w:t>
      </w:r>
      <w:r>
        <w:rPr>
          <w:rFonts w:hint="default" w:ascii="Times New Roman" w:hAnsi="Times New Roman" w:eastAsia="宋体" w:cs="Times New Roman"/>
        </w:rPr>
        <w:t>GB∕T 1220</w:t>
      </w:r>
      <w:r>
        <w:rPr>
          <w:rFonts w:hint="default" w:ascii="Times New Roman" w:hAnsi="Times New Roman" w:eastAsia="宋体" w:cs="Times New Roman"/>
          <w:lang w:val="en-US" w:eastAsia="zh-CN"/>
        </w:rPr>
        <w:t>中</w:t>
      </w:r>
      <w:r>
        <w:rPr>
          <w:rFonts w:hint="default" w:ascii="Times New Roman" w:hAnsi="Times New Roman" w:cs="Times New Roman"/>
          <w:szCs w:val="21"/>
        </w:rPr>
        <w:t>022Cr17Ni12Mo2或06Cr19Ni10</w:t>
      </w:r>
      <w:r>
        <w:rPr>
          <w:rFonts w:hint="default" w:ascii="Times New Roman" w:hAnsi="Times New Roman" w:cs="Times New Roman"/>
          <w:szCs w:val="21"/>
          <w:lang w:val="en-US" w:eastAsia="zh-CN"/>
        </w:rPr>
        <w:t>牌号的规定</w:t>
      </w:r>
      <w:r>
        <w:rPr>
          <w:rFonts w:hint="default" w:ascii="Times New Roman" w:hAnsi="Times New Roman" w:eastAsia="宋体" w:cs="Times New Roman"/>
        </w:rPr>
        <w:t xml:space="preserve"> </w:t>
      </w:r>
    </w:p>
    <w:p>
      <w:pPr>
        <w:pStyle w:val="10"/>
        <w:spacing w:line="240" w:lineRule="auto"/>
        <w:ind w:firstLine="420"/>
        <w:rPr>
          <w:rFonts w:hint="eastAsia" w:ascii="黑体" w:hAnsi="黑体" w:eastAsia="黑体" w:cs="黑体"/>
          <w:color w:val="0000FF"/>
          <w:sz w:val="21"/>
          <w:szCs w:val="21"/>
          <w:lang w:val="en-US" w:eastAsia="zh-CN"/>
        </w:rPr>
      </w:pPr>
      <w:r>
        <w:rPr>
          <w:rFonts w:hint="default" w:ascii="Times New Roman" w:hAnsi="Times New Roman" w:cs="Times New Roman"/>
          <w:szCs w:val="21"/>
          <w:lang w:val="en-US" w:eastAsia="zh-CN"/>
        </w:rPr>
        <w:t>不锈钢板焊接材料</w:t>
      </w:r>
      <w:r>
        <w:rPr>
          <w:rFonts w:hint="default" w:ascii="Times New Roman" w:hAnsi="Times New Roman" w:cs="Times New Roman"/>
          <w:szCs w:val="21"/>
        </w:rPr>
        <w:t>应符合GB/T 13148中022Cr17Ni12Mo2</w:t>
      </w:r>
      <w:r>
        <w:rPr>
          <w:rFonts w:hint="default" w:ascii="Times New Roman" w:hAnsi="Times New Roman" w:cs="Times New Roman"/>
          <w:szCs w:val="21"/>
          <w:lang w:val="en-US" w:eastAsia="zh-CN"/>
        </w:rPr>
        <w:t>或</w:t>
      </w:r>
      <w:r>
        <w:rPr>
          <w:rFonts w:hint="default" w:ascii="Times New Roman" w:hAnsi="Times New Roman" w:cs="Times New Roman"/>
          <w:szCs w:val="21"/>
        </w:rPr>
        <w:t>06Cr19Ni10牌号的规定。</w:t>
      </w:r>
    </w:p>
    <w:p>
      <w:pPr>
        <w:pStyle w:val="10"/>
        <w:spacing w:line="360" w:lineRule="auto"/>
        <w:rPr>
          <w:rFonts w:hint="default" w:ascii="宋体" w:hAnsi="宋体" w:eastAsia="宋体" w:cs="宋体"/>
          <w:color w:val="000000"/>
          <w:lang w:val="en-US" w:eastAsia="zh-CN"/>
        </w:rPr>
      </w:pPr>
    </w:p>
    <w:p>
      <w:pPr>
        <w:pStyle w:val="10"/>
        <w:spacing w:line="360" w:lineRule="auto"/>
        <w:ind w:firstLine="0" w:firstLineChars="0"/>
        <w:rPr>
          <w:rFonts w:hint="eastAsia"/>
          <w:b/>
          <w:bCs/>
          <w:lang w:val="en-US" w:eastAsia="zh-CN"/>
        </w:rPr>
      </w:pPr>
      <w:r>
        <w:rPr>
          <w:rFonts w:hint="eastAsia"/>
          <w:b/>
          <w:bCs/>
          <w:lang w:val="en-US" w:eastAsia="zh-CN"/>
        </w:rPr>
        <w:t>4.3.1 增加了产品的三个分类和定义。</w:t>
      </w:r>
    </w:p>
    <w:p>
      <w:pPr>
        <w:pStyle w:val="10"/>
        <w:spacing w:line="360" w:lineRule="auto"/>
        <w:ind w:firstLine="0" w:firstLineChars="0"/>
        <w:rPr>
          <w:rFonts w:hint="default"/>
          <w:b w:val="0"/>
          <w:bCs w:val="0"/>
          <w:lang w:val="en-US" w:eastAsia="zh-CN"/>
        </w:rPr>
      </w:pPr>
      <w:r>
        <w:rPr>
          <w:rFonts w:hint="eastAsia"/>
          <w:b w:val="0"/>
          <w:bCs w:val="0"/>
          <w:lang w:val="en-US" w:eastAsia="zh-CN"/>
        </w:rPr>
        <w:t xml:space="preserve">  原文件没有产品示意图，修改增加了产品外形示意图，并且，按照通常市场使用习惯，根据产品的特性，对产品进行分类说明：</w:t>
      </w:r>
    </w:p>
    <w:p>
      <w:pPr>
        <w:pStyle w:val="10"/>
        <w:spacing w:line="360" w:lineRule="auto"/>
        <w:ind w:firstLine="630" w:firstLineChars="300"/>
        <w:rPr>
          <w:rFonts w:hint="eastAsia"/>
          <w:szCs w:val="21"/>
          <w:lang w:val="en-US" w:eastAsia="zh-CN"/>
        </w:rPr>
      </w:pPr>
      <w:r>
        <w:rPr>
          <w:rFonts w:hint="eastAsia"/>
          <w:szCs w:val="21"/>
          <w:lang w:val="en-US" w:eastAsia="zh-CN"/>
        </w:rPr>
        <w:t>产品按照电化学性能需要而进行合金适配，分为二元合金阳极板及多元合金阳极板；</w:t>
      </w:r>
    </w:p>
    <w:p>
      <w:pPr>
        <w:pStyle w:val="10"/>
        <w:spacing w:line="360" w:lineRule="auto"/>
        <w:ind w:firstLine="630" w:firstLineChars="300"/>
        <w:rPr>
          <w:rFonts w:hint="eastAsia"/>
          <w:szCs w:val="21"/>
          <w:lang w:val="en-US" w:eastAsia="zh-CN"/>
        </w:rPr>
      </w:pPr>
      <w:r>
        <w:rPr>
          <w:rFonts w:hint="eastAsia"/>
          <w:szCs w:val="21"/>
          <w:lang w:val="en-US" w:eastAsia="zh-CN"/>
        </w:rPr>
        <w:t>产品按导电接触方式，分为搭接式阳极板及夹接式（插接式）阳极板；</w:t>
      </w:r>
    </w:p>
    <w:p>
      <w:pPr>
        <w:pStyle w:val="10"/>
        <w:spacing w:line="360" w:lineRule="auto"/>
        <w:ind w:firstLine="0" w:firstLineChars="0"/>
        <w:rPr>
          <w:rFonts w:hint="default" w:eastAsia="宋体"/>
          <w:szCs w:val="21"/>
          <w:lang w:val="en-US" w:eastAsia="zh-CN"/>
        </w:rPr>
      </w:pPr>
      <w:r>
        <w:rPr>
          <w:rFonts w:hint="eastAsia"/>
          <w:szCs w:val="21"/>
          <w:lang w:val="en-US" w:eastAsia="zh-CN"/>
        </w:rPr>
        <w:t xml:space="preserve">      产品按照板面大小，分为大于等于2.6</w:t>
      </w:r>
      <w:r>
        <w:rPr>
          <w:rFonts w:ascii="Arial" w:hAnsi="Arial" w:eastAsia="宋体" w:cs="Arial"/>
          <w:i w:val="0"/>
          <w:caps w:val="0"/>
          <w:color w:val="333333"/>
          <w:spacing w:val="0"/>
          <w:sz w:val="21"/>
          <w:szCs w:val="21"/>
          <w:shd w:val="clear" w:color="auto" w:fill="FFFFFF"/>
        </w:rPr>
        <w:t>m²</w:t>
      </w:r>
      <w:r>
        <w:rPr>
          <w:rFonts w:hint="eastAsia" w:ascii="Arial" w:hAnsi="Arial" w:eastAsia="宋体" w:cs="Arial"/>
          <w:i w:val="0"/>
          <w:caps w:val="0"/>
          <w:color w:val="333333"/>
          <w:spacing w:val="0"/>
          <w:sz w:val="21"/>
          <w:szCs w:val="21"/>
          <w:shd w:val="clear" w:color="auto" w:fill="FFFFFF"/>
          <w:lang w:val="en-US" w:eastAsia="zh-CN"/>
        </w:rPr>
        <w:t>的为大型阳极板，</w:t>
      </w:r>
      <w:r>
        <w:rPr>
          <w:rFonts w:hint="eastAsia"/>
          <w:szCs w:val="21"/>
          <w:lang w:val="en-US" w:eastAsia="zh-CN"/>
        </w:rPr>
        <w:t>小于2.6</w:t>
      </w:r>
      <w:r>
        <w:rPr>
          <w:rFonts w:ascii="Arial" w:hAnsi="Arial" w:eastAsia="宋体" w:cs="Arial"/>
          <w:i w:val="0"/>
          <w:caps w:val="0"/>
          <w:color w:val="333333"/>
          <w:spacing w:val="0"/>
          <w:sz w:val="21"/>
          <w:szCs w:val="21"/>
          <w:shd w:val="clear" w:color="auto" w:fill="FFFFFF"/>
        </w:rPr>
        <w:t>m²</w:t>
      </w:r>
      <w:r>
        <w:rPr>
          <w:rFonts w:hint="eastAsia" w:ascii="Arial" w:hAnsi="Arial" w:eastAsia="宋体" w:cs="Arial"/>
          <w:i w:val="0"/>
          <w:caps w:val="0"/>
          <w:color w:val="333333"/>
          <w:spacing w:val="0"/>
          <w:sz w:val="21"/>
          <w:szCs w:val="21"/>
          <w:shd w:val="clear" w:color="auto" w:fill="FFFFFF"/>
          <w:lang w:val="en-US" w:eastAsia="zh-CN"/>
        </w:rPr>
        <w:t>为小型阳极板。</w:t>
      </w:r>
    </w:p>
    <w:p>
      <w:pPr>
        <w:pStyle w:val="10"/>
        <w:spacing w:line="360" w:lineRule="auto"/>
        <w:ind w:left="0" w:leftChars="0" w:firstLine="0" w:firstLineChars="0"/>
        <w:rPr>
          <w:rFonts w:hint="default"/>
          <w:b/>
          <w:bCs/>
          <w:lang w:val="en-US" w:eastAsia="zh-CN"/>
        </w:rPr>
      </w:pPr>
      <w:r>
        <w:rPr>
          <w:rFonts w:hint="eastAsia"/>
          <w:b/>
          <w:bCs/>
          <w:lang w:val="en-US" w:eastAsia="zh-CN"/>
        </w:rPr>
        <w:t>4.3.2 增加了产品外形示意图及说明</w:t>
      </w:r>
    </w:p>
    <w:p>
      <w:pPr>
        <w:pStyle w:val="10"/>
        <w:spacing w:line="360" w:lineRule="auto"/>
        <w:ind w:left="0" w:leftChars="0" w:firstLine="0" w:firstLineChars="0"/>
        <w:rPr>
          <w:rFonts w:hint="default"/>
          <w:b/>
          <w:bCs/>
          <w:lang w:val="en-US" w:eastAsia="zh-CN"/>
        </w:rPr>
      </w:pPr>
      <w:r>
        <w:rPr>
          <w:rFonts w:hint="eastAsia" w:ascii="宋体" w:hAnsi="宋体" w:eastAsia="宋体" w:cs="宋体"/>
          <w:b/>
          <w:bCs/>
          <w:color w:val="auto"/>
          <w:sz w:val="21"/>
          <w:szCs w:val="21"/>
          <w:highlight w:val="none"/>
          <w:lang w:val="en-US" w:eastAsia="zh-CN"/>
        </w:rPr>
        <w:t xml:space="preserve">4.3.3 </w:t>
      </w:r>
      <w:r>
        <w:rPr>
          <w:rFonts w:hint="eastAsia" w:ascii="宋体" w:hAnsi="宋体" w:eastAsia="宋体" w:cs="宋体"/>
          <w:b w:val="0"/>
          <w:bCs w:val="0"/>
          <w:color w:val="auto"/>
          <w:sz w:val="21"/>
          <w:szCs w:val="21"/>
          <w:highlight w:val="none"/>
          <w:lang w:val="en-US" w:eastAsia="zh-CN"/>
        </w:rPr>
        <w:t>修改了各牌号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厚度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宽度、长度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范围</w:t>
      </w:r>
    </w:p>
    <w:p>
      <w:pPr>
        <w:bidi w:val="0"/>
        <w:spacing w:line="360" w:lineRule="auto"/>
        <w:rPr>
          <w:rFonts w:hint="eastAsia"/>
          <w:lang w:val="en-US" w:eastAsia="zh-CN"/>
        </w:rPr>
      </w:pPr>
      <w:r>
        <w:rPr>
          <w:rFonts w:hint="eastAsia"/>
          <w:lang w:val="en-US" w:eastAsia="zh-CN"/>
        </w:rPr>
        <w:t xml:space="preserve">     由于用户使用的矿物原料汉各种杂质成分越来越复杂，在复杂的电解液环境下，用户对阳极板的耐腐蚀程度和使用寿命、生产成本、经济效益等因素的考量，对阳极板的使用需求也是多元化，因此对原标准产品牌号及规格应该符合的范围中，对厚度 宽度、长度及</w:t>
      </w:r>
      <w:r>
        <w:rPr>
          <w:rFonts w:hint="eastAsia"/>
        </w:rPr>
        <w:t>制造方法</w:t>
      </w:r>
      <w:r>
        <w:rPr>
          <w:rFonts w:hint="eastAsia"/>
          <w:lang w:val="en-US" w:eastAsia="zh-CN"/>
        </w:rPr>
        <w:t>进行修改，修改为：</w:t>
      </w:r>
    </w:p>
    <w:p>
      <w:pPr>
        <w:pStyle w:val="10"/>
        <w:spacing w:line="360" w:lineRule="auto"/>
        <w:ind w:firstLine="2940" w:firstLineChars="1400"/>
        <w:jc w:val="both"/>
        <w:rPr>
          <w:rFonts w:hint="eastAsia" w:ascii="黑体" w:hAnsi="黑体" w:eastAsia="黑体"/>
        </w:rPr>
      </w:pPr>
      <w:r>
        <w:rPr>
          <w:rFonts w:hint="eastAsia" w:ascii="黑体" w:hAnsi="黑体" w:eastAsia="黑体"/>
        </w:rPr>
        <w:t>表1 牌号和规格</w:t>
      </w:r>
    </w:p>
    <w:tbl>
      <w:tblPr>
        <w:tblStyle w:val="4"/>
        <w:tblW w:w="8025"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440"/>
        <w:gridCol w:w="1455"/>
        <w:gridCol w:w="14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Merge w:val="restart"/>
            <w:noWrap w:val="0"/>
            <w:vAlign w:val="center"/>
          </w:tcPr>
          <w:p>
            <w:pPr>
              <w:jc w:val="center"/>
              <w:rPr>
                <w:rFonts w:hint="eastAsia" w:ascii="宋体" w:hAnsi="宋体" w:cs="宋体"/>
                <w:color w:val="FF0000"/>
                <w:sz w:val="18"/>
              </w:rPr>
            </w:pPr>
            <w:r>
              <w:rPr>
                <w:rFonts w:hint="eastAsia" w:ascii="宋体" w:hAnsi="宋体" w:cs="宋体"/>
                <w:color w:val="FF0000"/>
                <w:sz w:val="18"/>
              </w:rPr>
              <w:t>牌号</w:t>
            </w:r>
          </w:p>
        </w:tc>
        <w:tc>
          <w:tcPr>
            <w:tcW w:w="4365" w:type="dxa"/>
            <w:gridSpan w:val="3"/>
            <w:noWrap w:val="0"/>
            <w:vAlign w:val="center"/>
          </w:tcPr>
          <w:p>
            <w:pPr>
              <w:jc w:val="center"/>
              <w:rPr>
                <w:rFonts w:hint="eastAsia" w:ascii="宋体" w:hAnsi="宋体" w:cs="宋体"/>
                <w:color w:val="FF0000"/>
                <w:sz w:val="18"/>
              </w:rPr>
            </w:pPr>
            <w:r>
              <w:rPr>
                <w:rFonts w:hint="eastAsia" w:ascii="宋体" w:hAnsi="宋体" w:cs="宋体"/>
                <w:color w:val="FF0000"/>
                <w:sz w:val="18"/>
              </w:rPr>
              <w:t>规格/mm</w:t>
            </w:r>
          </w:p>
        </w:tc>
        <w:tc>
          <w:tcPr>
            <w:tcW w:w="1620" w:type="dxa"/>
            <w:vMerge w:val="restart"/>
            <w:noWrap w:val="0"/>
            <w:vAlign w:val="center"/>
          </w:tcPr>
          <w:p>
            <w:pPr>
              <w:jc w:val="center"/>
              <w:rPr>
                <w:rFonts w:hint="eastAsia" w:ascii="宋体" w:hAnsi="宋体" w:cs="宋体"/>
                <w:color w:val="FF0000"/>
                <w:sz w:val="18"/>
              </w:rPr>
            </w:pPr>
            <w:r>
              <w:rPr>
                <w:rFonts w:hint="eastAsia" w:ascii="宋体" w:hAnsi="宋体" w:cs="宋体"/>
                <w:color w:val="FF0000"/>
                <w:sz w:val="18"/>
              </w:rPr>
              <w:t>制造方法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vMerge w:val="continue"/>
            <w:noWrap w:val="0"/>
            <w:vAlign w:val="center"/>
          </w:tcPr>
          <w:p>
            <w:pPr>
              <w:jc w:val="center"/>
              <w:rPr>
                <w:rFonts w:hint="eastAsia" w:ascii="宋体" w:hAnsi="宋体" w:cs="宋体"/>
                <w:color w:val="FF0000"/>
                <w:sz w:val="18"/>
              </w:rPr>
            </w:pPr>
          </w:p>
        </w:tc>
        <w:tc>
          <w:tcPr>
            <w:tcW w:w="1440" w:type="dxa"/>
            <w:noWrap w:val="0"/>
            <w:vAlign w:val="center"/>
          </w:tcPr>
          <w:p>
            <w:pPr>
              <w:jc w:val="center"/>
              <w:rPr>
                <w:rFonts w:hint="eastAsia" w:ascii="宋体" w:hAnsi="宋体" w:cs="宋体"/>
                <w:color w:val="FF0000"/>
                <w:sz w:val="18"/>
              </w:rPr>
            </w:pPr>
            <w:r>
              <w:rPr>
                <w:rFonts w:hint="eastAsia" w:ascii="宋体" w:hAnsi="宋体" w:cs="宋体"/>
                <w:color w:val="FF0000"/>
                <w:sz w:val="18"/>
              </w:rPr>
              <w:t>厚度</w:t>
            </w:r>
          </w:p>
        </w:tc>
        <w:tc>
          <w:tcPr>
            <w:tcW w:w="1455" w:type="dxa"/>
            <w:noWrap w:val="0"/>
            <w:vAlign w:val="center"/>
          </w:tcPr>
          <w:p>
            <w:pPr>
              <w:jc w:val="center"/>
              <w:rPr>
                <w:rFonts w:hint="eastAsia" w:ascii="宋体" w:hAnsi="宋体" w:cs="宋体"/>
                <w:color w:val="FF0000"/>
                <w:sz w:val="18"/>
              </w:rPr>
            </w:pPr>
            <w:r>
              <w:rPr>
                <w:rFonts w:hint="eastAsia" w:ascii="宋体" w:hAnsi="宋体" w:cs="宋体"/>
                <w:color w:val="FF0000"/>
                <w:sz w:val="18"/>
              </w:rPr>
              <w:t>宽度</w:t>
            </w:r>
          </w:p>
        </w:tc>
        <w:tc>
          <w:tcPr>
            <w:tcW w:w="1470" w:type="dxa"/>
            <w:noWrap w:val="0"/>
            <w:vAlign w:val="center"/>
          </w:tcPr>
          <w:p>
            <w:pPr>
              <w:jc w:val="center"/>
              <w:rPr>
                <w:rFonts w:hint="eastAsia" w:ascii="宋体" w:hAnsi="宋体" w:cs="宋体"/>
                <w:color w:val="FF0000"/>
                <w:sz w:val="18"/>
              </w:rPr>
            </w:pPr>
            <w:r>
              <w:rPr>
                <w:rFonts w:hint="eastAsia" w:ascii="宋体" w:hAnsi="宋体" w:cs="宋体"/>
                <w:color w:val="FF0000"/>
                <w:sz w:val="18"/>
              </w:rPr>
              <w:t>长度</w:t>
            </w:r>
          </w:p>
        </w:tc>
        <w:tc>
          <w:tcPr>
            <w:tcW w:w="1620" w:type="dxa"/>
            <w:vMerge w:val="continue"/>
            <w:noWrap w:val="0"/>
            <w:vAlign w:val="center"/>
          </w:tcPr>
          <w:p>
            <w:pPr>
              <w:jc w:val="center"/>
              <w:rPr>
                <w:rFonts w:hint="eastAsia" w:ascii="宋体" w:hAnsi="宋体" w:cs="宋体"/>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40" w:type="dxa"/>
            <w:noWrap w:val="0"/>
            <w:vAlign w:val="center"/>
          </w:tcPr>
          <w:p>
            <w:pPr>
              <w:jc w:val="center"/>
              <w:rPr>
                <w:color w:val="FF0000"/>
                <w:sz w:val="18"/>
              </w:rPr>
            </w:pPr>
            <w:r>
              <w:rPr>
                <w:color w:val="FF0000"/>
                <w:sz w:val="18"/>
              </w:rPr>
              <w:t>PbAg</w:t>
            </w:r>
          </w:p>
        </w:tc>
        <w:tc>
          <w:tcPr>
            <w:tcW w:w="1440" w:type="dxa"/>
            <w:noWrap w:val="0"/>
            <w:vAlign w:val="center"/>
          </w:tcPr>
          <w:p>
            <w:pPr>
              <w:jc w:val="center"/>
              <w:rPr>
                <w:rFonts w:hint="default" w:ascii="宋体" w:hAnsi="宋体" w:cs="宋体"/>
                <w:color w:val="FF0000"/>
                <w:sz w:val="18"/>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10</w:t>
            </w:r>
          </w:p>
        </w:tc>
        <w:tc>
          <w:tcPr>
            <w:tcW w:w="1455" w:type="dxa"/>
            <w:noWrap w:val="0"/>
            <w:vAlign w:val="center"/>
          </w:tcPr>
          <w:p>
            <w:pPr>
              <w:jc w:val="center"/>
              <w:rPr>
                <w:rFonts w:hint="eastAsia" w:ascii="宋体" w:hAnsi="宋体" w:cs="宋体"/>
                <w:color w:val="FF0000"/>
                <w:sz w:val="18"/>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sz w:val="18"/>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restart"/>
            <w:noWrap w:val="0"/>
            <w:vAlign w:val="center"/>
          </w:tcPr>
          <w:p>
            <w:pPr>
              <w:jc w:val="center"/>
              <w:rPr>
                <w:rFonts w:hint="eastAsia" w:ascii="宋体" w:hAnsi="宋体" w:cs="宋体"/>
                <w:color w:val="FF0000"/>
                <w:sz w:val="18"/>
                <w:lang w:val="en-US" w:eastAsia="zh-CN"/>
              </w:rPr>
            </w:pPr>
            <w:r>
              <w:rPr>
                <w:rFonts w:hint="eastAsia" w:ascii="宋体" w:hAnsi="宋体" w:cs="宋体"/>
                <w:color w:val="FF0000"/>
                <w:sz w:val="18"/>
              </w:rPr>
              <w:t>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PbAgRe</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10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PbAgCa</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default"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550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40" w:type="dxa"/>
            <w:noWrap w:val="0"/>
            <w:vAlign w:val="center"/>
          </w:tcPr>
          <w:p>
            <w:pPr>
              <w:jc w:val="center"/>
              <w:rPr>
                <w:color w:val="FF0000"/>
                <w:sz w:val="18"/>
              </w:rPr>
            </w:pPr>
            <w:r>
              <w:rPr>
                <w:color w:val="FF0000"/>
                <w:sz w:val="18"/>
              </w:rPr>
              <w:t>PbAgCaSr</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40" w:type="dxa"/>
            <w:noWrap w:val="0"/>
            <w:vAlign w:val="center"/>
          </w:tcPr>
          <w:p>
            <w:pPr>
              <w:jc w:val="center"/>
              <w:rPr>
                <w:color w:val="FF0000"/>
                <w:sz w:val="18"/>
              </w:rPr>
            </w:pPr>
            <w:r>
              <w:rPr>
                <w:color w:val="FF0000"/>
                <w:sz w:val="18"/>
              </w:rPr>
              <w:t>PbAgCaSrRe</w:t>
            </w:r>
          </w:p>
        </w:tc>
        <w:tc>
          <w:tcPr>
            <w:tcW w:w="1440" w:type="dxa"/>
            <w:noWrap w:val="0"/>
            <w:vAlign w:val="center"/>
          </w:tcPr>
          <w:p>
            <w:pPr>
              <w:jc w:val="center"/>
              <w:rPr>
                <w:rFonts w:hint="eastAsia" w:ascii="宋体" w:hAnsi="宋体" w:cs="宋体"/>
                <w:color w:val="FF0000"/>
                <w:kern w:val="2"/>
                <w:sz w:val="18"/>
                <w:szCs w:val="24"/>
                <w:lang w:val="en-US" w:eastAsia="zh-CN" w:bidi="ar-SA"/>
              </w:rPr>
            </w:pPr>
            <w:r>
              <w:rPr>
                <w:rFonts w:hint="eastAsia" w:hAnsi="宋体" w:eastAsia="宋体" w:cs="宋体"/>
                <w:b w:val="0"/>
                <w:bCs w:val="0"/>
                <w:color w:val="FF0000"/>
                <w:sz w:val="21"/>
                <w:szCs w:val="21"/>
                <w:lang w:val="en-US" w:eastAsia="zh-CN"/>
              </w:rPr>
              <w:t>4</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lang w:val="en-US" w:eastAsia="zh-CN"/>
              </w:rPr>
              <w:t>45</w:t>
            </w:r>
            <w:r>
              <w:rPr>
                <w:rFonts w:hint="eastAsia" w:ascii="宋体" w:hAnsi="宋体" w:cs="宋体"/>
                <w:color w:val="FF0000"/>
                <w:sz w:val="18"/>
              </w:rPr>
              <w:t>0~1200</w:t>
            </w:r>
          </w:p>
        </w:tc>
        <w:tc>
          <w:tcPr>
            <w:tcW w:w="1470" w:type="dxa"/>
            <w:noWrap w:val="0"/>
            <w:vAlign w:val="center"/>
          </w:tcPr>
          <w:p>
            <w:pPr>
              <w:jc w:val="center"/>
              <w:rPr>
                <w:rFonts w:hint="eastAsia" w:ascii="宋体" w:hAnsi="宋体" w:cs="宋体"/>
                <w:color w:val="FF0000"/>
                <w:kern w:val="2"/>
                <w:sz w:val="18"/>
                <w:szCs w:val="24"/>
                <w:lang w:val="en-US" w:eastAsia="zh-CN" w:bidi="ar-SA"/>
              </w:rPr>
            </w:pPr>
            <w:r>
              <w:rPr>
                <w:rFonts w:hint="eastAsia" w:ascii="宋体" w:hAnsi="宋体" w:cs="宋体"/>
                <w:color w:val="FF0000"/>
                <w:sz w:val="18"/>
              </w:rPr>
              <w:t>≥</w:t>
            </w:r>
            <w:r>
              <w:rPr>
                <w:rFonts w:hint="eastAsia" w:ascii="宋体" w:hAnsi="宋体" w:cs="宋体"/>
                <w:color w:val="FF0000"/>
                <w:sz w:val="18"/>
                <w:lang w:val="en-US" w:eastAsia="zh-CN"/>
              </w:rPr>
              <w:t>7</w:t>
            </w:r>
            <w:r>
              <w:rPr>
                <w:rFonts w:hint="eastAsia" w:ascii="宋体" w:hAnsi="宋体" w:cs="宋体"/>
                <w:color w:val="FF0000"/>
                <w:sz w:val="18"/>
              </w:rPr>
              <w:t>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40" w:type="dxa"/>
            <w:noWrap w:val="0"/>
            <w:vAlign w:val="center"/>
          </w:tcPr>
          <w:p>
            <w:pPr>
              <w:jc w:val="center"/>
              <w:rPr>
                <w:rFonts w:hint="default" w:eastAsia="宋体"/>
                <w:color w:val="FF0000"/>
                <w:sz w:val="18"/>
                <w:lang w:val="en-US" w:eastAsia="zh-CN"/>
              </w:rPr>
            </w:pPr>
            <w:r>
              <w:rPr>
                <w:rFonts w:hint="eastAsia"/>
                <w:color w:val="FF0000"/>
                <w:sz w:val="18"/>
                <w:lang w:val="en-US" w:eastAsia="zh-CN"/>
              </w:rPr>
              <w:t>Pbsb</w:t>
            </w:r>
          </w:p>
        </w:tc>
        <w:tc>
          <w:tcPr>
            <w:tcW w:w="1440" w:type="dxa"/>
            <w:noWrap w:val="0"/>
            <w:vAlign w:val="center"/>
          </w:tcPr>
          <w:p>
            <w:pPr>
              <w:jc w:val="center"/>
              <w:rPr>
                <w:rFonts w:hint="default" w:hAnsi="宋体" w:eastAsia="宋体" w:cs="宋体"/>
                <w:b w:val="0"/>
                <w:bCs w:val="0"/>
                <w:color w:val="FF0000"/>
                <w:sz w:val="21"/>
                <w:szCs w:val="21"/>
                <w:lang w:val="en-US" w:eastAsia="zh-CN"/>
              </w:rPr>
            </w:pPr>
            <w:r>
              <w:rPr>
                <w:rFonts w:hint="eastAsia" w:hAnsi="宋体" w:eastAsia="宋体" w:cs="宋体"/>
                <w:b w:val="0"/>
                <w:bCs w:val="0"/>
                <w:color w:val="FF0000"/>
                <w:sz w:val="21"/>
                <w:szCs w:val="21"/>
                <w:lang w:val="en-US" w:eastAsia="zh-CN"/>
              </w:rPr>
              <w:t>6</w:t>
            </w:r>
            <w:r>
              <w:rPr>
                <w:rFonts w:hint="eastAsia" w:ascii="宋体" w:hAnsi="宋体" w:eastAsia="宋体" w:cs="宋体"/>
                <w:b w:val="0"/>
                <w:bCs w:val="0"/>
                <w:color w:val="FF0000"/>
                <w:sz w:val="21"/>
                <w:szCs w:val="21"/>
              </w:rPr>
              <w:t>~</w:t>
            </w:r>
            <w:r>
              <w:rPr>
                <w:rFonts w:hint="eastAsia" w:hAnsi="宋体" w:eastAsia="宋体" w:cs="宋体"/>
                <w:b w:val="0"/>
                <w:bCs w:val="0"/>
                <w:color w:val="FF0000"/>
                <w:sz w:val="21"/>
                <w:szCs w:val="21"/>
                <w:lang w:val="en-US" w:eastAsia="zh-CN"/>
              </w:rPr>
              <w:t>20</w:t>
            </w:r>
          </w:p>
        </w:tc>
        <w:tc>
          <w:tcPr>
            <w:tcW w:w="1455" w:type="dxa"/>
            <w:noWrap w:val="0"/>
            <w:vAlign w:val="center"/>
          </w:tcPr>
          <w:p>
            <w:pPr>
              <w:jc w:val="center"/>
              <w:rPr>
                <w:rFonts w:hint="default" w:ascii="宋体" w:hAnsi="宋体" w:cs="宋体"/>
                <w:color w:val="FF0000"/>
                <w:sz w:val="18"/>
                <w:lang w:val="en-US" w:eastAsia="zh-CN"/>
              </w:rPr>
            </w:pPr>
            <w:r>
              <w:rPr>
                <w:rFonts w:hint="eastAsia" w:ascii="宋体" w:hAnsi="宋体" w:cs="宋体"/>
                <w:color w:val="FF0000"/>
                <w:sz w:val="18"/>
                <w:lang w:val="en-US" w:eastAsia="zh-CN"/>
              </w:rPr>
              <w:t>600-1200</w:t>
            </w:r>
          </w:p>
        </w:tc>
        <w:tc>
          <w:tcPr>
            <w:tcW w:w="1470" w:type="dxa"/>
            <w:noWrap w:val="0"/>
            <w:vAlign w:val="center"/>
          </w:tcPr>
          <w:p>
            <w:pPr>
              <w:jc w:val="center"/>
              <w:rPr>
                <w:rFonts w:hint="default" w:ascii="宋体" w:hAnsi="宋体" w:cs="宋体"/>
                <w:color w:val="FF0000"/>
                <w:sz w:val="18"/>
              </w:rPr>
            </w:pPr>
            <w:r>
              <w:rPr>
                <w:rFonts w:hint="eastAsia" w:ascii="宋体" w:hAnsi="宋体" w:cs="宋体"/>
                <w:color w:val="FF0000"/>
                <w:sz w:val="18"/>
              </w:rPr>
              <w:t>≥</w:t>
            </w:r>
            <w:r>
              <w:rPr>
                <w:rFonts w:hint="eastAsia" w:ascii="宋体" w:hAnsi="宋体" w:cs="宋体"/>
                <w:color w:val="FF0000"/>
                <w:sz w:val="18"/>
                <w:lang w:val="en-US" w:eastAsia="zh-CN"/>
              </w:rPr>
              <w:t>1000</w:t>
            </w:r>
          </w:p>
        </w:tc>
        <w:tc>
          <w:tcPr>
            <w:tcW w:w="1620" w:type="dxa"/>
            <w:vMerge w:val="continue"/>
            <w:noWrap w:val="0"/>
            <w:vAlign w:val="center"/>
          </w:tcPr>
          <w:p>
            <w:pPr>
              <w:jc w:val="center"/>
              <w:rPr>
                <w:rFonts w:hint="eastAsia" w:ascii="宋体" w:hAnsi="宋体" w:cs="宋体"/>
                <w:color w:val="FF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025" w:type="dxa"/>
            <w:gridSpan w:val="5"/>
            <w:noWrap w:val="0"/>
            <w:vAlign w:val="center"/>
          </w:tcPr>
          <w:p>
            <w:pPr>
              <w:spacing w:line="240" w:lineRule="atLeast"/>
              <w:jc w:val="left"/>
              <w:rPr>
                <w:rFonts w:hint="eastAsia"/>
                <w:color w:val="FF0000"/>
              </w:rPr>
            </w:pPr>
            <w:r>
              <w:rPr>
                <w:rFonts w:hint="eastAsia" w:ascii="宋体" w:hAnsi="宋体" w:cs="宋体"/>
                <w:color w:val="FF0000"/>
                <w:sz w:val="18"/>
                <w:szCs w:val="20"/>
              </w:rPr>
              <w:t>注：其他规格尺寸可根据客户需求按照供需合同生产。</w:t>
            </w:r>
          </w:p>
        </w:tc>
      </w:tr>
    </w:tbl>
    <w:p>
      <w:pPr>
        <w:keepNext w:val="0"/>
        <w:keepLines w:val="0"/>
        <w:pageBreakBefore w:val="0"/>
        <w:kinsoku/>
        <w:wordWrap/>
        <w:overflowPunct/>
        <w:topLinePunct w:val="0"/>
        <w:bidi w:val="0"/>
        <w:adjustRightInd/>
        <w:snapToGrid/>
        <w:spacing w:line="360" w:lineRule="auto"/>
        <w:ind w:firstLine="420" w:firstLineChars="200"/>
        <w:textAlignment w:val="auto"/>
        <w:rPr>
          <w:rFonts w:hint="default" w:ascii="宋体" w:hAnsi="宋体" w:eastAsia="宋体" w:cs="宋体"/>
          <w:sz w:val="21"/>
          <w:szCs w:val="21"/>
          <w:lang w:val="en-US" w:eastAsia="zh-CN"/>
        </w:rPr>
      </w:pPr>
    </w:p>
    <w:p>
      <w:pPr>
        <w:spacing w:before="156" w:beforeLines="50" w:after="156" w:afterLines="50" w:line="360" w:lineRule="auto"/>
        <w:rPr>
          <w:rFonts w:eastAsia="黑体"/>
          <w:b/>
          <w:bCs/>
        </w:rPr>
      </w:pPr>
      <w:r>
        <w:rPr>
          <w:rFonts w:eastAsia="黑体"/>
          <w:b/>
          <w:bCs/>
        </w:rPr>
        <w:t>4.</w:t>
      </w:r>
      <w:r>
        <w:rPr>
          <w:rFonts w:hint="eastAsia" w:eastAsia="黑体"/>
          <w:b/>
          <w:bCs/>
          <w:lang w:val="en-US" w:eastAsia="zh-CN"/>
        </w:rPr>
        <w:t>4</w:t>
      </w:r>
      <w:r>
        <w:rPr>
          <w:rFonts w:eastAsia="黑体"/>
          <w:b/>
          <w:bCs/>
        </w:rPr>
        <w:t xml:space="preserve">  标准主要内容的确定</w:t>
      </w:r>
    </w:p>
    <w:p>
      <w:pPr>
        <w:numPr>
          <w:ilvl w:val="0"/>
          <w:numId w:val="0"/>
        </w:numPr>
        <w:spacing w:line="360" w:lineRule="auto"/>
        <w:ind w:leftChars="0" w:firstLine="422" w:firstLineChars="200"/>
        <w:rPr>
          <w:rFonts w:hint="eastAsia" w:ascii="宋体" w:hAnsi="宋体" w:eastAsia="宋体" w:cs="宋体"/>
          <w:color w:val="000000"/>
        </w:rPr>
      </w:pPr>
      <w:r>
        <w:rPr>
          <w:rFonts w:hint="eastAsia" w:asciiTheme="minorEastAsia" w:hAnsiTheme="minorEastAsia" w:eastAsiaTheme="minorEastAsia" w:cstheme="minorEastAsia"/>
          <w:b/>
          <w:bCs/>
          <w:lang w:val="en-US" w:eastAsia="zh-CN"/>
        </w:rPr>
        <w:t>4.4.1</w:t>
      </w:r>
      <w:r>
        <w:rPr>
          <w:rFonts w:hint="eastAsia"/>
          <w:lang w:val="en-US" w:eastAsia="zh-CN"/>
        </w:rPr>
        <w:t>增加了原材料质量要求的条目和牌号规定，</w:t>
      </w:r>
      <w:r>
        <w:rPr>
          <w:rFonts w:hint="eastAsia" w:ascii="宋体" w:hAnsi="宋体" w:eastAsia="宋体" w:cs="宋体"/>
          <w:color w:val="000000"/>
          <w:lang w:val="en-US" w:eastAsia="zh-CN"/>
        </w:rPr>
        <w:t>明确了“</w:t>
      </w:r>
      <w:r>
        <w:rPr>
          <w:rFonts w:hint="eastAsia" w:ascii="宋体" w:hAnsi="宋体" w:eastAsia="宋体" w:cs="宋体"/>
          <w:lang w:val="en-US" w:eastAsia="zh-CN"/>
        </w:rPr>
        <w:t>银原料应符合</w:t>
      </w:r>
      <w:r>
        <w:rPr>
          <w:rFonts w:hint="eastAsia" w:ascii="宋体" w:hAnsi="宋体" w:eastAsia="宋体" w:cs="宋体"/>
        </w:rPr>
        <w:t>GB/T 4135银锭</w:t>
      </w:r>
      <w:r>
        <w:rPr>
          <w:rFonts w:hint="eastAsia" w:ascii="宋体" w:hAnsi="宋体" w:eastAsia="宋体" w:cs="宋体"/>
          <w:lang w:val="en-US" w:eastAsia="zh-CN"/>
        </w:rPr>
        <w:t>中牌号为IC-Ag99.99、</w:t>
      </w:r>
      <w:r>
        <w:rPr>
          <w:rFonts w:hint="eastAsia" w:ascii="宋体" w:hAnsi="宋体" w:eastAsia="宋体" w:cs="宋体"/>
          <w:color w:val="000000"/>
        </w:rPr>
        <w:t>锡原料应符合GB/T 728</w:t>
      </w:r>
      <w:r>
        <w:rPr>
          <w:rFonts w:hint="eastAsia" w:ascii="宋体" w:hAnsi="宋体" w:eastAsia="宋体" w:cs="宋体"/>
          <w:color w:val="000000"/>
          <w:lang w:val="en-US" w:eastAsia="zh-CN"/>
        </w:rPr>
        <w:t>锡锭</w:t>
      </w:r>
      <w:r>
        <w:rPr>
          <w:rFonts w:hint="eastAsia" w:ascii="宋体" w:hAnsi="宋体" w:eastAsia="宋体" w:cs="宋体"/>
          <w:color w:val="000000"/>
        </w:rPr>
        <w:t>中</w:t>
      </w:r>
      <w:r>
        <w:rPr>
          <w:rFonts w:hint="eastAsia" w:ascii="宋体" w:hAnsi="宋体" w:eastAsia="宋体" w:cs="宋体"/>
          <w:color w:val="000000"/>
          <w:lang w:val="en-US" w:eastAsia="zh-CN"/>
        </w:rPr>
        <w:t>牌号为Sn99.90AA级</w:t>
      </w:r>
      <w:r>
        <w:rPr>
          <w:rFonts w:hint="eastAsia" w:ascii="宋体" w:hAnsi="宋体" w:eastAsia="宋体" w:cs="宋体"/>
          <w:color w:val="000000"/>
          <w:lang w:eastAsia="zh-CN"/>
        </w:rPr>
        <w:t>、</w:t>
      </w:r>
      <w:r>
        <w:rPr>
          <w:rFonts w:hint="eastAsia" w:ascii="宋体" w:hAnsi="宋体" w:eastAsia="宋体" w:cs="宋体"/>
          <w:color w:val="000000"/>
        </w:rPr>
        <w:t>铜原料应符合GB/T 5231中</w:t>
      </w:r>
      <w:r>
        <w:rPr>
          <w:rFonts w:hint="eastAsia" w:ascii="宋体" w:hAnsi="宋体" w:eastAsia="宋体" w:cs="宋体"/>
          <w:color w:val="000000"/>
          <w:lang w:val="en-US" w:eastAsia="zh-CN"/>
        </w:rPr>
        <w:t>牌号为T2</w:t>
      </w:r>
      <w:r>
        <w:rPr>
          <w:rFonts w:hint="eastAsia" w:ascii="宋体" w:hAnsi="宋体" w:eastAsia="宋体" w:cs="宋体"/>
          <w:color w:val="000000"/>
        </w:rPr>
        <w:t>的规定要求。</w:t>
      </w:r>
    </w:p>
    <w:p>
      <w:pPr>
        <w:ind w:firstLine="0" w:firstLineChars="0"/>
        <w:rPr>
          <w:rFonts w:hint="eastAsia" w:ascii="黑体" w:hAnsi="黑体" w:eastAsia="黑体" w:cs="黑体"/>
          <w:b w:val="0"/>
          <w:bCs w:val="0"/>
          <w:color w:val="324DF4"/>
          <w:sz w:val="21"/>
          <w:szCs w:val="21"/>
          <w:lang w:val="en-US" w:eastAsia="zh-CN"/>
        </w:rPr>
      </w:pPr>
      <w:r>
        <w:rPr>
          <w:rFonts w:hint="eastAsia" w:ascii="宋体" w:hAnsi="宋体" w:cs="宋体"/>
          <w:b/>
          <w:bCs/>
          <w:sz w:val="21"/>
          <w:szCs w:val="21"/>
          <w:lang w:val="en-US" w:eastAsia="zh-CN"/>
        </w:rPr>
        <w:t xml:space="preserve">4.4.2 </w:t>
      </w:r>
      <w:r>
        <w:rPr>
          <w:rFonts w:hint="eastAsia"/>
          <w:color w:val="000000"/>
          <w:szCs w:val="18"/>
          <w:lang w:val="en-US" w:eastAsia="zh-CN"/>
        </w:rPr>
        <w:t>阳极</w:t>
      </w:r>
      <w:r>
        <w:rPr>
          <w:rFonts w:hint="eastAsia"/>
          <w:lang w:val="en-US" w:eastAsia="zh-CN"/>
        </w:rPr>
        <w:t>板的银含量允许偏差应符合表3的规定</w:t>
      </w:r>
    </w:p>
    <w:p>
      <w:pPr>
        <w:ind w:firstLine="3150" w:firstLineChars="1500"/>
        <w:rPr>
          <w:rFonts w:hint="default" w:ascii="黑体" w:hAnsi="黑体" w:eastAsia="黑体" w:cs="黑体"/>
          <w:b/>
          <w:bCs/>
          <w:color w:val="324DF4"/>
          <w:sz w:val="21"/>
          <w:szCs w:val="21"/>
        </w:rPr>
      </w:pPr>
      <w:r>
        <w:rPr>
          <w:rFonts w:hint="eastAsia" w:ascii="黑体" w:hAnsi="黑体" w:eastAsia="黑体" w:cs="黑体"/>
          <w:b w:val="0"/>
          <w:bCs w:val="0"/>
          <w:color w:val="324DF4"/>
          <w:sz w:val="21"/>
          <w:szCs w:val="21"/>
          <w:lang w:val="en-US" w:eastAsia="zh-CN"/>
        </w:rPr>
        <w:t>表 3  阳极板板面</w:t>
      </w:r>
      <w:r>
        <w:rPr>
          <w:rFonts w:hint="eastAsia" w:ascii="黑体" w:hAnsi="黑体" w:eastAsia="黑体" w:cs="黑体"/>
          <w:b w:val="0"/>
          <w:bCs w:val="0"/>
          <w:color w:val="324DF4"/>
          <w:sz w:val="21"/>
          <w:szCs w:val="21"/>
        </w:rPr>
        <w:t>银含量的允许偏差</w:t>
      </w:r>
      <w:r>
        <w:rPr>
          <w:rFonts w:hint="eastAsia" w:ascii="黑体" w:hAnsi="黑体" w:eastAsia="黑体" w:cs="黑体"/>
          <w:b w:val="0"/>
          <w:bCs w:val="0"/>
          <w:color w:val="324DF4"/>
          <w:sz w:val="21"/>
          <w:szCs w:val="21"/>
          <w:lang w:eastAsia="zh-CN"/>
        </w:rPr>
        <w:t>（</w:t>
      </w:r>
      <w:r>
        <w:rPr>
          <w:rFonts w:hint="eastAsia" w:ascii="黑体" w:hAnsi="黑体" w:eastAsia="黑体" w:cs="黑体"/>
          <w:b w:val="0"/>
          <w:bCs w:val="0"/>
          <w:color w:val="324DF4"/>
          <w:sz w:val="21"/>
          <w:szCs w:val="21"/>
          <w:lang w:val="en-US" w:eastAsia="zh-CN"/>
        </w:rPr>
        <w:t>%</w:t>
      </w:r>
      <w:r>
        <w:rPr>
          <w:rFonts w:hint="eastAsia" w:ascii="黑体" w:hAnsi="黑体" w:eastAsia="黑体" w:cs="黑体"/>
          <w:b w:val="0"/>
          <w:bCs w:val="0"/>
          <w:color w:val="324DF4"/>
          <w:sz w:val="21"/>
          <w:szCs w:val="21"/>
          <w:lang w:eastAsia="zh-CN"/>
        </w:rPr>
        <w:t>）</w:t>
      </w:r>
      <w:r>
        <w:rPr>
          <w:rFonts w:hint="eastAsia" w:ascii="黑体" w:hAnsi="黑体" w:eastAsia="黑体" w:cs="黑体"/>
          <w:b/>
          <w:bCs/>
          <w:color w:val="324DF4"/>
          <w:sz w:val="21"/>
          <w:szCs w:val="21"/>
          <w:lang w:val="en-US" w:eastAsia="zh-CN"/>
        </w:rPr>
        <w:t xml:space="preserve">                  </w:t>
      </w:r>
    </w:p>
    <w:tbl>
      <w:tblPr>
        <w:tblStyle w:val="5"/>
        <w:tblW w:w="8595"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321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牌号</w:t>
            </w:r>
          </w:p>
        </w:tc>
        <w:tc>
          <w:tcPr>
            <w:tcW w:w="3210"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含银量</w:t>
            </w:r>
          </w:p>
        </w:tc>
        <w:tc>
          <w:tcPr>
            <w:tcW w:w="2970"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0.5~2.0</w:t>
            </w:r>
          </w:p>
        </w:tc>
        <w:tc>
          <w:tcPr>
            <w:tcW w:w="2970" w:type="dxa"/>
            <w:vAlign w:val="center"/>
          </w:tcPr>
          <w:p>
            <w:pPr>
              <w:jc w:val="center"/>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PbAgRe</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0.3~1.5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PbAgCaSr</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15" w:type="dxa"/>
            <w:vAlign w:val="center"/>
          </w:tcPr>
          <w:p>
            <w:pPr>
              <w:jc w:val="center"/>
              <w:rPr>
                <w:rFonts w:hint="eastAsia" w:ascii="宋体" w:hAnsi="宋体" w:eastAsia="宋体" w:cs="宋体"/>
                <w:color w:val="FF0000"/>
                <w:szCs w:val="21"/>
              </w:rPr>
            </w:pPr>
            <w:r>
              <w:rPr>
                <w:rFonts w:hint="eastAsia" w:ascii="宋体" w:hAnsi="宋体" w:eastAsia="宋体" w:cs="宋体"/>
                <w:color w:val="FF0000"/>
                <w:szCs w:val="21"/>
              </w:rPr>
              <w:t>PbAgCaSrRe</w:t>
            </w:r>
          </w:p>
        </w:tc>
        <w:tc>
          <w:tcPr>
            <w:tcW w:w="3210" w:type="dxa"/>
            <w:vAlign w:val="center"/>
          </w:tcPr>
          <w:p>
            <w:pPr>
              <w:spacing w:line="22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FF0000"/>
                <w:szCs w:val="21"/>
              </w:rPr>
              <w:t>0.1~0.5</w:t>
            </w:r>
          </w:p>
        </w:tc>
        <w:tc>
          <w:tcPr>
            <w:tcW w:w="2970" w:type="dxa"/>
            <w:vAlign w:val="center"/>
          </w:tcPr>
          <w:p>
            <w:pPr>
              <w:jc w:val="center"/>
              <w:rPr>
                <w:rFonts w:hint="eastAsia" w:ascii="宋体" w:hAnsi="宋体" w:eastAsia="宋体" w:cs="宋体"/>
                <w:color w:val="FF0000"/>
                <w:sz w:val="21"/>
                <w:szCs w:val="21"/>
              </w:rPr>
            </w:pPr>
            <w:r>
              <w:rPr>
                <w:rFonts w:hint="eastAsia" w:ascii="宋体" w:hAnsi="宋体" w:eastAsia="宋体" w:cs="宋体"/>
                <w:color w:val="FF0000"/>
                <w:sz w:val="21"/>
                <w:szCs w:val="21"/>
              </w:rPr>
              <w:t>0.015</w:t>
            </w:r>
          </w:p>
        </w:tc>
      </w:tr>
    </w:tbl>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p>
    <w:p>
      <w:pPr>
        <w:numPr>
          <w:ilvl w:val="0"/>
          <w:numId w:val="0"/>
        </w:numPr>
        <w:spacing w:line="360" w:lineRule="auto"/>
        <w:rPr>
          <w:rFonts w:hint="eastAsia"/>
          <w:color w:val="000000"/>
          <w:szCs w:val="18"/>
          <w:lang w:val="en-US" w:eastAsia="zh-CN"/>
        </w:rPr>
      </w:pPr>
      <w:r>
        <w:rPr>
          <w:rFonts w:hint="eastAsia" w:ascii="宋体" w:hAnsi="宋体" w:cs="宋体"/>
          <w:sz w:val="21"/>
          <w:szCs w:val="21"/>
          <w:lang w:val="en-US" w:eastAsia="zh-CN"/>
        </w:rPr>
        <w:t>4.4.3</w:t>
      </w:r>
      <w:r>
        <w:rPr>
          <w:rFonts w:hint="eastAsia" w:ascii="宋体" w:hAnsi="宋体" w:eastAsia="宋体" w:cs="宋体"/>
          <w:sz w:val="21"/>
          <w:szCs w:val="21"/>
          <w:lang w:val="en-US" w:eastAsia="zh-CN"/>
        </w:rPr>
        <w:t>增加了导电横梁的化学成分</w:t>
      </w:r>
      <w:r>
        <w:rPr>
          <w:rFonts w:hint="eastAsia" w:ascii="宋体" w:hAnsi="宋体" w:cs="宋体"/>
          <w:sz w:val="21"/>
          <w:szCs w:val="21"/>
          <w:lang w:val="en-US" w:eastAsia="zh-CN"/>
        </w:rPr>
        <w:t>应该符合</w:t>
      </w:r>
      <w:r>
        <w:rPr>
          <w:rFonts w:hint="eastAsia" w:ascii="宋体" w:hAnsi="宋体" w:eastAsia="宋体" w:cs="宋体"/>
          <w:sz w:val="21"/>
          <w:szCs w:val="21"/>
          <w:lang w:val="en-US" w:eastAsia="zh-CN"/>
        </w:rPr>
        <w:t>范围和测定方法</w:t>
      </w:r>
      <w:r>
        <w:rPr>
          <w:rFonts w:hint="eastAsia"/>
          <w:lang w:val="en-US" w:eastAsia="zh-CN"/>
        </w:rPr>
        <w:t>的规定</w:t>
      </w:r>
    </w:p>
    <w:p>
      <w:pPr>
        <w:pStyle w:val="10"/>
        <w:ind w:firstLine="0" w:firstLineChars="0"/>
        <w:jc w:val="center"/>
        <w:rPr>
          <w:rFonts w:hint="eastAsia" w:ascii="黑体" w:hAnsi="黑体" w:eastAsia="黑体"/>
        </w:rPr>
      </w:pPr>
      <w:r>
        <w:rPr>
          <w:rFonts w:hint="eastAsia" w:ascii="黑体" w:hAnsi="黑体" w:eastAsia="黑体"/>
        </w:rPr>
        <w:t>表</w:t>
      </w:r>
      <w:r>
        <w:rPr>
          <w:rFonts w:hint="eastAsia" w:ascii="黑体" w:hAnsi="黑体" w:eastAsia="黑体"/>
          <w:lang w:val="en-US" w:eastAsia="zh-CN"/>
        </w:rPr>
        <w:t>4</w:t>
      </w:r>
      <w:r>
        <w:rPr>
          <w:rFonts w:hint="eastAsia" w:ascii="黑体" w:hAnsi="黑体" w:eastAsia="黑体"/>
        </w:rPr>
        <w:t xml:space="preserve"> 导电横梁的化学成分</w:t>
      </w:r>
    </w:p>
    <w:tbl>
      <w:tblPr>
        <w:tblStyle w:val="4"/>
        <w:tblW w:w="4541" w:type="pct"/>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3"/>
        <w:gridCol w:w="908"/>
        <w:gridCol w:w="2842"/>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6" w:type="pct"/>
            <w:gridSpan w:val="2"/>
            <w:noWrap w:val="0"/>
            <w:vAlign w:val="center"/>
          </w:tcPr>
          <w:p>
            <w:pPr>
              <w:jc w:val="center"/>
              <w:rPr>
                <w:rFonts w:hint="eastAsia" w:ascii="宋体" w:hAnsi="宋体"/>
                <w:sz w:val="18"/>
              </w:rPr>
            </w:pPr>
            <w:r>
              <w:rPr>
                <w:rFonts w:hint="eastAsia" w:ascii="宋体" w:hAnsi="宋体"/>
                <w:sz w:val="18"/>
              </w:rPr>
              <w:t>阳极板部件</w:t>
            </w:r>
          </w:p>
        </w:tc>
        <w:tc>
          <w:tcPr>
            <w:tcW w:w="1835" w:type="pct"/>
            <w:noWrap w:val="0"/>
            <w:vAlign w:val="center"/>
          </w:tcPr>
          <w:p>
            <w:pPr>
              <w:jc w:val="center"/>
              <w:rPr>
                <w:rFonts w:hint="eastAsia" w:ascii="宋体" w:hAnsi="宋体"/>
                <w:sz w:val="18"/>
              </w:rPr>
            </w:pPr>
            <w:r>
              <w:rPr>
                <w:rFonts w:hint="eastAsia" w:ascii="宋体" w:hAnsi="宋体"/>
                <w:sz w:val="18"/>
              </w:rPr>
              <w:t>材质</w:t>
            </w:r>
          </w:p>
        </w:tc>
        <w:tc>
          <w:tcPr>
            <w:tcW w:w="1587" w:type="pct"/>
            <w:noWrap w:val="0"/>
            <w:vAlign w:val="center"/>
          </w:tcPr>
          <w:p>
            <w:pPr>
              <w:jc w:val="center"/>
              <w:rPr>
                <w:rFonts w:hint="eastAsia" w:ascii="宋体" w:hAnsi="宋体"/>
                <w:sz w:val="18"/>
              </w:rPr>
            </w:pPr>
            <w:r>
              <w:rPr>
                <w:rFonts w:hint="eastAsia" w:ascii="宋体" w:hAnsi="宋体"/>
                <w:sz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989" w:type="pct"/>
            <w:vMerge w:val="restart"/>
            <w:tcBorders>
              <w:right w:val="single" w:color="auto" w:sz="4" w:space="0"/>
            </w:tcBorders>
            <w:noWrap w:val="0"/>
            <w:vAlign w:val="center"/>
          </w:tcPr>
          <w:p>
            <w:pPr>
              <w:jc w:val="center"/>
              <w:rPr>
                <w:rFonts w:hint="eastAsia" w:ascii="宋体" w:hAnsi="宋体"/>
                <w:sz w:val="18"/>
              </w:rPr>
            </w:pPr>
            <w:r>
              <w:rPr>
                <w:rFonts w:hint="eastAsia" w:ascii="宋体" w:hAnsi="宋体"/>
                <w:sz w:val="18"/>
              </w:rPr>
              <w:t>导电横梁</w:t>
            </w:r>
          </w:p>
        </w:tc>
        <w:tc>
          <w:tcPr>
            <w:tcW w:w="586" w:type="pct"/>
            <w:tcBorders>
              <w:left w:val="single" w:color="auto" w:sz="4" w:space="0"/>
              <w:bottom w:val="single" w:color="auto" w:sz="4" w:space="0"/>
            </w:tcBorders>
            <w:noWrap w:val="0"/>
            <w:vAlign w:val="center"/>
          </w:tcPr>
          <w:p>
            <w:pPr>
              <w:jc w:val="center"/>
              <w:rPr>
                <w:rFonts w:hint="eastAsia" w:ascii="宋体" w:hAnsi="宋体"/>
                <w:sz w:val="18"/>
              </w:rPr>
            </w:pPr>
            <w:r>
              <w:rPr>
                <w:rFonts w:hint="eastAsia" w:ascii="宋体" w:hAnsi="宋体"/>
                <w:sz w:val="18"/>
              </w:rPr>
              <w:t>内芯</w:t>
            </w:r>
          </w:p>
        </w:tc>
        <w:tc>
          <w:tcPr>
            <w:tcW w:w="1835" w:type="pct"/>
            <w:tcBorders>
              <w:bottom w:val="single" w:color="auto" w:sz="4" w:space="0"/>
            </w:tcBorders>
            <w:noWrap w:val="0"/>
            <w:vAlign w:val="center"/>
          </w:tcPr>
          <w:p>
            <w:pPr>
              <w:jc w:val="center"/>
              <w:rPr>
                <w:rFonts w:hint="eastAsia" w:ascii="宋体" w:hAnsi="宋体"/>
                <w:sz w:val="18"/>
              </w:rPr>
            </w:pPr>
            <w:r>
              <w:rPr>
                <w:rFonts w:hint="eastAsia" w:ascii="宋体" w:hAnsi="宋体"/>
                <w:sz w:val="18"/>
              </w:rPr>
              <w:t>T2紫铜材</w:t>
            </w:r>
          </w:p>
        </w:tc>
        <w:tc>
          <w:tcPr>
            <w:tcW w:w="1587" w:type="pct"/>
            <w:tcBorders>
              <w:bottom w:val="single" w:color="auto" w:sz="4" w:space="0"/>
            </w:tcBorders>
            <w:noWrap w:val="0"/>
            <w:vAlign w:val="center"/>
          </w:tcPr>
          <w:p>
            <w:pPr>
              <w:jc w:val="center"/>
              <w:rPr>
                <w:rFonts w:hint="eastAsia" w:ascii="宋体" w:hAnsi="宋体"/>
                <w:sz w:val="18"/>
              </w:rPr>
            </w:pPr>
            <w:r>
              <w:rPr>
                <w:rFonts w:hint="eastAsia" w:ascii="宋体" w:hAnsi="宋体"/>
                <w:sz w:val="18"/>
              </w:rPr>
              <w:t>GB/T 5231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89" w:type="pct"/>
            <w:vMerge w:val="continue"/>
            <w:tcBorders>
              <w:right w:val="single" w:color="auto" w:sz="4" w:space="0"/>
            </w:tcBorders>
            <w:noWrap w:val="0"/>
            <w:vAlign w:val="center"/>
          </w:tcPr>
          <w:p>
            <w:pPr>
              <w:jc w:val="center"/>
              <w:rPr>
                <w:rFonts w:hint="eastAsia" w:ascii="宋体" w:hAnsi="宋体"/>
                <w:sz w:val="18"/>
              </w:rPr>
            </w:pPr>
          </w:p>
        </w:tc>
        <w:tc>
          <w:tcPr>
            <w:tcW w:w="586" w:type="pct"/>
            <w:tcBorders>
              <w:top w:val="single" w:color="auto" w:sz="4" w:space="0"/>
              <w:left w:val="single" w:color="auto" w:sz="4" w:space="0"/>
            </w:tcBorders>
            <w:noWrap w:val="0"/>
            <w:vAlign w:val="center"/>
          </w:tcPr>
          <w:p>
            <w:pPr>
              <w:jc w:val="center"/>
              <w:rPr>
                <w:rFonts w:hint="eastAsia" w:ascii="宋体" w:hAnsi="宋体"/>
                <w:sz w:val="18"/>
              </w:rPr>
            </w:pPr>
            <w:r>
              <w:rPr>
                <w:rFonts w:hint="eastAsia" w:ascii="宋体" w:hAnsi="宋体"/>
                <w:sz w:val="18"/>
              </w:rPr>
              <w:t>外层</w:t>
            </w:r>
          </w:p>
        </w:tc>
        <w:tc>
          <w:tcPr>
            <w:tcW w:w="1835" w:type="pct"/>
            <w:tcBorders>
              <w:top w:val="single" w:color="auto" w:sz="4" w:space="0"/>
            </w:tcBorders>
            <w:noWrap w:val="0"/>
            <w:vAlign w:val="center"/>
          </w:tcPr>
          <w:p>
            <w:pPr>
              <w:jc w:val="center"/>
              <w:rPr>
                <w:rFonts w:hint="eastAsia" w:ascii="宋体" w:hAnsi="宋体"/>
                <w:sz w:val="18"/>
              </w:rPr>
            </w:pPr>
            <w:r>
              <w:rPr>
                <w:rFonts w:hint="eastAsia" w:ascii="宋体" w:hAnsi="宋体"/>
                <w:sz w:val="18"/>
              </w:rPr>
              <w:t>铅合金</w:t>
            </w:r>
          </w:p>
        </w:tc>
        <w:tc>
          <w:tcPr>
            <w:tcW w:w="1587" w:type="pct"/>
            <w:tcBorders>
              <w:top w:val="single" w:color="auto" w:sz="4" w:space="0"/>
            </w:tcBorders>
            <w:noWrap w:val="0"/>
            <w:vAlign w:val="center"/>
          </w:tcPr>
          <w:p>
            <w:pPr>
              <w:jc w:val="center"/>
              <w:rPr>
                <w:rFonts w:hint="eastAsia" w:ascii="宋体" w:hAnsi="宋体"/>
                <w:sz w:val="18"/>
              </w:rPr>
            </w:pPr>
            <w:r>
              <w:rPr>
                <w:rFonts w:hint="eastAsia" w:ascii="宋体" w:hAnsi="宋体"/>
                <w:sz w:val="18"/>
              </w:rPr>
              <w:t>应符合表2规定</w:t>
            </w:r>
          </w:p>
        </w:tc>
      </w:tr>
    </w:tbl>
    <w:p>
      <w:pPr>
        <w:numPr>
          <w:ilvl w:val="0"/>
          <w:numId w:val="0"/>
        </w:numPr>
        <w:spacing w:line="360" w:lineRule="auto"/>
        <w:rPr>
          <w:rFonts w:hint="eastAsia" w:ascii="宋体" w:hAnsi="宋体" w:cs="宋体"/>
          <w:b/>
          <w:bCs/>
          <w:color w:val="000000"/>
          <w:lang w:val="en-US" w:eastAsia="zh-CN"/>
        </w:rPr>
      </w:pPr>
    </w:p>
    <w:p>
      <w:pPr>
        <w:numPr>
          <w:ilvl w:val="0"/>
          <w:numId w:val="0"/>
        </w:numPr>
        <w:spacing w:line="360" w:lineRule="auto"/>
        <w:ind w:leftChars="0" w:firstLine="422" w:firstLineChars="200"/>
        <w:rPr>
          <w:rFonts w:hint="eastAsia" w:ascii="宋体" w:hAnsi="宋体" w:eastAsia="宋体" w:cs="宋体"/>
          <w:color w:val="auto"/>
          <w:sz w:val="21"/>
          <w:szCs w:val="21"/>
          <w:lang w:val="en-US" w:eastAsia="zh-CN"/>
        </w:rPr>
      </w:pPr>
      <w:r>
        <w:rPr>
          <w:rFonts w:hint="eastAsia" w:ascii="宋体" w:hAnsi="宋体" w:cs="宋体"/>
          <w:b/>
          <w:bCs/>
          <w:color w:val="000000"/>
          <w:lang w:val="en-US" w:eastAsia="zh-CN"/>
        </w:rPr>
        <w:t xml:space="preserve">4.4.4 </w:t>
      </w:r>
      <w:r>
        <w:rPr>
          <w:rFonts w:hint="eastAsia" w:ascii="宋体" w:hAnsi="宋体" w:eastAsia="宋体" w:cs="宋体"/>
          <w:b w:val="0"/>
          <w:bCs w:val="0"/>
          <w:color w:val="auto"/>
          <w:sz w:val="21"/>
          <w:szCs w:val="21"/>
          <w:highlight w:val="none"/>
          <w:lang w:val="en-US" w:eastAsia="zh-CN"/>
        </w:rPr>
        <w:t>修改了规格尺寸允许偏差</w:t>
      </w:r>
      <w:r>
        <w:rPr>
          <w:rFonts w:hint="eastAsia" w:ascii="宋体" w:hAnsi="宋体" w:eastAsia="宋体" w:cs="宋体"/>
          <w:color w:val="auto"/>
          <w:sz w:val="21"/>
          <w:szCs w:val="21"/>
          <w:lang w:val="en-US" w:eastAsia="zh-CN"/>
        </w:rPr>
        <w:t>应符合表5规定</w:t>
      </w:r>
    </w:p>
    <w:p>
      <w:pPr>
        <w:spacing w:line="240" w:lineRule="atLeast"/>
        <w:ind w:firstLine="0" w:firstLineChars="0"/>
        <w:jc w:val="center"/>
        <w:rPr>
          <w:rFonts w:hint="eastAsia"/>
          <w:color w:val="FF0000"/>
        </w:rPr>
      </w:pPr>
      <w:r>
        <w:rPr>
          <w:rFonts w:hint="eastAsia" w:ascii="黑体" w:hAnsi="宋体" w:eastAsia="黑体"/>
          <w:szCs w:val="20"/>
        </w:rPr>
        <w:t>表</w:t>
      </w:r>
      <w:r>
        <w:rPr>
          <w:rFonts w:hint="eastAsia" w:ascii="黑体" w:hAnsi="宋体" w:eastAsia="黑体"/>
          <w:szCs w:val="20"/>
          <w:lang w:val="en-US" w:eastAsia="zh-CN"/>
        </w:rPr>
        <w:t>5</w:t>
      </w:r>
      <w:r>
        <w:rPr>
          <w:rFonts w:hint="eastAsia" w:ascii="黑体" w:hAnsi="宋体" w:eastAsia="黑体"/>
          <w:szCs w:val="20"/>
        </w:rPr>
        <w:t xml:space="preserve"> 阳极板</w:t>
      </w:r>
      <w:r>
        <w:rPr>
          <w:rFonts w:hint="eastAsia" w:ascii="黑体" w:hAnsi="宋体" w:eastAsia="黑体"/>
          <w:szCs w:val="20"/>
          <w:lang w:val="en-US" w:eastAsia="zh-CN"/>
        </w:rPr>
        <w:t>板面允许</w:t>
      </w:r>
      <w:r>
        <w:rPr>
          <w:rFonts w:hint="eastAsia" w:ascii="黑体" w:hAnsi="宋体" w:eastAsia="黑体"/>
          <w:szCs w:val="20"/>
        </w:rPr>
        <w:t>偏差    单位mm</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695"/>
        <w:gridCol w:w="215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0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厚度</w:t>
            </w:r>
          </w:p>
        </w:tc>
        <w:tc>
          <w:tcPr>
            <w:tcW w:w="59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lang w:val="en-US" w:eastAsia="zh-CN"/>
              </w:rPr>
              <w:t>尺寸</w:t>
            </w:r>
            <w:r>
              <w:rPr>
                <w:rFonts w:hint="eastAsia" w:ascii="宋体" w:hAnsi="宋体"/>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0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18"/>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宽度</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长度</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eastAsia="zh-CN"/>
              </w:rPr>
            </w:pPr>
            <w:r>
              <w:rPr>
                <w:rFonts w:hint="eastAsia" w:ascii="宋体" w:hAnsi="宋体"/>
                <w:sz w:val="18"/>
                <w:lang w:eastAsia="zh-CN"/>
              </w:rPr>
              <w:t>≤</w:t>
            </w:r>
            <w:r>
              <w:rPr>
                <w:rFonts w:hint="eastAsia" w:ascii="宋体" w:hAnsi="宋体"/>
                <w:sz w:val="18"/>
              </w:rPr>
              <w:t>8.0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2</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＞8.0~10.0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2</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rPr>
              <w:t>＞10.0~15.0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18"/>
                <w:lang w:val="en-US" w:eastAsia="zh-CN"/>
              </w:rPr>
            </w:pPr>
            <w:r>
              <w:rPr>
                <w:rFonts w:hint="eastAsia" w:ascii="宋体" w:hAnsi="宋体"/>
                <w:sz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rPr>
            </w:pPr>
            <w:r>
              <w:rPr>
                <w:rFonts w:hint="eastAsia" w:ascii="宋体" w:hAnsi="宋体"/>
                <w:sz w:val="18"/>
                <w:lang w:eastAsia="zh-CN"/>
              </w:rPr>
              <w:t>≥</w:t>
            </w:r>
            <w:r>
              <w:rPr>
                <w:rFonts w:hint="eastAsia" w:ascii="宋体" w:hAnsi="宋体"/>
                <w:sz w:val="18"/>
              </w:rPr>
              <w:t>15.0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3</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lang w:val="en-US" w:eastAsia="zh-CN"/>
              </w:rPr>
            </w:pPr>
            <w:r>
              <w:rPr>
                <w:rFonts w:hint="eastAsia" w:ascii="宋体" w:hAnsi="宋体"/>
                <w:sz w:val="18"/>
                <w:lang w:val="en-US" w:eastAsia="zh-CN"/>
              </w:rPr>
              <w:t>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18"/>
                <w:lang w:val="en-US" w:eastAsia="zh-CN"/>
              </w:rPr>
            </w:pPr>
            <w:r>
              <w:rPr>
                <w:rFonts w:hint="eastAsia" w:ascii="宋体" w:hAnsi="宋体"/>
                <w:sz w:val="18"/>
                <w:lang w:val="en-US" w:eastAsia="zh-CN"/>
              </w:rPr>
              <w:t>10</w:t>
            </w:r>
          </w:p>
        </w:tc>
      </w:tr>
    </w:tbl>
    <w:p>
      <w:pPr>
        <w:numPr>
          <w:ilvl w:val="0"/>
          <w:numId w:val="0"/>
        </w:numPr>
        <w:spacing w:line="360" w:lineRule="auto"/>
        <w:ind w:leftChars="0" w:firstLine="420" w:firstLineChars="200"/>
        <w:rPr>
          <w:rFonts w:hint="eastAsia" w:hAnsi="宋体" w:cs="宋体"/>
          <w:sz w:val="21"/>
          <w:szCs w:val="21"/>
          <w:lang w:val="en-US" w:eastAsia="zh-CN"/>
        </w:rPr>
      </w:pPr>
    </w:p>
    <w:p>
      <w:pPr>
        <w:pStyle w:val="2"/>
        <w:rPr>
          <w:rFonts w:hint="eastAsia"/>
          <w:sz w:val="21"/>
          <w:szCs w:val="21"/>
          <w:lang w:eastAsia="zh-CN"/>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 xml:space="preserve">4.4.5 </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原标准没有明确导电横梁的检测规定，增加了导电横梁的导电性能</w:t>
      </w:r>
      <w:r>
        <w:rPr>
          <w:rFonts w:hint="eastAsia" w:ascii="宋体" w:hAnsi="宋体" w:eastAsia="宋体" w:cs="宋体"/>
          <w:b w:val="0"/>
          <w:bCs w:val="0"/>
          <w:color w:val="000000" w:themeColor="text1"/>
          <w:sz w:val="21"/>
          <w:szCs w:val="21"/>
          <w:highlight w:val="none"/>
          <w14:textFill>
            <w14:solidFill>
              <w14:schemeClr w14:val="tx1"/>
            </w14:solidFill>
          </w14:textFill>
        </w:rPr>
        <w:t>应符合规定</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范围</w:t>
      </w:r>
    </w:p>
    <w:p>
      <w:pPr>
        <w:spacing w:before="156" w:beforeLines="50" w:line="240" w:lineRule="atLeast"/>
        <w:jc w:val="center"/>
        <w:rPr>
          <w:rFonts w:hint="eastAsia" w:ascii="黑体" w:hAnsi="宋体" w:eastAsia="黑体"/>
          <w:szCs w:val="20"/>
        </w:rPr>
      </w:pPr>
      <w:r>
        <w:rPr>
          <w:rFonts w:hint="eastAsia" w:ascii="黑体" w:hAnsi="宋体" w:eastAsia="黑体"/>
          <w:szCs w:val="20"/>
        </w:rPr>
        <w:t>表</w:t>
      </w:r>
      <w:r>
        <w:rPr>
          <w:rFonts w:hint="eastAsia" w:ascii="黑体" w:hAnsi="宋体" w:eastAsia="黑体"/>
          <w:szCs w:val="20"/>
          <w:lang w:val="en-US" w:eastAsia="zh-CN"/>
        </w:rPr>
        <w:t>8</w:t>
      </w:r>
      <w:r>
        <w:rPr>
          <w:rFonts w:hint="eastAsia" w:ascii="黑体" w:hAnsi="宋体" w:eastAsia="黑体"/>
          <w:szCs w:val="20"/>
        </w:rPr>
        <w:t xml:space="preserve"> 导电横梁导电性能</w:t>
      </w:r>
    </w:p>
    <w:tbl>
      <w:tblPr>
        <w:tblStyle w:val="4"/>
        <w:tblW w:w="467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281"/>
        <w:gridCol w:w="2551"/>
        <w:gridCol w:w="2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pct"/>
            <w:noWrap w:val="0"/>
            <w:vAlign w:val="center"/>
          </w:tcPr>
          <w:p>
            <w:pPr>
              <w:jc w:val="center"/>
              <w:rPr>
                <w:sz w:val="18"/>
              </w:rPr>
            </w:pPr>
            <w:r>
              <w:rPr>
                <w:sz w:val="18"/>
              </w:rPr>
              <w:t>牌号</w:t>
            </w:r>
          </w:p>
        </w:tc>
        <w:tc>
          <w:tcPr>
            <w:tcW w:w="1430" w:type="pct"/>
            <w:noWrap w:val="0"/>
            <w:vAlign w:val="center"/>
          </w:tcPr>
          <w:p>
            <w:pPr>
              <w:jc w:val="center"/>
              <w:rPr>
                <w:sz w:val="18"/>
              </w:rPr>
            </w:pPr>
            <w:r>
              <w:rPr>
                <w:sz w:val="18"/>
              </w:rPr>
              <w:t>20</w:t>
            </w:r>
            <w:r>
              <w:rPr>
                <w:rFonts w:hAnsi="宋体"/>
                <w:sz w:val="18"/>
              </w:rPr>
              <w:t>℃</w:t>
            </w:r>
            <w:r>
              <w:rPr>
                <w:sz w:val="18"/>
              </w:rPr>
              <w:t xml:space="preserve">的导电率(%IACS) </w:t>
            </w:r>
          </w:p>
        </w:tc>
        <w:tc>
          <w:tcPr>
            <w:tcW w:w="1600" w:type="pct"/>
            <w:noWrap w:val="0"/>
            <w:vAlign w:val="center"/>
          </w:tcPr>
          <w:p>
            <w:pPr>
              <w:jc w:val="center"/>
              <w:rPr>
                <w:sz w:val="18"/>
              </w:rPr>
            </w:pPr>
            <w:r>
              <w:rPr>
                <w:sz w:val="18"/>
              </w:rPr>
              <w:t>20</w:t>
            </w:r>
            <w:r>
              <w:rPr>
                <w:rFonts w:hAnsi="宋体"/>
                <w:sz w:val="18"/>
              </w:rPr>
              <w:t>℃</w:t>
            </w:r>
            <w:r>
              <w:rPr>
                <w:sz w:val="18"/>
              </w:rPr>
              <w:t xml:space="preserve">电导率(MS/m) </w:t>
            </w:r>
          </w:p>
        </w:tc>
        <w:tc>
          <w:tcPr>
            <w:tcW w:w="1311" w:type="pct"/>
            <w:noWrap w:val="0"/>
            <w:vAlign w:val="center"/>
          </w:tcPr>
          <w:p>
            <w:pPr>
              <w:jc w:val="center"/>
              <w:rPr>
                <w:sz w:val="18"/>
              </w:rPr>
            </w:pPr>
            <w:r>
              <w:rPr>
                <w:sz w:val="18"/>
              </w:rPr>
              <w:t>电阻系数(Ω·mm</w:t>
            </w:r>
            <w:r>
              <w:rPr>
                <w:sz w:val="18"/>
                <w:vertAlign w:val="superscript"/>
              </w:rPr>
              <w:t>2</w:t>
            </w:r>
            <w:r>
              <w:rPr>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pct"/>
            <w:noWrap w:val="0"/>
            <w:vAlign w:val="center"/>
          </w:tcPr>
          <w:p>
            <w:pPr>
              <w:jc w:val="center"/>
              <w:rPr>
                <w:sz w:val="18"/>
              </w:rPr>
            </w:pPr>
            <w:r>
              <w:rPr>
                <w:sz w:val="18"/>
              </w:rPr>
              <w:t>T2</w:t>
            </w:r>
          </w:p>
        </w:tc>
        <w:tc>
          <w:tcPr>
            <w:tcW w:w="1430" w:type="pct"/>
            <w:noWrap w:val="0"/>
            <w:vAlign w:val="center"/>
          </w:tcPr>
          <w:p>
            <w:pPr>
              <w:jc w:val="center"/>
              <w:rPr>
                <w:sz w:val="18"/>
              </w:rPr>
            </w:pPr>
            <w:r>
              <w:rPr>
                <w:rFonts w:hint="eastAsia" w:ascii="Arial" w:hAnsi="宋体" w:cs="Arial"/>
                <w:sz w:val="18"/>
              </w:rPr>
              <w:t>≥</w:t>
            </w:r>
            <w:r>
              <w:rPr>
                <w:sz w:val="18"/>
              </w:rPr>
              <w:t>96</w:t>
            </w:r>
          </w:p>
        </w:tc>
        <w:tc>
          <w:tcPr>
            <w:tcW w:w="1600" w:type="pct"/>
            <w:noWrap w:val="0"/>
            <w:vAlign w:val="center"/>
          </w:tcPr>
          <w:p>
            <w:pPr>
              <w:jc w:val="center"/>
              <w:rPr>
                <w:sz w:val="18"/>
              </w:rPr>
            </w:pPr>
            <w:r>
              <w:rPr>
                <w:rFonts w:hint="eastAsia" w:ascii="Arial" w:hAnsi="宋体" w:cs="Arial"/>
                <w:sz w:val="18"/>
              </w:rPr>
              <w:t>≥</w:t>
            </w:r>
            <w:r>
              <w:rPr>
                <w:sz w:val="18"/>
              </w:rPr>
              <w:t>55.68</w:t>
            </w:r>
          </w:p>
        </w:tc>
        <w:tc>
          <w:tcPr>
            <w:tcW w:w="1311" w:type="pct"/>
            <w:noWrap w:val="0"/>
            <w:vAlign w:val="center"/>
          </w:tcPr>
          <w:p>
            <w:pPr>
              <w:jc w:val="center"/>
              <w:rPr>
                <w:sz w:val="18"/>
              </w:rPr>
            </w:pPr>
            <w:r>
              <w:rPr>
                <w:rFonts w:hint="eastAsia"/>
                <w:sz w:val="18"/>
              </w:rPr>
              <w:t>≤</w:t>
            </w:r>
            <w:r>
              <w:rPr>
                <w:sz w:val="18"/>
              </w:rPr>
              <w:t>0.017959</w:t>
            </w:r>
          </w:p>
        </w:tc>
      </w:tr>
    </w:tbl>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r>
        <w:rPr>
          <w:rFonts w:hint="eastAsia" w:hAnsi="宋体" w:cs="宋体"/>
          <w:b/>
          <w:bCs/>
          <w:sz w:val="21"/>
          <w:szCs w:val="21"/>
          <w:lang w:val="en-US" w:eastAsia="zh-CN"/>
        </w:rPr>
        <w:t xml:space="preserve">  </w:t>
      </w:r>
    </w:p>
    <w:p>
      <w:pPr>
        <w:pStyle w:val="10"/>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hAnsi="宋体" w:cs="宋体"/>
          <w:b/>
          <w:bCs/>
          <w:sz w:val="21"/>
          <w:szCs w:val="21"/>
          <w:lang w:val="en-US" w:eastAsia="zh-CN"/>
        </w:rPr>
      </w:pPr>
      <w:r>
        <w:rPr>
          <w:rFonts w:hint="eastAsia" w:hAnsi="宋体" w:cs="宋体"/>
          <w:b/>
          <w:bCs/>
          <w:sz w:val="21"/>
          <w:szCs w:val="21"/>
          <w:lang w:val="en-US" w:eastAsia="zh-CN"/>
        </w:rPr>
        <w:t xml:space="preserve"> 4.4.6 阳极板外观质量增加了几何尺寸和导电横梁的二条规定，修改为：</w:t>
      </w:r>
    </w:p>
    <w:p>
      <w:pPr>
        <w:pStyle w:val="10"/>
        <w:keepNext w:val="0"/>
        <w:keepLines w:val="0"/>
        <w:pageBreakBefore w:val="0"/>
        <w:kinsoku/>
        <w:wordWrap/>
        <w:overflowPunct/>
        <w:topLinePunct w:val="0"/>
        <w:bidi w:val="0"/>
        <w:adjustRightInd/>
        <w:snapToGrid/>
        <w:spacing w:line="360" w:lineRule="auto"/>
        <w:ind w:left="0" w:leftChars="0" w:firstLine="630" w:firstLineChars="300"/>
        <w:textAlignment w:val="auto"/>
        <w:rPr>
          <w:rFonts w:hint="default" w:ascii="宋体" w:hAnsi="宋体" w:eastAsia="宋体" w:cs="宋体"/>
          <w:color w:val="000000"/>
          <w:lang w:val="en-US"/>
        </w:rPr>
      </w:pPr>
      <w:r>
        <w:rPr>
          <w:rFonts w:hint="eastAsia" w:hAnsi="宋体" w:eastAsia="宋体" w:cs="宋体"/>
          <w:color w:val="000000"/>
          <w:lang w:val="en-US" w:eastAsia="zh-CN"/>
        </w:rPr>
        <w:t>阳极板</w:t>
      </w:r>
      <w:r>
        <w:rPr>
          <w:rFonts w:hint="eastAsia" w:ascii="宋体" w:hAnsi="宋体" w:eastAsia="宋体" w:cs="宋体"/>
          <w:color w:val="000000"/>
        </w:rPr>
        <w:t>的几何尺寸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应符合</w:t>
      </w:r>
      <w:r>
        <w:rPr>
          <w:rFonts w:hint="eastAsia" w:hAnsi="宋体" w:eastAsia="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要求的规定。</w:t>
      </w:r>
    </w:p>
    <w:p>
      <w:pPr>
        <w:pStyle w:val="10"/>
        <w:spacing w:line="360" w:lineRule="auto"/>
        <w:ind w:firstLine="630" w:firstLineChars="300"/>
        <w:rPr>
          <w:rFonts w:hint="eastAsia" w:hAnsi="宋体" w:cs="宋体"/>
          <w:b/>
          <w:bCs/>
          <w:sz w:val="21"/>
          <w:szCs w:val="21"/>
          <w:lang w:val="en-US" w:eastAsia="zh-CN"/>
        </w:rPr>
      </w:pPr>
      <w:r>
        <w:rPr>
          <w:rFonts w:hint="eastAsia"/>
          <w:color w:val="auto"/>
        </w:rPr>
        <w:t>导电横梁应光滑、平整、无飞边毛刺，无气孔和夹杂物、无裂纹或断裂。</w:t>
      </w:r>
      <w:r>
        <w:rPr>
          <w:rFonts w:hint="eastAsia" w:hAnsi="宋体" w:cs="宋体"/>
          <w:b/>
          <w:bCs/>
          <w:sz w:val="21"/>
          <w:szCs w:val="21"/>
          <w:lang w:val="en-US" w:eastAsia="zh-CN"/>
        </w:rPr>
        <w:t xml:space="preserve">    </w:t>
      </w:r>
    </w:p>
    <w:p>
      <w:pPr>
        <w:pStyle w:val="10"/>
        <w:spacing w:line="360" w:lineRule="auto"/>
        <w:ind w:left="0" w:leftChars="0" w:firstLine="0" w:firstLineChars="0"/>
        <w:rPr>
          <w:rFonts w:hint="default" w:hAnsi="宋体" w:cs="宋体"/>
          <w:b/>
          <w:bCs/>
          <w:sz w:val="21"/>
          <w:szCs w:val="21"/>
          <w:lang w:val="en-US" w:eastAsia="zh-CN"/>
        </w:rPr>
      </w:pPr>
      <w:r>
        <w:rPr>
          <w:rFonts w:hint="eastAsia" w:hAnsi="宋体" w:cs="宋体"/>
          <w:b/>
          <w:bCs/>
          <w:sz w:val="21"/>
          <w:szCs w:val="21"/>
          <w:lang w:val="en-US" w:eastAsia="zh-CN"/>
        </w:rPr>
        <w:t xml:space="preserve">4.4.7 </w:t>
      </w:r>
      <w:r>
        <w:rPr>
          <w:rFonts w:hint="eastAsia" w:ascii="宋体" w:hAnsi="宋体" w:cs="宋体"/>
          <w:b w:val="0"/>
          <w:bCs w:val="0"/>
          <w:color w:val="auto"/>
          <w:sz w:val="21"/>
          <w:szCs w:val="21"/>
          <w:highlight w:val="none"/>
          <w:lang w:val="en-US" w:eastAsia="zh-CN"/>
        </w:rPr>
        <w:t>增加了取样规定的“导电性能”项目</w:t>
      </w:r>
    </w:p>
    <w:p>
      <w:pPr>
        <w:spacing w:before="156" w:beforeLines="50" w:after="156" w:afterLines="50" w:line="360" w:lineRule="auto"/>
        <w:rPr>
          <w:rFonts w:hint="eastAsia"/>
          <w:lang w:eastAsia="zh-CN"/>
        </w:rPr>
      </w:pPr>
      <w:r>
        <w:rPr>
          <w:rFonts w:eastAsia="黑体"/>
          <w:b/>
          <w:bCs/>
        </w:rPr>
        <w:t>4.4  产品物理规格的确定</w:t>
      </w:r>
    </w:p>
    <w:p>
      <w:pPr>
        <w:spacing w:line="360" w:lineRule="auto"/>
        <w:jc w:val="both"/>
        <w:rPr>
          <w:rFonts w:hint="eastAsia" w:ascii="黑体" w:hAnsi="宋体" w:eastAsia="黑体"/>
          <w:szCs w:val="20"/>
        </w:rPr>
      </w:pPr>
      <w:r>
        <w:rPr>
          <w:rFonts w:hint="eastAsia" w:ascii="宋体" w:hAnsi="宋体" w:cs="宋体"/>
          <w:b/>
          <w:bCs/>
          <w:sz w:val="21"/>
          <w:szCs w:val="21"/>
          <w:lang w:val="en-US" w:eastAsia="zh-CN"/>
        </w:rPr>
        <w:t>4.4.1</w:t>
      </w:r>
      <w:r>
        <w:rPr>
          <w:rFonts w:hint="eastAsia" w:ascii="宋体" w:hAnsi="宋体" w:eastAsia="宋体" w:cs="宋体"/>
          <w:sz w:val="21"/>
          <w:szCs w:val="21"/>
          <w:lang w:val="en-US" w:eastAsia="zh-CN"/>
        </w:rPr>
        <w:t>增加了</w:t>
      </w:r>
      <w:r>
        <w:rPr>
          <w:rFonts w:hint="eastAsia" w:hAnsi="宋体" w:eastAsia="宋体" w:cs="宋体"/>
          <w:b w:val="0"/>
          <w:bCs w:val="0"/>
          <w:color w:val="000000"/>
          <w:lang w:val="en-US" w:eastAsia="zh-CN"/>
        </w:rPr>
        <w:t>导电</w:t>
      </w:r>
      <w:r>
        <w:rPr>
          <w:rFonts w:hint="eastAsia" w:hAnsi="宋体" w:eastAsia="宋体" w:cs="宋体"/>
          <w:color w:val="000000"/>
          <w:lang w:val="en-US" w:eastAsia="zh-CN"/>
        </w:rPr>
        <w:t>横梁的尺寸由供需双方协定，其允许</w:t>
      </w:r>
      <w:r>
        <w:rPr>
          <w:rFonts w:hint="eastAsia"/>
        </w:rPr>
        <w:t>尺寸偏差应符合表5规定。</w:t>
      </w:r>
      <w:r>
        <w:rPr>
          <w:rFonts w:hint="eastAsia" w:ascii="黑体" w:hAnsi="宋体" w:eastAsia="黑体"/>
          <w:szCs w:val="20"/>
        </w:rPr>
        <w:t xml:space="preserve">     </w:t>
      </w:r>
    </w:p>
    <w:p>
      <w:pPr>
        <w:spacing w:line="360" w:lineRule="auto"/>
        <w:jc w:val="center"/>
        <w:rPr>
          <w:rFonts w:hint="eastAsia" w:ascii="黑体" w:hAnsi="宋体" w:eastAsia="黑体"/>
          <w:szCs w:val="20"/>
        </w:rPr>
      </w:pPr>
      <w:r>
        <w:rPr>
          <w:rFonts w:hint="eastAsia" w:ascii="黑体" w:hAnsi="宋体" w:eastAsia="黑体"/>
          <w:szCs w:val="20"/>
        </w:rPr>
        <w:t xml:space="preserve">          </w:t>
      </w:r>
      <w:r>
        <w:rPr>
          <w:rFonts w:hint="eastAsia" w:ascii="宋体" w:hAnsi="宋体" w:eastAsia="宋体" w:cs="宋体"/>
          <w:szCs w:val="20"/>
        </w:rPr>
        <w:t>表</w:t>
      </w:r>
      <w:r>
        <w:rPr>
          <w:rFonts w:hint="eastAsia" w:ascii="宋体" w:hAnsi="宋体" w:cs="宋体"/>
          <w:szCs w:val="20"/>
          <w:lang w:val="en-US" w:eastAsia="zh-CN"/>
        </w:rPr>
        <w:t>6</w:t>
      </w:r>
      <w:r>
        <w:rPr>
          <w:rFonts w:hint="eastAsia" w:ascii="宋体" w:hAnsi="宋体" w:eastAsia="宋体" w:cs="宋体"/>
          <w:szCs w:val="20"/>
          <w:lang w:val="en-US" w:eastAsia="zh-CN"/>
        </w:rPr>
        <w:t>导电横梁</w:t>
      </w:r>
      <w:r>
        <w:rPr>
          <w:rFonts w:hint="eastAsia" w:ascii="宋体" w:hAnsi="宋体" w:eastAsia="宋体" w:cs="宋体"/>
          <w:szCs w:val="20"/>
        </w:rPr>
        <w:t>尺寸允许偏差        单位 mm</w:t>
      </w:r>
    </w:p>
    <w:tbl>
      <w:tblPr>
        <w:tblStyle w:val="4"/>
        <w:tblW w:w="4579" w:type="pct"/>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1736"/>
        <w:gridCol w:w="2491"/>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pct"/>
            <w:tcBorders>
              <w:right w:val="single" w:color="auto" w:sz="4" w:space="0"/>
            </w:tcBorders>
            <w:noWrap w:val="0"/>
            <w:vAlign w:val="center"/>
          </w:tcPr>
          <w:p>
            <w:pPr>
              <w:bidi w:val="0"/>
              <w:rPr>
                <w:rFonts w:hint="eastAsia"/>
              </w:rPr>
            </w:pPr>
            <w:r>
              <w:rPr>
                <w:rFonts w:hint="eastAsia"/>
              </w:rPr>
              <w:t>其他部件</w:t>
            </w:r>
          </w:p>
        </w:tc>
        <w:tc>
          <w:tcPr>
            <w:tcW w:w="1112" w:type="pct"/>
            <w:noWrap w:val="0"/>
            <w:vAlign w:val="center"/>
          </w:tcPr>
          <w:p>
            <w:pPr>
              <w:bidi w:val="0"/>
              <w:rPr>
                <w:rFonts w:hint="eastAsia"/>
              </w:rPr>
            </w:pPr>
            <w:r>
              <w:rPr>
                <w:rFonts w:hint="eastAsia"/>
              </w:rPr>
              <w:t>长度允许偏差</w:t>
            </w:r>
          </w:p>
        </w:tc>
        <w:tc>
          <w:tcPr>
            <w:tcW w:w="1596" w:type="pct"/>
            <w:noWrap w:val="0"/>
            <w:vAlign w:val="center"/>
          </w:tcPr>
          <w:p>
            <w:pPr>
              <w:bidi w:val="0"/>
              <w:rPr>
                <w:rFonts w:hint="eastAsia"/>
              </w:rPr>
            </w:pPr>
            <w:r>
              <w:rPr>
                <w:rFonts w:hint="eastAsia"/>
              </w:rPr>
              <w:t>宽度允许偏差</w:t>
            </w:r>
          </w:p>
        </w:tc>
        <w:tc>
          <w:tcPr>
            <w:tcW w:w="1368" w:type="pct"/>
            <w:noWrap w:val="0"/>
            <w:vAlign w:val="center"/>
          </w:tcPr>
          <w:p>
            <w:pPr>
              <w:bidi w:val="0"/>
              <w:rPr>
                <w:rFonts w:hint="eastAsia"/>
              </w:rPr>
            </w:pPr>
            <w:r>
              <w:rPr>
                <w:rFonts w:hint="eastAsia"/>
              </w:rPr>
              <w:t>厚度允许偏差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923" w:type="pct"/>
            <w:tcBorders>
              <w:right w:val="single" w:color="auto" w:sz="4" w:space="0"/>
            </w:tcBorders>
            <w:noWrap w:val="0"/>
            <w:vAlign w:val="center"/>
          </w:tcPr>
          <w:p>
            <w:pPr>
              <w:bidi w:val="0"/>
              <w:rPr>
                <w:rFonts w:hint="eastAsia"/>
              </w:rPr>
            </w:pPr>
            <w:r>
              <w:rPr>
                <w:rFonts w:hint="eastAsia"/>
              </w:rPr>
              <w:t>导电横梁</w:t>
            </w:r>
          </w:p>
        </w:tc>
        <w:tc>
          <w:tcPr>
            <w:tcW w:w="1112" w:type="pct"/>
            <w:noWrap w:val="0"/>
            <w:vAlign w:val="center"/>
          </w:tcPr>
          <w:p>
            <w:pPr>
              <w:bidi w:val="0"/>
              <w:rPr>
                <w:rFonts w:hint="eastAsia"/>
              </w:rPr>
            </w:pPr>
            <w:r>
              <w:rPr>
                <w:rFonts w:hint="eastAsia"/>
              </w:rPr>
              <w:t>±3.0</w:t>
            </w:r>
          </w:p>
        </w:tc>
        <w:tc>
          <w:tcPr>
            <w:tcW w:w="1596" w:type="pct"/>
            <w:noWrap w:val="0"/>
            <w:vAlign w:val="center"/>
          </w:tcPr>
          <w:p>
            <w:pPr>
              <w:bidi w:val="0"/>
              <w:rPr>
                <w:rFonts w:hint="eastAsia"/>
              </w:rPr>
            </w:pPr>
            <w:r>
              <w:rPr>
                <w:rFonts w:hint="eastAsia"/>
              </w:rPr>
              <w:t>±0.5</w:t>
            </w:r>
          </w:p>
        </w:tc>
        <w:tc>
          <w:tcPr>
            <w:tcW w:w="1368" w:type="pct"/>
            <w:noWrap w:val="0"/>
            <w:vAlign w:val="center"/>
          </w:tcPr>
          <w:p>
            <w:pPr>
              <w:bidi w:val="0"/>
              <w:rPr>
                <w:rFonts w:hint="eastAsia"/>
              </w:rPr>
            </w:pPr>
            <w:r>
              <w:rPr>
                <w:rFonts w:hint="eastAsia"/>
              </w:rPr>
              <w:t>±0.2</w:t>
            </w:r>
          </w:p>
        </w:tc>
      </w:tr>
    </w:tbl>
    <w:p>
      <w:pPr>
        <w:spacing w:before="156" w:beforeLines="50" w:after="156" w:afterLines="50" w:line="360" w:lineRule="auto"/>
        <w:rPr>
          <w:rFonts w:hint="eastAsia" w:hAnsi="宋体" w:eastAsia="宋体" w:cs="宋体"/>
          <w:color w:val="000000"/>
          <w:lang w:val="en-US" w:eastAsia="zh-CN"/>
        </w:rPr>
      </w:pPr>
      <w:r>
        <w:rPr>
          <w:rFonts w:hint="eastAsia" w:hAnsi="宋体" w:cs="宋体"/>
          <w:b/>
          <w:bCs/>
          <w:color w:val="000000"/>
          <w:lang w:val="en-US" w:eastAsia="zh-CN"/>
        </w:rPr>
        <w:t xml:space="preserve">4.4.2  </w:t>
      </w:r>
      <w:r>
        <w:rPr>
          <w:rFonts w:hint="eastAsia" w:hAnsi="宋体" w:cs="宋体"/>
          <w:color w:val="000000"/>
          <w:lang w:val="en-US" w:eastAsia="zh-CN"/>
        </w:rPr>
        <w:t>明确外形定义，修改为</w:t>
      </w:r>
      <w:r>
        <w:rPr>
          <w:rFonts w:hint="eastAsia" w:hAnsi="宋体" w:eastAsia="宋体" w:cs="宋体"/>
          <w:color w:val="000000"/>
          <w:lang w:val="en-US" w:eastAsia="zh-CN"/>
        </w:rPr>
        <w:t>阳极板</w:t>
      </w:r>
      <w:r>
        <w:rPr>
          <w:rFonts w:hint="eastAsia" w:hAnsi="宋体" w:cs="宋体"/>
          <w:color w:val="000000"/>
          <w:lang w:val="en-US" w:eastAsia="zh-CN"/>
        </w:rPr>
        <w:t>各部件</w:t>
      </w:r>
      <w:r>
        <w:rPr>
          <w:rFonts w:hint="eastAsia" w:hAnsi="宋体" w:eastAsia="宋体" w:cs="宋体"/>
          <w:color w:val="000000"/>
          <w:lang w:val="en-US" w:eastAsia="zh-CN"/>
        </w:rPr>
        <w:t>的长、宽、高</w:t>
      </w:r>
      <w:r>
        <w:rPr>
          <w:rFonts w:hint="eastAsia" w:hAnsi="宋体" w:cs="宋体"/>
          <w:color w:val="000000"/>
          <w:lang w:val="en-US" w:eastAsia="zh-CN"/>
        </w:rPr>
        <w:t>（厚）</w:t>
      </w:r>
      <w:r>
        <w:rPr>
          <w:rFonts w:hint="eastAsia" w:hAnsi="宋体" w:eastAsia="宋体" w:cs="宋体"/>
          <w:color w:val="000000"/>
          <w:lang w:val="en-US" w:eastAsia="zh-CN"/>
        </w:rPr>
        <w:t>的测量和导电横梁的测量</w:t>
      </w:r>
      <w:r>
        <w:rPr>
          <w:rFonts w:hint="eastAsia" w:hAnsi="宋体" w:cs="宋体"/>
          <w:color w:val="000000"/>
          <w:lang w:val="en-US" w:eastAsia="zh-CN"/>
        </w:rPr>
        <w:t>。</w:t>
      </w:r>
    </w:p>
    <w:p>
      <w:pPr>
        <w:spacing w:before="156" w:beforeLines="50" w:after="156" w:afterLines="50" w:line="360" w:lineRule="auto"/>
        <w:rPr>
          <w:rFonts w:eastAsia="黑体"/>
          <w:b/>
          <w:bCs/>
        </w:rPr>
      </w:pPr>
      <w:r>
        <w:rPr>
          <w:rFonts w:eastAsia="黑体"/>
          <w:b/>
          <w:bCs/>
        </w:rPr>
        <w:t>4.5  产品试验方法和检验规则</w:t>
      </w:r>
    </w:p>
    <w:p>
      <w:pPr>
        <w:spacing w:before="156" w:beforeLines="50" w:after="156" w:afterLines="50" w:line="360" w:lineRule="auto"/>
        <w:rPr>
          <w:rFonts w:hint="eastAsia" w:ascii="宋体" w:hAnsi="宋体" w:eastAsia="宋体" w:cs="宋体"/>
          <w:b w:val="0"/>
          <w:bCs w:val="0"/>
          <w:color w:val="auto"/>
          <w:sz w:val="21"/>
          <w:szCs w:val="21"/>
          <w:highlight w:val="none"/>
          <w:lang w:val="en-US" w:eastAsia="zh-CN"/>
        </w:rPr>
      </w:pPr>
      <w:r>
        <w:rPr>
          <w:rFonts w:hint="eastAsia" w:hAnsi="宋体" w:cs="宋体"/>
          <w:b/>
          <w:bCs/>
          <w:sz w:val="21"/>
          <w:szCs w:val="21"/>
          <w:lang w:val="en-US" w:eastAsia="zh-CN"/>
        </w:rPr>
        <w:t>4.5.1 增加了化学成分的检验标准条目，</w:t>
      </w:r>
      <w:r>
        <w:rPr>
          <w:rFonts w:hint="eastAsia" w:ascii="宋体" w:hAnsi="宋体" w:eastAsia="宋体" w:cs="宋体"/>
          <w:b w:val="0"/>
          <w:bCs w:val="0"/>
          <w:color w:val="auto"/>
          <w:sz w:val="21"/>
          <w:szCs w:val="21"/>
          <w:highlight w:val="none"/>
          <w:lang w:val="en-US" w:eastAsia="zh-CN"/>
        </w:rPr>
        <w:t>增加为“</w:t>
      </w:r>
      <w:r>
        <w:rPr>
          <w:rFonts w:hint="eastAsia" w:ascii="宋体" w:hAnsi="宋体" w:eastAsia="宋体" w:cs="宋体"/>
          <w:b w:val="0"/>
          <w:bCs w:val="0"/>
          <w:color w:val="auto"/>
          <w:sz w:val="21"/>
          <w:szCs w:val="21"/>
          <w:highlight w:val="none"/>
        </w:rPr>
        <w:t>GB/T 4103.16</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铅及铅合金化学分析方法.第16部分光电直读发射光谱法</w:t>
      </w:r>
      <w:r>
        <w:rPr>
          <w:rFonts w:hint="eastAsia" w:ascii="宋体" w:hAnsi="宋体" w:eastAsia="宋体" w:cs="宋体"/>
          <w:b w:val="0"/>
          <w:bCs w:val="0"/>
          <w:color w:val="auto"/>
          <w:sz w:val="21"/>
          <w:szCs w:val="21"/>
          <w:highlight w:val="none"/>
          <w:lang w:val="en-US" w:eastAsia="zh-CN"/>
        </w:rPr>
        <w:t>的规定进行”。增加“</w:t>
      </w:r>
      <w:r>
        <w:rPr>
          <w:rFonts w:hint="eastAsia" w:ascii="宋体" w:hAnsi="宋体" w:eastAsia="宋体" w:cs="宋体"/>
          <w:b w:val="0"/>
          <w:bCs w:val="0"/>
          <w:color w:val="auto"/>
          <w:sz w:val="21"/>
          <w:szCs w:val="21"/>
          <w:highlight w:val="none"/>
        </w:rPr>
        <w:t>导电</w:t>
      </w:r>
      <w:r>
        <w:rPr>
          <w:rFonts w:hint="eastAsia" w:ascii="宋体" w:hAnsi="宋体" w:eastAsia="宋体" w:cs="宋体"/>
          <w:b w:val="0"/>
          <w:bCs w:val="0"/>
          <w:color w:val="auto"/>
          <w:sz w:val="21"/>
          <w:szCs w:val="21"/>
          <w:highlight w:val="none"/>
          <w:lang w:val="en-US" w:eastAsia="zh-CN"/>
        </w:rPr>
        <w:t>横</w:t>
      </w:r>
      <w:r>
        <w:rPr>
          <w:rFonts w:hint="eastAsia" w:ascii="宋体" w:hAnsi="宋体" w:eastAsia="宋体" w:cs="宋体"/>
          <w:b w:val="0"/>
          <w:bCs w:val="0"/>
          <w:color w:val="auto"/>
          <w:sz w:val="21"/>
          <w:szCs w:val="21"/>
          <w:highlight w:val="none"/>
        </w:rPr>
        <w:t>梁中的铜含量的测定按GB/T 5231的规定执行</w:t>
      </w:r>
      <w:r>
        <w:rPr>
          <w:rFonts w:hint="eastAsia" w:ascii="宋体" w:hAnsi="宋体" w:eastAsia="宋体" w:cs="宋体"/>
          <w:b w:val="0"/>
          <w:bCs w:val="0"/>
          <w:color w:val="auto"/>
          <w:sz w:val="21"/>
          <w:szCs w:val="21"/>
          <w:highlight w:val="none"/>
          <w:lang w:val="en-US" w:eastAsia="zh-CN"/>
        </w:rPr>
        <w:t>”、“产品</w:t>
      </w:r>
      <w:r>
        <w:rPr>
          <w:rFonts w:hint="eastAsia" w:ascii="宋体" w:hAnsi="宋体" w:eastAsia="宋体" w:cs="宋体"/>
          <w:b w:val="0"/>
          <w:bCs w:val="0"/>
          <w:color w:val="auto"/>
          <w:sz w:val="21"/>
          <w:szCs w:val="21"/>
          <w:highlight w:val="none"/>
        </w:rPr>
        <w:t>留样采用等离子耦合光谱光谱进行数据对比</w:t>
      </w:r>
      <w:r>
        <w:rPr>
          <w:rFonts w:hint="eastAsia" w:ascii="宋体" w:hAnsi="宋体" w:eastAsia="宋体" w:cs="宋体"/>
          <w:b w:val="0"/>
          <w:bCs w:val="0"/>
          <w:color w:val="auto"/>
          <w:sz w:val="21"/>
          <w:szCs w:val="21"/>
          <w:highlight w:val="none"/>
          <w:lang w:val="en-US" w:eastAsia="zh-CN"/>
        </w:rPr>
        <w:t>”</w:t>
      </w:r>
    </w:p>
    <w:p>
      <w:pPr>
        <w:pStyle w:val="10"/>
        <w:keepNext w:val="0"/>
        <w:keepLines w:val="0"/>
        <w:pageBreakBefore w:val="0"/>
        <w:kinsoku/>
        <w:wordWrap/>
        <w:overflowPunct/>
        <w:topLinePunct w:val="0"/>
        <w:bidi w:val="0"/>
        <w:adjustRightInd/>
        <w:snapToGrid/>
        <w:spacing w:line="360" w:lineRule="auto"/>
        <w:ind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4.5.2 合并修改原5.3硬度和5.4拉伸性能”修改为“力学性能”</w:t>
      </w:r>
      <w:r>
        <w:rPr>
          <w:rFonts w:hint="eastAsia" w:hAnsi="宋体" w:cs="宋体"/>
          <w:b/>
          <w:bCs/>
          <w:color w:val="auto"/>
          <w:sz w:val="21"/>
          <w:szCs w:val="21"/>
          <w:highlight w:val="none"/>
          <w:lang w:val="en-US" w:eastAsia="zh-CN"/>
        </w:rPr>
        <w:t>，内容修改如下</w:t>
      </w:r>
    </w:p>
    <w:p>
      <w:pPr>
        <w:pStyle w:val="10"/>
        <w:keepNext w:val="0"/>
        <w:keepLines w:val="0"/>
        <w:pageBreakBefore w:val="0"/>
        <w:numPr>
          <w:ilvl w:val="0"/>
          <w:numId w:val="0"/>
        </w:numPr>
        <w:kinsoku/>
        <w:wordWrap/>
        <w:overflowPunct/>
        <w:topLinePunct w:val="0"/>
        <w:bidi w:val="0"/>
        <w:adjustRightInd/>
        <w:snapToGrid/>
        <w:spacing w:line="360" w:lineRule="auto"/>
        <w:ind w:left="420" w:leftChars="0"/>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阳极板的硬度实验按</w:t>
      </w:r>
      <w:r>
        <w:rPr>
          <w:rFonts w:hint="eastAsia" w:ascii="宋体" w:hAnsi="宋体" w:eastAsia="宋体" w:cs="宋体"/>
          <w:color w:val="000000"/>
        </w:rPr>
        <w:t>GB/T 231.1</w:t>
      </w:r>
      <w:r>
        <w:rPr>
          <w:rFonts w:hint="eastAsia" w:ascii="宋体" w:hAnsi="宋体" w:eastAsia="宋体" w:cs="宋体"/>
          <w:color w:val="000000"/>
          <w:lang w:val="en-US" w:eastAsia="zh-CN"/>
        </w:rPr>
        <w:t>的规定进行</w:t>
      </w:r>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color w:val="000000"/>
        </w:rPr>
      </w:pPr>
      <w:r>
        <w:rPr>
          <w:rFonts w:hint="eastAsia" w:ascii="宋体" w:hAnsi="宋体" w:eastAsia="宋体" w:cs="宋体"/>
          <w:color w:val="000000"/>
        </w:rPr>
        <w:t>导电铜梁的硬度试验</w:t>
      </w:r>
      <w:r>
        <w:rPr>
          <w:rFonts w:hint="eastAsia" w:ascii="宋体" w:hAnsi="宋体" w:eastAsia="宋体" w:cs="宋体"/>
          <w:color w:val="000000"/>
          <w:lang w:val="en-US" w:eastAsia="zh-CN"/>
        </w:rPr>
        <w:t>按</w:t>
      </w:r>
      <w:r>
        <w:rPr>
          <w:rFonts w:hint="eastAsia" w:ascii="宋体" w:hAnsi="宋体" w:eastAsia="宋体" w:cs="宋体"/>
          <w:color w:val="000000"/>
        </w:rPr>
        <w:t xml:space="preserve"> GB/T 231.1的规定进行。</w:t>
      </w:r>
    </w:p>
    <w:p>
      <w:pPr>
        <w:widowControl/>
        <w:autoSpaceDE w:val="0"/>
        <w:autoSpaceDN w:val="0"/>
        <w:spacing w:line="360" w:lineRule="auto"/>
        <w:ind w:firstLine="420" w:firstLineChars="20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rPr>
        <w:t>阳极板的</w:t>
      </w:r>
      <w:r>
        <w:rPr>
          <w:rFonts w:hint="eastAsia" w:ascii="宋体" w:hAnsi="宋体" w:eastAsia="宋体" w:cs="宋体"/>
          <w:lang w:val="en-US" w:eastAsia="zh-CN"/>
        </w:rPr>
        <w:t>抗</w:t>
      </w:r>
      <w:r>
        <w:rPr>
          <w:rFonts w:hint="eastAsia" w:ascii="宋体" w:hAnsi="宋体" w:eastAsia="宋体" w:cs="宋体"/>
        </w:rPr>
        <w:t>拉伸试验按</w:t>
      </w:r>
      <w:r>
        <w:rPr>
          <w:rFonts w:hint="eastAsia" w:ascii="宋体" w:hAnsi="宋体" w:eastAsia="宋体" w:cs="宋体"/>
          <w:szCs w:val="21"/>
        </w:rPr>
        <w:t>GB/T 228.1-2010的规定进行，其拉伸</w:t>
      </w:r>
      <w:r>
        <w:rPr>
          <w:rFonts w:hint="eastAsia" w:ascii="宋体" w:hAnsi="宋体" w:eastAsia="宋体" w:cs="宋体"/>
        </w:rPr>
        <w:t>试样按GB/T 228.1-2010中P09试样的规定进行。</w:t>
      </w:r>
    </w:p>
    <w:p>
      <w:pPr>
        <w:pStyle w:val="10"/>
        <w:keepNext w:val="0"/>
        <w:keepLines w:val="0"/>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hAnsi="宋体" w:cs="宋体"/>
          <w:b/>
          <w:bCs/>
          <w:sz w:val="21"/>
          <w:szCs w:val="21"/>
          <w:lang w:val="en-US" w:eastAsia="zh-CN"/>
        </w:rPr>
        <w:t xml:space="preserve">4.5.3 </w:t>
      </w:r>
      <w:r>
        <w:rPr>
          <w:rFonts w:hint="eastAsia" w:hAnsi="宋体" w:cs="宋体"/>
          <w:sz w:val="21"/>
          <w:szCs w:val="21"/>
          <w:lang w:val="en-US" w:eastAsia="zh-CN"/>
        </w:rPr>
        <w:t>对原标准的</w:t>
      </w:r>
      <w:r>
        <w:rPr>
          <w:rFonts w:hint="eastAsia" w:ascii="宋体" w:hAnsi="宋体" w:eastAsia="宋体" w:cs="宋体"/>
          <w:sz w:val="21"/>
          <w:szCs w:val="21"/>
          <w:lang w:val="en-US" w:eastAsia="zh-CN"/>
        </w:rPr>
        <w:t>阳极板面的化学成分符合参数修订</w:t>
      </w:r>
    </w:p>
    <w:p>
      <w:pPr>
        <w:pStyle w:val="10"/>
        <w:ind w:firstLine="0" w:firstLineChars="0"/>
        <w:jc w:val="center"/>
        <w:rPr>
          <w:rFonts w:hint="eastAsia" w:ascii="黑体" w:hAnsi="黑体" w:eastAsia="黑体"/>
        </w:rPr>
      </w:pPr>
      <w:r>
        <w:rPr>
          <w:rFonts w:hint="eastAsia" w:ascii="黑体" w:hAnsi="黑体" w:eastAsia="黑体"/>
        </w:rPr>
        <w:t>表2 阳极板</w:t>
      </w:r>
      <w:r>
        <w:rPr>
          <w:rFonts w:hint="eastAsia" w:ascii="黑体" w:hAnsi="黑体" w:eastAsia="黑体"/>
          <w:lang w:val="en-US" w:eastAsia="zh-CN"/>
        </w:rPr>
        <w:t>板面</w:t>
      </w:r>
      <w:r>
        <w:rPr>
          <w:rFonts w:hint="eastAsia" w:ascii="黑体" w:hAnsi="黑体" w:eastAsia="黑体"/>
        </w:rPr>
        <w:t>化学成分</w:t>
      </w:r>
    </w:p>
    <w:tbl>
      <w:tblPr>
        <w:tblStyle w:val="4"/>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40"/>
        <w:gridCol w:w="699"/>
        <w:gridCol w:w="699"/>
        <w:gridCol w:w="699"/>
        <w:gridCol w:w="699"/>
        <w:gridCol w:w="69"/>
        <w:gridCol w:w="630"/>
        <w:gridCol w:w="699"/>
        <w:gridCol w:w="699"/>
        <w:gridCol w:w="699"/>
        <w:gridCol w:w="699"/>
        <w:gridCol w:w="69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9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牌号</w:t>
            </w:r>
          </w:p>
        </w:tc>
        <w:tc>
          <w:tcPr>
            <w:tcW w:w="34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主成分</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lang w:eastAsia="zh-CN"/>
              </w:rPr>
              <w:t>）</w:t>
            </w:r>
          </w:p>
        </w:tc>
        <w:tc>
          <w:tcPr>
            <w:tcW w:w="48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lang w:val="en-US" w:eastAsia="zh-CN"/>
              </w:rPr>
              <w:t>其他元素</w:t>
            </w:r>
            <w:r>
              <w:rPr>
                <w:rFonts w:hint="eastAsia" w:ascii="宋体" w:hAnsi="宋体" w:cs="宋体"/>
                <w:sz w:val="21"/>
                <w:szCs w:val="21"/>
              </w:rPr>
              <w:t>含量（质量分数）不大于</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9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21"/>
                <w:szCs w:val="21"/>
              </w:rPr>
            </w:pPr>
            <w:r>
              <w:rPr>
                <w:rFonts w:hint="eastAsia" w:ascii="宋体" w:hAnsi="宋体" w:cs="宋体"/>
                <w:sz w:val="21"/>
                <w:szCs w:val="21"/>
              </w:rPr>
              <w:t>Pb</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Ag</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Ca</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Sr</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Re（稀土）</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Cu</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Sb</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As</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Bi</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Fe</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Zn</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w:t>
            </w:r>
          </w:p>
        </w:tc>
        <w:tc>
          <w:tcPr>
            <w:tcW w:w="5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r>
              <w:rPr>
                <w:rFonts w:hint="eastAsia" w:ascii="宋体" w:hAnsi="宋体" w:cs="宋体"/>
                <w:sz w:val="18"/>
                <w:szCs w:val="18"/>
              </w:rPr>
              <w:t>余量</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eastAsia="zh-CN"/>
              </w:rPr>
              <w:t>5</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PbAgRe</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eastAsia="zh-CN"/>
              </w:rPr>
              <w:t>3</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0.005~</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PbAgCaSr</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r>
              <w:rPr>
                <w:rFonts w:hint="eastAsia" w:ascii="宋体" w:hAnsi="宋体" w:eastAsia="宋体" w:cs="宋体"/>
                <w:sz w:val="18"/>
                <w:szCs w:val="18"/>
              </w:rPr>
              <w:t>~0.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PbAgCaSrRe</w:t>
            </w:r>
          </w:p>
        </w:tc>
        <w:tc>
          <w:tcPr>
            <w:tcW w:w="5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0.1~</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0.04~0.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r>
              <w:rPr>
                <w:rFonts w:hint="eastAsia" w:ascii="宋体" w:hAnsi="宋体" w:eastAsia="宋体" w:cs="宋体"/>
                <w:sz w:val="18"/>
                <w:szCs w:val="18"/>
              </w:rPr>
              <w:t>~0.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0.005~</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PbSb</w:t>
            </w:r>
          </w:p>
        </w:tc>
        <w:tc>
          <w:tcPr>
            <w:tcW w:w="5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sz w:val="18"/>
                <w:szCs w:val="18"/>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rPr>
              <w:t>~</w:t>
            </w:r>
            <w:r>
              <w:rPr>
                <w:rFonts w:hint="eastAsia" w:ascii="宋体" w:hAnsi="宋体" w:eastAsia="宋体" w:cs="宋体"/>
                <w:sz w:val="18"/>
                <w:szCs w:val="18"/>
                <w:lang w:val="en-US" w:eastAsia="zh-CN"/>
              </w:rPr>
              <w:t>8</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05</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0.00</w:t>
            </w:r>
            <w:r>
              <w:rPr>
                <w:rFonts w:hint="eastAsia" w:ascii="宋体" w:hAnsi="宋体" w:eastAsia="宋体" w:cs="宋体"/>
                <w:sz w:val="18"/>
                <w:szCs w:val="18"/>
                <w:lang w:val="en-US" w:eastAsia="zh-CN"/>
              </w:rPr>
              <w:t>1</w:t>
            </w: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234"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 w:val="21"/>
                <w:szCs w:val="21"/>
              </w:rPr>
            </w:pPr>
            <w:r>
              <w:rPr>
                <w:rFonts w:hint="eastAsia" w:ascii="宋体" w:hAnsi="宋体"/>
                <w:sz w:val="21"/>
                <w:szCs w:val="21"/>
              </w:rPr>
              <w:t>注：铅的含量为</w:t>
            </w:r>
            <w:r>
              <w:rPr>
                <w:rFonts w:ascii="Arial" w:hAnsi="Arial" w:cs="Arial"/>
                <w:sz w:val="21"/>
                <w:szCs w:val="21"/>
              </w:rPr>
              <w:t>100%</w:t>
            </w:r>
            <w:r>
              <w:rPr>
                <w:rFonts w:hint="eastAsia" w:ascii="宋体" w:hAnsi="宋体"/>
                <w:sz w:val="21"/>
                <w:szCs w:val="21"/>
              </w:rPr>
              <w:t>减去表中各元素含量的总和。</w:t>
            </w:r>
          </w:p>
        </w:tc>
      </w:tr>
    </w:tbl>
    <w:p>
      <w:pPr>
        <w:numPr>
          <w:ilvl w:val="0"/>
          <w:numId w:val="0"/>
        </w:numPr>
        <w:ind w:leftChars="0"/>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宋体" w:hAnsi="宋体" w:cs="宋体"/>
          <w:b w:val="0"/>
          <w:bCs w:val="0"/>
          <w:sz w:val="21"/>
          <w:szCs w:val="21"/>
          <w:lang w:val="en-US" w:eastAsia="zh-CN"/>
        </w:rPr>
      </w:pPr>
      <w:r>
        <w:rPr>
          <w:rFonts w:hint="eastAsia" w:ascii="宋体" w:hAnsi="宋体" w:cs="宋体"/>
          <w:b/>
          <w:bCs/>
          <w:sz w:val="21"/>
          <w:szCs w:val="21"/>
          <w:lang w:val="en-US" w:eastAsia="zh-CN"/>
        </w:rPr>
        <w:t xml:space="preserve">4.5.4 </w:t>
      </w:r>
      <w:r>
        <w:rPr>
          <w:rFonts w:hint="eastAsia" w:ascii="宋体" w:hAnsi="宋体" w:cs="宋体"/>
          <w:b w:val="0"/>
          <w:bCs w:val="0"/>
          <w:sz w:val="21"/>
          <w:szCs w:val="21"/>
          <w:lang w:val="en-US" w:eastAsia="zh-CN"/>
        </w:rPr>
        <w:t>明确</w:t>
      </w:r>
      <w:r>
        <w:rPr>
          <w:rFonts w:hint="eastAsia" w:ascii="宋体" w:hAnsi="宋体" w:eastAsia="宋体" w:cs="宋体"/>
          <w:b w:val="0"/>
          <w:bCs w:val="0"/>
          <w:sz w:val="21"/>
          <w:szCs w:val="21"/>
        </w:rPr>
        <w:t>阳极板面与导电横梁包铅层中的</w:t>
      </w:r>
      <w:r>
        <w:rPr>
          <w:rFonts w:hint="eastAsia" w:ascii="宋体" w:hAnsi="宋体" w:cs="宋体"/>
          <w:b w:val="0"/>
          <w:bCs w:val="0"/>
          <w:sz w:val="21"/>
          <w:szCs w:val="21"/>
          <w:lang w:val="en-US" w:eastAsia="zh-CN"/>
        </w:rPr>
        <w:t>金属元素的实验方法规定，修改为：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200" w:right="0" w:rightChars="0" w:firstLine="210" w:firstLineChars="1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锡、锑、铜、铁、铋、砷、钙、锌含量的分析按GB/T4103.</w:t>
      </w:r>
      <w:r>
        <w:rPr>
          <w:rFonts w:hint="eastAsia" w:ascii="宋体" w:hAnsi="宋体" w:eastAsia="宋体" w:cs="宋体"/>
          <w:b w:val="0"/>
          <w:bCs w:val="0"/>
          <w:sz w:val="21"/>
          <w:szCs w:val="21"/>
          <w:lang w:val="en-US" w:eastAsia="zh-CN"/>
        </w:rPr>
        <w:t>16-</w:t>
      </w:r>
      <w:r>
        <w:rPr>
          <w:rFonts w:hint="eastAsia" w:ascii="宋体" w:hAnsi="宋体" w:eastAsia="宋体" w:cs="宋体"/>
          <w:color w:val="000000"/>
          <w:sz w:val="21"/>
          <w:szCs w:val="21"/>
        </w:rPr>
        <w:t>2009</w:t>
      </w:r>
      <w:r>
        <w:rPr>
          <w:rFonts w:hint="eastAsia" w:ascii="宋体" w:hAnsi="宋体" w:eastAsia="宋体" w:cs="宋体"/>
          <w:b w:val="0"/>
          <w:bCs w:val="0"/>
          <w:sz w:val="21"/>
          <w:szCs w:val="21"/>
        </w:rPr>
        <w:t>的规定进行</w:t>
      </w:r>
      <w:r>
        <w:rPr>
          <w:rFonts w:hint="eastAsia" w:ascii="宋体" w:hAnsi="宋体" w:eastAsia="宋体" w:cs="宋体"/>
          <w:b w:val="0"/>
          <w:bCs w:val="0"/>
          <w:color w:val="auto"/>
          <w:sz w:val="21"/>
          <w:szCs w:val="21"/>
          <w:lang w:val="en-US" w:eastAsia="zh-CN"/>
        </w:rPr>
        <w:t>；</w:t>
      </w:r>
    </w:p>
    <w:p>
      <w:pPr>
        <w:bidi w:val="0"/>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阳极板中银含量的测定按GB/T 4135的规定执行。</w:t>
      </w:r>
    </w:p>
    <w:p>
      <w:pPr>
        <w:bidi w:val="0"/>
        <w:spacing w:line="360" w:lineRule="auto"/>
        <w:ind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导电铜梁中的铜含量的测定按GB/T 5231的规定执行。 </w:t>
      </w:r>
    </w:p>
    <w:p>
      <w:pPr>
        <w:keepNext w:val="0"/>
        <w:keepLines w:val="0"/>
        <w:pageBreakBefore w:val="0"/>
        <w:kinsoku/>
        <w:wordWrap/>
        <w:overflowPunct/>
        <w:topLinePunct w:val="0"/>
        <w:bidi w:val="0"/>
        <w:adjustRightInd/>
        <w:snapToGrid/>
        <w:spacing w:line="360" w:lineRule="auto"/>
        <w:textAlignment w:val="auto"/>
        <w:rPr>
          <w:rFonts w:hint="eastAsia"/>
          <w:lang w:val="en-US" w:eastAsia="zh-CN"/>
        </w:rPr>
      </w:pPr>
      <w:r>
        <w:rPr>
          <w:rFonts w:hint="eastAsia" w:ascii="宋体" w:hAnsi="宋体" w:eastAsia="宋体" w:cs="宋体"/>
          <w:color w:val="000000" w:themeColor="text1"/>
          <w14:textFill>
            <w14:solidFill>
              <w14:schemeClr w14:val="tx1"/>
            </w14:solidFill>
          </w14:textFill>
        </w:rPr>
        <w:t>阳极板留样采用等离子耦合光谱光谱进行数据对比。</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szCs w:val="21"/>
        </w:rPr>
      </w:pPr>
      <w:r>
        <w:rPr>
          <w:rFonts w:hint="eastAsia" w:ascii="宋体" w:hAnsi="宋体" w:cs="宋体"/>
          <w:color w:val="000000"/>
          <w:szCs w:val="21"/>
          <w:lang w:val="en-US" w:eastAsia="zh-CN"/>
        </w:rPr>
        <w:t>明确</w:t>
      </w:r>
      <w:r>
        <w:rPr>
          <w:rFonts w:hint="eastAsia" w:ascii="宋体" w:hAnsi="宋体" w:eastAsia="宋体" w:cs="宋体"/>
          <w:color w:val="000000"/>
          <w:szCs w:val="21"/>
        </w:rPr>
        <w:t>每批产品应进行化学成分、外形尺寸、外观质量的检验，如需方提出要求并在合同中注明时可做硬度、抗拉强度性能检测</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导电率</w:t>
      </w:r>
      <w:r>
        <w:rPr>
          <w:rFonts w:hint="eastAsia" w:ascii="宋体" w:hAnsi="宋体" w:eastAsia="宋体" w:cs="宋体"/>
          <w:color w:val="000000"/>
          <w:szCs w:val="21"/>
        </w:rPr>
        <w:t>以及金相分析检测等</w:t>
      </w:r>
      <w:r>
        <w:rPr>
          <w:rFonts w:hint="eastAsia" w:ascii="宋体" w:hAnsi="宋体" w:eastAsia="宋体" w:cs="宋体"/>
          <w:color w:val="000000"/>
          <w:szCs w:val="21"/>
          <w:lang w:eastAsia="zh-CN"/>
        </w:rPr>
        <w:t>。</w:t>
      </w:r>
      <w:r>
        <w:rPr>
          <w:rFonts w:hint="eastAsia" w:ascii="宋体" w:hAnsi="宋体"/>
          <w:szCs w:val="21"/>
        </w:rPr>
        <w:t>检验合格</w:t>
      </w:r>
      <w:r>
        <w:rPr>
          <w:rFonts w:hint="eastAsia" w:ascii="宋体" w:hAnsi="宋体"/>
          <w:szCs w:val="21"/>
          <w:lang w:val="en-US" w:eastAsia="zh-CN"/>
        </w:rPr>
        <w:t>应</w:t>
      </w:r>
      <w:r>
        <w:rPr>
          <w:rFonts w:hint="eastAsia" w:ascii="宋体" w:hAnsi="宋体"/>
          <w:szCs w:val="21"/>
        </w:rPr>
        <w:t>附有质量证明书。</w:t>
      </w:r>
    </w:p>
    <w:p>
      <w:pPr>
        <w:pStyle w:val="2"/>
        <w:spacing w:line="360" w:lineRule="auto"/>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（6）增加了力学性能的试验方法的内容：</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val="en-US" w:eastAsia="zh-CN" w:bidi="ar-SA"/>
        </w:rPr>
        <w:t xml:space="preserve">7.3.3 </w:t>
      </w:r>
      <w:r>
        <w:rPr>
          <w:rFonts w:hint="eastAsia" w:ascii="宋体" w:hAnsi="宋体" w:eastAsia="宋体" w:cs="宋体"/>
          <w:color w:val="000000"/>
          <w:sz w:val="21"/>
          <w:szCs w:val="21"/>
          <w:highlight w:val="none"/>
        </w:rPr>
        <w:t>导电铜梁的硬度试验</w:t>
      </w:r>
      <w:r>
        <w:rPr>
          <w:rFonts w:hint="eastAsia" w:ascii="宋体" w:hAnsi="宋体" w:eastAsia="宋体" w:cs="宋体"/>
          <w:color w:val="000000"/>
          <w:sz w:val="21"/>
          <w:szCs w:val="21"/>
          <w:highlight w:val="none"/>
          <w:lang w:val="en-US" w:eastAsia="zh-CN"/>
        </w:rPr>
        <w:t>按</w:t>
      </w:r>
      <w:r>
        <w:rPr>
          <w:rFonts w:hint="eastAsia" w:ascii="宋体" w:hAnsi="宋体" w:eastAsia="宋体" w:cs="宋体"/>
          <w:color w:val="000000"/>
          <w:sz w:val="21"/>
          <w:szCs w:val="21"/>
          <w:highlight w:val="none"/>
        </w:rPr>
        <w:t>GB/T 231.1的规定进行。</w:t>
      </w:r>
    </w:p>
    <w:p>
      <w:pPr>
        <w:spacing w:line="360" w:lineRule="auto"/>
        <w:ind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val="en-US" w:eastAsia="zh-CN" w:bidi="ar-SA"/>
        </w:rPr>
        <w:t xml:space="preserve">7.3.4 </w:t>
      </w:r>
      <w:r>
        <w:rPr>
          <w:rFonts w:hint="eastAsia" w:ascii="宋体" w:hAnsi="宋体" w:eastAsia="宋体" w:cs="宋体"/>
          <w:b w:val="0"/>
          <w:bCs w:val="0"/>
          <w:color w:val="000000"/>
          <w:sz w:val="21"/>
          <w:szCs w:val="21"/>
          <w:highlight w:val="none"/>
          <w:lang w:val="en-US" w:eastAsia="zh-CN"/>
        </w:rPr>
        <w:t>导电铜梁的拉伸试验按</w:t>
      </w:r>
      <w:r>
        <w:rPr>
          <w:rFonts w:hint="eastAsia" w:ascii="宋体" w:hAnsi="宋体" w:eastAsia="宋体" w:cs="宋体"/>
          <w:b w:val="0"/>
          <w:bCs w:val="0"/>
          <w:i w:val="0"/>
          <w:iCs w:val="0"/>
          <w:caps w:val="0"/>
          <w:color w:val="000000"/>
          <w:spacing w:val="0"/>
          <w:sz w:val="21"/>
          <w:szCs w:val="21"/>
          <w:highlight w:val="none"/>
        </w:rPr>
        <w:t xml:space="preserve">GB/T </w:t>
      </w:r>
      <w:r>
        <w:rPr>
          <w:rFonts w:hint="eastAsia" w:ascii="宋体" w:hAnsi="宋体" w:eastAsia="宋体" w:cs="宋体"/>
          <w:b w:val="0"/>
          <w:bCs w:val="0"/>
          <w:i w:val="0"/>
          <w:iCs w:val="0"/>
          <w:caps w:val="0"/>
          <w:color w:val="000000"/>
          <w:spacing w:val="0"/>
          <w:sz w:val="21"/>
          <w:szCs w:val="21"/>
          <w:highlight w:val="none"/>
          <w:lang w:val="en-US" w:eastAsia="zh-CN"/>
        </w:rPr>
        <w:t>34505</w:t>
      </w:r>
      <w:r>
        <w:rPr>
          <w:rFonts w:hint="eastAsia" w:ascii="宋体" w:hAnsi="宋体" w:eastAsia="宋体" w:cs="宋体"/>
          <w:b w:val="0"/>
          <w:bCs w:val="0"/>
          <w:i w:val="0"/>
          <w:iCs w:val="0"/>
          <w:caps w:val="0"/>
          <w:color w:val="000000"/>
          <w:spacing w:val="0"/>
          <w:kern w:val="0"/>
          <w:sz w:val="21"/>
          <w:szCs w:val="21"/>
          <w:highlight w:val="none"/>
          <w:lang w:val="en-US" w:eastAsia="zh-CN" w:bidi="ar"/>
        </w:rPr>
        <w:t>的规定进行，</w:t>
      </w:r>
      <w:r>
        <w:rPr>
          <w:rFonts w:hint="eastAsia" w:ascii="宋体" w:hAnsi="宋体" w:eastAsia="宋体" w:cs="宋体"/>
          <w:color w:val="000000"/>
          <w:sz w:val="21"/>
          <w:szCs w:val="21"/>
          <w:highlight w:val="none"/>
        </w:rPr>
        <w:t xml:space="preserve">其拉伸试样按GB/T </w:t>
      </w:r>
      <w:r>
        <w:rPr>
          <w:rFonts w:hint="eastAsia" w:ascii="宋体" w:hAnsi="宋体" w:eastAsia="宋体" w:cs="宋体"/>
          <w:i w:val="0"/>
          <w:iCs w:val="0"/>
          <w:caps w:val="0"/>
          <w:color w:val="000000"/>
          <w:spacing w:val="0"/>
          <w:sz w:val="21"/>
          <w:szCs w:val="21"/>
          <w:highlight w:val="none"/>
          <w:shd w:val="clear" w:color="auto" w:fill="FFFFFF"/>
          <w:lang w:val="en-US" w:eastAsia="zh-CN"/>
        </w:rPr>
        <w:t>34505-2017中</w:t>
      </w:r>
      <w:r>
        <w:rPr>
          <w:rFonts w:hint="eastAsia" w:ascii="宋体" w:hAnsi="宋体" w:eastAsia="宋体" w:cs="宋体"/>
          <w:color w:val="000000"/>
          <w:sz w:val="21"/>
          <w:szCs w:val="21"/>
          <w:highlight w:val="none"/>
          <w:vertAlign w:val="baseline"/>
          <w:lang w:val="en-US" w:eastAsia="zh-CN"/>
        </w:rPr>
        <w:t>5.3.3 棒材产品试样类型的选取</w:t>
      </w:r>
      <w:r>
        <w:rPr>
          <w:rFonts w:hint="eastAsia" w:ascii="宋体" w:hAnsi="宋体" w:eastAsia="宋体" w:cs="宋体"/>
          <w:i w:val="0"/>
          <w:iCs w:val="0"/>
          <w:caps w:val="0"/>
          <w:color w:val="000000"/>
          <w:spacing w:val="0"/>
          <w:sz w:val="21"/>
          <w:szCs w:val="21"/>
          <w:highlight w:val="none"/>
          <w:shd w:val="clear" w:color="auto" w:fill="FFFFFF"/>
          <w:lang w:val="en-US" w:eastAsia="zh-CN"/>
        </w:rPr>
        <w:t>表11</w:t>
      </w:r>
      <w:r>
        <w:rPr>
          <w:rFonts w:hint="eastAsia" w:ascii="宋体" w:hAnsi="宋体" w:eastAsia="宋体" w:cs="宋体"/>
          <w:color w:val="000000"/>
          <w:sz w:val="21"/>
          <w:szCs w:val="21"/>
          <w:highlight w:val="none"/>
        </w:rPr>
        <w:t>试样的规定进行</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见下表</w:t>
      </w:r>
      <w:r>
        <w:rPr>
          <w:rFonts w:hint="eastAsia" w:ascii="宋体" w:hAnsi="宋体" w:eastAsia="宋体" w:cs="宋体"/>
          <w:color w:val="000000"/>
          <w:sz w:val="21"/>
          <w:szCs w:val="21"/>
          <w:highlight w:val="none"/>
        </w:rPr>
        <w:t>。</w:t>
      </w:r>
    </w:p>
    <w:p>
      <w:pPr>
        <w:rPr>
          <w:rFonts w:hint="eastAsia"/>
          <w:color w:val="000000"/>
          <w:highlight w:val="none"/>
          <w:lang w:val="en-US" w:eastAsia="zh-CN"/>
        </w:rPr>
      </w:pPr>
    </w:p>
    <w:p>
      <w:pPr>
        <w:jc w:val="center"/>
        <w:rPr>
          <w:color w:val="000000"/>
          <w:highlight w:val="none"/>
        </w:rPr>
      </w:pPr>
      <w:r>
        <w:rPr>
          <w:rFonts w:hint="eastAsia"/>
          <w:color w:val="000000"/>
          <w:highlight w:val="none"/>
          <w:lang w:val="en-US" w:eastAsia="zh-CN"/>
        </w:rPr>
        <w:t>表10 棒材比例试样的试样类型</w:t>
      </w:r>
    </w:p>
    <w:tbl>
      <w:tblPr>
        <w:tblStyle w:val="5"/>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9"/>
        <w:gridCol w:w="2960"/>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59"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直径（或公称直径）d</w:t>
            </w:r>
            <w:r>
              <w:rPr>
                <w:rFonts w:hint="eastAsia" w:ascii="宋体" w:hAnsi="宋体" w:eastAsia="宋体" w:cs="宋体"/>
                <w:color w:val="000000"/>
                <w:highlight w:val="none"/>
                <w:vertAlign w:val="subscript"/>
                <w:lang w:val="en-US" w:eastAsia="zh-CN"/>
              </w:rPr>
              <w:t>0</w:t>
            </w:r>
            <w:r>
              <w:rPr>
                <w:rFonts w:hint="eastAsia" w:ascii="宋体" w:hAnsi="宋体" w:eastAsia="宋体" w:cs="宋体"/>
                <w:color w:val="000000"/>
                <w:highlight w:val="none"/>
                <w:vertAlign w:val="baseline"/>
                <w:lang w:val="en-US" w:eastAsia="zh-CN"/>
              </w:rPr>
              <w:t>/mm</w:t>
            </w:r>
          </w:p>
        </w:tc>
        <w:tc>
          <w:tcPr>
            <w:tcW w:w="5920" w:type="dxa"/>
            <w:gridSpan w:val="2"/>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试样类型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59"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≤12.5</w:t>
            </w:r>
          </w:p>
        </w:tc>
        <w:tc>
          <w:tcPr>
            <w:tcW w:w="5920" w:type="dxa"/>
            <w:gridSpan w:val="2"/>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59" w:type="dxa"/>
            <w:noWrap w:val="0"/>
            <w:vAlign w:val="center"/>
          </w:tcPr>
          <w:p>
            <w:pPr>
              <w:jc w:val="center"/>
              <w:rPr>
                <w:rFonts w:hint="eastAsia" w:ascii="宋体" w:hAnsi="宋体" w:eastAsia="宋体" w:cs="宋体"/>
                <w:color w:val="000000"/>
                <w:highlight w:val="none"/>
                <w:vertAlign w:val="baseline"/>
                <w:lang w:val="en-US"/>
              </w:rPr>
            </w:pPr>
            <w:r>
              <w:rPr>
                <w:rFonts w:hint="eastAsia" w:ascii="宋体" w:hAnsi="宋体" w:eastAsia="宋体" w:cs="宋体"/>
                <w:color w:val="000000"/>
                <w:highlight w:val="none"/>
                <w:vertAlign w:val="baseline"/>
                <w:lang w:val="en-US" w:eastAsia="zh-CN"/>
              </w:rPr>
              <w:t>＞12.5～15</w:t>
            </w:r>
          </w:p>
        </w:tc>
        <w:tc>
          <w:tcPr>
            <w:tcW w:w="2960"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R2</w:t>
            </w:r>
          </w:p>
        </w:tc>
        <w:tc>
          <w:tcPr>
            <w:tcW w:w="2960"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R02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2959" w:type="dxa"/>
            <w:noWrap w:val="0"/>
            <w:vAlign w:val="center"/>
          </w:tcPr>
          <w:p>
            <w:pPr>
              <w:jc w:val="center"/>
              <w:rPr>
                <w:rFonts w:hint="eastAsia" w:ascii="宋体" w:hAnsi="宋体" w:eastAsia="宋体" w:cs="宋体"/>
                <w:color w:val="000000"/>
                <w:highlight w:val="none"/>
                <w:vertAlign w:val="baseline"/>
                <w:lang w:val="en-US"/>
              </w:rPr>
            </w:pPr>
            <w:r>
              <w:rPr>
                <w:rFonts w:hint="eastAsia" w:ascii="宋体" w:hAnsi="宋体" w:eastAsia="宋体" w:cs="宋体"/>
                <w:color w:val="000000"/>
                <w:highlight w:val="none"/>
                <w:vertAlign w:val="baseline"/>
                <w:lang w:val="en-US" w:eastAsia="zh-CN"/>
              </w:rPr>
              <w:t>＞15</w:t>
            </w:r>
          </w:p>
        </w:tc>
        <w:tc>
          <w:tcPr>
            <w:tcW w:w="2960"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R1</w:t>
            </w:r>
          </w:p>
        </w:tc>
        <w:tc>
          <w:tcPr>
            <w:tcW w:w="2960" w:type="dxa"/>
            <w:noWrap w:val="0"/>
            <w:vAlign w:val="center"/>
          </w:tcPr>
          <w:p>
            <w:pPr>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R01</w:t>
            </w:r>
          </w:p>
        </w:tc>
      </w:tr>
    </w:tbl>
    <w:p>
      <w:pPr>
        <w:pStyle w:val="2"/>
      </w:pPr>
      <w:bookmarkStart w:id="6" w:name="_GoBack"/>
      <w:bookmarkEnd w:id="6"/>
    </w:p>
    <w:p>
      <w:pPr>
        <w:spacing w:before="156" w:beforeLines="50" w:after="156" w:afterLines="50" w:line="360" w:lineRule="auto"/>
        <w:rPr>
          <w:rFonts w:eastAsia="黑体"/>
          <w:b/>
          <w:bCs/>
        </w:rPr>
      </w:pPr>
      <w:r>
        <w:rPr>
          <w:rFonts w:eastAsia="黑体"/>
          <w:b/>
          <w:bCs/>
        </w:rPr>
        <w:t>4.6  标志、包装、运输、贮存及随行文件</w:t>
      </w:r>
    </w:p>
    <w:p>
      <w:pPr>
        <w:numPr>
          <w:ilvl w:val="-1"/>
          <w:numId w:val="0"/>
        </w:numPr>
        <w:spacing w:line="240" w:lineRule="auto"/>
        <w:ind w:firstLine="420" w:firstLineChars="200"/>
        <w:rPr>
          <w:color w:val="FF0000"/>
        </w:rPr>
      </w:pPr>
      <w:r>
        <w:rPr>
          <w:rFonts w:hint="eastAsia"/>
          <w:color w:val="FF0000"/>
          <w:lang w:val="en-US" w:eastAsia="zh-CN"/>
        </w:rPr>
        <w:t>分别对标志、包装、运输、</w:t>
      </w:r>
      <w:r>
        <w:rPr>
          <w:rFonts w:hint="eastAsia" w:ascii="宋体" w:hAnsi="宋体" w:eastAsia="宋体" w:cs="宋体"/>
          <w:b w:val="0"/>
          <w:bCs w:val="0"/>
          <w:color w:val="FF0000"/>
        </w:rPr>
        <w:t>贮存</w:t>
      </w:r>
      <w:r>
        <w:rPr>
          <w:rFonts w:hint="eastAsia" w:ascii="宋体" w:hAnsi="宋体" w:eastAsia="宋体" w:cs="宋体"/>
          <w:b w:val="0"/>
          <w:bCs w:val="0"/>
          <w:color w:val="FF0000"/>
          <w:lang w:val="en-US" w:eastAsia="zh-CN"/>
        </w:rPr>
        <w:t>的规定，</w:t>
      </w:r>
      <w:r>
        <w:rPr>
          <w:rFonts w:hint="eastAsia"/>
          <w:color w:val="FF0000"/>
          <w:lang w:val="en-US" w:eastAsia="zh-CN"/>
        </w:rPr>
        <w:t>质量证明书及产品合格证等随行文件的条目及内容进行了修改，使之符合GBT8888新发布的标准规定。</w:t>
      </w:r>
    </w:p>
    <w:p>
      <w:pPr>
        <w:spacing w:before="156" w:beforeLines="50" w:after="156" w:afterLines="50" w:line="360" w:lineRule="auto"/>
        <w:rPr>
          <w:rFonts w:eastAsia="黑体"/>
          <w:b/>
          <w:bCs/>
        </w:rPr>
      </w:pPr>
      <w:r>
        <w:rPr>
          <w:rFonts w:eastAsia="黑体"/>
          <w:b/>
          <w:bCs/>
        </w:rPr>
        <w:t>4.7  订货单内容</w:t>
      </w:r>
    </w:p>
    <w:p>
      <w:pPr>
        <w:spacing w:line="360" w:lineRule="auto"/>
        <w:ind w:firstLine="420" w:firstLineChars="200"/>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b w:val="0"/>
          <w:bCs w:val="0"/>
          <w:color w:val="FF0000"/>
          <w:lang w:val="en-US" w:eastAsia="zh-CN"/>
        </w:rPr>
        <w:t xml:space="preserve"> 修改了件数为重量和片数的规定</w:t>
      </w:r>
    </w:p>
    <w:p>
      <w:pPr>
        <w:numPr>
          <w:ilvl w:val="0"/>
          <w:numId w:val="2"/>
        </w:numPr>
        <w:spacing w:line="360" w:lineRule="auto"/>
        <w:rPr>
          <w:rFonts w:eastAsia="黑体"/>
          <w:b/>
          <w:bCs/>
        </w:rPr>
      </w:pPr>
      <w:r>
        <w:rPr>
          <w:rFonts w:eastAsia="黑体"/>
          <w:b/>
          <w:bCs/>
        </w:rPr>
        <w:t>国外先进标准情况</w:t>
      </w:r>
    </w:p>
    <w:p>
      <w:pPr>
        <w:pStyle w:val="2"/>
        <w:numPr>
          <w:ilvl w:val="0"/>
          <w:numId w:val="0"/>
        </w:numPr>
        <w:spacing w:line="360" w:lineRule="auto"/>
        <w:rPr>
          <w:rFonts w:hint="default" w:eastAsia="黑体"/>
          <w:lang w:val="en-US" w:eastAsia="zh-CN"/>
        </w:rPr>
      </w:pPr>
      <w:r>
        <w:rPr>
          <w:rFonts w:hint="eastAsia"/>
          <w:lang w:val="en-US" w:eastAsia="zh-CN"/>
        </w:rPr>
        <w:t xml:space="preserve">   </w:t>
      </w:r>
      <w:r>
        <w:rPr>
          <w:rFonts w:hint="eastAsia" w:ascii="宋体" w:hAnsi="宋体" w:eastAsia="宋体" w:cs="宋体"/>
          <w:sz w:val="21"/>
          <w:szCs w:val="21"/>
          <w:lang w:val="en-US" w:eastAsia="zh-CN"/>
        </w:rPr>
        <w:t>未查到相关标准情况</w:t>
      </w:r>
    </w:p>
    <w:p>
      <w:pPr>
        <w:spacing w:before="156" w:beforeLines="50" w:after="156" w:afterLines="50" w:line="360" w:lineRule="auto"/>
        <w:rPr>
          <w:rFonts w:eastAsia="黑体"/>
          <w:b/>
          <w:bCs/>
        </w:rPr>
      </w:pPr>
      <w:r>
        <w:rPr>
          <w:rFonts w:eastAsia="黑体"/>
          <w:b/>
          <w:bCs/>
        </w:rPr>
        <w:t>六、与现行相关法律、法规、规章及相关标准，特别是强制性标准的协调性</w:t>
      </w:r>
    </w:p>
    <w:p>
      <w:pPr>
        <w:spacing w:line="360" w:lineRule="auto"/>
        <w:ind w:firstLine="420" w:firstLineChars="200"/>
        <w:jc w:val="left"/>
        <w:rPr>
          <w:szCs w:val="21"/>
        </w:rPr>
      </w:pPr>
      <w:r>
        <w:rPr>
          <w:szCs w:val="21"/>
        </w:rPr>
        <w:t>与有关的现行法律、法规和强制性标准没有冲突。</w:t>
      </w:r>
    </w:p>
    <w:p>
      <w:pPr>
        <w:spacing w:before="156" w:beforeLines="50" w:after="156" w:afterLines="50" w:line="360" w:lineRule="auto"/>
        <w:rPr>
          <w:rFonts w:eastAsia="黑体"/>
          <w:b/>
          <w:bCs/>
        </w:rPr>
      </w:pPr>
      <w:bookmarkStart w:id="1" w:name="_Toc26642_WPSOffice_Level1"/>
      <w:r>
        <w:rPr>
          <w:rFonts w:eastAsia="黑体"/>
          <w:b/>
          <w:bCs/>
        </w:rPr>
        <w:t>七、标准中涉及的专利或知识产权说明</w:t>
      </w:r>
      <w:bookmarkEnd w:id="1"/>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2" w:name="_Toc7561_WPSOffice_Level1"/>
      <w:r>
        <w:rPr>
          <w:rFonts w:eastAsia="黑体"/>
          <w:b/>
          <w:bCs/>
        </w:rPr>
        <w:t>八、重大分歧意见的处理经过和依据</w:t>
      </w:r>
      <w:bookmarkEnd w:id="2"/>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3" w:name="_Toc10925_WPSOffice_Level1"/>
      <w:r>
        <w:rPr>
          <w:rFonts w:eastAsia="黑体"/>
          <w:b/>
          <w:bCs/>
        </w:rPr>
        <w:t>九、标准作为强制性或推荐性行业标准的建议</w:t>
      </w:r>
      <w:bookmarkEnd w:id="3"/>
    </w:p>
    <w:p>
      <w:pPr>
        <w:spacing w:line="360" w:lineRule="auto"/>
        <w:ind w:firstLine="420" w:firstLineChars="200"/>
        <w:jc w:val="left"/>
        <w:rPr>
          <w:szCs w:val="21"/>
        </w:rPr>
      </w:pPr>
      <w:r>
        <w:rPr>
          <w:szCs w:val="21"/>
        </w:rPr>
        <w:t>建议本标准作为推荐性标准发布实施。</w:t>
      </w:r>
    </w:p>
    <w:p>
      <w:pPr>
        <w:spacing w:before="156" w:beforeLines="50" w:after="156" w:afterLines="50" w:line="360" w:lineRule="auto"/>
        <w:rPr>
          <w:rFonts w:eastAsia="黑体"/>
          <w:b/>
          <w:bCs/>
        </w:rPr>
      </w:pPr>
      <w:bookmarkStart w:id="4" w:name="_Toc20186_WPSOffice_Level1"/>
      <w:r>
        <w:rPr>
          <w:rFonts w:eastAsia="黑体"/>
          <w:b/>
          <w:bCs/>
        </w:rPr>
        <w:t>十、贯彻标准的要求和措施建议</w:t>
      </w:r>
      <w:bookmarkEnd w:id="4"/>
    </w:p>
    <w:p>
      <w:pPr>
        <w:spacing w:line="360" w:lineRule="exact"/>
        <w:ind w:firstLine="420" w:firstLineChars="200"/>
        <w:jc w:val="left"/>
        <w:rPr>
          <w:szCs w:val="21"/>
        </w:rPr>
      </w:pPr>
      <w:r>
        <w:rPr>
          <w:szCs w:val="21"/>
        </w:rPr>
        <w:t>建议本标准尽快完成报批。</w:t>
      </w:r>
    </w:p>
    <w:p>
      <w:pPr>
        <w:spacing w:before="156" w:beforeLines="50" w:after="156" w:afterLines="50" w:line="360" w:lineRule="auto"/>
        <w:rPr>
          <w:rFonts w:eastAsia="黑体"/>
        </w:rPr>
      </w:pPr>
      <w:bookmarkStart w:id="5" w:name="_Toc17142_WPSOffice_Level1"/>
      <w:r>
        <w:rPr>
          <w:rFonts w:eastAsia="黑体"/>
        </w:rPr>
        <w:t>十一、废止现行有关标准的建议</w:t>
      </w:r>
      <w:bookmarkEnd w:id="5"/>
    </w:p>
    <w:p>
      <w:pPr>
        <w:ind w:firstLine="435"/>
        <w:rPr>
          <w:rFonts w:hint="eastAsia"/>
          <w:szCs w:val="21"/>
          <w:lang w:val="en-US" w:eastAsia="zh-CN"/>
        </w:rPr>
      </w:pPr>
      <w:r>
        <w:rPr>
          <w:rFonts w:hint="eastAsia"/>
          <w:szCs w:val="21"/>
          <w:lang w:val="en-US" w:eastAsia="zh-CN"/>
        </w:rPr>
        <w:t>建议批准修订后的标准，废止现行标准。</w:t>
      </w:r>
    </w:p>
    <w:p>
      <w:pPr>
        <w:pStyle w:val="2"/>
        <w:rPr>
          <w:rFonts w:hint="default"/>
          <w:lang w:val="en-US" w:eastAsia="zh-CN"/>
        </w:rPr>
      </w:pPr>
    </w:p>
    <w:p>
      <w:pPr>
        <w:spacing w:line="360" w:lineRule="auto"/>
        <w:ind w:firstLine="435"/>
      </w:pPr>
      <w:r>
        <w:t xml:space="preserve">                                           </w:t>
      </w:r>
    </w:p>
    <w:p>
      <w:pPr>
        <w:jc w:val="right"/>
        <w:rPr>
          <w:rFonts w:hint="eastAsia" w:ascii="黑体" w:hAnsi="黑体" w:eastAsia="黑体" w:cs="黑体"/>
          <w:b w:val="0"/>
          <w:bCs w:val="0"/>
          <w:sz w:val="28"/>
          <w:szCs w:val="28"/>
        </w:rPr>
      </w:pPr>
      <w:r>
        <w:rPr>
          <w:rFonts w:hint="eastAsia" w:ascii="黑体" w:hAnsi="黑体" w:eastAsia="黑体" w:cs="黑体"/>
          <w:b w:val="0"/>
          <w:bCs w:val="0"/>
          <w:sz w:val="28"/>
          <w:szCs w:val="28"/>
        </w:rPr>
        <w:t>《湿法冶金电解锌用阳极板》编制组</w:t>
      </w:r>
    </w:p>
    <w:p>
      <w:pPr>
        <w:spacing w:line="360" w:lineRule="auto"/>
        <w:jc w:val="right"/>
      </w:pPr>
      <w:r>
        <w:rPr>
          <w:rFonts w:hint="eastAsia" w:ascii="黑体" w:hAnsi="黑体" w:eastAsia="黑体" w:cs="黑体"/>
          <w:b w:val="0"/>
          <w:bCs w:val="0"/>
          <w:sz w:val="28"/>
          <w:szCs w:val="28"/>
        </w:rPr>
        <w:t>202</w:t>
      </w: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年</w:t>
      </w:r>
      <w:r>
        <w:rPr>
          <w:rFonts w:hint="eastAsia" w:ascii="黑体" w:hAnsi="黑体" w:eastAsia="黑体" w:cs="黑体"/>
          <w:b w:val="0"/>
          <w:bCs w:val="0"/>
          <w:sz w:val="28"/>
          <w:szCs w:val="28"/>
          <w:lang w:val="en-US" w:eastAsia="zh-CN"/>
        </w:rPr>
        <w:t>7</w:t>
      </w:r>
      <w:r>
        <w:rPr>
          <w:rFonts w:hint="eastAsia" w:ascii="黑体" w:hAnsi="黑体" w:eastAsia="黑体" w:cs="黑体"/>
          <w:b w:val="0"/>
          <w:bCs w:val="0"/>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85AEF"/>
    <w:multiLevelType w:val="singleLevel"/>
    <w:tmpl w:val="B8885AEF"/>
    <w:lvl w:ilvl="0" w:tentative="0">
      <w:start w:val="5"/>
      <w:numFmt w:val="chineseCounting"/>
      <w:suff w:val="nothing"/>
      <w:lvlText w:val="%1、"/>
      <w:lvlJc w:val="left"/>
      <w:rPr>
        <w:rFonts w:hint="eastAsia"/>
      </w:rPr>
    </w:lvl>
  </w:abstractNum>
  <w:abstractNum w:abstractNumId="1">
    <w:nsid w:val="4A141C9B"/>
    <w:multiLevelType w:val="singleLevel"/>
    <w:tmpl w:val="4A141C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zhmODVmNGUwODY4MjllZmE3N2I3MjZiMjQ2NDUifQ=="/>
  </w:docVars>
  <w:rsids>
    <w:rsidRoot w:val="702E4E6D"/>
    <w:rsid w:val="0F7E7615"/>
    <w:rsid w:val="1DAF30AF"/>
    <w:rsid w:val="20DD66A0"/>
    <w:rsid w:val="25310A6B"/>
    <w:rsid w:val="31065553"/>
    <w:rsid w:val="35E26FBA"/>
    <w:rsid w:val="386A38F4"/>
    <w:rsid w:val="3A8313F6"/>
    <w:rsid w:val="4576473E"/>
    <w:rsid w:val="5FB70753"/>
    <w:rsid w:val="62B12CFE"/>
    <w:rsid w:val="69AE7E81"/>
    <w:rsid w:val="6F0435EC"/>
    <w:rsid w:val="702E4E6D"/>
    <w:rsid w:val="71F33821"/>
    <w:rsid w:val="7AF5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exact"/>
      <w:ind w:firstLine="1044" w:firstLineChars="200"/>
      <w:jc w:val="left"/>
      <w:outlineLvl w:val="0"/>
    </w:pPr>
    <w:rPr>
      <w:rFonts w:ascii="宋体" w:hAnsi="宋体"/>
      <w:b/>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exact"/>
      <w:ind w:firstLine="0" w:firstLineChars="0"/>
    </w:pPr>
    <w:rPr>
      <w:rFonts w:ascii="Times New Roman" w:eastAsia="黑体"/>
      <w:sz w:val="2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 w:type="character" w:styleId="8">
    <w:name w:val="Hyperlink"/>
    <w:basedOn w:val="6"/>
    <w:qFormat/>
    <w:uiPriority w:val="0"/>
    <w:rPr>
      <w:color w:val="0000FF"/>
      <w:u w:val="single"/>
    </w:rPr>
  </w:style>
  <w:style w:type="paragraph" w:customStyle="1" w:styleId="9">
    <w:name w:val="章标题"/>
    <w:next w:val="10"/>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5778</Words>
  <Characters>7000</Characters>
  <Lines>0</Lines>
  <Paragraphs>0</Paragraphs>
  <TotalTime>1</TotalTime>
  <ScaleCrop>false</ScaleCrop>
  <LinksUpToDate>false</LinksUpToDate>
  <CharactersWithSpaces>7241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2022-11-07T07:18:00Z</dcterms:created>
  <dc:creator>Administrator</dc:creator>
  <cp:lastModifiedBy>Lijian</cp:lastModifiedBy>
  <dcterms:modified xsi:type="dcterms:W3CDTF">2023-08-13T10:13:12Z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C215459F2BF541429A20A0BB5CD489B4</vt:lpwstr>
  </property>
</Properties>
</file>