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CF73" w14:textId="77777777" w:rsidR="00024CF0" w:rsidRPr="005143F8" w:rsidRDefault="00024CF0" w:rsidP="00024CF0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 w:themeColor="text1"/>
          <w:sz w:val="32"/>
          <w:szCs w:val="32"/>
        </w:rPr>
      </w:pPr>
      <w:r w:rsidRPr="005143F8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标准</w:t>
      </w:r>
      <w:r w:rsidR="006D1D4A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征求意见</w:t>
      </w:r>
      <w:proofErr w:type="gramStart"/>
      <w:r w:rsidRPr="005143F8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稿意见</w:t>
      </w:r>
      <w:proofErr w:type="gramEnd"/>
      <w:r w:rsidRPr="005143F8">
        <w:rPr>
          <w:rFonts w:ascii="宋体" w:eastAsia="宋体" w:hAnsi="宋体" w:cs="宋体" w:hint="eastAsia"/>
          <w:b/>
          <w:bCs/>
          <w:color w:val="000000" w:themeColor="text1"/>
          <w:sz w:val="32"/>
          <w:szCs w:val="32"/>
        </w:rPr>
        <w:t>汇总处理表</w:t>
      </w:r>
    </w:p>
    <w:p w14:paraId="07A64087" w14:textId="77777777" w:rsidR="00024CF0" w:rsidRPr="005143F8" w:rsidRDefault="00024CF0" w:rsidP="00024CF0">
      <w:pPr>
        <w:adjustRightInd w:val="0"/>
        <w:snapToGrid w:val="0"/>
        <w:jc w:val="left"/>
        <w:rPr>
          <w:rFonts w:ascii="宋体" w:eastAsia="宋体" w:hAnsi="宋体" w:cs="宋体"/>
          <w:bCs/>
          <w:color w:val="000000" w:themeColor="text1"/>
          <w:szCs w:val="21"/>
        </w:rPr>
      </w:pPr>
      <w:r w:rsidRPr="005143F8">
        <w:rPr>
          <w:rFonts w:ascii="宋体" w:eastAsia="宋体" w:hAnsi="宋体" w:cs="宋体" w:hint="eastAsia"/>
          <w:bCs/>
          <w:color w:val="000000" w:themeColor="text1"/>
          <w:szCs w:val="21"/>
        </w:rPr>
        <w:t>标准项目名称：</w:t>
      </w:r>
      <w:r w:rsidR="009101C3" w:rsidRPr="009101C3">
        <w:rPr>
          <w:rFonts w:ascii="宋体" w:eastAsia="宋体" w:hAnsi="宋体" w:cs="宋体" w:hint="eastAsia"/>
          <w:bCs/>
          <w:color w:val="000000" w:themeColor="text1"/>
          <w:szCs w:val="21"/>
        </w:rPr>
        <w:t>银矿采选业绿色工厂评价要求</w:t>
      </w:r>
    </w:p>
    <w:p w14:paraId="1006350A" w14:textId="77777777" w:rsidR="00024CF0" w:rsidRPr="005143F8" w:rsidRDefault="009101C3" w:rsidP="00024CF0">
      <w:pPr>
        <w:adjustRightInd w:val="0"/>
        <w:snapToGrid w:val="0"/>
        <w:jc w:val="left"/>
        <w:rPr>
          <w:rFonts w:ascii="宋体" w:eastAsia="宋体" w:hAnsi="宋体" w:cs="宋体"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Cs/>
          <w:color w:val="000000" w:themeColor="text1"/>
          <w:szCs w:val="21"/>
        </w:rPr>
        <w:t>承办人：陈斌</w:t>
      </w:r>
      <w:r w:rsidR="001718D9">
        <w:rPr>
          <w:rFonts w:ascii="宋体" w:eastAsia="宋体" w:hAnsi="宋体" w:cs="宋体" w:hint="eastAsia"/>
          <w:bCs/>
          <w:color w:val="000000" w:themeColor="text1"/>
          <w:szCs w:val="21"/>
        </w:rPr>
        <w:t xml:space="preserve"> </w:t>
      </w:r>
      <w:r w:rsidR="001718D9">
        <w:rPr>
          <w:rFonts w:ascii="宋体" w:eastAsia="宋体" w:hAnsi="宋体" w:cs="宋体"/>
          <w:bCs/>
          <w:color w:val="000000" w:themeColor="text1"/>
          <w:szCs w:val="21"/>
        </w:rPr>
        <w:t xml:space="preserve">                                                                                  </w:t>
      </w:r>
      <w:r w:rsidR="00024CF0" w:rsidRPr="005143F8">
        <w:rPr>
          <w:rFonts w:ascii="宋体" w:eastAsia="宋体" w:hAnsi="宋体" w:cs="宋体" w:hint="eastAsia"/>
          <w:bCs/>
          <w:color w:val="000000" w:themeColor="text1"/>
          <w:szCs w:val="21"/>
        </w:rPr>
        <w:t>标准项目负责起草单位：矿冶科技集团有限公司</w:t>
      </w:r>
    </w:p>
    <w:p w14:paraId="592D8ABC" w14:textId="304E3CA8" w:rsidR="00C15065" w:rsidRPr="005143F8" w:rsidRDefault="00024CF0" w:rsidP="001718D9">
      <w:pPr>
        <w:adjustRightInd w:val="0"/>
        <w:snapToGrid w:val="0"/>
        <w:jc w:val="left"/>
        <w:rPr>
          <w:rFonts w:ascii="宋体" w:eastAsia="宋体" w:hAnsi="宋体" w:cs="宋体"/>
          <w:bCs/>
          <w:color w:val="000000" w:themeColor="text1"/>
          <w:szCs w:val="21"/>
        </w:rPr>
      </w:pPr>
      <w:r w:rsidRPr="005143F8">
        <w:rPr>
          <w:rFonts w:ascii="宋体" w:eastAsia="宋体" w:hAnsi="宋体" w:cs="宋体" w:hint="eastAsia"/>
          <w:bCs/>
          <w:color w:val="000000" w:themeColor="text1"/>
          <w:szCs w:val="21"/>
        </w:rPr>
        <w:t>联系电话：0</w:t>
      </w:r>
      <w:r w:rsidRPr="005143F8">
        <w:rPr>
          <w:rFonts w:ascii="宋体" w:eastAsia="宋体" w:hAnsi="宋体" w:cs="宋体"/>
          <w:bCs/>
          <w:color w:val="000000" w:themeColor="text1"/>
          <w:szCs w:val="21"/>
        </w:rPr>
        <w:t>10</w:t>
      </w:r>
      <w:r w:rsidRPr="005143F8">
        <w:rPr>
          <w:rFonts w:ascii="宋体" w:eastAsia="宋体" w:hAnsi="宋体" w:cs="宋体" w:hint="eastAsia"/>
          <w:bCs/>
          <w:color w:val="000000" w:themeColor="text1"/>
          <w:szCs w:val="21"/>
        </w:rPr>
        <w:t>-</w:t>
      </w:r>
      <w:r w:rsidR="009101C3">
        <w:rPr>
          <w:rFonts w:ascii="宋体" w:eastAsia="宋体" w:hAnsi="宋体" w:cs="宋体"/>
          <w:bCs/>
          <w:color w:val="000000" w:themeColor="text1"/>
          <w:szCs w:val="21"/>
        </w:rPr>
        <w:t>6329909</w:t>
      </w:r>
      <w:r w:rsidR="009101C3">
        <w:rPr>
          <w:rFonts w:ascii="宋体" w:eastAsia="宋体" w:hAnsi="宋体" w:cs="宋体" w:hint="eastAsia"/>
          <w:bCs/>
          <w:color w:val="000000" w:themeColor="text1"/>
          <w:szCs w:val="21"/>
        </w:rPr>
        <w:t>4</w:t>
      </w:r>
      <w:r w:rsidRPr="005143F8">
        <w:rPr>
          <w:rFonts w:ascii="宋体" w:eastAsia="宋体" w:hAnsi="宋体" w:cs="宋体"/>
          <w:bCs/>
          <w:color w:val="000000" w:themeColor="text1"/>
          <w:szCs w:val="21"/>
        </w:rPr>
        <w:t xml:space="preserve">                                              </w:t>
      </w:r>
      <w:r w:rsidR="001718D9">
        <w:rPr>
          <w:rFonts w:ascii="宋体" w:eastAsia="宋体" w:hAnsi="宋体" w:cs="宋体" w:hint="eastAsia"/>
          <w:bCs/>
          <w:color w:val="000000" w:themeColor="text1"/>
          <w:szCs w:val="21"/>
        </w:rPr>
        <w:t xml:space="preserve"> </w:t>
      </w:r>
      <w:r w:rsidR="001718D9">
        <w:rPr>
          <w:rFonts w:ascii="宋体" w:eastAsia="宋体" w:hAnsi="宋体" w:cs="宋体"/>
          <w:bCs/>
          <w:color w:val="000000" w:themeColor="text1"/>
          <w:szCs w:val="21"/>
        </w:rPr>
        <w:t xml:space="preserve">                                    </w:t>
      </w:r>
      <w:r w:rsidR="000A174B">
        <w:rPr>
          <w:rFonts w:ascii="宋体" w:eastAsia="宋体" w:hAnsi="宋体" w:cs="宋体"/>
          <w:bCs/>
          <w:color w:val="000000" w:themeColor="text1"/>
          <w:szCs w:val="21"/>
        </w:rPr>
        <w:t xml:space="preserve">      </w:t>
      </w:r>
      <w:r w:rsidR="001718D9">
        <w:rPr>
          <w:rFonts w:ascii="宋体" w:eastAsia="宋体" w:hAnsi="宋体" w:cs="宋体"/>
          <w:bCs/>
          <w:color w:val="000000" w:themeColor="text1"/>
          <w:szCs w:val="21"/>
        </w:rPr>
        <w:t xml:space="preserve">  </w:t>
      </w:r>
      <w:r w:rsidRPr="005143F8">
        <w:rPr>
          <w:rFonts w:ascii="宋体" w:eastAsia="宋体" w:hAnsi="宋体" w:cs="宋体" w:hint="eastAsia"/>
          <w:bCs/>
          <w:color w:val="000000" w:themeColor="text1"/>
          <w:szCs w:val="21"/>
        </w:rPr>
        <w:t>填报日期：</w:t>
      </w:r>
      <w:r w:rsidRPr="005143F8">
        <w:rPr>
          <w:rFonts w:ascii="宋体" w:eastAsia="宋体" w:hAnsi="宋体" w:cs="宋体"/>
          <w:bCs/>
          <w:color w:val="000000" w:themeColor="text1"/>
          <w:szCs w:val="21"/>
        </w:rPr>
        <w:t>20</w:t>
      </w:r>
      <w:r w:rsidR="009101C3">
        <w:rPr>
          <w:rFonts w:ascii="宋体" w:eastAsia="宋体" w:hAnsi="宋体" w:cs="宋体" w:hint="eastAsia"/>
          <w:bCs/>
          <w:color w:val="000000" w:themeColor="text1"/>
          <w:szCs w:val="21"/>
        </w:rPr>
        <w:t>2</w:t>
      </w:r>
      <w:r w:rsidR="0076132D">
        <w:rPr>
          <w:rFonts w:ascii="宋体" w:eastAsia="宋体" w:hAnsi="宋体" w:cs="宋体"/>
          <w:bCs/>
          <w:color w:val="000000" w:themeColor="text1"/>
          <w:szCs w:val="21"/>
        </w:rPr>
        <w:t>3</w:t>
      </w:r>
      <w:r w:rsidRPr="005143F8">
        <w:rPr>
          <w:rFonts w:ascii="宋体" w:eastAsia="宋体" w:hAnsi="宋体" w:cs="宋体" w:hint="eastAsia"/>
          <w:bCs/>
          <w:color w:val="000000" w:themeColor="text1"/>
          <w:szCs w:val="21"/>
        </w:rPr>
        <w:t>年</w:t>
      </w:r>
      <w:r w:rsidR="00831442">
        <w:rPr>
          <w:rFonts w:ascii="宋体" w:eastAsia="宋体" w:hAnsi="宋体" w:cs="宋体"/>
          <w:bCs/>
          <w:color w:val="000000" w:themeColor="text1"/>
          <w:szCs w:val="21"/>
        </w:rPr>
        <w:t>8</w:t>
      </w:r>
      <w:r w:rsidRPr="005143F8">
        <w:rPr>
          <w:rFonts w:ascii="宋体" w:eastAsia="宋体" w:hAnsi="宋体" w:cs="宋体" w:hint="eastAsia"/>
          <w:bCs/>
          <w:color w:val="000000" w:themeColor="text1"/>
          <w:szCs w:val="21"/>
        </w:rPr>
        <w:t>月</w:t>
      </w:r>
      <w:r w:rsidR="00831442">
        <w:rPr>
          <w:rFonts w:ascii="宋体" w:eastAsia="宋体" w:hAnsi="宋体" w:cs="宋体"/>
          <w:bCs/>
          <w:color w:val="000000" w:themeColor="text1"/>
          <w:szCs w:val="21"/>
        </w:rPr>
        <w:t>11</w:t>
      </w:r>
      <w:r w:rsidRPr="005143F8">
        <w:rPr>
          <w:rFonts w:ascii="宋体" w:eastAsia="宋体" w:hAnsi="宋体" w:cs="宋体" w:hint="eastAsia"/>
          <w:bCs/>
          <w:color w:val="000000" w:themeColor="text1"/>
          <w:szCs w:val="21"/>
        </w:rPr>
        <w:t>日</w:t>
      </w:r>
    </w:p>
    <w:tbl>
      <w:tblPr>
        <w:tblStyle w:val="a7"/>
        <w:tblW w:w="146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9"/>
        <w:gridCol w:w="1296"/>
        <w:gridCol w:w="4111"/>
        <w:gridCol w:w="2409"/>
        <w:gridCol w:w="1134"/>
        <w:gridCol w:w="5029"/>
        <w:gridCol w:w="12"/>
      </w:tblGrid>
      <w:tr w:rsidR="00024CF0" w:rsidRPr="00D72535" w14:paraId="3643C05F" w14:textId="77777777" w:rsidTr="006450BF">
        <w:trPr>
          <w:gridAfter w:val="1"/>
          <w:wAfter w:w="12" w:type="dxa"/>
          <w:tblHeader/>
        </w:trPr>
        <w:tc>
          <w:tcPr>
            <w:tcW w:w="689" w:type="dxa"/>
            <w:vAlign w:val="center"/>
          </w:tcPr>
          <w:p w14:paraId="433040CA" w14:textId="77777777" w:rsidR="00024CF0" w:rsidRPr="00D72535" w:rsidRDefault="00024CF0" w:rsidP="00024CF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序号</w:t>
            </w:r>
          </w:p>
        </w:tc>
        <w:tc>
          <w:tcPr>
            <w:tcW w:w="1296" w:type="dxa"/>
            <w:vAlign w:val="center"/>
          </w:tcPr>
          <w:p w14:paraId="2D324DD7" w14:textId="77777777" w:rsidR="00024CF0" w:rsidRPr="00D72535" w:rsidRDefault="00024CF0" w:rsidP="00024CF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标准章条编号</w:t>
            </w:r>
            <w:proofErr w:type="gramEnd"/>
          </w:p>
        </w:tc>
        <w:tc>
          <w:tcPr>
            <w:tcW w:w="4111" w:type="dxa"/>
            <w:vAlign w:val="center"/>
          </w:tcPr>
          <w:p w14:paraId="7DE0FD61" w14:textId="77777777" w:rsidR="00024CF0" w:rsidRPr="00D72535" w:rsidRDefault="00024CF0" w:rsidP="00024CF0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意见内容</w:t>
            </w:r>
          </w:p>
        </w:tc>
        <w:tc>
          <w:tcPr>
            <w:tcW w:w="2409" w:type="dxa"/>
            <w:vAlign w:val="center"/>
          </w:tcPr>
          <w:p w14:paraId="3B656EFF" w14:textId="77777777" w:rsidR="00024CF0" w:rsidRPr="00D72535" w:rsidRDefault="00024CF0" w:rsidP="00024CF0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提出单位</w:t>
            </w:r>
          </w:p>
        </w:tc>
        <w:tc>
          <w:tcPr>
            <w:tcW w:w="1134" w:type="dxa"/>
            <w:vAlign w:val="center"/>
          </w:tcPr>
          <w:p w14:paraId="3D5FF0BF" w14:textId="77777777" w:rsidR="00024CF0" w:rsidRPr="00D72535" w:rsidRDefault="00024CF0" w:rsidP="00024CF0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处理意见</w:t>
            </w:r>
          </w:p>
        </w:tc>
        <w:tc>
          <w:tcPr>
            <w:tcW w:w="5029" w:type="dxa"/>
            <w:vAlign w:val="center"/>
          </w:tcPr>
          <w:p w14:paraId="24A3AD80" w14:textId="77777777" w:rsidR="00024CF0" w:rsidRPr="00D72535" w:rsidRDefault="00024CF0" w:rsidP="00024CF0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备注</w:t>
            </w:r>
          </w:p>
        </w:tc>
      </w:tr>
      <w:tr w:rsidR="004749F5" w:rsidRPr="00D72535" w14:paraId="579A4C60" w14:textId="77777777" w:rsidTr="006450BF">
        <w:trPr>
          <w:gridAfter w:val="1"/>
          <w:wAfter w:w="12" w:type="dxa"/>
        </w:trPr>
        <w:tc>
          <w:tcPr>
            <w:tcW w:w="689" w:type="dxa"/>
            <w:vAlign w:val="center"/>
          </w:tcPr>
          <w:p w14:paraId="6037D12E" w14:textId="77777777" w:rsidR="004749F5" w:rsidRPr="00D72535" w:rsidRDefault="004749F5" w:rsidP="004749F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14:paraId="5860B54A" w14:textId="77777777" w:rsidR="004749F5" w:rsidRPr="00D72535" w:rsidRDefault="004749F5" w:rsidP="004749F5">
            <w:pPr>
              <w:rPr>
                <w:rFonts w:ascii="Times New Roman" w:eastAsia="宋体" w:hAnsi="Times New Roman" w:cs="Times New Roman"/>
              </w:rPr>
            </w:pPr>
            <w:r w:rsidRPr="00D72535">
              <w:rPr>
                <w:rFonts w:ascii="Times New Roman" w:eastAsia="宋体" w:hAnsi="Times New Roman" w:cs="Times New Roman"/>
              </w:rPr>
              <w:t>5.7.2</w:t>
            </w:r>
          </w:p>
        </w:tc>
        <w:tc>
          <w:tcPr>
            <w:tcW w:w="4111" w:type="dxa"/>
            <w:vAlign w:val="center"/>
          </w:tcPr>
          <w:p w14:paraId="1117C116" w14:textId="77777777" w:rsidR="004749F5" w:rsidRPr="00D72535" w:rsidRDefault="004749F5" w:rsidP="004749F5">
            <w:pPr>
              <w:rPr>
                <w:rFonts w:ascii="Times New Roman" w:eastAsia="宋体" w:hAnsi="Times New Roman" w:cs="Times New Roman"/>
              </w:rPr>
            </w:pPr>
            <w:r w:rsidRPr="00D72535">
              <w:rPr>
                <w:rFonts w:ascii="Times New Roman" w:eastAsia="宋体" w:hAnsi="Times New Roman" w:cs="Times New Roman"/>
              </w:rPr>
              <w:t>采、选单位产能用地面积应加上不高于多少。</w:t>
            </w:r>
          </w:p>
        </w:tc>
        <w:tc>
          <w:tcPr>
            <w:tcW w:w="2409" w:type="dxa"/>
            <w:vMerge w:val="restart"/>
            <w:vAlign w:val="center"/>
          </w:tcPr>
          <w:p w14:paraId="57571D5E" w14:textId="77777777" w:rsidR="004749F5" w:rsidRPr="00D72535" w:rsidRDefault="004749F5" w:rsidP="004749F5">
            <w:pPr>
              <w:adjustRightInd w:val="0"/>
              <w:snapToGrid w:val="0"/>
              <w:rPr>
                <w:rFonts w:ascii="Times New Roman" w:eastAsia="宋体" w:hAnsi="Times New Roman" w:cs="Times New Roman"/>
              </w:rPr>
            </w:pPr>
            <w:r w:rsidRPr="00D72535">
              <w:rPr>
                <w:rFonts w:ascii="Times New Roman" w:eastAsia="宋体" w:hAnsi="Times New Roman" w:cs="Times New Roman"/>
              </w:rPr>
              <w:t>四平昊融银业有限公司</w:t>
            </w:r>
          </w:p>
        </w:tc>
        <w:tc>
          <w:tcPr>
            <w:tcW w:w="1134" w:type="dxa"/>
            <w:vAlign w:val="center"/>
          </w:tcPr>
          <w:p w14:paraId="440E77B7" w14:textId="77777777" w:rsidR="004749F5" w:rsidRPr="00D72535" w:rsidRDefault="004749F5" w:rsidP="004749F5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采纳</w:t>
            </w:r>
          </w:p>
        </w:tc>
        <w:tc>
          <w:tcPr>
            <w:tcW w:w="5029" w:type="dxa"/>
            <w:vAlign w:val="center"/>
          </w:tcPr>
          <w:p w14:paraId="7A1375C7" w14:textId="53196628" w:rsidR="004749F5" w:rsidRPr="00D72535" w:rsidRDefault="004749F5" w:rsidP="004749F5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最终将该条修改为：</w:t>
            </w:r>
            <w:r w:rsidRPr="00E33B87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工厂应按照本文件附录</w:t>
            </w:r>
            <w:r w:rsidRPr="00E33B8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</w:t>
            </w:r>
            <w:r w:rsidRPr="00E33B8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的方法计算单位产能用地面积，工业场地单位产能用地面积应满足《有色金属工业工程项目建设用地指标》（建标</w:t>
            </w:r>
            <w:r w:rsidRPr="00E33B8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[1995]345</w:t>
            </w:r>
            <w:r w:rsidRPr="00E33B8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号）指标要求。</w:t>
            </w:r>
          </w:p>
        </w:tc>
      </w:tr>
      <w:tr w:rsidR="004749F5" w:rsidRPr="00D72535" w14:paraId="650C0C47" w14:textId="77777777" w:rsidTr="006450BF">
        <w:trPr>
          <w:gridAfter w:val="1"/>
          <w:wAfter w:w="12" w:type="dxa"/>
        </w:trPr>
        <w:tc>
          <w:tcPr>
            <w:tcW w:w="689" w:type="dxa"/>
            <w:vAlign w:val="center"/>
          </w:tcPr>
          <w:p w14:paraId="5570ED18" w14:textId="77777777" w:rsidR="004749F5" w:rsidRPr="00D72535" w:rsidRDefault="004749F5" w:rsidP="004749F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296" w:type="dxa"/>
            <w:vAlign w:val="center"/>
          </w:tcPr>
          <w:p w14:paraId="684492F9" w14:textId="77777777" w:rsidR="004749F5" w:rsidRPr="00D72535" w:rsidRDefault="004749F5" w:rsidP="004749F5">
            <w:pPr>
              <w:rPr>
                <w:rFonts w:ascii="Times New Roman" w:eastAsia="宋体" w:hAnsi="Times New Roman" w:cs="Times New Roman"/>
              </w:rPr>
            </w:pPr>
            <w:r w:rsidRPr="00D72535">
              <w:rPr>
                <w:rFonts w:ascii="Times New Roman" w:eastAsia="宋体" w:hAnsi="Times New Roman" w:cs="Times New Roman"/>
              </w:rPr>
              <w:t>5.7.5</w:t>
            </w:r>
          </w:p>
        </w:tc>
        <w:tc>
          <w:tcPr>
            <w:tcW w:w="4111" w:type="dxa"/>
            <w:vAlign w:val="center"/>
          </w:tcPr>
          <w:p w14:paraId="29C751D2" w14:textId="77777777" w:rsidR="004749F5" w:rsidRPr="00D72535" w:rsidRDefault="004749F5" w:rsidP="004749F5">
            <w:pPr>
              <w:rPr>
                <w:rFonts w:ascii="Times New Roman" w:eastAsia="宋体" w:hAnsi="Times New Roman" w:cs="Times New Roman"/>
              </w:rPr>
            </w:pPr>
            <w:r w:rsidRPr="00D72535">
              <w:rPr>
                <w:rFonts w:ascii="Times New Roman" w:eastAsia="宋体" w:hAnsi="Times New Roman" w:cs="Times New Roman"/>
              </w:rPr>
              <w:t>a  b</w:t>
            </w:r>
            <w:proofErr w:type="gramStart"/>
            <w:r w:rsidRPr="00D72535">
              <w:rPr>
                <w:rFonts w:ascii="Times New Roman" w:eastAsia="宋体" w:hAnsi="Times New Roman" w:cs="Times New Roman"/>
              </w:rPr>
              <w:t>项数据</w:t>
            </w:r>
            <w:proofErr w:type="gramEnd"/>
            <w:r w:rsidRPr="00D72535">
              <w:rPr>
                <w:rFonts w:ascii="Times New Roman" w:eastAsia="宋体" w:hAnsi="Times New Roman" w:cs="Times New Roman"/>
              </w:rPr>
              <w:t>应调换</w:t>
            </w:r>
          </w:p>
        </w:tc>
        <w:tc>
          <w:tcPr>
            <w:tcW w:w="2409" w:type="dxa"/>
            <w:vMerge/>
            <w:vAlign w:val="center"/>
          </w:tcPr>
          <w:p w14:paraId="5E9AA653" w14:textId="77777777" w:rsidR="004749F5" w:rsidRPr="00D72535" w:rsidRDefault="004749F5" w:rsidP="004749F5">
            <w:pPr>
              <w:adjustRightInd w:val="0"/>
              <w:snapToGrid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DEBB177" w14:textId="77777777" w:rsidR="004749F5" w:rsidRPr="00D72535" w:rsidRDefault="004749F5" w:rsidP="004749F5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未采纳</w:t>
            </w:r>
          </w:p>
        </w:tc>
        <w:tc>
          <w:tcPr>
            <w:tcW w:w="5029" w:type="dxa"/>
            <w:vAlign w:val="center"/>
          </w:tcPr>
          <w:p w14:paraId="060410FA" w14:textId="58EEBD67" w:rsidR="004749F5" w:rsidRPr="00D72535" w:rsidRDefault="004749F5" w:rsidP="004749F5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本标准必选项用的是</w:t>
            </w: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“</w:t>
            </w: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应</w:t>
            </w: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”</w:t>
            </w: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，是申请绿色工厂必须达到的基本要求，可选项用的是</w:t>
            </w: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“</w:t>
            </w: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宜</w:t>
            </w: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”</w:t>
            </w: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，是更高的要求。</w:t>
            </w:r>
          </w:p>
        </w:tc>
      </w:tr>
      <w:tr w:rsidR="004749F5" w:rsidRPr="00D72535" w14:paraId="2546C92B" w14:textId="77777777" w:rsidTr="006450BF">
        <w:trPr>
          <w:gridAfter w:val="1"/>
          <w:wAfter w:w="12" w:type="dxa"/>
        </w:trPr>
        <w:tc>
          <w:tcPr>
            <w:tcW w:w="689" w:type="dxa"/>
            <w:vAlign w:val="center"/>
          </w:tcPr>
          <w:p w14:paraId="1A3FE83F" w14:textId="77777777" w:rsidR="004749F5" w:rsidRPr="00D72535" w:rsidRDefault="004749F5" w:rsidP="004749F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1296" w:type="dxa"/>
            <w:vAlign w:val="center"/>
          </w:tcPr>
          <w:p w14:paraId="20BD744F" w14:textId="77777777" w:rsidR="004749F5" w:rsidRPr="00D72535" w:rsidRDefault="004749F5" w:rsidP="004749F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72535">
              <w:rPr>
                <w:rFonts w:ascii="Times New Roman" w:eastAsia="宋体" w:hAnsi="Times New Roman" w:cs="Times New Roman"/>
              </w:rPr>
              <w:t xml:space="preserve">2 </w:t>
            </w:r>
            <w:r w:rsidRPr="00D72535">
              <w:rPr>
                <w:rFonts w:ascii="Times New Roman" w:eastAsia="宋体" w:hAnsi="Times New Roman" w:cs="Times New Roman"/>
              </w:rPr>
              <w:t>规范性引</w:t>
            </w:r>
          </w:p>
          <w:p w14:paraId="1F23AFC0" w14:textId="77777777" w:rsidR="004749F5" w:rsidRPr="00D72535" w:rsidRDefault="004749F5" w:rsidP="004749F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72535">
              <w:rPr>
                <w:rFonts w:ascii="Times New Roman" w:eastAsia="宋体" w:hAnsi="Times New Roman" w:cs="Times New Roman"/>
              </w:rPr>
              <w:t>用文件</w:t>
            </w:r>
          </w:p>
        </w:tc>
        <w:tc>
          <w:tcPr>
            <w:tcW w:w="4111" w:type="dxa"/>
            <w:vAlign w:val="center"/>
          </w:tcPr>
          <w:p w14:paraId="371A234E" w14:textId="77777777" w:rsidR="004749F5" w:rsidRPr="00652B0A" w:rsidRDefault="004749F5" w:rsidP="004749F5">
            <w:pPr>
              <w:rPr>
                <w:rFonts w:ascii="Times New Roman" w:eastAsia="宋体" w:hAnsi="Times New Roman" w:cs="Times New Roman"/>
              </w:rPr>
            </w:pPr>
            <w:r w:rsidRPr="00652B0A">
              <w:rPr>
                <w:rFonts w:ascii="Times New Roman" w:eastAsia="宋体" w:hAnsi="Times New Roman" w:cs="Times New Roman"/>
              </w:rPr>
              <w:t xml:space="preserve">“AQ2006 </w:t>
            </w:r>
            <w:r w:rsidRPr="00652B0A">
              <w:rPr>
                <w:rFonts w:ascii="Times New Roman" w:eastAsia="宋体" w:hAnsi="Times New Roman" w:cs="Times New Roman"/>
              </w:rPr>
              <w:t>尾矿库安全技术规程</w:t>
            </w:r>
            <w:r w:rsidRPr="00652B0A">
              <w:rPr>
                <w:rFonts w:ascii="Times New Roman" w:eastAsia="宋体" w:hAnsi="Times New Roman" w:cs="Times New Roman"/>
              </w:rPr>
              <w:t>”</w:t>
            </w:r>
            <w:r w:rsidRPr="00652B0A">
              <w:rPr>
                <w:rFonts w:ascii="Times New Roman" w:eastAsia="宋体" w:hAnsi="Times New Roman" w:cs="Times New Roman"/>
              </w:rPr>
              <w:t>应</w:t>
            </w:r>
            <w:r w:rsidRPr="00652B0A">
              <w:rPr>
                <w:rFonts w:ascii="Times New Roman" w:eastAsia="宋体" w:hAnsi="Times New Roman" w:cs="Times New Roman"/>
              </w:rPr>
              <w:t xml:space="preserve"> </w:t>
            </w:r>
            <w:r w:rsidRPr="00652B0A">
              <w:rPr>
                <w:rFonts w:ascii="Times New Roman" w:eastAsia="宋体" w:hAnsi="Times New Roman" w:cs="Times New Roman"/>
              </w:rPr>
              <w:t>改</w:t>
            </w:r>
            <w:r w:rsidRPr="00652B0A">
              <w:rPr>
                <w:rFonts w:ascii="Times New Roman" w:eastAsia="宋体" w:hAnsi="Times New Roman" w:cs="Times New Roman"/>
              </w:rPr>
              <w:t xml:space="preserve"> </w:t>
            </w:r>
            <w:r w:rsidRPr="00652B0A">
              <w:rPr>
                <w:rFonts w:ascii="Times New Roman" w:eastAsia="宋体" w:hAnsi="Times New Roman" w:cs="Times New Roman"/>
              </w:rPr>
              <w:t>为</w:t>
            </w:r>
            <w:r w:rsidRPr="00652B0A">
              <w:rPr>
                <w:rFonts w:ascii="Times New Roman" w:eastAsia="宋体" w:hAnsi="Times New Roman" w:cs="Times New Roman"/>
              </w:rPr>
              <w:t>“GB39496-2020</w:t>
            </w:r>
            <w:r w:rsidRPr="00652B0A">
              <w:rPr>
                <w:rFonts w:ascii="Times New Roman" w:eastAsia="宋体" w:hAnsi="Times New Roman" w:cs="Times New Roman"/>
              </w:rPr>
              <w:t>尾矿库安全技术规程</w:t>
            </w:r>
            <w:r w:rsidRPr="00652B0A">
              <w:rPr>
                <w:rFonts w:ascii="Times New Roman" w:eastAsia="宋体" w:hAnsi="Times New Roman" w:cs="Times New Roman"/>
              </w:rPr>
              <w:t>”</w:t>
            </w:r>
            <w:r w:rsidRPr="00652B0A">
              <w:rPr>
                <w:rFonts w:ascii="Times New Roman" w:eastAsia="宋体" w:hAnsi="Times New Roman" w:cs="Times New Roman"/>
              </w:rPr>
              <w:t>。</w:t>
            </w:r>
          </w:p>
        </w:tc>
        <w:tc>
          <w:tcPr>
            <w:tcW w:w="2409" w:type="dxa"/>
            <w:vMerge w:val="restart"/>
            <w:vAlign w:val="center"/>
          </w:tcPr>
          <w:p w14:paraId="00C936EA" w14:textId="77777777" w:rsidR="004749F5" w:rsidRPr="00652B0A" w:rsidRDefault="004749F5" w:rsidP="004749F5">
            <w:pPr>
              <w:adjustRightInd w:val="0"/>
              <w:snapToGrid w:val="0"/>
              <w:rPr>
                <w:rFonts w:ascii="Times New Roman" w:eastAsia="宋体" w:hAnsi="Times New Roman" w:cs="Times New Roman"/>
              </w:rPr>
            </w:pPr>
            <w:r w:rsidRPr="00652B0A">
              <w:rPr>
                <w:rFonts w:ascii="Times New Roman" w:eastAsia="宋体" w:hAnsi="Times New Roman" w:cs="Times New Roman"/>
              </w:rPr>
              <w:t>武平紫金矿业有限公司</w:t>
            </w:r>
          </w:p>
        </w:tc>
        <w:tc>
          <w:tcPr>
            <w:tcW w:w="1134" w:type="dxa"/>
            <w:vAlign w:val="center"/>
          </w:tcPr>
          <w:p w14:paraId="424C5EBD" w14:textId="77777777" w:rsidR="004749F5" w:rsidRPr="00D72535" w:rsidRDefault="004749F5" w:rsidP="004749F5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采纳</w:t>
            </w:r>
          </w:p>
        </w:tc>
        <w:tc>
          <w:tcPr>
            <w:tcW w:w="5029" w:type="dxa"/>
            <w:vAlign w:val="center"/>
          </w:tcPr>
          <w:p w14:paraId="06DB4731" w14:textId="419B83B7" w:rsidR="004749F5" w:rsidRPr="00D72535" w:rsidRDefault="004749F5" w:rsidP="004749F5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已删除</w:t>
            </w:r>
          </w:p>
        </w:tc>
      </w:tr>
      <w:tr w:rsidR="004749F5" w:rsidRPr="00D72535" w14:paraId="14915876" w14:textId="77777777" w:rsidTr="006450BF">
        <w:trPr>
          <w:gridAfter w:val="1"/>
          <w:wAfter w:w="12" w:type="dxa"/>
        </w:trPr>
        <w:tc>
          <w:tcPr>
            <w:tcW w:w="689" w:type="dxa"/>
            <w:vAlign w:val="center"/>
          </w:tcPr>
          <w:p w14:paraId="27A02A19" w14:textId="77777777" w:rsidR="004749F5" w:rsidRPr="00D72535" w:rsidRDefault="004749F5" w:rsidP="004749F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1296" w:type="dxa"/>
            <w:vAlign w:val="center"/>
          </w:tcPr>
          <w:p w14:paraId="467BD2C1" w14:textId="77777777" w:rsidR="004749F5" w:rsidRPr="00D72535" w:rsidRDefault="004749F5" w:rsidP="004749F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72535">
              <w:rPr>
                <w:rFonts w:ascii="Times New Roman" w:eastAsia="宋体" w:hAnsi="Times New Roman" w:cs="Times New Roman"/>
              </w:rPr>
              <w:t>5.2.3.4</w:t>
            </w:r>
          </w:p>
        </w:tc>
        <w:tc>
          <w:tcPr>
            <w:tcW w:w="4111" w:type="dxa"/>
            <w:vAlign w:val="center"/>
          </w:tcPr>
          <w:p w14:paraId="17510F81" w14:textId="77777777" w:rsidR="004749F5" w:rsidRPr="00652B0A" w:rsidRDefault="004749F5" w:rsidP="004749F5">
            <w:pPr>
              <w:rPr>
                <w:rFonts w:ascii="Times New Roman" w:eastAsia="宋体" w:hAnsi="Times New Roman" w:cs="Times New Roman"/>
              </w:rPr>
            </w:pPr>
            <w:r w:rsidRPr="00652B0A">
              <w:rPr>
                <w:rFonts w:ascii="Times New Roman" w:eastAsia="宋体" w:hAnsi="Times New Roman" w:cs="Times New Roman"/>
              </w:rPr>
              <w:t>选矿污染物处理设备设施及工艺符合以下要求：</w:t>
            </w:r>
            <w:r w:rsidRPr="00652B0A">
              <w:rPr>
                <w:rFonts w:ascii="Times New Roman" w:eastAsia="宋体" w:hAnsi="Times New Roman" w:cs="Times New Roman"/>
              </w:rPr>
              <w:t>C)2</w:t>
            </w:r>
            <w:r w:rsidRPr="00652B0A">
              <w:rPr>
                <w:rFonts w:ascii="Times New Roman" w:eastAsia="宋体" w:hAnsi="Times New Roman" w:cs="Times New Roman"/>
              </w:rPr>
              <w:t>）</w:t>
            </w:r>
            <w:r w:rsidRPr="00652B0A">
              <w:rPr>
                <w:rFonts w:ascii="Times New Roman" w:eastAsia="宋体" w:hAnsi="Times New Roman" w:cs="Times New Roman"/>
              </w:rPr>
              <w:t xml:space="preserve">“ </w:t>
            </w:r>
            <w:r w:rsidRPr="00652B0A">
              <w:rPr>
                <w:rFonts w:ascii="Times New Roman" w:eastAsia="宋体" w:hAnsi="Times New Roman" w:cs="Times New Roman"/>
              </w:rPr>
              <w:t>选矿废水应设置适宜的选矿废水处理设备，循环重复利用，优先利用矿坑水</w:t>
            </w:r>
            <w:r w:rsidRPr="00652B0A">
              <w:rPr>
                <w:rFonts w:ascii="Times New Roman" w:eastAsia="宋体" w:hAnsi="Times New Roman" w:cs="Times New Roman"/>
              </w:rPr>
              <w:t>”,</w:t>
            </w:r>
          </w:p>
          <w:p w14:paraId="1BCC9617" w14:textId="77777777" w:rsidR="004749F5" w:rsidRPr="00652B0A" w:rsidRDefault="004749F5" w:rsidP="004749F5">
            <w:pPr>
              <w:rPr>
                <w:rFonts w:ascii="Times New Roman" w:eastAsia="宋体" w:hAnsi="Times New Roman" w:cs="Times New Roman"/>
              </w:rPr>
            </w:pPr>
            <w:r w:rsidRPr="00652B0A">
              <w:rPr>
                <w:rFonts w:ascii="Times New Roman" w:eastAsia="宋体" w:hAnsi="Times New Roman" w:cs="Times New Roman"/>
              </w:rPr>
              <w:t>建议明确循环利用率。</w:t>
            </w:r>
          </w:p>
        </w:tc>
        <w:tc>
          <w:tcPr>
            <w:tcW w:w="2409" w:type="dxa"/>
            <w:vMerge/>
            <w:vAlign w:val="center"/>
          </w:tcPr>
          <w:p w14:paraId="12A6BC1C" w14:textId="77777777" w:rsidR="004749F5" w:rsidRPr="00652B0A" w:rsidRDefault="004749F5" w:rsidP="004749F5">
            <w:pPr>
              <w:adjustRightInd w:val="0"/>
              <w:snapToGrid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18B4A27" w14:textId="25922EAD" w:rsidR="004749F5" w:rsidRPr="00D72535" w:rsidRDefault="004749F5" w:rsidP="004749F5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采纳</w:t>
            </w:r>
          </w:p>
        </w:tc>
        <w:tc>
          <w:tcPr>
            <w:tcW w:w="5029" w:type="dxa"/>
            <w:vAlign w:val="center"/>
          </w:tcPr>
          <w:p w14:paraId="01B332B1" w14:textId="77777777" w:rsidR="004749F5" w:rsidRDefault="004749F5" w:rsidP="004749F5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5.7.5 </w:t>
            </w: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废物资源化，明确了选矿水重复利用率：</w:t>
            </w:r>
          </w:p>
          <w:p w14:paraId="52AC5C48" w14:textId="77777777" w:rsidR="004749F5" w:rsidRPr="002E7857" w:rsidRDefault="004749F5" w:rsidP="004749F5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E785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单一银矿及</w:t>
            </w:r>
            <w:proofErr w:type="gramStart"/>
            <w:r w:rsidRPr="002E785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伴生金</w:t>
            </w:r>
            <w:proofErr w:type="gramEnd"/>
            <w:r w:rsidRPr="002E785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的银矿选矿工业用水重复利用率应</w:t>
            </w:r>
            <w:r w:rsidRPr="002E785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≥80%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</w:t>
            </w:r>
            <w:r w:rsidRPr="002E785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≥90%</w:t>
            </w:r>
            <w:r w:rsidRPr="002E785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；</w:t>
            </w:r>
          </w:p>
          <w:p w14:paraId="77A874AF" w14:textId="395D27E7" w:rsidR="004749F5" w:rsidRPr="00D72535" w:rsidRDefault="004749F5" w:rsidP="004749F5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E785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伴生铅锌、铜的银矿选矿工业用水重复利用率应</w:t>
            </w:r>
            <w:r w:rsidRPr="002E785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≥83%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</w:t>
            </w:r>
            <w:r w:rsidRPr="002E785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宜</w:t>
            </w:r>
            <w:r w:rsidRPr="002E785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≥85%</w:t>
            </w:r>
            <w:r w:rsidRPr="002E7857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。</w:t>
            </w:r>
          </w:p>
        </w:tc>
      </w:tr>
      <w:tr w:rsidR="004749F5" w:rsidRPr="00D72535" w14:paraId="3472E75E" w14:textId="77777777" w:rsidTr="006450BF">
        <w:trPr>
          <w:gridAfter w:val="1"/>
          <w:wAfter w:w="12" w:type="dxa"/>
        </w:trPr>
        <w:tc>
          <w:tcPr>
            <w:tcW w:w="689" w:type="dxa"/>
            <w:vAlign w:val="center"/>
          </w:tcPr>
          <w:p w14:paraId="26FB5626" w14:textId="77777777" w:rsidR="004749F5" w:rsidRPr="00D72535" w:rsidRDefault="004749F5" w:rsidP="004749F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1296" w:type="dxa"/>
            <w:vMerge w:val="restart"/>
            <w:vAlign w:val="center"/>
          </w:tcPr>
          <w:p w14:paraId="1324BAE3" w14:textId="77777777" w:rsidR="004749F5" w:rsidRPr="00D72535" w:rsidRDefault="004749F5" w:rsidP="004749F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D72535">
              <w:rPr>
                <w:rFonts w:ascii="Times New Roman" w:eastAsia="宋体" w:hAnsi="Times New Roman" w:cs="Times New Roman"/>
              </w:rPr>
              <w:t>5.7.5</w:t>
            </w:r>
          </w:p>
        </w:tc>
        <w:tc>
          <w:tcPr>
            <w:tcW w:w="4111" w:type="dxa"/>
            <w:vAlign w:val="center"/>
          </w:tcPr>
          <w:p w14:paraId="03224A18" w14:textId="0DBC078A" w:rsidR="004749F5" w:rsidRPr="00652B0A" w:rsidRDefault="004749F5" w:rsidP="004749F5">
            <w:pPr>
              <w:rPr>
                <w:rFonts w:ascii="Times New Roman" w:eastAsia="宋体" w:hAnsi="Times New Roman" w:cs="Times New Roman"/>
              </w:rPr>
            </w:pPr>
            <w:r w:rsidRPr="00652B0A">
              <w:rPr>
                <w:rFonts w:ascii="Times New Roman" w:eastAsia="宋体" w:hAnsi="Times New Roman" w:cs="Times New Roman"/>
              </w:rPr>
              <w:t>因银矿属于</w:t>
            </w:r>
            <w:proofErr w:type="gramStart"/>
            <w:r w:rsidRPr="00652B0A">
              <w:rPr>
                <w:rFonts w:ascii="Times New Roman" w:eastAsia="宋体" w:hAnsi="Times New Roman" w:cs="Times New Roman"/>
              </w:rPr>
              <w:t>地下开采在吨矿中</w:t>
            </w:r>
            <w:proofErr w:type="gramEnd"/>
            <w:r w:rsidRPr="00652B0A">
              <w:rPr>
                <w:rFonts w:ascii="Times New Roman" w:eastAsia="宋体" w:hAnsi="Times New Roman" w:cs="Times New Roman"/>
              </w:rPr>
              <w:t>采掘比按</w:t>
            </w:r>
            <w:r w:rsidRPr="00652B0A">
              <w:rPr>
                <w:rFonts w:ascii="Times New Roman" w:eastAsia="宋体" w:hAnsi="Times New Roman" w:cs="Times New Roman"/>
              </w:rPr>
              <w:t>190m/</w:t>
            </w:r>
            <w:r w:rsidRPr="00652B0A">
              <w:rPr>
                <w:rFonts w:ascii="Times New Roman" w:eastAsia="宋体" w:hAnsi="Times New Roman" w:cs="Times New Roman"/>
              </w:rPr>
              <w:t>万</w:t>
            </w:r>
            <w:r w:rsidRPr="00652B0A">
              <w:rPr>
                <w:rFonts w:ascii="Times New Roman" w:eastAsia="宋体" w:hAnsi="Times New Roman" w:cs="Times New Roman"/>
              </w:rPr>
              <w:t>t</w:t>
            </w:r>
            <w:r w:rsidRPr="00652B0A">
              <w:rPr>
                <w:rFonts w:ascii="Times New Roman" w:eastAsia="宋体" w:hAnsi="Times New Roman" w:cs="Times New Roman"/>
              </w:rPr>
              <w:t>，仅利用尾矿充填的情况下，仅废石充填</w:t>
            </w:r>
            <w:proofErr w:type="gramStart"/>
            <w:r w:rsidRPr="00652B0A">
              <w:rPr>
                <w:rFonts w:ascii="Times New Roman" w:eastAsia="宋体" w:hAnsi="Times New Roman" w:cs="Times New Roman"/>
              </w:rPr>
              <w:t>利用约</w:t>
            </w:r>
            <w:proofErr w:type="gramEnd"/>
            <w:r w:rsidRPr="00652B0A">
              <w:rPr>
                <w:rFonts w:ascii="Times New Roman" w:eastAsia="宋体" w:hAnsi="Times New Roman" w:cs="Times New Roman"/>
              </w:rPr>
              <w:t>20%</w:t>
            </w:r>
            <w:r w:rsidRPr="00652B0A">
              <w:rPr>
                <w:rFonts w:ascii="Times New Roman" w:eastAsia="宋体" w:hAnsi="Times New Roman" w:cs="Times New Roman"/>
              </w:rPr>
              <w:t>。</w:t>
            </w:r>
          </w:p>
          <w:p w14:paraId="558133F7" w14:textId="0179E0C6" w:rsidR="004749F5" w:rsidRPr="00652B0A" w:rsidRDefault="004749F5" w:rsidP="004749F5">
            <w:pPr>
              <w:rPr>
                <w:rFonts w:ascii="Times New Roman" w:eastAsia="宋体" w:hAnsi="Times New Roman" w:cs="Times New Roman"/>
              </w:rPr>
            </w:pPr>
            <w:r w:rsidRPr="00652B0A">
              <w:rPr>
                <w:rFonts w:ascii="Times New Roman" w:eastAsia="宋体" w:hAnsi="Times New Roman" w:cs="Times New Roman"/>
              </w:rPr>
              <w:t>编号有两个</w:t>
            </w:r>
            <w:r w:rsidRPr="00652B0A">
              <w:rPr>
                <w:rFonts w:ascii="Times New Roman" w:eastAsia="宋体" w:hAnsi="Times New Roman" w:cs="Times New Roman"/>
              </w:rPr>
              <w:t>5.7.5</w:t>
            </w:r>
          </w:p>
        </w:tc>
        <w:tc>
          <w:tcPr>
            <w:tcW w:w="2409" w:type="dxa"/>
            <w:vMerge/>
            <w:vAlign w:val="center"/>
          </w:tcPr>
          <w:p w14:paraId="58B35BE1" w14:textId="77777777" w:rsidR="004749F5" w:rsidRPr="00652B0A" w:rsidRDefault="004749F5" w:rsidP="004749F5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D8ACB6" w14:textId="77777777" w:rsidR="004749F5" w:rsidRPr="00D72535" w:rsidRDefault="004749F5" w:rsidP="004749F5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采纳</w:t>
            </w:r>
          </w:p>
        </w:tc>
        <w:tc>
          <w:tcPr>
            <w:tcW w:w="5029" w:type="dxa"/>
            <w:vAlign w:val="center"/>
          </w:tcPr>
          <w:p w14:paraId="5A66CA7C" w14:textId="6C26CA81" w:rsidR="004749F5" w:rsidRPr="00D72535" w:rsidRDefault="004749F5" w:rsidP="004749F5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将第二个</w:t>
            </w:r>
            <w:r w:rsidRPr="00D72535">
              <w:rPr>
                <w:rFonts w:ascii="Times New Roman" w:eastAsia="宋体" w:hAnsi="Times New Roman" w:cs="Times New Roman"/>
              </w:rPr>
              <w:t>5.7.5</w:t>
            </w:r>
            <w:r w:rsidRPr="00D72535">
              <w:rPr>
                <w:rFonts w:ascii="Times New Roman" w:eastAsia="宋体" w:hAnsi="Times New Roman" w:cs="Times New Roman"/>
              </w:rPr>
              <w:t>修改为</w:t>
            </w:r>
            <w:r w:rsidRPr="00D72535">
              <w:rPr>
                <w:rFonts w:ascii="Times New Roman" w:eastAsia="宋体" w:hAnsi="Times New Roman" w:cs="Times New Roman"/>
              </w:rPr>
              <w:t>5.7.6</w:t>
            </w:r>
            <w:r w:rsidRPr="00D72535">
              <w:rPr>
                <w:rFonts w:ascii="Times New Roman" w:eastAsia="宋体" w:hAnsi="Times New Roman" w:cs="Times New Roman"/>
              </w:rPr>
              <w:t>。</w:t>
            </w:r>
          </w:p>
        </w:tc>
      </w:tr>
      <w:tr w:rsidR="004749F5" w:rsidRPr="00D72535" w14:paraId="58B001F5" w14:textId="77777777" w:rsidTr="006450BF">
        <w:trPr>
          <w:gridAfter w:val="1"/>
          <w:wAfter w:w="12" w:type="dxa"/>
        </w:trPr>
        <w:tc>
          <w:tcPr>
            <w:tcW w:w="689" w:type="dxa"/>
            <w:vAlign w:val="center"/>
          </w:tcPr>
          <w:p w14:paraId="3722BF57" w14:textId="575EC1B7" w:rsidR="004749F5" w:rsidRPr="00D72535" w:rsidRDefault="004749F5" w:rsidP="004749F5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296" w:type="dxa"/>
            <w:vMerge/>
            <w:vAlign w:val="center"/>
          </w:tcPr>
          <w:p w14:paraId="4B133D4E" w14:textId="77777777" w:rsidR="004749F5" w:rsidRPr="00D72535" w:rsidRDefault="004749F5" w:rsidP="004749F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3C23A4DD" w14:textId="77777777" w:rsidR="004749F5" w:rsidRPr="00D72535" w:rsidRDefault="004749F5" w:rsidP="004749F5">
            <w:pPr>
              <w:rPr>
                <w:rFonts w:ascii="Times New Roman" w:eastAsia="宋体" w:hAnsi="Times New Roman" w:cs="Times New Roman"/>
              </w:rPr>
            </w:pPr>
            <w:r w:rsidRPr="00D72535">
              <w:rPr>
                <w:rFonts w:ascii="Times New Roman" w:eastAsia="宋体" w:hAnsi="Times New Roman" w:cs="Times New Roman"/>
              </w:rPr>
              <w:t>建议选矿尾矿</w:t>
            </w:r>
            <w:proofErr w:type="gramStart"/>
            <w:r w:rsidRPr="00D72535">
              <w:rPr>
                <w:rFonts w:ascii="Times New Roman" w:eastAsia="宋体" w:hAnsi="Times New Roman" w:cs="Times New Roman"/>
              </w:rPr>
              <w:t>砂</w:t>
            </w:r>
            <w:proofErr w:type="gramEnd"/>
            <w:r w:rsidRPr="00D72535">
              <w:rPr>
                <w:rFonts w:ascii="Times New Roman" w:eastAsia="宋体" w:hAnsi="Times New Roman" w:cs="Times New Roman"/>
              </w:rPr>
              <w:t>综合利用率应</w:t>
            </w:r>
            <w:r w:rsidRPr="00D72535">
              <w:rPr>
                <w:rFonts w:ascii="Times New Roman" w:eastAsia="宋体" w:hAnsi="Times New Roman" w:cs="Times New Roman"/>
              </w:rPr>
              <w:t>≥30%</w:t>
            </w:r>
            <w:r w:rsidRPr="00D72535">
              <w:rPr>
                <w:rFonts w:ascii="Times New Roman" w:eastAsia="宋体" w:hAnsi="Times New Roman" w:cs="Times New Roman"/>
              </w:rPr>
              <w:t>。</w:t>
            </w:r>
          </w:p>
        </w:tc>
        <w:tc>
          <w:tcPr>
            <w:tcW w:w="2409" w:type="dxa"/>
            <w:vMerge/>
            <w:vAlign w:val="center"/>
          </w:tcPr>
          <w:p w14:paraId="3E788FB9" w14:textId="77777777" w:rsidR="004749F5" w:rsidRPr="00D72535" w:rsidRDefault="004749F5" w:rsidP="004749F5">
            <w:pPr>
              <w:adjustRightInd w:val="0"/>
              <w:snapToGrid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22E7317" w14:textId="430AD38A" w:rsidR="004749F5" w:rsidRPr="00D72535" w:rsidRDefault="00056289" w:rsidP="004749F5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部分</w:t>
            </w:r>
            <w:r w:rsidR="004749F5"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采纳</w:t>
            </w:r>
          </w:p>
        </w:tc>
        <w:tc>
          <w:tcPr>
            <w:tcW w:w="5029" w:type="dxa"/>
            <w:vAlign w:val="center"/>
          </w:tcPr>
          <w:p w14:paraId="3B020CC0" w14:textId="5A87B761" w:rsidR="004749F5" w:rsidRPr="00D72535" w:rsidRDefault="00056289" w:rsidP="004749F5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降低了尾砂综合利用率指标，</w:t>
            </w:r>
            <w:r w:rsidR="004749F5">
              <w:rPr>
                <w:rFonts w:ascii="Times New Roman" w:eastAsia="宋体" w:hAnsi="Times New Roman" w:cs="Times New Roman" w:hint="eastAsia"/>
              </w:rPr>
              <w:t>按照银矿石的种类，结合铅锌、黄金清洁生产评价指标体系，确定了尾砂综合利用率指标：</w:t>
            </w:r>
            <w:r w:rsidR="004749F5" w:rsidRPr="002E7857">
              <w:rPr>
                <w:rFonts w:ascii="Times New Roman" w:eastAsia="宋体" w:hAnsi="Times New Roman" w:cs="Times New Roman"/>
              </w:rPr>
              <w:t>单一银矿及</w:t>
            </w:r>
            <w:proofErr w:type="gramStart"/>
            <w:r w:rsidR="004749F5" w:rsidRPr="002E7857">
              <w:rPr>
                <w:rFonts w:ascii="Times New Roman" w:eastAsia="宋体" w:hAnsi="Times New Roman" w:cs="Times New Roman"/>
              </w:rPr>
              <w:t>伴生金</w:t>
            </w:r>
            <w:proofErr w:type="gramEnd"/>
            <w:r w:rsidR="004749F5" w:rsidRPr="002E7857">
              <w:rPr>
                <w:rFonts w:ascii="Times New Roman" w:eastAsia="宋体" w:hAnsi="Times New Roman" w:cs="Times New Roman"/>
              </w:rPr>
              <w:t>的银矿选矿尾矿综合利用率应</w:t>
            </w:r>
            <w:r w:rsidR="004749F5" w:rsidRPr="002E7857">
              <w:rPr>
                <w:rFonts w:ascii="Times New Roman" w:eastAsia="宋体" w:hAnsi="Times New Roman" w:cs="Times New Roman"/>
              </w:rPr>
              <w:t>≥20%</w:t>
            </w:r>
            <w:r w:rsidR="004749F5">
              <w:rPr>
                <w:rFonts w:ascii="Times New Roman" w:eastAsia="宋体" w:hAnsi="Times New Roman" w:cs="Times New Roman" w:hint="eastAsia"/>
              </w:rPr>
              <w:t>，</w:t>
            </w:r>
            <w:r w:rsidR="004749F5" w:rsidRPr="002E7857">
              <w:rPr>
                <w:rFonts w:ascii="Times New Roman" w:eastAsia="宋体" w:hAnsi="Times New Roman" w:cs="Times New Roman"/>
              </w:rPr>
              <w:t>宜</w:t>
            </w:r>
            <w:r w:rsidR="004749F5" w:rsidRPr="002E7857">
              <w:rPr>
                <w:rFonts w:ascii="Times New Roman" w:eastAsia="宋体" w:hAnsi="Times New Roman" w:cs="Times New Roman"/>
              </w:rPr>
              <w:t>≥25%</w:t>
            </w:r>
            <w:r w:rsidR="004749F5" w:rsidRPr="002E7857">
              <w:rPr>
                <w:rFonts w:ascii="Times New Roman" w:eastAsia="宋体" w:hAnsi="Times New Roman" w:cs="Times New Roman"/>
              </w:rPr>
              <w:t>。伴生铅锌、铜的银矿选矿尾矿综合利用率应</w:t>
            </w:r>
            <w:r w:rsidR="004749F5" w:rsidRPr="002E7857">
              <w:rPr>
                <w:rFonts w:ascii="Times New Roman" w:eastAsia="宋体" w:hAnsi="Times New Roman" w:cs="Times New Roman"/>
              </w:rPr>
              <w:t>≥40%</w:t>
            </w:r>
            <w:r w:rsidR="004749F5">
              <w:rPr>
                <w:rFonts w:ascii="Times New Roman" w:eastAsia="宋体" w:hAnsi="Times New Roman" w:cs="Times New Roman" w:hint="eastAsia"/>
              </w:rPr>
              <w:t>，</w:t>
            </w:r>
            <w:r w:rsidR="004749F5" w:rsidRPr="002E7857">
              <w:rPr>
                <w:rFonts w:ascii="Times New Roman" w:eastAsia="宋体" w:hAnsi="Times New Roman" w:cs="Times New Roman"/>
              </w:rPr>
              <w:t>宜</w:t>
            </w:r>
            <w:r w:rsidR="004749F5" w:rsidRPr="002E7857">
              <w:rPr>
                <w:rFonts w:ascii="Times New Roman" w:eastAsia="宋体" w:hAnsi="Times New Roman" w:cs="Times New Roman"/>
              </w:rPr>
              <w:t>≥50%</w:t>
            </w:r>
            <w:r w:rsidR="004749F5" w:rsidRPr="002E7857">
              <w:rPr>
                <w:rFonts w:ascii="Times New Roman" w:eastAsia="宋体" w:hAnsi="Times New Roman" w:cs="Times New Roman"/>
              </w:rPr>
              <w:t>。</w:t>
            </w:r>
          </w:p>
        </w:tc>
      </w:tr>
      <w:tr w:rsidR="00050F65" w:rsidRPr="00D72535" w14:paraId="74ECBADE" w14:textId="77777777" w:rsidTr="006450BF">
        <w:trPr>
          <w:tblHeader/>
        </w:trPr>
        <w:tc>
          <w:tcPr>
            <w:tcW w:w="689" w:type="dxa"/>
            <w:vAlign w:val="center"/>
          </w:tcPr>
          <w:p w14:paraId="67ABCD3A" w14:textId="210247B2" w:rsidR="00050F65" w:rsidRPr="00050F65" w:rsidRDefault="003D212E" w:rsidP="00050F6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7</w:t>
            </w:r>
          </w:p>
        </w:tc>
        <w:tc>
          <w:tcPr>
            <w:tcW w:w="1296" w:type="dxa"/>
            <w:vAlign w:val="center"/>
          </w:tcPr>
          <w:p w14:paraId="44ED1165" w14:textId="08E64E2C" w:rsidR="00050F65" w:rsidRDefault="00050F65" w:rsidP="00050F6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5</w:t>
            </w:r>
            <w:r>
              <w:rPr>
                <w:rFonts w:ascii="Times New Roman" w:eastAsia="宋体" w:hAnsi="Times New Roman" w:cs="Times New Roman"/>
              </w:rPr>
              <w:t>.1.1.1</w:t>
            </w:r>
          </w:p>
        </w:tc>
        <w:tc>
          <w:tcPr>
            <w:tcW w:w="4111" w:type="dxa"/>
            <w:vAlign w:val="center"/>
          </w:tcPr>
          <w:p w14:paraId="55C13C09" w14:textId="73E1981F" w:rsidR="00050F65" w:rsidRPr="00050F65" w:rsidRDefault="00050F65" w:rsidP="005143F8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建议将运行一年以上改为“稳定运行一年以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lastRenderedPageBreak/>
              <w:t>上”</w:t>
            </w:r>
          </w:p>
        </w:tc>
        <w:tc>
          <w:tcPr>
            <w:tcW w:w="2409" w:type="dxa"/>
            <w:vMerge w:val="restart"/>
            <w:vAlign w:val="center"/>
          </w:tcPr>
          <w:p w14:paraId="71291822" w14:textId="67380353" w:rsidR="00050F65" w:rsidRDefault="00050F65" w:rsidP="005143F8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lastRenderedPageBreak/>
              <w:t>中国有色金属工业协会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lastRenderedPageBreak/>
              <w:t>金银分会</w:t>
            </w:r>
          </w:p>
        </w:tc>
        <w:tc>
          <w:tcPr>
            <w:tcW w:w="1134" w:type="dxa"/>
            <w:vAlign w:val="center"/>
          </w:tcPr>
          <w:p w14:paraId="508FBBA6" w14:textId="004CB0C2" w:rsidR="00050F65" w:rsidRPr="00050F65" w:rsidRDefault="00050F65" w:rsidP="005143F8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lastRenderedPageBreak/>
              <w:t>采纳</w:t>
            </w:r>
          </w:p>
        </w:tc>
        <w:tc>
          <w:tcPr>
            <w:tcW w:w="5041" w:type="dxa"/>
            <w:gridSpan w:val="2"/>
            <w:vAlign w:val="center"/>
          </w:tcPr>
          <w:p w14:paraId="351EAD57" w14:textId="1C688DF2" w:rsidR="00050F65" w:rsidRDefault="00050F65" w:rsidP="005143F8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已修改。</w:t>
            </w:r>
          </w:p>
        </w:tc>
      </w:tr>
      <w:tr w:rsidR="00050F65" w:rsidRPr="00D72535" w14:paraId="60C36560" w14:textId="77777777" w:rsidTr="006450BF">
        <w:trPr>
          <w:tblHeader/>
        </w:trPr>
        <w:tc>
          <w:tcPr>
            <w:tcW w:w="689" w:type="dxa"/>
            <w:vAlign w:val="center"/>
          </w:tcPr>
          <w:p w14:paraId="3F0C9EA0" w14:textId="6F854091" w:rsidR="00050F65" w:rsidRPr="00050F65" w:rsidRDefault="003D212E" w:rsidP="00050F6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</w:t>
            </w:r>
          </w:p>
        </w:tc>
        <w:tc>
          <w:tcPr>
            <w:tcW w:w="1296" w:type="dxa"/>
            <w:vAlign w:val="center"/>
          </w:tcPr>
          <w:p w14:paraId="622E3FCF" w14:textId="6EAC42E8" w:rsidR="00050F65" w:rsidRPr="00D72535" w:rsidRDefault="00050F65" w:rsidP="00050F6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5</w:t>
            </w:r>
            <w:r>
              <w:rPr>
                <w:rFonts w:ascii="Times New Roman" w:eastAsia="宋体" w:hAnsi="Times New Roman" w:cs="Times New Roman"/>
              </w:rPr>
              <w:t>.2.3.1</w:t>
            </w:r>
          </w:p>
        </w:tc>
        <w:tc>
          <w:tcPr>
            <w:tcW w:w="4111" w:type="dxa"/>
            <w:vAlign w:val="center"/>
          </w:tcPr>
          <w:p w14:paraId="2352C051" w14:textId="41A2CDBE" w:rsidR="00050F65" w:rsidRPr="00D72535" w:rsidRDefault="00050F65" w:rsidP="005143F8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50F6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一般要求补充“</w:t>
            </w:r>
            <w:r w:rsidRPr="00050F6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DZ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T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Pr="00050F6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0376 </w:t>
            </w:r>
            <w:r w:rsidRPr="00050F6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智能矿山建设规范</w:t>
            </w:r>
            <w:r w:rsidRPr="00050F6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”</w:t>
            </w:r>
          </w:p>
        </w:tc>
        <w:tc>
          <w:tcPr>
            <w:tcW w:w="2409" w:type="dxa"/>
            <w:vMerge/>
            <w:vAlign w:val="center"/>
          </w:tcPr>
          <w:p w14:paraId="38A8AE48" w14:textId="0CC47137" w:rsidR="00050F65" w:rsidRPr="00D72535" w:rsidRDefault="00050F65" w:rsidP="005143F8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32C53E" w14:textId="1EE57DCE" w:rsidR="00050F65" w:rsidRPr="00D72535" w:rsidRDefault="00050F65" w:rsidP="005143F8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5041" w:type="dxa"/>
            <w:gridSpan w:val="2"/>
            <w:vAlign w:val="center"/>
          </w:tcPr>
          <w:p w14:paraId="48C5A122" w14:textId="15032E32" w:rsidR="00050F65" w:rsidRPr="00D72535" w:rsidRDefault="00050F65" w:rsidP="005143F8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已补充。</w:t>
            </w:r>
          </w:p>
        </w:tc>
      </w:tr>
      <w:tr w:rsidR="00050F65" w:rsidRPr="00D72535" w14:paraId="07FB2315" w14:textId="77777777" w:rsidTr="006450BF">
        <w:trPr>
          <w:tblHeader/>
        </w:trPr>
        <w:tc>
          <w:tcPr>
            <w:tcW w:w="689" w:type="dxa"/>
            <w:vAlign w:val="center"/>
          </w:tcPr>
          <w:p w14:paraId="6635BA6C" w14:textId="660AF0C3" w:rsidR="00050F65" w:rsidRPr="00050F65" w:rsidRDefault="003D212E" w:rsidP="00050F6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9</w:t>
            </w:r>
          </w:p>
        </w:tc>
        <w:tc>
          <w:tcPr>
            <w:tcW w:w="1296" w:type="dxa"/>
            <w:vAlign w:val="center"/>
          </w:tcPr>
          <w:p w14:paraId="363DA69D" w14:textId="4B23840E" w:rsidR="00050F65" w:rsidRDefault="00AE6087" w:rsidP="00050F6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5</w:t>
            </w:r>
            <w:r>
              <w:rPr>
                <w:rFonts w:ascii="Times New Roman" w:eastAsia="宋体" w:hAnsi="Times New Roman" w:cs="Times New Roman"/>
              </w:rPr>
              <w:t>.7.5</w:t>
            </w:r>
          </w:p>
        </w:tc>
        <w:tc>
          <w:tcPr>
            <w:tcW w:w="4111" w:type="dxa"/>
            <w:vAlign w:val="center"/>
          </w:tcPr>
          <w:p w14:paraId="762DA5A8" w14:textId="1728D6D2" w:rsidR="00050F65" w:rsidRPr="00050F65" w:rsidRDefault="00050F65" w:rsidP="005143F8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50F6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银矿采选业目前无能耗标准、清洁生产标准，标准不成熟，建议尾砂综合利用率、单位产品能耗等指标适当放宽。</w:t>
            </w:r>
          </w:p>
        </w:tc>
        <w:tc>
          <w:tcPr>
            <w:tcW w:w="2409" w:type="dxa"/>
            <w:vMerge/>
            <w:vAlign w:val="center"/>
          </w:tcPr>
          <w:p w14:paraId="503908F4" w14:textId="77777777" w:rsidR="00050F65" w:rsidRPr="00D72535" w:rsidRDefault="00050F65" w:rsidP="005143F8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195A46" w14:textId="03DCDEFF" w:rsidR="00050F65" w:rsidRDefault="00050F65" w:rsidP="005143F8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5041" w:type="dxa"/>
            <w:gridSpan w:val="2"/>
            <w:vAlign w:val="center"/>
          </w:tcPr>
          <w:p w14:paraId="62A8FCE7" w14:textId="3CE50E54" w:rsidR="00050F65" w:rsidRDefault="00050F65" w:rsidP="005143F8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结合调研企业实际情况，将</w:t>
            </w:r>
            <w:r w:rsidRPr="00050F6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选矿尾</w:t>
            </w:r>
            <w:r w:rsidR="00AE6087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矿</w:t>
            </w:r>
            <w:r w:rsidRPr="00050F6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综合利用率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调整为</w:t>
            </w:r>
            <w:r w:rsidRPr="00050F6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应≥</w:t>
            </w:r>
            <w:r w:rsidRPr="00050F6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20%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，宜</w:t>
            </w:r>
            <w:r w:rsidRPr="00050F6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≥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050F6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0%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。</w:t>
            </w:r>
          </w:p>
        </w:tc>
      </w:tr>
      <w:tr w:rsidR="006450BF" w:rsidRPr="00D72535" w14:paraId="013AA346" w14:textId="77777777" w:rsidTr="006450BF">
        <w:trPr>
          <w:tblHeader/>
        </w:trPr>
        <w:tc>
          <w:tcPr>
            <w:tcW w:w="689" w:type="dxa"/>
            <w:vAlign w:val="center"/>
          </w:tcPr>
          <w:p w14:paraId="09F12564" w14:textId="7B68CD4B" w:rsidR="006450BF" w:rsidRPr="00050F65" w:rsidRDefault="006450BF" w:rsidP="003D212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296" w:type="dxa"/>
            <w:vAlign w:val="center"/>
          </w:tcPr>
          <w:p w14:paraId="0334362A" w14:textId="39226996" w:rsidR="006450BF" w:rsidRDefault="006450BF" w:rsidP="003D212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E7857">
              <w:rPr>
                <w:rFonts w:ascii="Times New Roman" w:eastAsia="宋体" w:hAnsi="Times New Roman" w:cs="Times New Roman"/>
              </w:rPr>
              <w:t>前言</w:t>
            </w:r>
          </w:p>
        </w:tc>
        <w:tc>
          <w:tcPr>
            <w:tcW w:w="4111" w:type="dxa"/>
            <w:vAlign w:val="center"/>
          </w:tcPr>
          <w:p w14:paraId="050E8BA7" w14:textId="4CF6C5D2" w:rsidR="006450BF" w:rsidRPr="00050F65" w:rsidRDefault="006450BF" w:rsidP="003D212E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E7857">
              <w:rPr>
                <w:rFonts w:ascii="Times New Roman" w:eastAsia="宋体" w:hAnsi="Times New Roman" w:cs="Times New Roman"/>
              </w:rPr>
              <w:t>GB/T 1.1-2020</w:t>
            </w:r>
            <w:r w:rsidRPr="002E7857">
              <w:rPr>
                <w:rFonts w:ascii="Times New Roman" w:eastAsia="宋体" w:hAnsi="Times New Roman" w:cs="Times New Roman"/>
              </w:rPr>
              <w:t>中的</w:t>
            </w:r>
            <w:r w:rsidRPr="002E7857">
              <w:rPr>
                <w:rFonts w:ascii="Times New Roman" w:eastAsia="宋体" w:hAnsi="Times New Roman" w:cs="Times New Roman"/>
              </w:rPr>
              <w:t>-</w:t>
            </w:r>
            <w:r w:rsidRPr="002E7857">
              <w:rPr>
                <w:rFonts w:ascii="Times New Roman" w:eastAsia="宋体" w:hAnsi="Times New Roman" w:cs="Times New Roman"/>
              </w:rPr>
              <w:t>改为</w:t>
            </w:r>
            <w:r w:rsidRPr="002E7857">
              <w:rPr>
                <w:rFonts w:ascii="Times New Roman" w:eastAsia="宋体" w:hAnsi="Times New Roman" w:cs="Times New Roman" w:hint="eastAsia"/>
              </w:rPr>
              <w:t>—。</w:t>
            </w:r>
          </w:p>
        </w:tc>
        <w:tc>
          <w:tcPr>
            <w:tcW w:w="2409" w:type="dxa"/>
            <w:vMerge w:val="restart"/>
            <w:vAlign w:val="center"/>
          </w:tcPr>
          <w:p w14:paraId="1A104776" w14:textId="56D3EFBB" w:rsidR="006450BF" w:rsidRPr="00D72535" w:rsidRDefault="006450BF" w:rsidP="006450BF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E7857">
              <w:rPr>
                <w:rFonts w:ascii="Times New Roman" w:eastAsia="宋体" w:hAnsi="Times New Roman" w:cs="Times New Roman" w:hint="eastAsia"/>
              </w:rPr>
              <w:t>长春黄金研究院有限公司</w:t>
            </w:r>
          </w:p>
        </w:tc>
        <w:tc>
          <w:tcPr>
            <w:tcW w:w="1134" w:type="dxa"/>
            <w:vAlign w:val="center"/>
          </w:tcPr>
          <w:p w14:paraId="7D923067" w14:textId="7DE2C2B0" w:rsidR="006450BF" w:rsidRDefault="006450BF" w:rsidP="003D2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采纳</w:t>
            </w:r>
          </w:p>
        </w:tc>
        <w:tc>
          <w:tcPr>
            <w:tcW w:w="5041" w:type="dxa"/>
            <w:gridSpan w:val="2"/>
            <w:vAlign w:val="center"/>
          </w:tcPr>
          <w:p w14:paraId="6C57D95D" w14:textId="4FC49EBD" w:rsidR="006450BF" w:rsidRDefault="006450BF" w:rsidP="003D2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已修改</w:t>
            </w:r>
          </w:p>
        </w:tc>
      </w:tr>
      <w:tr w:rsidR="006450BF" w:rsidRPr="00D72535" w14:paraId="19B9A931" w14:textId="77777777" w:rsidTr="006450BF">
        <w:trPr>
          <w:tblHeader/>
        </w:trPr>
        <w:tc>
          <w:tcPr>
            <w:tcW w:w="689" w:type="dxa"/>
            <w:vAlign w:val="center"/>
          </w:tcPr>
          <w:p w14:paraId="419669DB" w14:textId="400A14A6" w:rsidR="006450BF" w:rsidRPr="00050F65" w:rsidRDefault="006450BF" w:rsidP="003D212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1296" w:type="dxa"/>
            <w:vAlign w:val="center"/>
          </w:tcPr>
          <w:p w14:paraId="4267BD98" w14:textId="407257E1" w:rsidR="006450BF" w:rsidRDefault="006450BF" w:rsidP="003D212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</w:p>
        </w:tc>
        <w:tc>
          <w:tcPr>
            <w:tcW w:w="4111" w:type="dxa"/>
            <w:vAlign w:val="center"/>
          </w:tcPr>
          <w:p w14:paraId="20E136A7" w14:textId="53BCE29B" w:rsidR="006450BF" w:rsidRPr="00050F65" w:rsidRDefault="006450BF" w:rsidP="003D212E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E7857">
              <w:rPr>
                <w:rFonts w:ascii="Times New Roman" w:eastAsia="宋体" w:hAnsi="Times New Roman" w:cs="Times New Roman"/>
              </w:rPr>
              <w:t>规范性引用文件中</w:t>
            </w:r>
            <w:r w:rsidRPr="002E7857">
              <w:rPr>
                <w:rFonts w:ascii="Times New Roman" w:eastAsia="宋体" w:hAnsi="Times New Roman" w:cs="Times New Roman"/>
              </w:rPr>
              <w:t xml:space="preserve">YS/T433 </w:t>
            </w:r>
            <w:r w:rsidRPr="002E7857">
              <w:rPr>
                <w:rFonts w:ascii="Times New Roman" w:eastAsia="宋体" w:hAnsi="Times New Roman" w:cs="Times New Roman"/>
              </w:rPr>
              <w:t>银精矿应放在</w:t>
            </w:r>
            <w:r w:rsidRPr="002E7857">
              <w:rPr>
                <w:rFonts w:ascii="Times New Roman" w:eastAsia="宋体" w:hAnsi="Times New Roman" w:cs="Times New Roman"/>
              </w:rPr>
              <w:t>YS/T 337</w:t>
            </w:r>
            <w:r w:rsidRPr="002E7857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2E7857">
              <w:rPr>
                <w:rFonts w:ascii="Times New Roman" w:eastAsia="宋体" w:hAnsi="Times New Roman" w:cs="Times New Roman"/>
              </w:rPr>
              <w:t>硫精矿之后</w:t>
            </w:r>
          </w:p>
        </w:tc>
        <w:tc>
          <w:tcPr>
            <w:tcW w:w="2409" w:type="dxa"/>
            <w:vMerge/>
            <w:vAlign w:val="center"/>
          </w:tcPr>
          <w:p w14:paraId="7AFA749D" w14:textId="205E5AEA" w:rsidR="006450BF" w:rsidRPr="00D72535" w:rsidRDefault="006450BF" w:rsidP="003D2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58A3F7" w14:textId="104E3C3D" w:rsidR="006450BF" w:rsidRDefault="006450BF" w:rsidP="003D2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采纳</w:t>
            </w:r>
          </w:p>
        </w:tc>
        <w:tc>
          <w:tcPr>
            <w:tcW w:w="5041" w:type="dxa"/>
            <w:gridSpan w:val="2"/>
            <w:vAlign w:val="center"/>
          </w:tcPr>
          <w:p w14:paraId="64974186" w14:textId="03589A29" w:rsidR="006450BF" w:rsidRDefault="006450BF" w:rsidP="003D2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已修改</w:t>
            </w:r>
          </w:p>
        </w:tc>
      </w:tr>
      <w:tr w:rsidR="006450BF" w:rsidRPr="00D72535" w14:paraId="587A561D" w14:textId="77777777" w:rsidTr="006450BF">
        <w:trPr>
          <w:tblHeader/>
        </w:trPr>
        <w:tc>
          <w:tcPr>
            <w:tcW w:w="689" w:type="dxa"/>
            <w:vAlign w:val="center"/>
          </w:tcPr>
          <w:p w14:paraId="029C8BC7" w14:textId="37F94D21" w:rsidR="006450BF" w:rsidRPr="00050F65" w:rsidRDefault="006450BF" w:rsidP="003D212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296" w:type="dxa"/>
            <w:vAlign w:val="center"/>
          </w:tcPr>
          <w:p w14:paraId="4AAB1600" w14:textId="2A976F18" w:rsidR="006450BF" w:rsidRDefault="006450BF" w:rsidP="003D212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</w:p>
        </w:tc>
        <w:tc>
          <w:tcPr>
            <w:tcW w:w="4111" w:type="dxa"/>
            <w:vAlign w:val="center"/>
          </w:tcPr>
          <w:p w14:paraId="2077ED7F" w14:textId="6DF266DD" w:rsidR="006450BF" w:rsidRPr="00050F65" w:rsidRDefault="006450BF" w:rsidP="003D212E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2E7857">
              <w:rPr>
                <w:rFonts w:ascii="Times New Roman" w:eastAsia="宋体" w:hAnsi="Times New Roman" w:cs="Times New Roman"/>
              </w:rPr>
              <w:t>规范性引用文件中</w:t>
            </w:r>
            <w:r w:rsidRPr="002E7857">
              <w:rPr>
                <w:rFonts w:ascii="Times New Roman" w:eastAsia="宋体" w:hAnsi="Times New Roman" w:cs="Times New Roman"/>
              </w:rPr>
              <w:t>GBZ2.1</w:t>
            </w:r>
            <w:r w:rsidRPr="002E7857">
              <w:rPr>
                <w:rFonts w:ascii="Times New Roman" w:eastAsia="宋体" w:hAnsi="Times New Roman" w:cs="Times New Roman" w:hint="eastAsia"/>
              </w:rPr>
              <w:t>《工作场所有害因素职业接触限值第</w:t>
            </w:r>
            <w:r w:rsidRPr="002E7857">
              <w:rPr>
                <w:rFonts w:ascii="Times New Roman" w:eastAsia="宋体" w:hAnsi="Times New Roman" w:cs="Times New Roman"/>
              </w:rPr>
              <w:t>1</w:t>
            </w:r>
            <w:r w:rsidRPr="002E7857">
              <w:rPr>
                <w:rFonts w:ascii="Times New Roman" w:eastAsia="宋体" w:hAnsi="Times New Roman" w:cs="Times New Roman"/>
              </w:rPr>
              <w:t>部分：化学有害因素》应放在第</w:t>
            </w:r>
            <w:r w:rsidRPr="002E7857">
              <w:rPr>
                <w:rFonts w:ascii="Times New Roman" w:eastAsia="宋体" w:hAnsi="Times New Roman" w:cs="Times New Roman" w:hint="eastAsia"/>
              </w:rPr>
              <w:t>1</w:t>
            </w:r>
            <w:r w:rsidRPr="002E7857">
              <w:rPr>
                <w:rFonts w:ascii="Times New Roman" w:eastAsia="宋体" w:hAnsi="Times New Roman" w:cs="Times New Roman" w:hint="eastAsia"/>
              </w:rPr>
              <w:t>个位置</w:t>
            </w:r>
          </w:p>
        </w:tc>
        <w:tc>
          <w:tcPr>
            <w:tcW w:w="2409" w:type="dxa"/>
            <w:vMerge/>
            <w:vAlign w:val="center"/>
          </w:tcPr>
          <w:p w14:paraId="33DEF668" w14:textId="3638785A" w:rsidR="006450BF" w:rsidRPr="00D72535" w:rsidRDefault="006450BF" w:rsidP="003D2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9FC262" w14:textId="076117F6" w:rsidR="006450BF" w:rsidRDefault="006450BF" w:rsidP="003D2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不采纳</w:t>
            </w:r>
          </w:p>
        </w:tc>
        <w:tc>
          <w:tcPr>
            <w:tcW w:w="5041" w:type="dxa"/>
            <w:gridSpan w:val="2"/>
            <w:vAlign w:val="center"/>
          </w:tcPr>
          <w:p w14:paraId="0AF0F1D6" w14:textId="79E14DD8" w:rsidR="006450BF" w:rsidRDefault="006450BF" w:rsidP="003D2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该项标准为行业标准，不是国标。</w:t>
            </w:r>
          </w:p>
        </w:tc>
      </w:tr>
      <w:tr w:rsidR="006450BF" w:rsidRPr="00D72535" w14:paraId="22A38B57" w14:textId="77777777" w:rsidTr="006450BF">
        <w:trPr>
          <w:tblHeader/>
        </w:trPr>
        <w:tc>
          <w:tcPr>
            <w:tcW w:w="689" w:type="dxa"/>
            <w:vAlign w:val="center"/>
          </w:tcPr>
          <w:p w14:paraId="2E875401" w14:textId="06C95CCC" w:rsidR="006450BF" w:rsidRPr="00050F65" w:rsidRDefault="006450BF" w:rsidP="003D212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296" w:type="dxa"/>
            <w:vAlign w:val="center"/>
          </w:tcPr>
          <w:p w14:paraId="18AE6722" w14:textId="30D5B8EC" w:rsidR="006450BF" w:rsidRDefault="006450BF" w:rsidP="003D212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013D41">
              <w:rPr>
                <w:rFonts w:ascii="Times New Roman" w:eastAsia="宋体" w:hAnsi="Times New Roman" w:cs="Times New Roman"/>
              </w:rPr>
              <w:t>4.1.2</w:t>
            </w:r>
          </w:p>
        </w:tc>
        <w:tc>
          <w:tcPr>
            <w:tcW w:w="4111" w:type="dxa"/>
            <w:vAlign w:val="center"/>
          </w:tcPr>
          <w:p w14:paraId="75B742BD" w14:textId="0BDDF2EF" w:rsidR="006450BF" w:rsidRPr="00050F65" w:rsidRDefault="006450BF" w:rsidP="003D212E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013D41">
              <w:rPr>
                <w:rFonts w:ascii="Times New Roman" w:eastAsia="宋体" w:hAnsi="Times New Roman" w:cs="Times New Roman"/>
              </w:rPr>
              <w:t>行业性原则</w:t>
            </w:r>
            <w:r>
              <w:rPr>
                <w:rFonts w:ascii="Times New Roman" w:eastAsia="宋体" w:hAnsi="Times New Roman" w:cs="Times New Roman" w:hint="eastAsia"/>
              </w:rPr>
              <w:t>：增加</w:t>
            </w:r>
            <w:r w:rsidRPr="00013D41">
              <w:rPr>
                <w:rFonts w:ascii="Times New Roman" w:eastAsia="宋体" w:hAnsi="Times New Roman" w:cs="Times New Roman"/>
              </w:rPr>
              <w:t>YS/T1426</w:t>
            </w:r>
            <w:r w:rsidRPr="00013D41">
              <w:rPr>
                <w:rFonts w:ascii="Times New Roman" w:eastAsia="宋体" w:hAnsi="Times New Roman" w:cs="Times New Roman"/>
              </w:rPr>
              <w:t>。</w:t>
            </w:r>
          </w:p>
        </w:tc>
        <w:tc>
          <w:tcPr>
            <w:tcW w:w="2409" w:type="dxa"/>
            <w:vMerge w:val="restart"/>
            <w:vAlign w:val="center"/>
          </w:tcPr>
          <w:p w14:paraId="12884021" w14:textId="42A812BC" w:rsidR="006450BF" w:rsidRPr="00D72535" w:rsidRDefault="006450BF" w:rsidP="006450BF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C4109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莱州汇金矿业投资</w:t>
            </w:r>
            <w:proofErr w:type="gramStart"/>
            <w:r w:rsidRPr="00C4109E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有限公司纱岭金矿</w:t>
            </w:r>
            <w:proofErr w:type="gramEnd"/>
          </w:p>
        </w:tc>
        <w:tc>
          <w:tcPr>
            <w:tcW w:w="1134" w:type="dxa"/>
            <w:vAlign w:val="center"/>
          </w:tcPr>
          <w:p w14:paraId="1010E205" w14:textId="0FEC7A0E" w:rsidR="006450BF" w:rsidRDefault="006450BF" w:rsidP="003D2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5041" w:type="dxa"/>
            <w:gridSpan w:val="2"/>
            <w:vAlign w:val="center"/>
          </w:tcPr>
          <w:p w14:paraId="72BB9DD9" w14:textId="41F5048A" w:rsidR="006450BF" w:rsidRDefault="006450BF" w:rsidP="003D2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修改为“</w:t>
            </w:r>
            <w:r w:rsidRPr="00013D4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评价要求在</w:t>
            </w:r>
            <w:r w:rsidRPr="00013D4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GB/T36132-2018</w:t>
            </w:r>
            <w:r w:rsidRPr="00013D4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</w:t>
            </w:r>
            <w:r w:rsidRPr="00013D4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YS/T1426</w:t>
            </w:r>
            <w:r w:rsidRPr="00013D4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基础上突出银矿采选行业的特征。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”</w:t>
            </w:r>
          </w:p>
        </w:tc>
      </w:tr>
      <w:tr w:rsidR="006450BF" w:rsidRPr="00D72535" w14:paraId="1D1E0903" w14:textId="77777777" w:rsidTr="006450BF">
        <w:trPr>
          <w:tblHeader/>
        </w:trPr>
        <w:tc>
          <w:tcPr>
            <w:tcW w:w="689" w:type="dxa"/>
            <w:vAlign w:val="center"/>
          </w:tcPr>
          <w:p w14:paraId="772545AB" w14:textId="074C9719" w:rsidR="006450BF" w:rsidRPr="00050F65" w:rsidRDefault="006450BF" w:rsidP="003D212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1296" w:type="dxa"/>
            <w:vAlign w:val="center"/>
          </w:tcPr>
          <w:p w14:paraId="6BEEB2BF" w14:textId="1B0BC221" w:rsidR="006450BF" w:rsidRDefault="006450BF" w:rsidP="003D212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013D41">
              <w:rPr>
                <w:rFonts w:ascii="Times New Roman" w:eastAsia="宋体" w:hAnsi="Times New Roman" w:cs="Times New Roman"/>
              </w:rPr>
              <w:t>5.2.3.4</w:t>
            </w:r>
            <w:r w:rsidRPr="00D72535">
              <w:rPr>
                <w:rFonts w:ascii="Times New Roman" w:eastAsia="宋体" w:hAnsi="Times New Roman" w:cs="Times New Roman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3F4C2C84" w14:textId="3A88C6BA" w:rsidR="006450BF" w:rsidRPr="00050F65" w:rsidRDefault="006450BF" w:rsidP="003D212E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爆破无法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采取抑尘措施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，建议去掉</w:t>
            </w:r>
          </w:p>
        </w:tc>
        <w:tc>
          <w:tcPr>
            <w:tcW w:w="2409" w:type="dxa"/>
            <w:vMerge/>
            <w:vAlign w:val="center"/>
          </w:tcPr>
          <w:p w14:paraId="6854A9C7" w14:textId="7D0998FB" w:rsidR="006450BF" w:rsidRPr="00D72535" w:rsidRDefault="006450BF" w:rsidP="003D2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0231BB" w14:textId="2C3C9E92" w:rsidR="006450BF" w:rsidRDefault="006450BF" w:rsidP="003D2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5041" w:type="dxa"/>
            <w:gridSpan w:val="2"/>
            <w:vAlign w:val="center"/>
          </w:tcPr>
          <w:p w14:paraId="563A7EC4" w14:textId="78EEB437" w:rsidR="006450BF" w:rsidRDefault="006450BF" w:rsidP="003D2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修改为“</w:t>
            </w:r>
            <w:r w:rsidRPr="00013D4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013D4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）地下开采的凿岩、铲装作业区应采取抑尘措施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。”</w:t>
            </w:r>
          </w:p>
        </w:tc>
      </w:tr>
      <w:tr w:rsidR="006450BF" w:rsidRPr="00D72535" w14:paraId="46BF5515" w14:textId="77777777" w:rsidTr="006450BF">
        <w:trPr>
          <w:tblHeader/>
        </w:trPr>
        <w:tc>
          <w:tcPr>
            <w:tcW w:w="689" w:type="dxa"/>
            <w:vAlign w:val="center"/>
          </w:tcPr>
          <w:p w14:paraId="244C6978" w14:textId="5237A684" w:rsidR="006450BF" w:rsidRPr="00050F65" w:rsidRDefault="006450BF" w:rsidP="003D212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1296" w:type="dxa"/>
            <w:vAlign w:val="center"/>
          </w:tcPr>
          <w:p w14:paraId="2276EEF9" w14:textId="10B0F508" w:rsidR="006450BF" w:rsidRDefault="006450BF" w:rsidP="003D212E">
            <w:pPr>
              <w:jc w:val="center"/>
              <w:rPr>
                <w:rFonts w:ascii="Times New Roman" w:eastAsia="宋体" w:hAnsi="Times New Roman" w:cs="Times New Roman"/>
              </w:rPr>
            </w:pPr>
            <w:r w:rsidRPr="00013D41">
              <w:rPr>
                <w:rFonts w:ascii="Times New Roman" w:eastAsia="宋体" w:hAnsi="Times New Roman" w:cs="Times New Roman"/>
              </w:rPr>
              <w:t>5.3.5</w:t>
            </w:r>
          </w:p>
        </w:tc>
        <w:tc>
          <w:tcPr>
            <w:tcW w:w="4111" w:type="dxa"/>
            <w:vAlign w:val="center"/>
          </w:tcPr>
          <w:p w14:paraId="47BA79C8" w14:textId="0C50D2EE" w:rsidR="006450BF" w:rsidRPr="00050F65" w:rsidRDefault="006450BF" w:rsidP="003D212E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社会责任</w:t>
            </w:r>
            <w:proofErr w:type="gramStart"/>
            <w:r>
              <w:rPr>
                <w:rFonts w:ascii="Times New Roman" w:eastAsia="宋体" w:hAnsi="Times New Roman" w:cs="Times New Roman" w:hint="eastAsia"/>
              </w:rPr>
              <w:t>报告非</w:t>
            </w:r>
            <w:proofErr w:type="gramEnd"/>
            <w:r>
              <w:rPr>
                <w:rFonts w:ascii="Times New Roman" w:eastAsia="宋体" w:hAnsi="Times New Roman" w:cs="Times New Roman" w:hint="eastAsia"/>
              </w:rPr>
              <w:t>法律法规强制行为，应该将</w:t>
            </w:r>
            <w:r w:rsidRPr="00013D41">
              <w:rPr>
                <w:rFonts w:ascii="Times New Roman" w:eastAsia="宋体" w:hAnsi="Times New Roman" w:cs="Times New Roman" w:hint="eastAsia"/>
              </w:rPr>
              <w:t>工厂</w:t>
            </w:r>
            <w:r>
              <w:rPr>
                <w:rFonts w:ascii="Times New Roman" w:eastAsia="宋体" w:hAnsi="Times New Roman" w:cs="Times New Roman" w:hint="eastAsia"/>
              </w:rPr>
              <w:t>应</w:t>
            </w:r>
            <w:r w:rsidRPr="00013D41">
              <w:rPr>
                <w:rFonts w:ascii="Times New Roman" w:eastAsia="宋体" w:hAnsi="Times New Roman" w:cs="Times New Roman" w:hint="eastAsia"/>
              </w:rPr>
              <w:t>按照</w:t>
            </w:r>
            <w:r w:rsidRPr="00013D41">
              <w:rPr>
                <w:rFonts w:ascii="Times New Roman" w:eastAsia="宋体" w:hAnsi="Times New Roman" w:cs="Times New Roman"/>
              </w:rPr>
              <w:t>GB/T36000</w:t>
            </w:r>
            <w:r w:rsidRPr="00013D41">
              <w:rPr>
                <w:rFonts w:ascii="Times New Roman" w:eastAsia="宋体" w:hAnsi="Times New Roman" w:cs="Times New Roman"/>
              </w:rPr>
              <w:t>发布年度社会责任报告</w:t>
            </w:r>
            <w:r>
              <w:rPr>
                <w:rFonts w:ascii="Times New Roman" w:eastAsia="宋体" w:hAnsi="Times New Roman" w:cs="Times New Roman" w:hint="eastAsia"/>
              </w:rPr>
              <w:t>改为“宜按照”</w:t>
            </w:r>
          </w:p>
        </w:tc>
        <w:tc>
          <w:tcPr>
            <w:tcW w:w="2409" w:type="dxa"/>
            <w:vMerge/>
            <w:vAlign w:val="center"/>
          </w:tcPr>
          <w:p w14:paraId="57DED7C1" w14:textId="0DDF673B" w:rsidR="006450BF" w:rsidRPr="00D72535" w:rsidRDefault="006450BF" w:rsidP="003D2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07E8BF" w14:textId="13B8A58B" w:rsidR="006450BF" w:rsidRDefault="006450BF" w:rsidP="003D2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5041" w:type="dxa"/>
            <w:gridSpan w:val="2"/>
            <w:vAlign w:val="center"/>
          </w:tcPr>
          <w:p w14:paraId="1978B4DE" w14:textId="590F5BCF" w:rsidR="006450BF" w:rsidRDefault="006450BF" w:rsidP="003D212E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将“</w:t>
            </w:r>
            <w:r>
              <w:rPr>
                <w:rFonts w:ascii="Times New Roman" w:eastAsia="宋体" w:hAnsi="Times New Roman" w:cs="Times New Roman" w:hint="eastAsia"/>
              </w:rPr>
              <w:t>应</w:t>
            </w:r>
            <w:r w:rsidRPr="00013D41">
              <w:rPr>
                <w:rFonts w:ascii="Times New Roman" w:eastAsia="宋体" w:hAnsi="Times New Roman" w:cs="Times New Roman" w:hint="eastAsia"/>
              </w:rPr>
              <w:t>按照</w:t>
            </w:r>
            <w:r w:rsidRPr="00013D41">
              <w:rPr>
                <w:rFonts w:ascii="Times New Roman" w:eastAsia="宋体" w:hAnsi="Times New Roman" w:cs="Times New Roman"/>
              </w:rPr>
              <w:t>GB/T36000</w:t>
            </w:r>
            <w:r w:rsidRPr="00013D41">
              <w:rPr>
                <w:rFonts w:ascii="Times New Roman" w:eastAsia="宋体" w:hAnsi="Times New Roman" w:cs="Times New Roman"/>
              </w:rPr>
              <w:t>发布年度社会责任报告</w:t>
            </w:r>
            <w:r>
              <w:rPr>
                <w:rFonts w:ascii="Times New Roman" w:eastAsia="宋体" w:hAnsi="Times New Roman" w:cs="Times New Roman" w:hint="eastAsia"/>
              </w:rPr>
              <w:t>”修改为“宜按照</w:t>
            </w:r>
            <w:r w:rsidRPr="00013D41">
              <w:rPr>
                <w:rFonts w:ascii="Times New Roman" w:eastAsia="宋体" w:hAnsi="Times New Roman" w:cs="Times New Roman"/>
              </w:rPr>
              <w:t>GB/T36000</w:t>
            </w:r>
            <w:r w:rsidRPr="00013D41">
              <w:rPr>
                <w:rFonts w:ascii="Times New Roman" w:eastAsia="宋体" w:hAnsi="Times New Roman" w:cs="Times New Roman"/>
              </w:rPr>
              <w:t>发布年度社会责任报告</w:t>
            </w:r>
            <w:r>
              <w:rPr>
                <w:rFonts w:ascii="Times New Roman" w:eastAsia="宋体" w:hAnsi="Times New Roman" w:cs="Times New Roman" w:hint="eastAsia"/>
              </w:rPr>
              <w:t>”</w:t>
            </w:r>
          </w:p>
        </w:tc>
      </w:tr>
      <w:tr w:rsidR="00652B0A" w:rsidRPr="00D72535" w14:paraId="0345CFE9" w14:textId="77777777" w:rsidTr="006450BF">
        <w:trPr>
          <w:tblHeader/>
        </w:trPr>
        <w:tc>
          <w:tcPr>
            <w:tcW w:w="689" w:type="dxa"/>
            <w:vAlign w:val="center"/>
          </w:tcPr>
          <w:p w14:paraId="538F5355" w14:textId="0640D80E" w:rsidR="00652B0A" w:rsidRDefault="00652B0A" w:rsidP="00652B0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1296" w:type="dxa"/>
            <w:vAlign w:val="center"/>
          </w:tcPr>
          <w:p w14:paraId="3C7CB7B9" w14:textId="1EB9DC8F" w:rsidR="00652B0A" w:rsidRPr="00013D41" w:rsidRDefault="00652B0A" w:rsidP="00652B0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5</w:t>
            </w:r>
            <w:r>
              <w:rPr>
                <w:rFonts w:ascii="Times New Roman" w:eastAsia="宋体" w:hAnsi="Times New Roman" w:cs="Times New Roman"/>
              </w:rPr>
              <w:t>.7.4</w:t>
            </w:r>
          </w:p>
        </w:tc>
        <w:tc>
          <w:tcPr>
            <w:tcW w:w="4111" w:type="dxa"/>
            <w:vAlign w:val="center"/>
          </w:tcPr>
          <w:p w14:paraId="7362F9D1" w14:textId="77777777" w:rsidR="00652B0A" w:rsidRDefault="00591A5A" w:rsidP="00591A5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）</w:t>
            </w:r>
            <w:r w:rsidR="00652B0A" w:rsidRPr="00652B0A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单一银矿及</w:t>
            </w:r>
            <w:proofErr w:type="gramStart"/>
            <w:r w:rsidR="00652B0A" w:rsidRPr="00652B0A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伴生金</w:t>
            </w:r>
            <w:proofErr w:type="gramEnd"/>
            <w:r w:rsidR="00652B0A" w:rsidRPr="00652B0A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的银矿</w:t>
            </w:r>
            <w:r w:rsidR="00652B0A"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选矿废水中</w:t>
            </w:r>
            <w:r w:rsidR="00652B0A"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COD</w:t>
            </w:r>
            <w:r w:rsidR="00652B0A"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的产生浓度应</w:t>
            </w:r>
            <w:r w:rsidR="00652B0A"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≤0.1mg/L</w:t>
            </w:r>
            <w:r w:rsidR="00652B0A"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；</w:t>
            </w:r>
            <w:r w:rsidR="00652B0A"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</w:t>
            </w:r>
            <w:r w:rsidR="00652B0A"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）单一银矿、</w:t>
            </w:r>
            <w:proofErr w:type="gramStart"/>
            <w:r w:rsidR="00652B0A"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伴生金</w:t>
            </w:r>
            <w:proofErr w:type="gramEnd"/>
            <w:r w:rsidR="00652B0A"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的银矿选矿废水中</w:t>
            </w:r>
            <w:r w:rsidR="00652B0A"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COD</w:t>
            </w:r>
            <w:r w:rsidR="00652B0A"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的产生浓度宜</w:t>
            </w:r>
            <w:r w:rsidR="00652B0A"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≤0.05mg/L</w:t>
            </w:r>
          </w:p>
          <w:p w14:paraId="0CEBDA6D" w14:textId="77777777" w:rsidR="00591A5A" w:rsidRDefault="00591A5A" w:rsidP="00591A5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单位错了，应该修改为：</w:t>
            </w:r>
          </w:p>
          <w:p w14:paraId="17A117DD" w14:textId="4505966E" w:rsidR="00591A5A" w:rsidRPr="00591A5A" w:rsidRDefault="00591A5A" w:rsidP="00591A5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）</w:t>
            </w:r>
            <w:r w:rsidRPr="00652B0A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单一银矿及</w:t>
            </w:r>
            <w:proofErr w:type="gramStart"/>
            <w:r w:rsidRPr="00652B0A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伴生金</w:t>
            </w:r>
            <w:proofErr w:type="gramEnd"/>
            <w:r w:rsidRPr="00652B0A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的银矿</w:t>
            </w:r>
            <w:r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选矿废水中</w:t>
            </w:r>
            <w:r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COD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产生量</w:t>
            </w:r>
            <w:r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应</w:t>
            </w:r>
            <w:r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≤0.1mg/L</w:t>
            </w:r>
            <w:r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；</w:t>
            </w:r>
            <w:r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</w:t>
            </w:r>
            <w:r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）单一银矿、</w:t>
            </w:r>
            <w:proofErr w:type="gramStart"/>
            <w:r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伴生金</w:t>
            </w:r>
            <w:proofErr w:type="gramEnd"/>
            <w:r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的银矿选矿废水中</w:t>
            </w:r>
            <w:r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COD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产生量</w:t>
            </w:r>
            <w:r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宜</w:t>
            </w:r>
            <w:r w:rsidRPr="00652B0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lastRenderedPageBreak/>
              <w:t>≤0.05mg/L</w:t>
            </w:r>
          </w:p>
        </w:tc>
        <w:tc>
          <w:tcPr>
            <w:tcW w:w="2409" w:type="dxa"/>
            <w:vAlign w:val="center"/>
          </w:tcPr>
          <w:p w14:paraId="1A1D4318" w14:textId="0E110EBA" w:rsidR="00652B0A" w:rsidRPr="00697FB6" w:rsidRDefault="00652B0A" w:rsidP="00652B0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lastRenderedPageBreak/>
              <w:t>山东黄金矿业股份有限公司三山岛金矿</w:t>
            </w:r>
          </w:p>
        </w:tc>
        <w:tc>
          <w:tcPr>
            <w:tcW w:w="1134" w:type="dxa"/>
            <w:vAlign w:val="center"/>
          </w:tcPr>
          <w:p w14:paraId="6FA39FF8" w14:textId="3F6EA659" w:rsidR="00652B0A" w:rsidRDefault="00652B0A" w:rsidP="00652B0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采纳</w:t>
            </w:r>
          </w:p>
        </w:tc>
        <w:tc>
          <w:tcPr>
            <w:tcW w:w="5041" w:type="dxa"/>
            <w:gridSpan w:val="2"/>
            <w:vAlign w:val="center"/>
          </w:tcPr>
          <w:p w14:paraId="084D8B46" w14:textId="77777777" w:rsidR="00652B0A" w:rsidRPr="00591A5A" w:rsidRDefault="00591A5A" w:rsidP="00652B0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修</w:t>
            </w:r>
            <w:r w:rsidRPr="00591A5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改为：</w:t>
            </w:r>
          </w:p>
          <w:p w14:paraId="733CEC65" w14:textId="60D2EBC5" w:rsidR="00591A5A" w:rsidRPr="00591A5A" w:rsidRDefault="00591A5A" w:rsidP="00591A5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91A5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</w:t>
            </w:r>
            <w:r w:rsidRPr="00591A5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）单一银矿及</w:t>
            </w:r>
            <w:proofErr w:type="gramStart"/>
            <w:r w:rsidRPr="00591A5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伴生金</w:t>
            </w:r>
            <w:proofErr w:type="gramEnd"/>
            <w:r w:rsidRPr="00591A5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的银矿选矿废水中</w:t>
            </w:r>
            <w:r w:rsidRPr="00591A5A">
              <w:rPr>
                <w:rFonts w:ascii="Times New Roman" w:eastAsia="宋体" w:hAnsi="Times New Roman" w:cs="Times New Roman"/>
              </w:rPr>
              <w:t>选矿废水中</w:t>
            </w:r>
            <w:r w:rsidRPr="00591A5A">
              <w:rPr>
                <w:rFonts w:ascii="Times New Roman" w:eastAsia="宋体" w:hAnsi="Times New Roman" w:cs="Times New Roman"/>
              </w:rPr>
              <w:t>COD</w:t>
            </w:r>
            <w:r w:rsidRPr="00591A5A">
              <w:rPr>
                <w:rFonts w:ascii="Times New Roman" w:eastAsia="宋体" w:hAnsi="Times New Roman" w:cs="Times New Roman"/>
              </w:rPr>
              <w:t>的产生量应</w:t>
            </w:r>
            <w:r w:rsidRPr="00591A5A">
              <w:rPr>
                <w:rFonts w:ascii="Times New Roman" w:eastAsia="宋体" w:hAnsi="Times New Roman" w:cs="Times New Roman"/>
              </w:rPr>
              <w:t xml:space="preserve">≤0.1 kg/t </w:t>
            </w:r>
            <w:r w:rsidRPr="00591A5A">
              <w:rPr>
                <w:rFonts w:ascii="Times New Roman" w:eastAsia="宋体" w:hAnsi="Times New Roman" w:cs="Times New Roman"/>
              </w:rPr>
              <w:t>原矿</w:t>
            </w:r>
            <w:r w:rsidRPr="00591A5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；</w:t>
            </w:r>
            <w:r w:rsidRPr="00591A5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c</w:t>
            </w:r>
            <w:r w:rsidRPr="00591A5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）单一银矿、</w:t>
            </w:r>
            <w:proofErr w:type="gramStart"/>
            <w:r w:rsidRPr="00591A5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伴生金</w:t>
            </w:r>
            <w:proofErr w:type="gramEnd"/>
            <w:r w:rsidRPr="00591A5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的银矿选矿废水中</w:t>
            </w:r>
            <w:r w:rsidRPr="00591A5A">
              <w:rPr>
                <w:rFonts w:ascii="Times New Roman" w:eastAsia="宋体" w:hAnsi="Times New Roman" w:cs="Times New Roman"/>
              </w:rPr>
              <w:t>选矿废水中</w:t>
            </w:r>
            <w:r w:rsidRPr="00591A5A">
              <w:rPr>
                <w:rFonts w:ascii="Times New Roman" w:eastAsia="宋体" w:hAnsi="Times New Roman" w:cs="Times New Roman"/>
              </w:rPr>
              <w:t>COD</w:t>
            </w:r>
            <w:r w:rsidRPr="00591A5A">
              <w:rPr>
                <w:rFonts w:ascii="Times New Roman" w:eastAsia="宋体" w:hAnsi="Times New Roman" w:cs="Times New Roman"/>
              </w:rPr>
              <w:t>的产生量应</w:t>
            </w:r>
            <w:r w:rsidRPr="00591A5A">
              <w:rPr>
                <w:rFonts w:ascii="Times New Roman" w:eastAsia="宋体" w:hAnsi="Times New Roman" w:cs="Times New Roman"/>
              </w:rPr>
              <w:t>≤</w:t>
            </w:r>
            <w:r w:rsidRPr="00591A5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0.05</w:t>
            </w:r>
            <w:r w:rsidRPr="00591A5A">
              <w:rPr>
                <w:rFonts w:ascii="Times New Roman" w:eastAsia="宋体" w:hAnsi="Times New Roman" w:cs="Times New Roman"/>
              </w:rPr>
              <w:t xml:space="preserve"> kg/t </w:t>
            </w:r>
          </w:p>
        </w:tc>
      </w:tr>
      <w:tr w:rsidR="00652B0A" w:rsidRPr="00D72535" w14:paraId="415A5543" w14:textId="77777777" w:rsidTr="006450BF">
        <w:trPr>
          <w:tblHeader/>
        </w:trPr>
        <w:tc>
          <w:tcPr>
            <w:tcW w:w="689" w:type="dxa"/>
            <w:vAlign w:val="center"/>
          </w:tcPr>
          <w:p w14:paraId="028E2308" w14:textId="0FC215CB" w:rsidR="00652B0A" w:rsidRDefault="00652B0A" w:rsidP="00652B0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1296" w:type="dxa"/>
            <w:vAlign w:val="center"/>
          </w:tcPr>
          <w:p w14:paraId="21E29059" w14:textId="77777777" w:rsidR="00652B0A" w:rsidRPr="00013D41" w:rsidRDefault="00652B0A" w:rsidP="00652B0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0BC860C8" w14:textId="46102810" w:rsidR="00652B0A" w:rsidRDefault="00652B0A" w:rsidP="00652B0A">
            <w:pPr>
              <w:rPr>
                <w:rFonts w:ascii="Times New Roman" w:eastAsia="宋体" w:hAnsi="Times New Roman" w:cs="Times New Roman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回函同意、无意见。</w:t>
            </w:r>
          </w:p>
        </w:tc>
        <w:tc>
          <w:tcPr>
            <w:tcW w:w="2409" w:type="dxa"/>
            <w:vAlign w:val="center"/>
          </w:tcPr>
          <w:p w14:paraId="213596D9" w14:textId="48478681" w:rsidR="00652B0A" w:rsidRPr="00D72535" w:rsidRDefault="00652B0A" w:rsidP="00652B0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7FB6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山东黄金矿业股份有限公司新城金矿</w:t>
            </w:r>
          </w:p>
        </w:tc>
        <w:tc>
          <w:tcPr>
            <w:tcW w:w="1134" w:type="dxa"/>
            <w:vAlign w:val="center"/>
          </w:tcPr>
          <w:p w14:paraId="1FE8D388" w14:textId="77777777" w:rsidR="00652B0A" w:rsidRDefault="00652B0A" w:rsidP="00652B0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041" w:type="dxa"/>
            <w:gridSpan w:val="2"/>
            <w:vAlign w:val="center"/>
          </w:tcPr>
          <w:p w14:paraId="4207D3EF" w14:textId="77777777" w:rsidR="00652B0A" w:rsidRDefault="00652B0A" w:rsidP="00652B0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52B0A" w:rsidRPr="00D72535" w14:paraId="34592DCA" w14:textId="77777777" w:rsidTr="006450BF">
        <w:trPr>
          <w:tblHeader/>
        </w:trPr>
        <w:tc>
          <w:tcPr>
            <w:tcW w:w="689" w:type="dxa"/>
            <w:vAlign w:val="center"/>
          </w:tcPr>
          <w:p w14:paraId="381677C0" w14:textId="34B8C252" w:rsidR="00652B0A" w:rsidRDefault="00652B0A" w:rsidP="00652B0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1296" w:type="dxa"/>
            <w:vAlign w:val="center"/>
          </w:tcPr>
          <w:p w14:paraId="50FCE29B" w14:textId="77777777" w:rsidR="00652B0A" w:rsidRPr="00013D41" w:rsidRDefault="00652B0A" w:rsidP="00652B0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108E36B1" w14:textId="6B7C6A20" w:rsidR="00652B0A" w:rsidRPr="00D72535" w:rsidRDefault="00652B0A" w:rsidP="00652B0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回函同意、无意见。</w:t>
            </w:r>
          </w:p>
        </w:tc>
        <w:tc>
          <w:tcPr>
            <w:tcW w:w="2409" w:type="dxa"/>
            <w:vAlign w:val="center"/>
          </w:tcPr>
          <w:p w14:paraId="3AD4EABC" w14:textId="027D4A3E" w:rsidR="00652B0A" w:rsidRPr="00697FB6" w:rsidRDefault="00652B0A" w:rsidP="00652B0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D5EEF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广西凤凰银业有限责任公司</w:t>
            </w:r>
          </w:p>
        </w:tc>
        <w:tc>
          <w:tcPr>
            <w:tcW w:w="1134" w:type="dxa"/>
            <w:vAlign w:val="center"/>
          </w:tcPr>
          <w:p w14:paraId="153DFE40" w14:textId="77777777" w:rsidR="00652B0A" w:rsidRDefault="00652B0A" w:rsidP="00652B0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041" w:type="dxa"/>
            <w:gridSpan w:val="2"/>
            <w:vAlign w:val="center"/>
          </w:tcPr>
          <w:p w14:paraId="064F8976" w14:textId="77777777" w:rsidR="00652B0A" w:rsidRDefault="00652B0A" w:rsidP="00652B0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831442" w:rsidRPr="00D72535" w14:paraId="3B6A9C4B" w14:textId="77777777" w:rsidTr="006450BF">
        <w:trPr>
          <w:tblHeader/>
        </w:trPr>
        <w:tc>
          <w:tcPr>
            <w:tcW w:w="689" w:type="dxa"/>
            <w:vAlign w:val="center"/>
          </w:tcPr>
          <w:p w14:paraId="1DF228E0" w14:textId="4452FE48" w:rsidR="00831442" w:rsidRDefault="00831442" w:rsidP="00652B0A">
            <w:pPr>
              <w:jc w:val="center"/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1296" w:type="dxa"/>
            <w:vAlign w:val="center"/>
          </w:tcPr>
          <w:p w14:paraId="6E16E0A1" w14:textId="77777777" w:rsidR="00831442" w:rsidRPr="00013D41" w:rsidRDefault="00831442" w:rsidP="00652B0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7EB476B9" w14:textId="12B5ABD6" w:rsidR="00831442" w:rsidRPr="00D72535" w:rsidRDefault="00831442" w:rsidP="00652B0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回函同意、无意见。</w:t>
            </w:r>
          </w:p>
        </w:tc>
        <w:tc>
          <w:tcPr>
            <w:tcW w:w="2409" w:type="dxa"/>
            <w:vAlign w:val="center"/>
          </w:tcPr>
          <w:p w14:paraId="6C3B8952" w14:textId="78901BE6" w:rsidR="00831442" w:rsidRPr="006D5EEF" w:rsidRDefault="00831442" w:rsidP="00652B0A">
            <w:pPr>
              <w:adjustRightInd w:val="0"/>
              <w:snapToGrid w:val="0"/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</w:pPr>
            <w:r w:rsidRPr="00490C00">
              <w:rPr>
                <w:rFonts w:ascii="Times New Roman" w:eastAsia="宋体" w:hAnsi="Times New Roman" w:cs="Times New Roman"/>
                <w:szCs w:val="21"/>
                <w:lang w:bidi="ar"/>
              </w:rPr>
              <w:t>河南发恩德矿业有限公司</w:t>
            </w:r>
          </w:p>
        </w:tc>
        <w:tc>
          <w:tcPr>
            <w:tcW w:w="1134" w:type="dxa"/>
            <w:vAlign w:val="center"/>
          </w:tcPr>
          <w:p w14:paraId="43100134" w14:textId="77777777" w:rsidR="00831442" w:rsidRDefault="00831442" w:rsidP="00652B0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041" w:type="dxa"/>
            <w:gridSpan w:val="2"/>
            <w:vAlign w:val="center"/>
          </w:tcPr>
          <w:p w14:paraId="580B0FD1" w14:textId="77777777" w:rsidR="00831442" w:rsidRDefault="00831442" w:rsidP="00652B0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52B0A" w:rsidRPr="00D72535" w14:paraId="4BFF2ABB" w14:textId="77777777" w:rsidTr="006450BF">
        <w:trPr>
          <w:tblHeader/>
        </w:trPr>
        <w:tc>
          <w:tcPr>
            <w:tcW w:w="689" w:type="dxa"/>
            <w:vAlign w:val="center"/>
          </w:tcPr>
          <w:p w14:paraId="4308E1C2" w14:textId="4D20D323" w:rsidR="00652B0A" w:rsidRDefault="00831442" w:rsidP="00652B0A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</w:t>
            </w:r>
          </w:p>
        </w:tc>
        <w:tc>
          <w:tcPr>
            <w:tcW w:w="1296" w:type="dxa"/>
            <w:vAlign w:val="center"/>
          </w:tcPr>
          <w:p w14:paraId="46C9B23B" w14:textId="77777777" w:rsidR="00652B0A" w:rsidRPr="00013D41" w:rsidRDefault="00652B0A" w:rsidP="008314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42C76AB5" w14:textId="7C42E2A0" w:rsidR="00652B0A" w:rsidRPr="00D72535" w:rsidRDefault="00652B0A" w:rsidP="00652B0A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回函同意、无意见。</w:t>
            </w:r>
          </w:p>
        </w:tc>
        <w:tc>
          <w:tcPr>
            <w:tcW w:w="2409" w:type="dxa"/>
            <w:vAlign w:val="center"/>
          </w:tcPr>
          <w:p w14:paraId="77558375" w14:textId="3AEB68C8" w:rsidR="00652B0A" w:rsidRPr="006D5EEF" w:rsidRDefault="00652B0A" w:rsidP="00652B0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陕西银矿</w:t>
            </w:r>
          </w:p>
        </w:tc>
        <w:tc>
          <w:tcPr>
            <w:tcW w:w="1134" w:type="dxa"/>
            <w:vAlign w:val="center"/>
          </w:tcPr>
          <w:p w14:paraId="26A11A50" w14:textId="77777777" w:rsidR="00652B0A" w:rsidRDefault="00652B0A" w:rsidP="00652B0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041" w:type="dxa"/>
            <w:gridSpan w:val="2"/>
            <w:vAlign w:val="center"/>
          </w:tcPr>
          <w:p w14:paraId="0D7B3DD1" w14:textId="77777777" w:rsidR="00652B0A" w:rsidRDefault="00652B0A" w:rsidP="00652B0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52B0A" w:rsidRPr="00D72535" w14:paraId="62FC62F0" w14:textId="77777777" w:rsidTr="006450BF">
        <w:trPr>
          <w:tblHeader/>
        </w:trPr>
        <w:tc>
          <w:tcPr>
            <w:tcW w:w="689" w:type="dxa"/>
            <w:vAlign w:val="center"/>
          </w:tcPr>
          <w:p w14:paraId="7347F688" w14:textId="597DC8FD" w:rsidR="00652B0A" w:rsidRPr="00D72535" w:rsidRDefault="00831442" w:rsidP="00652B0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14:paraId="2AC9BA24" w14:textId="77777777" w:rsidR="00652B0A" w:rsidRPr="00D72535" w:rsidRDefault="00652B0A" w:rsidP="008314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17F6BEF0" w14:textId="77777777" w:rsidR="00652B0A" w:rsidRPr="00D72535" w:rsidRDefault="00652B0A" w:rsidP="00652B0A">
            <w:pPr>
              <w:rPr>
                <w:rFonts w:ascii="Times New Roman" w:eastAsia="宋体" w:hAnsi="Times New Roman" w:cs="Times New Roman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回函同意、无意见。</w:t>
            </w:r>
          </w:p>
        </w:tc>
        <w:tc>
          <w:tcPr>
            <w:tcW w:w="2409" w:type="dxa"/>
            <w:vAlign w:val="center"/>
          </w:tcPr>
          <w:p w14:paraId="7007B814" w14:textId="77777777" w:rsidR="00652B0A" w:rsidRPr="00D72535" w:rsidRDefault="00652B0A" w:rsidP="00652B0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2535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湖北鑫荣矿业有限公司</w:t>
            </w:r>
          </w:p>
        </w:tc>
        <w:tc>
          <w:tcPr>
            <w:tcW w:w="1134" w:type="dxa"/>
            <w:vAlign w:val="center"/>
          </w:tcPr>
          <w:p w14:paraId="732DCEA0" w14:textId="77777777" w:rsidR="00652B0A" w:rsidRPr="00D72535" w:rsidRDefault="00652B0A" w:rsidP="00652B0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041" w:type="dxa"/>
            <w:gridSpan w:val="2"/>
            <w:vAlign w:val="center"/>
          </w:tcPr>
          <w:p w14:paraId="3F5CB79A" w14:textId="77777777" w:rsidR="00652B0A" w:rsidRPr="00D72535" w:rsidRDefault="00652B0A" w:rsidP="00652B0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52B0A" w:rsidRPr="00490C00" w14:paraId="5AFCCDF8" w14:textId="77777777" w:rsidTr="006450BF">
        <w:trPr>
          <w:tblHeader/>
        </w:trPr>
        <w:tc>
          <w:tcPr>
            <w:tcW w:w="689" w:type="dxa"/>
            <w:vAlign w:val="center"/>
          </w:tcPr>
          <w:p w14:paraId="7FC53E9A" w14:textId="6848D3E6" w:rsidR="00652B0A" w:rsidRPr="00490C00" w:rsidRDefault="00652B0A" w:rsidP="00652B0A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="00831442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296" w:type="dxa"/>
            <w:vAlign w:val="center"/>
          </w:tcPr>
          <w:p w14:paraId="4CFF89BD" w14:textId="77777777" w:rsidR="00652B0A" w:rsidRPr="00490C00" w:rsidRDefault="00652B0A" w:rsidP="0083144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14:paraId="0253F1CE" w14:textId="0CD3CB80" w:rsidR="00652B0A" w:rsidRPr="00490C00" w:rsidRDefault="00652B0A" w:rsidP="00652B0A">
            <w:pPr>
              <w:rPr>
                <w:rFonts w:ascii="Times New Roman" w:eastAsia="宋体" w:hAnsi="Times New Roman" w:cs="Times New Roman"/>
              </w:rPr>
            </w:pPr>
            <w:r w:rsidRPr="00490C0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没有回函，按无异议处理</w:t>
            </w:r>
            <w:r w:rsidR="00831442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2409" w:type="dxa"/>
            <w:vAlign w:val="center"/>
          </w:tcPr>
          <w:p w14:paraId="69700CA7" w14:textId="77777777" w:rsidR="00652B0A" w:rsidRPr="00490C00" w:rsidRDefault="00652B0A" w:rsidP="00652B0A">
            <w:pPr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 w:rsidRPr="00490C00">
              <w:rPr>
                <w:rFonts w:ascii="Times New Roman" w:eastAsia="宋体" w:hAnsi="Times New Roman" w:cs="Times New Roman"/>
                <w:szCs w:val="21"/>
                <w:lang w:bidi="ar"/>
              </w:rPr>
              <w:t>赤峰宇</w:t>
            </w:r>
            <w:proofErr w:type="gramStart"/>
            <w:r w:rsidRPr="00490C00">
              <w:rPr>
                <w:rFonts w:ascii="Times New Roman" w:eastAsia="宋体" w:hAnsi="Times New Roman" w:cs="Times New Roman"/>
                <w:szCs w:val="21"/>
                <w:lang w:bidi="ar"/>
              </w:rPr>
              <w:t>邦</w:t>
            </w:r>
            <w:proofErr w:type="gramEnd"/>
            <w:r w:rsidRPr="00490C00">
              <w:rPr>
                <w:rFonts w:ascii="Times New Roman" w:eastAsia="宋体" w:hAnsi="Times New Roman" w:cs="Times New Roman"/>
                <w:szCs w:val="21"/>
                <w:lang w:bidi="ar"/>
              </w:rPr>
              <w:t>矿业有限公司</w:t>
            </w:r>
          </w:p>
        </w:tc>
        <w:tc>
          <w:tcPr>
            <w:tcW w:w="1134" w:type="dxa"/>
            <w:vAlign w:val="center"/>
          </w:tcPr>
          <w:p w14:paraId="0AA251F1" w14:textId="77777777" w:rsidR="00652B0A" w:rsidRPr="00490C00" w:rsidRDefault="00652B0A" w:rsidP="00652B0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5041" w:type="dxa"/>
            <w:gridSpan w:val="2"/>
            <w:vAlign w:val="center"/>
          </w:tcPr>
          <w:p w14:paraId="102E4AEB" w14:textId="77777777" w:rsidR="00652B0A" w:rsidRPr="00490C00" w:rsidRDefault="00652B0A" w:rsidP="00652B0A">
            <w:pPr>
              <w:adjustRightInd w:val="0"/>
              <w:snapToGrid w:val="0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</w:tbl>
    <w:p w14:paraId="0651B174" w14:textId="662646A9" w:rsidR="00024CF0" w:rsidRPr="00490C00" w:rsidRDefault="00024CF0" w:rsidP="00024CF0">
      <w:pPr>
        <w:ind w:firstLine="646"/>
        <w:rPr>
          <w:rFonts w:ascii="宋体" w:eastAsia="宋体" w:hAnsi="宋体"/>
          <w:color w:val="000000" w:themeColor="text1"/>
        </w:rPr>
      </w:pPr>
      <w:r w:rsidRPr="00490C00">
        <w:rPr>
          <w:rFonts w:ascii="宋体" w:eastAsia="宋体" w:hAnsi="宋体" w:hint="eastAsia"/>
          <w:color w:val="000000" w:themeColor="text1"/>
        </w:rPr>
        <w:t>说明：</w:t>
      </w:r>
      <w:r w:rsidRPr="00490C00">
        <w:rPr>
          <w:rFonts w:ascii="宋体" w:eastAsia="宋体" w:hAnsi="宋体"/>
          <w:color w:val="000000" w:themeColor="text1"/>
        </w:rPr>
        <w:t>①发送</w:t>
      </w:r>
      <w:r w:rsidRPr="00490C00">
        <w:rPr>
          <w:rFonts w:ascii="宋体" w:eastAsia="宋体" w:hAnsi="宋体" w:hint="eastAsia"/>
          <w:color w:val="000000" w:themeColor="text1"/>
        </w:rPr>
        <w:t>“</w:t>
      </w:r>
      <w:r w:rsidRPr="00490C00">
        <w:rPr>
          <w:rFonts w:ascii="宋体" w:eastAsia="宋体" w:hAnsi="宋体"/>
          <w:color w:val="000000" w:themeColor="text1"/>
        </w:rPr>
        <w:t>征求意见稿</w:t>
      </w:r>
      <w:r w:rsidRPr="00490C00">
        <w:rPr>
          <w:rFonts w:ascii="宋体" w:eastAsia="宋体" w:hAnsi="宋体" w:hint="eastAsia"/>
          <w:color w:val="000000" w:themeColor="text1"/>
        </w:rPr>
        <w:t>”</w:t>
      </w:r>
      <w:r w:rsidRPr="00490C00">
        <w:rPr>
          <w:rFonts w:ascii="宋体" w:eastAsia="宋体" w:hAnsi="宋体"/>
          <w:color w:val="000000" w:themeColor="text1"/>
        </w:rPr>
        <w:t>的单位数：</w:t>
      </w:r>
      <w:r w:rsidR="00831442">
        <w:rPr>
          <w:rFonts w:ascii="宋体" w:eastAsia="宋体" w:hAnsi="宋体"/>
          <w:color w:val="000000" w:themeColor="text1"/>
        </w:rPr>
        <w:t>12</w:t>
      </w:r>
      <w:r w:rsidRPr="00490C00">
        <w:rPr>
          <w:rFonts w:ascii="宋体" w:eastAsia="宋体" w:hAnsi="宋体"/>
          <w:color w:val="000000" w:themeColor="text1"/>
        </w:rPr>
        <w:t>个。</w:t>
      </w:r>
    </w:p>
    <w:p w14:paraId="071160F9" w14:textId="549364FE" w:rsidR="00024CF0" w:rsidRPr="00490C00" w:rsidRDefault="00024CF0" w:rsidP="00024CF0">
      <w:pPr>
        <w:rPr>
          <w:rFonts w:ascii="宋体" w:eastAsia="宋体" w:hAnsi="宋体"/>
          <w:color w:val="000000" w:themeColor="text1"/>
        </w:rPr>
      </w:pPr>
      <w:r w:rsidRPr="00490C00">
        <w:rPr>
          <w:rFonts w:ascii="宋体" w:eastAsia="宋体" w:hAnsi="宋体"/>
          <w:color w:val="000000" w:themeColor="text1"/>
        </w:rPr>
        <w:t xml:space="preserve">            ②收到</w:t>
      </w:r>
      <w:r w:rsidRPr="00490C00">
        <w:rPr>
          <w:rFonts w:ascii="宋体" w:eastAsia="宋体" w:hAnsi="宋体" w:hint="eastAsia"/>
          <w:color w:val="000000" w:themeColor="text1"/>
        </w:rPr>
        <w:t>“</w:t>
      </w:r>
      <w:r w:rsidRPr="00490C00">
        <w:rPr>
          <w:rFonts w:ascii="宋体" w:eastAsia="宋体" w:hAnsi="宋体"/>
          <w:color w:val="000000" w:themeColor="text1"/>
        </w:rPr>
        <w:t>征求意见稿</w:t>
      </w:r>
      <w:r w:rsidRPr="00490C00">
        <w:rPr>
          <w:rFonts w:ascii="宋体" w:eastAsia="宋体" w:hAnsi="宋体" w:hint="eastAsia"/>
          <w:color w:val="000000" w:themeColor="text1"/>
        </w:rPr>
        <w:t>”</w:t>
      </w:r>
      <w:r w:rsidRPr="00490C00">
        <w:rPr>
          <w:rFonts w:ascii="宋体" w:eastAsia="宋体" w:hAnsi="宋体"/>
          <w:color w:val="000000" w:themeColor="text1"/>
        </w:rPr>
        <w:t>后，回函无意见的单位数：</w:t>
      </w:r>
      <w:r w:rsidR="00831442">
        <w:rPr>
          <w:rFonts w:ascii="宋体" w:eastAsia="宋体" w:hAnsi="宋体"/>
          <w:color w:val="000000" w:themeColor="text1"/>
        </w:rPr>
        <w:t>6</w:t>
      </w:r>
      <w:r w:rsidRPr="00490C00">
        <w:rPr>
          <w:rFonts w:ascii="宋体" w:eastAsia="宋体" w:hAnsi="宋体"/>
          <w:color w:val="000000" w:themeColor="text1"/>
        </w:rPr>
        <w:t>个。</w:t>
      </w:r>
    </w:p>
    <w:p w14:paraId="40C1DBEA" w14:textId="568D90DA" w:rsidR="00024CF0" w:rsidRPr="00490C00" w:rsidRDefault="00024CF0" w:rsidP="00024CF0">
      <w:pPr>
        <w:rPr>
          <w:rFonts w:ascii="宋体" w:eastAsia="宋体" w:hAnsi="宋体"/>
          <w:color w:val="000000" w:themeColor="text1"/>
        </w:rPr>
      </w:pPr>
      <w:r w:rsidRPr="00490C00">
        <w:rPr>
          <w:rFonts w:ascii="宋体" w:eastAsia="宋体" w:hAnsi="宋体"/>
          <w:color w:val="000000" w:themeColor="text1"/>
        </w:rPr>
        <w:t xml:space="preserve">            ③收到</w:t>
      </w:r>
      <w:r w:rsidRPr="00490C00">
        <w:rPr>
          <w:rFonts w:ascii="宋体" w:eastAsia="宋体" w:hAnsi="宋体" w:hint="eastAsia"/>
          <w:color w:val="000000" w:themeColor="text1"/>
        </w:rPr>
        <w:t>“</w:t>
      </w:r>
      <w:r w:rsidRPr="00490C00">
        <w:rPr>
          <w:rFonts w:ascii="宋体" w:eastAsia="宋体" w:hAnsi="宋体"/>
          <w:color w:val="000000" w:themeColor="text1"/>
        </w:rPr>
        <w:t>征求意见稿</w:t>
      </w:r>
      <w:r w:rsidRPr="00490C00">
        <w:rPr>
          <w:rFonts w:ascii="宋体" w:eastAsia="宋体" w:hAnsi="宋体" w:hint="eastAsia"/>
          <w:color w:val="000000" w:themeColor="text1"/>
        </w:rPr>
        <w:t>”</w:t>
      </w:r>
      <w:r w:rsidRPr="00490C00">
        <w:rPr>
          <w:rFonts w:ascii="宋体" w:eastAsia="宋体" w:hAnsi="宋体"/>
          <w:color w:val="000000" w:themeColor="text1"/>
        </w:rPr>
        <w:t>后，回函并有建议或意见的单位数：</w:t>
      </w:r>
      <w:r w:rsidR="006450BF">
        <w:rPr>
          <w:rFonts w:ascii="宋体" w:eastAsia="宋体" w:hAnsi="宋体"/>
          <w:color w:val="000000" w:themeColor="text1"/>
        </w:rPr>
        <w:t>6</w:t>
      </w:r>
      <w:r w:rsidRPr="00490C00">
        <w:rPr>
          <w:rFonts w:ascii="宋体" w:eastAsia="宋体" w:hAnsi="宋体"/>
          <w:color w:val="000000" w:themeColor="text1"/>
        </w:rPr>
        <w:t>个。</w:t>
      </w:r>
    </w:p>
    <w:p w14:paraId="763AB439" w14:textId="59B2B0EF" w:rsidR="00024CF0" w:rsidRPr="005143F8" w:rsidRDefault="00024CF0" w:rsidP="00024CF0">
      <w:pPr>
        <w:rPr>
          <w:rFonts w:ascii="宋体" w:eastAsia="宋体" w:hAnsi="宋体"/>
          <w:color w:val="000000" w:themeColor="text1"/>
        </w:rPr>
      </w:pPr>
      <w:r w:rsidRPr="00490C00">
        <w:rPr>
          <w:rFonts w:ascii="宋体" w:eastAsia="宋体" w:hAnsi="宋体"/>
          <w:color w:val="000000" w:themeColor="text1"/>
        </w:rPr>
        <w:t xml:space="preserve">            ④没有回函的单位数：</w:t>
      </w:r>
      <w:r w:rsidR="00490C00" w:rsidRPr="00490C00">
        <w:rPr>
          <w:rFonts w:ascii="宋体" w:eastAsia="宋体" w:hAnsi="宋体"/>
          <w:color w:val="000000" w:themeColor="text1"/>
        </w:rPr>
        <w:t>0</w:t>
      </w:r>
      <w:r w:rsidRPr="00490C00">
        <w:rPr>
          <w:rFonts w:ascii="宋体" w:eastAsia="宋体" w:hAnsi="宋体"/>
          <w:color w:val="000000" w:themeColor="text1"/>
        </w:rPr>
        <w:t>个。</w:t>
      </w:r>
    </w:p>
    <w:sectPr w:rsidR="00024CF0" w:rsidRPr="005143F8" w:rsidSect="00024CF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5A2F" w14:textId="77777777" w:rsidR="002F3839" w:rsidRDefault="002F3839" w:rsidP="00024CF0">
      <w:r>
        <w:separator/>
      </w:r>
    </w:p>
  </w:endnote>
  <w:endnote w:type="continuationSeparator" w:id="0">
    <w:p w14:paraId="2A025246" w14:textId="77777777" w:rsidR="002F3839" w:rsidRDefault="002F3839" w:rsidP="0002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DB56" w14:textId="77777777" w:rsidR="002F3839" w:rsidRDefault="002F3839" w:rsidP="00024CF0">
      <w:r>
        <w:separator/>
      </w:r>
    </w:p>
  </w:footnote>
  <w:footnote w:type="continuationSeparator" w:id="0">
    <w:p w14:paraId="08B968A9" w14:textId="77777777" w:rsidR="002F3839" w:rsidRDefault="002F3839" w:rsidP="00024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33"/>
    <w:rsid w:val="00023BE3"/>
    <w:rsid w:val="00024CF0"/>
    <w:rsid w:val="00050F65"/>
    <w:rsid w:val="00056289"/>
    <w:rsid w:val="000A174B"/>
    <w:rsid w:val="00105B03"/>
    <w:rsid w:val="001116F1"/>
    <w:rsid w:val="001718D9"/>
    <w:rsid w:val="001A6EAF"/>
    <w:rsid w:val="00263484"/>
    <w:rsid w:val="00283FB5"/>
    <w:rsid w:val="002F3839"/>
    <w:rsid w:val="00367571"/>
    <w:rsid w:val="003940E9"/>
    <w:rsid w:val="003D212E"/>
    <w:rsid w:val="00411033"/>
    <w:rsid w:val="00446237"/>
    <w:rsid w:val="00451F50"/>
    <w:rsid w:val="004749F5"/>
    <w:rsid w:val="00490C00"/>
    <w:rsid w:val="004D3E5E"/>
    <w:rsid w:val="005143F8"/>
    <w:rsid w:val="00591A5A"/>
    <w:rsid w:val="0061534A"/>
    <w:rsid w:val="006450BF"/>
    <w:rsid w:val="00652B0A"/>
    <w:rsid w:val="006605A5"/>
    <w:rsid w:val="006630E2"/>
    <w:rsid w:val="00697FB6"/>
    <w:rsid w:val="006D1D4A"/>
    <w:rsid w:val="006D5EEF"/>
    <w:rsid w:val="006F6469"/>
    <w:rsid w:val="0076132D"/>
    <w:rsid w:val="007B228D"/>
    <w:rsid w:val="00816084"/>
    <w:rsid w:val="00831442"/>
    <w:rsid w:val="0083246B"/>
    <w:rsid w:val="00860FE3"/>
    <w:rsid w:val="008A3100"/>
    <w:rsid w:val="009101C3"/>
    <w:rsid w:val="009107A9"/>
    <w:rsid w:val="00A43E6D"/>
    <w:rsid w:val="00AC5508"/>
    <w:rsid w:val="00AC6E09"/>
    <w:rsid w:val="00AE3AA2"/>
    <w:rsid w:val="00AE6087"/>
    <w:rsid w:val="00B24BD6"/>
    <w:rsid w:val="00B25C8F"/>
    <w:rsid w:val="00B271C5"/>
    <w:rsid w:val="00B560B9"/>
    <w:rsid w:val="00BC4101"/>
    <w:rsid w:val="00C00EB6"/>
    <w:rsid w:val="00C15065"/>
    <w:rsid w:val="00CF178E"/>
    <w:rsid w:val="00D12131"/>
    <w:rsid w:val="00D27243"/>
    <w:rsid w:val="00D34D0C"/>
    <w:rsid w:val="00D72535"/>
    <w:rsid w:val="00E07819"/>
    <w:rsid w:val="00E41ADD"/>
    <w:rsid w:val="00EB1AD2"/>
    <w:rsid w:val="00F03D21"/>
    <w:rsid w:val="00F267CD"/>
    <w:rsid w:val="00FC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C5CC9"/>
  <w15:docId w15:val="{2E862F3A-2863-4CCF-9487-A8B39E6D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CF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4B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4C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4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4CF0"/>
    <w:rPr>
      <w:sz w:val="18"/>
      <w:szCs w:val="18"/>
    </w:rPr>
  </w:style>
  <w:style w:type="table" w:styleId="a7">
    <w:name w:val="Table Grid"/>
    <w:basedOn w:val="a1"/>
    <w:uiPriority w:val="39"/>
    <w:rsid w:val="0002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4C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4CF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24CF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24BD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juliping</dc:creator>
  <cp:lastModifiedBy>chen bin</cp:lastModifiedBy>
  <cp:revision>15</cp:revision>
  <dcterms:created xsi:type="dcterms:W3CDTF">2023-07-16T08:25:00Z</dcterms:created>
  <dcterms:modified xsi:type="dcterms:W3CDTF">2023-08-11T08:47:00Z</dcterms:modified>
</cp:coreProperties>
</file>