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rPr>
      </w:pPr>
      <w:bookmarkStart w:id="0" w:name="_Toc48717817"/>
      <w:bookmarkStart w:id="1" w:name="_Toc49776953"/>
      <w:bookmarkStart w:id="2" w:name="SectionMark0"/>
    </w:p>
    <w:p>
      <w:pPr>
        <w:pStyle w:val="14"/>
        <w:rPr>
          <w:rFonts w:ascii="Times New Roman"/>
        </w:rPr>
      </w:pPr>
    </w:p>
    <w:p>
      <w:pPr>
        <w:pStyle w:val="14"/>
        <w:rPr>
          <w:rFonts w:ascii="Times New Roman"/>
        </w:rPr>
      </w:pPr>
    </w:p>
    <w:p>
      <w:pPr>
        <w:pStyle w:val="14"/>
        <w:rPr>
          <w:rFonts w:ascii="Times New Roman"/>
        </w:rPr>
      </w:pPr>
      <w:r>
        <mc:AlternateContent>
          <mc:Choice Requires="wps">
            <w:drawing>
              <wp:anchor distT="0" distB="0" distL="114300" distR="114300" simplePos="0" relativeHeight="251666432" behindDoc="0" locked="1" layoutInCell="1" allowOverlap="1">
                <wp:simplePos x="0" y="0"/>
                <wp:positionH relativeFrom="margin">
                  <wp:posOffset>-264160</wp:posOffset>
                </wp:positionH>
                <wp:positionV relativeFrom="margin">
                  <wp:posOffset>1085850</wp:posOffset>
                </wp:positionV>
                <wp:extent cx="6338570" cy="391160"/>
                <wp:effectExtent l="0" t="0" r="11430" b="2540"/>
                <wp:wrapNone/>
                <wp:docPr id="12" name="文本框 12"/>
                <wp:cNvGraphicFramePr/>
                <a:graphic xmlns:a="http://schemas.openxmlformats.org/drawingml/2006/main">
                  <a:graphicData uri="http://schemas.microsoft.com/office/word/2010/wordprocessingShape">
                    <wps:wsp>
                      <wps:cNvSpPr txBox="1"/>
                      <wps:spPr>
                        <a:xfrm>
                          <a:off x="0" y="0"/>
                          <a:ext cx="6338570" cy="391160"/>
                        </a:xfrm>
                        <a:prstGeom prst="rect">
                          <a:avLst/>
                        </a:prstGeom>
                        <a:solidFill>
                          <a:srgbClr val="FFFFFF"/>
                        </a:solidFill>
                        <a:ln>
                          <a:noFill/>
                        </a:ln>
                      </wps:spPr>
                      <wps:txbx>
                        <w:txbxContent>
                          <w:p>
                            <w:pPr>
                              <w:pStyle w:val="118"/>
                            </w:pPr>
                            <w:r>
                              <w:rPr>
                                <w:rFonts w:hint="eastAsia"/>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20.8pt;margin-top:85.5pt;height:30.8pt;width:499.1pt;mso-position-horizontal-relative:margin;mso-position-vertical-relative:margin;z-index:251666432;mso-width-relative:page;mso-height-relative:page;" fillcolor="#FFFFFF" filled="t" stroked="f" coordsize="21600,21600" o:gfxdata="UEsDBAoAAAAAAIdO4kAAAAAAAAAAAAAAAAAEAAAAZHJzL1BLAwQUAAAACACHTuJAcCXHXtkAAAAL&#10;AQAADwAAAGRycy9kb3ducmV2LnhtbE2PwU7DMBBE70j8g7VIXFDrJIBpQ5xKtHCDQ0vV8zY2SUS8&#10;jmKnaf+e5QTHnXmanSlWZ9eJkx1C60lDOk9AWKq8aanWsP98my1AhIhksPNkNVxsgFV5fVVgbvxE&#10;W3vaxVpwCIUcNTQx9rmUoWqswzD3vSX2vvzgMPI51NIMOHG462SWJEo6bIk/NNjbdWOr793oNKjN&#10;ME5bWt9t9q/v+NHX2eHlctD69iZNnkFEe45/MPzW5+pQcqejH8kE0WmYPaSKUTaeUh7FxPJRsXLU&#10;kN1nCmRZyP8byh9QSwMEFAAAAAgAh07iQFMEykvQAQAAnQMAAA4AAABkcnMvZTJvRG9jLnhtbK1T&#10;zY7TMBC+I/EOlu80/RFliZquBFUREgKkhQdwHDux5D+N3SZ9AXgDTly481x9jh07TReWyx7IIRnP&#10;jL+Z75vJ5nYwmhwFBOVsRRezOSXCctco21b065f9ixtKQmS2YdpZUdGTCPR2+/zZpvelWLrO6UYA&#10;QRAbyt5XtIvRl0UReCcMCzPnhcWgdGBYxCO0RQOsR3Sji+V8vi56B40Hx0UI6N2NQXpBhKcAOikV&#10;FzvHD0bYOKKC0CwipdApH+g2dyul4PGTlEFEoiuKTGN+YxG06/QuthtWtsB8p/ilBfaUFh5xMkxZ&#10;LHqF2rHIyAHUP1BGcXDByTjjzhQjkawIsljMH2lz1zEvMheUOvir6OH/wfKPx89AVIObsKTEMoMT&#10;P//4fv75+/zrG0EfCtT7UGLencfMOLxxAyZP/oDOxHuQYNIXGRGMo7ynq7xiiISjc71a3bx8hSGO&#10;sdXrxWKd9S8ebnsI8Z1whiSjooDjy6qy44cQsRNMnVJSseC0avZK63yAtn6rgRwZjnqfn9QkXvkr&#10;TduUbF26NoaTp0gcRy7JikM9XIjXrjkhb/3eouppgyYDJqOejIMH1XbYd1YnQ+LUcguXDUtr8ec5&#10;F374q7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CXHXtkAAAALAQAADwAAAAAAAAABACAAAAAi&#10;AAAAZHJzL2Rvd25yZXYueG1sUEsBAhQAFAAAAAgAh07iQFMEykvQAQAAnQMAAA4AAAAAAAAAAQAg&#10;AAAAKAEAAGRycy9lMm9Eb2MueG1sUEsFBgAAAAAGAAYAWQEAAGoFAAAAAA==&#10;">
                <v:fill on="t" focussize="0,0"/>
                <v:stroke on="f"/>
                <v:imagedata o:title=""/>
                <o:lock v:ext="edit" aspectratio="f"/>
                <v:textbox inset="0mm,0mm,0mm,0mm">
                  <w:txbxContent>
                    <w:p>
                      <w:pPr>
                        <w:pStyle w:val="118"/>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2194560</wp:posOffset>
                </wp:positionH>
                <wp:positionV relativeFrom="margin">
                  <wp:posOffset>-156210</wp:posOffset>
                </wp:positionV>
                <wp:extent cx="3745865" cy="834390"/>
                <wp:effectExtent l="0" t="0" r="635" b="3810"/>
                <wp:wrapNone/>
                <wp:docPr id="11" name="文本框 11"/>
                <wp:cNvGraphicFramePr/>
                <a:graphic xmlns:a="http://schemas.openxmlformats.org/drawingml/2006/main">
                  <a:graphicData uri="http://schemas.microsoft.com/office/word/2010/wordprocessingShape">
                    <wps:wsp>
                      <wps:cNvSpPr txBox="1"/>
                      <wps:spPr>
                        <a:xfrm>
                          <a:off x="0" y="0"/>
                          <a:ext cx="3745865" cy="834390"/>
                        </a:xfrm>
                        <a:prstGeom prst="rect">
                          <a:avLst/>
                        </a:prstGeom>
                        <a:solidFill>
                          <a:srgbClr val="FFFFFF"/>
                        </a:solidFill>
                        <a:ln>
                          <a:noFill/>
                        </a:ln>
                      </wps:spPr>
                      <wps:txbx>
                        <w:txbxContent>
                          <w:p>
                            <w:pPr>
                              <w:pStyle w:val="48"/>
                            </w:pPr>
                            <w:r>
                              <w:t>YS</w:t>
                            </w:r>
                          </w:p>
                        </w:txbxContent>
                      </wps:txbx>
                      <wps:bodyPr lIns="0" tIns="0" rIns="0" bIns="0" upright="1"/>
                    </wps:wsp>
                  </a:graphicData>
                </a:graphic>
              </wp:anchor>
            </w:drawing>
          </mc:Choice>
          <mc:Fallback>
            <w:pict>
              <v:shape id="_x0000_s1026" o:spid="_x0000_s1026" o:spt="202" type="#_x0000_t202" style="position:absolute;left:0pt;margin-left:172.8pt;margin-top:-12.3pt;height:65.7pt;width:294.95pt;mso-position-horizontal-relative:margin;mso-position-vertical-relative:margin;z-index:251665408;mso-width-relative:page;mso-height-relative:page;" fillcolor="#FFFFFF" filled="t" stroked="f" coordsize="21600,21600" o:gfxdata="UEsDBAoAAAAAAIdO4kAAAAAAAAAAAAAAAAAEAAAAZHJzL1BLAwQUAAAACACHTuJAwjlpqdoAAAAL&#10;AQAADwAAAGRycy9kb3ducmV2LnhtbE2PwW7CMAyG75P2DpEn7TJBQqEVK02RBtttO8AQ59BkbUXj&#10;VElK4e3nncbNlj/9/v5ifbUduxgfWocSZlMBzGDldIu1hMP3x2QJLESFWnUOjYSbCbAuHx8KlWs3&#10;4s5c9rFmFIIhVxKaGPuc81A1xqowdb1Buv04b1Wk1ddcezVSuO14IkTGrWqRPjSqN5vGVOf9YCVk&#10;Wz+MO9y8bA/vn+qrr5Pj2+0o5fPTTKyARXON/zD86ZM6lOR0cgPqwDoJ80WaESphkixoIOJ1nqbA&#10;ToSKbAm8LPh9h/IXUEsDBBQAAAAIAIdO4kDsgLNA0gEAAJ0DAAAOAAAAZHJzL2Uyb0RvYy54bWyt&#10;U82O0zAQviPxDpbv1O12dylR05WgKkJCgLTwAI7jJJb8p7HbpC8Ab8CJC3eeq8/B2Gm6sFz2QA7J&#10;eGb8zXzfTNZ3g9HkICEoZ0u6mM0pkVa4Wtm2pF8+716sKAmR25prZ2VJjzLQu83zZ+veF/LKdU7X&#10;EgiC2FD0vqRdjL5gLIhOGh5mzkuLwcaB4RGP0LIaeI/oRrOr+fyW9Q5qD07IENC7HYP0jAhPAXRN&#10;o4TcOrE30sYRFaTmESmFTvlAN7nbppEifmyaICPRJUWmMb+xCNpVerPNmhctcN8pcW6BP6WFR5wM&#10;VxaLXqC2PHKyB/UPlFECXHBNnAln2EgkK4IsFvNH2tx33MvMBaUO/iJ6+H+w4sPhExBV4yYsKLHc&#10;4MRP37+dfvw6/fxK0IcC9T4UmHfvMTMOr92AyZM/oDPxHhow6YuMCMZR3uNFXjlEItC5fHl9s7q9&#10;oURgbLW8Xr7K+rOH2x5CfCudIckoKeD4sqr88D5E7ARTp5RULDit6p3SOh+grd5oIAeOo97lJzWJ&#10;V/5K0zYlW5eujeHkYYnjyCVZcaiGM/HK1Ufkrd9ZVD1t0GTAZFSTsfeg2g77zupkSJxabuG8YWkt&#10;/jznwg9/1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jlpqdoAAAALAQAADwAAAAAAAAABACAA&#10;AAAiAAAAZHJzL2Rvd25yZXYueG1sUEsBAhQAFAAAAAgAh07iQOyAs0DSAQAAnQMAAA4AAAAAAAAA&#10;AQAgAAAAKQEAAGRycy9lMm9Eb2MueG1sUEsFBgAAAAAGAAYAWQEAAG0FAAAAAA==&#10;">
                <v:fill on="t" focussize="0,0"/>
                <v:stroke on="f"/>
                <v:imagedata o:title=""/>
                <o:lock v:ext="edit" aspectratio="f"/>
                <v:textbox inset="0mm,0mm,0mm,0mm">
                  <w:txbxContent>
                    <w:p>
                      <w:pPr>
                        <w:pStyle w:val="48"/>
                      </w:pPr>
                      <w:r>
                        <w:t>YS</w:t>
                      </w:r>
                    </w:p>
                  </w:txbxContent>
                </v:textbox>
                <w10:anchorlock/>
              </v:shape>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8287385</wp:posOffset>
                </wp:positionV>
                <wp:extent cx="6057900" cy="0"/>
                <wp:effectExtent l="0" t="0" r="1016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Line 68" o:spid="_x0000_s1026" o:spt="20" style="position:absolute;left:0pt;margin-left:-7.9pt;margin-top:652.55pt;height:0pt;width:477pt;z-index:251662336;mso-width-relative:page;mso-height-relative:page;" filled="f" stroked="t" coordsize="21600,21600" o:gfxdata="UEsDBAoAAAAAAIdO4kAAAAAAAAAAAAAAAAAEAAAAZHJzL1BLAwQUAAAACACHTuJAvO8Z/tcAAAAN&#10;AQAADwAAAGRycy9kb3ducmV2LnhtbE2PwU7DMAyG70i8Q2QkblvSjaKuNJ3EJC67USbgmDWmrWic&#10;qsm69e0xB8SO9v/r8+die3G9mHAMnScNyVKBQKq97ajRcHh7WWQgQjRkTe8JNcwYYFve3hQmt/5M&#10;rzhVsREMoZAbDW2MQy5lqFt0Jiz9gMTZlx+diTyOjbSjOTPc9XKl1KN0piO+0JoBdy3W39XJMSX9&#10;yJ73JjvMc199bh527/uJnNb3d4l6AhHxEv/L8KvP6lCy09GfyAbRa1gkKatHDtYqTUBwZbPOViCO&#10;fytZFvL6i/IHUEsDBBQAAAAIAIdO4kBtt0of2AEAAN0DAAAOAAAAZHJzL2Uyb0RvYy54bWytU01v&#10;2zAMvQ/YfxB0X+wWSNYacXpo1l2KLcC2H6BIlC1AXxDVOPn3o+Q067pLDvNBJiXyke+JWj8cnWUH&#10;SGiC7/nNouUMvAzK+KHnv34+fbrjDLPwStjgoecnQP6w+fhhPcUObsMYrILECMRjN8WejznHrmlQ&#10;juAELkIET4c6JCcyuWloVBIToTvb3LbtqplCUjEFCYi0u50P+RkxXQMYtDYStkG+OPB5Rk1gRSZK&#10;OJqIfFO71Rpk/q41Qma258Q015WKkL0va7NZi25IIo5GnlsQ17TwjpMTxlPRC9RWZMFekvkHyhmZ&#10;AgadFzK4ZiZSFSEWN+07bX6MIkLlQlJjvIiO/w9WfjvsEjOq50vOvHB04c/GA1vdFWmmiB1FPPpd&#10;OnsYd6nwPOrkyp8YsGOV83SRE46ZSdpctcvP9y0pLV/Pmj+JMWH+CsGxYvTcUtEqoDg8Y6ZiFPoa&#10;UupYzyaa1vt2WfAEzZ2m+ybTReod/VCTMVijnoy1JQXTsH+0iR1Eufv6FU4E/FdYqbIVOM5x9Wie&#10;ihGE+uIVy6dIqnh6DLz04EBxZoHeTrEIUHRZGHtNJJW2viRAncwz0SLyLGux9kGdqtpN8ejWa8fn&#10;CS1j9dYn++2r3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O8Z/tcAAAANAQAADwAAAAAAAAAB&#10;ACAAAAAiAAAAZHJzL2Rvd25yZXYueG1sUEsBAhQAFAAAAAgAh07iQG23Sh/YAQAA3QMAAA4AAAAA&#10;AAAAAQAgAAAAJgEAAGRycy9lMm9Eb2MueG1sUEsFBgAAAAAGAAYAWQEAAHAFAAAAAA==&#10;">
                <v:fill on="f" focussize="0,0"/>
                <v:stroke weight="1.5pt"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3810</wp:posOffset>
                </wp:positionH>
                <wp:positionV relativeFrom="margin">
                  <wp:posOffset>168910</wp:posOffset>
                </wp:positionV>
                <wp:extent cx="2406650" cy="719455"/>
                <wp:effectExtent l="0" t="0" r="0" b="0"/>
                <wp:wrapNone/>
                <wp:docPr id="6" name="fmFrame1"/>
                <wp:cNvGraphicFramePr/>
                <a:graphic xmlns:a="http://schemas.openxmlformats.org/drawingml/2006/main">
                  <a:graphicData uri="http://schemas.microsoft.com/office/word/2010/wordprocessingShape">
                    <wps:wsp>
                      <wps:cNvSpPr txBox="1"/>
                      <wps:spPr>
                        <a:xfrm>
                          <a:off x="0" y="0"/>
                          <a:ext cx="2406650" cy="719455"/>
                        </a:xfrm>
                        <a:prstGeom prst="rect">
                          <a:avLst/>
                        </a:prstGeom>
                        <a:solidFill>
                          <a:srgbClr val="FFFFFF"/>
                        </a:solidFill>
                        <a:ln>
                          <a:noFill/>
                        </a:ln>
                        <a:effectLst/>
                      </wps:spPr>
                      <wps:txbx>
                        <w:txbxContent>
                          <w:p>
                            <w:pPr>
                              <w:pStyle w:val="93"/>
                              <w:rPr>
                                <w:rFonts w:hint="default" w:eastAsia="黑体"/>
                                <w:color w:val="000000" w:themeColor="text1"/>
                                <w:sz w:val="21"/>
                                <w:szCs w:val="21"/>
                                <w:lang w:val="en-US" w:eastAsia="zh-CN"/>
                                <w14:textFill>
                                  <w14:solidFill>
                                    <w14:schemeClr w14:val="tx1"/>
                                  </w14:solidFill>
                                </w14:textFill>
                              </w:rPr>
                            </w:pPr>
                            <w:r>
                              <w:rPr>
                                <w:rFonts w:eastAsia="黑体"/>
                                <w:sz w:val="21"/>
                                <w:szCs w:val="21"/>
                              </w:rPr>
                              <w:t>ICS 77.120.</w:t>
                            </w:r>
                            <w:r>
                              <w:rPr>
                                <w:rFonts w:hint="eastAsia" w:eastAsia="黑体"/>
                                <w:color w:val="FF0000"/>
                                <w:sz w:val="21"/>
                                <w:szCs w:val="21"/>
                              </w:rPr>
                              <w:t xml:space="preserve"> </w:t>
                            </w:r>
                            <w:r>
                              <w:rPr>
                                <w:rFonts w:hint="eastAsia" w:eastAsia="黑体"/>
                                <w:color w:val="000000" w:themeColor="text1"/>
                                <w:sz w:val="21"/>
                                <w:szCs w:val="21"/>
                                <w:lang w:val="en-US" w:eastAsia="zh-CN"/>
                                <w14:textFill>
                                  <w14:solidFill>
                                    <w14:schemeClr w14:val="tx1"/>
                                  </w14:solidFill>
                                </w14:textFill>
                              </w:rPr>
                              <w:t>60</w:t>
                            </w:r>
                          </w:p>
                          <w:p>
                            <w:pPr>
                              <w:pStyle w:val="93"/>
                              <w:rPr>
                                <w:rFonts w:hint="default" w:eastAsia="黑体"/>
                                <w:sz w:val="21"/>
                                <w:szCs w:val="21"/>
                                <w:lang w:val="en-US" w:eastAsia="zh-CN"/>
                              </w:rPr>
                            </w:pPr>
                            <w:r>
                              <w:rPr>
                                <w:rFonts w:eastAsia="黑体"/>
                                <w:sz w:val="21"/>
                                <w:szCs w:val="21"/>
                              </w:rPr>
                              <w:t>CCS</w:t>
                            </w:r>
                            <w:r>
                              <w:rPr>
                                <w:rFonts w:hint="eastAsia" w:eastAsia="黑体"/>
                                <w:sz w:val="21"/>
                                <w:szCs w:val="21"/>
                              </w:rPr>
                              <w:t xml:space="preserve"> </w:t>
                            </w:r>
                            <w:r>
                              <w:rPr>
                                <w:rFonts w:eastAsia="黑体"/>
                                <w:sz w:val="21"/>
                                <w:szCs w:val="21"/>
                              </w:rPr>
                              <w:t xml:space="preserve">H </w:t>
                            </w:r>
                            <w:r>
                              <w:rPr>
                                <w:rFonts w:hint="eastAsia" w:eastAsia="黑体"/>
                                <w:sz w:val="21"/>
                                <w:szCs w:val="21"/>
                                <w:lang w:val="en-US" w:eastAsia="zh-CN"/>
                              </w:rPr>
                              <w:t>13</w:t>
                            </w:r>
                          </w:p>
                          <w:p>
                            <w:pPr>
                              <w:pStyle w:val="53"/>
                              <w:rPr>
                                <w:strike/>
                                <w:color w:val="FF0000"/>
                                <w:szCs w:val="21"/>
                              </w:rPr>
                            </w:pPr>
                          </w:p>
                        </w:txbxContent>
                      </wps:txbx>
                      <wps:bodyPr lIns="0" tIns="0" rIns="0" bIns="0" upright="1">
                        <a:noAutofit/>
                      </wps:bodyPr>
                    </wps:wsp>
                  </a:graphicData>
                </a:graphic>
              </wp:anchor>
            </w:drawing>
          </mc:Choice>
          <mc:Fallback>
            <w:pict>
              <v:shape id="fmFrame1" o:spid="_x0000_s1026" o:spt="202" type="#_x0000_t202" style="position:absolute;left:0pt;margin-left:0.3pt;margin-top:13.3pt;height:56.65pt;width:189.5pt;mso-position-horizontal-relative:margin;mso-position-vertical-relative:margin;z-index:251663360;mso-width-relative:page;mso-height-relative:page;" fillcolor="#FFFFFF" filled="t" stroked="f" coordsize="21600,21600" o:gfxdata="UEsDBAoAAAAAAIdO4kAAAAAAAAAAAAAAAAAEAAAAZHJzL1BLAwQUAAAACACHTuJACHyqztUAAAAH&#10;AQAADwAAAGRycy9kb3ducmV2LnhtbE2OwU7DMAyG70i8Q2QkLoil66RCu6aT2OAGh41p56zx2orG&#10;qZJ03d4ec2In2/o//f7K1cX24ow+dI4UzGcJCKTamY4aBfvvj+dXECFqMrp3hAquGGBV3d+VujBu&#10;oi2ed7ERXEKh0AraGIdCylC3aHWYuQGJs5PzVkc+fSON1xOX216mSZJJqzviD60ecN1i/bMbrYJs&#10;48dpS+unzf79U38NTXp4ux6UenyYJ0sQES/xH4Y/fVaHip2ObiQTRM8dzClIM56cLl5yXo6MLfIc&#10;ZFXKW//qF1BLAwQUAAAACACHTuJA8451ZM4BAADAAwAADgAAAGRycy9lMm9Eb2MueG1srVNNj9Mw&#10;EL0j8R8s32nSalugarpaqIqQECAt/ADXsRNLtscau2367xk7aReWyx42h2S+/MbvzWRzPzjLTgqj&#10;Ad/w+azmTHkJrfFdw3//2r/7wFlMwrfCglcNv6jI77dv32zOYa0W0INtFTIC8XF9Dg3vUwrrqoqy&#10;V07EGQTlKakBnUjkYle1KM6E7my1qOtVdQZsA4JUMVJ0Nyb5hIgvAQStjVQ7kEenfBpRUVmRiFLs&#10;TYh8W26rtZLph9ZRJWYbTkxTeVMTsg/5XW03Yt2hCL2R0xXES67wjJMTxlPTG9ROJMGOaP6DckYi&#10;RNBpJsFVI5GiCLGY18+0eexFUIULSR3DTfT4erDy++knMtM2fMWZF44Grt0eyZhnbc4hrqnkMVBR&#10;Gj7BQBtzjUcKZsqDRpe/RIZRnpS93JRVQ2KSgou7erVaUkpS7v38491ymWGqp9MBY/qiwLFsNBxp&#10;ckVQcfoW01h6LcnNIljT7o21xcHu8NkiOwma8r48E/o/ZdbnYg/52Ig4RlTZk6lNZjwyy1YaDsMk&#10;wwHaC6lgv3qSP6/S1cCrcbgax4Cm64nFvFDw8HBMoE2hkVFHKKKfHRpsEWJawrw5f/ul6unH2/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HyqztUAAAAHAQAADwAAAAAAAAABACAAAAAiAAAAZHJz&#10;L2Rvd25yZXYueG1sUEsBAhQAFAAAAAgAh07iQPOOdWTOAQAAwAMAAA4AAAAAAAAAAQAgAAAAJAEA&#10;AGRycy9lMm9Eb2MueG1sUEsFBgAAAAAGAAYAWQEAAGQFAAAAAA==&#10;">
                <v:fill on="t" focussize="0,0"/>
                <v:stroke on="f"/>
                <v:imagedata o:title=""/>
                <o:lock v:ext="edit" aspectratio="f"/>
                <v:textbox inset="0mm,0mm,0mm,0mm">
                  <w:txbxContent>
                    <w:p>
                      <w:pPr>
                        <w:pStyle w:val="93"/>
                        <w:rPr>
                          <w:rFonts w:hint="default" w:eastAsia="黑体"/>
                          <w:color w:val="000000" w:themeColor="text1"/>
                          <w:sz w:val="21"/>
                          <w:szCs w:val="21"/>
                          <w:lang w:val="en-US" w:eastAsia="zh-CN"/>
                          <w14:textFill>
                            <w14:solidFill>
                              <w14:schemeClr w14:val="tx1"/>
                            </w14:solidFill>
                          </w14:textFill>
                        </w:rPr>
                      </w:pPr>
                      <w:r>
                        <w:rPr>
                          <w:rFonts w:eastAsia="黑体"/>
                          <w:sz w:val="21"/>
                          <w:szCs w:val="21"/>
                        </w:rPr>
                        <w:t>ICS 77.120.</w:t>
                      </w:r>
                      <w:r>
                        <w:rPr>
                          <w:rFonts w:hint="eastAsia" w:eastAsia="黑体"/>
                          <w:color w:val="FF0000"/>
                          <w:sz w:val="21"/>
                          <w:szCs w:val="21"/>
                        </w:rPr>
                        <w:t xml:space="preserve"> </w:t>
                      </w:r>
                      <w:r>
                        <w:rPr>
                          <w:rFonts w:hint="eastAsia" w:eastAsia="黑体"/>
                          <w:color w:val="000000" w:themeColor="text1"/>
                          <w:sz w:val="21"/>
                          <w:szCs w:val="21"/>
                          <w:lang w:val="en-US" w:eastAsia="zh-CN"/>
                          <w14:textFill>
                            <w14:solidFill>
                              <w14:schemeClr w14:val="tx1"/>
                            </w14:solidFill>
                          </w14:textFill>
                        </w:rPr>
                        <w:t>60</w:t>
                      </w:r>
                    </w:p>
                    <w:p>
                      <w:pPr>
                        <w:pStyle w:val="93"/>
                        <w:rPr>
                          <w:rFonts w:hint="default" w:eastAsia="黑体"/>
                          <w:sz w:val="21"/>
                          <w:szCs w:val="21"/>
                          <w:lang w:val="en-US" w:eastAsia="zh-CN"/>
                        </w:rPr>
                      </w:pPr>
                      <w:r>
                        <w:rPr>
                          <w:rFonts w:eastAsia="黑体"/>
                          <w:sz w:val="21"/>
                          <w:szCs w:val="21"/>
                        </w:rPr>
                        <w:t>CCS</w:t>
                      </w:r>
                      <w:r>
                        <w:rPr>
                          <w:rFonts w:hint="eastAsia" w:eastAsia="黑体"/>
                          <w:sz w:val="21"/>
                          <w:szCs w:val="21"/>
                        </w:rPr>
                        <w:t xml:space="preserve"> </w:t>
                      </w:r>
                      <w:r>
                        <w:rPr>
                          <w:rFonts w:eastAsia="黑体"/>
                          <w:sz w:val="21"/>
                          <w:szCs w:val="21"/>
                        </w:rPr>
                        <w:t xml:space="preserve">H </w:t>
                      </w:r>
                      <w:r>
                        <w:rPr>
                          <w:rFonts w:hint="eastAsia" w:eastAsia="黑体"/>
                          <w:sz w:val="21"/>
                          <w:szCs w:val="21"/>
                          <w:lang w:val="en-US" w:eastAsia="zh-CN"/>
                        </w:rPr>
                        <w:t>13</w:t>
                      </w:r>
                    </w:p>
                    <w:p>
                      <w:pPr>
                        <w:pStyle w:val="53"/>
                        <w:rPr>
                          <w:strike/>
                          <w:color w:val="FF0000"/>
                          <w:szCs w:val="21"/>
                        </w:rPr>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3823970</wp:posOffset>
                </wp:positionH>
                <wp:positionV relativeFrom="margin">
                  <wp:posOffset>8514080</wp:posOffset>
                </wp:positionV>
                <wp:extent cx="2019300" cy="312420"/>
                <wp:effectExtent l="0" t="0" r="0" b="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eastAsia="黑体"/>
                                <w:sz w:val="28"/>
                                <w:szCs w:val="28"/>
                              </w:rPr>
                            </w:pPr>
                            <w:r>
                              <w:rPr>
                                <w:rFonts w:eastAsia="黑体"/>
                                <w:sz w:val="28"/>
                                <w:szCs w:val="28"/>
                              </w:rPr>
                              <w:t xml:space="preserve">XXXX-XX-XX实施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1312;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6RDgGsMBAACmAwAADgAAAGRycy9lMm9Eb2MueG1srVPb&#10;btswDH0fsH8Q9N7YSYZiM+IUaIMMA4ZtQNsPkGXJFqAbKCV2/n6UbKeXvfRhfrApkjrkOaR3d6PR&#10;5CwgKGdrul6VlAjLXatsV9Pnp+PNV0pCZLZl2llR04sI9G7/+dNu8JXYuN7pVgBBEBuqwde0j9FX&#10;RRF4LwwLK+eFxaB0YFjEI3RFC2xAdKOLTVneFoOD1oPjIgT0HqYgnRHhI4BOSsXFwfGTETZOqCA0&#10;i0gp9MoHus/dSil4/C1lEJHomiLTmN9YBO0mvYv9jlUdMN8rPrfAPtLCO06GKYtFr1AHFhk5gfoH&#10;yigOLjgZV9yZYiKSFUEW6/KdNo898yJzQamDv4oe/h8s/3X+A0S1Nd1SYpnBgUtzBDRukzaDDxWm&#10;PHpMiuO9G3FjFn9AZ6I8SjDpi2QIxlHZy1VZMUbC0Ynkvm1LDHGMbdebL5ssffFy20OI34UzJBk1&#10;BZxcFpSdf4aInWDqkpKKBadVe1Ra5wN0zYMGcmY45WN+UpN45U2atinZunRtCk8ekfdkLpMYT8yS&#10;FcdmnGVoXHtBFfQPi/KnVVoMWIxmMU4eVNcji6xVkYBwfLmhedXSfrw+o/3699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QPaDfYAAAADQEAAA8AAAAAAAAAAQAgAAAAIgAAAGRycy9kb3ducmV2&#10;LnhtbFBLAQIUABQAAAAIAIdO4kDpEOAawwEAAKYDAAAOAAAAAAAAAAEAIAAAACcBAABkcnMvZTJv&#10;RG9jLnhtbFBLBQYAAAAABgAGAFkBAABcBQAAAAA=&#10;">
                <v:fill on="t" focussize="0,0"/>
                <v:stroke on="f"/>
                <v:imagedata o:title=""/>
                <o:lock v:ext="edit" aspectratio="f"/>
                <v:textbox inset="0mm,0mm,0mm,0mm">
                  <w:txbxContent>
                    <w:p>
                      <w:pPr>
                        <w:jc w:val="right"/>
                        <w:rPr>
                          <w:rFonts w:eastAsia="黑体"/>
                          <w:sz w:val="28"/>
                          <w:szCs w:val="28"/>
                        </w:rPr>
                      </w:pPr>
                      <w:r>
                        <w:rPr>
                          <w:rFonts w:eastAsia="黑体"/>
                          <w:sz w:val="28"/>
                          <w:szCs w:val="28"/>
                        </w:rPr>
                        <w:t xml:space="preserve">XXXX-XX-XX实施   </w:t>
                      </w:r>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8516620</wp:posOffset>
                </wp:positionV>
                <wp:extent cx="2019300" cy="312420"/>
                <wp:effectExtent l="0" t="0" r="0" b="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78"/>
                            </w:pPr>
                            <w:r>
                              <w:t>XXXX-XX-XX发布</w:t>
                            </w:r>
                          </w:p>
                          <w:p/>
                        </w:txbxContent>
                      </wps:txbx>
                      <wps:bodyPr lIns="0" tIns="0" rIns="0" bIns="0" upright="1"/>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0288;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ZE8bkMMBAACmAwAADgAAAGRycy9lMm9Eb2MueG1srVPL&#10;jtswDLwX6D8Iujd2vN2ia8RZoA1SFCjaArv9AFmWbAF6gVJi5+9LyXb20cse6oNNkdSQM6R395PR&#10;5CwgKGcbut2UlAjLXads39A/j8cPnykJkdmOaWdFQy8i0Pv9+3e70deicoPTnQCCIDbUo2/oEKOv&#10;iyLwQRgWNs4Li0HpwLCIR+iLDtiI6EYXVVl+KkYHnQfHRQjoPcxBuiDCWwCdlIqLg+MnI2ycUUFo&#10;FpFSGJQPdJ+7lVLw+EvKICLRDUWmMb+xCNptehf7Hat7YH5QfGmBvaWFV5wMUxaLXqEOLDJyAvUP&#10;lFEcXHAybrgzxUwkK4IstuUrbR4G5kXmglIHfxU9/D9Y/vP8G4jqGlpRYpnBgUtzBDRukzajDzWm&#10;PHhMitMXN+HGrP6AzkR5kmDSF8kQjKOyl6uyYoqEoxPJ3d2UGOIYu9lWH6ssffF020OI34QzJBkN&#10;BZxcFpSdf4SInWDqmpKKBadVd1Ra5wP07VcN5Mxwysf8pCbxyos0bVOydenaHJ49Iu/JUiYxnpkl&#10;K07ttMjQuu6CKujvFuVPq7QasBrtapw8qH5AFlmrIgHh+HJDy6ql/Xh+Rvv577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IhpYXYAAAACgEAAA8AAAAAAAAAAQAgAAAAIgAAAGRycy9kb3ducmV2&#10;LnhtbFBLAQIUABQAAAAIAIdO4kBkTxuQwwEAAKYDAAAOAAAAAAAAAAEAIAAAACcBAABkcnMvZTJv&#10;RG9jLnhtbFBLBQYAAAAABgAGAFkBAABcBQAAAAA=&#10;">
                <v:fill on="t" focussize="0,0"/>
                <v:stroke on="f"/>
                <v:imagedata o:title=""/>
                <o:lock v:ext="edit" aspectratio="f"/>
                <v:textbox inset="0mm,0mm,0mm,0mm">
                  <w:txbxContent>
                    <w:p>
                      <w:pPr>
                        <w:pStyle w:val="78"/>
                      </w:pPr>
                      <w:r>
                        <w:t>XXXX-XX-XX发布</w:t>
                      </w:r>
                    </w:p>
                    <w:p/>
                  </w:txbxContent>
                </v:textbox>
                <w10:anchorlock/>
              </v:shape>
            </w:pict>
          </mc:Fallback>
        </mc:AlternateContent>
      </w:r>
      <w:r>
        <w:rPr>
          <w:rFonts w:ascii="Times New Roman"/>
        </w:rPr>
        <mc:AlternateContent>
          <mc:Choice Requires="wps">
            <w:drawing>
              <wp:anchor distT="0" distB="0" distL="114300" distR="114300" simplePos="0" relativeHeight="251659264" behindDoc="0" locked="1" layoutInCell="1" allowOverlap="1">
                <wp:simplePos x="0" y="0"/>
                <wp:positionH relativeFrom="margin">
                  <wp:posOffset>109220</wp:posOffset>
                </wp:positionH>
                <wp:positionV relativeFrom="margin">
                  <wp:posOffset>2780030</wp:posOffset>
                </wp:positionV>
                <wp:extent cx="5722620" cy="4318000"/>
                <wp:effectExtent l="0" t="0" r="0" b="6350"/>
                <wp:wrapNone/>
                <wp:docPr id="1" name="fmFrame4"/>
                <wp:cNvGraphicFramePr/>
                <a:graphic xmlns:a="http://schemas.openxmlformats.org/drawingml/2006/main">
                  <a:graphicData uri="http://schemas.microsoft.com/office/word/2010/wordprocessingShape">
                    <wps:wsp>
                      <wps:cNvSpPr txBox="1"/>
                      <wps:spPr>
                        <a:xfrm>
                          <a:off x="0" y="0"/>
                          <a:ext cx="5722620" cy="4318000"/>
                        </a:xfrm>
                        <a:prstGeom prst="rect">
                          <a:avLst/>
                        </a:prstGeom>
                        <a:solidFill>
                          <a:srgbClr val="FFFFFF"/>
                        </a:solidFill>
                        <a:ln>
                          <a:noFill/>
                        </a:ln>
                        <a:effectLst/>
                      </wps:spPr>
                      <wps:txbx>
                        <w:txbxContent>
                          <w:p>
                            <w:pPr>
                              <w:jc w:val="center"/>
                              <w:rPr>
                                <w:rFonts w:ascii="黑体" w:eastAsia="黑体"/>
                                <w:sz w:val="52"/>
                              </w:rPr>
                            </w:pPr>
                          </w:p>
                          <w:p>
                            <w:pPr>
                              <w:jc w:val="center"/>
                              <w:rPr>
                                <w:rFonts w:eastAsia="黑体"/>
                                <w:bCs/>
                                <w:sz w:val="52"/>
                                <w:szCs w:val="72"/>
                              </w:rPr>
                            </w:pPr>
                            <w:r>
                              <w:rPr>
                                <w:rFonts w:hint="eastAsia" w:eastAsia="黑体"/>
                                <w:bCs/>
                                <w:sz w:val="52"/>
                                <w:szCs w:val="72"/>
                              </w:rPr>
                              <w:t>湿法炼锌浸出液化学分析方法</w:t>
                            </w:r>
                          </w:p>
                          <w:p>
                            <w:pPr>
                              <w:jc w:val="center"/>
                              <w:rPr>
                                <w:rFonts w:eastAsia="黑体"/>
                                <w:bCs/>
                                <w:sz w:val="52"/>
                                <w:szCs w:val="72"/>
                              </w:rPr>
                            </w:pPr>
                            <w:r>
                              <w:rPr>
                                <w:rFonts w:hint="eastAsia" w:eastAsia="黑体"/>
                                <w:bCs/>
                                <w:sz w:val="52"/>
                                <w:szCs w:val="72"/>
                              </w:rPr>
                              <w:t>第2部分： 杂质元素的测定</w:t>
                            </w:r>
                          </w:p>
                          <w:p>
                            <w:pPr>
                              <w:jc w:val="center"/>
                              <w:rPr>
                                <w:rFonts w:eastAsia="黑体"/>
                                <w:bCs/>
                                <w:sz w:val="52"/>
                                <w:szCs w:val="72"/>
                              </w:rPr>
                            </w:pPr>
                            <w:r>
                              <w:rPr>
                                <w:rFonts w:hint="eastAsia" w:eastAsia="黑体"/>
                                <w:bCs/>
                                <w:sz w:val="52"/>
                                <w:szCs w:val="72"/>
                              </w:rPr>
                              <w:t>电感耦合等离子体原子发射光谱法</w:t>
                            </w:r>
                          </w:p>
                          <w:p>
                            <w:pPr>
                              <w:pStyle w:val="74"/>
                              <w:rPr>
                                <w:rFonts w:ascii="Times New Roman" w:eastAsia="黑体"/>
                                <w:color w:val="000000"/>
                                <w:sz w:val="28"/>
                                <w:szCs w:val="28"/>
                              </w:rPr>
                            </w:pPr>
                            <w:r>
                              <w:rPr>
                                <w:rFonts w:ascii="Times New Roman" w:eastAsia="黑体"/>
                                <w:color w:val="000000"/>
                                <w:sz w:val="28"/>
                                <w:szCs w:val="28"/>
                              </w:rPr>
                              <w:t>Methods for chemical analysis of zinc hydrometallurgy leaching solution</w:t>
                            </w:r>
                            <w:r>
                              <w:rPr>
                                <w:rFonts w:hint="eastAsia" w:ascii="仿宋" w:hAnsi="仿宋" w:eastAsia="仿宋"/>
                                <w:color w:val="000000"/>
                                <w:sz w:val="28"/>
                                <w:szCs w:val="28"/>
                              </w:rPr>
                              <w:t>—</w:t>
                            </w:r>
                            <w:r>
                              <w:rPr>
                                <w:rFonts w:hint="eastAsia" w:ascii="Times New Roman" w:eastAsia="黑体"/>
                                <w:color w:val="000000"/>
                                <w:sz w:val="28"/>
                                <w:szCs w:val="28"/>
                              </w:rPr>
                              <w:t xml:space="preserve">  </w:t>
                            </w:r>
                            <w:r>
                              <w:rPr>
                                <w:rFonts w:ascii="Times New Roman" w:eastAsia="黑体"/>
                                <w:color w:val="000000"/>
                                <w:sz w:val="28"/>
                                <w:szCs w:val="28"/>
                              </w:rPr>
                              <w:t>Part 2： Determination of Impurity Elements</w:t>
                            </w:r>
                          </w:p>
                          <w:p>
                            <w:pPr>
                              <w:pStyle w:val="74"/>
                              <w:spacing w:before="0"/>
                              <w:rPr>
                                <w:rFonts w:ascii="Times New Roman" w:eastAsia="黑体"/>
                                <w:color w:val="000000"/>
                                <w:sz w:val="28"/>
                                <w:szCs w:val="28"/>
                              </w:rPr>
                            </w:pPr>
                            <w:r>
                              <w:rPr>
                                <w:rFonts w:ascii="Times New Roman" w:eastAsia="黑体"/>
                                <w:color w:val="000000"/>
                                <w:sz w:val="28"/>
                                <w:szCs w:val="28"/>
                              </w:rPr>
                              <w:t>Inductively coupled plasma atomic emission spectrometry</w:t>
                            </w:r>
                          </w:p>
                          <w:p>
                            <w:pPr>
                              <w:pStyle w:val="74"/>
                              <w:spacing w:before="0"/>
                              <w:rPr>
                                <w:rFonts w:ascii="Times New Roman"/>
                                <w:b/>
                                <w:sz w:val="28"/>
                              </w:rPr>
                            </w:pPr>
                            <w:r>
                              <w:rPr>
                                <w:rFonts w:ascii="Times New Roman" w:eastAsia="黑体"/>
                                <w:color w:val="000000"/>
                                <w:sz w:val="28"/>
                              </w:rPr>
                              <w:t>（</w:t>
                            </w:r>
                            <w:r>
                              <w:rPr>
                                <w:rFonts w:hint="eastAsia" w:ascii="Times New Roman" w:eastAsia="黑体"/>
                                <w:color w:val="000000"/>
                                <w:sz w:val="28"/>
                                <w:lang w:val="en-US" w:eastAsia="zh-CN"/>
                              </w:rPr>
                              <w:t>预审稿</w:t>
                            </w:r>
                            <w:r>
                              <w:rPr>
                                <w:rFonts w:ascii="Times New Roman" w:eastAsia="黑体"/>
                                <w:color w:val="000000"/>
                                <w:sz w:val="28"/>
                              </w:rPr>
                              <w:t>）</w:t>
                            </w:r>
                          </w:p>
                        </w:txbxContent>
                      </wps:txbx>
                      <wps:bodyPr lIns="0" tIns="0" rIns="0" bIns="0" upright="1">
                        <a:noAutofit/>
                      </wps:bodyPr>
                    </wps:wsp>
                  </a:graphicData>
                </a:graphic>
              </wp:anchor>
            </w:drawing>
          </mc:Choice>
          <mc:Fallback>
            <w:pict>
              <v:shape id="fmFrame4" o:spid="_x0000_s1026" o:spt="202" type="#_x0000_t202" style="position:absolute;left:0pt;margin-left:8.6pt;margin-top:218.9pt;height:340pt;width:450.6pt;mso-position-horizontal-relative:margin;mso-position-vertical-relative:margin;z-index:251659264;mso-width-relative:page;mso-height-relative:page;" fillcolor="#FFFFFF" filled="t" stroked="f" coordsize="21600,21600" o:gfxdata="UEsDBAoAAAAAAIdO4kAAAAAAAAAAAAAAAAAEAAAAZHJzL1BLAwQUAAAACACHTuJAdcGbBdkAAAAL&#10;AQAADwAAAGRycy9kb3ducmV2LnhtbE2PwW7CMBBE75X6D9ZW6qUqTlIENMRBKrS39gBFnE28JFHj&#10;dWQ7BP6+21M5zs5o9k2xuthOnNGH1pGCdJKAQKqcaalWsP/+eF6ACFGT0Z0jVHDFAKvy/q7QuXEj&#10;bfG8i7XgEgq5VtDE2OdShqpBq8PE9UjsnZy3OrL0tTRej1xuO5klyUxa3RJ/aHSP6warn91gFcw2&#10;fhi3tH7a7N8/9VdfZ4e360Gpx4c0WYKIeIn/YfjDZ3QomenoBjJBdKznGScVTF/mPIEDr+liCuLI&#10;TprySZaFvN1Q/gJQSwMEFAAAAAgAh07iQDk7ZJvQAQAAwQMAAA4AAABkcnMvZTJvRG9jLnhtbK1T&#10;TY/TMBC9I/EfLN9p0rAsq6jpCqiKkBAgLfsDXMduLNkea+y26b9n7KRdWC572ByS+fKbec+T1f3o&#10;LDsqjAZ8x5eLmjPlJfTG7zv++Hv77o6zmITvhQWvOn5Wkd+v375ZnUKrGhjA9goZgfjYnkLHh5RC&#10;W1VRDsqJuICgPCU1oBOJXNxXPYoToTtbNXV9W50A+4AgVYwU3UxJPiPiSwBBayPVBuTBKZ8mVFRW&#10;JKIUBxMiX5dptVYy/dQ6qsRsx4lpKm9qQvYuv6v1SrR7FGEwch5BvGSEZ5ycMJ6aXqE2Igl2QPMf&#10;lDMSIYJOCwmumogURYjFsn6mzcMggipcSOoYrqLH14OVP46/kJmeNoEzLxxduHZbJOMma3MKsaWS&#10;h0BFafwMY66b45GCmfKo0eUvkWGUJ2XPV2XVmJik4IePTXPbUEpS7ub98q6ui/bV0/GAMX1V4Fg2&#10;Oo50dUVRcfweE7Wk0ktJ7hbBmn5rrC0O7ndfLLKjoGvelidPSUf+KbM+F3vIx6b0FFFlUeY2mfJE&#10;LVtp3I0z3x30Z5LBfvOkf96li4EXY3cxDgHNfiAWy0LBw6dDAm0KjYw6QdGA2aGbLaPOW5hX52+/&#10;VD39ee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cGbBdkAAAALAQAADwAAAAAAAAABACAAAAAi&#10;AAAAZHJzL2Rvd25yZXYueG1sUEsBAhQAFAAAAAgAh07iQDk7ZJvQAQAAwQMAAA4AAAAAAAAAAQAg&#10;AAAAKAEAAGRycy9lMm9Eb2MueG1sUEsFBgAAAAAGAAYAWQEAAGoFAAAAAA==&#10;">
                <v:fill on="t" focussize="0,0"/>
                <v:stroke on="f"/>
                <v:imagedata o:title=""/>
                <o:lock v:ext="edit" aspectratio="f"/>
                <v:textbox inset="0mm,0mm,0mm,0mm">
                  <w:txbxContent>
                    <w:p>
                      <w:pPr>
                        <w:jc w:val="center"/>
                        <w:rPr>
                          <w:rFonts w:ascii="黑体" w:eastAsia="黑体"/>
                          <w:sz w:val="52"/>
                        </w:rPr>
                      </w:pPr>
                    </w:p>
                    <w:p>
                      <w:pPr>
                        <w:jc w:val="center"/>
                        <w:rPr>
                          <w:rFonts w:eastAsia="黑体"/>
                          <w:bCs/>
                          <w:sz w:val="52"/>
                          <w:szCs w:val="72"/>
                        </w:rPr>
                      </w:pPr>
                      <w:r>
                        <w:rPr>
                          <w:rFonts w:hint="eastAsia" w:eastAsia="黑体"/>
                          <w:bCs/>
                          <w:sz w:val="52"/>
                          <w:szCs w:val="72"/>
                        </w:rPr>
                        <w:t>湿法炼锌浸出液化学分析方法</w:t>
                      </w:r>
                    </w:p>
                    <w:p>
                      <w:pPr>
                        <w:jc w:val="center"/>
                        <w:rPr>
                          <w:rFonts w:eastAsia="黑体"/>
                          <w:bCs/>
                          <w:sz w:val="52"/>
                          <w:szCs w:val="72"/>
                        </w:rPr>
                      </w:pPr>
                      <w:r>
                        <w:rPr>
                          <w:rFonts w:hint="eastAsia" w:eastAsia="黑体"/>
                          <w:bCs/>
                          <w:sz w:val="52"/>
                          <w:szCs w:val="72"/>
                        </w:rPr>
                        <w:t>第2部分： 杂质元素的测定</w:t>
                      </w:r>
                    </w:p>
                    <w:p>
                      <w:pPr>
                        <w:jc w:val="center"/>
                        <w:rPr>
                          <w:rFonts w:eastAsia="黑体"/>
                          <w:bCs/>
                          <w:sz w:val="52"/>
                          <w:szCs w:val="72"/>
                        </w:rPr>
                      </w:pPr>
                      <w:r>
                        <w:rPr>
                          <w:rFonts w:hint="eastAsia" w:eastAsia="黑体"/>
                          <w:bCs/>
                          <w:sz w:val="52"/>
                          <w:szCs w:val="72"/>
                        </w:rPr>
                        <w:t>电感耦合等离子体原子发射光谱法</w:t>
                      </w:r>
                    </w:p>
                    <w:p>
                      <w:pPr>
                        <w:pStyle w:val="74"/>
                        <w:rPr>
                          <w:rFonts w:ascii="Times New Roman" w:eastAsia="黑体"/>
                          <w:color w:val="000000"/>
                          <w:sz w:val="28"/>
                          <w:szCs w:val="28"/>
                        </w:rPr>
                      </w:pPr>
                      <w:r>
                        <w:rPr>
                          <w:rFonts w:ascii="Times New Roman" w:eastAsia="黑体"/>
                          <w:color w:val="000000"/>
                          <w:sz w:val="28"/>
                          <w:szCs w:val="28"/>
                        </w:rPr>
                        <w:t>Methods for chemical analysis of zinc hydrometallurgy leaching solution</w:t>
                      </w:r>
                      <w:r>
                        <w:rPr>
                          <w:rFonts w:hint="eastAsia" w:ascii="仿宋" w:hAnsi="仿宋" w:eastAsia="仿宋"/>
                          <w:color w:val="000000"/>
                          <w:sz w:val="28"/>
                          <w:szCs w:val="28"/>
                        </w:rPr>
                        <w:t>—</w:t>
                      </w:r>
                      <w:r>
                        <w:rPr>
                          <w:rFonts w:hint="eastAsia" w:ascii="Times New Roman" w:eastAsia="黑体"/>
                          <w:color w:val="000000"/>
                          <w:sz w:val="28"/>
                          <w:szCs w:val="28"/>
                        </w:rPr>
                        <w:t xml:space="preserve">  </w:t>
                      </w:r>
                      <w:r>
                        <w:rPr>
                          <w:rFonts w:ascii="Times New Roman" w:eastAsia="黑体"/>
                          <w:color w:val="000000"/>
                          <w:sz w:val="28"/>
                          <w:szCs w:val="28"/>
                        </w:rPr>
                        <w:t>Part 2： Determination of Impurity Elements</w:t>
                      </w:r>
                    </w:p>
                    <w:p>
                      <w:pPr>
                        <w:pStyle w:val="74"/>
                        <w:spacing w:before="0"/>
                        <w:rPr>
                          <w:rFonts w:ascii="Times New Roman" w:eastAsia="黑体"/>
                          <w:color w:val="000000"/>
                          <w:sz w:val="28"/>
                          <w:szCs w:val="28"/>
                        </w:rPr>
                      </w:pPr>
                      <w:r>
                        <w:rPr>
                          <w:rFonts w:ascii="Times New Roman" w:eastAsia="黑体"/>
                          <w:color w:val="000000"/>
                          <w:sz w:val="28"/>
                          <w:szCs w:val="28"/>
                        </w:rPr>
                        <w:t>Inductively coupled plasma atomic emission spectrometry</w:t>
                      </w:r>
                    </w:p>
                    <w:p>
                      <w:pPr>
                        <w:pStyle w:val="74"/>
                        <w:spacing w:before="0"/>
                        <w:rPr>
                          <w:rFonts w:ascii="Times New Roman"/>
                          <w:b/>
                          <w:sz w:val="28"/>
                        </w:rPr>
                      </w:pPr>
                      <w:r>
                        <w:rPr>
                          <w:rFonts w:ascii="Times New Roman" w:eastAsia="黑体"/>
                          <w:color w:val="000000"/>
                          <w:sz w:val="28"/>
                        </w:rPr>
                        <w:t>（</w:t>
                      </w:r>
                      <w:r>
                        <w:rPr>
                          <w:rFonts w:hint="eastAsia" w:ascii="Times New Roman" w:eastAsia="黑体"/>
                          <w:color w:val="000000"/>
                          <w:sz w:val="28"/>
                          <w:lang w:val="en-US" w:eastAsia="zh-CN"/>
                        </w:rPr>
                        <w:t>预审稿</w:t>
                      </w:r>
                      <w:r>
                        <w:rPr>
                          <w:rFonts w:ascii="Times New Roman" w:eastAsia="黑体"/>
                          <w:color w:val="000000"/>
                          <w:sz w:val="28"/>
                        </w:rPr>
                        <w:t>）</w:t>
                      </w:r>
                    </w:p>
                  </w:txbxContent>
                </v:textbox>
                <w10:anchorlock/>
              </v:shape>
            </w:pict>
          </mc:Fallback>
        </mc:AlternateContent>
      </w:r>
      <w:bookmarkEnd w:id="0"/>
      <w:bookmarkEnd w:id="1"/>
    </w:p>
    <w:p/>
    <w:p>
      <w:pPr>
        <w:tabs>
          <w:tab w:val="left" w:pos="8489"/>
        </w:tabs>
        <w:ind w:firstLine="7140" w:firstLineChars="3400"/>
        <w:jc w:val="left"/>
      </w:pPr>
    </w:p>
    <w:p>
      <w:pPr>
        <w:rPr>
          <w:rFonts w:hint="default" w:eastAsia="宋体"/>
          <w:lang w:val="en-US" w:eastAsia="zh-C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-196850</wp:posOffset>
                </wp:positionH>
                <wp:positionV relativeFrom="paragraph">
                  <wp:posOffset>993775</wp:posOffset>
                </wp:positionV>
                <wp:extent cx="6299835" cy="0"/>
                <wp:effectExtent l="0" t="0" r="0" b="0"/>
                <wp:wrapTopAndBottom/>
                <wp:docPr id="17" name="直接连接符 17"/>
                <wp:cNvGraphicFramePr/>
                <a:graphic xmlns:a="http://schemas.openxmlformats.org/drawingml/2006/main">
                  <a:graphicData uri="http://schemas.microsoft.com/office/word/2010/wordprocessingShape">
                    <wps:wsp>
                      <wps:cNvCnPr/>
                      <wps:spPr>
                        <a:xfrm>
                          <a:off x="0" y="0"/>
                          <a:ext cx="629983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5pt;margin-top:78.25pt;height:0pt;width:496.05pt;mso-wrap-distance-bottom:0pt;mso-wrap-distance-top:0pt;z-index:251667456;mso-width-relative:page;mso-height-relative:page;" filled="f" stroked="t" coordsize="21600,21600" o:gfxdata="UEsDBAoAAAAAAIdO4kAAAAAAAAAAAAAAAAAEAAAAZHJzL1BLAwQUAAAACACHTuJAROO4TdgAAAAL&#10;AQAADwAAAGRycy9kb3ducmV2LnhtbE2PzU7DMBCE70i8g7VIXKrWdqtGbYjTA5AbF1oQ1228JBHx&#10;Oo3dH3h6jIQEx50ZzX5TbC6uFycaQ+fZgJ4pEMS1tx03Bl521XQFIkRki71nMvBJATbl9VWBufVn&#10;fqbTNjYilXDI0UAb45BLGeqWHIaZH4iT9+5HhzGdYyPtiOdU7no5VyqTDjtOH1oc6L6l+mN7dAZC&#10;9UqH6mtST9TbovE0Pzw8PaIxtzda3YGIdIl/YfjBT+hQJqa9P7INojcwXei0JSZjmS1BpMQ60xrE&#10;/leRZSH/byi/AVBLAwQUAAAACACHTuJAFAO68g8CAAApBAAADgAAAGRycy9lMm9Eb2MueG1srVNL&#10;jhMxEN0jcQfLe9JJUIZJlM4sJgwbPpGAA1Rsd9qSf3J50skluAASO1ixZD+3YTgGZXeSgWGTBb1w&#10;l6vKz+9VledXO2vYVkXU3tV8NBhyppzwUrtNzT9+uHl2yRkmcBKMd6rme4X8avH0ybwLMzX2rTdS&#10;RUYgDmddqHmbUphVFYpWWcCBD8pRsPHRQqJt3FQyQkfo1lTj4fCi6nyUIXqhEMm77IP8gBjPAfRN&#10;o4VaenFrlUs9alQGEknCVgfki8K2aZRI75oGVWKm5qQ0lZUuIXud12oxh9kmQmi1OFCAcyg80mRB&#10;O7r0BLWEBOw26n+grBbRo2/SQHhb9UJKRUjFaPioNu9bCKpooVJjOBUd/x+seLtdRaYlTcILzhxY&#10;6vj95x8/P339dfeF1vvv3xhFqExdwBllX7tVPOwwrGLWvGuizX9Sw3altPtTadUuMUHOi/F0evl8&#10;wpk4xqqHgyFieqW8ZdmoudEuq4YZbF9josso9ZiS3c7faGNK54xjXc2nk3FGBprGhqaATBtIEboN&#10;Z2A2NOYixYKI3miZT2ccjJv1tYlsC3k4ytcntSBV751OyN0PCUJ642XvHg2PfqJ2gCk0/8LPnJeA&#10;bX+mhHqoVoF86SRL+0DldvTMeJZhleTMKKKbraIvgTbnZBIN44hBblLflmytvdyXbhU/TVDheJj2&#10;PKJ/7svphxe++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47hN2AAAAAsBAAAPAAAAAAAAAAEA&#10;IAAAACIAAABkcnMvZG93bnJldi54bWxQSwECFAAUAAAACACHTuJAFAO68g8CAAApBAAADgAAAAAA&#10;AAABACAAAAAnAQAAZHJzL2Uyb0RvYy54bWxQSwUGAAAAAAYABgBZAQAAqAUAAAAA&#10;">
                <v:fill on="f" focussize="0,0"/>
                <v:stroke color="#000000 [3200]" joinstyle="round"/>
                <v:imagedata o:title=""/>
                <o:lock v:ext="edit" aspectratio="f"/>
                <w10:wrap type="topAndBottom"/>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4184015</wp:posOffset>
                </wp:positionH>
                <wp:positionV relativeFrom="paragraph">
                  <wp:posOffset>372110</wp:posOffset>
                </wp:positionV>
                <wp:extent cx="1927225" cy="517525"/>
                <wp:effectExtent l="0" t="0" r="3175" b="3175"/>
                <wp:wrapNone/>
                <wp:docPr id="18" name="文本框 18"/>
                <wp:cNvGraphicFramePr/>
                <a:graphic xmlns:a="http://schemas.openxmlformats.org/drawingml/2006/main">
                  <a:graphicData uri="http://schemas.microsoft.com/office/word/2010/wordprocessingShape">
                    <wps:wsp>
                      <wps:cNvSpPr txBox="1"/>
                      <wps:spPr>
                        <a:xfrm>
                          <a:off x="0" y="0"/>
                          <a:ext cx="1927225" cy="517525"/>
                        </a:xfrm>
                        <a:prstGeom prst="rect">
                          <a:avLst/>
                        </a:prstGeom>
                        <a:solidFill>
                          <a:srgbClr val="FFFFFF"/>
                        </a:solidFill>
                        <a:ln>
                          <a:noFill/>
                        </a:ln>
                      </wps:spPr>
                      <wps:txbx>
                        <w:txbxContent>
                          <w:p>
                            <w:pPr>
                              <w:pStyle w:val="90"/>
                              <w:rPr>
                                <w:rFonts w:ascii="黑体" w:hAnsi="宋体" w:eastAsia="黑体"/>
                              </w:rPr>
                            </w:pPr>
                            <w:r>
                              <w:rPr>
                                <w:rFonts w:hint="eastAsia" w:ascii="黑体" w:hAnsi="宋体" w:eastAsia="黑体"/>
                              </w:rPr>
                              <w:t>YS/T XXX-20XX</w:t>
                            </w:r>
                          </w:p>
                          <w:p/>
                        </w:txbxContent>
                      </wps:txbx>
                      <wps:bodyPr upright="1"/>
                    </wps:wsp>
                  </a:graphicData>
                </a:graphic>
              </wp:anchor>
            </w:drawing>
          </mc:Choice>
          <mc:Fallback>
            <w:pict>
              <v:shape id="_x0000_s1026" o:spid="_x0000_s1026" o:spt="202" type="#_x0000_t202" style="position:absolute;left:0pt;margin-left:329.45pt;margin-top:29.3pt;height:40.75pt;width:151.75pt;z-index:251668480;mso-width-relative:page;mso-height-relative:page;" fillcolor="#FFFFFF" filled="t" stroked="f" coordsize="21600,21600" o:gfxdata="UEsDBAoAAAAAAIdO4kAAAAAAAAAAAAAAAAAEAAAAZHJzL1BLAwQUAAAACACHTuJAcmp68tgAAAAK&#10;AQAADwAAAGRycy9kb3ducmV2LnhtbE2PQW6DMBBF95V6B2sqdVM1NhE4QDCRWqlVt0lzgAFPAAXb&#10;CDshuX3dVbsc/af/31S7mxnZlWY/OKsgWQlgZFunB9spOH5/vObAfECrcXSWFNzJw65+fKiw1G6x&#10;e7oeQsdiifUlKuhDmErOfduTQb9yE9mYndxsMMRz7riecYnlZuRrISQ3ONi40ONE7z2158PFKDh9&#10;LS9ZsTSf4bjZp/INh03j7ko9PyViCyzQLfzB8Ksf1aGOTo27WO3ZqEBmeRFRBVkugUWgkOsUWBPJ&#10;VCTA64r/f6H+AVBLAwQUAAAACACHTuJALrN6Ub8BAAB5AwAADgAAAGRycy9lMm9Eb2MueG1srVPB&#10;jtMwEL0j8Q+W7zRtpLIQNV0JqnJBgLTwAa7jJJZsj+Vxm/QH4A84ceHOd/U7GDvZLiyXPZBDMp55&#10;fp73xtncjtawkwqowdV8tVhyppyERruu5l8+71+84gyjcI0w4FTNzwr57fb5s83gK1VCD6ZRgRGJ&#10;w2rwNe9j9FVRoOyVFbgArxwVWwhWRFqGrmiCGIjdmqJcLl8WA4TGB5AKkbK7qchnxvAUQmhbLdUO&#10;5NEqFyfWoIyIJAl77ZFvc7dtq2T82LaoIjM1J6Uxv+kQig/pXWw3ouqC8L2WcwviKS080mSFdnTo&#10;lWonomDHoP+hsloGQGjjQoItJiHZEVKxWj7y5q4XXmUtZDX6q+n4/2jlh9OnwHRDN4Hm7oSliV++&#10;f7v8+HX5+ZVRjgwaPFaEu/OEjOMbGAl8n0dKJt1jG2z6kiJGdbL3fLVXjZHJtOl1eVOWa84k1dar&#10;mzXFRF887PYB4zsFlqWg5oHGl10Vp/cYJ+g9JB2GYHSz18bkRegOb01gJ0Gj3udnZv8LZlwCO0jb&#10;JsaUKZLGSUuK4ngYZ+EHaM6k++iD7nrqKSvPcJpIbn6+PWnkf64z6cMfs/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mp68tgAAAAKAQAADwAAAAAAAAABACAAAAAiAAAAZHJzL2Rvd25yZXYueG1s&#10;UEsBAhQAFAAAAAgAh07iQC6zelG/AQAAeQMAAA4AAAAAAAAAAQAgAAAAJwEAAGRycy9lMm9Eb2Mu&#10;eG1sUEsFBgAAAAAGAAYAWQEAAFgFAAAAAA==&#10;">
                <v:fill on="t" focussize="0,0"/>
                <v:stroke on="f"/>
                <v:imagedata o:title=""/>
                <o:lock v:ext="edit" aspectratio="f"/>
                <v:textbox>
                  <w:txbxContent>
                    <w:p>
                      <w:pPr>
                        <w:pStyle w:val="90"/>
                        <w:rPr>
                          <w:rFonts w:ascii="黑体" w:hAnsi="宋体" w:eastAsia="黑体"/>
                        </w:rPr>
                      </w:pPr>
                      <w:r>
                        <w:rPr>
                          <w:rFonts w:hint="eastAsia" w:ascii="黑体" w:hAnsi="宋体" w:eastAsia="黑体"/>
                        </w:rPr>
                        <w:t>YS/T XXX-20XX</w:t>
                      </w:r>
                    </w:p>
                    <w:p/>
                  </w:txbxContent>
                </v:textbox>
              </v:shap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-216535</wp:posOffset>
                </wp:positionH>
                <wp:positionV relativeFrom="margin">
                  <wp:posOffset>9017000</wp:posOffset>
                </wp:positionV>
                <wp:extent cx="6299835" cy="425450"/>
                <wp:effectExtent l="0" t="0" r="12065" b="6350"/>
                <wp:wrapNone/>
                <wp:docPr id="19" name="文本框 19"/>
                <wp:cNvGraphicFramePr/>
                <a:graphic xmlns:a="http://schemas.openxmlformats.org/drawingml/2006/main">
                  <a:graphicData uri="http://schemas.microsoft.com/office/word/2010/wordprocessingShape">
                    <wps:wsp>
                      <wps:cNvSpPr txBox="1"/>
                      <wps:spPr>
                        <a:xfrm>
                          <a:off x="0" y="0"/>
                          <a:ext cx="6299835" cy="425450"/>
                        </a:xfrm>
                        <a:prstGeom prst="rect">
                          <a:avLst/>
                        </a:prstGeom>
                        <a:solidFill>
                          <a:srgbClr val="FFFFFF"/>
                        </a:solidFill>
                        <a:ln>
                          <a:noFill/>
                        </a:ln>
                      </wps:spPr>
                      <wps:txbx>
                        <w:txbxContent>
                          <w:p>
                            <w:pPr>
                              <w:pStyle w:val="62"/>
                              <w:spacing w:before="156" w:after="156"/>
                              <w:rPr>
                                <w:szCs w:val="36"/>
                              </w:rPr>
                            </w:pPr>
                            <w:r>
                              <w:rPr>
                                <w:rFonts w:hint="eastAsia"/>
                                <w:szCs w:val="36"/>
                              </w:rPr>
                              <w:t>中华人民共和国工业和信息化部</w:t>
                            </w:r>
                            <w:r>
                              <w:rPr>
                                <w:rStyle w:val="115"/>
                                <w:rFonts w:hint="default"/>
                                <w:szCs w:val="36"/>
                              </w:rPr>
                              <w:t xml:space="preserve"> </w:t>
                            </w:r>
                            <w:r>
                              <w:rPr>
                                <w:rStyle w:val="115"/>
                                <w:rFonts w:hint="default" w:hAnsi="宋体"/>
                                <w:szCs w:val="36"/>
                              </w:rPr>
                              <w:t>发布</w:t>
                            </w:r>
                          </w:p>
                          <w:p>
                            <w:pPr>
                              <w:pStyle w:val="62"/>
                            </w:pPr>
                          </w:p>
                        </w:txbxContent>
                      </wps:txbx>
                      <wps:bodyPr lIns="0" tIns="0" rIns="0" bIns="0" upright="1"/>
                    </wps:wsp>
                  </a:graphicData>
                </a:graphic>
              </wp:anchor>
            </w:drawing>
          </mc:Choice>
          <mc:Fallback>
            <w:pict>
              <v:shape id="_x0000_s1026" o:spid="_x0000_s1026" o:spt="202" type="#_x0000_t202" style="position:absolute;left:0pt;margin-left:-17.05pt;margin-top:710pt;height:33.5pt;width:496.05pt;mso-position-horizontal-relative:margin;mso-position-vertical-relative:margin;z-index:251669504;mso-width-relative:page;mso-height-relative:page;" fillcolor="#FFFFFF" filled="t" stroked="f" coordsize="21600,21600" o:gfxdata="UEsDBAoAAAAAAIdO4kAAAAAAAAAAAAAAAAAEAAAAZHJzL1BLAwQUAAAACACHTuJAySdKHtoAAAAN&#10;AQAADwAAAGRycy9kb3ducmV2LnhtbE2PQU/DMAyF70j8h8hIXNCWdIxRStNJbHAbh41pZ68JbUXj&#10;VE26bv8e7wQ32+/pvc/58uxacbJ9aDxpSKYKhKXSm4YqDfuvj0kKIkQkg60nq+FiAyyL25scM+NH&#10;2trTLlaCQyhkqKGOscukDGVtHYap7yyx9u17h5HXvpKmx5HDXStnSi2kw4a4ocbOrmpb/uwGp2Gx&#10;7odxS6uH9f59g59dNTu8XQ5a398l6hVEtOf4Z4YrPqNDwUxHP5AJotUweZwnbGVhzkUg2PLylPJw&#10;vJ7SZwWyyOX/L4pfUEsDBBQAAAAIAIdO4kA7P9eE0gEAAJ0DAAAOAAAAZHJzL2Uyb0RvYy54bWyt&#10;U82O0zAQviPxDpbvNN2yXW2jpitBVYSEAGnhARzHTiz5T2O3SV8A3oATF+48V59jx07TheWyB3JI&#10;xjPjb+b7ZrK+G4wmBwFBOVvRq9mcEmG5a5RtK/r1y+7VLSUhMtsw7ayo6FEEerd5+WLd+1IsXOd0&#10;I4AgiA1l7yvaxejLogi8E4aFmfPCYlA6MCziEdqiAdYjutHFYj6/KXoHjQfHRQjo3Y5BekaE5wA6&#10;KRUXW8f3Rtg4ooLQLCKl0Ckf6CZ3K6Xg8ZOUQUSiK4pMY35jEbTr9C42a1a2wHyn+LkF9pwWnnAy&#10;TFkseoHassjIHtQ/UEZxcMHJOOPOFCORrAiyuJo/0ea+Y15kLih18BfRw/+D5R8Pn4GoBjdhRYll&#10;Bid++vH99PP36dc3gj4UqPehxLx7j5lxeOMGTJ78AZ2J9yDBpC8yIhhHeY8XecUQCUfnzWK1un29&#10;pIRj7HqxvF5m/YvH2x5CfCecIcmoKOD4sqrs8CFE7ARTp5RULDitmp3SOh+grd9qIAeGo97lJzWJ&#10;V/5K0zYlW5eujeHkKRLHkUuy4lAPZ+K1a47IW7+3qHraoMmAyagnY+9BtR32ndXJkDi13MJ5w9Ja&#10;/HnOhR//qs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SdKHtoAAAANAQAADwAAAAAAAAABACAA&#10;AAAiAAAAZHJzL2Rvd25yZXYueG1sUEsBAhQAFAAAAAgAh07iQDs/14TSAQAAnQMAAA4AAAAAAAAA&#10;AQAgAAAAKQEAAGRycy9lMm9Eb2MueG1sUEsFBgAAAAAGAAYAWQEAAG0FAAAAAA==&#10;">
                <v:fill on="t" focussize="0,0"/>
                <v:stroke on="f"/>
                <v:imagedata o:title=""/>
                <o:lock v:ext="edit" aspectratio="f"/>
                <v:textbox inset="0mm,0mm,0mm,0mm">
                  <w:txbxContent>
                    <w:p>
                      <w:pPr>
                        <w:pStyle w:val="62"/>
                        <w:spacing w:before="156" w:after="156"/>
                        <w:rPr>
                          <w:szCs w:val="36"/>
                        </w:rPr>
                      </w:pPr>
                      <w:r>
                        <w:rPr>
                          <w:rFonts w:hint="eastAsia"/>
                          <w:szCs w:val="36"/>
                        </w:rPr>
                        <w:t>中华人民共和国工业和信息化部</w:t>
                      </w:r>
                      <w:r>
                        <w:rPr>
                          <w:rStyle w:val="115"/>
                          <w:rFonts w:hint="default"/>
                          <w:szCs w:val="36"/>
                        </w:rPr>
                        <w:t xml:space="preserve"> </w:t>
                      </w:r>
                      <w:r>
                        <w:rPr>
                          <w:rStyle w:val="115"/>
                          <w:rFonts w:hint="default" w:hAnsi="宋体"/>
                          <w:szCs w:val="36"/>
                        </w:rPr>
                        <w:t>发布</w:t>
                      </w:r>
                    </w:p>
                    <w:p>
                      <w:pPr>
                        <w:pStyle w:val="62"/>
                      </w:pPr>
                    </w:p>
                  </w:txbxContent>
                </v:textbox>
                <w10:anchorlock/>
              </v:shape>
            </w:pict>
          </mc:Fallback>
        </mc:AlternateContent>
      </w:r>
      <w:r>
        <w:rPr>
          <w:rFonts w:hint="eastAsia"/>
          <w:lang w:val="en-US" w:eastAsia="zh-CN"/>
        </w:rPr>
        <w:t xml:space="preserve">            </w:t>
      </w:r>
      <w:bookmarkStart w:id="17" w:name="_GoBack"/>
      <w:bookmarkEnd w:id="17"/>
      <w:r>
        <w:rPr>
          <w:rFonts w:hint="eastAsia"/>
          <w:lang w:val="en-US" w:eastAsia="zh-CN"/>
        </w:rPr>
        <w:t xml:space="preserve">                                                                                                                                                                                                                                                                                                                                                                                                                                                                                                                                                                                                                                                                                                                                                                                                                                                                                                                                                                                                                                                                                                                                                                                                                                                                                                                                                                                                                                                                                                                                                                                                                                                                                                                                                                                                                                                                                                                                                                                                                                                                                                                                                                                                                                                                                                                                                                                                                                                                                                                                                                                                                                                                                                                                                                                                                                                                                                                                                                                                                                                                                                                                                                                                                                      </w:t>
      </w:r>
    </w:p>
    <w:bookmarkEnd w:id="2"/>
    <w:p>
      <w:pPr>
        <w:pStyle w:val="50"/>
        <w:numPr>
          <w:ilvl w:val="0"/>
          <w:numId w:val="3"/>
        </w:numPr>
        <w:tabs>
          <w:tab w:val="clear" w:pos="720"/>
        </w:tabs>
      </w:pPr>
      <w:r>
        <w:t>前   言</w:t>
      </w:r>
    </w:p>
    <w:p>
      <w:pPr>
        <w:ind w:firstLine="420" w:firstLineChars="200"/>
      </w:pPr>
      <w:r>
        <w:rPr>
          <w:szCs w:val="21"/>
        </w:rPr>
        <w:t>本文件按照GB/T 1.1-2020《标准化工作导则 第1部分：标准化文件的结构和起草规则》给出的规则起草。</w:t>
      </w:r>
    </w:p>
    <w:p>
      <w:pPr>
        <w:pStyle w:val="47"/>
        <w:tabs>
          <w:tab w:val="center" w:pos="4201"/>
          <w:tab w:val="right" w:leader="dot" w:pos="9298"/>
        </w:tabs>
        <w:spacing w:line="480" w:lineRule="exact"/>
        <w:ind w:firstLine="409" w:firstLineChars="195"/>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pPr>
        <w:ind w:firstLine="420" w:firstLineChars="200"/>
      </w:pPr>
      <w:r>
        <w:t>本文件由全国有色金属标准化技术委员会（SAC/TC 243）提出并归口。</w:t>
      </w:r>
    </w:p>
    <w:p>
      <w:pPr>
        <w:ind w:firstLine="420" w:firstLineChars="200"/>
      </w:pPr>
      <w:r>
        <w:t>本文件起草单位：云南云铜锌业股份有限公司、驰宏锌锗股份有限公司、深圳市中金岭南有限金属股份有限公司、昆明冶金研究院有限公司、呼伦贝尔驰宏矿业有限公司、紫金矿业集团股份有限公司、</w:t>
      </w:r>
    </w:p>
    <w:p>
      <w:pPr>
        <w:ind w:firstLine="420" w:firstLineChars="200"/>
        <w:rPr>
          <w:color w:val="000000" w:themeColor="text1"/>
          <w:szCs w:val="21"/>
          <w14:textFill>
            <w14:solidFill>
              <w14:schemeClr w14:val="tx1"/>
            </w14:solidFill>
          </w14:textFill>
        </w:rPr>
      </w:pPr>
    </w:p>
    <w:p>
      <w:pPr>
        <w:ind w:firstLine="420" w:firstLineChars="200"/>
      </w:pPr>
      <w:r>
        <w:t xml:space="preserve">本文件主要起草人： </w:t>
      </w:r>
    </w:p>
    <w:p>
      <w:pPr>
        <w:ind w:firstLine="420" w:firstLineChars="200"/>
        <w:sectPr>
          <w:footerReference r:id="rId8" w:type="default"/>
          <w:footerReference r:id="rId9" w:type="even"/>
          <w:pgSz w:w="11906" w:h="16838"/>
          <w:pgMar w:top="1418" w:right="1134" w:bottom="1440" w:left="1418" w:header="851" w:footer="992" w:gutter="0"/>
          <w:pgNumType w:fmt="upperRoman" w:start="1"/>
          <w:cols w:space="720" w:num="1"/>
          <w:docGrid w:type="linesAndChars" w:linePitch="312" w:charSpace="0"/>
        </w:sectPr>
      </w:pPr>
    </w:p>
    <w:p>
      <w:pPr>
        <w:rPr>
          <w:b/>
          <w:bCs/>
          <w:sz w:val="30"/>
          <w:szCs w:val="30"/>
        </w:rPr>
      </w:pPr>
    </w:p>
    <w:p>
      <w:pPr>
        <w:pStyle w:val="125"/>
        <w:shd w:val="clear" w:color="FFFFFF" w:fill="FFFFFF"/>
        <w:ind w:firstLine="420"/>
        <w:rPr>
          <w:rStyle w:val="106"/>
        </w:rPr>
      </w:pPr>
      <w:r>
        <w:rPr>
          <w:rStyle w:val="106"/>
          <w:rFonts w:hint="eastAsia"/>
        </w:rPr>
        <w:t>湿法炼锌浸出液化学分析方法                               电感耦合等离子体原子发射光谱法</w:t>
      </w:r>
      <w:r>
        <w:rPr>
          <w:rStyle w:val="106"/>
        </w:rPr>
        <w:t xml:space="preserve"> </w:t>
      </w:r>
    </w:p>
    <w:p>
      <w:pPr>
        <w:pStyle w:val="60"/>
        <w:spacing w:before="312" w:beforeLines="100" w:after="312" w:afterLines="100"/>
        <w:rPr>
          <w:rStyle w:val="107"/>
          <w:rFonts w:hint="default" w:ascii="Times New Roman" w:hAnsi="Times New Roman"/>
        </w:rPr>
      </w:pPr>
      <w:r>
        <w:rPr>
          <w:rStyle w:val="112"/>
          <w:rFonts w:ascii="Times New Roman"/>
        </w:rPr>
        <w:t xml:space="preserve">1  范围  </w:t>
      </w:r>
    </w:p>
    <w:p>
      <w:pPr>
        <w:ind w:firstLine="420" w:firstLineChars="200"/>
      </w:pPr>
      <w:r>
        <w:t>本部分规定了采用电感耦合等离子体原子发射光谱法测定湿法炼锌浸出液中杂质元素含量的方法。</w:t>
      </w:r>
    </w:p>
    <w:p>
      <w:pPr>
        <w:ind w:firstLine="420" w:firstLineChars="200"/>
        <w:rPr>
          <w:szCs w:val="21"/>
        </w:rPr>
      </w:pPr>
      <w:r>
        <w:rPr>
          <w:szCs w:val="21"/>
        </w:rPr>
        <w:t>本部分适用于湿法炼锌浸出液中铁、铜、镉、铟、镍、镓、钴、铅、铊、铝、锡、铬量的测定。各元素测定范围见表1。</w:t>
      </w:r>
    </w:p>
    <w:p>
      <w:pPr>
        <w:pStyle w:val="47"/>
        <w:ind w:firstLine="420"/>
        <w:jc w:val="center"/>
        <w:rPr>
          <w:rFonts w:ascii="Times New Roman" w:hAnsi="Times New Roman" w:eastAsia="黑体" w:cs="Times New Roman"/>
          <w:kern w:val="0"/>
          <w:szCs w:val="21"/>
        </w:rPr>
      </w:pPr>
      <w:r>
        <w:rPr>
          <w:rFonts w:ascii="Times New Roman" w:hAnsi="Times New Roman" w:eastAsia="黑体" w:cs="Times New Roman"/>
          <w:kern w:val="0"/>
          <w:szCs w:val="21"/>
        </w:rPr>
        <w:t>表1  各元素的测定范围</w:t>
      </w:r>
    </w:p>
    <w:tbl>
      <w:tblPr>
        <w:tblStyle w:val="29"/>
        <w:tblW w:w="86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15"/>
        <w:gridCol w:w="2306"/>
        <w:gridCol w:w="2015"/>
        <w:gridCol w:w="2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测定元素</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质量浓度（mg/L）</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测定元素</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质量浓度（mg/L）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铁</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5.0～5000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钴</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铜</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0.5～5000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铅</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镉</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0.2～10000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铊</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铟</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1.0～1000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铝</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镍</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0.2～100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锡</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镓</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5.0～100</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铬</w:t>
            </w:r>
          </w:p>
        </w:tc>
        <w:tc>
          <w:tcPr>
            <w:tcW w:w="3249"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5.0～50</w:t>
            </w:r>
          </w:p>
        </w:tc>
      </w:tr>
    </w:tbl>
    <w:p>
      <w:pPr>
        <w:rPr>
          <w:rFonts w:eastAsiaTheme="minorEastAsia"/>
          <w:szCs w:val="21"/>
        </w:rPr>
      </w:pPr>
    </w:p>
    <w:p>
      <w:pPr>
        <w:pStyle w:val="60"/>
        <w:spacing w:before="312" w:beforeLines="100" w:after="312" w:afterLines="100"/>
        <w:rPr>
          <w:rStyle w:val="112"/>
          <w:rFonts w:ascii="Times New Roman"/>
        </w:rPr>
      </w:pPr>
      <w:r>
        <w:rPr>
          <w:rStyle w:val="112"/>
          <w:rFonts w:ascii="Times New Roman"/>
        </w:rPr>
        <w:t>2  规范性引用文件</w:t>
      </w:r>
    </w:p>
    <w:p>
      <w:pPr>
        <w:ind w:firstLine="420" w:firstLineChars="200"/>
        <w:rPr>
          <w:szCs w:val="21"/>
        </w:rPr>
      </w:pPr>
      <w:r>
        <w:rPr>
          <w:szCs w:val="21"/>
        </w:rPr>
        <w:t>下列文件对于本文件的应用是必不可少的。凡是注日期的引用文件，仅所注日期的版本适用于本文件。凡是不注日期的引用文件，其最新版本（包括所有的修改单）适用于本文件。</w:t>
      </w:r>
    </w:p>
    <w:p>
      <w:pPr>
        <w:pStyle w:val="47"/>
        <w:ind w:firstLine="420"/>
        <w:rPr>
          <w:rFonts w:ascii="Times New Roman" w:hAnsi="Times New Roman" w:cs="Times New Roman"/>
        </w:rPr>
      </w:pPr>
      <w:r>
        <w:rPr>
          <w:rFonts w:ascii="Times New Roman" w:hAnsi="Times New Roman" w:cs="Times New Roman"/>
        </w:rPr>
        <w:t>GB/T 6682 分析实验室用水规格和实验方法</w:t>
      </w:r>
    </w:p>
    <w:p>
      <w:pPr>
        <w:pStyle w:val="47"/>
        <w:ind w:firstLine="420"/>
        <w:rPr>
          <w:rFonts w:ascii="Times New Roman" w:hAnsi="Times New Roman" w:cs="Times New Roman"/>
        </w:rPr>
      </w:pPr>
      <w:r>
        <w:rPr>
          <w:rFonts w:ascii="Times New Roman" w:hAnsi="Times New Roman" w:cs="Times New Roman"/>
        </w:rPr>
        <w:t>GB/T 8170数值修约规则与极限数值的表示和判定</w:t>
      </w:r>
    </w:p>
    <w:p>
      <w:pPr>
        <w:pStyle w:val="60"/>
        <w:spacing w:before="312" w:beforeLines="100" w:after="312" w:afterLines="100"/>
        <w:rPr>
          <w:rStyle w:val="112"/>
          <w:rFonts w:ascii="Times New Roman"/>
        </w:rPr>
      </w:pPr>
      <w:r>
        <w:rPr>
          <w:rStyle w:val="112"/>
          <w:rFonts w:ascii="Times New Roman"/>
        </w:rPr>
        <w:t>3  术语和定义</w:t>
      </w:r>
    </w:p>
    <w:p>
      <w:pPr>
        <w:ind w:firstLine="382" w:firstLineChars="182"/>
        <w:jc w:val="left"/>
        <w:rPr>
          <w:bCs/>
          <w:szCs w:val="21"/>
        </w:rPr>
      </w:pPr>
      <w:r>
        <w:rPr>
          <w:bCs/>
          <w:szCs w:val="21"/>
        </w:rPr>
        <w:t>本文件没有需要界定的术语和定义。</w:t>
      </w:r>
    </w:p>
    <w:p>
      <w:pPr>
        <w:pStyle w:val="60"/>
        <w:spacing w:before="312" w:beforeLines="100" w:after="312" w:afterLines="100"/>
        <w:rPr>
          <w:rStyle w:val="112"/>
          <w:rFonts w:ascii="Times New Roman"/>
        </w:rPr>
      </w:pPr>
      <w:r>
        <w:rPr>
          <w:rStyle w:val="112"/>
          <w:rFonts w:ascii="Times New Roman"/>
        </w:rPr>
        <w:t>4  方法提要</w:t>
      </w:r>
    </w:p>
    <w:p>
      <w:pPr>
        <w:pStyle w:val="60"/>
        <w:spacing w:before="312" w:beforeLines="100" w:after="312" w:afterLines="100"/>
        <w:ind w:firstLine="420" w:firstLineChars="200"/>
        <w:rPr>
          <w:rStyle w:val="104"/>
          <w:rFonts w:ascii="Times New Roman" w:hAnsi="Times New Roman"/>
        </w:rPr>
      </w:pPr>
      <w:r>
        <w:rPr>
          <w:rStyle w:val="104"/>
          <w:rFonts w:ascii="Times New Roman" w:hAnsi="Times New Roman"/>
        </w:rPr>
        <w:t>试料经过稀释后，在3%的硝酸介质中，用电感耦合等离子体原子发射光谱法，于各元素选定的波长处测定其发射强度，按标准工作曲线法计算各元素的质量-体积浓度。</w:t>
      </w:r>
    </w:p>
    <w:p>
      <w:pPr>
        <w:pStyle w:val="60"/>
        <w:spacing w:before="312" w:beforeLines="100" w:after="312" w:afterLines="100"/>
        <w:rPr>
          <w:rFonts w:ascii="Times New Roman"/>
        </w:rPr>
      </w:pPr>
      <w:r>
        <w:rPr>
          <w:rFonts w:ascii="Times New Roman"/>
        </w:rPr>
        <w:t xml:space="preserve">5  试剂与材料 </w:t>
      </w:r>
    </w:p>
    <w:p>
      <w:pPr>
        <w:pStyle w:val="59"/>
        <w:ind w:firstLine="420" w:firstLineChars="200"/>
        <w:outlineLvl w:val="9"/>
        <w:rPr>
          <w:rFonts w:ascii="Times New Roman" w:eastAsia="宋体"/>
        </w:rPr>
      </w:pPr>
      <w:r>
        <w:rPr>
          <w:rFonts w:ascii="Times New Roman" w:eastAsia="宋体"/>
        </w:rPr>
        <w:t>除非另有说明，在分析中仅使用确认为优级纯的试剂和GB/T 6682规定的二级水。</w:t>
      </w:r>
    </w:p>
    <w:p>
      <w:pPr>
        <w:pStyle w:val="59"/>
        <w:outlineLvl w:val="9"/>
        <w:rPr>
          <w:rFonts w:ascii="Times New Roman" w:eastAsia="宋体"/>
        </w:rPr>
      </w:pPr>
      <w:r>
        <w:rPr>
          <w:rFonts w:ascii="Times New Roman" w:eastAsia="宋体"/>
        </w:rPr>
        <w:t>5.1  盐酸（ρ1.19 g/mL)。</w:t>
      </w:r>
    </w:p>
    <w:p>
      <w:pPr>
        <w:pStyle w:val="59"/>
        <w:outlineLvl w:val="9"/>
        <w:rPr>
          <w:rFonts w:ascii="Times New Roman" w:eastAsia="宋体"/>
        </w:rPr>
      </w:pPr>
      <w:r>
        <w:rPr>
          <w:rFonts w:ascii="Times New Roman" w:eastAsia="宋体"/>
        </w:rPr>
        <w:t>5.2  硝酸（ρ1.42 g/mL)。</w:t>
      </w:r>
    </w:p>
    <w:p>
      <w:pPr>
        <w:pStyle w:val="59"/>
        <w:outlineLvl w:val="9"/>
        <w:rPr>
          <w:rFonts w:ascii="Times New Roman" w:eastAsia="宋体"/>
        </w:rPr>
      </w:pPr>
      <w:r>
        <w:rPr>
          <w:rFonts w:ascii="Times New Roman" w:eastAsia="宋体"/>
        </w:rPr>
        <w:t>5.3  盐酸（1+1）。</w:t>
      </w:r>
    </w:p>
    <w:p>
      <w:pPr>
        <w:pStyle w:val="59"/>
        <w:outlineLvl w:val="9"/>
        <w:rPr>
          <w:rFonts w:ascii="Times New Roman" w:eastAsia="宋体"/>
        </w:rPr>
      </w:pPr>
      <w:r>
        <w:rPr>
          <w:rFonts w:ascii="Times New Roman" w:eastAsia="宋体"/>
        </w:rPr>
        <w:t>5.4  硝酸（1+1）。</w:t>
      </w:r>
    </w:p>
    <w:p>
      <w:pPr>
        <w:pStyle w:val="59"/>
        <w:outlineLvl w:val="9"/>
        <w:rPr>
          <w:rFonts w:ascii="Times New Roman" w:eastAsia="宋体"/>
        </w:rPr>
      </w:pPr>
      <w:r>
        <w:rPr>
          <w:rFonts w:ascii="Times New Roman" w:eastAsiaTheme="minorEastAsia"/>
          <w:kern w:val="2"/>
          <w:sz w:val="22"/>
          <w:szCs w:val="22"/>
        </w:rPr>
        <w:t xml:space="preserve">5.5  </w:t>
      </w:r>
      <w:r>
        <w:rPr>
          <w:rFonts w:ascii="Times New Roman" w:eastAsia="宋体"/>
        </w:rPr>
        <w:t>镍标准贮存溶液：称取 1.0000 g金属镍（</w:t>
      </w:r>
      <w:r>
        <w:rPr>
          <w:rFonts w:ascii="Times New Roman"/>
          <w:i/>
          <w:kern w:val="2"/>
        </w:rPr>
        <w:t>w</w:t>
      </w:r>
      <w:r>
        <w:rPr>
          <w:rFonts w:ascii="Times New Roman"/>
          <w:i/>
          <w:kern w:val="2"/>
          <w:sz w:val="18"/>
          <w:vertAlign w:val="subscript"/>
        </w:rPr>
        <w:t>Ni</w:t>
      </w:r>
      <w:r>
        <w:rPr>
          <w:rFonts w:ascii="Times New Roman" w:eastAsia="宋体"/>
        </w:rPr>
        <w:t>＞99.95 %）置于 300</w:t>
      </w:r>
      <w:r>
        <w:rPr>
          <w:rFonts w:hint="eastAsia" w:ascii="Times New Roman" w:eastAsia="宋体"/>
          <w:lang w:val="en-US" w:eastAsia="zh-CN"/>
        </w:rPr>
        <w:t xml:space="preserve"> </w:t>
      </w:r>
      <w:r>
        <w:rPr>
          <w:rFonts w:ascii="Times New Roman" w:eastAsia="宋体"/>
        </w:rPr>
        <w:t>mL烧杯中，加入50 mL硝酸（5.4)，加热溶解完全，冷却，移入 1000  mL容量瓶中，用水稀释至刻度，混匀。此溶液1  mL含l</w:t>
      </w:r>
      <w:r>
        <w:rPr>
          <w:rFonts w:hint="eastAsia" w:ascii="Times New Roman" w:eastAsia="宋体"/>
          <w:lang w:val="en-US" w:eastAsia="zh-CN"/>
        </w:rPr>
        <w:t xml:space="preserve"> </w:t>
      </w:r>
      <w:r>
        <w:rPr>
          <w:rFonts w:ascii="Times New Roman" w:eastAsia="宋体"/>
        </w:rPr>
        <w:t>mg镍。</w:t>
      </w:r>
    </w:p>
    <w:p>
      <w:pPr>
        <w:pStyle w:val="59"/>
        <w:outlineLvl w:val="9"/>
        <w:rPr>
          <w:rFonts w:ascii="Times New Roman" w:eastAsia="宋体"/>
        </w:rPr>
      </w:pPr>
      <w:r>
        <w:rPr>
          <w:rFonts w:ascii="Times New Roman" w:eastAsia="宋体"/>
        </w:rPr>
        <w:t>5.6  镓标准贮存溶液：称取1.3442</w:t>
      </w:r>
      <w:r>
        <w:rPr>
          <w:rFonts w:hint="eastAsia" w:ascii="Times New Roman" w:eastAsia="宋体"/>
          <w:lang w:val="en-US" w:eastAsia="zh-CN"/>
        </w:rPr>
        <w:t xml:space="preserve"> </w:t>
      </w:r>
      <w:r>
        <w:rPr>
          <w:rFonts w:ascii="Times New Roman" w:eastAsia="宋体"/>
        </w:rPr>
        <w:t>g（</w:t>
      </w:r>
      <w:r>
        <w:rPr>
          <w:rFonts w:ascii="Times New Roman" w:eastAsia="宋体"/>
          <w:kern w:val="2"/>
        </w:rPr>
        <w:t>光谱纯</w:t>
      </w:r>
      <w:r>
        <w:rPr>
          <w:rFonts w:ascii="Times New Roman" w:eastAsia="宋体"/>
        </w:rPr>
        <w:t>）三氧化二镓置于 300  mL烧杯中，加入20  mL盐酸(5.3)，置于水浴上加热溶解完全，冷却，移入1000</w:t>
      </w:r>
      <w:r>
        <w:rPr>
          <w:rFonts w:hint="eastAsia" w:ascii="Times New Roman" w:eastAsia="宋体"/>
          <w:lang w:val="en-US" w:eastAsia="zh-CN"/>
        </w:rPr>
        <w:t xml:space="preserve"> </w:t>
      </w:r>
      <w:r>
        <w:rPr>
          <w:rFonts w:ascii="Times New Roman" w:eastAsia="宋体"/>
        </w:rPr>
        <w:t xml:space="preserve"> mL容量瓶中，用水稀释至刻度，混匀。此溶液1 mL含 l</w:t>
      </w:r>
      <w:r>
        <w:rPr>
          <w:rFonts w:hint="eastAsia" w:ascii="Times New Roman" w:eastAsia="宋体"/>
          <w:lang w:val="en-US" w:eastAsia="zh-CN"/>
        </w:rPr>
        <w:t xml:space="preserve"> </w:t>
      </w:r>
      <w:r>
        <w:rPr>
          <w:rFonts w:ascii="Times New Roman" w:eastAsia="宋体"/>
        </w:rPr>
        <w:t>mg镓。</w:t>
      </w:r>
    </w:p>
    <w:p>
      <w:pPr>
        <w:pStyle w:val="59"/>
        <w:outlineLvl w:val="9"/>
        <w:rPr>
          <w:rFonts w:ascii="Times New Roman" w:eastAsia="宋体"/>
        </w:rPr>
      </w:pPr>
      <w:r>
        <w:rPr>
          <w:rFonts w:ascii="Times New Roman"/>
        </w:rPr>
        <w:t xml:space="preserve">5.7  </w:t>
      </w:r>
      <w:r>
        <w:rPr>
          <w:rFonts w:ascii="Times New Roman" w:eastAsia="宋体"/>
        </w:rPr>
        <w:t>钴标准贮存溶液：称取1.0000</w:t>
      </w:r>
      <w:r>
        <w:rPr>
          <w:rFonts w:hint="eastAsia" w:ascii="Times New Roman" w:eastAsia="宋体"/>
          <w:lang w:val="en-US" w:eastAsia="zh-CN"/>
        </w:rPr>
        <w:t xml:space="preserve"> </w:t>
      </w:r>
      <w:r>
        <w:rPr>
          <w:rFonts w:ascii="Times New Roman" w:eastAsia="宋体"/>
        </w:rPr>
        <w:t>g（</w:t>
      </w:r>
      <w:r>
        <w:rPr>
          <w:rFonts w:ascii="Times New Roman"/>
          <w:i/>
          <w:kern w:val="2"/>
        </w:rPr>
        <w:t>w</w:t>
      </w:r>
      <w:r>
        <w:rPr>
          <w:rFonts w:ascii="Times New Roman"/>
          <w:i/>
          <w:kern w:val="2"/>
          <w:sz w:val="18"/>
          <w:vertAlign w:val="subscript"/>
        </w:rPr>
        <w:t>Co</w:t>
      </w:r>
      <w:r>
        <w:rPr>
          <w:rFonts w:ascii="Times New Roman" w:eastAsia="宋体"/>
        </w:rPr>
        <w:t>≥99.99 %）金属钴粉置于300  mL烧杯中，加入50</w:t>
      </w:r>
      <w:r>
        <w:rPr>
          <w:rFonts w:hint="eastAsia" w:ascii="Times New Roman" w:eastAsia="宋体"/>
          <w:lang w:val="en-US" w:eastAsia="zh-CN"/>
        </w:rPr>
        <w:t xml:space="preserve"> </w:t>
      </w:r>
      <w:r>
        <w:rPr>
          <w:rFonts w:ascii="Times New Roman" w:eastAsia="宋体"/>
        </w:rPr>
        <w:t>mL硝酸(5.4)，低温加热溶解完全，冷却，移入1000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mg钴。</w:t>
      </w:r>
    </w:p>
    <w:p>
      <w:pPr>
        <w:pStyle w:val="47"/>
        <w:ind w:firstLine="0" w:firstLineChars="0"/>
        <w:rPr>
          <w:rFonts w:ascii="Times New Roman" w:hAnsi="Times New Roman" w:eastAsia="宋体" w:cs="Times New Roman"/>
        </w:rPr>
      </w:pPr>
      <w:r>
        <w:rPr>
          <w:rFonts w:ascii="Times New Roman" w:hAnsi="Times New Roman" w:cs="Times New Roman"/>
        </w:rPr>
        <w:t xml:space="preserve">5.8  </w:t>
      </w:r>
      <w:r>
        <w:rPr>
          <w:rFonts w:ascii="Times New Roman" w:hAnsi="Times New Roman" w:eastAsia="宋体" w:cs="Times New Roman"/>
        </w:rPr>
        <w:t>铅标准贮存溶液：称取1.0000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w:t>
      </w:r>
      <w:r>
        <w:rPr>
          <w:rFonts w:ascii="Times New Roman" w:hAnsi="Times New Roman" w:cs="Times New Roman"/>
          <w:i/>
        </w:rPr>
        <w:t>w</w:t>
      </w:r>
      <w:r>
        <w:rPr>
          <w:rFonts w:ascii="Times New Roman" w:hAnsi="Times New Roman" w:cs="Times New Roman"/>
          <w:i/>
          <w:sz w:val="18"/>
          <w:vertAlign w:val="subscript"/>
        </w:rPr>
        <w:t>Pb</w:t>
      </w:r>
      <w:r>
        <w:rPr>
          <w:rFonts w:ascii="Times New Roman" w:hAnsi="Times New Roman" w:eastAsia="宋体" w:cs="Times New Roman"/>
        </w:rPr>
        <w:t>≥99.99 %）金属铅置于300 mL烧杯中，加入100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mL硝酸(5.4)，低温加热溶解完全，冷却，移入1000 mL容量瓶中，用水稀释至刻度，混匀。此溶液1 mL含 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mg铅。</w:t>
      </w:r>
    </w:p>
    <w:p>
      <w:pPr>
        <w:pStyle w:val="47"/>
        <w:ind w:firstLine="0" w:firstLineChars="0"/>
        <w:rPr>
          <w:rFonts w:ascii="Times New Roman" w:hAnsi="Times New Roman" w:eastAsia="宋体" w:cs="Times New Roman"/>
        </w:rPr>
      </w:pPr>
      <w:r>
        <w:rPr>
          <w:rFonts w:ascii="Times New Roman" w:hAnsi="Times New Roman" w:eastAsia="宋体" w:cs="Times New Roman"/>
        </w:rPr>
        <w:t>5.9  铊标准贮存溶液：称取1.1174</w:t>
      </w:r>
      <w:r>
        <w:rPr>
          <w:rFonts w:hint="eastAsia" w:ascii="Times New Roman" w:hAnsi="Times New Roman" w:eastAsia="宋体" w:cs="Times New Roman"/>
          <w:lang w:val="en-US" w:eastAsia="zh-CN"/>
        </w:rPr>
        <w:t xml:space="preserve"> </w:t>
      </w:r>
      <w:r>
        <w:rPr>
          <w:rFonts w:ascii="Times New Roman" w:hAnsi="Times New Roman" w:eastAsia="宋体" w:cs="Times New Roman"/>
        </w:rPr>
        <w:t>g三氧化二铊（</w:t>
      </w:r>
      <w:r>
        <w:rPr>
          <w:rFonts w:ascii="Times New Roman" w:hAnsi="Times New Roman" w:cs="Times New Roman"/>
          <w:i/>
        </w:rPr>
        <w:t>w</w:t>
      </w:r>
      <w:r>
        <w:rPr>
          <w:rFonts w:ascii="Times New Roman" w:hAnsi="Times New Roman" w:cs="Times New Roman"/>
          <w:i/>
          <w:sz w:val="18"/>
          <w:vertAlign w:val="subscript"/>
        </w:rPr>
        <w:t>Tl2O3</w:t>
      </w:r>
      <w:r>
        <w:rPr>
          <w:rFonts w:ascii="Times New Roman" w:hAnsi="Times New Roman" w:eastAsia="宋体" w:cs="Times New Roman"/>
        </w:rPr>
        <w:t>≥99.99 %）置于300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mL硝酸(5.4)，低温加热溶解完全，冷却，移入1000 </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mL容量瓶中，用水稀释至刻度，混匀。此溶液1 mL含 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mg铊。</w:t>
      </w:r>
    </w:p>
    <w:p>
      <w:pPr>
        <w:pStyle w:val="47"/>
        <w:ind w:firstLine="0" w:firstLineChars="0"/>
        <w:rPr>
          <w:rFonts w:ascii="Times New Roman" w:hAnsi="Times New Roman" w:eastAsia="宋体" w:cs="Times New Roman"/>
        </w:rPr>
      </w:pPr>
      <w:r>
        <w:rPr>
          <w:rFonts w:ascii="Times New Roman" w:hAnsi="Times New Roman" w:eastAsia="宋体" w:cs="Times New Roman"/>
        </w:rPr>
        <w:t>5.10  铝标准贮存溶液：称取1.0000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g金属铝（</w:t>
      </w:r>
      <w:r>
        <w:rPr>
          <w:rFonts w:ascii="Times New Roman" w:hAnsi="Times New Roman" w:cs="Times New Roman"/>
          <w:i/>
        </w:rPr>
        <w:t>w</w:t>
      </w:r>
      <w:r>
        <w:rPr>
          <w:rFonts w:ascii="Times New Roman" w:hAnsi="Times New Roman" w:cs="Times New Roman"/>
          <w:i/>
          <w:vertAlign w:val="subscript"/>
        </w:rPr>
        <w:t>Al</w:t>
      </w:r>
      <w:r>
        <w:rPr>
          <w:rFonts w:ascii="Times New Roman" w:hAnsi="Times New Roman" w:eastAsia="宋体" w:cs="Times New Roman"/>
        </w:rPr>
        <w:t>≥99.99 %）置于 300 mL烧杯中，加入50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mL盐酸(5.3)，低温加热溶解完全，冷却，移入1000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mL容量瓶中，用水稀释至刻度，混匀。此溶液1 mL含l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mg铝。</w:t>
      </w:r>
    </w:p>
    <w:p>
      <w:pPr>
        <w:pStyle w:val="47"/>
        <w:ind w:firstLine="0" w:firstLineChars="0"/>
        <w:rPr>
          <w:rFonts w:ascii="Times New Roman" w:hAnsi="Times New Roman" w:eastAsia="宋体" w:cs="Times New Roman"/>
        </w:rPr>
      </w:pPr>
      <w:r>
        <w:rPr>
          <w:rFonts w:ascii="Times New Roman" w:hAnsi="Times New Roman" w:eastAsia="宋体" w:cs="Times New Roman"/>
        </w:rPr>
        <w:t>5.11  铬标准贮存溶液：称取2.8289</w:t>
      </w:r>
      <w:r>
        <w:rPr>
          <w:rFonts w:hint="eastAsia" w:ascii="Times New Roman" w:hAnsi="Times New Roman" w:eastAsia="宋体" w:cs="Times New Roman"/>
          <w:lang w:val="en-US" w:eastAsia="zh-CN"/>
        </w:rPr>
        <w:t xml:space="preserve"> </w:t>
      </w:r>
      <w:r>
        <w:rPr>
          <w:rFonts w:ascii="Times New Roman" w:hAnsi="Times New Roman" w:eastAsia="宋体" w:cs="Times New Roman"/>
        </w:rPr>
        <w:t>g于130～150℃烘干过的基准重铬酸钾置于300 mL烧杯中，在水中溶解完全，移入1000 mL容量瓶中，用水稀释至刻度，混匀。此溶液1 mL含l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mg铬。</w:t>
      </w:r>
    </w:p>
    <w:p>
      <w:pPr>
        <w:pStyle w:val="47"/>
        <w:ind w:firstLine="0" w:firstLineChars="0"/>
        <w:rPr>
          <w:rFonts w:ascii="Times New Roman" w:hAnsi="Times New Roman" w:eastAsia="宋体" w:cs="Times New Roman"/>
        </w:rPr>
      </w:pPr>
      <w:r>
        <w:rPr>
          <w:rFonts w:ascii="Times New Roman" w:hAnsi="Times New Roman" w:eastAsia="宋体" w:cs="Times New Roman"/>
        </w:rPr>
        <w:t>5.12  锡标准贮存溶液：称取1.0000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g金属锡（</w:t>
      </w:r>
      <w:r>
        <w:rPr>
          <w:rFonts w:ascii="Times New Roman" w:hAnsi="Times New Roman" w:cs="Times New Roman"/>
          <w:i/>
        </w:rPr>
        <w:t>w</w:t>
      </w:r>
      <w:r>
        <w:rPr>
          <w:rFonts w:ascii="Times New Roman" w:hAnsi="Times New Roman" w:cs="Times New Roman"/>
          <w:i/>
          <w:vertAlign w:val="subscript"/>
        </w:rPr>
        <w:t>Sn</w:t>
      </w:r>
      <w:r>
        <w:rPr>
          <w:rFonts w:ascii="Times New Roman" w:hAnsi="Times New Roman" w:eastAsia="宋体" w:cs="Times New Roman"/>
        </w:rPr>
        <w:t>≥99.99 %）置于300 mL烧杯中，加入100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mL盐酸(5.3)，低温加热溶解完全，冷却，移入1000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mL容量瓶中，加入150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mL盐酸（5.1），用水稀释至刻度，混匀。此溶液1 mL含l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mg锡。</w:t>
      </w:r>
    </w:p>
    <w:p>
      <w:pPr>
        <w:pStyle w:val="47"/>
        <w:ind w:firstLine="0" w:firstLineChars="0"/>
        <w:rPr>
          <w:rFonts w:ascii="Times New Roman" w:hAnsi="Times New Roman" w:eastAsia="宋体" w:cs="Times New Roman"/>
        </w:rPr>
      </w:pPr>
      <w:r>
        <w:rPr>
          <w:rFonts w:ascii="Times New Roman" w:hAnsi="Times New Roman" w:eastAsia="宋体" w:cs="Times New Roman"/>
        </w:rPr>
        <w:t>5.13  镍、镓、钴、铅、铊、铝、铬、锡混合标准溶液：分别移取50.00 mL镍标准贮存溶液（5.5）、50.00 mL镓标准贮存溶液（5.6）、25.00 mL钴标准贮存溶液（5.7）、25.00 mL铅标准贮存溶液（5.8）、25.00 mL铊标准贮存溶液（5.9）、25.00 mL铝标准贮存溶液（5.10）、25.00 mL铬标准贮存溶液（5.11）、5.00 mL锡标准贮存溶液（5.12）于500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mL容量瓶中，加入25</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mL硝酸(5.4)，用水稀释至刻度，混匀。此溶液1 mL分别含100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μg镍、镓，含50μg钴、铅、铊、铝、铬，含10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w:t>
      </w:r>
      <w:r>
        <w:rPr>
          <w:rFonts w:hint="eastAsia" w:ascii="Times New Roman" w:hAnsi="Times New Roman" w:eastAsia="宋体" w:cs="Times New Roman"/>
        </w:rPr>
        <w:t>锡</w:t>
      </w:r>
      <w:r>
        <w:rPr>
          <w:rFonts w:ascii="Times New Roman" w:hAnsi="Times New Roman" w:eastAsia="宋体" w:cs="Times New Roman"/>
        </w:rPr>
        <w:t>。</w:t>
      </w:r>
    </w:p>
    <w:p>
      <w:pPr>
        <w:pStyle w:val="47"/>
        <w:ind w:firstLine="0" w:firstLineChars="0"/>
        <w:rPr>
          <w:rFonts w:ascii="Times New Roman" w:hAnsi="Times New Roman" w:eastAsia="宋体" w:cs="Times New Roman"/>
        </w:rPr>
      </w:pPr>
      <w:r>
        <w:rPr>
          <w:rFonts w:ascii="Times New Roman" w:hAnsi="Times New Roman" w:eastAsia="宋体" w:cs="Times New Roman"/>
        </w:rPr>
        <w:t>5.14  铁、铜、镉、铟混合标准溶液：称取0.7149g于100～105℃烘干过的三氧化二铁置于 300 mL烧杯中（</w:t>
      </w:r>
      <w:r>
        <w:rPr>
          <w:rFonts w:ascii="Times New Roman" w:hAnsi="Times New Roman" w:cs="Times New Roman"/>
          <w:i/>
        </w:rPr>
        <w:t>w</w:t>
      </w:r>
      <w:r>
        <w:rPr>
          <w:rFonts w:ascii="Times New Roman" w:hAnsi="Times New Roman" w:cs="Times New Roman"/>
          <w:i/>
          <w:vertAlign w:val="subscript"/>
        </w:rPr>
        <w:t>Fe2O3</w:t>
      </w:r>
      <w:r>
        <w:rPr>
          <w:rFonts w:ascii="Times New Roman" w:hAnsi="Times New Roman" w:eastAsia="宋体" w:cs="Times New Roman"/>
        </w:rPr>
        <w:t>≥99.99 %），加入100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mL盐酸(5.3)，低温加热溶解完全，冷却；称取</w:t>
      </w:r>
      <w:r>
        <w:rPr>
          <w:rFonts w:hint="eastAsia" w:ascii="Times New Roman" w:hAnsi="Times New Roman" w:eastAsia="宋体" w:cs="Times New Roman"/>
        </w:rPr>
        <w:t>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g金属铜（</w:t>
      </w:r>
      <w:r>
        <w:rPr>
          <w:rFonts w:ascii="Times New Roman" w:hAnsi="Times New Roman" w:cs="Times New Roman"/>
          <w:i/>
        </w:rPr>
        <w:t>w</w:t>
      </w:r>
      <w:r>
        <w:rPr>
          <w:rFonts w:ascii="Times New Roman" w:hAnsi="Times New Roman" w:cs="Times New Roman"/>
          <w:i/>
          <w:vertAlign w:val="subscript"/>
        </w:rPr>
        <w:t>Cu</w:t>
      </w:r>
      <w:r>
        <w:rPr>
          <w:rFonts w:ascii="Times New Roman" w:hAnsi="Times New Roman" w:eastAsia="宋体" w:cs="Times New Roman"/>
        </w:rPr>
        <w:t>≥99.99 %）置于300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mL硝酸(5.4)，低温加热溶解完全，冷却；称取0.5000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g金属镉（</w:t>
      </w:r>
      <w:r>
        <w:rPr>
          <w:rFonts w:ascii="Times New Roman" w:hAnsi="Times New Roman" w:cs="Times New Roman"/>
          <w:i/>
        </w:rPr>
        <w:t>w</w:t>
      </w:r>
      <w:r>
        <w:rPr>
          <w:rFonts w:ascii="Times New Roman" w:hAnsi="Times New Roman" w:cs="Times New Roman"/>
          <w:i/>
          <w:vertAlign w:val="subscript"/>
        </w:rPr>
        <w:t>Cd</w:t>
      </w:r>
      <w:r>
        <w:rPr>
          <w:rFonts w:ascii="Times New Roman" w:hAnsi="Times New Roman" w:eastAsia="宋体" w:cs="Times New Roman"/>
        </w:rPr>
        <w:t>≥99.99 %）置于300 mL烧杯中，加入50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mL硝酸(5.4)，低温加热溶解完全，冷却；称取0.5000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g金属铟（</w:t>
      </w:r>
      <w:r>
        <w:rPr>
          <w:rFonts w:ascii="Times New Roman" w:hAnsi="Times New Roman" w:cs="Times New Roman"/>
          <w:i/>
        </w:rPr>
        <w:t>w</w:t>
      </w:r>
      <w:r>
        <w:rPr>
          <w:rFonts w:ascii="Times New Roman" w:hAnsi="Times New Roman" w:cs="Times New Roman"/>
          <w:i/>
          <w:vertAlign w:val="subscript"/>
        </w:rPr>
        <w:t>In</w:t>
      </w:r>
      <w:r>
        <w:rPr>
          <w:rFonts w:ascii="Times New Roman" w:hAnsi="Times New Roman" w:eastAsia="宋体" w:cs="Times New Roman"/>
        </w:rPr>
        <w:t>≥99.99 %）置于300 mL烧杯中，加入100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mL硝酸(5.4)，加热溶解完全，冷却；分别将铁、铜、镉、铟标准溶液移入1000 mL容量瓶中，加入50 mL硝酸(5.4) 用水稀释至刻度，混匀。此溶液1 mL分别含</w:t>
      </w:r>
      <w:r>
        <w:rPr>
          <w:rFonts w:hint="eastAsia" w:ascii="Times New Roman" w:hAnsi="Times New Roman" w:eastAsia="宋体" w:cs="Times New Roman"/>
        </w:rPr>
        <w:t>5</w:t>
      </w:r>
      <w:r>
        <w:rPr>
          <w:rFonts w:ascii="Times New Roman" w:hAnsi="Times New Roman" w:eastAsia="宋体" w:cs="Times New Roman"/>
        </w:rPr>
        <w:t>00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μg铁、铜、镉、铟。</w:t>
      </w:r>
    </w:p>
    <w:p>
      <w:pPr>
        <w:pStyle w:val="47"/>
        <w:ind w:firstLine="0" w:firstLineChars="0"/>
        <w:rPr>
          <w:rFonts w:ascii="Times New Roman" w:hAnsi="Times New Roman" w:eastAsia="宋体" w:cs="Times New Roman"/>
        </w:rPr>
      </w:pPr>
      <w:r>
        <w:rPr>
          <w:rFonts w:ascii="Times New Roman" w:hAnsi="Times New Roman" w:eastAsia="宋体" w:cs="Times New Roman"/>
        </w:rPr>
        <w:t>5.15  锌基体溶液：</w:t>
      </w:r>
      <w:r>
        <w:rPr>
          <w:rFonts w:ascii="Times New Roman" w:hAnsi="Times New Roman" w:eastAsia="宋体" w:cs="Times New Roman"/>
          <w:color w:val="000000" w:themeColor="text1"/>
          <w14:textFill>
            <w14:solidFill>
              <w14:schemeClr w14:val="tx1"/>
            </w14:solidFill>
          </w14:textFill>
        </w:rPr>
        <w:t>湿法炼锌浸出液经过锌粉净化后的</w:t>
      </w:r>
      <w:r>
        <w:rPr>
          <w:rFonts w:hint="eastAsia" w:ascii="Times New Roman" w:hAnsi="Times New Roman" w:eastAsia="宋体"/>
          <w:color w:val="000000" w:themeColor="text1"/>
          <w14:textFill>
            <w14:solidFill>
              <w14:schemeClr w14:val="tx1"/>
            </w14:solidFill>
          </w14:textFill>
        </w:rPr>
        <w:t>硫酸</w:t>
      </w:r>
      <w:r>
        <w:rPr>
          <w:rFonts w:ascii="Times New Roman" w:hAnsi="Times New Roman" w:eastAsia="宋体"/>
          <w:color w:val="000000" w:themeColor="text1"/>
          <w14:textFill>
            <w14:solidFill>
              <w14:schemeClr w14:val="tx1"/>
            </w14:solidFill>
          </w14:textFill>
        </w:rPr>
        <w:t>锌溶液</w:t>
      </w:r>
      <w:r>
        <w:rPr>
          <w:rFonts w:ascii="Times New Roman" w:hAnsi="Times New Roman" w:eastAsia="宋体" w:cs="Times New Roman"/>
          <w:color w:val="000000" w:themeColor="text1"/>
          <w14:textFill>
            <w14:solidFill>
              <w14:schemeClr w14:val="tx1"/>
            </w14:solidFill>
          </w14:textFill>
        </w:rPr>
        <w:t>，锌基</w:t>
      </w:r>
      <w:r>
        <w:rPr>
          <w:rFonts w:ascii="Times New Roman" w:hAnsi="Times New Roman" w:eastAsia="宋体" w:cs="Times New Roman"/>
        </w:rPr>
        <w:t>体溶液采集后立即用快速定性滤纸过滤。</w:t>
      </w:r>
    </w:p>
    <w:p>
      <w:pPr>
        <w:pStyle w:val="47"/>
        <w:ind w:firstLine="0" w:firstLineChars="0"/>
        <w:rPr>
          <w:rFonts w:ascii="Times New Roman" w:hAnsi="Times New Roman" w:eastAsia="宋体" w:cs="Times New Roman"/>
        </w:rPr>
      </w:pPr>
      <w:r>
        <w:rPr>
          <w:rFonts w:ascii="Times New Roman" w:hAnsi="Times New Roman" w:eastAsia="宋体" w:cs="Times New Roman"/>
        </w:rPr>
        <w:t>5.16  氩气（体积分数≥99.996%）。</w:t>
      </w:r>
    </w:p>
    <w:p>
      <w:pPr>
        <w:pStyle w:val="60"/>
        <w:spacing w:before="156" w:after="156"/>
        <w:rPr>
          <w:rFonts w:ascii="Times New Roman"/>
          <w:szCs w:val="21"/>
        </w:rPr>
      </w:pPr>
      <w:r>
        <w:rPr>
          <w:rFonts w:ascii="Times New Roman"/>
          <w:szCs w:val="21"/>
        </w:rPr>
        <w:t>6  仪器与设备</w:t>
      </w:r>
    </w:p>
    <w:p>
      <w:pPr>
        <w:pStyle w:val="60"/>
        <w:spacing w:before="156" w:after="156"/>
        <w:rPr>
          <w:rFonts w:ascii="Times New Roman" w:eastAsia="宋体"/>
          <w:szCs w:val="21"/>
        </w:rPr>
      </w:pPr>
      <w:r>
        <w:rPr>
          <w:rFonts w:ascii="Times New Roman" w:eastAsia="宋体"/>
          <w:kern w:val="2"/>
          <w:szCs w:val="21"/>
        </w:rPr>
        <w:t>6.1  电感耦合等离子体原子发射光谱仪：在仪器的最佳工作条件下，用最低浓度的标准溶液（不是“零”浓度标准溶液）测量11次，光强度的相对标准偏差不超过2.5%。</w:t>
      </w:r>
      <w:r>
        <w:rPr>
          <w:rFonts w:ascii="Times New Roman" w:eastAsiaTheme="minorEastAsia"/>
          <w:szCs w:val="22"/>
        </w:rPr>
        <w:t>推荐的分析谱线见表2。</w:t>
      </w:r>
    </w:p>
    <w:p>
      <w:pPr>
        <w:pStyle w:val="47"/>
        <w:ind w:firstLine="0" w:firstLineChars="0"/>
        <w:rPr>
          <w:rFonts w:ascii="Times New Roman" w:hAnsi="Times New Roman" w:eastAsia="宋体" w:cs="Times New Roman"/>
          <w:szCs w:val="21"/>
        </w:rPr>
      </w:pPr>
    </w:p>
    <w:p>
      <w:pPr>
        <w:pStyle w:val="47"/>
        <w:ind w:firstLine="420"/>
        <w:jc w:val="center"/>
        <w:rPr>
          <w:rFonts w:ascii="Times New Roman" w:hAnsi="Times New Roman" w:eastAsia="黑体" w:cs="Times New Roman"/>
          <w:szCs w:val="21"/>
        </w:rPr>
      </w:pPr>
      <w:r>
        <w:rPr>
          <w:rFonts w:ascii="Times New Roman" w:hAnsi="Times New Roman" w:eastAsia="黑体" w:cs="Times New Roman"/>
          <w:szCs w:val="21"/>
        </w:rPr>
        <w:t>表2  推荐谱线</w:t>
      </w:r>
    </w:p>
    <w:tbl>
      <w:tblPr>
        <w:tblStyle w:val="2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908"/>
        <w:gridCol w:w="1217"/>
        <w:gridCol w:w="1217"/>
        <w:gridCol w:w="1218"/>
        <w:gridCol w:w="1218"/>
        <w:gridCol w:w="1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元素</w:t>
            </w:r>
          </w:p>
        </w:tc>
        <w:tc>
          <w:tcPr>
            <w:tcW w:w="90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Fe</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Cu</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Cd</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In</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Ni</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Ga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谱线波长λ/nm</w:t>
            </w:r>
          </w:p>
        </w:tc>
        <w:tc>
          <w:tcPr>
            <w:tcW w:w="90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273.944</w:t>
            </w:r>
          </w:p>
          <w:p>
            <w:pPr>
              <w:pStyle w:val="47"/>
              <w:ind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239.563</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224.700</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214.440</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451.131</w:t>
            </w:r>
          </w:p>
          <w:p>
            <w:pPr>
              <w:pStyle w:val="47"/>
              <w:ind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230.605</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341.476</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417.206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元素</w:t>
            </w:r>
          </w:p>
        </w:tc>
        <w:tc>
          <w:tcPr>
            <w:tcW w:w="90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Co</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Pb</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Tl</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Al</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Sn</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Cr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谱线波长λ/nm</w:t>
            </w:r>
          </w:p>
        </w:tc>
        <w:tc>
          <w:tcPr>
            <w:tcW w:w="90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228.616</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220.353</w:t>
            </w:r>
          </w:p>
        </w:tc>
        <w:tc>
          <w:tcPr>
            <w:tcW w:w="1217"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351.924</w:t>
            </w:r>
          </w:p>
          <w:p>
            <w:pPr>
              <w:pStyle w:val="47"/>
              <w:ind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190.856</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396.153</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189.927</w:t>
            </w:r>
          </w:p>
          <w:p>
            <w:pPr>
              <w:pStyle w:val="47"/>
              <w:ind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189.991</w:t>
            </w:r>
          </w:p>
        </w:tc>
        <w:tc>
          <w:tcPr>
            <w:tcW w:w="1218"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283.563</w:t>
            </w:r>
          </w:p>
        </w:tc>
      </w:tr>
    </w:tbl>
    <w:p>
      <w:pPr>
        <w:pStyle w:val="47"/>
        <w:ind w:firstLine="420"/>
        <w:jc w:val="left"/>
        <w:rPr>
          <w:rFonts w:ascii="Times New Roman" w:hAnsi="Times New Roman" w:eastAsia="宋体" w:cs="Times New Roman"/>
        </w:rPr>
      </w:pPr>
    </w:p>
    <w:p>
      <w:pPr>
        <w:pStyle w:val="60"/>
        <w:spacing w:before="156" w:after="156"/>
        <w:rPr>
          <w:rFonts w:ascii="Times New Roman"/>
        </w:rPr>
      </w:pPr>
      <w:r>
        <w:rPr>
          <w:rFonts w:ascii="Times New Roman"/>
        </w:rPr>
        <w:t>7  样品</w:t>
      </w:r>
    </w:p>
    <w:p>
      <w:pPr>
        <w:pStyle w:val="47"/>
        <w:ind w:firstLine="0" w:firstLineChars="0"/>
        <w:rPr>
          <w:rFonts w:ascii="Times New Roman" w:hAnsi="Times New Roman" w:cs="Times New Roman"/>
          <w:szCs w:val="21"/>
        </w:rPr>
      </w:pPr>
      <w:r>
        <w:rPr>
          <w:rFonts w:ascii="Times New Roman" w:hAnsi="Times New Roman" w:cs="Times New Roman"/>
        </w:rPr>
        <w:t xml:space="preserve">     样品采集后立即用快速定性滤纸过滤</w:t>
      </w:r>
      <w:r>
        <w:rPr>
          <w:rFonts w:ascii="Times New Roman" w:hAnsi="Times New Roman" w:cs="Times New Roman"/>
          <w:szCs w:val="21"/>
        </w:rPr>
        <w:t>。</w:t>
      </w:r>
    </w:p>
    <w:p>
      <w:pPr>
        <w:pStyle w:val="76"/>
        <w:rPr>
          <w:rStyle w:val="94"/>
          <w:rFonts w:ascii="Times New Roman" w:hAnsi="Times New Roman"/>
        </w:rPr>
      </w:pPr>
      <w:r>
        <w:rPr>
          <w:rStyle w:val="94"/>
          <w:rFonts w:ascii="Times New Roman" w:hAnsi="Times New Roman"/>
        </w:rPr>
        <w:t>8  分析步骤</w:t>
      </w:r>
    </w:p>
    <w:p>
      <w:pPr>
        <w:pStyle w:val="47"/>
        <w:ind w:firstLine="0" w:firstLineChars="0"/>
        <w:rPr>
          <w:rFonts w:ascii="Times New Roman" w:hAnsi="Times New Roman" w:cs="Times New Roman"/>
          <w:szCs w:val="21"/>
        </w:rPr>
      </w:pPr>
      <w:r>
        <w:rPr>
          <w:rFonts w:ascii="Times New Roman" w:hAnsi="Times New Roman" w:cs="Times New Roman"/>
          <w:szCs w:val="21"/>
        </w:rPr>
        <w:t>8.1 试料</w:t>
      </w:r>
    </w:p>
    <w:p>
      <w:pPr>
        <w:spacing w:line="360" w:lineRule="auto"/>
        <w:ind w:firstLine="420" w:firstLineChars="200"/>
        <w:rPr>
          <w:szCs w:val="21"/>
        </w:rPr>
      </w:pPr>
      <w:r>
        <w:rPr>
          <w:szCs w:val="21"/>
        </w:rPr>
        <w:t>移取10.00</w:t>
      </w:r>
      <w:r>
        <w:rPr>
          <w:rFonts w:hint="eastAsia"/>
          <w:szCs w:val="21"/>
          <w:lang w:val="en-US" w:eastAsia="zh-CN"/>
        </w:rPr>
        <w:t xml:space="preserve"> </w:t>
      </w:r>
      <w:r>
        <w:rPr>
          <w:szCs w:val="21"/>
        </w:rPr>
        <w:t>mL或1.00</w:t>
      </w:r>
      <w:r>
        <w:rPr>
          <w:rFonts w:hint="eastAsia"/>
          <w:szCs w:val="21"/>
          <w:lang w:val="en-US" w:eastAsia="zh-CN"/>
        </w:rPr>
        <w:t xml:space="preserve"> </w:t>
      </w:r>
      <w:r>
        <w:rPr>
          <w:szCs w:val="21"/>
        </w:rPr>
        <w:t>mL样品（7）。</w:t>
      </w:r>
    </w:p>
    <w:p>
      <w:pPr>
        <w:pStyle w:val="58"/>
        <w:spacing w:before="120" w:after="120"/>
        <w:rPr>
          <w:rFonts w:ascii="Times New Roman"/>
        </w:rPr>
      </w:pPr>
      <w:r>
        <w:rPr>
          <w:rFonts w:ascii="Times New Roman"/>
        </w:rPr>
        <w:t>8.2  平行试验</w:t>
      </w:r>
    </w:p>
    <w:p>
      <w:pPr>
        <w:spacing w:line="360" w:lineRule="auto"/>
        <w:ind w:firstLine="420" w:firstLineChars="200"/>
        <w:rPr>
          <w:bCs/>
          <w:szCs w:val="21"/>
        </w:rPr>
      </w:pPr>
      <w:r>
        <w:rPr>
          <w:szCs w:val="21"/>
        </w:rPr>
        <w:t>平行做两份试验，取其平均值。</w:t>
      </w:r>
    </w:p>
    <w:p>
      <w:pPr>
        <w:pStyle w:val="58"/>
        <w:spacing w:before="120" w:after="120"/>
        <w:rPr>
          <w:rFonts w:ascii="Times New Roman"/>
        </w:rPr>
      </w:pPr>
      <w:r>
        <w:rPr>
          <w:rFonts w:ascii="Times New Roman"/>
        </w:rPr>
        <w:t>8.3  空白试验</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不加试料，移取3mL硝酸(5.2)于100 mL容量瓶中，加入10mL锌基体溶液（5.15），用水稀释至刻度，混匀。</w:t>
      </w:r>
    </w:p>
    <w:p>
      <w:pPr>
        <w:pStyle w:val="58"/>
        <w:spacing w:before="120" w:after="120"/>
        <w:rPr>
          <w:rFonts w:ascii="Times New Roman"/>
        </w:rPr>
      </w:pPr>
      <w:r>
        <w:rPr>
          <w:rFonts w:ascii="Times New Roman"/>
        </w:rPr>
        <w:t>8.4  测定</w:t>
      </w:r>
    </w:p>
    <w:p>
      <w:pPr>
        <w:pStyle w:val="47"/>
        <w:ind w:firstLine="0" w:firstLineChars="0"/>
        <w:rPr>
          <w:rFonts w:hint="default" w:ascii="Times New Roman" w:hAnsi="Times New Roman" w:eastAsia="宋体" w:cs="Times New Roman"/>
          <w:lang w:val="en-US" w:eastAsia="zh-CN"/>
        </w:rPr>
      </w:pPr>
      <w:r>
        <w:rPr>
          <w:rFonts w:ascii="Times New Roman" w:hAnsi="Times New Roman" w:eastAsia="黑体" w:cs="Times New Roman"/>
          <w:szCs w:val="21"/>
        </w:rPr>
        <w:t>8.4.1</w:t>
      </w:r>
      <w:r>
        <w:rPr>
          <w:rFonts w:ascii="Times New Roman" w:hAnsi="Times New Roman" w:eastAsia="宋体" w:cs="Times New Roman"/>
          <w:szCs w:val="21"/>
        </w:rPr>
        <w:t xml:space="preserve">  按表3移取</w:t>
      </w:r>
      <w:r>
        <w:rPr>
          <w:rFonts w:ascii="Times New Roman" w:hAnsi="Times New Roman" w:cs="Times New Roman"/>
          <w:szCs w:val="21"/>
        </w:rPr>
        <w:t>样品（7）</w:t>
      </w:r>
      <w:r>
        <w:rPr>
          <w:rFonts w:ascii="Times New Roman" w:hAnsi="Times New Roman" w:eastAsia="宋体" w:cs="Times New Roman"/>
          <w:szCs w:val="21"/>
        </w:rPr>
        <w:t>于100 mL容量瓶中，加入3</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mL硝酸(5.2)，加入锌基体溶液（5.15）， 用水稀释至刻</w:t>
      </w:r>
      <w:r>
        <w:rPr>
          <w:rFonts w:ascii="Times New Roman" w:hAnsi="Times New Roman" w:eastAsia="宋体" w:cs="Times New Roman"/>
        </w:rPr>
        <w:t>度，混匀。</w:t>
      </w:r>
      <w:r>
        <w:rPr>
          <w:rFonts w:hint="eastAsia" w:ascii="Times New Roman" w:hAnsi="Times New Roman" w:eastAsia="宋体" w:cs="Times New Roman"/>
          <w:lang w:val="en-US" w:eastAsia="zh-CN"/>
        </w:rPr>
        <w:t>当样品含量超出浓度范围时应根据样品实际含量稀释后测定，当样品含量低于浓度范围时直接测定。</w:t>
      </w:r>
    </w:p>
    <w:p>
      <w:pPr>
        <w:pStyle w:val="119"/>
        <w:numPr>
          <w:ilvl w:val="0"/>
          <w:numId w:val="0"/>
        </w:numPr>
        <w:spacing w:before="120" w:after="120"/>
        <w:rPr>
          <w:rFonts w:ascii="Times New Roman"/>
        </w:rPr>
      </w:pPr>
      <w:r>
        <w:rPr>
          <w:rFonts w:ascii="Times New Roman"/>
        </w:rPr>
        <w:t>表3 试料移取体积、补加锌基体溶液体积及测定体积</w:t>
      </w:r>
    </w:p>
    <w:tbl>
      <w:tblPr>
        <w:tblStyle w:val="2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32"/>
        <w:gridCol w:w="1991"/>
        <w:gridCol w:w="2188"/>
        <w:gridCol w:w="21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613" w:type="pct"/>
            <w:vAlign w:val="center"/>
          </w:tcPr>
          <w:p>
            <w:pPr>
              <w:jc w:val="center"/>
              <w:rPr>
                <w:rFonts w:eastAsiaTheme="minorEastAsia"/>
                <w:szCs w:val="21"/>
              </w:rPr>
            </w:pPr>
            <w:r>
              <w:rPr>
                <w:rFonts w:eastAsiaTheme="minorEastAsia"/>
                <w:szCs w:val="21"/>
              </w:rPr>
              <w:t>质量浓度（mg/L）</w:t>
            </w:r>
          </w:p>
        </w:tc>
        <w:tc>
          <w:tcPr>
            <w:tcW w:w="1059" w:type="pct"/>
          </w:tcPr>
          <w:p>
            <w:pPr>
              <w:jc w:val="center"/>
              <w:rPr>
                <w:rFonts w:eastAsiaTheme="minorEastAsia"/>
                <w:szCs w:val="21"/>
              </w:rPr>
            </w:pPr>
            <w:r>
              <w:rPr>
                <w:rFonts w:eastAsiaTheme="minorEastAsia"/>
                <w:szCs w:val="21"/>
              </w:rPr>
              <w:t>移取试料体积</w:t>
            </w:r>
          </w:p>
          <w:p>
            <w:pPr>
              <w:pStyle w:val="47"/>
              <w:ind w:firstLine="441" w:firstLineChars="210"/>
              <w:jc w:val="center"/>
              <w:rPr>
                <w:rFonts w:ascii="Times New Roman" w:hAnsi="Times New Roman" w:cs="Times New Roman"/>
                <w:szCs w:val="21"/>
              </w:rPr>
            </w:pPr>
            <w:r>
              <w:rPr>
                <w:rFonts w:ascii="Times New Roman" w:hAnsi="Times New Roman" w:cs="Times New Roman"/>
                <w:szCs w:val="21"/>
              </w:rPr>
              <w:t>mL</w:t>
            </w:r>
          </w:p>
        </w:tc>
        <w:tc>
          <w:tcPr>
            <w:tcW w:w="1164" w:type="pct"/>
          </w:tcPr>
          <w:p>
            <w:pPr>
              <w:pStyle w:val="47"/>
              <w:ind w:firstLine="0" w:firstLineChars="0"/>
              <w:jc w:val="center"/>
              <w:rPr>
                <w:rFonts w:ascii="Times New Roman" w:hAnsi="Times New Roman" w:cs="Times New Roman"/>
                <w:szCs w:val="21"/>
              </w:rPr>
            </w:pPr>
            <w:r>
              <w:rPr>
                <w:rFonts w:ascii="Times New Roman" w:hAnsi="Times New Roman" w:cs="Times New Roman"/>
                <w:szCs w:val="21"/>
              </w:rPr>
              <w:t>补加锌基体溶液体积（mL）</w:t>
            </w:r>
          </w:p>
        </w:tc>
        <w:tc>
          <w:tcPr>
            <w:tcW w:w="1164" w:type="pct"/>
          </w:tcPr>
          <w:p>
            <w:pPr>
              <w:pStyle w:val="47"/>
              <w:ind w:firstLine="0" w:firstLineChars="0"/>
              <w:jc w:val="center"/>
              <w:rPr>
                <w:rFonts w:ascii="Times New Roman" w:hAnsi="Times New Roman" w:cs="Times New Roman"/>
                <w:szCs w:val="21"/>
              </w:rPr>
            </w:pPr>
            <w:r>
              <w:rPr>
                <w:rFonts w:ascii="Times New Roman" w:hAnsi="Times New Roman" w:cs="Times New Roman"/>
                <w:szCs w:val="21"/>
              </w:rPr>
              <w:t>测定体积（mL）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1613" w:type="pct"/>
          </w:tcPr>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5.0≤C</w:t>
            </w:r>
            <w:r>
              <w:rPr>
                <w:rFonts w:ascii="Times New Roman" w:hAnsi="Times New Roman" w:cs="Times New Roman"/>
                <w:i/>
                <w:color w:val="000000" w:themeColor="text1"/>
                <w:szCs w:val="21"/>
                <w:vertAlign w:val="subscript"/>
                <w14:textFill>
                  <w14:solidFill>
                    <w14:schemeClr w14:val="tx1"/>
                  </w14:solidFill>
                </w14:textFill>
              </w:rPr>
              <w:t>Fe</w:t>
            </w:r>
            <w:r>
              <w:rPr>
                <w:rFonts w:ascii="Times New Roman" w:hAnsi="Times New Roman" w:cs="Times New Roman"/>
                <w:color w:val="000000" w:themeColor="text1"/>
                <w:szCs w:val="21"/>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0.5≤C</w:t>
            </w:r>
            <w:r>
              <w:rPr>
                <w:rFonts w:ascii="Times New Roman" w:hAnsi="Times New Roman" w:cs="Times New Roman"/>
                <w:i/>
                <w:color w:val="000000" w:themeColor="text1"/>
                <w:szCs w:val="21"/>
                <w:vertAlign w:val="subscript"/>
                <w14:textFill>
                  <w14:solidFill>
                    <w14:schemeClr w14:val="tx1"/>
                  </w14:solidFill>
                </w14:textFill>
              </w:rPr>
              <w:t>Cu</w:t>
            </w:r>
            <w:r>
              <w:rPr>
                <w:rFonts w:ascii="Times New Roman" w:hAnsi="Times New Roman" w:cs="Times New Roman"/>
                <w:color w:val="000000" w:themeColor="text1"/>
                <w:szCs w:val="21"/>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0.2≤C</w:t>
            </w:r>
            <w:r>
              <w:rPr>
                <w:rFonts w:ascii="Times New Roman" w:hAnsi="Times New Roman" w:cs="Times New Roman"/>
                <w:i/>
                <w:color w:val="000000" w:themeColor="text1"/>
                <w:szCs w:val="21"/>
                <w:vertAlign w:val="subscript"/>
                <w14:textFill>
                  <w14:solidFill>
                    <w14:schemeClr w14:val="tx1"/>
                  </w14:solidFill>
                </w14:textFill>
              </w:rPr>
              <w:t>Cd</w:t>
            </w:r>
            <w:r>
              <w:rPr>
                <w:rFonts w:ascii="Times New Roman" w:hAnsi="Times New Roman" w:cs="Times New Roman"/>
                <w:color w:val="000000" w:themeColor="text1"/>
                <w:szCs w:val="21"/>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1.0≤C</w:t>
            </w:r>
            <w:r>
              <w:rPr>
                <w:rFonts w:ascii="Times New Roman" w:hAnsi="Times New Roman" w:cs="Times New Roman"/>
                <w:i/>
                <w:color w:val="000000" w:themeColor="text1"/>
                <w:szCs w:val="21"/>
                <w:vertAlign w:val="subscript"/>
                <w14:textFill>
                  <w14:solidFill>
                    <w14:schemeClr w14:val="tx1"/>
                  </w14:solidFill>
                </w14:textFill>
              </w:rPr>
              <w:t>In</w:t>
            </w:r>
            <w:r>
              <w:rPr>
                <w:rFonts w:ascii="Times New Roman" w:hAnsi="Times New Roman" w:cs="Times New Roman"/>
                <w:color w:val="000000" w:themeColor="text1"/>
                <w:szCs w:val="21"/>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0.2≤C</w:t>
            </w:r>
            <w:r>
              <w:rPr>
                <w:rFonts w:ascii="Times New Roman" w:hAnsi="Times New Roman" w:cs="Times New Roman"/>
                <w:i/>
                <w:color w:val="000000" w:themeColor="text1"/>
                <w:szCs w:val="21"/>
                <w:vertAlign w:val="subscript"/>
                <w14:textFill>
                  <w14:solidFill>
                    <w14:schemeClr w14:val="tx1"/>
                  </w14:solidFill>
                </w14:textFill>
              </w:rPr>
              <w:t>Ni</w:t>
            </w:r>
            <w:r>
              <w:rPr>
                <w:rFonts w:ascii="Times New Roman" w:hAnsi="Times New Roman" w:cs="Times New Roman"/>
                <w:color w:val="000000" w:themeColor="text1"/>
                <w:szCs w:val="21"/>
                <w14:textFill>
                  <w14:solidFill>
                    <w14:schemeClr w14:val="tx1"/>
                  </w14:solidFill>
                </w14:textFill>
              </w:rPr>
              <w:t>≤100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5.0≤C</w:t>
            </w:r>
            <w:r>
              <w:rPr>
                <w:rFonts w:ascii="Times New Roman" w:hAnsi="Times New Roman" w:cs="Times New Roman"/>
                <w:i/>
                <w:color w:val="000000" w:themeColor="text1"/>
                <w:szCs w:val="21"/>
                <w:vertAlign w:val="subscript"/>
                <w14:textFill>
                  <w14:solidFill>
                    <w14:schemeClr w14:val="tx1"/>
                  </w14:solidFill>
                </w14:textFill>
              </w:rPr>
              <w:t>Ga</w:t>
            </w:r>
            <w:r>
              <w:rPr>
                <w:rFonts w:ascii="Times New Roman" w:hAnsi="Times New Roman" w:cs="Times New Roman"/>
                <w:color w:val="000000" w:themeColor="text1"/>
                <w:szCs w:val="21"/>
                <w14:textFill>
                  <w14:solidFill>
                    <w14:schemeClr w14:val="tx1"/>
                  </w14:solidFill>
                </w14:textFill>
              </w:rPr>
              <w:t>≤100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5.0≤C</w:t>
            </w:r>
            <w:r>
              <w:rPr>
                <w:rFonts w:ascii="Times New Roman" w:hAnsi="Times New Roman" w:cs="Times New Roman"/>
                <w:i/>
                <w:color w:val="000000" w:themeColor="text1"/>
                <w:szCs w:val="21"/>
                <w:vertAlign w:val="subscript"/>
                <w14:textFill>
                  <w14:solidFill>
                    <w14:schemeClr w14:val="tx1"/>
                  </w14:solidFill>
                </w14:textFill>
              </w:rPr>
              <w:t>Cr</w:t>
            </w:r>
            <w:r>
              <w:rPr>
                <w:rFonts w:ascii="Times New Roman" w:hAnsi="Times New Roman" w:cs="Times New Roman"/>
                <w:color w:val="000000" w:themeColor="text1"/>
                <w:szCs w:val="21"/>
                <w14:textFill>
                  <w14:solidFill>
                    <w14:schemeClr w14:val="tx1"/>
                  </w14:solidFill>
                </w14:textFill>
              </w:rPr>
              <w:t>≤50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0.2≤C</w:t>
            </w:r>
            <w:r>
              <w:rPr>
                <w:rFonts w:ascii="Times New Roman" w:hAnsi="Times New Roman" w:cs="Times New Roman"/>
                <w:i/>
                <w:color w:val="000000" w:themeColor="text1"/>
                <w:szCs w:val="21"/>
                <w:vertAlign w:val="subscript"/>
                <w14:textFill>
                  <w14:solidFill>
                    <w14:schemeClr w14:val="tx1"/>
                  </w14:solidFill>
                </w14:textFill>
              </w:rPr>
              <w:t>Co</w:t>
            </w:r>
            <w:r>
              <w:rPr>
                <w:rFonts w:ascii="Times New Roman" w:hAnsi="Times New Roman" w:cs="Times New Roman"/>
                <w:color w:val="000000" w:themeColor="text1"/>
                <w:szCs w:val="21"/>
                <w14:textFill>
                  <w14:solidFill>
                    <w14:schemeClr w14:val="tx1"/>
                  </w14:solidFill>
                </w14:textFill>
              </w:rPr>
              <w:t>≤50</w:t>
            </w:r>
          </w:p>
          <w:p>
            <w:pPr>
              <w:pStyle w:val="47"/>
              <w:ind w:firstLine="0" w:firstLineChars="0"/>
              <w:jc w:val="center"/>
              <w:rPr>
                <w:rFonts w:ascii="Times New Roman" w:hAnsi="Times New Roman" w:cs="Times New Roman"/>
                <w:i/>
                <w:color w:val="000000" w:themeColor="text1"/>
                <w:szCs w:val="21"/>
                <w:vertAlign w:val="subscript"/>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1.0≤C</w:t>
            </w:r>
            <w:r>
              <w:rPr>
                <w:rFonts w:ascii="Times New Roman" w:hAnsi="Times New Roman" w:cs="Times New Roman"/>
                <w:i/>
                <w:color w:val="000000" w:themeColor="text1"/>
                <w:szCs w:val="21"/>
                <w:vertAlign w:val="subscript"/>
                <w14:textFill>
                  <w14:solidFill>
                    <w14:schemeClr w14:val="tx1"/>
                  </w14:solidFill>
                </w14:textFill>
              </w:rPr>
              <w:t>Pb</w:t>
            </w:r>
            <w:r>
              <w:rPr>
                <w:rFonts w:ascii="Times New Roman" w:hAnsi="Times New Roman" w:cs="Times New Roman"/>
                <w:color w:val="000000" w:themeColor="text1"/>
                <w:szCs w:val="21"/>
                <w14:textFill>
                  <w14:solidFill>
                    <w14:schemeClr w14:val="tx1"/>
                  </w14:solidFill>
                </w14:textFill>
              </w:rPr>
              <w:t>≤30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1.0≤C</w:t>
            </w:r>
            <w:r>
              <w:rPr>
                <w:rFonts w:ascii="Times New Roman" w:hAnsi="Times New Roman" w:cs="Times New Roman"/>
                <w:i/>
                <w:color w:val="000000" w:themeColor="text1"/>
                <w:szCs w:val="21"/>
                <w:vertAlign w:val="subscript"/>
                <w14:textFill>
                  <w14:solidFill>
                    <w14:schemeClr w14:val="tx1"/>
                  </w14:solidFill>
                </w14:textFill>
              </w:rPr>
              <w:t>Tl</w:t>
            </w:r>
            <w:r>
              <w:rPr>
                <w:rFonts w:ascii="Times New Roman" w:hAnsi="Times New Roman" w:cs="Times New Roman"/>
                <w:color w:val="000000" w:themeColor="text1"/>
                <w:szCs w:val="21"/>
                <w14:textFill>
                  <w14:solidFill>
                    <w14:schemeClr w14:val="tx1"/>
                  </w14:solidFill>
                </w14:textFill>
              </w:rPr>
              <w:t>≤50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0.5≤C</w:t>
            </w:r>
            <w:r>
              <w:rPr>
                <w:rFonts w:ascii="Times New Roman" w:hAnsi="Times New Roman" w:cs="Times New Roman"/>
                <w:i/>
                <w:color w:val="000000" w:themeColor="text1"/>
                <w:szCs w:val="21"/>
                <w:vertAlign w:val="subscript"/>
                <w14:textFill>
                  <w14:solidFill>
                    <w14:schemeClr w14:val="tx1"/>
                  </w14:solidFill>
                </w14:textFill>
              </w:rPr>
              <w:t>Al</w:t>
            </w:r>
            <w:r>
              <w:rPr>
                <w:rFonts w:ascii="Times New Roman" w:hAnsi="Times New Roman" w:cs="Times New Roman"/>
                <w:color w:val="000000" w:themeColor="text1"/>
                <w:szCs w:val="21"/>
                <w14:textFill>
                  <w14:solidFill>
                    <w14:schemeClr w14:val="tx1"/>
                  </w14:solidFill>
                </w14:textFill>
              </w:rPr>
              <w:t>≤50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0.5≤C</w:t>
            </w:r>
            <w:r>
              <w:rPr>
                <w:rFonts w:ascii="Times New Roman" w:hAnsi="Times New Roman" w:cs="Times New Roman"/>
                <w:i/>
                <w:color w:val="000000" w:themeColor="text1"/>
                <w:szCs w:val="21"/>
                <w:vertAlign w:val="subscript"/>
                <w14:textFill>
                  <w14:solidFill>
                    <w14:schemeClr w14:val="tx1"/>
                  </w14:solidFill>
                </w14:textFill>
              </w:rPr>
              <w:t>Sn</w:t>
            </w:r>
            <w:r>
              <w:rPr>
                <w:rFonts w:ascii="Times New Roman" w:hAnsi="Times New Roman" w:cs="Times New Roman"/>
                <w:color w:val="000000" w:themeColor="text1"/>
                <w:szCs w:val="21"/>
                <w14:textFill>
                  <w14:solidFill>
                    <w14:schemeClr w14:val="tx1"/>
                  </w14:solidFill>
                </w14:textFill>
              </w:rPr>
              <w:t>≤10</w:t>
            </w:r>
          </w:p>
        </w:tc>
        <w:tc>
          <w:tcPr>
            <w:tcW w:w="1059"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10.00</w:t>
            </w:r>
          </w:p>
        </w:tc>
        <w:tc>
          <w:tcPr>
            <w:tcW w:w="1164"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w:t>
            </w:r>
          </w:p>
        </w:tc>
        <w:tc>
          <w:tcPr>
            <w:tcW w:w="1164"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1613" w:type="pct"/>
          </w:tcPr>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1000≤C</w:t>
            </w:r>
            <w:r>
              <w:rPr>
                <w:rFonts w:ascii="Times New Roman" w:hAnsi="Times New Roman" w:cs="Times New Roman"/>
                <w:i/>
                <w:color w:val="000000" w:themeColor="text1"/>
                <w:szCs w:val="21"/>
                <w:vertAlign w:val="subscript"/>
                <w14:textFill>
                  <w14:solidFill>
                    <w14:schemeClr w14:val="tx1"/>
                  </w14:solidFill>
                </w14:textFill>
              </w:rPr>
              <w:t>Fe</w:t>
            </w:r>
            <w:r>
              <w:rPr>
                <w:rFonts w:ascii="Times New Roman" w:hAnsi="Times New Roman" w:cs="Times New Roman"/>
                <w:color w:val="000000" w:themeColor="text1"/>
                <w:szCs w:val="21"/>
                <w:vertAlign w:val="subscript"/>
                <w14:textFill>
                  <w14:solidFill>
                    <w14:schemeClr w14:val="tx1"/>
                  </w14:solidFill>
                </w14:textFill>
              </w:rPr>
              <w:t>，</w:t>
            </w:r>
            <w:r>
              <w:rPr>
                <w:rFonts w:ascii="Times New Roman" w:hAnsi="Times New Roman" w:cs="Times New Roman"/>
                <w:i/>
                <w:color w:val="000000" w:themeColor="text1"/>
                <w:szCs w:val="21"/>
                <w:vertAlign w:val="subscript"/>
                <w14:textFill>
                  <w14:solidFill>
                    <w14:schemeClr w14:val="tx1"/>
                  </w14:solidFill>
                </w14:textFill>
              </w:rPr>
              <w:t>Cu</w:t>
            </w:r>
            <w:r>
              <w:rPr>
                <w:rFonts w:ascii="Times New Roman" w:hAnsi="Times New Roman" w:cs="Times New Roman"/>
                <w:color w:val="000000" w:themeColor="text1"/>
                <w:szCs w:val="21"/>
                <w14:textFill>
                  <w14:solidFill>
                    <w14:schemeClr w14:val="tx1"/>
                  </w14:solidFill>
                </w14:textFill>
              </w:rPr>
              <w:t>≤5000</w:t>
            </w:r>
          </w:p>
          <w:p>
            <w:pPr>
              <w:pStyle w:val="47"/>
              <w:ind w:firstLine="0" w:firstLineChars="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1000≤C</w:t>
            </w:r>
            <w:r>
              <w:rPr>
                <w:rFonts w:ascii="Times New Roman" w:hAnsi="Times New Roman" w:cs="Times New Roman"/>
                <w:i/>
                <w:color w:val="000000" w:themeColor="text1"/>
                <w:szCs w:val="21"/>
                <w:vertAlign w:val="subscript"/>
                <w14:textFill>
                  <w14:solidFill>
                    <w14:schemeClr w14:val="tx1"/>
                  </w14:solidFill>
                </w14:textFill>
              </w:rPr>
              <w:t>Cd</w:t>
            </w:r>
            <w:r>
              <w:rPr>
                <w:rFonts w:ascii="Times New Roman" w:hAnsi="Times New Roman" w:cs="Times New Roman"/>
                <w:color w:val="000000" w:themeColor="text1"/>
                <w:szCs w:val="21"/>
                <w14:textFill>
                  <w14:solidFill>
                    <w14:schemeClr w14:val="tx1"/>
                  </w14:solidFill>
                </w14:textFill>
              </w:rPr>
              <w:t>≤10000</w:t>
            </w:r>
          </w:p>
        </w:tc>
        <w:tc>
          <w:tcPr>
            <w:tcW w:w="1059"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1.00</w:t>
            </w:r>
          </w:p>
        </w:tc>
        <w:tc>
          <w:tcPr>
            <w:tcW w:w="1164"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9</w:t>
            </w:r>
          </w:p>
        </w:tc>
        <w:tc>
          <w:tcPr>
            <w:tcW w:w="1164" w:type="pct"/>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100</w:t>
            </w:r>
          </w:p>
        </w:tc>
      </w:tr>
    </w:tbl>
    <w:p>
      <w:pPr>
        <w:pStyle w:val="47"/>
        <w:ind w:firstLine="0" w:firstLineChars="0"/>
        <w:rPr>
          <w:rFonts w:ascii="Times New Roman" w:hAnsi="Times New Roman" w:eastAsia="宋体" w:cs="Times New Roman"/>
          <w:kern w:val="0"/>
          <w:szCs w:val="21"/>
        </w:rPr>
      </w:pPr>
    </w:p>
    <w:p>
      <w:pPr>
        <w:pStyle w:val="47"/>
        <w:ind w:firstLine="0" w:firstLineChars="0"/>
        <w:rPr>
          <w:rFonts w:ascii="Times New Roman" w:hAnsi="Times New Roman" w:eastAsia="宋体" w:cs="Times New Roman"/>
          <w:kern w:val="0"/>
          <w:szCs w:val="21"/>
        </w:rPr>
      </w:pPr>
      <w:r>
        <w:rPr>
          <w:rFonts w:ascii="Times New Roman" w:hAnsi="Times New Roman" w:eastAsia="宋体" w:cs="Times New Roman"/>
          <w:kern w:val="0"/>
          <w:szCs w:val="21"/>
        </w:rPr>
        <w:t>8.4.2  将试液（8.4.1）于电感耦合等离子体原子发射光谱仪上，在选定的各元素的分析谱线处，测量试液（8.4.1）及随同试料空白溶液（8.3）中各元素的发射强度，从工作曲线上计算出各测定元素的质量浓度。</w:t>
      </w:r>
    </w:p>
    <w:p>
      <w:pPr>
        <w:pStyle w:val="58"/>
        <w:spacing w:before="120" w:after="120"/>
        <w:rPr>
          <w:rFonts w:ascii="Times New Roman"/>
        </w:rPr>
      </w:pPr>
      <w:r>
        <w:rPr>
          <w:rFonts w:ascii="Times New Roman"/>
        </w:rPr>
        <w:t>8.5  工作曲线的绘制</w:t>
      </w:r>
    </w:p>
    <w:p>
      <w:pPr>
        <w:pStyle w:val="47"/>
        <w:ind w:firstLine="0" w:firstLineChars="0"/>
        <w:rPr>
          <w:rFonts w:ascii="Times New Roman" w:hAnsi="Times New Roman" w:eastAsia="宋体" w:cs="Times New Roman"/>
          <w:szCs w:val="21"/>
        </w:rPr>
      </w:pPr>
      <w:r>
        <w:rPr>
          <w:rFonts w:ascii="Times New Roman" w:hAnsi="Times New Roman" w:cs="Times New Roman"/>
          <w:color w:val="000000" w:themeColor="text1"/>
          <w14:textFill>
            <w14:solidFill>
              <w14:schemeClr w14:val="tx1"/>
            </w14:solidFill>
          </w14:textFill>
        </w:rPr>
        <w:t xml:space="preserve">8.5.1  </w:t>
      </w:r>
      <w:r>
        <w:rPr>
          <w:rFonts w:ascii="Times New Roman" w:hAnsi="Times New Roman" w:eastAsia="宋体" w:cs="Times New Roman"/>
          <w:color w:val="000000" w:themeColor="text1"/>
          <w:szCs w:val="21"/>
          <w14:textFill>
            <w14:solidFill>
              <w14:schemeClr w14:val="tx1"/>
            </w14:solidFill>
          </w14:textFill>
        </w:rPr>
        <w:t>分别移取0.0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mL、0.50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mL、1.00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mL、2.00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mL、5.00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混合标准溶液（5.13）和分别移取</w:t>
      </w:r>
      <w:r>
        <w:rPr>
          <w:rFonts w:ascii="Times New Roman" w:hAnsi="Times New Roman" w:eastAsia="宋体" w:cs="Times New Roman"/>
          <w:color w:val="000000" w:themeColor="text1"/>
          <w:szCs w:val="21"/>
          <w14:textFill>
            <w14:solidFill>
              <w14:schemeClr w14:val="tx1"/>
            </w14:solidFill>
          </w14:textFill>
        </w:rPr>
        <w:t>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mL、0.50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mL、1.00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mL、2.00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mL、5.00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混合标准溶液（5.14）于一组100</w:t>
      </w:r>
      <w:r>
        <w:rPr>
          <w:rFonts w:ascii="Times New Roman" w:hAnsi="Times New Roman" w:eastAsia="MS Gothic" w:cs="Times New Roman"/>
          <w:szCs w:val="21"/>
        </w:rPr>
        <w:t> </w:t>
      </w:r>
      <w:r>
        <w:rPr>
          <w:rFonts w:ascii="Times New Roman" w:hAnsi="Times New Roman" w:eastAsia="宋体" w:cs="Times New Roman"/>
          <w:szCs w:val="21"/>
        </w:rPr>
        <w:t>mL容量瓶中，分别加入3</w:t>
      </w:r>
      <w:r>
        <w:rPr>
          <w:rFonts w:ascii="Times New Roman" w:hAnsi="Times New Roman" w:eastAsia="MS Gothic" w:cs="Times New Roman"/>
          <w:szCs w:val="21"/>
        </w:rPr>
        <w:t> </w:t>
      </w:r>
      <w:r>
        <w:rPr>
          <w:rFonts w:ascii="Times New Roman" w:hAnsi="Times New Roman" w:eastAsia="宋体" w:cs="Times New Roman"/>
          <w:szCs w:val="21"/>
        </w:rPr>
        <w:t>mL硝酸（5.2)，加入</w:t>
      </w:r>
      <w:r>
        <w:rPr>
          <w:rFonts w:ascii="Times New Roman" w:hAnsi="Times New Roman" w:eastAsia="宋体" w:cs="Times New Roman"/>
          <w:color w:val="000000" w:themeColor="text1"/>
          <w:szCs w:val="21"/>
          <w14:textFill>
            <w14:solidFill>
              <w14:schemeClr w14:val="tx1"/>
            </w14:solidFill>
          </w14:textFill>
        </w:rPr>
        <w:t>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锌基体溶液（5.15）</w:t>
      </w:r>
      <w:r>
        <w:rPr>
          <w:rFonts w:hint="eastAsia" w:ascii="Times New Roman" w:hAnsi="Times New Roman" w:eastAsia="宋体" w:cs="Times New Roman"/>
          <w:szCs w:val="21"/>
          <w:lang w:eastAsia="zh-CN"/>
        </w:rPr>
        <w:t>，</w:t>
      </w:r>
      <w:r>
        <w:rPr>
          <w:rFonts w:ascii="Times New Roman" w:hAnsi="Times New Roman" w:eastAsia="宋体" w:cs="Times New Roman"/>
          <w:szCs w:val="21"/>
        </w:rPr>
        <w:t>用水稀释至刻度，混匀。</w:t>
      </w:r>
    </w:p>
    <w:p>
      <w:pPr>
        <w:pStyle w:val="69"/>
        <w:rPr>
          <w:rFonts w:ascii="Times New Roman" w:hAnsi="Times New Roman" w:eastAsia="宋体"/>
          <w:kern w:val="2"/>
          <w:sz w:val="22"/>
          <w:szCs w:val="22"/>
        </w:rPr>
      </w:pPr>
      <w:r>
        <w:rPr>
          <w:rFonts w:ascii="Times New Roman" w:hAnsi="Times New Roman"/>
          <w:kern w:val="2"/>
          <w:szCs w:val="22"/>
        </w:rPr>
        <w:t>8.5.2</w:t>
      </w:r>
      <w:r>
        <w:rPr>
          <w:rFonts w:ascii="Times New Roman" w:hAnsi="Times New Roman" w:eastAsiaTheme="minorEastAsia"/>
          <w:kern w:val="2"/>
          <w:szCs w:val="22"/>
        </w:rPr>
        <w:t xml:space="preserve">  </w:t>
      </w:r>
      <w:r>
        <w:rPr>
          <w:rFonts w:ascii="Times New Roman" w:hAnsi="Times New Roman" w:eastAsia="宋体"/>
          <w:kern w:val="2"/>
          <w:sz w:val="22"/>
          <w:szCs w:val="22"/>
        </w:rPr>
        <w:t>在电感耦合等离子体原子发射光谱仪上，于选定的分析谱线处，测量系列标准溶液中被测元素的发射强度，以被测元素的质量浓度为横坐标，发射强度为纵坐标，绘制工作曲线。</w:t>
      </w:r>
    </w:p>
    <w:p>
      <w:pPr>
        <w:pStyle w:val="60"/>
        <w:spacing w:before="156" w:after="156"/>
        <w:rPr>
          <w:rFonts w:ascii="Times New Roman"/>
        </w:rPr>
      </w:pPr>
      <w:r>
        <w:rPr>
          <w:rFonts w:ascii="Times New Roman"/>
        </w:rPr>
        <w:t>9  试验数据处理</w:t>
      </w:r>
    </w:p>
    <w:p>
      <w:pPr>
        <w:ind w:firstLine="420" w:firstLineChars="200"/>
        <w:rPr>
          <w:szCs w:val="21"/>
        </w:rPr>
      </w:pPr>
      <w:r>
        <w:rPr>
          <w:szCs w:val="21"/>
        </w:rPr>
        <w:t>待测元素（</w:t>
      </w:r>
      <w:r>
        <w:rPr>
          <w:i/>
          <w:szCs w:val="21"/>
        </w:rPr>
        <w:t>x</w:t>
      </w:r>
      <w:r>
        <w:rPr>
          <w:szCs w:val="21"/>
        </w:rPr>
        <w:t>）含量以待测元素的质量浓度计</w:t>
      </w:r>
      <w:r>
        <w:rPr>
          <w:i/>
          <w:sz w:val="28"/>
          <w:szCs w:val="21"/>
        </w:rPr>
        <w:t>C</w:t>
      </w:r>
      <w:r>
        <w:rPr>
          <w:i/>
          <w:sz w:val="28"/>
          <w:szCs w:val="21"/>
          <w:vertAlign w:val="subscript"/>
        </w:rPr>
        <w:t>x</w:t>
      </w:r>
      <w:r>
        <w:rPr>
          <w:iCs/>
          <w:szCs w:val="21"/>
        </w:rPr>
        <w:t>计</w:t>
      </w:r>
      <w:r>
        <w:rPr>
          <w:szCs w:val="21"/>
        </w:rPr>
        <w:t>，数值以（mg/L）表示，按公式（1）计算：</w:t>
      </w:r>
    </w:p>
    <w:p>
      <w:pPr>
        <w:jc w:val="right"/>
      </w:pPr>
      <m:oMath>
        <m:sSub>
          <m:sSubPr>
            <m:ctrlPr>
              <w:rPr>
                <w:rFonts w:ascii="Cambria Math" w:hAnsi="Cambria Math"/>
                <w:sz w:val="32"/>
                <w:szCs w:val="28"/>
              </w:rPr>
            </m:ctrlPr>
          </m:sSubPr>
          <m:e>
            <m:r>
              <m:rPr/>
              <w:rPr>
                <w:rFonts w:ascii="Cambria Math" w:hAnsi="Cambria Math"/>
                <w:sz w:val="32"/>
                <w:szCs w:val="28"/>
              </w:rPr>
              <m:t>C</m:t>
            </m:r>
            <m:ctrlPr>
              <w:rPr>
                <w:rFonts w:ascii="Cambria Math" w:hAnsi="Cambria Math"/>
                <w:sz w:val="32"/>
                <w:szCs w:val="28"/>
              </w:rPr>
            </m:ctrlPr>
          </m:e>
          <m:sub>
            <m:r>
              <m:rPr/>
              <w:rPr>
                <w:rFonts w:ascii="Cambria Math" w:hAnsi="Cambria Math"/>
                <w:sz w:val="32"/>
                <w:szCs w:val="28"/>
              </w:rPr>
              <m:t>x</m:t>
            </m:r>
            <m:ctrlPr>
              <w:rPr>
                <w:rFonts w:ascii="Cambria Math" w:hAnsi="Cambria Math"/>
                <w:sz w:val="32"/>
                <w:szCs w:val="28"/>
              </w:rPr>
            </m:ctrlPr>
          </m:sub>
        </m:sSub>
        <m:r>
          <m:rPr>
            <m:sty m:val="p"/>
          </m:rPr>
          <w:rPr>
            <w:rFonts w:ascii="Cambria Math" w:hAnsi="Cambria Math"/>
            <w:sz w:val="32"/>
            <w:szCs w:val="28"/>
          </w:rPr>
          <m:t>=</m:t>
        </m:r>
        <m:f>
          <m:fPr>
            <m:ctrlPr>
              <w:rPr>
                <w:rFonts w:ascii="Cambria Math" w:hAnsi="Cambria Math"/>
                <w:sz w:val="32"/>
                <w:szCs w:val="28"/>
              </w:rPr>
            </m:ctrlPr>
          </m:fPr>
          <m:num>
            <m:sSub>
              <m:sSubPr>
                <m:ctrlPr>
                  <w:rPr>
                    <w:rFonts w:ascii="Cambria Math" w:hAnsi="Cambria Math"/>
                    <w:sz w:val="32"/>
                    <w:szCs w:val="28"/>
                  </w:rPr>
                </m:ctrlPr>
              </m:sSubPr>
              <m:e>
                <m:r>
                  <m:rPr/>
                  <w:rPr>
                    <w:rFonts w:ascii="Cambria Math" w:hAnsi="Cambria Math"/>
                    <w:sz w:val="32"/>
                    <w:szCs w:val="28"/>
                  </w:rPr>
                  <m:t>ρ</m:t>
                </m:r>
                <m:ctrlPr>
                  <w:rPr>
                    <w:rFonts w:ascii="Cambria Math" w:hAnsi="Cambria Math"/>
                    <w:sz w:val="32"/>
                    <w:szCs w:val="28"/>
                  </w:rPr>
                </m:ctrlPr>
              </m:e>
              <m:sub>
                <m:r>
                  <m:rPr/>
                  <w:rPr>
                    <w:rFonts w:ascii="Cambria Math" w:hAnsi="Cambria Math"/>
                    <w:sz w:val="32"/>
                    <w:szCs w:val="28"/>
                  </w:rPr>
                  <m:t>x</m:t>
                </m:r>
                <m:ctrlPr>
                  <w:rPr>
                    <w:rFonts w:ascii="Cambria Math" w:hAnsi="Cambria Math"/>
                    <w:sz w:val="32"/>
                    <w:szCs w:val="28"/>
                  </w:rPr>
                </m:ctrlPr>
              </m:sub>
            </m:sSub>
            <m:sSub>
              <m:sSubPr>
                <m:ctrlPr>
                  <w:rPr>
                    <w:rFonts w:ascii="Cambria Math" w:hAnsi="Cambria Math"/>
                    <w:i/>
                    <w:sz w:val="32"/>
                    <w:szCs w:val="28"/>
                  </w:rPr>
                </m:ctrlPr>
              </m:sSubPr>
              <m:e>
                <m:r>
                  <m:rPr/>
                  <w:rPr>
                    <w:rFonts w:ascii="Cambria Math" w:hAnsi="Cambria Math"/>
                    <w:sz w:val="32"/>
                    <w:szCs w:val="28"/>
                  </w:rPr>
                  <m:t>V</m:t>
                </m:r>
                <m:ctrlPr>
                  <w:rPr>
                    <w:rFonts w:ascii="Cambria Math" w:hAnsi="Cambria Math"/>
                    <w:i/>
                    <w:sz w:val="32"/>
                    <w:szCs w:val="28"/>
                  </w:rPr>
                </m:ctrlPr>
              </m:e>
              <m:sub>
                <m:r>
                  <m:rPr/>
                  <w:rPr>
                    <w:rFonts w:ascii="Cambria Math" w:hAnsi="Cambria Math"/>
                    <w:sz w:val="32"/>
                    <w:szCs w:val="28"/>
                  </w:rPr>
                  <m:t>2</m:t>
                </m:r>
                <m:ctrlPr>
                  <w:rPr>
                    <w:rFonts w:ascii="Cambria Math" w:hAnsi="Cambria Math"/>
                    <w:i/>
                    <w:sz w:val="32"/>
                    <w:szCs w:val="28"/>
                  </w:rPr>
                </m:ctrlPr>
              </m:sub>
            </m:sSub>
            <m:ctrlPr>
              <w:rPr>
                <w:rFonts w:ascii="Cambria Math" w:hAnsi="Cambria Math"/>
                <w:sz w:val="32"/>
                <w:szCs w:val="28"/>
              </w:rPr>
            </m:ctrlPr>
          </m:num>
          <m:den>
            <m:sSub>
              <m:sSubPr>
                <m:ctrlPr>
                  <w:rPr>
                    <w:rFonts w:ascii="Cambria Math" w:hAnsi="Cambria Math"/>
                    <w:i/>
                    <w:sz w:val="32"/>
                    <w:szCs w:val="28"/>
                  </w:rPr>
                </m:ctrlPr>
              </m:sSubPr>
              <m:e>
                <m:r>
                  <m:rPr/>
                  <w:rPr>
                    <w:rFonts w:ascii="Cambria Math" w:hAnsi="Cambria Math"/>
                    <w:sz w:val="32"/>
                    <w:szCs w:val="28"/>
                  </w:rPr>
                  <m:t>V</m:t>
                </m:r>
                <m:ctrlPr>
                  <w:rPr>
                    <w:rFonts w:ascii="Cambria Math" w:hAnsi="Cambria Math"/>
                    <w:i/>
                    <w:sz w:val="32"/>
                    <w:szCs w:val="28"/>
                  </w:rPr>
                </m:ctrlPr>
              </m:e>
              <m:sub>
                <m:r>
                  <m:rPr/>
                  <w:rPr>
                    <w:rFonts w:ascii="Cambria Math" w:hAnsi="Cambria Math"/>
                    <w:sz w:val="32"/>
                    <w:szCs w:val="28"/>
                  </w:rPr>
                  <m:t>1</m:t>
                </m:r>
                <m:ctrlPr>
                  <w:rPr>
                    <w:rFonts w:ascii="Cambria Math" w:hAnsi="Cambria Math"/>
                    <w:i/>
                    <w:sz w:val="32"/>
                    <w:szCs w:val="28"/>
                  </w:rPr>
                </m:ctrlPr>
              </m:sub>
            </m:sSub>
            <m:ctrlPr>
              <w:rPr>
                <w:rFonts w:ascii="Cambria Math" w:hAnsi="Cambria Math"/>
                <w:sz w:val="32"/>
                <w:szCs w:val="28"/>
              </w:rPr>
            </m:ctrlPr>
          </m:den>
        </m:f>
      </m:oMath>
      <w:r>
        <w:rPr>
          <w:szCs w:val="21"/>
        </w:rPr>
        <w:t>………………..………………..…………….…(1)</w:t>
      </w:r>
      <w:r>
        <w:t xml:space="preserve"> </w:t>
      </w:r>
    </w:p>
    <w:p>
      <w:pPr>
        <w:pStyle w:val="47"/>
        <w:ind w:firstLine="420"/>
        <w:rPr>
          <w:rFonts w:ascii="Times New Roman" w:hAnsi="Times New Roman" w:cs="Times New Roman"/>
          <w:szCs w:val="21"/>
        </w:rPr>
      </w:pPr>
      <w:r>
        <w:rPr>
          <w:rFonts w:ascii="Times New Roman" w:hAnsi="Times New Roman" w:cs="Times New Roman"/>
          <w:szCs w:val="21"/>
        </w:rPr>
        <w:t>式中：</w:t>
      </w:r>
    </w:p>
    <w:p>
      <w:pPr>
        <w:ind w:firstLine="480" w:firstLineChars="200"/>
        <w:rPr>
          <w:szCs w:val="21"/>
        </w:rPr>
      </w:pPr>
      <m:oMath>
        <m:r>
          <m:rPr/>
          <w:rPr>
            <w:rFonts w:ascii="Cambria Math" w:hAnsi="Cambria Math"/>
            <w:sz w:val="24"/>
          </w:rPr>
          <m:t>ρ</m:t>
        </m:r>
      </m:oMath>
      <w:r>
        <w:rPr>
          <w:i/>
          <w:sz w:val="24"/>
          <w:vertAlign w:val="subscript"/>
        </w:rPr>
        <w:t>x</w:t>
      </w:r>
      <w:r>
        <w:rPr>
          <w:szCs w:val="21"/>
        </w:rPr>
        <w:t>——自工作曲线上查得的待测元素的质量浓度，单位为微克每毫升（µg/mL）；</w:t>
      </w:r>
    </w:p>
    <w:p>
      <w:pPr>
        <w:ind w:firstLine="420" w:firstLineChars="200"/>
        <w:rPr>
          <w:szCs w:val="21"/>
        </w:rPr>
      </w:pPr>
      <w:r>
        <w:rPr>
          <w:i/>
          <w:szCs w:val="21"/>
        </w:rPr>
        <w:t>V</w:t>
      </w:r>
      <w:r>
        <w:rPr>
          <w:i/>
          <w:szCs w:val="21"/>
          <w:vertAlign w:val="subscript"/>
        </w:rPr>
        <w:t>1</w:t>
      </w:r>
      <w:r>
        <w:rPr>
          <w:szCs w:val="21"/>
        </w:rPr>
        <w:t>——移取试液体积，单位为毫升</w:t>
      </w:r>
      <w:r>
        <w:rPr>
          <w:kern w:val="0"/>
          <w:szCs w:val="21"/>
        </w:rPr>
        <w:t>（mL）</w:t>
      </w:r>
      <w:r>
        <w:rPr>
          <w:szCs w:val="21"/>
        </w:rPr>
        <w:t>；</w:t>
      </w:r>
    </w:p>
    <w:p>
      <w:pPr>
        <w:pStyle w:val="47"/>
        <w:ind w:firstLine="420"/>
        <w:rPr>
          <w:rFonts w:ascii="Times New Roman" w:hAnsi="Times New Roman" w:eastAsia="宋体" w:cs="Times New Roman"/>
          <w:szCs w:val="21"/>
        </w:rPr>
      </w:pPr>
      <w:r>
        <w:rPr>
          <w:rFonts w:ascii="Times New Roman" w:hAnsi="Times New Roman" w:eastAsia="宋体" w:cs="Times New Roman"/>
          <w:i/>
          <w:szCs w:val="21"/>
        </w:rPr>
        <w:t>V</w:t>
      </w:r>
      <w:r>
        <w:rPr>
          <w:rFonts w:ascii="Times New Roman" w:hAnsi="Times New Roman" w:eastAsia="宋体" w:cs="Times New Roman"/>
          <w:i/>
          <w:szCs w:val="21"/>
          <w:vertAlign w:val="subscript"/>
        </w:rPr>
        <w:t>2</w:t>
      </w:r>
      <w:r>
        <w:rPr>
          <w:rFonts w:ascii="Times New Roman" w:hAnsi="Times New Roman" w:eastAsia="宋体" w:cs="Times New Roman"/>
          <w:szCs w:val="21"/>
        </w:rPr>
        <w:t xml:space="preserve">——测定试液体积，单位为毫升（mL）； </w:t>
      </w:r>
    </w:p>
    <w:p>
      <w:pPr>
        <w:numPr>
          <w:ilvl w:val="255"/>
          <w:numId w:val="0"/>
        </w:numPr>
        <w:ind w:firstLine="437"/>
        <w:jc w:val="left"/>
        <w:rPr>
          <w:bCs/>
          <w:szCs w:val="21"/>
        </w:rPr>
      </w:pPr>
      <w:bookmarkStart w:id="3" w:name="OLE_LINK32"/>
      <w:bookmarkStart w:id="4" w:name="OLE_LINK33"/>
      <w:r>
        <w:rPr>
          <w:bCs/>
          <w:szCs w:val="21"/>
        </w:rPr>
        <w:t>当结果大于等于1000</w:t>
      </w:r>
      <w:r>
        <w:rPr>
          <w:szCs w:val="21"/>
        </w:rPr>
        <w:t xml:space="preserve"> mg/L</w:t>
      </w:r>
      <w:r>
        <w:rPr>
          <w:bCs/>
          <w:szCs w:val="21"/>
        </w:rPr>
        <w:t>时，表示到个位；当结果在</w:t>
      </w:r>
      <w:bookmarkStart w:id="5" w:name="OLE_LINK29"/>
      <w:bookmarkStart w:id="6" w:name="OLE_LINK28"/>
      <w:r>
        <w:rPr>
          <w:bCs/>
          <w:szCs w:val="21"/>
        </w:rPr>
        <w:t>100</w:t>
      </w:r>
      <w:r>
        <w:rPr>
          <w:rFonts w:hint="eastAsia"/>
          <w:bCs/>
          <w:szCs w:val="21"/>
          <w:lang w:val="en-US" w:eastAsia="zh-CN"/>
        </w:rPr>
        <w:t xml:space="preserve"> </w:t>
      </w:r>
      <w:r>
        <w:rPr>
          <w:szCs w:val="21"/>
        </w:rPr>
        <w:t>mg/L</w:t>
      </w:r>
      <w:r>
        <w:rPr>
          <w:bCs/>
          <w:szCs w:val="21"/>
        </w:rPr>
        <w:t>～1000</w:t>
      </w:r>
      <w:r>
        <w:rPr>
          <w:szCs w:val="21"/>
        </w:rPr>
        <w:t xml:space="preserve"> mg/L</w:t>
      </w:r>
      <w:bookmarkEnd w:id="5"/>
      <w:bookmarkEnd w:id="6"/>
      <w:r>
        <w:rPr>
          <w:bCs/>
          <w:szCs w:val="21"/>
        </w:rPr>
        <w:t>时，表示到小数点后1位，</w:t>
      </w:r>
      <w:bookmarkStart w:id="7" w:name="OLE_LINK31"/>
      <w:bookmarkStart w:id="8" w:name="OLE_LINK30"/>
      <w:r>
        <w:rPr>
          <w:bCs/>
          <w:szCs w:val="21"/>
        </w:rPr>
        <w:t>当结果在1</w:t>
      </w:r>
      <w:r>
        <w:rPr>
          <w:rFonts w:hint="eastAsia"/>
          <w:bCs/>
          <w:szCs w:val="21"/>
          <w:lang w:val="en-US" w:eastAsia="zh-CN"/>
        </w:rPr>
        <w:t xml:space="preserve"> </w:t>
      </w:r>
      <w:r>
        <w:rPr>
          <w:szCs w:val="21"/>
        </w:rPr>
        <w:t>mg/L</w:t>
      </w:r>
      <w:r>
        <w:rPr>
          <w:bCs/>
          <w:szCs w:val="21"/>
        </w:rPr>
        <w:t>～100</w:t>
      </w:r>
      <w:r>
        <w:rPr>
          <w:szCs w:val="21"/>
        </w:rPr>
        <w:t xml:space="preserve"> mg/L</w:t>
      </w:r>
      <w:r>
        <w:rPr>
          <w:bCs/>
          <w:szCs w:val="21"/>
        </w:rPr>
        <w:t>时，表示到小数点后2位</w:t>
      </w:r>
      <w:bookmarkEnd w:id="7"/>
      <w:bookmarkEnd w:id="8"/>
      <w:r>
        <w:rPr>
          <w:bCs/>
          <w:szCs w:val="21"/>
        </w:rPr>
        <w:t>，当结果在小于1</w:t>
      </w:r>
      <w:r>
        <w:rPr>
          <w:rFonts w:hint="eastAsia"/>
          <w:bCs/>
          <w:szCs w:val="21"/>
          <w:lang w:val="en-US" w:eastAsia="zh-CN"/>
        </w:rPr>
        <w:t xml:space="preserve"> </w:t>
      </w:r>
      <w:r>
        <w:rPr>
          <w:szCs w:val="21"/>
        </w:rPr>
        <w:t>mg/L</w:t>
      </w:r>
      <w:r>
        <w:rPr>
          <w:bCs/>
          <w:szCs w:val="21"/>
        </w:rPr>
        <w:t>时，表示到小数点后3位。</w:t>
      </w:r>
    </w:p>
    <w:bookmarkEnd w:id="3"/>
    <w:bookmarkEnd w:id="4"/>
    <w:p>
      <w:pPr>
        <w:pStyle w:val="60"/>
        <w:spacing w:before="312" w:beforeLines="100" w:after="312" w:afterLines="100"/>
        <w:rPr>
          <w:rFonts w:ascii="Times New Roman"/>
        </w:rPr>
      </w:pPr>
      <w:r>
        <w:rPr>
          <w:rFonts w:ascii="Times New Roman"/>
        </w:rPr>
        <w:t>10  精密度</w:t>
      </w:r>
    </w:p>
    <w:p>
      <w:pPr>
        <w:pStyle w:val="58"/>
        <w:rPr>
          <w:rFonts w:ascii="Times New Roman"/>
        </w:rPr>
      </w:pPr>
      <w:r>
        <w:rPr>
          <w:rFonts w:ascii="Times New Roman"/>
        </w:rPr>
        <w:t>10.1  重复性</w:t>
      </w:r>
    </w:p>
    <w:p>
      <w:pPr>
        <w:ind w:firstLine="437"/>
        <w:rPr>
          <w:bCs/>
          <w:szCs w:val="21"/>
        </w:rPr>
      </w:pPr>
      <w:r>
        <w:rPr>
          <w:bCs/>
          <w:szCs w:val="21"/>
        </w:rPr>
        <w:t>在重复性条件下获得的两次独立测试结果的测定值，在以下给出的平均值范围内，这两个测试结果的绝对差值不超过重复性限（</w:t>
      </w:r>
      <w:r>
        <w:rPr>
          <w:bCs/>
          <w:i/>
          <w:szCs w:val="21"/>
        </w:rPr>
        <w:t>r</w:t>
      </w:r>
      <w:r>
        <w:rPr>
          <w:bCs/>
          <w:szCs w:val="21"/>
        </w:rPr>
        <w:t>），超过重复性限（</w:t>
      </w:r>
      <w:r>
        <w:rPr>
          <w:bCs/>
          <w:i/>
          <w:szCs w:val="21"/>
        </w:rPr>
        <w:t>r</w:t>
      </w:r>
      <w:r>
        <w:rPr>
          <w:bCs/>
          <w:szCs w:val="21"/>
        </w:rPr>
        <w:t>）的情况不超过5%，重复性限（</w:t>
      </w:r>
      <w:r>
        <w:rPr>
          <w:bCs/>
          <w:i/>
          <w:szCs w:val="21"/>
        </w:rPr>
        <w:t>r</w:t>
      </w:r>
      <w:r>
        <w:rPr>
          <w:bCs/>
          <w:szCs w:val="21"/>
        </w:rPr>
        <w:t>）按表5数据采用线性内插法或外延法求得。</w:t>
      </w:r>
    </w:p>
    <w:p>
      <w:pPr>
        <w:jc w:val="center"/>
        <w:rPr>
          <w:rFonts w:eastAsia="黑体"/>
          <w:szCs w:val="21"/>
        </w:rPr>
      </w:pPr>
      <w:r>
        <w:rPr>
          <w:rFonts w:eastAsia="黑体"/>
          <w:szCs w:val="21"/>
        </w:rPr>
        <w:t>表3  重复性限</w:t>
      </w:r>
    </w:p>
    <w:tbl>
      <w:tblPr>
        <w:tblStyle w:val="2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10"/>
        <w:gridCol w:w="1568"/>
        <w:gridCol w:w="1568"/>
        <w:gridCol w:w="156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bookmarkStart w:id="9" w:name="_Hlk130476913"/>
            <w:r>
              <w:rPr>
                <w:rFonts w:eastAsia="黑体"/>
                <w:i/>
                <w:sz w:val="18"/>
                <w:szCs w:val="18"/>
              </w:rPr>
              <w:t>C</w:t>
            </w:r>
            <w:r>
              <w:rPr>
                <w:rFonts w:eastAsia="黑体"/>
                <w:i/>
                <w:sz w:val="18"/>
                <w:szCs w:val="18"/>
                <w:vertAlign w:val="subscript"/>
              </w:rPr>
              <w:t>Fe</w:t>
            </w:r>
            <w:r>
              <w:rPr>
                <w:rFonts w:eastAsiaTheme="minorEastAsia"/>
                <w:sz w:val="18"/>
                <w:szCs w:val="18"/>
              </w:rPr>
              <w:t xml:space="preserve"> /</w:t>
            </w:r>
            <w:bookmarkStart w:id="10" w:name="OLE_LINK20"/>
            <w:bookmarkStart w:id="11" w:name="OLE_LINK19"/>
            <w:r>
              <w:rPr>
                <w:sz w:val="18"/>
                <w:szCs w:val="18"/>
              </w:rPr>
              <w:t>mg/L</w:t>
            </w:r>
            <w:bookmarkEnd w:id="10"/>
            <w:bookmarkEnd w:id="11"/>
          </w:p>
        </w:tc>
        <w:tc>
          <w:tcPr>
            <w:tcW w:w="1610" w:type="dxa"/>
            <w:vAlign w:val="bottom"/>
          </w:tcPr>
          <w:p>
            <w:pPr>
              <w:widowControl/>
              <w:jc w:val="center"/>
              <w:textAlignment w:val="bottom"/>
              <w:rPr>
                <w:szCs w:val="21"/>
              </w:rPr>
            </w:pPr>
          </w:p>
        </w:tc>
        <w:tc>
          <w:tcPr>
            <w:tcW w:w="1568" w:type="dxa"/>
            <w:vAlign w:val="bottom"/>
          </w:tcPr>
          <w:p>
            <w:pPr>
              <w:widowControl/>
              <w:jc w:val="center"/>
              <w:textAlignment w:val="bottom"/>
              <w:rPr>
                <w:szCs w:val="21"/>
              </w:rPr>
            </w:pPr>
          </w:p>
        </w:tc>
        <w:tc>
          <w:tcPr>
            <w:tcW w:w="1568" w:type="dxa"/>
            <w:vAlign w:val="bottom"/>
          </w:tcPr>
          <w:p>
            <w:pPr>
              <w:widowControl/>
              <w:jc w:val="center"/>
              <w:textAlignment w:val="bottom"/>
              <w:rPr>
                <w:szCs w:val="21"/>
              </w:rPr>
            </w:pPr>
          </w:p>
        </w:tc>
        <w:tc>
          <w:tcPr>
            <w:tcW w:w="1566" w:type="dxa"/>
            <w:vAlign w:val="bottom"/>
          </w:tcPr>
          <w:p>
            <w:pPr>
              <w:widowControl/>
              <w:jc w:val="center"/>
              <w:textAlignment w:val="bottom"/>
              <w:rPr>
                <w:szCs w:val="21"/>
              </w:rPr>
            </w:pPr>
          </w:p>
        </w:tc>
        <w:tc>
          <w:tcPr>
            <w:tcW w:w="1562" w:type="dxa"/>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widowControl/>
              <w:jc w:val="center"/>
              <w:textAlignment w:val="bottom"/>
              <w:rPr>
                <w:kern w:val="0"/>
                <w:szCs w:val="21"/>
                <w:lang w:bidi="ar"/>
              </w:rPr>
            </w:pPr>
          </w:p>
        </w:tc>
        <w:tc>
          <w:tcPr>
            <w:tcW w:w="1568" w:type="dxa"/>
            <w:vAlign w:val="center"/>
          </w:tcPr>
          <w:p>
            <w:pPr>
              <w:widowControl/>
              <w:jc w:val="center"/>
              <w:textAlignment w:val="bottom"/>
              <w:rPr>
                <w:kern w:val="0"/>
                <w:szCs w:val="21"/>
                <w:lang w:bidi="ar"/>
              </w:rPr>
            </w:pPr>
          </w:p>
        </w:tc>
        <w:tc>
          <w:tcPr>
            <w:tcW w:w="1568" w:type="dxa"/>
            <w:vAlign w:val="center"/>
          </w:tcPr>
          <w:p>
            <w:pPr>
              <w:widowControl/>
              <w:jc w:val="center"/>
              <w:textAlignment w:val="bottom"/>
              <w:rPr>
                <w:kern w:val="0"/>
                <w:szCs w:val="21"/>
                <w:lang w:bidi="ar"/>
              </w:rPr>
            </w:pPr>
          </w:p>
        </w:tc>
        <w:tc>
          <w:tcPr>
            <w:tcW w:w="1566" w:type="dxa"/>
            <w:vAlign w:val="center"/>
          </w:tcPr>
          <w:p>
            <w:pPr>
              <w:widowControl/>
              <w:jc w:val="center"/>
              <w:textAlignment w:val="bottom"/>
              <w:rPr>
                <w:kern w:val="0"/>
                <w:szCs w:val="21"/>
                <w:lang w:bidi="ar"/>
              </w:rPr>
            </w:pPr>
          </w:p>
        </w:tc>
        <w:tc>
          <w:tcPr>
            <w:tcW w:w="1562" w:type="dxa"/>
            <w:vAlign w:val="center"/>
          </w:tcPr>
          <w:p>
            <w:pPr>
              <w:widowControl/>
              <w:jc w:val="center"/>
              <w:textAlignment w:val="bottom"/>
              <w:rPr>
                <w:kern w:val="0"/>
                <w:szCs w:val="21"/>
                <w:lang w:bidi="ar"/>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Cu</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bottom"/>
          </w:tcPr>
          <w:p>
            <w:pPr>
              <w:widowControl/>
              <w:jc w:val="center"/>
              <w:textAlignment w:val="bottom"/>
              <w:rPr>
                <w:szCs w:val="21"/>
              </w:rPr>
            </w:pPr>
          </w:p>
        </w:tc>
        <w:tc>
          <w:tcPr>
            <w:tcW w:w="1568" w:type="dxa"/>
            <w:vAlign w:val="bottom"/>
          </w:tcPr>
          <w:p>
            <w:pPr>
              <w:widowControl/>
              <w:jc w:val="center"/>
              <w:textAlignment w:val="bottom"/>
              <w:rPr>
                <w:szCs w:val="21"/>
              </w:rPr>
            </w:pPr>
          </w:p>
        </w:tc>
        <w:tc>
          <w:tcPr>
            <w:tcW w:w="1568" w:type="dxa"/>
            <w:vAlign w:val="bottom"/>
          </w:tcPr>
          <w:p>
            <w:pPr>
              <w:widowControl/>
              <w:jc w:val="center"/>
              <w:textAlignment w:val="bottom"/>
              <w:rPr>
                <w:szCs w:val="21"/>
              </w:rPr>
            </w:pPr>
          </w:p>
        </w:tc>
        <w:tc>
          <w:tcPr>
            <w:tcW w:w="1566" w:type="dxa"/>
            <w:vAlign w:val="bottom"/>
          </w:tcPr>
          <w:p>
            <w:pPr>
              <w:widowControl/>
              <w:jc w:val="center"/>
              <w:textAlignment w:val="bottom"/>
              <w:rPr>
                <w:szCs w:val="21"/>
              </w:rPr>
            </w:pPr>
          </w:p>
        </w:tc>
        <w:tc>
          <w:tcPr>
            <w:tcW w:w="1562" w:type="dxa"/>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widowControl/>
              <w:jc w:val="center"/>
              <w:textAlignment w:val="bottom"/>
              <w:rPr>
                <w:kern w:val="0"/>
                <w:szCs w:val="21"/>
                <w:lang w:bidi="ar"/>
              </w:rPr>
            </w:pPr>
          </w:p>
        </w:tc>
        <w:tc>
          <w:tcPr>
            <w:tcW w:w="1568" w:type="dxa"/>
            <w:vAlign w:val="center"/>
          </w:tcPr>
          <w:p>
            <w:pPr>
              <w:widowControl/>
              <w:jc w:val="center"/>
              <w:textAlignment w:val="bottom"/>
              <w:rPr>
                <w:kern w:val="0"/>
                <w:szCs w:val="21"/>
                <w:lang w:bidi="ar"/>
              </w:rPr>
            </w:pPr>
          </w:p>
        </w:tc>
        <w:tc>
          <w:tcPr>
            <w:tcW w:w="1568" w:type="dxa"/>
            <w:vAlign w:val="center"/>
          </w:tcPr>
          <w:p>
            <w:pPr>
              <w:widowControl/>
              <w:jc w:val="center"/>
              <w:textAlignment w:val="bottom"/>
              <w:rPr>
                <w:kern w:val="0"/>
                <w:szCs w:val="21"/>
                <w:lang w:bidi="ar"/>
              </w:rPr>
            </w:pPr>
          </w:p>
        </w:tc>
        <w:tc>
          <w:tcPr>
            <w:tcW w:w="1566" w:type="dxa"/>
            <w:vAlign w:val="center"/>
          </w:tcPr>
          <w:p>
            <w:pPr>
              <w:widowControl/>
              <w:jc w:val="center"/>
              <w:textAlignment w:val="bottom"/>
              <w:rPr>
                <w:kern w:val="0"/>
                <w:szCs w:val="21"/>
                <w:lang w:bidi="ar"/>
              </w:rPr>
            </w:pPr>
          </w:p>
        </w:tc>
        <w:tc>
          <w:tcPr>
            <w:tcW w:w="1562" w:type="dxa"/>
            <w:vAlign w:val="center"/>
          </w:tcPr>
          <w:p>
            <w:pPr>
              <w:widowControl/>
              <w:jc w:val="center"/>
              <w:textAlignment w:val="bottom"/>
              <w:rPr>
                <w:kern w:val="0"/>
                <w:szCs w:val="21"/>
                <w:lang w:bidi="ar"/>
              </w:rPr>
            </w:pPr>
          </w:p>
        </w:tc>
      </w:tr>
    </w:tbl>
    <w:p>
      <w:pPr>
        <w:rPr>
          <w:rFonts w:eastAsia="黑体"/>
          <w:szCs w:val="21"/>
        </w:rPr>
      </w:pPr>
    </w:p>
    <w:p>
      <w:pPr>
        <w:pStyle w:val="58"/>
        <w:rPr>
          <w:rFonts w:ascii="Times New Roman"/>
        </w:rPr>
      </w:pPr>
      <w:r>
        <w:rPr>
          <w:rFonts w:ascii="Times New Roman"/>
        </w:rPr>
        <w:t>10.2  再现性</w:t>
      </w:r>
    </w:p>
    <w:p>
      <w:pPr>
        <w:ind w:firstLine="420" w:firstLineChars="200"/>
        <w:rPr>
          <w:bCs/>
          <w:szCs w:val="21"/>
        </w:rPr>
      </w:pPr>
      <w:r>
        <w:rPr>
          <w:bCs/>
          <w:szCs w:val="21"/>
        </w:rPr>
        <w:t>在再现性条件下获得的两次独立测试结果的测定值，在以下给出的平均值范围内，这两个测试结果的绝对差值不超过再现性限（</w:t>
      </w:r>
      <w:r>
        <w:rPr>
          <w:bCs/>
          <w:i/>
          <w:szCs w:val="21"/>
        </w:rPr>
        <w:t>R</w:t>
      </w:r>
      <w:r>
        <w:rPr>
          <w:bCs/>
          <w:szCs w:val="21"/>
        </w:rPr>
        <w:t>），超过再现性限（</w:t>
      </w:r>
      <w:r>
        <w:rPr>
          <w:bCs/>
          <w:i/>
          <w:szCs w:val="21"/>
        </w:rPr>
        <w:t>R</w:t>
      </w:r>
      <w:r>
        <w:rPr>
          <w:bCs/>
          <w:szCs w:val="21"/>
        </w:rPr>
        <w:t>）的情况不超过5%，再现性限（</w:t>
      </w:r>
      <w:r>
        <w:rPr>
          <w:bCs/>
          <w:i/>
          <w:szCs w:val="21"/>
        </w:rPr>
        <w:t>R</w:t>
      </w:r>
      <w:r>
        <w:rPr>
          <w:bCs/>
          <w:szCs w:val="21"/>
        </w:rPr>
        <w:t>）按表6数据采用线性内插法或外延法求得。</w:t>
      </w:r>
    </w:p>
    <w:p>
      <w:pPr>
        <w:jc w:val="center"/>
        <w:rPr>
          <w:rFonts w:eastAsia="黑体"/>
          <w:szCs w:val="21"/>
        </w:rPr>
      </w:pPr>
      <w:r>
        <w:rPr>
          <w:rFonts w:eastAsia="黑体"/>
          <w:szCs w:val="21"/>
        </w:rPr>
        <w:t>表4  再现性限</w:t>
      </w:r>
    </w:p>
    <w:tbl>
      <w:tblPr>
        <w:tblStyle w:val="28"/>
        <w:tblW w:w="94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1568"/>
        <w:gridCol w:w="1568"/>
        <w:gridCol w:w="1568"/>
        <w:gridCol w:w="1568"/>
        <w:gridCol w:w="1566"/>
        <w:gridCol w:w="156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35" w:hRule="atLeast"/>
          <w:jc w:val="center"/>
        </w:trPr>
        <w:tc>
          <w:tcPr>
            <w:tcW w:w="1568" w:type="dxa"/>
            <w:tcBorders>
              <w:tl2br w:val="nil"/>
              <w:tr2bl w:val="nil"/>
            </w:tcBorders>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Fe</w:t>
            </w:r>
            <w:r>
              <w:rPr>
                <w:rFonts w:eastAsiaTheme="minorEastAsia"/>
                <w:sz w:val="18"/>
                <w:szCs w:val="18"/>
              </w:rPr>
              <w:t xml:space="preserve"> /</w:t>
            </w:r>
            <w:r>
              <w:rPr>
                <w:sz w:val="18"/>
                <w:szCs w:val="18"/>
              </w:rPr>
              <w:t>mg/L</w:t>
            </w:r>
          </w:p>
        </w:tc>
        <w:tc>
          <w:tcPr>
            <w:tcW w:w="1568" w:type="dxa"/>
            <w:tcBorders>
              <w:tl2br w:val="nil"/>
              <w:tr2bl w:val="nil"/>
            </w:tcBorders>
            <w:vAlign w:val="bottom"/>
          </w:tcPr>
          <w:p>
            <w:pPr>
              <w:widowControl/>
              <w:jc w:val="center"/>
              <w:textAlignment w:val="bottom"/>
              <w:rPr>
                <w:szCs w:val="21"/>
              </w:rPr>
            </w:pPr>
          </w:p>
        </w:tc>
        <w:tc>
          <w:tcPr>
            <w:tcW w:w="1568" w:type="dxa"/>
            <w:tcBorders>
              <w:tl2br w:val="nil"/>
              <w:tr2bl w:val="nil"/>
            </w:tcBorders>
            <w:vAlign w:val="bottom"/>
          </w:tcPr>
          <w:p>
            <w:pPr>
              <w:widowControl/>
              <w:jc w:val="center"/>
              <w:textAlignment w:val="bottom"/>
              <w:rPr>
                <w:szCs w:val="21"/>
              </w:rPr>
            </w:pPr>
          </w:p>
        </w:tc>
        <w:tc>
          <w:tcPr>
            <w:tcW w:w="1568" w:type="dxa"/>
            <w:tcBorders>
              <w:tl2br w:val="nil"/>
              <w:tr2bl w:val="nil"/>
            </w:tcBorders>
            <w:vAlign w:val="bottom"/>
          </w:tcPr>
          <w:p>
            <w:pPr>
              <w:widowControl/>
              <w:jc w:val="center"/>
              <w:textAlignment w:val="bottom"/>
              <w:rPr>
                <w:szCs w:val="21"/>
              </w:rPr>
            </w:pPr>
          </w:p>
        </w:tc>
        <w:tc>
          <w:tcPr>
            <w:tcW w:w="1566" w:type="dxa"/>
            <w:tcBorders>
              <w:tl2br w:val="nil"/>
              <w:tr2bl w:val="nil"/>
            </w:tcBorders>
            <w:vAlign w:val="bottom"/>
          </w:tcPr>
          <w:p>
            <w:pPr>
              <w:widowControl/>
              <w:jc w:val="center"/>
              <w:textAlignment w:val="bottom"/>
              <w:rPr>
                <w:szCs w:val="21"/>
              </w:rPr>
            </w:pPr>
          </w:p>
        </w:tc>
        <w:tc>
          <w:tcPr>
            <w:tcW w:w="1562" w:type="dxa"/>
            <w:tcBorders>
              <w:tl2br w:val="nil"/>
              <w:tr2bl w:val="nil"/>
            </w:tcBorders>
            <w:vAlign w:val="bottom"/>
          </w:tcPr>
          <w:p>
            <w:pPr>
              <w:widowControl/>
              <w:jc w:val="center"/>
              <w:textAlignment w:val="bottom"/>
              <w:rPr>
                <w:szCs w:val="21"/>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71" w:hRule="atLeast"/>
          <w:jc w:val="center"/>
        </w:trPr>
        <w:tc>
          <w:tcPr>
            <w:tcW w:w="1568" w:type="dxa"/>
            <w:tcBorders>
              <w:tl2br w:val="nil"/>
              <w:tr2bl w:val="nil"/>
            </w:tcBorders>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568" w:type="dxa"/>
            <w:tcBorders>
              <w:tl2br w:val="nil"/>
              <w:tr2bl w:val="nil"/>
            </w:tcBorders>
            <w:vAlign w:val="center"/>
          </w:tcPr>
          <w:p>
            <w:pPr>
              <w:widowControl/>
              <w:jc w:val="center"/>
              <w:textAlignment w:val="bottom"/>
              <w:rPr>
                <w:kern w:val="0"/>
                <w:szCs w:val="21"/>
                <w:lang w:bidi="ar"/>
              </w:rPr>
            </w:pPr>
          </w:p>
        </w:tc>
        <w:tc>
          <w:tcPr>
            <w:tcW w:w="1568" w:type="dxa"/>
            <w:tcBorders>
              <w:tl2br w:val="nil"/>
              <w:tr2bl w:val="nil"/>
            </w:tcBorders>
            <w:vAlign w:val="center"/>
          </w:tcPr>
          <w:p>
            <w:pPr>
              <w:widowControl/>
              <w:jc w:val="center"/>
              <w:textAlignment w:val="bottom"/>
              <w:rPr>
                <w:kern w:val="0"/>
                <w:szCs w:val="21"/>
                <w:lang w:bidi="ar"/>
              </w:rPr>
            </w:pPr>
          </w:p>
        </w:tc>
        <w:tc>
          <w:tcPr>
            <w:tcW w:w="1568" w:type="dxa"/>
            <w:tcBorders>
              <w:tl2br w:val="nil"/>
              <w:tr2bl w:val="nil"/>
            </w:tcBorders>
            <w:vAlign w:val="center"/>
          </w:tcPr>
          <w:p>
            <w:pPr>
              <w:widowControl/>
              <w:jc w:val="center"/>
              <w:textAlignment w:val="bottom"/>
              <w:rPr>
                <w:kern w:val="0"/>
                <w:szCs w:val="21"/>
                <w:lang w:bidi="ar"/>
              </w:rPr>
            </w:pPr>
          </w:p>
        </w:tc>
        <w:tc>
          <w:tcPr>
            <w:tcW w:w="1566" w:type="dxa"/>
            <w:tcBorders>
              <w:tl2br w:val="nil"/>
              <w:tr2bl w:val="nil"/>
            </w:tcBorders>
            <w:vAlign w:val="center"/>
          </w:tcPr>
          <w:p>
            <w:pPr>
              <w:widowControl/>
              <w:jc w:val="center"/>
              <w:textAlignment w:val="bottom"/>
              <w:rPr>
                <w:kern w:val="0"/>
                <w:szCs w:val="21"/>
                <w:lang w:bidi="ar"/>
              </w:rPr>
            </w:pPr>
          </w:p>
        </w:tc>
        <w:tc>
          <w:tcPr>
            <w:tcW w:w="1562" w:type="dxa"/>
            <w:tcBorders>
              <w:tl2br w:val="nil"/>
              <w:tr2bl w:val="nil"/>
            </w:tcBorders>
            <w:vAlign w:val="center"/>
          </w:tcPr>
          <w:p>
            <w:pPr>
              <w:widowControl/>
              <w:jc w:val="center"/>
              <w:textAlignment w:val="bottom"/>
              <w:rPr>
                <w:kern w:val="0"/>
                <w:szCs w:val="21"/>
                <w:lang w:bidi="ar"/>
              </w:rPr>
            </w:pPr>
          </w:p>
        </w:tc>
      </w:tr>
    </w:tbl>
    <w:p>
      <w:pPr>
        <w:rPr>
          <w:rFonts w:eastAsia="黑体"/>
        </w:rPr>
      </w:pPr>
    </w:p>
    <w:p>
      <w:pPr>
        <w:pStyle w:val="60"/>
        <w:spacing w:before="312" w:beforeLines="100" w:after="312" w:afterLines="100"/>
        <w:rPr>
          <w:rFonts w:ascii="Times New Roman"/>
        </w:rPr>
      </w:pPr>
      <w:r>
        <w:rPr>
          <w:rFonts w:ascii="Times New Roman"/>
        </w:rPr>
        <w:t>11  试验报告</w:t>
      </w:r>
    </w:p>
    <w:p>
      <w:pPr>
        <w:ind w:firstLine="420" w:firstLineChars="200"/>
      </w:pPr>
      <w:r>
        <w:t>本章规定试验报告所包括的内容。至少应给出以下几个方面的内容：</w:t>
      </w:r>
    </w:p>
    <w:p>
      <w:pPr>
        <w:ind w:firstLine="420" w:firstLineChars="200"/>
      </w:pPr>
      <w:r>
        <w:rPr>
          <w:i/>
          <w:iCs/>
        </w:rPr>
        <w:t xml:space="preserve">—— </w:t>
      </w:r>
      <w:r>
        <w:t>试样；</w:t>
      </w:r>
    </w:p>
    <w:p>
      <w:pPr>
        <w:ind w:firstLine="420" w:firstLineChars="200"/>
      </w:pPr>
      <w:r>
        <w:rPr>
          <w:i/>
          <w:iCs/>
        </w:rPr>
        <w:t xml:space="preserve">—— </w:t>
      </w:r>
      <w:r>
        <w:t>使用的标准，GB/T XX-202X；</w:t>
      </w:r>
    </w:p>
    <w:p>
      <w:pPr>
        <w:ind w:firstLine="420" w:firstLineChars="200"/>
      </w:pPr>
      <w:r>
        <w:rPr>
          <w:i/>
          <w:iCs/>
        </w:rPr>
        <w:t xml:space="preserve">—— </w:t>
      </w:r>
      <w:r>
        <w:t>分析结果及其表示；</w:t>
      </w:r>
    </w:p>
    <w:p>
      <w:pPr>
        <w:ind w:firstLine="420" w:firstLineChars="200"/>
      </w:pPr>
      <w:r>
        <w:rPr>
          <w:i/>
          <w:iCs/>
        </w:rPr>
        <w:t xml:space="preserve">—— </w:t>
      </w:r>
      <w:r>
        <w:t>与基本分析步骤的差异；</w:t>
      </w:r>
    </w:p>
    <w:p>
      <w:pPr>
        <w:ind w:firstLine="420" w:firstLineChars="200"/>
      </w:pPr>
      <w:r>
        <w:rPr>
          <w:i/>
          <w:iCs/>
        </w:rPr>
        <w:t xml:space="preserve">—— </w:t>
      </w:r>
      <w:r>
        <w:t>测定中观察的异常现象；</w:t>
      </w:r>
    </w:p>
    <w:p>
      <w:pPr>
        <w:ind w:firstLine="420" w:firstLineChars="200"/>
      </w:pPr>
      <w:r>
        <w:rPr>
          <w:i/>
          <w:iCs/>
        </w:rPr>
        <w:t xml:space="preserve">—— </w:t>
      </w:r>
      <w:r>
        <w:t>试验日期。</w:t>
      </w:r>
    </w:p>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附 录 A</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（资料性）</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精密度实验原始数据</w:t>
      </w:r>
    </w:p>
    <w:p>
      <w:pPr>
        <w:pStyle w:val="47"/>
        <w:widowControl w:val="0"/>
        <w:autoSpaceDE/>
        <w:autoSpaceDN/>
        <w:ind w:firstLineChars="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 xml:space="preserve">  </w:t>
      </w:r>
      <w:r>
        <w:rPr>
          <w:rFonts w:hint="eastAsia" w:ascii="Times New Roman" w:hAnsi="Times New Roman" w:eastAsia="宋体" w:cs="Times New Roman"/>
          <w:szCs w:val="21"/>
        </w:rPr>
        <w:t>精密度实验数据是在2023年18家实验室对湿法炼锌浸出液中</w:t>
      </w:r>
      <w:bookmarkStart w:id="12" w:name="OLE_LINK24"/>
      <w:bookmarkStart w:id="13" w:name="OLE_LINK23"/>
      <w:r>
        <w:rPr>
          <w:rFonts w:hint="eastAsia" w:ascii="Times New Roman" w:hAnsi="Times New Roman" w:eastAsia="宋体" w:cs="Times New Roman"/>
          <w:szCs w:val="21"/>
        </w:rPr>
        <w:t>杂质元素</w:t>
      </w:r>
      <w:bookmarkEnd w:id="12"/>
      <w:bookmarkEnd w:id="13"/>
      <w:r>
        <w:rPr>
          <w:rFonts w:hint="eastAsia" w:ascii="Times New Roman" w:hAnsi="Times New Roman" w:eastAsia="宋体" w:cs="Times New Roman"/>
          <w:szCs w:val="21"/>
        </w:rPr>
        <w:t>含量的5个不同水平进行共同试验确定的。每个实验室对每个水平的</w:t>
      </w:r>
      <w:r>
        <w:rPr>
          <w:rFonts w:hint="eastAsia"/>
          <w:szCs w:val="21"/>
        </w:rPr>
        <w:t>杂质元素</w:t>
      </w:r>
      <w:r>
        <w:rPr>
          <w:rFonts w:hint="eastAsia" w:ascii="Times New Roman" w:hAnsi="Times New Roman" w:eastAsia="宋体" w:cs="Times New Roman"/>
          <w:szCs w:val="21"/>
        </w:rPr>
        <w:t>测定7次或11次，测试的原始数据见表A.1。</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 xml:space="preserve">表A.1 </w:t>
      </w:r>
      <w:r>
        <w:rPr>
          <w:rFonts w:hint="eastAsia" w:ascii="Times New Roman" w:hAnsi="Times New Roman" w:cs="Times New Roman"/>
          <w:b/>
          <w:bCs/>
          <w:color w:val="000000" w:themeColor="text1"/>
          <w:szCs w:val="21"/>
          <w:lang w:val="en-US" w:eastAsia="zh-CN"/>
          <w14:textFill>
            <w14:solidFill>
              <w14:schemeClr w14:val="tx1"/>
            </w14:solidFill>
          </w14:textFill>
        </w:rPr>
        <w:t>实验室间数据统计结果</w:t>
      </w:r>
      <w:r>
        <w:rPr>
          <w:rFonts w:hint="eastAsia" w:ascii="Times New Roman" w:hAnsi="Times New Roman" w:cs="Times New Roman"/>
          <w:b/>
          <w:bCs/>
          <w:color w:val="000000" w:themeColor="text1"/>
          <w:szCs w:val="21"/>
          <w14:textFill>
            <w14:solidFill>
              <w14:schemeClr w14:val="tx1"/>
            </w14:solidFill>
          </w14:textFill>
        </w:rPr>
        <w:t xml:space="preserve">       </w:t>
      </w:r>
    </w:p>
    <w:tbl>
      <w:tblPr>
        <w:tblStyle w:val="28"/>
        <w:tblW w:w="5000" w:type="pct"/>
        <w:tblInd w:w="0" w:type="dxa"/>
        <w:tblLayout w:type="fixed"/>
        <w:tblCellMar>
          <w:top w:w="0" w:type="dxa"/>
          <w:left w:w="108" w:type="dxa"/>
          <w:bottom w:w="0" w:type="dxa"/>
          <w:right w:w="108" w:type="dxa"/>
        </w:tblCellMar>
      </w:tblPr>
      <w:tblGrid>
        <w:gridCol w:w="622"/>
        <w:gridCol w:w="508"/>
        <w:gridCol w:w="1363"/>
        <w:gridCol w:w="960"/>
        <w:gridCol w:w="869"/>
        <w:gridCol w:w="1383"/>
        <w:gridCol w:w="1348"/>
        <w:gridCol w:w="1140"/>
        <w:gridCol w:w="1207"/>
      </w:tblGrid>
      <w:tr>
        <w:tblPrEx>
          <w:tblCellMar>
            <w:top w:w="0" w:type="dxa"/>
            <w:left w:w="108" w:type="dxa"/>
            <w:bottom w:w="0" w:type="dxa"/>
            <w:right w:w="108" w:type="dxa"/>
          </w:tblCellMar>
        </w:tblPrEx>
        <w:trPr>
          <w:trHeight w:val="632" w:hRule="atLeast"/>
        </w:trPr>
        <w:tc>
          <w:tcPr>
            <w:tcW w:w="330" w:type="pc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bookmarkStart w:id="14" w:name="OLE_LINK36"/>
            <w:bookmarkStart w:id="15" w:name="OLE_LINK37"/>
            <w:r>
              <w:rPr>
                <w:rFonts w:hint="eastAsia"/>
                <w:sz w:val="18"/>
                <w:szCs w:val="18"/>
              </w:rPr>
              <w:t>元素</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水平</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结果可接受的实验室个数</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可接受的数据个数</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平均值</w:t>
            </w:r>
          </w:p>
          <w:p>
            <w:pPr>
              <w:widowControl/>
              <w:jc w:val="center"/>
              <w:textAlignment w:val="center"/>
              <w:rPr>
                <w:rFonts w:hint="default"/>
                <w:sz w:val="18"/>
                <w:szCs w:val="18"/>
                <w:lang w:val="en-US" w:eastAsia="zh-CN"/>
              </w:rPr>
            </w:pPr>
            <w:r>
              <w:rPr>
                <w:rFonts w:hint="eastAsia"/>
                <w:sz w:val="18"/>
                <w:szCs w:val="18"/>
                <w:lang w:val="en-US" w:eastAsia="zh-CN"/>
              </w:rPr>
              <w:t>/mg/L</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Co</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0.023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0.875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0.225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11.71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0.120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0.343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54.65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0.783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1.690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2.239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4.833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bookmarkStart w:id="16" w:name="_Hlk130477775"/>
            <w:r>
              <w:rPr>
                <w:rFonts w:hint="eastAsia"/>
                <w:szCs w:val="21"/>
              </w:rPr>
              <w:t>Cr</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4.67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8.44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0.137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0.392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0.750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169</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14.08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1.321 </w:t>
            </w:r>
          </w:p>
        </w:tc>
      </w:tr>
      <w:tr>
        <w:tblPrEx>
          <w:tblCellMar>
            <w:top w:w="0" w:type="dxa"/>
            <w:left w:w="108" w:type="dxa"/>
            <w:bottom w:w="0" w:type="dxa"/>
            <w:right w:w="108" w:type="dxa"/>
          </w:tblCellMar>
        </w:tblPrEx>
        <w:trPr>
          <w:trHeight w:val="258"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24.33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0.673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1.924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43.38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2.045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4.285 </w:t>
            </w:r>
          </w:p>
        </w:tc>
      </w:tr>
      <w:bookmarkEnd w:id="16"/>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Cu</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0.506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0.137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0.177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0.392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47.78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1.901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4.187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7.545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15.960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21.579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45.646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4166.4</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73.622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149.227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210.560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426.790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Fe</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7.64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0.792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1.209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2.265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31.69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0.510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1.097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1.459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3.138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1.995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4.435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5.705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12.685 </w:t>
            </w:r>
          </w:p>
        </w:tc>
      </w:tr>
      <w:tr>
        <w:tblPrEx>
          <w:tblCellMar>
            <w:top w:w="0" w:type="dxa"/>
            <w:left w:w="108" w:type="dxa"/>
            <w:bottom w:w="0" w:type="dxa"/>
            <w:right w:w="108" w:type="dxa"/>
          </w:tblCellMar>
        </w:tblPrEx>
        <w:trPr>
          <w:trHeight w:val="314"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823.25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13.549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27.672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38.749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79.143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4036.5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57.143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112.689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163.430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322.290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Ga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5.04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0.496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9.57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0.322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0.920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19.52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0.574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0.844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41.07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0.584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1.378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1.670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3.941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85.43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1.499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2.797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4.288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7.999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In</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0.552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0.596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1.703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28.58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0.401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0.815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1.146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2.330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156.2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2.097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4.742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5.997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13.561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880.8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11.935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24.955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34.134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71.372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Ni</w:t>
            </w:r>
          </w:p>
        </w:tc>
        <w:tc>
          <w:tcPr>
            <w:tcW w:w="270" w:type="pc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0.256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0.027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0.077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6.62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0.129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0.369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0.620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17.92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0.722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102.9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3.478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4.293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9.946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000000" w:sz="4" w:space="0"/>
              <w:right w:val="single" w:color="000000" w:sz="4" w:space="0"/>
            </w:tcBorders>
            <w:vAlign w:val="center"/>
          </w:tcPr>
          <w:p>
            <w:pPr>
              <w:widowControl/>
              <w:jc w:val="center"/>
              <w:textAlignment w:val="center"/>
              <w:rPr>
                <w:szCs w:val="21"/>
              </w:rPr>
            </w:pPr>
            <w:r>
              <w:rPr>
                <w:rFonts w:hint="eastAsia"/>
                <w:szCs w:val="21"/>
              </w:rPr>
              <w:t>Pb</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148</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1.20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0.016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0.140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2.21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0.168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0.482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0.997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5.05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0.211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150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8.98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0.308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0.880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28.10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0.514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0.935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1.471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2.673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Tl</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2.89</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6.26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0.330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17.23</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0.721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1.328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53.28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1.882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5.383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Cd</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0.263</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0.052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0.334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44.32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0.646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1.847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569.6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8.361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17.279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23.912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49.419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7593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89.472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186.444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533.230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Al</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0.740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1.67</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4.72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0.851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2.433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0.289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0.637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0.827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1.821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auto"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1.075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1.404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3.074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Sn</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0.288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0.052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0.681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0.041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1.65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0.220 </w:t>
            </w:r>
          </w:p>
        </w:tc>
      </w:tr>
      <w:tr>
        <w:tblPrEx>
          <w:tblCellMar>
            <w:top w:w="0" w:type="dxa"/>
            <w:left w:w="108" w:type="dxa"/>
            <w:bottom w:w="0" w:type="dxa"/>
            <w:right w:w="108" w:type="dxa"/>
          </w:tblCellMar>
        </w:tblPrEx>
        <w:trPr>
          <w:trHeight w:val="414"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3.30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0.143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0.408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9.05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0.418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0.896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2.563 </w:t>
            </w:r>
          </w:p>
        </w:tc>
      </w:tr>
      <w:bookmarkEnd w:id="14"/>
      <w:bookmarkEnd w:id="15"/>
    </w:tbl>
    <w:p>
      <w:pPr>
        <w:pStyle w:val="47"/>
        <w:widowControl w:val="0"/>
        <w:autoSpaceDE/>
        <w:autoSpaceDN/>
        <w:ind w:firstLineChars="0"/>
        <w:rPr>
          <w:rFonts w:ascii="Times New Roman" w:hAnsi="Times New Roman" w:eastAsia="黑体" w:cs="Times New Roman"/>
          <w:b/>
          <w:bCs/>
          <w:sz w:val="28"/>
          <w:szCs w:val="28"/>
          <w:u w:val="single"/>
        </w:rPr>
      </w:pPr>
    </w:p>
    <w:p>
      <w:pPr>
        <w:pStyle w:val="47"/>
        <w:widowControl w:val="0"/>
        <w:autoSpaceDE/>
        <w:autoSpaceDN/>
        <w:ind w:firstLineChars="0"/>
        <w:rPr>
          <w:rFonts w:ascii="Times New Roman" w:hAnsi="Times New Roman" w:eastAsia="黑体" w:cs="Times New Roman"/>
          <w:b/>
          <w:bCs/>
          <w:sz w:val="28"/>
          <w:szCs w:val="28"/>
          <w:u w:val="single"/>
        </w:rPr>
      </w:pPr>
      <w:r>
        <w:rPr>
          <w:rFonts w:ascii="Times New Roman" w:hAnsi="Times New Roman" w:cs="Times New Roman"/>
          <w:b/>
          <w:bCs/>
          <w:color w:val="000000" w:themeColor="text1"/>
          <w:sz w:val="28"/>
          <w:szCs w:val="28"/>
          <w:u w:val="singl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1639570</wp:posOffset>
                </wp:positionH>
                <wp:positionV relativeFrom="paragraph">
                  <wp:posOffset>419735</wp:posOffset>
                </wp:positionV>
                <wp:extent cx="2262505" cy="12065"/>
                <wp:effectExtent l="0" t="0" r="4445" b="6985"/>
                <wp:wrapNone/>
                <wp:docPr id="8" name="直线 12"/>
                <wp:cNvGraphicFramePr/>
                <a:graphic xmlns:a="http://schemas.openxmlformats.org/drawingml/2006/main">
                  <a:graphicData uri="http://schemas.microsoft.com/office/word/2010/wordprocessingShape">
                    <wps:wsp>
                      <wps:cNvCnPr/>
                      <wps:spPr>
                        <a:xfrm flipV="1">
                          <a:off x="0" y="0"/>
                          <a:ext cx="2262505" cy="12065"/>
                        </a:xfrm>
                        <a:prstGeom prst="line">
                          <a:avLst/>
                        </a:prstGeom>
                        <a:ln w="952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 12" o:spid="_x0000_s1026" o:spt="20" style="position:absolute;left:0pt;flip:y;margin-left:129.1pt;margin-top:33.05pt;height:0.95pt;width:178.15pt;z-index:251664384;mso-width-relative:page;mso-height-relative:page;" filled="f" stroked="t" coordsize="21600,21600" o:gfxdata="UEsDBAoAAAAAAIdO4kAAAAAAAAAAAAAAAAAEAAAAZHJzL1BLAwQUAAAACACHTuJAdYjoZdcAAAAJ&#10;AQAADwAAAGRycy9kb3ducmV2LnhtbE2PwU7DMAyG70i8Q2QkbixpYVXXNZ0QAi5ISIzCOW1MW9E4&#10;VZN14+0xJ3az5U+/v7/cndwoFpzD4ElDslIgkFpvB+o01O9PNzmIEA1ZM3pCDT8YYFddXpSmsP5I&#10;b7jsYyc4hEJhNPQxToWUoe3RmbDyExLfvvzsTOR17qSdzZHD3ShTpTLpzED8oTcTPvTYfu8PTsP9&#10;58vj7evSOD/aTVd/WFer51Tr66tEbUFEPMV/GP70WR0qdmr8gWwQo4Z0naeMasiyBAQDWXK3BtHw&#10;kCuQVSnPG1S/UEsDBBQAAAAIAIdO4kC4H0JaDAIAAC0EAAAOAAAAZHJzL2Uyb0RvYy54bWytUzuO&#10;2zAQ7QPkDgT7WLIAG1nB8hbrbJp8DOTTj0lKIsAfSK5lnyXXSJUmx9lrZEhqnWTTuIgKYfg4fJw3&#10;87i5PWlFjsIHaU1Hl4uaEmGY5dIMHf3y+f7Va0pCBMNBWSM6ehaB3m5fvthMrhWNHa3iwhMkMaGd&#10;XEfHGF1bVYGNQkNYWCcMbvbWa4i49EPFPUzIrlXV1PW6mqznzlsmQkB0VzbpzOivIbR9L5nYWfag&#10;hYmF1QsFESWFUbpAt7navhcsfuz7ICJRHUWlMf/xEowP6V9tN9AOHtwo2VwCXFPCM00apMFLL1Q7&#10;iEAevPyHSkvmbbB9XDCrqyIkdwRVLOtnvfk0ghNZC7Y6uEvTw/+jZR+Oe08k7yiO3YDGgT9++/74&#10;4ydZNqk5kwst5tyZvZ9Xwe19UnrqvSa9ku4ruihrRzXklFt7vrRWnCJhCDbNulnVK0oY7i2ber1K&#10;7FWhSXTOh/hWWE1S0FElTVIOLRzfhVhSn1ISbOy9VApxaJUhU0dvVk1iB3Rkj07AUDtUFcxACagB&#10;rc6iz4zBKsnT6XQ4+OFwpzw5QjJI/krSCFwU9GaFcDFKgPje8gIv6yccVcw0WdFf/KnmHYSxnMlb&#10;hWoUwN8YTuLZYc8NPjWaZGjBKVECy01R1hdBqmsysQxlsII0sjKkFB0sP+fZZRxdlGucHZ9s+uc6&#10;n/79yr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WI6GXXAAAACQEAAA8AAAAAAAAAAQAgAAAA&#10;IgAAAGRycy9kb3ducmV2LnhtbFBLAQIUABQAAAAIAIdO4kC4H0JaDAIAAC0EAAAOAAAAAAAAAAEA&#10;IAAAACYBAABkcnMvZTJvRG9jLnhtbFBLBQYAAAAABgAGAFkBAACkBQAAAAA=&#10;">
                <v:fill on="f" focussize="0,0"/>
                <v:stroke color="#000000 [3200]" joinstyle="round"/>
                <v:imagedata o:title=""/>
                <o:lock v:ext="edit" aspectratio="f"/>
              </v:line>
            </w:pict>
          </mc:Fallback>
        </mc:AlternateContent>
      </w:r>
    </w:p>
    <w:sectPr>
      <w:footerReference r:id="rId10" w:type="default"/>
      <w:pgSz w:w="11906" w:h="16838"/>
      <w:pgMar w:top="1440" w:right="1361" w:bottom="1440"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38"/>
      </w:rPr>
    </w:pPr>
    <w:r>
      <w:fldChar w:fldCharType="begin"/>
    </w:r>
    <w:r>
      <w:rPr>
        <w:rStyle w:val="38"/>
      </w:rPr>
      <w:instrText xml:space="preserve">PAGE  </w:instrText>
    </w:r>
    <w:r>
      <w:fldChar w:fldCharType="separate"/>
    </w:r>
    <w:r>
      <w:rPr>
        <w:rStyle w:val="3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Style w:val="38"/>
      </w:rPr>
    </w:pPr>
    <w:r>
      <w:fldChar w:fldCharType="begin"/>
    </w:r>
    <w:r>
      <w:rPr>
        <w:rStyle w:val="3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5760" w:right="360" w:hanging="5760" w:hangingChars="3200"/>
      <w:jc w:val="right"/>
    </w:pPr>
    <w:r>
      <w:fldChar w:fldCharType="begin"/>
    </w:r>
    <w:r>
      <w:rPr>
        <w:rStyle w:val="38"/>
      </w:rPr>
      <w:instrText xml:space="preserve"> PAGE </w:instrText>
    </w:r>
    <w:r>
      <w:fldChar w:fldCharType="separate"/>
    </w:r>
    <w:r>
      <w:rPr>
        <w:rStyle w:val="38"/>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rPr>
        <w:lang w:val="zh-CN"/>
      </w:rPr>
      <w:t>1</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eastAsia="黑体"/>
        <w:color w:val="FF0000"/>
        <w:sz w:val="16"/>
        <w:szCs w:val="16"/>
      </w:rPr>
    </w:pPr>
    <w:r>
      <w:rPr>
        <w:rFonts w:eastAsia="黑体"/>
        <w:color w:val="FF0000"/>
        <w:szCs w:val="21"/>
      </w:rPr>
      <w:t>YS/T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ind w:right="840"/>
      <w:jc w:val="both"/>
      <w:rPr>
        <w:rFonts w:ascii="黑体" w:hAnsi="黑体" w:eastAsia="黑体" w:cs="黑体"/>
        <w:sz w:val="28"/>
        <w:szCs w:val="28"/>
      </w:rPr>
    </w:pPr>
    <w:r>
      <w:rPr>
        <w:rFonts w:eastAsia="黑体"/>
        <w:color w:val="FF0000"/>
        <w:szCs w:val="21"/>
      </w:rPr>
      <w:t>YS/T XXXX.4—202X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ascii="黑体" w:eastAsia="黑体"/>
      </w:rPr>
    </w:pPr>
  </w:p>
  <w:p>
    <w:pPr>
      <w:pStyle w:val="7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25719"/>
    <w:multiLevelType w:val="multilevel"/>
    <w:tmpl w:val="5A025719"/>
    <w:lvl w:ilvl="0" w:tentative="0">
      <w:start w:val="1"/>
      <w:numFmt w:val="decimal"/>
      <w:pStyle w:val="11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76933334"/>
    <w:multiLevelType w:val="multilevel"/>
    <w:tmpl w:val="76933334"/>
    <w:lvl w:ilvl="0" w:tentative="0">
      <w:start w:val="1"/>
      <w:numFmt w:val="none"/>
      <w:pStyle w:val="11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GJmMGEwZjFhZTkxMzg4M2RjMTc2ZGNhNTQ5NGEifQ=="/>
  </w:docVars>
  <w:rsids>
    <w:rsidRoot w:val="000F1E08"/>
    <w:rsid w:val="00014B6F"/>
    <w:rsid w:val="000152F9"/>
    <w:rsid w:val="000226A7"/>
    <w:rsid w:val="00027703"/>
    <w:rsid w:val="00040599"/>
    <w:rsid w:val="00040A66"/>
    <w:rsid w:val="00041432"/>
    <w:rsid w:val="00051C37"/>
    <w:rsid w:val="00056FF1"/>
    <w:rsid w:val="0006521B"/>
    <w:rsid w:val="0007176D"/>
    <w:rsid w:val="000802F5"/>
    <w:rsid w:val="00082218"/>
    <w:rsid w:val="00084D82"/>
    <w:rsid w:val="000929CC"/>
    <w:rsid w:val="00097334"/>
    <w:rsid w:val="000978C6"/>
    <w:rsid w:val="000A1F0A"/>
    <w:rsid w:val="000B0FEF"/>
    <w:rsid w:val="000B3E5C"/>
    <w:rsid w:val="000B49A5"/>
    <w:rsid w:val="000C2849"/>
    <w:rsid w:val="000E060B"/>
    <w:rsid w:val="000F1E08"/>
    <w:rsid w:val="000F3FB9"/>
    <w:rsid w:val="00104463"/>
    <w:rsid w:val="00106436"/>
    <w:rsid w:val="00115A50"/>
    <w:rsid w:val="001201C7"/>
    <w:rsid w:val="001212E6"/>
    <w:rsid w:val="00122BAB"/>
    <w:rsid w:val="00123222"/>
    <w:rsid w:val="00124EEE"/>
    <w:rsid w:val="00126799"/>
    <w:rsid w:val="00127257"/>
    <w:rsid w:val="00132043"/>
    <w:rsid w:val="00141170"/>
    <w:rsid w:val="00153429"/>
    <w:rsid w:val="0015585F"/>
    <w:rsid w:val="00156351"/>
    <w:rsid w:val="0016012C"/>
    <w:rsid w:val="00164ABB"/>
    <w:rsid w:val="00165311"/>
    <w:rsid w:val="00166054"/>
    <w:rsid w:val="00170A6D"/>
    <w:rsid w:val="00172234"/>
    <w:rsid w:val="00174FEA"/>
    <w:rsid w:val="00190124"/>
    <w:rsid w:val="001A05FF"/>
    <w:rsid w:val="001A064E"/>
    <w:rsid w:val="001A1485"/>
    <w:rsid w:val="001A28AF"/>
    <w:rsid w:val="001A79EC"/>
    <w:rsid w:val="001B25AC"/>
    <w:rsid w:val="001B3499"/>
    <w:rsid w:val="001B46B1"/>
    <w:rsid w:val="001B4CFC"/>
    <w:rsid w:val="001C116C"/>
    <w:rsid w:val="001C1AEF"/>
    <w:rsid w:val="001D5EDC"/>
    <w:rsid w:val="001D739C"/>
    <w:rsid w:val="001D7D5F"/>
    <w:rsid w:val="001E0E90"/>
    <w:rsid w:val="001E3E71"/>
    <w:rsid w:val="001E44FD"/>
    <w:rsid w:val="001E68BC"/>
    <w:rsid w:val="001E6A14"/>
    <w:rsid w:val="001E703A"/>
    <w:rsid w:val="001F236B"/>
    <w:rsid w:val="001F5DB1"/>
    <w:rsid w:val="002001A1"/>
    <w:rsid w:val="00200E9A"/>
    <w:rsid w:val="00213F16"/>
    <w:rsid w:val="00215AA3"/>
    <w:rsid w:val="00217137"/>
    <w:rsid w:val="00217F9C"/>
    <w:rsid w:val="00221974"/>
    <w:rsid w:val="0022577A"/>
    <w:rsid w:val="002263AD"/>
    <w:rsid w:val="00227021"/>
    <w:rsid w:val="00233467"/>
    <w:rsid w:val="00233A2C"/>
    <w:rsid w:val="00234347"/>
    <w:rsid w:val="0023709B"/>
    <w:rsid w:val="00237635"/>
    <w:rsid w:val="0025503A"/>
    <w:rsid w:val="00256B43"/>
    <w:rsid w:val="002609F1"/>
    <w:rsid w:val="00264966"/>
    <w:rsid w:val="00266929"/>
    <w:rsid w:val="00267C2D"/>
    <w:rsid w:val="00276177"/>
    <w:rsid w:val="00277873"/>
    <w:rsid w:val="002810EB"/>
    <w:rsid w:val="00297592"/>
    <w:rsid w:val="00297D0B"/>
    <w:rsid w:val="002A57F5"/>
    <w:rsid w:val="002A6DB5"/>
    <w:rsid w:val="002B7603"/>
    <w:rsid w:val="002C1F9F"/>
    <w:rsid w:val="002C2D57"/>
    <w:rsid w:val="002D15E1"/>
    <w:rsid w:val="002D1EC5"/>
    <w:rsid w:val="002D36F7"/>
    <w:rsid w:val="002E135A"/>
    <w:rsid w:val="002E4A5B"/>
    <w:rsid w:val="002E688C"/>
    <w:rsid w:val="002F3A62"/>
    <w:rsid w:val="002F62D3"/>
    <w:rsid w:val="00303434"/>
    <w:rsid w:val="00304CAE"/>
    <w:rsid w:val="00307E8B"/>
    <w:rsid w:val="00312C4E"/>
    <w:rsid w:val="00313AAE"/>
    <w:rsid w:val="003200E0"/>
    <w:rsid w:val="0032349A"/>
    <w:rsid w:val="00344D62"/>
    <w:rsid w:val="003569C4"/>
    <w:rsid w:val="00362298"/>
    <w:rsid w:val="003639CF"/>
    <w:rsid w:val="00364C0E"/>
    <w:rsid w:val="00373167"/>
    <w:rsid w:val="0037544D"/>
    <w:rsid w:val="003778A9"/>
    <w:rsid w:val="00385CA1"/>
    <w:rsid w:val="00393F0C"/>
    <w:rsid w:val="003A01DF"/>
    <w:rsid w:val="003A32EA"/>
    <w:rsid w:val="003C251C"/>
    <w:rsid w:val="003C3B19"/>
    <w:rsid w:val="003C7A38"/>
    <w:rsid w:val="003D514F"/>
    <w:rsid w:val="003E218B"/>
    <w:rsid w:val="003F2090"/>
    <w:rsid w:val="003F79BA"/>
    <w:rsid w:val="003F7BDC"/>
    <w:rsid w:val="00401CBA"/>
    <w:rsid w:val="0040344B"/>
    <w:rsid w:val="004112E1"/>
    <w:rsid w:val="004214AC"/>
    <w:rsid w:val="004256A2"/>
    <w:rsid w:val="00427E37"/>
    <w:rsid w:val="0043019E"/>
    <w:rsid w:val="0043053E"/>
    <w:rsid w:val="00436841"/>
    <w:rsid w:val="004417BE"/>
    <w:rsid w:val="004470A4"/>
    <w:rsid w:val="00461C5F"/>
    <w:rsid w:val="0047207D"/>
    <w:rsid w:val="004765B0"/>
    <w:rsid w:val="00480028"/>
    <w:rsid w:val="0048547E"/>
    <w:rsid w:val="0048629F"/>
    <w:rsid w:val="00487831"/>
    <w:rsid w:val="00494DD9"/>
    <w:rsid w:val="004976C4"/>
    <w:rsid w:val="004A3E9E"/>
    <w:rsid w:val="004A5999"/>
    <w:rsid w:val="004A6D21"/>
    <w:rsid w:val="004B38F6"/>
    <w:rsid w:val="004C3A60"/>
    <w:rsid w:val="004D7FBF"/>
    <w:rsid w:val="004F6656"/>
    <w:rsid w:val="00501C48"/>
    <w:rsid w:val="00507CAF"/>
    <w:rsid w:val="005123F2"/>
    <w:rsid w:val="005207CA"/>
    <w:rsid w:val="00551AE0"/>
    <w:rsid w:val="00553051"/>
    <w:rsid w:val="00561823"/>
    <w:rsid w:val="00571311"/>
    <w:rsid w:val="00573959"/>
    <w:rsid w:val="00574BF6"/>
    <w:rsid w:val="00582DBB"/>
    <w:rsid w:val="005858DF"/>
    <w:rsid w:val="005A2E3F"/>
    <w:rsid w:val="005A6101"/>
    <w:rsid w:val="005A7E9D"/>
    <w:rsid w:val="005B06F7"/>
    <w:rsid w:val="005C7552"/>
    <w:rsid w:val="005D437E"/>
    <w:rsid w:val="005D5B5D"/>
    <w:rsid w:val="005E6494"/>
    <w:rsid w:val="005F3CF5"/>
    <w:rsid w:val="005F743C"/>
    <w:rsid w:val="00610C50"/>
    <w:rsid w:val="006135FE"/>
    <w:rsid w:val="00614FE3"/>
    <w:rsid w:val="0062075D"/>
    <w:rsid w:val="00624059"/>
    <w:rsid w:val="00625113"/>
    <w:rsid w:val="006357C3"/>
    <w:rsid w:val="00644153"/>
    <w:rsid w:val="00644685"/>
    <w:rsid w:val="00646182"/>
    <w:rsid w:val="00646FFF"/>
    <w:rsid w:val="0065095F"/>
    <w:rsid w:val="00651042"/>
    <w:rsid w:val="00655F00"/>
    <w:rsid w:val="006621EA"/>
    <w:rsid w:val="00662CE0"/>
    <w:rsid w:val="00665605"/>
    <w:rsid w:val="00684972"/>
    <w:rsid w:val="00694EF1"/>
    <w:rsid w:val="006A1C23"/>
    <w:rsid w:val="006A2350"/>
    <w:rsid w:val="006C0433"/>
    <w:rsid w:val="006C2E5C"/>
    <w:rsid w:val="006C45FD"/>
    <w:rsid w:val="006E5A5F"/>
    <w:rsid w:val="006F0DB3"/>
    <w:rsid w:val="006F426C"/>
    <w:rsid w:val="006F6EC4"/>
    <w:rsid w:val="006F747A"/>
    <w:rsid w:val="0070453F"/>
    <w:rsid w:val="00707591"/>
    <w:rsid w:val="00707D19"/>
    <w:rsid w:val="007118E2"/>
    <w:rsid w:val="007215E9"/>
    <w:rsid w:val="007229AC"/>
    <w:rsid w:val="007239B8"/>
    <w:rsid w:val="00724ACD"/>
    <w:rsid w:val="0072554E"/>
    <w:rsid w:val="00733A7D"/>
    <w:rsid w:val="0073407F"/>
    <w:rsid w:val="007342CA"/>
    <w:rsid w:val="00736649"/>
    <w:rsid w:val="00737A71"/>
    <w:rsid w:val="00741BAF"/>
    <w:rsid w:val="00741EDD"/>
    <w:rsid w:val="00742923"/>
    <w:rsid w:val="00743941"/>
    <w:rsid w:val="00752B56"/>
    <w:rsid w:val="00755C61"/>
    <w:rsid w:val="00755CF8"/>
    <w:rsid w:val="007567C2"/>
    <w:rsid w:val="00765ED4"/>
    <w:rsid w:val="00770221"/>
    <w:rsid w:val="00770B08"/>
    <w:rsid w:val="00770EF2"/>
    <w:rsid w:val="00771282"/>
    <w:rsid w:val="007723B7"/>
    <w:rsid w:val="0077538A"/>
    <w:rsid w:val="00783D08"/>
    <w:rsid w:val="00787C65"/>
    <w:rsid w:val="00795676"/>
    <w:rsid w:val="00796E8A"/>
    <w:rsid w:val="007A0AD6"/>
    <w:rsid w:val="007A673F"/>
    <w:rsid w:val="007B0B9D"/>
    <w:rsid w:val="007B3E56"/>
    <w:rsid w:val="007B52A5"/>
    <w:rsid w:val="007B6EF1"/>
    <w:rsid w:val="007C111C"/>
    <w:rsid w:val="007C2544"/>
    <w:rsid w:val="007C77ED"/>
    <w:rsid w:val="007D50CD"/>
    <w:rsid w:val="007E1626"/>
    <w:rsid w:val="007E2227"/>
    <w:rsid w:val="007F14BD"/>
    <w:rsid w:val="007F1CA7"/>
    <w:rsid w:val="007F4A69"/>
    <w:rsid w:val="007F631A"/>
    <w:rsid w:val="007F7EE0"/>
    <w:rsid w:val="008032BB"/>
    <w:rsid w:val="00804E6D"/>
    <w:rsid w:val="00813488"/>
    <w:rsid w:val="00822A72"/>
    <w:rsid w:val="0082427D"/>
    <w:rsid w:val="008260E0"/>
    <w:rsid w:val="0083201C"/>
    <w:rsid w:val="00832339"/>
    <w:rsid w:val="00837021"/>
    <w:rsid w:val="008372A9"/>
    <w:rsid w:val="00860B61"/>
    <w:rsid w:val="00874B46"/>
    <w:rsid w:val="008874B2"/>
    <w:rsid w:val="008923A0"/>
    <w:rsid w:val="008A766A"/>
    <w:rsid w:val="008B03B2"/>
    <w:rsid w:val="008B2BBD"/>
    <w:rsid w:val="008B7ACB"/>
    <w:rsid w:val="008C4242"/>
    <w:rsid w:val="008C6723"/>
    <w:rsid w:val="008D02FE"/>
    <w:rsid w:val="008D266B"/>
    <w:rsid w:val="008D3A74"/>
    <w:rsid w:val="008E13A6"/>
    <w:rsid w:val="008E2D3C"/>
    <w:rsid w:val="008F610D"/>
    <w:rsid w:val="00905FAC"/>
    <w:rsid w:val="009105DB"/>
    <w:rsid w:val="0092282C"/>
    <w:rsid w:val="009242BB"/>
    <w:rsid w:val="00926F1B"/>
    <w:rsid w:val="00932656"/>
    <w:rsid w:val="00934AFF"/>
    <w:rsid w:val="00934D35"/>
    <w:rsid w:val="00937EE1"/>
    <w:rsid w:val="00941140"/>
    <w:rsid w:val="00941879"/>
    <w:rsid w:val="00944262"/>
    <w:rsid w:val="00947AB7"/>
    <w:rsid w:val="009519A7"/>
    <w:rsid w:val="00952FFA"/>
    <w:rsid w:val="00970ABA"/>
    <w:rsid w:val="009711F6"/>
    <w:rsid w:val="0097439B"/>
    <w:rsid w:val="009761E9"/>
    <w:rsid w:val="00980AAA"/>
    <w:rsid w:val="00980F03"/>
    <w:rsid w:val="009827B3"/>
    <w:rsid w:val="0098313B"/>
    <w:rsid w:val="00984073"/>
    <w:rsid w:val="00986485"/>
    <w:rsid w:val="00986C64"/>
    <w:rsid w:val="00994674"/>
    <w:rsid w:val="00994BCD"/>
    <w:rsid w:val="009953DC"/>
    <w:rsid w:val="00995E1D"/>
    <w:rsid w:val="009B2A65"/>
    <w:rsid w:val="009B5E5C"/>
    <w:rsid w:val="009B70A0"/>
    <w:rsid w:val="009B75E3"/>
    <w:rsid w:val="009C2507"/>
    <w:rsid w:val="009C39BB"/>
    <w:rsid w:val="009C6558"/>
    <w:rsid w:val="009D28B8"/>
    <w:rsid w:val="009D424F"/>
    <w:rsid w:val="009F3370"/>
    <w:rsid w:val="00A02A29"/>
    <w:rsid w:val="00A036A9"/>
    <w:rsid w:val="00A17E48"/>
    <w:rsid w:val="00A265B7"/>
    <w:rsid w:val="00A32B06"/>
    <w:rsid w:val="00A33C75"/>
    <w:rsid w:val="00A465F0"/>
    <w:rsid w:val="00A539ED"/>
    <w:rsid w:val="00A63920"/>
    <w:rsid w:val="00A7062A"/>
    <w:rsid w:val="00A72F4D"/>
    <w:rsid w:val="00A7601E"/>
    <w:rsid w:val="00AC26E6"/>
    <w:rsid w:val="00AC32D6"/>
    <w:rsid w:val="00AC38F1"/>
    <w:rsid w:val="00AC3D3B"/>
    <w:rsid w:val="00AD59C6"/>
    <w:rsid w:val="00AF1EBF"/>
    <w:rsid w:val="00AF201B"/>
    <w:rsid w:val="00AF6360"/>
    <w:rsid w:val="00B06E4D"/>
    <w:rsid w:val="00B07450"/>
    <w:rsid w:val="00B12228"/>
    <w:rsid w:val="00B128A5"/>
    <w:rsid w:val="00B15D67"/>
    <w:rsid w:val="00B17762"/>
    <w:rsid w:val="00B20F7C"/>
    <w:rsid w:val="00B256B8"/>
    <w:rsid w:val="00B30DE2"/>
    <w:rsid w:val="00B3341F"/>
    <w:rsid w:val="00B34C15"/>
    <w:rsid w:val="00B40FDC"/>
    <w:rsid w:val="00B421E2"/>
    <w:rsid w:val="00B42EDF"/>
    <w:rsid w:val="00B436D6"/>
    <w:rsid w:val="00B57889"/>
    <w:rsid w:val="00B60B2E"/>
    <w:rsid w:val="00B6768D"/>
    <w:rsid w:val="00B67A0D"/>
    <w:rsid w:val="00B707FC"/>
    <w:rsid w:val="00B7224B"/>
    <w:rsid w:val="00B750EA"/>
    <w:rsid w:val="00B80EAF"/>
    <w:rsid w:val="00B84332"/>
    <w:rsid w:val="00B90168"/>
    <w:rsid w:val="00B90437"/>
    <w:rsid w:val="00B920C1"/>
    <w:rsid w:val="00B96904"/>
    <w:rsid w:val="00BA0183"/>
    <w:rsid w:val="00BC3D23"/>
    <w:rsid w:val="00BC4F7A"/>
    <w:rsid w:val="00BC774C"/>
    <w:rsid w:val="00BD008F"/>
    <w:rsid w:val="00BD5847"/>
    <w:rsid w:val="00BE679B"/>
    <w:rsid w:val="00BE760A"/>
    <w:rsid w:val="00BF02D5"/>
    <w:rsid w:val="00BF096B"/>
    <w:rsid w:val="00BF4A09"/>
    <w:rsid w:val="00BF5A9D"/>
    <w:rsid w:val="00BF6AE7"/>
    <w:rsid w:val="00C0488A"/>
    <w:rsid w:val="00C10BBD"/>
    <w:rsid w:val="00C120FC"/>
    <w:rsid w:val="00C12630"/>
    <w:rsid w:val="00C127D3"/>
    <w:rsid w:val="00C14170"/>
    <w:rsid w:val="00C23898"/>
    <w:rsid w:val="00C23A0A"/>
    <w:rsid w:val="00C31F6C"/>
    <w:rsid w:val="00C40518"/>
    <w:rsid w:val="00C44302"/>
    <w:rsid w:val="00C44672"/>
    <w:rsid w:val="00C45EC7"/>
    <w:rsid w:val="00C54A72"/>
    <w:rsid w:val="00C7126D"/>
    <w:rsid w:val="00C77099"/>
    <w:rsid w:val="00C812C7"/>
    <w:rsid w:val="00C834CB"/>
    <w:rsid w:val="00C91227"/>
    <w:rsid w:val="00C94843"/>
    <w:rsid w:val="00CA3949"/>
    <w:rsid w:val="00CA42AF"/>
    <w:rsid w:val="00CB2922"/>
    <w:rsid w:val="00CB43C2"/>
    <w:rsid w:val="00CB6D81"/>
    <w:rsid w:val="00CC0779"/>
    <w:rsid w:val="00CC476C"/>
    <w:rsid w:val="00CC7D9D"/>
    <w:rsid w:val="00CD14DA"/>
    <w:rsid w:val="00CE1CD1"/>
    <w:rsid w:val="00CE45A3"/>
    <w:rsid w:val="00CF3F80"/>
    <w:rsid w:val="00CF741C"/>
    <w:rsid w:val="00D11CDC"/>
    <w:rsid w:val="00D403F4"/>
    <w:rsid w:val="00D52A2D"/>
    <w:rsid w:val="00D54F2E"/>
    <w:rsid w:val="00D57118"/>
    <w:rsid w:val="00D575F2"/>
    <w:rsid w:val="00D57637"/>
    <w:rsid w:val="00D60903"/>
    <w:rsid w:val="00D60F39"/>
    <w:rsid w:val="00D6439A"/>
    <w:rsid w:val="00D67BE1"/>
    <w:rsid w:val="00D740BF"/>
    <w:rsid w:val="00D82C3E"/>
    <w:rsid w:val="00D861D6"/>
    <w:rsid w:val="00D95856"/>
    <w:rsid w:val="00DA312A"/>
    <w:rsid w:val="00DB3D10"/>
    <w:rsid w:val="00DB454C"/>
    <w:rsid w:val="00DB7F1C"/>
    <w:rsid w:val="00DC0F07"/>
    <w:rsid w:val="00DC120B"/>
    <w:rsid w:val="00DC7B26"/>
    <w:rsid w:val="00DC7DFE"/>
    <w:rsid w:val="00DD003B"/>
    <w:rsid w:val="00DD6D56"/>
    <w:rsid w:val="00DE3335"/>
    <w:rsid w:val="00DF146F"/>
    <w:rsid w:val="00DF17B5"/>
    <w:rsid w:val="00DF39D9"/>
    <w:rsid w:val="00DF6866"/>
    <w:rsid w:val="00E0055C"/>
    <w:rsid w:val="00E01BEB"/>
    <w:rsid w:val="00E32D12"/>
    <w:rsid w:val="00E33E07"/>
    <w:rsid w:val="00E468B9"/>
    <w:rsid w:val="00E474E2"/>
    <w:rsid w:val="00E57081"/>
    <w:rsid w:val="00E66B42"/>
    <w:rsid w:val="00E76EB6"/>
    <w:rsid w:val="00E83728"/>
    <w:rsid w:val="00EA32DB"/>
    <w:rsid w:val="00EA59C1"/>
    <w:rsid w:val="00EB24CD"/>
    <w:rsid w:val="00EC7293"/>
    <w:rsid w:val="00ED35ED"/>
    <w:rsid w:val="00ED5751"/>
    <w:rsid w:val="00ED7A5C"/>
    <w:rsid w:val="00EE0CFD"/>
    <w:rsid w:val="00F11287"/>
    <w:rsid w:val="00F25567"/>
    <w:rsid w:val="00F3324B"/>
    <w:rsid w:val="00F35D03"/>
    <w:rsid w:val="00F572A1"/>
    <w:rsid w:val="00F573FA"/>
    <w:rsid w:val="00F621F3"/>
    <w:rsid w:val="00F6363D"/>
    <w:rsid w:val="00F67749"/>
    <w:rsid w:val="00F71801"/>
    <w:rsid w:val="00F74567"/>
    <w:rsid w:val="00F772C0"/>
    <w:rsid w:val="00F82EA4"/>
    <w:rsid w:val="00F8465D"/>
    <w:rsid w:val="00F8769F"/>
    <w:rsid w:val="00F87B07"/>
    <w:rsid w:val="00FA102F"/>
    <w:rsid w:val="00FA1E9B"/>
    <w:rsid w:val="00FA33EF"/>
    <w:rsid w:val="00FA60DC"/>
    <w:rsid w:val="00FB1F8B"/>
    <w:rsid w:val="00FB445F"/>
    <w:rsid w:val="00FD0C93"/>
    <w:rsid w:val="00FD2620"/>
    <w:rsid w:val="00FD2A43"/>
    <w:rsid w:val="00FE09D4"/>
    <w:rsid w:val="00FE2FD8"/>
    <w:rsid w:val="00FE69D2"/>
    <w:rsid w:val="01A94A5C"/>
    <w:rsid w:val="04274B46"/>
    <w:rsid w:val="046C6EC7"/>
    <w:rsid w:val="04C319C2"/>
    <w:rsid w:val="05714C93"/>
    <w:rsid w:val="05C0366A"/>
    <w:rsid w:val="05FD36FC"/>
    <w:rsid w:val="060E2ED4"/>
    <w:rsid w:val="06714FB4"/>
    <w:rsid w:val="06CF3481"/>
    <w:rsid w:val="07C2767A"/>
    <w:rsid w:val="08BF3580"/>
    <w:rsid w:val="0A89399F"/>
    <w:rsid w:val="0AB75C1B"/>
    <w:rsid w:val="0ABD3456"/>
    <w:rsid w:val="0AF30851"/>
    <w:rsid w:val="0B864869"/>
    <w:rsid w:val="0C475911"/>
    <w:rsid w:val="0C8807D5"/>
    <w:rsid w:val="0C952396"/>
    <w:rsid w:val="0CA74FA6"/>
    <w:rsid w:val="0CD65E68"/>
    <w:rsid w:val="0D0A418A"/>
    <w:rsid w:val="0D0E37EC"/>
    <w:rsid w:val="0D90545F"/>
    <w:rsid w:val="0EF12043"/>
    <w:rsid w:val="0F195F11"/>
    <w:rsid w:val="0F2A3D16"/>
    <w:rsid w:val="106043C7"/>
    <w:rsid w:val="108F1FB4"/>
    <w:rsid w:val="11037CA8"/>
    <w:rsid w:val="11402CDA"/>
    <w:rsid w:val="11410B8C"/>
    <w:rsid w:val="11E70619"/>
    <w:rsid w:val="12D95D2B"/>
    <w:rsid w:val="13105C7B"/>
    <w:rsid w:val="13331834"/>
    <w:rsid w:val="13363CF0"/>
    <w:rsid w:val="13740DA0"/>
    <w:rsid w:val="16A30F46"/>
    <w:rsid w:val="17792FCB"/>
    <w:rsid w:val="17A50836"/>
    <w:rsid w:val="1884350D"/>
    <w:rsid w:val="1AEE0951"/>
    <w:rsid w:val="1B260CED"/>
    <w:rsid w:val="1BB1347B"/>
    <w:rsid w:val="1C490CF8"/>
    <w:rsid w:val="1CCD5DBB"/>
    <w:rsid w:val="1EFE1EA7"/>
    <w:rsid w:val="20694913"/>
    <w:rsid w:val="20863CCF"/>
    <w:rsid w:val="21352BDF"/>
    <w:rsid w:val="22334DED"/>
    <w:rsid w:val="22B97E66"/>
    <w:rsid w:val="232069FA"/>
    <w:rsid w:val="238229C7"/>
    <w:rsid w:val="239C2D95"/>
    <w:rsid w:val="242F3285"/>
    <w:rsid w:val="250C6668"/>
    <w:rsid w:val="2557317B"/>
    <w:rsid w:val="25677B75"/>
    <w:rsid w:val="266B622A"/>
    <w:rsid w:val="26896AC5"/>
    <w:rsid w:val="279177FD"/>
    <w:rsid w:val="27FD1F46"/>
    <w:rsid w:val="296B0CAB"/>
    <w:rsid w:val="298E5158"/>
    <w:rsid w:val="2A6D4BE6"/>
    <w:rsid w:val="2B901DD1"/>
    <w:rsid w:val="2CC13CE2"/>
    <w:rsid w:val="2CE0406C"/>
    <w:rsid w:val="2D5B115B"/>
    <w:rsid w:val="2D647597"/>
    <w:rsid w:val="2DAD1E1D"/>
    <w:rsid w:val="2F4E53F5"/>
    <w:rsid w:val="3064040F"/>
    <w:rsid w:val="313F5491"/>
    <w:rsid w:val="31C508F6"/>
    <w:rsid w:val="31DC7F2D"/>
    <w:rsid w:val="331A3D1D"/>
    <w:rsid w:val="34CB67D2"/>
    <w:rsid w:val="34F10AF9"/>
    <w:rsid w:val="35755789"/>
    <w:rsid w:val="35B20B41"/>
    <w:rsid w:val="35D37F50"/>
    <w:rsid w:val="36DA1DD6"/>
    <w:rsid w:val="38880251"/>
    <w:rsid w:val="38A1672D"/>
    <w:rsid w:val="38DE55D9"/>
    <w:rsid w:val="3927370A"/>
    <w:rsid w:val="3ABE694A"/>
    <w:rsid w:val="3B6273BD"/>
    <w:rsid w:val="3BE72060"/>
    <w:rsid w:val="3C4D4A58"/>
    <w:rsid w:val="3DD70D02"/>
    <w:rsid w:val="3E0C7778"/>
    <w:rsid w:val="3E2729B5"/>
    <w:rsid w:val="3F022445"/>
    <w:rsid w:val="40325444"/>
    <w:rsid w:val="4067063D"/>
    <w:rsid w:val="41034E00"/>
    <w:rsid w:val="41606B26"/>
    <w:rsid w:val="420D31AC"/>
    <w:rsid w:val="427174BE"/>
    <w:rsid w:val="42F63D8E"/>
    <w:rsid w:val="43807983"/>
    <w:rsid w:val="43AD109A"/>
    <w:rsid w:val="43F77E7F"/>
    <w:rsid w:val="44097B54"/>
    <w:rsid w:val="447F1509"/>
    <w:rsid w:val="44826F93"/>
    <w:rsid w:val="45D40490"/>
    <w:rsid w:val="45F16708"/>
    <w:rsid w:val="477D05B5"/>
    <w:rsid w:val="47E8424D"/>
    <w:rsid w:val="48644E4E"/>
    <w:rsid w:val="48B31A16"/>
    <w:rsid w:val="490275B4"/>
    <w:rsid w:val="4999194F"/>
    <w:rsid w:val="499E328F"/>
    <w:rsid w:val="4A6678DE"/>
    <w:rsid w:val="4ACE7CC2"/>
    <w:rsid w:val="4BCC650A"/>
    <w:rsid w:val="4C310C35"/>
    <w:rsid w:val="4C855C49"/>
    <w:rsid w:val="4C9107C7"/>
    <w:rsid w:val="4CA71720"/>
    <w:rsid w:val="4D2F4B6A"/>
    <w:rsid w:val="4D8A5B1A"/>
    <w:rsid w:val="4E5E76C8"/>
    <w:rsid w:val="4E927EC9"/>
    <w:rsid w:val="4F4171BA"/>
    <w:rsid w:val="4FE7442E"/>
    <w:rsid w:val="4FF36618"/>
    <w:rsid w:val="50020AB6"/>
    <w:rsid w:val="5067532C"/>
    <w:rsid w:val="50E369A1"/>
    <w:rsid w:val="519A6EC9"/>
    <w:rsid w:val="51FC45FD"/>
    <w:rsid w:val="52DF5A06"/>
    <w:rsid w:val="53A41F0C"/>
    <w:rsid w:val="53CF34AC"/>
    <w:rsid w:val="54204A55"/>
    <w:rsid w:val="54E95D2E"/>
    <w:rsid w:val="56850060"/>
    <w:rsid w:val="56F27E53"/>
    <w:rsid w:val="570A7859"/>
    <w:rsid w:val="574D65F8"/>
    <w:rsid w:val="58B953D0"/>
    <w:rsid w:val="58EC3478"/>
    <w:rsid w:val="59011F83"/>
    <w:rsid w:val="590B2A5F"/>
    <w:rsid w:val="5AA9546C"/>
    <w:rsid w:val="5B2D517E"/>
    <w:rsid w:val="5B9B27F8"/>
    <w:rsid w:val="5BE5481C"/>
    <w:rsid w:val="5DB56BFB"/>
    <w:rsid w:val="5DFC5273"/>
    <w:rsid w:val="5EBF2823"/>
    <w:rsid w:val="5F231B09"/>
    <w:rsid w:val="607E0413"/>
    <w:rsid w:val="608B26D1"/>
    <w:rsid w:val="60BE75D9"/>
    <w:rsid w:val="60BF3DBF"/>
    <w:rsid w:val="61D72A29"/>
    <w:rsid w:val="62CF742A"/>
    <w:rsid w:val="62E2149B"/>
    <w:rsid w:val="63231C27"/>
    <w:rsid w:val="63554EFC"/>
    <w:rsid w:val="63886D0C"/>
    <w:rsid w:val="63D305E1"/>
    <w:rsid w:val="644176AC"/>
    <w:rsid w:val="658872F3"/>
    <w:rsid w:val="659C5746"/>
    <w:rsid w:val="65EB6206"/>
    <w:rsid w:val="66120DF4"/>
    <w:rsid w:val="661B5BE0"/>
    <w:rsid w:val="66237D7F"/>
    <w:rsid w:val="669208E5"/>
    <w:rsid w:val="669B3685"/>
    <w:rsid w:val="67901C4F"/>
    <w:rsid w:val="682E1F64"/>
    <w:rsid w:val="68D86E8B"/>
    <w:rsid w:val="68FE781E"/>
    <w:rsid w:val="696B5A06"/>
    <w:rsid w:val="69CC19B0"/>
    <w:rsid w:val="6A2623F9"/>
    <w:rsid w:val="6A6D09E4"/>
    <w:rsid w:val="6B3D4178"/>
    <w:rsid w:val="6B670547"/>
    <w:rsid w:val="6B9320D0"/>
    <w:rsid w:val="6C4D1764"/>
    <w:rsid w:val="6CED7D6A"/>
    <w:rsid w:val="6D3F3591"/>
    <w:rsid w:val="6E0F20C3"/>
    <w:rsid w:val="6E361438"/>
    <w:rsid w:val="6EC12225"/>
    <w:rsid w:val="6FCD784A"/>
    <w:rsid w:val="70653C94"/>
    <w:rsid w:val="71B63345"/>
    <w:rsid w:val="722C6D49"/>
    <w:rsid w:val="73027837"/>
    <w:rsid w:val="73243531"/>
    <w:rsid w:val="749F0FAF"/>
    <w:rsid w:val="76BB4B16"/>
    <w:rsid w:val="76CE16E3"/>
    <w:rsid w:val="77AA778D"/>
    <w:rsid w:val="77DE3170"/>
    <w:rsid w:val="78124934"/>
    <w:rsid w:val="787B422E"/>
    <w:rsid w:val="7884182D"/>
    <w:rsid w:val="78A77D01"/>
    <w:rsid w:val="7A5E5948"/>
    <w:rsid w:val="7AD37FFC"/>
    <w:rsid w:val="7B5E5C5A"/>
    <w:rsid w:val="7B9870CD"/>
    <w:rsid w:val="7BED7A4C"/>
    <w:rsid w:val="7C8361B6"/>
    <w:rsid w:val="7C951C3B"/>
    <w:rsid w:val="7C9B0213"/>
    <w:rsid w:val="7D3D5D24"/>
    <w:rsid w:val="7E224D3F"/>
    <w:rsid w:val="7EBB047A"/>
    <w:rsid w:val="7F1146EC"/>
    <w:rsid w:val="7F2D46E4"/>
    <w:rsid w:val="7F3A7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5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5"/>
    <w:qFormat/>
    <w:uiPriority w:val="0"/>
    <w:pPr>
      <w:keepNext/>
      <w:jc w:val="center"/>
      <w:outlineLvl w:val="0"/>
    </w:pPr>
    <w:rPr>
      <w:b/>
      <w:bCs/>
      <w:sz w:val="32"/>
      <w:szCs w:val="24"/>
    </w:rPr>
  </w:style>
  <w:style w:type="paragraph" w:styleId="3">
    <w:name w:val="heading 2"/>
    <w:basedOn w:val="1"/>
    <w:next w:val="1"/>
    <w:link w:val="45"/>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96"/>
    <w:qFormat/>
    <w:uiPriority w:val="9"/>
    <w:pPr>
      <w:keepNext/>
      <w:keepLines/>
      <w:spacing w:line="416" w:lineRule="auto"/>
      <w:outlineLvl w:val="2"/>
    </w:pPr>
    <w:rPr>
      <w:rFonts w:ascii="Calibri" w:hAnsi="Calibri"/>
      <w:b/>
      <w:bCs/>
      <w:szCs w:val="32"/>
    </w:rPr>
  </w:style>
  <w:style w:type="paragraph" w:styleId="5">
    <w:name w:val="heading 4"/>
    <w:basedOn w:val="1"/>
    <w:next w:val="6"/>
    <w:link w:val="97"/>
    <w:qFormat/>
    <w:uiPriority w:val="0"/>
    <w:pPr>
      <w:keepNext/>
      <w:jc w:val="center"/>
      <w:outlineLvl w:val="3"/>
    </w:pPr>
    <w:rPr>
      <w:sz w:val="44"/>
      <w:szCs w:val="24"/>
    </w:rPr>
  </w:style>
  <w:style w:type="character" w:default="1" w:styleId="36">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szCs w:val="24"/>
    </w:rPr>
  </w:style>
  <w:style w:type="paragraph" w:styleId="7">
    <w:name w:val="toc 7"/>
    <w:basedOn w:val="1"/>
    <w:next w:val="1"/>
    <w:qFormat/>
    <w:uiPriority w:val="0"/>
    <w:pPr>
      <w:ind w:left="2520" w:leftChars="1200"/>
    </w:pPr>
  </w:style>
  <w:style w:type="paragraph" w:styleId="8">
    <w:name w:val="Document Map"/>
    <w:basedOn w:val="1"/>
    <w:link w:val="66"/>
    <w:qFormat/>
    <w:uiPriority w:val="0"/>
    <w:pPr>
      <w:shd w:val="clear" w:color="auto" w:fill="000080"/>
    </w:pPr>
  </w:style>
  <w:style w:type="paragraph" w:styleId="9">
    <w:name w:val="annotation text"/>
    <w:basedOn w:val="1"/>
    <w:link w:val="86"/>
    <w:qFormat/>
    <w:uiPriority w:val="0"/>
    <w:pPr>
      <w:jc w:val="left"/>
    </w:pPr>
  </w:style>
  <w:style w:type="paragraph" w:styleId="10">
    <w:name w:val="Body Text"/>
    <w:basedOn w:val="1"/>
    <w:link w:val="98"/>
    <w:qFormat/>
    <w:uiPriority w:val="0"/>
    <w:pPr>
      <w:tabs>
        <w:tab w:val="left" w:pos="5040"/>
      </w:tabs>
    </w:pPr>
    <w:rPr>
      <w:rFonts w:ascii="宋体" w:hAnsi="宋体"/>
      <w:sz w:val="24"/>
      <w:szCs w:val="24"/>
    </w:rPr>
  </w:style>
  <w:style w:type="paragraph" w:styleId="11">
    <w:name w:val="Body Text Indent"/>
    <w:basedOn w:val="1"/>
    <w:link w:val="65"/>
    <w:qFormat/>
    <w:uiPriority w:val="0"/>
    <w:pPr>
      <w:ind w:firstLine="480" w:firstLineChars="200"/>
    </w:pPr>
    <w:rPr>
      <w:sz w:val="24"/>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84"/>
    <w:qFormat/>
    <w:uiPriority w:val="0"/>
    <w:rPr>
      <w:rFonts w:ascii="宋体" w:hAnsi="Courier New" w:cs="Courier New"/>
      <w:szCs w:val="21"/>
    </w:rPr>
  </w:style>
  <w:style w:type="paragraph" w:styleId="14">
    <w:name w:val="toc 8"/>
    <w:basedOn w:val="7"/>
    <w:next w:val="1"/>
    <w:qFormat/>
    <w:uiPriority w:val="0"/>
    <w:pPr>
      <w:widowControl/>
      <w:tabs>
        <w:tab w:val="left" w:pos="9000"/>
      </w:tabs>
      <w:ind w:left="0" w:leftChars="0"/>
    </w:pPr>
    <w:rPr>
      <w:rFonts w:ascii="宋体"/>
      <w:kern w:val="0"/>
    </w:rPr>
  </w:style>
  <w:style w:type="paragraph" w:styleId="15">
    <w:name w:val="Date"/>
    <w:basedOn w:val="1"/>
    <w:next w:val="1"/>
    <w:link w:val="89"/>
    <w:qFormat/>
    <w:uiPriority w:val="0"/>
    <w:pPr>
      <w:ind w:left="100" w:leftChars="2500"/>
    </w:pPr>
  </w:style>
  <w:style w:type="paragraph" w:styleId="16">
    <w:name w:val="Body Text Indent 2"/>
    <w:basedOn w:val="1"/>
    <w:link w:val="99"/>
    <w:qFormat/>
    <w:uiPriority w:val="0"/>
    <w:pPr>
      <w:ind w:firstLine="508" w:firstLineChars="242"/>
    </w:pPr>
    <w:rPr>
      <w:szCs w:val="24"/>
    </w:rPr>
  </w:style>
  <w:style w:type="paragraph" w:styleId="17">
    <w:name w:val="Balloon Text"/>
    <w:basedOn w:val="1"/>
    <w:link w:val="67"/>
    <w:qFormat/>
    <w:uiPriority w:val="99"/>
    <w:rPr>
      <w:sz w:val="18"/>
    </w:rPr>
  </w:style>
  <w:style w:type="paragraph" w:styleId="18">
    <w:name w:val="footer"/>
    <w:basedOn w:val="1"/>
    <w:link w:val="44"/>
    <w:unhideWhenUsed/>
    <w:qFormat/>
    <w:uiPriority w:val="99"/>
    <w:pPr>
      <w:tabs>
        <w:tab w:val="center" w:pos="4153"/>
        <w:tab w:val="right" w:pos="8306"/>
      </w:tabs>
      <w:snapToGrid w:val="0"/>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rFonts w:ascii="Calibri" w:hAnsi="Calibri"/>
      <w:szCs w:val="22"/>
    </w:rPr>
  </w:style>
  <w:style w:type="paragraph" w:styleId="21">
    <w:name w:val="footnote text"/>
    <w:basedOn w:val="1"/>
    <w:link w:val="64"/>
    <w:qFormat/>
    <w:uiPriority w:val="0"/>
    <w:pPr>
      <w:snapToGrid w:val="0"/>
      <w:jc w:val="left"/>
    </w:pPr>
    <w:rPr>
      <w:sz w:val="18"/>
    </w:rPr>
  </w:style>
  <w:style w:type="paragraph" w:styleId="22">
    <w:name w:val="Body Text Indent 3"/>
    <w:basedOn w:val="1"/>
    <w:link w:val="100"/>
    <w:qFormat/>
    <w:uiPriority w:val="0"/>
    <w:pPr>
      <w:ind w:firstLine="405" w:firstLineChars="193"/>
    </w:pPr>
    <w:rPr>
      <w:szCs w:val="24"/>
    </w:rPr>
  </w:style>
  <w:style w:type="paragraph" w:styleId="23">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4">
    <w:name w:val="Body Text 2"/>
    <w:basedOn w:val="1"/>
    <w:link w:val="101"/>
    <w:qFormat/>
    <w:uiPriority w:val="0"/>
    <w:pPr>
      <w:spacing w:line="480" w:lineRule="exact"/>
      <w:jc w:val="left"/>
    </w:pPr>
    <w:rPr>
      <w:spacing w:val="-10"/>
      <w:kern w:val="0"/>
      <w:sz w:val="24"/>
      <w:szCs w:val="24"/>
    </w:rPr>
  </w:style>
  <w:style w:type="paragraph" w:styleId="25">
    <w:name w:val="HTML Preformatted"/>
    <w:basedOn w:val="1"/>
    <w:link w:val="10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annotation subject"/>
    <w:basedOn w:val="9"/>
    <w:next w:val="9"/>
    <w:link w:val="87"/>
    <w:qFormat/>
    <w:uiPriority w:val="0"/>
    <w:rPr>
      <w:b/>
      <w:bCs/>
    </w:rPr>
  </w:style>
  <w:style w:type="paragraph" w:styleId="27">
    <w:name w:val="Body Text First Indent 2"/>
    <w:basedOn w:val="11"/>
    <w:link w:val="103"/>
    <w:qFormat/>
    <w:uiPriority w:val="0"/>
    <w:pPr>
      <w:spacing w:after="120"/>
      <w:ind w:left="420" w:firstLine="210" w:firstLineChars="0"/>
    </w:pPr>
    <w:rPr>
      <w:rFonts w:hint="eastAsia" w:ascii="宋体" w:hAnsi="宋体"/>
      <w:sz w:val="21"/>
    </w:rPr>
  </w:style>
  <w:style w:type="table" w:styleId="29">
    <w:name w:val="Table Grid"/>
    <w:basedOn w:val="28"/>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30">
    <w:name w:val="Medium Grid 3 Accent 1"/>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31">
    <w:name w:val="Medium Grid 3 Accent 2"/>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32">
    <w:name w:val="Medium Grid 3 Accent 3"/>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33">
    <w:name w:val="Medium Grid 3 Accent 4"/>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34">
    <w:name w:val="Medium Grid 3 Accent 5"/>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35">
    <w:name w:val="Medium Grid 3 Accent 6"/>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37">
    <w:name w:val="Strong"/>
    <w:basedOn w:val="36"/>
    <w:qFormat/>
    <w:uiPriority w:val="0"/>
    <w:rPr>
      <w:b/>
      <w:bCs/>
    </w:rPr>
  </w:style>
  <w:style w:type="character" w:styleId="38">
    <w:name w:val="page number"/>
    <w:basedOn w:val="36"/>
    <w:qFormat/>
    <w:uiPriority w:val="99"/>
  </w:style>
  <w:style w:type="character" w:styleId="39">
    <w:name w:val="FollowedHyperlink"/>
    <w:qFormat/>
    <w:uiPriority w:val="0"/>
    <w:rPr>
      <w:color w:val="800080"/>
      <w:u w:val="single"/>
    </w:rPr>
  </w:style>
  <w:style w:type="character" w:styleId="40">
    <w:name w:val="Hyperlink"/>
    <w:basedOn w:val="36"/>
    <w:qFormat/>
    <w:uiPriority w:val="99"/>
    <w:rPr>
      <w:color w:val="261CDC"/>
      <w:u w:val="single"/>
    </w:rPr>
  </w:style>
  <w:style w:type="character" w:styleId="41">
    <w:name w:val="annotation reference"/>
    <w:basedOn w:val="36"/>
    <w:qFormat/>
    <w:uiPriority w:val="99"/>
    <w:rPr>
      <w:sz w:val="21"/>
      <w:szCs w:val="21"/>
    </w:rPr>
  </w:style>
  <w:style w:type="character" w:styleId="42">
    <w:name w:val="footnote reference"/>
    <w:basedOn w:val="36"/>
    <w:qFormat/>
    <w:uiPriority w:val="0"/>
    <w:rPr>
      <w:vertAlign w:val="superscript"/>
    </w:rPr>
  </w:style>
  <w:style w:type="character" w:customStyle="1" w:styleId="43">
    <w:name w:val="页眉 Char"/>
    <w:basedOn w:val="36"/>
    <w:link w:val="19"/>
    <w:qFormat/>
    <w:uiPriority w:val="99"/>
    <w:rPr>
      <w:sz w:val="18"/>
      <w:szCs w:val="18"/>
    </w:rPr>
  </w:style>
  <w:style w:type="character" w:customStyle="1" w:styleId="44">
    <w:name w:val="页脚 Char"/>
    <w:basedOn w:val="36"/>
    <w:link w:val="18"/>
    <w:qFormat/>
    <w:uiPriority w:val="99"/>
    <w:rPr>
      <w:sz w:val="18"/>
      <w:szCs w:val="18"/>
    </w:rPr>
  </w:style>
  <w:style w:type="character" w:customStyle="1" w:styleId="45">
    <w:name w:val="标题 2 Char"/>
    <w:basedOn w:val="36"/>
    <w:link w:val="3"/>
    <w:qFormat/>
    <w:uiPriority w:val="9"/>
    <w:rPr>
      <w:rFonts w:ascii="Arial" w:hAnsi="Arial" w:eastAsia="黑体" w:cs="Times New Roman"/>
      <w:b/>
      <w:sz w:val="32"/>
      <w:szCs w:val="20"/>
    </w:rPr>
  </w:style>
  <w:style w:type="character" w:customStyle="1" w:styleId="46">
    <w:name w:val="段 Char"/>
    <w:link w:val="47"/>
    <w:qFormat/>
    <w:uiPriority w:val="99"/>
    <w:rPr>
      <w:rFonts w:ascii="宋体"/>
    </w:rPr>
  </w:style>
  <w:style w:type="paragraph" w:customStyle="1" w:styleId="47">
    <w:name w:val="段"/>
    <w:link w:val="46"/>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前言、引言标题"/>
    <w:next w:val="1"/>
    <w:qFormat/>
    <w:uiPriority w:val="0"/>
    <w:pPr>
      <w:shd w:val="clear" w:color="FFFFFF" w:fill="FFFFFF"/>
      <w:tabs>
        <w:tab w:val="left" w:pos="720"/>
      </w:tabs>
      <w:spacing w:before="640" w:after="560"/>
      <w:jc w:val="center"/>
      <w:outlineLvl w:val="0"/>
    </w:pPr>
    <w:rPr>
      <w:rFonts w:ascii="黑体" w:hAnsi="Times New Roman" w:eastAsia="黑体" w:cs="Times New Roman"/>
      <w:sz w:val="32"/>
      <w:lang w:val="en-US" w:eastAsia="zh-CN" w:bidi="ar-SA"/>
    </w:rPr>
  </w:style>
  <w:style w:type="paragraph" w:customStyle="1" w:styleId="51">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5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4">
    <w:name w:val="附录三级条标题"/>
    <w:basedOn w:val="55"/>
    <w:next w:val="47"/>
    <w:qFormat/>
    <w:uiPriority w:val="0"/>
    <w:pPr>
      <w:outlineLvl w:val="4"/>
    </w:pPr>
  </w:style>
  <w:style w:type="paragraph" w:customStyle="1" w:styleId="55">
    <w:name w:val="附录二级条标题"/>
    <w:basedOn w:val="56"/>
    <w:next w:val="47"/>
    <w:qFormat/>
    <w:uiPriority w:val="0"/>
    <w:pPr>
      <w:outlineLvl w:val="3"/>
    </w:pPr>
  </w:style>
  <w:style w:type="paragraph" w:customStyle="1" w:styleId="56">
    <w:name w:val="附录一级条标题"/>
    <w:basedOn w:val="1"/>
    <w:next w:val="47"/>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57">
    <w:name w:val="附录标识"/>
    <w:basedOn w:val="50"/>
    <w:qFormat/>
    <w:uiPriority w:val="0"/>
    <w:pPr>
      <w:tabs>
        <w:tab w:val="left" w:pos="6405"/>
      </w:tabs>
      <w:spacing w:after="200"/>
    </w:pPr>
    <w:rPr>
      <w:sz w:val="21"/>
    </w:rPr>
  </w:style>
  <w:style w:type="paragraph" w:customStyle="1" w:styleId="58">
    <w:name w:val="二级条标题"/>
    <w:basedOn w:val="59"/>
    <w:next w:val="47"/>
    <w:qFormat/>
    <w:uiPriority w:val="0"/>
  </w:style>
  <w:style w:type="paragraph" w:customStyle="1" w:styleId="59">
    <w:name w:val="一级条标题"/>
    <w:basedOn w:val="60"/>
    <w:next w:val="47"/>
    <w:qFormat/>
    <w:uiPriority w:val="0"/>
    <w:pPr>
      <w:spacing w:beforeLines="0" w:afterLines="0"/>
      <w:outlineLvl w:val="2"/>
    </w:pPr>
  </w:style>
  <w:style w:type="paragraph" w:customStyle="1" w:styleId="60">
    <w:name w:val="章标题"/>
    <w:next w:val="47"/>
    <w:link w:val="13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2">
    <w:name w:val="发布部门"/>
    <w:next w:val="47"/>
    <w:qFormat/>
    <w:uiPriority w:val="0"/>
    <w:pPr>
      <w:jc w:val="center"/>
    </w:pPr>
    <w:rPr>
      <w:rFonts w:ascii="宋体" w:hAnsi="Times New Roman" w:eastAsia="宋体" w:cs="Times New Roman"/>
      <w:b/>
      <w:spacing w:val="20"/>
      <w:w w:val="135"/>
      <w:sz w:val="36"/>
      <w:lang w:val="en-US" w:eastAsia="zh-CN" w:bidi="ar-SA"/>
    </w:rPr>
  </w:style>
  <w:style w:type="paragraph" w:customStyle="1" w:styleId="63">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64">
    <w:name w:val="脚注文本 Char"/>
    <w:basedOn w:val="36"/>
    <w:link w:val="21"/>
    <w:qFormat/>
    <w:uiPriority w:val="0"/>
    <w:rPr>
      <w:rFonts w:ascii="Times New Roman" w:hAnsi="Times New Roman" w:eastAsia="宋体" w:cs="Times New Roman"/>
      <w:sz w:val="18"/>
      <w:szCs w:val="20"/>
    </w:rPr>
  </w:style>
  <w:style w:type="character" w:customStyle="1" w:styleId="65">
    <w:name w:val="正文文本缩进 Char"/>
    <w:basedOn w:val="36"/>
    <w:link w:val="11"/>
    <w:qFormat/>
    <w:uiPriority w:val="0"/>
    <w:rPr>
      <w:rFonts w:ascii="Times New Roman" w:hAnsi="Times New Roman" w:eastAsia="宋体" w:cs="Times New Roman"/>
      <w:sz w:val="24"/>
      <w:szCs w:val="20"/>
    </w:rPr>
  </w:style>
  <w:style w:type="character" w:customStyle="1" w:styleId="66">
    <w:name w:val="文档结构图 Char"/>
    <w:basedOn w:val="36"/>
    <w:link w:val="8"/>
    <w:qFormat/>
    <w:uiPriority w:val="0"/>
    <w:rPr>
      <w:rFonts w:ascii="Times New Roman" w:hAnsi="Times New Roman" w:eastAsia="宋体" w:cs="Times New Roman"/>
      <w:szCs w:val="20"/>
      <w:shd w:val="clear" w:color="auto" w:fill="000080"/>
    </w:rPr>
  </w:style>
  <w:style w:type="character" w:customStyle="1" w:styleId="67">
    <w:name w:val="批注框文本 Char"/>
    <w:basedOn w:val="36"/>
    <w:link w:val="17"/>
    <w:qFormat/>
    <w:uiPriority w:val="99"/>
    <w:rPr>
      <w:rFonts w:ascii="Times New Roman" w:hAnsi="Times New Roman" w:eastAsia="宋体" w:cs="Times New Roman"/>
      <w:sz w:val="18"/>
      <w:szCs w:val="20"/>
    </w:rPr>
  </w:style>
  <w:style w:type="paragraph" w:customStyle="1" w:styleId="68">
    <w:name w:val="标准书眉_偶数页"/>
    <w:basedOn w:val="51"/>
    <w:next w:val="1"/>
    <w:qFormat/>
    <w:uiPriority w:val="0"/>
    <w:pPr>
      <w:jc w:val="left"/>
    </w:pPr>
  </w:style>
  <w:style w:type="paragraph" w:customStyle="1" w:styleId="69">
    <w:name w:val="三级条标题"/>
    <w:basedOn w:val="1"/>
    <w:next w:val="47"/>
    <w:qFormat/>
    <w:uiPriority w:val="99"/>
    <w:pPr>
      <w:widowControl/>
      <w:outlineLvl w:val="4"/>
    </w:pPr>
    <w:rPr>
      <w:rFonts w:ascii="黑体" w:hAnsi="宋体" w:eastAsia="黑体"/>
      <w:kern w:val="0"/>
    </w:rPr>
  </w:style>
  <w:style w:type="paragraph" w:customStyle="1" w:styleId="70">
    <w:name w:val="四级条标题"/>
    <w:basedOn w:val="69"/>
    <w:next w:val="47"/>
    <w:qFormat/>
    <w:uiPriority w:val="0"/>
    <w:pPr>
      <w:outlineLvl w:val="5"/>
    </w:pPr>
  </w:style>
  <w:style w:type="paragraph" w:customStyle="1" w:styleId="71">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72">
    <w:name w:val="附录图标题"/>
    <w:next w:val="47"/>
    <w:qFormat/>
    <w:uiPriority w:val="0"/>
    <w:pPr>
      <w:tabs>
        <w:tab w:val="left" w:pos="360"/>
      </w:tabs>
      <w:jc w:val="center"/>
    </w:pPr>
    <w:rPr>
      <w:rFonts w:ascii="黑体" w:hAnsi="Times New Roman" w:eastAsia="黑体" w:cs="Times New Roman"/>
      <w:sz w:val="21"/>
      <w:lang w:val="en-US" w:eastAsia="zh-CN" w:bidi="ar-SA"/>
    </w:rPr>
  </w:style>
  <w:style w:type="paragraph" w:customStyle="1" w:styleId="73">
    <w:name w:val="图表脚注"/>
    <w:next w:val="47"/>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8">
    <w:name w:val="发布日期"/>
    <w:qFormat/>
    <w:uiPriority w:val="0"/>
    <w:rPr>
      <w:rFonts w:ascii="Times New Roman" w:hAnsi="Times New Roman" w:eastAsia="黑体" w:cs="Times New Roman"/>
      <w:sz w:val="28"/>
      <w:lang w:val="en-US" w:eastAsia="zh-CN" w:bidi="ar-SA"/>
    </w:rPr>
  </w:style>
  <w:style w:type="paragraph" w:customStyle="1" w:styleId="79">
    <w:name w:val="五级条标题"/>
    <w:basedOn w:val="70"/>
    <w:next w:val="47"/>
    <w:qFormat/>
    <w:uiPriority w:val="0"/>
    <w:pPr>
      <w:outlineLvl w:val="6"/>
    </w:pPr>
  </w:style>
  <w:style w:type="paragraph" w:customStyle="1" w:styleId="80">
    <w:name w:val="附录四级条标题"/>
    <w:basedOn w:val="54"/>
    <w:next w:val="47"/>
    <w:qFormat/>
    <w:uiPriority w:val="0"/>
    <w:pPr>
      <w:outlineLvl w:val="5"/>
    </w:pPr>
  </w:style>
  <w:style w:type="paragraph" w:customStyle="1" w:styleId="81">
    <w:name w:val="附录表标题"/>
    <w:next w:val="47"/>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实施日期"/>
    <w:basedOn w:val="78"/>
    <w:qFormat/>
    <w:uiPriority w:val="0"/>
    <w:pPr>
      <w:jc w:val="right"/>
    </w:pPr>
  </w:style>
  <w:style w:type="character" w:customStyle="1" w:styleId="84">
    <w:name w:val="纯文本 Char"/>
    <w:basedOn w:val="36"/>
    <w:link w:val="13"/>
    <w:qFormat/>
    <w:uiPriority w:val="0"/>
    <w:rPr>
      <w:rFonts w:ascii="宋体" w:hAnsi="Courier New" w:eastAsia="宋体" w:cs="Courier New"/>
      <w:szCs w:val="21"/>
    </w:rPr>
  </w:style>
  <w:style w:type="paragraph" w:styleId="85">
    <w:name w:val="List Paragraph"/>
    <w:basedOn w:val="1"/>
    <w:qFormat/>
    <w:uiPriority w:val="99"/>
    <w:pPr>
      <w:ind w:firstLine="420" w:firstLineChars="200"/>
    </w:pPr>
  </w:style>
  <w:style w:type="character" w:customStyle="1" w:styleId="86">
    <w:name w:val="批注文字 Char1"/>
    <w:basedOn w:val="36"/>
    <w:link w:val="9"/>
    <w:qFormat/>
    <w:uiPriority w:val="99"/>
    <w:rPr>
      <w:rFonts w:ascii="Times New Roman" w:hAnsi="Times New Roman" w:eastAsia="宋体" w:cs="Times New Roman"/>
      <w:szCs w:val="20"/>
    </w:rPr>
  </w:style>
  <w:style w:type="character" w:customStyle="1" w:styleId="87">
    <w:name w:val="批注主题 Char"/>
    <w:basedOn w:val="86"/>
    <w:link w:val="26"/>
    <w:qFormat/>
    <w:uiPriority w:val="0"/>
    <w:rPr>
      <w:rFonts w:ascii="Times New Roman" w:hAnsi="Times New Roman" w:eastAsia="宋体" w:cs="Times New Roman"/>
      <w:b/>
      <w:bCs/>
      <w:szCs w:val="20"/>
    </w:rPr>
  </w:style>
  <w:style w:type="character" w:customStyle="1" w:styleId="88">
    <w:name w:val="sh141"/>
    <w:basedOn w:val="36"/>
    <w:qFormat/>
    <w:uiPriority w:val="0"/>
    <w:rPr>
      <w:color w:val="2B2B2B"/>
      <w:sz w:val="18"/>
      <w:szCs w:val="18"/>
    </w:rPr>
  </w:style>
  <w:style w:type="character" w:customStyle="1" w:styleId="89">
    <w:name w:val="日期 Char"/>
    <w:basedOn w:val="36"/>
    <w:link w:val="15"/>
    <w:qFormat/>
    <w:uiPriority w:val="0"/>
    <w:rPr>
      <w:rFonts w:ascii="Times New Roman" w:hAnsi="Times New Roman" w:eastAsia="宋体" w:cs="Times New Roman"/>
      <w:szCs w:val="20"/>
    </w:rPr>
  </w:style>
  <w:style w:type="paragraph" w:customStyle="1" w:styleId="90">
    <w:name w:val="封面标准号2"/>
    <w:basedOn w:val="49"/>
    <w:qFormat/>
    <w:uiPriority w:val="0"/>
    <w:pPr>
      <w:framePr w:w="9138" w:h="1244" w:hRule="exact" w:wrap="around" w:vAnchor="page" w:hAnchor="margin" w:y="2908" w:anchorLock="1"/>
      <w:adjustRightInd w:val="0"/>
      <w:spacing w:before="357" w:line="280" w:lineRule="exact"/>
    </w:pPr>
  </w:style>
  <w:style w:type="paragraph" w:customStyle="1" w:styleId="91">
    <w:name w:val="封面标准代替信息"/>
    <w:basedOn w:val="90"/>
    <w:qFormat/>
    <w:uiPriority w:val="0"/>
    <w:pPr>
      <w:framePr w:wrap="around"/>
      <w:spacing w:before="57"/>
    </w:pPr>
    <w:rPr>
      <w:rFonts w:ascii="宋体"/>
      <w:sz w:val="21"/>
    </w:rPr>
  </w:style>
  <w:style w:type="character" w:styleId="92">
    <w:name w:val="Placeholder Text"/>
    <w:basedOn w:val="36"/>
    <w:semiHidden/>
    <w:qFormat/>
    <w:uiPriority w:val="99"/>
    <w:rPr>
      <w:color w:val="808080"/>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character" w:customStyle="1" w:styleId="94">
    <w:name w:val="Char Char"/>
    <w:qFormat/>
    <w:locked/>
    <w:uiPriority w:val="0"/>
    <w:rPr>
      <w:rFonts w:ascii="宋体" w:hAnsi="宋体" w:eastAsia="黑体"/>
      <w:kern w:val="2"/>
      <w:sz w:val="21"/>
      <w:szCs w:val="24"/>
      <w:lang w:val="en-US" w:eastAsia="zh-CN" w:bidi="ar-SA"/>
    </w:rPr>
  </w:style>
  <w:style w:type="character" w:customStyle="1" w:styleId="95">
    <w:name w:val="标题 1 Char"/>
    <w:basedOn w:val="36"/>
    <w:link w:val="2"/>
    <w:qFormat/>
    <w:uiPriority w:val="0"/>
    <w:rPr>
      <w:b/>
      <w:bCs/>
      <w:kern w:val="2"/>
      <w:sz w:val="32"/>
      <w:szCs w:val="24"/>
    </w:rPr>
  </w:style>
  <w:style w:type="character" w:customStyle="1" w:styleId="96">
    <w:name w:val="标题 3 Char"/>
    <w:basedOn w:val="36"/>
    <w:link w:val="4"/>
    <w:qFormat/>
    <w:uiPriority w:val="9"/>
    <w:rPr>
      <w:rFonts w:ascii="Calibri" w:hAnsi="Calibri"/>
      <w:b/>
      <w:bCs/>
      <w:kern w:val="2"/>
      <w:sz w:val="21"/>
      <w:szCs w:val="32"/>
    </w:rPr>
  </w:style>
  <w:style w:type="character" w:customStyle="1" w:styleId="97">
    <w:name w:val="标题 4 Char"/>
    <w:basedOn w:val="36"/>
    <w:link w:val="5"/>
    <w:qFormat/>
    <w:uiPriority w:val="0"/>
    <w:rPr>
      <w:kern w:val="2"/>
      <w:sz w:val="44"/>
      <w:szCs w:val="24"/>
    </w:rPr>
  </w:style>
  <w:style w:type="character" w:customStyle="1" w:styleId="98">
    <w:name w:val="正文文本 Char"/>
    <w:basedOn w:val="36"/>
    <w:link w:val="10"/>
    <w:qFormat/>
    <w:uiPriority w:val="0"/>
    <w:rPr>
      <w:rFonts w:ascii="宋体" w:hAnsi="宋体"/>
      <w:kern w:val="2"/>
      <w:sz w:val="24"/>
      <w:szCs w:val="24"/>
    </w:rPr>
  </w:style>
  <w:style w:type="character" w:customStyle="1" w:styleId="99">
    <w:name w:val="正文文本缩进 2 Char"/>
    <w:basedOn w:val="36"/>
    <w:link w:val="16"/>
    <w:qFormat/>
    <w:uiPriority w:val="0"/>
    <w:rPr>
      <w:kern w:val="2"/>
      <w:sz w:val="21"/>
      <w:szCs w:val="24"/>
    </w:rPr>
  </w:style>
  <w:style w:type="character" w:customStyle="1" w:styleId="100">
    <w:name w:val="正文文本缩进 3 Char"/>
    <w:basedOn w:val="36"/>
    <w:link w:val="22"/>
    <w:qFormat/>
    <w:uiPriority w:val="0"/>
    <w:rPr>
      <w:kern w:val="2"/>
      <w:sz w:val="21"/>
      <w:szCs w:val="24"/>
    </w:rPr>
  </w:style>
  <w:style w:type="character" w:customStyle="1" w:styleId="101">
    <w:name w:val="正文文本 2 Char"/>
    <w:basedOn w:val="36"/>
    <w:link w:val="24"/>
    <w:qFormat/>
    <w:uiPriority w:val="0"/>
    <w:rPr>
      <w:spacing w:val="-10"/>
      <w:sz w:val="24"/>
      <w:szCs w:val="24"/>
    </w:rPr>
  </w:style>
  <w:style w:type="character" w:customStyle="1" w:styleId="102">
    <w:name w:val="HTML 预设格式 Char"/>
    <w:basedOn w:val="36"/>
    <w:link w:val="25"/>
    <w:qFormat/>
    <w:uiPriority w:val="99"/>
    <w:rPr>
      <w:rFonts w:ascii="宋体" w:hAnsi="宋体" w:cs="宋体"/>
      <w:sz w:val="24"/>
      <w:szCs w:val="24"/>
    </w:rPr>
  </w:style>
  <w:style w:type="character" w:customStyle="1" w:styleId="103">
    <w:name w:val="正文首行缩进 2 Char"/>
    <w:basedOn w:val="65"/>
    <w:link w:val="27"/>
    <w:qFormat/>
    <w:uiPriority w:val="0"/>
    <w:rPr>
      <w:rFonts w:ascii="宋体" w:hAnsi="宋体" w:eastAsia="宋体" w:cs="Times New Roman"/>
      <w:kern w:val="2"/>
      <w:sz w:val="21"/>
      <w:szCs w:val="20"/>
    </w:rPr>
  </w:style>
  <w:style w:type="character" w:customStyle="1" w:styleId="104">
    <w:name w:val="Char Char1"/>
    <w:qFormat/>
    <w:locked/>
    <w:uiPriority w:val="0"/>
    <w:rPr>
      <w:rFonts w:ascii="宋体" w:hAnsi="宋体" w:eastAsia="宋体"/>
      <w:kern w:val="2"/>
      <w:sz w:val="21"/>
      <w:szCs w:val="24"/>
      <w:lang w:val="en-US" w:eastAsia="zh-CN" w:bidi="ar-SA"/>
    </w:rPr>
  </w:style>
  <w:style w:type="character" w:customStyle="1" w:styleId="105">
    <w:name w:val="Char Char2"/>
    <w:qFormat/>
    <w:locked/>
    <w:uiPriority w:val="0"/>
    <w:rPr>
      <w:rFonts w:ascii="宋体" w:hAnsi="宋体" w:eastAsia="宋体"/>
      <w:kern w:val="2"/>
      <w:sz w:val="24"/>
      <w:szCs w:val="24"/>
      <w:lang w:val="en-US" w:eastAsia="zh-CN" w:bidi="ar-SA"/>
    </w:rPr>
  </w:style>
  <w:style w:type="character" w:customStyle="1" w:styleId="106">
    <w:name w:val="一级"/>
    <w:qFormat/>
    <w:uiPriority w:val="0"/>
    <w:rPr>
      <w:rFonts w:hint="default" w:ascii="Arial" w:hAnsi="Arial" w:eastAsia="黑体" w:cs="Arial"/>
      <w:b/>
      <w:kern w:val="2"/>
      <w:sz w:val="32"/>
      <w:szCs w:val="24"/>
      <w:lang w:val="en-US" w:eastAsia="zh-CN" w:bidi="ar-SA"/>
    </w:rPr>
  </w:style>
  <w:style w:type="character" w:customStyle="1" w:styleId="107">
    <w:name w:val="Char Char13"/>
    <w:qFormat/>
    <w:uiPriority w:val="0"/>
    <w:rPr>
      <w:rFonts w:hint="eastAsia" w:ascii="宋体" w:hAnsi="宋体" w:eastAsia="宋体"/>
      <w:b/>
      <w:kern w:val="44"/>
      <w:sz w:val="44"/>
      <w:szCs w:val="24"/>
      <w:lang w:val="en-US" w:eastAsia="zh-CN" w:bidi="ar-SA"/>
    </w:rPr>
  </w:style>
  <w:style w:type="character" w:customStyle="1" w:styleId="108">
    <w:name w:val="Char Char3"/>
    <w:qFormat/>
    <w:locked/>
    <w:uiPriority w:val="0"/>
    <w:rPr>
      <w:rFonts w:ascii="宋体" w:hAnsi="宋体" w:eastAsia="宋体"/>
      <w:spacing w:val="-2"/>
      <w:kern w:val="2"/>
      <w:sz w:val="24"/>
      <w:szCs w:val="24"/>
      <w:lang w:val="en-US" w:eastAsia="zh-CN" w:bidi="ar-SA"/>
    </w:rPr>
  </w:style>
  <w:style w:type="character" w:customStyle="1" w:styleId="109">
    <w:name w:val="Char Char4"/>
    <w:qFormat/>
    <w:locked/>
    <w:uiPriority w:val="0"/>
    <w:rPr>
      <w:rFonts w:ascii="宋体" w:hAnsi="Courier New" w:eastAsia="宋体"/>
      <w:kern w:val="2"/>
      <w:sz w:val="21"/>
      <w:szCs w:val="21"/>
      <w:lang w:val="en-US" w:eastAsia="zh-CN" w:bidi="ar-SA"/>
    </w:rPr>
  </w:style>
  <w:style w:type="character" w:customStyle="1" w:styleId="110">
    <w:name w:val="列项——（一级） Char"/>
    <w:link w:val="111"/>
    <w:qFormat/>
    <w:locked/>
    <w:uiPriority w:val="0"/>
    <w:rPr>
      <w:rFonts w:ascii="宋体"/>
      <w:sz w:val="21"/>
    </w:rPr>
  </w:style>
  <w:style w:type="paragraph" w:customStyle="1" w:styleId="111">
    <w:name w:val="列项——（一级）"/>
    <w:link w:val="110"/>
    <w:qFormat/>
    <w:uiPriority w:val="0"/>
    <w:pPr>
      <w:widowControl w:val="0"/>
      <w:numPr>
        <w:ilvl w:val="0"/>
        <w:numId w:val="1"/>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112">
    <w:name w:val="二级"/>
    <w:qFormat/>
    <w:locked/>
    <w:uiPriority w:val="0"/>
    <w:rPr>
      <w:rFonts w:eastAsia="黑体"/>
      <w:bCs/>
      <w:kern w:val="2"/>
      <w:sz w:val="21"/>
      <w:szCs w:val="24"/>
      <w:lang w:val="en-US" w:eastAsia="zh-CN" w:bidi="ar-SA"/>
    </w:rPr>
  </w:style>
  <w:style w:type="character" w:customStyle="1" w:styleId="113">
    <w:name w:val="Char Char7"/>
    <w:qFormat/>
    <w:locked/>
    <w:uiPriority w:val="0"/>
    <w:rPr>
      <w:rFonts w:ascii="Calibri" w:hAnsi="Calibri" w:eastAsia="宋体"/>
      <w:kern w:val="2"/>
      <w:sz w:val="18"/>
      <w:szCs w:val="18"/>
      <w:lang w:val="en-US" w:eastAsia="zh-CN" w:bidi="ar-SA"/>
    </w:rPr>
  </w:style>
  <w:style w:type="character" w:customStyle="1" w:styleId="114">
    <w:name w:val="Char Char10"/>
    <w:qFormat/>
    <w:locked/>
    <w:uiPriority w:val="0"/>
    <w:rPr>
      <w:rFonts w:ascii="Cambria" w:hAnsi="Cambria" w:eastAsia="宋体" w:cs="宋体"/>
      <w:b/>
      <w:bCs/>
      <w:kern w:val="2"/>
      <w:sz w:val="21"/>
      <w:szCs w:val="32"/>
      <w:lang w:val="en-US" w:eastAsia="zh-CN" w:bidi="ar-SA"/>
    </w:rPr>
  </w:style>
  <w:style w:type="character" w:customStyle="1" w:styleId="115">
    <w:name w:val="发布"/>
    <w:qFormat/>
    <w:uiPriority w:val="0"/>
    <w:rPr>
      <w:rFonts w:hint="eastAsia" w:ascii="黑体" w:eastAsia="黑体"/>
      <w:spacing w:val="22"/>
      <w:w w:val="100"/>
      <w:position w:val="3"/>
      <w:sz w:val="28"/>
    </w:rPr>
  </w:style>
  <w:style w:type="character" w:customStyle="1" w:styleId="116">
    <w:name w:val="Char Char8"/>
    <w:qFormat/>
    <w:locked/>
    <w:uiPriority w:val="0"/>
    <w:rPr>
      <w:rFonts w:ascii="Calibri" w:hAnsi="Calibri" w:eastAsia="宋体"/>
      <w:kern w:val="2"/>
      <w:sz w:val="18"/>
      <w:szCs w:val="18"/>
      <w:lang w:val="en-US" w:eastAsia="zh-CN" w:bidi="ar-SA"/>
    </w:rPr>
  </w:style>
  <w:style w:type="character" w:customStyle="1" w:styleId="117">
    <w:name w:val="Char Char9"/>
    <w:qFormat/>
    <w:locked/>
    <w:uiPriority w:val="0"/>
    <w:rPr>
      <w:rFonts w:ascii="Calibri" w:hAnsi="Calibri" w:eastAsia="宋体" w:cs="宋体"/>
      <w:b/>
      <w:bCs/>
      <w:kern w:val="2"/>
      <w:sz w:val="21"/>
      <w:szCs w:val="32"/>
      <w:lang w:val="en-US" w:eastAsia="zh-CN" w:bidi="ar-SA"/>
    </w:rPr>
  </w:style>
  <w:style w:type="paragraph" w:customStyle="1" w:styleId="11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9">
    <w:name w:val="正文表标题"/>
    <w:next w:val="47"/>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12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1">
    <w:name w:val="TOC 标题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122">
    <w:name w:val="1"/>
    <w:basedOn w:val="1"/>
    <w:qFormat/>
    <w:uiPriority w:val="0"/>
    <w:pPr>
      <w:widowControl/>
      <w:spacing w:after="160" w:line="240" w:lineRule="exact"/>
      <w:jc w:val="left"/>
    </w:pPr>
    <w:rPr>
      <w:rFonts w:ascii="Verdana" w:hAnsi="Verdana"/>
      <w:kern w:val="0"/>
      <w:sz w:val="18"/>
      <w:lang w:eastAsia="en-US"/>
    </w:rPr>
  </w:style>
  <w:style w:type="paragraph" w:customStyle="1" w:styleId="123">
    <w:name w:val="封面标准名称"/>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124">
    <w:name w:val="样式1"/>
    <w:basedOn w:val="1"/>
    <w:qFormat/>
    <w:uiPriority w:val="0"/>
    <w:pPr>
      <w:tabs>
        <w:tab w:val="left" w:pos="525"/>
      </w:tabs>
    </w:pPr>
    <w:rPr>
      <w:rFonts w:ascii="宋体" w:hAnsi="宋体"/>
      <w:szCs w:val="21"/>
    </w:rPr>
  </w:style>
  <w:style w:type="paragraph" w:customStyle="1" w:styleId="125">
    <w:name w:val="目次、标准名称标题"/>
    <w:basedOn w:val="50"/>
    <w:next w:val="1"/>
    <w:qFormat/>
    <w:uiPriority w:val="0"/>
    <w:pPr>
      <w:shd w:val="clear" w:color="auto" w:fill="FFFFFF"/>
      <w:tabs>
        <w:tab w:val="clear" w:pos="720"/>
      </w:tabs>
      <w:spacing w:line="460" w:lineRule="exact"/>
    </w:pPr>
  </w:style>
  <w:style w:type="character" w:customStyle="1" w:styleId="126">
    <w:name w:val="HTML 预设格式 Char1"/>
    <w:semiHidden/>
    <w:qFormat/>
    <w:uiPriority w:val="99"/>
    <w:rPr>
      <w:rFonts w:ascii="Courier New" w:hAnsi="Courier New" w:cs="Courier New"/>
      <w:kern w:val="2"/>
    </w:rPr>
  </w:style>
  <w:style w:type="character" w:customStyle="1" w:styleId="127">
    <w:name w:val="font11"/>
    <w:qFormat/>
    <w:uiPriority w:val="99"/>
    <w:rPr>
      <w:rFonts w:hint="default" w:ascii="Times New Roman" w:hAnsi="Times New Roman" w:eastAsia="宋体" w:cs="Times New Roman"/>
      <w:color w:val="000000"/>
      <w:sz w:val="18"/>
      <w:szCs w:val="18"/>
      <w:u w:val="none"/>
    </w:rPr>
  </w:style>
  <w:style w:type="character" w:customStyle="1" w:styleId="128">
    <w:name w:val="批注文字 Char"/>
    <w:qFormat/>
    <w:uiPriority w:val="0"/>
    <w:rPr>
      <w:rFonts w:ascii="Times New Roman" w:hAnsi="Times New Roman"/>
      <w:kern w:val="2"/>
      <w:sz w:val="21"/>
      <w:szCs w:val="21"/>
    </w:rPr>
  </w:style>
  <w:style w:type="character" w:customStyle="1" w:styleId="129">
    <w:name w:val="font61"/>
    <w:basedOn w:val="36"/>
    <w:qFormat/>
    <w:uiPriority w:val="0"/>
    <w:rPr>
      <w:rFonts w:hint="default" w:ascii="Times New Roman" w:hAnsi="Times New Roman" w:eastAsia="宋体" w:cs="Times New Roman"/>
      <w:color w:val="000000"/>
      <w:sz w:val="18"/>
      <w:szCs w:val="18"/>
      <w:u w:val="none"/>
    </w:rPr>
  </w:style>
  <w:style w:type="character" w:customStyle="1" w:styleId="130">
    <w:name w:val="font31"/>
    <w:qFormat/>
    <w:uiPriority w:val="0"/>
    <w:rPr>
      <w:rFonts w:hint="eastAsia" w:ascii="宋体" w:hAnsi="宋体" w:eastAsia="宋体" w:cs="宋体"/>
      <w:i/>
      <w:color w:val="000000"/>
      <w:sz w:val="18"/>
      <w:szCs w:val="18"/>
      <w:u w:val="none"/>
      <w:vertAlign w:val="subscript"/>
    </w:rPr>
  </w:style>
  <w:style w:type="character" w:customStyle="1" w:styleId="131">
    <w:name w:val="font41"/>
    <w:qFormat/>
    <w:uiPriority w:val="0"/>
    <w:rPr>
      <w:rFonts w:hint="default" w:ascii="Times New Roman" w:hAnsi="Times New Roman" w:eastAsia="宋体" w:cs="Times New Roman"/>
      <w:color w:val="000000"/>
      <w:sz w:val="18"/>
      <w:szCs w:val="18"/>
      <w:u w:val="none"/>
    </w:rPr>
  </w:style>
  <w:style w:type="character" w:customStyle="1" w:styleId="132">
    <w:name w:val="font21"/>
    <w:qFormat/>
    <w:uiPriority w:val="0"/>
    <w:rPr>
      <w:rFonts w:hint="eastAsia" w:ascii="宋体" w:hAnsi="宋体" w:eastAsia="宋体" w:cs="宋体"/>
      <w:color w:val="000000"/>
      <w:sz w:val="18"/>
      <w:szCs w:val="18"/>
      <w:u w:val="none"/>
    </w:rPr>
  </w:style>
  <w:style w:type="paragraph" w:customStyle="1" w:styleId="1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134">
    <w:name w:val="中等深浅网格 31"/>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styleId="135">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36">
    <w:name w:val="fontstyle01"/>
    <w:basedOn w:val="36"/>
    <w:qFormat/>
    <w:uiPriority w:val="0"/>
    <w:rPr>
      <w:rFonts w:hint="default" w:ascii="FZXBSK--GBK1-0" w:hAnsi="FZXBSK--GBK1-0"/>
      <w:color w:val="000000"/>
      <w:sz w:val="52"/>
      <w:szCs w:val="52"/>
    </w:rPr>
  </w:style>
  <w:style w:type="character" w:customStyle="1" w:styleId="137">
    <w:name w:val="章标题 Char Char"/>
    <w:link w:val="60"/>
    <w:qFormat/>
    <w:locked/>
    <w:uiPriority w:val="0"/>
    <w:rPr>
      <w:rFonts w:ascii="黑体" w:eastAsia="黑体"/>
      <w:sz w:val="21"/>
    </w:rPr>
  </w:style>
  <w:style w:type="paragraph" w:customStyle="1" w:styleId="138">
    <w:name w:val="三级"/>
    <w:basedOn w:val="1"/>
    <w:qFormat/>
    <w:uiPriority w:val="0"/>
    <w:pPr>
      <w:snapToGrid w:val="0"/>
      <w:spacing w:line="276" w:lineRule="auto"/>
    </w:pPr>
    <w:rPr>
      <w:bCs/>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F3F05-1432-47EE-B39E-1D9DB1D07291}">
  <ds:schemaRefs/>
</ds:datastoreItem>
</file>

<file path=customXml/itemProps3.xml><?xml version="1.0" encoding="utf-8"?>
<ds:datastoreItem xmlns:ds="http://schemas.openxmlformats.org/officeDocument/2006/customXml" ds:itemID="{5A7DBFB1-FF2E-4772-AD6F-05E9537BBDA2}">
  <ds:schemaRefs/>
</ds:datastoreItem>
</file>

<file path=customXml/itemProps4.xml><?xml version="1.0" encoding="utf-8"?>
<ds:datastoreItem xmlns:ds="http://schemas.openxmlformats.org/officeDocument/2006/customXml" ds:itemID="{667E373F-A571-4898-9B03-9786C03ACF6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2275</Words>
  <Characters>12974</Characters>
  <Lines>108</Lines>
  <Paragraphs>30</Paragraphs>
  <TotalTime>133</TotalTime>
  <ScaleCrop>false</ScaleCrop>
  <LinksUpToDate>false</LinksUpToDate>
  <CharactersWithSpaces>15219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2020-09-19T05:16:00Z</dcterms:created>
  <dc:creator>冯祺</dc:creator>
  <cp:lastModifiedBy>Hongyan.Yang</cp:lastModifiedBy>
  <cp:lastPrinted>2023-07-24T07:50:02Z</cp:lastPrinted>
  <dcterms:modified xsi:type="dcterms:W3CDTF">2023-07-24T07:56:57Z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1B03F699F5E04098B6D96CF0A9443420</vt:lpwstr>
  </property>
</Properties>
</file>