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 w:cs="黑体"/>
          <w:color w:val="4F81BD" w:themeColor="accent1"/>
          <w:w w:val="90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微软雅黑" w:hAnsi="微软雅黑" w:eastAsia="微软雅黑" w:cs="黑体"/>
          <w:w w:val="90"/>
          <w:sz w:val="44"/>
          <w:szCs w:val="44"/>
        </w:rPr>
      </w:pPr>
    </w:p>
    <w:p>
      <w:pPr>
        <w:pStyle w:val="34"/>
        <w:adjustRightInd w:val="0"/>
        <w:snapToGrid w:val="0"/>
        <w:spacing w:after="0" w:line="324" w:lineRule="auto"/>
        <w:jc w:val="center"/>
        <w:rPr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铋精矿化学分析方法</w:t>
      </w:r>
    </w:p>
    <w:p>
      <w:pPr>
        <w:pStyle w:val="34"/>
        <w:adjustRightInd w:val="0"/>
        <w:snapToGrid w:val="0"/>
        <w:spacing w:after="0" w:line="324" w:lineRule="auto"/>
        <w:jc w:val="center"/>
        <w:rPr>
          <w:rFonts w:hint="eastAsia"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  <w:lang w:val="en-US" w:eastAsia="zh-CN"/>
        </w:rPr>
        <w:t>第1部分：</w:t>
      </w:r>
      <w:r>
        <w:rPr>
          <w:rFonts w:hint="eastAsia" w:hAnsi="宋体"/>
          <w:b/>
          <w:sz w:val="44"/>
          <w:szCs w:val="44"/>
        </w:rPr>
        <w:t>铋含量的测定</w:t>
      </w:r>
    </w:p>
    <w:p>
      <w:pPr>
        <w:pStyle w:val="34"/>
        <w:adjustRightInd w:val="0"/>
        <w:snapToGrid w:val="0"/>
        <w:spacing w:after="0" w:line="324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</w:t>
      </w:r>
      <w:r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EDTA</w:t>
      </w:r>
      <w:r>
        <w:rPr>
          <w:rFonts w:hint="eastAsia"/>
          <w:b/>
          <w:sz w:val="44"/>
          <w:szCs w:val="44"/>
        </w:rPr>
        <w:t>滴定</w:t>
      </w:r>
      <w:r>
        <w:rPr>
          <w:rFonts w:hint="eastAsia" w:hAnsi="宋体"/>
          <w:b/>
          <w:sz w:val="44"/>
          <w:szCs w:val="44"/>
        </w:rPr>
        <w:t>法</w:t>
      </w:r>
    </w:p>
    <w:p>
      <w:pPr>
        <w:adjustRightInd w:val="0"/>
        <w:snapToGrid w:val="0"/>
        <w:jc w:val="center"/>
        <w:rPr>
          <w:rFonts w:ascii="微软雅黑" w:hAnsi="微软雅黑" w:eastAsia="微软雅黑" w:cs="黑体"/>
          <w:w w:val="90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00" w:lineRule="auto"/>
        <w:jc w:val="center"/>
        <w:rPr>
          <w:rFonts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编 制 说 明</w:t>
      </w: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（预审稿）</w:t>
      </w: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北矿检测技术股份有限公司</w:t>
      </w:r>
    </w:p>
    <w:p>
      <w:pPr>
        <w:pStyle w:val="117"/>
        <w:spacing w:before="0" w:line="300" w:lineRule="auto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</w:rPr>
        <w:t>20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3年0</w:t>
      </w:r>
      <w:r>
        <w:rPr>
          <w:rFonts w:ascii="黑体" w:hAnsi="黑体" w:eastAsia="黑体"/>
          <w:sz w:val="30"/>
          <w:szCs w:val="30"/>
        </w:rPr>
        <w:t>7</w:t>
      </w:r>
      <w:r>
        <w:rPr>
          <w:rFonts w:hint="eastAsia" w:ascii="黑体" w:hAnsi="黑体" w:eastAsia="黑体"/>
          <w:sz w:val="30"/>
          <w:szCs w:val="30"/>
        </w:rPr>
        <w:t>月</w:t>
      </w:r>
    </w:p>
    <w:p>
      <w:pPr>
        <w:widowControl/>
        <w:jc w:val="lef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ascii="黑体" w:hAnsi="黑体" w:eastAsia="黑体" w:cs="黑体"/>
          <w:w w:val="90"/>
          <w:sz w:val="32"/>
          <w:szCs w:val="32"/>
        </w:rPr>
        <w:br w:type="page"/>
      </w:r>
    </w:p>
    <w:p>
      <w:pPr>
        <w:pStyle w:val="34"/>
        <w:adjustRightInd w:val="0"/>
        <w:snapToGrid w:val="0"/>
        <w:spacing w:after="0" w:line="324" w:lineRule="auto"/>
        <w:jc w:val="center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铋精矿化学分析方法</w:t>
      </w:r>
    </w:p>
    <w:p>
      <w:pPr>
        <w:pStyle w:val="34"/>
        <w:adjustRightInd w:val="0"/>
        <w:snapToGrid w:val="0"/>
        <w:spacing w:beforeLines="50" w:after="0" w:afterLines="50" w:line="324" w:lineRule="auto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hAnsi="宋体"/>
          <w:b/>
          <w:sz w:val="32"/>
          <w:szCs w:val="32"/>
          <w:lang w:val="en-US" w:eastAsia="zh-CN"/>
        </w:rPr>
        <w:t>第1部分：</w:t>
      </w:r>
      <w:r>
        <w:rPr>
          <w:rFonts w:hint="eastAsia" w:hAnsi="宋体"/>
          <w:b/>
          <w:sz w:val="32"/>
          <w:szCs w:val="32"/>
        </w:rPr>
        <w:t>铋含量的测定</w:t>
      </w:r>
      <w:r>
        <w:rPr>
          <w:rFonts w:hint="eastAsia" w:hAnsi="宋体"/>
          <w:b/>
          <w:sz w:val="32"/>
          <w:szCs w:val="32"/>
          <w:lang w:val="en-US" w:eastAsia="zh-CN"/>
        </w:rPr>
        <w:t xml:space="preserve"> </w:t>
      </w:r>
      <w:r>
        <w:rPr>
          <w:b/>
          <w:sz w:val="32"/>
          <w:szCs w:val="32"/>
        </w:rPr>
        <w:t>Na</w:t>
      </w:r>
      <w:r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</w:rPr>
        <w:t>EDTA</w:t>
      </w:r>
      <w:r>
        <w:rPr>
          <w:rFonts w:hint="eastAsia"/>
          <w:b/>
          <w:sz w:val="32"/>
          <w:szCs w:val="32"/>
        </w:rPr>
        <w:t>滴定</w:t>
      </w:r>
      <w:r>
        <w:rPr>
          <w:rFonts w:hint="eastAsia" w:hAnsi="宋体"/>
          <w:b/>
          <w:sz w:val="32"/>
          <w:szCs w:val="32"/>
        </w:rPr>
        <w:t>法</w:t>
      </w:r>
    </w:p>
    <w:p>
      <w:pPr>
        <w:adjustRightInd w:val="0"/>
        <w:snapToGrid w:val="0"/>
        <w:spacing w:beforeLines="50" w:afterLines="50" w:line="312" w:lineRule="auto"/>
        <w:rPr>
          <w:rFonts w:ascii="黑体" w:eastAsia="黑体" w:cs="Arial"/>
          <w:szCs w:val="21"/>
        </w:rPr>
      </w:pPr>
      <w:r>
        <w:rPr>
          <w:rFonts w:hint="eastAsia" w:ascii="黑体" w:hAnsi="宋体" w:eastAsia="黑体"/>
          <w:bCs/>
          <w:sz w:val="24"/>
        </w:rPr>
        <w:t xml:space="preserve">1. </w:t>
      </w:r>
      <w:r>
        <w:rPr>
          <w:rFonts w:hint="eastAsia" w:ascii="黑体" w:eastAsia="黑体" w:cs="Arial"/>
          <w:szCs w:val="21"/>
        </w:rPr>
        <w:t>工作简况</w:t>
      </w:r>
    </w:p>
    <w:p>
      <w:pPr>
        <w:adjustRightInd w:val="0"/>
        <w:snapToGrid w:val="0"/>
        <w:spacing w:beforeLines="50" w:afterLines="50" w:line="360" w:lineRule="auto"/>
        <w:rPr>
          <w:rFonts w:ascii="黑体" w:eastAsia="黑体" w:cs="Arial"/>
          <w:szCs w:val="21"/>
        </w:rPr>
      </w:pPr>
      <w:r>
        <w:rPr>
          <w:rFonts w:hint="eastAsia" w:ascii="黑体" w:eastAsia="黑体" w:cs="Arial"/>
          <w:szCs w:val="21"/>
        </w:rPr>
        <w:t>1.1任务来源</w:t>
      </w:r>
    </w:p>
    <w:p>
      <w:pPr>
        <w:adjustRightInd w:val="0"/>
        <w:snapToGrid w:val="0"/>
        <w:spacing w:beforeLines="50" w:afterLines="50" w:line="360" w:lineRule="auto"/>
        <w:ind w:firstLine="420"/>
        <w:rPr>
          <w:rFonts w:hAnsi="宋体"/>
          <w:szCs w:val="20"/>
        </w:rPr>
      </w:pPr>
      <w:r>
        <w:rPr>
          <w:rFonts w:asciiTheme="minorHAnsi" w:hAnsiTheme="minorHAnsi" w:eastAsiaTheme="minorEastAsia" w:cstheme="minorBidi"/>
          <w:szCs w:val="21"/>
        </w:rPr>
        <w:t>2022年7月1</w:t>
      </w:r>
      <w:r>
        <w:rPr>
          <w:rFonts w:hint="eastAsia" w:asciiTheme="minorHAnsi" w:hAnsiTheme="minorHAnsi" w:eastAsiaTheme="minorEastAsia" w:cstheme="minorBidi"/>
          <w:szCs w:val="21"/>
        </w:rPr>
        <w:t>日</w:t>
      </w:r>
      <w:r>
        <w:rPr>
          <w:rFonts w:asciiTheme="minorHAnsi" w:hAnsiTheme="minorHAnsi" w:eastAsiaTheme="minorEastAsia" w:cstheme="minorBidi"/>
          <w:szCs w:val="21"/>
        </w:rPr>
        <w:t>，</w:t>
      </w:r>
      <w:r>
        <w:rPr>
          <w:rFonts w:hint="eastAsia" w:asciiTheme="minorHAnsi" w:hAnsiTheme="minorHAnsi" w:eastAsiaTheme="minorEastAsia" w:cstheme="minorBidi"/>
          <w:szCs w:val="21"/>
        </w:rPr>
        <w:t>国家标准化管理委员会</w:t>
      </w:r>
      <w:r>
        <w:rPr>
          <w:rFonts w:asciiTheme="minorHAnsi" w:hAnsiTheme="minorHAnsi" w:eastAsiaTheme="minorEastAsia" w:cstheme="minorBidi"/>
          <w:szCs w:val="21"/>
        </w:rPr>
        <w:t>下达</w:t>
      </w:r>
      <w:r>
        <w:rPr>
          <w:rFonts w:hint="eastAsia" w:asciiTheme="minorHAnsi" w:hAnsiTheme="minorHAnsi" w:eastAsiaTheme="minorEastAsia" w:cstheme="minorBidi"/>
          <w:szCs w:val="21"/>
        </w:rPr>
        <w:t>了</w:t>
      </w:r>
      <w:r>
        <w:rPr>
          <w:rFonts w:asciiTheme="minorHAnsi" w:hAnsiTheme="minorHAnsi" w:eastAsiaTheme="minorEastAsia" w:cstheme="minorBidi"/>
          <w:szCs w:val="21"/>
        </w:rPr>
        <w:t>《</w:t>
      </w:r>
      <w:r>
        <w:rPr>
          <w:rFonts w:hint="eastAsia" w:asciiTheme="minorHAnsi" w:hAnsiTheme="minorHAnsi" w:eastAsiaTheme="minorEastAsia" w:cstheme="minorBidi"/>
          <w:szCs w:val="21"/>
        </w:rPr>
        <w:t>工业和信息化部办公厅关于印发2022年第二批行业标准制修订和外文版项目计划的通知</w:t>
      </w:r>
      <w:r>
        <w:rPr>
          <w:rFonts w:asciiTheme="minorHAnsi" w:hAnsiTheme="minorHAnsi" w:eastAsiaTheme="minorEastAsia" w:cstheme="minorBidi"/>
          <w:szCs w:val="21"/>
        </w:rPr>
        <w:t>》-</w:t>
      </w:r>
      <w:r>
        <w:rPr>
          <w:rFonts w:hint="eastAsia" w:asciiTheme="minorHAnsi" w:hAnsiTheme="minorHAnsi" w:eastAsiaTheme="minorEastAsia" w:cstheme="minorBidi"/>
          <w:szCs w:val="21"/>
        </w:rPr>
        <w:t>工信厅科函〔2022〕158号</w:t>
      </w:r>
      <w:r>
        <w:rPr>
          <w:rFonts w:asciiTheme="minorHAnsi" w:hAnsiTheme="minorHAnsi" w:eastAsiaTheme="minorEastAsia" w:cstheme="minorBidi"/>
          <w:szCs w:val="21"/>
        </w:rPr>
        <w:t>，其中《</w:t>
      </w:r>
      <w:r>
        <w:rPr>
          <w:rFonts w:hint="eastAsia" w:asciiTheme="minorHAnsi" w:hAnsiTheme="minorHAnsi" w:eastAsiaTheme="minorEastAsia" w:cstheme="minorBidi"/>
          <w:szCs w:val="21"/>
        </w:rPr>
        <w:t>铋精矿化学分析方法</w:t>
      </w:r>
      <w:r>
        <w:rPr>
          <w:rFonts w:hint="eastAsia" w:asciiTheme="minorHAnsi" w:hAnsiTheme="minorHAnsi" w:eastAsiaTheme="minorEastAsia" w:cstheme="minorBidi"/>
          <w:szCs w:val="21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Cs w:val="21"/>
        </w:rPr>
        <w:t>第1部分：铋含量的测定 Na</w:t>
      </w:r>
      <w:r>
        <w:rPr>
          <w:rFonts w:hint="eastAsia"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1"/>
        </w:rPr>
        <w:t>EDTA滴定法》由北矿检测技术股份有限公司负责</w:t>
      </w:r>
      <w:r>
        <w:rPr>
          <w:rFonts w:asciiTheme="minorHAnsi" w:hAnsiTheme="minorHAnsi" w:eastAsiaTheme="minorEastAsia" w:cstheme="minorBidi"/>
          <w:szCs w:val="21"/>
        </w:rPr>
        <w:t>起草，项目计划编号为</w:t>
      </w:r>
      <w:r>
        <w:rPr>
          <w:rFonts w:ascii="宋体" w:hAnsi="宋体" w:cs="宋体"/>
          <w:szCs w:val="21"/>
        </w:rPr>
        <w:t>2022-0817T-YS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Theme="minorHAnsi" w:hAnsiTheme="minorHAnsi" w:eastAsiaTheme="minorEastAsia" w:cstheme="minorBidi"/>
          <w:szCs w:val="21"/>
        </w:rPr>
        <w:t>项目周期18个月，项目</w:t>
      </w:r>
      <w:r>
        <w:rPr>
          <w:rFonts w:hint="eastAsia" w:hAnsi="宋体"/>
          <w:szCs w:val="20"/>
        </w:rPr>
        <w:t>计划</w:t>
      </w:r>
      <w:r>
        <w:rPr>
          <w:rFonts w:hAnsi="宋体"/>
          <w:szCs w:val="20"/>
        </w:rPr>
        <w:t>完成年限202</w:t>
      </w:r>
      <w:r>
        <w:rPr>
          <w:rFonts w:hint="eastAsia" w:hAnsi="宋体"/>
          <w:szCs w:val="20"/>
        </w:rPr>
        <w:t>3</w:t>
      </w:r>
      <w:r>
        <w:rPr>
          <w:rFonts w:hAnsi="宋体"/>
          <w:szCs w:val="20"/>
        </w:rPr>
        <w:t>年</w:t>
      </w:r>
      <w:r>
        <w:rPr>
          <w:rFonts w:hint="eastAsia" w:hAnsi="宋体"/>
          <w:szCs w:val="20"/>
        </w:rPr>
        <w:t>。</w:t>
      </w:r>
    </w:p>
    <w:p>
      <w:pPr>
        <w:widowControl/>
        <w:spacing w:line="360" w:lineRule="auto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1.2立项目的和意义</w:t>
      </w:r>
    </w:p>
    <w:p>
      <w:pPr>
        <w:spacing w:line="360" w:lineRule="auto"/>
        <w:ind w:firstLine="420"/>
        <w:rPr>
          <w:rFonts w:asciiTheme="minorHAnsi" w:hAnsiTheme="minorHAnsi" w:eastAsiaTheme="minorEastAsia" w:cstheme="minorBidi"/>
          <w:i/>
          <w:szCs w:val="21"/>
        </w:rPr>
      </w:pPr>
      <w:bookmarkStart w:id="0" w:name="_Toc451633880"/>
      <w:r>
        <w:rPr>
          <w:rFonts w:hint="eastAsia" w:asciiTheme="minorHAnsi" w:hAnsiTheme="minorHAnsi" w:eastAsiaTheme="minorEastAsia" w:cstheme="minorBidi"/>
          <w:szCs w:val="21"/>
        </w:rPr>
        <w:t>中国铋的储量居世界第一位，储量大概为24万吨，约占世界的75%。中国是世界最大的铋生产国，2016年中国铋产量为7400吨，约占世界产量的73%。铋几乎没有单独的铋矿床产出，铋的矿物大都与钨、钼、铅、锡、铜等金属矿物共生，所以在其它主金属选矿过程中可分离出铋精矿。</w:t>
      </w:r>
    </w:p>
    <w:p>
      <w:pPr>
        <w:spacing w:line="360" w:lineRule="auto"/>
        <w:ind w:firstLine="42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铋的含量是铋精矿最主要的技术指标，直接关乎铋精矿品级的评定。铋精矿中铋的分析方法有</w:t>
      </w:r>
      <w:bookmarkStart w:id="1" w:name="_Hlk139810036"/>
      <w:r>
        <w:rPr>
          <w:rFonts w:asciiTheme="minorHAnsi" w:hAnsiTheme="minorHAnsi" w:eastAsiaTheme="minorEastAsia" w:cstheme="minorBidi"/>
          <w:szCs w:val="21"/>
        </w:rPr>
        <w:t>YS/T 240.1-2007《铋精矿化学分析方法铋量的测定Na</w:t>
      </w:r>
      <w:r>
        <w:rPr>
          <w:rFonts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asciiTheme="minorHAnsi" w:hAnsiTheme="minorHAnsi" w:eastAsiaTheme="minorEastAsia" w:cstheme="minorBidi"/>
          <w:szCs w:val="21"/>
        </w:rPr>
        <w:t>EDTA滴定法》</w:t>
      </w:r>
      <w:bookmarkEnd w:id="1"/>
      <w:r>
        <w:rPr>
          <w:rFonts w:hint="eastAsia" w:asciiTheme="minorHAnsi" w:hAnsiTheme="minorHAnsi" w:eastAsiaTheme="minorEastAsia" w:cstheme="minorBidi"/>
          <w:szCs w:val="21"/>
        </w:rPr>
        <w:t>，其铋的测定范围为10%～40%，</w:t>
      </w:r>
      <w:r>
        <w:rPr>
          <w:rFonts w:asciiTheme="minorHAnsi" w:hAnsiTheme="minorHAnsi" w:eastAsiaTheme="minorEastAsia" w:cstheme="minorBidi"/>
          <w:szCs w:val="21"/>
        </w:rPr>
        <w:t>而</w:t>
      </w:r>
      <w:r>
        <w:rPr>
          <w:rFonts w:hint="eastAsia" w:asciiTheme="minorHAnsi" w:hAnsiTheme="minorHAnsi" w:eastAsiaTheme="minorEastAsia" w:cstheme="minorBidi"/>
          <w:szCs w:val="21"/>
        </w:rPr>
        <w:t>YS/T 321-2005</w:t>
      </w:r>
      <w:r>
        <w:rPr>
          <w:rFonts w:asciiTheme="minorHAnsi" w:hAnsiTheme="minorHAnsi" w:eastAsiaTheme="minorEastAsia" w:cstheme="minorBidi"/>
          <w:szCs w:val="21"/>
        </w:rPr>
        <w:t>《铋精矿》</w:t>
      </w:r>
      <w:r>
        <w:rPr>
          <w:rFonts w:hint="eastAsia" w:asciiTheme="minorHAnsi" w:hAnsiTheme="minorHAnsi" w:eastAsiaTheme="minorEastAsia" w:cstheme="minorBidi"/>
          <w:szCs w:val="21"/>
        </w:rPr>
        <w:t>技术条件中铋的含量分了</w:t>
      </w:r>
      <w:r>
        <w:rPr>
          <w:rFonts w:asciiTheme="minorHAnsi" w:hAnsiTheme="minorHAnsi" w:eastAsiaTheme="minorEastAsia" w:cstheme="minorBidi"/>
          <w:szCs w:val="21"/>
        </w:rPr>
        <w:t>60%</w:t>
      </w:r>
      <w:r>
        <w:rPr>
          <w:rFonts w:hint="eastAsia" w:asciiTheme="minorHAnsi" w:hAnsiTheme="minorHAnsi" w:eastAsiaTheme="minorEastAsia" w:cstheme="minorBidi"/>
          <w:szCs w:val="21"/>
        </w:rPr>
        <w:t>、</w:t>
      </w:r>
      <w:r>
        <w:rPr>
          <w:rFonts w:asciiTheme="minorHAnsi" w:hAnsiTheme="minorHAnsi" w:eastAsiaTheme="minorEastAsia" w:cstheme="minorBidi"/>
          <w:szCs w:val="21"/>
        </w:rPr>
        <w:t>50%</w:t>
      </w:r>
      <w:r>
        <w:rPr>
          <w:rFonts w:hint="eastAsia" w:asciiTheme="minorHAnsi" w:hAnsiTheme="minorHAnsi" w:eastAsiaTheme="minorEastAsia" w:cstheme="minorBidi"/>
          <w:szCs w:val="21"/>
        </w:rPr>
        <w:t>、</w:t>
      </w:r>
      <w:r>
        <w:rPr>
          <w:rFonts w:asciiTheme="minorHAnsi" w:hAnsiTheme="minorHAnsi" w:eastAsiaTheme="minorEastAsia" w:cstheme="minorBidi"/>
          <w:szCs w:val="21"/>
        </w:rPr>
        <w:t>40%</w:t>
      </w:r>
      <w:r>
        <w:rPr>
          <w:rFonts w:hint="eastAsia" w:asciiTheme="minorHAnsi" w:hAnsiTheme="minorHAnsi" w:eastAsiaTheme="minorEastAsia" w:cstheme="minorBidi"/>
          <w:szCs w:val="21"/>
        </w:rPr>
        <w:t>、</w:t>
      </w:r>
      <w:r>
        <w:rPr>
          <w:rFonts w:asciiTheme="minorHAnsi" w:hAnsiTheme="minorHAnsi" w:eastAsiaTheme="minorEastAsia" w:cstheme="minorBidi"/>
          <w:szCs w:val="21"/>
        </w:rPr>
        <w:t>30%</w:t>
      </w:r>
      <w:r>
        <w:rPr>
          <w:rFonts w:hint="eastAsia" w:asciiTheme="minorHAnsi" w:hAnsiTheme="minorHAnsi" w:eastAsiaTheme="minorEastAsia" w:cstheme="minorBidi"/>
          <w:szCs w:val="21"/>
        </w:rPr>
        <w:t>、</w:t>
      </w:r>
      <w:r>
        <w:rPr>
          <w:rFonts w:asciiTheme="minorHAnsi" w:hAnsiTheme="minorHAnsi" w:eastAsiaTheme="minorEastAsia" w:cstheme="minorBidi"/>
          <w:szCs w:val="21"/>
        </w:rPr>
        <w:t>20%五个品级</w:t>
      </w:r>
      <w:r>
        <w:rPr>
          <w:rFonts w:hint="eastAsia" w:asciiTheme="minorHAnsi" w:hAnsiTheme="minorHAnsi" w:eastAsiaTheme="minorEastAsia" w:cstheme="minorBidi"/>
          <w:szCs w:val="21"/>
        </w:rPr>
        <w:t>，</w:t>
      </w:r>
      <w:r>
        <w:rPr>
          <w:rFonts w:asciiTheme="minorHAnsi" w:hAnsiTheme="minorHAnsi" w:eastAsiaTheme="minorEastAsia" w:cstheme="minorBidi"/>
          <w:szCs w:val="21"/>
        </w:rPr>
        <w:t>对于</w:t>
      </w:r>
      <w:r>
        <w:rPr>
          <w:rFonts w:hint="eastAsia" w:asciiTheme="minorHAnsi" w:hAnsiTheme="minorHAnsi" w:eastAsiaTheme="minorEastAsia" w:cstheme="minorBidi"/>
          <w:szCs w:val="21"/>
        </w:rPr>
        <w:t>铋含量为40%～60%的铋精矿，超出了</w:t>
      </w:r>
      <w:r>
        <w:rPr>
          <w:rFonts w:asciiTheme="minorHAnsi" w:hAnsiTheme="minorHAnsi" w:eastAsiaTheme="minorEastAsia" w:cstheme="minorBidi"/>
          <w:szCs w:val="21"/>
        </w:rPr>
        <w:t>YS/T 240.1-2007应用</w:t>
      </w:r>
      <w:r>
        <w:rPr>
          <w:rFonts w:hint="eastAsia" w:asciiTheme="minorHAnsi" w:hAnsiTheme="minorHAnsi" w:eastAsiaTheme="minorEastAsia" w:cstheme="minorBidi"/>
          <w:szCs w:val="21"/>
        </w:rPr>
        <w:t>范围。而且在分析检测过程中，由于铋精矿原料越来越复杂，对于某些含硅高的样品如果按照</w:t>
      </w:r>
      <w:r>
        <w:rPr>
          <w:rFonts w:asciiTheme="minorHAnsi" w:hAnsiTheme="minorHAnsi" w:eastAsiaTheme="minorEastAsia" w:cstheme="minorBidi"/>
          <w:szCs w:val="21"/>
        </w:rPr>
        <w:t>YS/T 240.1-2007</w:t>
      </w:r>
      <w:r>
        <w:rPr>
          <w:rFonts w:hint="eastAsia" w:asciiTheme="minorHAnsi" w:hAnsiTheme="minorHAnsi" w:eastAsiaTheme="minorEastAsia" w:cstheme="minorBidi"/>
          <w:szCs w:val="21"/>
        </w:rPr>
        <w:t>处理，</w:t>
      </w:r>
      <w:r>
        <w:rPr>
          <w:rFonts w:asciiTheme="minorHAnsi" w:hAnsiTheme="minorHAnsi" w:eastAsiaTheme="minorEastAsia" w:cstheme="minorBidi"/>
          <w:szCs w:val="21"/>
        </w:rPr>
        <w:t>样品不能溶解完全</w:t>
      </w:r>
      <w:r>
        <w:rPr>
          <w:rFonts w:hint="eastAsia" w:asciiTheme="minorHAnsi" w:hAnsiTheme="minorHAnsi" w:eastAsiaTheme="minorEastAsia" w:cstheme="minorBidi"/>
          <w:szCs w:val="21"/>
        </w:rPr>
        <w:t>，对不溶物回渣测定发现仍有部分铋在渣里，需要对原来的方法</w:t>
      </w:r>
      <w:r>
        <w:rPr>
          <w:rFonts w:asciiTheme="minorHAnsi" w:hAnsiTheme="minorHAnsi" w:eastAsiaTheme="minorEastAsia" w:cstheme="minorBidi"/>
          <w:szCs w:val="21"/>
        </w:rPr>
        <w:t>的溶样进行改善</w:t>
      </w:r>
      <w:r>
        <w:rPr>
          <w:rFonts w:hint="eastAsia" w:asciiTheme="minorHAnsi" w:hAnsiTheme="minorHAnsi" w:eastAsiaTheme="minorEastAsia" w:cstheme="minorBidi"/>
          <w:szCs w:val="21"/>
        </w:rPr>
        <w:t>。因此需要对</w:t>
      </w:r>
      <w:r>
        <w:rPr>
          <w:rFonts w:asciiTheme="minorHAnsi" w:hAnsiTheme="minorHAnsi" w:eastAsiaTheme="minorEastAsia" w:cstheme="minorBidi"/>
          <w:szCs w:val="21"/>
        </w:rPr>
        <w:t>YS/T 240.1-2007进行修订</w:t>
      </w:r>
      <w:r>
        <w:rPr>
          <w:rFonts w:hint="eastAsia" w:asciiTheme="minorHAnsi" w:hAnsiTheme="minorHAnsi" w:eastAsiaTheme="minorEastAsia" w:cstheme="minorBidi"/>
          <w:szCs w:val="21"/>
        </w:rPr>
        <w:t>，</w:t>
      </w:r>
      <w:r>
        <w:rPr>
          <w:rFonts w:asciiTheme="minorHAnsi" w:hAnsiTheme="minorHAnsi" w:eastAsiaTheme="minorEastAsia" w:cstheme="minorBidi"/>
          <w:szCs w:val="21"/>
        </w:rPr>
        <w:t>使</w:t>
      </w:r>
      <w:r>
        <w:rPr>
          <w:rFonts w:hint="eastAsia" w:asciiTheme="minorHAnsi" w:hAnsiTheme="minorHAnsi" w:eastAsiaTheme="minorEastAsia" w:cstheme="minorBidi"/>
          <w:szCs w:val="21"/>
        </w:rPr>
        <w:t>标准</w:t>
      </w:r>
      <w:r>
        <w:rPr>
          <w:rFonts w:asciiTheme="minorHAnsi" w:hAnsiTheme="minorHAnsi" w:eastAsiaTheme="minorEastAsia" w:cstheme="minorBidi"/>
          <w:szCs w:val="21"/>
        </w:rPr>
        <w:t>更加科学</w:t>
      </w:r>
      <w:r>
        <w:rPr>
          <w:rFonts w:hint="eastAsia" w:asciiTheme="minorHAnsi" w:hAnsiTheme="minorHAnsi" w:eastAsiaTheme="minorEastAsia" w:cstheme="minorBidi"/>
          <w:szCs w:val="21"/>
        </w:rPr>
        <w:t>公正，满足实际要求。</w:t>
      </w:r>
    </w:p>
    <w:bookmarkEnd w:id="0"/>
    <w:p>
      <w:pPr>
        <w:widowControl/>
        <w:spacing w:line="360" w:lineRule="auto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1.3主要承担单位和工作成员所作的工作</w:t>
      </w:r>
    </w:p>
    <w:p>
      <w:pPr>
        <w:spacing w:line="360" w:lineRule="auto"/>
        <w:rPr>
          <w:rFonts w:asciiTheme="minorHAnsi" w:hAnsiTheme="minorHAnsi" w:eastAsiaTheme="minorEastAsia" w:cstheme="minorBidi"/>
          <w:sz w:val="24"/>
        </w:rPr>
      </w:pPr>
      <w:r>
        <w:rPr>
          <w:rFonts w:hint="eastAsia" w:hAnsi="黑体" w:cs="黑体" w:asciiTheme="minorHAnsi" w:eastAsiaTheme="minorEastAsia"/>
          <w:szCs w:val="21"/>
        </w:rPr>
        <w:t xml:space="preserve">1.3.1 </w:t>
      </w:r>
      <w:r>
        <w:rPr>
          <w:rFonts w:hint="eastAsia" w:ascii="黑体" w:hAnsi="黑体" w:eastAsia="黑体" w:cs="黑体"/>
          <w:kern w:val="0"/>
          <w:szCs w:val="21"/>
        </w:rPr>
        <w:t>主要承担单位情况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北矿检测技术股份有限公司源于1956年成立的北京矿冶研究总院分析研究室，2016年10月注册为独立法人单位，2022年9月改制为股份有限公司，是矿冶科技集团有限公司的二级控股子公司。公司主要从事有色金属矿产资源检验检测、检测技术及仪器研发与服务，承担国际国内仲裁检验检测、国际标准及国家和行业标准研制、分析检测技术和仪器研发等工作。公司同时为国家重有色金属质量监督检验中心、国家进出口商品检验有色金属认可实验室、中国有色金属工业重金属质检中心、科技成果检测鉴定国家级检测机构，在国内有色金属分析领域具有权威地位，在国际上享有一定声誉。公司是国家高新技术企业、中关村高新技术企业、科技型中小企业、国家专精特新“小巨人”企业、北京市专精特新“小巨人”企业、创建世界一流专精特新示范企业。公司拥有4个国家级平台和1个北京市重点实验室，发布国家和行业标准500余项、牵头和参与制定国际标准10余项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标准主编单位北矿检测技术股份有限公司在标准的编制过程中，积极收集相关的标准和文献，根据日常积累的经验和实际试验，确立了试验方案，编制了试验报告和标准文本，并发给参与标准起草的单位进行验证，并提出相关的修改意见。根据各单位反馈情况，确定了最终试验报告和方法文本。对实验数据进行数据统计分析，计算各元素的重复性限和再现性限。形成预审稿和编制说明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湖南柿竹园有色金属有限责任公司积极参与试验验证，担任试验验证一验工作，并负责样品的提供。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深圳市中金岭南有色金属股份有限公司、长沙矿冶院检测技术有限责任公司、大冶有色设计研究院有限公司、湖南有色金属研究院有限责任公司积极参与试验验证，担任试验验证一验工作。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广东先导稀材股份有限公司、株洲冶炼集团股份有限公司、中国有色桂林矿产地质研究院有限公司、昆明冶金研究院有限公司、中国检验认证集团广西有限公司、郴州市产商品质量监督检验所、赣州有色冶金研究所、郴州众鑫检测有限公司积极参与试验验证，担任试验验证二验工作。</w:t>
      </w:r>
    </w:p>
    <w:p>
      <w:pPr>
        <w:adjustRightInd w:val="0"/>
        <w:snapToGrid w:val="0"/>
        <w:spacing w:afterLines="50"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主要工作成员及其所负责的工作情况</w:t>
      </w:r>
    </w:p>
    <w:p>
      <w:pPr>
        <w:pStyle w:val="81"/>
        <w:numPr>
          <w:ilvl w:val="255"/>
          <w:numId w:val="0"/>
        </w:numPr>
        <w:adjustRightInd w:val="0"/>
        <w:snapToGrid w:val="0"/>
        <w:spacing w:before="0" w:beforeAutospacing="0" w:after="0" w:afterAutospacing="0" w:line="360" w:lineRule="auto"/>
        <w:ind w:firstLine="420" w:firstLineChars="200"/>
        <w:jc w:val="both"/>
        <w:rPr>
          <w:rFonts w:ascii="Times New Roman" w:cs="Times New Roman"/>
          <w:kern w:val="2"/>
          <w:sz w:val="21"/>
        </w:rPr>
      </w:pPr>
      <w:r>
        <w:rPr>
          <w:rFonts w:hint="eastAsia" w:ascii="Times New Roman" w:cs="Times New Roman"/>
          <w:kern w:val="2"/>
          <w:sz w:val="21"/>
        </w:rPr>
        <w:t>本标准主要起草人及工作职责见表1。</w:t>
      </w:r>
    </w:p>
    <w:p>
      <w:pPr>
        <w:pStyle w:val="121"/>
        <w:spacing w:beforeLines="50" w:afterLines="50"/>
        <w:ind w:firstLineChars="95"/>
        <w:jc w:val="center"/>
        <w:rPr>
          <w:b/>
          <w:szCs w:val="21"/>
        </w:rPr>
      </w:pPr>
      <w:r>
        <w:rPr>
          <w:rFonts w:hint="eastAsia"/>
          <w:b/>
          <w:szCs w:val="21"/>
        </w:rPr>
        <w:t>表1  本标准主要起草人及工作职责</w:t>
      </w:r>
    </w:p>
    <w:tbl>
      <w:tblPr>
        <w:tblStyle w:val="8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起草人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陈殿耿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负责标准起草、试验方案的确定，</w:t>
            </w:r>
            <w:r>
              <w:rPr>
                <w:rFonts w:hint="eastAsia"/>
                <w:szCs w:val="21"/>
              </w:rPr>
              <w:t>完成方法的实验方案</w:t>
            </w:r>
            <w:r>
              <w:rPr>
                <w:szCs w:val="21"/>
              </w:rPr>
              <w:t>及研究报告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部分的撰</w:t>
            </w:r>
            <w:r>
              <w:rPr>
                <w:rFonts w:hint="eastAsia"/>
                <w:szCs w:val="21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逯梦丽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</w:t>
            </w:r>
            <w:r>
              <w:rPr>
                <w:rFonts w:hint="eastAsia"/>
                <w:szCs w:val="21"/>
              </w:rPr>
              <w:t>精密度试验以及</w:t>
            </w:r>
            <w:r>
              <w:rPr>
                <w:rFonts w:hint="eastAsia" w:ascii="宋体" w:hAnsi="宋体"/>
                <w:szCs w:val="21"/>
              </w:rPr>
              <w:t>试验数据统计等工作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阮桂色</w:t>
            </w: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负责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调研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协调工作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对标准文本进行审查，提供相关的技术</w:t>
            </w: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参与标准试验验证一验工作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148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参与标准试验验证二验工作</w:t>
            </w:r>
          </w:p>
        </w:tc>
      </w:tr>
    </w:tbl>
    <w:p>
      <w:pPr>
        <w:adjustRightInd w:val="0"/>
        <w:snapToGrid w:val="0"/>
        <w:spacing w:beforeLines="50" w:line="312" w:lineRule="auto"/>
        <w:jc w:val="center"/>
        <w:rPr>
          <w:rFonts w:ascii="黑体" w:hAnsi="黑体" w:eastAsia="黑体"/>
          <w:szCs w:val="21"/>
        </w:rPr>
      </w:pPr>
    </w:p>
    <w:p>
      <w:pPr>
        <w:pStyle w:val="120"/>
        <w:tabs>
          <w:tab w:val="clear" w:pos="675"/>
        </w:tabs>
        <w:adjustRightInd w:val="0"/>
        <w:snapToGrid w:val="0"/>
        <w:spacing w:beforeLines="50" w:afterLines="50" w:line="312" w:lineRule="auto"/>
        <w:ind w:left="0" w:firstLine="0"/>
        <w:rPr>
          <w:rFonts w:hAnsi="黑体"/>
        </w:rPr>
      </w:pPr>
      <w:r>
        <w:rPr>
          <w:rFonts w:hAnsi="黑体"/>
        </w:rPr>
        <w:t>4</w:t>
      </w:r>
      <w:r>
        <w:rPr>
          <w:rFonts w:hint="eastAsia" w:hAnsi="黑体"/>
        </w:rPr>
        <w:t>、主要工作过程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.1</w:t>
      </w:r>
      <w:r>
        <w:rPr>
          <w:rFonts w:hint="eastAsia" w:ascii="黑体" w:hAnsi="黑体" w:eastAsia="黑体"/>
        </w:rPr>
        <w:t>预研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>20</w:t>
      </w:r>
      <w:r>
        <w:rPr>
          <w:szCs w:val="21"/>
        </w:rPr>
        <w:t>年7月</w:t>
      </w:r>
      <w:r>
        <w:rPr>
          <w:rFonts w:hint="eastAsia" w:ascii="宋体" w:hAnsi="宋体"/>
          <w:szCs w:val="21"/>
        </w:rPr>
        <w:t>～</w:t>
      </w:r>
      <w:r>
        <w:rPr>
          <w:szCs w:val="21"/>
        </w:rPr>
        <w:t>20</w:t>
      </w:r>
      <w:r>
        <w:rPr>
          <w:rFonts w:hint="eastAsia"/>
          <w:szCs w:val="21"/>
        </w:rPr>
        <w:t>20</w:t>
      </w:r>
      <w:r>
        <w:rPr>
          <w:szCs w:val="21"/>
        </w:rPr>
        <w:t>年10月，起草单位对</w:t>
      </w:r>
      <w:r>
        <w:rPr>
          <w:rFonts w:hint="eastAsia"/>
          <w:szCs w:val="21"/>
        </w:rPr>
        <w:t>通过调研咨询铋精矿生产企业和检测实验室</w:t>
      </w:r>
      <w:r>
        <w:rPr>
          <w:szCs w:val="21"/>
        </w:rPr>
        <w:t>，</w:t>
      </w:r>
      <w:r>
        <w:rPr>
          <w:rFonts w:hint="eastAsia" w:ascii="宋体" w:hAnsi="宋体"/>
          <w:szCs w:val="21"/>
        </w:rPr>
        <w:t>结合产品标准</w:t>
      </w:r>
      <w:r>
        <w:rPr>
          <w:rFonts w:hint="eastAsia" w:asciiTheme="minorHAnsi" w:hAnsiTheme="minorHAnsi" w:eastAsiaTheme="minorEastAsia" w:cstheme="minorBidi"/>
          <w:szCs w:val="21"/>
        </w:rPr>
        <w:t>YS/T 321-2005</w:t>
      </w:r>
      <w:r>
        <w:rPr>
          <w:rFonts w:asciiTheme="minorHAnsi" w:hAnsiTheme="minorHAnsi" w:eastAsiaTheme="minorEastAsia" w:cstheme="minorBidi"/>
          <w:szCs w:val="21"/>
        </w:rPr>
        <w:t>《铋精矿》</w:t>
      </w:r>
      <w:r>
        <w:rPr>
          <w:rFonts w:hint="eastAsia" w:asciiTheme="minorHAnsi" w:hAnsiTheme="minorHAnsi" w:eastAsiaTheme="minorEastAsia" w:cstheme="minorBidi"/>
          <w:szCs w:val="21"/>
        </w:rPr>
        <w:t>技术条件</w:t>
      </w:r>
      <w:r>
        <w:rPr>
          <w:rFonts w:hint="eastAsia" w:ascii="宋体" w:hAnsi="宋体"/>
          <w:szCs w:val="21"/>
        </w:rPr>
        <w:t>中各元素的含量范围，</w:t>
      </w:r>
      <w:r>
        <w:rPr>
          <w:szCs w:val="21"/>
        </w:rPr>
        <w:t>确定了含量范围和</w:t>
      </w:r>
      <w:r>
        <w:rPr>
          <w:rFonts w:hint="eastAsia"/>
          <w:szCs w:val="21"/>
        </w:rPr>
        <w:t>试验</w:t>
      </w:r>
      <w:r>
        <w:rPr>
          <w:szCs w:val="21"/>
        </w:rPr>
        <w:t>方案，经过</w:t>
      </w:r>
      <w:r>
        <w:rPr>
          <w:rFonts w:hint="eastAsia"/>
          <w:szCs w:val="21"/>
        </w:rPr>
        <w:t>本实验室初步试验验证</w:t>
      </w:r>
      <w:r>
        <w:rPr>
          <w:szCs w:val="21"/>
        </w:rPr>
        <w:t>，确定方案准确度高，精密度好。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4.2立项</w:t>
      </w:r>
    </w:p>
    <w:p>
      <w:pPr>
        <w:spacing w:line="360" w:lineRule="auto"/>
        <w:ind w:firstLine="420" w:firstLineChars="200"/>
        <w:rPr>
          <w:rFonts w:hAnsi="宋体"/>
          <w:szCs w:val="20"/>
        </w:rPr>
      </w:pPr>
      <w:r>
        <w:rPr>
          <w:rFonts w:hint="eastAsia" w:ascii="宋体" w:hAnsi="宋体"/>
          <w:szCs w:val="21"/>
        </w:rPr>
        <w:t>20</w:t>
      </w:r>
      <w:r>
        <w:rPr>
          <w:rFonts w:ascii="宋体" w:hAnsi="宋体"/>
          <w:szCs w:val="21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hint="eastAsia" w:ascii="宋体" w:hAnsi="宋体"/>
          <w:szCs w:val="21"/>
        </w:rPr>
        <w:t>月，</w:t>
      </w:r>
      <w:r>
        <w:rPr>
          <w:rFonts w:hint="eastAsia" w:asciiTheme="minorHAnsi" w:hAnsiTheme="minorHAnsi" w:eastAsiaTheme="minorEastAsia" w:cstheme="minorBidi"/>
          <w:szCs w:val="21"/>
        </w:rPr>
        <w:t>北矿检测技术股份有限公司</w:t>
      </w:r>
      <w:r>
        <w:rPr>
          <w:rFonts w:hint="eastAsia" w:ascii="宋体" w:hAnsi="宋体"/>
          <w:szCs w:val="21"/>
        </w:rPr>
        <w:t>提交了</w:t>
      </w:r>
      <w:r>
        <w:rPr>
          <w:rFonts w:hint="eastAsia" w:hAnsi="宋体" w:cs="宋体"/>
          <w:bCs/>
          <w:szCs w:val="21"/>
        </w:rPr>
        <w:t>《</w:t>
      </w:r>
      <w:r>
        <w:rPr>
          <w:rFonts w:hint="eastAsia" w:asciiTheme="minorHAnsi" w:hAnsiTheme="minorHAnsi" w:eastAsiaTheme="minorEastAsia" w:cstheme="minorBidi"/>
          <w:szCs w:val="21"/>
        </w:rPr>
        <w:t>铋精矿化学分析方法</w:t>
      </w:r>
      <w:r>
        <w:rPr>
          <w:rFonts w:hint="eastAsia" w:asciiTheme="minorHAnsi" w:hAnsiTheme="minorHAnsi" w:eastAsiaTheme="minorEastAsia" w:cstheme="minorBidi"/>
          <w:szCs w:val="21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Cs w:val="21"/>
        </w:rPr>
        <w:t>第1部分：铋含量的测定 Na</w:t>
      </w:r>
      <w:r>
        <w:rPr>
          <w:rFonts w:hint="eastAsia"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1"/>
        </w:rPr>
        <w:t>EDTA滴定法</w:t>
      </w:r>
      <w:r>
        <w:rPr>
          <w:rFonts w:hint="eastAsia" w:hAnsi="宋体" w:cs="宋体"/>
          <w:bCs/>
          <w:szCs w:val="21"/>
        </w:rPr>
        <w:t>》行业标准项目建议书、标准草案及标准立项说明等材料。</w:t>
      </w:r>
      <w:r>
        <w:rPr>
          <w:rFonts w:asciiTheme="minorHAnsi" w:hAnsiTheme="minorHAnsi" w:eastAsiaTheme="minorEastAsia" w:cstheme="minorBidi"/>
          <w:szCs w:val="21"/>
        </w:rPr>
        <w:t>2022年7月1</w:t>
      </w:r>
      <w:r>
        <w:rPr>
          <w:rFonts w:hint="eastAsia" w:asciiTheme="minorHAnsi" w:hAnsiTheme="minorHAnsi" w:eastAsiaTheme="minorEastAsia" w:cstheme="minorBidi"/>
          <w:szCs w:val="21"/>
        </w:rPr>
        <w:t>日</w:t>
      </w:r>
      <w:r>
        <w:rPr>
          <w:rFonts w:asciiTheme="minorHAnsi" w:hAnsiTheme="minorHAnsi" w:eastAsiaTheme="minorEastAsia" w:cstheme="minorBidi"/>
          <w:szCs w:val="21"/>
        </w:rPr>
        <w:t>，</w:t>
      </w:r>
      <w:r>
        <w:rPr>
          <w:rFonts w:hint="eastAsia" w:hAnsi="宋体" w:cs="宋体"/>
          <w:bCs/>
          <w:szCs w:val="21"/>
        </w:rPr>
        <w:t>国家标准化管理委员会下达了制定</w:t>
      </w:r>
      <w:r>
        <w:rPr>
          <w:rFonts w:asciiTheme="minorHAnsi" w:hAnsiTheme="minorHAnsi" w:eastAsiaTheme="minorEastAsia" w:cstheme="minorBidi"/>
          <w:szCs w:val="21"/>
        </w:rPr>
        <w:t>《</w:t>
      </w:r>
      <w:r>
        <w:rPr>
          <w:rFonts w:hint="eastAsia" w:asciiTheme="minorHAnsi" w:hAnsiTheme="minorHAnsi" w:eastAsiaTheme="minorEastAsia" w:cstheme="minorBidi"/>
          <w:szCs w:val="21"/>
        </w:rPr>
        <w:t>铋精矿化学分析方法第1部分：铋含量的测定 Na</w:t>
      </w:r>
      <w:r>
        <w:rPr>
          <w:rFonts w:hint="eastAsia"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1"/>
        </w:rPr>
        <w:t>EDTA滴定法》</w:t>
      </w:r>
      <w:r>
        <w:rPr>
          <w:rFonts w:hint="eastAsia" w:hAnsi="宋体" w:cs="宋体"/>
          <w:bCs/>
          <w:kern w:val="0"/>
          <w:szCs w:val="21"/>
        </w:rPr>
        <w:t>标准的任务，</w:t>
      </w:r>
      <w:r>
        <w:rPr>
          <w:rFonts w:asciiTheme="minorHAnsi" w:hAnsiTheme="minorHAnsi" w:eastAsiaTheme="minorEastAsia" w:cstheme="minorBidi"/>
          <w:szCs w:val="21"/>
        </w:rPr>
        <w:t>项目计划编号为</w:t>
      </w:r>
      <w:r>
        <w:rPr>
          <w:rFonts w:ascii="宋体" w:hAnsi="宋体" w:cs="宋体"/>
          <w:szCs w:val="21"/>
        </w:rPr>
        <w:t>2022-0817T-YS</w:t>
      </w:r>
      <w:r>
        <w:rPr>
          <w:rFonts w:hint="eastAsia" w:ascii="宋体" w:hAnsi="宋体" w:cs="宋体"/>
          <w:szCs w:val="21"/>
        </w:rPr>
        <w:t>，</w:t>
      </w:r>
      <w:r>
        <w:rPr>
          <w:rFonts w:hint="eastAsia" w:asciiTheme="minorHAnsi" w:hAnsiTheme="minorHAnsi" w:eastAsiaTheme="minorEastAsia" w:cstheme="minorBidi"/>
          <w:szCs w:val="21"/>
        </w:rPr>
        <w:t>项目周期18个月，项目</w:t>
      </w:r>
      <w:r>
        <w:rPr>
          <w:rFonts w:hint="eastAsia" w:hAnsi="宋体"/>
          <w:szCs w:val="20"/>
        </w:rPr>
        <w:t>计划</w:t>
      </w:r>
      <w:r>
        <w:rPr>
          <w:rFonts w:hAnsi="宋体"/>
          <w:szCs w:val="20"/>
        </w:rPr>
        <w:t>完成年限202</w:t>
      </w:r>
      <w:r>
        <w:rPr>
          <w:rFonts w:hint="eastAsia" w:hAnsi="宋体"/>
          <w:szCs w:val="20"/>
        </w:rPr>
        <w:t>3</w:t>
      </w:r>
      <w:r>
        <w:rPr>
          <w:rFonts w:hAnsi="宋体"/>
          <w:szCs w:val="20"/>
        </w:rPr>
        <w:t>年</w:t>
      </w:r>
      <w:r>
        <w:rPr>
          <w:rFonts w:hint="eastAsia" w:hAnsi="宋体"/>
          <w:szCs w:val="20"/>
        </w:rPr>
        <w:t>。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4.3 任务落实</w:t>
      </w:r>
    </w:p>
    <w:p>
      <w:pPr>
        <w:spacing w:line="360" w:lineRule="auto"/>
        <w:ind w:firstLine="420" w:firstLineChars="200"/>
        <w:rPr>
          <w:rFonts w:hAnsi="宋体" w:cs="宋体"/>
          <w:bCs/>
          <w:szCs w:val="21"/>
        </w:rPr>
      </w:pPr>
      <w:r>
        <w:rPr>
          <w:rFonts w:hint="eastAsia" w:hAnsi="宋体"/>
          <w:szCs w:val="20"/>
        </w:rPr>
        <w:t>2022年8月25日，全国有色金属标准化技术委员会在湖北省宜昌市召开了《铋精矿化学分析方法第1部分：铋含量的测定 Na</w:t>
      </w:r>
      <w:r>
        <w:rPr>
          <w:rFonts w:hint="eastAsia" w:hAnsi="宋体"/>
          <w:szCs w:val="20"/>
          <w:vertAlign w:val="subscript"/>
        </w:rPr>
        <w:t>2</w:t>
      </w:r>
      <w:r>
        <w:rPr>
          <w:rFonts w:hint="eastAsia" w:hAnsi="宋体"/>
          <w:szCs w:val="20"/>
        </w:rPr>
        <w:t>EDTA滴定法》等11项行业标准任务落实会议，会议决定本标准由</w:t>
      </w:r>
      <w:r>
        <w:rPr>
          <w:rFonts w:hint="eastAsia" w:asciiTheme="minorHAnsi" w:hAnsiTheme="minorHAnsi" w:eastAsiaTheme="minorEastAsia" w:cstheme="minorBidi"/>
          <w:szCs w:val="21"/>
        </w:rPr>
        <w:t>北矿检测技术股份有限公司负责起草，由</w:t>
      </w:r>
      <w:r>
        <w:rPr>
          <w:rFonts w:hint="eastAsia" w:cs="宋体"/>
          <w:szCs w:val="21"/>
        </w:rPr>
        <w:t>湖南柿竹园有色金属有限责任公司、深圳市中金岭南有色金属股份有限公司、长沙矿冶院检测技术有限责任公司、大冶有色设计研究院有限公司、湖南有色金属研究院有限责任公司、广东先导稀材股份有限公司、株洲冶炼集团股份有限公司、中国有色桂林矿产地质研究院有限公司、昆明冶金研究院有限公司、中国检验认证集团广西有限公司、郴州市产商品质量监督检验所、赣州有色冶金研究所、郴州众鑫检测有限公司</w:t>
      </w:r>
      <w:r>
        <w:rPr>
          <w:rFonts w:asciiTheme="minorHAnsi" w:hAnsiTheme="minorHAnsi" w:eastAsiaTheme="minorEastAsia" w:cstheme="minorBidi"/>
          <w:szCs w:val="21"/>
        </w:rPr>
        <w:t>共同完成</w:t>
      </w:r>
      <w:r>
        <w:rPr>
          <w:rFonts w:hint="eastAsia" w:asciiTheme="minorHAnsi" w:hAnsiTheme="minorHAnsi" w:eastAsiaTheme="minorEastAsia" w:cstheme="minorBidi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 w:ascii="黑体" w:hAnsi="黑体" w:eastAsia="黑体"/>
        </w:rPr>
        <w:t>4.4 标准起草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202</w:t>
      </w:r>
      <w:r>
        <w:rPr>
          <w:szCs w:val="21"/>
        </w:rPr>
        <w:t>2</w:t>
      </w:r>
      <w:r>
        <w:rPr>
          <w:rFonts w:hint="eastAsia"/>
          <w:szCs w:val="21"/>
        </w:rPr>
        <w:t>年</w:t>
      </w:r>
      <w:r>
        <w:rPr>
          <w:szCs w:val="21"/>
        </w:rPr>
        <w:t>9</w:t>
      </w:r>
      <w:r>
        <w:rPr>
          <w:rFonts w:hint="eastAsia"/>
          <w:szCs w:val="21"/>
        </w:rPr>
        <w:t>月~</w:t>
      </w:r>
      <w:r>
        <w:rPr>
          <w:szCs w:val="21"/>
        </w:rPr>
        <w:t>12</w:t>
      </w:r>
      <w:r>
        <w:rPr>
          <w:rFonts w:hint="eastAsia"/>
          <w:szCs w:val="21"/>
        </w:rPr>
        <w:t>月，</w:t>
      </w:r>
      <w:r>
        <w:rPr>
          <w:rFonts w:hint="eastAsia" w:cs="宋体"/>
          <w:szCs w:val="21"/>
        </w:rPr>
        <w:t>湖南柿竹园有色金属有限责任公司提供了</w:t>
      </w:r>
      <w:r>
        <w:rPr>
          <w:rFonts w:hint="eastAsia"/>
          <w:szCs w:val="21"/>
        </w:rPr>
        <w:t>多个铋精矿样品，</w:t>
      </w:r>
      <w:r>
        <w:rPr>
          <w:rFonts w:hint="eastAsia" w:asciiTheme="minorHAnsi" w:hAnsiTheme="minorHAnsi" w:eastAsiaTheme="minorEastAsia" w:cstheme="minorBidi"/>
          <w:szCs w:val="21"/>
        </w:rPr>
        <w:t>北矿检测技术股份有限公司从中选择并制备了4个水平的试验样品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23</w:t>
      </w:r>
      <w:r>
        <w:rPr>
          <w:rFonts w:hint="eastAsia"/>
          <w:szCs w:val="21"/>
        </w:rPr>
        <w:t>年</w:t>
      </w:r>
      <w:r>
        <w:rPr>
          <w:szCs w:val="21"/>
        </w:rPr>
        <w:t>1</w:t>
      </w:r>
      <w:r>
        <w:rPr>
          <w:rFonts w:hint="eastAsia"/>
          <w:szCs w:val="21"/>
        </w:rPr>
        <w:t>月~</w:t>
      </w:r>
      <w:r>
        <w:rPr>
          <w:szCs w:val="21"/>
        </w:rPr>
        <w:t>5</w:t>
      </w:r>
      <w:r>
        <w:rPr>
          <w:rFonts w:hint="eastAsia"/>
          <w:szCs w:val="21"/>
        </w:rPr>
        <w:t>月，</w:t>
      </w:r>
      <w:r>
        <w:rPr>
          <w:rFonts w:hint="eastAsia" w:asciiTheme="minorHAnsi" w:hAnsiTheme="minorHAnsi" w:eastAsiaTheme="minorEastAsia" w:cstheme="minorBidi"/>
          <w:szCs w:val="21"/>
        </w:rPr>
        <w:t>北矿检测技术股份有限公司</w:t>
      </w:r>
      <w:r>
        <w:rPr>
          <w:rFonts w:hint="eastAsia"/>
          <w:szCs w:val="21"/>
        </w:rPr>
        <w:t>组织技术人员成立了标准编制组，制定了该标准的研究内容、技术路线、任务分工和进度安排。开展了试验工作，包括称样量试验、样品分解条件、最佳测定条件、共存元素干扰等的研究，形成了《</w:t>
      </w:r>
      <w:r>
        <w:rPr>
          <w:rFonts w:hint="eastAsia" w:hAnsi="宋体"/>
          <w:szCs w:val="20"/>
        </w:rPr>
        <w:t>铋精矿化学分析方法第1部分：铋含量的测定 Na</w:t>
      </w:r>
      <w:r>
        <w:rPr>
          <w:rFonts w:hint="eastAsia" w:hAnsi="宋体"/>
          <w:szCs w:val="20"/>
          <w:vertAlign w:val="subscript"/>
        </w:rPr>
        <w:t>2</w:t>
      </w:r>
      <w:r>
        <w:rPr>
          <w:rFonts w:hint="eastAsia" w:hAnsi="宋体"/>
          <w:szCs w:val="20"/>
        </w:rPr>
        <w:t>EDTA滴定法</w:t>
      </w:r>
      <w:r>
        <w:rPr>
          <w:rFonts w:hint="eastAsia"/>
          <w:szCs w:val="21"/>
        </w:rPr>
        <w:t>》试验报告、标准文本讨论稿。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20</w:t>
      </w:r>
      <w:r>
        <w:rPr>
          <w:szCs w:val="21"/>
        </w:rPr>
        <w:t>23</w:t>
      </w:r>
      <w:r>
        <w:rPr>
          <w:rFonts w:hint="eastAsia"/>
          <w:szCs w:val="21"/>
        </w:rPr>
        <w:t>年</w:t>
      </w:r>
      <w:r>
        <w:rPr>
          <w:szCs w:val="21"/>
        </w:rPr>
        <w:t>6</w:t>
      </w:r>
      <w:r>
        <w:rPr>
          <w:rFonts w:hint="eastAsia"/>
          <w:szCs w:val="21"/>
        </w:rPr>
        <w:t>月，</w:t>
      </w:r>
      <w:r>
        <w:rPr>
          <w:rFonts w:hint="eastAsia" w:asciiTheme="minorHAnsi" w:hAnsiTheme="minorHAnsi" w:eastAsiaTheme="minorEastAsia" w:cstheme="minorBidi"/>
          <w:szCs w:val="21"/>
        </w:rPr>
        <w:t>北矿检测技术股份有限公司</w:t>
      </w:r>
      <w:r>
        <w:rPr>
          <w:rFonts w:hint="eastAsia"/>
          <w:szCs w:val="21"/>
        </w:rPr>
        <w:t>将试验报告、标准文本讨论稿和样品同时分发各验证单位，各单位开展了验证工作。</w:t>
      </w:r>
    </w:p>
    <w:p>
      <w:pPr>
        <w:spacing w:line="360" w:lineRule="auto"/>
        <w:ind w:firstLine="420"/>
        <w:rPr>
          <w:szCs w:val="21"/>
        </w:rPr>
      </w:pPr>
      <w:bookmarkStart w:id="5" w:name="_GoBack"/>
      <w:r>
        <w:rPr>
          <w:rFonts w:hint="eastAsia"/>
          <w:color w:val="auto"/>
          <w:szCs w:val="21"/>
        </w:rPr>
        <w:t>202</w:t>
      </w:r>
      <w:r>
        <w:rPr>
          <w:rFonts w:hint="eastAsia"/>
          <w:color w:val="auto"/>
          <w:szCs w:val="21"/>
          <w:lang w:val="en-US" w:eastAsia="zh-CN"/>
        </w:rPr>
        <w:t>3</w:t>
      </w:r>
      <w:r>
        <w:rPr>
          <w:rFonts w:hint="eastAsia"/>
          <w:color w:val="auto"/>
          <w:szCs w:val="21"/>
        </w:rPr>
        <w:t>年</w:t>
      </w:r>
      <w:r>
        <w:rPr>
          <w:color w:val="auto"/>
          <w:szCs w:val="21"/>
        </w:rPr>
        <w:t>7</w:t>
      </w:r>
      <w:r>
        <w:rPr>
          <w:rFonts w:hint="eastAsia"/>
          <w:color w:val="auto"/>
          <w:szCs w:val="21"/>
        </w:rPr>
        <w:t>月，</w:t>
      </w:r>
      <w:bookmarkEnd w:id="5"/>
      <w:r>
        <w:rPr>
          <w:rFonts w:hint="eastAsia" w:asciiTheme="minorHAnsi" w:hAnsiTheme="minorHAnsi" w:eastAsiaTheme="minorEastAsia" w:cstheme="minorBidi"/>
          <w:szCs w:val="21"/>
        </w:rPr>
        <w:t>北矿检测技术股份有限公司</w:t>
      </w:r>
      <w:r>
        <w:rPr>
          <w:rFonts w:hint="eastAsia"/>
          <w:szCs w:val="21"/>
        </w:rPr>
        <w:t>单位将验证单位发回的数据、验证报告进行收集整理汇总和统计计算，并根据各验证单位反馈情况，优化了试验，确定了最终试验报告和方法文本。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4.5 征求意见阶段</w:t>
      </w:r>
    </w:p>
    <w:p>
      <w:pPr>
        <w:spacing w:line="360" w:lineRule="auto"/>
        <w:ind w:firstLine="420"/>
        <w:rPr>
          <w:rFonts w:asciiTheme="minorHAnsi" w:hAnsiTheme="minorHAnsi" w:eastAsiaTheme="minorEastAsia" w:cstheme="minorBidi"/>
          <w:szCs w:val="21"/>
        </w:rPr>
      </w:pPr>
      <w:r>
        <w:rPr>
          <w:rFonts w:asciiTheme="minorHAnsi" w:hAnsiTheme="minorHAnsi" w:eastAsiaTheme="minorEastAsia" w:cstheme="minorBidi"/>
          <w:szCs w:val="21"/>
        </w:rPr>
        <w:t>编制组通过发函、中国有色金属标准质量信息网上公开和会议等形式对</w:t>
      </w:r>
      <w:r>
        <w:rPr>
          <w:rFonts w:hint="eastAsia" w:asciiTheme="minorHAnsi" w:hAnsiTheme="minorHAnsi" w:eastAsiaTheme="minorEastAsia" w:cstheme="minorBidi"/>
          <w:szCs w:val="21"/>
        </w:rPr>
        <w:t>《铋精矿化学分析方法</w:t>
      </w:r>
      <w:r>
        <w:rPr>
          <w:rFonts w:hint="eastAsia" w:asciiTheme="minorHAnsi" w:hAnsiTheme="minorHAnsi" w:eastAsiaTheme="minorEastAsia" w:cstheme="minorBidi"/>
          <w:szCs w:val="21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szCs w:val="21"/>
        </w:rPr>
        <w:t>第1部分：铋含量的测定 Na</w:t>
      </w:r>
      <w:r>
        <w:rPr>
          <w:rFonts w:hint="eastAsia"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1"/>
        </w:rPr>
        <w:t>EDTA滴定法》</w:t>
      </w:r>
      <w:r>
        <w:rPr>
          <w:rFonts w:asciiTheme="minorHAnsi" w:hAnsiTheme="minorHAnsi" w:eastAsiaTheme="minorEastAsia" w:cstheme="minorBidi"/>
          <w:szCs w:val="21"/>
        </w:rPr>
        <w:t>征求意见稿征询意见。</w:t>
      </w:r>
    </w:p>
    <w:p>
      <w:pPr>
        <w:spacing w:line="360" w:lineRule="auto"/>
        <w:ind w:firstLine="420"/>
        <w:rPr>
          <w:rFonts w:asciiTheme="minorHAnsi" w:hAnsiTheme="minorHAnsi" w:eastAsiaTheme="minorEastAsia" w:cstheme="minorBidi"/>
          <w:szCs w:val="21"/>
        </w:rPr>
      </w:pPr>
      <w:r>
        <w:rPr>
          <w:rFonts w:asciiTheme="minorHAnsi" w:hAnsiTheme="minorHAnsi" w:eastAsiaTheme="minorEastAsia" w:cstheme="minorBidi"/>
          <w:szCs w:val="21"/>
        </w:rPr>
        <w:t>1）预审会：</w:t>
      </w:r>
      <w:r>
        <w:rPr>
          <w:rFonts w:hint="eastAsia"/>
          <w:szCs w:val="21"/>
        </w:rPr>
        <w:t>2023年</w:t>
      </w:r>
      <w:r>
        <w:rPr>
          <w:szCs w:val="21"/>
        </w:rPr>
        <w:t>7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日至28日，全有色金属标准化技术委员会将在浙江省宁波市召开</w:t>
      </w:r>
      <w:r>
        <w:rPr>
          <w:rFonts w:asciiTheme="minorHAnsi" w:hAnsiTheme="minorHAnsi" w:eastAsiaTheme="minorEastAsia" w:cstheme="minorBidi"/>
          <w:szCs w:val="21"/>
        </w:rPr>
        <w:t>《</w:t>
      </w:r>
      <w:r>
        <w:rPr>
          <w:rFonts w:hint="eastAsia" w:asciiTheme="minorHAnsi" w:hAnsiTheme="minorHAnsi" w:eastAsiaTheme="minorEastAsia" w:cstheme="minorBidi"/>
          <w:szCs w:val="21"/>
        </w:rPr>
        <w:t>铋精矿化学分析方法第1部分：铋含量的测定 Na</w:t>
      </w:r>
      <w:r>
        <w:rPr>
          <w:rFonts w:hint="eastAsia" w:asciiTheme="minorHAnsi" w:hAnsiTheme="minorHAnsi" w:eastAsiaTheme="minorEastAsia" w:cstheme="minorBidi"/>
          <w:szCs w:val="21"/>
          <w:vertAlign w:val="subscript"/>
        </w:rPr>
        <w:t>2</w:t>
      </w:r>
      <w:r>
        <w:rPr>
          <w:rFonts w:hint="eastAsia" w:asciiTheme="minorHAnsi" w:hAnsiTheme="minorHAnsi" w:eastAsiaTheme="minorEastAsia" w:cstheme="minorBidi"/>
          <w:szCs w:val="21"/>
        </w:rPr>
        <w:t>EDTA滴定法》预审会。</w:t>
      </w:r>
      <w:r>
        <w:rPr>
          <w:rFonts w:asciiTheme="minorHAnsi" w:hAnsiTheme="minorHAnsi" w:eastAsiaTheme="minorEastAsia" w:cstheme="minorBidi"/>
          <w:szCs w:val="21"/>
        </w:rPr>
        <w:t>会议对标准预审稿、试验报告及验证报告进行分析和讨论，并安排了系列标准研究的后续工作。</w:t>
      </w:r>
    </w:p>
    <w:p>
      <w:pPr>
        <w:spacing w:line="360" w:lineRule="auto"/>
        <w:ind w:firstLine="42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北矿检测技术股份有限公司、、、</w:t>
      </w:r>
      <w:r>
        <w:rPr>
          <w:rFonts w:asciiTheme="minorHAnsi" w:hAnsiTheme="minorHAnsi" w:eastAsiaTheme="minorEastAsia" w:cstheme="minorBidi"/>
          <w:szCs w:val="21"/>
        </w:rPr>
        <w:t>等**多家企事业单位</w:t>
      </w:r>
      <w:r>
        <w:rPr>
          <w:rFonts w:hint="eastAsia" w:asciiTheme="minorHAnsi" w:hAnsiTheme="minorHAnsi" w:eastAsiaTheme="minorEastAsia" w:cstheme="minorBidi"/>
          <w:szCs w:val="21"/>
        </w:rPr>
        <w:t>*</w:t>
      </w:r>
      <w:r>
        <w:rPr>
          <w:rFonts w:asciiTheme="minorHAnsi" w:hAnsiTheme="minorHAnsi" w:eastAsiaTheme="minorEastAsia" w:cstheme="minorBidi"/>
          <w:szCs w:val="21"/>
        </w:rPr>
        <w:t>*多名专家代表参加了会议，对标准提出了如下意见，</w:t>
      </w:r>
    </w:p>
    <w:p>
      <w:pPr>
        <w:numPr>
          <w:ilvl w:val="0"/>
          <w:numId w:val="2"/>
        </w:numPr>
        <w:spacing w:line="360" w:lineRule="auto"/>
        <w:ind w:firstLine="420" w:firstLineChars="200"/>
        <w:rPr>
          <w:rFonts w:asciiTheme="minorHAnsi" w:hAnsiTheme="minorHAnsi" w:eastAsiaTheme="minorEastAsia" w:cstheme="minorBidi"/>
          <w:szCs w:val="21"/>
        </w:rPr>
      </w:pPr>
      <w:r>
        <w:rPr>
          <w:rFonts w:asciiTheme="minorHAnsi" w:hAnsiTheme="minorHAnsi" w:eastAsiaTheme="minorEastAsia" w:cstheme="minorBidi"/>
          <w:szCs w:val="21"/>
        </w:rPr>
        <w:t>发函征求意见：</w:t>
      </w:r>
      <w:r>
        <w:rPr>
          <w:rFonts w:hint="eastAsia" w:asciiTheme="minorHAnsi" w:hAnsiTheme="minorHAnsi" w:eastAsiaTheme="minorEastAsia" w:cstheme="minorBidi"/>
          <w:szCs w:val="21"/>
        </w:rPr>
        <w:t>待预审之后发征求意见函。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4.6 审查阶段</w:t>
      </w:r>
    </w:p>
    <w:p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1）技术专家审查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2）委员审查阶段：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4.7 报批阶段</w:t>
      </w:r>
    </w:p>
    <w:p>
      <w:pPr>
        <w:spacing w:line="360" w:lineRule="auto"/>
        <w:ind w:firstLine="420"/>
        <w:rPr>
          <w:szCs w:val="21"/>
        </w:rPr>
      </w:pPr>
      <w:r>
        <w:rPr>
          <w:szCs w:val="21"/>
        </w:rPr>
        <w:t>标准</w:t>
      </w:r>
      <w:r>
        <w:rPr>
          <w:rFonts w:hint="eastAsia"/>
          <w:szCs w:val="21"/>
        </w:rPr>
        <w:t>起草</w:t>
      </w:r>
      <w:r>
        <w:rPr>
          <w:szCs w:val="21"/>
        </w:rPr>
        <w:t>小组按照审查意见对标准文本进一步完善后，于 202</w:t>
      </w:r>
      <w:r>
        <w:rPr>
          <w:rFonts w:hint="eastAsia"/>
          <w:szCs w:val="21"/>
        </w:rPr>
        <w:t>*</w:t>
      </w:r>
      <w:r>
        <w:rPr>
          <w:szCs w:val="21"/>
        </w:rPr>
        <w:t>年**月最终形成《报批稿》和《报批稿编制说明》，提交到有色标委会秘书处。</w:t>
      </w:r>
    </w:p>
    <w:p>
      <w:pPr>
        <w:adjustRightInd w:val="0"/>
        <w:snapToGrid w:val="0"/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2. 标准编制原则</w:t>
      </w:r>
    </w:p>
    <w:p>
      <w:pPr>
        <w:tabs>
          <w:tab w:val="center" w:pos="5086"/>
        </w:tabs>
        <w:adjustRightInd w:val="0"/>
        <w:snapToGrid w:val="0"/>
        <w:spacing w:line="360" w:lineRule="auto"/>
        <w:ind w:firstLine="420"/>
      </w:pPr>
      <w:r>
        <w:rPr>
          <w:rFonts w:hint="eastAsia"/>
        </w:rPr>
        <w:t>本标准起草过程中遵循以下原则：</w:t>
      </w:r>
    </w:p>
    <w:p>
      <w:pPr>
        <w:tabs>
          <w:tab w:val="center" w:pos="5086"/>
        </w:tabs>
        <w:adjustRightInd w:val="0"/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2.1 规范性原则</w:t>
      </w:r>
    </w:p>
    <w:p>
      <w:pPr>
        <w:tabs>
          <w:tab w:val="center" w:pos="5086"/>
        </w:tabs>
        <w:adjustRightInd w:val="0"/>
        <w:snapToGrid w:val="0"/>
        <w:spacing w:line="360" w:lineRule="auto"/>
        <w:ind w:firstLine="420" w:firstLineChars="200"/>
      </w:pPr>
      <w:r>
        <w:t>本标准是根据GB/T1.1-2020《标准化工作导则第1部分:标准化文件的结构和起草规则》和GB/T20001.4-20</w:t>
      </w:r>
      <w:r>
        <w:rPr>
          <w:rFonts w:hint="eastAsia"/>
        </w:rPr>
        <w:t>15</w:t>
      </w:r>
      <w:r>
        <w:t>《标准编写规则第4部分：</w:t>
      </w:r>
      <w:r>
        <w:rPr>
          <w:rFonts w:hint="eastAsia"/>
        </w:rPr>
        <w:t>试验方法标准</w:t>
      </w:r>
      <w:r>
        <w:t>》的要求进行编写的</w:t>
      </w:r>
      <w:r>
        <w:rPr>
          <w:rFonts w:hint="eastAsia"/>
        </w:rPr>
        <w:t>；并</w:t>
      </w:r>
      <w:r>
        <w:t>按照GB/T 6379.2-2004</w:t>
      </w:r>
      <w:r>
        <w:rPr>
          <w:rFonts w:hint="eastAsia"/>
        </w:rPr>
        <w:t>《测量方法与结果的准确度（</w:t>
      </w:r>
      <w:r>
        <w:t>正确度与精密度</w:t>
      </w:r>
      <w:r>
        <w:rPr>
          <w:rFonts w:hint="eastAsia"/>
        </w:rPr>
        <w:t>）</w:t>
      </w:r>
      <w:r>
        <w:t>第2部分</w:t>
      </w:r>
      <w:r>
        <w:rPr>
          <w:rFonts w:hint="eastAsia"/>
        </w:rPr>
        <w:t>：</w:t>
      </w:r>
      <w:r>
        <w:t>确定标准测量方法重复性与再现性的基本方法</w:t>
      </w:r>
      <w:r>
        <w:rPr>
          <w:rFonts w:hint="eastAsia"/>
        </w:rPr>
        <w:t>》进行数理统计</w:t>
      </w:r>
      <w:r>
        <w:t>分析。</w:t>
      </w:r>
    </w:p>
    <w:p>
      <w:pPr>
        <w:tabs>
          <w:tab w:val="center" w:pos="5086"/>
        </w:tabs>
        <w:adjustRightInd w:val="0"/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2.2 先进性原则</w:t>
      </w:r>
    </w:p>
    <w:p>
      <w:pPr>
        <w:tabs>
          <w:tab w:val="center" w:pos="5086"/>
        </w:tabs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标准制定过程中参阅了大量文献资料，充分借鉴了国内外相关标准中的先进思路和方法，</w:t>
      </w:r>
      <w:r>
        <w:rPr>
          <w:rFonts w:hint="eastAsia" w:cs="黑体" w:asciiTheme="minorEastAsia" w:hAnsiTheme="minorEastAsia" w:eastAsiaTheme="minorEastAsia"/>
          <w:szCs w:val="21"/>
        </w:rPr>
        <w:t>简化样品处理的实验步骤，</w:t>
      </w:r>
      <w:r>
        <w:rPr>
          <w:rFonts w:hint="eastAsia" w:asciiTheme="minorEastAsia" w:hAnsiTheme="minorEastAsia" w:eastAsiaTheme="minorEastAsia"/>
          <w:szCs w:val="21"/>
        </w:rPr>
        <w:t>缩短了分析时间，节</w:t>
      </w:r>
      <w:r>
        <w:rPr>
          <w:rFonts w:hint="eastAsia" w:asciiTheme="minorEastAsia" w:hAnsiTheme="minorEastAsia" w:eastAsiaTheme="minorEastAsia"/>
          <w:kern w:val="0"/>
          <w:szCs w:val="21"/>
        </w:rPr>
        <w:t>约</w:t>
      </w:r>
      <w:r>
        <w:rPr>
          <w:rFonts w:asciiTheme="minorEastAsia" w:hAnsiTheme="minorEastAsia" w:eastAsiaTheme="minorEastAsia"/>
          <w:kern w:val="0"/>
          <w:szCs w:val="21"/>
        </w:rPr>
        <w:t>分析成本</w:t>
      </w:r>
      <w:r>
        <w:rPr>
          <w:rFonts w:asciiTheme="minorEastAsia" w:hAnsiTheme="minorEastAsia" w:eastAsiaTheme="minorEastAsia"/>
        </w:rPr>
        <w:t>，能很好的满足行业对</w:t>
      </w:r>
      <w:r>
        <w:rPr>
          <w:rFonts w:hint="eastAsia" w:asciiTheme="minorEastAsia" w:hAnsiTheme="minorEastAsia" w:eastAsiaTheme="minorEastAsia"/>
        </w:rPr>
        <w:t>铋精矿中铋</w:t>
      </w:r>
      <w:r>
        <w:rPr>
          <w:rFonts w:asciiTheme="minorEastAsia" w:hAnsiTheme="minorEastAsia" w:eastAsiaTheme="minorEastAsia"/>
        </w:rPr>
        <w:t>含量的分析测试要求，提高了本标准的可操作性和先进性。</w:t>
      </w:r>
    </w:p>
    <w:p>
      <w:pPr>
        <w:tabs>
          <w:tab w:val="center" w:pos="5086"/>
        </w:tabs>
        <w:adjustRightInd w:val="0"/>
        <w:snapToGrid w:val="0"/>
        <w:spacing w:line="360" w:lineRule="auto"/>
      </w:pPr>
      <w:r>
        <w:rPr>
          <w:rFonts w:hint="eastAsia" w:ascii="黑体" w:hAnsi="黑体" w:eastAsia="黑体"/>
        </w:rPr>
        <w:t>2.3适用性原则</w:t>
      </w:r>
    </w:p>
    <w:p>
      <w:pPr>
        <w:tabs>
          <w:tab w:val="center" w:pos="5086"/>
        </w:tabs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本标准以满足我国铋精矿产品实际检测需求为原则，宜于应用，能够全覆盖YS/T 321-2005《</w:t>
      </w:r>
      <w:r>
        <w:t>铋精矿</w:t>
      </w:r>
      <w:r>
        <w:rPr>
          <w:rFonts w:hint="eastAsia"/>
        </w:rPr>
        <w:t>》产品标准规定的所有所有品级的测定（</w:t>
      </w:r>
      <w:r>
        <w:rPr>
          <w:rFonts w:hint="eastAsia" w:asciiTheme="minorHAnsi" w:hAnsiTheme="minorHAnsi" w:eastAsiaTheme="minorEastAsia" w:cstheme="minorBidi"/>
          <w:szCs w:val="21"/>
        </w:rPr>
        <w:t>测定上限从</w:t>
      </w:r>
      <w:r>
        <w:rPr>
          <w:rFonts w:asciiTheme="minorHAnsi" w:hAnsiTheme="minorHAnsi" w:eastAsiaTheme="minorEastAsia" w:cstheme="minorBidi"/>
          <w:szCs w:val="21"/>
        </w:rPr>
        <w:t>4</w:t>
      </w:r>
      <w:r>
        <w:rPr>
          <w:rFonts w:hint="eastAsia" w:asciiTheme="minorHAnsi" w:hAnsiTheme="minorHAnsi" w:eastAsiaTheme="minorEastAsia" w:cstheme="minorBidi"/>
          <w:szCs w:val="21"/>
        </w:rPr>
        <w:t>0%提高到</w:t>
      </w:r>
      <w:r>
        <w:rPr>
          <w:rFonts w:asciiTheme="minorHAnsi" w:hAnsiTheme="minorHAnsi" w:eastAsiaTheme="minorEastAsia" w:cstheme="minorBidi"/>
          <w:szCs w:val="21"/>
        </w:rPr>
        <w:t>6</w:t>
      </w:r>
      <w:r>
        <w:rPr>
          <w:rFonts w:hint="eastAsia" w:asciiTheme="minorHAnsi" w:hAnsiTheme="minorHAnsi" w:eastAsiaTheme="minorEastAsia" w:cstheme="minorBidi"/>
          <w:szCs w:val="21"/>
        </w:rPr>
        <w:t>0%</w:t>
      </w:r>
      <w:r>
        <w:rPr>
          <w:rFonts w:hint="eastAsia"/>
        </w:rPr>
        <w:t>），</w:t>
      </w:r>
      <w:r>
        <w:t>对</w:t>
      </w:r>
      <w:r>
        <w:rPr>
          <w:rFonts w:hint="eastAsia"/>
        </w:rPr>
        <w:t>生产企业的</w:t>
      </w:r>
      <w:r>
        <w:t>技术进步产生积极的促进作用</w:t>
      </w:r>
      <w:r>
        <w:rPr>
          <w:rFonts w:hint="eastAsia"/>
        </w:rPr>
        <w:t>，</w:t>
      </w:r>
      <w:r>
        <w:t>同时</w:t>
      </w:r>
      <w:r>
        <w:rPr>
          <w:rFonts w:hint="eastAsia"/>
        </w:rPr>
        <w:t>，</w:t>
      </w:r>
      <w:r>
        <w:t>也满足了检测机构的检测要求</w:t>
      </w:r>
      <w:r>
        <w:rPr>
          <w:rFonts w:hint="eastAsia"/>
        </w:rPr>
        <w:t>。</w:t>
      </w:r>
    </w:p>
    <w:p>
      <w:pPr>
        <w:tabs>
          <w:tab w:val="center" w:pos="5086"/>
        </w:tabs>
        <w:adjustRightInd w:val="0"/>
        <w:snapToGrid w:val="0"/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2.4合规性原则</w:t>
      </w:r>
    </w:p>
    <w:p>
      <w:pPr>
        <w:tabs>
          <w:tab w:val="center" w:pos="5086"/>
        </w:tabs>
        <w:adjustRightInd w:val="0"/>
        <w:snapToGrid w:val="0"/>
        <w:spacing w:line="360" w:lineRule="auto"/>
        <w:ind w:firstLine="420" w:firstLineChars="200"/>
      </w:pPr>
      <w:r>
        <w:t>充分考虑国家法律、安全、卫生、环保法规的要求</w:t>
      </w:r>
      <w:r>
        <w:rPr>
          <w:rFonts w:hint="eastAsia"/>
        </w:rPr>
        <w:t>，</w:t>
      </w:r>
      <w:r>
        <w:t>符合相关规定</w:t>
      </w:r>
      <w:r>
        <w:rPr>
          <w:rFonts w:hint="eastAsia"/>
        </w:rPr>
        <w:t>。</w:t>
      </w:r>
    </w:p>
    <w:p>
      <w:pPr>
        <w:adjustRightInd w:val="0"/>
        <w:snapToGrid w:val="0"/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3. 标准主要内容的确定依据</w:t>
      </w:r>
    </w:p>
    <w:p>
      <w:pPr>
        <w:pStyle w:val="120"/>
        <w:numPr>
          <w:ilvl w:val="1"/>
          <w:numId w:val="3"/>
        </w:numPr>
        <w:tabs>
          <w:tab w:val="clear" w:pos="675"/>
        </w:tabs>
        <w:adjustRightInd w:val="0"/>
        <w:snapToGrid w:val="0"/>
        <w:spacing w:beforeLines="50" w:afterLines="50" w:line="360" w:lineRule="auto"/>
        <w:rPr>
          <w:rFonts w:hAnsi="黑体"/>
        </w:rPr>
      </w:pPr>
      <w:r>
        <w:rPr>
          <w:rFonts w:hint="eastAsia" w:hAnsi="黑体"/>
        </w:rPr>
        <w:t>测定范围</w:t>
      </w:r>
    </w:p>
    <w:p>
      <w:pPr>
        <w:adjustRightInd w:val="0"/>
        <w:snapToGrid w:val="0"/>
        <w:spacing w:line="360" w:lineRule="auto"/>
        <w:ind w:firstLine="420" w:firstLineChars="200"/>
        <w:rPr>
          <w:spacing w:val="6"/>
        </w:rPr>
      </w:pPr>
      <w:r>
        <w:rPr>
          <w:rFonts w:hint="eastAsia"/>
        </w:rPr>
        <w:t>本标准为对</w:t>
      </w:r>
      <w:r>
        <w:t>YS/T 240.1-2007《铋精矿化学分析方法铋量的测定Na</w:t>
      </w:r>
      <w:r>
        <w:rPr>
          <w:vertAlign w:val="subscript"/>
        </w:rPr>
        <w:t>2</w:t>
      </w:r>
      <w:r>
        <w:t>EDTA滴定法》</w:t>
      </w:r>
      <w:r>
        <w:rPr>
          <w:rFonts w:hint="eastAsia"/>
        </w:rPr>
        <w:t>进行修订，</w:t>
      </w:r>
      <w:r>
        <w:t>YS/T 240.1-2007</w:t>
      </w:r>
      <w:r>
        <w:rPr>
          <w:rFonts w:hint="eastAsia"/>
        </w:rPr>
        <w:t>铋的测定范围为10%～40%，</w:t>
      </w:r>
      <w:r>
        <w:t>而</w:t>
      </w:r>
      <w:r>
        <w:rPr>
          <w:rFonts w:hint="eastAsia"/>
        </w:rPr>
        <w:t>YS/T 321-2005</w:t>
      </w:r>
      <w:r>
        <w:t>《铋精矿》</w:t>
      </w:r>
      <w:r>
        <w:rPr>
          <w:rFonts w:hint="eastAsia"/>
        </w:rPr>
        <w:t>技术条件中铋的含量分了</w:t>
      </w:r>
      <w:r>
        <w:t>60%</w:t>
      </w:r>
      <w:r>
        <w:rPr>
          <w:rFonts w:hint="eastAsia"/>
        </w:rPr>
        <w:t>、</w:t>
      </w:r>
      <w:r>
        <w:t>50%</w:t>
      </w:r>
      <w:r>
        <w:rPr>
          <w:rFonts w:hint="eastAsia"/>
        </w:rPr>
        <w:t>、</w:t>
      </w:r>
      <w:r>
        <w:t>40%</w:t>
      </w:r>
      <w:r>
        <w:rPr>
          <w:rFonts w:hint="eastAsia"/>
        </w:rPr>
        <w:t>、</w:t>
      </w:r>
      <w:r>
        <w:t>30%</w:t>
      </w:r>
      <w:r>
        <w:rPr>
          <w:rFonts w:hint="eastAsia"/>
        </w:rPr>
        <w:t>、</w:t>
      </w:r>
      <w:r>
        <w:t>20%五个品级</w:t>
      </w:r>
      <w:r>
        <w:rPr>
          <w:rFonts w:hint="eastAsia"/>
        </w:rPr>
        <w:t>，</w:t>
      </w:r>
      <w:r>
        <w:t>对于</w:t>
      </w:r>
      <w:r>
        <w:rPr>
          <w:rFonts w:hint="eastAsia"/>
        </w:rPr>
        <w:t>铋含量为40%～60%的铋精矿，超出了</w:t>
      </w:r>
      <w:r>
        <w:t>YS/T 240.1-2007应用</w:t>
      </w:r>
      <w:r>
        <w:rPr>
          <w:rFonts w:hint="eastAsia"/>
        </w:rPr>
        <w:t>范围。本标准将铋测定上限提高到</w:t>
      </w:r>
      <w:r>
        <w:t>6</w:t>
      </w:r>
      <w:r>
        <w:rPr>
          <w:rFonts w:hint="eastAsia"/>
        </w:rPr>
        <w:t>0.0%，实现了铋精矿产品测定的全覆盖，本标准的测定范围为</w:t>
      </w:r>
      <w:r>
        <w:rPr>
          <w:spacing w:val="6"/>
        </w:rPr>
        <w:t>10.00</w:t>
      </w:r>
      <w:r>
        <w:rPr>
          <w:rFonts w:hint="eastAsia"/>
          <w:spacing w:val="6"/>
        </w:rPr>
        <w:t>%～</w:t>
      </w:r>
      <w:r>
        <w:rPr>
          <w:spacing w:val="6"/>
        </w:rPr>
        <w:t>6</w:t>
      </w:r>
      <w:r>
        <w:rPr>
          <w:rFonts w:hint="eastAsia"/>
          <w:spacing w:val="6"/>
        </w:rPr>
        <w:t>0.</w:t>
      </w:r>
      <w:r>
        <w:rPr>
          <w:spacing w:val="6"/>
        </w:rPr>
        <w:t>0</w:t>
      </w:r>
      <w:r>
        <w:rPr>
          <w:rFonts w:hint="eastAsia"/>
          <w:spacing w:val="6"/>
        </w:rPr>
        <w:t>0%。</w:t>
      </w:r>
    </w:p>
    <w:p>
      <w:pPr>
        <w:pStyle w:val="120"/>
        <w:tabs>
          <w:tab w:val="clear" w:pos="675"/>
        </w:tabs>
        <w:adjustRightInd w:val="0"/>
        <w:snapToGrid w:val="0"/>
        <w:spacing w:beforeLines="50" w:afterLines="50" w:line="360" w:lineRule="auto"/>
        <w:ind w:left="0" w:firstLine="0"/>
        <w:rPr>
          <w:rFonts w:hAnsi="黑体"/>
        </w:rPr>
      </w:pPr>
      <w:r>
        <w:rPr>
          <w:rFonts w:hint="eastAsia" w:hAnsi="黑体"/>
        </w:rPr>
        <w:t>3.</w:t>
      </w:r>
      <w:r>
        <w:rPr>
          <w:rFonts w:hAnsi="黑体"/>
        </w:rPr>
        <w:t>2</w:t>
      </w:r>
      <w:r>
        <w:rPr>
          <w:rFonts w:hint="eastAsia" w:hAnsi="黑体"/>
        </w:rPr>
        <w:t xml:space="preserve"> 试料溶解</w:t>
      </w:r>
    </w:p>
    <w:p>
      <w:pPr>
        <w:adjustRightInd w:val="0"/>
        <w:snapToGrid w:val="0"/>
        <w:spacing w:line="360" w:lineRule="auto"/>
        <w:ind w:firstLine="435"/>
        <w:rPr>
          <w:bCs/>
        </w:rPr>
      </w:pPr>
      <w:r>
        <w:rPr>
          <w:rFonts w:hint="eastAsia"/>
          <w:bCs/>
        </w:rPr>
        <w:t>对1</w:t>
      </w:r>
      <w:r>
        <w:rPr>
          <w:bCs/>
        </w:rPr>
        <w:t>#、6#</w:t>
      </w:r>
      <w:r>
        <w:rPr>
          <w:rFonts w:hint="eastAsia"/>
          <w:bCs/>
        </w:rPr>
        <w:t>铋精矿样品，进行溶样方法选择试验，试验情况如下：</w:t>
      </w:r>
    </w:p>
    <w:p>
      <w:pPr>
        <w:adjustRightInd w:val="0"/>
        <w:snapToGrid w:val="0"/>
        <w:spacing w:line="360" w:lineRule="auto"/>
        <w:ind w:firstLine="435"/>
        <w:rPr>
          <w:bCs/>
        </w:rPr>
      </w:pPr>
      <w:r>
        <w:rPr>
          <w:rFonts w:hint="eastAsia"/>
          <w:bCs/>
        </w:rPr>
        <w:t>方法1：采用盐酸</w:t>
      </w:r>
      <w:r>
        <w:rPr>
          <w:bCs/>
        </w:rPr>
        <w:t>+</w:t>
      </w:r>
      <w:r>
        <w:rPr>
          <w:rFonts w:hint="eastAsia"/>
          <w:bCs/>
        </w:rPr>
        <w:t>硝酸</w:t>
      </w:r>
      <w:r>
        <w:rPr>
          <w:bCs/>
        </w:rPr>
        <w:t>+</w:t>
      </w:r>
      <w:r>
        <w:rPr>
          <w:rFonts w:hint="eastAsia"/>
          <w:bCs/>
        </w:rPr>
        <w:t>高氯酸进行溶解，溶液基本清亮，底部有一些不溶物。</w:t>
      </w:r>
    </w:p>
    <w:p>
      <w:pPr>
        <w:adjustRightInd w:val="0"/>
        <w:snapToGrid w:val="0"/>
        <w:spacing w:line="360" w:lineRule="auto"/>
        <w:ind w:firstLine="435"/>
        <w:rPr>
          <w:bCs/>
        </w:rPr>
      </w:pPr>
      <w:r>
        <w:rPr>
          <w:rFonts w:hint="eastAsia"/>
          <w:bCs/>
        </w:rPr>
        <w:t>方法</w:t>
      </w:r>
      <w:r>
        <w:rPr>
          <w:bCs/>
        </w:rPr>
        <w:t>2</w:t>
      </w:r>
      <w:r>
        <w:rPr>
          <w:rFonts w:hint="eastAsia"/>
          <w:bCs/>
        </w:rPr>
        <w:t>：采用盐酸</w:t>
      </w:r>
      <w:r>
        <w:rPr>
          <w:bCs/>
        </w:rPr>
        <w:t>+</w:t>
      </w:r>
      <w:r>
        <w:rPr>
          <w:rFonts w:hint="eastAsia"/>
          <w:bCs/>
        </w:rPr>
        <w:t>硝酸</w:t>
      </w:r>
      <w:r>
        <w:rPr>
          <w:bCs/>
        </w:rPr>
        <w:t>+</w:t>
      </w:r>
      <w:r>
        <w:rPr>
          <w:rFonts w:hint="eastAsia"/>
          <w:bCs/>
        </w:rPr>
        <w:t>高氯酸+氟化氢铵进行溶解，溶液更加清亮，底部有少许不溶物。</w:t>
      </w:r>
    </w:p>
    <w:p>
      <w:pPr>
        <w:adjustRightInd w:val="0"/>
        <w:snapToGrid w:val="0"/>
        <w:spacing w:line="360" w:lineRule="auto"/>
        <w:ind w:firstLine="435"/>
        <w:rPr>
          <w:bCs/>
        </w:rPr>
      </w:pPr>
      <w:r>
        <w:rPr>
          <w:rFonts w:hint="eastAsia"/>
          <w:bCs/>
        </w:rPr>
        <w:t>根据YS/T 321-2005《铋精矿》及</w:t>
      </w:r>
      <w:r>
        <w:rPr>
          <w:bCs/>
        </w:rPr>
        <w:t>YS/T 240.3-2009</w:t>
      </w:r>
      <w:r>
        <w:rPr>
          <w:rFonts w:hint="eastAsia"/>
          <w:bCs/>
        </w:rPr>
        <w:t>《铋精矿化学分析方法二氧化硅量的测定钼蓝分光光度法和重量法》，铋精矿中含有一定量的Si</w:t>
      </w:r>
      <w:r>
        <w:rPr>
          <w:bCs/>
        </w:rPr>
        <w:t>O</w:t>
      </w:r>
      <w:r>
        <w:rPr>
          <w:bCs/>
          <w:vertAlign w:val="subscript"/>
        </w:rPr>
        <w:t>2</w:t>
      </w:r>
      <w:r>
        <w:rPr>
          <w:rFonts w:hint="eastAsia"/>
          <w:bCs/>
        </w:rPr>
        <w:t>，方法1采用盐酸</w:t>
      </w:r>
      <w:r>
        <w:rPr>
          <w:bCs/>
        </w:rPr>
        <w:t>+</w:t>
      </w:r>
      <w:r>
        <w:rPr>
          <w:rFonts w:hint="eastAsia"/>
          <w:bCs/>
        </w:rPr>
        <w:t>硝酸</w:t>
      </w:r>
      <w:r>
        <w:rPr>
          <w:bCs/>
        </w:rPr>
        <w:t>+</w:t>
      </w:r>
      <w:r>
        <w:rPr>
          <w:rFonts w:hint="eastAsia"/>
          <w:bCs/>
        </w:rPr>
        <w:t>高氯酸溶样，样品中的硅及其化合物不能被溶解，因此需要加入氟化氢铵。</w:t>
      </w:r>
    </w:p>
    <w:p>
      <w:pPr>
        <w:adjustRightInd w:val="0"/>
        <w:snapToGrid w:val="0"/>
        <w:spacing w:line="360" w:lineRule="auto"/>
        <w:ind w:firstLine="435"/>
        <w:rPr>
          <w:bCs/>
        </w:rPr>
      </w:pPr>
      <w:r>
        <w:rPr>
          <w:rFonts w:hint="eastAsia"/>
          <w:bCs/>
        </w:rPr>
        <w:t>对于方法</w:t>
      </w:r>
      <w:r>
        <w:rPr>
          <w:bCs/>
        </w:rPr>
        <w:t>2</w:t>
      </w:r>
      <w:r>
        <w:rPr>
          <w:rFonts w:hint="eastAsia"/>
          <w:bCs/>
        </w:rPr>
        <w:t>中加入氟化氢铵仍存在少许不溶物，对不溶物进行过滤，灰化后用碱溶后用硫氰酸盐分光光度法测定，不溶物中含0</w:t>
      </w:r>
      <w:r>
        <w:rPr>
          <w:bCs/>
        </w:rPr>
        <w:t>.12%</w:t>
      </w:r>
      <w:r>
        <w:t>~</w:t>
      </w:r>
      <w:r>
        <w:rPr>
          <w:bCs/>
        </w:rPr>
        <w:t>0.15%</w:t>
      </w:r>
      <w:r>
        <w:rPr>
          <w:rFonts w:hint="eastAsia"/>
          <w:bCs/>
        </w:rPr>
        <w:t>钨。因为钨酸在酸性条件下沉淀，为正常现象。</w:t>
      </w:r>
    </w:p>
    <w:p>
      <w:pPr>
        <w:pStyle w:val="120"/>
        <w:tabs>
          <w:tab w:val="clear" w:pos="675"/>
        </w:tabs>
        <w:adjustRightInd w:val="0"/>
        <w:snapToGrid w:val="0"/>
        <w:spacing w:beforeLines="50" w:afterLines="50" w:line="360" w:lineRule="auto"/>
        <w:ind w:left="0" w:firstLine="0"/>
        <w:rPr>
          <w:rFonts w:hAnsi="黑体"/>
        </w:rPr>
      </w:pPr>
      <w:r>
        <w:rPr>
          <w:rFonts w:hint="eastAsia" w:hAnsi="黑体"/>
        </w:rPr>
        <w:t>3.</w:t>
      </w:r>
      <w:r>
        <w:rPr>
          <w:rFonts w:hAnsi="黑体"/>
        </w:rPr>
        <w:t>3</w:t>
      </w:r>
      <w:r>
        <w:rPr>
          <w:rFonts w:hint="eastAsia" w:hAnsi="黑体"/>
        </w:rPr>
        <w:t>试料量</w:t>
      </w:r>
    </w:p>
    <w:p>
      <w:pPr>
        <w:adjustRightInd w:val="0"/>
        <w:snapToGrid w:val="0"/>
        <w:spacing w:line="360" w:lineRule="auto"/>
        <w:ind w:firstLine="420"/>
      </w:pPr>
      <w:r>
        <w:t>试料量影响试验</w:t>
      </w:r>
      <w:r>
        <w:rPr>
          <w:rFonts w:hint="eastAsia"/>
        </w:rPr>
        <w:t>：</w:t>
      </w:r>
    </w:p>
    <w:p>
      <w:pPr>
        <w:spacing w:line="360" w:lineRule="auto"/>
        <w:ind w:firstLine="420" w:firstLineChars="200"/>
        <w:rPr>
          <w:rFonts w:cs="Calibri" w:asciiTheme="minorEastAsia" w:hAnsiTheme="minorEastAsia" w:eastAsiaTheme="minorEastAsia"/>
          <w:bCs/>
          <w:szCs w:val="21"/>
        </w:rPr>
      </w:pPr>
      <w:r>
        <w:rPr>
          <w:rFonts w:hint="eastAsia" w:cs="Calibri" w:asciiTheme="minorEastAsia" w:hAnsiTheme="minorEastAsia" w:eastAsiaTheme="minorEastAsia"/>
          <w:bCs/>
          <w:szCs w:val="21"/>
        </w:rPr>
        <w:t>对1</w:t>
      </w:r>
      <w:r>
        <w:rPr>
          <w:rFonts w:cs="Calibri" w:asciiTheme="minorEastAsia" w:hAnsiTheme="minorEastAsia" w:eastAsiaTheme="minorEastAsia"/>
          <w:bCs/>
          <w:szCs w:val="21"/>
        </w:rPr>
        <w:t>#、6#</w:t>
      </w:r>
      <w:r>
        <w:rPr>
          <w:rFonts w:hint="eastAsia" w:cs="Calibri" w:asciiTheme="minorEastAsia" w:hAnsiTheme="minorEastAsia" w:eastAsiaTheme="minorEastAsia"/>
          <w:bCs/>
          <w:szCs w:val="21"/>
        </w:rPr>
        <w:t>铋精矿样品，分别称取不同含量的试样，试验情况如下：</w:t>
      </w:r>
    </w:p>
    <w:p>
      <w:pPr>
        <w:spacing w:line="360" w:lineRule="auto"/>
        <w:ind w:firstLine="420" w:firstLineChars="200"/>
        <w:rPr>
          <w:rFonts w:cs="Calibri" w:asciiTheme="minorEastAsia" w:hAnsiTheme="minorEastAsia" w:eastAsiaTheme="minorEastAsia"/>
          <w:szCs w:val="21"/>
        </w:rPr>
      </w:pPr>
      <w:r>
        <w:rPr>
          <w:rFonts w:hint="eastAsia" w:cs="Calibri" w:asciiTheme="minorEastAsia" w:hAnsiTheme="minorEastAsia" w:eastAsiaTheme="minorEastAsia"/>
          <w:bCs/>
          <w:szCs w:val="21"/>
        </w:rPr>
        <w:t>方法</w:t>
      </w:r>
      <w:r>
        <w:rPr>
          <w:rFonts w:cs="Calibri" w:asciiTheme="minorEastAsia" w:hAnsiTheme="minorEastAsia" w:eastAsiaTheme="minorEastAsia"/>
          <w:bCs/>
          <w:szCs w:val="21"/>
        </w:rPr>
        <w:t xml:space="preserve">3  </w:t>
      </w:r>
      <w:r>
        <w:rPr>
          <w:rFonts w:hint="eastAsia" w:cs="Calibri" w:asciiTheme="minorEastAsia" w:hAnsiTheme="minorEastAsia" w:eastAsiaTheme="minorEastAsia"/>
          <w:bCs/>
          <w:szCs w:val="21"/>
        </w:rPr>
        <w:t>称取0</w:t>
      </w:r>
      <w:r>
        <w:rPr>
          <w:rFonts w:cs="Calibri" w:asciiTheme="minorEastAsia" w:hAnsiTheme="minorEastAsia" w:eastAsiaTheme="minorEastAsia"/>
          <w:bCs/>
          <w:szCs w:val="21"/>
        </w:rPr>
        <w:t>.5</w:t>
      </w:r>
      <w:r>
        <w:rPr>
          <w:rFonts w:hint="eastAsia" w:cs="Calibri" w:asciiTheme="minorEastAsia" w:hAnsiTheme="minorEastAsia" w:eastAsiaTheme="minorEastAsia"/>
          <w:bCs/>
          <w:szCs w:val="21"/>
        </w:rPr>
        <w:t>g试样，采用</w:t>
      </w:r>
      <w:r>
        <w:rPr>
          <w:rFonts w:hint="eastAsia" w:cs="Calibri" w:asciiTheme="minorEastAsia" w:hAnsiTheme="minorEastAsia" w:eastAsiaTheme="minorEastAsia"/>
          <w:szCs w:val="21"/>
        </w:rPr>
        <w:t>盐酸</w:t>
      </w:r>
      <w:r>
        <w:rPr>
          <w:rFonts w:cs="Calibri" w:asciiTheme="minorEastAsia" w:hAnsiTheme="minorEastAsia" w:eastAsiaTheme="minorEastAsia"/>
          <w:szCs w:val="21"/>
        </w:rPr>
        <w:t>+</w:t>
      </w:r>
      <w:r>
        <w:rPr>
          <w:rFonts w:hint="eastAsia" w:cs="Calibri" w:asciiTheme="minorEastAsia" w:hAnsiTheme="minorEastAsia" w:eastAsiaTheme="minorEastAsia"/>
          <w:szCs w:val="21"/>
        </w:rPr>
        <w:t>硝酸</w:t>
      </w:r>
      <w:r>
        <w:rPr>
          <w:rFonts w:cs="Calibri" w:asciiTheme="minorEastAsia" w:hAnsiTheme="minorEastAsia" w:eastAsiaTheme="minorEastAsia"/>
          <w:szCs w:val="21"/>
        </w:rPr>
        <w:t>+</w:t>
      </w:r>
      <w:r>
        <w:rPr>
          <w:rFonts w:hint="eastAsia" w:cs="Calibri" w:asciiTheme="minorEastAsia" w:hAnsiTheme="minorEastAsia" w:eastAsiaTheme="minorEastAsia"/>
          <w:szCs w:val="21"/>
        </w:rPr>
        <w:t>高氯酸+氟化氢铵溶解，处理后定容1</w:t>
      </w:r>
      <w:r>
        <w:rPr>
          <w:rFonts w:cs="Calibri" w:asciiTheme="minorEastAsia" w:hAnsiTheme="minorEastAsia" w:eastAsiaTheme="minorEastAsia"/>
          <w:szCs w:val="21"/>
        </w:rPr>
        <w:t>00mL</w:t>
      </w:r>
      <w:r>
        <w:rPr>
          <w:rFonts w:hint="eastAsia" w:cs="Calibri" w:asciiTheme="minorEastAsia" w:hAnsiTheme="minorEastAsia" w:eastAsiaTheme="minorEastAsia"/>
          <w:szCs w:val="21"/>
        </w:rPr>
        <w:t>，分取2</w:t>
      </w:r>
      <w:r>
        <w:rPr>
          <w:rFonts w:cs="Calibri" w:asciiTheme="minorEastAsia" w:hAnsiTheme="minorEastAsia" w:eastAsiaTheme="minorEastAsia"/>
          <w:szCs w:val="21"/>
        </w:rPr>
        <w:t>5mL</w:t>
      </w:r>
      <w:r>
        <w:rPr>
          <w:rFonts w:hint="eastAsia" w:cs="Calibri" w:asciiTheme="minorEastAsia" w:hAnsiTheme="minorEastAsia" w:eastAsiaTheme="minorEastAsia"/>
          <w:szCs w:val="21"/>
        </w:rPr>
        <w:t>滴定。</w:t>
      </w:r>
    </w:p>
    <w:p>
      <w:pPr>
        <w:spacing w:line="360" w:lineRule="auto"/>
        <w:ind w:firstLine="420" w:firstLineChars="200"/>
        <w:rPr>
          <w:rFonts w:cs="Calibri" w:asciiTheme="minorEastAsia" w:hAnsiTheme="minorEastAsia" w:eastAsiaTheme="minorEastAsia"/>
          <w:szCs w:val="21"/>
        </w:rPr>
      </w:pPr>
      <w:r>
        <w:rPr>
          <w:rFonts w:hint="eastAsia" w:cs="Calibri" w:asciiTheme="minorEastAsia" w:hAnsiTheme="minorEastAsia" w:eastAsiaTheme="minorEastAsia"/>
          <w:szCs w:val="21"/>
        </w:rPr>
        <w:t>方法</w:t>
      </w:r>
      <w:r>
        <w:rPr>
          <w:rFonts w:cs="Calibri" w:asciiTheme="minorEastAsia" w:hAnsiTheme="minorEastAsia" w:eastAsiaTheme="minorEastAsia"/>
          <w:szCs w:val="21"/>
        </w:rPr>
        <w:t xml:space="preserve">4 </w:t>
      </w:r>
      <w:r>
        <w:rPr>
          <w:rFonts w:hint="eastAsia" w:cs="Calibri" w:asciiTheme="minorEastAsia" w:hAnsiTheme="minorEastAsia" w:eastAsiaTheme="minorEastAsia"/>
          <w:szCs w:val="21"/>
        </w:rPr>
        <w:t>称取0</w:t>
      </w:r>
      <w:r>
        <w:rPr>
          <w:rFonts w:cs="Calibri" w:asciiTheme="minorEastAsia" w:hAnsiTheme="minorEastAsia" w:eastAsiaTheme="minorEastAsia"/>
          <w:szCs w:val="21"/>
        </w:rPr>
        <w:t>.2</w:t>
      </w:r>
      <w:r>
        <w:rPr>
          <w:rFonts w:hint="eastAsia" w:cs="Calibri" w:asciiTheme="minorEastAsia" w:hAnsiTheme="minorEastAsia" w:eastAsiaTheme="minorEastAsia"/>
          <w:szCs w:val="21"/>
        </w:rPr>
        <w:t>g</w:t>
      </w:r>
      <w:r>
        <w:rPr>
          <w:rFonts w:hint="eastAsia" w:cs="Calibri" w:asciiTheme="minorEastAsia" w:hAnsiTheme="minorEastAsia" w:eastAsiaTheme="minorEastAsia"/>
          <w:bCs/>
          <w:szCs w:val="21"/>
        </w:rPr>
        <w:t>试样</w:t>
      </w:r>
      <w:r>
        <w:rPr>
          <w:rFonts w:hint="eastAsia" w:cs="Calibri" w:asciiTheme="minorEastAsia" w:hAnsiTheme="minorEastAsia" w:eastAsiaTheme="minorEastAsia"/>
          <w:szCs w:val="21"/>
        </w:rPr>
        <w:t>，</w:t>
      </w:r>
      <w:r>
        <w:rPr>
          <w:rFonts w:hint="eastAsia" w:cs="Calibri" w:asciiTheme="minorEastAsia" w:hAnsiTheme="minorEastAsia" w:eastAsiaTheme="minorEastAsia"/>
          <w:bCs/>
          <w:szCs w:val="21"/>
        </w:rPr>
        <w:t>采用</w:t>
      </w:r>
      <w:r>
        <w:rPr>
          <w:rFonts w:hint="eastAsia" w:cs="Calibri" w:asciiTheme="minorEastAsia" w:hAnsiTheme="minorEastAsia" w:eastAsiaTheme="minorEastAsia"/>
          <w:szCs w:val="21"/>
        </w:rPr>
        <w:t>盐酸</w:t>
      </w:r>
      <w:r>
        <w:rPr>
          <w:rFonts w:cs="Calibri" w:asciiTheme="minorEastAsia" w:hAnsiTheme="minorEastAsia" w:eastAsiaTheme="minorEastAsia"/>
          <w:szCs w:val="21"/>
        </w:rPr>
        <w:t>+</w:t>
      </w:r>
      <w:r>
        <w:rPr>
          <w:rFonts w:hint="eastAsia" w:cs="Calibri" w:asciiTheme="minorEastAsia" w:hAnsiTheme="minorEastAsia" w:eastAsiaTheme="minorEastAsia"/>
          <w:szCs w:val="21"/>
        </w:rPr>
        <w:t>硝酸</w:t>
      </w:r>
      <w:r>
        <w:rPr>
          <w:rFonts w:cs="Calibri" w:asciiTheme="minorEastAsia" w:hAnsiTheme="minorEastAsia" w:eastAsiaTheme="minorEastAsia"/>
          <w:szCs w:val="21"/>
        </w:rPr>
        <w:t>+</w:t>
      </w:r>
      <w:r>
        <w:rPr>
          <w:rFonts w:hint="eastAsia" w:cs="Calibri" w:asciiTheme="minorEastAsia" w:hAnsiTheme="minorEastAsia" w:eastAsiaTheme="minorEastAsia"/>
          <w:szCs w:val="21"/>
        </w:rPr>
        <w:t>高氯酸+氟化氢铵溶解，处理后直接滴定。</w:t>
      </w:r>
    </w:p>
    <w:p>
      <w:pPr>
        <w:spacing w:line="360" w:lineRule="auto"/>
        <w:ind w:firstLine="422" w:firstLineChars="200"/>
        <w:jc w:val="center"/>
        <w:rPr>
          <w:rFonts w:cs="Calibri" w:asciiTheme="minorEastAsia" w:hAnsiTheme="minorEastAsia" w:eastAsiaTheme="minorEastAsia"/>
          <w:b/>
          <w:bCs/>
          <w:szCs w:val="21"/>
        </w:rPr>
      </w:pPr>
      <w:r>
        <w:rPr>
          <w:rFonts w:hint="eastAsia" w:cs="Calibri" w:asciiTheme="minorEastAsia" w:hAnsiTheme="minorEastAsia" w:eastAsiaTheme="minorEastAsia"/>
          <w:b/>
          <w:bCs/>
          <w:szCs w:val="21"/>
        </w:rPr>
        <w:t>表</w:t>
      </w:r>
      <w:r>
        <w:rPr>
          <w:rFonts w:cs="Calibri" w:asciiTheme="minorEastAsia" w:hAnsiTheme="minorEastAsia" w:eastAsiaTheme="minorEastAsia"/>
          <w:b/>
          <w:bCs/>
          <w:szCs w:val="21"/>
        </w:rPr>
        <w:t>2</w:t>
      </w:r>
      <w:r>
        <w:rPr>
          <w:rFonts w:hint="eastAsia" w:cs="Calibri" w:asciiTheme="minorEastAsia" w:hAnsiTheme="minorEastAsia" w:eastAsiaTheme="minorEastAsia"/>
          <w:b/>
          <w:bCs/>
          <w:szCs w:val="21"/>
        </w:rPr>
        <w:t>称样量对铋测定的影响</w:t>
      </w:r>
    </w:p>
    <w:tbl>
      <w:tblPr>
        <w:tblStyle w:val="8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813"/>
        <w:gridCol w:w="1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样品编号</w:t>
            </w:r>
          </w:p>
        </w:tc>
        <w:tc>
          <w:tcPr>
            <w:tcW w:w="18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#</w:t>
            </w:r>
          </w:p>
        </w:tc>
        <w:tc>
          <w:tcPr>
            <w:tcW w:w="197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#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方法3</w:t>
            </w:r>
          </w:p>
        </w:tc>
        <w:tc>
          <w:tcPr>
            <w:tcW w:w="18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29.34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，2</w:t>
            </w: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9.27</w:t>
            </w:r>
          </w:p>
        </w:tc>
        <w:tc>
          <w:tcPr>
            <w:tcW w:w="197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41.21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，4</w:t>
            </w: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1.33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方法4</w:t>
            </w:r>
          </w:p>
        </w:tc>
        <w:tc>
          <w:tcPr>
            <w:tcW w:w="181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29.38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，2</w:t>
            </w: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9.34</w:t>
            </w:r>
          </w:p>
        </w:tc>
        <w:tc>
          <w:tcPr>
            <w:tcW w:w="197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200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41.25</w:t>
            </w: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，4</w:t>
            </w:r>
            <w:r>
              <w:rPr>
                <w:rFonts w:cs="Calibri" w:asciiTheme="minorEastAsia" w:hAnsiTheme="minorEastAsia" w:eastAsiaTheme="minorEastAsia"/>
                <w:sz w:val="18"/>
                <w:szCs w:val="18"/>
              </w:rPr>
              <w:t>1.22</w:t>
            </w:r>
          </w:p>
        </w:tc>
      </w:tr>
    </w:tbl>
    <w:p>
      <w:pPr>
        <w:spacing w:line="360" w:lineRule="auto"/>
        <w:ind w:firstLine="420" w:firstLineChars="200"/>
        <w:rPr>
          <w:rFonts w:cs="Calibri" w:asciiTheme="minorEastAsia" w:hAnsiTheme="minorEastAsia" w:eastAsiaTheme="minorEastAsia"/>
          <w:szCs w:val="21"/>
        </w:rPr>
      </w:pPr>
      <w:r>
        <w:rPr>
          <w:rFonts w:hint="eastAsia" w:cs="Calibri" w:asciiTheme="minorEastAsia" w:hAnsiTheme="minorEastAsia" w:eastAsiaTheme="minorEastAsia"/>
          <w:szCs w:val="21"/>
        </w:rPr>
        <w:t>根据表</w:t>
      </w:r>
      <w:r>
        <w:rPr>
          <w:rFonts w:cs="Calibri" w:asciiTheme="minorEastAsia" w:hAnsiTheme="minorEastAsia" w:eastAsiaTheme="minorEastAsia"/>
          <w:szCs w:val="21"/>
        </w:rPr>
        <w:t>2</w:t>
      </w:r>
      <w:r>
        <w:rPr>
          <w:rFonts w:hint="eastAsia" w:cs="Calibri" w:asciiTheme="minorEastAsia" w:hAnsiTheme="minorEastAsia" w:eastAsiaTheme="minorEastAsia"/>
          <w:szCs w:val="21"/>
        </w:rPr>
        <w:t>可知，两种方法对铋测定结果基本一致。对于方法</w:t>
      </w:r>
      <w:r>
        <w:rPr>
          <w:rFonts w:cs="Calibri" w:asciiTheme="minorEastAsia" w:hAnsiTheme="minorEastAsia" w:eastAsiaTheme="minorEastAsia"/>
          <w:szCs w:val="21"/>
        </w:rPr>
        <w:t>1</w:t>
      </w:r>
      <w:r>
        <w:rPr>
          <w:rFonts w:hint="eastAsia" w:cs="Calibri" w:asciiTheme="minorEastAsia" w:hAnsiTheme="minorEastAsia" w:eastAsiaTheme="minorEastAsia"/>
          <w:szCs w:val="21"/>
        </w:rPr>
        <w:t>称取</w:t>
      </w:r>
      <w:r>
        <w:rPr>
          <w:rFonts w:hint="eastAsia" w:cs="Calibri" w:asciiTheme="minorEastAsia" w:hAnsiTheme="minorEastAsia" w:eastAsiaTheme="minorEastAsia"/>
          <w:bCs/>
          <w:szCs w:val="21"/>
        </w:rPr>
        <w:t>0</w:t>
      </w:r>
      <w:r>
        <w:rPr>
          <w:rFonts w:cs="Calibri" w:asciiTheme="minorEastAsia" w:hAnsiTheme="minorEastAsia" w:eastAsiaTheme="minorEastAsia"/>
          <w:bCs/>
          <w:szCs w:val="21"/>
        </w:rPr>
        <w:t>.5</w:t>
      </w:r>
      <w:r>
        <w:rPr>
          <w:rFonts w:hint="eastAsia" w:cs="Calibri" w:asciiTheme="minorEastAsia" w:hAnsiTheme="minorEastAsia" w:eastAsiaTheme="minorEastAsia"/>
          <w:bCs/>
          <w:szCs w:val="21"/>
        </w:rPr>
        <w:t>g试样，</w:t>
      </w:r>
      <w:r>
        <w:rPr>
          <w:rFonts w:hint="eastAsia" w:cs="Calibri" w:asciiTheme="minorEastAsia" w:hAnsiTheme="minorEastAsia" w:eastAsiaTheme="minorEastAsia"/>
          <w:szCs w:val="21"/>
        </w:rPr>
        <w:t>处理后定容1</w:t>
      </w:r>
      <w:r>
        <w:rPr>
          <w:rFonts w:cs="Calibri" w:asciiTheme="minorEastAsia" w:hAnsiTheme="minorEastAsia" w:eastAsiaTheme="minorEastAsia"/>
          <w:szCs w:val="21"/>
        </w:rPr>
        <w:t>00mL</w:t>
      </w:r>
      <w:r>
        <w:rPr>
          <w:rFonts w:hint="eastAsia" w:cs="Calibri" w:asciiTheme="minorEastAsia" w:hAnsiTheme="minorEastAsia" w:eastAsiaTheme="minorEastAsia"/>
          <w:szCs w:val="21"/>
        </w:rPr>
        <w:t>，分取2</w:t>
      </w:r>
      <w:r>
        <w:rPr>
          <w:rFonts w:cs="Calibri" w:asciiTheme="minorEastAsia" w:hAnsiTheme="minorEastAsia" w:eastAsiaTheme="minorEastAsia"/>
          <w:szCs w:val="21"/>
        </w:rPr>
        <w:t>5mL</w:t>
      </w:r>
      <w:r>
        <w:rPr>
          <w:rFonts w:hint="eastAsia" w:cs="Calibri" w:asciiTheme="minorEastAsia" w:hAnsiTheme="minorEastAsia" w:eastAsiaTheme="minorEastAsia"/>
          <w:szCs w:val="21"/>
        </w:rPr>
        <w:t>滴定，对于低含量1</w:t>
      </w:r>
      <w:r>
        <w:rPr>
          <w:rFonts w:cs="Calibri" w:asciiTheme="minorEastAsia" w:hAnsiTheme="minorEastAsia" w:eastAsiaTheme="minorEastAsia"/>
          <w:szCs w:val="21"/>
        </w:rPr>
        <w:t>0</w:t>
      </w:r>
      <w:r>
        <w:rPr>
          <w:rFonts w:hint="eastAsia" w:cs="Calibri" w:asciiTheme="minorEastAsia" w:hAnsiTheme="minorEastAsia" w:eastAsiaTheme="minorEastAsia"/>
          <w:szCs w:val="21"/>
        </w:rPr>
        <w:t>%的铋精矿，滴定体积只有不到5</w:t>
      </w:r>
      <w:r>
        <w:rPr>
          <w:rFonts w:cs="Calibri" w:asciiTheme="minorEastAsia" w:hAnsiTheme="minorEastAsia" w:eastAsiaTheme="minorEastAsia"/>
          <w:szCs w:val="21"/>
        </w:rPr>
        <w:t>mL</w:t>
      </w:r>
      <w:r>
        <w:rPr>
          <w:rFonts w:hint="eastAsia" w:cs="Calibri" w:asciiTheme="minorEastAsia" w:hAnsiTheme="minorEastAsia" w:eastAsiaTheme="minorEastAsia"/>
          <w:szCs w:val="21"/>
        </w:rPr>
        <w:t>，读数引起的相对误差较大。因此本试验采用方法</w:t>
      </w:r>
      <w:r>
        <w:rPr>
          <w:rFonts w:cs="Calibri" w:asciiTheme="minorEastAsia" w:hAnsiTheme="minorEastAsia" w:eastAsiaTheme="minorEastAsia"/>
          <w:szCs w:val="21"/>
        </w:rPr>
        <w:t>2</w:t>
      </w:r>
      <w:r>
        <w:rPr>
          <w:rFonts w:hint="eastAsia" w:cs="Calibri" w:asciiTheme="minorEastAsia" w:hAnsiTheme="minorEastAsia" w:eastAsiaTheme="minorEastAsia"/>
          <w:szCs w:val="21"/>
        </w:rPr>
        <w:t>称取0</w:t>
      </w:r>
      <w:r>
        <w:rPr>
          <w:rFonts w:cs="Calibri" w:asciiTheme="minorEastAsia" w:hAnsiTheme="minorEastAsia" w:eastAsiaTheme="minorEastAsia"/>
          <w:szCs w:val="21"/>
        </w:rPr>
        <w:t>.2</w:t>
      </w:r>
      <w:r>
        <w:rPr>
          <w:rFonts w:hint="eastAsia" w:cs="Calibri" w:asciiTheme="minorEastAsia" w:hAnsiTheme="minorEastAsia" w:eastAsiaTheme="minorEastAsia"/>
          <w:szCs w:val="21"/>
        </w:rPr>
        <w:t>g</w:t>
      </w:r>
      <w:r>
        <w:rPr>
          <w:rFonts w:hint="eastAsia" w:cs="Calibri" w:asciiTheme="minorEastAsia" w:hAnsiTheme="minorEastAsia" w:eastAsiaTheme="minorEastAsia"/>
          <w:bCs/>
          <w:szCs w:val="21"/>
        </w:rPr>
        <w:t>试样</w:t>
      </w:r>
      <w:r>
        <w:rPr>
          <w:rFonts w:hint="eastAsia" w:cs="Calibri" w:asciiTheme="minorEastAsia" w:hAnsiTheme="minorEastAsia" w:eastAsiaTheme="minorEastAsia"/>
          <w:szCs w:val="21"/>
        </w:rPr>
        <w:t>处理后直接滴定。</w:t>
      </w:r>
    </w:p>
    <w:p>
      <w:pPr>
        <w:pStyle w:val="120"/>
        <w:adjustRightInd w:val="0"/>
        <w:spacing w:beforeLines="50" w:afterLines="50" w:line="360" w:lineRule="auto"/>
        <w:ind w:left="0" w:firstLine="0"/>
        <w:rPr>
          <w:rFonts w:hAnsi="黑体"/>
          <w:bCs/>
        </w:rPr>
      </w:pPr>
      <w:r>
        <w:rPr>
          <w:rFonts w:hint="eastAsia" w:hAnsi="黑体"/>
        </w:rPr>
        <w:t>3.4试料量</w:t>
      </w:r>
      <w:r>
        <w:rPr>
          <w:rFonts w:hint="eastAsia" w:hAnsi="黑体"/>
          <w:bCs/>
        </w:rPr>
        <w:t>滴定条件的选择</w:t>
      </w:r>
    </w:p>
    <w:p>
      <w:pPr>
        <w:outlineLvl w:val="0"/>
        <w:rPr>
          <w:rFonts w:eastAsia="黑体"/>
          <w:szCs w:val="21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4</w:t>
      </w:r>
      <w:r>
        <w:rPr>
          <w:rFonts w:ascii="黑体" w:hAnsi="黑体" w:eastAsia="黑体"/>
          <w:szCs w:val="21"/>
        </w:rPr>
        <w:t>.1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酸度条件</w:t>
      </w:r>
    </w:p>
    <w:p>
      <w:pPr>
        <w:ind w:firstLine="435"/>
        <w:outlineLvl w:val="0"/>
        <w:rPr>
          <w:szCs w:val="21"/>
        </w:rPr>
      </w:pPr>
      <w:r>
        <w:rPr>
          <w:rFonts w:hint="eastAsia"/>
          <w:szCs w:val="21"/>
        </w:rPr>
        <w:t>移取</w:t>
      </w:r>
      <w:r>
        <w:rPr>
          <w:szCs w:val="21"/>
        </w:rPr>
        <w:t>2</w:t>
      </w:r>
      <w:r>
        <w:rPr>
          <w:rFonts w:hint="eastAsia"/>
          <w:szCs w:val="21"/>
        </w:rPr>
        <w:t>0m</w:t>
      </w:r>
      <w:r>
        <w:rPr>
          <w:szCs w:val="21"/>
        </w:rPr>
        <w:t>L</w:t>
      </w:r>
      <w:r>
        <w:rPr>
          <w:rFonts w:hint="eastAsia"/>
          <w:szCs w:val="21"/>
        </w:rPr>
        <w:t>铋标准溶液（2</w:t>
      </w:r>
      <w:r>
        <w:rPr>
          <w:szCs w:val="21"/>
        </w:rPr>
        <w:t>.0000</w:t>
      </w:r>
      <w:r>
        <w:rPr>
          <w:rFonts w:hint="eastAsia"/>
          <w:szCs w:val="21"/>
        </w:rPr>
        <w:t>mg</w:t>
      </w:r>
      <w:r>
        <w:rPr>
          <w:szCs w:val="21"/>
        </w:rPr>
        <w:t>/mL</w:t>
      </w:r>
      <w:r>
        <w:rPr>
          <w:rFonts w:hint="eastAsia" w:eastAsia="黑体"/>
          <w:kern w:val="0"/>
          <w:szCs w:val="21"/>
        </w:rPr>
        <w:t>）</w:t>
      </w:r>
      <w:r>
        <w:rPr>
          <w:rFonts w:hint="eastAsia"/>
          <w:szCs w:val="21"/>
        </w:rPr>
        <w:t>，分别在pH为1.0、1.5、1.7、2.0、2.5的酸度条件下，用Na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EDTA标准滴定溶液滴定铋的含量，</w:t>
      </w:r>
      <w:r>
        <w:rPr>
          <w:rFonts w:hint="eastAsia" w:ascii="宋体" w:hAnsi="宋体"/>
          <w:kern w:val="0"/>
          <w:szCs w:val="21"/>
        </w:rPr>
        <w:t>试验</w:t>
      </w:r>
      <w:r>
        <w:rPr>
          <w:rFonts w:hint="eastAsia"/>
          <w:szCs w:val="21"/>
        </w:rPr>
        <w:t>结果见下表3。</w:t>
      </w:r>
    </w:p>
    <w:p>
      <w:pPr>
        <w:ind w:firstLine="435"/>
        <w:jc w:val="center"/>
        <w:outlineLvl w:val="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表3酸度对Na</w:t>
      </w:r>
      <w:r>
        <w:rPr>
          <w:rFonts w:hint="eastAsia" w:ascii="宋体" w:hAnsi="宋体"/>
          <w:b/>
          <w:bCs/>
          <w:szCs w:val="21"/>
          <w:vertAlign w:val="subscript"/>
        </w:rPr>
        <w:t>2</w:t>
      </w:r>
      <w:r>
        <w:rPr>
          <w:rFonts w:hint="eastAsia" w:ascii="宋体" w:hAnsi="宋体"/>
          <w:b/>
          <w:bCs/>
          <w:szCs w:val="21"/>
        </w:rPr>
        <w:t>EDTA滴定铋的影响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95"/>
        <w:gridCol w:w="1495"/>
        <w:gridCol w:w="1495"/>
        <w:gridCol w:w="1495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pH值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测得铋量/mg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</w:t>
            </w:r>
            <w:r>
              <w:rPr>
                <w:szCs w:val="21"/>
              </w:rPr>
              <w:t>67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9.98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9.9</w:t>
            </w:r>
            <w:r>
              <w:rPr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9.8</w:t>
            </w:r>
            <w:r>
              <w:rPr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滴定现象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开始溶液为橘黄色，滴定至黄色，颜色变化不敏锐，终点突跃不明显</w:t>
            </w:r>
          </w:p>
        </w:tc>
        <w:tc>
          <w:tcPr>
            <w:tcW w:w="1495" w:type="dxa"/>
            <w:vAlign w:val="center"/>
          </w:tcPr>
          <w:p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开始溶液为红色，滴定至黄色，颜色变化很敏锐，终点突跃很明显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开始溶液为红色，滴定至黄色，颜色变化很敏锐，终点突跃很明显</w:t>
            </w:r>
          </w:p>
        </w:tc>
        <w:tc>
          <w:tcPr>
            <w:tcW w:w="1495" w:type="dxa"/>
            <w:vAlign w:val="center"/>
          </w:tcPr>
          <w:p>
            <w:pPr>
              <w:outlineLvl w:val="0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开始溶液为红色，滴定至黄色，颜色变化敏锐，终点突跃较明显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开始溶液为暗红色，滴定至黄色，颜色变化不太敏锐，终点突跃不太明显</w:t>
            </w:r>
          </w:p>
        </w:tc>
      </w:tr>
    </w:tbl>
    <w:p>
      <w:pPr>
        <w:ind w:firstLine="435"/>
        <w:outlineLvl w:val="0"/>
        <w:rPr>
          <w:rFonts w:hAnsi="宋体"/>
          <w:bCs/>
          <w:szCs w:val="21"/>
        </w:rPr>
      </w:pPr>
      <w:r>
        <w:rPr>
          <w:rFonts w:hint="eastAsia"/>
          <w:szCs w:val="21"/>
        </w:rPr>
        <w:t>由以上试验可知，pH值在1.5~1.7时，试验结果理想，颜色变化敏锐，终点突跃明显，因此本方法选择调节溶液pH值1.5~1.7滴定铋。</w:t>
      </w:r>
    </w:p>
    <w:p>
      <w:pPr>
        <w:rPr>
          <w:rFonts w:hAnsi="宋体"/>
          <w:szCs w:val="21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4</w:t>
      </w:r>
      <w:r>
        <w:rPr>
          <w:rFonts w:ascii="黑体" w:hAnsi="黑体" w:eastAsia="黑体"/>
          <w:szCs w:val="21"/>
        </w:rPr>
        <w:t>.</w:t>
      </w:r>
      <w:r>
        <w:rPr>
          <w:rFonts w:hint="eastAsia" w:hAnsi="宋体"/>
          <w:bCs/>
          <w:szCs w:val="21"/>
        </w:rPr>
        <w:t>2</w:t>
      </w:r>
      <w:r>
        <w:rPr>
          <w:rFonts w:hAnsi="宋体"/>
          <w:bCs/>
          <w:szCs w:val="21"/>
        </w:rPr>
        <w:t xml:space="preserve">  </w:t>
      </w:r>
      <w:r>
        <w:rPr>
          <w:rFonts w:hint="eastAsia" w:hAnsi="宋体"/>
          <w:szCs w:val="21"/>
        </w:rPr>
        <w:t>硫脲用量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加入硫脲不仅可以掩蔽铜，还与铋生成黄色的络合物，增加了溶液稳定性。</w:t>
      </w:r>
      <w:r>
        <w:rPr>
          <w:rFonts w:hint="eastAsia"/>
          <w:szCs w:val="21"/>
        </w:rPr>
        <w:t>移取</w:t>
      </w:r>
      <w:r>
        <w:rPr>
          <w:szCs w:val="21"/>
        </w:rPr>
        <w:t>2</w:t>
      </w:r>
      <w:r>
        <w:rPr>
          <w:rFonts w:hint="eastAsia"/>
          <w:szCs w:val="21"/>
        </w:rPr>
        <w:t>0mL铋标准溶液（</w:t>
      </w:r>
      <w:r>
        <w:rPr>
          <w:rFonts w:hint="eastAsia"/>
          <w:sz w:val="24"/>
        </w:rPr>
        <w:t>2</w:t>
      </w:r>
      <w:r>
        <w:rPr>
          <w:sz w:val="24"/>
        </w:rPr>
        <w:t>.0000</w:t>
      </w:r>
      <w:r>
        <w:rPr>
          <w:rFonts w:hint="eastAsia"/>
          <w:sz w:val="24"/>
        </w:rPr>
        <w:t>mg</w:t>
      </w:r>
      <w:r>
        <w:rPr>
          <w:sz w:val="24"/>
        </w:rPr>
        <w:t>/mL</w:t>
      </w:r>
      <w:r>
        <w:rPr>
          <w:rFonts w:hint="eastAsia" w:eastAsia="黑体"/>
          <w:kern w:val="0"/>
          <w:szCs w:val="21"/>
        </w:rPr>
        <w:t>）</w:t>
      </w:r>
      <w:r>
        <w:rPr>
          <w:rFonts w:hint="eastAsia"/>
          <w:szCs w:val="21"/>
        </w:rPr>
        <w:t>，加入</w:t>
      </w:r>
      <w:r>
        <w:rPr>
          <w:szCs w:val="21"/>
        </w:rPr>
        <w:t>20</w:t>
      </w:r>
      <w:r>
        <w:rPr>
          <w:rFonts w:hint="eastAsia"/>
          <w:szCs w:val="21"/>
        </w:rPr>
        <w:t>.00mg铜</w:t>
      </w:r>
      <w:r>
        <w:rPr>
          <w:rFonts w:hint="eastAsia" w:hAnsi="宋体"/>
          <w:szCs w:val="21"/>
        </w:rPr>
        <w:t>溶液</w:t>
      </w:r>
      <w:r>
        <w:rPr>
          <w:rFonts w:hint="eastAsia"/>
          <w:szCs w:val="21"/>
        </w:rPr>
        <w:t>，分别加入不同量的</w:t>
      </w:r>
      <w:r>
        <w:rPr>
          <w:rFonts w:hint="eastAsia"/>
          <w:bCs/>
          <w:szCs w:val="21"/>
        </w:rPr>
        <w:t>硫脲饱和溶液，</w:t>
      </w:r>
      <w:r>
        <w:rPr>
          <w:rFonts w:hint="eastAsia"/>
          <w:szCs w:val="21"/>
        </w:rPr>
        <w:t>按照实验方法测定铋量，</w:t>
      </w:r>
      <w:r>
        <w:rPr>
          <w:rFonts w:hint="eastAsia"/>
          <w:bCs/>
          <w:szCs w:val="21"/>
        </w:rPr>
        <w:t>结果见表4。</w:t>
      </w:r>
    </w:p>
    <w:p>
      <w:pPr>
        <w:ind w:firstLine="422" w:firstLineChars="200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表4 硫脲饱和溶液加入量对铋测定的影响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369"/>
        <w:gridCol w:w="1369"/>
        <w:gridCol w:w="1369"/>
        <w:gridCol w:w="1369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硫脲饱和溶液加入量</w:t>
            </w:r>
            <w:r>
              <w:rPr>
                <w:szCs w:val="21"/>
              </w:rPr>
              <w:t>/mL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实验现象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加入硫脲溶液浅黄色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加入硫脲溶液黄色稍微加深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加入硫脲溶液深黄色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加入硫脲溶液深黄色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加入硫脲溶液深黄色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终点突变的情况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不敏锐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较敏锐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敏锐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敏锐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敏锐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测得铋量</w:t>
            </w:r>
            <w:r>
              <w:rPr>
                <w:szCs w:val="21"/>
              </w:rPr>
              <w:t>/mg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9.75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9.88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9.98</w:t>
            </w:r>
          </w:p>
        </w:tc>
      </w:tr>
    </w:tbl>
    <w:p>
      <w:pPr>
        <w:snapToGrid w:val="0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由表2可见，硫脲饱和溶液加入量在大于5mL时，铋的测定结果满足要求。本方法选择硫脲加入量为</w:t>
      </w:r>
      <w:r>
        <w:rPr>
          <w:bCs/>
          <w:szCs w:val="21"/>
        </w:rPr>
        <w:t>5mL</w:t>
      </w:r>
      <w:r>
        <w:rPr>
          <w:rFonts w:hint="eastAsia"/>
          <w:bCs/>
          <w:szCs w:val="21"/>
        </w:rPr>
        <w:t>。</w:t>
      </w:r>
    </w:p>
    <w:p>
      <w:pPr>
        <w:snapToGrid w:val="0"/>
        <w:rPr>
          <w:szCs w:val="21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4</w:t>
      </w:r>
      <w:r>
        <w:rPr>
          <w:rFonts w:ascii="黑体" w:hAnsi="黑体" w:eastAsia="黑体"/>
          <w:szCs w:val="21"/>
        </w:rPr>
        <w:t>.</w:t>
      </w:r>
      <w:r>
        <w:rPr>
          <w:rFonts w:hint="eastAsia"/>
          <w:szCs w:val="21"/>
        </w:rPr>
        <w:t>3</w:t>
      </w:r>
      <w:r>
        <w:rPr>
          <w:szCs w:val="21"/>
        </w:rPr>
        <w:t xml:space="preserve"> </w:t>
      </w:r>
      <w:r>
        <w:rPr>
          <w:rFonts w:hint="eastAsia" w:hAnsi="宋体"/>
          <w:bCs/>
          <w:szCs w:val="21"/>
        </w:rPr>
        <w:t>抗坏血酸用量</w:t>
      </w:r>
    </w:p>
    <w:p>
      <w:pPr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Na</w:t>
      </w:r>
      <w:r>
        <w:rPr>
          <w:rFonts w:hint="eastAsia" w:hAnsi="宋体"/>
          <w:szCs w:val="21"/>
          <w:vertAlign w:val="subscript"/>
        </w:rPr>
        <w:t>2</w:t>
      </w:r>
      <w:r>
        <w:rPr>
          <w:rFonts w:hint="eastAsia" w:hAnsi="宋体"/>
          <w:szCs w:val="21"/>
        </w:rPr>
        <w:t>EDTA与三价铁的络合常数是25.1，而与二价铁的络合常数是14.32，通常采用加入抗坏血酸将溶液中的三价铁还原为二价铁，来消除三价铁对铋测定的影响。</w:t>
      </w:r>
      <w:r>
        <w:rPr>
          <w:rFonts w:hint="eastAsia"/>
          <w:szCs w:val="21"/>
        </w:rPr>
        <w:t>移取</w:t>
      </w:r>
      <w:r>
        <w:rPr>
          <w:szCs w:val="21"/>
        </w:rPr>
        <w:t>2</w:t>
      </w:r>
      <w:r>
        <w:rPr>
          <w:rFonts w:hint="eastAsia"/>
          <w:szCs w:val="21"/>
        </w:rPr>
        <w:t>0mL铋标准溶液（2</w:t>
      </w:r>
      <w:r>
        <w:rPr>
          <w:szCs w:val="21"/>
        </w:rPr>
        <w:t>.0000</w:t>
      </w:r>
      <w:r>
        <w:rPr>
          <w:rFonts w:hint="eastAsia"/>
          <w:szCs w:val="21"/>
        </w:rPr>
        <w:t>mg</w:t>
      </w:r>
      <w:r>
        <w:rPr>
          <w:szCs w:val="21"/>
        </w:rPr>
        <w:t>/mL</w:t>
      </w:r>
      <w:r>
        <w:rPr>
          <w:rFonts w:hint="eastAsia" w:eastAsia="黑体"/>
          <w:kern w:val="0"/>
          <w:szCs w:val="21"/>
        </w:rPr>
        <w:t>）</w:t>
      </w:r>
      <w:r>
        <w:rPr>
          <w:rFonts w:hint="eastAsia" w:hAnsi="宋体"/>
          <w:szCs w:val="21"/>
        </w:rPr>
        <w:t>，加入</w:t>
      </w:r>
      <w:r>
        <w:rPr>
          <w:rFonts w:hAnsi="宋体"/>
          <w:szCs w:val="21"/>
        </w:rPr>
        <w:t>40.00mg</w:t>
      </w:r>
      <w:r>
        <w:rPr>
          <w:rFonts w:hint="eastAsia" w:hAnsi="宋体"/>
          <w:szCs w:val="21"/>
        </w:rPr>
        <w:t>铁溶液，按照实验方法进行测定，结果见表</w:t>
      </w:r>
      <w:r>
        <w:rPr>
          <w:rFonts w:hint="eastAsia"/>
          <w:szCs w:val="21"/>
        </w:rPr>
        <w:t>5</w:t>
      </w:r>
      <w:r>
        <w:rPr>
          <w:rFonts w:hint="eastAsia" w:hAnsi="宋体"/>
          <w:szCs w:val="21"/>
        </w:rPr>
        <w:t>。</w:t>
      </w:r>
    </w:p>
    <w:p>
      <w:pPr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表5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抗坏血酸用量对铋测定的影响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1"/>
        <w:gridCol w:w="1231"/>
        <w:gridCol w:w="1231"/>
        <w:gridCol w:w="123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抗坏血酸用量</w:t>
            </w:r>
            <w:r>
              <w:rPr>
                <w:szCs w:val="21"/>
              </w:rPr>
              <w:t>/g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铋测定值</w:t>
            </w:r>
            <w:r>
              <w:rPr>
                <w:szCs w:val="21"/>
              </w:rPr>
              <w:t>/mg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25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9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39.98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40.01</w:t>
            </w:r>
          </w:p>
        </w:tc>
      </w:tr>
    </w:tbl>
    <w:p>
      <w:pPr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由此可知，当溶液中含有铁，如果不加抗坏血酸，铋的测定结果偏高，加入抗坏血酸用量为0.1~0.4g时，均可消除铁对铋的测定的影响，本实验选定抗坏血酸加入量为0.2</w:t>
      </w:r>
      <w:r>
        <w:rPr>
          <w:rFonts w:hAnsi="宋体"/>
          <w:szCs w:val="21"/>
        </w:rPr>
        <w:t>g</w:t>
      </w:r>
      <w:r>
        <w:rPr>
          <w:rFonts w:hint="eastAsia" w:hAnsi="宋体"/>
          <w:szCs w:val="21"/>
        </w:rPr>
        <w:t>。</w:t>
      </w:r>
    </w:p>
    <w:p>
      <w:pPr>
        <w:rPr>
          <w:szCs w:val="21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4</w:t>
      </w:r>
      <w:r>
        <w:rPr>
          <w:rFonts w:ascii="黑体" w:hAnsi="黑体" w:eastAsia="黑体"/>
          <w:szCs w:val="21"/>
        </w:rPr>
        <w:t>.</w:t>
      </w:r>
      <w:r>
        <w:rPr>
          <w:rFonts w:hint="eastAsia" w:ascii="黑体" w:hAnsi="黑体" w:eastAsia="黑体"/>
          <w:szCs w:val="21"/>
        </w:rPr>
        <w:t>4</w:t>
      </w:r>
      <w:r>
        <w:rPr>
          <w:szCs w:val="21"/>
        </w:rPr>
        <w:t xml:space="preserve"> </w:t>
      </w:r>
      <w:r>
        <w:rPr>
          <w:rFonts w:hint="eastAsia" w:hAnsi="宋体"/>
          <w:szCs w:val="21"/>
        </w:rPr>
        <w:t>酒石酸溶液用量</w:t>
      </w:r>
    </w:p>
    <w:p>
      <w:pPr>
        <w:ind w:firstLine="420" w:firstLineChars="200"/>
        <w:rPr>
          <w:szCs w:val="21"/>
        </w:rPr>
      </w:pPr>
      <w:r>
        <w:rPr>
          <w:rFonts w:hint="eastAsia" w:hAnsi="宋体"/>
          <w:szCs w:val="21"/>
        </w:rPr>
        <w:t>溶液中的锑可以加酒石酸络合。</w:t>
      </w:r>
      <w:r>
        <w:rPr>
          <w:rFonts w:hint="eastAsia"/>
          <w:szCs w:val="21"/>
        </w:rPr>
        <w:t>移取</w:t>
      </w:r>
      <w:r>
        <w:rPr>
          <w:szCs w:val="21"/>
        </w:rPr>
        <w:t>2</w:t>
      </w:r>
      <w:r>
        <w:rPr>
          <w:rFonts w:hint="eastAsia"/>
          <w:szCs w:val="21"/>
        </w:rPr>
        <w:t>0mL铋标准溶液（</w:t>
      </w:r>
      <w:r>
        <w:rPr>
          <w:rFonts w:hint="eastAsia"/>
          <w:sz w:val="24"/>
        </w:rPr>
        <w:t>2</w:t>
      </w:r>
      <w:r>
        <w:rPr>
          <w:sz w:val="24"/>
        </w:rPr>
        <w:t>.0000</w:t>
      </w:r>
      <w:r>
        <w:rPr>
          <w:rFonts w:hint="eastAsia"/>
          <w:sz w:val="24"/>
        </w:rPr>
        <w:t>mg</w:t>
      </w:r>
      <w:r>
        <w:rPr>
          <w:sz w:val="24"/>
        </w:rPr>
        <w:t>/mL</w:t>
      </w:r>
      <w:r>
        <w:rPr>
          <w:rFonts w:hint="eastAsia" w:eastAsia="黑体"/>
          <w:kern w:val="0"/>
          <w:szCs w:val="21"/>
        </w:rPr>
        <w:t>）</w:t>
      </w:r>
      <w:r>
        <w:rPr>
          <w:rFonts w:hint="eastAsia" w:hAnsi="宋体"/>
          <w:szCs w:val="21"/>
        </w:rPr>
        <w:t>，加入5.00</w:t>
      </w:r>
      <w:r>
        <w:rPr>
          <w:rFonts w:hAnsi="宋体"/>
          <w:szCs w:val="21"/>
        </w:rPr>
        <w:t>mg</w:t>
      </w:r>
      <w:r>
        <w:rPr>
          <w:rFonts w:hint="eastAsia" w:hAnsi="宋体"/>
          <w:szCs w:val="21"/>
        </w:rPr>
        <w:t>锑溶液，按照实验方法进行测定，结果见表</w:t>
      </w:r>
      <w:r>
        <w:rPr>
          <w:rFonts w:hint="eastAsia"/>
          <w:szCs w:val="21"/>
        </w:rPr>
        <w:t>6</w:t>
      </w:r>
      <w:r>
        <w:rPr>
          <w:rFonts w:hint="eastAsia" w:hAnsi="宋体"/>
          <w:szCs w:val="21"/>
        </w:rPr>
        <w:t>。</w:t>
      </w:r>
    </w:p>
    <w:p>
      <w:pPr>
        <w:ind w:firstLine="422" w:firstLineChars="200"/>
        <w:jc w:val="center"/>
        <w:rPr>
          <w:b/>
          <w:bCs/>
          <w:szCs w:val="21"/>
        </w:rPr>
      </w:pPr>
      <w:r>
        <w:rPr>
          <w:rFonts w:hint="eastAsia" w:hAnsi="宋体"/>
          <w:b/>
          <w:bCs/>
          <w:szCs w:val="21"/>
        </w:rPr>
        <w:t>表</w:t>
      </w:r>
      <w:r>
        <w:rPr>
          <w:rFonts w:hint="eastAsia"/>
          <w:b/>
          <w:bCs/>
          <w:szCs w:val="21"/>
        </w:rPr>
        <w:t>6</w:t>
      </w:r>
      <w:r>
        <w:rPr>
          <w:rFonts w:hint="eastAsia" w:hAnsi="宋体"/>
          <w:b/>
          <w:bCs/>
          <w:szCs w:val="21"/>
        </w:rPr>
        <w:t>酒石酸用量对铋测定的影响</w:t>
      </w:r>
    </w:p>
    <w:tbl>
      <w:tblPr>
        <w:tblStyle w:val="88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162"/>
        <w:gridCol w:w="1162"/>
        <w:gridCol w:w="1163"/>
        <w:gridCol w:w="116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酒石酸溶液加入量</w:t>
            </w:r>
            <w:r>
              <w:rPr>
                <w:szCs w:val="21"/>
              </w:rPr>
              <w:t>/mL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铋测定量</w:t>
            </w:r>
            <w:r>
              <w:rPr>
                <w:szCs w:val="21"/>
              </w:rPr>
              <w:t>/mg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0.2</w:t>
            </w:r>
            <w:r>
              <w:rPr>
                <w:szCs w:val="21"/>
              </w:rPr>
              <w:t>8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4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9.9</w:t>
            </w:r>
            <w:r>
              <w:rPr>
                <w:szCs w:val="21"/>
              </w:rPr>
              <w:t>6</w:t>
            </w:r>
          </w:p>
        </w:tc>
      </w:tr>
    </w:tbl>
    <w:p>
      <w:pPr>
        <w:ind w:firstLine="420" w:firstLineChars="200"/>
        <w:rPr>
          <w:rFonts w:hAnsi="宋体"/>
          <w:b/>
          <w:szCs w:val="21"/>
        </w:rPr>
      </w:pPr>
      <w:r>
        <w:rPr>
          <w:rFonts w:hint="eastAsia" w:hAnsi="宋体"/>
          <w:szCs w:val="21"/>
        </w:rPr>
        <w:t>试验表明：酒石酸的用量 3~10</w:t>
      </w:r>
      <w:r>
        <w:rPr>
          <w:rFonts w:hAnsi="宋体"/>
          <w:szCs w:val="21"/>
        </w:rPr>
        <w:t>mL</w:t>
      </w:r>
      <w:r>
        <w:rPr>
          <w:rFonts w:hint="eastAsia" w:hAnsi="宋体"/>
          <w:szCs w:val="21"/>
        </w:rPr>
        <w:t>时，</w:t>
      </w:r>
      <w:r>
        <w:rPr>
          <w:rFonts w:hint="eastAsia"/>
          <w:bCs/>
          <w:szCs w:val="21"/>
        </w:rPr>
        <w:t>铋的测定结果满足要求。</w:t>
      </w:r>
      <w:r>
        <w:rPr>
          <w:rFonts w:hint="eastAsia" w:hAnsi="宋体"/>
          <w:szCs w:val="21"/>
        </w:rPr>
        <w:t>本方法选择酒石酸加入量为5</w:t>
      </w:r>
      <w:r>
        <w:rPr>
          <w:rFonts w:hAnsi="宋体"/>
          <w:szCs w:val="21"/>
        </w:rPr>
        <w:t>mL</w:t>
      </w:r>
      <w:r>
        <w:rPr>
          <w:rFonts w:hint="eastAsia" w:hAnsi="宋体"/>
          <w:szCs w:val="21"/>
        </w:rPr>
        <w:t>。</w:t>
      </w:r>
    </w:p>
    <w:p>
      <w:pPr>
        <w:pStyle w:val="120"/>
        <w:tabs>
          <w:tab w:val="clear" w:pos="675"/>
        </w:tabs>
        <w:adjustRightInd w:val="0"/>
        <w:snapToGrid w:val="0"/>
        <w:spacing w:beforeLines="50" w:afterLines="50" w:line="360" w:lineRule="auto"/>
        <w:ind w:left="0" w:firstLine="0"/>
        <w:rPr>
          <w:rFonts w:hAnsi="黑体"/>
        </w:rPr>
      </w:pPr>
      <w:r>
        <w:rPr>
          <w:rFonts w:hint="eastAsia" w:hAnsi="黑体"/>
        </w:rPr>
        <w:t>3.5 共存元素影响</w:t>
      </w:r>
    </w:p>
    <w:p>
      <w:pPr>
        <w:spacing w:line="360" w:lineRule="auto"/>
        <w:ind w:firstLine="420"/>
        <w:rPr>
          <w:rFonts w:cs="Calibri" w:asciiTheme="minorEastAsia" w:hAnsiTheme="minorEastAsia" w:eastAsiaTheme="minorEastAsia"/>
          <w:szCs w:val="21"/>
        </w:rPr>
      </w:pPr>
      <w:r>
        <w:rPr>
          <w:rFonts w:hint="eastAsia" w:cs="Calibri" w:asciiTheme="minorEastAsia" w:hAnsiTheme="minorEastAsia" w:eastAsiaTheme="minorEastAsia"/>
          <w:szCs w:val="21"/>
        </w:rPr>
        <w:t>对铋精矿中各元素含量进行调查，其主要成分列于表7。铋精矿中元素主要有铋、铅、铜、铁、铝、钨、钼、砷、银等。</w:t>
      </w:r>
    </w:p>
    <w:p>
      <w:pPr>
        <w:spacing w:line="360" w:lineRule="auto"/>
        <w:ind w:firstLine="420"/>
        <w:jc w:val="center"/>
        <w:rPr>
          <w:rFonts w:cs="Calibri" w:asciiTheme="minorEastAsia" w:hAnsiTheme="minorEastAsia" w:eastAsiaTheme="minorEastAsia"/>
          <w:b/>
          <w:bCs/>
          <w:szCs w:val="21"/>
        </w:rPr>
      </w:pPr>
      <w:r>
        <w:rPr>
          <w:rFonts w:hint="eastAsia" w:cs="Calibri" w:asciiTheme="minorEastAsia" w:hAnsiTheme="minorEastAsia" w:eastAsiaTheme="minorEastAsia"/>
          <w:b/>
          <w:bCs/>
          <w:szCs w:val="21"/>
        </w:rPr>
        <w:t>表7铋精矿中主要成分及其范围</w:t>
      </w:r>
    </w:p>
    <w:tbl>
      <w:tblPr>
        <w:tblStyle w:val="8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23"/>
        <w:gridCol w:w="1276"/>
        <w:gridCol w:w="1842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元素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范围（%）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元素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范围（%）</w:t>
            </w:r>
          </w:p>
        </w:tc>
        <w:tc>
          <w:tcPr>
            <w:tcW w:w="230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Bi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10.00~60.00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A</w:t>
            </w:r>
            <w:r>
              <w:rPr>
                <w:rFonts w:eastAsia="楷体"/>
                <w:kern w:val="0"/>
                <w:szCs w:val="21"/>
              </w:rPr>
              <w:t>s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0.01~1.00</w:t>
            </w:r>
          </w:p>
        </w:tc>
        <w:tc>
          <w:tcPr>
            <w:tcW w:w="23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参考</w:t>
            </w:r>
            <w:r>
              <w:rPr>
                <w:rFonts w:eastAsia="楷体"/>
                <w:kern w:val="0"/>
                <w:szCs w:val="21"/>
              </w:rPr>
              <w:t>YS/T 240.1~11-2009</w:t>
            </w:r>
            <w:r>
              <w:rPr>
                <w:rFonts w:hint="eastAsia" w:eastAsia="楷体"/>
                <w:kern w:val="0"/>
                <w:szCs w:val="21"/>
              </w:rPr>
              <w:t>及</w:t>
            </w:r>
            <w:r>
              <w:rPr>
                <w:rFonts w:hint="eastAsia" w:eastAsia="楷体"/>
                <w:bCs/>
                <w:kern w:val="0"/>
                <w:szCs w:val="21"/>
              </w:rPr>
              <w:t>YS/T 321-2005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Pb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0.</w:t>
            </w:r>
            <w:r>
              <w:rPr>
                <w:rFonts w:eastAsia="楷体"/>
                <w:kern w:val="0"/>
                <w:szCs w:val="21"/>
              </w:rPr>
              <w:t>05~17.00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Cu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0.05~22.00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WO</w:t>
            </w:r>
            <w:r>
              <w:rPr>
                <w:rFonts w:eastAsia="楷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0.01~5.00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Al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0.10~5.00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M</w:t>
            </w:r>
            <w:r>
              <w:rPr>
                <w:rFonts w:eastAsia="楷体"/>
                <w:kern w:val="0"/>
                <w:szCs w:val="21"/>
              </w:rPr>
              <w:t>o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.02~9.00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Ag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0.005~1.00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Fe</w:t>
            </w:r>
          </w:p>
        </w:tc>
        <w:tc>
          <w:tcPr>
            <w:tcW w:w="13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5.00~25.00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Si</w:t>
            </w:r>
            <w:r>
              <w:rPr>
                <w:rFonts w:eastAsia="楷体"/>
                <w:kern w:val="0"/>
                <w:szCs w:val="21"/>
              </w:rPr>
              <w:t>O</w:t>
            </w:r>
            <w:r>
              <w:rPr>
                <w:rFonts w:eastAsia="楷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0.</w:t>
            </w:r>
            <w:r>
              <w:rPr>
                <w:rFonts w:eastAsia="楷体"/>
                <w:kern w:val="0"/>
                <w:szCs w:val="21"/>
              </w:rPr>
              <w:t>50~40.00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WO</w:t>
            </w:r>
            <w:r>
              <w:rPr>
                <w:rFonts w:eastAsia="楷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0.06~0.13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0~0.01</w:t>
            </w:r>
          </w:p>
        </w:tc>
        <w:tc>
          <w:tcPr>
            <w:tcW w:w="230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bookmarkStart w:id="2" w:name="_Hlk132570236"/>
            <w:r>
              <w:rPr>
                <w:rFonts w:eastAsia="楷体"/>
                <w:kern w:val="0"/>
                <w:szCs w:val="21"/>
              </w:rPr>
              <w:t>1#、6#</w:t>
            </w:r>
            <w:bookmarkEnd w:id="2"/>
            <w:r>
              <w:rPr>
                <w:rFonts w:hint="eastAsia" w:eastAsia="楷体"/>
                <w:bCs/>
                <w:kern w:val="0"/>
                <w:szCs w:val="21"/>
              </w:rPr>
              <w:t>铋精矿</w:t>
            </w:r>
            <w:r>
              <w:rPr>
                <w:rFonts w:eastAsia="楷体"/>
                <w:kern w:val="0"/>
                <w:szCs w:val="21"/>
              </w:rPr>
              <w:t>样品经</w:t>
            </w:r>
            <w:r>
              <w:rPr>
                <w:szCs w:val="21"/>
              </w:rPr>
              <w:t>盐酸+硝酸+氟化</w:t>
            </w:r>
            <w:r>
              <w:rPr>
                <w:rFonts w:hint="eastAsia"/>
                <w:szCs w:val="21"/>
              </w:rPr>
              <w:t>氢</w:t>
            </w:r>
            <w:r>
              <w:rPr>
                <w:szCs w:val="21"/>
              </w:rPr>
              <w:t>铵+高氯酸</w:t>
            </w:r>
            <w:r>
              <w:rPr>
                <w:rFonts w:hint="eastAsia"/>
                <w:szCs w:val="21"/>
              </w:rPr>
              <w:t>消</w:t>
            </w:r>
            <w:r>
              <w:rPr>
                <w:szCs w:val="21"/>
              </w:rPr>
              <w:t>解，以ICP-AES测定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M</w:t>
            </w:r>
            <w:r>
              <w:rPr>
                <w:rFonts w:eastAsia="楷体"/>
                <w:kern w:val="0"/>
                <w:szCs w:val="21"/>
              </w:rPr>
              <w:t>o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0.4~0.6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Te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.04~0.08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S</w:t>
            </w:r>
            <w:r>
              <w:rPr>
                <w:rFonts w:eastAsia="楷体"/>
                <w:kern w:val="0"/>
                <w:szCs w:val="21"/>
              </w:rPr>
              <w:t>n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0.03~0.09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eastAsia="楷体"/>
                <w:kern w:val="0"/>
                <w:szCs w:val="21"/>
              </w:rPr>
              <w:t>Sb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.005~0.03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Cd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~</w:t>
            </w: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M</w:t>
            </w:r>
            <w:r>
              <w:rPr>
                <w:rFonts w:eastAsia="楷体"/>
                <w:kern w:val="0"/>
                <w:szCs w:val="21"/>
              </w:rPr>
              <w:t>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.10~0.13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9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C</w:t>
            </w:r>
            <w:r>
              <w:rPr>
                <w:rFonts w:eastAsia="楷体"/>
                <w:kern w:val="0"/>
                <w:szCs w:val="21"/>
              </w:rPr>
              <w:t>o</w:t>
            </w:r>
          </w:p>
        </w:tc>
        <w:tc>
          <w:tcPr>
            <w:tcW w:w="13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&lt;</w:t>
            </w:r>
            <w:r>
              <w:rPr>
                <w:rFonts w:eastAsia="楷体"/>
                <w:kern w:val="0"/>
                <w:szCs w:val="21"/>
              </w:rPr>
              <w:t>0.005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A</w:t>
            </w:r>
            <w:r>
              <w:rPr>
                <w:rFonts w:eastAsia="楷体"/>
                <w:kern w:val="0"/>
                <w:szCs w:val="21"/>
              </w:rPr>
              <w:t>l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0</w:t>
            </w:r>
            <w:r>
              <w:rPr>
                <w:rFonts w:eastAsia="楷体"/>
                <w:kern w:val="0"/>
                <w:szCs w:val="21"/>
              </w:rPr>
              <w:t>.9~1.0</w:t>
            </w:r>
          </w:p>
        </w:tc>
        <w:tc>
          <w:tcPr>
            <w:tcW w:w="230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pStyle w:val="120"/>
        <w:tabs>
          <w:tab w:val="clear" w:pos="675"/>
        </w:tabs>
        <w:adjustRightInd w:val="0"/>
        <w:snapToGrid w:val="0"/>
        <w:spacing w:beforeLines="50" w:afterLines="50" w:line="360" w:lineRule="auto"/>
        <w:ind w:left="0" w:firstLine="0"/>
        <w:rPr>
          <w:rFonts w:hAnsi="黑体"/>
        </w:rPr>
      </w:pPr>
      <w:r>
        <w:rPr>
          <w:rFonts w:hint="eastAsia" w:hAnsi="黑体"/>
        </w:rPr>
        <w:t>3.5.1单元素的影响</w:t>
      </w:r>
    </w:p>
    <w:p>
      <w:pPr>
        <w:ind w:firstLine="420" w:firstLineChars="200"/>
        <w:rPr>
          <w:rFonts w:cs="黑体" w:asciiTheme="minorEastAsia" w:hAnsiTheme="minorEastAsia" w:eastAsiaTheme="minorEastAsia"/>
          <w:szCs w:val="21"/>
        </w:rPr>
      </w:pPr>
      <w:r>
        <w:rPr>
          <w:rFonts w:hint="eastAsia" w:cs="黑体" w:asciiTheme="minorEastAsia" w:hAnsiTheme="minorEastAsia" w:eastAsiaTheme="minorEastAsia"/>
          <w:szCs w:val="21"/>
        </w:rPr>
        <w:t>滴定时，采用硫脲掩蔽铜，抗坏血酸还原铁，酒石酸络合锑，按分析步骤</w:t>
      </w:r>
      <w:r>
        <w:rPr>
          <w:rFonts w:cs="黑体" w:asciiTheme="minorEastAsia" w:hAnsiTheme="minorEastAsia" w:eastAsiaTheme="minorEastAsia"/>
          <w:szCs w:val="21"/>
        </w:rPr>
        <w:t>进行了共存元素对</w:t>
      </w:r>
      <w:r>
        <w:rPr>
          <w:rFonts w:hint="eastAsia" w:cs="黑体" w:asciiTheme="minorEastAsia" w:hAnsiTheme="minorEastAsia" w:eastAsiaTheme="minorEastAsia"/>
          <w:szCs w:val="21"/>
        </w:rPr>
        <w:t>2</w:t>
      </w:r>
      <w:r>
        <w:rPr>
          <w:rFonts w:cs="黑体" w:asciiTheme="minorEastAsia" w:hAnsiTheme="minorEastAsia" w:eastAsiaTheme="minorEastAsia"/>
          <w:szCs w:val="21"/>
        </w:rPr>
        <w:t>0</w:t>
      </w:r>
      <w:r>
        <w:rPr>
          <w:rFonts w:hint="eastAsia" w:cs="黑体" w:asciiTheme="minorEastAsia" w:hAnsiTheme="minorEastAsia" w:eastAsiaTheme="minorEastAsia"/>
          <w:szCs w:val="21"/>
        </w:rPr>
        <w:t>.00mg铋、</w:t>
      </w:r>
      <w:r>
        <w:rPr>
          <w:rFonts w:cs="黑体" w:asciiTheme="minorEastAsia" w:hAnsiTheme="minorEastAsia" w:eastAsiaTheme="minorEastAsia"/>
          <w:szCs w:val="21"/>
        </w:rPr>
        <w:t>100</w:t>
      </w:r>
      <w:r>
        <w:rPr>
          <w:rFonts w:hint="eastAsia" w:cs="黑体" w:asciiTheme="minorEastAsia" w:hAnsiTheme="minorEastAsia" w:eastAsiaTheme="minorEastAsia"/>
          <w:szCs w:val="21"/>
        </w:rPr>
        <w:t>.00</w:t>
      </w:r>
      <w:r>
        <w:rPr>
          <w:rFonts w:cs="黑体" w:asciiTheme="minorEastAsia" w:hAnsiTheme="minorEastAsia" w:eastAsiaTheme="minorEastAsia"/>
          <w:szCs w:val="21"/>
        </w:rPr>
        <w:t>mg</w:t>
      </w:r>
      <w:r>
        <w:rPr>
          <w:rFonts w:hint="eastAsia" w:cs="黑体" w:asciiTheme="minorEastAsia" w:hAnsiTheme="minorEastAsia" w:eastAsiaTheme="minorEastAsia"/>
          <w:szCs w:val="21"/>
        </w:rPr>
        <w:t>铋</w:t>
      </w:r>
      <w:r>
        <w:rPr>
          <w:rFonts w:cs="黑体" w:asciiTheme="minorEastAsia" w:hAnsiTheme="minorEastAsia" w:eastAsiaTheme="minorEastAsia"/>
          <w:szCs w:val="21"/>
        </w:rPr>
        <w:t>测定的影响</w:t>
      </w:r>
      <w:r>
        <w:rPr>
          <w:rFonts w:hint="eastAsia" w:cs="黑体" w:asciiTheme="minorEastAsia" w:hAnsiTheme="minorEastAsia" w:eastAsiaTheme="minorEastAsia"/>
          <w:szCs w:val="21"/>
        </w:rPr>
        <w:t>实验</w:t>
      </w:r>
      <w:r>
        <w:rPr>
          <w:rFonts w:cs="黑体" w:asciiTheme="minorEastAsia" w:hAnsiTheme="minorEastAsia" w:eastAsiaTheme="minorEastAsia"/>
          <w:szCs w:val="21"/>
        </w:rPr>
        <w:t>，结果见表</w:t>
      </w:r>
      <w:r>
        <w:rPr>
          <w:rFonts w:hint="eastAsia" w:cs="黑体" w:asciiTheme="minorEastAsia" w:hAnsiTheme="minorEastAsia" w:eastAsiaTheme="minorEastAsia"/>
          <w:szCs w:val="21"/>
        </w:rPr>
        <w:t>8</w:t>
      </w:r>
      <w:r>
        <w:rPr>
          <w:rFonts w:cs="黑体" w:asciiTheme="minorEastAsia" w:hAnsiTheme="minorEastAsia" w:eastAsiaTheme="minorEastAsia"/>
          <w:szCs w:val="21"/>
        </w:rPr>
        <w:t>。</w:t>
      </w:r>
      <w:r>
        <w:rPr>
          <w:rFonts w:hint="eastAsia" w:cs="黑体" w:asciiTheme="minorEastAsia" w:hAnsiTheme="minorEastAsia" w:eastAsiaTheme="minorEastAsia"/>
          <w:szCs w:val="21"/>
        </w:rPr>
        <w:t>试验结果表明，上述单元素对铋的测定没有影响。</w:t>
      </w:r>
    </w:p>
    <w:p>
      <w:pPr>
        <w:jc w:val="center"/>
        <w:rPr>
          <w:rFonts w:cs="黑体" w:asciiTheme="minorEastAsia" w:hAnsiTheme="minorEastAsia" w:eastAsiaTheme="minorEastAsia"/>
          <w:szCs w:val="21"/>
        </w:rPr>
      </w:pPr>
      <w:r>
        <w:rPr>
          <w:rFonts w:hAnsi="宋体"/>
          <w:b/>
          <w:bCs/>
          <w:szCs w:val="21"/>
        </w:rPr>
        <w:t>表</w:t>
      </w:r>
      <w:r>
        <w:rPr>
          <w:rFonts w:hint="eastAsia"/>
          <w:b/>
          <w:bCs/>
          <w:szCs w:val="21"/>
        </w:rPr>
        <w:t>8</w:t>
      </w:r>
      <w:r>
        <w:rPr>
          <w:rFonts w:hAnsi="宋体"/>
          <w:b/>
          <w:bCs/>
          <w:szCs w:val="21"/>
        </w:rPr>
        <w:t>共存单元素对</w:t>
      </w:r>
      <w:r>
        <w:rPr>
          <w:rFonts w:hint="eastAsia" w:hAnsi="宋体"/>
          <w:b/>
          <w:bCs/>
          <w:szCs w:val="21"/>
        </w:rPr>
        <w:t>铋</w:t>
      </w:r>
      <w:r>
        <w:rPr>
          <w:rFonts w:hAnsi="宋体"/>
          <w:b/>
          <w:bCs/>
          <w:szCs w:val="21"/>
        </w:rPr>
        <w:t>测定的影响</w:t>
      </w:r>
    </w:p>
    <w:tbl>
      <w:tblPr>
        <w:tblStyle w:val="8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18"/>
        <w:gridCol w:w="2409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125" w:type="dxa"/>
            <w:gridSpan w:val="2"/>
            <w:vAlign w:val="center"/>
          </w:tcPr>
          <w:p>
            <w:pPr>
              <w:snapToGrid w:val="0"/>
              <w:ind w:firstLine="21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共存元素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加入量</w:t>
            </w:r>
          </w:p>
        </w:tc>
        <w:tc>
          <w:tcPr>
            <w:tcW w:w="48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铋</w:t>
            </w:r>
            <w:r>
              <w:rPr>
                <w:rFonts w:ascii="宋体" w:hAnsi="宋体"/>
                <w:sz w:val="18"/>
                <w:szCs w:val="18"/>
              </w:rPr>
              <w:t>测定量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共存元素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加入量</w:t>
            </w:r>
            <w:r>
              <w:rPr>
                <w:rFonts w:hint="eastAsia"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mg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加入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.00</w:t>
            </w:r>
            <w:r>
              <w:rPr>
                <w:rFonts w:ascii="宋体" w:hAnsi="宋体"/>
                <w:sz w:val="18"/>
                <w:szCs w:val="18"/>
              </w:rPr>
              <w:t>mg</w:t>
            </w:r>
            <w:r>
              <w:rPr>
                <w:rFonts w:hint="eastAsia" w:ascii="宋体" w:hAnsi="宋体"/>
                <w:sz w:val="18"/>
                <w:szCs w:val="18"/>
              </w:rPr>
              <w:t>铋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加入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hint="eastAsia" w:ascii="宋体" w:hAnsi="宋体"/>
                <w:sz w:val="18"/>
                <w:szCs w:val="18"/>
              </w:rPr>
              <w:t>.00</w:t>
            </w:r>
            <w:r>
              <w:rPr>
                <w:rFonts w:ascii="宋体" w:hAnsi="宋体"/>
                <w:sz w:val="18"/>
                <w:szCs w:val="18"/>
              </w:rPr>
              <w:t>mg</w:t>
            </w:r>
            <w:r>
              <w:rPr>
                <w:rFonts w:hint="eastAsia" w:ascii="宋体" w:hAnsi="宋体"/>
                <w:sz w:val="18"/>
                <w:szCs w:val="18"/>
              </w:rPr>
              <w:t>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18"/>
                <w:szCs w:val="18"/>
              </w:rPr>
            </w:pPr>
            <w:r>
              <w:rPr>
                <w:rFonts w:hint="eastAsia" w:eastAsia="楷体"/>
                <w:kern w:val="0"/>
                <w:sz w:val="18"/>
                <w:szCs w:val="18"/>
              </w:rPr>
              <w:t>P</w:t>
            </w:r>
            <w:r>
              <w:rPr>
                <w:rFonts w:eastAsia="楷体"/>
                <w:kern w:val="0"/>
                <w:sz w:val="18"/>
                <w:szCs w:val="18"/>
              </w:rPr>
              <w:t>b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楷体"/>
                <w:kern w:val="0"/>
                <w:sz w:val="18"/>
                <w:szCs w:val="18"/>
              </w:rPr>
              <w:t>Cu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楷体"/>
                <w:kern w:val="0"/>
                <w:sz w:val="18"/>
                <w:szCs w:val="18"/>
              </w:rPr>
              <w:t>Fe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eastAsia="楷体"/>
                <w:kern w:val="0"/>
                <w:sz w:val="18"/>
                <w:szCs w:val="18"/>
              </w:rPr>
              <w:t>As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A</w:t>
            </w:r>
            <w:r>
              <w:rPr>
                <w:rFonts w:eastAsia="楷体"/>
                <w:kern w:val="0"/>
                <w:szCs w:val="21"/>
              </w:rPr>
              <w:t>l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9.95</w:t>
            </w:r>
          </w:p>
        </w:tc>
        <w:tc>
          <w:tcPr>
            <w:tcW w:w="241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楷体"/>
                <w:kern w:val="0"/>
                <w:szCs w:val="21"/>
              </w:rPr>
              <w:t>Sb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409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99</w:t>
            </w:r>
          </w:p>
        </w:tc>
        <w:tc>
          <w:tcPr>
            <w:tcW w:w="2415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Te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20.07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szCs w:val="21"/>
              </w:rPr>
              <w:t>100.06</w:t>
            </w:r>
          </w:p>
        </w:tc>
      </w:tr>
    </w:tbl>
    <w:p>
      <w:pPr>
        <w:pStyle w:val="120"/>
        <w:tabs>
          <w:tab w:val="clear" w:pos="675"/>
        </w:tabs>
        <w:adjustRightInd w:val="0"/>
        <w:snapToGrid w:val="0"/>
        <w:spacing w:beforeLines="50" w:afterLines="50" w:line="312" w:lineRule="auto"/>
        <w:ind w:left="0" w:firstLine="0"/>
        <w:rPr>
          <w:rFonts w:hAnsi="黑体"/>
        </w:rPr>
      </w:pPr>
      <w:r>
        <w:rPr>
          <w:rFonts w:hint="eastAsia" w:hAnsi="黑体"/>
        </w:rPr>
        <w:t>3.5.</w:t>
      </w:r>
      <w:r>
        <w:rPr>
          <w:rFonts w:hAnsi="黑体"/>
        </w:rPr>
        <w:t>2</w:t>
      </w:r>
      <w:r>
        <w:rPr>
          <w:rFonts w:hint="eastAsia" w:hAnsi="黑体"/>
        </w:rPr>
        <w:t xml:space="preserve">  混合元素的影响</w:t>
      </w:r>
    </w:p>
    <w:p>
      <w:pPr>
        <w:ind w:firstLine="420" w:firstLineChars="200"/>
        <w:rPr>
          <w:rFonts w:cs="黑体" w:asciiTheme="minorEastAsia" w:hAnsiTheme="minorEastAsia" w:eastAsiaTheme="minorEastAsia"/>
          <w:szCs w:val="21"/>
        </w:rPr>
      </w:pPr>
      <w:r>
        <w:rPr>
          <w:rFonts w:hint="eastAsia" w:cs="黑体" w:asciiTheme="minorEastAsia" w:hAnsiTheme="minorEastAsia" w:eastAsiaTheme="minorEastAsia"/>
          <w:szCs w:val="21"/>
        </w:rPr>
        <w:t>试</w:t>
      </w:r>
      <w:r>
        <w:rPr>
          <w:rFonts w:cs="黑体" w:asciiTheme="minorEastAsia" w:hAnsiTheme="minorEastAsia" w:eastAsiaTheme="minorEastAsia"/>
          <w:szCs w:val="21"/>
        </w:rPr>
        <w:t>验</w:t>
      </w:r>
      <w:r>
        <w:rPr>
          <w:rFonts w:hint="eastAsia" w:cs="黑体" w:asciiTheme="minorEastAsia" w:hAnsiTheme="minorEastAsia" w:eastAsiaTheme="minorEastAsia"/>
          <w:szCs w:val="21"/>
        </w:rPr>
        <w:t>了</w:t>
      </w:r>
      <w:r>
        <w:rPr>
          <w:rFonts w:cs="黑体" w:asciiTheme="minorEastAsia" w:hAnsiTheme="minorEastAsia" w:eastAsiaTheme="minorEastAsia"/>
          <w:szCs w:val="21"/>
        </w:rPr>
        <w:t>混合共存元素对40</w:t>
      </w:r>
      <w:r>
        <w:rPr>
          <w:rFonts w:hint="eastAsia" w:cs="黑体" w:asciiTheme="minorEastAsia" w:hAnsiTheme="minorEastAsia" w:eastAsiaTheme="minorEastAsia"/>
          <w:szCs w:val="21"/>
        </w:rPr>
        <w:t>.00mg铋、</w:t>
      </w:r>
      <w:r>
        <w:rPr>
          <w:rFonts w:cs="黑体" w:asciiTheme="minorEastAsia" w:hAnsiTheme="minorEastAsia" w:eastAsiaTheme="minorEastAsia"/>
          <w:szCs w:val="21"/>
        </w:rPr>
        <w:t>100</w:t>
      </w:r>
      <w:r>
        <w:rPr>
          <w:rFonts w:hint="eastAsia" w:cs="黑体" w:asciiTheme="minorEastAsia" w:hAnsiTheme="minorEastAsia" w:eastAsiaTheme="minorEastAsia"/>
          <w:szCs w:val="21"/>
        </w:rPr>
        <w:t>.00</w:t>
      </w:r>
      <w:r>
        <w:rPr>
          <w:rFonts w:cs="黑体" w:asciiTheme="minorEastAsia" w:hAnsiTheme="minorEastAsia" w:eastAsiaTheme="minorEastAsia"/>
          <w:szCs w:val="21"/>
        </w:rPr>
        <w:t>mg</w:t>
      </w:r>
      <w:r>
        <w:rPr>
          <w:rFonts w:hint="eastAsia" w:cs="黑体" w:asciiTheme="minorEastAsia" w:hAnsiTheme="minorEastAsia" w:eastAsiaTheme="minorEastAsia"/>
          <w:szCs w:val="21"/>
        </w:rPr>
        <w:t>铋</w:t>
      </w:r>
      <w:r>
        <w:rPr>
          <w:rFonts w:cs="黑体" w:asciiTheme="minorEastAsia" w:hAnsiTheme="minorEastAsia" w:eastAsiaTheme="minorEastAsia"/>
          <w:szCs w:val="21"/>
        </w:rPr>
        <w:t>的测定影响，实验结果见表</w:t>
      </w:r>
      <w:r>
        <w:rPr>
          <w:rFonts w:hint="eastAsia" w:cs="黑体" w:asciiTheme="minorEastAsia" w:hAnsiTheme="minorEastAsia" w:eastAsiaTheme="minorEastAsia"/>
          <w:szCs w:val="21"/>
        </w:rPr>
        <w:t>9。试验结果表明，上述混合共存元素对铋的测定没有影响。</w:t>
      </w:r>
    </w:p>
    <w:p>
      <w:pPr>
        <w:adjustRightInd w:val="0"/>
        <w:snapToGrid w:val="0"/>
        <w:spacing w:before="50" w:after="50"/>
        <w:ind w:firstLine="446" w:firstLineChars="200"/>
        <w:jc w:val="center"/>
        <w:rPr>
          <w:rFonts w:ascii="宋体" w:hAnsi="宋体"/>
          <w:b/>
          <w:bCs/>
          <w:spacing w:val="6"/>
          <w:szCs w:val="21"/>
        </w:rPr>
      </w:pPr>
      <w:r>
        <w:rPr>
          <w:rFonts w:hint="eastAsia" w:ascii="宋体" w:hAnsi="宋体"/>
          <w:b/>
          <w:bCs/>
          <w:spacing w:val="6"/>
          <w:szCs w:val="21"/>
        </w:rPr>
        <w:t>表9</w:t>
      </w:r>
      <w:r>
        <w:rPr>
          <w:rFonts w:ascii="宋体" w:hAnsi="宋体"/>
          <w:b/>
          <w:bCs/>
          <w:spacing w:val="6"/>
          <w:szCs w:val="21"/>
        </w:rPr>
        <w:t xml:space="preserve"> </w:t>
      </w:r>
      <w:r>
        <w:rPr>
          <w:rFonts w:hint="eastAsia" w:ascii="宋体" w:hAnsi="宋体"/>
          <w:b/>
          <w:bCs/>
          <w:spacing w:val="6"/>
          <w:szCs w:val="21"/>
        </w:rPr>
        <w:t>混合干扰试验</w:t>
      </w:r>
    </w:p>
    <w:tbl>
      <w:tblPr>
        <w:tblStyle w:val="88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int="eastAsia" w:hAnsi="宋体"/>
                <w:spacing w:val="6"/>
                <w:sz w:val="18"/>
                <w:szCs w:val="18"/>
              </w:rPr>
              <w:t>铋加入量/mg</w:t>
            </w:r>
          </w:p>
        </w:tc>
        <w:tc>
          <w:tcPr>
            <w:tcW w:w="4678" w:type="dxa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int="eastAsia" w:hAnsi="宋体"/>
                <w:spacing w:val="6"/>
                <w:sz w:val="18"/>
                <w:szCs w:val="18"/>
              </w:rPr>
              <w:t>共存元素加入量/mg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int="eastAsia" w:hAnsi="宋体"/>
                <w:spacing w:val="6"/>
                <w:sz w:val="18"/>
                <w:szCs w:val="18"/>
              </w:rPr>
              <w:t>铋测定值/mg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Ansi="宋体"/>
                <w:spacing w:val="6"/>
                <w:sz w:val="18"/>
                <w:szCs w:val="18"/>
              </w:rPr>
              <w:t>4</w:t>
            </w:r>
            <w:r>
              <w:rPr>
                <w:rFonts w:hint="eastAsia" w:hAnsi="宋体"/>
                <w:spacing w:val="6"/>
                <w:sz w:val="18"/>
                <w:szCs w:val="18"/>
              </w:rPr>
              <w:t>0.00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spacing w:val="6"/>
                <w:sz w:val="18"/>
                <w:szCs w:val="18"/>
              </w:rPr>
              <w:t>Pb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、Cu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45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、Fe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50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、As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、Al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、Sb5、Te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Ansi="宋体"/>
                <w:spacing w:val="6"/>
                <w:sz w:val="18"/>
                <w:szCs w:val="18"/>
              </w:rPr>
              <w:t>1</w:t>
            </w:r>
            <w:r>
              <w:rPr>
                <w:rFonts w:hint="eastAsia" w:hAnsi="宋体"/>
                <w:spacing w:val="6"/>
                <w:sz w:val="18"/>
                <w:szCs w:val="18"/>
              </w:rPr>
              <w:t>9.9</w:t>
            </w:r>
            <w:r>
              <w:rPr>
                <w:rFonts w:hAnsi="宋体"/>
                <w:spacing w:val="6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Ansi="宋体"/>
                <w:spacing w:val="6"/>
                <w:sz w:val="18"/>
                <w:szCs w:val="18"/>
              </w:rPr>
              <w:t>100</w:t>
            </w:r>
            <w:r>
              <w:rPr>
                <w:rFonts w:hint="eastAsia" w:hAnsi="宋体"/>
                <w:spacing w:val="6"/>
                <w:sz w:val="18"/>
                <w:szCs w:val="18"/>
              </w:rPr>
              <w:t>.00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int="eastAsia" w:ascii="宋体" w:hAnsi="宋体"/>
                <w:spacing w:val="6"/>
                <w:sz w:val="18"/>
                <w:szCs w:val="18"/>
              </w:rPr>
              <w:t>Pb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、Cu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45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、Fe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50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、As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、Al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pacing w:val="6"/>
                <w:sz w:val="18"/>
                <w:szCs w:val="18"/>
              </w:rPr>
              <w:t>、Sb5、Te</w:t>
            </w:r>
            <w:r>
              <w:rPr>
                <w:rFonts w:ascii="宋体" w:hAnsi="宋体"/>
                <w:spacing w:val="6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hAnsi="宋体"/>
                <w:spacing w:val="6"/>
                <w:sz w:val="18"/>
                <w:szCs w:val="18"/>
              </w:rPr>
            </w:pPr>
            <w:r>
              <w:rPr>
                <w:rFonts w:hAnsi="宋体"/>
                <w:spacing w:val="6"/>
                <w:sz w:val="18"/>
                <w:szCs w:val="18"/>
              </w:rPr>
              <w:t>100.09</w:t>
            </w:r>
          </w:p>
        </w:tc>
      </w:tr>
    </w:tbl>
    <w:p>
      <w:pPr>
        <w:pStyle w:val="120"/>
        <w:tabs>
          <w:tab w:val="clear" w:pos="675"/>
        </w:tabs>
        <w:spacing w:beforeLines="50" w:afterLines="50" w:line="360" w:lineRule="auto"/>
        <w:ind w:left="0" w:firstLine="0"/>
        <w:rPr>
          <w:rFonts w:hAnsi="黑体"/>
        </w:rPr>
      </w:pPr>
      <w:r>
        <w:rPr>
          <w:rFonts w:hint="eastAsia" w:hAnsi="黑体"/>
        </w:rPr>
        <w:t>3.6 方法准确度</w:t>
      </w:r>
    </w:p>
    <w:p>
      <w:pPr>
        <w:spacing w:line="360" w:lineRule="auto"/>
        <w:ind w:firstLine="525" w:firstLineChars="250"/>
      </w:pPr>
      <w:r>
        <w:rPr>
          <w:rFonts w:hint="eastAsia"/>
        </w:rPr>
        <w:t>通过加标回收，本方法是准确可靠的。</w:t>
      </w:r>
      <w:r>
        <w:rPr>
          <w:rFonts w:hint="eastAsia" w:ascii="宋体" w:hAnsi="宋体" w:cs="Calibri"/>
          <w:szCs w:val="21"/>
        </w:rPr>
        <w:t>准确称取</w:t>
      </w:r>
      <w:r>
        <w:rPr>
          <w:rFonts w:ascii="宋体" w:hAnsi="宋体" w:cs="Calibri"/>
          <w:szCs w:val="21"/>
        </w:rPr>
        <w:t>0</w:t>
      </w:r>
      <w:r>
        <w:rPr>
          <w:rFonts w:hint="eastAsia" w:ascii="宋体" w:hAnsi="宋体" w:cs="Calibri"/>
          <w:szCs w:val="21"/>
        </w:rPr>
        <w:t>.</w:t>
      </w:r>
      <w:r>
        <w:rPr>
          <w:rFonts w:ascii="宋体" w:hAnsi="宋体" w:cs="Calibri"/>
          <w:szCs w:val="21"/>
        </w:rPr>
        <w:t>2</w:t>
      </w:r>
      <w:r>
        <w:rPr>
          <w:rFonts w:hint="eastAsia" w:ascii="宋体" w:hAnsi="宋体" w:cs="Calibri"/>
          <w:szCs w:val="21"/>
        </w:rPr>
        <w:t>000g样品，分别加入不同量的铋，按拟定的分析方法对2个</w:t>
      </w:r>
      <w:bookmarkStart w:id="3" w:name="_Hlk136113802"/>
      <w:r>
        <w:rPr>
          <w:rFonts w:hint="eastAsia" w:ascii="宋体" w:hAnsi="宋体" w:cs="Calibri"/>
          <w:szCs w:val="21"/>
        </w:rPr>
        <w:t>铋精矿</w:t>
      </w:r>
      <w:bookmarkEnd w:id="3"/>
      <w:r>
        <w:rPr>
          <w:rFonts w:hint="eastAsia" w:ascii="宋体" w:hAnsi="宋体" w:cs="Calibri"/>
          <w:szCs w:val="21"/>
        </w:rPr>
        <w:t>样品进行了加标回收试验，其结果列于表</w:t>
      </w:r>
      <w:bookmarkStart w:id="4" w:name="_Hlk136113653"/>
      <w:r>
        <w:rPr>
          <w:rFonts w:hint="eastAsia" w:ascii="宋体" w:hAnsi="宋体" w:cs="Calibri"/>
          <w:szCs w:val="21"/>
        </w:rPr>
        <w:t>10，方法的加标回收率为 98.63%~100.25%</w:t>
      </w:r>
      <w:bookmarkEnd w:id="4"/>
      <w:r>
        <w:rPr>
          <w:rFonts w:hint="eastAsia" w:ascii="宋体" w:hAnsi="宋体" w:cs="Calibri"/>
          <w:szCs w:val="21"/>
        </w:rPr>
        <w:t>。</w:t>
      </w:r>
    </w:p>
    <w:p>
      <w:pPr>
        <w:adjustRightInd w:val="0"/>
        <w:snapToGrid w:val="0"/>
        <w:spacing w:before="50" w:after="50"/>
        <w:ind w:firstLine="422" w:firstLineChars="200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表10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加标回收率实验</w:t>
      </w:r>
    </w:p>
    <w:tbl>
      <w:tblPr>
        <w:tblStyle w:val="88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06"/>
        <w:gridCol w:w="1300"/>
        <w:gridCol w:w="148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275" w:type="dxa"/>
            <w:vAlign w:val="center"/>
          </w:tcPr>
          <w:p>
            <w:pPr>
              <w:pStyle w:val="266"/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样品含铋量/mg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加入量/mg</w:t>
            </w:r>
          </w:p>
        </w:tc>
        <w:tc>
          <w:tcPr>
            <w:tcW w:w="1489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测得总量/mg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回收量/mg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回收率/%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7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1#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82.44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40.00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22.54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0.10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75" w:type="dxa"/>
            <w:vMerge w:val="restart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6#</w:t>
            </w:r>
          </w:p>
        </w:tc>
        <w:tc>
          <w:tcPr>
            <w:tcW w:w="1606" w:type="dxa"/>
            <w:vMerge w:val="restart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58.78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30.00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sz w:val="18"/>
                <w:szCs w:val="18"/>
              </w:rPr>
              <w:t>8.37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9.59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before="50" w:after="50"/>
              <w:ind w:firstLine="360" w:firstLineChars="20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spacing w:before="50" w:after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60.00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18.53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sz w:val="18"/>
                <w:szCs w:val="18"/>
              </w:rPr>
              <w:t>9.75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99.58</w:t>
            </w:r>
          </w:p>
        </w:tc>
      </w:tr>
    </w:tbl>
    <w:p>
      <w:pPr>
        <w:pStyle w:val="120"/>
        <w:tabs>
          <w:tab w:val="clear" w:pos="675"/>
        </w:tabs>
        <w:spacing w:beforeLines="50" w:afterLines="50" w:line="312" w:lineRule="auto"/>
        <w:ind w:left="0" w:firstLine="0"/>
        <w:rPr>
          <w:rFonts w:hAnsi="黑体"/>
        </w:rPr>
      </w:pPr>
      <w:r>
        <w:rPr>
          <w:rFonts w:hint="eastAsia" w:hAnsi="黑体"/>
        </w:rPr>
        <w:t>3.7  精密度数据</w:t>
      </w:r>
    </w:p>
    <w:p>
      <w:pPr>
        <w:tabs>
          <w:tab w:val="left" w:pos="1118"/>
        </w:tabs>
        <w:spacing w:line="360" w:lineRule="auto"/>
        <w:ind w:firstLine="403"/>
        <w:rPr>
          <w:szCs w:val="20"/>
        </w:rPr>
      </w:pPr>
      <w:r>
        <w:rPr>
          <w:rFonts w:hint="eastAsia"/>
          <w:szCs w:val="20"/>
        </w:rPr>
        <w:t>本标准</w:t>
      </w:r>
      <w:r>
        <w:rPr>
          <w:szCs w:val="20"/>
        </w:rPr>
        <w:t>基于</w:t>
      </w:r>
      <w:r>
        <w:rPr>
          <w:rFonts w:hint="eastAsia"/>
          <w:szCs w:val="20"/>
        </w:rPr>
        <w:t>对</w:t>
      </w:r>
      <w:r>
        <w:rPr>
          <w:szCs w:val="20"/>
        </w:rPr>
        <w:t>4</w:t>
      </w:r>
      <w:r>
        <w:rPr>
          <w:rFonts w:hint="eastAsia"/>
          <w:szCs w:val="20"/>
        </w:rPr>
        <w:t>个水平的铋精矿中</w:t>
      </w:r>
      <w:r>
        <w:rPr>
          <w:rFonts w:hint="eastAsia"/>
          <w:bCs/>
          <w:szCs w:val="21"/>
        </w:rPr>
        <w:t>铋</w:t>
      </w:r>
      <w:r>
        <w:rPr>
          <w:rFonts w:hint="eastAsia"/>
          <w:szCs w:val="20"/>
        </w:rPr>
        <w:t>含量</w:t>
      </w:r>
      <w:r>
        <w:rPr>
          <w:szCs w:val="20"/>
        </w:rPr>
        <w:t>的7</w:t>
      </w:r>
      <w:r>
        <w:rPr>
          <w:rFonts w:hint="eastAsia"/>
          <w:szCs w:val="20"/>
        </w:rPr>
        <w:t>平行测定</w:t>
      </w:r>
      <w:r>
        <w:rPr>
          <w:szCs w:val="20"/>
        </w:rPr>
        <w:t>数据</w:t>
      </w:r>
      <w:r>
        <w:rPr>
          <w:rFonts w:hint="eastAsia"/>
          <w:szCs w:val="20"/>
        </w:rPr>
        <w:t>计算重复性</w:t>
      </w:r>
      <w:r>
        <w:rPr>
          <w:szCs w:val="20"/>
        </w:rPr>
        <w:t>限</w:t>
      </w:r>
      <w:r>
        <w:rPr>
          <w:rFonts w:hint="eastAsia"/>
          <w:szCs w:val="20"/>
        </w:rPr>
        <w:t>和</w:t>
      </w:r>
      <w:r>
        <w:rPr>
          <w:szCs w:val="20"/>
        </w:rPr>
        <w:t>再现性限。</w:t>
      </w:r>
    </w:p>
    <w:p>
      <w:pPr>
        <w:tabs>
          <w:tab w:val="left" w:pos="1118"/>
        </w:tabs>
        <w:spacing w:line="360" w:lineRule="auto"/>
        <w:ind w:firstLine="403"/>
        <w:rPr>
          <w:rFonts w:asciiTheme="minorHAnsi" w:hAnsiTheme="minorHAnsi" w:eastAsiaTheme="minorEastAsia" w:cstheme="minorBidi"/>
          <w:szCs w:val="21"/>
        </w:rPr>
      </w:pPr>
      <w:r>
        <w:rPr>
          <w:rFonts w:hint="eastAsia" w:hAnsi="宋体"/>
        </w:rPr>
        <w:t>精密度数由</w:t>
      </w:r>
      <w:r>
        <w:rPr>
          <w:rFonts w:hint="eastAsia" w:asciiTheme="minorHAnsi" w:hAnsiTheme="minorHAnsi" w:eastAsiaTheme="minorEastAsia" w:cstheme="minorBidi"/>
          <w:szCs w:val="21"/>
        </w:rPr>
        <w:t>由北矿检测技术股份有限公司、湖南柿竹园有色金属有限责任公司、深圳市中金岭南有色金属股份有限公司、长沙矿冶院检测技术有限责任公司、大冶有色设计研究院有限公司、湖南有色金属研究院有限责任公司、广东先导稀材股份有限公司、株洲冶炼集团股份有限公司、中国有色桂林矿产地质研究院有限公司、昆明冶金研究院有限公司、中国检验认证集团广西有限公司、郴州市产商品质量监督检验所、赣州有色冶金研究所、郴州众鑫检测有限公司</w:t>
      </w:r>
    </w:p>
    <w:p>
      <w:pPr>
        <w:tabs>
          <w:tab w:val="left" w:pos="1118"/>
        </w:tabs>
        <w:spacing w:line="360" w:lineRule="auto"/>
        <w:ind w:firstLine="403"/>
        <w:rPr>
          <w:rFonts w:hAnsi="宋体"/>
        </w:rPr>
      </w:pPr>
      <w:r>
        <w:rPr>
          <w:rFonts w:hint="eastAsia" w:asciiTheme="minorHAnsi" w:hAnsiTheme="minorHAnsi" w:eastAsiaTheme="minorEastAsia" w:cstheme="minorBidi"/>
          <w:szCs w:val="21"/>
        </w:rPr>
        <w:t>1</w:t>
      </w:r>
      <w:r>
        <w:rPr>
          <w:rFonts w:asciiTheme="minorHAnsi" w:hAnsiTheme="minorHAnsi" w:eastAsiaTheme="minorEastAsia" w:cstheme="minorBidi"/>
          <w:szCs w:val="21"/>
        </w:rPr>
        <w:t>4</w:t>
      </w:r>
      <w:r>
        <w:rPr>
          <w:rFonts w:hint="eastAsia" w:asciiTheme="minorHAnsi" w:hAnsiTheme="minorHAnsi" w:eastAsiaTheme="minorEastAsia" w:cstheme="minorBidi"/>
          <w:szCs w:val="21"/>
        </w:rPr>
        <w:t>家</w:t>
      </w:r>
      <w:r>
        <w:rPr>
          <w:rFonts w:hint="eastAsia" w:hAnsi="宋体"/>
        </w:rPr>
        <w:t>试验室共同完成。实验室代码见表11。每个实验室对每个水平的铋含量独立测定</w:t>
      </w:r>
      <w:r>
        <w:rPr>
          <w:rFonts w:hAnsi="宋体"/>
        </w:rPr>
        <w:t>11</w:t>
      </w:r>
      <w:r>
        <w:rPr>
          <w:rFonts w:hint="eastAsia" w:hAnsi="宋体"/>
        </w:rPr>
        <w:t>次（或7次）。测量的原始数据见附录。</w:t>
      </w:r>
    </w:p>
    <w:p>
      <w:pPr>
        <w:adjustRightInd w:val="0"/>
        <w:snapToGrid w:val="0"/>
        <w:spacing w:beforeLines="100" w:line="360" w:lineRule="exact"/>
        <w:jc w:val="center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 w:cstheme="minorBidi"/>
          <w:b/>
          <w:bCs/>
          <w:szCs w:val="21"/>
        </w:rPr>
        <w:t>表11  实验室代码</w:t>
      </w:r>
    </w:p>
    <w:tbl>
      <w:tblPr>
        <w:tblStyle w:val="88"/>
        <w:tblW w:w="497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4169"/>
        <w:gridCol w:w="574"/>
        <w:gridCol w:w="4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89" w:type="pct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213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实验室名称</w:t>
            </w:r>
          </w:p>
        </w:tc>
        <w:tc>
          <w:tcPr>
            <w:tcW w:w="2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228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实验室名称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89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北矿检测技术股份有限公司</w:t>
            </w:r>
          </w:p>
        </w:tc>
        <w:tc>
          <w:tcPr>
            <w:tcW w:w="29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2282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株洲冶炼集团股份有限公司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40" w:hRule="atLeast"/>
        </w:trPr>
        <w:tc>
          <w:tcPr>
            <w:tcW w:w="28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湖南柿竹园有色金属有限责任公司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2282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中国有色桂林矿产地质研究院有限公司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8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10</w:t>
            </w:r>
          </w:p>
        </w:tc>
        <w:tc>
          <w:tcPr>
            <w:tcW w:w="2282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昆明冶金研究院有限公司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8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长沙矿冶院检测技术有限责任公司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2282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中国检验认证集团广西有限公司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8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大冶有色设计研究院有限公司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2282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郴州市产商品质量监督检验所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80" w:hRule="atLeast"/>
        </w:trPr>
        <w:tc>
          <w:tcPr>
            <w:tcW w:w="289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35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湖南有色金属研究院有限责任公司</w:t>
            </w:r>
          </w:p>
        </w:tc>
        <w:tc>
          <w:tcPr>
            <w:tcW w:w="29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2282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赣州有色冶金研究所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9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35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广东先导稀材股份有限公司</w:t>
            </w:r>
          </w:p>
        </w:tc>
        <w:tc>
          <w:tcPr>
            <w:tcW w:w="29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2282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郴州众鑫检测有限公司</w:t>
            </w:r>
          </w:p>
        </w:tc>
      </w:tr>
    </w:tbl>
    <w:p>
      <w:pPr>
        <w:jc w:val="center"/>
        <w:rPr>
          <w:rFonts w:ascii="Helvetica" w:hAnsi="Helvetica"/>
          <w:szCs w:val="21"/>
          <w:shd w:val="clear" w:color="auto" w:fill="FFFFFF"/>
        </w:rPr>
      </w:pPr>
    </w:p>
    <w:p>
      <w:pPr>
        <w:jc w:val="center"/>
        <w:rPr>
          <w:rFonts w:ascii="黑体" w:hAnsi="黑体" w:eastAsia="黑体"/>
          <w:b/>
          <w:szCs w:val="21"/>
        </w:rPr>
      </w:pPr>
      <w:r>
        <w:rPr>
          <w:rFonts w:hint="eastAsia" w:ascii="Helvetica" w:hAnsi="Helvetica"/>
          <w:b/>
          <w:szCs w:val="21"/>
          <w:shd w:val="clear" w:color="auto" w:fill="FFFFFF"/>
        </w:rPr>
        <w:t>表12  重复性限</w:t>
      </w:r>
    </w:p>
    <w:tbl>
      <w:tblPr>
        <w:tblStyle w:val="88"/>
        <w:tblW w:w="497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936"/>
        <w:gridCol w:w="1937"/>
        <w:gridCol w:w="1937"/>
        <w:gridCol w:w="19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黑体"/>
              </w:rPr>
            </w:pPr>
            <w:r>
              <w:rPr>
                <w:rFonts w:cs="宋体"/>
                <w:i/>
                <w:kern w:val="0"/>
                <w:sz w:val="18"/>
              </w:rPr>
              <w:t>w</w:t>
            </w:r>
            <w:r>
              <w:rPr>
                <w:rFonts w:cs="宋体"/>
                <w:kern w:val="0"/>
                <w:sz w:val="18"/>
              </w:rPr>
              <w:t>/</w:t>
            </w:r>
            <w:r>
              <w:rPr>
                <w:kern w:val="0"/>
                <w:sz w:val="18"/>
              </w:rPr>
              <w:t>%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11.23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29.19 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41.09 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pct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0.246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0.276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0.333</w:t>
            </w:r>
          </w:p>
        </w:tc>
      </w:tr>
    </w:tbl>
    <w:p>
      <w:pPr>
        <w:jc w:val="center"/>
        <w:rPr>
          <w:rFonts w:ascii="Helvetica" w:hAnsi="Helvetica"/>
          <w:szCs w:val="21"/>
          <w:shd w:val="clear" w:color="auto" w:fill="FFFFFF"/>
        </w:rPr>
      </w:pPr>
    </w:p>
    <w:p>
      <w:pPr>
        <w:jc w:val="center"/>
        <w:rPr>
          <w:rFonts w:ascii="黑体" w:hAnsi="黑体" w:eastAsia="黑体"/>
          <w:b/>
          <w:szCs w:val="21"/>
        </w:rPr>
      </w:pPr>
      <w:r>
        <w:rPr>
          <w:rFonts w:hint="eastAsia" w:ascii="Helvetica" w:hAnsi="Helvetica"/>
          <w:b/>
          <w:szCs w:val="21"/>
          <w:shd w:val="clear" w:color="auto" w:fill="FFFFFF"/>
        </w:rPr>
        <w:t>表13  再现性限</w:t>
      </w:r>
    </w:p>
    <w:tbl>
      <w:tblPr>
        <w:tblStyle w:val="88"/>
        <w:tblW w:w="497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936"/>
        <w:gridCol w:w="1937"/>
        <w:gridCol w:w="1937"/>
        <w:gridCol w:w="19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黑体"/>
              </w:rPr>
            </w:pPr>
            <w:r>
              <w:rPr>
                <w:rFonts w:cs="宋体"/>
                <w:i/>
                <w:kern w:val="0"/>
                <w:sz w:val="18"/>
              </w:rPr>
              <w:t>w</w:t>
            </w:r>
            <w:r>
              <w:rPr>
                <w:rFonts w:cs="宋体"/>
                <w:kern w:val="0"/>
                <w:sz w:val="18"/>
              </w:rPr>
              <w:t>/</w:t>
            </w:r>
            <w:r>
              <w:rPr>
                <w:kern w:val="0"/>
                <w:sz w:val="18"/>
              </w:rPr>
              <w:t>%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11.23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29.19 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41.09 </w:t>
            </w:r>
          </w:p>
        </w:tc>
        <w:tc>
          <w:tcPr>
            <w:tcW w:w="1000" w:type="pc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0" w:type="pct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</w:rPr>
            </w:pPr>
            <w:r>
              <w:rPr>
                <w:i/>
                <w:kern w:val="0"/>
                <w:sz w:val="18"/>
                <w:szCs w:val="18"/>
              </w:rPr>
              <w:t>R</w:t>
            </w:r>
            <w:r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332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0.442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0.525</w:t>
            </w:r>
          </w:p>
        </w:tc>
        <w:tc>
          <w:tcPr>
            <w:tcW w:w="1000" w:type="pc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0.560</w:t>
            </w:r>
          </w:p>
        </w:tc>
      </w:tr>
    </w:tbl>
    <w:p>
      <w:pPr>
        <w:adjustRightInd w:val="0"/>
        <w:snapToGrid w:val="0"/>
        <w:spacing w:beforeLines="100" w:line="360" w:lineRule="exact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4. 标准中涉及专利的情况</w:t>
      </w:r>
    </w:p>
    <w:p>
      <w:pPr>
        <w:spacing w:beforeLines="50" w:afterLines="50" w:line="360" w:lineRule="auto"/>
        <w:ind w:firstLine="420" w:firstLineChars="200"/>
      </w:pPr>
      <w:r>
        <w:rPr>
          <w:rFonts w:hint="eastAsia" w:hAnsi="宋体"/>
        </w:rPr>
        <w:t>本标准不涉及专利和知识产权问题。</w:t>
      </w:r>
    </w:p>
    <w:p>
      <w:pPr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5. 预期达到的社会效益</w:t>
      </w:r>
    </w:p>
    <w:p>
      <w:pPr>
        <w:autoSpaceDE w:val="0"/>
        <w:autoSpaceDN w:val="0"/>
        <w:adjustRightInd w:val="0"/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本标准在制定过程中，调研了国内多家选冶企业，标准技术先进，具有充分的可操作性、适用性，完全能够满足国内外用户、市场的需求。本标准颁布执行后，将在国内形成铋精矿中铋含量化学成分的统一的分析测试标准，提高铋精矿分析方法的标准水平，有利于企业提高铋精矿生产工艺指导，也增加各实验室测数据之间的可靠性和可比性，助力我国铋产业的发展发挥着十分重要的作用。</w:t>
      </w:r>
    </w:p>
    <w:p>
      <w:pPr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6. 采用国际标准和国外先进标准的情况</w:t>
      </w:r>
    </w:p>
    <w:p>
      <w:pPr>
        <w:spacing w:beforeLines="50" w:afterLines="50" w:line="360" w:lineRule="auto"/>
        <w:ind w:firstLine="420" w:firstLineChars="200"/>
        <w:rPr>
          <w:rFonts w:ascii="黑体" w:hAnsi="宋体" w:eastAsia="黑体"/>
          <w:bCs/>
          <w:sz w:val="24"/>
        </w:rPr>
      </w:pPr>
      <w:r>
        <w:rPr>
          <w:rFonts w:hint="eastAsia"/>
        </w:rPr>
        <w:t>经查，未发现相同类型的国际标准和国外先进标准。</w:t>
      </w:r>
    </w:p>
    <w:p>
      <w:pPr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7. 与现行法律、法规、强制性国家标准及相关标准的关系</w:t>
      </w:r>
    </w:p>
    <w:p>
      <w:pPr>
        <w:spacing w:line="360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本标准与现行法律、法规和相关标准相协调、无冲突。</w:t>
      </w:r>
    </w:p>
    <w:p>
      <w:pPr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8. 重大分歧意见的处理和依据</w:t>
      </w:r>
    </w:p>
    <w:p>
      <w:pPr>
        <w:spacing w:beforeLines="50" w:afterLines="50" w:line="360" w:lineRule="auto"/>
        <w:ind w:firstLine="420" w:firstLineChars="200"/>
        <w:rPr>
          <w:rFonts w:hAnsi="宋体"/>
        </w:rPr>
      </w:pPr>
      <w:r>
        <w:rPr>
          <w:rFonts w:hint="eastAsia" w:hAnsi="宋体"/>
        </w:rPr>
        <w:t>无重大分歧。</w:t>
      </w:r>
    </w:p>
    <w:p>
      <w:pPr>
        <w:spacing w:beforeLines="50" w:afterLines="50" w:line="360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9. 标准作为强制性或推荐性国家（或行业）标准的建议</w:t>
      </w:r>
    </w:p>
    <w:p>
      <w:pPr>
        <w:pStyle w:val="121"/>
        <w:tabs>
          <w:tab w:val="center" w:pos="4201"/>
          <w:tab w:val="right" w:leader="dot" w:pos="9298"/>
        </w:tabs>
        <w:spacing w:line="360" w:lineRule="auto"/>
        <w:ind w:firstLine="420"/>
      </w:pPr>
      <w:r>
        <w:rPr>
          <w:rFonts w:hint="eastAsia"/>
        </w:rPr>
        <w:t>建议本标准为</w:t>
      </w:r>
      <w:r>
        <w:t>推荐</w:t>
      </w:r>
      <w:r>
        <w:rPr>
          <w:rFonts w:hint="eastAsia"/>
        </w:rPr>
        <w:t>性行业</w:t>
      </w:r>
      <w:r>
        <w:t>标准</w:t>
      </w:r>
      <w:r>
        <w:rPr>
          <w:rFonts w:hint="eastAsia"/>
        </w:rPr>
        <w:t>。</w:t>
      </w:r>
    </w:p>
    <w:p>
      <w:pPr>
        <w:spacing w:beforeLines="50" w:afterLines="50" w:line="312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10. 贯彻标准的要求和措施建议</w:t>
      </w:r>
    </w:p>
    <w:p>
      <w:pPr>
        <w:spacing w:beforeLines="50" w:afterLines="50" w:line="312" w:lineRule="auto"/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本标准对原标准进行了修改，适用性更强，本文件发布执行后，建议尽快推广使用。</w:t>
      </w:r>
    </w:p>
    <w:p>
      <w:pPr>
        <w:spacing w:beforeLines="50" w:afterLines="50" w:line="312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11. 废止现行有关标准的建议</w:t>
      </w:r>
    </w:p>
    <w:p>
      <w:pPr>
        <w:pStyle w:val="121"/>
        <w:spacing w:line="312" w:lineRule="auto"/>
        <w:ind w:firstLine="420"/>
      </w:pPr>
      <w:r>
        <w:rPr>
          <w:rFonts w:hint="eastAsia"/>
        </w:rPr>
        <w:t>在本标准发布实施之日起，代替</w:t>
      </w:r>
      <w:r>
        <w:t>YS/T 240.1-2007</w:t>
      </w:r>
      <w:r>
        <w:rPr>
          <w:rFonts w:hint="eastAsia"/>
        </w:rPr>
        <w:t>《铋精矿化学分析方法 铋量的测定 Na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EDTA滴定法》。</w:t>
      </w:r>
    </w:p>
    <w:p>
      <w:pPr>
        <w:spacing w:beforeLines="50" w:afterLines="50" w:line="312" w:lineRule="auto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12. 其它应予说明的事项</w:t>
      </w:r>
    </w:p>
    <w:p>
      <w:pPr>
        <w:spacing w:line="312" w:lineRule="auto"/>
        <w:ind w:firstLine="48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无。</w:t>
      </w: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hint="eastAsia"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ind w:firstLine="480"/>
        <w:rPr>
          <w:rFonts w:ascii="黑体" w:eastAsia="黑体"/>
          <w:sz w:val="24"/>
        </w:rPr>
      </w:pPr>
    </w:p>
    <w:p>
      <w:pPr>
        <w:spacing w:line="312" w:lineRule="auto"/>
        <w:rPr>
          <w:rFonts w:ascii="黑体" w:hAnsi="黑体" w:eastAsia="黑体"/>
          <w:szCs w:val="21"/>
        </w:rPr>
      </w:pPr>
      <w:r>
        <w:rPr>
          <w:rFonts w:hint="eastAsia"/>
          <w:b/>
          <w:szCs w:val="21"/>
        </w:rPr>
        <w:t>附件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1  各实验室实验数据</w:t>
      </w:r>
    </w:p>
    <w:p>
      <w:pPr>
        <w:spacing w:line="312" w:lineRule="auto"/>
        <w:jc w:val="center"/>
        <w:rPr>
          <w:szCs w:val="21"/>
        </w:rPr>
      </w:pPr>
      <w:r>
        <w:rPr>
          <w:rFonts w:eastAsia="黑体"/>
          <w:szCs w:val="21"/>
        </w:rPr>
        <w:t>表1</w:t>
      </w:r>
      <w:r>
        <w:rPr>
          <w:rFonts w:hint="eastAsia" w:eastAsia="黑体"/>
          <w:szCs w:val="21"/>
        </w:rPr>
        <w:t>铋精密度数据</w:t>
      </w:r>
    </w:p>
    <w:tbl>
      <w:tblPr>
        <w:tblStyle w:val="88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48"/>
        <w:gridCol w:w="1369"/>
        <w:gridCol w:w="1369"/>
        <w:gridCol w:w="1369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实验室</w:t>
            </w:r>
          </w:p>
        </w:tc>
        <w:tc>
          <w:tcPr>
            <w:tcW w:w="64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次数</w:t>
            </w:r>
          </w:p>
        </w:tc>
        <w:tc>
          <w:tcPr>
            <w:tcW w:w="5447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水平  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1、北矿检测技术股份有限公司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（11次）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（起草单位）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1.19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9.54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1.21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1.12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29.41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1.33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1.29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9.25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1.11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1.10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9.52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1.22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1.21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29.27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1.16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1.32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9.42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1.06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1.28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9.29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1.32</w:t>
            </w:r>
          </w:p>
        </w:tc>
        <w:tc>
          <w:tcPr>
            <w:tcW w:w="1340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1.36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9.34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1.31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1.23</w:t>
            </w:r>
          </w:p>
        </w:tc>
        <w:tc>
          <w:tcPr>
            <w:tcW w:w="1369" w:type="dxa"/>
            <w:noWrap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9.36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41.37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1.31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9.45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1.20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1.25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9.39</w:t>
            </w:r>
          </w:p>
        </w:tc>
        <w:tc>
          <w:tcPr>
            <w:tcW w:w="136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.1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0.0956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0.0979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2、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湖南柿竹园有色金属有限责任公司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（11次）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（一验单位）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09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08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1.16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05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29.10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1.06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1.32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1.31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1.23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41.37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1.20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.1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0.0672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0.1075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3、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深圳市中金岭南有色金属股份有限公司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（11次）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（一验单位）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40.75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41.17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29.32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11.49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29.05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40.87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29.07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40.97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11.41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11.41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28.92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41.01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28.87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40.86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28.95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11.32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29.15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41.21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57.75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0.1480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0.1880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长沙矿冶院检测技术有限责任公司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（一验单位）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41.44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29.53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41.42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0.0686 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0.0858 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0.0724 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0.0747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5、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大冶有色设计研究院有限公司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（一验单位）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11.302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29.354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41.003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29.451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41.123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11.409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29.512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11.412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29.386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41.298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11.308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29.305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29.405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11.289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41.008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29.406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29.407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41.158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11.356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29.359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11.401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29.346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41.007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0.1105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湖南有色金属研究院有限责任公司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（一验单位）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11.04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40.76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29.08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11.09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29.05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41.02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29.02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40.74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11.02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28.96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40.75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11.07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28.92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28.89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29.06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0.0618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0.1033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0.0978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7、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广东先导稀材股份有限公司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（7次）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（二验单位）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28.92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40.77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28.91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28.97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40.71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28.87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28.91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40.79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28.79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40.75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28.84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40.91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28.89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0.0479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0.0591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株洲冶炼集团股份有限公司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（7次）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（二验单位）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28.86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40.88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28.83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40.78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11.30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28.90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40.83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29.07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40.97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29.09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40.92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29.13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40.84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29.10</w:t>
            </w:r>
          </w:p>
        </w:tc>
        <w:tc>
          <w:tcPr>
            <w:tcW w:w="136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40.82</w:t>
            </w:r>
          </w:p>
        </w:tc>
        <w:tc>
          <w:tcPr>
            <w:tcW w:w="134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40.86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0.0602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0.1280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中国有色桂林矿产地质研究院有限公司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（二验单位）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39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40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340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19</w:t>
            </w:r>
          </w:p>
        </w:tc>
        <w:tc>
          <w:tcPr>
            <w:tcW w:w="1369" w:type="dxa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9.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9.4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9.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.1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8.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0.0660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0.0990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昆明冶金研究院有限公司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（11次）二验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29.51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29.57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29.59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中国检验认证集团广西有限公司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（11次）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二验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41.24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0.0868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0.0613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12、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郴州市产商品质量监督检验所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次）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二验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11.06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0.0773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0.1039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0.1010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13、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赣州有色冶金研究所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（9次）二验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29.24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41.21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11.34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40.96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11.42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41.23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11.23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29.44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41.19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11.42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41.12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41.01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41.01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11.32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29.28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41.10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0.0647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0.0767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0.1150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郴州众鑫检测有限公司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次）二验</w:t>
            </w: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28.98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41.26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41.25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11.36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41.28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41.15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28.92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41.11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11.37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28.98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41.07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11.18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29.07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41.11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均值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11.29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41.18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27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s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0.0643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0.0561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0.0856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0.0488</w:t>
            </w:r>
          </w:p>
        </w:tc>
      </w:tr>
    </w:tbl>
    <w:p>
      <w:pPr>
        <w:spacing w:line="312" w:lineRule="auto"/>
        <w:jc w:val="center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eastAsia="黑体"/>
          <w:szCs w:val="21"/>
        </w:rPr>
        <w:t>2</w:t>
      </w:r>
      <w:r>
        <w:rPr>
          <w:rFonts w:ascii="黑体" w:hAnsi="黑体" w:eastAsia="黑体"/>
          <w:szCs w:val="21"/>
        </w:rPr>
        <w:t>单元平均值的计算</w:t>
      </w:r>
    </w:p>
    <w:p>
      <w:pPr>
        <w:ind w:firstLine="210" w:firstLineChars="100"/>
        <w:rPr>
          <w:szCs w:val="21"/>
        </w:rPr>
      </w:pPr>
      <w:r>
        <w:rPr>
          <w:szCs w:val="21"/>
        </w:rPr>
        <w:t>由表1的数据，计算单元平均值如表2.</w:t>
      </w:r>
    </w:p>
    <w:p>
      <w:pPr>
        <w:spacing w:line="36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表2单元平均值</w:t>
      </w:r>
    </w:p>
    <w:tbl>
      <w:tblPr>
        <w:tblStyle w:val="88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106"/>
        <w:gridCol w:w="2106"/>
        <w:gridCol w:w="2106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单位序号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41.07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41.32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29.06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28.89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40.80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40.86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11.29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29.41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41.25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11.16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29.27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11.34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29.34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41.10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11.29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29.01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41.18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57.93</w:t>
            </w:r>
          </w:p>
        </w:tc>
      </w:tr>
    </w:tbl>
    <w:p>
      <w:pPr>
        <w:spacing w:line="312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3单元离散度的计算</w:t>
      </w:r>
    </w:p>
    <w:p>
      <w:pPr>
        <w:spacing w:line="36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表3 单元标准差</w:t>
      </w:r>
    </w:p>
    <w:tbl>
      <w:tblPr>
        <w:tblStyle w:val="88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106"/>
        <w:gridCol w:w="2106"/>
        <w:gridCol w:w="2106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单位序号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水平4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0.0821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0.0956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0.0979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0.0672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0.1075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0.0644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0.1480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  <w:highlight w:val="lightGray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lightGray"/>
              </w:rPr>
              <w:t>0.1880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  <w:highlight w:val="lightGray"/>
              </w:rPr>
              <w:t>*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0.0686 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0.0858 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0.0724 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0.0747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0.1105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0.0618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0.1033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0.0978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0.0479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0.0591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0.0728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0.0602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0.1280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0.0650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0.0660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0.0990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0.0625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0.1124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0.0850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0.0868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0.0555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0.0613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0.0773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0.1039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0.1010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0.0647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0.0767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0.1150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0.1278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0.0643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0.0561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0.0856</w:t>
            </w:r>
          </w:p>
        </w:tc>
        <w:tc>
          <w:tcPr>
            <w:tcW w:w="10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0.0488</w:t>
            </w:r>
          </w:p>
        </w:tc>
      </w:tr>
    </w:tbl>
    <w:p>
      <w:pPr>
        <w:spacing w:line="312" w:lineRule="auto"/>
        <w:rPr>
          <w:szCs w:val="21"/>
        </w:rPr>
      </w:pP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4一致性和离群值的检查</w:t>
      </w:r>
    </w:p>
    <w:p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4.1  柯克伦检验</w:t>
      </w:r>
    </w:p>
    <w:p>
      <w:pPr>
        <w:ind w:firstLine="420"/>
        <w:rPr>
          <w:szCs w:val="21"/>
        </w:rPr>
      </w:pPr>
      <w:r>
        <w:rPr>
          <w:szCs w:val="21"/>
        </w:rPr>
        <w:t>各实验室提供的精密度数据的重复次数不一，根据GB/T 6379.2-2004规定n可取为多数单元中的检测结果数，</w:t>
      </w:r>
      <w:r>
        <w:rPr>
          <w:rFonts w:hint="eastAsia"/>
          <w:szCs w:val="21"/>
        </w:rPr>
        <w:t>对n=</w:t>
      </w:r>
      <w:r>
        <w:rPr>
          <w:szCs w:val="21"/>
        </w:rPr>
        <w:t>11</w:t>
      </w:r>
      <w:r>
        <w:rPr>
          <w:rFonts w:hint="eastAsia"/>
          <w:szCs w:val="21"/>
        </w:rPr>
        <w:t>，p=</w:t>
      </w:r>
      <w:r>
        <w:rPr>
          <w:szCs w:val="21"/>
        </w:rPr>
        <w:t>14</w:t>
      </w:r>
      <w:r>
        <w:rPr>
          <w:rFonts w:hint="eastAsia"/>
          <w:szCs w:val="21"/>
        </w:rPr>
        <w:t>，科克伦检验临界值表中并未给出，</w:t>
      </w:r>
      <w:r>
        <w:rPr>
          <w:szCs w:val="21"/>
        </w:rPr>
        <w:t>同时查表GB/T 6379.2-2004, C临界值采用n=6，p=14，此时柯克伦检验5%临界值为0.232，1%临界值为0.274。岐离值用单星号（*）标出予以保留，离群值用双星号（**）标出予以剔除。</w:t>
      </w:r>
    </w:p>
    <w:p>
      <w:pPr>
        <w:spacing w:line="36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hint="eastAsia" w:eastAsia="黑体"/>
          <w:szCs w:val="21"/>
        </w:rPr>
        <w:t>4</w:t>
      </w:r>
      <w:r>
        <w:rPr>
          <w:rFonts w:eastAsia="黑体"/>
          <w:szCs w:val="21"/>
        </w:rPr>
        <w:t>.1柯克伦检验</w:t>
      </w:r>
    </w:p>
    <w:tbl>
      <w:tblPr>
        <w:tblStyle w:val="88"/>
        <w:tblW w:w="49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971"/>
        <w:gridCol w:w="1972"/>
        <w:gridCol w:w="1972"/>
        <w:gridCol w:w="1972"/>
      </w:tblGrid>
      <w:tr>
        <w:trPr>
          <w:trHeight w:val="400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S标准差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水平1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92" w:lineRule="auto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水平2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192" w:lineRule="auto"/>
              <w:jc w:val="center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水平3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192" w:lineRule="auto"/>
              <w:jc w:val="center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水平4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Smax=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0.0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868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1480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0.1880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∑S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0.06219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0.1217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0.1435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C=Smax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kern w:val="0"/>
                <w:sz w:val="18"/>
                <w:szCs w:val="18"/>
              </w:rPr>
              <w:t>/∑S</w:t>
            </w:r>
            <w:r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121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180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0.246</w:t>
            </w:r>
            <w:r>
              <w:rPr>
                <w:rFonts w:asciiTheme="minorEastAsia" w:hAnsiTheme="minorEastAsia" w:eastAsiaTheme="minorEastAsia"/>
                <w:szCs w:val="21"/>
              </w:rPr>
              <w:t>*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92" w:lineRule="auto"/>
              <w:jc w:val="right"/>
              <w:textAlignment w:val="bottom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0.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130</w:t>
            </w:r>
          </w:p>
        </w:tc>
      </w:tr>
    </w:tbl>
    <w:p>
      <w:pPr>
        <w:ind w:firstLine="420"/>
        <w:rPr>
          <w:szCs w:val="21"/>
        </w:rPr>
      </w:pPr>
      <w:r>
        <w:rPr>
          <w:szCs w:val="21"/>
        </w:rPr>
        <w:t>柯克伦检验显示，实验室3的水平3</w:t>
      </w:r>
      <w:r>
        <w:rPr>
          <w:rFonts w:hint="eastAsia"/>
          <w:szCs w:val="21"/>
        </w:rPr>
        <w:t>为岐离值，</w:t>
      </w:r>
      <w:r>
        <w:rPr>
          <w:szCs w:val="21"/>
        </w:rPr>
        <w:t>予以保留。</w:t>
      </w:r>
    </w:p>
    <w:p>
      <w:pPr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4.2  格拉布斯检验</w:t>
      </w:r>
    </w:p>
    <w:p>
      <w:pPr>
        <w:spacing w:line="360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hint="eastAsia" w:eastAsia="黑体"/>
          <w:szCs w:val="21"/>
        </w:rPr>
        <w:t>4</w:t>
      </w:r>
      <w:r>
        <w:rPr>
          <w:rFonts w:eastAsia="黑体"/>
          <w:szCs w:val="21"/>
        </w:rPr>
        <w:t>.2格拉布斯检验</w:t>
      </w:r>
    </w:p>
    <w:tbl>
      <w:tblPr>
        <w:tblStyle w:val="88"/>
        <w:tblW w:w="49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885"/>
        <w:gridCol w:w="2031"/>
        <w:gridCol w:w="1885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实验室i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水平1</w:t>
            </w:r>
          </w:p>
        </w:tc>
        <w:tc>
          <w:tcPr>
            <w:tcW w:w="103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水平2</w:t>
            </w:r>
          </w:p>
        </w:tc>
        <w:tc>
          <w:tcPr>
            <w:tcW w:w="95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水平3</w:t>
            </w:r>
          </w:p>
        </w:tc>
        <w:tc>
          <w:tcPr>
            <w:tcW w:w="103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水平4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总平均</w:t>
            </w: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11.25 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29.23 </w:t>
            </w: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41.12 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58.04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0.0876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0.1852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0.1727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Gmax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1.295 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1.153 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1.141 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1.034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2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1.670 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1.816 </w:t>
            </w: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1.869 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1.872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p=14，格拉布斯检验，Gp或G1：一个最大值上1%点2.755，上5%点值为2.507</w:t>
            </w:r>
          </w:p>
        </w:tc>
      </w:tr>
    </w:tbl>
    <w:p>
      <w:pPr>
        <w:ind w:firstLine="420" w:firstLineChars="200"/>
        <w:rPr>
          <w:bCs/>
        </w:rPr>
      </w:pPr>
      <w:r>
        <w:rPr>
          <w:bCs/>
          <w:szCs w:val="21"/>
        </w:rPr>
        <w:t>经检验</w:t>
      </w:r>
      <w:r>
        <w:rPr>
          <w:rFonts w:hint="eastAsia"/>
          <w:bCs/>
          <w:kern w:val="0"/>
          <w:szCs w:val="21"/>
        </w:rPr>
        <w:t>无岐离值和离群值。</w:t>
      </w:r>
    </w:p>
    <w:p>
      <w:pPr>
        <w:spacing w:line="360" w:lineRule="auto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5重复性和再现性计算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重复性、再现性计算结果见表5。</w:t>
      </w:r>
    </w:p>
    <w:p>
      <w:pPr>
        <w:spacing w:line="312" w:lineRule="auto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表5 重复性和再现性</w:t>
      </w:r>
    </w:p>
    <w:tbl>
      <w:tblPr>
        <w:tblStyle w:val="88"/>
        <w:tblW w:w="511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158"/>
        <w:gridCol w:w="2159"/>
        <w:gridCol w:w="2157"/>
        <w:gridCol w:w="20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1433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5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水平1</w:t>
            </w:r>
          </w:p>
        </w:tc>
        <w:tc>
          <w:tcPr>
            <w:tcW w:w="21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水平2</w:t>
            </w:r>
          </w:p>
        </w:tc>
        <w:tc>
          <w:tcPr>
            <w:tcW w:w="21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水平3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水平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T1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898.42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2335.49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3287.54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4638.20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T2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10090.26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68183.69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135101.76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268914.02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T3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T4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824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824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824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T5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0.305904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0.743075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0.717510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0.838346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  <w:vertAlign w:val="subscript"/>
              </w:rPr>
              <w:t>r</w:t>
            </w:r>
            <w:r>
              <w:rPr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0.004134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0.007742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0.009696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0.014129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  <w:vertAlign w:val="subscript"/>
              </w:rPr>
              <w:t>L</w:t>
            </w:r>
            <w:r>
              <w:rPr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0.009950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0.017191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0.025504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0.025923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  <w:vertAlign w:val="subscript"/>
              </w:rPr>
              <w:t>R</w:t>
            </w:r>
            <w:r>
              <w:rPr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0.014084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0.024933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0.035200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0.040052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0.064295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0.087989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0.098469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0.118865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  <w:vertAlign w:val="subscript"/>
              </w:rPr>
              <w:t>R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0.118677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0.157902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0.187617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0.200130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180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0.246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0.276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R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</w:t>
            </w:r>
            <w:r>
              <w:rPr>
                <w:rFonts w:ascii="宋体" w:hAnsi="宋体" w:cs="宋体"/>
                <w:kern w:val="0"/>
                <w:szCs w:val="21"/>
              </w:rPr>
              <w:t>332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0.442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0.525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平均值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11.23</w:t>
            </w:r>
          </w:p>
        </w:tc>
        <w:tc>
          <w:tcPr>
            <w:tcW w:w="21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29.19</w:t>
            </w:r>
          </w:p>
        </w:tc>
        <w:tc>
          <w:tcPr>
            <w:tcW w:w="215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41.09</w:t>
            </w:r>
          </w:p>
        </w:tc>
        <w:tc>
          <w:tcPr>
            <w:tcW w:w="20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57.98</w:t>
            </w:r>
          </w:p>
        </w:tc>
      </w:tr>
    </w:tbl>
    <w:p>
      <w:pPr>
        <w:spacing w:line="312" w:lineRule="auto"/>
        <w:jc w:val="center"/>
        <w:rPr>
          <w:rFonts w:hint="eastAsia"/>
          <w:szCs w:val="21"/>
        </w:rPr>
      </w:pPr>
    </w:p>
    <w:sectPr>
      <w:footerReference r:id="rId3" w:type="default"/>
      <w:pgSz w:w="11850" w:h="16783"/>
      <w:pgMar w:top="1134" w:right="1077" w:bottom="121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5"/>
    <w:multiLevelType w:val="multilevel"/>
    <w:tmpl w:val="00000015"/>
    <w:lvl w:ilvl="0" w:tentative="0">
      <w:start w:val="1"/>
      <w:numFmt w:val="upperLetter"/>
      <w:pStyle w:val="24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japaneseCounting"/>
      <w:pStyle w:val="246"/>
      <w:lvlText w:val="（%2）"/>
      <w:lvlJc w:val="left"/>
      <w:pPr>
        <w:ind w:left="0" w:firstLine="0"/>
      </w:pPr>
      <w:rPr>
        <w:rFonts w:hint="default"/>
        <w:b w:val="0"/>
        <w:i w:val="0"/>
        <w:snapToGrid/>
        <w:spacing w:val="0"/>
        <w:w w:val="100"/>
        <w:kern w:val="21"/>
        <w:sz w:val="21"/>
        <w:lang w:val="en-US"/>
      </w:rPr>
    </w:lvl>
    <w:lvl w:ilvl="2" w:tentative="0">
      <w:start w:val="1"/>
      <w:numFmt w:val="decimal"/>
      <w:pStyle w:val="25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5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4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4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1152E562"/>
    <w:multiLevelType w:val="singleLevel"/>
    <w:tmpl w:val="1152E562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5D110F06"/>
    <w:multiLevelType w:val="multilevel"/>
    <w:tmpl w:val="5D110F06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iMWIyNjgwZjY4YTY3MGMwZmMxNzhiNGM0YjEyN2UifQ=="/>
  </w:docVars>
  <w:rsids>
    <w:rsidRoot w:val="00B623AB"/>
    <w:rsid w:val="0000010E"/>
    <w:rsid w:val="00000843"/>
    <w:rsid w:val="000046B0"/>
    <w:rsid w:val="00006A40"/>
    <w:rsid w:val="00010180"/>
    <w:rsid w:val="000102B4"/>
    <w:rsid w:val="00012DB2"/>
    <w:rsid w:val="00013ABB"/>
    <w:rsid w:val="00014853"/>
    <w:rsid w:val="00015388"/>
    <w:rsid w:val="00017F41"/>
    <w:rsid w:val="0002096F"/>
    <w:rsid w:val="00022FF0"/>
    <w:rsid w:val="00024B42"/>
    <w:rsid w:val="00026D78"/>
    <w:rsid w:val="00032195"/>
    <w:rsid w:val="000332A6"/>
    <w:rsid w:val="000333CC"/>
    <w:rsid w:val="00033691"/>
    <w:rsid w:val="00035035"/>
    <w:rsid w:val="00035843"/>
    <w:rsid w:val="00036C57"/>
    <w:rsid w:val="00037BA3"/>
    <w:rsid w:val="000407FD"/>
    <w:rsid w:val="00046620"/>
    <w:rsid w:val="00047D95"/>
    <w:rsid w:val="00050085"/>
    <w:rsid w:val="00051232"/>
    <w:rsid w:val="0005146E"/>
    <w:rsid w:val="0005350B"/>
    <w:rsid w:val="00060252"/>
    <w:rsid w:val="000604E4"/>
    <w:rsid w:val="00061D34"/>
    <w:rsid w:val="00061D46"/>
    <w:rsid w:val="00062070"/>
    <w:rsid w:val="0006432D"/>
    <w:rsid w:val="0006477B"/>
    <w:rsid w:val="00066BE3"/>
    <w:rsid w:val="0006712F"/>
    <w:rsid w:val="00071169"/>
    <w:rsid w:val="00072756"/>
    <w:rsid w:val="00072FCA"/>
    <w:rsid w:val="000734DD"/>
    <w:rsid w:val="00073C3A"/>
    <w:rsid w:val="00074C09"/>
    <w:rsid w:val="000753F9"/>
    <w:rsid w:val="00081A9E"/>
    <w:rsid w:val="00082668"/>
    <w:rsid w:val="00082FFF"/>
    <w:rsid w:val="00083A57"/>
    <w:rsid w:val="000842C3"/>
    <w:rsid w:val="00085404"/>
    <w:rsid w:val="000871C5"/>
    <w:rsid w:val="00091DD9"/>
    <w:rsid w:val="000961F3"/>
    <w:rsid w:val="0009660F"/>
    <w:rsid w:val="000970F7"/>
    <w:rsid w:val="000A0C8C"/>
    <w:rsid w:val="000A0CA9"/>
    <w:rsid w:val="000A180E"/>
    <w:rsid w:val="000A1AF4"/>
    <w:rsid w:val="000A1CC0"/>
    <w:rsid w:val="000A1DCD"/>
    <w:rsid w:val="000A2986"/>
    <w:rsid w:val="000A35F1"/>
    <w:rsid w:val="000A54AC"/>
    <w:rsid w:val="000A569E"/>
    <w:rsid w:val="000A5CC2"/>
    <w:rsid w:val="000A7FF3"/>
    <w:rsid w:val="000B14A6"/>
    <w:rsid w:val="000B3127"/>
    <w:rsid w:val="000B605E"/>
    <w:rsid w:val="000C1AC6"/>
    <w:rsid w:val="000C2217"/>
    <w:rsid w:val="000C3B64"/>
    <w:rsid w:val="000C44B2"/>
    <w:rsid w:val="000C44E3"/>
    <w:rsid w:val="000C52EA"/>
    <w:rsid w:val="000C6863"/>
    <w:rsid w:val="000D2196"/>
    <w:rsid w:val="000D6334"/>
    <w:rsid w:val="000D697C"/>
    <w:rsid w:val="000D7360"/>
    <w:rsid w:val="000E068C"/>
    <w:rsid w:val="000E14BA"/>
    <w:rsid w:val="000E3741"/>
    <w:rsid w:val="000E37CA"/>
    <w:rsid w:val="000E5B60"/>
    <w:rsid w:val="000E639A"/>
    <w:rsid w:val="000E63E7"/>
    <w:rsid w:val="000E6E9C"/>
    <w:rsid w:val="000E7ED5"/>
    <w:rsid w:val="000E7EDF"/>
    <w:rsid w:val="000F09A7"/>
    <w:rsid w:val="000F0CD7"/>
    <w:rsid w:val="000F1FD1"/>
    <w:rsid w:val="000F224C"/>
    <w:rsid w:val="000F2D70"/>
    <w:rsid w:val="000F3489"/>
    <w:rsid w:val="000F519D"/>
    <w:rsid w:val="000F71AA"/>
    <w:rsid w:val="0010034F"/>
    <w:rsid w:val="00100D28"/>
    <w:rsid w:val="001012FA"/>
    <w:rsid w:val="001031BB"/>
    <w:rsid w:val="00103BE5"/>
    <w:rsid w:val="001074F0"/>
    <w:rsid w:val="00110508"/>
    <w:rsid w:val="001115A6"/>
    <w:rsid w:val="00112CBC"/>
    <w:rsid w:val="0011570F"/>
    <w:rsid w:val="00116D8F"/>
    <w:rsid w:val="00120B48"/>
    <w:rsid w:val="00121305"/>
    <w:rsid w:val="00121DB4"/>
    <w:rsid w:val="001226EF"/>
    <w:rsid w:val="00122903"/>
    <w:rsid w:val="00122C41"/>
    <w:rsid w:val="001241A8"/>
    <w:rsid w:val="0012634B"/>
    <w:rsid w:val="0012792A"/>
    <w:rsid w:val="0013056C"/>
    <w:rsid w:val="001330C6"/>
    <w:rsid w:val="001345DA"/>
    <w:rsid w:val="00134E2D"/>
    <w:rsid w:val="00135E64"/>
    <w:rsid w:val="00136064"/>
    <w:rsid w:val="0013737C"/>
    <w:rsid w:val="00137D4C"/>
    <w:rsid w:val="001424D5"/>
    <w:rsid w:val="001438F6"/>
    <w:rsid w:val="001514A8"/>
    <w:rsid w:val="00151551"/>
    <w:rsid w:val="0015171C"/>
    <w:rsid w:val="00151F1C"/>
    <w:rsid w:val="00152747"/>
    <w:rsid w:val="00154608"/>
    <w:rsid w:val="00154F3C"/>
    <w:rsid w:val="00156452"/>
    <w:rsid w:val="00161BA0"/>
    <w:rsid w:val="00163269"/>
    <w:rsid w:val="00163B6C"/>
    <w:rsid w:val="001645BF"/>
    <w:rsid w:val="0016567C"/>
    <w:rsid w:val="00166ED4"/>
    <w:rsid w:val="00170671"/>
    <w:rsid w:val="00171087"/>
    <w:rsid w:val="0017147D"/>
    <w:rsid w:val="001742D0"/>
    <w:rsid w:val="00176CA2"/>
    <w:rsid w:val="0018074A"/>
    <w:rsid w:val="00181F09"/>
    <w:rsid w:val="00181F19"/>
    <w:rsid w:val="00182101"/>
    <w:rsid w:val="00182D22"/>
    <w:rsid w:val="00186DB8"/>
    <w:rsid w:val="00187FC9"/>
    <w:rsid w:val="0019163F"/>
    <w:rsid w:val="00192E96"/>
    <w:rsid w:val="001943FB"/>
    <w:rsid w:val="00194B77"/>
    <w:rsid w:val="00194EB2"/>
    <w:rsid w:val="001950F2"/>
    <w:rsid w:val="001960FE"/>
    <w:rsid w:val="00197BF6"/>
    <w:rsid w:val="001A00E4"/>
    <w:rsid w:val="001A02DA"/>
    <w:rsid w:val="001A0910"/>
    <w:rsid w:val="001A1931"/>
    <w:rsid w:val="001A1A3D"/>
    <w:rsid w:val="001A23BC"/>
    <w:rsid w:val="001A2616"/>
    <w:rsid w:val="001A287E"/>
    <w:rsid w:val="001A56F3"/>
    <w:rsid w:val="001A78A3"/>
    <w:rsid w:val="001B06AF"/>
    <w:rsid w:val="001B2157"/>
    <w:rsid w:val="001B3592"/>
    <w:rsid w:val="001B3FA7"/>
    <w:rsid w:val="001B5781"/>
    <w:rsid w:val="001C077F"/>
    <w:rsid w:val="001C10C1"/>
    <w:rsid w:val="001C35AF"/>
    <w:rsid w:val="001C4AB5"/>
    <w:rsid w:val="001C52FE"/>
    <w:rsid w:val="001C5722"/>
    <w:rsid w:val="001C583A"/>
    <w:rsid w:val="001C5E29"/>
    <w:rsid w:val="001C5EA7"/>
    <w:rsid w:val="001C6263"/>
    <w:rsid w:val="001D0C93"/>
    <w:rsid w:val="001D18F0"/>
    <w:rsid w:val="001D1A3E"/>
    <w:rsid w:val="001D200A"/>
    <w:rsid w:val="001D24F0"/>
    <w:rsid w:val="001D57BC"/>
    <w:rsid w:val="001D6080"/>
    <w:rsid w:val="001D783C"/>
    <w:rsid w:val="001D7A87"/>
    <w:rsid w:val="001E1551"/>
    <w:rsid w:val="001E173F"/>
    <w:rsid w:val="001E1CFE"/>
    <w:rsid w:val="001E2AF6"/>
    <w:rsid w:val="001E2B7F"/>
    <w:rsid w:val="001E7268"/>
    <w:rsid w:val="001E7321"/>
    <w:rsid w:val="001F00AE"/>
    <w:rsid w:val="001F0DEB"/>
    <w:rsid w:val="001F194F"/>
    <w:rsid w:val="001F1B2B"/>
    <w:rsid w:val="001F2237"/>
    <w:rsid w:val="001F2AEB"/>
    <w:rsid w:val="001F4370"/>
    <w:rsid w:val="001F5F9B"/>
    <w:rsid w:val="001F65ED"/>
    <w:rsid w:val="001F6B47"/>
    <w:rsid w:val="001F7DA6"/>
    <w:rsid w:val="0020225C"/>
    <w:rsid w:val="00203AAC"/>
    <w:rsid w:val="00206321"/>
    <w:rsid w:val="00207527"/>
    <w:rsid w:val="0021099A"/>
    <w:rsid w:val="0021153B"/>
    <w:rsid w:val="002119ED"/>
    <w:rsid w:val="002123C9"/>
    <w:rsid w:val="0021264D"/>
    <w:rsid w:val="00212A22"/>
    <w:rsid w:val="00213E87"/>
    <w:rsid w:val="00216076"/>
    <w:rsid w:val="00220A49"/>
    <w:rsid w:val="002213BC"/>
    <w:rsid w:val="0022213B"/>
    <w:rsid w:val="002223FF"/>
    <w:rsid w:val="00222AF0"/>
    <w:rsid w:val="002246A5"/>
    <w:rsid w:val="00224A26"/>
    <w:rsid w:val="00225AE8"/>
    <w:rsid w:val="002274EC"/>
    <w:rsid w:val="00230DF6"/>
    <w:rsid w:val="002331F1"/>
    <w:rsid w:val="002344C3"/>
    <w:rsid w:val="002367F4"/>
    <w:rsid w:val="0023776C"/>
    <w:rsid w:val="00237934"/>
    <w:rsid w:val="002408F8"/>
    <w:rsid w:val="00240B0F"/>
    <w:rsid w:val="00240D65"/>
    <w:rsid w:val="002414FB"/>
    <w:rsid w:val="00242023"/>
    <w:rsid w:val="00242AAA"/>
    <w:rsid w:val="00243777"/>
    <w:rsid w:val="00245A31"/>
    <w:rsid w:val="0024636D"/>
    <w:rsid w:val="002464C4"/>
    <w:rsid w:val="002474F1"/>
    <w:rsid w:val="00251D8E"/>
    <w:rsid w:val="00252622"/>
    <w:rsid w:val="00252865"/>
    <w:rsid w:val="00252CB5"/>
    <w:rsid w:val="002540E6"/>
    <w:rsid w:val="002564F1"/>
    <w:rsid w:val="002569A0"/>
    <w:rsid w:val="00257050"/>
    <w:rsid w:val="00260650"/>
    <w:rsid w:val="002617D3"/>
    <w:rsid w:val="002634A5"/>
    <w:rsid w:val="00263B9F"/>
    <w:rsid w:val="00264880"/>
    <w:rsid w:val="002658D8"/>
    <w:rsid w:val="00265A1C"/>
    <w:rsid w:val="00266D9A"/>
    <w:rsid w:val="00270709"/>
    <w:rsid w:val="00271256"/>
    <w:rsid w:val="002723D8"/>
    <w:rsid w:val="0027329B"/>
    <w:rsid w:val="00273376"/>
    <w:rsid w:val="00275581"/>
    <w:rsid w:val="0027611E"/>
    <w:rsid w:val="00276D32"/>
    <w:rsid w:val="00277FC2"/>
    <w:rsid w:val="00281961"/>
    <w:rsid w:val="00283872"/>
    <w:rsid w:val="002841A5"/>
    <w:rsid w:val="002842F4"/>
    <w:rsid w:val="00284AD3"/>
    <w:rsid w:val="0028555C"/>
    <w:rsid w:val="00285AEE"/>
    <w:rsid w:val="00287A4C"/>
    <w:rsid w:val="0029258B"/>
    <w:rsid w:val="002928C6"/>
    <w:rsid w:val="00292C1B"/>
    <w:rsid w:val="002935AF"/>
    <w:rsid w:val="00294B68"/>
    <w:rsid w:val="00295158"/>
    <w:rsid w:val="00295954"/>
    <w:rsid w:val="00296C10"/>
    <w:rsid w:val="00297A7C"/>
    <w:rsid w:val="002A1DFD"/>
    <w:rsid w:val="002A62F7"/>
    <w:rsid w:val="002A6909"/>
    <w:rsid w:val="002A7884"/>
    <w:rsid w:val="002B10D8"/>
    <w:rsid w:val="002B1184"/>
    <w:rsid w:val="002B1448"/>
    <w:rsid w:val="002B1476"/>
    <w:rsid w:val="002B1CDE"/>
    <w:rsid w:val="002B1E00"/>
    <w:rsid w:val="002B1EB8"/>
    <w:rsid w:val="002B20FA"/>
    <w:rsid w:val="002B39F3"/>
    <w:rsid w:val="002B3D6A"/>
    <w:rsid w:val="002B5739"/>
    <w:rsid w:val="002B6730"/>
    <w:rsid w:val="002B6D40"/>
    <w:rsid w:val="002B743A"/>
    <w:rsid w:val="002B7F73"/>
    <w:rsid w:val="002C2432"/>
    <w:rsid w:val="002C5386"/>
    <w:rsid w:val="002C6032"/>
    <w:rsid w:val="002C61FB"/>
    <w:rsid w:val="002D0A2F"/>
    <w:rsid w:val="002D4745"/>
    <w:rsid w:val="002D4DC6"/>
    <w:rsid w:val="002D542A"/>
    <w:rsid w:val="002D7674"/>
    <w:rsid w:val="002E0737"/>
    <w:rsid w:val="002E1898"/>
    <w:rsid w:val="002E2919"/>
    <w:rsid w:val="002E2EDF"/>
    <w:rsid w:val="002E6BF3"/>
    <w:rsid w:val="002F08A5"/>
    <w:rsid w:val="002F1734"/>
    <w:rsid w:val="002F2728"/>
    <w:rsid w:val="002F3670"/>
    <w:rsid w:val="002F3732"/>
    <w:rsid w:val="002F40D5"/>
    <w:rsid w:val="002F5DB4"/>
    <w:rsid w:val="002F70D3"/>
    <w:rsid w:val="00300719"/>
    <w:rsid w:val="00300DFD"/>
    <w:rsid w:val="003017C7"/>
    <w:rsid w:val="00302CA7"/>
    <w:rsid w:val="0030454B"/>
    <w:rsid w:val="00305AB4"/>
    <w:rsid w:val="00306F8E"/>
    <w:rsid w:val="003070AE"/>
    <w:rsid w:val="00311372"/>
    <w:rsid w:val="00311BEE"/>
    <w:rsid w:val="00312D80"/>
    <w:rsid w:val="00312FBD"/>
    <w:rsid w:val="003136D4"/>
    <w:rsid w:val="00314824"/>
    <w:rsid w:val="0031608B"/>
    <w:rsid w:val="00322263"/>
    <w:rsid w:val="00323EFA"/>
    <w:rsid w:val="00326256"/>
    <w:rsid w:val="003308AB"/>
    <w:rsid w:val="00331DA0"/>
    <w:rsid w:val="003320EC"/>
    <w:rsid w:val="0033241B"/>
    <w:rsid w:val="003336E8"/>
    <w:rsid w:val="00333F1C"/>
    <w:rsid w:val="00335C13"/>
    <w:rsid w:val="00336817"/>
    <w:rsid w:val="003371FA"/>
    <w:rsid w:val="00340092"/>
    <w:rsid w:val="003402ED"/>
    <w:rsid w:val="003406E3"/>
    <w:rsid w:val="003430B3"/>
    <w:rsid w:val="00344F6A"/>
    <w:rsid w:val="00346D81"/>
    <w:rsid w:val="00352BC9"/>
    <w:rsid w:val="00356C37"/>
    <w:rsid w:val="0036049F"/>
    <w:rsid w:val="003639DC"/>
    <w:rsid w:val="00363C9B"/>
    <w:rsid w:val="00363FF5"/>
    <w:rsid w:val="00364128"/>
    <w:rsid w:val="00364D78"/>
    <w:rsid w:val="00366C1C"/>
    <w:rsid w:val="00367A46"/>
    <w:rsid w:val="00367C34"/>
    <w:rsid w:val="00370D54"/>
    <w:rsid w:val="00370FF7"/>
    <w:rsid w:val="00371197"/>
    <w:rsid w:val="00371AA3"/>
    <w:rsid w:val="00372222"/>
    <w:rsid w:val="00372782"/>
    <w:rsid w:val="00372C9F"/>
    <w:rsid w:val="00372EA2"/>
    <w:rsid w:val="00373131"/>
    <w:rsid w:val="00373B84"/>
    <w:rsid w:val="00374EFD"/>
    <w:rsid w:val="00376DAF"/>
    <w:rsid w:val="00376F19"/>
    <w:rsid w:val="003779C9"/>
    <w:rsid w:val="00377CEE"/>
    <w:rsid w:val="00380950"/>
    <w:rsid w:val="00382AC0"/>
    <w:rsid w:val="00383014"/>
    <w:rsid w:val="00383889"/>
    <w:rsid w:val="00385C99"/>
    <w:rsid w:val="00386212"/>
    <w:rsid w:val="00386F96"/>
    <w:rsid w:val="003904DF"/>
    <w:rsid w:val="003915A0"/>
    <w:rsid w:val="0039161F"/>
    <w:rsid w:val="003918BA"/>
    <w:rsid w:val="003922C1"/>
    <w:rsid w:val="00392AC9"/>
    <w:rsid w:val="003936AE"/>
    <w:rsid w:val="003939C9"/>
    <w:rsid w:val="00395B19"/>
    <w:rsid w:val="0039640D"/>
    <w:rsid w:val="003A0222"/>
    <w:rsid w:val="003A10E7"/>
    <w:rsid w:val="003A4DF7"/>
    <w:rsid w:val="003A5E93"/>
    <w:rsid w:val="003B1440"/>
    <w:rsid w:val="003B19EA"/>
    <w:rsid w:val="003B3203"/>
    <w:rsid w:val="003B4C78"/>
    <w:rsid w:val="003B4F5C"/>
    <w:rsid w:val="003B65F5"/>
    <w:rsid w:val="003B6F67"/>
    <w:rsid w:val="003B7E75"/>
    <w:rsid w:val="003B7F17"/>
    <w:rsid w:val="003C014B"/>
    <w:rsid w:val="003C0CDA"/>
    <w:rsid w:val="003C1F6D"/>
    <w:rsid w:val="003C25C6"/>
    <w:rsid w:val="003C4307"/>
    <w:rsid w:val="003C492E"/>
    <w:rsid w:val="003C5392"/>
    <w:rsid w:val="003C59E4"/>
    <w:rsid w:val="003C5F0B"/>
    <w:rsid w:val="003C656B"/>
    <w:rsid w:val="003C7814"/>
    <w:rsid w:val="003D0CCD"/>
    <w:rsid w:val="003D1280"/>
    <w:rsid w:val="003D3947"/>
    <w:rsid w:val="003D7137"/>
    <w:rsid w:val="003D79D5"/>
    <w:rsid w:val="003D79E6"/>
    <w:rsid w:val="003D7AD1"/>
    <w:rsid w:val="003E0A25"/>
    <w:rsid w:val="003E0BF1"/>
    <w:rsid w:val="003E1178"/>
    <w:rsid w:val="003E20FB"/>
    <w:rsid w:val="003E2665"/>
    <w:rsid w:val="003E47D4"/>
    <w:rsid w:val="003E6AEE"/>
    <w:rsid w:val="003E7121"/>
    <w:rsid w:val="003E7A01"/>
    <w:rsid w:val="003F03FD"/>
    <w:rsid w:val="003F2701"/>
    <w:rsid w:val="003F34E7"/>
    <w:rsid w:val="003F5178"/>
    <w:rsid w:val="003F6490"/>
    <w:rsid w:val="003F67B0"/>
    <w:rsid w:val="0040009E"/>
    <w:rsid w:val="00400C26"/>
    <w:rsid w:val="00400ED1"/>
    <w:rsid w:val="00402FE6"/>
    <w:rsid w:val="00403167"/>
    <w:rsid w:val="00404A08"/>
    <w:rsid w:val="00404E31"/>
    <w:rsid w:val="00405AFC"/>
    <w:rsid w:val="00407943"/>
    <w:rsid w:val="00407AAB"/>
    <w:rsid w:val="00411827"/>
    <w:rsid w:val="00411CF0"/>
    <w:rsid w:val="00415749"/>
    <w:rsid w:val="004169D7"/>
    <w:rsid w:val="0042004B"/>
    <w:rsid w:val="004238EF"/>
    <w:rsid w:val="00424F60"/>
    <w:rsid w:val="004272A8"/>
    <w:rsid w:val="00427362"/>
    <w:rsid w:val="00427947"/>
    <w:rsid w:val="004306FA"/>
    <w:rsid w:val="0043072C"/>
    <w:rsid w:val="004308AD"/>
    <w:rsid w:val="00430D5C"/>
    <w:rsid w:val="00433247"/>
    <w:rsid w:val="004338F5"/>
    <w:rsid w:val="00434196"/>
    <w:rsid w:val="00435845"/>
    <w:rsid w:val="00437A73"/>
    <w:rsid w:val="00437F04"/>
    <w:rsid w:val="004425AD"/>
    <w:rsid w:val="00442E14"/>
    <w:rsid w:val="0044631C"/>
    <w:rsid w:val="004468D7"/>
    <w:rsid w:val="00446A4B"/>
    <w:rsid w:val="0044747A"/>
    <w:rsid w:val="00447EC0"/>
    <w:rsid w:val="00451D1D"/>
    <w:rsid w:val="0045247E"/>
    <w:rsid w:val="004529C5"/>
    <w:rsid w:val="00457F66"/>
    <w:rsid w:val="00460487"/>
    <w:rsid w:val="0046074C"/>
    <w:rsid w:val="00462904"/>
    <w:rsid w:val="00465945"/>
    <w:rsid w:val="00465D91"/>
    <w:rsid w:val="00465E0E"/>
    <w:rsid w:val="00466AD3"/>
    <w:rsid w:val="00466F55"/>
    <w:rsid w:val="0046755F"/>
    <w:rsid w:val="00471A2D"/>
    <w:rsid w:val="004755BD"/>
    <w:rsid w:val="00480F24"/>
    <w:rsid w:val="004814CC"/>
    <w:rsid w:val="00482682"/>
    <w:rsid w:val="00482AB5"/>
    <w:rsid w:val="00483671"/>
    <w:rsid w:val="004837ED"/>
    <w:rsid w:val="0048575A"/>
    <w:rsid w:val="00493E0A"/>
    <w:rsid w:val="0049424A"/>
    <w:rsid w:val="00494ED5"/>
    <w:rsid w:val="004961DA"/>
    <w:rsid w:val="004A0A62"/>
    <w:rsid w:val="004A12F6"/>
    <w:rsid w:val="004A28AA"/>
    <w:rsid w:val="004A2C5B"/>
    <w:rsid w:val="004A3A2A"/>
    <w:rsid w:val="004A4222"/>
    <w:rsid w:val="004A513C"/>
    <w:rsid w:val="004A531D"/>
    <w:rsid w:val="004A6276"/>
    <w:rsid w:val="004A6BD1"/>
    <w:rsid w:val="004B1768"/>
    <w:rsid w:val="004B415A"/>
    <w:rsid w:val="004B41B0"/>
    <w:rsid w:val="004B5EE1"/>
    <w:rsid w:val="004B5F05"/>
    <w:rsid w:val="004B7E33"/>
    <w:rsid w:val="004C0C60"/>
    <w:rsid w:val="004C144D"/>
    <w:rsid w:val="004C336C"/>
    <w:rsid w:val="004C42C7"/>
    <w:rsid w:val="004C5FCA"/>
    <w:rsid w:val="004C63B3"/>
    <w:rsid w:val="004C6484"/>
    <w:rsid w:val="004C6DE0"/>
    <w:rsid w:val="004C7B0A"/>
    <w:rsid w:val="004D1285"/>
    <w:rsid w:val="004D1F41"/>
    <w:rsid w:val="004D2C54"/>
    <w:rsid w:val="004E18EC"/>
    <w:rsid w:val="004E282E"/>
    <w:rsid w:val="004E7AD9"/>
    <w:rsid w:val="004F0AC8"/>
    <w:rsid w:val="004F59CD"/>
    <w:rsid w:val="004F6883"/>
    <w:rsid w:val="0050158B"/>
    <w:rsid w:val="00502141"/>
    <w:rsid w:val="00503416"/>
    <w:rsid w:val="00503CC1"/>
    <w:rsid w:val="005041BD"/>
    <w:rsid w:val="00505AB2"/>
    <w:rsid w:val="0050616B"/>
    <w:rsid w:val="00506192"/>
    <w:rsid w:val="00507028"/>
    <w:rsid w:val="0051067D"/>
    <w:rsid w:val="00511935"/>
    <w:rsid w:val="00512455"/>
    <w:rsid w:val="00512603"/>
    <w:rsid w:val="005139E1"/>
    <w:rsid w:val="00514BE8"/>
    <w:rsid w:val="00515853"/>
    <w:rsid w:val="0051585A"/>
    <w:rsid w:val="005164FF"/>
    <w:rsid w:val="00516ADE"/>
    <w:rsid w:val="0051780C"/>
    <w:rsid w:val="00517D0B"/>
    <w:rsid w:val="005223E0"/>
    <w:rsid w:val="00526898"/>
    <w:rsid w:val="005275AB"/>
    <w:rsid w:val="005300C6"/>
    <w:rsid w:val="00535312"/>
    <w:rsid w:val="00535E44"/>
    <w:rsid w:val="00537764"/>
    <w:rsid w:val="00540267"/>
    <w:rsid w:val="005421E7"/>
    <w:rsid w:val="0054331E"/>
    <w:rsid w:val="005444CD"/>
    <w:rsid w:val="0054535E"/>
    <w:rsid w:val="005469A5"/>
    <w:rsid w:val="00546DF5"/>
    <w:rsid w:val="005475AF"/>
    <w:rsid w:val="00550A9C"/>
    <w:rsid w:val="00551151"/>
    <w:rsid w:val="0055122C"/>
    <w:rsid w:val="00554610"/>
    <w:rsid w:val="00554A02"/>
    <w:rsid w:val="00554A12"/>
    <w:rsid w:val="00560B7B"/>
    <w:rsid w:val="00561BAB"/>
    <w:rsid w:val="00561E1A"/>
    <w:rsid w:val="00564F29"/>
    <w:rsid w:val="00565194"/>
    <w:rsid w:val="0056535D"/>
    <w:rsid w:val="005671B8"/>
    <w:rsid w:val="00570BC3"/>
    <w:rsid w:val="005731B4"/>
    <w:rsid w:val="00573F64"/>
    <w:rsid w:val="005812BF"/>
    <w:rsid w:val="00581B23"/>
    <w:rsid w:val="0058298B"/>
    <w:rsid w:val="00583712"/>
    <w:rsid w:val="00584051"/>
    <w:rsid w:val="00584DCF"/>
    <w:rsid w:val="0058721D"/>
    <w:rsid w:val="00587778"/>
    <w:rsid w:val="0059018B"/>
    <w:rsid w:val="00590DF2"/>
    <w:rsid w:val="00591B99"/>
    <w:rsid w:val="0059227C"/>
    <w:rsid w:val="00592A0B"/>
    <w:rsid w:val="0059441F"/>
    <w:rsid w:val="00594AF1"/>
    <w:rsid w:val="00595C2D"/>
    <w:rsid w:val="00596F20"/>
    <w:rsid w:val="005A0682"/>
    <w:rsid w:val="005A2CDB"/>
    <w:rsid w:val="005A433E"/>
    <w:rsid w:val="005A4BE1"/>
    <w:rsid w:val="005A5F88"/>
    <w:rsid w:val="005A6367"/>
    <w:rsid w:val="005A7FAD"/>
    <w:rsid w:val="005B16F8"/>
    <w:rsid w:val="005B2B1D"/>
    <w:rsid w:val="005B35E5"/>
    <w:rsid w:val="005B3B2F"/>
    <w:rsid w:val="005B42D0"/>
    <w:rsid w:val="005B4F50"/>
    <w:rsid w:val="005B602A"/>
    <w:rsid w:val="005B65D7"/>
    <w:rsid w:val="005B76DD"/>
    <w:rsid w:val="005C04B7"/>
    <w:rsid w:val="005C0D74"/>
    <w:rsid w:val="005C1E9B"/>
    <w:rsid w:val="005C2AE2"/>
    <w:rsid w:val="005C5A13"/>
    <w:rsid w:val="005C6085"/>
    <w:rsid w:val="005C6623"/>
    <w:rsid w:val="005C6E0A"/>
    <w:rsid w:val="005C748A"/>
    <w:rsid w:val="005C76D7"/>
    <w:rsid w:val="005D1372"/>
    <w:rsid w:val="005D255E"/>
    <w:rsid w:val="005D3037"/>
    <w:rsid w:val="005D5B2C"/>
    <w:rsid w:val="005D7599"/>
    <w:rsid w:val="005D7867"/>
    <w:rsid w:val="005E030E"/>
    <w:rsid w:val="005E2C35"/>
    <w:rsid w:val="005E4486"/>
    <w:rsid w:val="005E48F0"/>
    <w:rsid w:val="005E5671"/>
    <w:rsid w:val="005E578E"/>
    <w:rsid w:val="005E7125"/>
    <w:rsid w:val="005E7E55"/>
    <w:rsid w:val="005F1F8E"/>
    <w:rsid w:val="005F4ED8"/>
    <w:rsid w:val="005F69C5"/>
    <w:rsid w:val="005F7971"/>
    <w:rsid w:val="00600224"/>
    <w:rsid w:val="00600226"/>
    <w:rsid w:val="00603C0A"/>
    <w:rsid w:val="006062C3"/>
    <w:rsid w:val="00606612"/>
    <w:rsid w:val="00606BCC"/>
    <w:rsid w:val="00607C62"/>
    <w:rsid w:val="00607F6D"/>
    <w:rsid w:val="00610273"/>
    <w:rsid w:val="006102D3"/>
    <w:rsid w:val="00613007"/>
    <w:rsid w:val="0061641E"/>
    <w:rsid w:val="00616F95"/>
    <w:rsid w:val="00620F9A"/>
    <w:rsid w:val="006237B0"/>
    <w:rsid w:val="0063380C"/>
    <w:rsid w:val="0063508A"/>
    <w:rsid w:val="00636BDB"/>
    <w:rsid w:val="00636F2E"/>
    <w:rsid w:val="00637161"/>
    <w:rsid w:val="00642493"/>
    <w:rsid w:val="0064307D"/>
    <w:rsid w:val="006437BE"/>
    <w:rsid w:val="00644B14"/>
    <w:rsid w:val="00644F0E"/>
    <w:rsid w:val="00645CDE"/>
    <w:rsid w:val="00646D76"/>
    <w:rsid w:val="00646F53"/>
    <w:rsid w:val="0065133E"/>
    <w:rsid w:val="00653DEA"/>
    <w:rsid w:val="006555BA"/>
    <w:rsid w:val="00657D37"/>
    <w:rsid w:val="00657FDB"/>
    <w:rsid w:val="006619E4"/>
    <w:rsid w:val="0066318E"/>
    <w:rsid w:val="00663784"/>
    <w:rsid w:val="00663AF3"/>
    <w:rsid w:val="00664E99"/>
    <w:rsid w:val="006664F9"/>
    <w:rsid w:val="00666745"/>
    <w:rsid w:val="006727AA"/>
    <w:rsid w:val="006737AD"/>
    <w:rsid w:val="00673F32"/>
    <w:rsid w:val="00673F33"/>
    <w:rsid w:val="00674769"/>
    <w:rsid w:val="00674D40"/>
    <w:rsid w:val="00675AA1"/>
    <w:rsid w:val="006773F1"/>
    <w:rsid w:val="00677B56"/>
    <w:rsid w:val="006800FC"/>
    <w:rsid w:val="006815E1"/>
    <w:rsid w:val="00681710"/>
    <w:rsid w:val="00683785"/>
    <w:rsid w:val="00685707"/>
    <w:rsid w:val="00686631"/>
    <w:rsid w:val="006877FE"/>
    <w:rsid w:val="006905BF"/>
    <w:rsid w:val="00691C8B"/>
    <w:rsid w:val="006920C3"/>
    <w:rsid w:val="00693017"/>
    <w:rsid w:val="00693D05"/>
    <w:rsid w:val="0069435B"/>
    <w:rsid w:val="00696C74"/>
    <w:rsid w:val="006A070E"/>
    <w:rsid w:val="006A3481"/>
    <w:rsid w:val="006A3F86"/>
    <w:rsid w:val="006A421E"/>
    <w:rsid w:val="006A4377"/>
    <w:rsid w:val="006A6B27"/>
    <w:rsid w:val="006A71CE"/>
    <w:rsid w:val="006B17E0"/>
    <w:rsid w:val="006B1820"/>
    <w:rsid w:val="006B2E03"/>
    <w:rsid w:val="006B3D0E"/>
    <w:rsid w:val="006B3ECC"/>
    <w:rsid w:val="006B48FC"/>
    <w:rsid w:val="006B6228"/>
    <w:rsid w:val="006B643B"/>
    <w:rsid w:val="006B69D8"/>
    <w:rsid w:val="006B7418"/>
    <w:rsid w:val="006C194E"/>
    <w:rsid w:val="006C26B4"/>
    <w:rsid w:val="006C2F95"/>
    <w:rsid w:val="006C3687"/>
    <w:rsid w:val="006C3F70"/>
    <w:rsid w:val="006C5FBA"/>
    <w:rsid w:val="006D02BA"/>
    <w:rsid w:val="006D0718"/>
    <w:rsid w:val="006D0B68"/>
    <w:rsid w:val="006D0BE5"/>
    <w:rsid w:val="006D14FA"/>
    <w:rsid w:val="006D1A4B"/>
    <w:rsid w:val="006D251E"/>
    <w:rsid w:val="006D253F"/>
    <w:rsid w:val="006D34A7"/>
    <w:rsid w:val="006D42C7"/>
    <w:rsid w:val="006D4A00"/>
    <w:rsid w:val="006D6695"/>
    <w:rsid w:val="006D7755"/>
    <w:rsid w:val="006D7CDB"/>
    <w:rsid w:val="006E02B1"/>
    <w:rsid w:val="006E03E8"/>
    <w:rsid w:val="006E059D"/>
    <w:rsid w:val="006E1891"/>
    <w:rsid w:val="006E272C"/>
    <w:rsid w:val="006E28B7"/>
    <w:rsid w:val="006E2ACE"/>
    <w:rsid w:val="006E4918"/>
    <w:rsid w:val="006E5A49"/>
    <w:rsid w:val="006E67A8"/>
    <w:rsid w:val="006E7ACD"/>
    <w:rsid w:val="006E7C18"/>
    <w:rsid w:val="006F17C9"/>
    <w:rsid w:val="006F22A4"/>
    <w:rsid w:val="006F27D4"/>
    <w:rsid w:val="006F526E"/>
    <w:rsid w:val="006F5642"/>
    <w:rsid w:val="006F5BD0"/>
    <w:rsid w:val="006F7A49"/>
    <w:rsid w:val="00700E3B"/>
    <w:rsid w:val="007011A5"/>
    <w:rsid w:val="00703C42"/>
    <w:rsid w:val="0070408F"/>
    <w:rsid w:val="00704897"/>
    <w:rsid w:val="00705F22"/>
    <w:rsid w:val="00705FD1"/>
    <w:rsid w:val="007110D9"/>
    <w:rsid w:val="007123C8"/>
    <w:rsid w:val="00712513"/>
    <w:rsid w:val="00713AC2"/>
    <w:rsid w:val="00716A87"/>
    <w:rsid w:val="0071761A"/>
    <w:rsid w:val="00717801"/>
    <w:rsid w:val="0072080A"/>
    <w:rsid w:val="00721597"/>
    <w:rsid w:val="0072235E"/>
    <w:rsid w:val="00723AF6"/>
    <w:rsid w:val="00723B32"/>
    <w:rsid w:val="00723CFC"/>
    <w:rsid w:val="007255D5"/>
    <w:rsid w:val="00725B60"/>
    <w:rsid w:val="00726914"/>
    <w:rsid w:val="00726C2F"/>
    <w:rsid w:val="00727AB4"/>
    <w:rsid w:val="00730D85"/>
    <w:rsid w:val="007356C9"/>
    <w:rsid w:val="00735CB5"/>
    <w:rsid w:val="007415D6"/>
    <w:rsid w:val="0074202C"/>
    <w:rsid w:val="007436BB"/>
    <w:rsid w:val="00745772"/>
    <w:rsid w:val="00745D4F"/>
    <w:rsid w:val="00746EF3"/>
    <w:rsid w:val="00747E57"/>
    <w:rsid w:val="00750CFC"/>
    <w:rsid w:val="007510D9"/>
    <w:rsid w:val="00752374"/>
    <w:rsid w:val="00752ACC"/>
    <w:rsid w:val="00752FB4"/>
    <w:rsid w:val="00754E21"/>
    <w:rsid w:val="00755B27"/>
    <w:rsid w:val="0076047C"/>
    <w:rsid w:val="00762D85"/>
    <w:rsid w:val="00764446"/>
    <w:rsid w:val="00766258"/>
    <w:rsid w:val="007676C6"/>
    <w:rsid w:val="007705A0"/>
    <w:rsid w:val="00770814"/>
    <w:rsid w:val="00770976"/>
    <w:rsid w:val="00771198"/>
    <w:rsid w:val="0077459D"/>
    <w:rsid w:val="007819FB"/>
    <w:rsid w:val="0078372D"/>
    <w:rsid w:val="00787DA5"/>
    <w:rsid w:val="00790884"/>
    <w:rsid w:val="00790C4F"/>
    <w:rsid w:val="00790EBF"/>
    <w:rsid w:val="007941AE"/>
    <w:rsid w:val="007967ED"/>
    <w:rsid w:val="00796FFE"/>
    <w:rsid w:val="007A1654"/>
    <w:rsid w:val="007A16E2"/>
    <w:rsid w:val="007A334B"/>
    <w:rsid w:val="007A3FC1"/>
    <w:rsid w:val="007A4503"/>
    <w:rsid w:val="007A5DF6"/>
    <w:rsid w:val="007A7C20"/>
    <w:rsid w:val="007B1B7D"/>
    <w:rsid w:val="007B2278"/>
    <w:rsid w:val="007B29F0"/>
    <w:rsid w:val="007B5DB0"/>
    <w:rsid w:val="007B631C"/>
    <w:rsid w:val="007B688D"/>
    <w:rsid w:val="007B6DC9"/>
    <w:rsid w:val="007B74F4"/>
    <w:rsid w:val="007B7D0F"/>
    <w:rsid w:val="007C269A"/>
    <w:rsid w:val="007C2A43"/>
    <w:rsid w:val="007C348D"/>
    <w:rsid w:val="007C35DE"/>
    <w:rsid w:val="007C4F84"/>
    <w:rsid w:val="007C5B98"/>
    <w:rsid w:val="007C5D68"/>
    <w:rsid w:val="007C67E3"/>
    <w:rsid w:val="007D1B48"/>
    <w:rsid w:val="007D27BC"/>
    <w:rsid w:val="007D3ED5"/>
    <w:rsid w:val="007D750C"/>
    <w:rsid w:val="007D75D0"/>
    <w:rsid w:val="007D7ACB"/>
    <w:rsid w:val="007E17FF"/>
    <w:rsid w:val="007E2137"/>
    <w:rsid w:val="007E36FC"/>
    <w:rsid w:val="007E50D0"/>
    <w:rsid w:val="007E5431"/>
    <w:rsid w:val="007E5723"/>
    <w:rsid w:val="007E5B7A"/>
    <w:rsid w:val="007E6B4A"/>
    <w:rsid w:val="007E6BCB"/>
    <w:rsid w:val="007E70D2"/>
    <w:rsid w:val="007E7DF3"/>
    <w:rsid w:val="007F335B"/>
    <w:rsid w:val="007F3D28"/>
    <w:rsid w:val="007F4259"/>
    <w:rsid w:val="007F42A2"/>
    <w:rsid w:val="007F6233"/>
    <w:rsid w:val="00800AEB"/>
    <w:rsid w:val="0080190E"/>
    <w:rsid w:val="00801948"/>
    <w:rsid w:val="0080295D"/>
    <w:rsid w:val="008029FF"/>
    <w:rsid w:val="008036B5"/>
    <w:rsid w:val="008039DF"/>
    <w:rsid w:val="00803F2F"/>
    <w:rsid w:val="008043CF"/>
    <w:rsid w:val="008067CC"/>
    <w:rsid w:val="008071D9"/>
    <w:rsid w:val="00807B8E"/>
    <w:rsid w:val="008130E4"/>
    <w:rsid w:val="008148E9"/>
    <w:rsid w:val="00814C67"/>
    <w:rsid w:val="00815B0F"/>
    <w:rsid w:val="0081637B"/>
    <w:rsid w:val="0082271E"/>
    <w:rsid w:val="00822777"/>
    <w:rsid w:val="00825D21"/>
    <w:rsid w:val="008260E1"/>
    <w:rsid w:val="0082615F"/>
    <w:rsid w:val="00826C6B"/>
    <w:rsid w:val="008279F5"/>
    <w:rsid w:val="00830379"/>
    <w:rsid w:val="00831029"/>
    <w:rsid w:val="0083190B"/>
    <w:rsid w:val="00832B3D"/>
    <w:rsid w:val="00835BDA"/>
    <w:rsid w:val="00842D20"/>
    <w:rsid w:val="0084465E"/>
    <w:rsid w:val="00844FB1"/>
    <w:rsid w:val="008459EE"/>
    <w:rsid w:val="008462B5"/>
    <w:rsid w:val="0084647D"/>
    <w:rsid w:val="00851992"/>
    <w:rsid w:val="00851ED0"/>
    <w:rsid w:val="00854C07"/>
    <w:rsid w:val="00856016"/>
    <w:rsid w:val="00860505"/>
    <w:rsid w:val="0086177D"/>
    <w:rsid w:val="00862280"/>
    <w:rsid w:val="00872C9E"/>
    <w:rsid w:val="00873AC3"/>
    <w:rsid w:val="008803D8"/>
    <w:rsid w:val="00880BF7"/>
    <w:rsid w:val="00880F82"/>
    <w:rsid w:val="00881B81"/>
    <w:rsid w:val="00882AC5"/>
    <w:rsid w:val="0088712D"/>
    <w:rsid w:val="00887888"/>
    <w:rsid w:val="00892172"/>
    <w:rsid w:val="00892D8F"/>
    <w:rsid w:val="00895135"/>
    <w:rsid w:val="008A3569"/>
    <w:rsid w:val="008A36D6"/>
    <w:rsid w:val="008A3C8F"/>
    <w:rsid w:val="008A3FF9"/>
    <w:rsid w:val="008A4E27"/>
    <w:rsid w:val="008A69CD"/>
    <w:rsid w:val="008B105E"/>
    <w:rsid w:val="008B4E14"/>
    <w:rsid w:val="008B6805"/>
    <w:rsid w:val="008C1093"/>
    <w:rsid w:val="008C2AA2"/>
    <w:rsid w:val="008C306D"/>
    <w:rsid w:val="008C36EE"/>
    <w:rsid w:val="008C5E1E"/>
    <w:rsid w:val="008C6A2D"/>
    <w:rsid w:val="008C73F2"/>
    <w:rsid w:val="008C754F"/>
    <w:rsid w:val="008D3F5C"/>
    <w:rsid w:val="008D4991"/>
    <w:rsid w:val="008D56D7"/>
    <w:rsid w:val="008D62E3"/>
    <w:rsid w:val="008D7089"/>
    <w:rsid w:val="008E1C30"/>
    <w:rsid w:val="008E22B8"/>
    <w:rsid w:val="008E2B02"/>
    <w:rsid w:val="008E2C62"/>
    <w:rsid w:val="008E340B"/>
    <w:rsid w:val="008E4A38"/>
    <w:rsid w:val="008E75AE"/>
    <w:rsid w:val="008F2540"/>
    <w:rsid w:val="008F360F"/>
    <w:rsid w:val="008F58FF"/>
    <w:rsid w:val="008F5C0C"/>
    <w:rsid w:val="00907A92"/>
    <w:rsid w:val="009118E6"/>
    <w:rsid w:val="00914DB5"/>
    <w:rsid w:val="00916951"/>
    <w:rsid w:val="0091772E"/>
    <w:rsid w:val="00920149"/>
    <w:rsid w:val="00920F64"/>
    <w:rsid w:val="0092194B"/>
    <w:rsid w:val="009227CD"/>
    <w:rsid w:val="0092358D"/>
    <w:rsid w:val="00924E91"/>
    <w:rsid w:val="009254EF"/>
    <w:rsid w:val="009256A5"/>
    <w:rsid w:val="009279B4"/>
    <w:rsid w:val="00927C5A"/>
    <w:rsid w:val="009322D7"/>
    <w:rsid w:val="00932570"/>
    <w:rsid w:val="009351AE"/>
    <w:rsid w:val="009352C7"/>
    <w:rsid w:val="00937915"/>
    <w:rsid w:val="00937B46"/>
    <w:rsid w:val="00937C2A"/>
    <w:rsid w:val="00941F4B"/>
    <w:rsid w:val="00945198"/>
    <w:rsid w:val="00945C50"/>
    <w:rsid w:val="009504D8"/>
    <w:rsid w:val="009514E6"/>
    <w:rsid w:val="00952E0B"/>
    <w:rsid w:val="00952E60"/>
    <w:rsid w:val="0095302E"/>
    <w:rsid w:val="0095338D"/>
    <w:rsid w:val="00953556"/>
    <w:rsid w:val="00953D99"/>
    <w:rsid w:val="00954F1C"/>
    <w:rsid w:val="00955784"/>
    <w:rsid w:val="00955795"/>
    <w:rsid w:val="00955911"/>
    <w:rsid w:val="009579E5"/>
    <w:rsid w:val="00960BDD"/>
    <w:rsid w:val="0096152F"/>
    <w:rsid w:val="00961FD6"/>
    <w:rsid w:val="00963674"/>
    <w:rsid w:val="00964A13"/>
    <w:rsid w:val="0096554B"/>
    <w:rsid w:val="009660B1"/>
    <w:rsid w:val="00971D90"/>
    <w:rsid w:val="00972122"/>
    <w:rsid w:val="00972EAC"/>
    <w:rsid w:val="00974F87"/>
    <w:rsid w:val="00977009"/>
    <w:rsid w:val="00977426"/>
    <w:rsid w:val="0098380E"/>
    <w:rsid w:val="00983DA9"/>
    <w:rsid w:val="0098407C"/>
    <w:rsid w:val="00984BB9"/>
    <w:rsid w:val="009855CE"/>
    <w:rsid w:val="009855F9"/>
    <w:rsid w:val="00987010"/>
    <w:rsid w:val="00990368"/>
    <w:rsid w:val="0099050B"/>
    <w:rsid w:val="00990D94"/>
    <w:rsid w:val="00991580"/>
    <w:rsid w:val="00991880"/>
    <w:rsid w:val="009938AE"/>
    <w:rsid w:val="009945B3"/>
    <w:rsid w:val="0099679B"/>
    <w:rsid w:val="00996ADD"/>
    <w:rsid w:val="00996B9E"/>
    <w:rsid w:val="009A06F2"/>
    <w:rsid w:val="009A0BB9"/>
    <w:rsid w:val="009A1137"/>
    <w:rsid w:val="009A1C39"/>
    <w:rsid w:val="009A2C15"/>
    <w:rsid w:val="009A48B0"/>
    <w:rsid w:val="009B2597"/>
    <w:rsid w:val="009B2744"/>
    <w:rsid w:val="009B48D2"/>
    <w:rsid w:val="009B5CCA"/>
    <w:rsid w:val="009B6071"/>
    <w:rsid w:val="009B79AC"/>
    <w:rsid w:val="009C2CC3"/>
    <w:rsid w:val="009C5117"/>
    <w:rsid w:val="009C6DB6"/>
    <w:rsid w:val="009C76E1"/>
    <w:rsid w:val="009D01F9"/>
    <w:rsid w:val="009D1158"/>
    <w:rsid w:val="009D2729"/>
    <w:rsid w:val="009D513B"/>
    <w:rsid w:val="009E01A1"/>
    <w:rsid w:val="009E2786"/>
    <w:rsid w:val="009E3323"/>
    <w:rsid w:val="009E3C41"/>
    <w:rsid w:val="009E4222"/>
    <w:rsid w:val="009E437C"/>
    <w:rsid w:val="009E47AE"/>
    <w:rsid w:val="009E4A83"/>
    <w:rsid w:val="009E4EC4"/>
    <w:rsid w:val="009E532E"/>
    <w:rsid w:val="009E5672"/>
    <w:rsid w:val="009E7658"/>
    <w:rsid w:val="009F479E"/>
    <w:rsid w:val="009F5C49"/>
    <w:rsid w:val="009F5DAD"/>
    <w:rsid w:val="009F6382"/>
    <w:rsid w:val="009F78CE"/>
    <w:rsid w:val="009F7A68"/>
    <w:rsid w:val="009F7B8A"/>
    <w:rsid w:val="00A01650"/>
    <w:rsid w:val="00A0169F"/>
    <w:rsid w:val="00A02009"/>
    <w:rsid w:val="00A0224A"/>
    <w:rsid w:val="00A0302A"/>
    <w:rsid w:val="00A03103"/>
    <w:rsid w:val="00A03DF7"/>
    <w:rsid w:val="00A03EF5"/>
    <w:rsid w:val="00A042AD"/>
    <w:rsid w:val="00A07086"/>
    <w:rsid w:val="00A07E9D"/>
    <w:rsid w:val="00A1108F"/>
    <w:rsid w:val="00A11F64"/>
    <w:rsid w:val="00A1283A"/>
    <w:rsid w:val="00A12D11"/>
    <w:rsid w:val="00A17980"/>
    <w:rsid w:val="00A17A57"/>
    <w:rsid w:val="00A248DD"/>
    <w:rsid w:val="00A25709"/>
    <w:rsid w:val="00A267A6"/>
    <w:rsid w:val="00A27A5C"/>
    <w:rsid w:val="00A3343B"/>
    <w:rsid w:val="00A33A0E"/>
    <w:rsid w:val="00A34DF3"/>
    <w:rsid w:val="00A35580"/>
    <w:rsid w:val="00A365CD"/>
    <w:rsid w:val="00A37A1F"/>
    <w:rsid w:val="00A406A6"/>
    <w:rsid w:val="00A40CF0"/>
    <w:rsid w:val="00A4164F"/>
    <w:rsid w:val="00A41987"/>
    <w:rsid w:val="00A41EFF"/>
    <w:rsid w:val="00A44F99"/>
    <w:rsid w:val="00A4553D"/>
    <w:rsid w:val="00A46447"/>
    <w:rsid w:val="00A46810"/>
    <w:rsid w:val="00A468C1"/>
    <w:rsid w:val="00A47E2B"/>
    <w:rsid w:val="00A5455A"/>
    <w:rsid w:val="00A551AC"/>
    <w:rsid w:val="00A552B7"/>
    <w:rsid w:val="00A560BB"/>
    <w:rsid w:val="00A56CBA"/>
    <w:rsid w:val="00A56CCD"/>
    <w:rsid w:val="00A576BE"/>
    <w:rsid w:val="00A60FC6"/>
    <w:rsid w:val="00A61069"/>
    <w:rsid w:val="00A61F6D"/>
    <w:rsid w:val="00A62258"/>
    <w:rsid w:val="00A629BE"/>
    <w:rsid w:val="00A63CE2"/>
    <w:rsid w:val="00A65FF1"/>
    <w:rsid w:val="00A66175"/>
    <w:rsid w:val="00A66CC7"/>
    <w:rsid w:val="00A72A11"/>
    <w:rsid w:val="00A73569"/>
    <w:rsid w:val="00A75D30"/>
    <w:rsid w:val="00A76449"/>
    <w:rsid w:val="00A77438"/>
    <w:rsid w:val="00A7773A"/>
    <w:rsid w:val="00A77C1A"/>
    <w:rsid w:val="00A8120B"/>
    <w:rsid w:val="00A8290A"/>
    <w:rsid w:val="00A82F63"/>
    <w:rsid w:val="00A834B6"/>
    <w:rsid w:val="00A847A8"/>
    <w:rsid w:val="00A84C6B"/>
    <w:rsid w:val="00A86117"/>
    <w:rsid w:val="00A8711B"/>
    <w:rsid w:val="00A91FEE"/>
    <w:rsid w:val="00A96F81"/>
    <w:rsid w:val="00A976FA"/>
    <w:rsid w:val="00A97C9F"/>
    <w:rsid w:val="00AA1EFD"/>
    <w:rsid w:val="00AA2645"/>
    <w:rsid w:val="00AA265A"/>
    <w:rsid w:val="00AA540B"/>
    <w:rsid w:val="00AB10A7"/>
    <w:rsid w:val="00AB171A"/>
    <w:rsid w:val="00AB273F"/>
    <w:rsid w:val="00AB640E"/>
    <w:rsid w:val="00AC11C7"/>
    <w:rsid w:val="00AC1627"/>
    <w:rsid w:val="00AC20AF"/>
    <w:rsid w:val="00AC475D"/>
    <w:rsid w:val="00AC4EE3"/>
    <w:rsid w:val="00AC5F01"/>
    <w:rsid w:val="00AD0DDB"/>
    <w:rsid w:val="00AD0F4B"/>
    <w:rsid w:val="00AD1316"/>
    <w:rsid w:val="00AD2481"/>
    <w:rsid w:val="00AD2C06"/>
    <w:rsid w:val="00AD2E9B"/>
    <w:rsid w:val="00AD4C61"/>
    <w:rsid w:val="00AD77C6"/>
    <w:rsid w:val="00AD7CE1"/>
    <w:rsid w:val="00AD7DDD"/>
    <w:rsid w:val="00AE07E7"/>
    <w:rsid w:val="00AE1106"/>
    <w:rsid w:val="00AE24F5"/>
    <w:rsid w:val="00AE3993"/>
    <w:rsid w:val="00AE7126"/>
    <w:rsid w:val="00AE7153"/>
    <w:rsid w:val="00AE723E"/>
    <w:rsid w:val="00AE728B"/>
    <w:rsid w:val="00AF1927"/>
    <w:rsid w:val="00AF288C"/>
    <w:rsid w:val="00AF4851"/>
    <w:rsid w:val="00B01873"/>
    <w:rsid w:val="00B01E95"/>
    <w:rsid w:val="00B02501"/>
    <w:rsid w:val="00B02AD7"/>
    <w:rsid w:val="00B066CE"/>
    <w:rsid w:val="00B06B34"/>
    <w:rsid w:val="00B06C19"/>
    <w:rsid w:val="00B072E8"/>
    <w:rsid w:val="00B132F0"/>
    <w:rsid w:val="00B13F4A"/>
    <w:rsid w:val="00B143B2"/>
    <w:rsid w:val="00B1517C"/>
    <w:rsid w:val="00B154A8"/>
    <w:rsid w:val="00B174D9"/>
    <w:rsid w:val="00B220F1"/>
    <w:rsid w:val="00B251A5"/>
    <w:rsid w:val="00B25B50"/>
    <w:rsid w:val="00B2693C"/>
    <w:rsid w:val="00B269C0"/>
    <w:rsid w:val="00B2769A"/>
    <w:rsid w:val="00B27EB5"/>
    <w:rsid w:val="00B33660"/>
    <w:rsid w:val="00B3625D"/>
    <w:rsid w:val="00B36291"/>
    <w:rsid w:val="00B376A0"/>
    <w:rsid w:val="00B45A41"/>
    <w:rsid w:val="00B462E9"/>
    <w:rsid w:val="00B4737D"/>
    <w:rsid w:val="00B477FB"/>
    <w:rsid w:val="00B508A5"/>
    <w:rsid w:val="00B510D2"/>
    <w:rsid w:val="00B52556"/>
    <w:rsid w:val="00B53342"/>
    <w:rsid w:val="00B54154"/>
    <w:rsid w:val="00B54159"/>
    <w:rsid w:val="00B54F58"/>
    <w:rsid w:val="00B5610F"/>
    <w:rsid w:val="00B563D6"/>
    <w:rsid w:val="00B56E03"/>
    <w:rsid w:val="00B57954"/>
    <w:rsid w:val="00B60049"/>
    <w:rsid w:val="00B60ECA"/>
    <w:rsid w:val="00B62071"/>
    <w:rsid w:val="00B623AB"/>
    <w:rsid w:val="00B6433D"/>
    <w:rsid w:val="00B66565"/>
    <w:rsid w:val="00B66F49"/>
    <w:rsid w:val="00B6789F"/>
    <w:rsid w:val="00B703E2"/>
    <w:rsid w:val="00B71277"/>
    <w:rsid w:val="00B73279"/>
    <w:rsid w:val="00B774DF"/>
    <w:rsid w:val="00B77D4E"/>
    <w:rsid w:val="00B818C3"/>
    <w:rsid w:val="00B84471"/>
    <w:rsid w:val="00B853E0"/>
    <w:rsid w:val="00B860E9"/>
    <w:rsid w:val="00B86346"/>
    <w:rsid w:val="00B86C55"/>
    <w:rsid w:val="00B879D0"/>
    <w:rsid w:val="00B90866"/>
    <w:rsid w:val="00B917FC"/>
    <w:rsid w:val="00B91836"/>
    <w:rsid w:val="00B92BF9"/>
    <w:rsid w:val="00B92F78"/>
    <w:rsid w:val="00B94D04"/>
    <w:rsid w:val="00B974DF"/>
    <w:rsid w:val="00B97A1D"/>
    <w:rsid w:val="00B97BD9"/>
    <w:rsid w:val="00BA16C8"/>
    <w:rsid w:val="00BA1787"/>
    <w:rsid w:val="00BA17DA"/>
    <w:rsid w:val="00BA5146"/>
    <w:rsid w:val="00BB025A"/>
    <w:rsid w:val="00BB15E6"/>
    <w:rsid w:val="00BB2336"/>
    <w:rsid w:val="00BB29B0"/>
    <w:rsid w:val="00BB6054"/>
    <w:rsid w:val="00BB6830"/>
    <w:rsid w:val="00BB7322"/>
    <w:rsid w:val="00BC1EBE"/>
    <w:rsid w:val="00BC5386"/>
    <w:rsid w:val="00BC559D"/>
    <w:rsid w:val="00BC677B"/>
    <w:rsid w:val="00BC7247"/>
    <w:rsid w:val="00BD0F63"/>
    <w:rsid w:val="00BD1292"/>
    <w:rsid w:val="00BD2162"/>
    <w:rsid w:val="00BD3E12"/>
    <w:rsid w:val="00BD40FA"/>
    <w:rsid w:val="00BD6FEE"/>
    <w:rsid w:val="00BE07C9"/>
    <w:rsid w:val="00BE091F"/>
    <w:rsid w:val="00BE308A"/>
    <w:rsid w:val="00BE7122"/>
    <w:rsid w:val="00BE7D83"/>
    <w:rsid w:val="00BF013A"/>
    <w:rsid w:val="00BF03FC"/>
    <w:rsid w:val="00BF1244"/>
    <w:rsid w:val="00BF2455"/>
    <w:rsid w:val="00BF52B3"/>
    <w:rsid w:val="00BF592D"/>
    <w:rsid w:val="00BF6444"/>
    <w:rsid w:val="00C02390"/>
    <w:rsid w:val="00C027EA"/>
    <w:rsid w:val="00C0466C"/>
    <w:rsid w:val="00C1097A"/>
    <w:rsid w:val="00C10B51"/>
    <w:rsid w:val="00C13D6A"/>
    <w:rsid w:val="00C15AC4"/>
    <w:rsid w:val="00C16A5D"/>
    <w:rsid w:val="00C16FCF"/>
    <w:rsid w:val="00C17DCE"/>
    <w:rsid w:val="00C22C6B"/>
    <w:rsid w:val="00C24CA2"/>
    <w:rsid w:val="00C2714E"/>
    <w:rsid w:val="00C27544"/>
    <w:rsid w:val="00C2763A"/>
    <w:rsid w:val="00C27A33"/>
    <w:rsid w:val="00C317D1"/>
    <w:rsid w:val="00C32990"/>
    <w:rsid w:val="00C33B55"/>
    <w:rsid w:val="00C3431F"/>
    <w:rsid w:val="00C35D4C"/>
    <w:rsid w:val="00C36AA5"/>
    <w:rsid w:val="00C40DAE"/>
    <w:rsid w:val="00C417FC"/>
    <w:rsid w:val="00C437B0"/>
    <w:rsid w:val="00C47328"/>
    <w:rsid w:val="00C479DB"/>
    <w:rsid w:val="00C50E0C"/>
    <w:rsid w:val="00C5289C"/>
    <w:rsid w:val="00C532F1"/>
    <w:rsid w:val="00C5372F"/>
    <w:rsid w:val="00C53E96"/>
    <w:rsid w:val="00C56CC6"/>
    <w:rsid w:val="00C57F39"/>
    <w:rsid w:val="00C62684"/>
    <w:rsid w:val="00C62E97"/>
    <w:rsid w:val="00C63201"/>
    <w:rsid w:val="00C64D1B"/>
    <w:rsid w:val="00C659BF"/>
    <w:rsid w:val="00C65B29"/>
    <w:rsid w:val="00C66710"/>
    <w:rsid w:val="00C70FF0"/>
    <w:rsid w:val="00C76442"/>
    <w:rsid w:val="00C76B98"/>
    <w:rsid w:val="00C772F6"/>
    <w:rsid w:val="00C831AB"/>
    <w:rsid w:val="00C85A32"/>
    <w:rsid w:val="00C915A4"/>
    <w:rsid w:val="00C92209"/>
    <w:rsid w:val="00C923D8"/>
    <w:rsid w:val="00C92DF4"/>
    <w:rsid w:val="00C96A7D"/>
    <w:rsid w:val="00C9742C"/>
    <w:rsid w:val="00CA0C05"/>
    <w:rsid w:val="00CA283F"/>
    <w:rsid w:val="00CA3205"/>
    <w:rsid w:val="00CA383D"/>
    <w:rsid w:val="00CA3E13"/>
    <w:rsid w:val="00CA4034"/>
    <w:rsid w:val="00CA454A"/>
    <w:rsid w:val="00CA76B0"/>
    <w:rsid w:val="00CA7F78"/>
    <w:rsid w:val="00CB10E8"/>
    <w:rsid w:val="00CB1633"/>
    <w:rsid w:val="00CB2DCC"/>
    <w:rsid w:val="00CB39F2"/>
    <w:rsid w:val="00CB3E68"/>
    <w:rsid w:val="00CB63D5"/>
    <w:rsid w:val="00CB7308"/>
    <w:rsid w:val="00CB7BE6"/>
    <w:rsid w:val="00CC1E1F"/>
    <w:rsid w:val="00CC2670"/>
    <w:rsid w:val="00CC473B"/>
    <w:rsid w:val="00CC4EA7"/>
    <w:rsid w:val="00CC57B8"/>
    <w:rsid w:val="00CC731D"/>
    <w:rsid w:val="00CC7AF7"/>
    <w:rsid w:val="00CC7D45"/>
    <w:rsid w:val="00CD25A3"/>
    <w:rsid w:val="00CD3443"/>
    <w:rsid w:val="00CD4D8F"/>
    <w:rsid w:val="00CD4E16"/>
    <w:rsid w:val="00CD4E91"/>
    <w:rsid w:val="00CD582F"/>
    <w:rsid w:val="00CD5DBD"/>
    <w:rsid w:val="00CD6CCF"/>
    <w:rsid w:val="00CD6F3F"/>
    <w:rsid w:val="00CE0C87"/>
    <w:rsid w:val="00CE4947"/>
    <w:rsid w:val="00CE4D8F"/>
    <w:rsid w:val="00CE51DF"/>
    <w:rsid w:val="00CE63C6"/>
    <w:rsid w:val="00CE6DB0"/>
    <w:rsid w:val="00CE7929"/>
    <w:rsid w:val="00CF14FE"/>
    <w:rsid w:val="00CF16B2"/>
    <w:rsid w:val="00CF2D26"/>
    <w:rsid w:val="00CF423F"/>
    <w:rsid w:val="00CF4247"/>
    <w:rsid w:val="00CF66E5"/>
    <w:rsid w:val="00CF74F0"/>
    <w:rsid w:val="00CF7E52"/>
    <w:rsid w:val="00D00049"/>
    <w:rsid w:val="00D025B8"/>
    <w:rsid w:val="00D0344B"/>
    <w:rsid w:val="00D04F21"/>
    <w:rsid w:val="00D052FF"/>
    <w:rsid w:val="00D053A8"/>
    <w:rsid w:val="00D05572"/>
    <w:rsid w:val="00D059BD"/>
    <w:rsid w:val="00D065A2"/>
    <w:rsid w:val="00D06868"/>
    <w:rsid w:val="00D10123"/>
    <w:rsid w:val="00D14B3A"/>
    <w:rsid w:val="00D23C7C"/>
    <w:rsid w:val="00D24391"/>
    <w:rsid w:val="00D2514B"/>
    <w:rsid w:val="00D26A05"/>
    <w:rsid w:val="00D27AFB"/>
    <w:rsid w:val="00D3173A"/>
    <w:rsid w:val="00D3251C"/>
    <w:rsid w:val="00D3293E"/>
    <w:rsid w:val="00D32F48"/>
    <w:rsid w:val="00D358A0"/>
    <w:rsid w:val="00D364E8"/>
    <w:rsid w:val="00D37E79"/>
    <w:rsid w:val="00D40031"/>
    <w:rsid w:val="00D43D41"/>
    <w:rsid w:val="00D444E9"/>
    <w:rsid w:val="00D45373"/>
    <w:rsid w:val="00D46973"/>
    <w:rsid w:val="00D470BE"/>
    <w:rsid w:val="00D51D6E"/>
    <w:rsid w:val="00D55168"/>
    <w:rsid w:val="00D5684E"/>
    <w:rsid w:val="00D60710"/>
    <w:rsid w:val="00D60CF1"/>
    <w:rsid w:val="00D61D4E"/>
    <w:rsid w:val="00D627A0"/>
    <w:rsid w:val="00D62BBB"/>
    <w:rsid w:val="00D63D6E"/>
    <w:rsid w:val="00D64543"/>
    <w:rsid w:val="00D649FD"/>
    <w:rsid w:val="00D65801"/>
    <w:rsid w:val="00D667CF"/>
    <w:rsid w:val="00D66B5D"/>
    <w:rsid w:val="00D66FE0"/>
    <w:rsid w:val="00D67E36"/>
    <w:rsid w:val="00D74520"/>
    <w:rsid w:val="00D77A14"/>
    <w:rsid w:val="00D77C0E"/>
    <w:rsid w:val="00D812CF"/>
    <w:rsid w:val="00D81811"/>
    <w:rsid w:val="00D819F0"/>
    <w:rsid w:val="00D81A5C"/>
    <w:rsid w:val="00D84861"/>
    <w:rsid w:val="00D87B28"/>
    <w:rsid w:val="00D91230"/>
    <w:rsid w:val="00D92B70"/>
    <w:rsid w:val="00D92FF0"/>
    <w:rsid w:val="00D9464C"/>
    <w:rsid w:val="00D974DC"/>
    <w:rsid w:val="00D9774E"/>
    <w:rsid w:val="00D979B0"/>
    <w:rsid w:val="00DA0918"/>
    <w:rsid w:val="00DA0AD7"/>
    <w:rsid w:val="00DA2967"/>
    <w:rsid w:val="00DA30DA"/>
    <w:rsid w:val="00DA43A9"/>
    <w:rsid w:val="00DA4676"/>
    <w:rsid w:val="00DA582E"/>
    <w:rsid w:val="00DA635F"/>
    <w:rsid w:val="00DB5100"/>
    <w:rsid w:val="00DC29FC"/>
    <w:rsid w:val="00DC4BA1"/>
    <w:rsid w:val="00DC4E46"/>
    <w:rsid w:val="00DC4F44"/>
    <w:rsid w:val="00DC54C0"/>
    <w:rsid w:val="00DC60EE"/>
    <w:rsid w:val="00DD31C8"/>
    <w:rsid w:val="00DD33FA"/>
    <w:rsid w:val="00DD3BAF"/>
    <w:rsid w:val="00DD647F"/>
    <w:rsid w:val="00DD6D4E"/>
    <w:rsid w:val="00DD70C1"/>
    <w:rsid w:val="00DE1C0A"/>
    <w:rsid w:val="00DE2AFA"/>
    <w:rsid w:val="00DE4206"/>
    <w:rsid w:val="00DE53BC"/>
    <w:rsid w:val="00DE68A7"/>
    <w:rsid w:val="00DE6A34"/>
    <w:rsid w:val="00DE6BD9"/>
    <w:rsid w:val="00DF270A"/>
    <w:rsid w:val="00DF275F"/>
    <w:rsid w:val="00DF4E97"/>
    <w:rsid w:val="00E01E44"/>
    <w:rsid w:val="00E02336"/>
    <w:rsid w:val="00E02A78"/>
    <w:rsid w:val="00E0471B"/>
    <w:rsid w:val="00E05944"/>
    <w:rsid w:val="00E05A63"/>
    <w:rsid w:val="00E06F2D"/>
    <w:rsid w:val="00E13F87"/>
    <w:rsid w:val="00E166D5"/>
    <w:rsid w:val="00E16860"/>
    <w:rsid w:val="00E16B6F"/>
    <w:rsid w:val="00E172AB"/>
    <w:rsid w:val="00E17AC3"/>
    <w:rsid w:val="00E203A5"/>
    <w:rsid w:val="00E20C9D"/>
    <w:rsid w:val="00E21FC0"/>
    <w:rsid w:val="00E22DE0"/>
    <w:rsid w:val="00E23F95"/>
    <w:rsid w:val="00E24DCD"/>
    <w:rsid w:val="00E26540"/>
    <w:rsid w:val="00E279BF"/>
    <w:rsid w:val="00E27E4C"/>
    <w:rsid w:val="00E3074A"/>
    <w:rsid w:val="00E30820"/>
    <w:rsid w:val="00E311FA"/>
    <w:rsid w:val="00E338F5"/>
    <w:rsid w:val="00E340A6"/>
    <w:rsid w:val="00E344A8"/>
    <w:rsid w:val="00E344CA"/>
    <w:rsid w:val="00E37E10"/>
    <w:rsid w:val="00E435F4"/>
    <w:rsid w:val="00E43CEF"/>
    <w:rsid w:val="00E45521"/>
    <w:rsid w:val="00E473A3"/>
    <w:rsid w:val="00E50610"/>
    <w:rsid w:val="00E50944"/>
    <w:rsid w:val="00E51658"/>
    <w:rsid w:val="00E51966"/>
    <w:rsid w:val="00E52C95"/>
    <w:rsid w:val="00E53D7C"/>
    <w:rsid w:val="00E54AF9"/>
    <w:rsid w:val="00E55128"/>
    <w:rsid w:val="00E5542E"/>
    <w:rsid w:val="00E56BDA"/>
    <w:rsid w:val="00E56FBB"/>
    <w:rsid w:val="00E60000"/>
    <w:rsid w:val="00E643E8"/>
    <w:rsid w:val="00E66043"/>
    <w:rsid w:val="00E66D06"/>
    <w:rsid w:val="00E73FAC"/>
    <w:rsid w:val="00E744C3"/>
    <w:rsid w:val="00E75019"/>
    <w:rsid w:val="00E76DCE"/>
    <w:rsid w:val="00E76EF5"/>
    <w:rsid w:val="00E77F88"/>
    <w:rsid w:val="00E861EA"/>
    <w:rsid w:val="00E95696"/>
    <w:rsid w:val="00E95A3F"/>
    <w:rsid w:val="00E95B00"/>
    <w:rsid w:val="00E966A3"/>
    <w:rsid w:val="00E97A93"/>
    <w:rsid w:val="00EA0B23"/>
    <w:rsid w:val="00EA3F4A"/>
    <w:rsid w:val="00EA4584"/>
    <w:rsid w:val="00EA545B"/>
    <w:rsid w:val="00EA5E1E"/>
    <w:rsid w:val="00EA7123"/>
    <w:rsid w:val="00EB4EEB"/>
    <w:rsid w:val="00EB6C07"/>
    <w:rsid w:val="00EC1151"/>
    <w:rsid w:val="00EC120C"/>
    <w:rsid w:val="00EC2BC3"/>
    <w:rsid w:val="00EC2F32"/>
    <w:rsid w:val="00EC3811"/>
    <w:rsid w:val="00EC4880"/>
    <w:rsid w:val="00EC4AF8"/>
    <w:rsid w:val="00EC4C53"/>
    <w:rsid w:val="00EC5F8F"/>
    <w:rsid w:val="00EC6651"/>
    <w:rsid w:val="00EC6F1C"/>
    <w:rsid w:val="00ED0334"/>
    <w:rsid w:val="00ED4979"/>
    <w:rsid w:val="00ED51F7"/>
    <w:rsid w:val="00ED53F5"/>
    <w:rsid w:val="00ED73B8"/>
    <w:rsid w:val="00ED7809"/>
    <w:rsid w:val="00EE10D0"/>
    <w:rsid w:val="00EE1A1C"/>
    <w:rsid w:val="00EE207A"/>
    <w:rsid w:val="00EE2E42"/>
    <w:rsid w:val="00EE32C3"/>
    <w:rsid w:val="00EE37FC"/>
    <w:rsid w:val="00EE3C09"/>
    <w:rsid w:val="00EE4D8B"/>
    <w:rsid w:val="00EE580F"/>
    <w:rsid w:val="00EE7CB8"/>
    <w:rsid w:val="00EE7F53"/>
    <w:rsid w:val="00EF13E4"/>
    <w:rsid w:val="00EF1FFC"/>
    <w:rsid w:val="00EF24D7"/>
    <w:rsid w:val="00EF2A7E"/>
    <w:rsid w:val="00EF31FB"/>
    <w:rsid w:val="00EF3CB6"/>
    <w:rsid w:val="00EF5B9C"/>
    <w:rsid w:val="00EF6149"/>
    <w:rsid w:val="00F03EDB"/>
    <w:rsid w:val="00F04B73"/>
    <w:rsid w:val="00F05F0F"/>
    <w:rsid w:val="00F10465"/>
    <w:rsid w:val="00F1061C"/>
    <w:rsid w:val="00F10BF7"/>
    <w:rsid w:val="00F115A4"/>
    <w:rsid w:val="00F1351E"/>
    <w:rsid w:val="00F147BD"/>
    <w:rsid w:val="00F15A58"/>
    <w:rsid w:val="00F166BA"/>
    <w:rsid w:val="00F16864"/>
    <w:rsid w:val="00F173C9"/>
    <w:rsid w:val="00F20106"/>
    <w:rsid w:val="00F2079F"/>
    <w:rsid w:val="00F2098A"/>
    <w:rsid w:val="00F20BBA"/>
    <w:rsid w:val="00F211DE"/>
    <w:rsid w:val="00F22753"/>
    <w:rsid w:val="00F23970"/>
    <w:rsid w:val="00F2407A"/>
    <w:rsid w:val="00F25592"/>
    <w:rsid w:val="00F25D6D"/>
    <w:rsid w:val="00F26C05"/>
    <w:rsid w:val="00F26CB0"/>
    <w:rsid w:val="00F2752E"/>
    <w:rsid w:val="00F31C92"/>
    <w:rsid w:val="00F34739"/>
    <w:rsid w:val="00F35194"/>
    <w:rsid w:val="00F355C3"/>
    <w:rsid w:val="00F35782"/>
    <w:rsid w:val="00F36DDC"/>
    <w:rsid w:val="00F36F12"/>
    <w:rsid w:val="00F40404"/>
    <w:rsid w:val="00F41187"/>
    <w:rsid w:val="00F4134A"/>
    <w:rsid w:val="00F46975"/>
    <w:rsid w:val="00F46BF3"/>
    <w:rsid w:val="00F503DE"/>
    <w:rsid w:val="00F5107A"/>
    <w:rsid w:val="00F51D56"/>
    <w:rsid w:val="00F525E0"/>
    <w:rsid w:val="00F548A0"/>
    <w:rsid w:val="00F55E09"/>
    <w:rsid w:val="00F56A99"/>
    <w:rsid w:val="00F56F55"/>
    <w:rsid w:val="00F5790A"/>
    <w:rsid w:val="00F57F6E"/>
    <w:rsid w:val="00F60523"/>
    <w:rsid w:val="00F613D3"/>
    <w:rsid w:val="00F634F2"/>
    <w:rsid w:val="00F63F99"/>
    <w:rsid w:val="00F64BF1"/>
    <w:rsid w:val="00F6514C"/>
    <w:rsid w:val="00F656A5"/>
    <w:rsid w:val="00F65E63"/>
    <w:rsid w:val="00F66868"/>
    <w:rsid w:val="00F6729F"/>
    <w:rsid w:val="00F672FB"/>
    <w:rsid w:val="00F67DAE"/>
    <w:rsid w:val="00F70539"/>
    <w:rsid w:val="00F73967"/>
    <w:rsid w:val="00F74579"/>
    <w:rsid w:val="00F77060"/>
    <w:rsid w:val="00F77E9E"/>
    <w:rsid w:val="00F80277"/>
    <w:rsid w:val="00F803B7"/>
    <w:rsid w:val="00F814AF"/>
    <w:rsid w:val="00F82451"/>
    <w:rsid w:val="00F82B23"/>
    <w:rsid w:val="00F83187"/>
    <w:rsid w:val="00F83590"/>
    <w:rsid w:val="00F83B3F"/>
    <w:rsid w:val="00F84C82"/>
    <w:rsid w:val="00F8580C"/>
    <w:rsid w:val="00F85869"/>
    <w:rsid w:val="00F85B7E"/>
    <w:rsid w:val="00F864BD"/>
    <w:rsid w:val="00F86BC9"/>
    <w:rsid w:val="00F87499"/>
    <w:rsid w:val="00F87729"/>
    <w:rsid w:val="00F92A5D"/>
    <w:rsid w:val="00F92FEE"/>
    <w:rsid w:val="00F93070"/>
    <w:rsid w:val="00F931A6"/>
    <w:rsid w:val="00F95351"/>
    <w:rsid w:val="00FA2949"/>
    <w:rsid w:val="00FA3AD1"/>
    <w:rsid w:val="00FA4675"/>
    <w:rsid w:val="00FB0882"/>
    <w:rsid w:val="00FB5882"/>
    <w:rsid w:val="00FB6354"/>
    <w:rsid w:val="00FB7011"/>
    <w:rsid w:val="00FB7CDE"/>
    <w:rsid w:val="00FC1558"/>
    <w:rsid w:val="00FC235E"/>
    <w:rsid w:val="00FC2735"/>
    <w:rsid w:val="00FC2F6A"/>
    <w:rsid w:val="00FC4C72"/>
    <w:rsid w:val="00FD01B2"/>
    <w:rsid w:val="00FD1EA7"/>
    <w:rsid w:val="00FD271E"/>
    <w:rsid w:val="00FD27A1"/>
    <w:rsid w:val="00FD6603"/>
    <w:rsid w:val="00FD684E"/>
    <w:rsid w:val="00FD6FE1"/>
    <w:rsid w:val="00FE1678"/>
    <w:rsid w:val="00FE33BB"/>
    <w:rsid w:val="00FE3922"/>
    <w:rsid w:val="00FE6B87"/>
    <w:rsid w:val="00FE72A7"/>
    <w:rsid w:val="00FE7DF6"/>
    <w:rsid w:val="00FF01A5"/>
    <w:rsid w:val="00FF048B"/>
    <w:rsid w:val="00FF055E"/>
    <w:rsid w:val="00FF133B"/>
    <w:rsid w:val="00FF1914"/>
    <w:rsid w:val="00FF3BEC"/>
    <w:rsid w:val="00FF3C6E"/>
    <w:rsid w:val="00FF595B"/>
    <w:rsid w:val="00FF5B1A"/>
    <w:rsid w:val="00FF601A"/>
    <w:rsid w:val="00FF6D53"/>
    <w:rsid w:val="00FF7B5D"/>
    <w:rsid w:val="00FF7B8D"/>
    <w:rsid w:val="0182148B"/>
    <w:rsid w:val="02511125"/>
    <w:rsid w:val="037C62EA"/>
    <w:rsid w:val="0454474C"/>
    <w:rsid w:val="06FE04ED"/>
    <w:rsid w:val="08983A2C"/>
    <w:rsid w:val="0B075C7C"/>
    <w:rsid w:val="0C4B08D2"/>
    <w:rsid w:val="0D4D24DC"/>
    <w:rsid w:val="0D8E25B6"/>
    <w:rsid w:val="0E7E56C5"/>
    <w:rsid w:val="0FBE2EFD"/>
    <w:rsid w:val="117F246D"/>
    <w:rsid w:val="12622462"/>
    <w:rsid w:val="14583370"/>
    <w:rsid w:val="15CB0516"/>
    <w:rsid w:val="16992462"/>
    <w:rsid w:val="17A571C4"/>
    <w:rsid w:val="1A0C47CF"/>
    <w:rsid w:val="1C452B7E"/>
    <w:rsid w:val="1C9C2643"/>
    <w:rsid w:val="1E1641C1"/>
    <w:rsid w:val="1FED79DE"/>
    <w:rsid w:val="2364317C"/>
    <w:rsid w:val="25134844"/>
    <w:rsid w:val="263162C4"/>
    <w:rsid w:val="27485416"/>
    <w:rsid w:val="2858552C"/>
    <w:rsid w:val="29EC109F"/>
    <w:rsid w:val="2A373FDC"/>
    <w:rsid w:val="2A781EB5"/>
    <w:rsid w:val="2C0559CB"/>
    <w:rsid w:val="2C6B3A80"/>
    <w:rsid w:val="2DB43204"/>
    <w:rsid w:val="2FD95108"/>
    <w:rsid w:val="306544D3"/>
    <w:rsid w:val="316B4522"/>
    <w:rsid w:val="31E3004C"/>
    <w:rsid w:val="33967A78"/>
    <w:rsid w:val="34EB79D4"/>
    <w:rsid w:val="38FF2C10"/>
    <w:rsid w:val="390A3043"/>
    <w:rsid w:val="3B3E7FF9"/>
    <w:rsid w:val="3E2D3A78"/>
    <w:rsid w:val="3F3348D1"/>
    <w:rsid w:val="3F756A43"/>
    <w:rsid w:val="41A26A97"/>
    <w:rsid w:val="42CB3072"/>
    <w:rsid w:val="44F81687"/>
    <w:rsid w:val="4542655A"/>
    <w:rsid w:val="45455EFA"/>
    <w:rsid w:val="460E5D1A"/>
    <w:rsid w:val="47EF2D53"/>
    <w:rsid w:val="493823F6"/>
    <w:rsid w:val="49F46511"/>
    <w:rsid w:val="4C3F79B4"/>
    <w:rsid w:val="4C787046"/>
    <w:rsid w:val="4C9D782D"/>
    <w:rsid w:val="4CA0721A"/>
    <w:rsid w:val="504834EA"/>
    <w:rsid w:val="51785CC0"/>
    <w:rsid w:val="520C7A1F"/>
    <w:rsid w:val="5441018B"/>
    <w:rsid w:val="55833198"/>
    <w:rsid w:val="55C972EF"/>
    <w:rsid w:val="569F785B"/>
    <w:rsid w:val="57B02E05"/>
    <w:rsid w:val="57DE7A26"/>
    <w:rsid w:val="580E0F79"/>
    <w:rsid w:val="59CC3945"/>
    <w:rsid w:val="5AA45D4C"/>
    <w:rsid w:val="5CDA0B1F"/>
    <w:rsid w:val="5E4E71EA"/>
    <w:rsid w:val="5E793663"/>
    <w:rsid w:val="5EA64538"/>
    <w:rsid w:val="6267026A"/>
    <w:rsid w:val="630E2DDB"/>
    <w:rsid w:val="642336F2"/>
    <w:rsid w:val="66D47E98"/>
    <w:rsid w:val="6B077AB6"/>
    <w:rsid w:val="6C507374"/>
    <w:rsid w:val="6CE91A5C"/>
    <w:rsid w:val="6D8E2C95"/>
    <w:rsid w:val="6E4B434F"/>
    <w:rsid w:val="6EFC4430"/>
    <w:rsid w:val="701557A9"/>
    <w:rsid w:val="704A1170"/>
    <w:rsid w:val="707748C2"/>
    <w:rsid w:val="72994FB0"/>
    <w:rsid w:val="733775B9"/>
    <w:rsid w:val="754206C3"/>
    <w:rsid w:val="75D12407"/>
    <w:rsid w:val="77B56366"/>
    <w:rsid w:val="78511077"/>
    <w:rsid w:val="79F20C56"/>
    <w:rsid w:val="7ACA1FD2"/>
    <w:rsid w:val="7ADD3894"/>
    <w:rsid w:val="7AF320FA"/>
    <w:rsid w:val="7B1E2AF8"/>
    <w:rsid w:val="7B5805EA"/>
    <w:rsid w:val="7C093F4A"/>
    <w:rsid w:val="7D020E63"/>
    <w:rsid w:val="7D9A72EE"/>
    <w:rsid w:val="7DB21450"/>
    <w:rsid w:val="7F0A1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iPriority="0" w:semiHidden="0" w:name="Normal Indent"/>
    <w:lsdException w:qFormat="1"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11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1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link w:val="112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13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link w:val="114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115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116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4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qFormat/>
    <w:uiPriority w:val="0"/>
    <w:pPr>
      <w:ind w:left="100" w:leftChars="400" w:hanging="200" w:hangingChars="200"/>
    </w:p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tabs>
        <w:tab w:val="left" w:pos="675"/>
        <w:tab w:val="left" w:pos="780"/>
      </w:tabs>
      <w:ind w:left="675" w:hanging="360"/>
    </w:pPr>
  </w:style>
  <w:style w:type="paragraph" w:styleId="15">
    <w:name w:val="table of authorities"/>
    <w:basedOn w:val="1"/>
    <w:next w:val="1"/>
    <w:qFormat/>
    <w:uiPriority w:val="0"/>
    <w:pPr>
      <w:ind w:left="420" w:leftChars="200"/>
    </w:pPr>
  </w:style>
  <w:style w:type="paragraph" w:styleId="16">
    <w:name w:val="Note Heading"/>
    <w:basedOn w:val="1"/>
    <w:next w:val="1"/>
    <w:link w:val="166"/>
    <w:qFormat/>
    <w:uiPriority w:val="0"/>
    <w:pPr>
      <w:jc w:val="center"/>
    </w:pPr>
  </w:style>
  <w:style w:type="paragraph" w:styleId="17">
    <w:name w:val="List Bullet 4"/>
    <w:basedOn w:val="1"/>
    <w:qFormat/>
    <w:uiPriority w:val="0"/>
    <w:pPr>
      <w:tabs>
        <w:tab w:val="left" w:pos="750"/>
        <w:tab w:val="left" w:pos="1620"/>
      </w:tabs>
      <w:ind w:left="750" w:hanging="750"/>
    </w:pPr>
  </w:style>
  <w:style w:type="paragraph" w:styleId="18">
    <w:name w:val="index 8"/>
    <w:basedOn w:val="1"/>
    <w:next w:val="1"/>
    <w:qFormat/>
    <w:uiPriority w:val="0"/>
    <w:pPr>
      <w:ind w:left="1400" w:leftChars="1400"/>
    </w:pPr>
  </w:style>
  <w:style w:type="paragraph" w:styleId="19">
    <w:name w:val="E-mail Signature"/>
    <w:basedOn w:val="1"/>
    <w:link w:val="163"/>
    <w:qFormat/>
    <w:uiPriority w:val="0"/>
  </w:style>
  <w:style w:type="paragraph" w:styleId="20">
    <w:name w:val="List Number"/>
    <w:basedOn w:val="1"/>
    <w:qFormat/>
    <w:uiPriority w:val="0"/>
    <w:pPr>
      <w:tabs>
        <w:tab w:val="left" w:pos="360"/>
        <w:tab w:val="left" w:pos="720"/>
      </w:tabs>
      <w:ind w:left="720" w:hanging="720"/>
    </w:pPr>
  </w:style>
  <w:style w:type="paragraph" w:styleId="21">
    <w:name w:val="Normal Indent"/>
    <w:basedOn w:val="1"/>
    <w:unhideWhenUsed/>
    <w:qFormat/>
    <w:uiPriority w:val="0"/>
    <w:pPr>
      <w:ind w:firstLine="420" w:firstLineChars="200"/>
    </w:pPr>
  </w:style>
  <w:style w:type="paragraph" w:styleId="22">
    <w:name w:val="caption"/>
    <w:basedOn w:val="1"/>
    <w:next w:val="1"/>
    <w:qFormat/>
    <w:uiPriority w:val="0"/>
    <w:pPr>
      <w:jc w:val="center"/>
    </w:pPr>
    <w:rPr>
      <w:rFonts w:ascii="Arial" w:hAnsi="Arial" w:eastAsia="黑体" w:cs="Arial"/>
      <w:sz w:val="24"/>
      <w:szCs w:val="20"/>
    </w:rPr>
  </w:style>
  <w:style w:type="paragraph" w:styleId="23">
    <w:name w:val="index 5"/>
    <w:basedOn w:val="1"/>
    <w:next w:val="1"/>
    <w:qFormat/>
    <w:uiPriority w:val="0"/>
    <w:pPr>
      <w:ind w:left="800" w:leftChars="800"/>
    </w:pPr>
  </w:style>
  <w:style w:type="paragraph" w:styleId="24">
    <w:name w:val="List Bullet"/>
    <w:basedOn w:val="1"/>
    <w:qFormat/>
    <w:uiPriority w:val="0"/>
    <w:pPr>
      <w:tabs>
        <w:tab w:val="left" w:pos="360"/>
        <w:tab w:val="left" w:pos="720"/>
      </w:tabs>
      <w:ind w:left="720" w:hanging="720"/>
    </w:pPr>
  </w:style>
  <w:style w:type="paragraph" w:styleId="25">
    <w:name w:val="envelope address"/>
    <w:basedOn w:val="1"/>
    <w:qFormat/>
    <w:uiPriority w:val="0"/>
    <w:pPr>
      <w:snapToGrid w:val="0"/>
      <w:ind w:left="100" w:leftChars="1400"/>
    </w:pPr>
    <w:rPr>
      <w:rFonts w:ascii="Arial" w:hAnsi="Arial" w:cs="Arial"/>
      <w:sz w:val="24"/>
    </w:rPr>
  </w:style>
  <w:style w:type="paragraph" w:styleId="26">
    <w:name w:val="Document Map"/>
    <w:basedOn w:val="1"/>
    <w:link w:val="159"/>
    <w:qFormat/>
    <w:uiPriority w:val="0"/>
    <w:pPr>
      <w:shd w:val="clear" w:color="auto" w:fill="000080"/>
    </w:p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28">
    <w:name w:val="annotation text"/>
    <w:basedOn w:val="1"/>
    <w:link w:val="122"/>
    <w:unhideWhenUsed/>
    <w:qFormat/>
    <w:uiPriority w:val="0"/>
    <w:pPr>
      <w:jc w:val="left"/>
    </w:pPr>
    <w:rPr>
      <w:szCs w:val="21"/>
    </w:rPr>
  </w:style>
  <w:style w:type="paragraph" w:styleId="29">
    <w:name w:val="index 6"/>
    <w:basedOn w:val="1"/>
    <w:next w:val="1"/>
    <w:qFormat/>
    <w:uiPriority w:val="0"/>
    <w:pPr>
      <w:ind w:left="1000" w:leftChars="1000"/>
    </w:pPr>
  </w:style>
  <w:style w:type="paragraph" w:styleId="30">
    <w:name w:val="Salutation"/>
    <w:basedOn w:val="1"/>
    <w:next w:val="1"/>
    <w:link w:val="168"/>
    <w:qFormat/>
    <w:uiPriority w:val="0"/>
  </w:style>
  <w:style w:type="paragraph" w:styleId="31">
    <w:name w:val="Body Text 3"/>
    <w:basedOn w:val="1"/>
    <w:link w:val="160"/>
    <w:qFormat/>
    <w:uiPriority w:val="0"/>
    <w:pPr>
      <w:spacing w:after="120"/>
    </w:pPr>
    <w:rPr>
      <w:sz w:val="16"/>
      <w:szCs w:val="16"/>
    </w:rPr>
  </w:style>
  <w:style w:type="paragraph" w:styleId="32">
    <w:name w:val="Closing"/>
    <w:basedOn w:val="1"/>
    <w:link w:val="170"/>
    <w:qFormat/>
    <w:uiPriority w:val="0"/>
    <w:pPr>
      <w:ind w:left="100" w:leftChars="2100"/>
    </w:pPr>
  </w:style>
  <w:style w:type="paragraph" w:styleId="33">
    <w:name w:val="List Bullet 3"/>
    <w:basedOn w:val="1"/>
    <w:qFormat/>
    <w:uiPriority w:val="0"/>
    <w:pPr>
      <w:tabs>
        <w:tab w:val="left" w:pos="480"/>
        <w:tab w:val="left" w:pos="1200"/>
      </w:tabs>
      <w:ind w:left="480" w:hanging="480"/>
    </w:pPr>
  </w:style>
  <w:style w:type="paragraph" w:styleId="34">
    <w:name w:val="Body Text"/>
    <w:basedOn w:val="1"/>
    <w:link w:val="155"/>
    <w:qFormat/>
    <w:uiPriority w:val="0"/>
    <w:pPr>
      <w:spacing w:after="120"/>
    </w:pPr>
  </w:style>
  <w:style w:type="paragraph" w:styleId="35">
    <w:name w:val="Body Text Indent"/>
    <w:basedOn w:val="1"/>
    <w:link w:val="157"/>
    <w:qFormat/>
    <w:uiPriority w:val="0"/>
    <w:pPr>
      <w:spacing w:after="120"/>
      <w:ind w:left="420" w:leftChars="200"/>
    </w:pPr>
  </w:style>
  <w:style w:type="paragraph" w:styleId="36">
    <w:name w:val="List Number 3"/>
    <w:basedOn w:val="1"/>
    <w:qFormat/>
    <w:uiPriority w:val="0"/>
    <w:pPr>
      <w:tabs>
        <w:tab w:val="left" w:pos="360"/>
        <w:tab w:val="left" w:pos="1200"/>
      </w:tabs>
      <w:ind w:left="360" w:hanging="360"/>
    </w:pPr>
  </w:style>
  <w:style w:type="paragraph" w:styleId="37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38">
    <w:name w:val="List Continue"/>
    <w:basedOn w:val="1"/>
    <w:qFormat/>
    <w:uiPriority w:val="0"/>
    <w:pPr>
      <w:spacing w:after="120"/>
      <w:ind w:left="420" w:leftChars="200"/>
    </w:pPr>
  </w:style>
  <w:style w:type="paragraph" w:styleId="3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40">
    <w:name w:val="List Bullet 2"/>
    <w:basedOn w:val="1"/>
    <w:qFormat/>
    <w:uiPriority w:val="0"/>
    <w:pPr>
      <w:tabs>
        <w:tab w:val="left" w:pos="720"/>
        <w:tab w:val="left" w:pos="780"/>
      </w:tabs>
      <w:ind w:left="720" w:hanging="360"/>
    </w:pPr>
  </w:style>
  <w:style w:type="paragraph" w:styleId="41">
    <w:name w:val="HTML Address"/>
    <w:basedOn w:val="1"/>
    <w:link w:val="161"/>
    <w:qFormat/>
    <w:uiPriority w:val="0"/>
    <w:rPr>
      <w:i/>
      <w:iCs/>
    </w:rPr>
  </w:style>
  <w:style w:type="paragraph" w:styleId="42">
    <w:name w:val="index 4"/>
    <w:basedOn w:val="1"/>
    <w:next w:val="1"/>
    <w:qFormat/>
    <w:uiPriority w:val="0"/>
    <w:pPr>
      <w:ind w:left="600" w:leftChars="600"/>
    </w:pPr>
  </w:style>
  <w:style w:type="paragraph" w:styleId="43">
    <w:name w:val="toc 5"/>
    <w:basedOn w:val="1"/>
    <w:next w:val="1"/>
    <w:qFormat/>
    <w:uiPriority w:val="0"/>
    <w:pPr>
      <w:ind w:left="1680" w:leftChars="800"/>
    </w:pPr>
  </w:style>
  <w:style w:type="paragraph" w:styleId="44">
    <w:name w:val="toc 3"/>
    <w:basedOn w:val="1"/>
    <w:next w:val="1"/>
    <w:qFormat/>
    <w:uiPriority w:val="0"/>
    <w:pPr>
      <w:tabs>
        <w:tab w:val="right" w:leader="dot" w:pos="8296"/>
      </w:tabs>
      <w:spacing w:line="312" w:lineRule="auto"/>
      <w:ind w:left="400" w:leftChars="400"/>
    </w:pPr>
    <w:rPr>
      <w:sz w:val="24"/>
    </w:rPr>
  </w:style>
  <w:style w:type="paragraph" w:styleId="45">
    <w:name w:val="Plain Text"/>
    <w:basedOn w:val="1"/>
    <w:link w:val="133"/>
    <w:qFormat/>
    <w:uiPriority w:val="0"/>
    <w:rPr>
      <w:rFonts w:ascii="宋体" w:hAnsi="Courier New" w:cs="Courier New"/>
      <w:szCs w:val="21"/>
    </w:rPr>
  </w:style>
  <w:style w:type="paragraph" w:styleId="46">
    <w:name w:val="List Bullet 5"/>
    <w:basedOn w:val="1"/>
    <w:qFormat/>
    <w:uiPriority w:val="0"/>
    <w:pPr>
      <w:tabs>
        <w:tab w:val="left" w:pos="840"/>
        <w:tab w:val="left" w:pos="2040"/>
      </w:tabs>
      <w:ind w:left="840" w:hanging="420"/>
    </w:pPr>
  </w:style>
  <w:style w:type="paragraph" w:styleId="47">
    <w:name w:val="List Number 4"/>
    <w:basedOn w:val="1"/>
    <w:qFormat/>
    <w:uiPriority w:val="0"/>
    <w:pPr>
      <w:tabs>
        <w:tab w:val="left" w:pos="960"/>
        <w:tab w:val="left" w:pos="1620"/>
      </w:tabs>
      <w:ind w:left="960" w:hanging="720"/>
    </w:pPr>
  </w:style>
  <w:style w:type="paragraph" w:styleId="48">
    <w:name w:val="toc 8"/>
    <w:basedOn w:val="1"/>
    <w:next w:val="1"/>
    <w:qFormat/>
    <w:uiPriority w:val="0"/>
    <w:pPr>
      <w:ind w:left="2940" w:leftChars="1400"/>
    </w:pPr>
  </w:style>
  <w:style w:type="paragraph" w:styleId="49">
    <w:name w:val="index 3"/>
    <w:basedOn w:val="1"/>
    <w:next w:val="1"/>
    <w:qFormat/>
    <w:uiPriority w:val="0"/>
    <w:pPr>
      <w:ind w:left="400" w:leftChars="400"/>
    </w:pPr>
  </w:style>
  <w:style w:type="paragraph" w:styleId="50">
    <w:name w:val="Date"/>
    <w:basedOn w:val="1"/>
    <w:next w:val="1"/>
    <w:link w:val="131"/>
    <w:qFormat/>
    <w:uiPriority w:val="0"/>
    <w:pPr>
      <w:ind w:left="100" w:leftChars="2500"/>
    </w:pPr>
  </w:style>
  <w:style w:type="paragraph" w:styleId="51">
    <w:name w:val="Body Text Indent 2"/>
    <w:basedOn w:val="1"/>
    <w:link w:val="171"/>
    <w:qFormat/>
    <w:uiPriority w:val="0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69"/>
    <w:qFormat/>
    <w:uiPriority w:val="0"/>
    <w:pPr>
      <w:snapToGrid w:val="0"/>
      <w:jc w:val="left"/>
    </w:pPr>
  </w:style>
  <w:style w:type="paragraph" w:styleId="53">
    <w:name w:val="List Continue 5"/>
    <w:basedOn w:val="1"/>
    <w:qFormat/>
    <w:uiPriority w:val="0"/>
    <w:pPr>
      <w:spacing w:after="120"/>
      <w:ind w:left="2100" w:leftChars="1000"/>
    </w:pPr>
  </w:style>
  <w:style w:type="paragraph" w:styleId="54">
    <w:name w:val="Balloon Text"/>
    <w:basedOn w:val="1"/>
    <w:link w:val="135"/>
    <w:qFormat/>
    <w:uiPriority w:val="0"/>
    <w:rPr>
      <w:sz w:val="18"/>
      <w:szCs w:val="18"/>
    </w:rPr>
  </w:style>
  <w:style w:type="paragraph" w:styleId="55">
    <w:name w:val="footer"/>
    <w:basedOn w:val="1"/>
    <w:link w:val="1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6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57">
    <w:name w:val="header"/>
    <w:basedOn w:val="1"/>
    <w:link w:val="12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8">
    <w:name w:val="Signature"/>
    <w:basedOn w:val="1"/>
    <w:link w:val="164"/>
    <w:qFormat/>
    <w:uiPriority w:val="0"/>
    <w:pPr>
      <w:ind w:left="100" w:leftChars="2100"/>
    </w:pPr>
  </w:style>
  <w:style w:type="paragraph" w:styleId="59">
    <w:name w:val="toc 1"/>
    <w:basedOn w:val="1"/>
    <w:next w:val="1"/>
    <w:qFormat/>
    <w:uiPriority w:val="0"/>
    <w:pPr>
      <w:tabs>
        <w:tab w:val="right" w:leader="dot" w:pos="8296"/>
      </w:tabs>
      <w:spacing w:line="312" w:lineRule="auto"/>
    </w:pPr>
    <w:rPr>
      <w:sz w:val="24"/>
    </w:rPr>
  </w:style>
  <w:style w:type="paragraph" w:styleId="60">
    <w:name w:val="List Continue 4"/>
    <w:basedOn w:val="1"/>
    <w:qFormat/>
    <w:uiPriority w:val="0"/>
    <w:pPr>
      <w:spacing w:after="120"/>
      <w:ind w:left="1680" w:leftChars="800"/>
    </w:pPr>
  </w:style>
  <w:style w:type="paragraph" w:styleId="61">
    <w:name w:val="toc 4"/>
    <w:basedOn w:val="1"/>
    <w:next w:val="1"/>
    <w:qFormat/>
    <w:uiPriority w:val="0"/>
    <w:pPr>
      <w:ind w:left="1260" w:leftChars="600"/>
    </w:pPr>
  </w:style>
  <w:style w:type="paragraph" w:styleId="62">
    <w:name w:val="index heading"/>
    <w:basedOn w:val="1"/>
    <w:next w:val="63"/>
    <w:qFormat/>
    <w:uiPriority w:val="0"/>
    <w:rPr>
      <w:rFonts w:ascii="Arial" w:hAnsi="Arial" w:cs="Arial"/>
      <w:b/>
      <w:bCs/>
    </w:rPr>
  </w:style>
  <w:style w:type="paragraph" w:styleId="63">
    <w:name w:val="index 1"/>
    <w:basedOn w:val="1"/>
    <w:next w:val="1"/>
    <w:qFormat/>
    <w:uiPriority w:val="0"/>
  </w:style>
  <w:style w:type="paragraph" w:styleId="64">
    <w:name w:val="Subtitle"/>
    <w:basedOn w:val="1"/>
    <w:link w:val="172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5">
    <w:name w:val="List Number 5"/>
    <w:basedOn w:val="1"/>
    <w:qFormat/>
    <w:uiPriority w:val="0"/>
    <w:pPr>
      <w:tabs>
        <w:tab w:val="left" w:pos="2040"/>
      </w:tabs>
    </w:pPr>
  </w:style>
  <w:style w:type="paragraph" w:styleId="66">
    <w:name w:val="List"/>
    <w:basedOn w:val="1"/>
    <w:qFormat/>
    <w:uiPriority w:val="0"/>
    <w:pPr>
      <w:ind w:left="200" w:hanging="200" w:hangingChars="200"/>
    </w:pPr>
  </w:style>
  <w:style w:type="paragraph" w:styleId="67">
    <w:name w:val="footnote text"/>
    <w:basedOn w:val="1"/>
    <w:link w:val="165"/>
    <w:qFormat/>
    <w:uiPriority w:val="0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qFormat/>
    <w:uiPriority w:val="0"/>
    <w:pPr>
      <w:ind w:left="2100" w:leftChars="1000"/>
    </w:pPr>
  </w:style>
  <w:style w:type="paragraph" w:styleId="69">
    <w:name w:val="List 5"/>
    <w:basedOn w:val="1"/>
    <w:qFormat/>
    <w:uiPriority w:val="0"/>
    <w:pPr>
      <w:ind w:left="100" w:leftChars="800" w:hanging="200" w:hangingChars="200"/>
    </w:pPr>
  </w:style>
  <w:style w:type="paragraph" w:styleId="70">
    <w:name w:val="Body Text Indent 3"/>
    <w:basedOn w:val="1"/>
    <w:link w:val="16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qFormat/>
    <w:uiPriority w:val="0"/>
    <w:pPr>
      <w:ind w:left="1200" w:leftChars="1200"/>
    </w:pPr>
  </w:style>
  <w:style w:type="paragraph" w:styleId="72">
    <w:name w:val="index 9"/>
    <w:basedOn w:val="1"/>
    <w:next w:val="1"/>
    <w:qFormat/>
    <w:uiPriority w:val="0"/>
    <w:pPr>
      <w:ind w:left="1600" w:leftChars="1600"/>
    </w:pPr>
  </w:style>
  <w:style w:type="paragraph" w:styleId="7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74">
    <w:name w:val="toc 2"/>
    <w:basedOn w:val="1"/>
    <w:next w:val="1"/>
    <w:qFormat/>
    <w:uiPriority w:val="0"/>
    <w:pPr>
      <w:tabs>
        <w:tab w:val="right" w:leader="dot" w:pos="8296"/>
      </w:tabs>
      <w:spacing w:line="312" w:lineRule="auto"/>
      <w:ind w:left="420" w:leftChars="200"/>
    </w:pPr>
    <w:rPr>
      <w:sz w:val="24"/>
    </w:rPr>
  </w:style>
  <w:style w:type="paragraph" w:styleId="75">
    <w:name w:val="toc 9"/>
    <w:basedOn w:val="1"/>
    <w:next w:val="1"/>
    <w:qFormat/>
    <w:uiPriority w:val="0"/>
    <w:pPr>
      <w:ind w:left="3360" w:leftChars="1600"/>
    </w:pPr>
  </w:style>
  <w:style w:type="paragraph" w:styleId="76">
    <w:name w:val="Body Text 2"/>
    <w:basedOn w:val="1"/>
    <w:link w:val="167"/>
    <w:qFormat/>
    <w:uiPriority w:val="0"/>
    <w:pPr>
      <w:spacing w:after="120" w:line="480" w:lineRule="auto"/>
    </w:pPr>
  </w:style>
  <w:style w:type="paragraph" w:styleId="77">
    <w:name w:val="List 4"/>
    <w:basedOn w:val="1"/>
    <w:qFormat/>
    <w:uiPriority w:val="0"/>
    <w:pPr>
      <w:ind w:left="100" w:leftChars="600" w:hanging="200" w:hangingChars="200"/>
    </w:pPr>
  </w:style>
  <w:style w:type="paragraph" w:styleId="78">
    <w:name w:val="List Continue 2"/>
    <w:basedOn w:val="1"/>
    <w:qFormat/>
    <w:uiPriority w:val="0"/>
    <w:pPr>
      <w:spacing w:after="120"/>
      <w:ind w:left="840" w:leftChars="400"/>
    </w:pPr>
  </w:style>
  <w:style w:type="paragraph" w:styleId="79">
    <w:name w:val="Message Header"/>
    <w:basedOn w:val="1"/>
    <w:link w:val="17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80">
    <w:name w:val="HTML Preformatted"/>
    <w:basedOn w:val="1"/>
    <w:link w:val="13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2">
    <w:name w:val="List Continue 3"/>
    <w:basedOn w:val="1"/>
    <w:qFormat/>
    <w:uiPriority w:val="0"/>
    <w:pPr>
      <w:spacing w:after="120"/>
      <w:ind w:left="1260" w:leftChars="600"/>
    </w:pPr>
  </w:style>
  <w:style w:type="paragraph" w:styleId="83">
    <w:name w:val="index 2"/>
    <w:basedOn w:val="1"/>
    <w:next w:val="1"/>
    <w:qFormat/>
    <w:uiPriority w:val="0"/>
    <w:pPr>
      <w:ind w:left="200" w:leftChars="200"/>
    </w:pPr>
  </w:style>
  <w:style w:type="paragraph" w:styleId="84">
    <w:name w:val="Title"/>
    <w:basedOn w:val="1"/>
    <w:link w:val="127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28"/>
    <w:next w:val="28"/>
    <w:link w:val="134"/>
    <w:qFormat/>
    <w:uiPriority w:val="0"/>
    <w:rPr>
      <w:b/>
      <w:bCs/>
      <w:szCs w:val="24"/>
    </w:rPr>
  </w:style>
  <w:style w:type="paragraph" w:styleId="86">
    <w:name w:val="Body Text First Indent"/>
    <w:basedOn w:val="34"/>
    <w:link w:val="156"/>
    <w:qFormat/>
    <w:uiPriority w:val="0"/>
    <w:pPr>
      <w:ind w:firstLine="420" w:firstLineChars="100"/>
    </w:pPr>
  </w:style>
  <w:style w:type="paragraph" w:styleId="87">
    <w:name w:val="Body Text First Indent 2"/>
    <w:basedOn w:val="35"/>
    <w:link w:val="158"/>
    <w:qFormat/>
    <w:uiPriority w:val="0"/>
    <w:pPr>
      <w:ind w:firstLine="420" w:firstLineChars="200"/>
    </w:pPr>
  </w:style>
  <w:style w:type="table" w:styleId="89">
    <w:name w:val="Table Grid"/>
    <w:basedOn w:val="8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Strong"/>
    <w:basedOn w:val="90"/>
    <w:qFormat/>
    <w:uiPriority w:val="22"/>
    <w:rPr>
      <w:b/>
      <w:bCs/>
    </w:rPr>
  </w:style>
  <w:style w:type="character" w:styleId="92">
    <w:name w:val="endnote reference"/>
    <w:qFormat/>
    <w:uiPriority w:val="0"/>
    <w:rPr>
      <w:vertAlign w:val="superscript"/>
    </w:rPr>
  </w:style>
  <w:style w:type="character" w:styleId="93">
    <w:name w:val="page number"/>
    <w:basedOn w:val="90"/>
    <w:unhideWhenUsed/>
    <w:qFormat/>
    <w:uiPriority w:val="0"/>
    <w:rPr>
      <w:rFonts w:ascii="Times New Roman" w:hAnsi="Times New Roman" w:eastAsia="宋体"/>
      <w:sz w:val="18"/>
    </w:rPr>
  </w:style>
  <w:style w:type="character" w:styleId="94">
    <w:name w:val="FollowedHyperlink"/>
    <w:basedOn w:val="90"/>
    <w:qFormat/>
    <w:uiPriority w:val="99"/>
    <w:rPr>
      <w:color w:val="800080" w:themeColor="followedHyperlink"/>
      <w:u w:val="single"/>
    </w:rPr>
  </w:style>
  <w:style w:type="character" w:styleId="95">
    <w:name w:val="Emphasis"/>
    <w:qFormat/>
    <w:uiPriority w:val="20"/>
    <w:rPr>
      <w:i/>
      <w:iCs/>
    </w:rPr>
  </w:style>
  <w:style w:type="character" w:styleId="96">
    <w:name w:val="line number"/>
    <w:basedOn w:val="90"/>
    <w:qFormat/>
    <w:uiPriority w:val="0"/>
  </w:style>
  <w:style w:type="character" w:styleId="97">
    <w:name w:val="HTML Definition"/>
    <w:qFormat/>
    <w:uiPriority w:val="0"/>
    <w:rPr>
      <w:i/>
      <w:iCs/>
    </w:rPr>
  </w:style>
  <w:style w:type="character" w:styleId="98">
    <w:name w:val="HTML Typewriter"/>
    <w:qFormat/>
    <w:uiPriority w:val="0"/>
    <w:rPr>
      <w:rFonts w:ascii="Courier New" w:hAnsi="Courier New" w:cs="Courier New"/>
      <w:sz w:val="20"/>
      <w:szCs w:val="20"/>
    </w:rPr>
  </w:style>
  <w:style w:type="character" w:styleId="99">
    <w:name w:val="HTML Acronym"/>
    <w:basedOn w:val="90"/>
    <w:qFormat/>
    <w:uiPriority w:val="0"/>
  </w:style>
  <w:style w:type="character" w:styleId="100">
    <w:name w:val="HTML Variable"/>
    <w:qFormat/>
    <w:uiPriority w:val="0"/>
    <w:rPr>
      <w:i/>
      <w:iCs/>
    </w:rPr>
  </w:style>
  <w:style w:type="character" w:styleId="101">
    <w:name w:val="Hyperlink"/>
    <w:basedOn w:val="90"/>
    <w:qFormat/>
    <w:uiPriority w:val="0"/>
    <w:rPr>
      <w:color w:val="0000FF"/>
      <w:u w:val="single"/>
    </w:rPr>
  </w:style>
  <w:style w:type="character" w:styleId="102">
    <w:name w:val="HTML Code"/>
    <w:qFormat/>
    <w:uiPriority w:val="0"/>
    <w:rPr>
      <w:rFonts w:ascii="Courier New" w:hAnsi="Courier New" w:cs="Courier New"/>
      <w:sz w:val="20"/>
      <w:szCs w:val="20"/>
    </w:rPr>
  </w:style>
  <w:style w:type="character" w:styleId="103">
    <w:name w:val="annotation reference"/>
    <w:basedOn w:val="90"/>
    <w:qFormat/>
    <w:uiPriority w:val="0"/>
    <w:rPr>
      <w:sz w:val="21"/>
      <w:szCs w:val="21"/>
    </w:rPr>
  </w:style>
  <w:style w:type="character" w:styleId="104">
    <w:name w:val="HTML Cite"/>
    <w:qFormat/>
    <w:uiPriority w:val="0"/>
    <w:rPr>
      <w:i/>
      <w:iCs/>
    </w:rPr>
  </w:style>
  <w:style w:type="character" w:styleId="105">
    <w:name w:val="footnote reference"/>
    <w:qFormat/>
    <w:uiPriority w:val="0"/>
    <w:rPr>
      <w:vertAlign w:val="superscript"/>
    </w:rPr>
  </w:style>
  <w:style w:type="character" w:styleId="106">
    <w:name w:val="HTML Keyboard"/>
    <w:qFormat/>
    <w:uiPriority w:val="0"/>
    <w:rPr>
      <w:rFonts w:ascii="Courier New" w:hAnsi="Courier New" w:cs="Courier New"/>
      <w:sz w:val="20"/>
      <w:szCs w:val="20"/>
    </w:rPr>
  </w:style>
  <w:style w:type="character" w:styleId="107">
    <w:name w:val="HTML Sample"/>
    <w:qFormat/>
    <w:uiPriority w:val="0"/>
    <w:rPr>
      <w:rFonts w:ascii="Courier New" w:hAnsi="Courier New" w:cs="Courier New"/>
    </w:rPr>
  </w:style>
  <w:style w:type="character" w:customStyle="1" w:styleId="108">
    <w:name w:val="标题 1 Char"/>
    <w:basedOn w:val="90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09">
    <w:name w:val="标题 2 Char"/>
    <w:basedOn w:val="90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10">
    <w:name w:val="标题 3 Char"/>
    <w:basedOn w:val="90"/>
    <w:link w:val="5"/>
    <w:qFormat/>
    <w:uiPriority w:val="0"/>
    <w:rPr>
      <w:b/>
      <w:bCs/>
      <w:kern w:val="2"/>
      <w:sz w:val="32"/>
      <w:szCs w:val="32"/>
    </w:rPr>
  </w:style>
  <w:style w:type="character" w:customStyle="1" w:styleId="111">
    <w:name w:val="标题 4 Char"/>
    <w:basedOn w:val="90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12">
    <w:name w:val="标题 5 Char"/>
    <w:basedOn w:val="90"/>
    <w:link w:val="7"/>
    <w:qFormat/>
    <w:uiPriority w:val="0"/>
    <w:rPr>
      <w:b/>
      <w:bCs/>
      <w:kern w:val="2"/>
      <w:sz w:val="28"/>
      <w:szCs w:val="28"/>
    </w:rPr>
  </w:style>
  <w:style w:type="character" w:customStyle="1" w:styleId="113">
    <w:name w:val="标题 6 Char"/>
    <w:basedOn w:val="90"/>
    <w:link w:val="8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114">
    <w:name w:val="标题 7 Char"/>
    <w:basedOn w:val="90"/>
    <w:link w:val="9"/>
    <w:qFormat/>
    <w:uiPriority w:val="0"/>
    <w:rPr>
      <w:b/>
      <w:bCs/>
      <w:kern w:val="2"/>
      <w:sz w:val="24"/>
      <w:szCs w:val="24"/>
    </w:rPr>
  </w:style>
  <w:style w:type="character" w:customStyle="1" w:styleId="115">
    <w:name w:val="标题 8 Char"/>
    <w:basedOn w:val="90"/>
    <w:link w:val="10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16">
    <w:name w:val="标题 9 Char"/>
    <w:basedOn w:val="90"/>
    <w:link w:val="11"/>
    <w:qFormat/>
    <w:uiPriority w:val="0"/>
    <w:rPr>
      <w:rFonts w:ascii="Arial" w:hAnsi="Arial" w:eastAsia="黑体"/>
      <w:kern w:val="2"/>
      <w:sz w:val="21"/>
      <w:szCs w:val="21"/>
    </w:rPr>
  </w:style>
  <w:style w:type="paragraph" w:customStyle="1" w:styleId="117">
    <w:name w:val="封面标准英文名称"/>
    <w:qFormat/>
    <w:uiPriority w:val="0"/>
    <w:pPr>
      <w:widowControl w:val="0"/>
      <w:spacing w:before="370" w:line="400" w:lineRule="exact"/>
      <w:ind w:firstLine="200" w:firstLineChars="200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18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119">
    <w:name w:val="封面标准号2"/>
    <w:basedOn w:val="1"/>
    <w:qFormat/>
    <w:uiPriority w:val="0"/>
  </w:style>
  <w:style w:type="paragraph" w:customStyle="1" w:styleId="120">
    <w:name w:val="章标题"/>
    <w:next w:val="1"/>
    <w:qFormat/>
    <w:uiPriority w:val="0"/>
    <w:pPr>
      <w:tabs>
        <w:tab w:val="left" w:pos="675"/>
      </w:tabs>
      <w:spacing w:beforeLines="100" w:afterLines="100"/>
      <w:ind w:left="675" w:hanging="36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1">
    <w:name w:val="段"/>
    <w:link w:val="13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2">
    <w:name w:val="批注文字 Char"/>
    <w:basedOn w:val="90"/>
    <w:link w:val="28"/>
    <w:qFormat/>
    <w:uiPriority w:val="0"/>
    <w:rPr>
      <w:kern w:val="2"/>
      <w:sz w:val="21"/>
      <w:szCs w:val="21"/>
    </w:rPr>
  </w:style>
  <w:style w:type="character" w:customStyle="1" w:styleId="123">
    <w:name w:val="页眉 Char"/>
    <w:basedOn w:val="90"/>
    <w:link w:val="57"/>
    <w:qFormat/>
    <w:uiPriority w:val="0"/>
    <w:rPr>
      <w:kern w:val="2"/>
      <w:sz w:val="18"/>
      <w:szCs w:val="24"/>
    </w:rPr>
  </w:style>
  <w:style w:type="character" w:customStyle="1" w:styleId="124">
    <w:name w:val="页脚 Char"/>
    <w:basedOn w:val="90"/>
    <w:link w:val="55"/>
    <w:qFormat/>
    <w:uiPriority w:val="0"/>
    <w:rPr>
      <w:kern w:val="2"/>
      <w:sz w:val="18"/>
      <w:szCs w:val="24"/>
    </w:rPr>
  </w:style>
  <w:style w:type="paragraph" w:customStyle="1" w:styleId="125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126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27">
    <w:name w:val="标题 Char"/>
    <w:basedOn w:val="90"/>
    <w:link w:val="84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28">
    <w:name w:val="t_tag"/>
    <w:basedOn w:val="90"/>
    <w:qFormat/>
    <w:uiPriority w:val="0"/>
  </w:style>
  <w:style w:type="character" w:customStyle="1" w:styleId="129">
    <w:name w:val="apple-converted-space"/>
    <w:basedOn w:val="90"/>
    <w:qFormat/>
    <w:uiPriority w:val="0"/>
  </w:style>
  <w:style w:type="character" w:customStyle="1" w:styleId="130">
    <w:name w:val="apple-style-span"/>
    <w:basedOn w:val="90"/>
    <w:qFormat/>
    <w:uiPriority w:val="0"/>
  </w:style>
  <w:style w:type="character" w:customStyle="1" w:styleId="131">
    <w:name w:val="日期 Char"/>
    <w:basedOn w:val="90"/>
    <w:link w:val="50"/>
    <w:qFormat/>
    <w:uiPriority w:val="0"/>
    <w:rPr>
      <w:kern w:val="2"/>
      <w:sz w:val="21"/>
      <w:szCs w:val="24"/>
    </w:rPr>
  </w:style>
  <w:style w:type="character" w:customStyle="1" w:styleId="132">
    <w:name w:val="HTML 预设格式 Char"/>
    <w:basedOn w:val="90"/>
    <w:link w:val="80"/>
    <w:qFormat/>
    <w:uiPriority w:val="99"/>
    <w:rPr>
      <w:rFonts w:ascii="宋体" w:hAnsi="宋体" w:cs="宋体"/>
      <w:sz w:val="24"/>
      <w:szCs w:val="24"/>
    </w:rPr>
  </w:style>
  <w:style w:type="character" w:customStyle="1" w:styleId="133">
    <w:name w:val="纯文本 Char"/>
    <w:basedOn w:val="90"/>
    <w:link w:val="4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4">
    <w:name w:val="批注主题 Char"/>
    <w:basedOn w:val="122"/>
    <w:link w:val="85"/>
    <w:qFormat/>
    <w:uiPriority w:val="0"/>
    <w:rPr>
      <w:b/>
      <w:bCs/>
      <w:kern w:val="2"/>
      <w:sz w:val="21"/>
      <w:szCs w:val="24"/>
    </w:rPr>
  </w:style>
  <w:style w:type="character" w:customStyle="1" w:styleId="135">
    <w:name w:val="批注框文本 Char"/>
    <w:basedOn w:val="90"/>
    <w:link w:val="54"/>
    <w:qFormat/>
    <w:uiPriority w:val="0"/>
    <w:rPr>
      <w:kern w:val="2"/>
      <w:sz w:val="18"/>
      <w:szCs w:val="18"/>
    </w:rPr>
  </w:style>
  <w:style w:type="paragraph" w:styleId="136">
    <w:name w:val="List Paragraph"/>
    <w:basedOn w:val="1"/>
    <w:qFormat/>
    <w:uiPriority w:val="34"/>
    <w:pPr>
      <w:ind w:firstLine="420" w:firstLineChars="200"/>
    </w:pPr>
  </w:style>
  <w:style w:type="character" w:customStyle="1" w:styleId="137">
    <w:name w:val="段 Char Char"/>
    <w:basedOn w:val="90"/>
    <w:link w:val="121"/>
    <w:qFormat/>
    <w:uiPriority w:val="0"/>
    <w:rPr>
      <w:rFonts w:ascii="宋体" w:hAnsi="宋体"/>
      <w:sz w:val="21"/>
    </w:rPr>
  </w:style>
  <w:style w:type="character" w:customStyle="1" w:styleId="138">
    <w:name w:val="short_text1"/>
    <w:basedOn w:val="90"/>
    <w:qFormat/>
    <w:uiPriority w:val="0"/>
    <w:rPr>
      <w:sz w:val="19"/>
      <w:szCs w:val="19"/>
    </w:rPr>
  </w:style>
  <w:style w:type="paragraph" w:customStyle="1" w:styleId="139">
    <w:name w:val="2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0">
    <w:name w:val="上标"/>
    <w:qFormat/>
    <w:uiPriority w:val="0"/>
    <w:rPr>
      <w:vertAlign w:val="superscript"/>
    </w:rPr>
  </w:style>
  <w:style w:type="character" w:customStyle="1" w:styleId="141">
    <w:name w:val="z题名页日期"/>
    <w:qFormat/>
    <w:uiPriority w:val="0"/>
    <w:rPr>
      <w:rFonts w:ascii="Times New Roman" w:hAnsi="Times New Roman" w:eastAsia="宋体"/>
      <w:spacing w:val="0"/>
      <w:sz w:val="28"/>
    </w:rPr>
  </w:style>
  <w:style w:type="character" w:customStyle="1" w:styleId="142">
    <w:name w:val="z题名页其他"/>
    <w:qFormat/>
    <w:uiPriority w:val="0"/>
    <w:rPr>
      <w:rFonts w:ascii="Times New Roman" w:hAnsi="Times New Roman" w:eastAsia="宋体"/>
      <w:sz w:val="21"/>
    </w:rPr>
  </w:style>
  <w:style w:type="character" w:customStyle="1" w:styleId="143">
    <w:name w:val="datatitle1"/>
    <w:qFormat/>
    <w:uiPriority w:val="0"/>
    <w:rPr>
      <w:b/>
      <w:bCs/>
      <w:color w:val="10619F"/>
      <w:sz w:val="21"/>
      <w:szCs w:val="21"/>
    </w:rPr>
  </w:style>
  <w:style w:type="character" w:customStyle="1" w:styleId="144">
    <w:name w:val="z题名页作者"/>
    <w:basedOn w:val="145"/>
    <w:qFormat/>
    <w:uiPriority w:val="0"/>
    <w:rPr>
      <w:rFonts w:ascii="Times New Roman" w:hAnsi="Times New Roman" w:eastAsia="宋体"/>
      <w:sz w:val="28"/>
    </w:rPr>
  </w:style>
  <w:style w:type="character" w:customStyle="1" w:styleId="145">
    <w:name w:val="z题名页题名"/>
    <w:qFormat/>
    <w:uiPriority w:val="0"/>
    <w:rPr>
      <w:rFonts w:ascii="Times New Roman" w:hAnsi="Times New Roman" w:eastAsia="宋体"/>
      <w:sz w:val="28"/>
    </w:rPr>
  </w:style>
  <w:style w:type="character" w:customStyle="1" w:styleId="146">
    <w:name w:val="z封面题名"/>
    <w:qFormat/>
    <w:uiPriority w:val="0"/>
    <w:rPr>
      <w:rFonts w:ascii="Times New Roman" w:hAnsi="Times New Roman" w:eastAsia="宋体"/>
      <w:b/>
      <w:spacing w:val="0"/>
      <w:sz w:val="36"/>
    </w:rPr>
  </w:style>
  <w:style w:type="character" w:customStyle="1" w:styleId="147">
    <w:name w:val="z封面其他"/>
    <w:qFormat/>
    <w:uiPriority w:val="0"/>
    <w:rPr>
      <w:rFonts w:ascii="Times New Roman" w:hAnsi="Times New Roman" w:eastAsia="宋体"/>
      <w:spacing w:val="0"/>
      <w:sz w:val="30"/>
    </w:rPr>
  </w:style>
  <w:style w:type="character" w:customStyle="1" w:styleId="148">
    <w:name w:val="u关键词"/>
    <w:qFormat/>
    <w:uiPriority w:val="0"/>
    <w:rPr>
      <w:rFonts w:ascii="Times New Roman" w:hAnsi="Times New Roman" w:eastAsia="黑体"/>
      <w:b/>
      <w:sz w:val="24"/>
    </w:rPr>
  </w:style>
  <w:style w:type="character" w:customStyle="1" w:styleId="149">
    <w:name w:val="u正文 Char Char"/>
    <w:link w:val="150"/>
    <w:qFormat/>
    <w:uiPriority w:val="0"/>
    <w:rPr>
      <w:rFonts w:cs="宋体"/>
      <w:kern w:val="2"/>
      <w:sz w:val="24"/>
      <w:szCs w:val="24"/>
    </w:rPr>
  </w:style>
  <w:style w:type="paragraph" w:customStyle="1" w:styleId="150">
    <w:name w:val="u正文 Char"/>
    <w:basedOn w:val="1"/>
    <w:link w:val="149"/>
    <w:qFormat/>
    <w:uiPriority w:val="0"/>
    <w:pPr>
      <w:spacing w:beforeLines="10" w:afterLines="10" w:line="312" w:lineRule="auto"/>
      <w:ind w:firstLine="200" w:firstLineChars="200"/>
    </w:pPr>
    <w:rPr>
      <w:rFonts w:cs="宋体"/>
      <w:sz w:val="24"/>
    </w:rPr>
  </w:style>
  <w:style w:type="character" w:customStyle="1" w:styleId="151">
    <w:name w:val="z封二题名"/>
    <w:qFormat/>
    <w:uiPriority w:val="0"/>
    <w:rPr>
      <w:rFonts w:ascii="Times New Roman" w:hAnsi="Times New Roman" w:eastAsia="宋体"/>
      <w:sz w:val="36"/>
    </w:rPr>
  </w:style>
  <w:style w:type="character" w:customStyle="1" w:styleId="152">
    <w:name w:val="z书脊"/>
    <w:qFormat/>
    <w:uiPriority w:val="0"/>
    <w:rPr>
      <w:rFonts w:ascii="Times New Roman" w:hAnsi="Times New Roman" w:eastAsia="宋体"/>
      <w:b/>
      <w:sz w:val="32"/>
    </w:rPr>
  </w:style>
  <w:style w:type="character" w:customStyle="1" w:styleId="153">
    <w:name w:val="z封二其他"/>
    <w:qFormat/>
    <w:uiPriority w:val="0"/>
    <w:rPr>
      <w:rFonts w:ascii="Times New Roman" w:hAnsi="Times New Roman" w:eastAsia="宋体"/>
      <w:sz w:val="24"/>
    </w:rPr>
  </w:style>
  <w:style w:type="character" w:customStyle="1" w:styleId="154">
    <w:name w:val="宏文本 Char"/>
    <w:basedOn w:val="90"/>
    <w:link w:val="2"/>
    <w:qFormat/>
    <w:uiPriority w:val="0"/>
    <w:rPr>
      <w:rFonts w:ascii="Courier New" w:hAnsi="Courier New" w:cs="Courier New"/>
      <w:kern w:val="2"/>
      <w:sz w:val="24"/>
      <w:szCs w:val="24"/>
    </w:rPr>
  </w:style>
  <w:style w:type="character" w:customStyle="1" w:styleId="155">
    <w:name w:val="正文文本 Char"/>
    <w:basedOn w:val="90"/>
    <w:link w:val="34"/>
    <w:qFormat/>
    <w:uiPriority w:val="0"/>
    <w:rPr>
      <w:kern w:val="2"/>
      <w:sz w:val="21"/>
      <w:szCs w:val="24"/>
    </w:rPr>
  </w:style>
  <w:style w:type="character" w:customStyle="1" w:styleId="156">
    <w:name w:val="正文首行缩进 Char"/>
    <w:basedOn w:val="155"/>
    <w:link w:val="86"/>
    <w:qFormat/>
    <w:uiPriority w:val="0"/>
    <w:rPr>
      <w:kern w:val="2"/>
      <w:sz w:val="21"/>
      <w:szCs w:val="24"/>
    </w:rPr>
  </w:style>
  <w:style w:type="character" w:customStyle="1" w:styleId="157">
    <w:name w:val="正文文本缩进 Char"/>
    <w:basedOn w:val="90"/>
    <w:link w:val="35"/>
    <w:qFormat/>
    <w:uiPriority w:val="0"/>
    <w:rPr>
      <w:kern w:val="2"/>
      <w:sz w:val="21"/>
      <w:szCs w:val="24"/>
    </w:rPr>
  </w:style>
  <w:style w:type="character" w:customStyle="1" w:styleId="158">
    <w:name w:val="正文首行缩进 2 Char"/>
    <w:basedOn w:val="157"/>
    <w:link w:val="87"/>
    <w:qFormat/>
    <w:uiPriority w:val="0"/>
    <w:rPr>
      <w:kern w:val="2"/>
      <w:sz w:val="21"/>
      <w:szCs w:val="24"/>
    </w:rPr>
  </w:style>
  <w:style w:type="character" w:customStyle="1" w:styleId="159">
    <w:name w:val="文档结构图 Char"/>
    <w:basedOn w:val="90"/>
    <w:link w:val="26"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60">
    <w:name w:val="正文文本 3 Char"/>
    <w:basedOn w:val="90"/>
    <w:link w:val="31"/>
    <w:qFormat/>
    <w:uiPriority w:val="0"/>
    <w:rPr>
      <w:kern w:val="2"/>
      <w:sz w:val="16"/>
      <w:szCs w:val="16"/>
    </w:rPr>
  </w:style>
  <w:style w:type="character" w:customStyle="1" w:styleId="161">
    <w:name w:val="HTML 地址 Char"/>
    <w:basedOn w:val="90"/>
    <w:link w:val="41"/>
    <w:qFormat/>
    <w:uiPriority w:val="0"/>
    <w:rPr>
      <w:i/>
      <w:iCs/>
      <w:kern w:val="2"/>
      <w:sz w:val="21"/>
      <w:szCs w:val="24"/>
    </w:rPr>
  </w:style>
  <w:style w:type="character" w:customStyle="1" w:styleId="162">
    <w:name w:val="正文文本缩进 3 Char"/>
    <w:basedOn w:val="90"/>
    <w:link w:val="70"/>
    <w:qFormat/>
    <w:uiPriority w:val="0"/>
    <w:rPr>
      <w:kern w:val="2"/>
      <w:sz w:val="16"/>
      <w:szCs w:val="16"/>
    </w:rPr>
  </w:style>
  <w:style w:type="character" w:customStyle="1" w:styleId="163">
    <w:name w:val="电子邮件签名 Char"/>
    <w:basedOn w:val="90"/>
    <w:link w:val="19"/>
    <w:qFormat/>
    <w:uiPriority w:val="0"/>
    <w:rPr>
      <w:kern w:val="2"/>
      <w:sz w:val="21"/>
      <w:szCs w:val="24"/>
    </w:rPr>
  </w:style>
  <w:style w:type="character" w:customStyle="1" w:styleId="164">
    <w:name w:val="签名 Char"/>
    <w:basedOn w:val="90"/>
    <w:link w:val="58"/>
    <w:qFormat/>
    <w:uiPriority w:val="0"/>
    <w:rPr>
      <w:kern w:val="2"/>
      <w:sz w:val="21"/>
      <w:szCs w:val="24"/>
    </w:rPr>
  </w:style>
  <w:style w:type="character" w:customStyle="1" w:styleId="165">
    <w:name w:val="脚注文本 Char"/>
    <w:basedOn w:val="90"/>
    <w:link w:val="67"/>
    <w:qFormat/>
    <w:uiPriority w:val="0"/>
    <w:rPr>
      <w:kern w:val="2"/>
      <w:sz w:val="18"/>
      <w:szCs w:val="18"/>
    </w:rPr>
  </w:style>
  <w:style w:type="character" w:customStyle="1" w:styleId="166">
    <w:name w:val="注释标题 Char"/>
    <w:basedOn w:val="90"/>
    <w:link w:val="16"/>
    <w:qFormat/>
    <w:uiPriority w:val="0"/>
    <w:rPr>
      <w:kern w:val="2"/>
      <w:sz w:val="21"/>
      <w:szCs w:val="24"/>
    </w:rPr>
  </w:style>
  <w:style w:type="character" w:customStyle="1" w:styleId="167">
    <w:name w:val="正文文本 2 Char"/>
    <w:basedOn w:val="90"/>
    <w:link w:val="76"/>
    <w:qFormat/>
    <w:uiPriority w:val="0"/>
    <w:rPr>
      <w:kern w:val="2"/>
      <w:sz w:val="21"/>
      <w:szCs w:val="24"/>
    </w:rPr>
  </w:style>
  <w:style w:type="character" w:customStyle="1" w:styleId="168">
    <w:name w:val="称呼 Char"/>
    <w:basedOn w:val="90"/>
    <w:link w:val="30"/>
    <w:qFormat/>
    <w:uiPriority w:val="0"/>
    <w:rPr>
      <w:kern w:val="2"/>
      <w:sz w:val="21"/>
      <w:szCs w:val="24"/>
    </w:rPr>
  </w:style>
  <w:style w:type="character" w:customStyle="1" w:styleId="169">
    <w:name w:val="尾注文本 Char"/>
    <w:basedOn w:val="90"/>
    <w:link w:val="52"/>
    <w:qFormat/>
    <w:uiPriority w:val="0"/>
    <w:rPr>
      <w:kern w:val="2"/>
      <w:sz w:val="21"/>
      <w:szCs w:val="24"/>
    </w:rPr>
  </w:style>
  <w:style w:type="character" w:customStyle="1" w:styleId="170">
    <w:name w:val="结束语 Char"/>
    <w:basedOn w:val="90"/>
    <w:link w:val="32"/>
    <w:qFormat/>
    <w:uiPriority w:val="0"/>
    <w:rPr>
      <w:kern w:val="2"/>
      <w:sz w:val="21"/>
      <w:szCs w:val="24"/>
    </w:rPr>
  </w:style>
  <w:style w:type="character" w:customStyle="1" w:styleId="171">
    <w:name w:val="正文文本缩进 2 Char"/>
    <w:basedOn w:val="90"/>
    <w:link w:val="51"/>
    <w:qFormat/>
    <w:uiPriority w:val="0"/>
    <w:rPr>
      <w:kern w:val="2"/>
      <w:sz w:val="21"/>
      <w:szCs w:val="24"/>
    </w:rPr>
  </w:style>
  <w:style w:type="character" w:customStyle="1" w:styleId="172">
    <w:name w:val="副标题 Char"/>
    <w:basedOn w:val="90"/>
    <w:link w:val="64"/>
    <w:qFormat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173">
    <w:name w:val="信息标题 Char"/>
    <w:basedOn w:val="90"/>
    <w:link w:val="79"/>
    <w:qFormat/>
    <w:uiPriority w:val="0"/>
    <w:rPr>
      <w:rFonts w:ascii="Arial" w:hAnsi="Arial" w:cs="Arial"/>
      <w:kern w:val="2"/>
      <w:sz w:val="24"/>
      <w:szCs w:val="24"/>
      <w:shd w:val="pct20" w:color="auto" w:fill="auto"/>
    </w:rPr>
  </w:style>
  <w:style w:type="paragraph" w:customStyle="1" w:styleId="174">
    <w:name w:val="u页眉"/>
    <w:basedOn w:val="1"/>
    <w:qFormat/>
    <w:uiPriority w:val="0"/>
    <w:pPr>
      <w:pBdr>
        <w:bottom w:val="single" w:color="auto" w:sz="4" w:space="1"/>
      </w:pBdr>
      <w:jc w:val="center"/>
    </w:pPr>
  </w:style>
  <w:style w:type="paragraph" w:customStyle="1" w:styleId="175">
    <w:name w:val="连续正文文字"/>
    <w:basedOn w:val="34"/>
    <w:qFormat/>
    <w:uiPriority w:val="0"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176">
    <w:name w:val="正文（结尾部分）"/>
    <w:basedOn w:val="1"/>
    <w:qFormat/>
    <w:uiPriority w:val="0"/>
    <w:pPr>
      <w:adjustRightInd w:val="0"/>
      <w:snapToGrid w:val="0"/>
      <w:spacing w:line="320" w:lineRule="exact"/>
      <w:ind w:firstLine="200" w:firstLineChars="200"/>
    </w:pPr>
  </w:style>
  <w:style w:type="paragraph" w:customStyle="1" w:styleId="177">
    <w:name w:val="基准页眉样式"/>
    <w:basedOn w:val="34"/>
    <w:qFormat/>
    <w:uiPriority w:val="0"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178">
    <w:name w:val="图标题"/>
    <w:basedOn w:val="1"/>
    <w:next w:val="1"/>
    <w:qFormat/>
    <w:uiPriority w:val="0"/>
    <w:pPr>
      <w:widowControl/>
      <w:spacing w:before="200" w:after="400" w:line="312" w:lineRule="auto"/>
      <w:ind w:firstLine="476"/>
      <w:jc w:val="center"/>
    </w:pPr>
    <w:rPr>
      <w:b/>
      <w:spacing w:val="-5"/>
      <w:kern w:val="0"/>
      <w:sz w:val="24"/>
      <w:szCs w:val="20"/>
    </w:rPr>
  </w:style>
  <w:style w:type="paragraph" w:customStyle="1" w:styleId="179">
    <w:name w:val="五级条标题"/>
    <w:basedOn w:val="180"/>
    <w:next w:val="121"/>
    <w:qFormat/>
    <w:uiPriority w:val="0"/>
    <w:pPr>
      <w:tabs>
        <w:tab w:val="left" w:pos="1680"/>
        <w:tab w:val="left" w:pos="2100"/>
        <w:tab w:val="left" w:pos="2520"/>
        <w:tab w:val="left" w:pos="2940"/>
        <w:tab w:val="left" w:pos="3360"/>
      </w:tabs>
      <w:ind w:left="3360"/>
      <w:outlineLvl w:val="6"/>
    </w:pPr>
  </w:style>
  <w:style w:type="paragraph" w:customStyle="1" w:styleId="180">
    <w:name w:val="四级条标题"/>
    <w:basedOn w:val="181"/>
    <w:next w:val="121"/>
    <w:qFormat/>
    <w:uiPriority w:val="0"/>
    <w:pPr>
      <w:tabs>
        <w:tab w:val="left" w:pos="1680"/>
        <w:tab w:val="left" w:pos="2100"/>
        <w:tab w:val="left" w:pos="2520"/>
        <w:tab w:val="left" w:pos="2940"/>
      </w:tabs>
      <w:ind w:left="2940"/>
      <w:outlineLvl w:val="5"/>
    </w:pPr>
  </w:style>
  <w:style w:type="paragraph" w:customStyle="1" w:styleId="181">
    <w:name w:val="三级条标题"/>
    <w:basedOn w:val="182"/>
    <w:next w:val="121"/>
    <w:qFormat/>
    <w:uiPriority w:val="0"/>
    <w:pPr>
      <w:tabs>
        <w:tab w:val="left" w:pos="1680"/>
        <w:tab w:val="left" w:pos="2100"/>
        <w:tab w:val="left" w:pos="2520"/>
      </w:tabs>
      <w:ind w:left="2520"/>
      <w:outlineLvl w:val="4"/>
    </w:pPr>
  </w:style>
  <w:style w:type="paragraph" w:customStyle="1" w:styleId="182">
    <w:name w:val="二级条标题"/>
    <w:basedOn w:val="183"/>
    <w:next w:val="121"/>
    <w:qFormat/>
    <w:uiPriority w:val="0"/>
    <w:pPr>
      <w:tabs>
        <w:tab w:val="left" w:pos="1680"/>
        <w:tab w:val="left" w:pos="2100"/>
      </w:tabs>
      <w:ind w:left="2100"/>
      <w:outlineLvl w:val="3"/>
    </w:pPr>
  </w:style>
  <w:style w:type="paragraph" w:customStyle="1" w:styleId="183">
    <w:name w:val="一级条标题"/>
    <w:basedOn w:val="120"/>
    <w:next w:val="121"/>
    <w:qFormat/>
    <w:uiPriority w:val="0"/>
    <w:pPr>
      <w:tabs>
        <w:tab w:val="left" w:pos="1680"/>
        <w:tab w:val="clear" w:pos="675"/>
      </w:tabs>
      <w:spacing w:beforeLines="0" w:afterLines="0"/>
      <w:ind w:left="1680" w:hanging="420"/>
      <w:outlineLvl w:val="2"/>
    </w:pPr>
  </w:style>
  <w:style w:type="paragraph" w:customStyle="1" w:styleId="184">
    <w:name w:val="附录"/>
    <w:basedOn w:val="3"/>
    <w:next w:val="1"/>
    <w:qFormat/>
    <w:uiPriority w:val="0"/>
    <w:pPr>
      <w:widowControl/>
      <w:tabs>
        <w:tab w:val="left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185">
    <w:name w:val="样式 u正文 + 首行缩进:  2 字符 段前: 0.5 行 段后: 0.5 行"/>
    <w:basedOn w:val="186"/>
    <w:qFormat/>
    <w:uiPriority w:val="0"/>
  </w:style>
  <w:style w:type="paragraph" w:customStyle="1" w:styleId="186">
    <w:name w:val="u正文"/>
    <w:basedOn w:val="1"/>
    <w:qFormat/>
    <w:uiPriority w:val="0"/>
    <w:pPr>
      <w:spacing w:beforeLines="10" w:afterLines="10" w:line="312" w:lineRule="auto"/>
      <w:ind w:firstLine="200" w:firstLineChars="200"/>
    </w:pPr>
    <w:rPr>
      <w:rFonts w:cs="宋体"/>
      <w:sz w:val="24"/>
      <w:szCs w:val="20"/>
    </w:rPr>
  </w:style>
  <w:style w:type="paragraph" w:customStyle="1" w:styleId="187">
    <w:name w:val="u标题 自动分页"/>
    <w:basedOn w:val="188"/>
    <w:next w:val="186"/>
    <w:qFormat/>
    <w:uiPriority w:val="0"/>
    <w:pPr>
      <w:pageBreakBefore/>
    </w:pPr>
  </w:style>
  <w:style w:type="paragraph" w:customStyle="1" w:styleId="188">
    <w:name w:val="u标题"/>
    <w:basedOn w:val="3"/>
    <w:next w:val="150"/>
    <w:qFormat/>
    <w:uiPriority w:val="0"/>
    <w:pPr>
      <w:spacing w:line="576" w:lineRule="auto"/>
      <w:jc w:val="center"/>
    </w:pPr>
    <w:rPr>
      <w:rFonts w:eastAsia="黑体"/>
      <w:sz w:val="30"/>
    </w:rPr>
  </w:style>
  <w:style w:type="paragraph" w:customStyle="1" w:styleId="189">
    <w:name w:val="基准页脚样式"/>
    <w:basedOn w:val="34"/>
    <w:qFormat/>
    <w:uiPriority w:val="0"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190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1">
    <w:name w:val="样式 u正文 + 首行缩进:  2 字符 段前: 0.5 行 段后: 0.5 行1"/>
    <w:basedOn w:val="186"/>
    <w:qFormat/>
    <w:uiPriority w:val="0"/>
  </w:style>
  <w:style w:type="paragraph" w:customStyle="1" w:styleId="192">
    <w:name w:val="前言、引言标题"/>
    <w:next w:val="1"/>
    <w:qFormat/>
    <w:uiPriority w:val="0"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3">
    <w:name w:val="ustb bt1"/>
    <w:basedOn w:val="3"/>
    <w:qFormat/>
    <w:uiPriority w:val="0"/>
    <w:pPr>
      <w:spacing w:line="576" w:lineRule="auto"/>
    </w:pPr>
  </w:style>
  <w:style w:type="paragraph" w:customStyle="1" w:styleId="194">
    <w:name w:val="u正文2级标题"/>
    <w:basedOn w:val="4"/>
    <w:next w:val="1"/>
    <w:qFormat/>
    <w:uiPriority w:val="0"/>
    <w:pPr>
      <w:spacing w:line="312" w:lineRule="auto"/>
      <w:ind w:left="360"/>
    </w:pPr>
    <w:rPr>
      <w:rFonts w:ascii="Times New Roman" w:hAnsi="Times New Roman" w:eastAsia="Times New Roman"/>
      <w:sz w:val="28"/>
    </w:rPr>
  </w:style>
  <w:style w:type="paragraph" w:customStyle="1" w:styleId="195">
    <w:name w:val="u参考文献条目著者出版年制"/>
    <w:basedOn w:val="1"/>
    <w:qFormat/>
    <w:uiPriority w:val="0"/>
    <w:pPr>
      <w:spacing w:line="312" w:lineRule="auto"/>
      <w:ind w:left="200" w:hanging="200" w:hangingChars="200"/>
    </w:pPr>
    <w:rPr>
      <w:sz w:val="24"/>
    </w:rPr>
  </w:style>
  <w:style w:type="paragraph" w:customStyle="1" w:styleId="196">
    <w:name w:val="基准标题"/>
    <w:basedOn w:val="34"/>
    <w:next w:val="34"/>
    <w:qFormat/>
    <w:uiPriority w:val="0"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19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98">
    <w:name w:val="u附录标题"/>
    <w:basedOn w:val="187"/>
    <w:qFormat/>
    <w:uiPriority w:val="0"/>
    <w:pPr>
      <w:pageBreakBefore w:val="0"/>
      <w:tabs>
        <w:tab w:val="left" w:pos="735"/>
        <w:tab w:val="left" w:pos="907"/>
      </w:tabs>
      <w:ind w:left="735" w:hanging="735"/>
      <w:jc w:val="left"/>
    </w:pPr>
  </w:style>
  <w:style w:type="paragraph" w:customStyle="1" w:styleId="199">
    <w:name w:val="样式 u正文 + 首行缩进:  2 字符 段前: 0.5 行1"/>
    <w:basedOn w:val="186"/>
    <w:qFormat/>
    <w:uiPriority w:val="0"/>
    <w:pPr>
      <w:spacing w:beforeLines="20"/>
    </w:pPr>
    <w:rPr>
      <w:kern w:val="0"/>
    </w:rPr>
  </w:style>
  <w:style w:type="paragraph" w:customStyle="1" w:styleId="200">
    <w:name w:val="u表标题"/>
    <w:basedOn w:val="1"/>
    <w:qFormat/>
    <w:uiPriority w:val="0"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201">
    <w:name w:val="图表题"/>
    <w:basedOn w:val="1"/>
    <w:qFormat/>
    <w:uiPriority w:val="0"/>
    <w:pPr>
      <w:adjustRightInd w:val="0"/>
      <w:snapToGrid w:val="0"/>
      <w:spacing w:line="400" w:lineRule="exact"/>
      <w:jc w:val="center"/>
    </w:pPr>
  </w:style>
  <w:style w:type="paragraph" w:customStyle="1" w:styleId="202">
    <w:name w:val="样式 u正文 + 首行缩进:  2 字符 段前: 0.5 行"/>
    <w:basedOn w:val="186"/>
    <w:qFormat/>
    <w:uiPriority w:val="0"/>
    <w:pPr>
      <w:spacing w:beforeLines="0" w:beforeAutospacing="1"/>
    </w:pPr>
  </w:style>
  <w:style w:type="paragraph" w:customStyle="1" w:styleId="203">
    <w:name w:val="u正文1级标题"/>
    <w:basedOn w:val="3"/>
    <w:next w:val="1"/>
    <w:qFormat/>
    <w:uiPriority w:val="0"/>
    <w:pPr>
      <w:pageBreakBefore/>
      <w:spacing w:after="340" w:line="312" w:lineRule="auto"/>
    </w:pPr>
    <w:rPr>
      <w:rFonts w:eastAsia="黑体"/>
      <w:sz w:val="30"/>
    </w:rPr>
  </w:style>
  <w:style w:type="paragraph" w:customStyle="1" w:styleId="204">
    <w:name w:val="u脚注"/>
    <w:basedOn w:val="1"/>
    <w:qFormat/>
    <w:uiPriority w:val="0"/>
    <w:pPr>
      <w:spacing w:before="100" w:beforeAutospacing="1" w:after="100" w:afterAutospacing="1"/>
    </w:pPr>
  </w:style>
  <w:style w:type="paragraph" w:customStyle="1" w:styleId="205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06">
    <w:name w:val="尾消息标题"/>
    <w:basedOn w:val="1"/>
    <w:next w:val="34"/>
    <w:qFormat/>
    <w:uiPriority w:val="0"/>
    <w:pPr>
      <w:widowControl/>
      <w:pBdr>
        <w:bottom w:val="single" w:color="auto" w:sz="6" w:space="19"/>
        <w:between w:val="single" w:color="auto" w:sz="6" w:space="19"/>
      </w:pBdr>
      <w:tabs>
        <w:tab w:val="left" w:pos="1260"/>
        <w:tab w:val="left" w:pos="2940"/>
      </w:tabs>
      <w:spacing w:before="120" w:after="120" w:line="312" w:lineRule="auto"/>
      <w:jc w:val="left"/>
    </w:pPr>
    <w:rPr>
      <w:spacing w:val="-5"/>
      <w:kern w:val="0"/>
      <w:sz w:val="24"/>
      <w:szCs w:val="20"/>
    </w:rPr>
  </w:style>
  <w:style w:type="paragraph" w:customStyle="1" w:styleId="207">
    <w:name w:val="u正文3级标题"/>
    <w:basedOn w:val="5"/>
    <w:next w:val="1"/>
    <w:qFormat/>
    <w:uiPriority w:val="0"/>
    <w:pPr>
      <w:spacing w:line="312" w:lineRule="auto"/>
      <w:ind w:left="2160"/>
    </w:pPr>
    <w:rPr>
      <w:rFonts w:eastAsia="Times New Roman"/>
      <w:sz w:val="28"/>
    </w:rPr>
  </w:style>
  <w:style w:type="paragraph" w:customStyle="1" w:styleId="208">
    <w:name w:val="表标题"/>
    <w:basedOn w:val="1"/>
    <w:next w:val="1"/>
    <w:qFormat/>
    <w:uiPriority w:val="0"/>
    <w:pPr>
      <w:widowControl/>
      <w:spacing w:before="400" w:after="200" w:line="312" w:lineRule="auto"/>
      <w:jc w:val="left"/>
    </w:pPr>
    <w:rPr>
      <w:b/>
      <w:spacing w:val="-5"/>
      <w:kern w:val="0"/>
      <w:sz w:val="24"/>
      <w:szCs w:val="20"/>
    </w:rPr>
  </w:style>
  <w:style w:type="paragraph" w:customStyle="1" w:styleId="209">
    <w:name w:val="其他"/>
    <w:basedOn w:val="1"/>
    <w:qFormat/>
    <w:uiPriority w:val="0"/>
  </w:style>
  <w:style w:type="paragraph" w:customStyle="1" w:styleId="210">
    <w:name w:val="u参考文献条目顺序编码制"/>
    <w:basedOn w:val="1"/>
    <w:qFormat/>
    <w:uiPriority w:val="0"/>
    <w:pPr>
      <w:tabs>
        <w:tab w:val="left" w:pos="525"/>
        <w:tab w:val="left" w:pos="927"/>
      </w:tabs>
      <w:spacing w:before="100" w:beforeAutospacing="1" w:after="100" w:afterAutospacing="1" w:line="312" w:lineRule="auto"/>
      <w:ind w:left="525" w:hanging="525"/>
    </w:pPr>
    <w:rPr>
      <w:sz w:val="24"/>
    </w:rPr>
  </w:style>
  <w:style w:type="paragraph" w:customStyle="1" w:styleId="211">
    <w:name w:val="u正文 + 首行缩进:  2 字符 段前: 0.5 行2"/>
    <w:basedOn w:val="186"/>
    <w:qFormat/>
    <w:uiPriority w:val="0"/>
    <w:pPr>
      <w:spacing w:beforeLines="20"/>
    </w:pPr>
    <w:rPr>
      <w:kern w:val="0"/>
    </w:rPr>
  </w:style>
  <w:style w:type="paragraph" w:customStyle="1" w:styleId="212">
    <w:name w:val="u图标题"/>
    <w:basedOn w:val="1"/>
    <w:next w:val="186"/>
    <w:qFormat/>
    <w:uiPriority w:val="0"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213">
    <w:name w:val="样式 u表标题 + 段前: 1.5 行"/>
    <w:basedOn w:val="200"/>
    <w:qFormat/>
    <w:uiPriority w:val="0"/>
    <w:rPr>
      <w:rFonts w:cs="宋体"/>
      <w:bCs/>
      <w:szCs w:val="20"/>
    </w:rPr>
  </w:style>
  <w:style w:type="paragraph" w:customStyle="1" w:styleId="214">
    <w:name w:val="图片"/>
    <w:basedOn w:val="1"/>
    <w:next w:val="22"/>
    <w:qFormat/>
    <w:uiPriority w:val="0"/>
    <w:pPr>
      <w:keepNext/>
      <w:widowControl/>
      <w:spacing w:line="312" w:lineRule="auto"/>
      <w:ind w:firstLine="476"/>
      <w:jc w:val="left"/>
    </w:pPr>
    <w:rPr>
      <w:spacing w:val="-5"/>
      <w:kern w:val="0"/>
      <w:sz w:val="24"/>
      <w:szCs w:val="20"/>
    </w:rPr>
  </w:style>
  <w:style w:type="paragraph" w:customStyle="1" w:styleId="21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6">
    <w:name w:val="样式1"/>
    <w:basedOn w:val="1"/>
    <w:qFormat/>
    <w:uiPriority w:val="0"/>
    <w:pPr>
      <w:spacing w:beforeLines="10" w:afterLines="10" w:line="312" w:lineRule="auto"/>
      <w:ind w:firstLine="480" w:firstLineChars="200"/>
    </w:pPr>
    <w:rPr>
      <w:rFonts w:hAnsi="宋体" w:cs="宋体"/>
      <w:sz w:val="24"/>
    </w:rPr>
  </w:style>
  <w:style w:type="paragraph" w:customStyle="1" w:styleId="217">
    <w:name w:val="u标题 不入目录"/>
    <w:basedOn w:val="1"/>
    <w:qFormat/>
    <w:uiPriority w:val="0"/>
    <w:pPr>
      <w:jc w:val="center"/>
    </w:pPr>
    <w:rPr>
      <w:rFonts w:eastAsia="黑体"/>
      <w:b/>
      <w:sz w:val="30"/>
      <w:szCs w:val="30"/>
    </w:rPr>
  </w:style>
  <w:style w:type="paragraph" w:customStyle="1" w:styleId="218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7">
    <w:name w:val="xl7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28">
    <w:name w:val="xl72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29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0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1">
    <w:name w:val="xl7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2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3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4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235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6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7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8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39">
    <w:name w:val="xl83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0">
    <w:name w:val="xl84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1">
    <w:name w:val="xl85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42">
    <w:name w:val="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243">
    <w:name w:val="Placeholder Text"/>
    <w:basedOn w:val="90"/>
    <w:semiHidden/>
    <w:qFormat/>
    <w:uiPriority w:val="99"/>
    <w:rPr>
      <w:color w:val="808080"/>
    </w:rPr>
  </w:style>
  <w:style w:type="character" w:customStyle="1" w:styleId="244">
    <w:name w:val="段 Char"/>
    <w:qFormat/>
    <w:uiPriority w:val="0"/>
    <w:rPr>
      <w:rFonts w:ascii="宋体"/>
      <w:sz w:val="21"/>
      <w:lang w:bidi="ar-SA"/>
    </w:rPr>
  </w:style>
  <w:style w:type="paragraph" w:customStyle="1" w:styleId="245">
    <w:name w:val="附录标识"/>
    <w:basedOn w:val="192"/>
    <w:qFormat/>
    <w:uiPriority w:val="0"/>
    <w:pPr>
      <w:numPr>
        <w:ilvl w:val="0"/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246">
    <w:name w:val="附录章标题"/>
    <w:next w:val="121"/>
    <w:qFormat/>
    <w:uiPriority w:val="0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47">
    <w:name w:val="附录五级条标题"/>
    <w:basedOn w:val="248"/>
    <w:next w:val="121"/>
    <w:qFormat/>
    <w:uiPriority w:val="0"/>
    <w:pPr>
      <w:numPr>
        <w:ilvl w:val="6"/>
      </w:numPr>
      <w:outlineLvl w:val="6"/>
    </w:pPr>
  </w:style>
  <w:style w:type="paragraph" w:customStyle="1" w:styleId="248">
    <w:name w:val="附录四级条标题"/>
    <w:basedOn w:val="249"/>
    <w:next w:val="121"/>
    <w:qFormat/>
    <w:uiPriority w:val="0"/>
    <w:pPr>
      <w:numPr>
        <w:ilvl w:val="5"/>
      </w:numPr>
      <w:outlineLvl w:val="5"/>
    </w:pPr>
  </w:style>
  <w:style w:type="paragraph" w:customStyle="1" w:styleId="249">
    <w:name w:val="附录三级条标题"/>
    <w:basedOn w:val="250"/>
    <w:next w:val="121"/>
    <w:qFormat/>
    <w:uiPriority w:val="0"/>
    <w:pPr>
      <w:numPr>
        <w:ilvl w:val="4"/>
      </w:numPr>
      <w:outlineLvl w:val="4"/>
    </w:pPr>
  </w:style>
  <w:style w:type="paragraph" w:customStyle="1" w:styleId="250">
    <w:name w:val="附录二级条标题"/>
    <w:basedOn w:val="251"/>
    <w:next w:val="121"/>
    <w:qFormat/>
    <w:uiPriority w:val="0"/>
    <w:pPr>
      <w:numPr>
        <w:ilvl w:val="3"/>
      </w:numPr>
      <w:outlineLvl w:val="3"/>
    </w:pPr>
  </w:style>
  <w:style w:type="paragraph" w:customStyle="1" w:styleId="251">
    <w:name w:val="附录一级条标题"/>
    <w:basedOn w:val="246"/>
    <w:next w:val="121"/>
    <w:qFormat/>
    <w:uiPriority w:val="0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252">
    <w:name w:val="标准名称标题"/>
    <w:basedOn w:val="1"/>
    <w:next w:val="1"/>
    <w:qFormat/>
    <w:uiPriority w:val="0"/>
    <w:pPr>
      <w:widowControl/>
      <w:shd w:val="clear" w:color="FFFFFF" w:fill="FFFFFF"/>
      <w:spacing w:line="440" w:lineRule="exact"/>
      <w:jc w:val="center"/>
    </w:pPr>
    <w:rPr>
      <w:rFonts w:ascii="黑体" w:eastAsia="黑体"/>
      <w:kern w:val="0"/>
      <w:sz w:val="32"/>
      <w:szCs w:val="20"/>
    </w:rPr>
  </w:style>
  <w:style w:type="character" w:customStyle="1" w:styleId="253">
    <w:name w:val="font81"/>
    <w:basedOn w:val="90"/>
    <w:qFormat/>
    <w:uiPriority w:val="0"/>
    <w:rPr>
      <w:rFonts w:hint="default" w:ascii="Times New Roman" w:hAnsi="Times New Roman" w:cs="Times New Roman"/>
      <w:i/>
      <w:iCs/>
      <w:color w:val="000000"/>
      <w:sz w:val="18"/>
      <w:szCs w:val="18"/>
      <w:u w:val="none"/>
    </w:rPr>
  </w:style>
  <w:style w:type="character" w:customStyle="1" w:styleId="254">
    <w:name w:val="font61"/>
    <w:basedOn w:val="9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55">
    <w:name w:val="font71"/>
    <w:basedOn w:val="9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6">
    <w:name w:val="font91"/>
    <w:basedOn w:val="9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table" w:customStyle="1" w:styleId="257">
    <w:name w:val="网格型1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网格型2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网格型3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网格型4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网格型5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网格型6"/>
    <w:basedOn w:val="8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3">
    <w:name w:val="font11"/>
    <w:basedOn w:val="9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4">
    <w:name w:val="font41"/>
    <w:basedOn w:val="9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65">
    <w:name w:val="Unresolved Mention"/>
    <w:basedOn w:val="90"/>
    <w:semiHidden/>
    <w:unhideWhenUsed/>
    <w:uiPriority w:val="99"/>
    <w:rPr>
      <w:color w:val="605E5C"/>
      <w:shd w:val="clear" w:color="auto" w:fill="E1DFDD"/>
    </w:rPr>
  </w:style>
  <w:style w:type="paragraph" w:customStyle="1" w:styleId="266">
    <w:name w:val="_Style 2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6695-66CE-4BA2-A124-7C851D6D6E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16</Pages>
  <Words>8337</Words>
  <Characters>13557</Characters>
  <Lines>110</Lines>
  <Paragraphs>31</Paragraphs>
  <TotalTime>56</TotalTime>
  <ScaleCrop>false</ScaleCrop>
  <LinksUpToDate>false</LinksUpToDate>
  <CharactersWithSpaces>13679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2023-07-01T09:08:00Z</dcterms:created>
  <dc:creator>zljy05</dc:creator>
  <cp:lastModifiedBy>阮</cp:lastModifiedBy>
  <cp:lastPrinted>2018-08-20T12:57:00Z</cp:lastPrinted>
  <dcterms:modified xsi:type="dcterms:W3CDTF">2023-07-20T02:56:59Z</dcterms:modified>
  <dc:title>再生锌化学分析方法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6B1B90149FB546ACADD84FFDD26412DB</vt:lpwstr>
  </property>
</Properties>
</file>