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黑体" w:hAnsi="黑体" w:eastAsia="黑体" w:cs="Times New Roman"/>
          <w:color w:val="auto"/>
          <w:kern w:val="2"/>
          <w:sz w:val="28"/>
          <w:szCs w:val="28"/>
        </w:rPr>
      </w:pPr>
      <w:r>
        <w:rPr>
          <w:rFonts w:hint="eastAsia" w:ascii="黑体" w:hAnsi="黑体" w:eastAsia="黑体" w:cs="Times New Roman"/>
          <w:color w:val="auto"/>
          <w:kern w:val="2"/>
          <w:sz w:val="28"/>
          <w:szCs w:val="28"/>
        </w:rPr>
        <w:t>《真空断路器用银及其合金钎料环》</w:t>
      </w:r>
    </w:p>
    <w:p>
      <w:pPr>
        <w:jc w:val="center"/>
        <w:rPr>
          <w:rFonts w:ascii="黑体" w:hAnsi="黑体" w:eastAsia="黑体"/>
          <w:sz w:val="28"/>
          <w:szCs w:val="28"/>
        </w:rPr>
      </w:pPr>
      <w:r>
        <w:rPr>
          <w:rFonts w:ascii="黑体" w:hAnsi="黑体" w:eastAsia="黑体"/>
          <w:sz w:val="28"/>
          <w:szCs w:val="28"/>
        </w:rPr>
        <w:t>编制说明</w:t>
      </w:r>
    </w:p>
    <w:p>
      <w:pPr>
        <w:rPr>
          <w:rFonts w:ascii="Times New Roman" w:hAnsi="Times New Roman"/>
          <w:sz w:val="28"/>
          <w:szCs w:val="28"/>
        </w:rPr>
      </w:pPr>
    </w:p>
    <w:p>
      <w:pPr>
        <w:pStyle w:val="10"/>
        <w:numPr>
          <w:ilvl w:val="0"/>
          <w:numId w:val="2"/>
        </w:numPr>
        <w:ind w:firstLineChars="0"/>
        <w:rPr>
          <w:rFonts w:ascii="Times New Roman" w:hAnsi="Times New Roman"/>
          <w:sz w:val="28"/>
          <w:szCs w:val="28"/>
        </w:rPr>
      </w:pPr>
      <w:r>
        <w:rPr>
          <w:rFonts w:hint="eastAsia" w:ascii="宋体" w:hAnsi="宋体"/>
          <w:b/>
          <w:sz w:val="24"/>
        </w:rPr>
        <w:t>工作简况</w:t>
      </w:r>
    </w:p>
    <w:p>
      <w:pPr>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任务来源</w:t>
      </w:r>
    </w:p>
    <w:p>
      <w:pPr>
        <w:rPr>
          <w:rFonts w:ascii="宋体" w:hAnsi="宋体"/>
          <w:b/>
          <w:sz w:val="24"/>
        </w:rPr>
      </w:pPr>
      <w:r>
        <w:rPr>
          <w:rFonts w:hint="eastAsia" w:ascii="宋体" w:hAnsi="宋体"/>
          <w:b/>
          <w:sz w:val="24"/>
        </w:rPr>
        <w:t>1.1计划批准文件名称、文号及项目编号、项目名称、计划完成年限、项目名称更改说明、 编制组成员（单位）</w:t>
      </w:r>
    </w:p>
    <w:p>
      <w:pPr>
        <w:pStyle w:val="13"/>
        <w:spacing w:line="360" w:lineRule="auto"/>
        <w:ind w:firstLine="480"/>
        <w:rPr>
          <w:color w:val="000000" w:themeColor="text1"/>
          <w:sz w:val="24"/>
          <w:szCs w:val="24"/>
        </w:rPr>
      </w:pPr>
      <w:r>
        <w:rPr>
          <w:rFonts w:hint="eastAsia"/>
          <w:sz w:val="24"/>
          <w:szCs w:val="24"/>
        </w:rPr>
        <w:t>根据</w:t>
      </w:r>
      <w:r>
        <w:rPr>
          <w:sz w:val="24"/>
          <w:szCs w:val="24"/>
        </w:rPr>
        <w:t>2022年5月</w:t>
      </w:r>
      <w:r>
        <w:rPr>
          <w:rFonts w:hint="eastAsia"/>
          <w:sz w:val="24"/>
          <w:szCs w:val="24"/>
        </w:rPr>
        <w:t>有</w:t>
      </w:r>
      <w:r>
        <w:rPr>
          <w:rFonts w:hint="eastAsia"/>
          <w:color w:val="000000" w:themeColor="text1"/>
          <w:sz w:val="24"/>
          <w:szCs w:val="24"/>
        </w:rPr>
        <w:t>色金属行业</w:t>
      </w:r>
      <w:r>
        <w:rPr>
          <w:color w:val="000000" w:themeColor="text1"/>
          <w:sz w:val="24"/>
          <w:szCs w:val="24"/>
        </w:rPr>
        <w:t>标准委下达该标准的</w:t>
      </w:r>
      <w:r>
        <w:rPr>
          <w:rFonts w:hint="eastAsia"/>
          <w:color w:val="000000" w:themeColor="text1"/>
          <w:sz w:val="24"/>
          <w:szCs w:val="24"/>
        </w:rPr>
        <w:t>修订</w:t>
      </w:r>
      <w:r>
        <w:rPr>
          <w:color w:val="000000" w:themeColor="text1"/>
          <w:sz w:val="24"/>
          <w:szCs w:val="24"/>
        </w:rPr>
        <w:t>任务，</w:t>
      </w:r>
      <w:r>
        <w:rPr>
          <w:rFonts w:hint="eastAsia" w:ascii="Times New Roman"/>
          <w:color w:val="000000" w:themeColor="text1"/>
          <w:sz w:val="24"/>
          <w:szCs w:val="24"/>
        </w:rPr>
        <w:t>计划批准文件名称：《真空断路器用银及其合金钎料环》，</w:t>
      </w:r>
      <w:r>
        <w:rPr>
          <w:rFonts w:hint="eastAsia"/>
          <w:color w:val="000000" w:themeColor="text1"/>
          <w:sz w:val="24"/>
          <w:szCs w:val="24"/>
        </w:rPr>
        <w:t>计划文工信厅科函[202</w:t>
      </w:r>
      <w:r>
        <w:rPr>
          <w:color w:val="000000" w:themeColor="text1"/>
          <w:sz w:val="24"/>
          <w:szCs w:val="24"/>
        </w:rPr>
        <w:t>2</w:t>
      </w:r>
      <w:r>
        <w:rPr>
          <w:rFonts w:hint="eastAsia"/>
          <w:color w:val="000000" w:themeColor="text1"/>
          <w:sz w:val="24"/>
          <w:szCs w:val="24"/>
        </w:rPr>
        <w:t>]</w:t>
      </w:r>
      <w:r>
        <w:rPr>
          <w:color w:val="000000" w:themeColor="text1"/>
          <w:sz w:val="24"/>
          <w:szCs w:val="24"/>
        </w:rPr>
        <w:t>94</w:t>
      </w:r>
      <w:r>
        <w:rPr>
          <w:rFonts w:hint="eastAsia"/>
          <w:color w:val="000000" w:themeColor="text1"/>
          <w:sz w:val="24"/>
          <w:szCs w:val="24"/>
        </w:rPr>
        <w:t>号，计划号：</w:t>
      </w:r>
      <w:r>
        <w:fldChar w:fldCharType="begin"/>
      </w:r>
      <w:r>
        <w:instrText xml:space="preserve"> HYPERLINK "http://219.239.107.155:8080/TaskBook.aspx?id=YSCPXT23712020" </w:instrText>
      </w:r>
      <w:r>
        <w:fldChar w:fldCharType="separate"/>
      </w:r>
      <w:r>
        <w:rPr>
          <w:rFonts w:hint="eastAsia" w:ascii="Times New Roman"/>
          <w:color w:val="000000" w:themeColor="text1"/>
          <w:sz w:val="24"/>
          <w:szCs w:val="24"/>
        </w:rPr>
        <w:t>202</w:t>
      </w:r>
      <w:r>
        <w:rPr>
          <w:rFonts w:ascii="Times New Roman"/>
          <w:color w:val="000000" w:themeColor="text1"/>
          <w:sz w:val="24"/>
          <w:szCs w:val="24"/>
        </w:rPr>
        <w:t>2</w:t>
      </w:r>
      <w:r>
        <w:rPr>
          <w:rFonts w:hint="eastAsia" w:ascii="Times New Roman"/>
          <w:color w:val="000000" w:themeColor="text1"/>
          <w:sz w:val="24"/>
          <w:szCs w:val="24"/>
        </w:rPr>
        <w:t>-</w:t>
      </w:r>
      <w:r>
        <w:rPr>
          <w:rFonts w:ascii="Times New Roman"/>
          <w:color w:val="000000" w:themeColor="text1"/>
          <w:sz w:val="24"/>
          <w:szCs w:val="24"/>
        </w:rPr>
        <w:t>0247T</w:t>
      </w:r>
      <w:r>
        <w:rPr>
          <w:rFonts w:hint="eastAsia" w:ascii="Times New Roman"/>
          <w:color w:val="000000" w:themeColor="text1"/>
          <w:sz w:val="24"/>
          <w:szCs w:val="24"/>
        </w:rPr>
        <w:t>-YS</w:t>
      </w:r>
      <w:r>
        <w:rPr>
          <w:rFonts w:hint="eastAsia" w:ascii="Times New Roman"/>
          <w:color w:val="000000" w:themeColor="text1"/>
          <w:sz w:val="24"/>
          <w:szCs w:val="24"/>
        </w:rPr>
        <w:fldChar w:fldCharType="end"/>
      </w:r>
      <w:r>
        <w:rPr>
          <w:rFonts w:hint="eastAsia"/>
          <w:color w:val="000000" w:themeColor="text1"/>
          <w:sz w:val="24"/>
          <w:szCs w:val="24"/>
        </w:rPr>
        <w:t>。</w:t>
      </w:r>
      <w:r>
        <w:rPr>
          <w:rFonts w:hint="eastAsia" w:ascii="Times New Roman"/>
          <w:color w:val="000000" w:themeColor="text1"/>
          <w:sz w:val="24"/>
          <w:szCs w:val="24"/>
        </w:rPr>
        <w:t>项目名称：真空断路器用银及其合金钎料环。真空断路器用银及其合金钎料环</w:t>
      </w:r>
      <w:r>
        <w:rPr>
          <w:color w:val="000000" w:themeColor="text1"/>
          <w:sz w:val="24"/>
          <w:szCs w:val="24"/>
        </w:rPr>
        <w:t>项目</w:t>
      </w:r>
      <w:r>
        <w:rPr>
          <w:rFonts w:hint="eastAsia" w:ascii="Times New Roman"/>
          <w:color w:val="000000" w:themeColor="text1"/>
          <w:sz w:val="24"/>
          <w:szCs w:val="24"/>
        </w:rPr>
        <w:t>计划完成年限：</w:t>
      </w:r>
      <w:r>
        <w:rPr>
          <w:color w:val="000000" w:themeColor="text1"/>
          <w:sz w:val="24"/>
          <w:szCs w:val="24"/>
        </w:rPr>
        <w:t>起止时间为2022年</w:t>
      </w:r>
      <w:r>
        <w:rPr>
          <w:rFonts w:hint="eastAsia"/>
          <w:color w:val="000000" w:themeColor="text1"/>
          <w:sz w:val="24"/>
          <w:szCs w:val="24"/>
        </w:rPr>
        <w:t>5月</w:t>
      </w:r>
      <w:r>
        <w:rPr>
          <w:color w:val="000000" w:themeColor="text1"/>
          <w:sz w:val="24"/>
          <w:szCs w:val="24"/>
        </w:rPr>
        <w:t>～20</w:t>
      </w:r>
      <w:r>
        <w:rPr>
          <w:rFonts w:hint="eastAsia"/>
          <w:color w:val="000000" w:themeColor="text1"/>
          <w:sz w:val="24"/>
          <w:szCs w:val="24"/>
        </w:rPr>
        <w:t>2</w:t>
      </w:r>
      <w:r>
        <w:rPr>
          <w:color w:val="000000" w:themeColor="text1"/>
          <w:sz w:val="24"/>
          <w:szCs w:val="24"/>
        </w:rPr>
        <w:t>3年</w:t>
      </w:r>
      <w:r>
        <w:rPr>
          <w:rFonts w:hint="eastAsia"/>
          <w:color w:val="000000" w:themeColor="text1"/>
          <w:sz w:val="24"/>
          <w:szCs w:val="24"/>
        </w:rPr>
        <w:t>1</w:t>
      </w:r>
      <w:r>
        <w:rPr>
          <w:color w:val="000000" w:themeColor="text1"/>
          <w:sz w:val="24"/>
          <w:szCs w:val="24"/>
        </w:rPr>
        <w:t>0</w:t>
      </w:r>
      <w:r>
        <w:rPr>
          <w:rFonts w:hint="eastAsia"/>
          <w:color w:val="000000" w:themeColor="text1"/>
          <w:sz w:val="24"/>
          <w:szCs w:val="24"/>
        </w:rPr>
        <w:t>月。</w:t>
      </w:r>
      <w:r>
        <w:rPr>
          <w:color w:val="000000" w:themeColor="text1"/>
          <w:sz w:val="24"/>
          <w:szCs w:val="24"/>
        </w:rPr>
        <w:t xml:space="preserve"> </w:t>
      </w:r>
    </w:p>
    <w:p>
      <w:pPr>
        <w:ind w:firstLine="480" w:firstLineChars="200"/>
        <w:rPr>
          <w:rFonts w:ascii="Times New Roman" w:hAnsi="Times New Roman"/>
          <w:color w:val="000000" w:themeColor="text1"/>
          <w:kern w:val="0"/>
          <w:sz w:val="24"/>
          <w:szCs w:val="24"/>
        </w:rPr>
      </w:pPr>
      <w:r>
        <w:rPr>
          <w:rFonts w:hint="eastAsia" w:ascii="Times New Roman" w:hAnsi="Times New Roman"/>
          <w:color w:val="000000" w:themeColor="text1"/>
          <w:kern w:val="0"/>
          <w:sz w:val="24"/>
          <w:szCs w:val="24"/>
        </w:rPr>
        <w:t>编制组成员：</w:t>
      </w:r>
      <w:r>
        <w:rPr>
          <w:rFonts w:hint="eastAsia" w:ascii="宋体"/>
          <w:kern w:val="0"/>
          <w:sz w:val="24"/>
          <w:szCs w:val="24"/>
        </w:rPr>
        <w:t>贵研铂业股份有限公司、有色金属技术经济研究院有限责任公司、西北有色金属研究院、北京有色金属与稀土应用研究所。</w:t>
      </w:r>
      <w:r>
        <w:rPr>
          <w:rFonts w:ascii="Times New Roman" w:hAnsi="Times New Roman"/>
          <w:color w:val="000000" w:themeColor="text1"/>
          <w:kern w:val="0"/>
          <w:sz w:val="24"/>
          <w:szCs w:val="24"/>
        </w:rPr>
        <w:t>本</w:t>
      </w:r>
      <w:r>
        <w:rPr>
          <w:rFonts w:hint="eastAsia" w:ascii="Times New Roman" w:hAnsi="Times New Roman"/>
          <w:color w:val="000000" w:themeColor="text1"/>
          <w:kern w:val="0"/>
          <w:sz w:val="24"/>
          <w:szCs w:val="24"/>
        </w:rPr>
        <w:t>文件</w:t>
      </w:r>
      <w:r>
        <w:rPr>
          <w:rFonts w:ascii="Times New Roman" w:hAnsi="Times New Roman"/>
          <w:color w:val="000000" w:themeColor="text1"/>
          <w:kern w:val="0"/>
          <w:sz w:val="24"/>
          <w:szCs w:val="24"/>
        </w:rPr>
        <w:t>由全国有色金属标准化技术委员会</w:t>
      </w:r>
      <w:r>
        <w:rPr>
          <w:rFonts w:hint="eastAsia" w:ascii="Times New Roman" w:hAnsi="Times New Roman"/>
          <w:color w:val="000000" w:themeColor="text1"/>
          <w:kern w:val="0"/>
          <w:sz w:val="24"/>
          <w:szCs w:val="24"/>
        </w:rPr>
        <w:t>（SAC/TC 243）提出并</w:t>
      </w:r>
      <w:r>
        <w:rPr>
          <w:rFonts w:ascii="Times New Roman" w:hAnsi="Times New Roman"/>
          <w:color w:val="000000" w:themeColor="text1"/>
          <w:kern w:val="0"/>
          <w:sz w:val="24"/>
          <w:szCs w:val="24"/>
        </w:rPr>
        <w:t>归口</w:t>
      </w:r>
      <w:r>
        <w:rPr>
          <w:rFonts w:hint="eastAsia" w:ascii="Times New Roman" w:hAnsi="Times New Roman"/>
          <w:color w:val="000000" w:themeColor="text1"/>
          <w:kern w:val="0"/>
          <w:sz w:val="24"/>
          <w:szCs w:val="24"/>
        </w:rPr>
        <w:t>。</w:t>
      </w:r>
    </w:p>
    <w:p>
      <w:pPr>
        <w:rPr>
          <w:rFonts w:ascii="宋体" w:hAnsi="宋体"/>
          <w:b/>
          <w:sz w:val="24"/>
        </w:rPr>
      </w:pPr>
      <w:r>
        <w:rPr>
          <w:rFonts w:hint="eastAsia" w:ascii="宋体" w:hAnsi="宋体"/>
          <w:b/>
          <w:sz w:val="24"/>
        </w:rPr>
        <w:t>1.2项目编制组单位变化情况、编制组单位变更情况及原因（包括增加、删减及单位更名）、最终编制组单位（与报批稿一致）</w:t>
      </w:r>
    </w:p>
    <w:p>
      <w:pPr>
        <w:ind w:firstLine="480" w:firstLineChars="200"/>
        <w:rPr>
          <w:rFonts w:ascii="Times New Roman" w:hAnsi="Times New Roman"/>
          <w:kern w:val="0"/>
          <w:sz w:val="24"/>
          <w:szCs w:val="24"/>
        </w:rPr>
      </w:pPr>
      <w:r>
        <w:rPr>
          <w:rFonts w:hint="eastAsia" w:ascii="Times New Roman" w:hAnsi="Times New Roman"/>
          <w:kern w:val="0"/>
          <w:sz w:val="24"/>
          <w:szCs w:val="24"/>
        </w:rPr>
        <w:t>编制过程中项目编制组单位无变化。</w:t>
      </w:r>
    </w:p>
    <w:p>
      <w:pPr>
        <w:ind w:firstLine="480" w:firstLineChars="200"/>
        <w:rPr>
          <w:rFonts w:ascii="Times New Roman" w:hAnsi="Times New Roman"/>
          <w:kern w:val="0"/>
          <w:sz w:val="24"/>
          <w:szCs w:val="24"/>
        </w:rPr>
      </w:pPr>
    </w:p>
    <w:p>
      <w:pPr>
        <w:rPr>
          <w:rFonts w:ascii="宋体" w:hAnsi="宋体" w:cs="宋体"/>
          <w:b/>
          <w:kern w:val="0"/>
          <w:sz w:val="24"/>
        </w:rPr>
      </w:pPr>
      <w:r>
        <w:rPr>
          <w:rFonts w:hint="eastAsia" w:ascii="宋体" w:hAnsi="宋体" w:cs="宋体"/>
          <w:b/>
          <w:kern w:val="0"/>
          <w:sz w:val="24"/>
        </w:rPr>
        <w:t>（二）主要参加单位和工作成员及其所做的工作</w:t>
      </w:r>
    </w:p>
    <w:p>
      <w:pPr>
        <w:rPr>
          <w:rFonts w:ascii="宋体" w:hAnsi="宋体" w:cs="宋体"/>
          <w:b/>
          <w:kern w:val="0"/>
          <w:sz w:val="24"/>
        </w:rPr>
      </w:pPr>
      <w:r>
        <w:rPr>
          <w:rFonts w:hint="eastAsia" w:ascii="宋体" w:hAnsi="宋体" w:cs="宋体"/>
          <w:b/>
          <w:kern w:val="0"/>
          <w:sz w:val="24"/>
        </w:rPr>
        <w:t>2.1 主要参加单位情况</w:t>
      </w:r>
    </w:p>
    <w:p>
      <w:pPr>
        <w:ind w:firstLine="480" w:firstLineChars="200"/>
        <w:rPr>
          <w:sz w:val="24"/>
        </w:rPr>
      </w:pPr>
      <w:r>
        <w:rPr>
          <w:rFonts w:hint="eastAsia"/>
          <w:sz w:val="24"/>
        </w:rPr>
        <w:t>贵研铂业股份有限公司（简称：贵研铂业，证券代码：600459）于2000年由中国唯一从事贵金属多学科领域综合性研究开发机构昆明贵金属研究所（简称：贵研所）发起设立，是集贵金属系列功能材料研究、开发和生产经营于一体的高新技术企业，于2003年在上海证券交易所上市。贵研铂业专注于贵金属新材料制造、资源再生、商务贸易，立足于做强产品，做大贸易，拓展资源。产品包括贵金属特种功能材料、环保及催化功能材料、信息功能材料、再生资源材料等五大类,共计390多个品种、4000多种规格，产品主要用于航空、航天、航海、国防军工、电子、能源、化工、石油、汽车、生物医药、环保能源、钢铁等行业。</w:t>
      </w:r>
    </w:p>
    <w:p>
      <w:pPr>
        <w:ind w:firstLine="480" w:firstLineChars="200"/>
        <w:rPr>
          <w:rFonts w:ascii="宋体" w:hAnsi="宋体"/>
          <w:sz w:val="24"/>
        </w:rPr>
      </w:pPr>
      <w:r>
        <w:rPr>
          <w:rFonts w:hint="eastAsia"/>
          <w:sz w:val="24"/>
        </w:rPr>
        <w:t>公司以标准引领行业发展，持续保持贵金属领域标准制(修)订的优势地位。截至2017年末，主持和参与制订、修订国家标准72项、国家军用标准20项、行业标准114项，</w:t>
      </w:r>
      <w:r>
        <w:rPr>
          <w:rFonts w:hint="eastAsia" w:ascii="宋体" w:hAnsi="宋体"/>
          <w:sz w:val="24"/>
        </w:rPr>
        <w:t>具备良好的工作基础。</w:t>
      </w:r>
      <w:r>
        <w:rPr>
          <w:rFonts w:hint="eastAsia"/>
          <w:sz w:val="24"/>
        </w:rPr>
        <w:t>11个产品获“国家重点新产品”称号。尤其是公司“汽车尾气净化三效稀土基催化剂产业化”、“铂基微电子浆料及专用材料产业化”被列为国家高技术产业化示范工程，为公司未来新产品推向市场打下了坚实的基础。</w:t>
      </w:r>
    </w:p>
    <w:p>
      <w:pPr>
        <w:ind w:firstLine="480" w:firstLineChars="200"/>
        <w:rPr>
          <w:rFonts w:ascii="Times New Roman" w:hAnsi="Times New Roman"/>
          <w:kern w:val="0"/>
          <w:sz w:val="24"/>
          <w:szCs w:val="24"/>
        </w:rPr>
      </w:pPr>
      <w:r>
        <w:rPr>
          <w:rFonts w:hint="eastAsia"/>
          <w:sz w:val="24"/>
        </w:rPr>
        <w:t>此外，公司实施人力资源开发战略，着力打造高知识、高技能、高素质的技术开发队伍、营销商务队伍、职能管理队伍和产业工人队伍。公司员工中，技术人员占31%、本科及以上学历占62%。公司已搭建了包含贵金属冶金、材料、化学化工、工业催化、加工、检测、信息、商务等专业人才梯队；储备了一批以海外留学博士领衔的年轻专业技术人才团队，为贵金属产业可持续发展提供人才支撑。贵研铂业可提供从贵金属原料采-供-销、产品加工到废料回收利用的一站式综合服务，在贵金属材料领域拥有系列核心技术和完整创新体系，集产学研为一体，使公司在行业竞争中占据了明显的综合竞争优势。</w:t>
      </w:r>
    </w:p>
    <w:p>
      <w:pPr>
        <w:rPr>
          <w:rFonts w:ascii="宋体" w:hAnsi="宋体" w:cs="宋体"/>
          <w:b/>
          <w:kern w:val="0"/>
          <w:sz w:val="24"/>
        </w:rPr>
      </w:pPr>
      <w:r>
        <w:rPr>
          <w:rFonts w:hint="eastAsia" w:ascii="宋体" w:hAnsi="宋体" w:cs="宋体"/>
          <w:b/>
          <w:kern w:val="0"/>
          <w:sz w:val="24"/>
        </w:rPr>
        <w:t>2.2标准起草主要工作成员所负责的工作情况</w:t>
      </w:r>
    </w:p>
    <w:p>
      <w:pPr>
        <w:pStyle w:val="10"/>
        <w:ind w:left="480" w:firstLine="0" w:firstLineChars="0"/>
        <w:rPr>
          <w:rFonts w:ascii="Times New Roman" w:hAnsi="Times New Roman"/>
          <w:kern w:val="0"/>
          <w:sz w:val="24"/>
          <w:szCs w:val="24"/>
        </w:rPr>
      </w:pPr>
      <w:r>
        <w:rPr>
          <w:rFonts w:hint="eastAsia" w:ascii="Times New Roman" w:hAnsi="Times New Roman"/>
          <w:kern w:val="0"/>
          <w:sz w:val="24"/>
          <w:szCs w:val="24"/>
        </w:rPr>
        <w:t>本标准主要起草人及工作职责见表1。</w:t>
      </w:r>
    </w:p>
    <w:p>
      <w:pPr>
        <w:pStyle w:val="10"/>
        <w:ind w:left="480" w:firstLine="0" w:firstLineChars="0"/>
        <w:jc w:val="center"/>
        <w:rPr>
          <w:rFonts w:ascii="Times New Roman" w:hAnsi="Times New Roman"/>
          <w:kern w:val="0"/>
          <w:sz w:val="24"/>
          <w:szCs w:val="24"/>
        </w:rPr>
      </w:pPr>
      <w:r>
        <w:rPr>
          <w:rFonts w:hint="eastAsia" w:ascii="Times New Roman" w:hAnsi="Times New Roman"/>
          <w:kern w:val="0"/>
          <w:sz w:val="24"/>
          <w:szCs w:val="24"/>
        </w:rPr>
        <w:t>表1 主要起草人及其工作职责</w:t>
      </w:r>
    </w:p>
    <w:tbl>
      <w:tblPr>
        <w:tblStyle w:val="7"/>
        <w:tblW w:w="0" w:type="auto"/>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8"/>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张春荣</w:t>
            </w:r>
          </w:p>
        </w:tc>
        <w:tc>
          <w:tcPr>
            <w:tcW w:w="6004"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负责标准的工作指导、标准的编写、试验方案确定及组织协调、试验验证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王剑平</w:t>
            </w:r>
          </w:p>
        </w:tc>
        <w:tc>
          <w:tcPr>
            <w:tcW w:w="6004"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标准编写材料的收集、提供理论支持、文献支持、测试参数确定及标准部分内容编写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038"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朱武勋、</w:t>
            </w:r>
            <w:r>
              <w:rPr>
                <w:rFonts w:hint="eastAsia"/>
                <w:sz w:val="24"/>
                <w:szCs w:val="24"/>
              </w:rPr>
              <w:t>向 磊等</w:t>
            </w:r>
          </w:p>
        </w:tc>
        <w:tc>
          <w:tcPr>
            <w:tcW w:w="6004"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标准编写材料的检查、校对、以及提出修改意见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038"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王敏鑫</w:t>
            </w:r>
          </w:p>
        </w:tc>
        <w:tc>
          <w:tcPr>
            <w:tcW w:w="6004"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负责生产加工及铸锭熔炼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038"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张力颖</w:t>
            </w:r>
          </w:p>
        </w:tc>
        <w:tc>
          <w:tcPr>
            <w:tcW w:w="6004"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试验测试和验证，检验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38"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lang w:val="en-US" w:eastAsia="zh-CN"/>
              </w:rPr>
              <w:t>李枝红</w:t>
            </w:r>
            <w:r>
              <w:rPr>
                <w:rFonts w:hint="eastAsia" w:ascii="Times New Roman" w:hAnsi="Times New Roman"/>
                <w:kern w:val="0"/>
                <w:sz w:val="24"/>
                <w:szCs w:val="24"/>
              </w:rPr>
              <w:t>等</w:t>
            </w:r>
          </w:p>
        </w:tc>
        <w:tc>
          <w:tcPr>
            <w:tcW w:w="6004" w:type="dxa"/>
          </w:tcPr>
          <w:p>
            <w:pPr>
              <w:pStyle w:val="10"/>
              <w:spacing w:line="240" w:lineRule="auto"/>
              <w:ind w:firstLine="0" w:firstLineChars="0"/>
              <w:rPr>
                <w:rFonts w:ascii="Times New Roman" w:hAnsi="Times New Roman"/>
                <w:kern w:val="0"/>
                <w:sz w:val="24"/>
                <w:szCs w:val="24"/>
              </w:rPr>
            </w:pPr>
            <w:r>
              <w:rPr>
                <w:rFonts w:hint="eastAsia" w:ascii="Times New Roman" w:hAnsi="Times New Roman"/>
                <w:kern w:val="0"/>
                <w:sz w:val="24"/>
                <w:szCs w:val="24"/>
              </w:rPr>
              <w:t>负责提供企业的现场、产品现场试验验证及数据积累</w:t>
            </w:r>
          </w:p>
        </w:tc>
      </w:tr>
    </w:tbl>
    <w:p>
      <w:pPr>
        <w:pStyle w:val="10"/>
        <w:ind w:left="480" w:firstLine="0" w:firstLineChars="0"/>
        <w:rPr>
          <w:rFonts w:ascii="Times New Roman" w:hAnsi="Times New Roman"/>
          <w:kern w:val="0"/>
          <w:sz w:val="24"/>
          <w:szCs w:val="24"/>
        </w:rPr>
      </w:pPr>
    </w:p>
    <w:p>
      <w:pPr>
        <w:rPr>
          <w:rFonts w:ascii="宋体" w:hAnsi="宋体" w:cs="宋体"/>
          <w:b/>
          <w:kern w:val="0"/>
          <w:sz w:val="24"/>
        </w:rPr>
      </w:pPr>
      <w:r>
        <w:rPr>
          <w:rFonts w:hint="eastAsia" w:ascii="宋体" w:hAnsi="宋体" w:cs="宋体"/>
          <w:b/>
          <w:kern w:val="0"/>
          <w:sz w:val="24"/>
        </w:rPr>
        <w:t>（三）主要工作过程及内容</w:t>
      </w:r>
    </w:p>
    <w:p>
      <w:pPr>
        <w:rPr>
          <w:rFonts w:ascii="宋体" w:hAnsi="宋体" w:cs="宋体"/>
          <w:b/>
          <w:kern w:val="0"/>
          <w:sz w:val="24"/>
        </w:rPr>
      </w:pPr>
      <w:r>
        <w:rPr>
          <w:rFonts w:ascii="宋体" w:hAnsi="宋体" w:cs="宋体"/>
          <w:b/>
          <w:kern w:val="0"/>
          <w:sz w:val="24"/>
        </w:rPr>
        <w:t xml:space="preserve">1 </w:t>
      </w:r>
      <w:r>
        <w:rPr>
          <w:rFonts w:hint="eastAsia" w:ascii="宋体" w:hAnsi="宋体" w:cs="宋体"/>
          <w:b/>
          <w:kern w:val="0"/>
          <w:sz w:val="24"/>
        </w:rPr>
        <w:t>预研阶段</w:t>
      </w:r>
    </w:p>
    <w:p>
      <w:pPr>
        <w:ind w:firstLine="480" w:firstLineChars="200"/>
        <w:rPr>
          <w:sz w:val="24"/>
        </w:rPr>
      </w:pPr>
      <w:r>
        <w:rPr>
          <w:sz w:val="24"/>
        </w:rPr>
        <w:t>贵研铂业股份有限公司接到标准制定任务后，组织人员查阅和检索了国内外有关技术标准和资料，并征求了使用企业的意见，作为建立本技术标准的技术依据，也考虑了国内厂家生产实际和分析水平等情况，于</w:t>
      </w:r>
      <w:r>
        <w:rPr>
          <w:rFonts w:ascii="宋体" w:hAnsi="Times New Roman"/>
          <w:kern w:val="0"/>
          <w:sz w:val="24"/>
          <w:szCs w:val="24"/>
        </w:rPr>
        <w:t>2022年5</w:t>
      </w:r>
      <w:r>
        <w:rPr>
          <w:sz w:val="24"/>
        </w:rPr>
        <w:t>月由公司相关技术人员组成了《</w:t>
      </w:r>
      <w:r>
        <w:rPr>
          <w:rFonts w:hint="eastAsia"/>
          <w:sz w:val="24"/>
        </w:rPr>
        <w:t>真空断路器用银及其合金</w:t>
      </w:r>
      <w:r>
        <w:rPr>
          <w:sz w:val="24"/>
        </w:rPr>
        <w:t>》标准起草小组，主要进行如下工作：</w:t>
      </w:r>
    </w:p>
    <w:p>
      <w:pPr>
        <w:ind w:firstLine="480" w:firstLineChars="200"/>
        <w:rPr>
          <w:sz w:val="24"/>
        </w:rPr>
      </w:pPr>
      <w:r>
        <w:rPr>
          <w:sz w:val="24"/>
        </w:rPr>
        <w:t>1）</w:t>
      </w:r>
      <w:r>
        <w:rPr>
          <w:sz w:val="24"/>
        </w:rPr>
        <w:tab/>
      </w:r>
      <w:r>
        <w:rPr>
          <w:sz w:val="24"/>
        </w:rPr>
        <w:t>确立《</w:t>
      </w:r>
      <w:r>
        <w:rPr>
          <w:rFonts w:hint="eastAsia"/>
          <w:sz w:val="24"/>
        </w:rPr>
        <w:t>真空断路器用银及其合金</w:t>
      </w:r>
      <w:r>
        <w:rPr>
          <w:sz w:val="24"/>
        </w:rPr>
        <w:t>》标准修订遵循的基本原则；</w:t>
      </w:r>
    </w:p>
    <w:p>
      <w:pPr>
        <w:ind w:firstLine="480" w:firstLineChars="200"/>
        <w:rPr>
          <w:sz w:val="24"/>
        </w:rPr>
      </w:pPr>
      <w:r>
        <w:rPr>
          <w:sz w:val="24"/>
        </w:rPr>
        <w:t>2）</w:t>
      </w:r>
      <w:r>
        <w:rPr>
          <w:sz w:val="24"/>
        </w:rPr>
        <w:tab/>
      </w:r>
      <w:r>
        <w:rPr>
          <w:sz w:val="24"/>
        </w:rPr>
        <w:t>对生产、使用厂家进行调研、收集资料；</w:t>
      </w:r>
    </w:p>
    <w:p>
      <w:pPr>
        <w:ind w:firstLine="480" w:firstLineChars="200"/>
        <w:rPr>
          <w:sz w:val="24"/>
        </w:rPr>
      </w:pPr>
      <w:r>
        <w:rPr>
          <w:sz w:val="24"/>
        </w:rPr>
        <w:t>3）</w:t>
      </w:r>
      <w:r>
        <w:rPr>
          <w:sz w:val="24"/>
        </w:rPr>
        <w:tab/>
      </w:r>
      <w:r>
        <w:rPr>
          <w:sz w:val="24"/>
        </w:rPr>
        <w:t>查阅相关标准；</w:t>
      </w:r>
    </w:p>
    <w:p>
      <w:pPr>
        <w:ind w:firstLine="480" w:firstLineChars="200"/>
        <w:rPr>
          <w:sz w:val="24"/>
        </w:rPr>
      </w:pPr>
      <w:r>
        <w:rPr>
          <w:sz w:val="24"/>
        </w:rPr>
        <w:t>4）</w:t>
      </w:r>
      <w:r>
        <w:rPr>
          <w:sz w:val="24"/>
        </w:rPr>
        <w:tab/>
      </w:r>
      <w:r>
        <w:rPr>
          <w:sz w:val="24"/>
        </w:rPr>
        <w:t>确定产品主要技术内容；</w:t>
      </w:r>
    </w:p>
    <w:p>
      <w:pPr>
        <w:ind w:firstLine="480" w:firstLineChars="200"/>
        <w:rPr>
          <w:sz w:val="24"/>
        </w:rPr>
      </w:pPr>
      <w:r>
        <w:rPr>
          <w:sz w:val="24"/>
        </w:rPr>
        <w:t>5）</w:t>
      </w:r>
      <w:r>
        <w:rPr>
          <w:sz w:val="24"/>
        </w:rPr>
        <w:tab/>
      </w:r>
      <w:r>
        <w:rPr>
          <w:sz w:val="24"/>
        </w:rPr>
        <w:t>确定建立仲裁分析方法；</w:t>
      </w:r>
    </w:p>
    <w:p>
      <w:pPr>
        <w:ind w:firstLine="480" w:firstLineChars="200"/>
        <w:rPr>
          <w:sz w:val="24"/>
        </w:rPr>
      </w:pPr>
      <w:r>
        <w:rPr>
          <w:sz w:val="24"/>
        </w:rPr>
        <w:t>6）</w:t>
      </w:r>
      <w:r>
        <w:rPr>
          <w:sz w:val="24"/>
        </w:rPr>
        <w:tab/>
      </w:r>
      <w:r>
        <w:rPr>
          <w:sz w:val="24"/>
        </w:rPr>
        <w:t>根据测试数据确定技术指标取值范围。</w:t>
      </w:r>
    </w:p>
    <w:p>
      <w:pPr>
        <w:rPr>
          <w:rFonts w:ascii="宋体" w:hAnsi="宋体" w:cs="宋体"/>
          <w:b/>
          <w:kern w:val="0"/>
          <w:sz w:val="24"/>
        </w:rPr>
      </w:pPr>
      <w:r>
        <w:rPr>
          <w:rFonts w:ascii="宋体" w:hAnsi="宋体" w:cs="宋体"/>
          <w:b/>
          <w:kern w:val="0"/>
          <w:sz w:val="24"/>
        </w:rPr>
        <w:t xml:space="preserve">2 </w:t>
      </w:r>
      <w:r>
        <w:rPr>
          <w:rFonts w:hint="eastAsia" w:ascii="宋体" w:hAnsi="宋体" w:cs="宋体"/>
          <w:b/>
          <w:kern w:val="0"/>
          <w:sz w:val="24"/>
        </w:rPr>
        <w:t>立项阶段</w:t>
      </w:r>
    </w:p>
    <w:p>
      <w:pPr>
        <w:pStyle w:val="13"/>
        <w:spacing w:line="360" w:lineRule="auto"/>
        <w:ind w:firstLine="480"/>
        <w:rPr>
          <w:sz w:val="24"/>
          <w:szCs w:val="24"/>
        </w:rPr>
      </w:pPr>
      <w:r>
        <w:rPr>
          <w:sz w:val="24"/>
          <w:szCs w:val="24"/>
        </w:rPr>
        <w:t>2022年5月</w:t>
      </w:r>
      <w:r>
        <w:rPr>
          <w:rFonts w:hint="eastAsia"/>
          <w:sz w:val="24"/>
          <w:szCs w:val="24"/>
        </w:rPr>
        <w:t>有色金属行业</w:t>
      </w:r>
      <w:r>
        <w:rPr>
          <w:sz w:val="24"/>
          <w:szCs w:val="24"/>
        </w:rPr>
        <w:t>标准委下达该标准的</w:t>
      </w:r>
      <w:r>
        <w:rPr>
          <w:rFonts w:hint="eastAsia"/>
          <w:sz w:val="24"/>
          <w:szCs w:val="24"/>
        </w:rPr>
        <w:t>修订</w:t>
      </w:r>
      <w:r>
        <w:rPr>
          <w:sz w:val="24"/>
          <w:szCs w:val="24"/>
        </w:rPr>
        <w:t>任务，</w:t>
      </w:r>
      <w:r>
        <w:rPr>
          <w:rFonts w:hint="eastAsia"/>
          <w:sz w:val="24"/>
          <w:szCs w:val="24"/>
        </w:rPr>
        <w:t>计划批准文件名称：《</w:t>
      </w:r>
      <w:r>
        <w:rPr>
          <w:rFonts w:hint="eastAsia" w:ascii="Times New Roman"/>
          <w:color w:val="000000" w:themeColor="text1"/>
          <w:sz w:val="24"/>
          <w:szCs w:val="24"/>
        </w:rPr>
        <w:t>真空断路器用银及其合金钎料环</w:t>
      </w:r>
      <w:r>
        <w:rPr>
          <w:rFonts w:hint="eastAsia"/>
          <w:sz w:val="24"/>
          <w:szCs w:val="24"/>
        </w:rPr>
        <w:t>》，计划文工信厅科函[202</w:t>
      </w:r>
      <w:r>
        <w:rPr>
          <w:sz w:val="24"/>
          <w:szCs w:val="24"/>
        </w:rPr>
        <w:t>2</w:t>
      </w:r>
      <w:r>
        <w:rPr>
          <w:rFonts w:hint="eastAsia"/>
          <w:sz w:val="24"/>
          <w:szCs w:val="24"/>
        </w:rPr>
        <w:t>]</w:t>
      </w:r>
      <w:r>
        <w:rPr>
          <w:sz w:val="24"/>
          <w:szCs w:val="24"/>
        </w:rPr>
        <w:t>94</w:t>
      </w:r>
      <w:r>
        <w:rPr>
          <w:rFonts w:hint="eastAsia"/>
          <w:sz w:val="24"/>
          <w:szCs w:val="24"/>
        </w:rPr>
        <w:t>号，计划号：</w:t>
      </w:r>
      <w:r>
        <w:fldChar w:fldCharType="begin"/>
      </w:r>
      <w:r>
        <w:instrText xml:space="preserve"> HYPERLINK "http://219.239.107.155:8080/TaskBook.aspx?id=YSCPXT23712020" </w:instrText>
      </w:r>
      <w:r>
        <w:fldChar w:fldCharType="separate"/>
      </w:r>
      <w:r>
        <w:rPr>
          <w:rFonts w:hint="eastAsia" w:ascii="Times New Roman"/>
          <w:color w:val="000000" w:themeColor="text1"/>
          <w:sz w:val="24"/>
          <w:szCs w:val="24"/>
        </w:rPr>
        <w:t>202</w:t>
      </w:r>
      <w:r>
        <w:rPr>
          <w:rFonts w:ascii="Times New Roman"/>
          <w:color w:val="000000" w:themeColor="text1"/>
          <w:sz w:val="24"/>
          <w:szCs w:val="24"/>
        </w:rPr>
        <w:t>2</w:t>
      </w:r>
      <w:r>
        <w:rPr>
          <w:rFonts w:hint="eastAsia" w:ascii="Times New Roman"/>
          <w:color w:val="000000" w:themeColor="text1"/>
          <w:sz w:val="24"/>
          <w:szCs w:val="24"/>
        </w:rPr>
        <w:t>-</w:t>
      </w:r>
      <w:r>
        <w:rPr>
          <w:rFonts w:ascii="Times New Roman"/>
          <w:color w:val="000000" w:themeColor="text1"/>
          <w:sz w:val="24"/>
          <w:szCs w:val="24"/>
        </w:rPr>
        <w:t>0247T</w:t>
      </w:r>
      <w:r>
        <w:rPr>
          <w:rFonts w:hint="eastAsia" w:ascii="Times New Roman"/>
          <w:color w:val="000000" w:themeColor="text1"/>
          <w:sz w:val="24"/>
          <w:szCs w:val="24"/>
        </w:rPr>
        <w:t>-YS</w:t>
      </w:r>
      <w:r>
        <w:rPr>
          <w:rFonts w:hint="eastAsia" w:ascii="Times New Roman"/>
          <w:color w:val="000000" w:themeColor="text1"/>
          <w:sz w:val="24"/>
          <w:szCs w:val="24"/>
        </w:rPr>
        <w:fldChar w:fldCharType="end"/>
      </w:r>
      <w:r>
        <w:rPr>
          <w:rFonts w:hint="eastAsia"/>
          <w:sz w:val="24"/>
          <w:szCs w:val="24"/>
        </w:rPr>
        <w:t>。项目名称：</w:t>
      </w:r>
      <w:r>
        <w:rPr>
          <w:rFonts w:hint="eastAsia" w:ascii="Times New Roman"/>
          <w:color w:val="000000" w:themeColor="text1"/>
          <w:sz w:val="24"/>
          <w:szCs w:val="24"/>
        </w:rPr>
        <w:t>真空断路器用银及其合金钎料环</w:t>
      </w:r>
      <w:r>
        <w:rPr>
          <w:rFonts w:hint="eastAsia"/>
          <w:sz w:val="24"/>
          <w:szCs w:val="24"/>
        </w:rPr>
        <w:t>。该</w:t>
      </w:r>
      <w:r>
        <w:rPr>
          <w:sz w:val="24"/>
          <w:szCs w:val="24"/>
        </w:rPr>
        <w:t>项目</w:t>
      </w:r>
      <w:r>
        <w:rPr>
          <w:rFonts w:hint="eastAsia"/>
          <w:sz w:val="24"/>
          <w:szCs w:val="24"/>
        </w:rPr>
        <w:t>计划完成年限：</w:t>
      </w:r>
      <w:r>
        <w:rPr>
          <w:sz w:val="24"/>
          <w:szCs w:val="24"/>
        </w:rPr>
        <w:t>起止时间为2022年～20</w:t>
      </w:r>
      <w:r>
        <w:rPr>
          <w:rFonts w:hint="eastAsia"/>
          <w:sz w:val="24"/>
          <w:szCs w:val="24"/>
        </w:rPr>
        <w:t>2</w:t>
      </w:r>
      <w:r>
        <w:rPr>
          <w:sz w:val="24"/>
          <w:szCs w:val="24"/>
        </w:rPr>
        <w:t>3年</w:t>
      </w:r>
      <w:r>
        <w:rPr>
          <w:rFonts w:hint="eastAsia"/>
          <w:sz w:val="24"/>
          <w:szCs w:val="24"/>
        </w:rPr>
        <w:t>。</w:t>
      </w:r>
      <w:r>
        <w:rPr>
          <w:sz w:val="24"/>
          <w:szCs w:val="24"/>
        </w:rPr>
        <w:t xml:space="preserve"> </w:t>
      </w:r>
    </w:p>
    <w:p>
      <w:pPr>
        <w:rPr>
          <w:rFonts w:ascii="宋体" w:hAnsi="宋体" w:cs="宋体"/>
          <w:b/>
          <w:kern w:val="0"/>
          <w:sz w:val="24"/>
        </w:rPr>
      </w:pPr>
      <w:r>
        <w:rPr>
          <w:rFonts w:ascii="宋体" w:hAnsi="宋体" w:cs="宋体"/>
          <w:b/>
          <w:kern w:val="0"/>
          <w:sz w:val="24"/>
        </w:rPr>
        <w:t xml:space="preserve">3 </w:t>
      </w:r>
      <w:r>
        <w:rPr>
          <w:rFonts w:hint="eastAsia" w:ascii="宋体" w:hAnsi="宋体" w:cs="宋体"/>
          <w:b/>
          <w:kern w:val="0"/>
          <w:sz w:val="24"/>
        </w:rPr>
        <w:t>起草阶段</w:t>
      </w:r>
    </w:p>
    <w:p>
      <w:pPr>
        <w:ind w:firstLine="480" w:firstLineChars="200"/>
        <w:rPr>
          <w:rFonts w:ascii="Times New Roman" w:hAnsi="Times New Roman"/>
          <w:kern w:val="0"/>
          <w:sz w:val="24"/>
          <w:szCs w:val="24"/>
        </w:rPr>
      </w:pPr>
      <w:r>
        <w:rPr>
          <w:rFonts w:hint="eastAsia" w:ascii="Times New Roman" w:hAnsi="Times New Roman"/>
          <w:kern w:val="0"/>
          <w:sz w:val="24"/>
          <w:szCs w:val="24"/>
        </w:rPr>
        <w:t>召开标准进度汇报及进度协调会</w:t>
      </w:r>
    </w:p>
    <w:p>
      <w:pPr>
        <w:pStyle w:val="13"/>
        <w:spacing w:line="360" w:lineRule="auto"/>
        <w:ind w:firstLine="480"/>
        <w:rPr>
          <w:sz w:val="24"/>
          <w:szCs w:val="24"/>
        </w:rPr>
      </w:pPr>
      <w:r>
        <w:rPr>
          <w:sz w:val="24"/>
          <w:szCs w:val="24"/>
        </w:rPr>
        <w:t>2022年7月</w:t>
      </w:r>
      <w:r>
        <w:rPr>
          <w:rFonts w:hint="eastAsia"/>
          <w:sz w:val="24"/>
          <w:szCs w:val="24"/>
        </w:rPr>
        <w:t>，</w:t>
      </w:r>
      <w:r>
        <w:rPr>
          <w:sz w:val="24"/>
          <w:szCs w:val="24"/>
        </w:rPr>
        <w:t>由有色金属技术经济研究院有限责任公司主持，</w:t>
      </w:r>
      <w:r>
        <w:rPr>
          <w:rFonts w:hint="eastAsia"/>
          <w:sz w:val="24"/>
          <w:szCs w:val="24"/>
        </w:rPr>
        <w:t>于2</w:t>
      </w:r>
      <w:r>
        <w:rPr>
          <w:sz w:val="24"/>
          <w:szCs w:val="24"/>
        </w:rPr>
        <w:t>022</w:t>
      </w:r>
      <w:r>
        <w:rPr>
          <w:rFonts w:hint="eastAsia"/>
          <w:sz w:val="24"/>
          <w:szCs w:val="24"/>
        </w:rPr>
        <w:t>年7月1</w:t>
      </w:r>
      <w:r>
        <w:rPr>
          <w:sz w:val="24"/>
          <w:szCs w:val="24"/>
        </w:rPr>
        <w:t>9</w:t>
      </w:r>
      <w:r>
        <w:rPr>
          <w:rFonts w:hint="eastAsia"/>
          <w:sz w:val="24"/>
          <w:szCs w:val="24"/>
        </w:rPr>
        <w:t>日</w:t>
      </w:r>
      <w:r>
        <w:rPr>
          <w:rFonts w:hint="eastAsia" w:hAnsi="宋体"/>
          <w:sz w:val="24"/>
          <w:szCs w:val="24"/>
        </w:rPr>
        <w:t>～</w:t>
      </w:r>
      <w:r>
        <w:rPr>
          <w:rFonts w:hint="eastAsia"/>
          <w:sz w:val="24"/>
          <w:szCs w:val="24"/>
        </w:rPr>
        <w:t>2</w:t>
      </w:r>
      <w:r>
        <w:rPr>
          <w:sz w:val="24"/>
          <w:szCs w:val="24"/>
        </w:rPr>
        <w:t>1</w:t>
      </w:r>
      <w:r>
        <w:rPr>
          <w:rFonts w:hint="eastAsia"/>
          <w:sz w:val="24"/>
          <w:szCs w:val="24"/>
        </w:rPr>
        <w:t>日</w:t>
      </w:r>
      <w:r>
        <w:rPr>
          <w:sz w:val="24"/>
          <w:szCs w:val="24"/>
        </w:rPr>
        <w:t>在</w:t>
      </w:r>
      <w:r>
        <w:rPr>
          <w:rFonts w:hint="eastAsia"/>
          <w:sz w:val="24"/>
          <w:szCs w:val="24"/>
        </w:rPr>
        <w:t>河南省洛阳</w:t>
      </w:r>
      <w:r>
        <w:rPr>
          <w:sz w:val="24"/>
          <w:szCs w:val="24"/>
        </w:rPr>
        <w:t>市召开了</w:t>
      </w:r>
      <w:r>
        <w:rPr>
          <w:rFonts w:ascii="Times New Roman"/>
          <w:kern w:val="2"/>
          <w:sz w:val="24"/>
          <w:szCs w:val="24"/>
        </w:rPr>
        <w:t>任务落实会</w:t>
      </w:r>
      <w:r>
        <w:rPr>
          <w:rFonts w:hint="eastAsia" w:ascii="Times New Roman"/>
          <w:kern w:val="2"/>
          <w:sz w:val="24"/>
          <w:szCs w:val="24"/>
        </w:rPr>
        <w:t>，</w:t>
      </w:r>
      <w:r>
        <w:rPr>
          <w:rFonts w:ascii="Times New Roman"/>
          <w:kern w:val="2"/>
          <w:sz w:val="24"/>
          <w:szCs w:val="24"/>
        </w:rPr>
        <w:t>根据任务落实会会议精神</w:t>
      </w:r>
      <w:r>
        <w:rPr>
          <w:rFonts w:hint="eastAsia" w:ascii="Times New Roman"/>
          <w:kern w:val="2"/>
          <w:sz w:val="24"/>
          <w:szCs w:val="24"/>
        </w:rPr>
        <w:t>、</w:t>
      </w:r>
      <w:r>
        <w:rPr>
          <w:rFonts w:ascii="Times New Roman"/>
          <w:kern w:val="2"/>
          <w:sz w:val="24"/>
          <w:szCs w:val="24"/>
        </w:rPr>
        <w:t>与会专家的意见</w:t>
      </w:r>
      <w:r>
        <w:rPr>
          <w:rFonts w:hint="eastAsia" w:ascii="Times New Roman"/>
          <w:kern w:val="2"/>
          <w:sz w:val="24"/>
          <w:szCs w:val="24"/>
        </w:rPr>
        <w:t>和</w:t>
      </w:r>
      <w:r>
        <w:rPr>
          <w:rFonts w:ascii="Times New Roman"/>
          <w:kern w:val="2"/>
          <w:sz w:val="24"/>
          <w:szCs w:val="24"/>
        </w:rPr>
        <w:t>全国有色金属标准化技术委员会的要</w:t>
      </w:r>
      <w:r>
        <w:rPr>
          <w:sz w:val="24"/>
          <w:szCs w:val="24"/>
        </w:rPr>
        <w:t>求，标准起草小组于</w:t>
      </w:r>
      <w:r>
        <w:rPr>
          <w:rFonts w:hint="eastAsia"/>
          <w:sz w:val="24"/>
          <w:szCs w:val="24"/>
        </w:rPr>
        <w:t>202</w:t>
      </w:r>
      <w:r>
        <w:rPr>
          <w:sz w:val="24"/>
          <w:szCs w:val="24"/>
        </w:rPr>
        <w:t>2</w:t>
      </w:r>
      <w:r>
        <w:rPr>
          <w:rFonts w:hint="eastAsia"/>
          <w:sz w:val="24"/>
          <w:szCs w:val="24"/>
        </w:rPr>
        <w:t>年</w:t>
      </w:r>
      <w:r>
        <w:rPr>
          <w:sz w:val="24"/>
          <w:szCs w:val="24"/>
        </w:rPr>
        <w:t>12</w:t>
      </w:r>
      <w:r>
        <w:rPr>
          <w:rFonts w:hint="eastAsia"/>
          <w:sz w:val="24"/>
          <w:szCs w:val="24"/>
        </w:rPr>
        <w:t>月出初稿、编制说明</w:t>
      </w:r>
      <w:r>
        <w:rPr>
          <w:sz w:val="24"/>
          <w:szCs w:val="24"/>
        </w:rPr>
        <w:t>。</w:t>
      </w:r>
    </w:p>
    <w:p>
      <w:pPr>
        <w:ind w:firstLine="480" w:firstLineChars="200"/>
        <w:rPr>
          <w:rFonts w:ascii="宋体" w:hAnsi="宋体"/>
          <w:color w:val="FF0000"/>
          <w:sz w:val="24"/>
          <w:szCs w:val="24"/>
        </w:rPr>
      </w:pPr>
      <w:r>
        <w:rPr>
          <w:rFonts w:hint="eastAsia"/>
          <w:color w:val="FF0000"/>
          <w:sz w:val="24"/>
          <w:szCs w:val="24"/>
        </w:rPr>
        <w:t>202</w:t>
      </w:r>
      <w:r>
        <w:rPr>
          <w:color w:val="FF0000"/>
          <w:sz w:val="24"/>
          <w:szCs w:val="24"/>
        </w:rPr>
        <w:t>3</w:t>
      </w:r>
      <w:r>
        <w:rPr>
          <w:rFonts w:hint="eastAsia"/>
          <w:color w:val="FF0000"/>
          <w:sz w:val="24"/>
          <w:szCs w:val="24"/>
        </w:rPr>
        <w:t>年</w:t>
      </w:r>
      <w:r>
        <w:rPr>
          <w:color w:val="FF0000"/>
          <w:sz w:val="24"/>
          <w:szCs w:val="24"/>
        </w:rPr>
        <w:t>4</w:t>
      </w:r>
      <w:r>
        <w:rPr>
          <w:rFonts w:hint="eastAsia"/>
          <w:color w:val="FF0000"/>
          <w:sz w:val="24"/>
          <w:szCs w:val="24"/>
        </w:rPr>
        <w:t>月</w:t>
      </w:r>
      <w:r>
        <w:rPr>
          <w:color w:val="FF0000"/>
          <w:sz w:val="24"/>
          <w:szCs w:val="24"/>
        </w:rPr>
        <w:t>25</w:t>
      </w:r>
      <w:r>
        <w:rPr>
          <w:rFonts w:hint="eastAsia"/>
          <w:color w:val="FF0000"/>
          <w:sz w:val="24"/>
          <w:szCs w:val="24"/>
        </w:rPr>
        <w:t>日～</w:t>
      </w:r>
      <w:r>
        <w:rPr>
          <w:color w:val="FF0000"/>
          <w:sz w:val="24"/>
          <w:szCs w:val="24"/>
        </w:rPr>
        <w:t>4</w:t>
      </w:r>
      <w:r>
        <w:rPr>
          <w:rFonts w:hint="eastAsia"/>
          <w:color w:val="FF0000"/>
          <w:sz w:val="24"/>
          <w:szCs w:val="24"/>
        </w:rPr>
        <w:t>月</w:t>
      </w:r>
      <w:r>
        <w:rPr>
          <w:color w:val="FF0000"/>
          <w:sz w:val="24"/>
          <w:szCs w:val="24"/>
        </w:rPr>
        <w:t>27</w:t>
      </w:r>
      <w:r>
        <w:rPr>
          <w:rFonts w:hint="eastAsia"/>
          <w:color w:val="FF0000"/>
          <w:sz w:val="24"/>
          <w:szCs w:val="24"/>
        </w:rPr>
        <w:t>日全国有色金属标准化技术委员会在湖北省武汉市召开了关于召开有色金属标准项目论证会暨标准制修订工作会议。会议对本标准的相关技术文件进行分析和讨论，并安排了后续工作。</w:t>
      </w:r>
    </w:p>
    <w:p>
      <w:pPr>
        <w:ind w:firstLine="360" w:firstLineChars="150"/>
        <w:rPr>
          <w:rFonts w:ascii="宋体" w:hAnsi="宋体"/>
          <w:color w:val="FF0000"/>
          <w:sz w:val="24"/>
          <w:szCs w:val="24"/>
        </w:rPr>
      </w:pPr>
      <w:r>
        <w:rPr>
          <w:rFonts w:hint="eastAsia" w:ascii="宋体" w:hAnsi="宋体"/>
          <w:color w:val="FF0000"/>
          <w:sz w:val="24"/>
          <w:szCs w:val="24"/>
        </w:rPr>
        <w:t>202</w:t>
      </w:r>
      <w:r>
        <w:rPr>
          <w:rFonts w:ascii="宋体" w:hAnsi="宋体"/>
          <w:color w:val="FF0000"/>
          <w:sz w:val="24"/>
          <w:szCs w:val="24"/>
        </w:rPr>
        <w:t>3</w:t>
      </w:r>
      <w:r>
        <w:rPr>
          <w:rFonts w:hint="eastAsia" w:ascii="宋体" w:hAnsi="宋体"/>
          <w:color w:val="FF0000"/>
          <w:sz w:val="24"/>
          <w:szCs w:val="24"/>
        </w:rPr>
        <w:t>年</w:t>
      </w:r>
      <w:r>
        <w:rPr>
          <w:rFonts w:ascii="宋体" w:hAnsi="宋体"/>
          <w:color w:val="FF0000"/>
          <w:sz w:val="24"/>
          <w:szCs w:val="24"/>
        </w:rPr>
        <w:t>1</w:t>
      </w:r>
      <w:r>
        <w:rPr>
          <w:rFonts w:hint="eastAsia" w:ascii="宋体" w:hAnsi="宋体"/>
          <w:color w:val="FF0000"/>
          <w:sz w:val="24"/>
          <w:szCs w:val="24"/>
        </w:rPr>
        <w:t>月～</w:t>
      </w:r>
      <w:r>
        <w:rPr>
          <w:rFonts w:ascii="宋体" w:hAnsi="宋体"/>
          <w:color w:val="FF0000"/>
          <w:sz w:val="24"/>
          <w:szCs w:val="24"/>
        </w:rPr>
        <w:t>2023</w:t>
      </w:r>
      <w:r>
        <w:rPr>
          <w:rFonts w:hint="eastAsia" w:ascii="宋体" w:hAnsi="宋体"/>
          <w:color w:val="FF0000"/>
          <w:sz w:val="24"/>
          <w:szCs w:val="24"/>
        </w:rPr>
        <w:t>年</w:t>
      </w:r>
      <w:r>
        <w:rPr>
          <w:rFonts w:ascii="宋体" w:hAnsi="宋体"/>
          <w:color w:val="FF0000"/>
          <w:sz w:val="24"/>
          <w:szCs w:val="24"/>
        </w:rPr>
        <w:t>4</w:t>
      </w:r>
      <w:r>
        <w:rPr>
          <w:rFonts w:hint="eastAsia" w:ascii="宋体" w:hAnsi="宋体"/>
          <w:color w:val="FF0000"/>
          <w:sz w:val="24"/>
          <w:szCs w:val="24"/>
        </w:rPr>
        <w:t>月以会议的形式召开工作会议以及</w:t>
      </w:r>
      <w:r>
        <w:rPr>
          <w:rFonts w:hint="eastAsia" w:ascii="宋体" w:hAnsi="宋体"/>
          <w:color w:val="FF0000"/>
          <w:sz w:val="24"/>
          <w:szCs w:val="24"/>
          <w:shd w:val="clear" w:color="auto" w:fill="FFFFFF"/>
        </w:rPr>
        <w:t>通过网络、微信和电子邮件等方式在全国开展征求意见意见工作，对1</w:t>
      </w:r>
      <w:r>
        <w:rPr>
          <w:rFonts w:hint="eastAsia" w:ascii="宋体" w:hAnsi="宋体"/>
          <w:color w:val="FF0000"/>
          <w:sz w:val="24"/>
          <w:szCs w:val="24"/>
          <w:shd w:val="clear" w:color="auto" w:fill="FFFFFF"/>
          <w:lang w:val="en-US" w:eastAsia="zh-CN"/>
        </w:rPr>
        <w:t>5</w:t>
      </w:r>
      <w:r>
        <w:rPr>
          <w:rFonts w:hint="eastAsia" w:ascii="宋体" w:hAnsi="宋体"/>
          <w:color w:val="FF0000"/>
          <w:sz w:val="24"/>
          <w:szCs w:val="24"/>
          <w:shd w:val="clear" w:color="auto" w:fill="FFFFFF"/>
        </w:rPr>
        <w:t>家相关研究院所、生产企业、下游用户以及第三方检测机构进行了征求意见，</w:t>
      </w:r>
      <w:r>
        <w:rPr>
          <w:rFonts w:hint="eastAsia" w:ascii="宋体" w:hAnsi="宋体"/>
          <w:color w:val="FF0000"/>
          <w:sz w:val="24"/>
          <w:szCs w:val="24"/>
        </w:rPr>
        <w:t>发送《征求意见稿》的单位数1</w:t>
      </w:r>
      <w:r>
        <w:rPr>
          <w:rFonts w:hint="eastAsia" w:ascii="宋体" w:hAnsi="宋体"/>
          <w:color w:val="FF0000"/>
          <w:sz w:val="24"/>
          <w:szCs w:val="24"/>
          <w:lang w:val="en-US" w:eastAsia="zh-CN"/>
        </w:rPr>
        <w:t>5</w:t>
      </w:r>
      <w:r>
        <w:rPr>
          <w:rFonts w:hint="eastAsia" w:ascii="宋体" w:hAnsi="宋体"/>
          <w:color w:val="FF0000"/>
          <w:sz w:val="24"/>
          <w:szCs w:val="24"/>
        </w:rPr>
        <w:t>个，收到《征求意见稿》后，回函的单位数1</w:t>
      </w:r>
      <w:r>
        <w:rPr>
          <w:rFonts w:hint="eastAsia" w:ascii="宋体" w:hAnsi="宋体"/>
          <w:color w:val="FF0000"/>
          <w:sz w:val="24"/>
          <w:szCs w:val="24"/>
          <w:lang w:val="en-US" w:eastAsia="zh-CN"/>
        </w:rPr>
        <w:t>5</w:t>
      </w:r>
      <w:r>
        <w:rPr>
          <w:rFonts w:hint="eastAsia" w:ascii="宋体" w:hAnsi="宋体"/>
          <w:color w:val="FF0000"/>
          <w:sz w:val="24"/>
          <w:szCs w:val="24"/>
        </w:rPr>
        <w:t>个，回函并有建议或意见的单位数</w:t>
      </w:r>
      <w:r>
        <w:rPr>
          <w:rFonts w:hint="eastAsia"/>
          <w:color w:val="FF0000"/>
          <w:sz w:val="24"/>
          <w:szCs w:val="24"/>
          <w:lang w:val="en-US" w:eastAsia="zh-CN"/>
        </w:rPr>
        <w:t>12</w:t>
      </w:r>
      <w:bookmarkStart w:id="0" w:name="_GoBack"/>
      <w:bookmarkEnd w:id="0"/>
      <w:r>
        <w:rPr>
          <w:rFonts w:hint="eastAsia" w:ascii="宋体" w:hAnsi="宋体"/>
          <w:color w:val="FF0000"/>
          <w:sz w:val="24"/>
          <w:szCs w:val="24"/>
        </w:rPr>
        <w:t>个。编制组单位根据回函意见，对标准稿进行了修改和完善，并于202</w:t>
      </w:r>
      <w:r>
        <w:rPr>
          <w:rFonts w:ascii="宋体" w:hAnsi="宋体"/>
          <w:color w:val="FF0000"/>
          <w:sz w:val="24"/>
          <w:szCs w:val="24"/>
        </w:rPr>
        <w:t>3</w:t>
      </w:r>
      <w:r>
        <w:rPr>
          <w:rFonts w:hint="eastAsia" w:ascii="宋体" w:hAnsi="宋体"/>
          <w:color w:val="FF0000"/>
          <w:sz w:val="24"/>
          <w:szCs w:val="24"/>
        </w:rPr>
        <w:t>年</w:t>
      </w:r>
      <w:r>
        <w:rPr>
          <w:rFonts w:ascii="宋体" w:hAnsi="宋体"/>
          <w:color w:val="FF0000"/>
          <w:sz w:val="24"/>
          <w:szCs w:val="24"/>
        </w:rPr>
        <w:t>5</w:t>
      </w:r>
      <w:r>
        <w:rPr>
          <w:rFonts w:hint="eastAsia" w:ascii="宋体" w:hAnsi="宋体"/>
          <w:color w:val="FF0000"/>
          <w:sz w:val="24"/>
          <w:szCs w:val="24"/>
        </w:rPr>
        <w:t>月形成了送审稿。</w:t>
      </w:r>
    </w:p>
    <w:p>
      <w:pPr>
        <w:pStyle w:val="13"/>
        <w:spacing w:line="360" w:lineRule="auto"/>
        <w:ind w:firstLine="480"/>
        <w:rPr>
          <w:rFonts w:hint="eastAsia" w:ascii="Times New Roman"/>
          <w:kern w:val="2"/>
          <w:sz w:val="24"/>
          <w:szCs w:val="24"/>
        </w:rPr>
      </w:pP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标准编制原则</w:t>
      </w:r>
    </w:p>
    <w:p>
      <w:pPr>
        <w:ind w:firstLine="480" w:firstLineChars="200"/>
        <w:rPr>
          <w:rFonts w:ascii="宋体" w:hAnsi="宋体"/>
          <w:sz w:val="24"/>
        </w:rPr>
      </w:pPr>
      <w:r>
        <w:rPr>
          <w:rFonts w:hint="eastAsia" w:ascii="宋体" w:hAnsi="宋体"/>
          <w:sz w:val="24"/>
        </w:rPr>
        <w:t xml:space="preserve">贵研铂业股份有限公司接到制定任务后，认真分析和研究国内外相关标准的基本内容和特点，以YS/T </w:t>
      </w:r>
      <w:r>
        <w:rPr>
          <w:rFonts w:ascii="宋体" w:hAnsi="宋体"/>
          <w:sz w:val="24"/>
        </w:rPr>
        <w:t>1070</w:t>
      </w:r>
      <w:r>
        <w:rPr>
          <w:rFonts w:hint="eastAsia" w:ascii="宋体" w:hAnsi="宋体"/>
          <w:sz w:val="24"/>
        </w:rPr>
        <w:t>-2</w:t>
      </w:r>
      <w:r>
        <w:rPr>
          <w:rFonts w:ascii="宋体" w:hAnsi="宋体"/>
          <w:sz w:val="24"/>
        </w:rPr>
        <w:t>015</w:t>
      </w:r>
      <w:r>
        <w:rPr>
          <w:rFonts w:hint="eastAsia" w:ascii="宋体" w:hAnsi="宋体"/>
          <w:sz w:val="24"/>
        </w:rPr>
        <w:t>为基础，参考国内外相关标准，既考虑标准的先进性，也考虑标准的适用性和可操作性，并根据我国原材料加工能力、分析水平等实际情况，力求使该标准与国外先进标准接轨。</w:t>
      </w:r>
    </w:p>
    <w:p>
      <w:pPr>
        <w:ind w:firstLine="480" w:firstLineChars="200"/>
        <w:rPr>
          <w:rFonts w:ascii="宋体" w:hAnsi="宋体"/>
          <w:sz w:val="24"/>
        </w:rPr>
      </w:pPr>
      <w:r>
        <w:rPr>
          <w:rFonts w:hint="eastAsia" w:ascii="宋体" w:hAnsi="宋体"/>
          <w:sz w:val="24"/>
        </w:rPr>
        <w:t>该标准的制定既能体现生产方的技术水平，又能满足使用方的技术要求。</w:t>
      </w:r>
    </w:p>
    <w:p>
      <w:pPr>
        <w:ind w:firstLine="480" w:firstLineChars="200"/>
        <w:rPr>
          <w:rFonts w:ascii="Times New Roman" w:hAnsi="Times New Roman"/>
          <w:kern w:val="0"/>
          <w:sz w:val="24"/>
          <w:szCs w:val="24"/>
        </w:rPr>
      </w:pPr>
      <w:r>
        <w:rPr>
          <w:rFonts w:hint="eastAsia" w:ascii="Times New Roman" w:hAnsi="Times New Roman"/>
          <w:kern w:val="0"/>
          <w:sz w:val="24"/>
          <w:szCs w:val="24"/>
        </w:rPr>
        <w:t>修订过程严格安装标准制定和修订的标准技术路线开展工作。</w:t>
      </w:r>
      <w:r>
        <w:rPr>
          <w:rFonts w:ascii="Times New Roman" w:hAnsi="Times New Roman"/>
          <w:kern w:val="0"/>
          <w:sz w:val="24"/>
          <w:szCs w:val="24"/>
        </w:rPr>
        <w:t>该标准的修订中主要遵循了统一性、协调性、普适性和实用性原则。具体如下：</w:t>
      </w:r>
    </w:p>
    <w:p>
      <w:pPr>
        <w:autoSpaceDE w:val="0"/>
        <w:autoSpaceDN w:val="0"/>
        <w:jc w:val="left"/>
        <w:rPr>
          <w:rFonts w:ascii="Times New Roman" w:hAnsi="Times New Roman"/>
          <w:color w:val="000000"/>
          <w:kern w:val="0"/>
          <w:sz w:val="24"/>
          <w:szCs w:val="24"/>
        </w:rPr>
      </w:pPr>
      <w:r>
        <w:rPr>
          <w:rFonts w:hint="eastAsia" w:ascii="宋体" w:hAnsi="宋体"/>
          <w:kern w:val="0"/>
          <w:sz w:val="24"/>
          <w:szCs w:val="24"/>
        </w:rPr>
        <w:t>（1）</w:t>
      </w:r>
      <w:r>
        <w:rPr>
          <w:rFonts w:ascii="宋体" w:hAnsi="宋体"/>
          <w:kern w:val="0"/>
          <w:sz w:val="24"/>
          <w:szCs w:val="24"/>
        </w:rPr>
        <w:t>本标准</w:t>
      </w:r>
      <w:r>
        <w:rPr>
          <w:rFonts w:ascii="Times New Roman" w:hAnsi="Times New Roman"/>
          <w:kern w:val="0"/>
          <w:sz w:val="24"/>
          <w:szCs w:val="24"/>
        </w:rPr>
        <w:t>按照</w:t>
      </w:r>
      <w:r>
        <w:rPr>
          <w:rFonts w:ascii="Times New Roman" w:hAnsi="Times New Roman"/>
          <w:color w:val="000000"/>
          <w:kern w:val="0"/>
          <w:sz w:val="24"/>
          <w:szCs w:val="24"/>
        </w:rPr>
        <w:t>GB/T 1.1—20</w:t>
      </w:r>
      <w:r>
        <w:rPr>
          <w:rFonts w:hint="eastAsia" w:ascii="Times New Roman" w:hAnsi="Times New Roman"/>
          <w:color w:val="000000"/>
          <w:kern w:val="0"/>
          <w:sz w:val="24"/>
          <w:szCs w:val="24"/>
        </w:rPr>
        <w:t>20</w:t>
      </w:r>
      <w:r>
        <w:rPr>
          <w:rFonts w:ascii="Times New Roman" w:hAnsi="Times New Roman"/>
          <w:color w:val="000000"/>
          <w:kern w:val="0"/>
          <w:sz w:val="24"/>
          <w:szCs w:val="24"/>
        </w:rPr>
        <w:t xml:space="preserve"> </w:t>
      </w:r>
      <w:r>
        <w:rPr>
          <w:rFonts w:ascii="Times New Roman" w:hAnsi="宋体"/>
          <w:color w:val="000000"/>
          <w:kern w:val="0"/>
          <w:sz w:val="24"/>
          <w:szCs w:val="24"/>
        </w:rPr>
        <w:t>《标准化工作导则第</w:t>
      </w:r>
      <w:r>
        <w:rPr>
          <w:rFonts w:ascii="Times New Roman" w:hAnsi="Times New Roman"/>
          <w:color w:val="000000"/>
          <w:kern w:val="0"/>
          <w:sz w:val="24"/>
          <w:szCs w:val="24"/>
        </w:rPr>
        <w:t xml:space="preserve"> 1 </w:t>
      </w:r>
      <w:r>
        <w:rPr>
          <w:rFonts w:ascii="Times New Roman" w:hAnsi="宋体"/>
          <w:color w:val="000000"/>
          <w:kern w:val="0"/>
          <w:sz w:val="24"/>
          <w:szCs w:val="24"/>
        </w:rPr>
        <w:t>部分：标准的结构和编写》、</w:t>
      </w:r>
      <w:r>
        <w:rPr>
          <w:rFonts w:ascii="Times New Roman" w:hAnsi="Times New Roman"/>
          <w:color w:val="000000"/>
          <w:kern w:val="0"/>
          <w:sz w:val="24"/>
          <w:szCs w:val="24"/>
        </w:rPr>
        <w:t xml:space="preserve">GB/T 20000.1 —2014 </w:t>
      </w:r>
      <w:r>
        <w:rPr>
          <w:rFonts w:ascii="Times New Roman" w:hAnsi="宋体"/>
          <w:color w:val="000000"/>
          <w:kern w:val="0"/>
          <w:sz w:val="24"/>
          <w:szCs w:val="24"/>
        </w:rPr>
        <w:t>《标准化工作指南第</w:t>
      </w:r>
      <w:r>
        <w:rPr>
          <w:rFonts w:ascii="Times New Roman" w:hAnsi="Times New Roman"/>
          <w:color w:val="000000"/>
          <w:kern w:val="0"/>
          <w:sz w:val="24"/>
          <w:szCs w:val="24"/>
        </w:rPr>
        <w:t xml:space="preserve">1 </w:t>
      </w:r>
      <w:r>
        <w:rPr>
          <w:rFonts w:ascii="Times New Roman" w:hAnsi="宋体"/>
          <w:color w:val="000000"/>
          <w:kern w:val="0"/>
          <w:sz w:val="24"/>
          <w:szCs w:val="24"/>
        </w:rPr>
        <w:t>部分：标准化和相关活动的通用术语》、</w:t>
      </w:r>
      <w:r>
        <w:rPr>
          <w:rFonts w:ascii="Times New Roman" w:hAnsi="Times New Roman"/>
          <w:color w:val="000000"/>
          <w:kern w:val="0"/>
          <w:sz w:val="24"/>
          <w:szCs w:val="24"/>
        </w:rPr>
        <w:t xml:space="preserve"> GB/T 20001.4 —2015 </w:t>
      </w:r>
      <w:r>
        <w:rPr>
          <w:rFonts w:ascii="Times New Roman" w:hAnsi="宋体"/>
          <w:color w:val="000000"/>
          <w:kern w:val="0"/>
          <w:sz w:val="24"/>
          <w:szCs w:val="24"/>
        </w:rPr>
        <w:t>《标准编写规则第</w:t>
      </w:r>
      <w:r>
        <w:rPr>
          <w:rFonts w:ascii="Times New Roman" w:hAnsi="Times New Roman"/>
          <w:color w:val="000000"/>
          <w:kern w:val="0"/>
          <w:sz w:val="24"/>
          <w:szCs w:val="24"/>
        </w:rPr>
        <w:t xml:space="preserve">4 </w:t>
      </w:r>
      <w:r>
        <w:rPr>
          <w:rFonts w:ascii="Times New Roman" w:hAnsi="宋体"/>
          <w:color w:val="000000"/>
          <w:kern w:val="0"/>
          <w:sz w:val="24"/>
          <w:szCs w:val="24"/>
        </w:rPr>
        <w:t>部分：试验方法标准》</w:t>
      </w:r>
    </w:p>
    <w:p>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t>GB/T 1.1—20</w:t>
      </w:r>
      <w:r>
        <w:rPr>
          <w:rFonts w:hint="eastAsia" w:ascii="Times New Roman" w:hAnsi="Times New Roman"/>
          <w:kern w:val="0"/>
          <w:sz w:val="24"/>
          <w:szCs w:val="24"/>
        </w:rPr>
        <w:t>20</w:t>
      </w:r>
      <w:r>
        <w:rPr>
          <w:rFonts w:ascii="Times New Roman" w:hAnsi="Times New Roman"/>
          <w:kern w:val="0"/>
          <w:sz w:val="24"/>
          <w:szCs w:val="24"/>
        </w:rPr>
        <w:t>给出的规则进行修订和起草。</w:t>
      </w:r>
    </w:p>
    <w:p>
      <w:pPr>
        <w:autoSpaceDE w:val="0"/>
        <w:autoSpaceDN w:val="0"/>
        <w:adjustRightInd w:val="0"/>
        <w:jc w:val="left"/>
        <w:rPr>
          <w:rFonts w:ascii="宋体" w:hAnsi="宋体"/>
          <w:kern w:val="0"/>
          <w:sz w:val="24"/>
          <w:szCs w:val="24"/>
        </w:rPr>
      </w:pPr>
      <w:r>
        <w:rPr>
          <w:rFonts w:ascii="宋体" w:hAnsi="宋体"/>
          <w:kern w:val="0"/>
          <w:sz w:val="24"/>
          <w:szCs w:val="24"/>
        </w:rPr>
        <w:t>(2) 标准修订应考虑</w:t>
      </w:r>
      <w:r>
        <w:rPr>
          <w:rFonts w:hint="eastAsia" w:ascii="宋体" w:hAnsi="宋体"/>
          <w:kern w:val="0"/>
          <w:sz w:val="24"/>
          <w:szCs w:val="24"/>
        </w:rPr>
        <w:t>真空断路器用银及其合金</w:t>
      </w:r>
      <w:r>
        <w:rPr>
          <w:rFonts w:ascii="宋体" w:hAnsi="宋体"/>
          <w:kern w:val="0"/>
          <w:sz w:val="24"/>
          <w:szCs w:val="24"/>
        </w:rPr>
        <w:t>实际使用情况，实际应用的情况。</w:t>
      </w:r>
    </w:p>
    <w:p>
      <w:pPr>
        <w:autoSpaceDE w:val="0"/>
        <w:autoSpaceDN w:val="0"/>
        <w:adjustRightInd w:val="0"/>
        <w:jc w:val="left"/>
        <w:rPr>
          <w:rFonts w:ascii="宋体" w:hAnsi="宋体"/>
          <w:kern w:val="0"/>
          <w:sz w:val="24"/>
          <w:szCs w:val="24"/>
        </w:rPr>
      </w:pPr>
      <w:r>
        <w:rPr>
          <w:rFonts w:ascii="宋体" w:hAnsi="宋体"/>
          <w:kern w:val="0"/>
          <w:sz w:val="24"/>
          <w:szCs w:val="24"/>
        </w:rPr>
        <w:t>(3) 标准修订应充分考虑国内外现有标准法规的统一和协调。</w:t>
      </w:r>
    </w:p>
    <w:p>
      <w:pPr>
        <w:autoSpaceDE w:val="0"/>
        <w:autoSpaceDN w:val="0"/>
        <w:adjustRightInd w:val="0"/>
        <w:jc w:val="left"/>
        <w:rPr>
          <w:rFonts w:ascii="Times New Roman" w:hAnsi="Times New Roman"/>
          <w:kern w:val="0"/>
          <w:sz w:val="24"/>
          <w:szCs w:val="24"/>
        </w:rPr>
      </w:pPr>
      <w:r>
        <w:rPr>
          <w:rFonts w:ascii="宋体" w:hAnsi="宋体"/>
          <w:kern w:val="0"/>
          <w:sz w:val="24"/>
          <w:szCs w:val="24"/>
        </w:rPr>
        <w:t>(4) 标准</w:t>
      </w:r>
      <w:r>
        <w:rPr>
          <w:rFonts w:ascii="Times New Roman" w:hAnsi="Times New Roman"/>
          <w:kern w:val="0"/>
          <w:sz w:val="24"/>
          <w:szCs w:val="24"/>
        </w:rPr>
        <w:t>修订应充分考虑关于</w:t>
      </w:r>
      <w:r>
        <w:rPr>
          <w:rFonts w:hint="eastAsia" w:ascii="Times New Roman" w:hAnsi="Times New Roman"/>
          <w:kern w:val="0"/>
          <w:sz w:val="24"/>
          <w:szCs w:val="24"/>
        </w:rPr>
        <w:t>真空断路器用银及其合金加工</w:t>
      </w:r>
      <w:r>
        <w:rPr>
          <w:rFonts w:ascii="Times New Roman" w:hAnsi="Times New Roman"/>
          <w:kern w:val="0"/>
          <w:sz w:val="24"/>
          <w:szCs w:val="24"/>
        </w:rPr>
        <w:t>技术的发展和进步。</w:t>
      </w:r>
    </w:p>
    <w:p>
      <w:pPr>
        <w:autoSpaceDE w:val="0"/>
        <w:autoSpaceDN w:val="0"/>
        <w:adjustRightInd w:val="0"/>
        <w:jc w:val="left"/>
        <w:rPr>
          <w:rFonts w:ascii="宋体" w:hAnsi="宋体"/>
          <w:kern w:val="0"/>
          <w:sz w:val="24"/>
          <w:szCs w:val="24"/>
        </w:rPr>
      </w:pPr>
      <w:r>
        <w:rPr>
          <w:rFonts w:ascii="宋体" w:hAnsi="宋体"/>
          <w:kern w:val="0"/>
          <w:sz w:val="24"/>
          <w:szCs w:val="24"/>
        </w:rPr>
        <w:t xml:space="preserve">(5) </w:t>
      </w:r>
      <w:r>
        <w:rPr>
          <w:rFonts w:hint="eastAsia" w:ascii="宋体" w:hAnsi="宋体"/>
          <w:kern w:val="0"/>
          <w:sz w:val="24"/>
          <w:szCs w:val="24"/>
        </w:rPr>
        <w:t>纳入新产品牌号及产品检验要求，提升产品质量。</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标准主要内容的确定依据及主要试验和验证情况分析</w:t>
      </w:r>
    </w:p>
    <w:p>
      <w:pPr>
        <w:pStyle w:val="16"/>
        <w:numPr>
          <w:ilvl w:val="0"/>
          <w:numId w:val="0"/>
        </w:numPr>
        <w:tabs>
          <w:tab w:val="clear" w:pos="360"/>
        </w:tabs>
        <w:spacing w:before="0" w:after="0" w:line="360" w:lineRule="auto"/>
        <w:ind w:firstLine="480" w:firstLineChars="200"/>
        <w:jc w:val="left"/>
        <w:rPr>
          <w:rFonts w:ascii="宋体" w:hAnsi="宋体" w:eastAsia="宋体"/>
          <w:sz w:val="24"/>
          <w:szCs w:val="24"/>
        </w:rPr>
      </w:pPr>
      <w:r>
        <w:rPr>
          <w:rFonts w:hint="eastAsia" w:ascii="宋体" w:hAnsi="宋体" w:eastAsia="宋体"/>
          <w:sz w:val="24"/>
          <w:szCs w:val="24"/>
        </w:rPr>
        <w:t>目前，真空断路器用钎焊材料产品已在国内建立了较大用户覆盖面的供销网络体系，以AgCu28为代表的钎焊材料系列产品年销售量近年已达</w:t>
      </w:r>
      <w:r>
        <w:rPr>
          <w:rFonts w:ascii="宋体" w:hAnsi="宋体" w:eastAsia="宋体"/>
          <w:sz w:val="24"/>
          <w:szCs w:val="24"/>
        </w:rPr>
        <w:t>10</w:t>
      </w:r>
      <w:r>
        <w:rPr>
          <w:rFonts w:hint="eastAsia" w:ascii="宋体" w:hAnsi="宋体" w:eastAsia="宋体"/>
          <w:sz w:val="24"/>
          <w:szCs w:val="24"/>
        </w:rPr>
        <w:t>0多吨，产品综合质量、性能达到国外水平，已形成钎料产品多品种、多规格的产品格局。产量近年正在以每年10～20％的速度递增，但低含氧（20ppm以内）、低含碳量（20ppm以内）电真空焊料和预成形产品相关标准的制定尚属空白，高端真空断路器用银及其合金钎料环全部依赖进口。德国ABB、西门子，法国施耐德在中国工厂大多进口日本田中公司和比利时优美科公司预成形焊料产品。</w:t>
      </w:r>
    </w:p>
    <w:p>
      <w:pPr>
        <w:pStyle w:val="16"/>
        <w:tabs>
          <w:tab w:val="clear" w:pos="360"/>
        </w:tabs>
        <w:spacing w:before="0" w:after="0" w:line="360" w:lineRule="auto"/>
        <w:jc w:val="lef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在现有的基础上，经过近几年的发展，</w:t>
      </w:r>
      <w:r>
        <w:rPr>
          <w:rFonts w:ascii="宋体" w:hAnsi="宋体" w:eastAsia="宋体"/>
          <w:sz w:val="24"/>
          <w:szCs w:val="24"/>
        </w:rPr>
        <w:t xml:space="preserve"> </w:t>
      </w:r>
      <w:r>
        <w:rPr>
          <w:rFonts w:hint="eastAsia" w:ascii="宋体" w:hAnsi="宋体" w:eastAsia="宋体"/>
          <w:sz w:val="24"/>
          <w:szCs w:val="24"/>
        </w:rPr>
        <w:t>国内生产银及其合金钎料环的尺寸有了很大变化，为了满足新增不同尺寸类型的需求，本次修订主要增加了不同型号的钎料环，如：方型钎料框、直条型钎料框、丝环钎料框的外形尺寸以及允许偏差。</w:t>
      </w:r>
    </w:p>
    <w:p>
      <w:pPr>
        <w:numPr>
          <w:ilvl w:val="0"/>
          <w:numId w:val="1"/>
        </w:numPr>
        <w:rPr>
          <w:rFonts w:ascii="宋体" w:hAnsi="宋体"/>
          <w:kern w:val="0"/>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为了对标国外的相关技术，结合</w:t>
      </w:r>
      <w:r>
        <w:rPr>
          <w:rFonts w:hint="eastAsia" w:ascii="宋体" w:hAnsi="宋体"/>
          <w:kern w:val="0"/>
          <w:sz w:val="24"/>
          <w:szCs w:val="24"/>
        </w:rPr>
        <w:t>现有的生产工艺。将化学成分中杂质含量</w:t>
      </w:r>
      <w:r>
        <w:rPr>
          <w:rFonts w:ascii="宋体" w:hAnsi="宋体"/>
          <w:kern w:val="0"/>
          <w:sz w:val="24"/>
          <w:szCs w:val="24"/>
        </w:rPr>
        <w:t>O</w:t>
      </w:r>
      <w:r>
        <w:rPr>
          <w:rFonts w:hint="eastAsia" w:ascii="宋体" w:hAnsi="宋体"/>
          <w:kern w:val="0"/>
          <w:sz w:val="24"/>
          <w:szCs w:val="24"/>
        </w:rPr>
        <w:t>的含量，由原来的</w:t>
      </w:r>
      <w:r>
        <w:rPr>
          <w:rFonts w:ascii="宋体" w:hAnsi="宋体"/>
          <w:kern w:val="0"/>
          <w:sz w:val="24"/>
          <w:szCs w:val="24"/>
        </w:rPr>
        <w:t>O</w:t>
      </w:r>
      <w:r>
        <w:rPr>
          <w:rFonts w:hint="eastAsia" w:ascii="宋体" w:hAnsi="宋体"/>
          <w:kern w:val="0"/>
          <w:sz w:val="24"/>
          <w:szCs w:val="24"/>
        </w:rPr>
        <w:t>＜</w:t>
      </w:r>
      <w:r>
        <w:rPr>
          <w:rFonts w:ascii="宋体" w:hAnsi="宋体"/>
          <w:kern w:val="0"/>
          <w:sz w:val="24"/>
          <w:szCs w:val="24"/>
        </w:rPr>
        <w:t>0.003</w:t>
      </w:r>
      <w:r>
        <w:rPr>
          <w:rFonts w:hint="eastAsia" w:ascii="宋体" w:hAnsi="宋体"/>
          <w:kern w:val="0"/>
          <w:sz w:val="24"/>
          <w:szCs w:val="24"/>
        </w:rPr>
        <w:t>修改为</w:t>
      </w:r>
      <w:r>
        <w:rPr>
          <w:rFonts w:ascii="宋体" w:hAnsi="宋体"/>
          <w:kern w:val="0"/>
          <w:sz w:val="24"/>
          <w:szCs w:val="24"/>
        </w:rPr>
        <w:t>O</w:t>
      </w:r>
      <w:r>
        <w:rPr>
          <w:rFonts w:hint="eastAsia" w:ascii="宋体" w:hAnsi="宋体"/>
          <w:kern w:val="0"/>
          <w:sz w:val="24"/>
          <w:szCs w:val="24"/>
        </w:rPr>
        <w:t>＜0.002，增加了化学成分中杂质含量C的要求，C＜0.002。包括银及其合金钎料铸锭阶段的成分分析、清洁性、溅散性、熔化温度范围的检测。</w:t>
      </w:r>
    </w:p>
    <w:p>
      <w:pPr>
        <w:numPr>
          <w:ilvl w:val="0"/>
          <w:numId w:val="1"/>
        </w:numPr>
        <w:rPr>
          <w:rFonts w:hint="eastAsia" w:ascii="宋体" w:hAnsi="宋体"/>
          <w:kern w:val="0"/>
          <w:sz w:val="24"/>
          <w:szCs w:val="24"/>
        </w:rPr>
      </w:pPr>
      <w:r>
        <w:rPr>
          <w:rFonts w:hint="eastAsia" w:ascii="宋体" w:hAnsi="宋体"/>
          <w:kern w:val="0"/>
          <w:sz w:val="24"/>
          <w:szCs w:val="24"/>
        </w:rPr>
        <w:t xml:space="preserve"> </w:t>
      </w:r>
      <w:r>
        <w:rPr>
          <w:rFonts w:ascii="宋体" w:hAnsi="宋体"/>
          <w:kern w:val="0"/>
          <w:sz w:val="24"/>
          <w:szCs w:val="24"/>
        </w:rPr>
        <w:t xml:space="preserve">   </w:t>
      </w:r>
      <w:r>
        <w:rPr>
          <w:rFonts w:hint="eastAsia" w:ascii="宋体" w:hAnsi="宋体"/>
          <w:kern w:val="0"/>
          <w:sz w:val="24"/>
          <w:szCs w:val="24"/>
        </w:rPr>
        <w:t>通过多批次的银及其合金钎料环的</w:t>
      </w:r>
      <w:r>
        <w:rPr>
          <w:rFonts w:hint="eastAsia" w:ascii="宋体" w:hAnsi="宋体"/>
          <w:sz w:val="24"/>
          <w:szCs w:val="24"/>
        </w:rPr>
        <w:t>外形尺寸以及允许偏差、C、O含量进行检验，根据相关实验数据确认了可以满足要求的修订指标，具体数据如下。</w:t>
      </w:r>
    </w:p>
    <w:p>
      <w:pPr>
        <w:autoSpaceDE w:val="0"/>
        <w:autoSpaceDN w:val="0"/>
        <w:jc w:val="left"/>
        <w:rPr>
          <w:rFonts w:ascii="宋体" w:hAnsi="宋体"/>
          <w:kern w:val="0"/>
          <w:sz w:val="24"/>
          <w:szCs w:val="24"/>
        </w:rPr>
      </w:pPr>
      <w:r>
        <w:rPr>
          <w:rFonts w:hint="eastAsia" w:ascii="宋体" w:hAnsi="宋体"/>
          <w:kern w:val="0"/>
          <w:sz w:val="24"/>
          <w:szCs w:val="24"/>
        </w:rPr>
        <w:t>（1）</w:t>
      </w:r>
      <w:r>
        <w:rPr>
          <w:rFonts w:ascii="宋体" w:hAnsi="宋体"/>
          <w:kern w:val="0"/>
          <w:sz w:val="24"/>
          <w:szCs w:val="24"/>
        </w:rPr>
        <w:t xml:space="preserve"> </w:t>
      </w:r>
      <w:r>
        <w:rPr>
          <w:rFonts w:hint="eastAsia" w:ascii="宋体" w:hAnsi="宋体"/>
          <w:kern w:val="0"/>
          <w:sz w:val="24"/>
          <w:szCs w:val="24"/>
        </w:rPr>
        <w:t>新增银铜合金钎料片环相应的生产实验数据：</w:t>
      </w:r>
    </w:p>
    <w:tbl>
      <w:tblPr>
        <w:tblStyle w:val="6"/>
        <w:tblW w:w="8789" w:type="dxa"/>
        <w:tblInd w:w="-176" w:type="dxa"/>
        <w:tblLayout w:type="fixed"/>
        <w:tblCellMar>
          <w:top w:w="0" w:type="dxa"/>
          <w:left w:w="108" w:type="dxa"/>
          <w:bottom w:w="0" w:type="dxa"/>
          <w:right w:w="108" w:type="dxa"/>
        </w:tblCellMar>
      </w:tblPr>
      <w:tblGrid>
        <w:gridCol w:w="1277"/>
        <w:gridCol w:w="869"/>
        <w:gridCol w:w="2268"/>
        <w:gridCol w:w="2551"/>
        <w:gridCol w:w="1824"/>
      </w:tblGrid>
      <w:tr>
        <w:tblPrEx>
          <w:tblCellMar>
            <w:top w:w="0" w:type="dxa"/>
            <w:left w:w="108" w:type="dxa"/>
            <w:bottom w:w="0" w:type="dxa"/>
            <w:right w:w="108" w:type="dxa"/>
          </w:tblCellMar>
        </w:tblPrEx>
        <w:trPr>
          <w:trHeight w:val="734" w:hRule="exact"/>
        </w:trPr>
        <w:tc>
          <w:tcPr>
            <w:tcW w:w="1277" w:type="dxa"/>
            <w:tcBorders>
              <w:top w:val="single" w:color="000000" w:sz="12" w:space="0"/>
              <w:left w:val="single" w:color="000000" w:sz="12" w:space="0"/>
              <w:bottom w:val="single" w:color="000000" w:sz="4" w:space="0"/>
              <w:right w:val="single" w:color="000000" w:sz="4" w:space="0"/>
            </w:tcBorders>
            <w:vAlign w:val="center"/>
          </w:tcPr>
          <w:p>
            <w:pPr>
              <w:spacing w:line="240" w:lineRule="atLeast"/>
              <w:jc w:val="center"/>
              <w:rPr>
                <w:rFonts w:cs="Arial" w:asciiTheme="minorEastAsia" w:hAnsiTheme="minorEastAsia" w:eastAsiaTheme="minorEastAsia"/>
                <w:b/>
                <w:sz w:val="18"/>
                <w:szCs w:val="18"/>
              </w:rPr>
            </w:pPr>
          </w:p>
          <w:p>
            <w:pPr>
              <w:spacing w:line="240" w:lineRule="atLeast"/>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名称</w:t>
            </w:r>
          </w:p>
        </w:tc>
        <w:tc>
          <w:tcPr>
            <w:tcW w:w="7512" w:type="dxa"/>
            <w:gridSpan w:val="4"/>
            <w:tcBorders>
              <w:top w:val="single" w:color="000000" w:sz="12" w:space="0"/>
              <w:left w:val="nil"/>
              <w:bottom w:val="single" w:color="000000" w:sz="4" w:space="0"/>
              <w:right w:val="single" w:color="000000" w:sz="12" w:space="0"/>
            </w:tcBorders>
            <w:vAlign w:val="center"/>
          </w:tcPr>
          <w:p>
            <w:pPr>
              <w:spacing w:line="240" w:lineRule="atLeas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AgCu</w:t>
            </w:r>
            <w:r>
              <w:rPr>
                <w:rFonts w:hint="eastAsia" w:asciiTheme="minorEastAsia" w:hAnsiTheme="minorEastAsia" w:eastAsiaTheme="minorEastAsia"/>
                <w:sz w:val="18"/>
                <w:szCs w:val="18"/>
                <w:vertAlign w:val="subscript"/>
              </w:rPr>
              <w:t>28</w:t>
            </w:r>
          </w:p>
        </w:tc>
      </w:tr>
      <w:tr>
        <w:tblPrEx>
          <w:tblCellMar>
            <w:top w:w="0" w:type="dxa"/>
            <w:left w:w="108" w:type="dxa"/>
            <w:bottom w:w="0" w:type="dxa"/>
            <w:right w:w="108" w:type="dxa"/>
          </w:tblCellMar>
        </w:tblPrEx>
        <w:trPr>
          <w:trHeight w:val="688" w:hRule="exact"/>
        </w:trPr>
        <w:tc>
          <w:tcPr>
            <w:tcW w:w="1277" w:type="dxa"/>
            <w:tcBorders>
              <w:top w:val="single" w:color="000000" w:sz="12" w:space="0"/>
              <w:left w:val="single" w:color="000000" w:sz="12" w:space="0"/>
              <w:bottom w:val="single" w:color="000000" w:sz="4" w:space="0"/>
              <w:right w:val="single" w:color="000000" w:sz="4" w:space="0"/>
            </w:tcBorders>
            <w:vAlign w:val="center"/>
          </w:tcPr>
          <w:p>
            <w:pPr>
              <w:spacing w:line="240" w:lineRule="atLeast"/>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批 号</w:t>
            </w:r>
          </w:p>
        </w:tc>
        <w:tc>
          <w:tcPr>
            <w:tcW w:w="7512" w:type="dxa"/>
            <w:gridSpan w:val="4"/>
            <w:tcBorders>
              <w:top w:val="single" w:color="000000" w:sz="12" w:space="0"/>
              <w:left w:val="nil"/>
              <w:bottom w:val="single" w:color="000000" w:sz="4" w:space="0"/>
              <w:right w:val="single" w:color="000000" w:sz="12" w:space="0"/>
            </w:tcBorders>
          </w:tcPr>
          <w:p>
            <w:pPr>
              <w:ind w:firstLine="270" w:firstLineChars="15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GN202</w:t>
            </w:r>
            <w:r>
              <w:rPr>
                <w:rFonts w:asciiTheme="minorEastAsia" w:hAnsiTheme="minorEastAsia" w:eastAsiaTheme="minorEastAsia"/>
                <w:sz w:val="18"/>
                <w:szCs w:val="18"/>
              </w:rPr>
              <w:t>1</w:t>
            </w:r>
            <w:r>
              <w:rPr>
                <w:rFonts w:hint="eastAsia" w:asciiTheme="minorEastAsia" w:hAnsiTheme="minorEastAsia" w:eastAsiaTheme="minorEastAsia"/>
                <w:sz w:val="18"/>
                <w:szCs w:val="18"/>
              </w:rPr>
              <w:t>1028-2</w:t>
            </w:r>
          </w:p>
        </w:tc>
      </w:tr>
      <w:tr>
        <w:tblPrEx>
          <w:tblCellMar>
            <w:top w:w="0" w:type="dxa"/>
            <w:left w:w="108" w:type="dxa"/>
            <w:bottom w:w="0" w:type="dxa"/>
            <w:right w:w="108" w:type="dxa"/>
          </w:tblCellMar>
        </w:tblPrEx>
        <w:trPr>
          <w:trHeight w:val="551" w:hRule="exact"/>
        </w:trPr>
        <w:tc>
          <w:tcPr>
            <w:tcW w:w="1277" w:type="dxa"/>
            <w:tcBorders>
              <w:top w:val="single" w:color="000000" w:sz="4" w:space="0"/>
              <w:left w:val="single" w:color="000000" w:sz="12" w:space="0"/>
              <w:bottom w:val="single" w:color="000000" w:sz="4" w:space="0"/>
              <w:right w:val="single" w:color="000000" w:sz="4" w:space="0"/>
            </w:tcBorders>
            <w:vAlign w:val="center"/>
          </w:tcPr>
          <w:p>
            <w:pPr>
              <w:rPr>
                <w:rFonts w:asciiTheme="minorEastAsia" w:hAnsiTheme="minorEastAsia" w:eastAsiaTheme="minorEastAsia"/>
                <w:b/>
                <w:sz w:val="18"/>
                <w:szCs w:val="18"/>
              </w:rPr>
            </w:pPr>
            <w:r>
              <w:rPr>
                <w:rFonts w:hint="eastAsia" w:cs="宋体" w:asciiTheme="minorEastAsia" w:hAnsiTheme="minorEastAsia" w:eastAsiaTheme="minorEastAsia"/>
                <w:sz w:val="18"/>
                <w:szCs w:val="18"/>
              </w:rPr>
              <w:t>规格（mm）</w:t>
            </w:r>
          </w:p>
          <w:p>
            <w:pPr>
              <w:spacing w:line="240" w:lineRule="atLeast"/>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 xml:space="preserve">  </w:t>
            </w:r>
          </w:p>
          <w:p>
            <w:pPr>
              <w:spacing w:line="240" w:lineRule="atLeast"/>
              <w:jc w:val="center"/>
              <w:rPr>
                <w:rFonts w:cs="宋体" w:asciiTheme="minorEastAsia" w:hAnsiTheme="minorEastAsia" w:eastAsiaTheme="minorEastAsia"/>
                <w:sz w:val="18"/>
                <w:szCs w:val="18"/>
              </w:rPr>
            </w:pPr>
          </w:p>
        </w:tc>
        <w:tc>
          <w:tcPr>
            <w:tcW w:w="7512" w:type="dxa"/>
            <w:gridSpan w:val="4"/>
            <w:tcBorders>
              <w:top w:val="single" w:color="000000" w:sz="4" w:space="0"/>
              <w:left w:val="nil"/>
              <w:bottom w:val="single" w:color="000000" w:sz="4" w:space="0"/>
              <w:right w:val="single" w:color="000000" w:sz="12" w:space="0"/>
            </w:tcBorders>
            <w:vAlign w:val="center"/>
          </w:tcPr>
          <w:p>
            <w:pPr>
              <w:jc w:val="center"/>
              <w:rPr>
                <w:rFonts w:asciiTheme="minorEastAsia" w:hAnsiTheme="minorEastAsia" w:eastAsiaTheme="minorEastAsia"/>
                <w:sz w:val="18"/>
                <w:szCs w:val="18"/>
              </w:rPr>
            </w:pPr>
            <w:r>
              <w:rPr>
                <w:rFonts w:cs="Arial" w:asciiTheme="minorEastAsia" w:hAnsiTheme="minorEastAsia" w:eastAsiaTheme="minorEastAsia"/>
                <w:sz w:val="18"/>
                <w:szCs w:val="18"/>
              </w:rPr>
              <w:t>≠</w:t>
            </w:r>
            <w:r>
              <w:rPr>
                <w:rFonts w:hint="eastAsia" w:asciiTheme="minorEastAsia" w:hAnsiTheme="minorEastAsia" w:eastAsiaTheme="minorEastAsia"/>
                <w:sz w:val="18"/>
                <w:szCs w:val="18"/>
              </w:rPr>
              <w:t>0.1</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Ф</w:t>
            </w:r>
            <w:r>
              <w:rPr>
                <w:rFonts w:hint="eastAsia" w:asciiTheme="minorEastAsia" w:hAnsiTheme="minorEastAsia" w:eastAsiaTheme="minorEastAsia"/>
                <w:sz w:val="18"/>
                <w:szCs w:val="18"/>
              </w:rPr>
              <w:t>82.4</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Ф</w:t>
            </w:r>
            <w:r>
              <w:rPr>
                <w:rFonts w:hint="eastAsia" w:asciiTheme="minorEastAsia" w:hAnsiTheme="minorEastAsia" w:eastAsiaTheme="minorEastAsia"/>
                <w:sz w:val="18"/>
                <w:szCs w:val="18"/>
              </w:rPr>
              <w:t>92.4</w:t>
            </w:r>
          </w:p>
        </w:tc>
      </w:tr>
      <w:tr>
        <w:tblPrEx>
          <w:tblCellMar>
            <w:top w:w="0" w:type="dxa"/>
            <w:left w:w="108" w:type="dxa"/>
            <w:bottom w:w="0" w:type="dxa"/>
            <w:right w:w="108" w:type="dxa"/>
          </w:tblCellMar>
        </w:tblPrEx>
        <w:trPr>
          <w:trHeight w:val="527" w:hRule="atLeast"/>
        </w:trPr>
        <w:tc>
          <w:tcPr>
            <w:tcW w:w="8789" w:type="dxa"/>
            <w:gridSpan w:val="5"/>
            <w:tcBorders>
              <w:top w:val="single" w:color="000000" w:sz="12" w:space="0"/>
              <w:left w:val="single" w:color="000000" w:sz="12" w:space="0"/>
              <w:bottom w:val="single" w:color="000000" w:sz="4" w:space="0"/>
              <w:right w:val="single" w:color="000000" w:sz="12" w:space="0"/>
            </w:tcBorders>
          </w:tcPr>
          <w:p>
            <w:pPr>
              <w:rPr>
                <w:rFonts w:asciiTheme="minorEastAsia" w:hAnsiTheme="minorEastAsia" w:eastAsiaTheme="minorEastAsia"/>
                <w:sz w:val="18"/>
                <w:szCs w:val="18"/>
              </w:rPr>
            </w:pPr>
            <w:r>
              <w:rPr>
                <w:rFonts w:hint="eastAsia" w:cs="宋体" w:asciiTheme="minorEastAsia" w:hAnsiTheme="minorEastAsia" w:eastAsiaTheme="minorEastAsia"/>
                <w:sz w:val="18"/>
                <w:szCs w:val="18"/>
              </w:rPr>
              <w:t>化学成分</w:t>
            </w:r>
          </w:p>
        </w:tc>
      </w:tr>
      <w:tr>
        <w:tblPrEx>
          <w:tblCellMar>
            <w:top w:w="0" w:type="dxa"/>
            <w:left w:w="108" w:type="dxa"/>
            <w:bottom w:w="0" w:type="dxa"/>
            <w:right w:w="108" w:type="dxa"/>
          </w:tblCellMar>
        </w:tblPrEx>
        <w:trPr>
          <w:trHeight w:val="856" w:hRule="exac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cs="Arial" w:asciiTheme="minorEastAsia" w:hAnsiTheme="minorEastAsia" w:eastAsiaTheme="minorEastAsia"/>
                <w:b/>
                <w:sz w:val="18"/>
                <w:szCs w:val="18"/>
              </w:rPr>
            </w:pPr>
            <w:r>
              <w:rPr>
                <w:rFonts w:cs="Arial" w:asciiTheme="minorEastAsia" w:hAnsiTheme="minorEastAsia" w:eastAsiaTheme="minorEastAsia"/>
                <w:b/>
                <w:sz w:val="18"/>
                <w:szCs w:val="18"/>
              </w:rPr>
              <w:t>Test items</w:t>
            </w:r>
          </w:p>
          <w:p>
            <w:pPr>
              <w:jc w:val="center"/>
              <w:rPr>
                <w:rFonts w:asciiTheme="minorEastAsia" w:hAnsiTheme="minorEastAsia" w:eastAsiaTheme="minorEastAsia"/>
                <w:sz w:val="18"/>
                <w:szCs w:val="18"/>
              </w:rPr>
            </w:pPr>
            <w:r>
              <w:rPr>
                <w:rFonts w:hint="eastAsia" w:cs="Arial" w:asciiTheme="minorEastAsia" w:hAnsiTheme="minorEastAsia" w:eastAsiaTheme="minorEastAsia"/>
                <w:sz w:val="18"/>
                <w:szCs w:val="18"/>
              </w:rPr>
              <w:t>检验项目</w:t>
            </w:r>
          </w:p>
        </w:tc>
        <w:tc>
          <w:tcPr>
            <w:tcW w:w="2268" w:type="dxa"/>
            <w:tcBorders>
              <w:top w:val="single" w:color="000000" w:sz="4" w:space="0"/>
              <w:left w:val="nil"/>
              <w:bottom w:val="single" w:color="000000" w:sz="4" w:space="0"/>
              <w:right w:val="single" w:color="000000" w:sz="4" w:space="0"/>
            </w:tcBorders>
          </w:tcPr>
          <w:p>
            <w:pPr>
              <w:jc w:val="center"/>
              <w:rPr>
                <w:rFonts w:cs="Arial" w:asciiTheme="minorEastAsia" w:hAnsiTheme="minorEastAsia" w:eastAsiaTheme="minorEastAsia"/>
                <w:b/>
                <w:sz w:val="18"/>
                <w:szCs w:val="18"/>
              </w:rPr>
            </w:pPr>
            <w:r>
              <w:rPr>
                <w:rFonts w:cs="Arial" w:asciiTheme="minorEastAsia" w:hAnsiTheme="minorEastAsia" w:eastAsiaTheme="minorEastAsia"/>
                <w:b/>
                <w:sz w:val="18"/>
                <w:szCs w:val="18"/>
              </w:rPr>
              <w:t>Requirement</w:t>
            </w:r>
            <w:r>
              <w:rPr>
                <w:rFonts w:hint="eastAsia" w:cs="Arial" w:asciiTheme="minorEastAsia" w:hAnsiTheme="minorEastAsia" w:eastAsiaTheme="minorEastAsia"/>
                <w:b/>
                <w:sz w:val="18"/>
                <w:szCs w:val="18"/>
              </w:rPr>
              <w:t>（</w:t>
            </w:r>
            <w:r>
              <w:rPr>
                <w:rFonts w:cs="Arial" w:asciiTheme="minorEastAsia" w:hAnsiTheme="minorEastAsia" w:eastAsiaTheme="minorEastAsia"/>
                <w:b/>
                <w:sz w:val="18"/>
                <w:szCs w:val="18"/>
              </w:rPr>
              <w:t>%</w:t>
            </w:r>
            <w:r>
              <w:rPr>
                <w:rFonts w:hint="eastAsia" w:cs="Arial" w:asciiTheme="minorEastAsia" w:hAnsiTheme="minorEastAsia" w:eastAsiaTheme="minorEastAsia"/>
                <w:b/>
                <w:sz w:val="18"/>
                <w:szCs w:val="18"/>
              </w:rPr>
              <w:t>）</w:t>
            </w:r>
          </w:p>
          <w:p>
            <w:pPr>
              <w:jc w:val="center"/>
              <w:rPr>
                <w:rFonts w:cs="Arial" w:asciiTheme="minorEastAsia" w:hAnsiTheme="minorEastAsia" w:eastAsiaTheme="minorEastAsia"/>
                <w:sz w:val="18"/>
                <w:szCs w:val="18"/>
              </w:rPr>
            </w:pPr>
            <w:r>
              <w:rPr>
                <w:rFonts w:hint="eastAsia" w:cs="Arial" w:asciiTheme="minorEastAsia" w:hAnsiTheme="minorEastAsia" w:eastAsiaTheme="minorEastAsia"/>
                <w:sz w:val="18"/>
                <w:szCs w:val="18"/>
              </w:rPr>
              <w:t>要求</w:t>
            </w:r>
          </w:p>
        </w:tc>
        <w:tc>
          <w:tcPr>
            <w:tcW w:w="2551" w:type="dxa"/>
            <w:tcBorders>
              <w:top w:val="single" w:color="000000" w:sz="4" w:space="0"/>
              <w:left w:val="nil"/>
              <w:bottom w:val="single" w:color="000000" w:sz="4" w:space="0"/>
              <w:right w:val="single" w:color="000000" w:sz="4" w:space="0"/>
            </w:tcBorders>
          </w:tcPr>
          <w:p>
            <w:pPr>
              <w:jc w:val="center"/>
              <w:rPr>
                <w:rFonts w:cs="Arial" w:asciiTheme="minorEastAsia" w:hAnsiTheme="minorEastAsia" w:eastAsiaTheme="minorEastAsia"/>
                <w:b/>
                <w:sz w:val="18"/>
                <w:szCs w:val="18"/>
              </w:rPr>
            </w:pPr>
            <w:r>
              <w:rPr>
                <w:rFonts w:cs="Arial" w:asciiTheme="minorEastAsia" w:hAnsiTheme="minorEastAsia" w:eastAsiaTheme="minorEastAsia"/>
                <w:b/>
                <w:sz w:val="18"/>
                <w:szCs w:val="18"/>
              </w:rPr>
              <w:t>Actual test value</w:t>
            </w:r>
            <w:r>
              <w:rPr>
                <w:rFonts w:hint="eastAsia" w:cs="Arial" w:asciiTheme="minorEastAsia" w:hAnsiTheme="minorEastAsia" w:eastAsiaTheme="minorEastAsia"/>
                <w:b/>
                <w:sz w:val="18"/>
                <w:szCs w:val="18"/>
              </w:rPr>
              <w:t xml:space="preserve">     </w:t>
            </w:r>
          </w:p>
          <w:p>
            <w:pPr>
              <w:jc w:val="center"/>
              <w:rPr>
                <w:rFonts w:cs="Arial" w:asciiTheme="minorEastAsia" w:hAnsiTheme="minorEastAsia" w:eastAsiaTheme="minorEastAsia"/>
                <w:b/>
                <w:sz w:val="18"/>
                <w:szCs w:val="18"/>
              </w:rPr>
            </w:pPr>
            <w:r>
              <w:rPr>
                <w:rFonts w:hint="eastAsia" w:cs="Arial" w:asciiTheme="minorEastAsia" w:hAnsiTheme="minorEastAsia" w:eastAsiaTheme="minorEastAsia"/>
                <w:b/>
                <w:sz w:val="18"/>
                <w:szCs w:val="18"/>
              </w:rPr>
              <w:t xml:space="preserve">  </w:t>
            </w:r>
            <w:r>
              <w:rPr>
                <w:rFonts w:hint="eastAsia" w:cs="Arial" w:asciiTheme="minorEastAsia" w:hAnsiTheme="minorEastAsia" w:eastAsiaTheme="minorEastAsia"/>
                <w:sz w:val="18"/>
                <w:szCs w:val="18"/>
              </w:rPr>
              <w:t>实测值（</w:t>
            </w:r>
            <w:r>
              <w:rPr>
                <w:rFonts w:cs="Arial" w:asciiTheme="minorEastAsia" w:hAnsiTheme="minorEastAsia" w:eastAsiaTheme="minorEastAsia"/>
                <w:sz w:val="18"/>
                <w:szCs w:val="18"/>
              </w:rPr>
              <w:t>%</w:t>
            </w:r>
            <w:r>
              <w:rPr>
                <w:rFonts w:hint="eastAsia" w:cs="Arial" w:asciiTheme="minorEastAsia" w:hAnsiTheme="minorEastAsia" w:eastAsiaTheme="minorEastAsia"/>
                <w:sz w:val="18"/>
                <w:szCs w:val="18"/>
              </w:rPr>
              <w:t>）</w:t>
            </w:r>
          </w:p>
        </w:tc>
        <w:tc>
          <w:tcPr>
            <w:tcW w:w="1824" w:type="dxa"/>
            <w:tcBorders>
              <w:top w:val="single" w:color="000000" w:sz="4" w:space="0"/>
              <w:left w:val="nil"/>
              <w:bottom w:val="single" w:color="000000" w:sz="4" w:space="0"/>
              <w:right w:val="single" w:color="000000" w:sz="12" w:space="0"/>
            </w:tcBorders>
          </w:tcPr>
          <w:p>
            <w:pPr>
              <w:jc w:val="center"/>
              <w:rPr>
                <w:rFonts w:cs="Arial" w:asciiTheme="minorEastAsia" w:hAnsiTheme="minorEastAsia" w:eastAsiaTheme="minorEastAsia"/>
                <w:b/>
                <w:sz w:val="18"/>
                <w:szCs w:val="18"/>
              </w:rPr>
            </w:pPr>
            <w:r>
              <w:rPr>
                <w:rFonts w:hint="eastAsia" w:cs="Arial" w:asciiTheme="minorEastAsia" w:hAnsiTheme="minorEastAsia" w:eastAsiaTheme="minorEastAsia"/>
                <w:b/>
                <w:sz w:val="18"/>
                <w:szCs w:val="18"/>
              </w:rPr>
              <w:t xml:space="preserve">Decide      </w:t>
            </w:r>
          </w:p>
          <w:p>
            <w:pPr>
              <w:jc w:val="center"/>
              <w:rPr>
                <w:rFonts w:asciiTheme="minorEastAsia" w:hAnsiTheme="minorEastAsia" w:eastAsiaTheme="minorEastAsia"/>
                <w:sz w:val="18"/>
                <w:szCs w:val="18"/>
              </w:rPr>
            </w:pPr>
            <w:r>
              <w:rPr>
                <w:rFonts w:hint="eastAsia" w:cs="Arial" w:asciiTheme="minorEastAsia" w:hAnsiTheme="minorEastAsia" w:eastAsiaTheme="minorEastAsia"/>
                <w:b/>
                <w:sz w:val="18"/>
                <w:szCs w:val="18"/>
              </w:rPr>
              <w:t xml:space="preserve"> </w:t>
            </w:r>
            <w:r>
              <w:rPr>
                <w:rFonts w:hint="eastAsia" w:cs="Arial" w:asciiTheme="minorEastAsia" w:hAnsiTheme="minorEastAsia" w:eastAsiaTheme="minorEastAsia"/>
                <w:sz w:val="18"/>
                <w:szCs w:val="18"/>
              </w:rPr>
              <w:t>判定</w:t>
            </w:r>
          </w:p>
        </w:tc>
      </w:tr>
      <w:tr>
        <w:tblPrEx>
          <w:tblCellMar>
            <w:top w:w="0" w:type="dxa"/>
            <w:left w:w="108" w:type="dxa"/>
            <w:bottom w:w="0" w:type="dxa"/>
            <w:right w:w="108" w:type="dxa"/>
          </w:tblCellMar>
        </w:tblPrEx>
        <w:trPr>
          <w:trHeight w:val="267"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Ag</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71~73</w:t>
            </w:r>
          </w:p>
        </w:tc>
        <w:tc>
          <w:tcPr>
            <w:tcW w:w="2551"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71.53</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441"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Cu</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27~29</w:t>
            </w:r>
          </w:p>
        </w:tc>
        <w:tc>
          <w:tcPr>
            <w:tcW w:w="2551"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27.47</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377"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C</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≤0.0020</w:t>
            </w:r>
          </w:p>
        </w:tc>
        <w:tc>
          <w:tcPr>
            <w:tcW w:w="2551"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&lt;0.001</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327"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O</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≤0.0020</w:t>
            </w:r>
          </w:p>
        </w:tc>
        <w:tc>
          <w:tcPr>
            <w:tcW w:w="2551" w:type="dxa"/>
            <w:tcBorders>
              <w:top w:val="single" w:color="000000" w:sz="4" w:space="0"/>
              <w:left w:val="nil"/>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0.0011</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418"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Pb</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w:t>
            </w:r>
            <w:r>
              <w:rPr>
                <w:rFonts w:asciiTheme="minorEastAsia" w:hAnsiTheme="minorEastAsia" w:eastAsiaTheme="minorEastAsia"/>
                <w:sz w:val="18"/>
                <w:szCs w:val="18"/>
              </w:rPr>
              <w:t>0.002</w:t>
            </w:r>
          </w:p>
        </w:tc>
        <w:tc>
          <w:tcPr>
            <w:tcW w:w="2551"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&lt;0.0005</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369"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Zn</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w:t>
            </w:r>
            <w:r>
              <w:rPr>
                <w:rFonts w:asciiTheme="minorEastAsia" w:hAnsiTheme="minorEastAsia" w:eastAsiaTheme="minorEastAsia"/>
                <w:sz w:val="18"/>
                <w:szCs w:val="18"/>
              </w:rPr>
              <w:t>0.002</w:t>
            </w:r>
          </w:p>
        </w:tc>
        <w:tc>
          <w:tcPr>
            <w:tcW w:w="2551"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&lt;0.0003</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461" w:hRule="atLeast"/>
        </w:trPr>
        <w:tc>
          <w:tcPr>
            <w:tcW w:w="2146" w:type="dxa"/>
            <w:gridSpan w:val="2"/>
            <w:tcBorders>
              <w:top w:val="single" w:color="000000" w:sz="4" w:space="0"/>
              <w:left w:val="single" w:color="000000" w:sz="12" w:space="0"/>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Cd</w:t>
            </w:r>
          </w:p>
        </w:tc>
        <w:tc>
          <w:tcPr>
            <w:tcW w:w="2268"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w:t>
            </w:r>
            <w:r>
              <w:rPr>
                <w:rFonts w:asciiTheme="minorEastAsia" w:hAnsiTheme="minorEastAsia" w:eastAsiaTheme="minorEastAsia"/>
                <w:sz w:val="18"/>
                <w:szCs w:val="18"/>
              </w:rPr>
              <w:t>0.002</w:t>
            </w:r>
          </w:p>
        </w:tc>
        <w:tc>
          <w:tcPr>
            <w:tcW w:w="2551" w:type="dxa"/>
            <w:tcBorders>
              <w:top w:val="single" w:color="000000" w:sz="4" w:space="0"/>
              <w:left w:val="nil"/>
              <w:bottom w:val="single" w:color="000000" w:sz="4" w:space="0"/>
              <w:right w:val="single" w:color="000000" w:sz="4"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&lt;0.0005</w:t>
            </w:r>
          </w:p>
        </w:tc>
        <w:tc>
          <w:tcPr>
            <w:tcW w:w="182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bl>
    <w:p>
      <w:pPr>
        <w:rPr>
          <w:rFonts w:hint="eastAsia"/>
        </w:rPr>
      </w:pPr>
    </w:p>
    <w:tbl>
      <w:tblPr>
        <w:tblStyle w:val="6"/>
        <w:tblW w:w="8789" w:type="dxa"/>
        <w:tblInd w:w="-176" w:type="dxa"/>
        <w:tblLayout w:type="fixed"/>
        <w:tblCellMar>
          <w:top w:w="0" w:type="dxa"/>
          <w:left w:w="108" w:type="dxa"/>
          <w:bottom w:w="0" w:type="dxa"/>
          <w:right w:w="108" w:type="dxa"/>
        </w:tblCellMar>
      </w:tblPr>
      <w:tblGrid>
        <w:gridCol w:w="2146"/>
        <w:gridCol w:w="1417"/>
        <w:gridCol w:w="851"/>
        <w:gridCol w:w="850"/>
        <w:gridCol w:w="690"/>
        <w:gridCol w:w="1011"/>
        <w:gridCol w:w="1010"/>
        <w:gridCol w:w="814"/>
      </w:tblGrid>
      <w:tr>
        <w:tblPrEx>
          <w:tblCellMar>
            <w:top w:w="0" w:type="dxa"/>
            <w:left w:w="108" w:type="dxa"/>
            <w:bottom w:w="0" w:type="dxa"/>
            <w:right w:w="108" w:type="dxa"/>
          </w:tblCellMar>
        </w:tblPrEx>
        <w:trPr>
          <w:trHeight w:val="483" w:hRule="atLeast"/>
        </w:trPr>
        <w:tc>
          <w:tcPr>
            <w:tcW w:w="2146" w:type="dxa"/>
            <w:tcBorders>
              <w:top w:val="single" w:color="000000" w:sz="12" w:space="0"/>
              <w:left w:val="single" w:color="000000" w:sz="12" w:space="0"/>
              <w:bottom w:val="single" w:color="000000" w:sz="4" w:space="0"/>
              <w:right w:val="single" w:color="000000" w:sz="4" w:space="0"/>
            </w:tcBorders>
            <w:vAlign w:val="center"/>
          </w:tcPr>
          <w:p>
            <w:pPr>
              <w:jc w:val="center"/>
              <w:rPr>
                <w:rFonts w:cs="Arial" w:asciiTheme="minorEastAsia" w:hAnsiTheme="minorEastAsia" w:eastAsiaTheme="minorEastAsia"/>
                <w:b/>
                <w:sz w:val="18"/>
                <w:szCs w:val="18"/>
              </w:rPr>
            </w:pPr>
            <w:r>
              <w:rPr>
                <w:rFonts w:cs="Arial" w:asciiTheme="minorEastAsia" w:hAnsiTheme="minorEastAsia" w:eastAsiaTheme="minorEastAsia"/>
                <w:b/>
                <w:sz w:val="18"/>
                <w:szCs w:val="18"/>
              </w:rPr>
              <w:t>Test items</w:t>
            </w:r>
          </w:p>
          <w:p>
            <w:pPr>
              <w:jc w:val="center"/>
              <w:rPr>
                <w:rFonts w:asciiTheme="minorEastAsia" w:hAnsiTheme="minorEastAsia" w:eastAsiaTheme="minorEastAsia"/>
                <w:b/>
                <w:sz w:val="18"/>
                <w:szCs w:val="18"/>
              </w:rPr>
            </w:pPr>
            <w:r>
              <w:rPr>
                <w:rFonts w:hint="eastAsia" w:cs="Arial" w:asciiTheme="minorEastAsia" w:hAnsiTheme="minorEastAsia" w:eastAsiaTheme="minorEastAsia"/>
                <w:sz w:val="18"/>
                <w:szCs w:val="18"/>
              </w:rPr>
              <w:t>检验项目</w:t>
            </w:r>
          </w:p>
        </w:tc>
        <w:tc>
          <w:tcPr>
            <w:tcW w:w="1417" w:type="dxa"/>
            <w:tcBorders>
              <w:top w:val="single" w:color="000000" w:sz="12" w:space="0"/>
              <w:left w:val="nil"/>
              <w:bottom w:val="single" w:color="000000" w:sz="4" w:space="0"/>
              <w:right w:val="single" w:color="000000" w:sz="12" w:space="0"/>
            </w:tcBorders>
            <w:vAlign w:val="center"/>
          </w:tcPr>
          <w:p>
            <w:pPr>
              <w:jc w:val="center"/>
              <w:rPr>
                <w:rFonts w:asciiTheme="minorEastAsia" w:hAnsiTheme="minorEastAsia" w:eastAsiaTheme="minorEastAsia"/>
                <w:b/>
                <w:sz w:val="18"/>
                <w:szCs w:val="18"/>
              </w:rPr>
            </w:pPr>
            <w:r>
              <w:rPr>
                <w:rFonts w:cs="Arial" w:asciiTheme="minorEastAsia" w:hAnsiTheme="minorEastAsia" w:eastAsiaTheme="minorEastAsia"/>
                <w:b/>
                <w:sz w:val="18"/>
                <w:szCs w:val="18"/>
              </w:rPr>
              <w:t>Requirement</w:t>
            </w:r>
            <w:r>
              <w:rPr>
                <w:rFonts w:hint="eastAsia" w:cs="Arial" w:asciiTheme="minorEastAsia" w:hAnsiTheme="minorEastAsia" w:eastAsiaTheme="minorEastAsia"/>
                <w:sz w:val="18"/>
                <w:szCs w:val="18"/>
              </w:rPr>
              <w:t>（mm）要求</w:t>
            </w:r>
          </w:p>
        </w:tc>
        <w:tc>
          <w:tcPr>
            <w:tcW w:w="4412" w:type="dxa"/>
            <w:gridSpan w:val="5"/>
            <w:tcBorders>
              <w:top w:val="single" w:color="000000" w:sz="12" w:space="0"/>
              <w:left w:val="nil"/>
              <w:bottom w:val="single" w:color="000000" w:sz="4" w:space="0"/>
              <w:right w:val="single" w:color="000000" w:sz="12" w:space="0"/>
            </w:tcBorders>
            <w:vAlign w:val="center"/>
          </w:tcPr>
          <w:p>
            <w:pPr>
              <w:jc w:val="center"/>
              <w:rPr>
                <w:rFonts w:cs="Arial" w:asciiTheme="minorEastAsia" w:hAnsiTheme="minorEastAsia" w:eastAsiaTheme="minorEastAsia"/>
                <w:b/>
                <w:sz w:val="18"/>
                <w:szCs w:val="18"/>
              </w:rPr>
            </w:pPr>
            <w:r>
              <w:rPr>
                <w:rFonts w:cs="Arial" w:asciiTheme="minorEastAsia" w:hAnsiTheme="minorEastAsia" w:eastAsiaTheme="minorEastAsia"/>
                <w:b/>
                <w:sz w:val="18"/>
                <w:szCs w:val="18"/>
              </w:rPr>
              <w:t>Actual test value</w:t>
            </w:r>
            <w:r>
              <w:rPr>
                <w:rFonts w:hint="eastAsia" w:cs="Arial" w:asciiTheme="minorEastAsia" w:hAnsiTheme="minorEastAsia" w:eastAsiaTheme="minorEastAsia"/>
                <w:b/>
                <w:sz w:val="18"/>
                <w:szCs w:val="18"/>
              </w:rPr>
              <w:t>（mm）</w:t>
            </w:r>
          </w:p>
          <w:p>
            <w:pPr>
              <w:jc w:val="center"/>
              <w:rPr>
                <w:rFonts w:asciiTheme="minorEastAsia" w:hAnsiTheme="minorEastAsia" w:eastAsiaTheme="minorEastAsia"/>
                <w:sz w:val="18"/>
                <w:szCs w:val="18"/>
              </w:rPr>
            </w:pPr>
            <w:r>
              <w:rPr>
                <w:rFonts w:hint="eastAsia" w:cs="Arial" w:asciiTheme="minorEastAsia" w:hAnsiTheme="minorEastAsia" w:eastAsiaTheme="minorEastAsia"/>
                <w:sz w:val="18"/>
                <w:szCs w:val="18"/>
              </w:rPr>
              <w:t>实测值</w:t>
            </w:r>
          </w:p>
        </w:tc>
        <w:tc>
          <w:tcPr>
            <w:tcW w:w="814" w:type="dxa"/>
            <w:tcBorders>
              <w:top w:val="single" w:color="000000" w:sz="12" w:space="0"/>
              <w:left w:val="nil"/>
              <w:bottom w:val="single" w:color="000000" w:sz="4" w:space="0"/>
              <w:right w:val="single" w:color="000000" w:sz="12" w:space="0"/>
            </w:tcBorders>
            <w:vAlign w:val="center"/>
          </w:tcPr>
          <w:p>
            <w:pPr>
              <w:jc w:val="center"/>
              <w:rPr>
                <w:rFonts w:asciiTheme="minorEastAsia" w:hAnsiTheme="minorEastAsia" w:eastAsiaTheme="minorEastAsia"/>
                <w:b/>
                <w:sz w:val="18"/>
                <w:szCs w:val="18"/>
              </w:rPr>
            </w:pPr>
            <w:r>
              <w:rPr>
                <w:rFonts w:hint="eastAsia" w:cs="Arial" w:asciiTheme="minorEastAsia" w:hAnsiTheme="minorEastAsia" w:eastAsiaTheme="minorEastAsia"/>
                <w:b/>
                <w:sz w:val="18"/>
                <w:szCs w:val="18"/>
              </w:rPr>
              <w:t>Decide</w:t>
            </w:r>
            <w:r>
              <w:rPr>
                <w:rFonts w:hint="eastAsia" w:cs="Arial" w:asciiTheme="minorEastAsia" w:hAnsiTheme="minorEastAsia" w:eastAsiaTheme="minorEastAsia"/>
                <w:sz w:val="18"/>
                <w:szCs w:val="18"/>
              </w:rPr>
              <w:t>判定</w:t>
            </w:r>
          </w:p>
        </w:tc>
      </w:tr>
      <w:tr>
        <w:tblPrEx>
          <w:tblCellMar>
            <w:top w:w="0" w:type="dxa"/>
            <w:left w:w="108" w:type="dxa"/>
            <w:bottom w:w="0" w:type="dxa"/>
            <w:right w:w="108" w:type="dxa"/>
          </w:tblCellMar>
        </w:tblPrEx>
        <w:trPr>
          <w:trHeight w:val="643" w:hRule="exact"/>
        </w:trPr>
        <w:tc>
          <w:tcPr>
            <w:tcW w:w="2146" w:type="dxa"/>
            <w:tcBorders>
              <w:top w:val="single" w:color="000000" w:sz="4" w:space="0"/>
              <w:left w:val="single" w:color="000000" w:sz="12" w:space="0"/>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厚度</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厚度</w:t>
            </w:r>
          </w:p>
        </w:tc>
        <w:tc>
          <w:tcPr>
            <w:tcW w:w="1417"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0.</w:t>
            </w:r>
            <w:r>
              <w:rPr>
                <w:rFonts w:hint="eastAsia" w:cs="宋体" w:asciiTheme="minorEastAsia" w:hAnsiTheme="minorEastAsia" w:eastAsiaTheme="minorEastAsia"/>
                <w:sz w:val="18"/>
                <w:szCs w:val="18"/>
              </w:rPr>
              <w:t>1</w:t>
            </w:r>
            <w:r>
              <w:rPr>
                <w:rFonts w:cs="宋体" w:asciiTheme="minorEastAsia" w:hAnsiTheme="minorEastAsia" w:eastAsiaTheme="minorEastAsia"/>
                <w:sz w:val="18"/>
                <w:szCs w:val="18"/>
                <w:vertAlign w:val="superscript"/>
              </w:rPr>
              <w:t>±0.01</w:t>
            </w:r>
          </w:p>
        </w:tc>
        <w:tc>
          <w:tcPr>
            <w:tcW w:w="851"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0.102</w:t>
            </w:r>
          </w:p>
        </w:tc>
        <w:tc>
          <w:tcPr>
            <w:tcW w:w="850" w:type="dxa"/>
            <w:tcBorders>
              <w:top w:val="single" w:color="000000" w:sz="4" w:space="0"/>
              <w:left w:val="nil"/>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0.103</w:t>
            </w:r>
          </w:p>
        </w:tc>
        <w:tc>
          <w:tcPr>
            <w:tcW w:w="690" w:type="dxa"/>
            <w:tcBorders>
              <w:top w:val="single" w:color="000000" w:sz="4" w:space="0"/>
              <w:left w:val="nil"/>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0.103</w:t>
            </w:r>
          </w:p>
        </w:tc>
        <w:tc>
          <w:tcPr>
            <w:tcW w:w="1011" w:type="dxa"/>
            <w:tcBorders>
              <w:top w:val="single" w:color="000000" w:sz="4" w:space="0"/>
              <w:left w:val="single" w:color="auto" w:sz="4" w:space="0"/>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0.104</w:t>
            </w:r>
          </w:p>
        </w:tc>
        <w:tc>
          <w:tcPr>
            <w:tcW w:w="1010" w:type="dxa"/>
            <w:tcBorders>
              <w:top w:val="single" w:color="000000" w:sz="4" w:space="0"/>
              <w:left w:val="single" w:color="auto" w:sz="4" w:space="0"/>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0.105</w:t>
            </w:r>
          </w:p>
        </w:tc>
        <w:tc>
          <w:tcPr>
            <w:tcW w:w="814" w:type="dxa"/>
            <w:tcBorders>
              <w:top w:val="single" w:color="000000" w:sz="4" w:space="0"/>
              <w:left w:val="nil"/>
              <w:bottom w:val="single" w:color="000000" w:sz="4" w:space="0"/>
              <w:right w:val="single" w:color="000000" w:sz="12"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391" w:hRule="atLeast"/>
        </w:trPr>
        <w:tc>
          <w:tcPr>
            <w:tcW w:w="2146" w:type="dxa"/>
            <w:tcBorders>
              <w:top w:val="single" w:color="000000" w:sz="4" w:space="0"/>
              <w:left w:val="single" w:color="000000" w:sz="12" w:space="0"/>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d/内径</w:t>
            </w:r>
          </w:p>
        </w:tc>
        <w:tc>
          <w:tcPr>
            <w:tcW w:w="1417"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82.4</w:t>
            </w:r>
            <w:r>
              <w:rPr>
                <w:rFonts w:cs="宋体" w:asciiTheme="minorEastAsia" w:hAnsiTheme="minorEastAsia" w:eastAsiaTheme="minorEastAsia"/>
                <w:sz w:val="18"/>
                <w:szCs w:val="18"/>
                <w:vertAlign w:val="superscript"/>
              </w:rPr>
              <w:t>±0.</w:t>
            </w:r>
            <w:r>
              <w:rPr>
                <w:rFonts w:hint="eastAsia" w:cs="宋体" w:asciiTheme="minorEastAsia" w:hAnsiTheme="minorEastAsia" w:eastAsiaTheme="minorEastAsia"/>
                <w:sz w:val="18"/>
                <w:szCs w:val="18"/>
                <w:vertAlign w:val="superscript"/>
              </w:rPr>
              <w:t>1</w:t>
            </w:r>
          </w:p>
        </w:tc>
        <w:tc>
          <w:tcPr>
            <w:tcW w:w="851"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82.41</w:t>
            </w:r>
          </w:p>
        </w:tc>
        <w:tc>
          <w:tcPr>
            <w:tcW w:w="850" w:type="dxa"/>
            <w:tcBorders>
              <w:top w:val="single" w:color="000000" w:sz="4" w:space="0"/>
              <w:left w:val="nil"/>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82.44</w:t>
            </w:r>
          </w:p>
        </w:tc>
        <w:tc>
          <w:tcPr>
            <w:tcW w:w="690" w:type="dxa"/>
            <w:tcBorders>
              <w:top w:val="single" w:color="000000" w:sz="4" w:space="0"/>
              <w:left w:val="nil"/>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82.43</w:t>
            </w:r>
          </w:p>
        </w:tc>
        <w:tc>
          <w:tcPr>
            <w:tcW w:w="1011" w:type="dxa"/>
            <w:tcBorders>
              <w:top w:val="single" w:color="000000" w:sz="4" w:space="0"/>
              <w:left w:val="single" w:color="auto" w:sz="4" w:space="0"/>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82.40</w:t>
            </w:r>
          </w:p>
        </w:tc>
        <w:tc>
          <w:tcPr>
            <w:tcW w:w="1010" w:type="dxa"/>
            <w:tcBorders>
              <w:top w:val="single" w:color="000000" w:sz="4" w:space="0"/>
              <w:left w:val="single" w:color="auto" w:sz="4" w:space="0"/>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82.42</w:t>
            </w:r>
          </w:p>
        </w:tc>
        <w:tc>
          <w:tcPr>
            <w:tcW w:w="81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341" w:hRule="atLeast"/>
        </w:trPr>
        <w:tc>
          <w:tcPr>
            <w:tcW w:w="2146" w:type="dxa"/>
            <w:tcBorders>
              <w:top w:val="single" w:color="000000" w:sz="4" w:space="0"/>
              <w:left w:val="single" w:color="000000" w:sz="12" w:space="0"/>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D</w:t>
            </w:r>
            <w:r>
              <w:rPr>
                <w:rFonts w:hint="eastAsia" w:asciiTheme="minorEastAsia" w:hAnsiTheme="minorEastAsia" w:eastAsiaTheme="minorEastAsia"/>
                <w:sz w:val="18"/>
                <w:szCs w:val="18"/>
              </w:rPr>
              <w:t>/外径</w:t>
            </w:r>
          </w:p>
        </w:tc>
        <w:tc>
          <w:tcPr>
            <w:tcW w:w="1417"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92.4</w:t>
            </w:r>
            <w:r>
              <w:rPr>
                <w:rFonts w:cs="宋体" w:asciiTheme="minorEastAsia" w:hAnsiTheme="minorEastAsia" w:eastAsiaTheme="minorEastAsia"/>
                <w:sz w:val="18"/>
                <w:szCs w:val="18"/>
                <w:vertAlign w:val="superscript"/>
              </w:rPr>
              <w:t>±0.</w:t>
            </w:r>
            <w:r>
              <w:rPr>
                <w:rFonts w:hint="eastAsia" w:cs="宋体" w:asciiTheme="minorEastAsia" w:hAnsiTheme="minorEastAsia" w:eastAsiaTheme="minorEastAsia"/>
                <w:sz w:val="18"/>
                <w:szCs w:val="18"/>
                <w:vertAlign w:val="superscript"/>
              </w:rPr>
              <w:t>1</w:t>
            </w:r>
          </w:p>
        </w:tc>
        <w:tc>
          <w:tcPr>
            <w:tcW w:w="851"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92.43</w:t>
            </w:r>
          </w:p>
        </w:tc>
        <w:tc>
          <w:tcPr>
            <w:tcW w:w="850" w:type="dxa"/>
            <w:tcBorders>
              <w:top w:val="single" w:color="000000" w:sz="4" w:space="0"/>
              <w:left w:val="nil"/>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92.44</w:t>
            </w:r>
          </w:p>
        </w:tc>
        <w:tc>
          <w:tcPr>
            <w:tcW w:w="690" w:type="dxa"/>
            <w:tcBorders>
              <w:top w:val="single" w:color="000000" w:sz="4" w:space="0"/>
              <w:left w:val="nil"/>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92.43</w:t>
            </w:r>
          </w:p>
        </w:tc>
        <w:tc>
          <w:tcPr>
            <w:tcW w:w="1011" w:type="dxa"/>
            <w:tcBorders>
              <w:top w:val="single" w:color="000000" w:sz="4" w:space="0"/>
              <w:left w:val="single" w:color="auto" w:sz="4" w:space="0"/>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92.45</w:t>
            </w:r>
          </w:p>
        </w:tc>
        <w:tc>
          <w:tcPr>
            <w:tcW w:w="1010" w:type="dxa"/>
            <w:tcBorders>
              <w:top w:val="single" w:color="000000" w:sz="4" w:space="0"/>
              <w:left w:val="single" w:color="auto" w:sz="4" w:space="0"/>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92.45</w:t>
            </w:r>
          </w:p>
        </w:tc>
        <w:tc>
          <w:tcPr>
            <w:tcW w:w="814" w:type="dxa"/>
            <w:tcBorders>
              <w:top w:val="single" w:color="000000" w:sz="4" w:space="0"/>
              <w:left w:val="nil"/>
              <w:bottom w:val="single" w:color="000000" w:sz="4" w:space="0"/>
              <w:right w:val="single" w:color="000000" w:sz="12" w:space="0"/>
            </w:tcBorders>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574" w:hRule="atLeast"/>
        </w:trPr>
        <w:tc>
          <w:tcPr>
            <w:tcW w:w="2146" w:type="dxa"/>
            <w:tcBorders>
              <w:top w:val="single" w:color="000000" w:sz="4" w:space="0"/>
              <w:left w:val="single" w:color="000000" w:sz="12" w:space="0"/>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同心度</w:t>
            </w:r>
          </w:p>
        </w:tc>
        <w:tc>
          <w:tcPr>
            <w:tcW w:w="1417" w:type="dxa"/>
            <w:tcBorders>
              <w:top w:val="single" w:color="000000" w:sz="4" w:space="0"/>
              <w:left w:val="nil"/>
              <w:bottom w:val="single" w:color="000000" w:sz="4" w:space="0"/>
              <w:right w:val="single" w:color="000000" w:sz="4" w:space="0"/>
            </w:tcBorders>
            <w:vAlign w:val="center"/>
          </w:tcPr>
          <w:p>
            <w:pPr>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≤0</w:t>
            </w:r>
            <w:r>
              <w:rPr>
                <w:rFonts w:hint="eastAsia" w:cs="宋体" w:asciiTheme="minorEastAsia" w:hAnsiTheme="minorEastAsia" w:eastAsiaTheme="minorEastAsia"/>
                <w:sz w:val="18"/>
                <w:szCs w:val="18"/>
              </w:rPr>
              <w:t>.2</w:t>
            </w:r>
          </w:p>
        </w:tc>
        <w:tc>
          <w:tcPr>
            <w:tcW w:w="851" w:type="dxa"/>
            <w:tcBorders>
              <w:top w:val="single" w:color="000000" w:sz="4" w:space="0"/>
              <w:left w:val="nil"/>
              <w:bottom w:val="single" w:color="000000" w:sz="4" w:space="0"/>
              <w:right w:val="single" w:color="000000"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0.19</w:t>
            </w:r>
          </w:p>
        </w:tc>
        <w:tc>
          <w:tcPr>
            <w:tcW w:w="850" w:type="dxa"/>
            <w:tcBorders>
              <w:top w:val="single" w:color="000000" w:sz="4" w:space="0"/>
              <w:left w:val="nil"/>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0.11</w:t>
            </w:r>
          </w:p>
        </w:tc>
        <w:tc>
          <w:tcPr>
            <w:tcW w:w="690" w:type="dxa"/>
            <w:tcBorders>
              <w:top w:val="single" w:color="000000" w:sz="4" w:space="0"/>
              <w:left w:val="nil"/>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0.09</w:t>
            </w:r>
          </w:p>
        </w:tc>
        <w:tc>
          <w:tcPr>
            <w:tcW w:w="1011" w:type="dxa"/>
            <w:tcBorders>
              <w:top w:val="single" w:color="000000" w:sz="4" w:space="0"/>
              <w:left w:val="single" w:color="auto" w:sz="4" w:space="0"/>
              <w:bottom w:val="single" w:color="000000" w:sz="4" w:space="0"/>
              <w:right w:val="single" w:color="auto" w:sz="4"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0.05</w:t>
            </w:r>
          </w:p>
        </w:tc>
        <w:tc>
          <w:tcPr>
            <w:tcW w:w="1010" w:type="dxa"/>
            <w:tcBorders>
              <w:top w:val="single" w:color="000000" w:sz="4" w:space="0"/>
              <w:left w:val="single" w:color="auto" w:sz="4" w:space="0"/>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0.06</w:t>
            </w:r>
          </w:p>
        </w:tc>
        <w:tc>
          <w:tcPr>
            <w:tcW w:w="814" w:type="dxa"/>
            <w:tcBorders>
              <w:top w:val="single" w:color="000000" w:sz="4" w:space="0"/>
              <w:left w:val="nil"/>
              <w:bottom w:val="single" w:color="000000" w:sz="4" w:space="0"/>
              <w:right w:val="single" w:color="000000" w:sz="12"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546" w:hRule="atLeast"/>
        </w:trPr>
        <w:tc>
          <w:tcPr>
            <w:tcW w:w="2146" w:type="dxa"/>
            <w:tcBorders>
              <w:top w:val="single" w:color="000000" w:sz="4" w:space="0"/>
              <w:left w:val="single" w:color="000000" w:sz="12" w:space="0"/>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清洁度</w:t>
            </w:r>
          </w:p>
        </w:tc>
        <w:tc>
          <w:tcPr>
            <w:tcW w:w="1417" w:type="dxa"/>
            <w:tcBorders>
              <w:top w:val="single" w:color="000000" w:sz="4" w:space="0"/>
              <w:left w:val="nil"/>
              <w:bottom w:val="single" w:color="000000" w:sz="4" w:space="0"/>
              <w:right w:val="single" w:color="000000" w:sz="4"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Ⅱ</w:t>
            </w:r>
          </w:p>
        </w:tc>
        <w:tc>
          <w:tcPr>
            <w:tcW w:w="4412" w:type="dxa"/>
            <w:gridSpan w:val="5"/>
            <w:tcBorders>
              <w:top w:val="single" w:color="000000" w:sz="4" w:space="0"/>
              <w:left w:val="nil"/>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Ⅱ</w:t>
            </w:r>
          </w:p>
        </w:tc>
        <w:tc>
          <w:tcPr>
            <w:tcW w:w="814" w:type="dxa"/>
            <w:tcBorders>
              <w:top w:val="single" w:color="000000" w:sz="4" w:space="0"/>
              <w:left w:val="nil"/>
              <w:bottom w:val="single" w:color="000000" w:sz="4" w:space="0"/>
              <w:right w:val="single" w:color="000000" w:sz="12"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r>
        <w:tblPrEx>
          <w:tblCellMar>
            <w:top w:w="0" w:type="dxa"/>
            <w:left w:w="108" w:type="dxa"/>
            <w:bottom w:w="0" w:type="dxa"/>
            <w:right w:w="108" w:type="dxa"/>
          </w:tblCellMar>
        </w:tblPrEx>
        <w:trPr>
          <w:trHeight w:val="546" w:hRule="atLeast"/>
        </w:trPr>
        <w:tc>
          <w:tcPr>
            <w:tcW w:w="2146" w:type="dxa"/>
            <w:tcBorders>
              <w:top w:val="single" w:color="000000" w:sz="4" w:space="0"/>
              <w:left w:val="single" w:color="000000" w:sz="12" w:space="0"/>
              <w:bottom w:val="single" w:color="000000" w:sz="4" w:space="0"/>
              <w:right w:val="single" w:color="000000" w:sz="4"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熔化温度（℃）</w:t>
            </w:r>
          </w:p>
        </w:tc>
        <w:tc>
          <w:tcPr>
            <w:tcW w:w="1417" w:type="dxa"/>
            <w:tcBorders>
              <w:top w:val="single" w:color="000000" w:sz="4" w:space="0"/>
              <w:left w:val="nil"/>
              <w:bottom w:val="single" w:color="000000" w:sz="4" w:space="0"/>
              <w:right w:val="single" w:color="000000" w:sz="4" w:space="0"/>
            </w:tcBorders>
            <w:vAlign w:val="center"/>
          </w:tcPr>
          <w:p>
            <w:pPr>
              <w:jc w:val="center"/>
              <w:rPr>
                <w:rFonts w:cs="Arial" w:asciiTheme="minorEastAsia" w:hAnsiTheme="minorEastAsia" w:eastAsiaTheme="minorEastAsia"/>
                <w:sz w:val="18"/>
                <w:szCs w:val="18"/>
              </w:rPr>
            </w:pPr>
          </w:p>
        </w:tc>
        <w:tc>
          <w:tcPr>
            <w:tcW w:w="4412" w:type="dxa"/>
            <w:gridSpan w:val="5"/>
            <w:tcBorders>
              <w:top w:val="single" w:color="000000" w:sz="4" w:space="0"/>
              <w:left w:val="nil"/>
              <w:bottom w:val="single" w:color="000000" w:sz="4" w:space="0"/>
              <w:right w:val="single" w:color="000000" w:sz="12" w:space="0"/>
            </w:tcBorders>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782.9/788.8</w:t>
            </w:r>
          </w:p>
        </w:tc>
        <w:tc>
          <w:tcPr>
            <w:tcW w:w="814" w:type="dxa"/>
            <w:tcBorders>
              <w:top w:val="single" w:color="000000" w:sz="4" w:space="0"/>
              <w:left w:val="nil"/>
              <w:bottom w:val="single" w:color="000000" w:sz="4" w:space="0"/>
              <w:right w:val="single" w:color="000000" w:sz="12" w:space="0"/>
            </w:tcBorders>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O</w:t>
            </w:r>
            <w:r>
              <w:rPr>
                <w:rFonts w:hint="eastAsia" w:asciiTheme="minorEastAsia" w:hAnsiTheme="minorEastAsia" w:eastAsiaTheme="minorEastAsia"/>
                <w:sz w:val="18"/>
                <w:szCs w:val="18"/>
              </w:rPr>
              <w:t>k</w:t>
            </w:r>
          </w:p>
        </w:tc>
      </w:tr>
    </w:tbl>
    <w:p>
      <w:pPr>
        <w:rPr>
          <w:rFonts w:ascii="Times New Roman" w:hAnsi="Times New Roman"/>
          <w:sz w:val="24"/>
          <w:szCs w:val="24"/>
        </w:rPr>
      </w:pPr>
      <w:r>
        <w:rPr>
          <w:rFonts w:ascii="宋体" w:hAnsi="宋体"/>
          <w:kern w:val="0"/>
          <w:sz w:val="24"/>
          <w:szCs w:val="24"/>
        </w:rPr>
        <w:t>(2)</w:t>
      </w:r>
      <w:r>
        <w:rPr>
          <w:rFonts w:hint="eastAsia" w:ascii="Times New Roman" w:hAnsi="Times New Roman"/>
          <w:sz w:val="24"/>
          <w:szCs w:val="24"/>
        </w:rPr>
        <w:t>新增银及其合金钎料丝环生产实验数据</w:t>
      </w:r>
    </w:p>
    <w:p>
      <w:pPr>
        <w:ind w:firstLine="480"/>
        <w:rPr>
          <w:rFonts w:ascii="Times New Roman" w:hAnsi="Times New Roman"/>
          <w:sz w:val="24"/>
          <w:szCs w:val="24"/>
        </w:rPr>
      </w:pPr>
      <w:r>
        <w:rPr>
          <w:rFonts w:hint="eastAsia" w:ascii="Times New Roman" w:hAnsi="Times New Roman"/>
          <w:sz w:val="24"/>
          <w:szCs w:val="24"/>
        </w:rPr>
        <w:t>主要列举了在生产过程中，产品检验时进行测量的尺寸数据：</w:t>
      </w:r>
    </w:p>
    <w:tbl>
      <w:tblPr>
        <w:tblStyle w:val="6"/>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984"/>
        <w:gridCol w:w="1512"/>
        <w:gridCol w:w="1212"/>
        <w:gridCol w:w="1569"/>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2" w:hRule="atLeast"/>
        </w:trPr>
        <w:tc>
          <w:tcPr>
            <w:tcW w:w="959" w:type="dxa"/>
            <w:tcBorders>
              <w:top w:val="single" w:color="auto" w:sz="12" w:space="0"/>
              <w:lef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品名</w:t>
            </w:r>
          </w:p>
        </w:tc>
        <w:tc>
          <w:tcPr>
            <w:tcW w:w="7654" w:type="dxa"/>
            <w:gridSpan w:val="5"/>
            <w:tcBorders>
              <w:top w:val="single" w:color="auto" w:sz="12" w:space="0"/>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银铜</w:t>
            </w:r>
            <w:r>
              <w:rPr>
                <w:rFonts w:hint="eastAsia" w:asciiTheme="minorEastAsia" w:hAnsiTheme="minorEastAsia" w:eastAsiaTheme="minorEastAsia"/>
                <w:sz w:val="18"/>
                <w:szCs w:val="18"/>
              </w:rPr>
              <w:t>合金丝环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3" w:type="dxa"/>
            <w:gridSpan w:val="6"/>
            <w:tcBorders>
              <w:top w:val="single" w:color="auto" w:sz="12" w:space="0"/>
              <w:left w:val="single" w:color="auto" w:sz="12" w:space="0"/>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Borders>
              <w:lef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Element元素</w:t>
            </w:r>
          </w:p>
        </w:tc>
        <w:tc>
          <w:tcPr>
            <w:tcW w:w="1984"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Standard（%）标准</w:t>
            </w:r>
          </w:p>
        </w:tc>
        <w:tc>
          <w:tcPr>
            <w:tcW w:w="1512"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Value数值</w:t>
            </w:r>
            <w:r>
              <w:rPr>
                <w:rFonts w:hint="eastAsia" w:asciiTheme="minorEastAsia" w:hAnsiTheme="minorEastAsia" w:eastAsiaTheme="minorEastAsia"/>
                <w:sz w:val="18"/>
                <w:szCs w:val="18"/>
              </w:rPr>
              <w:t>（%）</w:t>
            </w:r>
          </w:p>
        </w:tc>
        <w:tc>
          <w:tcPr>
            <w:tcW w:w="1212"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Element</w:t>
            </w:r>
          </w:p>
          <w:p>
            <w:pPr>
              <w:snapToGrid w:val="0"/>
              <w:rPr>
                <w:rFonts w:asciiTheme="minorEastAsia" w:hAnsiTheme="minorEastAsia" w:eastAsiaTheme="minorEastAsia"/>
                <w:sz w:val="18"/>
                <w:szCs w:val="18"/>
              </w:rPr>
            </w:pPr>
            <w:r>
              <w:rPr>
                <w:rFonts w:asciiTheme="minorEastAsia" w:hAnsiTheme="minorEastAsia" w:eastAsiaTheme="minorEastAsia"/>
                <w:sz w:val="18"/>
                <w:szCs w:val="18"/>
              </w:rPr>
              <w:t>元素</w:t>
            </w:r>
          </w:p>
        </w:tc>
        <w:tc>
          <w:tcPr>
            <w:tcW w:w="1569"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Standard（%）</w:t>
            </w:r>
          </w:p>
          <w:p>
            <w:pPr>
              <w:snapToGrid w:val="0"/>
              <w:rPr>
                <w:rFonts w:asciiTheme="minorEastAsia" w:hAnsiTheme="minorEastAsia" w:eastAsiaTheme="minorEastAsia"/>
                <w:sz w:val="18"/>
                <w:szCs w:val="18"/>
              </w:rPr>
            </w:pPr>
            <w:r>
              <w:rPr>
                <w:rFonts w:asciiTheme="minorEastAsia" w:hAnsiTheme="minorEastAsia" w:eastAsiaTheme="minorEastAsia"/>
                <w:sz w:val="18"/>
                <w:szCs w:val="18"/>
              </w:rPr>
              <w:t>标准</w:t>
            </w:r>
          </w:p>
        </w:tc>
        <w:tc>
          <w:tcPr>
            <w:tcW w:w="1377" w:type="dxa"/>
            <w:tcBorders>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Value</w:t>
            </w:r>
            <w:r>
              <w:rPr>
                <w:rFonts w:hint="eastAsia" w:asciiTheme="minorEastAsia" w:hAnsiTheme="minorEastAsia" w:eastAsiaTheme="minorEastAsia"/>
                <w:sz w:val="18"/>
                <w:szCs w:val="18"/>
              </w:rPr>
              <w:t>（%）</w:t>
            </w:r>
          </w:p>
          <w:p>
            <w:pPr>
              <w:snapToGrid w:val="0"/>
              <w:rPr>
                <w:rFonts w:hint="eastAsia" w:asciiTheme="minorEastAsia" w:hAnsiTheme="minorEastAsia" w:eastAsiaTheme="minorEastAsia"/>
                <w:sz w:val="18"/>
                <w:szCs w:val="18"/>
              </w:rPr>
            </w:pPr>
            <w:r>
              <w:rPr>
                <w:rFonts w:asciiTheme="minorEastAsia" w:hAnsiTheme="minorEastAsia" w:eastAsiaTheme="minorEastAsia"/>
                <w:sz w:val="18"/>
                <w:szCs w:val="18"/>
              </w:rPr>
              <w:t>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959" w:type="dxa"/>
            <w:tcBorders>
              <w:lef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Ag</w:t>
            </w:r>
          </w:p>
        </w:tc>
        <w:tc>
          <w:tcPr>
            <w:tcW w:w="1984" w:type="dxa"/>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71~73</w:t>
            </w:r>
          </w:p>
        </w:tc>
        <w:tc>
          <w:tcPr>
            <w:tcW w:w="1512" w:type="dxa"/>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71.</w:t>
            </w:r>
            <w:r>
              <w:rPr>
                <w:rFonts w:asciiTheme="minorEastAsia" w:hAnsiTheme="minorEastAsia" w:eastAsiaTheme="minorEastAsia"/>
                <w:sz w:val="18"/>
                <w:szCs w:val="18"/>
              </w:rPr>
              <w:t>71</w:t>
            </w:r>
          </w:p>
        </w:tc>
        <w:tc>
          <w:tcPr>
            <w:tcW w:w="1212" w:type="dxa"/>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Pb</w:t>
            </w:r>
          </w:p>
        </w:tc>
        <w:tc>
          <w:tcPr>
            <w:tcW w:w="1569"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5</w:t>
            </w:r>
          </w:p>
        </w:tc>
        <w:tc>
          <w:tcPr>
            <w:tcW w:w="1377" w:type="dxa"/>
            <w:tcBorders>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959" w:type="dxa"/>
            <w:tcBorders>
              <w:lef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Cu</w:t>
            </w:r>
          </w:p>
        </w:tc>
        <w:tc>
          <w:tcPr>
            <w:tcW w:w="1984" w:type="dxa"/>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27~29</w:t>
            </w:r>
          </w:p>
        </w:tc>
        <w:tc>
          <w:tcPr>
            <w:tcW w:w="1512" w:type="dxa"/>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28.</w:t>
            </w:r>
            <w:r>
              <w:rPr>
                <w:rFonts w:asciiTheme="minorEastAsia" w:hAnsiTheme="minorEastAsia" w:eastAsiaTheme="minorEastAsia"/>
                <w:sz w:val="18"/>
                <w:szCs w:val="18"/>
              </w:rPr>
              <w:t>33</w:t>
            </w:r>
          </w:p>
        </w:tc>
        <w:tc>
          <w:tcPr>
            <w:tcW w:w="1212" w:type="dxa"/>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Zn</w:t>
            </w:r>
          </w:p>
        </w:tc>
        <w:tc>
          <w:tcPr>
            <w:tcW w:w="1569"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5</w:t>
            </w:r>
          </w:p>
        </w:tc>
        <w:tc>
          <w:tcPr>
            <w:tcW w:w="1377" w:type="dxa"/>
            <w:tcBorders>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959" w:type="dxa"/>
            <w:tcBorders>
              <w:left w:val="single" w:color="auto" w:sz="12" w:space="0"/>
              <w:bottom w:val="single" w:color="auto" w:sz="4" w:space="0"/>
            </w:tcBorders>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O</w:t>
            </w:r>
          </w:p>
        </w:tc>
        <w:tc>
          <w:tcPr>
            <w:tcW w:w="1984" w:type="dxa"/>
            <w:tcBorders>
              <w:bottom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2</w:t>
            </w:r>
          </w:p>
        </w:tc>
        <w:tc>
          <w:tcPr>
            <w:tcW w:w="1512" w:type="dxa"/>
            <w:tcBorders>
              <w:bottom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c>
          <w:tcPr>
            <w:tcW w:w="1212" w:type="dxa"/>
            <w:tcBorders>
              <w:bottom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Cd</w:t>
            </w:r>
          </w:p>
        </w:tc>
        <w:tc>
          <w:tcPr>
            <w:tcW w:w="1569"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5</w:t>
            </w:r>
          </w:p>
        </w:tc>
        <w:tc>
          <w:tcPr>
            <w:tcW w:w="1377" w:type="dxa"/>
            <w:tcBorders>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959" w:type="dxa"/>
            <w:tcBorders>
              <w:top w:val="single" w:color="auto" w:sz="4" w:space="0"/>
              <w:left w:val="single" w:color="auto" w:sz="12" w:space="0"/>
              <w:bottom w:val="single" w:color="auto" w:sz="4" w:space="0"/>
            </w:tcBorders>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P</w:t>
            </w:r>
          </w:p>
        </w:tc>
        <w:tc>
          <w:tcPr>
            <w:tcW w:w="1984" w:type="dxa"/>
            <w:tcBorders>
              <w:top w:val="single" w:color="auto" w:sz="4" w:space="0"/>
              <w:bottom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≤0.00</w:t>
            </w:r>
            <w:r>
              <w:rPr>
                <w:rFonts w:hint="eastAsia" w:asciiTheme="minorEastAsia" w:hAnsiTheme="minorEastAsia" w:eastAsiaTheme="minorEastAsia"/>
                <w:sz w:val="18"/>
                <w:szCs w:val="18"/>
              </w:rPr>
              <w:t>2</w:t>
            </w:r>
          </w:p>
        </w:tc>
        <w:tc>
          <w:tcPr>
            <w:tcW w:w="1512" w:type="dxa"/>
            <w:tcBorders>
              <w:top w:val="single" w:color="auto" w:sz="4" w:space="0"/>
              <w:bottom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c>
          <w:tcPr>
            <w:tcW w:w="1212" w:type="dxa"/>
            <w:tcBorders>
              <w:top w:val="single" w:color="auto" w:sz="4" w:space="0"/>
              <w:bottom w:val="single" w:color="auto" w:sz="4" w:space="0"/>
            </w:tcBorders>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C</w:t>
            </w:r>
          </w:p>
        </w:tc>
        <w:tc>
          <w:tcPr>
            <w:tcW w:w="1569" w:type="dxa"/>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w:t>
            </w:r>
            <w:r>
              <w:rPr>
                <w:rFonts w:hint="eastAsia" w:asciiTheme="minorEastAsia" w:hAnsiTheme="minorEastAsia" w:eastAsiaTheme="minorEastAsia"/>
                <w:sz w:val="18"/>
                <w:szCs w:val="18"/>
              </w:rPr>
              <w:t>2</w:t>
            </w:r>
          </w:p>
        </w:tc>
        <w:tc>
          <w:tcPr>
            <w:tcW w:w="1377" w:type="dxa"/>
            <w:tcBorders>
              <w:right w:val="single" w:color="auto" w:sz="12"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959" w:type="dxa"/>
            <w:tcBorders>
              <w:top w:val="single" w:color="auto" w:sz="4" w:space="0"/>
              <w:left w:val="single" w:color="auto" w:sz="12" w:space="0"/>
            </w:tcBorders>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As</w:t>
            </w:r>
          </w:p>
        </w:tc>
        <w:tc>
          <w:tcPr>
            <w:tcW w:w="1984" w:type="dxa"/>
            <w:tcBorders>
              <w:top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c>
          <w:tcPr>
            <w:tcW w:w="1512" w:type="dxa"/>
            <w:tcBorders>
              <w:top w:val="single" w:color="auto" w:sz="4" w:space="0"/>
            </w:tcBorders>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&lt;0.001</w:t>
            </w:r>
          </w:p>
        </w:tc>
        <w:tc>
          <w:tcPr>
            <w:tcW w:w="1212" w:type="dxa"/>
            <w:tcBorders>
              <w:top w:val="single" w:color="auto" w:sz="4" w:space="0"/>
            </w:tcBorders>
          </w:tcPr>
          <w:p>
            <w:pPr>
              <w:snapToGrid w:val="0"/>
              <w:rPr>
                <w:rFonts w:asciiTheme="minorEastAsia" w:hAnsiTheme="minorEastAsia" w:eastAsiaTheme="minorEastAsia"/>
                <w:sz w:val="18"/>
                <w:szCs w:val="18"/>
              </w:rPr>
            </w:pPr>
          </w:p>
        </w:tc>
        <w:tc>
          <w:tcPr>
            <w:tcW w:w="1569" w:type="dxa"/>
          </w:tcPr>
          <w:p>
            <w:pPr>
              <w:snapToGrid w:val="0"/>
              <w:rPr>
                <w:rFonts w:asciiTheme="minorEastAsia" w:hAnsiTheme="minorEastAsia" w:eastAsiaTheme="minorEastAsia"/>
                <w:sz w:val="18"/>
                <w:szCs w:val="18"/>
              </w:rPr>
            </w:pPr>
          </w:p>
        </w:tc>
        <w:tc>
          <w:tcPr>
            <w:tcW w:w="1377" w:type="dxa"/>
            <w:tcBorders>
              <w:right w:val="single" w:color="auto" w:sz="12" w:space="0"/>
            </w:tcBorders>
          </w:tcPr>
          <w:p>
            <w:pPr>
              <w:snapToGrid w:val="0"/>
              <w:rPr>
                <w:rFonts w:asciiTheme="minorEastAsia" w:hAnsiTheme="minorEastAsia" w:eastAsiaTheme="minorEastAsia"/>
                <w:sz w:val="18"/>
                <w:szCs w:val="18"/>
              </w:rPr>
            </w:pPr>
          </w:p>
        </w:tc>
      </w:tr>
    </w:tbl>
    <w:p/>
    <w:tbl>
      <w:tblPr>
        <w:tblStyle w:val="6"/>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837"/>
        <w:gridCol w:w="1848"/>
        <w:gridCol w:w="567"/>
        <w:gridCol w:w="851"/>
        <w:gridCol w:w="850"/>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959" w:type="dxa"/>
            <w:tcBorders>
              <w:top w:val="single" w:color="auto" w:sz="12" w:space="0"/>
              <w:left w:val="single" w:color="auto" w:sz="12" w:space="0"/>
            </w:tcBorders>
            <w:vAlign w:val="center"/>
          </w:tcPr>
          <w:p>
            <w:pPr>
              <w:spacing w:line="280" w:lineRule="exact"/>
              <w:rPr>
                <w:rFonts w:asciiTheme="minorEastAsia" w:hAnsiTheme="minorEastAsia" w:eastAsiaTheme="minorEastAsia"/>
                <w:sz w:val="18"/>
                <w:szCs w:val="18"/>
              </w:rPr>
            </w:pPr>
            <w:r>
              <w:rPr>
                <w:rFonts w:asciiTheme="minorEastAsia" w:hAnsiTheme="minorEastAsia" w:eastAsiaTheme="minorEastAsia"/>
                <w:bCs/>
                <w:sz w:val="18"/>
                <w:szCs w:val="18"/>
              </w:rPr>
              <w:t>Sample No.</w:t>
            </w:r>
            <w:r>
              <w:rPr>
                <w:rFonts w:asciiTheme="minorEastAsia" w:hAnsiTheme="minorEastAsia" w:eastAsiaTheme="minorEastAsia"/>
                <w:sz w:val="18"/>
                <w:szCs w:val="18"/>
              </w:rPr>
              <w:t xml:space="preserve"> </w:t>
            </w:r>
          </w:p>
          <w:p>
            <w:pPr>
              <w:spacing w:line="280" w:lineRule="exact"/>
              <w:rPr>
                <w:rFonts w:asciiTheme="minorEastAsia" w:hAnsiTheme="minorEastAsia" w:eastAsiaTheme="minorEastAsia"/>
                <w:sz w:val="18"/>
                <w:szCs w:val="18"/>
              </w:rPr>
            </w:pPr>
            <w:r>
              <w:rPr>
                <w:rFonts w:asciiTheme="minorEastAsia" w:hAnsiTheme="minorEastAsia" w:eastAsiaTheme="minorEastAsia"/>
                <w:sz w:val="18"/>
                <w:szCs w:val="18"/>
              </w:rPr>
              <w:t>样品编号</w:t>
            </w:r>
          </w:p>
        </w:tc>
        <w:tc>
          <w:tcPr>
            <w:tcW w:w="1837" w:type="dxa"/>
            <w:tcBorders>
              <w:top w:val="single" w:color="auto" w:sz="12" w:space="0"/>
            </w:tcBorders>
            <w:vAlign w:val="center"/>
          </w:tcPr>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Item</w:t>
            </w:r>
          </w:p>
          <w:p>
            <w:pPr>
              <w:snapToGrid w:val="0"/>
              <w:jc w:val="center"/>
              <w:rPr>
                <w:rFonts w:asciiTheme="minorEastAsia" w:hAnsiTheme="minorEastAsia" w:eastAsiaTheme="minorEastAsia"/>
                <w:sz w:val="18"/>
                <w:szCs w:val="18"/>
              </w:rPr>
            </w:pPr>
            <w:r>
              <w:rPr>
                <w:rFonts w:asciiTheme="minorEastAsia" w:hAnsiTheme="minorEastAsia" w:eastAsiaTheme="minorEastAsia"/>
                <w:sz w:val="18"/>
                <w:szCs w:val="18"/>
              </w:rPr>
              <w:t>项目</w:t>
            </w:r>
          </w:p>
        </w:tc>
        <w:tc>
          <w:tcPr>
            <w:tcW w:w="1848" w:type="dxa"/>
            <w:tcBorders>
              <w:top w:val="single" w:color="auto" w:sz="12" w:space="0"/>
              <w:right w:val="single" w:color="auto" w:sz="4" w:space="0"/>
            </w:tcBorders>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Standard</w:t>
            </w:r>
          </w:p>
          <w:p>
            <w:pPr>
              <w:snapToGrid w:val="0"/>
              <w:rPr>
                <w:rFonts w:asciiTheme="minorEastAsia" w:hAnsiTheme="minorEastAsia" w:eastAsiaTheme="minorEastAsia"/>
                <w:sz w:val="18"/>
                <w:szCs w:val="18"/>
              </w:rPr>
            </w:pPr>
            <w:r>
              <w:rPr>
                <w:rFonts w:asciiTheme="minorEastAsia" w:hAnsiTheme="minorEastAsia" w:eastAsiaTheme="minorEastAsia"/>
                <w:sz w:val="18"/>
                <w:szCs w:val="18"/>
              </w:rPr>
              <w:t>标准值</w:t>
            </w:r>
            <w:r>
              <w:rPr>
                <w:rFonts w:hint="eastAsia" w:asciiTheme="minorEastAsia" w:hAnsiTheme="minorEastAsia" w:eastAsiaTheme="minorEastAsia"/>
                <w:sz w:val="18"/>
                <w:szCs w:val="18"/>
              </w:rPr>
              <w:t>（单位：</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tc>
        <w:tc>
          <w:tcPr>
            <w:tcW w:w="3969" w:type="dxa"/>
            <w:gridSpan w:val="5"/>
            <w:tcBorders>
              <w:top w:val="single" w:color="auto" w:sz="12" w:space="0"/>
              <w:left w:val="single" w:color="auto" w:sz="4" w:space="0"/>
              <w:right w:val="single" w:color="auto" w:sz="12" w:space="0"/>
            </w:tcBorders>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Measurement</w:t>
            </w:r>
          </w:p>
          <w:p>
            <w:pPr>
              <w:pStyle w:val="2"/>
              <w:spacing w:line="280" w:lineRule="exact"/>
              <w:jc w:val="both"/>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测量值</w:t>
            </w:r>
            <w:r>
              <w:rPr>
                <w:rFonts w:hint="eastAsia" w:asciiTheme="minorEastAsia" w:hAnsiTheme="minorEastAsia" w:eastAsiaTheme="minorEastAsia"/>
                <w:sz w:val="18"/>
                <w:szCs w:val="18"/>
              </w:rPr>
              <w:t>（单位：</w:t>
            </w:r>
            <w:r>
              <w:rPr>
                <w:rFonts w:asciiTheme="minorEastAsia" w:hAnsiTheme="minorEastAsia" w:eastAsiaTheme="minorEastAsia"/>
                <w:sz w:val="18"/>
                <w:szCs w:val="18"/>
              </w:rPr>
              <w:t>mm</w:t>
            </w:r>
            <w:r>
              <w:rPr>
                <w:rFonts w:hint="eastAsia" w:asciiTheme="minorEastAsia" w:hAnsiTheme="minorEastAsia" w:eastAsiaTheme="minorEastAsia"/>
                <w:sz w:val="18"/>
                <w:szCs w:val="18"/>
              </w:rPr>
              <w:t>）</w:t>
            </w:r>
          </w:p>
          <w:p>
            <w:pPr>
              <w:snapToGrid w:val="0"/>
              <w:rPr>
                <w:rFonts w:asciiTheme="minorEastAsia" w:hAnsiTheme="minorEastAsia"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959" w:type="dxa"/>
            <w:vMerge w:val="restart"/>
            <w:tcBorders>
              <w:left w:val="single" w:color="auto" w:sz="12" w:space="0"/>
            </w:tcBorders>
            <w:vAlign w:val="bottom"/>
          </w:tcPr>
          <w:p>
            <w:pPr>
              <w:spacing w:line="28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GN202</w:t>
            </w:r>
            <w:r>
              <w:rPr>
                <w:rFonts w:asciiTheme="minorEastAsia" w:hAnsiTheme="minorEastAsia" w:eastAsiaTheme="minorEastAsia"/>
                <w:sz w:val="18"/>
                <w:szCs w:val="18"/>
              </w:rPr>
              <w:t>20322</w:t>
            </w:r>
            <w:r>
              <w:rPr>
                <w:rFonts w:hint="eastAsia" w:asciiTheme="minorEastAsia" w:hAnsiTheme="minorEastAsia" w:eastAsiaTheme="minorEastAsia"/>
                <w:sz w:val="18"/>
                <w:szCs w:val="18"/>
              </w:rPr>
              <w:t>-1</w:t>
            </w:r>
          </w:p>
          <w:p>
            <w:pPr>
              <w:spacing w:line="28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115</w:t>
            </w:r>
            <w:r>
              <w:rPr>
                <w:rFonts w:asciiTheme="minorEastAsia" w:hAnsiTheme="minorEastAsia" w:eastAsiaTheme="minorEastAsia"/>
                <w:sz w:val="18"/>
                <w:szCs w:val="18"/>
              </w:rPr>
              <w:t>56922001</w:t>
            </w: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p>
            <w:pPr>
              <w:spacing w:line="280" w:lineRule="exact"/>
              <w:rPr>
                <w:rFonts w:asciiTheme="minorEastAsia" w:hAnsiTheme="minorEastAsia" w:eastAsiaTheme="minorEastAsia"/>
                <w:sz w:val="18"/>
                <w:szCs w:val="18"/>
              </w:rPr>
            </w:pPr>
          </w:p>
        </w:tc>
        <w:tc>
          <w:tcPr>
            <w:tcW w:w="1837" w:type="dxa"/>
            <w:vAlign w:val="center"/>
          </w:tcPr>
          <w:p>
            <w:pPr>
              <w:snapToGrid w:val="0"/>
              <w:rPr>
                <w:rFonts w:asciiTheme="minorEastAsia" w:hAnsiTheme="minorEastAsia" w:eastAsiaTheme="minorEastAsia"/>
                <w:bCs/>
                <w:sz w:val="18"/>
                <w:szCs w:val="18"/>
              </w:rPr>
            </w:pPr>
            <w:r>
              <w:rPr>
                <w:rStyle w:val="26"/>
                <w:rFonts w:hint="eastAsia" w:cs="宋体" w:asciiTheme="minorEastAsia" w:hAnsiTheme="minorEastAsia" w:eastAsiaTheme="minorEastAsia"/>
                <w:color w:val="434343"/>
                <w:sz w:val="18"/>
                <w:szCs w:val="18"/>
              </w:rPr>
              <w:t>Ф</w:t>
            </w:r>
            <w:r>
              <w:rPr>
                <w:rStyle w:val="26"/>
                <w:rFonts w:hint="eastAsia" w:asciiTheme="minorEastAsia" w:hAnsiTheme="minorEastAsia" w:eastAsiaTheme="minorEastAsia"/>
                <w:color w:val="434343"/>
                <w:sz w:val="18"/>
                <w:szCs w:val="18"/>
              </w:rPr>
              <w:t>D</w:t>
            </w:r>
          </w:p>
        </w:tc>
        <w:tc>
          <w:tcPr>
            <w:tcW w:w="1848" w:type="dxa"/>
            <w:tcBorders>
              <w:right w:val="single" w:color="auto" w:sz="4" w:space="0"/>
            </w:tcBorders>
            <w:vAlign w:val="center"/>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133.4（</w:t>
            </w:r>
            <w:r>
              <w:rPr>
                <w:rFonts w:hint="eastAsia" w:asciiTheme="minorEastAsia" w:hAnsiTheme="minorEastAsia" w:eastAsiaTheme="minorEastAsia"/>
                <w:sz w:val="18"/>
                <w:szCs w:val="18"/>
              </w:rPr>
              <w:t>+</w:t>
            </w:r>
            <w:r>
              <w:rPr>
                <w:rFonts w:asciiTheme="minorEastAsia" w:hAnsiTheme="minorEastAsia" w:eastAsiaTheme="minorEastAsia"/>
                <w:sz w:val="18"/>
                <w:szCs w:val="18"/>
              </w:rPr>
              <w:t>0</w:t>
            </w:r>
            <w:r>
              <w:rPr>
                <w:rFonts w:hint="eastAsia" w:asciiTheme="minorEastAsia" w:hAnsiTheme="minorEastAsia" w:eastAsiaTheme="minorEastAsia"/>
                <w:sz w:val="18"/>
                <w:szCs w:val="18"/>
              </w:rPr>
              <w:t>.2</w:t>
            </w:r>
            <w:r>
              <w:rPr>
                <w:rFonts w:asciiTheme="minorEastAsia" w:hAnsiTheme="minorEastAsia" w:eastAsiaTheme="minorEastAsia"/>
                <w:sz w:val="18"/>
                <w:szCs w:val="18"/>
              </w:rPr>
              <w:t>）</w:t>
            </w:r>
          </w:p>
        </w:tc>
        <w:tc>
          <w:tcPr>
            <w:tcW w:w="567" w:type="dxa"/>
            <w:tcBorders>
              <w:left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33.44</w:t>
            </w:r>
          </w:p>
        </w:tc>
        <w:tc>
          <w:tcPr>
            <w:tcW w:w="851" w:type="dxa"/>
            <w:tcBorders>
              <w:left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33.44</w:t>
            </w:r>
          </w:p>
        </w:tc>
        <w:tc>
          <w:tcPr>
            <w:tcW w:w="850" w:type="dxa"/>
            <w:tcBorders>
              <w:left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33.41</w:t>
            </w:r>
          </w:p>
        </w:tc>
        <w:tc>
          <w:tcPr>
            <w:tcW w:w="851" w:type="dxa"/>
            <w:tcBorders>
              <w:left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33.43</w:t>
            </w:r>
          </w:p>
        </w:tc>
        <w:tc>
          <w:tcPr>
            <w:tcW w:w="850" w:type="dxa"/>
            <w:tcBorders>
              <w:left w:val="single" w:color="auto" w:sz="4" w:space="0"/>
              <w:right w:val="single" w:color="auto" w:sz="12"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33.45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exact"/>
        </w:trPr>
        <w:tc>
          <w:tcPr>
            <w:tcW w:w="959" w:type="dxa"/>
            <w:vMerge w:val="continue"/>
            <w:tcBorders>
              <w:left w:val="single" w:color="auto" w:sz="12" w:space="0"/>
            </w:tcBorders>
            <w:vAlign w:val="bottom"/>
          </w:tcPr>
          <w:p>
            <w:pPr>
              <w:spacing w:line="280" w:lineRule="exact"/>
              <w:rPr>
                <w:rFonts w:asciiTheme="minorEastAsia" w:hAnsiTheme="minorEastAsia" w:eastAsiaTheme="minorEastAsia"/>
                <w:sz w:val="18"/>
                <w:szCs w:val="18"/>
              </w:rPr>
            </w:pPr>
          </w:p>
        </w:tc>
        <w:tc>
          <w:tcPr>
            <w:tcW w:w="1837" w:type="dxa"/>
            <w:tcBorders>
              <w:top w:val="single" w:color="auto" w:sz="4" w:space="0"/>
              <w:bottom w:val="single" w:color="auto" w:sz="4" w:space="0"/>
            </w:tcBorders>
            <w:vAlign w:val="center"/>
          </w:tcPr>
          <w:p>
            <w:pPr>
              <w:snapToGrid w:val="0"/>
              <w:rPr>
                <w:rStyle w:val="26"/>
                <w:rFonts w:asciiTheme="minorEastAsia" w:hAnsiTheme="minorEastAsia" w:eastAsiaTheme="minorEastAsia"/>
                <w:color w:val="434343"/>
                <w:sz w:val="18"/>
                <w:szCs w:val="18"/>
              </w:rPr>
            </w:pPr>
            <w:r>
              <w:rPr>
                <w:rStyle w:val="26"/>
                <w:rFonts w:hint="eastAsia" w:cs="宋体" w:asciiTheme="minorEastAsia" w:hAnsiTheme="minorEastAsia" w:eastAsiaTheme="minorEastAsia"/>
                <w:color w:val="434343"/>
                <w:sz w:val="18"/>
                <w:szCs w:val="18"/>
              </w:rPr>
              <w:t>Ф</w:t>
            </w:r>
            <w:r>
              <w:rPr>
                <w:rStyle w:val="26"/>
                <w:rFonts w:hint="eastAsia" w:asciiTheme="minorEastAsia" w:hAnsiTheme="minorEastAsia" w:eastAsiaTheme="minorEastAsia"/>
                <w:color w:val="434343"/>
                <w:sz w:val="18"/>
                <w:szCs w:val="18"/>
              </w:rPr>
              <w:t>d</w:t>
            </w:r>
          </w:p>
        </w:tc>
        <w:tc>
          <w:tcPr>
            <w:tcW w:w="1848" w:type="dxa"/>
            <w:tcBorders>
              <w:top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5（±0.</w:t>
            </w:r>
            <w:r>
              <w:rPr>
                <w:rFonts w:hint="eastAsia" w:asciiTheme="minorEastAsia" w:hAnsiTheme="minorEastAsia" w:eastAsiaTheme="minorEastAsia"/>
                <w:sz w:val="18"/>
                <w:szCs w:val="18"/>
              </w:rPr>
              <w:t>1</w:t>
            </w:r>
            <w:r>
              <w:rPr>
                <w:rFonts w:asciiTheme="minorEastAsia" w:hAnsiTheme="minorEastAsia" w:eastAsiaTheme="minorEastAsia"/>
                <w:sz w:val="18"/>
                <w:szCs w:val="18"/>
              </w:rPr>
              <w:t>）</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.499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.500</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.499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.501</w:t>
            </w:r>
          </w:p>
        </w:tc>
        <w:tc>
          <w:tcPr>
            <w:tcW w:w="850"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asciiTheme="minorEastAsia" w:hAnsiTheme="minorEastAsia" w:eastAsiaTheme="minorEastAsia"/>
                <w:sz w:val="18"/>
                <w:szCs w:val="1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exact"/>
        </w:trPr>
        <w:tc>
          <w:tcPr>
            <w:tcW w:w="959" w:type="dxa"/>
            <w:vMerge w:val="continue"/>
            <w:tcBorders>
              <w:left w:val="single" w:color="auto" w:sz="12" w:space="0"/>
            </w:tcBorders>
            <w:vAlign w:val="bottom"/>
          </w:tcPr>
          <w:p>
            <w:pPr>
              <w:spacing w:line="280" w:lineRule="exact"/>
              <w:rPr>
                <w:rFonts w:asciiTheme="minorEastAsia" w:hAnsiTheme="minorEastAsia" w:eastAsiaTheme="minorEastAsia"/>
                <w:sz w:val="18"/>
                <w:szCs w:val="18"/>
              </w:rPr>
            </w:pPr>
          </w:p>
        </w:tc>
        <w:tc>
          <w:tcPr>
            <w:tcW w:w="1837" w:type="dxa"/>
            <w:tcBorders>
              <w:top w:val="single" w:color="auto" w:sz="4" w:space="0"/>
              <w:bottom w:val="single" w:color="auto" w:sz="4"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Gap size for brazing coils</w:t>
            </w:r>
          </w:p>
          <w:p>
            <w:pPr>
              <w:snapToGrid w:val="0"/>
              <w:rPr>
                <w:rStyle w:val="26"/>
                <w:rFonts w:cs="宋体" w:asciiTheme="minorEastAsia" w:hAnsiTheme="minorEastAsia" w:eastAsiaTheme="minorEastAsia"/>
                <w:color w:val="434343"/>
                <w:sz w:val="18"/>
                <w:szCs w:val="18"/>
              </w:rPr>
            </w:pPr>
            <w:r>
              <w:rPr>
                <w:rFonts w:hint="eastAsia" w:asciiTheme="minorEastAsia" w:hAnsiTheme="minorEastAsia" w:eastAsiaTheme="minorEastAsia"/>
                <w:sz w:val="18"/>
                <w:szCs w:val="18"/>
              </w:rPr>
              <w:t>线环切口尺寸</w:t>
            </w:r>
          </w:p>
        </w:tc>
        <w:tc>
          <w:tcPr>
            <w:tcW w:w="1848" w:type="dxa"/>
            <w:tcBorders>
              <w:top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3969" w:type="dxa"/>
            <w:gridSpan w:val="5"/>
            <w:tcBorders>
              <w:top w:val="single" w:color="auto" w:sz="4" w:space="0"/>
              <w:left w:val="single" w:color="auto" w:sz="4" w:space="0"/>
              <w:bottom w:val="single" w:color="auto" w:sz="4" w:space="0"/>
              <w:right w:val="single" w:color="auto" w:sz="12" w:space="0"/>
            </w:tcBorders>
            <w:vAlign w:val="center"/>
          </w:tcPr>
          <w:p>
            <w:pPr>
              <w:snapToGri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exact"/>
        </w:trPr>
        <w:tc>
          <w:tcPr>
            <w:tcW w:w="959" w:type="dxa"/>
            <w:vMerge w:val="continue"/>
            <w:tcBorders>
              <w:left w:val="single" w:color="auto" w:sz="12" w:space="0"/>
            </w:tcBorders>
            <w:vAlign w:val="bottom"/>
          </w:tcPr>
          <w:p>
            <w:pPr>
              <w:spacing w:line="280" w:lineRule="exact"/>
              <w:rPr>
                <w:rFonts w:asciiTheme="minorEastAsia" w:hAnsiTheme="minorEastAsia" w:eastAsiaTheme="minorEastAsia"/>
                <w:sz w:val="18"/>
                <w:szCs w:val="18"/>
              </w:rPr>
            </w:pPr>
          </w:p>
        </w:tc>
        <w:tc>
          <w:tcPr>
            <w:tcW w:w="3685" w:type="dxa"/>
            <w:gridSpan w:val="2"/>
            <w:tcBorders>
              <w:top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Melting temperature</w:t>
            </w:r>
          </w:p>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熔化温度（℃）</w:t>
            </w:r>
          </w:p>
        </w:tc>
        <w:tc>
          <w:tcPr>
            <w:tcW w:w="3969" w:type="dxa"/>
            <w:gridSpan w:val="5"/>
            <w:tcBorders>
              <w:top w:val="single" w:color="auto" w:sz="4" w:space="0"/>
              <w:left w:val="single" w:color="auto" w:sz="4" w:space="0"/>
              <w:bottom w:val="single" w:color="auto" w:sz="4" w:space="0"/>
              <w:right w:val="single" w:color="auto" w:sz="12" w:space="0"/>
            </w:tcBorders>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7</w:t>
            </w:r>
            <w:r>
              <w:rPr>
                <w:rFonts w:asciiTheme="minorEastAsia" w:hAnsiTheme="minorEastAsia" w:eastAsiaTheme="minorEastAsia"/>
                <w:sz w:val="18"/>
                <w:szCs w:val="18"/>
              </w:rPr>
              <w:t>82.5</w:t>
            </w:r>
            <w:r>
              <w:rPr>
                <w:rFonts w:hint="eastAsia" w:asciiTheme="minorEastAsia" w:hAnsiTheme="minorEastAsia" w:eastAsiaTheme="minorEastAsia"/>
                <w:sz w:val="18"/>
                <w:szCs w:val="18"/>
              </w:rPr>
              <w:t>~7</w:t>
            </w:r>
            <w:r>
              <w:rPr>
                <w:rFonts w:asciiTheme="minorEastAsia" w:hAnsiTheme="minorEastAsia" w:eastAsiaTheme="minorEastAsia"/>
                <w:sz w:val="18"/>
                <w:szCs w:val="18"/>
              </w:rPr>
              <w:t>89.6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exact"/>
        </w:trPr>
        <w:tc>
          <w:tcPr>
            <w:tcW w:w="959" w:type="dxa"/>
            <w:vMerge w:val="continue"/>
            <w:tcBorders>
              <w:left w:val="single" w:color="auto" w:sz="12" w:space="0"/>
            </w:tcBorders>
            <w:vAlign w:val="bottom"/>
          </w:tcPr>
          <w:p>
            <w:pPr>
              <w:spacing w:line="280" w:lineRule="exact"/>
              <w:rPr>
                <w:rFonts w:asciiTheme="minorEastAsia" w:hAnsiTheme="minorEastAsia" w:eastAsiaTheme="minorEastAsia"/>
                <w:sz w:val="18"/>
                <w:szCs w:val="18"/>
              </w:rPr>
            </w:pPr>
          </w:p>
        </w:tc>
        <w:tc>
          <w:tcPr>
            <w:tcW w:w="3685" w:type="dxa"/>
            <w:gridSpan w:val="2"/>
            <w:tcBorders>
              <w:top w:val="single" w:color="auto" w:sz="4" w:space="0"/>
              <w:bottom w:val="single" w:color="auto" w:sz="4" w:space="0"/>
              <w:right w:val="single" w:color="auto" w:sz="4" w:space="0"/>
            </w:tcBorders>
            <w:vAlign w:val="center"/>
          </w:tcPr>
          <w:p>
            <w:pPr>
              <w:snapToGrid w:val="0"/>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Cleanness</w:t>
            </w:r>
          </w:p>
          <w:p>
            <w:pPr>
              <w:snapToGrid w:val="0"/>
              <w:rPr>
                <w:rFonts w:asciiTheme="minorEastAsia" w:hAnsiTheme="minorEastAsia" w:eastAsiaTheme="minorEastAsia"/>
                <w:sz w:val="18"/>
                <w:szCs w:val="18"/>
              </w:rPr>
            </w:pPr>
            <w:r>
              <w:rPr>
                <w:rFonts w:asciiTheme="minorEastAsia" w:hAnsiTheme="minorEastAsia" w:eastAsiaTheme="minorEastAsia"/>
                <w:color w:val="000000"/>
                <w:sz w:val="18"/>
                <w:szCs w:val="18"/>
              </w:rPr>
              <w:t>清洁</w:t>
            </w:r>
          </w:p>
        </w:tc>
        <w:tc>
          <w:tcPr>
            <w:tcW w:w="3969" w:type="dxa"/>
            <w:gridSpan w:val="5"/>
            <w:tcBorders>
              <w:top w:val="single" w:color="auto" w:sz="4" w:space="0"/>
              <w:left w:val="single" w:color="auto" w:sz="4" w:space="0"/>
              <w:bottom w:val="single" w:color="auto" w:sz="4" w:space="0"/>
              <w:right w:val="single" w:color="auto" w:sz="12" w:space="0"/>
            </w:tcBorders>
            <w:vAlign w:val="center"/>
          </w:tcPr>
          <w:p>
            <w:pPr>
              <w:snapToGrid w:val="0"/>
              <w:rPr>
                <w:rFonts w:asciiTheme="minorEastAsia" w:hAnsiTheme="minorEastAsia" w:eastAsiaTheme="minorEastAsia"/>
                <w:sz w:val="18"/>
                <w:szCs w:val="18"/>
              </w:rPr>
            </w:pPr>
            <w:r>
              <w:rPr>
                <w:rFonts w:hint="eastAsia" w:cs="宋体" w:asciiTheme="minorEastAsia" w:hAnsiTheme="minorEastAsia" w:eastAsiaTheme="minorEastAsia"/>
                <w:sz w:val="18"/>
                <w:szCs w:val="18"/>
              </w:rPr>
              <w:t>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exact"/>
        </w:trPr>
        <w:tc>
          <w:tcPr>
            <w:tcW w:w="959" w:type="dxa"/>
            <w:vMerge w:val="continue"/>
            <w:tcBorders>
              <w:left w:val="single" w:color="auto" w:sz="12" w:space="0"/>
            </w:tcBorders>
            <w:vAlign w:val="bottom"/>
          </w:tcPr>
          <w:p>
            <w:pPr>
              <w:spacing w:line="280" w:lineRule="exact"/>
              <w:rPr>
                <w:rFonts w:asciiTheme="minorEastAsia" w:hAnsiTheme="minorEastAsia" w:eastAsiaTheme="minorEastAsia"/>
                <w:sz w:val="18"/>
                <w:szCs w:val="18"/>
              </w:rPr>
            </w:pPr>
          </w:p>
        </w:tc>
        <w:tc>
          <w:tcPr>
            <w:tcW w:w="3685" w:type="dxa"/>
            <w:gridSpan w:val="2"/>
            <w:tcBorders>
              <w:top w:val="single" w:color="auto" w:sz="4" w:space="0"/>
              <w:bottom w:val="single" w:color="auto" w:sz="4" w:space="0"/>
              <w:right w:val="single" w:color="auto" w:sz="4" w:space="0"/>
            </w:tcBorders>
            <w:vAlign w:val="center"/>
          </w:tcPr>
          <w:p>
            <w:pPr>
              <w:snapToGrid w:val="0"/>
              <w:rPr>
                <w:rFonts w:asciiTheme="minorEastAsia" w:hAnsiTheme="minorEastAsia" w:eastAsiaTheme="minorEastAsia"/>
                <w:sz w:val="18"/>
                <w:szCs w:val="18"/>
              </w:rPr>
            </w:pPr>
            <w:r>
              <w:rPr>
                <w:rFonts w:asciiTheme="minorEastAsia" w:hAnsiTheme="minorEastAsia" w:eastAsiaTheme="minorEastAsia"/>
                <w:sz w:val="18"/>
                <w:szCs w:val="18"/>
              </w:rPr>
              <w:t>Spatter</w:t>
            </w:r>
          </w:p>
          <w:p>
            <w:pPr>
              <w:snapToGrid w:val="0"/>
              <w:rPr>
                <w:rFonts w:asciiTheme="minorEastAsia" w:hAnsiTheme="minorEastAsia" w:eastAsiaTheme="minorEastAsia"/>
                <w:sz w:val="18"/>
                <w:szCs w:val="18"/>
              </w:rPr>
            </w:pPr>
            <w:r>
              <w:rPr>
                <w:rFonts w:asciiTheme="minorEastAsia" w:hAnsiTheme="minorEastAsia" w:eastAsiaTheme="minorEastAsia"/>
                <w:sz w:val="18"/>
                <w:szCs w:val="18"/>
              </w:rPr>
              <w:t>溅散</w:t>
            </w:r>
          </w:p>
        </w:tc>
        <w:tc>
          <w:tcPr>
            <w:tcW w:w="3969" w:type="dxa"/>
            <w:gridSpan w:val="5"/>
            <w:tcBorders>
              <w:top w:val="single" w:color="auto" w:sz="4" w:space="0"/>
              <w:left w:val="single" w:color="auto" w:sz="4" w:space="0"/>
              <w:bottom w:val="single" w:color="auto" w:sz="4" w:space="0"/>
              <w:right w:val="single" w:color="auto" w:sz="12" w:space="0"/>
            </w:tcBorders>
            <w:vAlign w:val="center"/>
          </w:tcPr>
          <w:p>
            <w:pPr>
              <w:snapToGrid w:val="0"/>
              <w:rPr>
                <w:rFonts w:asciiTheme="minorEastAsia" w:hAnsiTheme="minorEastAsia" w:eastAsiaTheme="minorEastAsia"/>
                <w:sz w:val="18"/>
                <w:szCs w:val="18"/>
              </w:rPr>
            </w:pPr>
            <w:r>
              <w:rPr>
                <w:rFonts w:hint="eastAsia" w:asciiTheme="minorEastAsia" w:hAnsiTheme="minorEastAsia" w:eastAsiaTheme="minorEastAsia"/>
                <w:sz w:val="18"/>
                <w:szCs w:val="18"/>
              </w:rPr>
              <w:t>A</w:t>
            </w:r>
          </w:p>
        </w:tc>
      </w:tr>
    </w:tbl>
    <w:p>
      <w:pPr>
        <w:rPr>
          <w:sz w:val="24"/>
        </w:rPr>
      </w:pPr>
      <w:r>
        <w:rPr>
          <w:rFonts w:hint="eastAsia" w:ascii="Times New Roman" w:hAnsi="Times New Roman"/>
          <w:sz w:val="24"/>
        </w:rPr>
        <w:t>（3）前言部分按照《GB/T1.1-2020标准化工作导则》中格式要求修改，包括按标准要求修改、增加、删除，修改内容的格式，增加专利情况内容；</w:t>
      </w:r>
    </w:p>
    <w:p>
      <w:pPr>
        <w:rPr>
          <w:rFonts w:ascii="Times New Roman" w:hAnsi="Times New Roman"/>
          <w:sz w:val="24"/>
        </w:rPr>
      </w:pPr>
      <w:r>
        <w:rPr>
          <w:rFonts w:ascii="Times New Roman" w:hAnsi="Times New Roman"/>
          <w:bCs/>
          <w:sz w:val="24"/>
          <w:szCs w:val="24"/>
        </w:rPr>
        <w:t>主要依据：</w:t>
      </w:r>
      <w:r>
        <w:rPr>
          <w:rFonts w:hint="eastAsia"/>
          <w:sz w:val="24"/>
        </w:rPr>
        <w:t>符合最新的</w:t>
      </w:r>
      <w:r>
        <w:rPr>
          <w:rFonts w:hint="eastAsia" w:ascii="Times New Roman" w:hAnsi="Times New Roman"/>
          <w:sz w:val="24"/>
        </w:rPr>
        <w:t>《GB/T1.1-2020标准化工作导则》中格式要求</w:t>
      </w:r>
      <w:r>
        <w:rPr>
          <w:rFonts w:hint="eastAsia"/>
          <w:sz w:val="24"/>
        </w:rPr>
        <w:t>。</w:t>
      </w:r>
    </w:p>
    <w:p>
      <w:pPr>
        <w:rPr>
          <w:rFonts w:ascii="宋体" w:hAnsi="宋体"/>
          <w:sz w:val="24"/>
        </w:rPr>
      </w:pPr>
      <w:r>
        <w:rPr>
          <w:rFonts w:hint="eastAsia" w:ascii="宋体" w:hAnsi="宋体"/>
          <w:sz w:val="24"/>
        </w:rPr>
        <w:t>（4）标准正文中应按最新的要求进行文字、格式、图表格式修改，其中用“本文件”替代“本标准”，正文字体为5号宋体，试验方法增加章条号；</w:t>
      </w:r>
    </w:p>
    <w:p>
      <w:pPr>
        <w:ind w:firstLine="480" w:firstLineChars="200"/>
        <w:rPr>
          <w:sz w:val="24"/>
        </w:rPr>
      </w:pPr>
      <w:r>
        <w:rPr>
          <w:rFonts w:ascii="Times New Roman" w:hAnsi="Times New Roman"/>
          <w:bCs/>
          <w:sz w:val="24"/>
          <w:szCs w:val="24"/>
        </w:rPr>
        <w:t>主要依据：</w:t>
      </w:r>
      <w:r>
        <w:rPr>
          <w:rFonts w:hint="eastAsia"/>
          <w:sz w:val="24"/>
        </w:rPr>
        <w:t>符合最新的</w:t>
      </w:r>
      <w:r>
        <w:rPr>
          <w:rFonts w:hint="eastAsia" w:ascii="Times New Roman" w:hAnsi="Times New Roman"/>
          <w:sz w:val="24"/>
        </w:rPr>
        <w:t>《GB/T1.1-2020标准化工作导则》中格式要求</w:t>
      </w:r>
      <w:r>
        <w:rPr>
          <w:rFonts w:hint="eastAsia"/>
          <w:sz w:val="24"/>
        </w:rPr>
        <w:t>。</w:t>
      </w:r>
    </w:p>
    <w:p>
      <w:pPr>
        <w:ind w:firstLine="480" w:firstLineChars="200"/>
        <w:rPr>
          <w:rFonts w:hint="eastAsia" w:ascii="宋体" w:hAnsi="宋体"/>
          <w:sz w:val="24"/>
        </w:rPr>
      </w:pP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标准中涉及专利的情况</w:t>
      </w:r>
    </w:p>
    <w:p>
      <w:pPr>
        <w:ind w:firstLine="480" w:firstLineChars="200"/>
        <w:rPr>
          <w:rFonts w:ascii="宋体" w:hAnsi="宋体"/>
          <w:sz w:val="24"/>
        </w:rPr>
      </w:pPr>
      <w:r>
        <w:rPr>
          <w:rFonts w:ascii="宋体" w:hAnsi="宋体"/>
          <w:sz w:val="24"/>
        </w:rPr>
        <w:t>在真空器件用钎焊材料的制备和研究方面，获得以下科技成果，国家发明专利2项：2006年1月，“低钯含量银合金钎料”和2008年12月，“银基合金钎料及其在真空断路器分级钎焊中的应用” 获得国家发明专利。2001年8月，新产品开发项目“电真空用贵金属钎料生产新工艺研究”获云南省科学技术进步“二等奖”1项。</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预期达到的社会效益等情况</w:t>
      </w:r>
    </w:p>
    <w:p>
      <w:pPr>
        <w:pStyle w:val="10"/>
        <w:numPr>
          <w:ilvl w:val="0"/>
          <w:numId w:val="3"/>
        </w:numPr>
        <w:ind w:firstLineChars="0"/>
        <w:rPr>
          <w:rFonts w:ascii="Times New Roman" w:hAnsi="Times New Roman"/>
          <w:sz w:val="28"/>
          <w:szCs w:val="28"/>
        </w:rPr>
      </w:pPr>
      <w:r>
        <w:rPr>
          <w:rFonts w:hint="eastAsia" w:ascii="Times New Roman" w:hAnsi="Times New Roman"/>
          <w:sz w:val="28"/>
          <w:szCs w:val="28"/>
        </w:rPr>
        <w:t>项目的必要性简述</w:t>
      </w:r>
    </w:p>
    <w:p>
      <w:pPr>
        <w:adjustRightInd w:val="0"/>
        <w:snapToGrid w:val="0"/>
        <w:ind w:firstLine="480" w:firstLineChars="200"/>
        <w:rPr>
          <w:rFonts w:ascii="宋体" w:hAnsi="宋体"/>
          <w:sz w:val="24"/>
        </w:rPr>
      </w:pPr>
      <w:r>
        <w:rPr>
          <w:rFonts w:hint="eastAsia" w:ascii="宋体" w:hAnsi="宋体"/>
          <w:sz w:val="24"/>
        </w:rPr>
        <w:t>贵金属及其合金钎焊材料具有优良的综合性能，是电子器件制造中不可缺少的关键材料。根据用途、温度的不同，分为电真空器件钎料和微电子器件钎料。应用于电真空器件的贵金属钎焊材料主要以Ag基钎料为主，其中应用最广泛的AgCu28，作为典型的共晶钎料，固相线和液相线均为779℃。为了提高AgCu28合金钎焊不锈钢和金属化陶瓷湿润性，焊接可靠性以及稳定性，通常在AgCu28合金中添加少量镍，锗和钴，形成AgCuNi28-0.75、AgCuNi28-2、 AgCuGeCo28-2-0.3等多种牌号的AgCu合金钎料，其熔化温度范围主要在620～900℃左右。应用于通信领域用超高频微波发射管、速调管，微光工程领域的红外光电倍增管，电力输变电行业大量使用的各种类型的大功率真空断路器、家电行业的微波磁控管等封装。</w:t>
      </w:r>
    </w:p>
    <w:p>
      <w:pPr>
        <w:adjustRightInd w:val="0"/>
        <w:snapToGrid w:val="0"/>
        <w:ind w:firstLine="480" w:firstLineChars="200"/>
        <w:rPr>
          <w:rFonts w:ascii="宋体" w:hAnsi="宋体"/>
          <w:sz w:val="24"/>
        </w:rPr>
      </w:pPr>
      <w:r>
        <w:rPr>
          <w:rFonts w:hint="eastAsia" w:ascii="宋体" w:hAnsi="宋体"/>
          <w:sz w:val="24"/>
        </w:rPr>
        <w:t>目前我国电真空焊料的应用领域，以AgCu28为代表的Ag基贵金属钎料大部分已国产化，实现了电真空器件用Ag基钎料从带材到片环冲压和丝材产品到丝环打圈预成形焊料产品的深加工。德国ABB、西门子，法国施耐德在中国新建工厂，并对提供的预成形焊料产品的低含氧（20ppm以内）、低含碳量（20ppm以内）电真空焊料提出更高要求。经过近几年的发展，原来真空断路器用银及其合金钎料环标准</w:t>
      </w:r>
      <w:r>
        <w:rPr>
          <w:rFonts w:ascii="宋体" w:hAnsi="宋体"/>
          <w:sz w:val="24"/>
        </w:rPr>
        <w:t>YS/</w:t>
      </w:r>
      <w:r>
        <w:rPr>
          <w:rFonts w:hint="eastAsia" w:ascii="宋体" w:hAnsi="宋体"/>
          <w:sz w:val="24"/>
        </w:rPr>
        <w:t>T 1070</w:t>
      </w:r>
      <w:r>
        <w:rPr>
          <w:rFonts w:ascii="宋体" w:hAnsi="宋体"/>
          <w:sz w:val="24"/>
        </w:rPr>
        <w:t>-</w:t>
      </w:r>
      <w:r>
        <w:rPr>
          <w:rFonts w:hint="eastAsia" w:ascii="宋体" w:hAnsi="宋体"/>
          <w:sz w:val="24"/>
        </w:rPr>
        <w:t>2015已经不能满足现有产品的相关要求。现需要对真空断路器用银及其合金钎料环的产品分类及杂质范围进行重新修订。</w:t>
      </w:r>
    </w:p>
    <w:p>
      <w:pPr>
        <w:spacing w:before="156" w:beforeLines="50"/>
        <w:rPr>
          <w:rFonts w:ascii="Times New Roman" w:hAnsi="Times New Roman"/>
          <w:sz w:val="28"/>
          <w:szCs w:val="28"/>
        </w:rPr>
      </w:pPr>
      <w:r>
        <w:rPr>
          <w:rFonts w:hint="eastAsia" w:ascii="Times New Roman" w:hAnsi="Times New Roman"/>
          <w:sz w:val="28"/>
          <w:szCs w:val="28"/>
        </w:rPr>
        <w:t>（二）项目的可行性简述</w:t>
      </w:r>
    </w:p>
    <w:p>
      <w:pPr>
        <w:adjustRightInd w:val="0"/>
        <w:snapToGrid w:val="0"/>
        <w:ind w:firstLine="480" w:firstLineChars="200"/>
        <w:rPr>
          <w:rFonts w:ascii="宋体" w:hAnsi="宋体"/>
          <w:sz w:val="24"/>
        </w:rPr>
      </w:pPr>
      <w:r>
        <w:rPr>
          <w:rFonts w:ascii="宋体" w:hAnsi="宋体"/>
          <w:color w:val="000000"/>
          <w:kern w:val="0"/>
          <w:sz w:val="24"/>
        </w:rPr>
        <w:t>贵研铂业股份有限公司从“六五”攻关开始进行真空器件用钎焊材料的开发和研究，</w:t>
      </w:r>
      <w:r>
        <w:rPr>
          <w:rFonts w:ascii="宋体" w:hAnsi="宋体"/>
          <w:sz w:val="24"/>
        </w:rPr>
        <w:t>公司结合贵金属新材料产业化基地建设，建立了从真空器件用贵金属钎焊材料的铸造、板材、带材和丝材加工的生产配套专用设备及生产厂房。从英国引进、国内购买及自制了先进的生产设备和配套的力学性能、化学成分检测分析设备，为本项目实施奠定了坚实的条件支撑。但现有设备主要是针对目前生产的传统带材、丝材产品而配置的，对于本项目涉及内容，其中的部分生产设备、配套设施、检测评价体平台及设备等可以共用，但为了更好地建设产业化生产线，还需新增部分关键生产设备、配套设施和检测实验设备</w:t>
      </w:r>
    </w:p>
    <w:p>
      <w:pPr>
        <w:adjustRightInd w:val="0"/>
        <w:snapToGrid w:val="0"/>
        <w:ind w:firstLine="480" w:firstLineChars="200"/>
        <w:rPr>
          <w:rFonts w:ascii="宋体" w:hAnsi="宋体"/>
          <w:sz w:val="24"/>
        </w:rPr>
      </w:pPr>
      <w:r>
        <w:rPr>
          <w:rFonts w:hint="eastAsia" w:ascii="宋体" w:hAnsi="宋体"/>
          <w:sz w:val="24"/>
          <w:szCs w:val="24"/>
        </w:rPr>
        <w:t>建立了从真空器件用贵金属钎焊材料的铸造、板材、带材和丝材加工的生产配套专用设备及生产厂房。从英国引进、国内购买及自制了先进的生产设备和配套的力学性能、化学成分检测分析设备，为本项目实施奠定了坚实的条件支撑。开发的银铜钎料、钯银铜钎料、金镍钎料、金铜钎料已在国内的各大真空电器公司的真空灭弧室，磁控管、微波管等等领域获得应用，建立了30吨的银及其合金钎料生产线，并已批量供应市场。</w:t>
      </w:r>
    </w:p>
    <w:p>
      <w:pPr>
        <w:adjustRightInd w:val="0"/>
        <w:snapToGrid w:val="0"/>
        <w:ind w:firstLine="480" w:firstLineChars="200"/>
        <w:rPr>
          <w:sz w:val="24"/>
        </w:rPr>
      </w:pPr>
      <w:r>
        <w:rPr>
          <w:rFonts w:hAnsi="宋体"/>
          <w:sz w:val="24"/>
        </w:rPr>
        <w:t>贵研铂业股份有限公司在该领域内是领先的产品供应商，标准起草人员多次参与整个生产和使用流程，且贵研铂业股份有限公司在国内贵金属及有色金属分析领域具有权威地位，其标准起草团队多次参与有色行业标准的起草、验证等工作，能够胜任标准的编制工作</w:t>
      </w:r>
      <w:r>
        <w:rPr>
          <w:rFonts w:hint="eastAsia" w:ascii="Times New Roman" w:hAnsi="Times New Roman"/>
          <w:kern w:val="0"/>
          <w:sz w:val="24"/>
          <w:szCs w:val="24"/>
        </w:rPr>
        <w:t>。所以，对于标准的修订在研发和应用方面都十分必要，同时该标准中的修订内容，也进行了试验验证和比较，修改内容切实可行。</w:t>
      </w:r>
    </w:p>
    <w:p>
      <w:pPr>
        <w:pStyle w:val="10"/>
        <w:numPr>
          <w:ilvl w:val="0"/>
          <w:numId w:val="3"/>
        </w:numPr>
        <w:ind w:firstLineChars="0"/>
        <w:rPr>
          <w:rFonts w:ascii="Times New Roman" w:hAnsi="Times New Roman"/>
          <w:sz w:val="28"/>
          <w:szCs w:val="28"/>
        </w:rPr>
      </w:pPr>
      <w:r>
        <w:rPr>
          <w:rFonts w:hint="eastAsia" w:ascii="Times New Roman" w:hAnsi="Times New Roman"/>
          <w:sz w:val="28"/>
          <w:szCs w:val="28"/>
        </w:rPr>
        <w:t>标准的先进性、创新性、标准实施后预期产生的经济效益和社会效益</w:t>
      </w:r>
    </w:p>
    <w:p>
      <w:pPr>
        <w:ind w:firstLine="480" w:firstLineChars="200"/>
        <w:rPr>
          <w:rFonts w:ascii="Times New Roman" w:hAnsi="Times New Roman"/>
          <w:kern w:val="0"/>
          <w:sz w:val="24"/>
          <w:szCs w:val="24"/>
        </w:rPr>
      </w:pPr>
      <w:r>
        <w:rPr>
          <w:rFonts w:hint="eastAsia" w:hAnsi="宋体"/>
          <w:sz w:val="24"/>
        </w:rPr>
        <w:t>先进性体现在对贵金属真空断路器用银及其合金进行规范性定义，对贵金属片环和丝环类产品具有指导性意义，创新性体现在对银及其合金钎料环的尺寸及允许公差进行重新定义，更符合生产的需要和市场的需求。在标准的制定过程中，调研了我国的电子、航空、航天、军工、仪器等领域中的真空断路器用银及其合金应用情况，以及对于材料性能、材料设计和器件设计方面的研究和生产。完全达到用户要求，且部分技术指标超过了国际标准水平，具有充分的先进性、科学性、普遍性、广泛性和适用性， 其综合水平达到了国际先进水平，完全能满足国内外用户、市场及我国真空断路器用银及其合金产品进出口的需求。利于提高</w:t>
      </w:r>
      <w:r>
        <w:rPr>
          <w:rFonts w:hint="eastAsia" w:asciiTheme="minorEastAsia" w:hAnsiTheme="minorEastAsia" w:eastAsiaTheme="minorEastAsia"/>
          <w:kern w:val="0"/>
          <w:sz w:val="24"/>
          <w:szCs w:val="24"/>
        </w:rPr>
        <w:t>我国电工合金产品的国际竞争力，更有助于：（1）促进我国电工合金、贵金属材料等行业的迅速发展，促进先进技术的成功转化； (</w:t>
      </w:r>
      <w:r>
        <w:rPr>
          <w:rFonts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)促进早日规范电工合金、银及其合金钎料环产品性能评价方法，采用统一标准对产品进行有效的表征，极大程度上促进产业发展。</w:t>
      </w:r>
    </w:p>
    <w:p>
      <w:pPr>
        <w:rPr>
          <w:rFonts w:ascii="Times New Roman" w:hAnsi="Times New Roman"/>
          <w:kern w:val="0"/>
          <w:sz w:val="24"/>
          <w:szCs w:val="24"/>
        </w:rPr>
      </w:pP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采用国际标准和国外先进标准的情况</w:t>
      </w:r>
    </w:p>
    <w:p>
      <w:pPr>
        <w:ind w:firstLine="480" w:firstLineChars="200"/>
        <w:rPr>
          <w:rFonts w:ascii="宋体" w:hAnsi="宋体"/>
          <w:sz w:val="24"/>
        </w:rPr>
      </w:pPr>
      <w:r>
        <w:rPr>
          <w:rFonts w:hint="eastAsia" w:ascii="宋体" w:hAnsi="宋体"/>
          <w:sz w:val="24"/>
        </w:rPr>
        <w:t>贵研铂业股份有限公司接到制定任务后，认真分析和研究国内外相关标准的基本内容和特点，以YS/T</w:t>
      </w:r>
      <w:r>
        <w:rPr>
          <w:rFonts w:ascii="宋体" w:hAnsi="宋体"/>
          <w:sz w:val="24"/>
        </w:rPr>
        <w:t>1070</w:t>
      </w:r>
      <w:r>
        <w:rPr>
          <w:rFonts w:hint="eastAsia" w:ascii="宋体" w:hAnsi="宋体"/>
          <w:sz w:val="24"/>
        </w:rPr>
        <w:t>-20</w:t>
      </w:r>
      <w:r>
        <w:rPr>
          <w:rFonts w:ascii="宋体" w:hAnsi="宋体"/>
          <w:sz w:val="24"/>
        </w:rPr>
        <w:t>15</w:t>
      </w:r>
      <w:r>
        <w:rPr>
          <w:rFonts w:hint="eastAsia" w:ascii="宋体" w:hAnsi="宋体"/>
          <w:sz w:val="24"/>
        </w:rPr>
        <w:t>为基础，参考国内外相关标准，既考虑标准的先进性，也考虑标准的适用性和可操作性，并根据我国原材料加工能力、分析水平等实际情况，力求使该标准与国外先进标准接轨，</w:t>
      </w:r>
      <w:r>
        <w:rPr>
          <w:rFonts w:ascii="宋体" w:hAnsi="宋体"/>
          <w:sz w:val="24"/>
          <w:szCs w:val="24"/>
        </w:rPr>
        <w:t>主要性能指标达到美国ASTM F106-95、日本JIS Z3267和JIS Z3268技术要求。</w:t>
      </w:r>
      <w:r>
        <w:rPr>
          <w:rFonts w:hint="eastAsia" w:ascii="宋体" w:hAnsi="宋体"/>
          <w:sz w:val="24"/>
        </w:rPr>
        <w:t>该标准的制定既能体现生产方的技术水平，又能满足使用方的技术要求。</w:t>
      </w:r>
    </w:p>
    <w:p>
      <w:pPr>
        <w:ind w:firstLine="480" w:firstLineChars="200"/>
        <w:rPr>
          <w:rFonts w:ascii="宋体" w:hAnsi="宋体"/>
          <w:sz w:val="24"/>
        </w:rPr>
      </w:pPr>
      <w:r>
        <w:rPr>
          <w:rFonts w:hint="eastAsia" w:ascii="宋体" w:hAnsi="宋体"/>
          <w:sz w:val="24"/>
        </w:rPr>
        <w:t>本标准严格按照GB/T1.1-2020《标准化工作导则》的《国家标准规范编写示例》进行编写，以范围—规范性引用文件—要求等内容的顺序编写，内容规范。</w:t>
      </w:r>
    </w:p>
    <w:p>
      <w:pPr>
        <w:ind w:firstLine="480" w:firstLineChars="200"/>
        <w:rPr>
          <w:bCs/>
          <w:sz w:val="24"/>
        </w:rPr>
      </w:pPr>
      <w:r>
        <w:rPr>
          <w:rFonts w:hint="eastAsia" w:ascii="宋体" w:hAnsi="宋体"/>
          <w:sz w:val="24"/>
        </w:rPr>
        <w:t xml:space="preserve"> YS/T T</w:t>
      </w:r>
      <w:r>
        <w:rPr>
          <w:rFonts w:ascii="宋体" w:hAnsi="宋体"/>
          <w:sz w:val="24"/>
        </w:rPr>
        <w:t>1070</w:t>
      </w:r>
      <w:r>
        <w:rPr>
          <w:rFonts w:hint="eastAsia" w:ascii="宋体" w:hAnsi="宋体"/>
          <w:sz w:val="24"/>
        </w:rPr>
        <w:t>-20</w:t>
      </w:r>
      <w:r>
        <w:rPr>
          <w:rFonts w:ascii="宋体" w:hAnsi="宋体"/>
          <w:sz w:val="24"/>
        </w:rPr>
        <w:t>15</w:t>
      </w:r>
      <w:r>
        <w:rPr>
          <w:rFonts w:hint="eastAsia" w:ascii="宋体" w:hAnsi="宋体"/>
          <w:sz w:val="24"/>
        </w:rPr>
        <w:t>从发布至今已有七年，在这期间为规范整个行业起到了巨大的作用，带来了非常大的经济效益。在这十多年中，随着科学技术的进步，不断地开发了新的贵金属及其合金材料，同时原标准规定的部分规格及技术指标已不能满足市场需要，</w:t>
      </w:r>
      <w:r>
        <w:rPr>
          <w:rFonts w:hAnsi="宋体"/>
          <w:sz w:val="24"/>
        </w:rPr>
        <w:t>我们要解决的主要问题是参考国内外</w:t>
      </w:r>
      <w:r>
        <w:rPr>
          <w:rFonts w:hint="eastAsia" w:hAnsi="宋体"/>
          <w:sz w:val="24"/>
        </w:rPr>
        <w:t>贵金属</w:t>
      </w:r>
      <w:r>
        <w:rPr>
          <w:rFonts w:hAnsi="宋体"/>
          <w:sz w:val="24"/>
        </w:rPr>
        <w:t>相关标准，结合生产实践，拟订具有实用性、可操作性，能够满足生产和使用需要</w:t>
      </w:r>
      <w:r>
        <w:rPr>
          <w:rFonts w:hint="eastAsia" w:hAnsi="宋体"/>
          <w:sz w:val="24"/>
        </w:rPr>
        <w:t>的真空断路器用银及其合金</w:t>
      </w:r>
      <w:r>
        <w:rPr>
          <w:rFonts w:hAnsi="宋体"/>
          <w:sz w:val="24"/>
        </w:rPr>
        <w:t>具体技术指标。</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与现有相关法律、法规、规章及相关标准，特别是强制性国家标准的协调配套情况</w:t>
      </w:r>
    </w:p>
    <w:p>
      <w:pPr>
        <w:ind w:firstLine="480" w:firstLineChars="200"/>
        <w:rPr>
          <w:rFonts w:ascii="Times New Roman"/>
          <w:sz w:val="24"/>
        </w:rPr>
      </w:pPr>
      <w:r>
        <w:rPr>
          <w:rFonts w:hint="eastAsia" w:ascii="Times New Roman"/>
          <w:sz w:val="24"/>
        </w:rPr>
        <w:t>本标准属于其它有色金属标准体系“贵金属”类。本标准修订时，考虑到与国际标准和规范接轨，在规范性引用文件上按我国标准体系作了调整和编辑， 新修订的《</w:t>
      </w:r>
      <w:r>
        <w:rPr>
          <w:rFonts w:hint="eastAsia" w:ascii="Times New Roman" w:hAnsi="宋体"/>
          <w:sz w:val="24"/>
          <w:szCs w:val="24"/>
        </w:rPr>
        <w:t>真空断路器用银及其合金</w:t>
      </w:r>
      <w:r>
        <w:rPr>
          <w:rFonts w:hint="eastAsia" w:ascii="Times New Roman"/>
          <w:sz w:val="24"/>
        </w:rPr>
        <w:t>》在安全性方面直接引用和贯彻执行了国家强制性标准，从技术上保证了方法使用的安全和可靠性，条文精炼表达清楚，技术要求全面、准确、科学、合理，标准的格式和表达方式等方面完全执行了现行的国家标准和有关法规，符合GB/T 1. 1 的有关要求。</w:t>
      </w:r>
      <w:r>
        <w:rPr>
          <w:rFonts w:hint="eastAsia" w:hAnsi="宋体"/>
          <w:sz w:val="24"/>
          <w:szCs w:val="24"/>
        </w:rPr>
        <w:t>本标准完全满足现行国家法规的要求，与现行标准相比，技术参数要求更合理，格式更规范，可取代原标准</w:t>
      </w:r>
      <w:r>
        <w:rPr>
          <w:rFonts w:hint="eastAsia" w:ascii="Times New Roman"/>
          <w:sz w:val="24"/>
        </w:rPr>
        <w:t>。</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重大分歧意见的处理经过和依据</w:t>
      </w:r>
    </w:p>
    <w:p>
      <w:pPr>
        <w:pStyle w:val="10"/>
        <w:ind w:left="720" w:firstLine="0" w:firstLineChars="0"/>
        <w:rPr>
          <w:rFonts w:ascii="Times New Roman" w:hAnsi="Times New Roman"/>
          <w:sz w:val="28"/>
          <w:szCs w:val="28"/>
        </w:rPr>
      </w:pPr>
      <w:r>
        <w:rPr>
          <w:rFonts w:ascii="Times New Roman" w:hAnsi="Times New Roman"/>
          <w:kern w:val="0"/>
          <w:sz w:val="24"/>
          <w:szCs w:val="24"/>
        </w:rPr>
        <w:t>该标准编制过程中，无重大分歧意见。</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标志性质的建议说明</w:t>
      </w:r>
    </w:p>
    <w:p>
      <w:pPr>
        <w:ind w:firstLine="480" w:firstLineChars="200"/>
        <w:rPr>
          <w:rFonts w:ascii="Times New Roman" w:hAnsi="Times New Roman"/>
          <w:sz w:val="28"/>
          <w:szCs w:val="28"/>
        </w:rPr>
      </w:pPr>
      <w:r>
        <w:rPr>
          <w:rFonts w:hint="eastAsia" w:ascii="Times New Roman"/>
          <w:sz w:val="24"/>
        </w:rPr>
        <w:t>鉴于</w:t>
      </w:r>
      <w:r>
        <w:rPr>
          <w:rFonts w:ascii="Times New Roman"/>
          <w:sz w:val="24"/>
        </w:rPr>
        <w:t>本标准</w:t>
      </w:r>
      <w:r>
        <w:rPr>
          <w:rFonts w:hint="eastAsia" w:ascii="Times New Roman"/>
          <w:sz w:val="24"/>
        </w:rPr>
        <w:t>规定的真空断路器用银及其合金，</w:t>
      </w:r>
      <w:r>
        <w:rPr>
          <w:rFonts w:ascii="Times New Roman"/>
          <w:sz w:val="24"/>
        </w:rPr>
        <w:t>全面覆盖了</w:t>
      </w:r>
      <w:r>
        <w:rPr>
          <w:rFonts w:ascii="Times New Roman" w:hAnsi="宋体"/>
          <w:sz w:val="24"/>
          <w:szCs w:val="24"/>
        </w:rPr>
        <w:t>贵金属</w:t>
      </w:r>
      <w:r>
        <w:rPr>
          <w:rFonts w:hint="eastAsia" w:ascii="Times New Roman" w:hAnsi="宋体"/>
          <w:sz w:val="24"/>
          <w:szCs w:val="24"/>
        </w:rPr>
        <w:t>及其合金</w:t>
      </w:r>
      <w:r>
        <w:rPr>
          <w:rFonts w:ascii="Times New Roman"/>
          <w:sz w:val="24"/>
        </w:rPr>
        <w:t>产品的</w:t>
      </w:r>
      <w:r>
        <w:rPr>
          <w:rFonts w:hint="eastAsia" w:ascii="Times New Roman"/>
          <w:sz w:val="24"/>
        </w:rPr>
        <w:t>使用</w:t>
      </w:r>
      <w:r>
        <w:rPr>
          <w:rFonts w:ascii="Times New Roman"/>
          <w:sz w:val="24"/>
        </w:rPr>
        <w:t>的一般要求，</w:t>
      </w:r>
      <w:r>
        <w:rPr>
          <w:rFonts w:hint="eastAsia" w:ascii="Times New Roman"/>
          <w:sz w:val="24"/>
        </w:rPr>
        <w:t>虽然有涉及人身虽然有涉及人身及设备安全的内容，但其属方法标准，不是通用性的安全规范或标准，仅是在涉及到的内容上引用相关的安全规范或标准作为本标准的规定，不属安全性标准。根据标准化法和有关规定，建议本标准的性质为推荐性国家标准。</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贯彻标准的要求和措施建议</w:t>
      </w:r>
    </w:p>
    <w:p>
      <w:pPr>
        <w:pStyle w:val="10"/>
        <w:numPr>
          <w:ilvl w:val="0"/>
          <w:numId w:val="4"/>
        </w:numPr>
        <w:ind w:firstLineChars="0"/>
        <w:rPr>
          <w:rFonts w:ascii="Times New Roman"/>
          <w:sz w:val="24"/>
        </w:rPr>
      </w:pPr>
      <w:r>
        <w:rPr>
          <w:rFonts w:hint="eastAsia" w:ascii="Times New Roman"/>
          <w:sz w:val="24"/>
        </w:rPr>
        <w:t>首先应在实施前保证标准文本的充足供应， 使每个贵金属银及其合金钎料制造厂设计单位以及检测机构、光电企业、外资企业等都能及时获得本标准文本，这是保证新标准贯彻实施的基础。</w:t>
      </w:r>
    </w:p>
    <w:p>
      <w:pPr>
        <w:pStyle w:val="10"/>
        <w:numPr>
          <w:ilvl w:val="0"/>
          <w:numId w:val="4"/>
        </w:numPr>
        <w:ind w:firstLineChars="0"/>
        <w:rPr>
          <w:rFonts w:ascii="Times New Roman"/>
          <w:sz w:val="24"/>
        </w:rPr>
      </w:pPr>
      <w:r>
        <w:rPr>
          <w:rFonts w:hint="eastAsia" w:ascii="Times New Roman"/>
          <w:sz w:val="24"/>
        </w:rPr>
        <w:t>本次修订的《</w:t>
      </w:r>
      <w:r>
        <w:rPr>
          <w:rFonts w:hint="eastAsia" w:ascii="Times New Roman" w:hAnsi="宋体"/>
          <w:sz w:val="24"/>
          <w:szCs w:val="24"/>
        </w:rPr>
        <w:t>真空断路器用银及其合金</w:t>
      </w:r>
      <w:r>
        <w:rPr>
          <w:rFonts w:hint="eastAsia" w:ascii="Times New Roman"/>
          <w:sz w:val="24"/>
        </w:rPr>
        <w:t>》，不仅与生产企业有关， 而且与设计单位、 检测机构等相关。对于标准使用过程中容易出现的疑问，起草单位有义务进行必要的解释。</w:t>
      </w:r>
    </w:p>
    <w:p>
      <w:pPr>
        <w:pStyle w:val="10"/>
        <w:numPr>
          <w:ilvl w:val="0"/>
          <w:numId w:val="5"/>
        </w:numPr>
        <w:ind w:firstLineChars="0"/>
        <w:rPr>
          <w:rFonts w:ascii="Times New Roman"/>
          <w:sz w:val="24"/>
        </w:rPr>
      </w:pPr>
      <w:r>
        <w:rPr>
          <w:rFonts w:hint="eastAsia" w:ascii="Times New Roman"/>
          <w:sz w:val="24"/>
        </w:rPr>
        <w:t>可以针对标准使用的不同对象， 如制造厂、质量监管等相关部门， 有侧重点地进行标准的培训和宣贯，以保证标准的贯彻实施。</w:t>
      </w:r>
    </w:p>
    <w:p>
      <w:pPr>
        <w:pStyle w:val="10"/>
        <w:numPr>
          <w:ilvl w:val="0"/>
          <w:numId w:val="5"/>
        </w:numPr>
        <w:ind w:firstLineChars="0"/>
        <w:rPr>
          <w:rFonts w:ascii="Times New Roman"/>
          <w:sz w:val="24"/>
        </w:rPr>
      </w:pPr>
      <w:r>
        <w:rPr>
          <w:rFonts w:hint="eastAsia" w:ascii="Times New Roman"/>
          <w:sz w:val="24"/>
        </w:rPr>
        <w:t>建议本标准批准发布6个月后实施。</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废止现行相关标准的建议</w:t>
      </w:r>
    </w:p>
    <w:p>
      <w:pPr>
        <w:ind w:firstLine="480" w:firstLineChars="200"/>
        <w:jc w:val="left"/>
        <w:rPr>
          <w:rFonts w:ascii="Times New Roman" w:hAnsi="Times New Roman"/>
          <w:sz w:val="28"/>
          <w:szCs w:val="28"/>
        </w:rPr>
      </w:pPr>
      <w:r>
        <w:rPr>
          <w:rFonts w:ascii="Times New Roman" w:hAnsi="宋体"/>
          <w:sz w:val="24"/>
          <w:szCs w:val="24"/>
        </w:rPr>
        <w:t>本标准</w:t>
      </w:r>
      <w:r>
        <w:rPr>
          <w:rFonts w:hint="eastAsia" w:ascii="Times New Roman" w:hAnsi="宋体"/>
          <w:sz w:val="24"/>
          <w:szCs w:val="24"/>
        </w:rPr>
        <w:t>发布实施之日，</w:t>
      </w:r>
      <w:r>
        <w:rPr>
          <w:rFonts w:ascii="Times New Roman" w:hAnsi="宋体"/>
          <w:sz w:val="24"/>
          <w:szCs w:val="24"/>
        </w:rPr>
        <w:t>代替</w:t>
      </w:r>
      <w:r>
        <w:rPr>
          <w:rFonts w:hint="eastAsia" w:ascii="宋体" w:hAnsi="宋体"/>
          <w:sz w:val="24"/>
        </w:rPr>
        <w:t xml:space="preserve">YS/T </w:t>
      </w:r>
      <w:r>
        <w:rPr>
          <w:rFonts w:ascii="宋体" w:hAnsi="宋体"/>
          <w:sz w:val="24"/>
        </w:rPr>
        <w:t>1070</w:t>
      </w:r>
      <w:r>
        <w:rPr>
          <w:rFonts w:hint="eastAsia" w:ascii="宋体" w:hAnsi="宋体"/>
          <w:sz w:val="24"/>
        </w:rPr>
        <w:t>-20</w:t>
      </w:r>
      <w:r>
        <w:rPr>
          <w:rFonts w:ascii="宋体" w:hAnsi="宋体"/>
          <w:sz w:val="24"/>
        </w:rPr>
        <w:t>15</w:t>
      </w:r>
      <w:r>
        <w:rPr>
          <w:rFonts w:ascii="Times New Roman" w:hAnsi="宋体"/>
          <w:sz w:val="24"/>
          <w:szCs w:val="24"/>
        </w:rPr>
        <w:t>《</w:t>
      </w:r>
      <w:r>
        <w:rPr>
          <w:rFonts w:hint="eastAsia" w:ascii="Times New Roman" w:hAnsi="宋体"/>
          <w:sz w:val="24"/>
          <w:szCs w:val="24"/>
        </w:rPr>
        <w:t>真空断路器用银及其合金</w:t>
      </w:r>
      <w:r>
        <w:rPr>
          <w:rFonts w:ascii="Times New Roman" w:hAnsi="宋体"/>
          <w:sz w:val="24"/>
          <w:szCs w:val="24"/>
        </w:rPr>
        <w:t>》。</w:t>
      </w:r>
    </w:p>
    <w:p>
      <w:pPr>
        <w:pStyle w:val="10"/>
        <w:numPr>
          <w:ilvl w:val="0"/>
          <w:numId w:val="2"/>
        </w:numPr>
        <w:ind w:firstLineChars="0"/>
        <w:rPr>
          <w:rFonts w:ascii="Times New Roman" w:hAnsi="Times New Roman"/>
          <w:sz w:val="28"/>
          <w:szCs w:val="28"/>
        </w:rPr>
      </w:pPr>
      <w:r>
        <w:rPr>
          <w:rFonts w:hint="eastAsia" w:ascii="Times New Roman" w:hAnsi="Times New Roman"/>
          <w:sz w:val="28"/>
          <w:szCs w:val="28"/>
        </w:rPr>
        <w:t>其它应予说明的事项</w:t>
      </w:r>
    </w:p>
    <w:p>
      <w:pPr>
        <w:spacing w:line="380" w:lineRule="exact"/>
        <w:ind w:firstLine="480" w:firstLineChars="200"/>
        <w:rPr>
          <w:rFonts w:ascii="Times New Roman" w:hAnsi="Times New Roman"/>
          <w:kern w:val="0"/>
          <w:sz w:val="24"/>
          <w:szCs w:val="24"/>
        </w:rPr>
      </w:pPr>
      <w:r>
        <w:rPr>
          <w:rFonts w:ascii="Times New Roman"/>
          <w:sz w:val="24"/>
        </w:rPr>
        <w:t>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r>
        <w:rPr>
          <w:rFonts w:ascii="Times New Roman" w:hAnsi="Times New Roman"/>
          <w:kern w:val="0"/>
          <w:sz w:val="24"/>
          <w:szCs w:val="24"/>
        </w:rPr>
        <w:t>。</w:t>
      </w:r>
    </w:p>
    <w:p>
      <w:pPr>
        <w:rPr>
          <w:rFonts w:ascii="Times New Roman" w:hAnsi="Times New Roman"/>
          <w:sz w:val="28"/>
          <w:szCs w:val="28"/>
        </w:rPr>
      </w:pPr>
    </w:p>
    <w:p>
      <w:pPr>
        <w:ind w:firstLine="140" w:firstLineChars="50"/>
        <w:jc w:val="right"/>
        <w:rPr>
          <w:rFonts w:ascii="Times New Roman" w:hAnsi="Times New Roman"/>
          <w:sz w:val="24"/>
          <w:szCs w:val="24"/>
        </w:rPr>
      </w:pPr>
      <w:r>
        <w:rPr>
          <w:rFonts w:ascii="Times New Roman" w:hAnsi="Times New Roman"/>
          <w:sz w:val="28"/>
          <w:szCs w:val="28"/>
        </w:rPr>
        <w:tab/>
      </w:r>
      <w:r>
        <w:rPr>
          <w:rFonts w:ascii="Times New Roman"/>
          <w:sz w:val="24"/>
          <w:szCs w:val="24"/>
        </w:rPr>
        <w:t>贵研铂业股份有限公司</w:t>
      </w:r>
    </w:p>
    <w:p>
      <w:pPr>
        <w:ind w:firstLine="120" w:firstLineChars="50"/>
        <w:jc w:val="right"/>
        <w:rPr>
          <w:rFonts w:ascii="Times New Roman" w:hAnsi="Times New Roman"/>
          <w:sz w:val="28"/>
          <w:szCs w:val="28"/>
        </w:rPr>
      </w:pPr>
      <w:r>
        <w:rPr>
          <w:rFonts w:hint="eastAsia" w:ascii="Times New Roman"/>
          <w:sz w:val="24"/>
          <w:szCs w:val="24"/>
        </w:rPr>
        <w:t xml:space="preserve"> </w:t>
      </w:r>
      <w:r>
        <w:rPr>
          <w:rFonts w:ascii="Times New Roman"/>
          <w:sz w:val="24"/>
          <w:szCs w:val="24"/>
        </w:rPr>
        <w:t xml:space="preserve">          《</w:t>
      </w:r>
      <w:r>
        <w:rPr>
          <w:rFonts w:hint="eastAsia" w:ascii="Times New Roman"/>
          <w:sz w:val="24"/>
          <w:szCs w:val="24"/>
        </w:rPr>
        <w:t>真空断路器用银及其合金</w:t>
      </w:r>
      <w:r>
        <w:rPr>
          <w:rFonts w:ascii="Times New Roman"/>
          <w:sz w:val="24"/>
          <w:szCs w:val="24"/>
        </w:rPr>
        <w:t>》</w:t>
      </w:r>
      <w:r>
        <w:rPr>
          <w:rFonts w:hint="eastAsia" w:ascii="Times New Roman"/>
          <w:sz w:val="24"/>
          <w:szCs w:val="24"/>
        </w:rPr>
        <w:t>行业</w:t>
      </w:r>
      <w:r>
        <w:rPr>
          <w:rFonts w:ascii="Times New Roman"/>
          <w:sz w:val="24"/>
          <w:szCs w:val="24"/>
        </w:rPr>
        <w:t>标准起草小组</w:t>
      </w:r>
      <w:r>
        <w:rPr>
          <w:rFonts w:ascii="Times New Roman" w:hAnsi="Times New Roman"/>
          <w:sz w:val="28"/>
          <w:szCs w:val="28"/>
        </w:rPr>
        <w:tab/>
      </w:r>
    </w:p>
    <w:p>
      <w:pPr>
        <w:pStyle w:val="10"/>
        <w:ind w:left="780" w:firstLine="0" w:firstLineChars="0"/>
        <w:jc w:val="right"/>
        <w:rPr>
          <w:rFonts w:ascii="Times New Roman" w:hAnsi="Times New Roman"/>
          <w:sz w:val="28"/>
          <w:szCs w:val="28"/>
        </w:rPr>
      </w:pPr>
      <w:r>
        <w:rPr>
          <w:rFonts w:hint="eastAsia" w:ascii="Times New Roman" w:hAnsi="Times New Roman"/>
          <w:sz w:val="28"/>
          <w:szCs w:val="28"/>
        </w:rPr>
        <w:t>202</w:t>
      </w:r>
      <w:r>
        <w:rPr>
          <w:rFonts w:ascii="Times New Roman" w:hAnsi="Times New Roman"/>
          <w:sz w:val="28"/>
          <w:szCs w:val="28"/>
        </w:rPr>
        <w:t>2</w:t>
      </w:r>
      <w:r>
        <w:rPr>
          <w:rFonts w:ascii="Times New Roman"/>
          <w:sz w:val="28"/>
          <w:szCs w:val="28"/>
        </w:rPr>
        <w:t>年</w:t>
      </w:r>
      <w:r>
        <w:rPr>
          <w:rFonts w:ascii="Times New Roman" w:hAnsi="Times New Roman"/>
          <w:sz w:val="28"/>
          <w:szCs w:val="28"/>
        </w:rPr>
        <w:t xml:space="preserve">11 </w:t>
      </w:r>
      <w:r>
        <w:rPr>
          <w:rFonts w:ascii="Times New Roman"/>
          <w:sz w:val="28"/>
          <w:szCs w:val="28"/>
        </w:rPr>
        <w:t>月</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61482"/>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256F0"/>
    <w:multiLevelType w:val="multilevel"/>
    <w:tmpl w:val="037256F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D82C8C"/>
    <w:multiLevelType w:val="multilevel"/>
    <w:tmpl w:val="07D82C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B53D6F"/>
    <w:multiLevelType w:val="multilevel"/>
    <w:tmpl w:val="22B53D6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CEA2025"/>
    <w:multiLevelType w:val="multilevel"/>
    <w:tmpl w:val="6CEA2025"/>
    <w:lvl w:ilvl="0" w:tentative="0">
      <w:start w:val="1"/>
      <w:numFmt w:val="none"/>
      <w:pStyle w:val="16"/>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0" w:firstLine="0"/>
      </w:pPr>
      <w:rPr>
        <w:rFonts w:hint="eastAsia" w:ascii="黑体" w:hAnsi="Times New Roman" w:eastAsia="黑体"/>
        <w:b w:val="0"/>
        <w:i w:val="0"/>
        <w:sz w:val="21"/>
      </w:rPr>
    </w:lvl>
    <w:lvl w:ilvl="2" w:tentative="0">
      <w:start w:val="1"/>
      <w:numFmt w:val="decimal"/>
      <w:pStyle w:val="18"/>
      <w:suff w:val="nothing"/>
      <w:lvlText w:val="%1%2.%3　"/>
      <w:lvlJc w:val="left"/>
      <w:pPr>
        <w:ind w:left="210" w:firstLine="0"/>
      </w:pPr>
      <w:rPr>
        <w:rFonts w:hint="default" w:ascii="Times New Roman" w:hAnsi="Times New Roman" w:eastAsia="黑体" w:cs="Times New Roman"/>
        <w:b w:val="0"/>
        <w:i w:val="0"/>
        <w:sz w:val="21"/>
      </w:rPr>
    </w:lvl>
    <w:lvl w:ilvl="3" w:tentative="0">
      <w:start w:val="1"/>
      <w:numFmt w:val="decimal"/>
      <w:pStyle w:val="19"/>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20"/>
      <w:suff w:val="nothing"/>
      <w:lvlText w:val="%1%2.%3.%4.%5　"/>
      <w:lvlJc w:val="left"/>
      <w:pPr>
        <w:ind w:left="0" w:firstLine="0"/>
      </w:pPr>
      <w:rPr>
        <w:rFonts w:hint="eastAsia" w:ascii="黑体" w:hAnsi="Times New Roman" w:eastAsia="黑体"/>
        <w:b w:val="0"/>
        <w:i w:val="0"/>
        <w:sz w:val="21"/>
      </w:rPr>
    </w:lvl>
    <w:lvl w:ilvl="5" w:tentative="0">
      <w:start w:val="1"/>
      <w:numFmt w:val="decimal"/>
      <w:pStyle w:val="21"/>
      <w:suff w:val="nothing"/>
      <w:lvlText w:val="%1%2.%3.%4.%5.%6　"/>
      <w:lvlJc w:val="left"/>
      <w:pPr>
        <w:ind w:left="0" w:firstLine="0"/>
      </w:pPr>
      <w:rPr>
        <w:rFonts w:hint="eastAsia" w:ascii="黑体" w:hAnsi="Times New Roman" w:eastAsia="黑体"/>
        <w:b w:val="0"/>
        <w:i w:val="0"/>
        <w:sz w:val="21"/>
      </w:rPr>
    </w:lvl>
    <w:lvl w:ilvl="6" w:tentative="0">
      <w:start w:val="1"/>
      <w:numFmt w:val="decimal"/>
      <w:pStyle w:val="2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F136D27"/>
    <w:multiLevelType w:val="multilevel"/>
    <w:tmpl w:val="6F136D27"/>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lODMzODgxYzYzYmVlNzZjM2I0ZTcxNGI0MzNlNzIifQ=="/>
  </w:docVars>
  <w:rsids>
    <w:rsidRoot w:val="00D62B07"/>
    <w:rsid w:val="00002D54"/>
    <w:rsid w:val="0000606A"/>
    <w:rsid w:val="00006EC5"/>
    <w:rsid w:val="00007734"/>
    <w:rsid w:val="000103FA"/>
    <w:rsid w:val="000214F2"/>
    <w:rsid w:val="00025D34"/>
    <w:rsid w:val="00044D19"/>
    <w:rsid w:val="00067E34"/>
    <w:rsid w:val="00073AC8"/>
    <w:rsid w:val="00073BB3"/>
    <w:rsid w:val="000741DE"/>
    <w:rsid w:val="00087B8E"/>
    <w:rsid w:val="000C0043"/>
    <w:rsid w:val="000C387B"/>
    <w:rsid w:val="000C69AB"/>
    <w:rsid w:val="000D0926"/>
    <w:rsid w:val="000D7918"/>
    <w:rsid w:val="000E0258"/>
    <w:rsid w:val="00103A4C"/>
    <w:rsid w:val="00111396"/>
    <w:rsid w:val="00114EA5"/>
    <w:rsid w:val="001172D1"/>
    <w:rsid w:val="00125556"/>
    <w:rsid w:val="00127F36"/>
    <w:rsid w:val="00153706"/>
    <w:rsid w:val="0015562C"/>
    <w:rsid w:val="00171313"/>
    <w:rsid w:val="00182A6B"/>
    <w:rsid w:val="00191E9C"/>
    <w:rsid w:val="001926B5"/>
    <w:rsid w:val="001A0104"/>
    <w:rsid w:val="001C1512"/>
    <w:rsid w:val="001D46C0"/>
    <w:rsid w:val="00207BF2"/>
    <w:rsid w:val="0021394E"/>
    <w:rsid w:val="00217950"/>
    <w:rsid w:val="00221755"/>
    <w:rsid w:val="002230BD"/>
    <w:rsid w:val="00240E6B"/>
    <w:rsid w:val="0024625A"/>
    <w:rsid w:val="00247CE2"/>
    <w:rsid w:val="00250440"/>
    <w:rsid w:val="00250628"/>
    <w:rsid w:val="00252736"/>
    <w:rsid w:val="002535DC"/>
    <w:rsid w:val="00255C8E"/>
    <w:rsid w:val="0026046D"/>
    <w:rsid w:val="00262470"/>
    <w:rsid w:val="00263178"/>
    <w:rsid w:val="00267674"/>
    <w:rsid w:val="00276063"/>
    <w:rsid w:val="0028073F"/>
    <w:rsid w:val="00287508"/>
    <w:rsid w:val="00290AE7"/>
    <w:rsid w:val="00296C1A"/>
    <w:rsid w:val="002B2EA9"/>
    <w:rsid w:val="002B36F7"/>
    <w:rsid w:val="002B51F4"/>
    <w:rsid w:val="002B7D03"/>
    <w:rsid w:val="002D1346"/>
    <w:rsid w:val="002D5B0C"/>
    <w:rsid w:val="002D5DEF"/>
    <w:rsid w:val="002E06BE"/>
    <w:rsid w:val="002E38D4"/>
    <w:rsid w:val="002F419C"/>
    <w:rsid w:val="003055B0"/>
    <w:rsid w:val="0031262D"/>
    <w:rsid w:val="00313566"/>
    <w:rsid w:val="00314503"/>
    <w:rsid w:val="00321854"/>
    <w:rsid w:val="00341D4E"/>
    <w:rsid w:val="00351DF0"/>
    <w:rsid w:val="003635B0"/>
    <w:rsid w:val="00380DE8"/>
    <w:rsid w:val="003820B5"/>
    <w:rsid w:val="00383767"/>
    <w:rsid w:val="00384CD8"/>
    <w:rsid w:val="003864FC"/>
    <w:rsid w:val="003959D6"/>
    <w:rsid w:val="003B3F5E"/>
    <w:rsid w:val="003C57A6"/>
    <w:rsid w:val="003D792C"/>
    <w:rsid w:val="003E1F77"/>
    <w:rsid w:val="0041036A"/>
    <w:rsid w:val="00411BF9"/>
    <w:rsid w:val="00423414"/>
    <w:rsid w:val="00423684"/>
    <w:rsid w:val="00424BD7"/>
    <w:rsid w:val="00425177"/>
    <w:rsid w:val="00444207"/>
    <w:rsid w:val="004517D7"/>
    <w:rsid w:val="00475914"/>
    <w:rsid w:val="0049169A"/>
    <w:rsid w:val="004B7478"/>
    <w:rsid w:val="004D652D"/>
    <w:rsid w:val="004F3ED8"/>
    <w:rsid w:val="004F72EB"/>
    <w:rsid w:val="00501188"/>
    <w:rsid w:val="00501E4C"/>
    <w:rsid w:val="00502C3B"/>
    <w:rsid w:val="00512DC7"/>
    <w:rsid w:val="0052440F"/>
    <w:rsid w:val="00525E8C"/>
    <w:rsid w:val="00542CDE"/>
    <w:rsid w:val="0054654F"/>
    <w:rsid w:val="00552A2D"/>
    <w:rsid w:val="00557D86"/>
    <w:rsid w:val="005653A1"/>
    <w:rsid w:val="00567C61"/>
    <w:rsid w:val="0057330E"/>
    <w:rsid w:val="00573415"/>
    <w:rsid w:val="00577B2C"/>
    <w:rsid w:val="005822C1"/>
    <w:rsid w:val="00593ECC"/>
    <w:rsid w:val="005B63D9"/>
    <w:rsid w:val="005C03FF"/>
    <w:rsid w:val="005C1FB3"/>
    <w:rsid w:val="005C2A50"/>
    <w:rsid w:val="005C6796"/>
    <w:rsid w:val="005D0833"/>
    <w:rsid w:val="005D1C52"/>
    <w:rsid w:val="005E489D"/>
    <w:rsid w:val="005E7C2D"/>
    <w:rsid w:val="00602A54"/>
    <w:rsid w:val="00605147"/>
    <w:rsid w:val="006325FA"/>
    <w:rsid w:val="006402A5"/>
    <w:rsid w:val="00642642"/>
    <w:rsid w:val="00651F84"/>
    <w:rsid w:val="00667E04"/>
    <w:rsid w:val="0067722D"/>
    <w:rsid w:val="00687F7A"/>
    <w:rsid w:val="006959FC"/>
    <w:rsid w:val="006A1DC9"/>
    <w:rsid w:val="006B23F9"/>
    <w:rsid w:val="006B3390"/>
    <w:rsid w:val="006C3D43"/>
    <w:rsid w:val="006D1A5B"/>
    <w:rsid w:val="006E29A3"/>
    <w:rsid w:val="006E47CC"/>
    <w:rsid w:val="006F02C8"/>
    <w:rsid w:val="006F1BE0"/>
    <w:rsid w:val="006F1EA6"/>
    <w:rsid w:val="007152E2"/>
    <w:rsid w:val="0072512A"/>
    <w:rsid w:val="00725D30"/>
    <w:rsid w:val="00741BA7"/>
    <w:rsid w:val="00741D67"/>
    <w:rsid w:val="0074536F"/>
    <w:rsid w:val="0075594C"/>
    <w:rsid w:val="00764F47"/>
    <w:rsid w:val="00767A0E"/>
    <w:rsid w:val="00791F11"/>
    <w:rsid w:val="007A12B6"/>
    <w:rsid w:val="007B002D"/>
    <w:rsid w:val="007B1A1B"/>
    <w:rsid w:val="007D052C"/>
    <w:rsid w:val="007D55DB"/>
    <w:rsid w:val="007D73EA"/>
    <w:rsid w:val="007E072B"/>
    <w:rsid w:val="007E2243"/>
    <w:rsid w:val="007E5F7D"/>
    <w:rsid w:val="007E69B9"/>
    <w:rsid w:val="007F3087"/>
    <w:rsid w:val="007F5471"/>
    <w:rsid w:val="007F67D1"/>
    <w:rsid w:val="007F6A21"/>
    <w:rsid w:val="00800892"/>
    <w:rsid w:val="00806227"/>
    <w:rsid w:val="008108F8"/>
    <w:rsid w:val="00821290"/>
    <w:rsid w:val="00822D51"/>
    <w:rsid w:val="008231DA"/>
    <w:rsid w:val="00827A2F"/>
    <w:rsid w:val="00835BBE"/>
    <w:rsid w:val="00843540"/>
    <w:rsid w:val="00846B9B"/>
    <w:rsid w:val="00852DCF"/>
    <w:rsid w:val="00860B94"/>
    <w:rsid w:val="008649D1"/>
    <w:rsid w:val="00865BB4"/>
    <w:rsid w:val="00870F43"/>
    <w:rsid w:val="00872DC1"/>
    <w:rsid w:val="00880D58"/>
    <w:rsid w:val="0089633D"/>
    <w:rsid w:val="008A2355"/>
    <w:rsid w:val="008A47D4"/>
    <w:rsid w:val="008B04A3"/>
    <w:rsid w:val="008C445D"/>
    <w:rsid w:val="008C46F8"/>
    <w:rsid w:val="008C7520"/>
    <w:rsid w:val="008D09E4"/>
    <w:rsid w:val="008D267E"/>
    <w:rsid w:val="008D2DAA"/>
    <w:rsid w:val="008E5E66"/>
    <w:rsid w:val="008E7490"/>
    <w:rsid w:val="008F6756"/>
    <w:rsid w:val="00900F12"/>
    <w:rsid w:val="009352C4"/>
    <w:rsid w:val="009415BB"/>
    <w:rsid w:val="00950D29"/>
    <w:rsid w:val="00955C05"/>
    <w:rsid w:val="00961DC9"/>
    <w:rsid w:val="00972D6B"/>
    <w:rsid w:val="00995048"/>
    <w:rsid w:val="009A4A2B"/>
    <w:rsid w:val="009A59ED"/>
    <w:rsid w:val="009D31AD"/>
    <w:rsid w:val="009D68D9"/>
    <w:rsid w:val="00A00193"/>
    <w:rsid w:val="00A07880"/>
    <w:rsid w:val="00A15E6D"/>
    <w:rsid w:val="00A278B2"/>
    <w:rsid w:val="00A31A04"/>
    <w:rsid w:val="00A4073D"/>
    <w:rsid w:val="00A4461A"/>
    <w:rsid w:val="00A45559"/>
    <w:rsid w:val="00A57A0B"/>
    <w:rsid w:val="00A60065"/>
    <w:rsid w:val="00A61895"/>
    <w:rsid w:val="00A62FFA"/>
    <w:rsid w:val="00A72804"/>
    <w:rsid w:val="00A811D7"/>
    <w:rsid w:val="00A91A10"/>
    <w:rsid w:val="00A94497"/>
    <w:rsid w:val="00A94859"/>
    <w:rsid w:val="00A963F2"/>
    <w:rsid w:val="00A97B34"/>
    <w:rsid w:val="00AA0FBE"/>
    <w:rsid w:val="00AB461C"/>
    <w:rsid w:val="00AD1975"/>
    <w:rsid w:val="00AF29D4"/>
    <w:rsid w:val="00B02F59"/>
    <w:rsid w:val="00B05E39"/>
    <w:rsid w:val="00B06B88"/>
    <w:rsid w:val="00B11182"/>
    <w:rsid w:val="00B1539A"/>
    <w:rsid w:val="00B16278"/>
    <w:rsid w:val="00B235B5"/>
    <w:rsid w:val="00B32A9E"/>
    <w:rsid w:val="00B45358"/>
    <w:rsid w:val="00B45EFC"/>
    <w:rsid w:val="00B51C8A"/>
    <w:rsid w:val="00B54D03"/>
    <w:rsid w:val="00B7070B"/>
    <w:rsid w:val="00B71298"/>
    <w:rsid w:val="00B82568"/>
    <w:rsid w:val="00BB4986"/>
    <w:rsid w:val="00BC5B71"/>
    <w:rsid w:val="00BC6875"/>
    <w:rsid w:val="00BC7072"/>
    <w:rsid w:val="00BE1236"/>
    <w:rsid w:val="00BF0DFB"/>
    <w:rsid w:val="00C064C1"/>
    <w:rsid w:val="00C172CE"/>
    <w:rsid w:val="00C2294E"/>
    <w:rsid w:val="00C244A9"/>
    <w:rsid w:val="00C27714"/>
    <w:rsid w:val="00C34ED2"/>
    <w:rsid w:val="00C40AFC"/>
    <w:rsid w:val="00C60C19"/>
    <w:rsid w:val="00C61A41"/>
    <w:rsid w:val="00C64D13"/>
    <w:rsid w:val="00C82C13"/>
    <w:rsid w:val="00C870A8"/>
    <w:rsid w:val="00C91636"/>
    <w:rsid w:val="00CA1801"/>
    <w:rsid w:val="00CA5F21"/>
    <w:rsid w:val="00CB188B"/>
    <w:rsid w:val="00CC6AC4"/>
    <w:rsid w:val="00CD2434"/>
    <w:rsid w:val="00CF2A91"/>
    <w:rsid w:val="00CF2F04"/>
    <w:rsid w:val="00D04BF6"/>
    <w:rsid w:val="00D21BAE"/>
    <w:rsid w:val="00D27AA5"/>
    <w:rsid w:val="00D305D7"/>
    <w:rsid w:val="00D448D1"/>
    <w:rsid w:val="00D55EE0"/>
    <w:rsid w:val="00D570C5"/>
    <w:rsid w:val="00D62B07"/>
    <w:rsid w:val="00D6449B"/>
    <w:rsid w:val="00D66286"/>
    <w:rsid w:val="00D84E21"/>
    <w:rsid w:val="00D97F30"/>
    <w:rsid w:val="00DA109E"/>
    <w:rsid w:val="00DB09CD"/>
    <w:rsid w:val="00DB2E6A"/>
    <w:rsid w:val="00DC46A9"/>
    <w:rsid w:val="00DD4AE1"/>
    <w:rsid w:val="00DD525E"/>
    <w:rsid w:val="00DF3A5B"/>
    <w:rsid w:val="00E07ECA"/>
    <w:rsid w:val="00E149AB"/>
    <w:rsid w:val="00E328B4"/>
    <w:rsid w:val="00E37A30"/>
    <w:rsid w:val="00E433BF"/>
    <w:rsid w:val="00E447CD"/>
    <w:rsid w:val="00E46D4C"/>
    <w:rsid w:val="00E61062"/>
    <w:rsid w:val="00E620DA"/>
    <w:rsid w:val="00E62693"/>
    <w:rsid w:val="00E67EC4"/>
    <w:rsid w:val="00E74E82"/>
    <w:rsid w:val="00E7507B"/>
    <w:rsid w:val="00E77158"/>
    <w:rsid w:val="00E8588C"/>
    <w:rsid w:val="00E92B55"/>
    <w:rsid w:val="00EC70C7"/>
    <w:rsid w:val="00EC788D"/>
    <w:rsid w:val="00ED4002"/>
    <w:rsid w:val="00EE273B"/>
    <w:rsid w:val="00EE3B6E"/>
    <w:rsid w:val="00EE655D"/>
    <w:rsid w:val="00EF6501"/>
    <w:rsid w:val="00F05F8F"/>
    <w:rsid w:val="00F14114"/>
    <w:rsid w:val="00F1697D"/>
    <w:rsid w:val="00F17AED"/>
    <w:rsid w:val="00F33872"/>
    <w:rsid w:val="00F45574"/>
    <w:rsid w:val="00F50F49"/>
    <w:rsid w:val="00F5309E"/>
    <w:rsid w:val="00F6383F"/>
    <w:rsid w:val="00F64D6B"/>
    <w:rsid w:val="00F74E59"/>
    <w:rsid w:val="00F92D09"/>
    <w:rsid w:val="00F93A52"/>
    <w:rsid w:val="00FB1695"/>
    <w:rsid w:val="00FB6E30"/>
    <w:rsid w:val="00FB7730"/>
    <w:rsid w:val="00FC64BD"/>
    <w:rsid w:val="00FD07EC"/>
    <w:rsid w:val="00FE0573"/>
    <w:rsid w:val="00FE7BAD"/>
    <w:rsid w:val="00FF08D3"/>
    <w:rsid w:val="00FF6C26"/>
    <w:rsid w:val="00FF7B99"/>
    <w:rsid w:val="08BA60DD"/>
    <w:rsid w:val="0C0D1AA4"/>
    <w:rsid w:val="0E322EAB"/>
    <w:rsid w:val="257458CE"/>
    <w:rsid w:val="3032290D"/>
    <w:rsid w:val="34BB3BAA"/>
    <w:rsid w:val="3D27441B"/>
    <w:rsid w:val="53955177"/>
    <w:rsid w:val="5B803D2F"/>
    <w:rsid w:val="5D3410FD"/>
    <w:rsid w:val="62064552"/>
    <w:rsid w:val="6B5C3A3B"/>
    <w:rsid w:val="6DDE4BD0"/>
    <w:rsid w:val="72D95A4C"/>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adjustRightInd w:val="0"/>
      <w:spacing w:line="312" w:lineRule="atLeast"/>
      <w:ind w:right="29"/>
      <w:jc w:val="center"/>
      <w:textAlignment w:val="baseline"/>
      <w:outlineLvl w:val="0"/>
    </w:pPr>
    <w:rPr>
      <w:rFonts w:ascii="Times New Roman" w:hAnsi="Times New Roman"/>
      <w:sz w:val="28"/>
      <w:szCs w:val="20"/>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pPr>
      <w:spacing w:line="240" w:lineRule="auto"/>
    </w:pPr>
    <w:rPr>
      <w:sz w:val="18"/>
      <w:szCs w:val="18"/>
    </w:rPr>
  </w:style>
  <w:style w:type="paragraph" w:styleId="4">
    <w:name w:val="footer"/>
    <w:basedOn w:val="1"/>
    <w:link w:val="15"/>
    <w:unhideWhenUsed/>
    <w:uiPriority w:val="99"/>
    <w:pPr>
      <w:tabs>
        <w:tab w:val="center" w:pos="4153"/>
        <w:tab w:val="right" w:pos="8306"/>
      </w:tabs>
      <w:snapToGrid w:val="0"/>
      <w:spacing w:line="240" w:lineRule="auto"/>
      <w:jc w:val="left"/>
    </w:pPr>
    <w:rPr>
      <w:sz w:val="18"/>
      <w:szCs w:val="18"/>
    </w:rPr>
  </w:style>
  <w:style w:type="paragraph" w:styleId="5">
    <w:name w:val="header"/>
    <w:basedOn w:val="1"/>
    <w:link w:val="14"/>
    <w:unhideWhenUsed/>
    <w:uiPriority w:val="0"/>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ascii="Times New Roman" w:hAnsi="Times New Roman" w:eastAsia="宋体"/>
      <w:sz w:val="18"/>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4">
    <w:name w:val="页眉 字符"/>
    <w:basedOn w:val="8"/>
    <w:link w:val="5"/>
    <w:qFormat/>
    <w:uiPriority w:val="0"/>
    <w:rPr>
      <w:kern w:val="2"/>
      <w:sz w:val="18"/>
      <w:szCs w:val="18"/>
    </w:rPr>
  </w:style>
  <w:style w:type="character" w:customStyle="1" w:styleId="15">
    <w:name w:val="页脚 字符"/>
    <w:basedOn w:val="8"/>
    <w:link w:val="4"/>
    <w:qFormat/>
    <w:uiPriority w:val="99"/>
    <w:rPr>
      <w:kern w:val="2"/>
      <w:sz w:val="18"/>
      <w:szCs w:val="18"/>
    </w:rPr>
  </w:style>
  <w:style w:type="paragraph" w:customStyle="1" w:styleId="16">
    <w:name w:val="前言、引言标题"/>
    <w:next w:val="1"/>
    <w:qFormat/>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7">
    <w:name w:val="章标题"/>
    <w:next w:val="13"/>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8">
    <w:name w:val="一级条标题"/>
    <w:basedOn w:val="17"/>
    <w:next w:val="13"/>
    <w:uiPriority w:val="0"/>
    <w:pPr>
      <w:numPr>
        <w:ilvl w:val="2"/>
      </w:numPr>
      <w:spacing w:beforeLines="0" w:afterLines="0"/>
      <w:outlineLvl w:val="2"/>
    </w:pPr>
  </w:style>
  <w:style w:type="paragraph" w:customStyle="1" w:styleId="19">
    <w:name w:val="二级条标题"/>
    <w:basedOn w:val="18"/>
    <w:next w:val="13"/>
    <w:qFormat/>
    <w:uiPriority w:val="0"/>
    <w:pPr>
      <w:numPr>
        <w:ilvl w:val="3"/>
      </w:numPr>
      <w:outlineLvl w:val="3"/>
    </w:pPr>
  </w:style>
  <w:style w:type="paragraph" w:customStyle="1" w:styleId="20">
    <w:name w:val="三级条标题"/>
    <w:basedOn w:val="19"/>
    <w:next w:val="13"/>
    <w:uiPriority w:val="0"/>
    <w:pPr>
      <w:numPr>
        <w:ilvl w:val="4"/>
      </w:numPr>
      <w:tabs>
        <w:tab w:val="left" w:pos="360"/>
      </w:tabs>
      <w:outlineLvl w:val="4"/>
    </w:pPr>
  </w:style>
  <w:style w:type="paragraph" w:customStyle="1" w:styleId="21">
    <w:name w:val="四级条标题"/>
    <w:basedOn w:val="20"/>
    <w:next w:val="13"/>
    <w:qFormat/>
    <w:uiPriority w:val="0"/>
    <w:pPr>
      <w:numPr>
        <w:ilvl w:val="5"/>
      </w:numPr>
      <w:outlineLvl w:val="5"/>
    </w:pPr>
  </w:style>
  <w:style w:type="paragraph" w:customStyle="1" w:styleId="22">
    <w:name w:val="五级条标题"/>
    <w:basedOn w:val="21"/>
    <w:next w:val="13"/>
    <w:qFormat/>
    <w:uiPriority w:val="0"/>
    <w:pPr>
      <w:numPr>
        <w:ilvl w:val="6"/>
      </w:numPr>
      <w:outlineLvl w:val="6"/>
    </w:pPr>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4">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25">
    <w:name w:val="标题 1 字符"/>
    <w:basedOn w:val="8"/>
    <w:link w:val="2"/>
    <w:qFormat/>
    <w:uiPriority w:val="0"/>
    <w:rPr>
      <w:kern w:val="2"/>
      <w:sz w:val="28"/>
    </w:rPr>
  </w:style>
  <w:style w:type="character" w:customStyle="1" w:styleId="26">
    <w:name w:val="def"/>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D9B1-5280-4933-B6C1-B0B7C09CF23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6754</Words>
  <Characters>7769</Characters>
  <Lines>59</Lines>
  <Paragraphs>16</Paragraphs>
  <TotalTime>1233</TotalTime>
  <ScaleCrop>false</ScaleCrop>
  <LinksUpToDate>false</LinksUpToDate>
  <CharactersWithSpaces>7912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2020-09-14T14:43:00Z</dcterms:created>
  <dc:creator>Administrator</dc:creator>
  <cp:lastModifiedBy>Admin-new</cp:lastModifiedBy>
  <cp:lastPrinted>2020-12-29T03:17:00Z</cp:lastPrinted>
  <dcterms:modified xsi:type="dcterms:W3CDTF">2023-06-05T06:19:17Z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7150F122D2D344E78818D518D1EC8618_12</vt:lpwstr>
  </property>
</Properties>
</file>