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rPr>
          <w:sz w:val="28"/>
        </w:rPr>
        <w:sectPr>
          <w:headerReference r:id="rId5" w:type="first"/>
          <w:headerReference r:id="rId3" w:type="default"/>
          <w:footerReference r:id="rId6" w:type="default"/>
          <w:headerReference r:id="rId4" w:type="even"/>
          <w:footerReference r:id="rId7" w:type="even"/>
          <w:pgSz w:w="11907" w:h="16839"/>
          <w:pgMar w:top="567" w:right="851" w:bottom="1361" w:left="1418" w:header="0" w:footer="0" w:gutter="0"/>
          <w:pgNumType w:fmt="upperRoman" w:start="1"/>
          <w:cols w:space="720" w:num="1"/>
          <w:titlePg/>
          <w:docGrid w:type="lines" w:linePitch="312" w:charSpace="0"/>
        </w:sectPr>
      </w:pPr>
      <w:bookmarkStart w:id="0" w:name="SectionMark0"/>
      <w: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8792845</wp:posOffset>
                </wp:positionV>
                <wp:extent cx="6121400" cy="0"/>
                <wp:effectExtent l="0" t="6350" r="0" b="6350"/>
                <wp:wrapNone/>
                <wp:docPr id="6" name="直线 12"/>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800008"/>
                          </a:solidFill>
                          <a:prstDash val="solid"/>
                          <a:headEnd type="none" w="med" len="med"/>
                          <a:tailEnd type="none" w="med" len="med"/>
                        </a:ln>
                      </wps:spPr>
                      <wps:bodyPr upright="1"/>
                    </wps:wsp>
                  </a:graphicData>
                </a:graphic>
              </wp:anchor>
            </w:drawing>
          </mc:Choice>
          <mc:Fallback>
            <w:pict>
              <v:line id="直线 12" o:spid="_x0000_s1026" o:spt="20" style="position:absolute;left:0pt;margin-left:-2.4pt;margin-top:692.35pt;height:0pt;width:482pt;z-index:251659264;mso-width-relative:page;mso-height-relative:page;" filled="f" stroked="t" coordsize="21600,21600" o:gfxdata="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ISvcJ&#10;1wAAAAwBAAAPAAAAAAAAAAEAIAAAACIAAABkcnMvZG93bnJldi54bWxQSwECFAAUAAAACACHTuJA&#10;0fwUmekBAADdAwAADgAAAAAAAAABACAAAAAmAQAAZHJzL2Uyb0RvYy54bWxQSwUGAAAAAAYABgBZ&#10;AQAAgQUAAAAA&#10;">
                <v:fill on="f" focussize="0,0"/>
                <v:stroke weight="1pt" color="#800008" joinstyle="round"/>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2322830</wp:posOffset>
                </wp:positionV>
                <wp:extent cx="6121400" cy="0"/>
                <wp:effectExtent l="0" t="6350" r="0" b="6350"/>
                <wp:wrapNone/>
                <wp:docPr id="7" name="直线 13"/>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pt;margin-top:182.9pt;height:0pt;width:482pt;z-index:251660288;mso-width-relative:page;mso-height-relative:page;" filled="f" stroked="t" coordsize="21600,21600" o:gfxdata="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bH&#10;89kAAAALAQAADwAAAAAAAAABACAAAAAiAAAAZHJzL2Rvd25yZXYueG1sUEsBAhQAFAAAAAgAh07i&#10;QKHtoMXoAQAA3QMAAA4AAAAAAAAAAQAgAAAAKAEAAGRycy9lMm9Eb2MueG1sUEsFBgAAAAAGAAYA&#10;WQEAAIIFA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1312" behindDoc="0" locked="1" layoutInCell="1" allowOverlap="1">
                <wp:simplePos x="0" y="0"/>
                <wp:positionH relativeFrom="margin">
                  <wp:posOffset>2549525</wp:posOffset>
                </wp:positionH>
                <wp:positionV relativeFrom="margin">
                  <wp:posOffset>107315</wp:posOffset>
                </wp:positionV>
                <wp:extent cx="3175000" cy="720090"/>
                <wp:effectExtent l="0" t="0" r="0" b="3810"/>
                <wp:wrapNone/>
                <wp:docPr id="8" name="fmFrame8"/>
                <wp:cNvGraphicFramePr/>
                <a:graphic xmlns:a="http://schemas.openxmlformats.org/drawingml/2006/main">
                  <a:graphicData uri="http://schemas.microsoft.com/office/word/2010/wordprocessingShape">
                    <wps:wsp>
                      <wps:cNvSpPr txBox="1"/>
                      <wps:spPr>
                        <a:xfrm>
                          <a:off x="0" y="0"/>
                          <a:ext cx="3175000" cy="720090"/>
                        </a:xfrm>
                        <a:prstGeom prst="rect">
                          <a:avLst/>
                        </a:prstGeom>
                        <a:solidFill>
                          <a:srgbClr val="FFFFFF"/>
                        </a:solidFill>
                        <a:ln>
                          <a:noFill/>
                        </a:ln>
                      </wps:spPr>
                      <wps:txbx>
                        <w:txbxContent>
                          <w:p>
                            <w:pPr>
                              <w:pStyle w:val="26"/>
                            </w:pPr>
                            <w:r>
                              <w:t>YS</w:t>
                            </w:r>
                          </w:p>
                        </w:txbxContent>
                      </wps:txbx>
                      <wps:bodyPr lIns="0" tIns="0" rIns="0" bIns="0" upright="1"/>
                    </wps:wsp>
                  </a:graphicData>
                </a:graphic>
              </wp:anchor>
            </w:drawing>
          </mc:Choice>
          <mc:Fallback>
            <w:pict>
              <v:shape id="fmFrame8" o:spid="_x0000_s1026" o:spt="202" type="#_x0000_t202" style="position:absolute;left:0pt;margin-left:200.75pt;margin-top:8.45pt;height:56.7pt;width:250pt;mso-position-horizontal-relative:margin;mso-position-vertical-relative:margin;z-index:251661312;mso-width-relative:page;mso-height-relative:page;" fillcolor="#FFFFFF" filled="t" stroked="f" coordsize="21600,21600" o:gfxdata="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SVk7PNgAAAAKAQAADwAAAAAAAAABACAAAAAiAAAAZHJzL2Rvd25yZXYueG1s&#10;UEsBAhQAFAAAAAgAh07iQMXQ8sm/AQAAmAMAAA4AAAAAAAAAAQAgAAAAJwEAAGRycy9lMm9Eb2Mu&#10;eG1sUEsFBgAAAAAGAAYAWQEAAFgFAAAAAA==&#10;">
                <v:fill on="t" focussize="0,0"/>
                <v:stroke on="f"/>
                <v:imagedata o:title=""/>
                <o:lock v:ext="edit" aspectratio="f"/>
                <v:textbox inset="0mm,0mm,0mm,0mm">
                  <w:txbxContent>
                    <w:p>
                      <w:pPr>
                        <w:pStyle w:val="26"/>
                      </w:pPr>
                      <w:r>
                        <w:t>YS</w:t>
                      </w:r>
                    </w:p>
                  </w:txbxContent>
                </v:textbox>
                <w10:anchorlock/>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8890000</wp:posOffset>
                </wp:positionV>
                <wp:extent cx="6121400" cy="0"/>
                <wp:effectExtent l="0" t="6350" r="0" b="6350"/>
                <wp:wrapNone/>
                <wp:docPr id="9" name="直线 10"/>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700pt;height:0pt;width:482pt;z-index:251662336;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2GrA71AAAAAoB&#10;AAAPAAAAAAAAAAEAIAAAACIAAABkcnMvZG93bnJldi54bWxQSwECFAAUAAAACACHTuJAMbIeAOYB&#10;AADdAwAADgAAAAAAAAABACAAAAAjAQAAZHJzL2Uyb0RvYy54bWxQSwUGAAAAAAYABgBZAQAAewUA&#10;AAAA&#10;">
                <v:fill on="f" focussize="0,0"/>
                <v:stroke weight="1pt" color="#FFFFFF" joinstyle="round"/>
                <v:imagedata o:title=""/>
                <o:lock v:ext="edit" aspectratio="f"/>
              </v:line>
            </w:pict>
          </mc:Fallback>
        </mc:AlternateContent>
      </w:r>
      <w:r>
        <w:rPr>
          <w:sz w:val="2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2273300</wp:posOffset>
                </wp:positionV>
                <wp:extent cx="6121400" cy="0"/>
                <wp:effectExtent l="0" t="6350" r="0" b="6350"/>
                <wp:wrapNone/>
                <wp:docPr id="10" name="直线 9"/>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179pt;height:0pt;width:482pt;z-index:251663360;mso-width-relative:page;mso-height-relative:page;" filled="f" stroked="t" coordsize="21600,21600" o:gfxdata="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i7QF1gAA&#10;AAgBAAAPAAAAAAAAAAEAIAAAACIAAABkcnMvZG93bnJldi54bWxQSwECFAAUAAAACACHTuJASNd8&#10;9ucBAADdAwAADgAAAAAAAAABACAAAAAlAQAAZHJzL2Uyb0RvYy54bWxQSwUGAAAAAAYABgBZAQAA&#10;fgUAAAAA&#10;">
                <v:fill on="f" focussize="0,0"/>
                <v:stroke weight="1pt" color="#FFFFFF" joinstyle="round"/>
                <v:imagedata o:title=""/>
                <o:lock v:ext="edit" aspectratio="f"/>
              </v:line>
            </w:pict>
          </mc:Fallback>
        </mc:AlternateContent>
      </w:r>
      <w:r>
        <w:rPr>
          <w:sz w:val="28"/>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8939530</wp:posOffset>
                </wp:positionV>
                <wp:extent cx="6120130" cy="363220"/>
                <wp:effectExtent l="0" t="0" r="1270" b="5080"/>
                <wp:wrapNone/>
                <wp:docPr id="11" name="fmFrame7"/>
                <wp:cNvGraphicFramePr/>
                <a:graphic xmlns:a="http://schemas.openxmlformats.org/drawingml/2006/main">
                  <a:graphicData uri="http://schemas.microsoft.com/office/word/2010/wordprocessingShape">
                    <wps:wsp>
                      <wps:cNvSpPr txBox="1"/>
                      <wps:spPr>
                        <a:xfrm>
                          <a:off x="0" y="0"/>
                          <a:ext cx="6120130" cy="363220"/>
                        </a:xfrm>
                        <a:prstGeom prst="rect">
                          <a:avLst/>
                        </a:prstGeom>
                        <a:solidFill>
                          <a:srgbClr val="FFFFFF"/>
                        </a:solidFill>
                        <a:ln>
                          <a:noFill/>
                        </a:ln>
                      </wps:spPr>
                      <wps:txbx>
                        <w:txbxContent>
                          <w:p>
                            <w:pPr>
                              <w:pStyle w:val="20"/>
                            </w:pPr>
                            <w:r>
                              <w:rPr>
                                <w:rFonts w:hint="eastAsia"/>
                              </w:rPr>
                              <w:t>中华人民共和国工业和信息化部</w:t>
                            </w:r>
                            <w:r>
                              <w:rPr>
                                <w:rStyle w:val="14"/>
                                <w:rFonts w:hint="eastAsia"/>
                              </w:rPr>
                              <w:t xml:space="preserve"> 发布</w:t>
                            </w:r>
                          </w:p>
                        </w:txbxContent>
                      </wps:txbx>
                      <wps:bodyPr lIns="0" tIns="0" rIns="0" bIns="0" upright="1"/>
                    </wps:wsp>
                  </a:graphicData>
                </a:graphic>
              </wp:anchor>
            </w:drawing>
          </mc:Choice>
          <mc:Fallback>
            <w:pict>
              <v:shape id="fmFrame7" o:spid="_x0000_s1026" o:spt="202" type="#_x0000_t202" style="position:absolute;left:0pt;margin-left:0pt;margin-top:703.9pt;height:28.6pt;width:481.9pt;mso-position-horizontal-relative:margin;mso-position-vertical-relative:margin;z-index:251664384;mso-width-relative:page;mso-height-relative:page;" fillcolor="#FFFFFF" filled="t" stroked="f" coordsize="21600,21600" o:gfxdata="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DktRh2AAAAAoBAAAPAAAAAAAAAAEAIAAAACIAAABkcnMvZG93bnJldi54bWxQ&#10;SwECFAAUAAAACACHTuJAby/IT74BAACZAwAADgAAAAAAAAABACAAAAAnAQAAZHJzL2Uyb0RvYy54&#10;bWxQSwUGAAAAAAYABgBZAQAAVwUAAAAA&#10;">
                <v:fill on="t" focussize="0,0"/>
                <v:stroke on="f"/>
                <v:imagedata o:title=""/>
                <o:lock v:ext="edit" aspectratio="f"/>
                <v:textbox inset="0mm,0mm,0mm,0mm">
                  <w:txbxContent>
                    <w:p>
                      <w:pPr>
                        <w:pStyle w:val="20"/>
                      </w:pPr>
                      <w:r>
                        <w:rPr>
                          <w:rFonts w:hint="eastAsia"/>
                        </w:rPr>
                        <w:t>中华人民共和国工业和信息化部</w:t>
                      </w:r>
                      <w:r>
                        <w:rPr>
                          <w:rStyle w:val="14"/>
                          <w:rFonts w:hint="eastAsia"/>
                        </w:rPr>
                        <w:t xml:space="preserve"> 发布</w:t>
                      </w:r>
                    </w:p>
                  </w:txbxContent>
                </v:textbox>
                <w10:anchorlock/>
              </v:shape>
            </w:pict>
          </mc:Fallback>
        </mc:AlternateContent>
      </w:r>
      <w:r>
        <w:rPr>
          <w:sz w:val="28"/>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8468360</wp:posOffset>
                </wp:positionV>
                <wp:extent cx="2019300" cy="312420"/>
                <wp:effectExtent l="0" t="0" r="0" b="5080"/>
                <wp:wrapNone/>
                <wp:docPr id="12"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rPr>
                                <w:rFonts w:ascii="黑体" w:hAnsi="黑体" w:eastAsia="黑体"/>
                                <w:b/>
                                <w:sz w:val="28"/>
                                <w:szCs w:val="28"/>
                              </w:rPr>
                            </w:pPr>
                            <w:r>
                              <w:rPr>
                                <w:rFonts w:hint="eastAsia" w:ascii="黑体" w:hAnsi="黑体" w:eastAsia="黑体"/>
                                <w:b/>
                                <w:sz w:val="28"/>
                                <w:szCs w:val="28"/>
                              </w:rPr>
                              <w:t>××××-××-××实施</w:t>
                            </w:r>
                          </w:p>
                        </w:txbxContent>
                      </wps:txbx>
                      <wps:bodyPr lIns="0" tIns="0" rIns="0" bIns="0" upright="1"/>
                    </wps:wsp>
                  </a:graphicData>
                </a:graphic>
              </wp:anchor>
            </w:drawing>
          </mc:Choice>
          <mc:Fallback>
            <w:pict>
              <v:shape id="fmFrame6" o:spid="_x0000_s1026" o:spt="202" type="#_x0000_t202" style="position:absolute;left:0pt;margin-left:322.9pt;margin-top:666.8pt;height:24.6pt;width:159pt;mso-position-horizontal-relative:margin;mso-position-vertical-relative:margin;z-index:251665408;mso-width-relative:page;mso-height-relative:page;" fillcolor="#FFFFFF" filled="t" stroked="f" coordsize="21600,21600" o:gfxdata="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QWh1PaAAAADQEAAA8AAAAAAAAAAQAgAAAAIgAAAGRycy9kb3ducmV2Lnht&#10;bFBLAQIUABQAAAAIAIdO4kAqC5i8vgEAAJkDAAAOAAAAAAAAAAEAIAAAACkBAABkcnMvZTJvRG9j&#10;LnhtbFBLBQYAAAAABgAGAFkBAABZBQAAAAA=&#10;">
                <v:fill on="t" focussize="0,0"/>
                <v:stroke on="f"/>
                <v:imagedata o:title=""/>
                <o:lock v:ext="edit" aspectratio="f"/>
                <v:textbox inset="0mm,0mm,0mm,0mm">
                  <w:txbxContent>
                    <w:p>
                      <w:pPr>
                        <w:rPr>
                          <w:rFonts w:ascii="黑体" w:hAnsi="黑体" w:eastAsia="黑体"/>
                          <w:b/>
                          <w:sz w:val="28"/>
                          <w:szCs w:val="28"/>
                        </w:rPr>
                      </w:pPr>
                      <w:r>
                        <w:rPr>
                          <w:rFonts w:hint="eastAsia" w:ascii="黑体" w:hAnsi="黑体" w:eastAsia="黑体"/>
                          <w:b/>
                          <w:sz w:val="28"/>
                          <w:szCs w:val="28"/>
                        </w:rPr>
                        <w:t>××××-××-××实施</w:t>
                      </w:r>
                    </w:p>
                  </w:txbxContent>
                </v:textbox>
                <w10:anchorlock/>
              </v:shape>
            </w:pict>
          </mc:Fallback>
        </mc:AlternateContent>
      </w:r>
      <w:r>
        <w:rPr>
          <w:sz w:val="28"/>
        </w:rPr>
        <mc:AlternateContent>
          <mc:Choice Requires="wps">
            <w:drawing>
              <wp:anchor distT="0" distB="0" distL="114300" distR="114300" simplePos="0" relativeHeight="251666432" behindDoc="0" locked="1" layoutInCell="1" allowOverlap="1">
                <wp:simplePos x="0" y="0"/>
                <wp:positionH relativeFrom="margin">
                  <wp:posOffset>0</wp:posOffset>
                </wp:positionH>
                <wp:positionV relativeFrom="margin">
                  <wp:posOffset>8468360</wp:posOffset>
                </wp:positionV>
                <wp:extent cx="2019300" cy="312420"/>
                <wp:effectExtent l="0" t="0" r="0" b="5080"/>
                <wp:wrapNone/>
                <wp:docPr id="13"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rPr>
                                <w:rFonts w:ascii="黑体" w:hAnsi="黑体" w:eastAsia="黑体"/>
                                <w:b/>
                                <w:sz w:val="28"/>
                                <w:szCs w:val="28"/>
                              </w:rPr>
                            </w:pPr>
                            <w:r>
                              <w:rPr>
                                <w:rFonts w:hint="eastAsia" w:ascii="黑体" w:hAnsi="黑体" w:eastAsia="黑体"/>
                                <w:b/>
                                <w:sz w:val="28"/>
                                <w:szCs w:val="28"/>
                              </w:rPr>
                              <w:t>××××-××-××发布</w:t>
                            </w:r>
                          </w:p>
                        </w:txbxContent>
                      </wps:txbx>
                      <wps:bodyPr lIns="0" tIns="0" rIns="0" bIns="0" upright="1"/>
                    </wps:wsp>
                  </a:graphicData>
                </a:graphic>
              </wp:anchor>
            </w:drawing>
          </mc:Choice>
          <mc:Fallback>
            <w:pict>
              <v:shape id="fmFrame5" o:spid="_x0000_s1026" o:spt="202" type="#_x0000_t202" style="position:absolute;left:0pt;margin-left:0pt;margin-top:666.8pt;height:24.6pt;width:159pt;mso-position-horizontal-relative:margin;mso-position-vertical-relative:margin;z-index:251666432;mso-width-relative:page;mso-height-relative:page;" fillcolor="#FFFFFF" filled="t" stroked="f" coordsize="21600,21600" o:gfxdata="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nd5wzXAAAACgEAAA8AAAAAAAAAAQAgAAAAIgAAAGRycy9kb3ducmV2LnhtbFBL&#10;AQIUABQAAAAIAIdO4kCD0NOhvgEAAJkDAAAOAAAAAAAAAAEAIAAAACYBAABkcnMvZTJvRG9jLnht&#10;bFBLBQYAAAAABgAGAFkBAABWBQAAAAA=&#10;">
                <v:fill on="t" focussize="0,0"/>
                <v:stroke on="f"/>
                <v:imagedata o:title=""/>
                <o:lock v:ext="edit" aspectratio="f"/>
                <v:textbox inset="0mm,0mm,0mm,0mm">
                  <w:txbxContent>
                    <w:p>
                      <w:pPr>
                        <w:rPr>
                          <w:rFonts w:ascii="黑体" w:hAnsi="黑体" w:eastAsia="黑体"/>
                          <w:b/>
                          <w:sz w:val="28"/>
                          <w:szCs w:val="28"/>
                        </w:rPr>
                      </w:pPr>
                      <w:r>
                        <w:rPr>
                          <w:rFonts w:hint="eastAsia" w:ascii="黑体" w:hAnsi="黑体" w:eastAsia="黑体"/>
                          <w:b/>
                          <w:sz w:val="28"/>
                          <w:szCs w:val="28"/>
                        </w:rPr>
                        <w:t>××××-××-××发布</w:t>
                      </w:r>
                    </w:p>
                  </w:txbxContent>
                </v:textbox>
                <w10:anchorlock/>
              </v:shape>
            </w:pict>
          </mc:Fallback>
        </mc:AlternateContent>
      </w:r>
      <w:r>
        <w:rPr>
          <w:sz w:val="28"/>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3635375</wp:posOffset>
                </wp:positionV>
                <wp:extent cx="5969000" cy="4681220"/>
                <wp:effectExtent l="0" t="0" r="0" b="5080"/>
                <wp:wrapNone/>
                <wp:docPr id="14" name="fmFrame4"/>
                <wp:cNvGraphicFramePr/>
                <a:graphic xmlns:a="http://schemas.openxmlformats.org/drawingml/2006/main">
                  <a:graphicData uri="http://schemas.microsoft.com/office/word/2010/wordprocessingShape">
                    <wps:wsp>
                      <wps:cNvSpPr txBox="1"/>
                      <wps:spPr>
                        <a:xfrm>
                          <a:off x="0" y="0"/>
                          <a:ext cx="5969000" cy="4681220"/>
                        </a:xfrm>
                        <a:prstGeom prst="rect">
                          <a:avLst/>
                        </a:prstGeom>
                        <a:solidFill>
                          <a:srgbClr val="FFFFFF"/>
                        </a:solidFill>
                        <a:ln>
                          <a:noFill/>
                        </a:ln>
                      </wps:spPr>
                      <wps:txbx>
                        <w:txbxContent>
                          <w:p>
                            <w:pPr>
                              <w:pStyle w:val="32"/>
                              <w:rPr>
                                <w:sz w:val="52"/>
                                <w:szCs w:val="52"/>
                              </w:rPr>
                            </w:pPr>
                            <w:r>
                              <w:rPr>
                                <w:rFonts w:hint="eastAsia"/>
                                <w:sz w:val="52"/>
                                <w:szCs w:val="52"/>
                              </w:rPr>
                              <w:t>磷酸氢根四氨合铂</w:t>
                            </w:r>
                          </w:p>
                          <w:p>
                            <w:pPr>
                              <w:pStyle w:val="36"/>
                              <w:spacing w:line="240" w:lineRule="auto"/>
                              <w:rPr>
                                <w:rFonts w:ascii="Times New Roman" w:eastAsia="黑体"/>
                                <w:b/>
                                <w:kern w:val="2"/>
                                <w:szCs w:val="28"/>
                              </w:rPr>
                            </w:pPr>
                            <w:r>
                              <w:rPr>
                                <w:rFonts w:ascii="Times New Roman" w:eastAsia="黑体"/>
                                <w:color w:val="333333"/>
                                <w:szCs w:val="28"/>
                                <w:shd w:val="clear" w:color="auto" w:fill="FFFFFF"/>
                              </w:rPr>
                              <w:t xml:space="preserve"> Tetraammineplatinum(II) hydrogen phosphate</w:t>
                            </w:r>
                            <w:r>
                              <w:rPr>
                                <w:rFonts w:ascii="Times New Roman" w:eastAsia="黑体"/>
                                <w:b/>
                                <w:kern w:val="2"/>
                                <w:szCs w:val="28"/>
                              </w:rPr>
                              <w:t> </w:t>
                            </w:r>
                          </w:p>
                          <w:p>
                            <w:pPr>
                              <w:pStyle w:val="37"/>
                              <w:rPr>
                                <w:sz w:val="32"/>
                                <w:szCs w:val="32"/>
                              </w:rPr>
                            </w:pPr>
                          </w:p>
                          <w:p>
                            <w:pPr>
                              <w:pStyle w:val="39"/>
                              <w:rPr>
                                <w:bCs/>
                                <w:sz w:val="28"/>
                                <w:szCs w:val="28"/>
                              </w:rPr>
                            </w:pPr>
                            <w:r>
                              <w:rPr>
                                <w:rFonts w:hint="eastAsia"/>
                                <w:bCs/>
                                <w:sz w:val="28"/>
                                <w:szCs w:val="28"/>
                              </w:rPr>
                              <w:t>（讨论稿）</w:t>
                            </w:r>
                          </w:p>
                        </w:txbxContent>
                      </wps:txbx>
                      <wps:bodyPr lIns="0" tIns="0" rIns="0" bIns="0" upright="1"/>
                    </wps:wsp>
                  </a:graphicData>
                </a:graphic>
              </wp:anchor>
            </w:drawing>
          </mc:Choice>
          <mc:Fallback>
            <w:pict>
              <v:shape id="fmFrame4" o:spid="_x0000_s1026" o:spt="202" type="#_x0000_t202" style="position:absolute;left:0pt;margin-left:0pt;margin-top:286.25pt;height:368.6pt;width:470pt;mso-position-horizontal-relative:margin;mso-position-vertical-relative:margin;z-index:251667456;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RXn3HYAAAACQEAAA8AAAAAAAAAAQAgAAAAIgAAAGRycy9kb3ducmV2Lnht&#10;bFBLAQIUABQAAAAIAIdO4kDglE0vwAEAAJoDAAAOAAAAAAAAAAEAIAAAACcBAABkcnMvZTJvRG9j&#10;LnhtbFBLBQYAAAAABgAGAFkBAABZBQAAAAA=&#10;">
                <v:fill on="t" focussize="0,0"/>
                <v:stroke on="f"/>
                <v:imagedata o:title=""/>
                <o:lock v:ext="edit" aspectratio="f"/>
                <v:textbox inset="0mm,0mm,0mm,0mm">
                  <w:txbxContent>
                    <w:p>
                      <w:pPr>
                        <w:pStyle w:val="32"/>
                        <w:rPr>
                          <w:sz w:val="52"/>
                          <w:szCs w:val="52"/>
                        </w:rPr>
                      </w:pPr>
                      <w:r>
                        <w:rPr>
                          <w:rFonts w:hint="eastAsia"/>
                          <w:sz w:val="52"/>
                          <w:szCs w:val="52"/>
                        </w:rPr>
                        <w:t>磷酸氢根四氨合铂</w:t>
                      </w:r>
                    </w:p>
                    <w:p>
                      <w:pPr>
                        <w:pStyle w:val="36"/>
                        <w:spacing w:line="240" w:lineRule="auto"/>
                        <w:rPr>
                          <w:rFonts w:ascii="Times New Roman" w:eastAsia="黑体"/>
                          <w:b/>
                          <w:kern w:val="2"/>
                          <w:szCs w:val="28"/>
                        </w:rPr>
                      </w:pPr>
                      <w:r>
                        <w:rPr>
                          <w:rFonts w:ascii="Times New Roman" w:eastAsia="黑体"/>
                          <w:color w:val="333333"/>
                          <w:szCs w:val="28"/>
                          <w:shd w:val="clear" w:color="auto" w:fill="FFFFFF"/>
                        </w:rPr>
                        <w:t xml:space="preserve"> Tetraammineplatinum(II) hydrogen phosphate</w:t>
                      </w:r>
                      <w:r>
                        <w:rPr>
                          <w:rFonts w:ascii="Times New Roman" w:eastAsia="黑体"/>
                          <w:b/>
                          <w:kern w:val="2"/>
                          <w:szCs w:val="28"/>
                        </w:rPr>
                        <w:t> </w:t>
                      </w:r>
                    </w:p>
                    <w:p>
                      <w:pPr>
                        <w:pStyle w:val="37"/>
                        <w:rPr>
                          <w:sz w:val="32"/>
                          <w:szCs w:val="32"/>
                        </w:rPr>
                      </w:pPr>
                    </w:p>
                    <w:p>
                      <w:pPr>
                        <w:pStyle w:val="39"/>
                        <w:rPr>
                          <w:bCs/>
                          <w:sz w:val="28"/>
                          <w:szCs w:val="28"/>
                        </w:rPr>
                      </w:pPr>
                      <w:r>
                        <w:rPr>
                          <w:rFonts w:hint="eastAsia"/>
                          <w:bCs/>
                          <w:sz w:val="28"/>
                          <w:szCs w:val="28"/>
                        </w:rPr>
                        <w:t>（讨论稿）</w:t>
                      </w:r>
                    </w:p>
                  </w:txbxContent>
                </v:textbox>
                <w10:anchorlock/>
              </v:shape>
            </w:pict>
          </mc:Fallback>
        </mc:AlternateContent>
      </w:r>
      <w:r>
        <w:rPr>
          <w:sz w:val="28"/>
        </w:rPr>
        <mc:AlternateContent>
          <mc:Choice Requires="wps">
            <w:drawing>
              <wp:anchor distT="0" distB="0" distL="114300" distR="114300" simplePos="0" relativeHeight="251668480" behindDoc="0" locked="1" layoutInCell="1" allowOverlap="1">
                <wp:simplePos x="0" y="0"/>
                <wp:positionH relativeFrom="margin">
                  <wp:posOffset>0</wp:posOffset>
                </wp:positionH>
                <wp:positionV relativeFrom="margin">
                  <wp:posOffset>1401445</wp:posOffset>
                </wp:positionV>
                <wp:extent cx="5802630" cy="860425"/>
                <wp:effectExtent l="0" t="0" r="1270" b="3175"/>
                <wp:wrapNone/>
                <wp:docPr id="15" name="fmFrame3"/>
                <wp:cNvGraphicFramePr/>
                <a:graphic xmlns:a="http://schemas.openxmlformats.org/drawingml/2006/main">
                  <a:graphicData uri="http://schemas.microsoft.com/office/word/2010/wordprocessingShape">
                    <wps:wsp>
                      <wps:cNvSpPr txBox="1"/>
                      <wps:spPr>
                        <a:xfrm>
                          <a:off x="0" y="0"/>
                          <a:ext cx="5802630" cy="860425"/>
                        </a:xfrm>
                        <a:prstGeom prst="rect">
                          <a:avLst/>
                        </a:prstGeom>
                        <a:solidFill>
                          <a:srgbClr val="FFFFFF"/>
                        </a:solidFill>
                        <a:ln>
                          <a:noFill/>
                        </a:ln>
                      </wps:spPr>
                      <wps:txbx>
                        <w:txbxContent>
                          <w:p>
                            <w:pPr>
                              <w:jc w:val="right"/>
                              <w:rPr>
                                <w:rFonts w:ascii="黑体" w:hAnsi="黑体" w:eastAsia="黑体"/>
                                <w:sz w:val="28"/>
                                <w:szCs w:val="28"/>
                              </w:rPr>
                            </w:pPr>
                            <w:r>
                              <w:rPr>
                                <w:rFonts w:ascii="黑体" w:hAnsi="黑体" w:eastAsia="黑体"/>
                                <w:b/>
                                <w:sz w:val="28"/>
                                <w:szCs w:val="28"/>
                              </w:rPr>
                              <w:t xml:space="preserve">YS/T </w:t>
                            </w:r>
                            <w:r>
                              <w:rPr>
                                <w:rFonts w:hint="eastAsia" w:ascii="黑体" w:hAnsi="黑体" w:eastAsia="黑体"/>
                                <w:sz w:val="28"/>
                                <w:szCs w:val="28"/>
                              </w:rPr>
                              <w:t>xxxx-202x</w:t>
                            </w:r>
                          </w:p>
                          <w:p>
                            <w:pPr>
                              <w:pStyle w:val="33"/>
                              <w:wordWrap w:val="0"/>
                              <w:rPr>
                                <w:i/>
                              </w:rPr>
                            </w:pPr>
                            <w:r>
                              <w:rPr>
                                <w:rFonts w:hint="eastAsia"/>
                                <w:i/>
                              </w:rPr>
                              <w:t xml:space="preserve"> </w:t>
                            </w:r>
                          </w:p>
                        </w:txbxContent>
                      </wps:txbx>
                      <wps:bodyPr lIns="0" tIns="0" rIns="0" bIns="0" upright="1"/>
                    </wps:wsp>
                  </a:graphicData>
                </a:graphic>
              </wp:anchor>
            </w:drawing>
          </mc:Choice>
          <mc:Fallback>
            <w:pict>
              <v:shape id="fmFrame3" o:spid="_x0000_s1026" o:spt="202" type="#_x0000_t202" style="position:absolute;left:0pt;margin-left:0pt;margin-top:110.35pt;height:67.75pt;width:456.9pt;mso-position-horizontal-relative:margin;mso-position-vertical-relative:margin;z-index:251668480;mso-width-relative:page;mso-height-relative:page;" fillcolor="#FFFFFF" filled="t" stroked="f" coordsize="21600,21600" o:gfxdata="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UBpPvYAAAACAEAAA8AAAAAAAAAAQAgAAAAIgAAAGRycy9kb3ducmV2LnhtbFBL&#10;AQIUABQAAAAIAIdO4kDvMV6bvQEAAJkDAAAOAAAAAAAAAAEAIAAAACcBAABkcnMvZTJvRG9jLnht&#10;bFBLBQYAAAAABgAGAFkBAABWBQAAAAA=&#10;">
                <v:fill on="t" focussize="0,0"/>
                <v:stroke on="f"/>
                <v:imagedata o:title=""/>
                <o:lock v:ext="edit" aspectratio="f"/>
                <v:textbox inset="0mm,0mm,0mm,0mm">
                  <w:txbxContent>
                    <w:p>
                      <w:pPr>
                        <w:jc w:val="right"/>
                        <w:rPr>
                          <w:rFonts w:ascii="黑体" w:hAnsi="黑体" w:eastAsia="黑体"/>
                          <w:sz w:val="28"/>
                          <w:szCs w:val="28"/>
                        </w:rPr>
                      </w:pPr>
                      <w:r>
                        <w:rPr>
                          <w:rFonts w:ascii="黑体" w:hAnsi="黑体" w:eastAsia="黑体"/>
                          <w:b/>
                          <w:sz w:val="28"/>
                          <w:szCs w:val="28"/>
                        </w:rPr>
                        <w:t xml:space="preserve">YS/T </w:t>
                      </w:r>
                      <w:r>
                        <w:rPr>
                          <w:rFonts w:hint="eastAsia" w:ascii="黑体" w:hAnsi="黑体" w:eastAsia="黑体"/>
                          <w:sz w:val="28"/>
                          <w:szCs w:val="28"/>
                        </w:rPr>
                        <w:t>xxxx-202x</w:t>
                      </w:r>
                    </w:p>
                    <w:p>
                      <w:pPr>
                        <w:pStyle w:val="33"/>
                        <w:wordWrap w:val="0"/>
                        <w:rPr>
                          <w:i/>
                        </w:rPr>
                      </w:pPr>
                      <w:r>
                        <w:rPr>
                          <w:rFonts w:hint="eastAsia"/>
                          <w:i/>
                        </w:rPr>
                        <w:t xml:space="preserve"> </w:t>
                      </w:r>
                    </w:p>
                  </w:txbxContent>
                </v:textbox>
                <w10:anchorlock/>
              </v:shape>
            </w:pict>
          </mc:Fallback>
        </mc:AlternateContent>
      </w:r>
      <w:r>
        <w:rPr>
          <w:sz w:val="28"/>
        </w:rPr>
        <mc:AlternateContent>
          <mc:Choice Requires="wps">
            <w:drawing>
              <wp:anchor distT="0" distB="0" distL="114300" distR="114300" simplePos="0" relativeHeight="251669504" behindDoc="0" locked="1" layoutInCell="1" allowOverlap="1">
                <wp:simplePos x="0" y="0"/>
                <wp:positionH relativeFrom="margin">
                  <wp:posOffset>0</wp:posOffset>
                </wp:positionH>
                <wp:positionV relativeFrom="margin">
                  <wp:posOffset>1010920</wp:posOffset>
                </wp:positionV>
                <wp:extent cx="6120130" cy="391160"/>
                <wp:effectExtent l="0" t="0" r="1270" b="2540"/>
                <wp:wrapNone/>
                <wp:docPr id="16"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31"/>
                            </w:pPr>
                            <w:r>
                              <w:rPr>
                                <w:rFonts w:hint="eastAsia"/>
                              </w:rPr>
                              <w:t>中华人民共和国有色金属行业标准</w:t>
                            </w:r>
                          </w:p>
                        </w:txbxContent>
                      </wps:txbx>
                      <wps:bodyPr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9504;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EYORwXXAAAACAEAAA8AAAAAAAAAAQAgAAAAIgAAAGRycy9kb3ducmV2LnhtbFBL&#10;AQIUABQAAAAIAIdO4kDJSpg3vgEAAJkDAAAOAAAAAAAAAAEAIAAAACYBAABkcnMvZTJvRG9jLnht&#10;bFBLBQYAAAAABgAGAFkBAABWBQAAAAA=&#10;">
                <v:fill on="t" focussize="0,0"/>
                <v:stroke on="f"/>
                <v:imagedata o:title=""/>
                <o:lock v:ext="edit" aspectratio="f"/>
                <v:textbox inset="0mm,0mm,0mm,0mm">
                  <w:txbxContent>
                    <w:p>
                      <w:pPr>
                        <w:pStyle w:val="31"/>
                      </w:pPr>
                      <w:r>
                        <w:rPr>
                          <w:rFonts w:hint="eastAsia"/>
                        </w:rPr>
                        <w:t>中华人民共和国有色金属行业标准</w:t>
                      </w:r>
                    </w:p>
                  </w:txbxContent>
                </v:textbox>
                <w10:anchorlock/>
              </v:shape>
            </w:pict>
          </mc:Fallback>
        </mc:AlternateContent>
      </w:r>
      <w:r>
        <w:rPr>
          <w:sz w:val="28"/>
        </w:rPr>
        <mc:AlternateContent>
          <mc:Choice Requires="wps">
            <w:drawing>
              <wp:anchor distT="0" distB="0" distL="114300" distR="114300" simplePos="0" relativeHeight="251670528" behindDoc="0" locked="1" layoutInCell="1" allowOverlap="1">
                <wp:simplePos x="0" y="0"/>
                <wp:positionH relativeFrom="margin">
                  <wp:posOffset>0</wp:posOffset>
                </wp:positionH>
                <wp:positionV relativeFrom="margin">
                  <wp:posOffset>0</wp:posOffset>
                </wp:positionV>
                <wp:extent cx="2540000" cy="657860"/>
                <wp:effectExtent l="0" t="0" r="0" b="2540"/>
                <wp:wrapNone/>
                <wp:docPr id="17"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pPr>
                              <w:pStyle w:val="23"/>
                              <w:rPr>
                                <w:rFonts w:ascii="黑体" w:hAnsi="黑体"/>
                              </w:rPr>
                            </w:pPr>
                            <w:r>
                              <w:rPr>
                                <w:rFonts w:ascii="黑体" w:hAnsi="黑体"/>
                                <w:b/>
                              </w:rPr>
                              <w:t>ICS</w:t>
                            </w:r>
                            <w:r>
                              <w:rPr>
                                <w:rFonts w:hint="eastAsia" w:ascii="黑体" w:hAnsi="黑体"/>
                              </w:rPr>
                              <w:t xml:space="preserve"> 77.150.99</w:t>
                            </w:r>
                          </w:p>
                          <w:p>
                            <w:pPr>
                              <w:pStyle w:val="23"/>
                              <w:rPr>
                                <w:rFonts w:ascii="黑体" w:hAnsi="黑体"/>
                              </w:rPr>
                            </w:pPr>
                            <w:r>
                              <w:rPr>
                                <w:rFonts w:ascii="黑体" w:hAnsi="黑体"/>
                                <w:b/>
                              </w:rPr>
                              <w:t xml:space="preserve">CCS H </w:t>
                            </w:r>
                            <w:r>
                              <w:rPr>
                                <w:rFonts w:hint="eastAsia" w:ascii="黑体" w:hAnsi="黑体"/>
                              </w:rPr>
                              <w:t>68</w:t>
                            </w:r>
                          </w:p>
                          <w:p>
                            <w:pPr>
                              <w:pStyle w:val="23"/>
                            </w:pPr>
                          </w:p>
                        </w:txbxContent>
                      </wps:txbx>
                      <wps:bodyPr lIns="0" tIns="0" rIns="0" bIns="0" upright="1"/>
                    </wps:wsp>
                  </a:graphicData>
                </a:graphic>
              </wp:anchor>
            </w:drawing>
          </mc:Choice>
          <mc:Fallback>
            <w:pict>
              <v:shape id="fmFrame1" o:spid="_x0000_s1026" o:spt="202" type="#_x0000_t202" style="position:absolute;left:0pt;margin-left:0pt;margin-top:0pt;height:51.8pt;width:200pt;mso-position-horizontal-relative:margin;mso-position-vertical-relative:margin;z-index:251670528;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Xsy+DTAAAABQEAAA8AAAAAAAAAAQAgAAAAIgAAAGRycy9kb3ducmV2LnhtbFBLAQIU&#10;ABQAAAAIAIdO4kA3e0LsvwEAAJkDAAAOAAAAAAAAAAEAIAAAACIBAABkcnMvZTJvRG9jLnhtbFBL&#10;BQYAAAAABgAGAFkBAABTBQAAAAA=&#10;">
                <v:fill on="t" focussize="0,0"/>
                <v:stroke on="f"/>
                <v:imagedata o:title=""/>
                <o:lock v:ext="edit" aspectratio="f"/>
                <v:textbox inset="0mm,0mm,0mm,0mm">
                  <w:txbxContent>
                    <w:p>
                      <w:pPr>
                        <w:pStyle w:val="23"/>
                        <w:rPr>
                          <w:rFonts w:ascii="黑体" w:hAnsi="黑体"/>
                        </w:rPr>
                      </w:pPr>
                      <w:r>
                        <w:rPr>
                          <w:rFonts w:ascii="黑体" w:hAnsi="黑体"/>
                          <w:b/>
                        </w:rPr>
                        <w:t>ICS</w:t>
                      </w:r>
                      <w:r>
                        <w:rPr>
                          <w:rFonts w:hint="eastAsia" w:ascii="黑体" w:hAnsi="黑体"/>
                        </w:rPr>
                        <w:t xml:space="preserve"> 77.150.99</w:t>
                      </w:r>
                    </w:p>
                    <w:p>
                      <w:pPr>
                        <w:pStyle w:val="23"/>
                        <w:rPr>
                          <w:rFonts w:ascii="黑体" w:hAnsi="黑体"/>
                        </w:rPr>
                      </w:pPr>
                      <w:r>
                        <w:rPr>
                          <w:rFonts w:ascii="黑体" w:hAnsi="黑体"/>
                          <w:b/>
                        </w:rPr>
                        <w:t xml:space="preserve">CCS H </w:t>
                      </w:r>
                      <w:r>
                        <w:rPr>
                          <w:rFonts w:hint="eastAsia" w:ascii="黑体" w:hAnsi="黑体"/>
                        </w:rPr>
                        <w:t>68</w:t>
                      </w:r>
                    </w:p>
                    <w:p>
                      <w:pPr>
                        <w:pStyle w:val="23"/>
                      </w:pPr>
                    </w:p>
                  </w:txbxContent>
                </v:textbox>
                <w10:anchorlock/>
              </v:shape>
            </w:pict>
          </mc:Fallback>
        </mc:AlternateContent>
      </w:r>
      <w:r>
        <w:rPr>
          <w:rFonts w:hint="eastAsia"/>
          <w:sz w:val="28"/>
        </w:rPr>
        <w:t>C</w:t>
      </w:r>
      <w:r>
        <w:rPr>
          <w:sz w:val="28"/>
        </w:rPr>
        <w:t>C</w:t>
      </w:r>
    </w:p>
    <w:bookmarkEnd w:id="0"/>
    <w:p>
      <w:pPr>
        <w:pStyle w:val="21"/>
        <w:numPr>
          <w:ilvl w:val="0"/>
          <w:numId w:val="2"/>
        </w:numPr>
      </w:pPr>
      <w:bookmarkStart w:id="1" w:name="SectionMark2"/>
      <w:r>
        <w:rPr>
          <w:rFonts w:hint="eastAsia"/>
        </w:rPr>
        <w:t>前    言</w:t>
      </w:r>
    </w:p>
    <w:p>
      <w:pPr>
        <w:pStyle w:val="13"/>
        <w:numPr>
          <w:ilvl w:val="0"/>
          <w:numId w:val="2"/>
        </w:numPr>
        <w:spacing w:line="360" w:lineRule="auto"/>
        <w:ind w:firstLineChars="0"/>
        <w:rPr>
          <w:rFonts w:cs="Times New Roman" w:asciiTheme="minorEastAsia" w:hAnsiTheme="minorEastAsia"/>
          <w:szCs w:val="21"/>
        </w:rPr>
      </w:pPr>
      <w:r>
        <w:rPr>
          <w:rFonts w:hint="eastAsia" w:hAnsi="宋体"/>
          <w:szCs w:val="21"/>
        </w:rPr>
        <w:t xml:space="preserve">    </w:t>
      </w:r>
      <w:r>
        <w:rPr>
          <w:rFonts w:hint="eastAsia" w:cs="Times New Roman" w:asciiTheme="minorEastAsia" w:hAnsiTheme="minorEastAsia"/>
          <w:szCs w:val="21"/>
        </w:rPr>
        <w:t>本文件按照GB/T</w:t>
      </w:r>
      <w:r>
        <w:rPr>
          <w:rFonts w:hint="eastAsia" w:cs="Times New Roman" w:asciiTheme="minorEastAsia" w:hAnsiTheme="minorEastAsia"/>
          <w:szCs w:val="21"/>
          <w:lang w:val="en-US" w:eastAsia="zh-CN"/>
        </w:rPr>
        <w:t xml:space="preserve"> </w:t>
      </w:r>
      <w:r>
        <w:rPr>
          <w:rFonts w:hint="eastAsia" w:cs="Times New Roman" w:asciiTheme="minorEastAsia" w:hAnsiTheme="minorEastAsia"/>
          <w:szCs w:val="21"/>
        </w:rPr>
        <w:t>1.1-2020《标准化工作导则 第1部分：标准化文件的结构和起草规则》的规定起草。</w:t>
      </w:r>
    </w:p>
    <w:p>
      <w:pPr>
        <w:pStyle w:val="43"/>
        <w:numPr>
          <w:ilvl w:val="0"/>
          <w:numId w:val="2"/>
        </w:numPr>
        <w:spacing w:line="360" w:lineRule="auto"/>
        <w:ind w:firstLineChars="0"/>
        <w:rPr>
          <w:rFonts w:asciiTheme="minorEastAsia" w:hAnsiTheme="minorEastAsia" w:eastAsiaTheme="minorEastAsia"/>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请注意本文件的某些内容可能涉及专利。本文件的发布机构不承担识别专利的责任。</w:t>
      </w:r>
    </w:p>
    <w:p>
      <w:pPr>
        <w:pStyle w:val="13"/>
        <w:numPr>
          <w:ilvl w:val="0"/>
          <w:numId w:val="2"/>
        </w:numPr>
        <w:spacing w:line="360" w:lineRule="auto"/>
        <w:ind w:firstLineChars="0"/>
        <w:rPr>
          <w:rFonts w:asciiTheme="minorEastAsia" w:hAnsiTheme="minorEastAsia"/>
          <w:szCs w:val="21"/>
        </w:rPr>
      </w:pPr>
      <w:r>
        <w:rPr>
          <w:rFonts w:hint="eastAsia" w:asciiTheme="minorEastAsia" w:hAnsiTheme="minorEastAsia"/>
          <w:szCs w:val="21"/>
        </w:rPr>
        <w:t>　　</w:t>
      </w:r>
      <w:r>
        <w:rPr>
          <w:rFonts w:asciiTheme="minorEastAsia" w:hAnsiTheme="minorEastAsia"/>
          <w:szCs w:val="21"/>
        </w:rPr>
        <w:t>本</w:t>
      </w:r>
      <w:r>
        <w:rPr>
          <w:rFonts w:hint="eastAsia" w:asciiTheme="minorEastAsia" w:hAnsiTheme="minorEastAsia"/>
          <w:szCs w:val="21"/>
        </w:rPr>
        <w:t>文件</w:t>
      </w:r>
      <w:r>
        <w:rPr>
          <w:rFonts w:asciiTheme="minorEastAsia" w:hAnsiTheme="minorEastAsia"/>
          <w:szCs w:val="21"/>
        </w:rPr>
        <w:t>由</w:t>
      </w:r>
      <w:r>
        <w:rPr>
          <w:rFonts w:hint="eastAsia" w:asciiTheme="minorEastAsia" w:hAnsiTheme="minorEastAsia"/>
          <w:szCs w:val="21"/>
        </w:rPr>
        <w:t>全国</w:t>
      </w:r>
      <w:r>
        <w:rPr>
          <w:rFonts w:asciiTheme="minorEastAsia" w:hAnsiTheme="minorEastAsia"/>
          <w:szCs w:val="21"/>
        </w:rPr>
        <w:t>有色金属标准化技术委员会（SAC/TC243）</w:t>
      </w:r>
      <w:r>
        <w:rPr>
          <w:rFonts w:hint="eastAsia" w:asciiTheme="minorEastAsia" w:hAnsiTheme="minorEastAsia"/>
          <w:szCs w:val="21"/>
        </w:rPr>
        <w:t>提出并</w:t>
      </w:r>
      <w:r>
        <w:rPr>
          <w:rFonts w:asciiTheme="minorEastAsia" w:hAnsiTheme="minorEastAsia"/>
          <w:szCs w:val="21"/>
        </w:rPr>
        <w:t>归口。</w:t>
      </w:r>
    </w:p>
    <w:p>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本</w:t>
      </w:r>
      <w:r>
        <w:rPr>
          <w:rFonts w:hint="eastAsia" w:asciiTheme="minorEastAsia" w:hAnsiTheme="minorEastAsia" w:eastAsiaTheme="minorEastAsia"/>
          <w:szCs w:val="21"/>
        </w:rPr>
        <w:t>文件起草单位：</w:t>
      </w:r>
      <w:r>
        <w:rPr>
          <w:rFonts w:hint="eastAsia" w:asciiTheme="minorEastAsia" w:hAnsiTheme="minorEastAsia" w:eastAsiaTheme="minorEastAsia"/>
          <w:szCs w:val="21"/>
          <w:highlight w:val="none"/>
          <w:lang w:val="en-US" w:eastAsia="zh-CN"/>
        </w:rPr>
        <w:t>贵研化学材料（云南）有限公司</w:t>
      </w:r>
      <w:r>
        <w:rPr>
          <w:rFonts w:hint="eastAsia" w:asciiTheme="minorEastAsia" w:hAnsiTheme="minorEastAsia" w:eastAsiaTheme="minorEastAsia"/>
          <w:szCs w:val="21"/>
          <w:lang w:val="en-US" w:eastAsia="zh-CN"/>
        </w:rPr>
        <w:t>、</w:t>
      </w:r>
      <w:r>
        <w:rPr>
          <w:rFonts w:hint="eastAsia" w:asciiTheme="minorEastAsia" w:hAnsiTheme="minorEastAsia" w:eastAsiaTheme="minorEastAsia"/>
          <w:szCs w:val="21"/>
        </w:rPr>
        <w:t>贵研铂业股份有限公司、西安瑞鑫科</w:t>
      </w:r>
      <w:r>
        <w:rPr>
          <w:rFonts w:asciiTheme="minorEastAsia" w:hAnsiTheme="minorEastAsia" w:eastAsiaTheme="minorEastAsia"/>
          <w:szCs w:val="21"/>
        </w:rPr>
        <w:t>金属材料有限责任公司</w:t>
      </w:r>
      <w:r>
        <w:rPr>
          <w:rFonts w:hint="eastAsia" w:asciiTheme="minorEastAsia" w:hAnsiTheme="minorEastAsia" w:eastAsiaTheme="minorEastAsia"/>
          <w:szCs w:val="21"/>
        </w:rPr>
        <w:t>、</w:t>
      </w:r>
      <w:r>
        <w:rPr>
          <w:rFonts w:asciiTheme="minorEastAsia" w:hAnsiTheme="minorEastAsia" w:eastAsiaTheme="minorEastAsia"/>
          <w:szCs w:val="21"/>
        </w:rPr>
        <w:t>徐州浩通新材料科技股份有限公司</w:t>
      </w:r>
      <w:r>
        <w:rPr>
          <w:rFonts w:hint="eastAsia" w:asciiTheme="minorEastAsia" w:hAnsiTheme="minorEastAsia" w:eastAsiaTheme="minorEastAsia"/>
          <w:szCs w:val="21"/>
        </w:rPr>
        <w:t>。</w:t>
      </w:r>
    </w:p>
    <w:p>
      <w:pPr>
        <w:ind w:left="420" w:leftChars="200"/>
        <w:rPr>
          <w:rFonts w:asciiTheme="minorEastAsia" w:hAnsiTheme="minorEastAsia" w:eastAsiaTheme="minorEastAsia"/>
          <w:szCs w:val="21"/>
        </w:rPr>
      </w:pPr>
      <w:r>
        <w:rPr>
          <w:rFonts w:hint="eastAsia" w:asciiTheme="minorEastAsia" w:hAnsiTheme="minorEastAsia" w:eastAsiaTheme="minorEastAsia"/>
          <w:szCs w:val="21"/>
        </w:rPr>
        <w:t>本文件主要起草人：</w:t>
      </w:r>
      <w:r>
        <w:rPr>
          <w:rFonts w:asciiTheme="minorEastAsia" w:hAnsiTheme="minorEastAsia" w:eastAsiaTheme="minorEastAsia"/>
          <w:szCs w:val="21"/>
        </w:rPr>
        <w:t xml:space="preserve"> </w:t>
      </w:r>
      <w:r>
        <w:rPr>
          <w:rFonts w:hint="eastAsia" w:asciiTheme="minorEastAsia" w:hAnsiTheme="minorEastAsia" w:eastAsiaTheme="minorEastAsia"/>
          <w:szCs w:val="21"/>
        </w:rPr>
        <w:t>匡飞平、沈善问、黄凯贤、刘桂华。</w:t>
      </w:r>
    </w:p>
    <w:p>
      <w:pPr>
        <w:spacing w:line="360" w:lineRule="auto"/>
        <w:ind w:firstLine="560" w:firstLineChars="200"/>
        <w:rPr>
          <w:rFonts w:ascii="宋体" w:hAnsi="宋体"/>
          <w:color w:val="000000"/>
          <w:sz w:val="28"/>
          <w:szCs w:val="28"/>
        </w:rPr>
        <w:sectPr>
          <w:headerReference r:id="rId8" w:type="default"/>
          <w:footerReference r:id="rId10" w:type="default"/>
          <w:headerReference r:id="rId9" w:type="even"/>
          <w:footerReference r:id="rId11" w:type="even"/>
          <w:pgSz w:w="11907" w:h="16839"/>
          <w:pgMar w:top="1418" w:right="1134" w:bottom="1134" w:left="1418" w:header="1418" w:footer="851" w:gutter="0"/>
          <w:pgNumType w:fmt="upperRoman" w:start="1"/>
          <w:cols w:space="720" w:num="1"/>
          <w:docGrid w:type="lines" w:linePitch="312" w:charSpace="0"/>
        </w:sectPr>
      </w:pPr>
    </w:p>
    <w:bookmarkEnd w:id="1"/>
    <w:p>
      <w:pPr>
        <w:pStyle w:val="32"/>
        <w:ind w:left="360" w:firstLine="3200" w:firstLineChars="1000"/>
        <w:jc w:val="both"/>
        <w:rPr>
          <w:szCs w:val="32"/>
        </w:rPr>
      </w:pPr>
      <w:r>
        <w:rPr>
          <w:rFonts w:hint="eastAsia"/>
          <w:szCs w:val="32"/>
        </w:rPr>
        <w:t>磷酸氢根四氨合铂</w:t>
      </w:r>
    </w:p>
    <w:p>
      <w:pPr>
        <w:pStyle w:val="18"/>
        <w:numPr>
          <w:ilvl w:val="0"/>
          <w:numId w:val="0"/>
        </w:numPr>
        <w:spacing w:before="156" w:after="156"/>
        <w:ind w:firstLine="103" w:firstLineChars="49"/>
        <w:rPr>
          <w:rFonts w:hAnsi="黑体"/>
          <w:b/>
          <w:bCs/>
          <w:szCs w:val="21"/>
        </w:rPr>
      </w:pPr>
      <w:r>
        <w:rPr>
          <w:rFonts w:hint="eastAsia" w:hAnsi="黑体"/>
          <w:b/>
          <w:bCs/>
          <w:szCs w:val="21"/>
        </w:rPr>
        <w:t>1  范围</w:t>
      </w:r>
    </w:p>
    <w:p>
      <w:pPr>
        <w:pStyle w:val="3"/>
        <w:ind w:firstLine="420"/>
        <w:jc w:val="both"/>
        <w:rPr>
          <w:rFonts w:ascii="宋体" w:hAnsi="宋体"/>
          <w:sz w:val="21"/>
        </w:rPr>
      </w:pPr>
      <w:r>
        <w:rPr>
          <w:rFonts w:hint="eastAsia" w:ascii="宋体" w:hAnsi="宋体"/>
          <w:sz w:val="21"/>
        </w:rPr>
        <w:t>本文件规定了</w:t>
      </w:r>
      <w:bookmarkStart w:id="2" w:name="_Hlk97817350"/>
      <w:r>
        <w:rPr>
          <w:rFonts w:hint="eastAsia" w:ascii="宋体" w:hAnsi="宋体"/>
          <w:sz w:val="21"/>
        </w:rPr>
        <w:t>磷酸氢根四氨合铂</w:t>
      </w:r>
      <w:bookmarkEnd w:id="2"/>
      <w:r>
        <w:rPr>
          <w:rFonts w:hint="eastAsia" w:ascii="宋体" w:hAnsi="宋体"/>
          <w:sz w:val="21"/>
        </w:rPr>
        <w:t>的标记、技术要求、试验方法、检验规则、标志、包装、运输、贮存及随行文件和订货单内容。</w:t>
      </w:r>
    </w:p>
    <w:p>
      <w:pPr>
        <w:pStyle w:val="3"/>
        <w:ind w:firstLine="420"/>
        <w:jc w:val="both"/>
        <w:rPr>
          <w:rFonts w:ascii="宋体" w:hAnsi="宋体"/>
          <w:sz w:val="21"/>
        </w:rPr>
      </w:pPr>
      <w:r>
        <w:rPr>
          <w:rFonts w:hint="eastAsia" w:ascii="宋体" w:hAnsi="宋体"/>
          <w:sz w:val="21"/>
        </w:rPr>
        <w:t>本标准适用于载体催化剂制备以及电镀行业用的磷酸氢根四氨合铂。</w:t>
      </w:r>
    </w:p>
    <w:p>
      <w:pPr>
        <w:pStyle w:val="18"/>
        <w:numPr>
          <w:ilvl w:val="0"/>
          <w:numId w:val="0"/>
        </w:numPr>
        <w:spacing w:before="156" w:after="156"/>
        <w:ind w:firstLine="103" w:firstLineChars="49"/>
        <w:rPr>
          <w:rFonts w:hAnsi="黑体"/>
          <w:b/>
          <w:bCs/>
          <w:szCs w:val="21"/>
        </w:rPr>
      </w:pPr>
      <w:r>
        <w:rPr>
          <w:rFonts w:hint="eastAsia" w:hAnsi="黑体"/>
          <w:b/>
          <w:bCs/>
          <w:szCs w:val="21"/>
        </w:rPr>
        <w:t xml:space="preserve"> 2  规范性引用文件</w:t>
      </w:r>
    </w:p>
    <w:p>
      <w:pPr>
        <w:pStyle w:val="43"/>
        <w:rPr>
          <w:szCs w:val="21"/>
        </w:rPr>
      </w:pPr>
      <w:r>
        <w:rPr>
          <w:rFonts w:hint="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43"/>
        <w:rPr>
          <w:szCs w:val="21"/>
        </w:rPr>
      </w:pPr>
      <w:bookmarkStart w:id="3" w:name="_Hlk139284078"/>
      <w:r>
        <w:rPr>
          <w:rFonts w:hint="eastAsia"/>
          <w:szCs w:val="21"/>
        </w:rPr>
        <w:t>GB/T 191 包装储运图示标志</w:t>
      </w:r>
    </w:p>
    <w:p>
      <w:pPr>
        <w:pStyle w:val="43"/>
        <w:rPr>
          <w:szCs w:val="21"/>
        </w:rPr>
      </w:pPr>
      <w:r>
        <w:rPr>
          <w:szCs w:val="21"/>
        </w:rPr>
        <w:t>GB/T 8170 数值修约规则与极限数值的表示和判定</w:t>
      </w:r>
    </w:p>
    <w:bookmarkEnd w:id="3"/>
    <w:p>
      <w:pPr>
        <w:pStyle w:val="43"/>
        <w:rPr>
          <w:szCs w:val="21"/>
        </w:rPr>
      </w:pPr>
      <w:r>
        <w:rPr>
          <w:rFonts w:hint="eastAsia"/>
          <w:szCs w:val="21"/>
        </w:rPr>
        <w:t>YS</w:t>
      </w:r>
      <w:r>
        <w:rPr>
          <w:szCs w:val="21"/>
        </w:rPr>
        <w:t xml:space="preserve">/T </w:t>
      </w:r>
      <w:r>
        <w:rPr>
          <w:rFonts w:hint="eastAsia"/>
          <w:szCs w:val="21"/>
        </w:rPr>
        <w:t>646.1 铂化合物化学分析方法  第</w:t>
      </w:r>
      <w:r>
        <w:rPr>
          <w:szCs w:val="21"/>
        </w:rPr>
        <w:t>1</w:t>
      </w:r>
      <w:r>
        <w:rPr>
          <w:rFonts w:hint="eastAsia"/>
          <w:szCs w:val="21"/>
        </w:rPr>
        <w:t>部分：铂量的测定 高锰酸钾电流滴定法</w:t>
      </w:r>
    </w:p>
    <w:p>
      <w:pPr>
        <w:pStyle w:val="43"/>
        <w:rPr>
          <w:szCs w:val="21"/>
        </w:rPr>
      </w:pPr>
      <w:r>
        <w:rPr>
          <w:rFonts w:hint="eastAsia"/>
          <w:szCs w:val="21"/>
        </w:rPr>
        <w:t>YS</w:t>
      </w:r>
      <w:r>
        <w:rPr>
          <w:szCs w:val="21"/>
        </w:rPr>
        <w:t>/T</w:t>
      </w:r>
      <w:r>
        <w:rPr>
          <w:rFonts w:hint="eastAsia"/>
          <w:szCs w:val="21"/>
        </w:rPr>
        <w:t xml:space="preserve"> 646.2 铂化合物化学分析方法  第2部分：银、金、钯、铑、铱、钌、铅、镍、铜、铁、锡、铬、锌、镁、锰、铝、钙、钠、硅、铋、钾的测定 电感耦合等离子体原子发射光谱法</w:t>
      </w:r>
    </w:p>
    <w:p>
      <w:pPr>
        <w:pStyle w:val="18"/>
        <w:numPr>
          <w:ilvl w:val="0"/>
          <w:numId w:val="0"/>
        </w:numPr>
        <w:spacing w:before="156" w:after="156"/>
        <w:rPr>
          <w:rFonts w:hAnsi="黑体"/>
          <w:bCs/>
          <w:szCs w:val="21"/>
        </w:rPr>
      </w:pPr>
      <w:r>
        <w:rPr>
          <w:rFonts w:hint="eastAsia" w:hAnsi="黑体"/>
          <w:bCs/>
          <w:szCs w:val="21"/>
        </w:rPr>
        <w:t>3  术语和定义</w:t>
      </w:r>
    </w:p>
    <w:p>
      <w:pPr>
        <w:pStyle w:val="13"/>
        <w:ind w:firstLine="420"/>
        <w:jc w:val="left"/>
        <w:rPr>
          <w:rFonts w:hAnsi="宋体"/>
        </w:rPr>
      </w:pPr>
      <w:r>
        <w:rPr>
          <w:rFonts w:hint="eastAsia" w:hAnsi="宋体"/>
        </w:rPr>
        <w:t>本文件没有需要界定的术语和定义。</w:t>
      </w:r>
    </w:p>
    <w:p>
      <w:pPr>
        <w:pStyle w:val="18"/>
        <w:numPr>
          <w:ilvl w:val="0"/>
          <w:numId w:val="0"/>
        </w:numPr>
        <w:spacing w:before="156" w:after="156"/>
        <w:rPr>
          <w:rFonts w:hAnsi="黑体"/>
          <w:bCs/>
          <w:szCs w:val="21"/>
        </w:rPr>
      </w:pPr>
      <w:r>
        <w:rPr>
          <w:rFonts w:hint="eastAsia" w:hAnsi="黑体"/>
          <w:bCs/>
          <w:szCs w:val="21"/>
        </w:rPr>
        <w:t>4  标记</w:t>
      </w:r>
    </w:p>
    <w:p>
      <w:pPr>
        <w:pStyle w:val="13"/>
        <w:spacing w:line="360" w:lineRule="auto"/>
        <w:ind w:firstLine="0" w:firstLineChars="0"/>
        <w:rPr>
          <w:rFonts w:asciiTheme="minorEastAsia" w:hAnsiTheme="minorEastAsia"/>
        </w:rPr>
      </w:pPr>
      <w:r>
        <w:rPr>
          <w:rFonts w:hint="eastAsia" w:ascii="黑体" w:hAnsi="黑体" w:eastAsia="黑体" w:cs="Times New Roman"/>
          <w:bCs/>
          <w:szCs w:val="21"/>
        </w:rPr>
        <w:t xml:space="preserve"> </w:t>
      </w:r>
      <w:r>
        <w:rPr>
          <w:rFonts w:hint="eastAsia" w:ascii="黑体" w:hAnsi="黑体" w:eastAsia="黑体" w:cs="Times New Roman"/>
          <w:bCs/>
          <w:szCs w:val="21"/>
          <w:lang w:val="en-US" w:eastAsia="zh-CN"/>
        </w:rPr>
        <w:t xml:space="preserve">   </w:t>
      </w:r>
      <w:r>
        <w:rPr>
          <w:rFonts w:hint="eastAsia" w:cs="Times New Roman" w:asciiTheme="minorEastAsia" w:hAnsiTheme="minorEastAsia"/>
        </w:rPr>
        <w:t>产品名称：</w:t>
      </w:r>
      <w:bookmarkStart w:id="4" w:name="_Hlk114137465"/>
      <w:r>
        <w:rPr>
          <w:rFonts w:hint="eastAsia" w:hAnsi="宋体"/>
        </w:rPr>
        <w:t>磷酸氢根四氨合铂</w:t>
      </w:r>
      <w:bookmarkEnd w:id="4"/>
    </w:p>
    <w:p>
      <w:pPr>
        <w:pStyle w:val="13"/>
        <w:ind w:firstLine="420"/>
        <w:rPr>
          <w:rFonts w:ascii="Times New Roman" w:hAnsi="Times New Roman" w:cs="Times New Roman"/>
          <w:vertAlign w:val="subscript"/>
        </w:rPr>
      </w:pPr>
      <w:r>
        <w:rPr>
          <w:rFonts w:hint="eastAsia" w:cs="Times New Roman" w:asciiTheme="minorEastAsia" w:hAnsiTheme="minorEastAsia"/>
        </w:rPr>
        <w:t>化学式：</w:t>
      </w:r>
      <w:r>
        <w:rPr>
          <w:rFonts w:ascii="Times New Roman" w:hAnsi="Times New Roman" w:cs="Times New Roman"/>
        </w:rPr>
        <w:t>Pt(NH</w:t>
      </w:r>
      <w:r>
        <w:rPr>
          <w:rFonts w:ascii="Times New Roman" w:hAnsi="Times New Roman" w:cs="Times New Roman"/>
          <w:vertAlign w:val="subscript"/>
        </w:rPr>
        <w:t>3</w:t>
      </w:r>
      <w:r>
        <w:rPr>
          <w:rFonts w:ascii="Times New Roman" w:hAnsi="Times New Roman" w:cs="Times New Roman"/>
        </w:rPr>
        <w:t>)</w:t>
      </w:r>
      <w:r>
        <w:rPr>
          <w:rFonts w:ascii="Times New Roman" w:hAnsi="Times New Roman" w:cs="Times New Roman"/>
          <w:vertAlign w:val="subscript"/>
        </w:rPr>
        <w:t>4</w:t>
      </w:r>
      <w:r>
        <w:rPr>
          <w:rFonts w:ascii="Times New Roman" w:hAnsi="Times New Roman" w:cs="Times New Roman"/>
        </w:rPr>
        <w:t>HPO</w:t>
      </w:r>
      <w:r>
        <w:rPr>
          <w:rFonts w:ascii="Times New Roman" w:hAnsi="Times New Roman" w:cs="Times New Roman"/>
          <w:vertAlign w:val="subscript"/>
        </w:rPr>
        <w:t>4</w:t>
      </w:r>
    </w:p>
    <w:p>
      <w:pPr>
        <w:pStyle w:val="13"/>
        <w:spacing w:line="360" w:lineRule="auto"/>
        <w:ind w:firstLine="420" w:firstLineChars="200"/>
        <w:rPr>
          <w:rFonts w:hint="eastAsia" w:hAnsi="宋体"/>
          <w:lang w:val="en-US" w:eastAsia="zh-CN"/>
        </w:rPr>
      </w:pPr>
      <w:r>
        <w:rPr>
          <w:rFonts w:hint="eastAsia" w:hAnsi="宋体"/>
        </w:rPr>
        <w:t>磷酸氢根四氨合铂</w:t>
      </w:r>
      <w:r>
        <w:rPr>
          <w:rFonts w:hint="eastAsia" w:hAnsi="宋体"/>
          <w:lang w:val="en-US" w:eastAsia="zh-CN"/>
        </w:rPr>
        <w:t>标记示例：</w:t>
      </w:r>
    </w:p>
    <w:p>
      <w:pPr>
        <w:pStyle w:val="13"/>
        <w:ind w:firstLine="420"/>
        <w:rPr>
          <w:rFonts w:hint="eastAsia" w:hAnsi="宋体"/>
        </w:rPr>
      </w:pPr>
      <w:r>
        <w:rPr>
          <w:rFonts w:hint="eastAsia" w:hAnsi="宋体"/>
          <w:lang w:val="en-US" w:eastAsia="zh-CN"/>
        </w:rPr>
        <w:t>制造的磷酸</w:t>
      </w:r>
      <w:r>
        <w:rPr>
          <w:rFonts w:hint="eastAsia" w:hAnsi="宋体"/>
        </w:rPr>
        <w:t>氢根四氨合铂</w:t>
      </w:r>
      <w:r>
        <w:rPr>
          <w:rFonts w:hint="eastAsia" w:hAnsi="宋体"/>
          <w:lang w:val="en-US" w:eastAsia="zh-CN"/>
        </w:rPr>
        <w:t>产品标记为:YS/T XXX-</w:t>
      </w:r>
      <w:r>
        <w:rPr>
          <w:rFonts w:hint="eastAsia" w:hAnsi="宋体"/>
        </w:rPr>
        <w:t>Pt(NH</w:t>
      </w:r>
      <w:r>
        <w:rPr>
          <w:rFonts w:hint="eastAsia" w:hAnsi="宋体"/>
          <w:vertAlign w:val="subscript"/>
        </w:rPr>
        <w:t>3</w:t>
      </w:r>
      <w:r>
        <w:rPr>
          <w:rFonts w:hint="eastAsia" w:hAnsi="宋体"/>
        </w:rPr>
        <w:t>)</w:t>
      </w:r>
      <w:r>
        <w:rPr>
          <w:rFonts w:hint="eastAsia" w:hAnsi="宋体"/>
          <w:vertAlign w:val="subscript"/>
        </w:rPr>
        <w:t>4</w:t>
      </w:r>
      <w:r>
        <w:rPr>
          <w:rFonts w:hint="eastAsia" w:hAnsi="宋体"/>
        </w:rPr>
        <w:t>HPO</w:t>
      </w:r>
      <w:r>
        <w:rPr>
          <w:rFonts w:hint="eastAsia" w:hAnsi="宋体"/>
          <w:vertAlign w:val="subscript"/>
        </w:rPr>
        <w:t>4</w:t>
      </w:r>
    </w:p>
    <w:p>
      <w:pPr>
        <w:pStyle w:val="13"/>
        <w:spacing w:line="360" w:lineRule="auto"/>
        <w:ind w:firstLine="0" w:firstLineChars="0"/>
        <w:rPr>
          <w:rFonts w:ascii="黑体" w:hAnsi="黑体" w:eastAsia="黑体"/>
          <w:bCs/>
          <w:szCs w:val="21"/>
        </w:rPr>
      </w:pPr>
      <w:r>
        <w:rPr>
          <w:rFonts w:hint="eastAsia" w:ascii="黑体" w:hAnsi="黑体" w:eastAsia="黑体"/>
          <w:bCs/>
          <w:szCs w:val="21"/>
        </w:rPr>
        <w:t>5  技术要求</w:t>
      </w:r>
    </w:p>
    <w:p>
      <w:pPr>
        <w:pStyle w:val="13"/>
        <w:spacing w:line="360" w:lineRule="auto"/>
        <w:ind w:firstLine="0" w:firstLineChars="0"/>
        <w:rPr>
          <w:rFonts w:ascii="黑体" w:hAnsi="黑体" w:eastAsia="黑体" w:cs="Times New Roman"/>
          <w:bCs/>
          <w:szCs w:val="21"/>
        </w:rPr>
      </w:pPr>
      <w:r>
        <w:rPr>
          <w:rFonts w:hint="eastAsia" w:ascii="黑体" w:hAnsi="黑体" w:eastAsia="黑体" w:cs="Times New Roman"/>
          <w:bCs/>
          <w:szCs w:val="21"/>
        </w:rPr>
        <w:t>5.1 化学成分</w:t>
      </w:r>
    </w:p>
    <w:p>
      <w:pPr>
        <w:pStyle w:val="13"/>
        <w:spacing w:line="360" w:lineRule="auto"/>
        <w:ind w:firstLine="0" w:firstLineChars="0"/>
        <w:rPr>
          <w:rFonts w:hAnsi="Calibri" w:eastAsia="宋体" w:cs="Times New Roman"/>
          <w:bCs/>
          <w:szCs w:val="21"/>
        </w:rPr>
      </w:pPr>
      <w:r>
        <w:rPr>
          <w:rFonts w:hint="eastAsia" w:hAnsi="Calibri" w:eastAsia="宋体" w:cs="Times New Roman"/>
          <w:bCs/>
          <w:szCs w:val="21"/>
        </w:rPr>
        <w:t xml:space="preserve">    产品的化学成分应符合表1的规定。</w:t>
      </w:r>
    </w:p>
    <w:p>
      <w:pPr>
        <w:pStyle w:val="13"/>
        <w:ind w:right="420" w:firstLine="2310" w:firstLineChars="1100"/>
        <w:rPr>
          <w:rFonts w:hAnsi="Calibri" w:eastAsia="宋体" w:cs="Times New Roman"/>
          <w:bCs/>
          <w:sz w:val="18"/>
          <w:szCs w:val="18"/>
        </w:rPr>
      </w:pPr>
      <w:r>
        <w:rPr>
          <w:rFonts w:hint="eastAsia" w:ascii="黑体" w:hAnsi="黑体" w:eastAsia="黑体" w:cs="Times New Roman"/>
          <w:bCs/>
        </w:rPr>
        <w:t>表1  磷酸氢根四氨合铂化学成分</w:t>
      </w:r>
      <w:r>
        <w:rPr>
          <w:rFonts w:hint="eastAsia" w:hAnsi="Calibri" w:eastAsia="宋体" w:cs="Times New Roman"/>
          <w:bCs/>
        </w:rPr>
        <w:t xml:space="preserve">   </w:t>
      </w:r>
      <w:r>
        <w:rPr>
          <w:rFonts w:hint="eastAsia" w:hAnsi="Calibri" w:eastAsia="宋体" w:cs="Times New Roman"/>
          <w:b/>
          <w:bCs/>
        </w:rPr>
        <w:t xml:space="preserve">                     </w:t>
      </w:r>
      <w:r>
        <w:rPr>
          <w:rFonts w:hAnsi="Calibri" w:eastAsia="宋体" w:cs="Times New Roman"/>
          <w:b/>
          <w:bCs/>
        </w:rPr>
        <w:t xml:space="preserve"> </w:t>
      </w:r>
      <w:r>
        <w:rPr>
          <w:rFonts w:hint="eastAsia" w:hAnsi="Calibri" w:eastAsia="宋体" w:cs="Times New Roman"/>
          <w:sz w:val="18"/>
          <w:szCs w:val="18"/>
        </w:rPr>
        <w:t>质量分数/ %</w:t>
      </w:r>
    </w:p>
    <w:tbl>
      <w:tblPr>
        <w:tblStyle w:val="8"/>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689"/>
        <w:gridCol w:w="689"/>
        <w:gridCol w:w="689"/>
        <w:gridCol w:w="689"/>
        <w:gridCol w:w="690"/>
        <w:gridCol w:w="689"/>
        <w:gridCol w:w="689"/>
        <w:gridCol w:w="689"/>
        <w:gridCol w:w="689"/>
        <w:gridCol w:w="689"/>
        <w:gridCol w:w="584"/>
        <w:gridCol w:w="584"/>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vAlign w:val="center"/>
          </w:tcPr>
          <w:p>
            <w:pPr>
              <w:pStyle w:val="13"/>
              <w:widowControl w:val="0"/>
              <w:ind w:firstLine="210" w:firstLineChars="100"/>
              <w:jc w:val="left"/>
              <w:rPr>
                <w:rFonts w:ascii="Times New Roman" w:hAnsi="Times New Roman" w:cs="Times New Roman"/>
              </w:rPr>
            </w:pPr>
            <w:r>
              <w:rPr>
                <w:rFonts w:ascii="Times New Roman" w:hAnsi="Times New Roman" w:cs="Times New Roman"/>
              </w:rPr>
              <w:t>Pt</w:t>
            </w:r>
          </w:p>
        </w:tc>
        <w:tc>
          <w:tcPr>
            <w:tcW w:w="8987" w:type="dxa"/>
            <w:gridSpan w:val="13"/>
            <w:vAlign w:val="center"/>
          </w:tcPr>
          <w:p>
            <w:pPr>
              <w:pStyle w:val="13"/>
              <w:widowControl w:val="0"/>
              <w:ind w:firstLine="3150" w:firstLineChars="1500"/>
              <w:rPr>
                <w:rFonts w:asciiTheme="minorEastAsia" w:hAnsiTheme="minorEastAsia"/>
              </w:rPr>
            </w:pPr>
            <w:r>
              <w:rPr>
                <w:rFonts w:hint="eastAsia" w:asciiTheme="minorEastAsia" w:hAnsiTheme="minorEastAsia"/>
              </w:rPr>
              <w:t xml:space="preserve">杂质元素，不大于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vAlign w:val="center"/>
          </w:tcPr>
          <w:p>
            <w:pPr>
              <w:pStyle w:val="13"/>
              <w:widowControl w:val="0"/>
              <w:ind w:firstLine="0" w:firstLineChars="0"/>
              <w:rPr>
                <w:rFonts w:ascii="Times New Roman" w:hAnsi="Times New Roman" w:cs="Times New Roman"/>
              </w:rPr>
            </w:pP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Ag</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Au</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Pd</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Rh</w:t>
            </w:r>
          </w:p>
        </w:tc>
        <w:tc>
          <w:tcPr>
            <w:tcW w:w="691"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Ir</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Pb</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Ni</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Cu</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Fe</w:t>
            </w:r>
          </w:p>
        </w:tc>
        <w:tc>
          <w:tcPr>
            <w:tcW w:w="689"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Al</w:t>
            </w:r>
          </w:p>
        </w:tc>
        <w:tc>
          <w:tcPr>
            <w:tcW w:w="584" w:type="dxa"/>
            <w:vAlign w:val="center"/>
          </w:tcPr>
          <w:p>
            <w:pPr>
              <w:pStyle w:val="13"/>
              <w:widowControl w:val="0"/>
              <w:ind w:firstLine="0" w:firstLineChars="0"/>
              <w:rPr>
                <w:rFonts w:ascii="Times New Roman" w:hAnsi="Times New Roman" w:cs="Times New Roman"/>
              </w:rPr>
            </w:pPr>
            <w:r>
              <w:rPr>
                <w:rFonts w:hint="eastAsia" w:ascii="Times New Roman" w:hAnsi="Times New Roman" w:cs="Times New Roman"/>
              </w:rPr>
              <w:t>N</w:t>
            </w:r>
            <w:r>
              <w:rPr>
                <w:rFonts w:ascii="Times New Roman" w:hAnsi="Times New Roman" w:cs="Times New Roman"/>
              </w:rPr>
              <w:t>a</w:t>
            </w:r>
          </w:p>
        </w:tc>
        <w:tc>
          <w:tcPr>
            <w:tcW w:w="584" w:type="dxa"/>
            <w:vAlign w:val="center"/>
          </w:tcPr>
          <w:p>
            <w:pPr>
              <w:pStyle w:val="13"/>
              <w:widowControl w:val="0"/>
              <w:ind w:firstLine="0" w:firstLineChars="0"/>
              <w:rPr>
                <w:rFonts w:ascii="Times New Roman" w:hAnsi="Times New Roman" w:cs="Times New Roman"/>
              </w:rPr>
            </w:pPr>
            <w:r>
              <w:rPr>
                <w:rFonts w:hint="eastAsia" w:ascii="Times New Roman" w:hAnsi="Times New Roman" w:cs="Times New Roman"/>
              </w:rPr>
              <w:t>K</w:t>
            </w:r>
          </w:p>
        </w:tc>
        <w:tc>
          <w:tcPr>
            <w:tcW w:w="927" w:type="dxa"/>
            <w:vAlign w:val="center"/>
          </w:tcPr>
          <w:p>
            <w:pPr>
              <w:pStyle w:val="13"/>
              <w:widowControl w:val="0"/>
              <w:ind w:firstLine="0" w:firstLineChars="0"/>
              <w:rPr>
                <w:rFonts w:ascii="Times New Roman" w:hAnsi="Times New Roman" w:cs="Times New Roman"/>
              </w:rPr>
            </w:pPr>
            <w:r>
              <w:rPr>
                <w:rFonts w:hint="eastAsia" w:hAnsi="宋体" w:eastAsia="宋体"/>
                <w:sz w:val="18"/>
                <w:szCs w:val="18"/>
              </w:rPr>
              <w:t>杂质元素总量</w:t>
            </w:r>
            <w:r>
              <w:rPr>
                <w:rFonts w:hint="eastAsia"/>
                <w:sz w:val="18"/>
                <w:szCs w:val="18"/>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pPr>
              <w:pStyle w:val="13"/>
              <w:widowControl w:val="0"/>
              <w:ind w:firstLine="0" w:firstLineChars="0"/>
              <w:rPr>
                <w:rFonts w:ascii="Times New Roman" w:hAnsi="Times New Roman" w:cs="Times New Roman"/>
              </w:rPr>
            </w:pPr>
            <w:r>
              <w:rPr>
                <w:rFonts w:ascii="Times New Roman" w:hAnsi="Times New Roman" w:cs="Times New Roman"/>
              </w:rPr>
              <w:t>53.90</w:t>
            </w:r>
            <w:r>
              <w:rPr>
                <w:rFonts w:ascii="Times New Roman" w:hAnsi="Times New Roman" w:cs="Times New Roman"/>
                <w:szCs w:val="21"/>
              </w:rPr>
              <w:t>～</w:t>
            </w:r>
            <w:r>
              <w:rPr>
                <w:rFonts w:ascii="Times New Roman" w:hAnsi="Times New Roman" w:cs="Times New Roman"/>
              </w:rPr>
              <w:t>54.33</w:t>
            </w:r>
          </w:p>
        </w:tc>
        <w:tc>
          <w:tcPr>
            <w:tcW w:w="689" w:type="dxa"/>
            <w:vAlign w:val="center"/>
          </w:tcPr>
          <w:p>
            <w:pPr>
              <w:pStyle w:val="13"/>
              <w:widowControl w:val="0"/>
              <w:ind w:firstLine="0" w:firstLineChars="0"/>
              <w:jc w:val="center"/>
              <w:rPr>
                <w:rFonts w:ascii="Times New Roman" w:hAnsi="Times New Roman" w:cs="Times New Roman"/>
              </w:rPr>
            </w:pPr>
            <w:r>
              <w:rPr>
                <w:rFonts w:ascii="Times New Roman" w:hAnsi="Times New Roman" w:cs="Times New Roman"/>
                <w:szCs w:val="24"/>
              </w:rPr>
              <w:t>0.005</w:t>
            </w:r>
          </w:p>
        </w:tc>
        <w:tc>
          <w:tcPr>
            <w:tcW w:w="689" w:type="dxa"/>
            <w:vAlign w:val="center"/>
          </w:tcPr>
          <w:p>
            <w:pPr>
              <w:jc w:val="center"/>
            </w:pPr>
            <w:r>
              <w:t>0.005</w:t>
            </w:r>
          </w:p>
        </w:tc>
        <w:tc>
          <w:tcPr>
            <w:tcW w:w="689" w:type="dxa"/>
            <w:vAlign w:val="center"/>
          </w:tcPr>
          <w:p>
            <w:pPr>
              <w:jc w:val="center"/>
            </w:pPr>
            <w:r>
              <w:t>0.005</w:t>
            </w:r>
          </w:p>
        </w:tc>
        <w:tc>
          <w:tcPr>
            <w:tcW w:w="689" w:type="dxa"/>
            <w:vAlign w:val="center"/>
          </w:tcPr>
          <w:p>
            <w:pPr>
              <w:jc w:val="center"/>
            </w:pPr>
            <w:r>
              <w:t>0.005</w:t>
            </w:r>
          </w:p>
        </w:tc>
        <w:tc>
          <w:tcPr>
            <w:tcW w:w="691" w:type="dxa"/>
            <w:vAlign w:val="center"/>
          </w:tcPr>
          <w:p>
            <w:pPr>
              <w:jc w:val="center"/>
            </w:pPr>
            <w:r>
              <w:t>0.005</w:t>
            </w:r>
          </w:p>
        </w:tc>
        <w:tc>
          <w:tcPr>
            <w:tcW w:w="689" w:type="dxa"/>
            <w:vAlign w:val="center"/>
          </w:tcPr>
          <w:p>
            <w:pPr>
              <w:jc w:val="center"/>
            </w:pPr>
            <w:r>
              <w:t>0.005</w:t>
            </w:r>
          </w:p>
        </w:tc>
        <w:tc>
          <w:tcPr>
            <w:tcW w:w="689" w:type="dxa"/>
            <w:vAlign w:val="center"/>
          </w:tcPr>
          <w:p>
            <w:pPr>
              <w:jc w:val="center"/>
            </w:pPr>
            <w:r>
              <w:t>0.005</w:t>
            </w:r>
          </w:p>
        </w:tc>
        <w:tc>
          <w:tcPr>
            <w:tcW w:w="689" w:type="dxa"/>
            <w:vAlign w:val="center"/>
          </w:tcPr>
          <w:p>
            <w:pPr>
              <w:jc w:val="center"/>
            </w:pPr>
            <w:r>
              <w:t>0.005</w:t>
            </w:r>
          </w:p>
        </w:tc>
        <w:tc>
          <w:tcPr>
            <w:tcW w:w="689" w:type="dxa"/>
            <w:vAlign w:val="center"/>
          </w:tcPr>
          <w:p>
            <w:pPr>
              <w:jc w:val="center"/>
            </w:pPr>
            <w:r>
              <w:t>0.005</w:t>
            </w:r>
          </w:p>
        </w:tc>
        <w:tc>
          <w:tcPr>
            <w:tcW w:w="689" w:type="dxa"/>
            <w:vAlign w:val="center"/>
          </w:tcPr>
          <w:p>
            <w:pPr>
              <w:jc w:val="center"/>
            </w:pPr>
            <w:r>
              <w:t>0.005</w:t>
            </w:r>
          </w:p>
        </w:tc>
        <w:tc>
          <w:tcPr>
            <w:tcW w:w="584" w:type="dxa"/>
            <w:vAlign w:val="center"/>
          </w:tcPr>
          <w:p>
            <w:r>
              <w:t>0.05</w:t>
            </w:r>
          </w:p>
        </w:tc>
        <w:tc>
          <w:tcPr>
            <w:tcW w:w="584" w:type="dxa"/>
            <w:vAlign w:val="center"/>
          </w:tcPr>
          <w:p>
            <w:r>
              <w:t>0.05</w:t>
            </w:r>
          </w:p>
        </w:tc>
        <w:tc>
          <w:tcPr>
            <w:tcW w:w="927" w:type="dxa"/>
            <w:vAlign w:val="center"/>
          </w:tcPr>
          <w:p>
            <w:pPr>
              <w:ind w:firstLine="210" w:firstLineChars="100"/>
            </w:pPr>
            <w: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81" w:type="dxa"/>
            <w:gridSpan w:val="14"/>
            <w:vAlign w:val="center"/>
          </w:tcPr>
          <w:p>
            <w:r>
              <w:rPr>
                <w:sz w:val="18"/>
                <w:szCs w:val="18"/>
                <w:vertAlign w:val="superscript"/>
              </w:rPr>
              <w:t>a</w:t>
            </w:r>
            <w:r>
              <w:rPr>
                <w:rFonts w:hint="eastAsia"/>
                <w:sz w:val="18"/>
                <w:szCs w:val="18"/>
                <w:vertAlign w:val="superscript"/>
              </w:rPr>
              <w:t xml:space="preserve"> </w:t>
            </w:r>
            <w:r>
              <w:rPr>
                <w:rFonts w:hint="eastAsia"/>
                <w:sz w:val="18"/>
                <w:szCs w:val="18"/>
              </w:rPr>
              <w:t>杂质元素总量包括但不限于表中所列杂质元素。</w:t>
            </w:r>
          </w:p>
        </w:tc>
      </w:tr>
    </w:tbl>
    <w:p>
      <w:pPr>
        <w:pStyle w:val="13"/>
        <w:spacing w:line="360" w:lineRule="auto"/>
        <w:ind w:firstLine="0" w:firstLineChars="0"/>
        <w:rPr>
          <w:rFonts w:hint="eastAsia" w:ascii="黑体" w:hAnsi="黑体" w:eastAsia="黑体" w:cs="Times New Roman"/>
          <w:bCs/>
          <w:szCs w:val="21"/>
          <w:lang w:eastAsia="zh-CN"/>
        </w:rPr>
      </w:pPr>
      <w:r>
        <w:rPr>
          <w:rFonts w:hint="eastAsia" w:ascii="黑体" w:hAnsi="黑体" w:eastAsia="黑体" w:cs="Times New Roman"/>
          <w:bCs/>
          <w:szCs w:val="21"/>
        </w:rPr>
        <w:t>5.2  溶解</w:t>
      </w:r>
      <w:r>
        <w:rPr>
          <w:rFonts w:hint="eastAsia" w:ascii="黑体" w:hAnsi="黑体" w:eastAsia="黑体" w:cs="Times New Roman"/>
          <w:bCs/>
          <w:szCs w:val="21"/>
          <w:lang w:val="en-US" w:eastAsia="zh-CN"/>
        </w:rPr>
        <w:t>性</w:t>
      </w:r>
    </w:p>
    <w:p>
      <w:pPr>
        <w:pStyle w:val="13"/>
        <w:spacing w:line="360" w:lineRule="auto"/>
        <w:ind w:firstLine="0" w:firstLineChars="0"/>
        <w:rPr>
          <w:rFonts w:ascii="黑体" w:hAnsi="宋体" w:eastAsia="黑体" w:cs="Times New Roman"/>
          <w:b/>
          <w:bCs/>
          <w:szCs w:val="21"/>
        </w:rPr>
      </w:pPr>
      <w:r>
        <w:rPr>
          <w:rFonts w:hint="eastAsia" w:ascii="黑体" w:hAnsi="宋体" w:eastAsia="黑体" w:cs="Times New Roman"/>
          <w:b/>
          <w:bCs/>
          <w:szCs w:val="21"/>
        </w:rPr>
        <w:t xml:space="preserve">     </w:t>
      </w:r>
      <w:r>
        <w:rPr>
          <w:rFonts w:hint="eastAsia" w:hAnsi="宋体" w:eastAsia="宋体" w:cs="Times New Roman"/>
          <w:bCs/>
          <w:szCs w:val="21"/>
        </w:rPr>
        <w:t>产品</w:t>
      </w:r>
      <w:r>
        <w:rPr>
          <w:rFonts w:hint="eastAsia" w:hAnsi="宋体" w:eastAsia="宋体" w:cs="Times New Roman"/>
          <w:szCs w:val="21"/>
        </w:rPr>
        <w:t>溶解后应澄清透亮，无目视可见不溶物。</w:t>
      </w:r>
    </w:p>
    <w:p>
      <w:pPr>
        <w:pStyle w:val="13"/>
        <w:spacing w:line="360" w:lineRule="auto"/>
        <w:ind w:firstLine="0" w:firstLineChars="0"/>
        <w:rPr>
          <w:rFonts w:ascii="黑体" w:hAnsi="黑体" w:eastAsia="黑体" w:cs="Times New Roman"/>
          <w:bCs/>
          <w:szCs w:val="21"/>
        </w:rPr>
      </w:pPr>
      <w:r>
        <w:rPr>
          <w:rFonts w:hint="eastAsia" w:ascii="黑体" w:hAnsi="黑体" w:eastAsia="黑体" w:cs="Times New Roman"/>
          <w:bCs/>
          <w:szCs w:val="21"/>
        </w:rPr>
        <w:t>5.3  外观质量</w:t>
      </w:r>
    </w:p>
    <w:p>
      <w:pPr>
        <w:pStyle w:val="13"/>
        <w:spacing w:line="360" w:lineRule="auto"/>
        <w:ind w:firstLine="0" w:firstLineChars="0"/>
        <w:rPr>
          <w:rFonts w:hAnsi="宋体" w:eastAsia="宋体" w:cs="Times New Roman"/>
          <w:szCs w:val="21"/>
        </w:rPr>
      </w:pPr>
      <w:r>
        <w:rPr>
          <w:rFonts w:hint="eastAsia" w:hAnsi="宋体" w:eastAsia="宋体" w:cs="Times New Roman"/>
          <w:b/>
          <w:bCs/>
          <w:szCs w:val="21"/>
        </w:rPr>
        <w:t xml:space="preserve">     </w:t>
      </w:r>
      <w:r>
        <w:rPr>
          <w:rFonts w:hint="eastAsia" w:hAnsi="宋体" w:eastAsia="宋体" w:cs="Times New Roman"/>
          <w:bCs/>
          <w:szCs w:val="21"/>
        </w:rPr>
        <w:t>产品应</w:t>
      </w:r>
      <w:r>
        <w:rPr>
          <w:rFonts w:hint="eastAsia" w:hAnsi="宋体" w:eastAsia="宋体" w:cs="Times New Roman"/>
          <w:szCs w:val="21"/>
        </w:rPr>
        <w:t>为白色晶体。</w:t>
      </w:r>
    </w:p>
    <w:p>
      <w:pPr>
        <w:pStyle w:val="18"/>
        <w:numPr>
          <w:ilvl w:val="0"/>
          <w:numId w:val="0"/>
        </w:numPr>
        <w:spacing w:beforeLines="0" w:afterLines="0" w:line="360" w:lineRule="auto"/>
        <w:outlineLvl w:val="9"/>
        <w:rPr>
          <w:rFonts w:hAnsi="黑体"/>
          <w:bCs/>
          <w:szCs w:val="21"/>
        </w:rPr>
      </w:pPr>
      <w:r>
        <w:rPr>
          <w:rFonts w:hint="eastAsia" w:hAnsi="黑体"/>
          <w:bCs/>
          <w:szCs w:val="21"/>
        </w:rPr>
        <w:t>6  试验方法</w:t>
      </w:r>
    </w:p>
    <w:p>
      <w:pPr>
        <w:pStyle w:val="13"/>
        <w:spacing w:line="360" w:lineRule="auto"/>
        <w:ind w:firstLine="0" w:firstLineChars="0"/>
        <w:rPr>
          <w:rFonts w:ascii="黑体" w:hAnsi="黑体" w:eastAsia="黑体"/>
        </w:rPr>
      </w:pPr>
      <w:r>
        <w:rPr>
          <w:rFonts w:hint="eastAsia" w:ascii="黑体" w:hAnsi="黑体" w:eastAsia="黑体"/>
        </w:rPr>
        <w:t>6.1 化学成分</w:t>
      </w:r>
    </w:p>
    <w:p>
      <w:pPr>
        <w:autoSpaceDE w:val="0"/>
        <w:autoSpaceDN w:val="0"/>
        <w:adjustRightInd w:val="0"/>
        <w:jc w:val="left"/>
        <w:rPr>
          <w:rFonts w:ascii="宋体" w:cs="宋体"/>
          <w:kern w:val="0"/>
          <w:szCs w:val="21"/>
        </w:rPr>
      </w:pPr>
      <w:r>
        <w:rPr>
          <w:rFonts w:hint="eastAsia" w:ascii="黑体" w:hAnsi="黑体" w:eastAsia="黑体" w:cs="宋体"/>
          <w:kern w:val="0"/>
          <w:szCs w:val="21"/>
        </w:rPr>
        <w:t xml:space="preserve">6.1.1 </w:t>
      </w:r>
      <w:r>
        <w:rPr>
          <w:rFonts w:hint="eastAsia" w:ascii="宋体" w:hAnsi="宋体"/>
        </w:rPr>
        <w:t>铂质量分数的测定按</w:t>
      </w:r>
      <w:r>
        <w:rPr>
          <w:rFonts w:ascii="宋体" w:hAnsi="宋体"/>
        </w:rPr>
        <w:t>YS/T 646.1</w:t>
      </w:r>
      <w:r>
        <w:rPr>
          <w:rFonts w:hint="eastAsia" w:ascii="宋体" w:hAnsi="宋体"/>
        </w:rPr>
        <w:t>的规定进行。</w:t>
      </w:r>
    </w:p>
    <w:p>
      <w:pPr>
        <w:rPr>
          <w:rFonts w:ascii="宋体" w:hAnsi="宋体"/>
        </w:rPr>
      </w:pPr>
      <w:r>
        <w:rPr>
          <w:rFonts w:hint="eastAsia" w:ascii="黑体" w:hAnsi="黑体" w:eastAsia="黑体" w:cs="宋体"/>
          <w:kern w:val="0"/>
          <w:szCs w:val="21"/>
        </w:rPr>
        <w:t xml:space="preserve">6.1.2 </w:t>
      </w:r>
      <w:r>
        <w:rPr>
          <w:rFonts w:hint="eastAsia" w:ascii="宋体" w:hAnsi="宋体"/>
        </w:rPr>
        <w:t>杂质元素质量分数的测定按</w:t>
      </w:r>
      <w:r>
        <w:rPr>
          <w:rFonts w:ascii="宋体" w:hAnsi="宋体"/>
        </w:rPr>
        <w:t>YS/T 6</w:t>
      </w:r>
      <w:r>
        <w:rPr>
          <w:rFonts w:hint="eastAsia" w:hAnsi="宋体"/>
        </w:rPr>
        <w:t>46.2</w:t>
      </w:r>
      <w:r>
        <w:rPr>
          <w:rFonts w:hint="eastAsia" w:ascii="宋体" w:hAnsi="宋体"/>
        </w:rPr>
        <w:t>的规定的进行。</w:t>
      </w:r>
    </w:p>
    <w:p>
      <w:pPr>
        <w:autoSpaceDE w:val="0"/>
        <w:autoSpaceDN w:val="0"/>
        <w:adjustRightInd w:val="0"/>
        <w:spacing w:line="360" w:lineRule="auto"/>
        <w:jc w:val="left"/>
        <w:rPr>
          <w:rFonts w:ascii="黑体" w:hAnsi="黑体" w:eastAsia="黑体"/>
          <w:bCs/>
        </w:rPr>
      </w:pPr>
      <w:r>
        <w:rPr>
          <w:rFonts w:hint="eastAsia" w:ascii="黑体" w:hAnsi="黑体" w:eastAsia="黑体"/>
          <w:bCs/>
        </w:rPr>
        <w:t>6.2 溶解试验</w:t>
      </w:r>
    </w:p>
    <w:p>
      <w:pPr>
        <w:autoSpaceDE w:val="0"/>
        <w:autoSpaceDN w:val="0"/>
        <w:adjustRightInd w:val="0"/>
        <w:ind w:firstLine="315" w:firstLineChars="150"/>
        <w:jc w:val="left"/>
        <w:rPr>
          <w:rFonts w:ascii="宋体" w:cs="宋体"/>
          <w:kern w:val="0"/>
          <w:szCs w:val="21"/>
        </w:rPr>
      </w:pPr>
      <w:r>
        <w:rPr>
          <w:rFonts w:hint="eastAsia" w:ascii="宋体" w:cs="宋体"/>
          <w:kern w:val="0"/>
          <w:szCs w:val="21"/>
        </w:rPr>
        <w:t>称取</w:t>
      </w:r>
      <w:r>
        <w:rPr>
          <w:rFonts w:ascii="宋体" w:cs="宋体"/>
          <w:kern w:val="0"/>
          <w:szCs w:val="21"/>
        </w:rPr>
        <w:t>1g</w:t>
      </w:r>
      <w:r>
        <w:rPr>
          <w:rFonts w:hint="eastAsia" w:ascii="宋体" w:cs="宋体"/>
          <w:kern w:val="0"/>
          <w:szCs w:val="21"/>
        </w:rPr>
        <w:t>产品</w:t>
      </w:r>
      <w:r>
        <w:rPr>
          <w:rFonts w:ascii="宋体" w:cs="宋体"/>
          <w:kern w:val="0"/>
          <w:szCs w:val="21"/>
        </w:rPr>
        <w:t>(</w:t>
      </w:r>
      <w:r>
        <w:rPr>
          <w:rFonts w:hint="eastAsia" w:ascii="宋体" w:cs="宋体"/>
          <w:kern w:val="0"/>
          <w:szCs w:val="21"/>
        </w:rPr>
        <w:t>精确到</w:t>
      </w:r>
      <w:r>
        <w:rPr>
          <w:rFonts w:ascii="宋体" w:cs="宋体"/>
          <w:kern w:val="0"/>
          <w:szCs w:val="21"/>
        </w:rPr>
        <w:t>0</w:t>
      </w:r>
      <w:r>
        <w:rPr>
          <w:rFonts w:hint="eastAsia" w:ascii="宋体" w:cs="宋体"/>
          <w:kern w:val="0"/>
          <w:szCs w:val="21"/>
        </w:rPr>
        <w:t>.</w:t>
      </w:r>
      <w:r>
        <w:rPr>
          <w:rFonts w:ascii="宋体" w:cs="宋体"/>
          <w:kern w:val="0"/>
          <w:szCs w:val="21"/>
        </w:rPr>
        <w:t>01g)</w:t>
      </w:r>
      <w:r>
        <w:rPr>
          <w:rFonts w:hint="eastAsia" w:ascii="宋体" w:cs="宋体"/>
          <w:kern w:val="0"/>
          <w:szCs w:val="21"/>
        </w:rPr>
        <w:t>，用</w:t>
      </w:r>
      <w:r>
        <w:rPr>
          <w:rFonts w:ascii="宋体" w:cs="宋体"/>
          <w:kern w:val="0"/>
          <w:szCs w:val="21"/>
        </w:rPr>
        <w:t>100mL</w:t>
      </w:r>
      <w:r>
        <w:rPr>
          <w:rFonts w:hint="eastAsia" w:ascii="宋体" w:cs="宋体"/>
          <w:kern w:val="0"/>
          <w:szCs w:val="21"/>
        </w:rPr>
        <w:t>去离子水溶解，溶液应澄清透明。</w:t>
      </w:r>
    </w:p>
    <w:p>
      <w:pPr>
        <w:spacing w:line="360" w:lineRule="auto"/>
        <w:rPr>
          <w:rFonts w:ascii="黑体" w:hAnsi="黑体" w:eastAsia="黑体"/>
        </w:rPr>
      </w:pPr>
      <w:r>
        <w:rPr>
          <w:rFonts w:hint="eastAsia" w:ascii="黑体" w:hAnsi="黑体" w:eastAsia="黑体"/>
          <w:bCs/>
        </w:rPr>
        <w:t xml:space="preserve">6.3 </w:t>
      </w:r>
      <w:r>
        <w:rPr>
          <w:rFonts w:hint="eastAsia" w:ascii="黑体" w:hAnsi="黑体" w:eastAsia="黑体"/>
        </w:rPr>
        <w:t>外观质量</w:t>
      </w:r>
    </w:p>
    <w:p>
      <w:pPr>
        <w:ind w:firstLine="210" w:firstLineChars="100"/>
        <w:rPr>
          <w:rFonts w:ascii="宋体" w:hAnsi="宋体"/>
        </w:rPr>
      </w:pPr>
      <w:r>
        <w:rPr>
          <w:rFonts w:hint="eastAsia" w:ascii="宋体" w:hAnsi="宋体"/>
        </w:rPr>
        <w:t>采用目视检查。</w:t>
      </w:r>
    </w:p>
    <w:p>
      <w:pPr>
        <w:pStyle w:val="17"/>
        <w:numPr>
          <w:ilvl w:val="0"/>
          <w:numId w:val="0"/>
        </w:numPr>
        <w:spacing w:beforeLines="0" w:afterLines="0" w:line="360" w:lineRule="auto"/>
        <w:rPr>
          <w:rFonts w:hAnsi="黑体"/>
          <w:bCs/>
        </w:rPr>
      </w:pPr>
      <w:r>
        <w:rPr>
          <w:rFonts w:hint="eastAsia" w:hAnsi="黑体"/>
          <w:bCs/>
        </w:rPr>
        <w:t>7  检验规则</w:t>
      </w:r>
    </w:p>
    <w:p>
      <w:pPr>
        <w:pStyle w:val="17"/>
        <w:numPr>
          <w:ilvl w:val="0"/>
          <w:numId w:val="0"/>
        </w:numPr>
        <w:spacing w:beforeLines="0" w:afterLines="0" w:line="360" w:lineRule="auto"/>
        <w:rPr>
          <w:rFonts w:hAnsi="黑体"/>
          <w:bCs/>
        </w:rPr>
      </w:pPr>
      <w:r>
        <w:rPr>
          <w:rFonts w:hint="eastAsia" w:hAnsi="黑体"/>
          <w:bCs/>
        </w:rPr>
        <w:t>7.1 检查和验收</w:t>
      </w:r>
    </w:p>
    <w:p>
      <w:pPr>
        <w:pStyle w:val="16"/>
        <w:numPr>
          <w:ilvl w:val="0"/>
          <w:numId w:val="0"/>
        </w:numPr>
        <w:spacing w:before="156" w:after="156"/>
        <w:rPr>
          <w:rFonts w:ascii="宋体" w:hAnsi="宋体" w:eastAsia="宋体"/>
        </w:rPr>
      </w:pPr>
      <w:r>
        <w:rPr>
          <w:rFonts w:hint="eastAsia" w:hAnsi="黑体" w:cs="宋体"/>
          <w:kern w:val="0"/>
          <w:szCs w:val="21"/>
        </w:rPr>
        <w:t xml:space="preserve">7.1.1 </w:t>
      </w:r>
      <w:r>
        <w:rPr>
          <w:rFonts w:hint="eastAsia" w:ascii="宋体" w:hAnsi="宋体" w:eastAsia="宋体"/>
        </w:rPr>
        <w:t>产品由供方进行检验，保证产品质量符合本文件及订货单的规定。</w:t>
      </w:r>
    </w:p>
    <w:p>
      <w:pPr>
        <w:pStyle w:val="16"/>
        <w:numPr>
          <w:ilvl w:val="0"/>
          <w:numId w:val="0"/>
        </w:numPr>
        <w:spacing w:before="156" w:after="156"/>
        <w:rPr>
          <w:rFonts w:ascii="宋体" w:hAnsi="宋体" w:eastAsia="宋体"/>
        </w:rPr>
      </w:pPr>
      <w:r>
        <w:rPr>
          <w:rFonts w:hint="eastAsia" w:hAnsi="黑体" w:cs="Times New Roman"/>
          <w:bCs/>
          <w:szCs w:val="24"/>
        </w:rPr>
        <w:t>7.1.2</w:t>
      </w:r>
      <w:r>
        <w:rPr>
          <w:rFonts w:hint="eastAsia" w:hAnsi="黑体" w:cs="Times New Roman"/>
          <w:b/>
          <w:bCs/>
          <w:szCs w:val="24"/>
        </w:rPr>
        <w:t xml:space="preserve"> </w:t>
      </w:r>
      <w:r>
        <w:rPr>
          <w:rFonts w:hint="eastAsia" w:ascii="宋体" w:hAnsi="宋体" w:eastAsia="宋体"/>
          <w:szCs w:val="21"/>
        </w:rPr>
        <w:t>需方可对收到的产品按本文件的规定进行检验。如检验结果与</w:t>
      </w:r>
      <w:r>
        <w:rPr>
          <w:rFonts w:hint="eastAsia" w:ascii="宋体" w:hAnsi="宋体" w:eastAsia="宋体"/>
        </w:rPr>
        <w:t>本文件及订货单</w:t>
      </w:r>
      <w:r>
        <w:rPr>
          <w:rFonts w:hint="eastAsia" w:ascii="宋体" w:hAnsi="宋体" w:eastAsia="宋体"/>
          <w:szCs w:val="21"/>
        </w:rPr>
        <w:t>的规定不符时，应以书面形式向供方提出，由供需双方协商解决。属于外观质量的异议，应</w:t>
      </w:r>
      <w:r>
        <w:rPr>
          <w:rFonts w:ascii="宋体" w:hAnsi="宋体" w:eastAsia="宋体"/>
          <w:szCs w:val="21"/>
        </w:rPr>
        <w:t>在收到产品之日起</w:t>
      </w:r>
      <w:r>
        <w:rPr>
          <w:rFonts w:hint="eastAsia" w:ascii="宋体" w:hAnsi="宋体" w:eastAsia="宋体"/>
          <w:szCs w:val="21"/>
        </w:rPr>
        <w:t>3日</w:t>
      </w:r>
      <w:r>
        <w:rPr>
          <w:rFonts w:ascii="宋体" w:hAnsi="宋体" w:eastAsia="宋体"/>
          <w:szCs w:val="21"/>
        </w:rPr>
        <w:t>内</w:t>
      </w:r>
      <w:r>
        <w:rPr>
          <w:rFonts w:hint="eastAsia" w:ascii="宋体" w:hAnsi="宋体" w:eastAsia="宋体"/>
          <w:szCs w:val="21"/>
        </w:rPr>
        <w:t>提出；属于化学成分和溶解性能的异议，应</w:t>
      </w:r>
      <w:r>
        <w:rPr>
          <w:rFonts w:ascii="宋体" w:hAnsi="宋体" w:eastAsia="宋体"/>
          <w:szCs w:val="21"/>
        </w:rPr>
        <w:t>在收到产品之日起</w:t>
      </w:r>
      <w:r>
        <w:rPr>
          <w:rFonts w:hint="eastAsia" w:ascii="宋体" w:hAnsi="宋体" w:eastAsia="宋体"/>
          <w:szCs w:val="21"/>
        </w:rPr>
        <w:t>15日</w:t>
      </w:r>
      <w:r>
        <w:rPr>
          <w:rFonts w:ascii="宋体" w:hAnsi="宋体" w:eastAsia="宋体"/>
          <w:szCs w:val="21"/>
        </w:rPr>
        <w:t>内</w:t>
      </w:r>
      <w:r>
        <w:rPr>
          <w:rFonts w:hint="eastAsia" w:ascii="宋体" w:hAnsi="宋体" w:eastAsia="宋体"/>
          <w:szCs w:val="21"/>
        </w:rPr>
        <w:t>提出。如需仲裁，应由供需双方在需方共同取样或协商确定。</w:t>
      </w:r>
    </w:p>
    <w:p>
      <w:pPr>
        <w:pStyle w:val="17"/>
        <w:numPr>
          <w:ilvl w:val="0"/>
          <w:numId w:val="0"/>
        </w:numPr>
        <w:spacing w:beforeLines="0" w:afterLines="0" w:line="360" w:lineRule="auto"/>
        <w:rPr>
          <w:rFonts w:hAnsi="黑体"/>
          <w:bCs/>
        </w:rPr>
      </w:pPr>
      <w:r>
        <w:rPr>
          <w:rFonts w:hint="eastAsia" w:hAnsi="黑体"/>
          <w:bCs/>
        </w:rPr>
        <w:t>7.2 组批</w:t>
      </w:r>
    </w:p>
    <w:p>
      <w:pPr>
        <w:ind w:right="26" w:firstLine="420" w:firstLineChars="200"/>
        <w:rPr>
          <w:szCs w:val="21"/>
        </w:rPr>
      </w:pPr>
      <w:r>
        <w:rPr>
          <w:rFonts w:hint="eastAsia"/>
          <w:szCs w:val="21"/>
        </w:rPr>
        <w:t>产品应成批提交验收，每批应由同一投料批次组成。</w:t>
      </w:r>
    </w:p>
    <w:p>
      <w:pPr>
        <w:pStyle w:val="17"/>
        <w:numPr>
          <w:ilvl w:val="0"/>
          <w:numId w:val="0"/>
        </w:numPr>
        <w:spacing w:beforeLines="0" w:afterLines="0" w:line="360" w:lineRule="auto"/>
        <w:rPr>
          <w:rFonts w:hAnsi="黑体"/>
          <w:bCs/>
        </w:rPr>
      </w:pPr>
      <w:r>
        <w:rPr>
          <w:rFonts w:hint="eastAsia" w:hAnsi="黑体"/>
          <w:bCs/>
        </w:rPr>
        <w:t>7.3 检验项目</w:t>
      </w:r>
    </w:p>
    <w:p>
      <w:pPr>
        <w:pStyle w:val="13"/>
        <w:ind w:firstLine="420"/>
      </w:pPr>
      <w:r>
        <w:rPr>
          <w:rFonts w:hint="eastAsia"/>
        </w:rPr>
        <w:t>每批产品均应进行化学成分、溶解试验及外观质量的检验。</w:t>
      </w:r>
    </w:p>
    <w:p>
      <w:pPr>
        <w:autoSpaceDE w:val="0"/>
        <w:autoSpaceDN w:val="0"/>
        <w:adjustRightInd w:val="0"/>
        <w:spacing w:line="360" w:lineRule="auto"/>
        <w:jc w:val="left"/>
        <w:rPr>
          <w:rFonts w:ascii="黑体" w:hAnsi="黑体" w:eastAsia="黑体" w:cs="宋体"/>
          <w:kern w:val="0"/>
          <w:szCs w:val="21"/>
        </w:rPr>
      </w:pPr>
      <w:r>
        <w:rPr>
          <w:rFonts w:hint="eastAsia" w:ascii="黑体" w:hAnsi="黑体" w:eastAsia="黑体" w:cs="宋体"/>
          <w:kern w:val="0"/>
          <w:szCs w:val="21"/>
        </w:rPr>
        <w:t>7.4 取样</w:t>
      </w:r>
    </w:p>
    <w:p>
      <w:pPr>
        <w:pStyle w:val="13"/>
        <w:ind w:firstLine="0" w:firstLineChars="0"/>
        <w:rPr>
          <w:rFonts w:hAnsi="宋体"/>
          <w:color w:val="FF0000"/>
        </w:rPr>
      </w:pPr>
      <w:r>
        <w:rPr>
          <w:rFonts w:hint="eastAsia" w:ascii="黑体" w:hAnsi="黑体" w:eastAsia="黑体" w:cs="宋体"/>
          <w:kern w:val="0"/>
          <w:szCs w:val="21"/>
        </w:rPr>
        <w:t>7.4.1</w:t>
      </w:r>
      <w:r>
        <w:rPr>
          <w:rFonts w:hint="eastAsia" w:ascii="黑体" w:hAnsi="黑体" w:eastAsia="黑体"/>
        </w:rPr>
        <w:t xml:space="preserve"> </w:t>
      </w:r>
      <w:r>
        <w:rPr>
          <w:rFonts w:hint="eastAsia"/>
        </w:rPr>
        <w:t xml:space="preserve"> </w:t>
      </w:r>
      <w:r>
        <w:rPr>
          <w:rFonts w:hint="eastAsia" w:asciiTheme="minorEastAsia" w:hAnsiTheme="minorEastAsia"/>
          <w:kern w:val="2"/>
          <w:szCs w:val="21"/>
        </w:rPr>
        <w:t>产品化学成分、</w:t>
      </w:r>
      <w:r>
        <w:rPr>
          <w:rFonts w:hint="eastAsia" w:asciiTheme="minorEastAsia" w:hAnsiTheme="minorEastAsia"/>
          <w:kern w:val="2"/>
          <w:szCs w:val="21"/>
          <w:lang w:val="en-US" w:eastAsia="zh-CN"/>
        </w:rPr>
        <w:t>溶解试验</w:t>
      </w:r>
      <w:r>
        <w:rPr>
          <w:rFonts w:hint="eastAsia" w:asciiTheme="minorEastAsia" w:hAnsiTheme="minorEastAsia"/>
          <w:kern w:val="2"/>
          <w:szCs w:val="21"/>
        </w:rPr>
        <w:t>的取样：同一批产品混合均匀，从不同部位取产品总量的</w:t>
      </w:r>
      <w:r>
        <w:rPr>
          <w:rFonts w:asciiTheme="minorEastAsia" w:hAnsiTheme="minorEastAsia"/>
          <w:kern w:val="2"/>
          <w:szCs w:val="21"/>
        </w:rPr>
        <w:t>5%</w:t>
      </w:r>
      <w:r>
        <w:rPr>
          <w:rFonts w:hint="eastAsia" w:asciiTheme="minorEastAsia" w:hAnsiTheme="minorEastAsia"/>
          <w:kern w:val="2"/>
          <w:szCs w:val="21"/>
        </w:rPr>
        <w:t>，最少不小于</w:t>
      </w:r>
      <w:r>
        <w:rPr>
          <w:rFonts w:asciiTheme="minorEastAsia" w:hAnsiTheme="minorEastAsia"/>
          <w:kern w:val="2"/>
          <w:szCs w:val="21"/>
        </w:rPr>
        <w:t>10g</w:t>
      </w:r>
      <w:r>
        <w:rPr>
          <w:rFonts w:hint="eastAsia" w:asciiTheme="minorEastAsia" w:hAnsiTheme="minorEastAsia"/>
          <w:kern w:val="2"/>
          <w:szCs w:val="21"/>
        </w:rPr>
        <w:t>，用四分法缩分至检验所需数量。</w:t>
      </w:r>
    </w:p>
    <w:p>
      <w:pPr>
        <w:autoSpaceDE w:val="0"/>
        <w:autoSpaceDN w:val="0"/>
        <w:adjustRightInd w:val="0"/>
        <w:jc w:val="left"/>
        <w:rPr>
          <w:rFonts w:ascii="宋体" w:cs="宋体"/>
          <w:kern w:val="0"/>
          <w:szCs w:val="21"/>
        </w:rPr>
      </w:pPr>
      <w:r>
        <w:rPr>
          <w:rFonts w:hint="eastAsia" w:ascii="黑体" w:hAnsi="黑体" w:eastAsia="黑体" w:cs="宋体"/>
          <w:kern w:val="0"/>
          <w:szCs w:val="21"/>
        </w:rPr>
        <w:t xml:space="preserve">7.4.2 </w:t>
      </w:r>
      <w:r>
        <w:rPr>
          <w:rFonts w:hint="eastAsia" w:ascii="宋体" w:cs="宋体"/>
          <w:kern w:val="0"/>
          <w:szCs w:val="21"/>
        </w:rPr>
        <w:t>产品外观质量逐瓶检验。</w:t>
      </w:r>
    </w:p>
    <w:p>
      <w:pPr>
        <w:autoSpaceDE w:val="0"/>
        <w:autoSpaceDN w:val="0"/>
        <w:adjustRightInd w:val="0"/>
        <w:spacing w:line="360" w:lineRule="auto"/>
        <w:jc w:val="left"/>
        <w:rPr>
          <w:rFonts w:ascii="黑体" w:hAnsi="黑体" w:eastAsia="黑体" w:cs="宋体"/>
          <w:kern w:val="0"/>
          <w:szCs w:val="21"/>
        </w:rPr>
      </w:pPr>
      <w:r>
        <w:rPr>
          <w:rFonts w:hint="eastAsia" w:ascii="黑体" w:hAnsi="黑体" w:eastAsia="黑体" w:cs="宋体"/>
          <w:kern w:val="0"/>
          <w:szCs w:val="21"/>
        </w:rPr>
        <w:t>7.5 检验结果判定</w:t>
      </w:r>
    </w:p>
    <w:p>
      <w:pPr>
        <w:rPr>
          <w:rFonts w:ascii="宋体" w:hAnsi="宋体"/>
        </w:rPr>
      </w:pPr>
      <w:r>
        <w:rPr>
          <w:rFonts w:hint="eastAsia" w:ascii="黑体" w:hAnsi="黑体" w:eastAsia="黑体" w:cs="宋体"/>
          <w:kern w:val="0"/>
          <w:szCs w:val="21"/>
        </w:rPr>
        <w:t xml:space="preserve">7.5.1 </w:t>
      </w:r>
      <w:r>
        <w:rPr>
          <w:rFonts w:hint="eastAsia" w:ascii="宋体" w:cs="宋体"/>
          <w:b/>
          <w:kern w:val="0"/>
          <w:szCs w:val="21"/>
        </w:rPr>
        <w:t xml:space="preserve"> </w:t>
      </w:r>
      <w:r>
        <w:rPr>
          <w:rFonts w:hint="eastAsia" w:ascii="宋体" w:hAnsi="宋体"/>
        </w:rPr>
        <w:t>检验结果的数值按GB/T 8170的规定进行修约，并采用修约值比较法判定。</w:t>
      </w:r>
    </w:p>
    <w:p>
      <w:pPr>
        <w:rPr>
          <w:rFonts w:ascii="宋体" w:hAnsi="宋体"/>
        </w:rPr>
      </w:pPr>
      <w:r>
        <w:rPr>
          <w:rFonts w:hint="eastAsia" w:ascii="黑体" w:hAnsi="黑体" w:eastAsia="黑体" w:cs="宋体"/>
          <w:kern w:val="0"/>
          <w:szCs w:val="21"/>
        </w:rPr>
        <w:t>7.5.2</w:t>
      </w:r>
      <w:r>
        <w:rPr>
          <w:rFonts w:hint="eastAsia" w:ascii="宋体" w:cs="宋体"/>
          <w:b/>
          <w:kern w:val="0"/>
          <w:szCs w:val="21"/>
        </w:rPr>
        <w:t xml:space="preserve"> </w:t>
      </w:r>
      <w:r>
        <w:rPr>
          <w:rFonts w:hint="eastAsia" w:ascii="宋体" w:hAnsi="宋体"/>
        </w:rPr>
        <w:t>产品化学成分、溶解试验中任意一项的检验结果不合格时，则判该批产品不合格，外观质量检验不合格，则判该瓶产品不合格。</w:t>
      </w:r>
    </w:p>
    <w:p>
      <w:pPr>
        <w:pStyle w:val="18"/>
        <w:numPr>
          <w:ilvl w:val="0"/>
          <w:numId w:val="0"/>
        </w:numPr>
        <w:spacing w:before="156" w:after="156" w:line="360" w:lineRule="auto"/>
        <w:rPr>
          <w:rFonts w:hAnsi="黑体"/>
          <w:bCs/>
        </w:rPr>
      </w:pPr>
      <w:r>
        <w:rPr>
          <w:rFonts w:hint="eastAsia" w:hAnsi="黑体"/>
          <w:bCs/>
        </w:rPr>
        <w:t>8 标志、包装、运输、贮存及随行文件</w:t>
      </w:r>
    </w:p>
    <w:p>
      <w:pPr>
        <w:pStyle w:val="18"/>
        <w:numPr>
          <w:ilvl w:val="0"/>
          <w:numId w:val="0"/>
        </w:numPr>
        <w:spacing w:before="156" w:after="156" w:line="360" w:lineRule="auto"/>
        <w:rPr>
          <w:rFonts w:hAnsi="黑体"/>
          <w:bCs/>
        </w:rPr>
      </w:pPr>
      <w:r>
        <w:rPr>
          <w:rFonts w:hAnsi="黑体"/>
          <w:bCs/>
        </w:rPr>
        <w:t>8.1</w:t>
      </w:r>
      <w:r>
        <w:rPr>
          <w:rFonts w:hint="eastAsia" w:hAnsi="黑体"/>
          <w:bCs/>
        </w:rPr>
        <w:t xml:space="preserve"> 标志</w:t>
      </w:r>
    </w:p>
    <w:p>
      <w:pPr>
        <w:pStyle w:val="18"/>
        <w:numPr>
          <w:ilvl w:val="0"/>
          <w:numId w:val="0"/>
        </w:numPr>
        <w:spacing w:before="156" w:after="156" w:line="360" w:lineRule="auto"/>
        <w:rPr>
          <w:rFonts w:hAnsi="黑体"/>
          <w:bCs/>
        </w:rPr>
      </w:pPr>
      <w:r>
        <w:rPr>
          <w:rFonts w:hint="eastAsia" w:hAnsi="黑体"/>
          <w:bCs/>
        </w:rPr>
        <w:t>8.1.1 产品标志</w:t>
      </w:r>
    </w:p>
    <w:p>
      <w:pPr>
        <w:pStyle w:val="13"/>
        <w:ind w:firstLine="420"/>
        <w:rPr>
          <w:rFonts w:hAnsi="宋体" w:eastAsia="宋体"/>
        </w:rPr>
      </w:pPr>
      <w:r>
        <w:rPr>
          <w:rFonts w:hint="eastAsia" w:hAnsi="宋体" w:eastAsia="宋体"/>
        </w:rPr>
        <w:t>在检验合格的产品上应有如下标志：</w:t>
      </w:r>
    </w:p>
    <w:p>
      <w:pPr>
        <w:ind w:firstLine="420"/>
        <w:rPr>
          <w:rFonts w:ascii="宋体" w:hAnsi="宋体"/>
        </w:rPr>
      </w:pPr>
      <w:r>
        <w:t>a</w:t>
      </w:r>
      <w:r>
        <w:rPr>
          <w:rFonts w:hint="eastAsia" w:ascii="宋体" w:hAnsi="宋体"/>
        </w:rPr>
        <w:t>）供方名称；</w:t>
      </w:r>
    </w:p>
    <w:p>
      <w:pPr>
        <w:ind w:firstLine="420"/>
        <w:rPr>
          <w:rFonts w:ascii="宋体" w:hAnsi="宋体"/>
        </w:rPr>
      </w:pPr>
      <w:r>
        <w:rPr>
          <w:rFonts w:hint="eastAsia" w:ascii="宋体" w:hAnsi="宋体"/>
        </w:rPr>
        <w:t>b）产品名称；</w:t>
      </w:r>
    </w:p>
    <w:p>
      <w:pPr>
        <w:ind w:firstLine="420"/>
        <w:rPr>
          <w:rFonts w:ascii="宋体" w:hAnsi="宋体"/>
        </w:rPr>
      </w:pPr>
      <w:r>
        <w:rPr>
          <w:rFonts w:hint="eastAsia" w:ascii="宋体" w:hAnsi="宋体"/>
        </w:rPr>
        <w:t>c）生产批次；</w:t>
      </w:r>
    </w:p>
    <w:p>
      <w:pPr>
        <w:ind w:firstLine="420"/>
        <w:rPr>
          <w:rFonts w:ascii="宋体" w:hAnsi="宋体"/>
        </w:rPr>
      </w:pPr>
      <w:r>
        <w:rPr>
          <w:rFonts w:hint="eastAsia" w:ascii="宋体" w:hAnsi="宋体"/>
        </w:rPr>
        <w:t>d）数量；</w:t>
      </w:r>
    </w:p>
    <w:p>
      <w:pPr>
        <w:ind w:firstLine="420"/>
        <w:rPr>
          <w:rFonts w:ascii="宋体" w:hAnsi="宋体"/>
        </w:rPr>
      </w:pPr>
      <w:r>
        <w:rPr>
          <w:rFonts w:hint="eastAsia" w:ascii="宋体" w:hAnsi="宋体"/>
        </w:rPr>
        <w:t>e）生产日期。</w:t>
      </w:r>
    </w:p>
    <w:p>
      <w:pPr>
        <w:pStyle w:val="18"/>
        <w:numPr>
          <w:ilvl w:val="0"/>
          <w:numId w:val="0"/>
        </w:numPr>
        <w:spacing w:before="156" w:after="156" w:line="360" w:lineRule="auto"/>
        <w:rPr>
          <w:rFonts w:hAnsi="黑体"/>
          <w:bCs/>
        </w:rPr>
      </w:pPr>
      <w:r>
        <w:rPr>
          <w:rFonts w:hint="eastAsia" w:hAnsi="黑体"/>
          <w:bCs/>
        </w:rPr>
        <w:t>8.1.2 包装标志</w:t>
      </w:r>
    </w:p>
    <w:p>
      <w:pPr>
        <w:rPr>
          <w:rFonts w:ascii="宋体" w:hAnsi="宋体"/>
        </w:rPr>
      </w:pPr>
      <w:r>
        <w:rPr>
          <w:rFonts w:hint="eastAsia" w:ascii="宋体" w:hAnsi="宋体"/>
        </w:rPr>
        <w:t xml:space="preserve">    产品的包装箱标志应符合GB/T 191的规定。</w:t>
      </w:r>
    </w:p>
    <w:p>
      <w:pPr>
        <w:pStyle w:val="17"/>
        <w:numPr>
          <w:ilvl w:val="0"/>
          <w:numId w:val="0"/>
        </w:numPr>
        <w:tabs>
          <w:tab w:val="left" w:pos="8295"/>
        </w:tabs>
        <w:spacing w:before="156" w:after="156" w:line="360" w:lineRule="auto"/>
        <w:rPr>
          <w:rFonts w:hAnsi="黑体"/>
          <w:bCs/>
        </w:rPr>
      </w:pPr>
      <w:r>
        <w:rPr>
          <w:rFonts w:hint="eastAsia" w:hAnsi="黑体"/>
          <w:bCs/>
        </w:rPr>
        <w:t>8.2 包装、运输、贮存</w:t>
      </w:r>
      <w:r>
        <w:rPr>
          <w:rFonts w:hAnsi="黑体"/>
          <w:bCs/>
        </w:rPr>
        <w:tab/>
      </w:r>
    </w:p>
    <w:p>
      <w:pPr>
        <w:pStyle w:val="17"/>
        <w:numPr>
          <w:ilvl w:val="0"/>
          <w:numId w:val="0"/>
        </w:numPr>
        <w:spacing w:before="156" w:after="156"/>
        <w:rPr>
          <w:rFonts w:ascii="宋体" w:hAnsi="宋体" w:eastAsia="宋体"/>
        </w:rPr>
      </w:pPr>
      <w:r>
        <w:rPr>
          <w:rFonts w:hint="eastAsia"/>
          <w:bCs/>
        </w:rPr>
        <w:t>8.2.1</w:t>
      </w:r>
      <w:r>
        <w:rPr>
          <w:rFonts w:hint="eastAsia"/>
          <w:b/>
          <w:bCs/>
        </w:rPr>
        <w:t xml:space="preserve"> </w:t>
      </w:r>
      <w:r>
        <w:rPr>
          <w:rFonts w:hint="eastAsia" w:ascii="宋体" w:hAnsi="宋体" w:eastAsia="宋体"/>
        </w:rPr>
        <w:t>产品装入聚丙烯或聚乙烯塑料瓶中，密封。整齐放入木箱或纸箱内，用纸屑、泡沫塑料等软物进行填充，不得有松动现象。</w:t>
      </w:r>
    </w:p>
    <w:p>
      <w:pPr>
        <w:pStyle w:val="16"/>
        <w:numPr>
          <w:ilvl w:val="0"/>
          <w:numId w:val="0"/>
        </w:numPr>
        <w:spacing w:before="156" w:after="156"/>
        <w:rPr>
          <w:rFonts w:ascii="宋体" w:hAnsi="宋体" w:eastAsia="宋体"/>
        </w:rPr>
      </w:pPr>
      <w:r>
        <w:rPr>
          <w:rFonts w:hint="eastAsia"/>
          <w:bCs/>
        </w:rPr>
        <w:t>8.2.2</w:t>
      </w:r>
      <w:r>
        <w:rPr>
          <w:rFonts w:hint="eastAsia"/>
          <w:b/>
          <w:bCs/>
        </w:rPr>
        <w:t xml:space="preserve"> </w:t>
      </w:r>
      <w:r>
        <w:rPr>
          <w:rFonts w:hint="eastAsia" w:ascii="宋体" w:hAnsi="宋体" w:eastAsia="宋体"/>
        </w:rPr>
        <w:t>产品可以用铁路、公路、水运等方式运输。</w:t>
      </w:r>
    </w:p>
    <w:p>
      <w:pPr>
        <w:pStyle w:val="16"/>
        <w:numPr>
          <w:ilvl w:val="0"/>
          <w:numId w:val="0"/>
        </w:numPr>
        <w:spacing w:before="156" w:after="156"/>
      </w:pPr>
      <w:r>
        <w:rPr>
          <w:rFonts w:hint="eastAsia"/>
          <w:bCs/>
        </w:rPr>
        <w:t xml:space="preserve">8.2.3 </w:t>
      </w:r>
      <w:r>
        <w:rPr>
          <w:rFonts w:hint="eastAsia" w:ascii="宋体" w:hAnsi="宋体" w:eastAsia="宋体"/>
        </w:rPr>
        <w:t>产品应放于阴凉、干燥处，</w:t>
      </w:r>
      <w:r>
        <w:rPr>
          <w:rFonts w:hint="eastAsia" w:ascii="宋体" w:hAnsi="宋体" w:eastAsia="宋体"/>
          <w:lang w:val="en-US" w:eastAsia="zh-CN"/>
        </w:rPr>
        <w:t>防止</w:t>
      </w:r>
      <w:r>
        <w:rPr>
          <w:rFonts w:hint="eastAsia" w:ascii="宋体" w:hAnsi="宋体" w:eastAsia="宋体"/>
        </w:rPr>
        <w:t>受潮。</w:t>
      </w:r>
    </w:p>
    <w:p>
      <w:pPr>
        <w:pStyle w:val="17"/>
        <w:numPr>
          <w:ilvl w:val="0"/>
          <w:numId w:val="0"/>
        </w:numPr>
        <w:spacing w:beforeLines="0" w:afterLines="0" w:line="360" w:lineRule="auto"/>
        <w:rPr>
          <w:rFonts w:hAnsi="黑体"/>
          <w:bCs/>
        </w:rPr>
      </w:pPr>
      <w:r>
        <w:rPr>
          <w:rFonts w:hAnsi="黑体"/>
          <w:bCs/>
        </w:rPr>
        <w:t>8.3</w:t>
      </w:r>
      <w:r>
        <w:rPr>
          <w:rFonts w:hint="eastAsia" w:hAnsi="黑体"/>
          <w:bCs/>
        </w:rPr>
        <w:t xml:space="preserve"> 随行文件</w:t>
      </w:r>
    </w:p>
    <w:p>
      <w:pPr>
        <w:ind w:firstLine="420"/>
      </w:pPr>
      <w:r>
        <w:rPr>
          <w:rFonts w:hint="eastAsia"/>
        </w:rPr>
        <w:t>每批产品应附有随行文件，其中除应包括供方信息、产品信息、本文件编号、出厂日期或包装日期外，还宜包括：</w:t>
      </w:r>
    </w:p>
    <w:p>
      <w:pPr>
        <w:pStyle w:val="43"/>
        <w:numPr>
          <w:ilvl w:val="0"/>
          <w:numId w:val="3"/>
        </w:numPr>
        <w:ind w:firstLineChars="0"/>
        <w:rPr>
          <w:rFonts w:ascii="宋体" w:hAnsi="宋体"/>
        </w:rPr>
      </w:pPr>
      <w:r>
        <w:rPr>
          <w:rFonts w:hint="eastAsia" w:ascii="宋体" w:hAnsi="宋体"/>
        </w:rPr>
        <w:t>产品检验报告单；</w:t>
      </w:r>
    </w:p>
    <w:p>
      <w:pPr>
        <w:pStyle w:val="43"/>
        <w:ind w:left="780" w:firstLine="0" w:firstLineChars="0"/>
        <w:rPr>
          <w:rFonts w:ascii="宋体" w:hAnsi="宋体"/>
        </w:rPr>
      </w:pPr>
      <w:r>
        <w:rPr>
          <w:rFonts w:hint="eastAsia" w:ascii="宋体" w:hAnsi="宋体"/>
          <w:sz w:val="11"/>
          <w:szCs w:val="11"/>
        </w:rPr>
        <w:t>●</w:t>
      </w:r>
      <w:r>
        <w:rPr>
          <w:rFonts w:hint="eastAsia" w:ascii="宋体" w:hAnsi="宋体"/>
        </w:rPr>
        <w:t xml:space="preserve"> 检验项目及其结果或检验结论；</w:t>
      </w:r>
    </w:p>
    <w:p>
      <w:pPr>
        <w:pStyle w:val="43"/>
        <w:ind w:left="780" w:firstLine="0" w:firstLineChars="0"/>
        <w:rPr>
          <w:rFonts w:ascii="宋体" w:hAnsi="宋体"/>
        </w:rPr>
      </w:pPr>
      <w:r>
        <w:rPr>
          <w:rFonts w:hint="eastAsia" w:ascii="宋体" w:hAnsi="宋体"/>
          <w:sz w:val="11"/>
          <w:szCs w:val="11"/>
        </w:rPr>
        <w:t>●</w:t>
      </w:r>
      <w:r>
        <w:rPr>
          <w:rFonts w:hint="eastAsia" w:ascii="宋体" w:hAnsi="宋体"/>
        </w:rPr>
        <w:t xml:space="preserve"> 批量或批号；</w:t>
      </w:r>
    </w:p>
    <w:p>
      <w:pPr>
        <w:pStyle w:val="43"/>
        <w:ind w:left="780" w:firstLine="0" w:firstLineChars="0"/>
        <w:rPr>
          <w:rFonts w:ascii="宋体" w:hAnsi="宋体"/>
        </w:rPr>
      </w:pPr>
      <w:r>
        <w:rPr>
          <w:rFonts w:hint="eastAsia" w:ascii="宋体" w:hAnsi="宋体"/>
          <w:sz w:val="11"/>
          <w:szCs w:val="11"/>
        </w:rPr>
        <w:t xml:space="preserve">● </w:t>
      </w:r>
      <w:r>
        <w:rPr>
          <w:rFonts w:hint="eastAsia" w:ascii="宋体" w:hAnsi="宋体"/>
        </w:rPr>
        <w:t>检验日期；</w:t>
      </w:r>
    </w:p>
    <w:p>
      <w:pPr>
        <w:pStyle w:val="43"/>
        <w:ind w:left="780" w:firstLine="0" w:firstLineChars="0"/>
        <w:rPr>
          <w:rFonts w:ascii="宋体" w:hAnsi="宋体"/>
        </w:rPr>
      </w:pPr>
      <w:r>
        <w:rPr>
          <w:rFonts w:hint="eastAsia" w:ascii="宋体" w:hAnsi="宋体"/>
          <w:sz w:val="11"/>
          <w:szCs w:val="11"/>
        </w:rPr>
        <w:t>●</w:t>
      </w:r>
      <w:r>
        <w:rPr>
          <w:rFonts w:hint="eastAsia" w:ascii="宋体" w:hAnsi="宋体"/>
        </w:rPr>
        <w:t xml:space="preserve"> 检验员签名或盖章。</w:t>
      </w:r>
    </w:p>
    <w:p>
      <w:pPr>
        <w:ind w:firstLine="420"/>
        <w:rPr>
          <w:rFonts w:hAnsi="宋体"/>
        </w:rPr>
      </w:pPr>
      <w:r>
        <w:rPr>
          <w:rFonts w:hint="eastAsia" w:ascii="宋体" w:hAnsi="宋体"/>
        </w:rPr>
        <w:t>b）其它。</w:t>
      </w:r>
    </w:p>
    <w:p>
      <w:pPr>
        <w:pStyle w:val="17"/>
        <w:numPr>
          <w:ilvl w:val="0"/>
          <w:numId w:val="0"/>
        </w:numPr>
        <w:spacing w:beforeLines="0" w:afterLines="0" w:line="360" w:lineRule="auto"/>
        <w:rPr>
          <w:rFonts w:hAnsi="黑体"/>
          <w:bCs/>
        </w:rPr>
      </w:pPr>
      <w:r>
        <w:rPr>
          <w:rFonts w:hint="eastAsia" w:hAnsi="黑体"/>
          <w:bCs/>
        </w:rPr>
        <w:t>9  订货单内容</w:t>
      </w:r>
    </w:p>
    <w:p>
      <w:pPr>
        <w:ind w:firstLine="420"/>
      </w:pPr>
      <w:r>
        <w:rPr>
          <w:rFonts w:hint="eastAsia"/>
        </w:rPr>
        <w:t>需方可根据自身的需要，在订购本文件所列产品的订货单内，列出如下内容</w:t>
      </w:r>
      <w:r>
        <w:rPr>
          <w:rFonts w:hint="eastAsia" w:ascii="宋体" w:hAnsi="宋体"/>
        </w:rPr>
        <w:t>:</w:t>
      </w:r>
    </w:p>
    <w:p>
      <w:pPr>
        <w:ind w:firstLine="420"/>
        <w:rPr>
          <w:rFonts w:ascii="宋体" w:hAnsi="宋体"/>
        </w:rPr>
      </w:pPr>
      <w:r>
        <w:rPr>
          <w:rFonts w:hint="eastAsia" w:ascii="宋体" w:hAnsi="宋体"/>
        </w:rPr>
        <w:t>a）产品名称；</w:t>
      </w:r>
    </w:p>
    <w:p>
      <w:pPr>
        <w:ind w:firstLine="420"/>
        <w:rPr>
          <w:rFonts w:ascii="宋体" w:hAnsi="宋体"/>
        </w:rPr>
      </w:pPr>
      <w:r>
        <w:rPr>
          <w:rFonts w:hint="eastAsia" w:ascii="宋体" w:hAnsi="宋体"/>
        </w:rPr>
        <w:t>b）批号；</w:t>
      </w:r>
    </w:p>
    <w:p>
      <w:pPr>
        <w:ind w:firstLine="420"/>
        <w:rPr>
          <w:rFonts w:ascii="宋体" w:hAnsi="宋体"/>
        </w:rPr>
      </w:pPr>
      <w:r>
        <w:rPr>
          <w:rFonts w:hint="eastAsia" w:ascii="宋体" w:hAnsi="宋体"/>
        </w:rPr>
        <w:t>c）净重（或件数）；</w:t>
      </w:r>
    </w:p>
    <w:p>
      <w:pPr>
        <w:ind w:firstLine="420"/>
        <w:rPr>
          <w:rFonts w:ascii="宋体" w:hAnsi="宋体"/>
        </w:rPr>
      </w:pPr>
      <w:r>
        <w:rPr>
          <w:rFonts w:hint="eastAsia" w:ascii="宋体" w:hAnsi="宋体"/>
        </w:rPr>
        <w:t>d）本文件编号；</w:t>
      </w:r>
    </w:p>
    <w:p>
      <w:pPr>
        <w:ind w:firstLine="420" w:firstLineChars="200"/>
        <w:rPr>
          <w:rFonts w:ascii="宋体" w:hAnsi="宋体"/>
        </w:rPr>
      </w:pPr>
      <w:r>
        <w:rPr>
          <w:rFonts w:hint="eastAsia" w:ascii="宋体" w:hAnsi="宋体"/>
        </w:rPr>
        <w:t>e）其他。</w:t>
      </w:r>
    </w:p>
    <w:p>
      <w:pPr>
        <w:ind w:firstLine="420" w:firstLineChars="200"/>
        <w:rPr>
          <w:rFonts w:ascii="宋体" w:hAnsi="宋体"/>
        </w:rPr>
      </w:pPr>
    </w:p>
    <w:p>
      <w:pPr>
        <w:ind w:firstLine="420" w:firstLineChars="200"/>
        <w:rPr>
          <w:rFonts w:ascii="宋体" w:hAnsi="宋体"/>
        </w:rPr>
      </w:pPr>
    </w:p>
    <w:p>
      <w:pPr>
        <w:ind w:firstLine="420" w:firstLineChars="200"/>
      </w:pPr>
    </w:p>
    <w:p>
      <w:r>
        <w:rPr>
          <w:sz w:val="24"/>
        </w:rPr>
        <mc:AlternateContent>
          <mc:Choice Requires="wps">
            <w:drawing>
              <wp:anchor distT="0" distB="0" distL="114300" distR="114300" simplePos="0" relativeHeight="251671552" behindDoc="0" locked="0" layoutInCell="1" allowOverlap="1">
                <wp:simplePos x="0" y="0"/>
                <wp:positionH relativeFrom="column">
                  <wp:posOffset>1901825</wp:posOffset>
                </wp:positionH>
                <wp:positionV relativeFrom="paragraph">
                  <wp:posOffset>17145</wp:posOffset>
                </wp:positionV>
                <wp:extent cx="2051685" cy="0"/>
                <wp:effectExtent l="0" t="7620" r="5715" b="11430"/>
                <wp:wrapNone/>
                <wp:docPr id="2" name="AutoShape 19"/>
                <wp:cNvGraphicFramePr/>
                <a:graphic xmlns:a="http://schemas.openxmlformats.org/drawingml/2006/main">
                  <a:graphicData uri="http://schemas.microsoft.com/office/word/2010/wordprocessingShape">
                    <wps:wsp>
                      <wps:cNvCnPr>
                        <a:cxnSpLocks noChangeShapeType="1"/>
                      </wps:cNvCnPr>
                      <wps:spPr bwMode="auto">
                        <a:xfrm>
                          <a:off x="0" y="0"/>
                          <a:ext cx="2051685" cy="0"/>
                        </a:xfrm>
                        <a:prstGeom prst="straightConnector1">
                          <a:avLst/>
                        </a:prstGeom>
                        <a:noFill/>
                        <a:ln w="15875">
                          <a:solidFill>
                            <a:srgbClr val="000000"/>
                          </a:solidFill>
                          <a:round/>
                        </a:ln>
                        <a:effectLst/>
                      </wps:spPr>
                      <wps:bodyPr/>
                    </wps:wsp>
                  </a:graphicData>
                </a:graphic>
              </wp:anchor>
            </w:drawing>
          </mc:Choice>
          <mc:Fallback>
            <w:pict>
              <v:shape id="AutoShape 19" o:spid="_x0000_s1026" o:spt="32" type="#_x0000_t32" style="position:absolute;left:0pt;margin-left:149.75pt;margin-top:1.35pt;height:0pt;width:161.55pt;z-index:251671552;mso-width-relative:page;mso-height-relative:page;" filled="f" stroked="t" coordsize="21600,21600" o:gfxdata="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lhNg/VAAAABwEAAA8AAAAAAAAA&#10;AQAgAAAAIgAAAGRycy9kb3ducmV2LnhtbFBLAQIUABQAAAAIAIdO4kCHphsM2wEAAMIDAAAOAAAA&#10;AAAAAAEAIAAAACQBAABkcnMvZTJvRG9jLnhtbFBLBQYAAAAABgAGAFkBAABxBQAAAAA=&#10;">
                <v:fill on="f" focussize="0,0"/>
                <v:stroke weight="1.25pt" color="#000000" joinstyle="round"/>
                <v:imagedata o:title=""/>
                <o:lock v:ext="edit" aspectratio="f"/>
              </v:shape>
            </w:pict>
          </mc:Fallback>
        </mc:AlternateContent>
      </w:r>
    </w:p>
    <w:p/>
    <w:p/>
    <w:p/>
    <w:p>
      <w:bookmarkStart w:id="7" w:name="_GoBack"/>
      <w:bookmarkEnd w:id="7"/>
    </w:p>
    <w:sectPr>
      <w:footerReference r:id="rId12" w:type="default"/>
      <w:pgSz w:w="11907" w:h="16839"/>
      <w:pgMar w:top="1418" w:right="1134" w:bottom="1134" w:left="1418" w:header="1418"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10"/>
      </w:rPr>
    </w:pPr>
    <w:r>
      <w:fldChar w:fldCharType="begin"/>
    </w:r>
    <w:r>
      <w:rPr>
        <w:rStyle w:val="10"/>
      </w:rPr>
      <w:instrText xml:space="preserve">PAGE  </w:instrText>
    </w:r>
    <w:r>
      <w:fldChar w:fldCharType="separate"/>
    </w:r>
    <w:r>
      <w:rPr>
        <w:rStyle w:val="10"/>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10"/>
      </w:rPr>
    </w:pPr>
    <w:r>
      <w:fldChar w:fldCharType="begin"/>
    </w:r>
    <w:r>
      <w:rPr>
        <w:rStyle w:val="10"/>
      </w:rPr>
      <w:instrText xml:space="preserve">PAGE  </w:instrText>
    </w:r>
    <w:r>
      <w:fldChar w:fldCharType="separate"/>
    </w:r>
    <w:r>
      <w:rPr>
        <w:rStyle w:val="10"/>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Style w:val="10"/>
      </w:rPr>
    </w:pPr>
    <w:r>
      <w:fldChar w:fldCharType="begin"/>
    </w:r>
    <w:r>
      <w:rPr>
        <w:rStyle w:val="10"/>
      </w:rPr>
      <w:instrText xml:space="preserve">PAGE  </w:instrText>
    </w:r>
    <w:r>
      <w:fldChar w:fldCharType="separate"/>
    </w:r>
    <w:r>
      <w:rPr>
        <w:rStyle w:val="10"/>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rPr>
        <w:rStyle w:val="10"/>
      </w:rPr>
    </w:pPr>
    <w:r>
      <w:fldChar w:fldCharType="begin"/>
    </w:r>
    <w:r>
      <w:rPr>
        <w:rStyle w:val="10"/>
      </w:rPr>
      <w:instrText xml:space="preserve">PAGE  </w:instrText>
    </w:r>
    <w:r>
      <w:fldChar w:fldCharType="separate"/>
    </w:r>
    <w:r>
      <w:rPr>
        <w:rStyle w:val="10"/>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Style w:val="10"/>
      </w:rPr>
    </w:pPr>
    <w:r>
      <w:fldChar w:fldCharType="begin"/>
    </w:r>
    <w:r>
      <w:rPr>
        <w:rStyle w:val="10"/>
      </w:rPr>
      <w:instrText xml:space="preserve">PAGE  </w:instrText>
    </w:r>
    <w:r>
      <w:fldChar w:fldCharType="separate"/>
    </w:r>
    <w:r>
      <w:rPr>
        <w:rStyle w:val="10"/>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t>Q/GYB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Q/GYB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bookmarkStart w:id="5" w:name="_Hlk114137498"/>
    <w:bookmarkStart w:id="6" w:name="_Hlk114137499"/>
    <w:r>
      <w:t>YS/T ××××—××××</w:t>
    </w:r>
    <w:bookmarkEnd w:id="5"/>
    <w:bookmarkEnd w:id="6"/>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t>YS/T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2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pStyle w:val="16"/>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4"/>
    <w:multiLevelType w:val="multilevel"/>
    <w:tmpl w:val="00000004"/>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8"/>
      <w:suff w:val="nothing"/>
      <w:lvlText w:val="%1%2　"/>
      <w:lvlJc w:val="left"/>
      <w:pPr>
        <w:ind w:left="0" w:firstLine="0"/>
      </w:pPr>
      <w:rPr>
        <w:rFonts w:hint="eastAsia" w:ascii="黑体" w:hAnsi="Times New Roman" w:eastAsia="黑体"/>
        <w:b/>
        <w:i w:val="0"/>
        <w:sz w:val="21"/>
      </w:rPr>
    </w:lvl>
    <w:lvl w:ilvl="2" w:tentative="0">
      <w:start w:val="1"/>
      <w:numFmt w:val="decimal"/>
      <w:pStyle w:val="17"/>
      <w:suff w:val="nothing"/>
      <w:lvlText w:val="%1%2.%3　"/>
      <w:lvlJc w:val="left"/>
      <w:pPr>
        <w:ind w:left="0" w:firstLine="0"/>
      </w:pPr>
      <w:rPr>
        <w:rFonts w:hint="eastAsia" w:ascii="黑体" w:hAnsi="黑体" w:eastAsia="黑体"/>
        <w:b/>
        <w:i w:val="0"/>
        <w:sz w:val="21"/>
      </w:rPr>
    </w:lvl>
    <w:lvl w:ilvl="3" w:tentative="0">
      <w:start w:val="1"/>
      <w:numFmt w:val="decimal"/>
      <w:suff w:val="nothing"/>
      <w:lvlText w:val="%1%2.%3.%4　"/>
      <w:lvlJc w:val="left"/>
      <w:pPr>
        <w:ind w:left="0" w:firstLine="0"/>
      </w:pPr>
      <w:rPr>
        <w:rFonts w:hint="eastAsia" w:ascii="黑体" w:hAnsi="Times New Roman" w:eastAsia="黑体"/>
        <w:b/>
        <w:i w:val="0"/>
        <w:sz w:val="21"/>
      </w:rPr>
    </w:lvl>
    <w:lvl w:ilvl="4" w:tentative="0">
      <w:start w:val="1"/>
      <w:numFmt w:val="decimal"/>
      <w:suff w:val="nothing"/>
      <w:lvlText w:val="%1%2.%3.%4.%5　"/>
      <w:lvlJc w:val="left"/>
      <w:pPr>
        <w:ind w:left="0" w:firstLine="0"/>
      </w:pPr>
      <w:rPr>
        <w:rFonts w:hint="eastAsia" w:ascii="黑体" w:hAnsi="Times New Roman" w:eastAsia="黑体"/>
        <w:b/>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0F3475AF"/>
    <w:multiLevelType w:val="multilevel"/>
    <w:tmpl w:val="0F3475AF"/>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Mzg4OWFlOGYyYjMzNzU1MGMxNzVkNTRiNWFkY2YifQ=="/>
  </w:docVars>
  <w:rsids>
    <w:rsidRoot w:val="00B66D2E"/>
    <w:rsid w:val="000153AF"/>
    <w:rsid w:val="00036D64"/>
    <w:rsid w:val="00050CA9"/>
    <w:rsid w:val="000601B6"/>
    <w:rsid w:val="0006267D"/>
    <w:rsid w:val="00073F17"/>
    <w:rsid w:val="00077080"/>
    <w:rsid w:val="000A33D0"/>
    <w:rsid w:val="000D699E"/>
    <w:rsid w:val="000F2FA6"/>
    <w:rsid w:val="000F33ED"/>
    <w:rsid w:val="000F682E"/>
    <w:rsid w:val="00101E54"/>
    <w:rsid w:val="00105DB4"/>
    <w:rsid w:val="00123830"/>
    <w:rsid w:val="00126F94"/>
    <w:rsid w:val="0014501B"/>
    <w:rsid w:val="0015173B"/>
    <w:rsid w:val="0016050B"/>
    <w:rsid w:val="001621DB"/>
    <w:rsid w:val="00196EB2"/>
    <w:rsid w:val="001B6C6F"/>
    <w:rsid w:val="001D4D79"/>
    <w:rsid w:val="00212B0D"/>
    <w:rsid w:val="00236038"/>
    <w:rsid w:val="0028797B"/>
    <w:rsid w:val="002A6C39"/>
    <w:rsid w:val="002B5B9D"/>
    <w:rsid w:val="002C35BC"/>
    <w:rsid w:val="002C5C25"/>
    <w:rsid w:val="002C73AF"/>
    <w:rsid w:val="002D0A0D"/>
    <w:rsid w:val="002F4CEA"/>
    <w:rsid w:val="0032278E"/>
    <w:rsid w:val="003341A7"/>
    <w:rsid w:val="003409AB"/>
    <w:rsid w:val="00345A83"/>
    <w:rsid w:val="00374EFA"/>
    <w:rsid w:val="003865FC"/>
    <w:rsid w:val="003A05AC"/>
    <w:rsid w:val="003A1CC6"/>
    <w:rsid w:val="003B22AE"/>
    <w:rsid w:val="003B737A"/>
    <w:rsid w:val="003C61AC"/>
    <w:rsid w:val="003D12B3"/>
    <w:rsid w:val="00406227"/>
    <w:rsid w:val="00407662"/>
    <w:rsid w:val="00416EE1"/>
    <w:rsid w:val="00465254"/>
    <w:rsid w:val="00465A7D"/>
    <w:rsid w:val="0047034B"/>
    <w:rsid w:val="00497DC1"/>
    <w:rsid w:val="004B1B45"/>
    <w:rsid w:val="004D5182"/>
    <w:rsid w:val="004E63A2"/>
    <w:rsid w:val="004F42A5"/>
    <w:rsid w:val="004F5DCC"/>
    <w:rsid w:val="00507D8C"/>
    <w:rsid w:val="00516403"/>
    <w:rsid w:val="00550257"/>
    <w:rsid w:val="00555272"/>
    <w:rsid w:val="00556238"/>
    <w:rsid w:val="0058683C"/>
    <w:rsid w:val="005B73A7"/>
    <w:rsid w:val="005F039D"/>
    <w:rsid w:val="006206F5"/>
    <w:rsid w:val="006248F2"/>
    <w:rsid w:val="00626CA1"/>
    <w:rsid w:val="00645B8F"/>
    <w:rsid w:val="0065735F"/>
    <w:rsid w:val="00660CBF"/>
    <w:rsid w:val="006626E1"/>
    <w:rsid w:val="00693554"/>
    <w:rsid w:val="006A0D36"/>
    <w:rsid w:val="006C77B3"/>
    <w:rsid w:val="006D27BD"/>
    <w:rsid w:val="006D7E5C"/>
    <w:rsid w:val="0070756E"/>
    <w:rsid w:val="007112E1"/>
    <w:rsid w:val="00722DA7"/>
    <w:rsid w:val="00733C8E"/>
    <w:rsid w:val="007445B4"/>
    <w:rsid w:val="00761322"/>
    <w:rsid w:val="007A6E2D"/>
    <w:rsid w:val="007C76EA"/>
    <w:rsid w:val="007E6A93"/>
    <w:rsid w:val="008352D0"/>
    <w:rsid w:val="0084167D"/>
    <w:rsid w:val="0084774F"/>
    <w:rsid w:val="008623BA"/>
    <w:rsid w:val="00895DBE"/>
    <w:rsid w:val="00897ADA"/>
    <w:rsid w:val="008A407C"/>
    <w:rsid w:val="008A62F7"/>
    <w:rsid w:val="008B2E17"/>
    <w:rsid w:val="008E547C"/>
    <w:rsid w:val="0090172C"/>
    <w:rsid w:val="009664ED"/>
    <w:rsid w:val="00975203"/>
    <w:rsid w:val="00977927"/>
    <w:rsid w:val="0099673A"/>
    <w:rsid w:val="009C1589"/>
    <w:rsid w:val="009C1A62"/>
    <w:rsid w:val="009C6BDC"/>
    <w:rsid w:val="009F3B23"/>
    <w:rsid w:val="009F4B52"/>
    <w:rsid w:val="00A01F9A"/>
    <w:rsid w:val="00A02773"/>
    <w:rsid w:val="00A04BE7"/>
    <w:rsid w:val="00A2065D"/>
    <w:rsid w:val="00A36990"/>
    <w:rsid w:val="00A433A4"/>
    <w:rsid w:val="00A45295"/>
    <w:rsid w:val="00A5090F"/>
    <w:rsid w:val="00A65B4D"/>
    <w:rsid w:val="00A8358F"/>
    <w:rsid w:val="00A853AF"/>
    <w:rsid w:val="00A90859"/>
    <w:rsid w:val="00A95A1B"/>
    <w:rsid w:val="00AA3CD7"/>
    <w:rsid w:val="00AB2369"/>
    <w:rsid w:val="00AC3030"/>
    <w:rsid w:val="00AD6028"/>
    <w:rsid w:val="00AE26F9"/>
    <w:rsid w:val="00B30EC5"/>
    <w:rsid w:val="00B318F2"/>
    <w:rsid w:val="00B36BF6"/>
    <w:rsid w:val="00B52667"/>
    <w:rsid w:val="00B5342C"/>
    <w:rsid w:val="00B600F3"/>
    <w:rsid w:val="00B62E2F"/>
    <w:rsid w:val="00B66D2E"/>
    <w:rsid w:val="00B77525"/>
    <w:rsid w:val="00B86D8F"/>
    <w:rsid w:val="00B94C58"/>
    <w:rsid w:val="00BA0F9E"/>
    <w:rsid w:val="00BB30B0"/>
    <w:rsid w:val="00BB4E40"/>
    <w:rsid w:val="00BB66CD"/>
    <w:rsid w:val="00BC5206"/>
    <w:rsid w:val="00BF0998"/>
    <w:rsid w:val="00C16D47"/>
    <w:rsid w:val="00C332D9"/>
    <w:rsid w:val="00C46B42"/>
    <w:rsid w:val="00C626E2"/>
    <w:rsid w:val="00C74A9E"/>
    <w:rsid w:val="00C82EEC"/>
    <w:rsid w:val="00C84FE8"/>
    <w:rsid w:val="00C91D40"/>
    <w:rsid w:val="00C92381"/>
    <w:rsid w:val="00CF0822"/>
    <w:rsid w:val="00CF1C61"/>
    <w:rsid w:val="00CF2617"/>
    <w:rsid w:val="00CF2F32"/>
    <w:rsid w:val="00D159E4"/>
    <w:rsid w:val="00DB7BAE"/>
    <w:rsid w:val="00DD6948"/>
    <w:rsid w:val="00DE059C"/>
    <w:rsid w:val="00DF1E3A"/>
    <w:rsid w:val="00DF57D3"/>
    <w:rsid w:val="00E23DE2"/>
    <w:rsid w:val="00E50D9B"/>
    <w:rsid w:val="00E6657C"/>
    <w:rsid w:val="00E93CD6"/>
    <w:rsid w:val="00EA6590"/>
    <w:rsid w:val="00EE187F"/>
    <w:rsid w:val="00EE39D8"/>
    <w:rsid w:val="00EE62C8"/>
    <w:rsid w:val="00F07FE5"/>
    <w:rsid w:val="00F21027"/>
    <w:rsid w:val="00F41814"/>
    <w:rsid w:val="00F65624"/>
    <w:rsid w:val="00F74206"/>
    <w:rsid w:val="00F96863"/>
    <w:rsid w:val="00FA05CD"/>
    <w:rsid w:val="00FB1741"/>
    <w:rsid w:val="00FC5002"/>
    <w:rsid w:val="00FC717D"/>
    <w:rsid w:val="00FD5E6C"/>
    <w:rsid w:val="12D632AF"/>
    <w:rsid w:val="6CA53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0"/>
  </w:style>
  <w:style w:type="paragraph" w:styleId="3">
    <w:name w:val="Body Text"/>
    <w:basedOn w:val="1"/>
    <w:link w:val="42"/>
    <w:uiPriority w:val="0"/>
    <w:pPr>
      <w:jc w:val="center"/>
    </w:pPr>
    <w:rPr>
      <w:sz w:val="32"/>
      <w:szCs w:val="20"/>
    </w:rPr>
  </w:style>
  <w:style w:type="paragraph" w:styleId="4">
    <w:name w:val="Body Text Indent"/>
    <w:basedOn w:val="1"/>
    <w:link w:val="47"/>
    <w:unhideWhenUsed/>
    <w:uiPriority w:val="99"/>
    <w:pPr>
      <w:spacing w:after="120"/>
      <w:ind w:left="420" w:leftChars="200"/>
    </w:pPr>
  </w:style>
  <w:style w:type="paragraph" w:styleId="5">
    <w:name w:val="footer"/>
    <w:basedOn w:val="1"/>
    <w:link w:val="38"/>
    <w:uiPriority w:val="0"/>
    <w:pPr>
      <w:tabs>
        <w:tab w:val="center" w:pos="4153"/>
        <w:tab w:val="right" w:pos="8306"/>
      </w:tabs>
      <w:snapToGrid w:val="0"/>
      <w:ind w:right="210" w:rightChars="100"/>
      <w:jc w:val="right"/>
    </w:pPr>
    <w:rPr>
      <w:sz w:val="18"/>
      <w:szCs w:val="18"/>
    </w:rPr>
  </w:style>
  <w:style w:type="paragraph" w:styleId="6">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rPr>
      <w:rFonts w:ascii="Times New Roman" w:hAnsi="Times New Roman" w:eastAsia="宋体"/>
      <w:sz w:val="18"/>
    </w:rPr>
  </w:style>
  <w:style w:type="character" w:styleId="11">
    <w:name w:val="Emphasis"/>
    <w:basedOn w:val="9"/>
    <w:qFormat/>
    <w:uiPriority w:val="20"/>
    <w:rPr>
      <w:i/>
      <w:iCs/>
    </w:rPr>
  </w:style>
  <w:style w:type="character" w:customStyle="1" w:styleId="12">
    <w:name w:val="段 Char"/>
    <w:basedOn w:val="9"/>
    <w:link w:val="13"/>
    <w:qFormat/>
    <w:uiPriority w:val="0"/>
    <w:rPr>
      <w:rFonts w:ascii="宋体"/>
    </w:rPr>
  </w:style>
  <w:style w:type="paragraph" w:customStyle="1" w:styleId="13">
    <w:name w:val="段"/>
    <w:link w:val="12"/>
    <w:uiPriority w:val="0"/>
    <w:pPr>
      <w:autoSpaceDE w:val="0"/>
      <w:autoSpaceDN w:val="0"/>
      <w:ind w:firstLine="200" w:firstLineChars="200"/>
      <w:jc w:val="both"/>
    </w:pPr>
    <w:rPr>
      <w:rFonts w:ascii="宋体" w:hAnsiTheme="minorHAnsi" w:eastAsiaTheme="minorEastAsia" w:cstheme="minorBidi"/>
      <w:kern w:val="2"/>
      <w:sz w:val="21"/>
      <w:szCs w:val="22"/>
      <w:lang w:val="en-US" w:eastAsia="zh-CN" w:bidi="ar-SA"/>
    </w:rPr>
  </w:style>
  <w:style w:type="character" w:customStyle="1" w:styleId="14">
    <w:name w:val="发布"/>
    <w:basedOn w:val="9"/>
    <w:qFormat/>
    <w:uiPriority w:val="0"/>
    <w:rPr>
      <w:rFonts w:ascii="黑体" w:eastAsia="黑体"/>
      <w:spacing w:val="22"/>
      <w:w w:val="100"/>
      <w:position w:val="3"/>
      <w:sz w:val="28"/>
    </w:rPr>
  </w:style>
  <w:style w:type="character" w:customStyle="1" w:styleId="15">
    <w:name w:val="二级条标题{858D7CFB-ED40-4347-BF05-701D383B685F}"/>
    <w:link w:val="16"/>
    <w:uiPriority w:val="0"/>
    <w:rPr>
      <w:rFonts w:ascii="黑体" w:eastAsia="黑体"/>
    </w:rPr>
  </w:style>
  <w:style w:type="paragraph" w:customStyle="1" w:styleId="16">
    <w:name w:val="二级条标题"/>
    <w:basedOn w:val="17"/>
    <w:next w:val="13"/>
    <w:link w:val="15"/>
    <w:qFormat/>
    <w:uiPriority w:val="0"/>
    <w:pPr>
      <w:numPr>
        <w:ilvl w:val="3"/>
        <w:numId w:val="1"/>
      </w:numPr>
      <w:outlineLvl w:val="3"/>
    </w:pPr>
  </w:style>
  <w:style w:type="paragraph" w:customStyle="1" w:styleId="17">
    <w:name w:val="一级条标题"/>
    <w:basedOn w:val="18"/>
    <w:next w:val="13"/>
    <w:link w:val="19"/>
    <w:uiPriority w:val="0"/>
    <w:pPr>
      <w:numPr>
        <w:ilvl w:val="2"/>
      </w:numPr>
      <w:outlineLvl w:val="2"/>
    </w:pPr>
    <w:rPr>
      <w:rFonts w:hAnsiTheme="minorHAnsi" w:cstheme="minorBidi"/>
      <w:kern w:val="2"/>
      <w:szCs w:val="22"/>
    </w:rPr>
  </w:style>
  <w:style w:type="paragraph" w:customStyle="1" w:styleId="18">
    <w:name w:val="章标题"/>
    <w:next w:val="13"/>
    <w:uiPriority w:val="0"/>
    <w:pPr>
      <w:numPr>
        <w:ilvl w:val="1"/>
        <w:numId w:val="2"/>
      </w:numPr>
      <w:spacing w:beforeLines="50" w:afterLines="50"/>
      <w:jc w:val="both"/>
      <w:outlineLvl w:val="1"/>
    </w:pPr>
    <w:rPr>
      <w:rFonts w:ascii="黑体" w:hAnsi="Times New Roman" w:eastAsia="黑体" w:cs="Times New Roman"/>
      <w:kern w:val="0"/>
      <w:sz w:val="21"/>
      <w:szCs w:val="20"/>
      <w:lang w:val="en-US" w:eastAsia="zh-CN" w:bidi="ar-SA"/>
    </w:rPr>
  </w:style>
  <w:style w:type="character" w:customStyle="1" w:styleId="19">
    <w:name w:val="一级条标题{858D7CFB-ED40-4347-BF05-701D383B685F}"/>
    <w:link w:val="17"/>
    <w:uiPriority w:val="0"/>
    <w:rPr>
      <w:rFonts w:ascii="黑体" w:eastAsia="黑体"/>
    </w:rPr>
  </w:style>
  <w:style w:type="paragraph" w:customStyle="1" w:styleId="20">
    <w:name w:val="其他发布部门"/>
    <w:basedOn w:val="1"/>
    <w:qFormat/>
    <w:uiPriority w:val="0"/>
    <w:pPr>
      <w:widowControl/>
      <w:spacing w:line="0" w:lineRule="atLeast"/>
      <w:jc w:val="center"/>
    </w:pPr>
    <w:rPr>
      <w:rFonts w:ascii="黑体" w:eastAsia="黑体"/>
      <w:spacing w:val="20"/>
      <w:w w:val="135"/>
      <w:kern w:val="0"/>
      <w:sz w:val="36"/>
      <w:szCs w:val="20"/>
    </w:rPr>
  </w:style>
  <w:style w:type="paragraph" w:customStyle="1" w:styleId="21">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22">
    <w:name w:val="封面正文"/>
    <w:qFormat/>
    <w:uiPriority w:val="0"/>
    <w:pPr>
      <w:jc w:val="both"/>
    </w:pPr>
    <w:rPr>
      <w:rFonts w:ascii="Times New Roman" w:hAnsi="Times New Roman" w:eastAsia="宋体" w:cs="Times New Roman"/>
      <w:kern w:val="0"/>
      <w:sz w:val="20"/>
      <w:szCs w:val="20"/>
      <w:lang w:val="en-US" w:eastAsia="zh-CN" w:bidi="ar-SA"/>
    </w:rPr>
  </w:style>
  <w:style w:type="paragraph" w:customStyle="1" w:styleId="23">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24">
    <w:name w:val="tgt2"/>
    <w:basedOn w:val="1"/>
    <w:qFormat/>
    <w:uiPriority w:val="0"/>
    <w:pPr>
      <w:widowControl/>
      <w:spacing w:after="136" w:line="360" w:lineRule="auto"/>
      <w:jc w:val="left"/>
    </w:pPr>
    <w:rPr>
      <w:rFonts w:ascii="宋体" w:hAnsi="宋体" w:cs="宋体"/>
      <w:b/>
      <w:bCs/>
      <w:kern w:val="0"/>
      <w:sz w:val="36"/>
      <w:szCs w:val="36"/>
    </w:rPr>
  </w:style>
  <w:style w:type="paragraph" w:customStyle="1" w:styleId="25">
    <w:name w:val="标准书脚_奇数页"/>
    <w:uiPriority w:val="0"/>
    <w:pPr>
      <w:spacing w:before="120"/>
      <w:jc w:val="right"/>
    </w:pPr>
    <w:rPr>
      <w:rFonts w:ascii="Times New Roman" w:hAnsi="Times New Roman" w:eastAsia="宋体" w:cs="Times New Roman"/>
      <w:kern w:val="0"/>
      <w:sz w:val="18"/>
      <w:szCs w:val="20"/>
      <w:lang w:val="en-US" w:eastAsia="zh-CN" w:bidi="ar-SA"/>
    </w:rPr>
  </w:style>
  <w:style w:type="paragraph" w:customStyle="1" w:styleId="26">
    <w:name w:val="标准标志"/>
    <w:next w:val="1"/>
    <w:qFormat/>
    <w:uiPriority w:val="0"/>
    <w:pPr>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character" w:customStyle="1" w:styleId="27">
    <w:name w:val="页眉 字符"/>
    <w:basedOn w:val="9"/>
    <w:link w:val="6"/>
    <w:uiPriority w:val="0"/>
    <w:rPr>
      <w:rFonts w:ascii="Times New Roman" w:hAnsi="Times New Roman" w:eastAsia="宋体" w:cs="Times New Roman"/>
      <w:sz w:val="18"/>
      <w:szCs w:val="18"/>
    </w:rPr>
  </w:style>
  <w:style w:type="paragraph" w:customStyle="1" w:styleId="28">
    <w:name w:val="标准书眉_奇数页"/>
    <w:next w:val="1"/>
    <w:uiPriority w:val="0"/>
    <w:pPr>
      <w:tabs>
        <w:tab w:val="center" w:pos="4154"/>
        <w:tab w:val="right" w:pos="8306"/>
      </w:tabs>
      <w:spacing w:after="120"/>
      <w:jc w:val="right"/>
    </w:pPr>
    <w:rPr>
      <w:rFonts w:ascii="Times New Roman" w:hAnsi="Times New Roman" w:eastAsia="宋体" w:cs="Times New Roman"/>
      <w:kern w:val="0"/>
      <w:sz w:val="21"/>
      <w:szCs w:val="20"/>
      <w:lang w:val="en-US" w:eastAsia="zh-CN" w:bidi="ar-SA"/>
    </w:rPr>
  </w:style>
  <w:style w:type="paragraph" w:customStyle="1" w:styleId="29">
    <w:name w:val="封面标准文稿编辑信息"/>
    <w:uiPriority w:val="0"/>
    <w:pPr>
      <w:spacing w:before="180" w:line="180" w:lineRule="exact"/>
      <w:jc w:val="center"/>
    </w:pPr>
    <w:rPr>
      <w:rFonts w:ascii="宋体" w:hAnsi="Times New Roman" w:eastAsia="宋体" w:cs="Times New Roman"/>
      <w:kern w:val="0"/>
      <w:sz w:val="21"/>
      <w:szCs w:val="20"/>
      <w:lang w:val="en-US" w:eastAsia="zh-CN" w:bidi="ar-SA"/>
    </w:rPr>
  </w:style>
  <w:style w:type="paragraph" w:customStyle="1" w:styleId="30">
    <w:name w:val="封面标准名称"/>
    <w:uiPriority w:val="0"/>
    <w:pPr>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31">
    <w:name w:val="其他标准称谓"/>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32">
    <w:name w:val="目次、标准名称标题"/>
    <w:basedOn w:val="21"/>
    <w:next w:val="13"/>
    <w:uiPriority w:val="0"/>
    <w:pPr>
      <w:numPr>
        <w:numId w:val="0"/>
      </w:numPr>
      <w:spacing w:line="460" w:lineRule="exact"/>
    </w:pPr>
  </w:style>
  <w:style w:type="paragraph" w:customStyle="1" w:styleId="33">
    <w:name w:val="封面标准代替信息"/>
    <w:basedOn w:val="34"/>
    <w:uiPriority w:val="0"/>
    <w:pPr>
      <w:spacing w:before="57"/>
    </w:pPr>
    <w:rPr>
      <w:rFonts w:ascii="宋体"/>
      <w:sz w:val="21"/>
    </w:rPr>
  </w:style>
  <w:style w:type="paragraph" w:customStyle="1" w:styleId="34">
    <w:name w:val="封面标准号2"/>
    <w:basedOn w:val="1"/>
    <w:uiPriority w:val="0"/>
    <w:pPr>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35">
    <w:name w:val="标准书脚_偶数页"/>
    <w:uiPriority w:val="0"/>
    <w:pPr>
      <w:spacing w:before="120"/>
    </w:pPr>
    <w:rPr>
      <w:rFonts w:ascii="Times New Roman" w:hAnsi="Times New Roman" w:eastAsia="宋体" w:cs="Times New Roman"/>
      <w:kern w:val="0"/>
      <w:sz w:val="18"/>
      <w:szCs w:val="20"/>
      <w:lang w:val="en-US" w:eastAsia="zh-CN" w:bidi="ar-SA"/>
    </w:rPr>
  </w:style>
  <w:style w:type="paragraph" w:customStyle="1" w:styleId="36">
    <w:name w:val="封面一致性程度标识"/>
    <w:uiPriority w:val="0"/>
    <w:pPr>
      <w:spacing w:before="440" w:line="400" w:lineRule="exact"/>
      <w:jc w:val="center"/>
    </w:pPr>
    <w:rPr>
      <w:rFonts w:ascii="宋体" w:hAnsi="Times New Roman" w:eastAsia="宋体" w:cs="Times New Roman"/>
      <w:kern w:val="0"/>
      <w:sz w:val="28"/>
      <w:szCs w:val="20"/>
      <w:lang w:val="en-US" w:eastAsia="zh-CN" w:bidi="ar-SA"/>
    </w:rPr>
  </w:style>
  <w:style w:type="paragraph" w:customStyle="1" w:styleId="37">
    <w:name w:val="封面标准英文名称"/>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character" w:customStyle="1" w:styleId="38">
    <w:name w:val="页脚 字符"/>
    <w:basedOn w:val="9"/>
    <w:link w:val="5"/>
    <w:uiPriority w:val="0"/>
    <w:rPr>
      <w:rFonts w:ascii="Times New Roman" w:hAnsi="Times New Roman" w:eastAsia="宋体" w:cs="Times New Roman"/>
      <w:sz w:val="18"/>
      <w:szCs w:val="18"/>
    </w:rPr>
  </w:style>
  <w:style w:type="paragraph" w:customStyle="1" w:styleId="39">
    <w:name w:val="封面标准文稿类别"/>
    <w:uiPriority w:val="0"/>
    <w:pPr>
      <w:spacing w:before="440" w:line="400" w:lineRule="exact"/>
      <w:jc w:val="center"/>
    </w:pPr>
    <w:rPr>
      <w:rFonts w:ascii="宋体" w:hAnsi="Times New Roman" w:eastAsia="宋体" w:cs="Times New Roman"/>
      <w:kern w:val="0"/>
      <w:sz w:val="24"/>
      <w:szCs w:val="20"/>
      <w:lang w:val="en-US" w:eastAsia="zh-CN" w:bidi="ar-SA"/>
    </w:rPr>
  </w:style>
  <w:style w:type="paragraph" w:customStyle="1" w:styleId="40">
    <w:name w:val="标准书眉_偶数页"/>
    <w:basedOn w:val="28"/>
    <w:next w:val="1"/>
    <w:uiPriority w:val="0"/>
    <w:pPr>
      <w:jc w:val="left"/>
    </w:pPr>
  </w:style>
  <w:style w:type="character" w:customStyle="1" w:styleId="41">
    <w:name w:val="apple-converted-space"/>
    <w:basedOn w:val="9"/>
    <w:uiPriority w:val="0"/>
  </w:style>
  <w:style w:type="character" w:customStyle="1" w:styleId="42">
    <w:name w:val="正文文本 字符"/>
    <w:basedOn w:val="9"/>
    <w:link w:val="3"/>
    <w:uiPriority w:val="0"/>
    <w:rPr>
      <w:rFonts w:ascii="Times New Roman" w:hAnsi="Times New Roman" w:eastAsia="宋体" w:cs="Times New Roman"/>
      <w:sz w:val="32"/>
      <w:szCs w:val="20"/>
    </w:rPr>
  </w:style>
  <w:style w:type="paragraph" w:styleId="43">
    <w:name w:val="List Paragraph"/>
    <w:basedOn w:val="1"/>
    <w:qFormat/>
    <w:uiPriority w:val="34"/>
    <w:pPr>
      <w:ind w:firstLine="420" w:firstLineChars="200"/>
    </w:pPr>
  </w:style>
  <w:style w:type="paragraph" w:customStyle="1" w:styleId="44">
    <w:name w:val="三级条标题"/>
    <w:basedOn w:val="16"/>
    <w:next w:val="13"/>
    <w:uiPriority w:val="0"/>
    <w:pPr>
      <w:numPr>
        <w:ilvl w:val="0"/>
        <w:numId w:val="0"/>
      </w:numPr>
      <w:spacing w:beforeLines="0" w:afterLines="0"/>
      <w:outlineLvl w:val="4"/>
    </w:pPr>
    <w:rPr>
      <w:rFonts w:hAnsi="Times New Roman" w:cs="Times New Roman"/>
      <w:kern w:val="0"/>
      <w:szCs w:val="20"/>
    </w:rPr>
  </w:style>
  <w:style w:type="paragraph" w:customStyle="1" w:styleId="45">
    <w:name w:val="四级条标题"/>
    <w:basedOn w:val="44"/>
    <w:next w:val="13"/>
    <w:uiPriority w:val="0"/>
    <w:pPr>
      <w:outlineLvl w:val="5"/>
    </w:pPr>
  </w:style>
  <w:style w:type="paragraph" w:customStyle="1" w:styleId="46">
    <w:name w:val="五级条标题"/>
    <w:basedOn w:val="45"/>
    <w:next w:val="13"/>
    <w:uiPriority w:val="0"/>
    <w:pPr>
      <w:outlineLvl w:val="6"/>
    </w:pPr>
  </w:style>
  <w:style w:type="character" w:customStyle="1" w:styleId="47">
    <w:name w:val="正文文本缩进 字符"/>
    <w:basedOn w:val="9"/>
    <w:link w:val="4"/>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1645</Words>
  <Characters>1909</Characters>
  <Lines>15</Lines>
  <Paragraphs>4</Paragraphs>
  <TotalTime>3</TotalTime>
  <ScaleCrop>false</ScaleCrop>
  <LinksUpToDate>false</LinksUpToDate>
  <CharactersWithSpaces>2051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2017-07-17T08:16:00Z</dcterms:created>
  <dc:creator>r</dc:creator>
  <cp:lastModifiedBy>Administrator</cp:lastModifiedBy>
  <dcterms:modified xsi:type="dcterms:W3CDTF">2023-07-06T15:18:36Z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7D9CC4630A8145E4A31E0E8BF07F1EA4_13</vt:lpwstr>
  </property>
</Properties>
</file>