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0"/>
        </w:rPr>
      </w:pPr>
      <w:r>
        <w:rPr>
          <w:rFonts w:hint="eastAsia"/>
          <w:b/>
          <w:sz w:val="30"/>
        </w:rPr>
        <w:t>磷酸氢根四氨合铂行业标准</w:t>
      </w:r>
    </w:p>
    <w:p>
      <w:pPr>
        <w:spacing w:line="360" w:lineRule="auto"/>
        <w:jc w:val="center"/>
        <w:rPr>
          <w:b/>
          <w:sz w:val="30"/>
        </w:rPr>
      </w:pPr>
      <w:r>
        <w:rPr>
          <w:rFonts w:hint="eastAsia"/>
          <w:b/>
          <w:sz w:val="30"/>
        </w:rPr>
        <w:t>编制说明</w:t>
      </w:r>
    </w:p>
    <w:p>
      <w:pPr>
        <w:pStyle w:val="12"/>
        <w:numPr>
          <w:ilvl w:val="0"/>
          <w:numId w:val="1"/>
        </w:numPr>
        <w:ind w:firstLineChars="0"/>
        <w:rPr>
          <w:rFonts w:ascii="宋体" w:hAnsi="宋体"/>
          <w:b/>
          <w:sz w:val="24"/>
        </w:rPr>
      </w:pPr>
      <w:r>
        <w:rPr>
          <w:rFonts w:hint="eastAsia" w:ascii="宋体" w:hAnsi="宋体"/>
          <w:b/>
          <w:sz w:val="24"/>
        </w:rPr>
        <w:t>工作简况</w:t>
      </w:r>
    </w:p>
    <w:p>
      <w:pPr>
        <w:rPr>
          <w:rFonts w:ascii="宋体" w:hAnsi="宋体"/>
          <w:b/>
          <w:sz w:val="24"/>
        </w:rPr>
      </w:pPr>
      <w:r>
        <w:rPr>
          <w:rFonts w:hint="eastAsia" w:ascii="宋体" w:hAnsi="宋体"/>
          <w:b/>
          <w:sz w:val="24"/>
        </w:rPr>
        <w:t>1.任务来源</w:t>
      </w:r>
    </w:p>
    <w:p>
      <w:pPr>
        <w:rPr>
          <w:rFonts w:ascii="宋体" w:hAnsi="宋体"/>
          <w:b/>
          <w:sz w:val="24"/>
        </w:rPr>
      </w:pPr>
      <w:r>
        <w:rPr>
          <w:rFonts w:hint="eastAsia" w:ascii="宋体" w:hAnsi="宋体"/>
          <w:b/>
          <w:sz w:val="24"/>
        </w:rPr>
        <w:t>1.1计划批准文件名称、文号及项目编号、项目名称、计划完成年限、项目名称更改说明、编制组成员（单位）</w:t>
      </w:r>
    </w:p>
    <w:p>
      <w:pPr>
        <w:pStyle w:val="13"/>
        <w:numPr>
          <w:ilvl w:val="0"/>
          <w:numId w:val="2"/>
        </w:numPr>
        <w:spacing w:line="360" w:lineRule="auto"/>
        <w:ind w:firstLine="480"/>
        <w:rPr>
          <w:sz w:val="24"/>
          <w:szCs w:val="24"/>
        </w:rPr>
      </w:pPr>
      <w:r>
        <w:rPr>
          <w:rFonts w:hint="eastAsia"/>
          <w:sz w:val="24"/>
          <w:szCs w:val="24"/>
        </w:rPr>
        <w:t xml:space="preserve"> 根据工业和信息化部[2022]94号文《2022 年第一批行业标准制修订和外文版项目计划》，有色金属行业标准《</w:t>
      </w:r>
      <w:r>
        <w:rPr>
          <w:rFonts w:hint="eastAsia" w:hAnsi="宋体" w:cs="宋体"/>
          <w:sz w:val="24"/>
        </w:rPr>
        <w:t>磷酸氢根四氨合铂</w:t>
      </w:r>
      <w:r>
        <w:rPr>
          <w:rFonts w:hint="eastAsia"/>
          <w:sz w:val="24"/>
          <w:szCs w:val="24"/>
        </w:rPr>
        <w:t>》</w:t>
      </w:r>
      <w:r>
        <w:rPr>
          <w:rFonts w:hint="eastAsia" w:hAnsi="宋体" w:cs="宋体"/>
          <w:sz w:val="24"/>
        </w:rPr>
        <w:t>制定项目</w:t>
      </w:r>
      <w:r>
        <w:rPr>
          <w:rFonts w:hint="eastAsia"/>
          <w:sz w:val="24"/>
          <w:szCs w:val="24"/>
        </w:rPr>
        <w:t>由全国有色金属标准化技术委员会归口，主要起草单位为贵研铂业股份有限公司，项目计划编号：</w:t>
      </w:r>
      <w:r>
        <w:rPr>
          <w:rFonts w:hint="eastAsia" w:hAnsi="宋体" w:cs="宋体"/>
          <w:sz w:val="24"/>
        </w:rPr>
        <w:t>工信厅科函[20</w:t>
      </w:r>
      <w:r>
        <w:rPr>
          <w:rFonts w:hAnsi="宋体" w:cs="宋体"/>
          <w:sz w:val="24"/>
        </w:rPr>
        <w:t>22</w:t>
      </w:r>
      <w:r>
        <w:rPr>
          <w:rFonts w:hint="eastAsia" w:hAnsi="宋体" w:cs="宋体"/>
          <w:sz w:val="24"/>
        </w:rPr>
        <w:t>]</w:t>
      </w:r>
      <w:r>
        <w:rPr>
          <w:rFonts w:hAnsi="宋体" w:cs="宋体"/>
          <w:sz w:val="24"/>
        </w:rPr>
        <w:t>94</w:t>
      </w:r>
      <w:r>
        <w:rPr>
          <w:rFonts w:hint="eastAsia" w:hAnsi="宋体" w:cs="宋体"/>
          <w:sz w:val="24"/>
        </w:rPr>
        <w:t>号20</w:t>
      </w:r>
      <w:r>
        <w:rPr>
          <w:rFonts w:hAnsi="宋体" w:cs="宋体"/>
          <w:sz w:val="24"/>
        </w:rPr>
        <w:t>22</w:t>
      </w:r>
      <w:r>
        <w:rPr>
          <w:rFonts w:hint="eastAsia" w:hAnsi="宋体" w:cs="宋体"/>
          <w:sz w:val="24"/>
        </w:rPr>
        <w:t>-04</w:t>
      </w:r>
      <w:r>
        <w:rPr>
          <w:rFonts w:hAnsi="宋体" w:cs="宋体"/>
          <w:sz w:val="24"/>
        </w:rPr>
        <w:t>68</w:t>
      </w:r>
      <w:r>
        <w:rPr>
          <w:rFonts w:hint="eastAsia" w:hAnsi="宋体" w:cs="宋体"/>
          <w:sz w:val="24"/>
        </w:rPr>
        <w:t>T-YS，项目周期</w:t>
      </w:r>
      <w:r>
        <w:rPr>
          <w:rFonts w:hint="eastAsia"/>
          <w:sz w:val="24"/>
          <w:szCs w:val="24"/>
        </w:rPr>
        <w:t>为24个月，完成年限为20</w:t>
      </w:r>
      <w:r>
        <w:rPr>
          <w:sz w:val="24"/>
          <w:szCs w:val="24"/>
        </w:rPr>
        <w:t>22</w:t>
      </w:r>
      <w:r>
        <w:rPr>
          <w:rFonts w:hint="eastAsia"/>
          <w:sz w:val="24"/>
          <w:szCs w:val="24"/>
        </w:rPr>
        <w:t>年</w:t>
      </w:r>
      <w:r>
        <w:rPr>
          <w:sz w:val="24"/>
          <w:szCs w:val="24"/>
        </w:rPr>
        <w:t>4</w:t>
      </w:r>
      <w:r>
        <w:rPr>
          <w:rFonts w:hint="eastAsia"/>
          <w:sz w:val="24"/>
          <w:szCs w:val="24"/>
        </w:rPr>
        <w:t>月至202</w:t>
      </w:r>
      <w:r>
        <w:rPr>
          <w:sz w:val="24"/>
          <w:szCs w:val="24"/>
        </w:rPr>
        <w:t>4</w:t>
      </w:r>
      <w:r>
        <w:rPr>
          <w:rFonts w:hint="eastAsia"/>
          <w:sz w:val="24"/>
          <w:szCs w:val="24"/>
        </w:rPr>
        <w:t>年</w:t>
      </w:r>
      <w:r>
        <w:rPr>
          <w:sz w:val="24"/>
          <w:szCs w:val="24"/>
        </w:rPr>
        <w:t>4</w:t>
      </w:r>
      <w:r>
        <w:rPr>
          <w:rFonts w:hint="eastAsia"/>
          <w:sz w:val="24"/>
          <w:szCs w:val="24"/>
        </w:rPr>
        <w:t>月。2022年7月18日至20日于河南省洛阳市召开的全国有色金属标准化技术委员会任务落实会[2022]111号，落实了《</w:t>
      </w:r>
      <w:r>
        <w:rPr>
          <w:rFonts w:hint="eastAsia" w:hAnsi="宋体" w:cs="宋体"/>
          <w:sz w:val="24"/>
        </w:rPr>
        <w:t>磷酸氢根四氨合铂</w:t>
      </w:r>
      <w:r>
        <w:rPr>
          <w:rFonts w:hint="eastAsia"/>
          <w:sz w:val="24"/>
          <w:szCs w:val="24"/>
        </w:rPr>
        <w:t>》有色行业标准技术归口单位为全国有色金属标准化技术委员会，确定了标准的总体安排及制定进度情况。</w:t>
      </w:r>
    </w:p>
    <w:p>
      <w:pPr>
        <w:pStyle w:val="13"/>
        <w:numPr>
          <w:ilvl w:val="0"/>
          <w:numId w:val="2"/>
        </w:numPr>
        <w:spacing w:line="360" w:lineRule="auto"/>
        <w:ind w:firstLine="480"/>
        <w:rPr>
          <w:rFonts w:hint="eastAsia"/>
          <w:sz w:val="24"/>
          <w:szCs w:val="24"/>
        </w:rPr>
      </w:pPr>
      <w:r>
        <w:rPr>
          <w:rFonts w:hint="eastAsia"/>
          <w:sz w:val="24"/>
          <w:szCs w:val="24"/>
        </w:rPr>
        <w:t>标准起草单位为：贵研化学材料（云南）有限公司、贵研铂业股份有限公司、云南贵金属实验室有限公司、</w:t>
      </w:r>
      <w:bookmarkStart w:id="0" w:name="_Hlk139277173"/>
      <w:r>
        <w:rPr>
          <w:rFonts w:hint="eastAsia" w:hAnsi="宋体" w:cs="宋体"/>
          <w:sz w:val="24"/>
        </w:rPr>
        <w:t>西安瑞鑫科金属材料有限责任公司、徐州浩通新材料科技股份有限公司</w:t>
      </w:r>
      <w:r>
        <w:rPr>
          <w:rFonts w:hint="eastAsia"/>
          <w:sz w:val="24"/>
          <w:szCs w:val="24"/>
        </w:rPr>
        <w:t>。</w:t>
      </w:r>
      <w:bookmarkEnd w:id="0"/>
    </w:p>
    <w:p>
      <w:pPr>
        <w:rPr>
          <w:rFonts w:ascii="宋体" w:hAnsi="宋体"/>
          <w:b/>
          <w:sz w:val="24"/>
        </w:rPr>
      </w:pPr>
      <w:r>
        <w:rPr>
          <w:rFonts w:hint="eastAsia" w:ascii="宋体" w:hAnsi="宋体"/>
          <w:b/>
          <w:sz w:val="24"/>
        </w:rPr>
        <w:t>1.2项目编制组单位变化情况</w:t>
      </w:r>
    </w:p>
    <w:p>
      <w:pPr>
        <w:pStyle w:val="13"/>
        <w:numPr>
          <w:ilvl w:val="0"/>
          <w:numId w:val="2"/>
        </w:numPr>
        <w:spacing w:line="360" w:lineRule="auto"/>
        <w:ind w:firstLine="480"/>
        <w:rPr>
          <w:sz w:val="24"/>
          <w:szCs w:val="24"/>
        </w:rPr>
      </w:pPr>
      <w:r>
        <w:rPr>
          <w:rFonts w:hint="eastAsia"/>
          <w:sz w:val="24"/>
          <w:szCs w:val="24"/>
        </w:rPr>
        <w:t>标准原来由贵研铂业股份有限公司环境材料事业部负责起草。现环境材料事业部已成为贵研铂业股份有限公司下的独立法人子公司，名称为贵研化学材料（云南）有限公司，现标准由贵研化学材料（云南）有限公司牵头编制，增加了云南贵金属实验室有限公司，其余参加单位</w:t>
      </w:r>
      <w:r>
        <w:rPr>
          <w:rFonts w:hint="eastAsia" w:hAnsi="宋体" w:cs="宋体"/>
          <w:sz w:val="24"/>
        </w:rPr>
        <w:t>西安瑞鑫科金属材料有限责任公司、徐州浩通新材料科技股份有限公司</w:t>
      </w:r>
      <w:r>
        <w:rPr>
          <w:rFonts w:hint="eastAsia"/>
          <w:sz w:val="24"/>
          <w:szCs w:val="24"/>
        </w:rPr>
        <w:t>。</w:t>
      </w:r>
    </w:p>
    <w:p>
      <w:pPr>
        <w:pStyle w:val="13"/>
        <w:spacing w:line="360" w:lineRule="auto"/>
        <w:ind w:firstLine="0" w:firstLineChars="0"/>
        <w:rPr>
          <w:rFonts w:hint="eastAsia"/>
          <w:sz w:val="24"/>
          <w:szCs w:val="24"/>
        </w:rPr>
      </w:pPr>
    </w:p>
    <w:p>
      <w:pPr>
        <w:rPr>
          <w:rFonts w:ascii="宋体" w:hAnsi="宋体"/>
          <w:b/>
          <w:sz w:val="24"/>
        </w:rPr>
      </w:pPr>
      <w:r>
        <w:rPr>
          <w:rFonts w:hint="eastAsia" w:ascii="宋体" w:hAnsi="宋体"/>
          <w:b/>
          <w:sz w:val="24"/>
        </w:rPr>
        <w:t>2.主要参加单位和工作成员及其所做的工作</w:t>
      </w:r>
    </w:p>
    <w:p>
      <w:pPr>
        <w:rPr>
          <w:b/>
          <w:sz w:val="24"/>
        </w:rPr>
      </w:pPr>
      <w:r>
        <w:rPr>
          <w:rFonts w:hint="eastAsia"/>
          <w:b/>
          <w:sz w:val="24"/>
        </w:rPr>
        <w:t>2.1 主要参加单位情况</w:t>
      </w:r>
    </w:p>
    <w:p>
      <w:pPr>
        <w:spacing w:line="360" w:lineRule="auto"/>
        <w:ind w:firstLine="480" w:firstLineChars="200"/>
        <w:rPr>
          <w:rFonts w:hint="eastAsia" w:ascii="宋体" w:hAnsi="宋体" w:cs="宋体"/>
          <w:kern w:val="0"/>
          <w:sz w:val="24"/>
        </w:rPr>
      </w:pPr>
      <w:r>
        <w:rPr>
          <w:rFonts w:hint="eastAsia" w:ascii="宋体" w:hAnsi="宋体" w:cs="宋体"/>
          <w:kern w:val="0"/>
          <w:sz w:val="24"/>
        </w:rPr>
        <w:t>标准主起草单位贵研化学材料（云南）有限公司简称贵研化学，是贵研铂业股份有限公司的全资子公司，搬迁至昆明马金铺贵金属新材料产业园区，建设了最先进的贵金属化学品生产线，主要从事贵金属基础化合物、催化剂前驱体化合物、均相催化剂的研发及生产工作，有各类研发人员、工程技术人员和管理人员1</w:t>
      </w:r>
      <w:r>
        <w:rPr>
          <w:rFonts w:ascii="宋体" w:hAnsi="宋体" w:cs="宋体"/>
          <w:kern w:val="0"/>
          <w:sz w:val="24"/>
        </w:rPr>
        <w:t>6</w:t>
      </w:r>
      <w:r>
        <w:rPr>
          <w:rFonts w:hint="eastAsia" w:ascii="宋体" w:hAnsi="宋体" w:cs="宋体"/>
          <w:kern w:val="0"/>
          <w:sz w:val="24"/>
        </w:rPr>
        <w:t>0余人，是目前我国铂族金属化合物的主要生产基地，产品用户遍布全国各行各业上百家企业，部分产品出口到日韩及欧美国家。贵研铂业股份有限公司是由中国唯一从事贵金属多学科领域综合性研究开发机构昆明贵金属研究所发起成立的高新技术企业，于2003年在上海证券交易所上市。公司以标准引领行业发展，持续保持贵金属领域标准制(修)订的优势地位，截至2021年末，主持和参与制订、修订国家标准、国家军用标准、行业标准200多项，具备良好的工作基础。</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在标准起草任务落实后，积极组织相关人员查阅和检索国内外有关该产品的技术标准和资料，同时开展对用户的走访调研工作，征求客户使用意见，确定厂家对产品的性能要求及杂质含量允许范围，组织公司分析检测部门进行相关技术指标的检测分析研究工作，收集现场实测数据并科学分析，制定科学可靠的检测方法，最后在结合生产实际的基础上完成了本标准草案的编制工作。</w:t>
      </w:r>
    </w:p>
    <w:p>
      <w:pPr>
        <w:spacing w:line="360" w:lineRule="auto"/>
        <w:ind w:firstLine="480" w:firstLineChars="200"/>
        <w:rPr>
          <w:rFonts w:ascii="宋体" w:hAnsi="宋体" w:cs="宋体"/>
          <w:color w:val="000000"/>
          <w:kern w:val="0"/>
          <w:sz w:val="24"/>
        </w:rPr>
      </w:pPr>
      <w:r>
        <w:rPr>
          <w:rFonts w:hint="eastAsia" w:ascii="宋体" w:hAnsi="宋体" w:cs="宋体"/>
          <w:kern w:val="0"/>
          <w:sz w:val="24"/>
        </w:rPr>
        <w:t>其它编制组单位分别为为本标准的编制提供了一些有益的建议和修改意见，</w:t>
      </w:r>
      <w:r>
        <w:rPr>
          <w:rFonts w:hint="eastAsia" w:ascii="宋体" w:hAnsi="宋体" w:cs="宋体"/>
          <w:color w:val="000000"/>
          <w:kern w:val="0"/>
          <w:sz w:val="24"/>
        </w:rPr>
        <w:t>为标准的顺利制定提供了有力保障。</w:t>
      </w:r>
    </w:p>
    <w:p>
      <w:pPr>
        <w:spacing w:line="360" w:lineRule="auto"/>
        <w:ind w:firstLine="480" w:firstLineChars="200"/>
        <w:rPr>
          <w:rFonts w:ascii="宋体" w:hAnsi="宋体" w:cs="宋体"/>
          <w:color w:val="000000"/>
          <w:kern w:val="0"/>
          <w:sz w:val="24"/>
        </w:rPr>
      </w:pPr>
    </w:p>
    <w:p>
      <w:pPr>
        <w:rPr>
          <w:b/>
          <w:sz w:val="24"/>
        </w:rPr>
      </w:pPr>
      <w:r>
        <w:rPr>
          <w:rFonts w:hint="eastAsia"/>
          <w:b/>
          <w:sz w:val="24"/>
        </w:rPr>
        <w:t>2.2标准起草主要工作成员所负责的工作情况</w:t>
      </w:r>
    </w:p>
    <w:p>
      <w:pPr>
        <w:pStyle w:val="6"/>
        <w:spacing w:before="0" w:beforeAutospacing="0" w:after="0" w:afterAutospacing="0" w:line="360" w:lineRule="auto"/>
        <w:ind w:firstLine="480" w:firstLineChars="200"/>
      </w:pPr>
      <w:r>
        <w:rPr>
          <w:rFonts w:hint="eastAsia"/>
        </w:rPr>
        <w:t>标准主要起草人均为高级工程师、工程师，且长期从事贵金属化合物的研发及生产工作，先后参与制定了贵金属化合物产品的国家标准或行业标准十余项，曾获中国有色金属行业协会的多项标准奖励，经验丰富，实践能力强。标准起草人及工作职责见表一。</w:t>
      </w:r>
    </w:p>
    <w:p>
      <w:pPr>
        <w:ind w:firstLine="2400" w:firstLineChars="1000"/>
        <w:rPr>
          <w:sz w:val="24"/>
        </w:rPr>
      </w:pPr>
      <w:r>
        <w:rPr>
          <w:rFonts w:hint="eastAsia"/>
          <w:sz w:val="24"/>
        </w:rPr>
        <w:t>表一 主要起草人及工作职责</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kern w:val="0"/>
                <w:sz w:val="24"/>
              </w:rPr>
            </w:pPr>
            <w:r>
              <w:rPr>
                <w:rFonts w:hint="eastAsia"/>
                <w:kern w:val="0"/>
                <w:sz w:val="24"/>
              </w:rPr>
              <w:t>起草人</w:t>
            </w:r>
          </w:p>
        </w:tc>
        <w:tc>
          <w:tcPr>
            <w:tcW w:w="4261" w:type="dxa"/>
          </w:tcPr>
          <w:p>
            <w:pPr>
              <w:rPr>
                <w:kern w:val="0"/>
                <w:sz w:val="24"/>
              </w:rPr>
            </w:pPr>
            <w:r>
              <w:rPr>
                <w:rFonts w:hint="eastAsia"/>
                <w:kern w:val="0"/>
                <w:sz w:val="24"/>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kern w:val="0"/>
                <w:sz w:val="24"/>
              </w:rPr>
            </w:pPr>
            <w:r>
              <w:rPr>
                <w:rFonts w:hint="eastAsia"/>
                <w:kern w:val="0"/>
                <w:sz w:val="24"/>
              </w:rPr>
              <w:t>匡飞平</w:t>
            </w:r>
          </w:p>
        </w:tc>
        <w:tc>
          <w:tcPr>
            <w:tcW w:w="4261" w:type="dxa"/>
          </w:tcPr>
          <w:p>
            <w:pPr>
              <w:rPr>
                <w:kern w:val="0"/>
                <w:sz w:val="24"/>
              </w:rPr>
            </w:pPr>
            <w:r>
              <w:rPr>
                <w:rFonts w:hint="eastAsia"/>
                <w:kern w:val="0"/>
                <w:sz w:val="24"/>
              </w:rPr>
              <w:t>主要负责人，负责标准的编写、试验方案确定及组织协调工作。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kern w:val="0"/>
                <w:sz w:val="24"/>
              </w:rPr>
            </w:pPr>
            <w:r>
              <w:rPr>
                <w:rFonts w:hint="eastAsia"/>
                <w:kern w:val="0"/>
                <w:sz w:val="24"/>
              </w:rPr>
              <w:t>沈善问、刘桂华</w:t>
            </w:r>
          </w:p>
        </w:tc>
        <w:tc>
          <w:tcPr>
            <w:tcW w:w="4261" w:type="dxa"/>
          </w:tcPr>
          <w:p>
            <w:pPr>
              <w:rPr>
                <w:kern w:val="0"/>
                <w:sz w:val="24"/>
              </w:rPr>
            </w:pPr>
            <w:r>
              <w:rPr>
                <w:rFonts w:hint="eastAsia"/>
                <w:kern w:val="0"/>
                <w:sz w:val="24"/>
              </w:rPr>
              <w:t>技术指导及客户调研工作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kern w:val="0"/>
                <w:sz w:val="24"/>
              </w:rPr>
            </w:pPr>
            <w:r>
              <w:rPr>
                <w:rFonts w:hint="eastAsia"/>
                <w:kern w:val="0"/>
                <w:sz w:val="24"/>
              </w:rPr>
              <w:t>雷怀东</w:t>
            </w:r>
          </w:p>
        </w:tc>
        <w:tc>
          <w:tcPr>
            <w:tcW w:w="4261" w:type="dxa"/>
          </w:tcPr>
          <w:p>
            <w:pPr>
              <w:rPr>
                <w:kern w:val="0"/>
                <w:sz w:val="24"/>
              </w:rPr>
            </w:pPr>
            <w:r>
              <w:rPr>
                <w:rFonts w:hint="eastAsia"/>
                <w:kern w:val="0"/>
                <w:sz w:val="24"/>
              </w:rPr>
              <w:t>客户调研工作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kern w:val="0"/>
                <w:sz w:val="24"/>
              </w:rPr>
            </w:pPr>
            <w:r>
              <w:rPr>
                <w:rFonts w:hint="eastAsia"/>
                <w:kern w:val="0"/>
                <w:sz w:val="24"/>
              </w:rPr>
              <w:t>黄凯贤、孙为林、苏石龙、王力、郝德孟、徐宏涛、彭俊</w:t>
            </w:r>
          </w:p>
        </w:tc>
        <w:tc>
          <w:tcPr>
            <w:tcW w:w="4261" w:type="dxa"/>
          </w:tcPr>
          <w:p>
            <w:pPr>
              <w:rPr>
                <w:kern w:val="0"/>
                <w:sz w:val="24"/>
              </w:rPr>
            </w:pPr>
            <w:r>
              <w:rPr>
                <w:rFonts w:hint="eastAsia"/>
                <w:kern w:val="0"/>
                <w:sz w:val="24"/>
              </w:rPr>
              <w:t>产品生产及试验数据积累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kern w:val="0"/>
                <w:sz w:val="24"/>
              </w:rPr>
            </w:pPr>
            <w:r>
              <w:rPr>
                <w:rFonts w:hint="eastAsia"/>
                <w:kern w:val="0"/>
                <w:sz w:val="24"/>
              </w:rPr>
              <w:t>李秋莹、陶赛祥</w:t>
            </w:r>
          </w:p>
        </w:tc>
        <w:tc>
          <w:tcPr>
            <w:tcW w:w="4261" w:type="dxa"/>
          </w:tcPr>
          <w:p>
            <w:pPr>
              <w:rPr>
                <w:kern w:val="0"/>
                <w:sz w:val="24"/>
              </w:rPr>
            </w:pPr>
            <w:r>
              <w:rPr>
                <w:rFonts w:hint="eastAsia"/>
                <w:kern w:val="0"/>
                <w:sz w:val="24"/>
              </w:rPr>
              <w:t>产品分析检测方法研究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rPr>
                <w:kern w:val="0"/>
                <w:sz w:val="24"/>
              </w:rPr>
            </w:pPr>
            <w:r>
              <w:rPr>
                <w:rFonts w:hint="eastAsia"/>
                <w:kern w:val="0"/>
                <w:sz w:val="24"/>
              </w:rPr>
              <w:t>朱武勋</w:t>
            </w:r>
          </w:p>
        </w:tc>
        <w:tc>
          <w:tcPr>
            <w:tcW w:w="4261" w:type="dxa"/>
          </w:tcPr>
          <w:p>
            <w:pPr>
              <w:rPr>
                <w:kern w:val="0"/>
                <w:sz w:val="24"/>
              </w:rPr>
            </w:pPr>
            <w:r>
              <w:rPr>
                <w:rFonts w:hint="eastAsia"/>
                <w:kern w:val="0"/>
                <w:sz w:val="24"/>
              </w:rPr>
              <w:t>组织协调工作</w:t>
            </w:r>
          </w:p>
        </w:tc>
      </w:tr>
    </w:tbl>
    <w:p>
      <w:pPr>
        <w:rPr>
          <w:sz w:val="24"/>
        </w:rPr>
      </w:pPr>
    </w:p>
    <w:p>
      <w:pPr>
        <w:rPr>
          <w:rFonts w:ascii="宋体" w:hAnsi="宋体"/>
          <w:b/>
          <w:sz w:val="24"/>
        </w:rPr>
      </w:pPr>
      <w:r>
        <w:rPr>
          <w:rFonts w:hint="eastAsia" w:ascii="宋体" w:hAnsi="宋体"/>
          <w:b/>
          <w:sz w:val="24"/>
        </w:rPr>
        <w:t>3.主要工作过程</w:t>
      </w:r>
    </w:p>
    <w:p>
      <w:pPr>
        <w:spacing w:line="360" w:lineRule="auto"/>
        <w:rPr>
          <w:rFonts w:ascii="宋体" w:hAnsi="宋体"/>
          <w:b/>
          <w:sz w:val="24"/>
        </w:rPr>
      </w:pPr>
      <w:r>
        <w:rPr>
          <w:rFonts w:hint="eastAsia" w:ascii="宋体" w:hAnsi="宋体"/>
          <w:b/>
          <w:sz w:val="24"/>
        </w:rPr>
        <w:t>3.1 项目确定阶段</w:t>
      </w:r>
    </w:p>
    <w:p>
      <w:pPr>
        <w:spacing w:after="160"/>
        <w:ind w:firstLine="480" w:firstLineChars="200"/>
        <w:rPr>
          <w:sz w:val="24"/>
        </w:rPr>
      </w:pPr>
      <w:r>
        <w:rPr>
          <w:sz w:val="24"/>
        </w:rPr>
        <w:t>贵研</w:t>
      </w:r>
      <w:r>
        <w:rPr>
          <w:rFonts w:hint="eastAsia"/>
          <w:sz w:val="24"/>
        </w:rPr>
        <w:t>化学材料（云南）</w:t>
      </w:r>
      <w:r>
        <w:rPr>
          <w:sz w:val="24"/>
        </w:rPr>
        <w:t>有限公司接到标准</w:t>
      </w:r>
      <w:r>
        <w:rPr>
          <w:rFonts w:hint="eastAsia"/>
          <w:sz w:val="24"/>
        </w:rPr>
        <w:t>制定</w:t>
      </w:r>
      <w:r>
        <w:rPr>
          <w:sz w:val="24"/>
        </w:rPr>
        <w:t>任务后，组织人员查阅和检索了国内外有关技术标准和资料，并征求了使用企业的意见，作为建立本技术标准的技术依据，也考虑了国内厂家生产实际和分析水平等情况，于20</w:t>
      </w:r>
      <w:r>
        <w:rPr>
          <w:rFonts w:hint="eastAsia"/>
          <w:sz w:val="24"/>
        </w:rPr>
        <w:t>2</w:t>
      </w:r>
      <w:r>
        <w:rPr>
          <w:sz w:val="24"/>
        </w:rPr>
        <w:t>2</w:t>
      </w:r>
      <w:r>
        <w:rPr>
          <w:rFonts w:hint="eastAsia"/>
          <w:sz w:val="24"/>
        </w:rPr>
        <w:t>年</w:t>
      </w:r>
      <w:r>
        <w:rPr>
          <w:sz w:val="24"/>
        </w:rPr>
        <w:t>1月由公司相关技术人员组成了《</w:t>
      </w:r>
      <w:r>
        <w:rPr>
          <w:rFonts w:hint="eastAsia"/>
          <w:color w:val="000000"/>
          <w:kern w:val="0"/>
          <w:sz w:val="24"/>
        </w:rPr>
        <w:t>磷酸氢根四氨合铂</w:t>
      </w:r>
      <w:r>
        <w:rPr>
          <w:sz w:val="24"/>
        </w:rPr>
        <w:t>》标准</w:t>
      </w:r>
      <w:r>
        <w:rPr>
          <w:rFonts w:hint="eastAsia"/>
          <w:sz w:val="24"/>
        </w:rPr>
        <w:t>专项</w:t>
      </w:r>
      <w:r>
        <w:rPr>
          <w:sz w:val="24"/>
        </w:rPr>
        <w:t>组，主要进行如下工作：</w:t>
      </w:r>
    </w:p>
    <w:p>
      <w:pPr>
        <w:spacing w:after="160"/>
        <w:ind w:firstLine="480" w:firstLineChars="200"/>
        <w:rPr>
          <w:sz w:val="24"/>
        </w:rPr>
      </w:pPr>
      <w:r>
        <w:rPr>
          <w:sz w:val="24"/>
        </w:rPr>
        <w:t>1）确立《</w:t>
      </w:r>
      <w:r>
        <w:rPr>
          <w:rFonts w:hint="eastAsia"/>
          <w:color w:val="000000"/>
          <w:kern w:val="0"/>
          <w:sz w:val="24"/>
        </w:rPr>
        <w:t>磷酸氢根四氨合铂</w:t>
      </w:r>
      <w:r>
        <w:rPr>
          <w:sz w:val="24"/>
        </w:rPr>
        <w:t>》标准</w:t>
      </w:r>
      <w:r>
        <w:rPr>
          <w:rFonts w:hint="eastAsia"/>
          <w:sz w:val="24"/>
        </w:rPr>
        <w:t>制定</w:t>
      </w:r>
      <w:r>
        <w:rPr>
          <w:sz w:val="24"/>
        </w:rPr>
        <w:t>遵循的基本原则；</w:t>
      </w:r>
    </w:p>
    <w:p>
      <w:pPr>
        <w:spacing w:after="160"/>
        <w:ind w:firstLine="480" w:firstLineChars="200"/>
        <w:rPr>
          <w:sz w:val="24"/>
        </w:rPr>
      </w:pPr>
      <w:r>
        <w:rPr>
          <w:sz w:val="24"/>
        </w:rPr>
        <w:t>2）对生产、使用厂家进行调研、收集资料；</w:t>
      </w:r>
    </w:p>
    <w:p>
      <w:pPr>
        <w:spacing w:after="160"/>
        <w:ind w:firstLine="480" w:firstLineChars="200"/>
        <w:rPr>
          <w:sz w:val="24"/>
        </w:rPr>
      </w:pPr>
      <w:r>
        <w:rPr>
          <w:sz w:val="24"/>
        </w:rPr>
        <w:t>3）查阅相关标准；</w:t>
      </w:r>
    </w:p>
    <w:p>
      <w:pPr>
        <w:spacing w:after="160"/>
        <w:ind w:firstLine="480" w:firstLineChars="200"/>
        <w:rPr>
          <w:sz w:val="24"/>
        </w:rPr>
      </w:pPr>
      <w:r>
        <w:rPr>
          <w:sz w:val="24"/>
        </w:rPr>
        <w:t>4）确定产品主要技术内容；</w:t>
      </w:r>
    </w:p>
    <w:p>
      <w:pPr>
        <w:spacing w:after="160"/>
        <w:ind w:firstLine="480" w:firstLineChars="200"/>
        <w:rPr>
          <w:sz w:val="24"/>
        </w:rPr>
      </w:pPr>
      <w:r>
        <w:rPr>
          <w:sz w:val="24"/>
        </w:rPr>
        <w:t>5）确定</w:t>
      </w:r>
      <w:r>
        <w:rPr>
          <w:rFonts w:hint="eastAsia"/>
          <w:sz w:val="24"/>
        </w:rPr>
        <w:t>技术要求的</w:t>
      </w:r>
      <w:r>
        <w:rPr>
          <w:sz w:val="24"/>
        </w:rPr>
        <w:t>分析方法；</w:t>
      </w:r>
    </w:p>
    <w:p>
      <w:pPr>
        <w:spacing w:line="360" w:lineRule="auto"/>
        <w:ind w:firstLine="480" w:firstLineChars="200"/>
        <w:rPr>
          <w:rFonts w:hint="eastAsia"/>
          <w:sz w:val="24"/>
        </w:rPr>
      </w:pPr>
      <w:r>
        <w:rPr>
          <w:sz w:val="24"/>
        </w:rPr>
        <w:t>6）根据测试数据确定技术指标取值范围</w:t>
      </w:r>
    </w:p>
    <w:p>
      <w:pPr>
        <w:spacing w:line="360" w:lineRule="auto"/>
        <w:rPr>
          <w:rFonts w:ascii="宋体" w:hAnsi="宋体"/>
          <w:b/>
          <w:sz w:val="24"/>
        </w:rPr>
      </w:pPr>
      <w:r>
        <w:rPr>
          <w:rFonts w:hint="eastAsia" w:ascii="宋体" w:hAnsi="宋体"/>
          <w:b/>
          <w:sz w:val="24"/>
        </w:rPr>
        <w:t>3.2 立项阶段</w:t>
      </w:r>
    </w:p>
    <w:p>
      <w:pPr>
        <w:spacing w:line="360" w:lineRule="auto"/>
        <w:ind w:firstLine="480" w:firstLineChars="200"/>
        <w:rPr>
          <w:color w:val="000000"/>
          <w:kern w:val="0"/>
          <w:sz w:val="24"/>
        </w:rPr>
      </w:pPr>
      <w:r>
        <w:rPr>
          <w:rFonts w:hint="eastAsia"/>
          <w:color w:val="000000"/>
          <w:kern w:val="0"/>
          <w:sz w:val="24"/>
        </w:rPr>
        <w:t>20</w:t>
      </w:r>
      <w:r>
        <w:rPr>
          <w:color w:val="000000"/>
          <w:kern w:val="0"/>
          <w:sz w:val="24"/>
        </w:rPr>
        <w:t>22</w:t>
      </w:r>
      <w:r>
        <w:rPr>
          <w:rFonts w:hint="eastAsia"/>
          <w:color w:val="000000"/>
          <w:kern w:val="0"/>
          <w:sz w:val="24"/>
        </w:rPr>
        <w:t>年</w:t>
      </w:r>
      <w:r>
        <w:rPr>
          <w:color w:val="000000"/>
          <w:kern w:val="0"/>
          <w:sz w:val="24"/>
        </w:rPr>
        <w:t>2</w:t>
      </w:r>
      <w:r>
        <w:rPr>
          <w:rFonts w:hint="eastAsia"/>
          <w:color w:val="000000"/>
          <w:kern w:val="0"/>
          <w:sz w:val="24"/>
        </w:rPr>
        <w:t>月，</w:t>
      </w:r>
      <w:r>
        <w:rPr>
          <w:color w:val="000000"/>
          <w:kern w:val="0"/>
          <w:sz w:val="24"/>
        </w:rPr>
        <w:t>贵研铂业股份有限公司</w:t>
      </w:r>
      <w:r>
        <w:rPr>
          <w:rFonts w:hint="eastAsia"/>
          <w:color w:val="000000"/>
          <w:kern w:val="0"/>
          <w:sz w:val="24"/>
        </w:rPr>
        <w:t>向全体委员会议提交了《磷酸氢根四氨合铂》标准项目建议书、标准草案及标准立项说明等材料，全体委员会议论证结论为同意行业标准制定立项，由秘书处组织委员投票，投票通过后报国标委，并挂网向社会公开征求意见。</w:t>
      </w:r>
    </w:p>
    <w:p>
      <w:pPr>
        <w:pStyle w:val="17"/>
        <w:spacing w:line="360" w:lineRule="auto"/>
        <w:ind w:firstLine="420"/>
        <w:rPr>
          <w:rFonts w:ascii="Times New Roman" w:hAnsi="Times New Roman" w:cs="Times New Roman"/>
        </w:rPr>
      </w:pPr>
      <w:r>
        <w:rPr>
          <w:rFonts w:ascii="Times New Roman" w:hAnsi="Times New Roman" w:cs="Times New Roman"/>
        </w:rPr>
        <w:t>2022年</w:t>
      </w:r>
      <w:r>
        <w:rPr>
          <w:rFonts w:hint="eastAsia" w:ascii="Times New Roman" w:hAnsi="Times New Roman" w:cs="Times New Roman"/>
        </w:rPr>
        <w:t>4</w:t>
      </w:r>
      <w:r>
        <w:rPr>
          <w:rFonts w:ascii="Times New Roman" w:hAnsi="Times New Roman" w:cs="Times New Roman"/>
        </w:rPr>
        <w:t>月</w:t>
      </w:r>
      <w:r>
        <w:rPr>
          <w:rFonts w:hint="eastAsia" w:ascii="Times New Roman" w:hAnsi="Times New Roman" w:cs="Times New Roman"/>
        </w:rPr>
        <w:t>，全国有色金属标准化技术委员下达了制定《磷酸氢根四氨合铂》行业标准的任务，计划号为20</w:t>
      </w:r>
      <w:r>
        <w:rPr>
          <w:rFonts w:ascii="Times New Roman" w:hAnsi="Times New Roman" w:cs="Times New Roman"/>
        </w:rPr>
        <w:t>22</w:t>
      </w:r>
      <w:r>
        <w:rPr>
          <w:rFonts w:hint="eastAsia" w:ascii="Times New Roman" w:hAnsi="Times New Roman" w:cs="Times New Roman"/>
        </w:rPr>
        <w:t>-04</w:t>
      </w:r>
      <w:r>
        <w:rPr>
          <w:rFonts w:ascii="Times New Roman" w:hAnsi="Times New Roman" w:cs="Times New Roman"/>
        </w:rPr>
        <w:t>68</w:t>
      </w:r>
      <w:r>
        <w:rPr>
          <w:rFonts w:hint="eastAsia" w:ascii="Times New Roman" w:hAnsi="Times New Roman" w:cs="Times New Roman"/>
        </w:rPr>
        <w:t>T-YS，项目周期为24个月，完成年限为20</w:t>
      </w:r>
      <w:r>
        <w:rPr>
          <w:rFonts w:ascii="Times New Roman" w:hAnsi="Times New Roman" w:cs="Times New Roman"/>
        </w:rPr>
        <w:t>22</w:t>
      </w:r>
      <w:r>
        <w:rPr>
          <w:rFonts w:hint="eastAsia" w:ascii="Times New Roman" w:hAnsi="Times New Roman" w:cs="Times New Roman"/>
        </w:rPr>
        <w:t>年</w:t>
      </w:r>
      <w:r>
        <w:rPr>
          <w:rFonts w:ascii="Times New Roman" w:hAnsi="Times New Roman" w:cs="Times New Roman"/>
        </w:rPr>
        <w:t>4</w:t>
      </w:r>
      <w:r>
        <w:rPr>
          <w:rFonts w:hint="eastAsia" w:ascii="Times New Roman" w:hAnsi="Times New Roman" w:cs="Times New Roman"/>
        </w:rPr>
        <w:t>月至202</w:t>
      </w:r>
      <w:r>
        <w:rPr>
          <w:rFonts w:ascii="Times New Roman" w:hAnsi="Times New Roman" w:cs="Times New Roman"/>
        </w:rPr>
        <w:t>4</w:t>
      </w:r>
      <w:r>
        <w:rPr>
          <w:rFonts w:hint="eastAsia" w:ascii="Times New Roman" w:hAnsi="Times New Roman" w:cs="Times New Roman"/>
        </w:rPr>
        <w:t>年</w:t>
      </w:r>
      <w:r>
        <w:rPr>
          <w:rFonts w:ascii="Times New Roman" w:hAnsi="Times New Roman" w:cs="Times New Roman"/>
        </w:rPr>
        <w:t>4</w:t>
      </w:r>
      <w:r>
        <w:rPr>
          <w:rFonts w:hint="eastAsia" w:ascii="Times New Roman" w:hAnsi="Times New Roman" w:cs="Times New Roman"/>
        </w:rPr>
        <w:t>月，技术归口单位为全国有色金属标准化技术委员会。</w:t>
      </w:r>
    </w:p>
    <w:p>
      <w:pPr>
        <w:rPr>
          <w:rFonts w:ascii="宋体" w:hAnsi="宋体"/>
          <w:b/>
          <w:sz w:val="24"/>
        </w:rPr>
      </w:pPr>
      <w:r>
        <w:rPr>
          <w:rFonts w:hint="eastAsia" w:ascii="宋体" w:hAnsi="宋体"/>
          <w:b/>
          <w:sz w:val="24"/>
        </w:rPr>
        <w:t>3.3起草阶段</w:t>
      </w:r>
    </w:p>
    <w:p>
      <w:pPr>
        <w:rPr>
          <w:b/>
          <w:color w:val="000000"/>
          <w:kern w:val="0"/>
          <w:sz w:val="24"/>
        </w:rPr>
      </w:pPr>
      <w:r>
        <w:rPr>
          <w:rFonts w:hint="eastAsia"/>
          <w:b/>
          <w:color w:val="000000"/>
          <w:kern w:val="0"/>
          <w:sz w:val="24"/>
        </w:rPr>
        <w:t>3. 1召开标准进度汇报及进度协调会</w:t>
      </w:r>
    </w:p>
    <w:p>
      <w:pPr>
        <w:spacing w:line="360" w:lineRule="auto"/>
        <w:ind w:firstLine="480" w:firstLineChars="200"/>
        <w:rPr>
          <w:sz w:val="24"/>
        </w:rPr>
      </w:pPr>
      <w:r>
        <w:rPr>
          <w:rFonts w:hint="eastAsia"/>
          <w:sz w:val="24"/>
        </w:rPr>
        <w:t>20</w:t>
      </w:r>
      <w:r>
        <w:rPr>
          <w:sz w:val="24"/>
        </w:rPr>
        <w:t>22</w:t>
      </w:r>
      <w:r>
        <w:rPr>
          <w:rFonts w:hint="eastAsia"/>
          <w:sz w:val="24"/>
        </w:rPr>
        <w:t>年</w:t>
      </w:r>
      <w:r>
        <w:rPr>
          <w:sz w:val="24"/>
        </w:rPr>
        <w:t>7</w:t>
      </w:r>
      <w:r>
        <w:rPr>
          <w:rFonts w:hint="eastAsia"/>
          <w:sz w:val="24"/>
        </w:rPr>
        <w:t>月，在河南省洛阳市召开了《磷酸氢根四氨合铂》有色金属行业标准制定任务落实会，根据与会专家及企业代表认真研究和讨论，确定了标准制定的主要参于单位为</w:t>
      </w:r>
      <w:r>
        <w:rPr>
          <w:rFonts w:hint="eastAsia" w:ascii="宋体" w:hAnsi="宋体" w:cs="宋体"/>
          <w:kern w:val="0"/>
          <w:sz w:val="24"/>
        </w:rPr>
        <w:t>贵研铂业股份有限公司。其它编制组单位为：</w:t>
      </w:r>
      <w:bookmarkStart w:id="1" w:name="_Hlk139281187"/>
      <w:r>
        <w:rPr>
          <w:rFonts w:hint="eastAsia" w:ascii="宋体" w:hAnsi="宋体" w:cs="宋体"/>
          <w:kern w:val="0"/>
          <w:sz w:val="24"/>
        </w:rPr>
        <w:t>西安瑞鑫科</w:t>
      </w:r>
      <w:r>
        <w:rPr>
          <w:rFonts w:hint="eastAsia" w:hAnsi="宋体" w:cs="宋体"/>
          <w:sz w:val="24"/>
        </w:rPr>
        <w:t>金属材料有限责任公司</w:t>
      </w:r>
      <w:r>
        <w:rPr>
          <w:rFonts w:hint="eastAsia" w:ascii="宋体" w:hAnsi="宋体" w:cs="宋体"/>
          <w:kern w:val="0"/>
          <w:sz w:val="24"/>
        </w:rPr>
        <w:t>、徐州浩通</w:t>
      </w:r>
      <w:r>
        <w:rPr>
          <w:rFonts w:hint="eastAsia" w:hAnsi="宋体" w:cs="宋体"/>
          <w:sz w:val="24"/>
        </w:rPr>
        <w:t>新材料科技股份有限公司</w:t>
      </w:r>
      <w:r>
        <w:rPr>
          <w:rFonts w:hint="eastAsia"/>
          <w:sz w:val="24"/>
        </w:rPr>
        <w:t>。</w:t>
      </w:r>
    </w:p>
    <w:bookmarkEnd w:id="1"/>
    <w:p>
      <w:pPr>
        <w:tabs>
          <w:tab w:val="left" w:pos="312"/>
        </w:tabs>
        <w:spacing w:line="360" w:lineRule="auto"/>
        <w:ind w:firstLine="480" w:firstLineChars="200"/>
        <w:rPr>
          <w:sz w:val="24"/>
        </w:rPr>
      </w:pPr>
      <w:r>
        <w:rPr>
          <w:rFonts w:hint="eastAsia"/>
          <w:sz w:val="24"/>
        </w:rPr>
        <w:t>根据此次会议精神，贵研铂业股份有限公司公司于20</w:t>
      </w:r>
      <w:r>
        <w:rPr>
          <w:sz w:val="24"/>
        </w:rPr>
        <w:t>22</w:t>
      </w:r>
      <w:r>
        <w:rPr>
          <w:rFonts w:hint="eastAsia"/>
          <w:sz w:val="24"/>
        </w:rPr>
        <w:t>年8月组织《磷酸氢根四氨合铂》标准制定起草小组相关技术人员主要进行如下工作：</w:t>
      </w:r>
    </w:p>
    <w:p>
      <w:pPr>
        <w:tabs>
          <w:tab w:val="left" w:pos="312"/>
        </w:tabs>
        <w:spacing w:line="360" w:lineRule="auto"/>
        <w:ind w:firstLine="480" w:firstLineChars="200"/>
        <w:rPr>
          <w:rFonts w:hint="eastAsia"/>
          <w:sz w:val="24"/>
        </w:rPr>
      </w:pPr>
      <w:r>
        <w:rPr>
          <w:sz w:val="24"/>
        </w:rPr>
        <w:t>1</w:t>
      </w:r>
      <w:r>
        <w:rPr>
          <w:rFonts w:hint="eastAsia"/>
          <w:sz w:val="24"/>
        </w:rPr>
        <w:t>）</w:t>
      </w:r>
      <w:r>
        <w:rPr>
          <w:rFonts w:hint="eastAsia" w:ascii="宋体" w:hAnsi="宋体"/>
          <w:color w:val="000000"/>
          <w:sz w:val="24"/>
        </w:rPr>
        <w:t>组织小组成员查阅和检索国内外有关该产品技术标准和资料；</w:t>
      </w:r>
    </w:p>
    <w:p>
      <w:pPr>
        <w:numPr>
          <w:ilvl w:val="0"/>
          <w:numId w:val="3"/>
        </w:numPr>
        <w:spacing w:line="360" w:lineRule="auto"/>
        <w:ind w:firstLine="480" w:firstLineChars="200"/>
        <w:rPr>
          <w:rFonts w:hint="eastAsia"/>
          <w:sz w:val="24"/>
        </w:rPr>
      </w:pPr>
      <w:r>
        <w:rPr>
          <w:rFonts w:hint="eastAsia"/>
          <w:sz w:val="24"/>
        </w:rPr>
        <w:t>标准起草成员开展同行和用户调研；</w:t>
      </w:r>
    </w:p>
    <w:p>
      <w:pPr>
        <w:spacing w:line="360" w:lineRule="auto"/>
        <w:ind w:firstLine="480" w:firstLineChars="200"/>
        <w:rPr>
          <w:rFonts w:hint="eastAsia"/>
          <w:sz w:val="24"/>
        </w:rPr>
      </w:pPr>
      <w:r>
        <w:rPr>
          <w:rFonts w:hint="eastAsia"/>
          <w:sz w:val="24"/>
        </w:rPr>
        <w:t>2023年3月20日至3月25日，由贵标委秘书长牵头，主编单位贵研化学材料（云南）有限公司、</w:t>
      </w:r>
      <w:r>
        <w:rPr>
          <w:rFonts w:hint="eastAsia" w:ascii="宋体" w:hAnsi="宋体" w:cs="宋体"/>
          <w:kern w:val="0"/>
          <w:sz w:val="24"/>
        </w:rPr>
        <w:t>西安瑞鑫科</w:t>
      </w:r>
      <w:r>
        <w:rPr>
          <w:rFonts w:hint="eastAsia" w:hAnsi="宋体" w:cs="宋体"/>
          <w:sz w:val="24"/>
        </w:rPr>
        <w:t>金属材料有限责任公司</w:t>
      </w:r>
      <w:r>
        <w:rPr>
          <w:rFonts w:hint="eastAsia" w:ascii="宋体" w:hAnsi="宋体" w:cs="宋体"/>
          <w:kern w:val="0"/>
          <w:sz w:val="24"/>
        </w:rPr>
        <w:t>、徐州浩通</w:t>
      </w:r>
      <w:r>
        <w:rPr>
          <w:rFonts w:hint="eastAsia" w:hAnsi="宋体" w:cs="宋体"/>
          <w:sz w:val="24"/>
        </w:rPr>
        <w:t>新材料科技股份有限公司</w:t>
      </w:r>
      <w:r>
        <w:rPr>
          <w:rFonts w:hint="eastAsia" w:ascii="宋体" w:hAnsi="宋体" w:cs="宋体"/>
          <w:kern w:val="0"/>
          <w:sz w:val="24"/>
        </w:rPr>
        <w:t>组成的</w:t>
      </w:r>
      <w:r>
        <w:rPr>
          <w:rFonts w:hint="eastAsia"/>
          <w:sz w:val="24"/>
        </w:rPr>
        <w:t>标准起草小组成员奔赴到苏州莲池环保科技发展有限公司、苏州鼎驰金属材料有限公司、宁波科森净化器制造有限公司、浙江海正药业股份有限公司、庚显表面处理（江门）有限公司，历时5天，深入用户现场，走访了企业负责人和相关技术人员，调研产品的使用情况，了解他们对产品的使用情况、设备、检验工艺过程，满意度、需求和反馈等方面的信息，用户提出了很多有益的意见，这些信息可以帮助标准编制小组更好地了解用户的需求，合理的制定出标准的技术要求，提高用户对标准的满意度</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同时组织人员查阅和检索国内外有关该产品技术标准和资料，市场及营销人员开展对用户的走访调研工作，确定了不同厂家对杂质元素的要求及杂质含量允许的范围，相关技术指标见表二:</w:t>
      </w:r>
    </w:p>
    <w:p>
      <w:pPr>
        <w:spacing w:line="360" w:lineRule="auto"/>
        <w:ind w:firstLine="2400" w:firstLineChars="1000"/>
        <w:rPr>
          <w:sz w:val="24"/>
        </w:rPr>
      </w:pPr>
      <w:r>
        <w:rPr>
          <w:rFonts w:hint="eastAsia"/>
          <w:sz w:val="24"/>
        </w:rPr>
        <w:t>表二 不同使用厂家技术要求</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1312"/>
        <w:gridCol w:w="1408"/>
        <w:gridCol w:w="1418"/>
        <w:gridCol w:w="1561"/>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Merge w:val="restart"/>
            <w:vAlign w:val="center"/>
          </w:tcPr>
          <w:p>
            <w:pPr>
              <w:jc w:val="center"/>
              <w:rPr>
                <w:rFonts w:eastAsiaTheme="minorEastAsia"/>
                <w:kern w:val="0"/>
                <w:sz w:val="20"/>
              </w:rPr>
            </w:pPr>
          </w:p>
          <w:p>
            <w:pPr>
              <w:jc w:val="center"/>
              <w:rPr>
                <w:rFonts w:ascii="宋体" w:hAnsi="宋体"/>
                <w:color w:val="000000"/>
                <w:kern w:val="0"/>
                <w:sz w:val="24"/>
              </w:rPr>
            </w:pPr>
            <w:r>
              <w:rPr>
                <w:rFonts w:hint="eastAsia" w:eastAsia="PMingLiU"/>
                <w:kern w:val="0"/>
                <w:sz w:val="20"/>
                <w:lang w:eastAsia="zh-TW"/>
              </w:rPr>
              <w:t>指标项目</w:t>
            </w:r>
          </w:p>
        </w:tc>
        <w:tc>
          <w:tcPr>
            <w:tcW w:w="4287" w:type="pct"/>
            <w:gridSpan w:val="5"/>
            <w:vAlign w:val="center"/>
          </w:tcPr>
          <w:p>
            <w:pPr>
              <w:spacing w:line="360" w:lineRule="auto"/>
              <w:jc w:val="center"/>
              <w:rPr>
                <w:rFonts w:ascii="宋体" w:hAnsi="宋体"/>
                <w:color w:val="000000"/>
                <w:kern w:val="0"/>
                <w:sz w:val="24"/>
              </w:rPr>
            </w:pPr>
            <w:r>
              <w:rPr>
                <w:rFonts w:hint="eastAsia" w:eastAsia="PMingLiU"/>
                <w:kern w:val="0"/>
                <w:sz w:val="20"/>
                <w:lang w:eastAsia="zh-TW"/>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Merge w:val="continue"/>
            <w:vAlign w:val="center"/>
          </w:tcPr>
          <w:p>
            <w:pPr>
              <w:jc w:val="center"/>
              <w:rPr>
                <w:rFonts w:eastAsia="PMingLiU"/>
                <w:kern w:val="0"/>
                <w:sz w:val="20"/>
                <w:lang w:eastAsia="zh-TW"/>
              </w:rPr>
            </w:pPr>
          </w:p>
        </w:tc>
        <w:tc>
          <w:tcPr>
            <w:tcW w:w="770" w:type="pct"/>
            <w:vAlign w:val="center"/>
          </w:tcPr>
          <w:p>
            <w:pPr>
              <w:jc w:val="center"/>
              <w:rPr>
                <w:kern w:val="0"/>
                <w:sz w:val="20"/>
              </w:rPr>
            </w:pPr>
            <w:r>
              <w:rPr>
                <w:rFonts w:hint="eastAsia" w:asciiTheme="minorEastAsia" w:hAnsiTheme="minorEastAsia" w:eastAsiaTheme="minorEastAsia"/>
                <w:kern w:val="0"/>
                <w:sz w:val="20"/>
              </w:rPr>
              <w:t>A用户</w:t>
            </w:r>
          </w:p>
        </w:tc>
        <w:tc>
          <w:tcPr>
            <w:tcW w:w="826" w:type="pct"/>
            <w:vAlign w:val="center"/>
          </w:tcPr>
          <w:p>
            <w:pPr>
              <w:jc w:val="center"/>
              <w:rPr>
                <w:kern w:val="0"/>
                <w:sz w:val="20"/>
              </w:rPr>
            </w:pPr>
            <w:r>
              <w:rPr>
                <w:rFonts w:hint="eastAsia" w:asciiTheme="minorEastAsia" w:hAnsiTheme="minorEastAsia" w:eastAsiaTheme="minorEastAsia"/>
                <w:kern w:val="0"/>
                <w:sz w:val="20"/>
              </w:rPr>
              <w:t>B用户</w:t>
            </w:r>
          </w:p>
        </w:tc>
        <w:tc>
          <w:tcPr>
            <w:tcW w:w="832" w:type="pct"/>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C用户</w:t>
            </w:r>
          </w:p>
        </w:tc>
        <w:tc>
          <w:tcPr>
            <w:tcW w:w="916" w:type="pct"/>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D用户</w:t>
            </w:r>
          </w:p>
        </w:tc>
        <w:tc>
          <w:tcPr>
            <w:tcW w:w="943" w:type="pct"/>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E用户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Pt</w:t>
            </w:r>
          </w:p>
        </w:tc>
        <w:tc>
          <w:tcPr>
            <w:tcW w:w="770" w:type="pct"/>
            <w:vAlign w:val="center"/>
          </w:tcPr>
          <w:p>
            <w:pPr>
              <w:tabs>
                <w:tab w:val="left" w:pos="465"/>
                <w:tab w:val="center" w:pos="882"/>
              </w:tabs>
              <w:jc w:val="center"/>
              <w:rPr>
                <w:rFonts w:ascii="宋体" w:hAnsi="宋体"/>
                <w:kern w:val="0"/>
                <w:sz w:val="18"/>
                <w:szCs w:val="18"/>
              </w:rPr>
            </w:pPr>
            <w:r>
              <w:rPr>
                <w:rFonts w:hint="eastAsia" w:ascii="宋体" w:hAnsi="宋体"/>
                <w:kern w:val="0"/>
                <w:sz w:val="18"/>
                <w:szCs w:val="18"/>
              </w:rPr>
              <w:t>5</w:t>
            </w:r>
            <w:r>
              <w:rPr>
                <w:rFonts w:ascii="宋体" w:hAnsi="宋体"/>
                <w:kern w:val="0"/>
                <w:sz w:val="18"/>
                <w:szCs w:val="18"/>
              </w:rPr>
              <w:t>4</w:t>
            </w:r>
            <w:r>
              <w:rPr>
                <w:rFonts w:hint="eastAsia" w:ascii="宋体" w:hAnsi="宋体"/>
                <w:kern w:val="0"/>
                <w:sz w:val="18"/>
                <w:szCs w:val="18"/>
              </w:rPr>
              <w:t>.0～5</w:t>
            </w:r>
            <w:r>
              <w:rPr>
                <w:rFonts w:ascii="宋体" w:hAnsi="宋体"/>
                <w:kern w:val="0"/>
                <w:sz w:val="18"/>
                <w:szCs w:val="18"/>
              </w:rPr>
              <w:t>4</w:t>
            </w:r>
            <w:r>
              <w:rPr>
                <w:rFonts w:hint="eastAsia" w:ascii="宋体" w:hAnsi="宋体"/>
                <w:kern w:val="0"/>
                <w:sz w:val="18"/>
                <w:szCs w:val="18"/>
              </w:rPr>
              <w:t>.</w:t>
            </w:r>
            <w:r>
              <w:rPr>
                <w:rFonts w:ascii="宋体" w:hAnsi="宋体"/>
                <w:kern w:val="0"/>
                <w:sz w:val="18"/>
                <w:szCs w:val="18"/>
              </w:rPr>
              <w:t>40</w:t>
            </w:r>
            <w:r>
              <w:rPr>
                <w:rFonts w:hint="eastAsia" w:ascii="宋体" w:hAnsi="宋体"/>
                <w:kern w:val="0"/>
                <w:sz w:val="18"/>
                <w:szCs w:val="18"/>
              </w:rPr>
              <w:t>%</w:t>
            </w:r>
          </w:p>
          <w:p>
            <w:pPr>
              <w:tabs>
                <w:tab w:val="left" w:pos="465"/>
                <w:tab w:val="center" w:pos="882"/>
              </w:tabs>
              <w:jc w:val="center"/>
              <w:rPr>
                <w:kern w:val="0"/>
                <w:sz w:val="18"/>
                <w:szCs w:val="18"/>
              </w:rPr>
            </w:pPr>
            <w:r>
              <w:rPr>
                <w:rFonts w:hint="eastAsia"/>
                <w:kern w:val="0"/>
                <w:sz w:val="18"/>
                <w:szCs w:val="18"/>
              </w:rPr>
              <w:t>Wt%</w:t>
            </w:r>
          </w:p>
        </w:tc>
        <w:tc>
          <w:tcPr>
            <w:tcW w:w="826" w:type="pct"/>
            <w:vAlign w:val="center"/>
          </w:tcPr>
          <w:p>
            <w:pPr>
              <w:tabs>
                <w:tab w:val="left" w:pos="465"/>
                <w:tab w:val="center" w:pos="882"/>
              </w:tabs>
              <w:jc w:val="center"/>
              <w:rPr>
                <w:kern w:val="0"/>
                <w:sz w:val="18"/>
                <w:szCs w:val="18"/>
              </w:rPr>
            </w:pPr>
            <w:r>
              <w:rPr>
                <w:rFonts w:hint="eastAsia" w:ascii="宋体" w:hAnsi="宋体"/>
                <w:kern w:val="0"/>
                <w:sz w:val="18"/>
                <w:szCs w:val="18"/>
              </w:rPr>
              <w:t>5</w:t>
            </w:r>
            <w:r>
              <w:rPr>
                <w:rFonts w:ascii="宋体" w:hAnsi="宋体"/>
                <w:kern w:val="0"/>
                <w:sz w:val="18"/>
                <w:szCs w:val="18"/>
              </w:rPr>
              <w:t>4</w:t>
            </w:r>
            <w:r>
              <w:rPr>
                <w:rFonts w:hint="eastAsia" w:ascii="宋体" w:hAnsi="宋体"/>
                <w:kern w:val="0"/>
                <w:sz w:val="18"/>
                <w:szCs w:val="18"/>
              </w:rPr>
              <w:t>.3±0.</w:t>
            </w:r>
            <w:r>
              <w:rPr>
                <w:rFonts w:ascii="宋体" w:hAnsi="宋体"/>
                <w:kern w:val="0"/>
                <w:sz w:val="18"/>
                <w:szCs w:val="18"/>
              </w:rPr>
              <w:t>3</w:t>
            </w:r>
            <w:r>
              <w:rPr>
                <w:rFonts w:hint="eastAsia" w:ascii="宋体" w:hAnsi="宋体"/>
                <w:kern w:val="0"/>
                <w:sz w:val="18"/>
                <w:szCs w:val="18"/>
              </w:rPr>
              <w:t>%</w:t>
            </w:r>
          </w:p>
          <w:p>
            <w:pPr>
              <w:tabs>
                <w:tab w:val="left" w:pos="465"/>
                <w:tab w:val="center" w:pos="882"/>
              </w:tabs>
              <w:jc w:val="center"/>
              <w:rPr>
                <w:kern w:val="0"/>
                <w:sz w:val="18"/>
                <w:szCs w:val="18"/>
              </w:rPr>
            </w:pPr>
            <w:r>
              <w:rPr>
                <w:rFonts w:hint="eastAsia"/>
                <w:kern w:val="0"/>
                <w:sz w:val="18"/>
                <w:szCs w:val="18"/>
              </w:rPr>
              <w:t>Wt%</w:t>
            </w:r>
          </w:p>
        </w:tc>
        <w:tc>
          <w:tcPr>
            <w:tcW w:w="832" w:type="pct"/>
            <w:vAlign w:val="center"/>
          </w:tcPr>
          <w:p>
            <w:pPr>
              <w:tabs>
                <w:tab w:val="left" w:pos="465"/>
                <w:tab w:val="center" w:pos="882"/>
              </w:tabs>
              <w:jc w:val="center"/>
              <w:rPr>
                <w:kern w:val="0"/>
                <w:sz w:val="18"/>
                <w:szCs w:val="18"/>
              </w:rPr>
            </w:pPr>
            <w:r>
              <w:rPr>
                <w:rFonts w:hint="eastAsia" w:ascii="宋体" w:hAnsi="宋体"/>
                <w:kern w:val="0"/>
                <w:sz w:val="18"/>
                <w:szCs w:val="18"/>
              </w:rPr>
              <w:t>&gt;5</w:t>
            </w:r>
            <w:r>
              <w:rPr>
                <w:rFonts w:ascii="宋体" w:hAnsi="宋体"/>
                <w:kern w:val="0"/>
                <w:sz w:val="18"/>
                <w:szCs w:val="18"/>
              </w:rPr>
              <w:t>4</w:t>
            </w:r>
            <w:r>
              <w:rPr>
                <w:rFonts w:hint="eastAsia" w:ascii="宋体" w:hAnsi="宋体"/>
                <w:kern w:val="0"/>
                <w:sz w:val="18"/>
                <w:szCs w:val="18"/>
              </w:rPr>
              <w:t>.0%</w:t>
            </w:r>
          </w:p>
          <w:p>
            <w:pPr>
              <w:tabs>
                <w:tab w:val="left" w:pos="465"/>
                <w:tab w:val="center" w:pos="882"/>
              </w:tabs>
              <w:jc w:val="center"/>
              <w:rPr>
                <w:kern w:val="0"/>
                <w:sz w:val="18"/>
                <w:szCs w:val="18"/>
              </w:rPr>
            </w:pPr>
            <w:r>
              <w:rPr>
                <w:rFonts w:hint="eastAsia"/>
                <w:kern w:val="0"/>
                <w:sz w:val="18"/>
                <w:szCs w:val="18"/>
              </w:rPr>
              <w:t>Wt%</w:t>
            </w:r>
          </w:p>
        </w:tc>
        <w:tc>
          <w:tcPr>
            <w:tcW w:w="916" w:type="pct"/>
            <w:vAlign w:val="center"/>
          </w:tcPr>
          <w:p>
            <w:pPr>
              <w:tabs>
                <w:tab w:val="left" w:pos="465"/>
                <w:tab w:val="center" w:pos="882"/>
              </w:tabs>
              <w:jc w:val="center"/>
              <w:rPr>
                <w:kern w:val="0"/>
                <w:sz w:val="18"/>
                <w:szCs w:val="18"/>
              </w:rPr>
            </w:pPr>
            <w:r>
              <w:rPr>
                <w:rFonts w:hint="eastAsia" w:ascii="宋体" w:hAnsi="宋体"/>
                <w:kern w:val="0"/>
                <w:sz w:val="18"/>
                <w:szCs w:val="18"/>
              </w:rPr>
              <w:t>5</w:t>
            </w:r>
            <w:r>
              <w:rPr>
                <w:rFonts w:ascii="宋体" w:hAnsi="宋体"/>
                <w:kern w:val="0"/>
                <w:sz w:val="18"/>
                <w:szCs w:val="18"/>
              </w:rPr>
              <w:t>4</w:t>
            </w:r>
            <w:r>
              <w:rPr>
                <w:rFonts w:hint="eastAsia" w:ascii="宋体" w:hAnsi="宋体"/>
                <w:kern w:val="0"/>
                <w:sz w:val="18"/>
                <w:szCs w:val="18"/>
              </w:rPr>
              <w:t>.3±0.1%</w:t>
            </w:r>
          </w:p>
          <w:p>
            <w:pPr>
              <w:tabs>
                <w:tab w:val="left" w:pos="465"/>
                <w:tab w:val="center" w:pos="882"/>
              </w:tabs>
              <w:jc w:val="center"/>
              <w:rPr>
                <w:kern w:val="0"/>
                <w:sz w:val="18"/>
                <w:szCs w:val="18"/>
              </w:rPr>
            </w:pPr>
            <w:r>
              <w:rPr>
                <w:rFonts w:hint="eastAsia"/>
                <w:kern w:val="0"/>
                <w:sz w:val="18"/>
                <w:szCs w:val="18"/>
              </w:rPr>
              <w:t>Wt%</w:t>
            </w:r>
          </w:p>
        </w:tc>
        <w:tc>
          <w:tcPr>
            <w:tcW w:w="943" w:type="pct"/>
            <w:vAlign w:val="center"/>
          </w:tcPr>
          <w:p>
            <w:pPr>
              <w:tabs>
                <w:tab w:val="left" w:pos="465"/>
                <w:tab w:val="center" w:pos="882"/>
              </w:tabs>
              <w:jc w:val="center"/>
              <w:rPr>
                <w:kern w:val="0"/>
                <w:sz w:val="18"/>
                <w:szCs w:val="18"/>
              </w:rPr>
            </w:pPr>
            <w:r>
              <w:rPr>
                <w:rFonts w:hint="eastAsia" w:ascii="宋体" w:hAnsi="宋体"/>
                <w:kern w:val="0"/>
                <w:sz w:val="18"/>
                <w:szCs w:val="18"/>
              </w:rPr>
              <w:t>5</w:t>
            </w:r>
            <w:r>
              <w:rPr>
                <w:rFonts w:ascii="宋体" w:hAnsi="宋体"/>
                <w:kern w:val="0"/>
                <w:sz w:val="18"/>
                <w:szCs w:val="18"/>
              </w:rPr>
              <w:t>4</w:t>
            </w:r>
            <w:r>
              <w:rPr>
                <w:rFonts w:hint="eastAsia" w:ascii="宋体" w:hAnsi="宋体"/>
                <w:kern w:val="0"/>
                <w:sz w:val="18"/>
                <w:szCs w:val="18"/>
              </w:rPr>
              <w:t>.3±0.</w:t>
            </w:r>
            <w:r>
              <w:rPr>
                <w:rFonts w:ascii="宋体" w:hAnsi="宋体"/>
                <w:kern w:val="0"/>
                <w:sz w:val="18"/>
                <w:szCs w:val="18"/>
              </w:rPr>
              <w:t>5</w:t>
            </w:r>
            <w:r>
              <w:rPr>
                <w:rFonts w:hint="eastAsia" w:ascii="宋体" w:hAnsi="宋体"/>
                <w:kern w:val="0"/>
                <w:sz w:val="18"/>
                <w:szCs w:val="18"/>
              </w:rPr>
              <w:t>%</w:t>
            </w:r>
          </w:p>
          <w:p>
            <w:pPr>
              <w:tabs>
                <w:tab w:val="left" w:pos="465"/>
                <w:tab w:val="center" w:pos="882"/>
              </w:tabs>
              <w:jc w:val="center"/>
              <w:rPr>
                <w:kern w:val="0"/>
                <w:sz w:val="18"/>
                <w:szCs w:val="18"/>
              </w:rPr>
            </w:pPr>
            <w:r>
              <w:rPr>
                <w:rFonts w:hint="eastAsia"/>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Ag</w:t>
            </w:r>
          </w:p>
        </w:tc>
        <w:tc>
          <w:tcPr>
            <w:tcW w:w="770" w:type="pct"/>
            <w:vAlign w:val="center"/>
          </w:tcPr>
          <w:p>
            <w:pPr>
              <w:jc w:val="center"/>
              <w:rPr>
                <w:color w:val="000000"/>
                <w:kern w:val="0"/>
                <w:sz w:val="18"/>
                <w:szCs w:val="18"/>
              </w:rPr>
            </w:pPr>
            <w:r>
              <w:rPr>
                <w:rFonts w:hint="eastAsia"/>
                <w:color w:val="000000"/>
                <w:kern w:val="0"/>
                <w:sz w:val="18"/>
                <w:szCs w:val="18"/>
              </w:rPr>
              <w:t>&lt;0.005%    Wt%</w:t>
            </w:r>
          </w:p>
        </w:tc>
        <w:tc>
          <w:tcPr>
            <w:tcW w:w="826" w:type="pct"/>
            <w:vAlign w:val="center"/>
          </w:tcPr>
          <w:p>
            <w:pPr>
              <w:jc w:val="center"/>
              <w:rPr>
                <w:color w:val="000000"/>
                <w:kern w:val="0"/>
                <w:sz w:val="18"/>
                <w:szCs w:val="18"/>
              </w:rPr>
            </w:pPr>
            <w:r>
              <w:rPr>
                <w:rFonts w:hint="eastAsia"/>
                <w:color w:val="000000"/>
                <w:kern w:val="0"/>
                <w:sz w:val="18"/>
                <w:szCs w:val="18"/>
              </w:rPr>
              <w:t>&lt;0.005%    Wt%</w:t>
            </w:r>
          </w:p>
        </w:tc>
        <w:tc>
          <w:tcPr>
            <w:tcW w:w="832"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5</w:t>
            </w:r>
            <w:r>
              <w:rPr>
                <w:rFonts w:hint="eastAsia"/>
                <w:color w:val="000000"/>
                <w:kern w:val="0"/>
                <w:sz w:val="18"/>
                <w:szCs w:val="18"/>
              </w:rPr>
              <w:t>%    Wt%</w:t>
            </w:r>
          </w:p>
        </w:tc>
        <w:tc>
          <w:tcPr>
            <w:tcW w:w="916"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5</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 xml:space="preserve">&lt;0.005%    </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Au</w:t>
            </w:r>
          </w:p>
        </w:tc>
        <w:tc>
          <w:tcPr>
            <w:tcW w:w="770" w:type="pct"/>
            <w:vAlign w:val="center"/>
          </w:tcPr>
          <w:p>
            <w:pPr>
              <w:jc w:val="center"/>
              <w:rPr>
                <w:color w:val="000000"/>
                <w:kern w:val="0"/>
                <w:sz w:val="18"/>
                <w:szCs w:val="18"/>
              </w:rPr>
            </w:pPr>
            <w:r>
              <w:rPr>
                <w:rFonts w:hint="eastAsia"/>
                <w:color w:val="000000"/>
                <w:kern w:val="0"/>
                <w:sz w:val="18"/>
                <w:szCs w:val="18"/>
              </w:rPr>
              <w:t>&lt;0.005%    Wt%</w:t>
            </w:r>
          </w:p>
        </w:tc>
        <w:tc>
          <w:tcPr>
            <w:tcW w:w="826" w:type="pct"/>
            <w:vAlign w:val="center"/>
          </w:tcPr>
          <w:p>
            <w:pPr>
              <w:jc w:val="center"/>
              <w:rPr>
                <w:color w:val="000000"/>
                <w:kern w:val="0"/>
                <w:sz w:val="18"/>
                <w:szCs w:val="18"/>
              </w:rPr>
            </w:pPr>
            <w:r>
              <w:rPr>
                <w:color w:val="000000"/>
                <w:kern w:val="0"/>
                <w:sz w:val="18"/>
                <w:szCs w:val="18"/>
              </w:rPr>
              <w:t>/</w:t>
            </w:r>
          </w:p>
        </w:tc>
        <w:tc>
          <w:tcPr>
            <w:tcW w:w="832" w:type="pct"/>
            <w:vAlign w:val="center"/>
          </w:tcPr>
          <w:p>
            <w:pPr>
              <w:jc w:val="center"/>
              <w:rPr>
                <w:color w:val="000000"/>
                <w:kern w:val="0"/>
                <w:sz w:val="18"/>
                <w:szCs w:val="18"/>
              </w:rPr>
            </w:pPr>
            <w:r>
              <w:rPr>
                <w:rFonts w:hint="eastAsia"/>
                <w:color w:val="000000"/>
                <w:kern w:val="0"/>
                <w:sz w:val="18"/>
                <w:szCs w:val="18"/>
              </w:rPr>
              <w:t>&lt;0.005%    Wt%</w:t>
            </w:r>
          </w:p>
        </w:tc>
        <w:tc>
          <w:tcPr>
            <w:tcW w:w="916" w:type="pct"/>
            <w:vAlign w:val="center"/>
          </w:tcPr>
          <w:p>
            <w:pPr>
              <w:jc w:val="center"/>
              <w:rPr>
                <w:color w:val="000000"/>
                <w:kern w:val="0"/>
                <w:sz w:val="18"/>
                <w:szCs w:val="18"/>
              </w:rPr>
            </w:pPr>
            <w:r>
              <w:rPr>
                <w:rFonts w:hint="eastAsia"/>
                <w:color w:val="000000"/>
                <w:kern w:val="0"/>
                <w:sz w:val="18"/>
                <w:szCs w:val="18"/>
              </w:rPr>
              <w:t>&lt;0.005%    Wt%</w:t>
            </w:r>
          </w:p>
        </w:tc>
        <w:tc>
          <w:tcPr>
            <w:tcW w:w="943" w:type="pct"/>
            <w:vAlign w:val="center"/>
          </w:tcPr>
          <w:p>
            <w:pPr>
              <w:jc w:val="center"/>
              <w:rPr>
                <w:color w:val="000000"/>
                <w:kern w:val="0"/>
                <w:sz w:val="18"/>
                <w:szCs w:val="18"/>
              </w:rPr>
            </w:pPr>
            <w:r>
              <w:rPr>
                <w:rFonts w:hint="eastAsia"/>
                <w:color w:val="000000"/>
                <w:kern w:val="0"/>
                <w:sz w:val="18"/>
                <w:szCs w:val="18"/>
              </w:rPr>
              <w:t xml:space="preserve">&lt;0.005%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Pd</w:t>
            </w:r>
          </w:p>
        </w:tc>
        <w:tc>
          <w:tcPr>
            <w:tcW w:w="770" w:type="pct"/>
            <w:vAlign w:val="center"/>
          </w:tcPr>
          <w:p>
            <w:pPr>
              <w:jc w:val="center"/>
              <w:rPr>
                <w:color w:val="000000"/>
                <w:kern w:val="0"/>
                <w:sz w:val="18"/>
                <w:szCs w:val="18"/>
              </w:rPr>
            </w:pPr>
            <w:r>
              <w:rPr>
                <w:rFonts w:hint="eastAsia"/>
                <w:color w:val="000000"/>
                <w:kern w:val="0"/>
                <w:sz w:val="18"/>
                <w:szCs w:val="18"/>
              </w:rPr>
              <w:t>&lt;0.01%    Wt%</w:t>
            </w:r>
          </w:p>
        </w:tc>
        <w:tc>
          <w:tcPr>
            <w:tcW w:w="826" w:type="pct"/>
            <w:vAlign w:val="center"/>
          </w:tcPr>
          <w:p>
            <w:pPr>
              <w:jc w:val="center"/>
              <w:rPr>
                <w:color w:val="000000"/>
                <w:kern w:val="0"/>
                <w:sz w:val="18"/>
                <w:szCs w:val="18"/>
              </w:rPr>
            </w:pPr>
            <w:r>
              <w:rPr>
                <w:rFonts w:hint="eastAsia"/>
                <w:color w:val="000000"/>
                <w:kern w:val="0"/>
                <w:sz w:val="18"/>
                <w:szCs w:val="18"/>
              </w:rPr>
              <w:t>&lt;0.005%    Wt%</w:t>
            </w:r>
          </w:p>
        </w:tc>
        <w:tc>
          <w:tcPr>
            <w:tcW w:w="832" w:type="pct"/>
            <w:vAlign w:val="center"/>
          </w:tcPr>
          <w:p>
            <w:pPr>
              <w:jc w:val="center"/>
              <w:rPr>
                <w:color w:val="000000"/>
                <w:kern w:val="0"/>
                <w:sz w:val="18"/>
                <w:szCs w:val="18"/>
              </w:rPr>
            </w:pPr>
            <w:r>
              <w:rPr>
                <w:rFonts w:hint="eastAsia"/>
                <w:color w:val="000000"/>
                <w:kern w:val="0"/>
                <w:sz w:val="18"/>
                <w:szCs w:val="18"/>
              </w:rPr>
              <w:t>&lt;0.005%    Wt%</w:t>
            </w:r>
          </w:p>
        </w:tc>
        <w:tc>
          <w:tcPr>
            <w:tcW w:w="916"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3</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 xml:space="preserve">&lt;0.005%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Rh</w:t>
            </w:r>
          </w:p>
        </w:tc>
        <w:tc>
          <w:tcPr>
            <w:tcW w:w="770" w:type="pct"/>
            <w:vAlign w:val="center"/>
          </w:tcPr>
          <w:p>
            <w:pPr>
              <w:jc w:val="center"/>
              <w:rPr>
                <w:color w:val="000000"/>
                <w:kern w:val="0"/>
                <w:sz w:val="18"/>
                <w:szCs w:val="18"/>
              </w:rPr>
            </w:pPr>
            <w:r>
              <w:rPr>
                <w:rFonts w:hint="eastAsia"/>
                <w:color w:val="000000"/>
                <w:kern w:val="0"/>
                <w:sz w:val="18"/>
                <w:szCs w:val="18"/>
              </w:rPr>
              <w:t>&lt;0.005%    Wt%</w:t>
            </w:r>
          </w:p>
        </w:tc>
        <w:tc>
          <w:tcPr>
            <w:tcW w:w="826" w:type="pct"/>
            <w:vAlign w:val="center"/>
          </w:tcPr>
          <w:p>
            <w:pPr>
              <w:jc w:val="center"/>
              <w:rPr>
                <w:color w:val="000000"/>
                <w:kern w:val="0"/>
                <w:sz w:val="18"/>
                <w:szCs w:val="18"/>
              </w:rPr>
            </w:pPr>
            <w:r>
              <w:rPr>
                <w:rFonts w:hint="eastAsia"/>
                <w:color w:val="000000"/>
                <w:kern w:val="0"/>
                <w:sz w:val="18"/>
                <w:szCs w:val="18"/>
              </w:rPr>
              <w:t>/</w:t>
            </w:r>
          </w:p>
        </w:tc>
        <w:tc>
          <w:tcPr>
            <w:tcW w:w="832" w:type="pct"/>
            <w:vAlign w:val="center"/>
          </w:tcPr>
          <w:p>
            <w:pPr>
              <w:jc w:val="center"/>
              <w:rPr>
                <w:color w:val="000000"/>
                <w:kern w:val="0"/>
                <w:sz w:val="18"/>
                <w:szCs w:val="18"/>
              </w:rPr>
            </w:pPr>
            <w:r>
              <w:rPr>
                <w:rFonts w:hint="eastAsia"/>
                <w:color w:val="000000"/>
                <w:kern w:val="0"/>
                <w:sz w:val="18"/>
                <w:szCs w:val="18"/>
              </w:rPr>
              <w:t>&lt;0.005%    Wt%</w:t>
            </w:r>
          </w:p>
        </w:tc>
        <w:tc>
          <w:tcPr>
            <w:tcW w:w="916" w:type="pct"/>
            <w:vAlign w:val="center"/>
          </w:tcPr>
          <w:p>
            <w:pPr>
              <w:jc w:val="center"/>
              <w:rPr>
                <w:color w:val="000000"/>
                <w:kern w:val="0"/>
                <w:sz w:val="18"/>
                <w:szCs w:val="18"/>
              </w:rPr>
            </w:pPr>
            <w:r>
              <w:rPr>
                <w:rFonts w:hint="eastAsia"/>
                <w:color w:val="000000"/>
                <w:kern w:val="0"/>
                <w:sz w:val="18"/>
                <w:szCs w:val="18"/>
              </w:rPr>
              <w:t>&lt;0.005%    Wt%</w:t>
            </w:r>
          </w:p>
        </w:tc>
        <w:tc>
          <w:tcPr>
            <w:tcW w:w="943" w:type="pct"/>
            <w:vAlign w:val="center"/>
          </w:tcPr>
          <w:p>
            <w:pPr>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Ir</w:t>
            </w:r>
          </w:p>
        </w:tc>
        <w:tc>
          <w:tcPr>
            <w:tcW w:w="770" w:type="pct"/>
            <w:vAlign w:val="center"/>
          </w:tcPr>
          <w:p>
            <w:pPr>
              <w:jc w:val="center"/>
              <w:rPr>
                <w:color w:val="000000"/>
                <w:kern w:val="0"/>
                <w:sz w:val="18"/>
                <w:szCs w:val="18"/>
              </w:rPr>
            </w:pPr>
            <w:r>
              <w:rPr>
                <w:rFonts w:hint="eastAsia"/>
                <w:color w:val="000000"/>
                <w:kern w:val="0"/>
                <w:sz w:val="18"/>
                <w:szCs w:val="18"/>
              </w:rPr>
              <w:t>&lt;0.005%    Wt%</w:t>
            </w:r>
          </w:p>
        </w:tc>
        <w:tc>
          <w:tcPr>
            <w:tcW w:w="826" w:type="pct"/>
            <w:vAlign w:val="center"/>
          </w:tcPr>
          <w:p>
            <w:pPr>
              <w:jc w:val="center"/>
              <w:rPr>
                <w:color w:val="000000"/>
                <w:kern w:val="0"/>
                <w:sz w:val="18"/>
                <w:szCs w:val="18"/>
              </w:rPr>
            </w:pPr>
            <w:r>
              <w:rPr>
                <w:rFonts w:hint="eastAsia"/>
                <w:color w:val="000000"/>
                <w:kern w:val="0"/>
                <w:sz w:val="18"/>
                <w:szCs w:val="18"/>
              </w:rPr>
              <w:t>&lt;0.003%    Wt%</w:t>
            </w:r>
          </w:p>
        </w:tc>
        <w:tc>
          <w:tcPr>
            <w:tcW w:w="832"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5</w:t>
            </w:r>
            <w:r>
              <w:rPr>
                <w:rFonts w:hint="eastAsia"/>
                <w:color w:val="000000"/>
                <w:kern w:val="0"/>
                <w:sz w:val="18"/>
                <w:szCs w:val="18"/>
              </w:rPr>
              <w:t>%    Wt%</w:t>
            </w:r>
          </w:p>
        </w:tc>
        <w:tc>
          <w:tcPr>
            <w:tcW w:w="916"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5%    Wt%</w:t>
            </w:r>
          </w:p>
        </w:tc>
        <w:tc>
          <w:tcPr>
            <w:tcW w:w="943" w:type="pct"/>
            <w:vAlign w:val="center"/>
          </w:tcPr>
          <w:p>
            <w:pPr>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Pb</w:t>
            </w:r>
          </w:p>
        </w:tc>
        <w:tc>
          <w:tcPr>
            <w:tcW w:w="770" w:type="pct"/>
            <w:vAlign w:val="center"/>
          </w:tcPr>
          <w:p>
            <w:pPr>
              <w:jc w:val="center"/>
              <w:rPr>
                <w:color w:val="000000"/>
                <w:kern w:val="0"/>
                <w:sz w:val="18"/>
                <w:szCs w:val="18"/>
              </w:rPr>
            </w:pPr>
            <w:r>
              <w:rPr>
                <w:rFonts w:hint="eastAsia"/>
                <w:color w:val="000000"/>
                <w:kern w:val="0"/>
                <w:sz w:val="18"/>
                <w:szCs w:val="18"/>
              </w:rPr>
              <w:t>&lt;0.0005%    Wt%</w:t>
            </w:r>
          </w:p>
        </w:tc>
        <w:tc>
          <w:tcPr>
            <w:tcW w:w="826" w:type="pct"/>
            <w:vAlign w:val="center"/>
          </w:tcPr>
          <w:p>
            <w:pPr>
              <w:jc w:val="center"/>
              <w:rPr>
                <w:color w:val="000000"/>
                <w:kern w:val="0"/>
                <w:sz w:val="18"/>
                <w:szCs w:val="18"/>
              </w:rPr>
            </w:pPr>
            <w:r>
              <w:rPr>
                <w:rFonts w:hint="eastAsia"/>
                <w:color w:val="000000"/>
                <w:kern w:val="0"/>
                <w:sz w:val="18"/>
                <w:szCs w:val="18"/>
              </w:rPr>
              <w:t>&lt;0.002%    Wt%</w:t>
            </w:r>
          </w:p>
        </w:tc>
        <w:tc>
          <w:tcPr>
            <w:tcW w:w="832" w:type="pct"/>
            <w:vAlign w:val="center"/>
          </w:tcPr>
          <w:p>
            <w:pPr>
              <w:jc w:val="center"/>
              <w:rPr>
                <w:color w:val="000000"/>
                <w:kern w:val="0"/>
                <w:sz w:val="18"/>
                <w:szCs w:val="18"/>
              </w:rPr>
            </w:pPr>
            <w:r>
              <w:rPr>
                <w:rFonts w:hint="eastAsia"/>
                <w:color w:val="000000"/>
                <w:kern w:val="0"/>
                <w:sz w:val="18"/>
                <w:szCs w:val="18"/>
              </w:rPr>
              <w:t>&lt;0.005%    Wt%</w:t>
            </w:r>
          </w:p>
        </w:tc>
        <w:tc>
          <w:tcPr>
            <w:tcW w:w="916"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5%    Wt%</w:t>
            </w:r>
          </w:p>
        </w:tc>
        <w:tc>
          <w:tcPr>
            <w:tcW w:w="943"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2</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Ni</w:t>
            </w:r>
          </w:p>
        </w:tc>
        <w:tc>
          <w:tcPr>
            <w:tcW w:w="770" w:type="pct"/>
            <w:vAlign w:val="center"/>
          </w:tcPr>
          <w:p>
            <w:pPr>
              <w:jc w:val="center"/>
              <w:rPr>
                <w:color w:val="000000"/>
                <w:kern w:val="0"/>
                <w:sz w:val="18"/>
                <w:szCs w:val="18"/>
              </w:rPr>
            </w:pPr>
            <w:r>
              <w:rPr>
                <w:rFonts w:hint="eastAsia"/>
                <w:color w:val="000000"/>
                <w:kern w:val="0"/>
                <w:sz w:val="18"/>
                <w:szCs w:val="18"/>
              </w:rPr>
              <w:t>&lt;0.005%    Wt%</w:t>
            </w:r>
          </w:p>
        </w:tc>
        <w:tc>
          <w:tcPr>
            <w:tcW w:w="826"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1</w:t>
            </w:r>
            <w:r>
              <w:rPr>
                <w:rFonts w:hint="eastAsia"/>
                <w:color w:val="000000"/>
                <w:kern w:val="0"/>
                <w:sz w:val="18"/>
                <w:szCs w:val="18"/>
              </w:rPr>
              <w:t>%    Wt%</w:t>
            </w:r>
          </w:p>
        </w:tc>
        <w:tc>
          <w:tcPr>
            <w:tcW w:w="832" w:type="pct"/>
            <w:vAlign w:val="center"/>
          </w:tcPr>
          <w:p>
            <w:pPr>
              <w:jc w:val="center"/>
              <w:rPr>
                <w:color w:val="000000"/>
                <w:kern w:val="0"/>
                <w:sz w:val="18"/>
                <w:szCs w:val="18"/>
              </w:rPr>
            </w:pPr>
            <w:r>
              <w:rPr>
                <w:rFonts w:hint="eastAsia"/>
                <w:color w:val="000000"/>
                <w:kern w:val="0"/>
                <w:sz w:val="18"/>
                <w:szCs w:val="18"/>
              </w:rPr>
              <w:t>&lt;0.002%    Wt%</w:t>
            </w:r>
          </w:p>
        </w:tc>
        <w:tc>
          <w:tcPr>
            <w:tcW w:w="916" w:type="pct"/>
            <w:vAlign w:val="center"/>
          </w:tcPr>
          <w:p>
            <w:pPr>
              <w:jc w:val="center"/>
              <w:rPr>
                <w:color w:val="000000"/>
                <w:kern w:val="0"/>
                <w:sz w:val="18"/>
                <w:szCs w:val="18"/>
              </w:rPr>
            </w:pPr>
            <w:r>
              <w:rPr>
                <w:rFonts w:hint="eastAsia"/>
                <w:color w:val="000000"/>
                <w:kern w:val="0"/>
                <w:sz w:val="18"/>
                <w:szCs w:val="18"/>
              </w:rPr>
              <w:t>&lt;0.005%    Wt%</w:t>
            </w:r>
          </w:p>
        </w:tc>
        <w:tc>
          <w:tcPr>
            <w:tcW w:w="943" w:type="pct"/>
            <w:vAlign w:val="center"/>
          </w:tcPr>
          <w:p>
            <w:pPr>
              <w:jc w:val="center"/>
              <w:rPr>
                <w:color w:val="000000"/>
                <w:kern w:val="0"/>
                <w:sz w:val="18"/>
                <w:szCs w:val="18"/>
              </w:rPr>
            </w:pPr>
            <w:r>
              <w:rPr>
                <w:rFonts w:hint="eastAsia"/>
                <w:color w:val="000000"/>
                <w:kern w:val="0"/>
                <w:sz w:val="18"/>
                <w:szCs w:val="18"/>
              </w:rPr>
              <w:t xml:space="preserve">&lt;0.005%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Cu</w:t>
            </w:r>
          </w:p>
        </w:tc>
        <w:tc>
          <w:tcPr>
            <w:tcW w:w="770" w:type="pct"/>
            <w:vAlign w:val="center"/>
          </w:tcPr>
          <w:p>
            <w:pPr>
              <w:jc w:val="center"/>
              <w:rPr>
                <w:color w:val="000000"/>
                <w:kern w:val="0"/>
                <w:sz w:val="18"/>
                <w:szCs w:val="18"/>
              </w:rPr>
            </w:pPr>
            <w:r>
              <w:rPr>
                <w:rFonts w:hint="eastAsia"/>
                <w:color w:val="000000"/>
                <w:kern w:val="0"/>
                <w:sz w:val="18"/>
                <w:szCs w:val="18"/>
              </w:rPr>
              <w:t>&lt;0.005%    Wt%</w:t>
            </w:r>
          </w:p>
        </w:tc>
        <w:tc>
          <w:tcPr>
            <w:tcW w:w="826" w:type="pct"/>
            <w:vAlign w:val="center"/>
          </w:tcPr>
          <w:p>
            <w:pPr>
              <w:jc w:val="center"/>
              <w:rPr>
                <w:color w:val="000000"/>
                <w:kern w:val="0"/>
                <w:sz w:val="18"/>
                <w:szCs w:val="18"/>
              </w:rPr>
            </w:pPr>
            <w:r>
              <w:rPr>
                <w:rFonts w:hint="eastAsia"/>
                <w:color w:val="000000"/>
                <w:kern w:val="0"/>
                <w:sz w:val="18"/>
                <w:szCs w:val="18"/>
              </w:rPr>
              <w:t>&lt;0.005%    Wt%</w:t>
            </w:r>
          </w:p>
        </w:tc>
        <w:tc>
          <w:tcPr>
            <w:tcW w:w="832" w:type="pct"/>
            <w:vAlign w:val="center"/>
          </w:tcPr>
          <w:p>
            <w:pPr>
              <w:jc w:val="center"/>
              <w:rPr>
                <w:color w:val="000000"/>
                <w:kern w:val="0"/>
                <w:sz w:val="18"/>
                <w:szCs w:val="18"/>
              </w:rPr>
            </w:pPr>
            <w:r>
              <w:rPr>
                <w:color w:val="000000"/>
                <w:kern w:val="0"/>
                <w:sz w:val="18"/>
                <w:szCs w:val="18"/>
              </w:rPr>
              <w:t>/</w:t>
            </w:r>
          </w:p>
        </w:tc>
        <w:tc>
          <w:tcPr>
            <w:tcW w:w="916"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5</w:t>
            </w:r>
            <w:r>
              <w:rPr>
                <w:rFonts w:hint="eastAsia"/>
                <w:color w:val="000000"/>
                <w:kern w:val="0"/>
                <w:sz w:val="18"/>
                <w:szCs w:val="18"/>
              </w:rPr>
              <w:t>%    Wt%</w:t>
            </w:r>
          </w:p>
        </w:tc>
        <w:tc>
          <w:tcPr>
            <w:tcW w:w="943" w:type="pct"/>
            <w:vAlign w:val="center"/>
          </w:tcPr>
          <w:p>
            <w:pPr>
              <w:jc w:val="center"/>
              <w:rPr>
                <w:color w:val="000000"/>
                <w:kern w:val="0"/>
                <w:sz w:val="18"/>
                <w:szCs w:val="18"/>
              </w:rPr>
            </w:pPr>
            <w:r>
              <w:rPr>
                <w:rFonts w:hint="eastAsia"/>
                <w:color w:val="000000"/>
                <w:kern w:val="0"/>
                <w:sz w:val="18"/>
                <w:szCs w:val="18"/>
              </w:rPr>
              <w:t xml:space="preserve">&lt;0.005%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Fe</w:t>
            </w:r>
          </w:p>
        </w:tc>
        <w:tc>
          <w:tcPr>
            <w:tcW w:w="770" w:type="pct"/>
            <w:vAlign w:val="center"/>
          </w:tcPr>
          <w:p>
            <w:pPr>
              <w:jc w:val="center"/>
              <w:rPr>
                <w:color w:val="000000"/>
                <w:kern w:val="0"/>
                <w:sz w:val="18"/>
                <w:szCs w:val="18"/>
              </w:rPr>
            </w:pPr>
            <w:r>
              <w:rPr>
                <w:rFonts w:hint="eastAsia"/>
                <w:color w:val="000000"/>
                <w:kern w:val="0"/>
                <w:sz w:val="18"/>
                <w:szCs w:val="18"/>
              </w:rPr>
              <w:t>&lt;0.002%    Wt%</w:t>
            </w:r>
          </w:p>
        </w:tc>
        <w:tc>
          <w:tcPr>
            <w:tcW w:w="826" w:type="pct"/>
            <w:vAlign w:val="center"/>
          </w:tcPr>
          <w:p>
            <w:pPr>
              <w:jc w:val="center"/>
              <w:rPr>
                <w:color w:val="000000"/>
                <w:kern w:val="0"/>
                <w:sz w:val="18"/>
                <w:szCs w:val="18"/>
              </w:rPr>
            </w:pPr>
            <w:r>
              <w:rPr>
                <w:color w:val="000000"/>
                <w:kern w:val="0"/>
                <w:sz w:val="18"/>
                <w:szCs w:val="18"/>
              </w:rPr>
              <w:t>/</w:t>
            </w:r>
          </w:p>
        </w:tc>
        <w:tc>
          <w:tcPr>
            <w:tcW w:w="832" w:type="pct"/>
            <w:vAlign w:val="center"/>
          </w:tcPr>
          <w:p>
            <w:pPr>
              <w:jc w:val="center"/>
              <w:rPr>
                <w:color w:val="000000"/>
                <w:kern w:val="0"/>
                <w:sz w:val="18"/>
                <w:szCs w:val="18"/>
              </w:rPr>
            </w:pPr>
            <w:r>
              <w:rPr>
                <w:rFonts w:hint="eastAsia"/>
                <w:color w:val="000000"/>
                <w:kern w:val="0"/>
                <w:sz w:val="18"/>
                <w:szCs w:val="18"/>
              </w:rPr>
              <w:t>&lt;0.002%    Wt%</w:t>
            </w:r>
          </w:p>
        </w:tc>
        <w:tc>
          <w:tcPr>
            <w:tcW w:w="916"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1</w:t>
            </w:r>
            <w:r>
              <w:rPr>
                <w:rFonts w:hint="eastAsia"/>
                <w:color w:val="000000"/>
                <w:kern w:val="0"/>
                <w:sz w:val="18"/>
                <w:szCs w:val="18"/>
              </w:rPr>
              <w:t xml:space="preserve">%   </w:t>
            </w:r>
          </w:p>
          <w:p>
            <w:pPr>
              <w:jc w:val="center"/>
              <w:rPr>
                <w:color w:val="000000"/>
                <w:kern w:val="0"/>
                <w:sz w:val="18"/>
                <w:szCs w:val="18"/>
              </w:rPr>
            </w:pPr>
            <w:r>
              <w:rPr>
                <w:rFonts w:hint="eastAsia"/>
                <w:color w:val="000000"/>
                <w:kern w:val="0"/>
                <w:sz w:val="18"/>
                <w:szCs w:val="18"/>
              </w:rPr>
              <w:t xml:space="preserve"> Wt%</w:t>
            </w:r>
          </w:p>
        </w:tc>
        <w:tc>
          <w:tcPr>
            <w:tcW w:w="943" w:type="pct"/>
            <w:vAlign w:val="center"/>
          </w:tcPr>
          <w:p>
            <w:pPr>
              <w:jc w:val="center"/>
              <w:rPr>
                <w:color w:val="000000"/>
                <w:kern w:val="0"/>
                <w:sz w:val="18"/>
                <w:szCs w:val="18"/>
              </w:rPr>
            </w:pPr>
            <w:r>
              <w:rPr>
                <w:rFonts w:hint="eastAsia"/>
                <w:color w:val="000000"/>
                <w:kern w:val="0"/>
                <w:sz w:val="18"/>
                <w:szCs w:val="18"/>
              </w:rPr>
              <w:t xml:space="preserve">&lt;0.005%    </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Al</w:t>
            </w:r>
          </w:p>
        </w:tc>
        <w:tc>
          <w:tcPr>
            <w:tcW w:w="770" w:type="pct"/>
            <w:vAlign w:val="center"/>
          </w:tcPr>
          <w:p>
            <w:pPr>
              <w:jc w:val="center"/>
              <w:rPr>
                <w:color w:val="000000"/>
                <w:kern w:val="0"/>
                <w:sz w:val="18"/>
                <w:szCs w:val="18"/>
              </w:rPr>
            </w:pPr>
            <w:r>
              <w:rPr>
                <w:rFonts w:hint="eastAsia"/>
                <w:color w:val="000000"/>
                <w:kern w:val="0"/>
                <w:sz w:val="18"/>
                <w:szCs w:val="18"/>
              </w:rPr>
              <w:t>&lt;0.002%    Wt%</w:t>
            </w:r>
          </w:p>
        </w:tc>
        <w:tc>
          <w:tcPr>
            <w:tcW w:w="826" w:type="pct"/>
            <w:vAlign w:val="center"/>
          </w:tcPr>
          <w:p>
            <w:pPr>
              <w:jc w:val="center"/>
              <w:rPr>
                <w:color w:val="000000"/>
                <w:kern w:val="0"/>
                <w:sz w:val="18"/>
                <w:szCs w:val="18"/>
              </w:rPr>
            </w:pPr>
            <w:r>
              <w:rPr>
                <w:rFonts w:hint="eastAsia"/>
                <w:color w:val="000000"/>
                <w:kern w:val="0"/>
                <w:sz w:val="18"/>
                <w:szCs w:val="18"/>
              </w:rPr>
              <w:t>&lt;0.002%    Wt%</w:t>
            </w:r>
          </w:p>
        </w:tc>
        <w:tc>
          <w:tcPr>
            <w:tcW w:w="832" w:type="pct"/>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1</w:t>
            </w:r>
            <w:r>
              <w:rPr>
                <w:rFonts w:hint="eastAsia"/>
                <w:color w:val="000000"/>
                <w:kern w:val="0"/>
                <w:sz w:val="18"/>
                <w:szCs w:val="18"/>
              </w:rPr>
              <w:t>%    Wt%</w:t>
            </w:r>
          </w:p>
        </w:tc>
        <w:tc>
          <w:tcPr>
            <w:tcW w:w="916" w:type="pct"/>
            <w:vAlign w:val="center"/>
          </w:tcPr>
          <w:p>
            <w:pPr>
              <w:jc w:val="center"/>
              <w:rPr>
                <w:color w:val="000000"/>
                <w:kern w:val="0"/>
                <w:sz w:val="18"/>
                <w:szCs w:val="18"/>
              </w:rPr>
            </w:pPr>
            <w:r>
              <w:rPr>
                <w:rFonts w:hint="eastAsia"/>
                <w:color w:val="000000"/>
                <w:kern w:val="0"/>
                <w:sz w:val="18"/>
                <w:szCs w:val="18"/>
              </w:rPr>
              <w:t>&lt;0.005%    Wt%</w:t>
            </w:r>
          </w:p>
        </w:tc>
        <w:tc>
          <w:tcPr>
            <w:tcW w:w="943" w:type="pct"/>
            <w:vAlign w:val="center"/>
          </w:tcPr>
          <w:p>
            <w:pPr>
              <w:jc w:val="center"/>
              <w:rPr>
                <w:color w:val="000000"/>
                <w:kern w:val="0"/>
                <w:sz w:val="18"/>
                <w:szCs w:val="18"/>
              </w:rPr>
            </w:pPr>
            <w:r>
              <w:rPr>
                <w:rFonts w:hint="eastAsia"/>
                <w:color w:val="000000"/>
                <w:kern w:val="0"/>
                <w:sz w:val="18"/>
                <w:szCs w:val="18"/>
              </w:rPr>
              <w:t xml:space="preserve">&lt;0.005%   </w:t>
            </w:r>
          </w:p>
          <w:p>
            <w:pPr>
              <w:jc w:val="center"/>
              <w:rPr>
                <w:color w:val="000000"/>
                <w:kern w:val="0"/>
                <w:sz w:val="18"/>
                <w:szCs w:val="18"/>
              </w:rPr>
            </w:pPr>
            <w:r>
              <w:rPr>
                <w:rFonts w:hint="eastAsia"/>
                <w:color w:val="000000"/>
                <w:kern w:val="0"/>
                <w:sz w:val="18"/>
                <w:szCs w:val="18"/>
              </w:rPr>
              <w:t xml:space="preserve">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Cr</w:t>
            </w:r>
          </w:p>
        </w:tc>
        <w:tc>
          <w:tcPr>
            <w:tcW w:w="770" w:type="pct"/>
            <w:vAlign w:val="center"/>
          </w:tcPr>
          <w:p>
            <w:pPr>
              <w:jc w:val="center"/>
              <w:rPr>
                <w:color w:val="000000"/>
                <w:kern w:val="0"/>
                <w:sz w:val="18"/>
                <w:szCs w:val="18"/>
              </w:rPr>
            </w:pPr>
            <w:r>
              <w:rPr>
                <w:rFonts w:hint="eastAsia"/>
                <w:color w:val="000000"/>
                <w:kern w:val="0"/>
                <w:sz w:val="18"/>
                <w:szCs w:val="18"/>
              </w:rPr>
              <w:t>&lt;0.002%    Wt%</w:t>
            </w:r>
          </w:p>
        </w:tc>
        <w:tc>
          <w:tcPr>
            <w:tcW w:w="826"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5%    Wt%</w:t>
            </w:r>
          </w:p>
        </w:tc>
        <w:tc>
          <w:tcPr>
            <w:tcW w:w="832"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2%    Wt%</w:t>
            </w:r>
          </w:p>
        </w:tc>
        <w:tc>
          <w:tcPr>
            <w:tcW w:w="916" w:type="pct"/>
            <w:vAlign w:val="center"/>
          </w:tcPr>
          <w:p>
            <w:pPr>
              <w:jc w:val="center"/>
              <w:rPr>
                <w:color w:val="000000"/>
                <w:kern w:val="0"/>
                <w:sz w:val="18"/>
                <w:szCs w:val="18"/>
              </w:rPr>
            </w:pPr>
            <w:r>
              <w:rPr>
                <w:rFonts w:hint="eastAsia"/>
                <w:color w:val="000000"/>
                <w:kern w:val="0"/>
                <w:sz w:val="18"/>
                <w:szCs w:val="18"/>
              </w:rPr>
              <w:t xml:space="preserve">&lt;0.01%   </w:t>
            </w:r>
          </w:p>
          <w:p>
            <w:pPr>
              <w:jc w:val="center"/>
              <w:rPr>
                <w:color w:val="000000"/>
                <w:kern w:val="0"/>
                <w:sz w:val="18"/>
                <w:szCs w:val="18"/>
              </w:rPr>
            </w:pPr>
            <w:r>
              <w:rPr>
                <w:rFonts w:hint="eastAsia"/>
                <w:color w:val="000000"/>
                <w:kern w:val="0"/>
                <w:sz w:val="18"/>
                <w:szCs w:val="18"/>
              </w:rPr>
              <w:t xml:space="preserve"> Wt%</w:t>
            </w:r>
          </w:p>
        </w:tc>
        <w:tc>
          <w:tcPr>
            <w:tcW w:w="943" w:type="pct"/>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 xml:space="preserve">5%    </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Na</w:t>
            </w:r>
          </w:p>
        </w:tc>
        <w:tc>
          <w:tcPr>
            <w:tcW w:w="770" w:type="pct"/>
            <w:vAlign w:val="center"/>
          </w:tcPr>
          <w:p>
            <w:pPr>
              <w:jc w:val="center"/>
              <w:rPr>
                <w:color w:val="000000"/>
                <w:kern w:val="0"/>
                <w:sz w:val="18"/>
                <w:szCs w:val="18"/>
              </w:rPr>
            </w:pPr>
            <w:r>
              <w:rPr>
                <w:rFonts w:hint="eastAsia"/>
                <w:color w:val="000000"/>
                <w:kern w:val="0"/>
                <w:sz w:val="18"/>
                <w:szCs w:val="18"/>
              </w:rPr>
              <w:t>&lt;0.05%    Wt%</w:t>
            </w:r>
          </w:p>
        </w:tc>
        <w:tc>
          <w:tcPr>
            <w:tcW w:w="826" w:type="pct"/>
            <w:vAlign w:val="center"/>
          </w:tcPr>
          <w:p>
            <w:pPr>
              <w:jc w:val="center"/>
              <w:rPr>
                <w:color w:val="000000"/>
                <w:kern w:val="0"/>
                <w:sz w:val="18"/>
                <w:szCs w:val="18"/>
              </w:rPr>
            </w:pPr>
            <w:r>
              <w:rPr>
                <w:rFonts w:hint="eastAsia"/>
                <w:color w:val="000000"/>
                <w:kern w:val="0"/>
                <w:sz w:val="18"/>
                <w:szCs w:val="18"/>
              </w:rPr>
              <w:t>&lt;0.05%    Wt%</w:t>
            </w:r>
          </w:p>
        </w:tc>
        <w:tc>
          <w:tcPr>
            <w:tcW w:w="832" w:type="pct"/>
            <w:vAlign w:val="center"/>
          </w:tcPr>
          <w:p>
            <w:pPr>
              <w:jc w:val="center"/>
              <w:rPr>
                <w:color w:val="000000"/>
                <w:kern w:val="0"/>
                <w:sz w:val="18"/>
                <w:szCs w:val="18"/>
              </w:rPr>
            </w:pPr>
            <w:r>
              <w:rPr>
                <w:color w:val="000000"/>
                <w:kern w:val="0"/>
                <w:sz w:val="18"/>
                <w:szCs w:val="18"/>
              </w:rPr>
              <w:t>/</w:t>
            </w:r>
          </w:p>
        </w:tc>
        <w:tc>
          <w:tcPr>
            <w:tcW w:w="916" w:type="pct"/>
            <w:vAlign w:val="center"/>
          </w:tcPr>
          <w:p>
            <w:pPr>
              <w:jc w:val="center"/>
              <w:rPr>
                <w:color w:val="000000"/>
                <w:kern w:val="0"/>
                <w:sz w:val="18"/>
                <w:szCs w:val="18"/>
              </w:rPr>
            </w:pPr>
            <w:r>
              <w:rPr>
                <w:rFonts w:hint="eastAsia"/>
                <w:color w:val="000000"/>
                <w:kern w:val="0"/>
                <w:sz w:val="18"/>
                <w:szCs w:val="18"/>
              </w:rPr>
              <w:t xml:space="preserve">&lt;0.05%    </w:t>
            </w:r>
          </w:p>
          <w:p>
            <w:pPr>
              <w:jc w:val="center"/>
              <w:rPr>
                <w:color w:val="000000"/>
                <w:kern w:val="0"/>
                <w:sz w:val="18"/>
                <w:szCs w:val="18"/>
              </w:rPr>
            </w:pPr>
            <w:r>
              <w:rPr>
                <w:rFonts w:hint="eastAsia"/>
                <w:color w:val="000000"/>
                <w:kern w:val="0"/>
                <w:sz w:val="18"/>
                <w:szCs w:val="18"/>
              </w:rPr>
              <w:t>Wt%</w:t>
            </w:r>
          </w:p>
        </w:tc>
        <w:tc>
          <w:tcPr>
            <w:tcW w:w="943" w:type="pct"/>
            <w:vAlign w:val="center"/>
          </w:tcPr>
          <w:p>
            <w:pPr>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K</w:t>
            </w:r>
          </w:p>
        </w:tc>
        <w:tc>
          <w:tcPr>
            <w:tcW w:w="770" w:type="pct"/>
            <w:vAlign w:val="center"/>
          </w:tcPr>
          <w:p>
            <w:pPr>
              <w:jc w:val="center"/>
              <w:rPr>
                <w:color w:val="000000"/>
                <w:kern w:val="0"/>
                <w:sz w:val="18"/>
                <w:szCs w:val="18"/>
              </w:rPr>
            </w:pPr>
            <w:r>
              <w:rPr>
                <w:rFonts w:hint="eastAsia"/>
                <w:color w:val="000000"/>
                <w:kern w:val="0"/>
                <w:sz w:val="18"/>
                <w:szCs w:val="18"/>
              </w:rPr>
              <w:t>&lt;0.05%    Wt%</w:t>
            </w:r>
          </w:p>
        </w:tc>
        <w:tc>
          <w:tcPr>
            <w:tcW w:w="826" w:type="pct"/>
            <w:vAlign w:val="center"/>
          </w:tcPr>
          <w:p>
            <w:pPr>
              <w:tabs>
                <w:tab w:val="left" w:pos="465"/>
                <w:tab w:val="center" w:pos="882"/>
              </w:tabs>
              <w:jc w:val="center"/>
              <w:rPr>
                <w:color w:val="000000"/>
                <w:kern w:val="0"/>
                <w:sz w:val="18"/>
                <w:szCs w:val="18"/>
              </w:rPr>
            </w:pPr>
            <w:r>
              <w:rPr>
                <w:rFonts w:hint="eastAsia"/>
                <w:color w:val="000000"/>
                <w:kern w:val="0"/>
                <w:sz w:val="18"/>
                <w:szCs w:val="18"/>
              </w:rPr>
              <w:t>&lt;0.05%    Wt%</w:t>
            </w:r>
          </w:p>
        </w:tc>
        <w:tc>
          <w:tcPr>
            <w:tcW w:w="832" w:type="pct"/>
            <w:vAlign w:val="center"/>
          </w:tcPr>
          <w:p>
            <w:pPr>
              <w:tabs>
                <w:tab w:val="left" w:pos="465"/>
                <w:tab w:val="center" w:pos="882"/>
              </w:tabs>
              <w:jc w:val="center"/>
              <w:rPr>
                <w:color w:val="000000"/>
                <w:kern w:val="0"/>
                <w:sz w:val="18"/>
                <w:szCs w:val="18"/>
              </w:rPr>
            </w:pPr>
            <w:r>
              <w:rPr>
                <w:color w:val="000000"/>
                <w:kern w:val="0"/>
                <w:sz w:val="18"/>
                <w:szCs w:val="18"/>
              </w:rPr>
              <w:t>/</w:t>
            </w:r>
          </w:p>
        </w:tc>
        <w:tc>
          <w:tcPr>
            <w:tcW w:w="916" w:type="pct"/>
            <w:vAlign w:val="center"/>
          </w:tcPr>
          <w:p>
            <w:pPr>
              <w:tabs>
                <w:tab w:val="left" w:pos="465"/>
                <w:tab w:val="center" w:pos="882"/>
              </w:tabs>
              <w:jc w:val="center"/>
              <w:rPr>
                <w:color w:val="000000"/>
                <w:kern w:val="0"/>
                <w:sz w:val="18"/>
                <w:szCs w:val="18"/>
              </w:rPr>
            </w:pPr>
            <w:r>
              <w:rPr>
                <w:rFonts w:hint="eastAsia"/>
                <w:color w:val="000000"/>
                <w:kern w:val="0"/>
                <w:sz w:val="18"/>
                <w:szCs w:val="18"/>
              </w:rPr>
              <w:t xml:space="preserve">&lt;0.05%    </w:t>
            </w:r>
          </w:p>
          <w:p>
            <w:pPr>
              <w:tabs>
                <w:tab w:val="left" w:pos="465"/>
                <w:tab w:val="center" w:pos="882"/>
              </w:tabs>
              <w:jc w:val="center"/>
              <w:rPr>
                <w:color w:val="000000"/>
                <w:kern w:val="0"/>
                <w:sz w:val="18"/>
                <w:szCs w:val="18"/>
              </w:rPr>
            </w:pPr>
            <w:r>
              <w:rPr>
                <w:rFonts w:hint="eastAsia"/>
                <w:color w:val="000000"/>
                <w:kern w:val="0"/>
                <w:sz w:val="18"/>
                <w:szCs w:val="18"/>
              </w:rPr>
              <w:t>Wt%</w:t>
            </w:r>
          </w:p>
        </w:tc>
        <w:tc>
          <w:tcPr>
            <w:tcW w:w="943" w:type="pct"/>
            <w:vAlign w:val="center"/>
          </w:tcPr>
          <w:p>
            <w:pPr>
              <w:tabs>
                <w:tab w:val="left" w:pos="465"/>
                <w:tab w:val="center" w:pos="882"/>
              </w:tabs>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外观</w:t>
            </w:r>
          </w:p>
        </w:tc>
        <w:tc>
          <w:tcPr>
            <w:tcW w:w="770" w:type="pct"/>
            <w:vAlign w:val="center"/>
          </w:tcPr>
          <w:p>
            <w:pPr>
              <w:jc w:val="center"/>
              <w:rPr>
                <w:color w:val="000000"/>
                <w:kern w:val="0"/>
                <w:sz w:val="18"/>
                <w:szCs w:val="18"/>
              </w:rPr>
            </w:pPr>
            <w:r>
              <w:rPr>
                <w:rFonts w:hint="eastAsia" w:hAnsi="宋体"/>
                <w:kern w:val="0"/>
                <w:sz w:val="20"/>
                <w:szCs w:val="21"/>
              </w:rPr>
              <w:t>白色晶体</w:t>
            </w:r>
          </w:p>
        </w:tc>
        <w:tc>
          <w:tcPr>
            <w:tcW w:w="826" w:type="pct"/>
            <w:vAlign w:val="center"/>
          </w:tcPr>
          <w:p>
            <w:pPr>
              <w:jc w:val="center"/>
              <w:rPr>
                <w:kern w:val="0"/>
                <w:sz w:val="20"/>
              </w:rPr>
            </w:pPr>
            <w:r>
              <w:rPr>
                <w:rFonts w:hint="eastAsia" w:hAnsi="宋体"/>
                <w:kern w:val="0"/>
                <w:sz w:val="20"/>
                <w:szCs w:val="21"/>
              </w:rPr>
              <w:t>白色晶体</w:t>
            </w:r>
          </w:p>
        </w:tc>
        <w:tc>
          <w:tcPr>
            <w:tcW w:w="832" w:type="pct"/>
            <w:vAlign w:val="center"/>
          </w:tcPr>
          <w:p>
            <w:pPr>
              <w:jc w:val="center"/>
              <w:rPr>
                <w:kern w:val="0"/>
                <w:sz w:val="20"/>
              </w:rPr>
            </w:pPr>
            <w:r>
              <w:rPr>
                <w:rFonts w:hint="eastAsia" w:hAnsi="宋体"/>
                <w:kern w:val="0"/>
                <w:sz w:val="20"/>
                <w:szCs w:val="21"/>
              </w:rPr>
              <w:t>白色晶体</w:t>
            </w:r>
          </w:p>
        </w:tc>
        <w:tc>
          <w:tcPr>
            <w:tcW w:w="916" w:type="pct"/>
            <w:vAlign w:val="center"/>
          </w:tcPr>
          <w:p>
            <w:pPr>
              <w:jc w:val="center"/>
              <w:rPr>
                <w:kern w:val="0"/>
                <w:sz w:val="20"/>
              </w:rPr>
            </w:pPr>
            <w:r>
              <w:rPr>
                <w:rFonts w:hint="eastAsia" w:hAnsi="宋体"/>
                <w:kern w:val="0"/>
                <w:sz w:val="20"/>
                <w:szCs w:val="21"/>
              </w:rPr>
              <w:t>白色晶体</w:t>
            </w:r>
          </w:p>
        </w:tc>
        <w:tc>
          <w:tcPr>
            <w:tcW w:w="943" w:type="pct"/>
            <w:vAlign w:val="center"/>
          </w:tcPr>
          <w:p>
            <w:pPr>
              <w:jc w:val="center"/>
              <w:rPr>
                <w:kern w:val="0"/>
                <w:sz w:val="20"/>
              </w:rPr>
            </w:pPr>
            <w:r>
              <w:rPr>
                <w:rFonts w:hint="eastAsia" w:hAnsi="宋体"/>
                <w:kern w:val="0"/>
                <w:sz w:val="20"/>
                <w:szCs w:val="21"/>
              </w:rPr>
              <w:t>白色晶体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3" w:type="pct"/>
            <w:vAlign w:val="center"/>
          </w:tcPr>
          <w:p>
            <w:pPr>
              <w:jc w:val="center"/>
              <w:rPr>
                <w:kern w:val="0"/>
                <w:sz w:val="18"/>
                <w:szCs w:val="18"/>
              </w:rPr>
            </w:pPr>
            <w:r>
              <w:rPr>
                <w:rFonts w:hint="eastAsia"/>
                <w:kern w:val="0"/>
                <w:sz w:val="18"/>
                <w:szCs w:val="18"/>
              </w:rPr>
              <w:t>水溶解性</w:t>
            </w:r>
          </w:p>
        </w:tc>
        <w:tc>
          <w:tcPr>
            <w:tcW w:w="770" w:type="pct"/>
            <w:vAlign w:val="center"/>
          </w:tcPr>
          <w:p>
            <w:pPr>
              <w:jc w:val="center"/>
              <w:rPr>
                <w:color w:val="000000"/>
                <w:kern w:val="0"/>
                <w:sz w:val="18"/>
                <w:szCs w:val="18"/>
              </w:rPr>
            </w:pPr>
            <w:r>
              <w:rPr>
                <w:rFonts w:hint="eastAsia" w:hAnsi="宋体"/>
                <w:kern w:val="0"/>
                <w:sz w:val="20"/>
                <w:szCs w:val="21"/>
              </w:rPr>
              <w:t>澄清透亮</w:t>
            </w:r>
          </w:p>
        </w:tc>
        <w:tc>
          <w:tcPr>
            <w:tcW w:w="826" w:type="pct"/>
            <w:vAlign w:val="center"/>
          </w:tcPr>
          <w:p>
            <w:pPr>
              <w:jc w:val="center"/>
              <w:rPr>
                <w:kern w:val="0"/>
                <w:sz w:val="20"/>
              </w:rPr>
            </w:pPr>
            <w:r>
              <w:rPr>
                <w:rFonts w:hint="eastAsia" w:hAnsi="宋体"/>
                <w:kern w:val="0"/>
                <w:sz w:val="20"/>
                <w:szCs w:val="21"/>
              </w:rPr>
              <w:t>澄清透亮</w:t>
            </w:r>
          </w:p>
        </w:tc>
        <w:tc>
          <w:tcPr>
            <w:tcW w:w="832" w:type="pct"/>
            <w:vAlign w:val="center"/>
          </w:tcPr>
          <w:p>
            <w:pPr>
              <w:jc w:val="center"/>
              <w:rPr>
                <w:kern w:val="0"/>
                <w:sz w:val="20"/>
              </w:rPr>
            </w:pPr>
            <w:r>
              <w:rPr>
                <w:rFonts w:hint="eastAsia" w:hAnsi="宋体"/>
                <w:kern w:val="0"/>
                <w:sz w:val="20"/>
                <w:szCs w:val="21"/>
              </w:rPr>
              <w:t>澄清透亮</w:t>
            </w:r>
          </w:p>
        </w:tc>
        <w:tc>
          <w:tcPr>
            <w:tcW w:w="916" w:type="pct"/>
            <w:vAlign w:val="center"/>
          </w:tcPr>
          <w:p>
            <w:pPr>
              <w:jc w:val="center"/>
              <w:rPr>
                <w:kern w:val="0"/>
                <w:sz w:val="20"/>
              </w:rPr>
            </w:pPr>
            <w:r>
              <w:rPr>
                <w:rFonts w:hint="eastAsia" w:hAnsi="宋体"/>
                <w:kern w:val="0"/>
                <w:sz w:val="20"/>
                <w:szCs w:val="21"/>
              </w:rPr>
              <w:t>澄清透亮</w:t>
            </w:r>
          </w:p>
        </w:tc>
        <w:tc>
          <w:tcPr>
            <w:tcW w:w="943" w:type="pct"/>
            <w:vAlign w:val="center"/>
          </w:tcPr>
          <w:p>
            <w:pPr>
              <w:jc w:val="center"/>
              <w:rPr>
                <w:kern w:val="0"/>
                <w:sz w:val="20"/>
              </w:rPr>
            </w:pPr>
            <w:r>
              <w:rPr>
                <w:rFonts w:hint="eastAsia" w:hAnsi="宋体"/>
                <w:kern w:val="0"/>
                <w:sz w:val="20"/>
                <w:szCs w:val="21"/>
              </w:rPr>
              <w:t>澄清透亮</w:t>
            </w:r>
          </w:p>
        </w:tc>
      </w:tr>
    </w:tbl>
    <w:p>
      <w:pPr>
        <w:autoSpaceDE w:val="0"/>
        <w:autoSpaceDN w:val="0"/>
        <w:adjustRightInd w:val="0"/>
        <w:spacing w:line="360" w:lineRule="auto"/>
        <w:ind w:firstLine="480" w:firstLineChars="200"/>
        <w:rPr>
          <w:rFonts w:hint="eastAsia"/>
          <w:sz w:val="24"/>
        </w:rPr>
      </w:pPr>
      <w:bookmarkStart w:id="2" w:name="_Hlk114129610"/>
      <w:r>
        <w:rPr>
          <w:rFonts w:hint="eastAsia"/>
          <w:sz w:val="24"/>
        </w:rPr>
        <w:t>根据前期的调研及相关工作，广泛收集了与标准起草有关的资料并加以研究分析，综合考虑国内外的相关标准、科研成果、专利资料等，以及不同厂家生产情况及技术水平、生产经验、存在的问题、样品和分析数据的对比等情况。《</w:t>
      </w:r>
      <w:bookmarkStart w:id="3" w:name="_Hlk139281854"/>
      <w:r>
        <w:rPr>
          <w:rFonts w:hint="eastAsia"/>
          <w:sz w:val="24"/>
        </w:rPr>
        <w:t>磷酸氢根四氨合铂》标准</w:t>
      </w:r>
      <w:bookmarkEnd w:id="2"/>
      <w:r>
        <w:rPr>
          <w:rFonts w:hint="eastAsia"/>
          <w:sz w:val="24"/>
        </w:rPr>
        <w:t>的制定</w:t>
      </w:r>
      <w:bookmarkEnd w:id="3"/>
      <w:r>
        <w:rPr>
          <w:rFonts w:hint="eastAsia"/>
          <w:sz w:val="24"/>
        </w:rPr>
        <w:t>依据主要来自于对相关应用企业的调研，并征求了使用企业的意见，作为建立本技术标准的依据，同时也考虑了国内厂家生产实际和分析水平等情况。标准编制组于2</w:t>
      </w:r>
      <w:r>
        <w:rPr>
          <w:sz w:val="24"/>
        </w:rPr>
        <w:t>023</w:t>
      </w:r>
      <w:r>
        <w:rPr>
          <w:rFonts w:hint="eastAsia"/>
          <w:sz w:val="24"/>
        </w:rPr>
        <w:t>年6月形成了《磷酸氢根四氨合铂》标准的讨论稿。</w:t>
      </w:r>
    </w:p>
    <w:p>
      <w:pPr>
        <w:spacing w:line="360" w:lineRule="auto"/>
        <w:rPr>
          <w:b/>
          <w:sz w:val="24"/>
        </w:rPr>
      </w:pPr>
      <w:r>
        <w:rPr>
          <w:rFonts w:hint="eastAsia"/>
          <w:b/>
          <w:sz w:val="24"/>
        </w:rPr>
        <w:t>二、标准编制原则</w:t>
      </w:r>
    </w:p>
    <w:p>
      <w:pPr>
        <w:spacing w:line="360" w:lineRule="auto"/>
        <w:ind w:firstLine="480" w:firstLineChars="200"/>
        <w:rPr>
          <w:b/>
          <w:sz w:val="24"/>
        </w:rPr>
      </w:pPr>
      <w:r>
        <w:rPr>
          <w:rFonts w:hint="eastAsia" w:ascii="宋体" w:hAnsi="宋体"/>
          <w:bCs/>
          <w:sz w:val="24"/>
        </w:rPr>
        <w:t>本标准起草单位</w:t>
      </w:r>
      <w:r>
        <w:rPr>
          <w:rFonts w:hint="eastAsia" w:ascii="宋体" w:hAnsi="宋体"/>
          <w:sz w:val="24"/>
        </w:rPr>
        <w:t>自接受修订任务后，成立了标准编制工作组负责收集整理相关资料、市场需求及客户要求等信息，同时结合国家大政方针政策，未来发展趋势，本着科学发展、可持续发展的原则，坚决贯彻以人为本、绿色环保的精神，</w:t>
      </w:r>
      <w:r>
        <w:rPr>
          <w:rFonts w:hint="eastAsia"/>
          <w:sz w:val="24"/>
        </w:rPr>
        <w:t>以严谨、科学的态度对本标准修订进行了反复的讨论、修改，使之不断完善。</w:t>
      </w:r>
      <w:r>
        <w:rPr>
          <w:sz w:val="24"/>
        </w:rPr>
        <w:t>为了确保产品质量</w:t>
      </w:r>
      <w:r>
        <w:rPr>
          <w:rFonts w:hint="eastAsia"/>
          <w:sz w:val="24"/>
        </w:rPr>
        <w:t>，</w:t>
      </w:r>
      <w:r>
        <w:rPr>
          <w:sz w:val="24"/>
        </w:rPr>
        <w:t>制定相应的标准规范</w:t>
      </w:r>
      <w:r>
        <w:rPr>
          <w:rFonts w:hint="eastAsia"/>
          <w:sz w:val="24"/>
        </w:rPr>
        <w:t>，《磷酸氢根四氨合铂》标准的制定</w:t>
      </w:r>
      <w:r>
        <w:rPr>
          <w:rFonts w:hint="eastAsia" w:ascii="宋体" w:hAnsi="宋体"/>
          <w:sz w:val="24"/>
        </w:rPr>
        <w:t>所遵循的基本原则：</w:t>
      </w:r>
    </w:p>
    <w:p>
      <w:pPr>
        <w:spacing w:line="360" w:lineRule="auto"/>
        <w:ind w:firstLine="480" w:firstLineChars="200"/>
        <w:rPr>
          <w:sz w:val="24"/>
        </w:rPr>
      </w:pPr>
      <w:r>
        <w:rPr>
          <w:sz w:val="24"/>
        </w:rPr>
        <w:t>1.科学性原则。标准必须符合科学、合理、先进的原则，确保标准内容科学、准确、可靠。</w:t>
      </w:r>
    </w:p>
    <w:p>
      <w:pPr>
        <w:spacing w:line="360" w:lineRule="auto"/>
        <w:ind w:firstLine="480" w:firstLineChars="200"/>
        <w:rPr>
          <w:sz w:val="24"/>
        </w:rPr>
      </w:pPr>
      <w:r>
        <w:rPr>
          <w:sz w:val="24"/>
        </w:rPr>
        <w:t>2.公正性原则。标准编制必须遵循公正、公开、透明、公平的原则，维护各利益相关者的合法权益。</w:t>
      </w:r>
    </w:p>
    <w:p>
      <w:pPr>
        <w:spacing w:line="360" w:lineRule="auto"/>
        <w:ind w:firstLine="480" w:firstLineChars="200"/>
        <w:rPr>
          <w:sz w:val="24"/>
        </w:rPr>
      </w:pPr>
      <w:r>
        <w:rPr>
          <w:sz w:val="24"/>
        </w:rPr>
        <w:t>3.适用性原则。标准必须符合产品实际需求，具有实用性和适用性，能够满足产品设计、生产和使用的实际需求。</w:t>
      </w:r>
    </w:p>
    <w:p>
      <w:pPr>
        <w:spacing w:line="360" w:lineRule="auto"/>
        <w:ind w:firstLine="480" w:firstLineChars="200"/>
        <w:rPr>
          <w:sz w:val="24"/>
        </w:rPr>
      </w:pPr>
      <w:r>
        <w:rPr>
          <w:sz w:val="24"/>
        </w:rPr>
        <w:t>4.可行性原则。标准必须具有可操作性和可实施性，能够被生产者和使用者接受和实施。</w:t>
      </w:r>
    </w:p>
    <w:p>
      <w:pPr>
        <w:spacing w:line="360" w:lineRule="auto"/>
        <w:ind w:firstLine="480" w:firstLineChars="200"/>
        <w:rPr>
          <w:sz w:val="24"/>
        </w:rPr>
      </w:pPr>
      <w:r>
        <w:rPr>
          <w:sz w:val="24"/>
        </w:rPr>
        <w:t>5.技术先进性原则。标准必须体现技术先进性，促进技术创新和技术进步，提高产品质量和安全性。</w:t>
      </w:r>
    </w:p>
    <w:p>
      <w:pPr>
        <w:spacing w:line="360" w:lineRule="auto"/>
        <w:ind w:firstLine="480" w:firstLineChars="200"/>
        <w:rPr>
          <w:sz w:val="24"/>
        </w:rPr>
      </w:pPr>
      <w:r>
        <w:rPr>
          <w:sz w:val="24"/>
        </w:rPr>
        <w:t>6.协调性原则。标准必须符合国际和地区标准的协调性，避免相互冲突和重复，促进贸易自由化和技术交流。</w:t>
      </w:r>
    </w:p>
    <w:p>
      <w:pPr>
        <w:spacing w:line="360" w:lineRule="auto"/>
        <w:ind w:firstLine="480" w:firstLineChars="200"/>
        <w:rPr>
          <w:sz w:val="24"/>
        </w:rPr>
      </w:pPr>
      <w:r>
        <w:rPr>
          <w:sz w:val="24"/>
        </w:rPr>
        <w:t>7.法律法规遵循原则。标准必须遵循国家法律、法规和政策，维护国家利益和公共利益。</w:t>
      </w:r>
    </w:p>
    <w:p>
      <w:pPr>
        <w:spacing w:line="360" w:lineRule="auto"/>
        <w:ind w:firstLine="480" w:firstLineChars="200"/>
        <w:rPr>
          <w:sz w:val="24"/>
        </w:rPr>
      </w:pPr>
      <w:r>
        <w:rPr>
          <w:sz w:val="24"/>
        </w:rPr>
        <w:t>通过以上原则，制定出</w:t>
      </w:r>
      <w:r>
        <w:rPr>
          <w:rFonts w:hint="eastAsia"/>
          <w:sz w:val="24"/>
        </w:rPr>
        <w:t>满足</w:t>
      </w:r>
      <w:r>
        <w:rPr>
          <w:sz w:val="24"/>
        </w:rPr>
        <w:t>实际需求的产品</w:t>
      </w:r>
      <w:r>
        <w:rPr>
          <w:rFonts w:hint="eastAsia"/>
          <w:sz w:val="24"/>
        </w:rPr>
        <w:t>《磷酸氢根四氨合铂》标准</w:t>
      </w:r>
      <w:r>
        <w:rPr>
          <w:sz w:val="24"/>
        </w:rPr>
        <w:t>，能够提高产品质量和安全性，保障消费者权益，促进产品贸易和技术交流。</w:t>
      </w:r>
    </w:p>
    <w:p>
      <w:pPr>
        <w:spacing w:line="360" w:lineRule="auto"/>
        <w:rPr>
          <w:rFonts w:ascii="宋体" w:hAnsi="宋体"/>
          <w:sz w:val="24"/>
        </w:rPr>
      </w:pPr>
    </w:p>
    <w:p>
      <w:pPr>
        <w:spacing w:line="360" w:lineRule="auto"/>
        <w:rPr>
          <w:rFonts w:hint="eastAsia" w:ascii="宋体" w:hAnsi="宋体" w:eastAsia="宋体"/>
          <w:color w:val="FF0000"/>
          <w:sz w:val="24"/>
          <w:highlight w:val="yellow"/>
          <w:lang w:eastAsia="zh-CN"/>
        </w:rPr>
      </w:pPr>
      <w:r>
        <w:rPr>
          <w:rFonts w:hint="eastAsia"/>
          <w:b/>
          <w:sz w:val="24"/>
          <w:highlight w:val="none"/>
        </w:rPr>
        <w:t>三、标准主要内容的确定依据及主要试验和验证情况分析</w:t>
      </w:r>
    </w:p>
    <w:p>
      <w:pPr>
        <w:spacing w:line="360" w:lineRule="auto"/>
        <w:ind w:firstLine="200"/>
        <w:rPr>
          <w:rFonts w:hint="eastAsia" w:ascii="宋体" w:hAnsi="宋体" w:eastAsia="宋体"/>
          <w:b/>
          <w:sz w:val="24"/>
          <w:lang w:eastAsia="zh-CN"/>
        </w:rPr>
      </w:pPr>
      <w:r>
        <w:rPr>
          <w:rFonts w:hint="eastAsia" w:ascii="宋体" w:hAnsi="宋体"/>
          <w:b/>
          <w:sz w:val="24"/>
        </w:rPr>
        <w:t>1．本标准</w:t>
      </w:r>
      <w:r>
        <w:rPr>
          <w:rFonts w:hint="eastAsia"/>
          <w:b/>
          <w:sz w:val="24"/>
        </w:rPr>
        <w:t>主要内容的确定依据</w:t>
      </w:r>
    </w:p>
    <w:p>
      <w:pPr>
        <w:spacing w:line="360" w:lineRule="auto"/>
        <w:rPr>
          <w:rFonts w:hint="eastAsia"/>
          <w:kern w:val="2"/>
          <w:sz w:val="24"/>
          <w:szCs w:val="24"/>
          <w:lang w:eastAsia="zh-CN"/>
        </w:rPr>
      </w:pPr>
      <w:bookmarkStart w:id="4" w:name="OLE_LINK7"/>
      <w:r>
        <w:rPr>
          <w:rFonts w:hint="eastAsia" w:ascii="宋体" w:hAnsi="宋体"/>
          <w:b/>
          <w:bCs/>
          <w:sz w:val="24"/>
        </w:rPr>
        <w:t xml:space="preserve">1.1 </w:t>
      </w:r>
      <w:r>
        <w:rPr>
          <w:rFonts w:hint="eastAsia" w:ascii="宋体" w:hAnsi="宋体"/>
          <w:b/>
          <w:bCs/>
          <w:sz w:val="24"/>
          <w:lang w:val="en-US" w:eastAsia="zh-CN"/>
        </w:rPr>
        <w:t>铂质量分数规定为</w:t>
      </w:r>
      <w:r>
        <w:rPr>
          <w:rFonts w:hint="eastAsia" w:ascii="Times New Roman"/>
          <w:b/>
          <w:bCs/>
          <w:kern w:val="2"/>
          <w:sz w:val="24"/>
          <w:szCs w:val="24"/>
        </w:rPr>
        <w:t>5</w:t>
      </w:r>
      <w:r>
        <w:rPr>
          <w:rFonts w:ascii="Times New Roman"/>
          <w:b/>
          <w:bCs/>
          <w:kern w:val="2"/>
          <w:sz w:val="24"/>
          <w:szCs w:val="24"/>
        </w:rPr>
        <w:t>3</w:t>
      </w:r>
      <w:r>
        <w:rPr>
          <w:rFonts w:hint="eastAsia" w:ascii="Times New Roman"/>
          <w:b/>
          <w:bCs/>
          <w:kern w:val="2"/>
          <w:sz w:val="24"/>
          <w:szCs w:val="24"/>
        </w:rPr>
        <w:t>.</w:t>
      </w:r>
      <w:r>
        <w:rPr>
          <w:rFonts w:ascii="Times New Roman"/>
          <w:b/>
          <w:bCs/>
          <w:kern w:val="2"/>
          <w:sz w:val="24"/>
          <w:szCs w:val="24"/>
        </w:rPr>
        <w:t>9</w:t>
      </w:r>
      <w:r>
        <w:rPr>
          <w:rFonts w:hint="eastAsia" w:ascii="Times New Roman"/>
          <w:b/>
          <w:bCs/>
          <w:kern w:val="2"/>
          <w:sz w:val="24"/>
          <w:szCs w:val="24"/>
        </w:rPr>
        <w:t>0%～5</w:t>
      </w:r>
      <w:r>
        <w:rPr>
          <w:rFonts w:ascii="Times New Roman"/>
          <w:b/>
          <w:bCs/>
          <w:kern w:val="2"/>
          <w:sz w:val="24"/>
          <w:szCs w:val="24"/>
        </w:rPr>
        <w:t>4</w:t>
      </w:r>
      <w:r>
        <w:rPr>
          <w:rFonts w:hint="eastAsia" w:ascii="Times New Roman"/>
          <w:b/>
          <w:bCs/>
          <w:kern w:val="2"/>
          <w:sz w:val="24"/>
          <w:szCs w:val="24"/>
        </w:rPr>
        <w:t>.</w:t>
      </w:r>
      <w:r>
        <w:rPr>
          <w:rFonts w:ascii="Times New Roman"/>
          <w:b/>
          <w:bCs/>
          <w:kern w:val="2"/>
          <w:sz w:val="24"/>
          <w:szCs w:val="24"/>
        </w:rPr>
        <w:t>33</w:t>
      </w:r>
      <w:r>
        <w:rPr>
          <w:rFonts w:hint="eastAsia" w:ascii="Times New Roman"/>
          <w:b/>
          <w:bCs/>
          <w:kern w:val="2"/>
          <w:sz w:val="24"/>
          <w:szCs w:val="24"/>
        </w:rPr>
        <w:t>%</w:t>
      </w:r>
      <w:r>
        <w:rPr>
          <w:rFonts w:hint="eastAsia"/>
          <w:kern w:val="2"/>
          <w:sz w:val="24"/>
          <w:szCs w:val="24"/>
          <w:lang w:eastAsia="zh-CN"/>
        </w:rPr>
        <w:t>。</w:t>
      </w:r>
    </w:p>
    <w:p>
      <w:pPr>
        <w:pStyle w:val="13"/>
        <w:spacing w:line="360" w:lineRule="auto"/>
        <w:ind w:firstLine="480"/>
        <w:rPr>
          <w:rFonts w:ascii="Times New Roman"/>
          <w:kern w:val="2"/>
          <w:sz w:val="24"/>
          <w:szCs w:val="24"/>
        </w:rPr>
      </w:pPr>
      <w:r>
        <w:rPr>
          <w:rFonts w:hint="eastAsia"/>
          <w:b/>
          <w:bCs/>
          <w:kern w:val="2"/>
          <w:sz w:val="24"/>
          <w:szCs w:val="24"/>
          <w:lang w:val="en-US" w:eastAsia="zh-CN"/>
        </w:rPr>
        <w:t>确定依据</w:t>
      </w:r>
      <w:r>
        <w:rPr>
          <w:rFonts w:hint="eastAsia"/>
          <w:kern w:val="2"/>
          <w:sz w:val="24"/>
          <w:szCs w:val="24"/>
          <w:lang w:val="en-US" w:eastAsia="zh-CN"/>
        </w:rPr>
        <w:t>：</w:t>
      </w:r>
      <w:r>
        <w:rPr>
          <w:rFonts w:hint="eastAsia" w:ascii="Times New Roman"/>
          <w:kern w:val="2"/>
          <w:sz w:val="24"/>
          <w:szCs w:val="24"/>
        </w:rPr>
        <w:t>磷酸氢根四氨合铂的化学式为</w:t>
      </w:r>
      <w:r>
        <w:rPr>
          <w:rFonts w:ascii="Times New Roman"/>
          <w:kern w:val="2"/>
          <w:sz w:val="24"/>
          <w:szCs w:val="24"/>
        </w:rPr>
        <w:t>Pt(</w:t>
      </w:r>
      <w:r>
        <w:rPr>
          <w:rFonts w:hint="eastAsia" w:ascii="Times New Roman"/>
          <w:kern w:val="2"/>
          <w:sz w:val="24"/>
          <w:szCs w:val="24"/>
        </w:rPr>
        <w:t>NH</w:t>
      </w:r>
      <w:r>
        <w:rPr>
          <w:rFonts w:ascii="Times New Roman"/>
          <w:kern w:val="2"/>
          <w:sz w:val="24"/>
          <w:szCs w:val="24"/>
          <w:vertAlign w:val="subscript"/>
        </w:rPr>
        <w:t>3</w:t>
      </w:r>
      <w:r>
        <w:rPr>
          <w:rFonts w:ascii="Times New Roman"/>
          <w:kern w:val="2"/>
          <w:sz w:val="24"/>
          <w:szCs w:val="24"/>
        </w:rPr>
        <w:t>)</w:t>
      </w:r>
      <w:r>
        <w:rPr>
          <w:rFonts w:hint="eastAsia" w:ascii="Times New Roman"/>
          <w:kern w:val="2"/>
          <w:sz w:val="24"/>
          <w:szCs w:val="24"/>
          <w:vertAlign w:val="subscript"/>
        </w:rPr>
        <w:t>4</w:t>
      </w:r>
      <w:r>
        <w:rPr>
          <w:rFonts w:hint="eastAsia" w:ascii="Times New Roman"/>
          <w:kern w:val="2"/>
          <w:sz w:val="24"/>
          <w:szCs w:val="24"/>
        </w:rPr>
        <w:t>H</w:t>
      </w:r>
      <w:r>
        <w:rPr>
          <w:rFonts w:ascii="Times New Roman"/>
          <w:kern w:val="2"/>
          <w:sz w:val="24"/>
          <w:szCs w:val="24"/>
        </w:rPr>
        <w:t>P</w:t>
      </w:r>
      <w:r>
        <w:rPr>
          <w:rFonts w:hint="eastAsia" w:ascii="Times New Roman"/>
          <w:kern w:val="2"/>
          <w:sz w:val="24"/>
          <w:szCs w:val="24"/>
        </w:rPr>
        <w:t>O</w:t>
      </w:r>
      <w:r>
        <w:rPr>
          <w:rFonts w:ascii="Times New Roman"/>
          <w:kern w:val="2"/>
          <w:sz w:val="24"/>
          <w:szCs w:val="24"/>
          <w:vertAlign w:val="subscript"/>
        </w:rPr>
        <w:t>4</w:t>
      </w:r>
      <w:r>
        <w:rPr>
          <w:rFonts w:hint="eastAsia" w:ascii="Times New Roman"/>
          <w:kern w:val="2"/>
          <w:sz w:val="24"/>
          <w:szCs w:val="24"/>
        </w:rPr>
        <w:t>，分子量</w:t>
      </w:r>
      <w:r>
        <w:rPr>
          <w:rFonts w:ascii="Times New Roman"/>
          <w:kern w:val="2"/>
          <w:sz w:val="24"/>
          <w:szCs w:val="24"/>
        </w:rPr>
        <w:t>359.08</w:t>
      </w:r>
      <w:r>
        <w:rPr>
          <w:rFonts w:hint="eastAsia" w:ascii="Times New Roman"/>
          <w:kern w:val="2"/>
          <w:sz w:val="24"/>
          <w:szCs w:val="24"/>
        </w:rPr>
        <w:t>，理论铂含量为5</w:t>
      </w:r>
      <w:r>
        <w:rPr>
          <w:rFonts w:ascii="Times New Roman"/>
          <w:kern w:val="2"/>
          <w:sz w:val="24"/>
          <w:szCs w:val="24"/>
        </w:rPr>
        <w:t>4</w:t>
      </w:r>
      <w:r>
        <w:rPr>
          <w:rFonts w:hint="eastAsia" w:ascii="Times New Roman"/>
          <w:kern w:val="2"/>
          <w:sz w:val="24"/>
          <w:szCs w:val="24"/>
        </w:rPr>
        <w:t>.</w:t>
      </w:r>
      <w:r>
        <w:rPr>
          <w:rFonts w:ascii="Times New Roman"/>
          <w:kern w:val="2"/>
          <w:sz w:val="24"/>
          <w:szCs w:val="24"/>
        </w:rPr>
        <w:t>33</w:t>
      </w:r>
      <w:r>
        <w:rPr>
          <w:rFonts w:hint="eastAsia" w:ascii="Times New Roman"/>
          <w:kern w:val="2"/>
          <w:sz w:val="24"/>
          <w:szCs w:val="24"/>
        </w:rPr>
        <w:t>%，根据客户的使用要求（参照表二）及各厂家实际生产的情况(参照表三)，最终确定铂质量分数为5</w:t>
      </w:r>
      <w:r>
        <w:rPr>
          <w:rFonts w:ascii="Times New Roman"/>
          <w:kern w:val="2"/>
          <w:sz w:val="24"/>
          <w:szCs w:val="24"/>
        </w:rPr>
        <w:t>3</w:t>
      </w:r>
      <w:r>
        <w:rPr>
          <w:rFonts w:hint="eastAsia" w:ascii="Times New Roman"/>
          <w:kern w:val="2"/>
          <w:sz w:val="24"/>
          <w:szCs w:val="24"/>
        </w:rPr>
        <w:t>.</w:t>
      </w:r>
      <w:r>
        <w:rPr>
          <w:rFonts w:ascii="Times New Roman"/>
          <w:kern w:val="2"/>
          <w:sz w:val="24"/>
          <w:szCs w:val="24"/>
        </w:rPr>
        <w:t>9</w:t>
      </w:r>
      <w:r>
        <w:rPr>
          <w:rFonts w:hint="eastAsia" w:ascii="Times New Roman"/>
          <w:kern w:val="2"/>
          <w:sz w:val="24"/>
          <w:szCs w:val="24"/>
        </w:rPr>
        <w:t>0%～5</w:t>
      </w:r>
      <w:r>
        <w:rPr>
          <w:rFonts w:ascii="Times New Roman"/>
          <w:kern w:val="2"/>
          <w:sz w:val="24"/>
          <w:szCs w:val="24"/>
        </w:rPr>
        <w:t>4</w:t>
      </w:r>
      <w:r>
        <w:rPr>
          <w:rFonts w:hint="eastAsia" w:ascii="Times New Roman"/>
          <w:kern w:val="2"/>
          <w:sz w:val="24"/>
          <w:szCs w:val="24"/>
        </w:rPr>
        <w:t>.</w:t>
      </w:r>
      <w:r>
        <w:rPr>
          <w:rFonts w:ascii="Times New Roman"/>
          <w:kern w:val="2"/>
          <w:sz w:val="24"/>
          <w:szCs w:val="24"/>
        </w:rPr>
        <w:t>33</w:t>
      </w:r>
      <w:r>
        <w:rPr>
          <w:rFonts w:hint="eastAsia" w:ascii="Times New Roman"/>
          <w:kern w:val="2"/>
          <w:sz w:val="24"/>
          <w:szCs w:val="24"/>
        </w:rPr>
        <w:t>%。</w:t>
      </w:r>
    </w:p>
    <w:p>
      <w:pPr>
        <w:spacing w:line="360" w:lineRule="auto"/>
        <w:ind w:firstLine="240" w:firstLineChars="100"/>
        <w:rPr>
          <w:rFonts w:hint="default"/>
          <w:kern w:val="2"/>
          <w:sz w:val="24"/>
          <w:szCs w:val="24"/>
          <w:lang w:val="en-US" w:eastAsia="zh-CN"/>
        </w:rPr>
      </w:pPr>
    </w:p>
    <w:p>
      <w:pPr>
        <w:pStyle w:val="3"/>
        <w:ind w:firstLine="3600" w:firstLineChars="1500"/>
        <w:rPr>
          <w:rFonts w:hint="eastAsia" w:ascii="宋体" w:hAnsi="宋体"/>
          <w:sz w:val="24"/>
        </w:rPr>
      </w:pPr>
    </w:p>
    <w:p>
      <w:pPr>
        <w:pStyle w:val="3"/>
        <w:ind w:left="0" w:leftChars="0" w:firstLine="0" w:firstLineChars="0"/>
        <w:rPr>
          <w:rFonts w:hint="eastAsia" w:ascii="宋体" w:hAnsi="宋体"/>
          <w:sz w:val="24"/>
          <w:lang w:val="en-US" w:eastAsia="zh-CN"/>
        </w:rPr>
      </w:pPr>
      <w:r>
        <w:rPr>
          <w:rFonts w:hint="eastAsia" w:ascii="宋体" w:hAnsi="宋体"/>
          <w:b/>
          <w:bCs/>
          <w:sz w:val="24"/>
        </w:rPr>
        <w:t xml:space="preserve">1.2 </w:t>
      </w:r>
      <w:r>
        <w:rPr>
          <w:rFonts w:hint="eastAsia" w:ascii="宋体" w:hAnsi="宋体"/>
          <w:b/>
          <w:bCs/>
          <w:sz w:val="24"/>
          <w:lang w:val="en-US" w:eastAsia="zh-CN"/>
        </w:rPr>
        <w:t>杂质元素质量分数规定见表三</w:t>
      </w:r>
    </w:p>
    <w:p>
      <w:pPr>
        <w:pStyle w:val="3"/>
        <w:ind w:left="0" w:leftChars="0" w:firstLine="3000" w:firstLineChars="1500"/>
        <w:rPr>
          <w:rFonts w:eastAsia="PMingLiU"/>
          <w:kern w:val="0"/>
          <w:sz w:val="20"/>
          <w:szCs w:val="24"/>
          <w:lang w:eastAsia="zh-TW"/>
        </w:rPr>
      </w:pPr>
      <w:r>
        <w:rPr>
          <w:rFonts w:hint="eastAsia" w:eastAsia="PMingLiU"/>
          <w:kern w:val="0"/>
          <w:sz w:val="20"/>
          <w:szCs w:val="24"/>
          <w:lang w:eastAsia="zh-TW"/>
        </w:rPr>
        <w:t>表</w:t>
      </w:r>
      <w:r>
        <w:rPr>
          <w:rFonts w:hint="eastAsia"/>
          <w:kern w:val="0"/>
          <w:sz w:val="20"/>
          <w:szCs w:val="24"/>
          <w:lang w:val="en-US" w:eastAsia="zh-CN"/>
        </w:rPr>
        <w:t>三</w:t>
      </w:r>
      <w:r>
        <w:rPr>
          <w:rFonts w:hint="eastAsia" w:eastAsia="PMingLiU"/>
          <w:kern w:val="0"/>
          <w:sz w:val="20"/>
          <w:szCs w:val="24"/>
          <w:lang w:eastAsia="zh-TW"/>
        </w:rPr>
        <w:t>：杂质元素质量分数</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1"/>
        <w:gridCol w:w="671"/>
        <w:gridCol w:w="671"/>
        <w:gridCol w:w="671"/>
        <w:gridCol w:w="671"/>
        <w:gridCol w:w="672"/>
        <w:gridCol w:w="672"/>
        <w:gridCol w:w="672"/>
        <w:gridCol w:w="672"/>
        <w:gridCol w:w="672"/>
        <w:gridCol w:w="672"/>
        <w:gridCol w:w="569"/>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3"/>
            <w:vAlign w:val="center"/>
          </w:tcPr>
          <w:p>
            <w:pPr>
              <w:pStyle w:val="13"/>
              <w:widowControl w:val="0"/>
              <w:ind w:firstLine="3060" w:firstLineChars="1700"/>
              <w:rPr>
                <w:rFonts w:ascii="Times New Roman"/>
                <w:kern w:val="2"/>
                <w:sz w:val="18"/>
                <w:szCs w:val="18"/>
              </w:rPr>
            </w:pPr>
            <w:r>
              <w:rPr>
                <w:rFonts w:hint="eastAsia"/>
                <w:sz w:val="18"/>
                <w:szCs w:val="18"/>
              </w:rPr>
              <w:t>杂质元素质量分数，不大于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pStyle w:val="13"/>
              <w:widowControl w:val="0"/>
              <w:ind w:firstLine="0" w:firstLineChars="0"/>
              <w:jc w:val="center"/>
              <w:rPr>
                <w:rFonts w:ascii="Times New Roman"/>
                <w:kern w:val="2"/>
                <w:sz w:val="18"/>
                <w:szCs w:val="18"/>
              </w:rPr>
            </w:pPr>
            <w:r>
              <w:rPr>
                <w:rFonts w:ascii="Times New Roman"/>
                <w:kern w:val="2"/>
                <w:sz w:val="18"/>
                <w:szCs w:val="18"/>
              </w:rPr>
              <w:t>A</w:t>
            </w:r>
            <w:r>
              <w:rPr>
                <w:rFonts w:hint="eastAsia" w:ascii="Times New Roman"/>
                <w:kern w:val="2"/>
                <w:sz w:val="18"/>
                <w:szCs w:val="18"/>
              </w:rPr>
              <w:t>g</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Au</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Pd</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Rh</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Ir</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Pb</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Ni</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Cu</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Fe</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Al</w:t>
            </w:r>
          </w:p>
        </w:tc>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Cr</w:t>
            </w:r>
          </w:p>
        </w:tc>
        <w:tc>
          <w:tcPr>
            <w:tcW w:w="33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Na</w:t>
            </w:r>
          </w:p>
        </w:tc>
        <w:tc>
          <w:tcPr>
            <w:tcW w:w="33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 w:type="pct"/>
            <w:vAlign w:val="center"/>
          </w:tcPr>
          <w:p>
            <w:pPr>
              <w:pStyle w:val="13"/>
              <w:widowControl w:val="0"/>
              <w:ind w:firstLine="0" w:firstLineChars="0"/>
              <w:jc w:val="center"/>
              <w:rPr>
                <w:rFonts w:ascii="Times New Roman"/>
                <w:kern w:val="2"/>
                <w:sz w:val="18"/>
                <w:szCs w:val="18"/>
              </w:rPr>
            </w:pPr>
            <w:r>
              <w:rPr>
                <w:rFonts w:hint="eastAsia" w:ascii="Times New Roman"/>
                <w:kern w:val="2"/>
                <w:sz w:val="18"/>
                <w:szCs w:val="18"/>
              </w:rPr>
              <w:t>0.002</w:t>
            </w:r>
          </w:p>
        </w:tc>
        <w:tc>
          <w:tcPr>
            <w:tcW w:w="394" w:type="pct"/>
            <w:vAlign w:val="center"/>
          </w:tcPr>
          <w:p>
            <w:pPr>
              <w:jc w:val="center"/>
              <w:rPr>
                <w:sz w:val="18"/>
                <w:szCs w:val="18"/>
              </w:rPr>
            </w:pPr>
            <w:r>
              <w:rPr>
                <w:rFonts w:hint="eastAsia"/>
                <w:sz w:val="18"/>
                <w:szCs w:val="18"/>
              </w:rPr>
              <w:t>0.002</w:t>
            </w:r>
          </w:p>
        </w:tc>
        <w:tc>
          <w:tcPr>
            <w:tcW w:w="394" w:type="pct"/>
            <w:vAlign w:val="center"/>
          </w:tcPr>
          <w:p>
            <w:pPr>
              <w:jc w:val="center"/>
              <w:rPr>
                <w:sz w:val="18"/>
                <w:szCs w:val="18"/>
              </w:rPr>
            </w:pPr>
            <w:r>
              <w:rPr>
                <w:rFonts w:hint="eastAsia"/>
                <w:sz w:val="18"/>
                <w:szCs w:val="18"/>
              </w:rPr>
              <w:t>0.002</w:t>
            </w:r>
          </w:p>
        </w:tc>
        <w:tc>
          <w:tcPr>
            <w:tcW w:w="394" w:type="pct"/>
            <w:vAlign w:val="center"/>
          </w:tcPr>
          <w:p>
            <w:pPr>
              <w:jc w:val="center"/>
              <w:rPr>
                <w:sz w:val="18"/>
                <w:szCs w:val="18"/>
              </w:rPr>
            </w:pPr>
            <w:r>
              <w:rPr>
                <w:rFonts w:hint="eastAsia"/>
                <w:sz w:val="18"/>
                <w:szCs w:val="18"/>
              </w:rPr>
              <w:t>0.002</w:t>
            </w:r>
          </w:p>
        </w:tc>
        <w:tc>
          <w:tcPr>
            <w:tcW w:w="394" w:type="pct"/>
            <w:vAlign w:val="center"/>
          </w:tcPr>
          <w:p>
            <w:pPr>
              <w:jc w:val="center"/>
              <w:rPr>
                <w:sz w:val="18"/>
                <w:szCs w:val="18"/>
              </w:rPr>
            </w:pPr>
            <w:r>
              <w:rPr>
                <w:rFonts w:hint="eastAsia"/>
                <w:sz w:val="18"/>
                <w:szCs w:val="18"/>
              </w:rPr>
              <w:t>0.002</w:t>
            </w:r>
          </w:p>
        </w:tc>
        <w:tc>
          <w:tcPr>
            <w:tcW w:w="394" w:type="pct"/>
            <w:vAlign w:val="center"/>
          </w:tcPr>
          <w:p>
            <w:pPr>
              <w:jc w:val="center"/>
              <w:rPr>
                <w:sz w:val="18"/>
                <w:szCs w:val="18"/>
              </w:rPr>
            </w:pPr>
            <w:r>
              <w:rPr>
                <w:rFonts w:hint="eastAsia"/>
                <w:sz w:val="18"/>
                <w:szCs w:val="18"/>
              </w:rPr>
              <w:t>0.001</w:t>
            </w:r>
          </w:p>
        </w:tc>
        <w:tc>
          <w:tcPr>
            <w:tcW w:w="394" w:type="pct"/>
            <w:vAlign w:val="center"/>
          </w:tcPr>
          <w:p>
            <w:pPr>
              <w:jc w:val="center"/>
              <w:rPr>
                <w:sz w:val="18"/>
                <w:szCs w:val="18"/>
              </w:rPr>
            </w:pPr>
            <w:r>
              <w:rPr>
                <w:rFonts w:hint="eastAsia"/>
                <w:sz w:val="18"/>
                <w:szCs w:val="18"/>
              </w:rPr>
              <w:t>0.001</w:t>
            </w:r>
          </w:p>
        </w:tc>
        <w:tc>
          <w:tcPr>
            <w:tcW w:w="394" w:type="pct"/>
            <w:vAlign w:val="center"/>
          </w:tcPr>
          <w:p>
            <w:pPr>
              <w:jc w:val="center"/>
              <w:rPr>
                <w:sz w:val="18"/>
                <w:szCs w:val="18"/>
              </w:rPr>
            </w:pPr>
            <w:r>
              <w:rPr>
                <w:rFonts w:hint="eastAsia"/>
                <w:sz w:val="18"/>
                <w:szCs w:val="18"/>
              </w:rPr>
              <w:t>0.001</w:t>
            </w:r>
          </w:p>
        </w:tc>
        <w:tc>
          <w:tcPr>
            <w:tcW w:w="394" w:type="pct"/>
            <w:vAlign w:val="center"/>
          </w:tcPr>
          <w:p>
            <w:pPr>
              <w:jc w:val="center"/>
              <w:rPr>
                <w:sz w:val="18"/>
                <w:szCs w:val="18"/>
              </w:rPr>
            </w:pPr>
            <w:r>
              <w:rPr>
                <w:rFonts w:hint="eastAsia"/>
                <w:sz w:val="18"/>
                <w:szCs w:val="18"/>
              </w:rPr>
              <w:t>0.002</w:t>
            </w:r>
          </w:p>
        </w:tc>
        <w:tc>
          <w:tcPr>
            <w:tcW w:w="394" w:type="pct"/>
            <w:vAlign w:val="center"/>
          </w:tcPr>
          <w:p>
            <w:pPr>
              <w:jc w:val="center"/>
              <w:rPr>
                <w:sz w:val="18"/>
                <w:szCs w:val="18"/>
              </w:rPr>
            </w:pPr>
            <w:r>
              <w:rPr>
                <w:rFonts w:hint="eastAsia"/>
                <w:sz w:val="18"/>
                <w:szCs w:val="18"/>
              </w:rPr>
              <w:t>0.001</w:t>
            </w:r>
          </w:p>
        </w:tc>
        <w:tc>
          <w:tcPr>
            <w:tcW w:w="394" w:type="pct"/>
            <w:vAlign w:val="center"/>
          </w:tcPr>
          <w:p>
            <w:pPr>
              <w:jc w:val="center"/>
              <w:rPr>
                <w:sz w:val="18"/>
                <w:szCs w:val="18"/>
              </w:rPr>
            </w:pPr>
            <w:r>
              <w:rPr>
                <w:rFonts w:hint="eastAsia"/>
                <w:sz w:val="18"/>
                <w:szCs w:val="18"/>
              </w:rPr>
              <w:t>0.001</w:t>
            </w:r>
          </w:p>
        </w:tc>
        <w:tc>
          <w:tcPr>
            <w:tcW w:w="334" w:type="pct"/>
            <w:vAlign w:val="center"/>
          </w:tcPr>
          <w:p>
            <w:pPr>
              <w:jc w:val="center"/>
              <w:rPr>
                <w:sz w:val="18"/>
                <w:szCs w:val="18"/>
              </w:rPr>
            </w:pPr>
            <w:r>
              <w:rPr>
                <w:rFonts w:hint="eastAsia"/>
                <w:sz w:val="18"/>
                <w:szCs w:val="18"/>
              </w:rPr>
              <w:t>0.05</w:t>
            </w:r>
          </w:p>
        </w:tc>
        <w:tc>
          <w:tcPr>
            <w:tcW w:w="334" w:type="pct"/>
            <w:vAlign w:val="center"/>
          </w:tcPr>
          <w:p>
            <w:pPr>
              <w:jc w:val="center"/>
              <w:rPr>
                <w:sz w:val="18"/>
                <w:szCs w:val="18"/>
              </w:rPr>
            </w:pPr>
            <w:r>
              <w:rPr>
                <w:rFonts w:hint="eastAsia"/>
                <w:sz w:val="18"/>
                <w:szCs w:val="18"/>
              </w:rPr>
              <w:t>0.05</w:t>
            </w:r>
          </w:p>
        </w:tc>
      </w:tr>
    </w:tbl>
    <w:p>
      <w:pPr>
        <w:spacing w:line="360" w:lineRule="auto"/>
        <w:ind w:firstLine="240" w:firstLineChars="100"/>
        <w:rPr>
          <w:rFonts w:hint="eastAsia" w:ascii="宋体" w:hAnsi="宋体"/>
          <w:sz w:val="24"/>
          <w:lang w:val="en-US" w:eastAsia="zh-CN"/>
        </w:rPr>
      </w:pPr>
    </w:p>
    <w:p>
      <w:pPr>
        <w:pStyle w:val="3"/>
        <w:ind w:firstLine="482" w:firstLineChars="200"/>
        <w:rPr>
          <w:rFonts w:hint="eastAsia"/>
          <w:szCs w:val="24"/>
        </w:rPr>
      </w:pPr>
      <w:r>
        <w:rPr>
          <w:rFonts w:hint="eastAsia" w:ascii="Times New Roman" w:eastAsia="宋体"/>
          <w:b/>
          <w:bCs/>
          <w:kern w:val="2"/>
          <w:sz w:val="24"/>
          <w:szCs w:val="24"/>
          <w:lang w:val="en-US" w:eastAsia="zh-CN"/>
        </w:rPr>
        <w:t>确定依据</w:t>
      </w:r>
      <w:r>
        <w:rPr>
          <w:rFonts w:hint="eastAsia" w:ascii="Times New Roman" w:eastAsia="宋体"/>
          <w:kern w:val="2"/>
          <w:sz w:val="24"/>
          <w:szCs w:val="24"/>
          <w:lang w:val="en-US" w:eastAsia="zh-CN"/>
        </w:rPr>
        <w:t>：</w:t>
      </w:r>
      <w:r>
        <w:rPr>
          <w:rFonts w:hint="eastAsia"/>
          <w:szCs w:val="24"/>
        </w:rPr>
        <w:t>杂质元素的确定基于以下原则，一是原料或生产过程中引入元素，包括设备接触到的材料所引入的元素；二是在产品使用过程中需要控制的杂质元素；三是常见易沾污的元素。在结合客户的使用要求（参照表二）及各厂家实际生产的情况(参照表</w:t>
      </w:r>
      <w:r>
        <w:rPr>
          <w:rFonts w:hint="eastAsia"/>
          <w:szCs w:val="24"/>
          <w:lang w:val="en-US" w:eastAsia="zh-CN"/>
        </w:rPr>
        <w:t>四</w:t>
      </w:r>
      <w:r>
        <w:rPr>
          <w:rFonts w:hint="eastAsia"/>
          <w:szCs w:val="24"/>
        </w:rPr>
        <w:t>)基础上确定了杂质元素质量分数的规定如下表。</w:t>
      </w:r>
    </w:p>
    <w:p>
      <w:pPr>
        <w:pStyle w:val="3"/>
        <w:ind w:left="0" w:leftChars="0" w:firstLine="0" w:firstLineChars="0"/>
        <w:rPr>
          <w:rFonts w:hint="eastAsia"/>
          <w:szCs w:val="24"/>
          <w:lang w:val="en-US" w:eastAsia="zh-CN"/>
        </w:rPr>
      </w:pPr>
    </w:p>
    <w:p>
      <w:pPr>
        <w:pStyle w:val="3"/>
        <w:ind w:left="0" w:leftChars="0" w:firstLine="0" w:firstLineChars="0"/>
        <w:rPr>
          <w:rFonts w:hint="eastAsia"/>
          <w:b/>
          <w:bCs/>
          <w:szCs w:val="24"/>
          <w:lang w:val="en-US" w:eastAsia="zh-CN"/>
        </w:rPr>
      </w:pPr>
      <w:r>
        <w:rPr>
          <w:rFonts w:hint="eastAsia"/>
          <w:b/>
          <w:bCs/>
          <w:szCs w:val="24"/>
          <w:lang w:val="en-US" w:eastAsia="zh-CN"/>
        </w:rPr>
        <w:t>1.3溶解性</w:t>
      </w:r>
    </w:p>
    <w:p>
      <w:pPr>
        <w:pStyle w:val="3"/>
        <w:ind w:left="0" w:leftChars="0" w:firstLine="482" w:firstLineChars="200"/>
        <w:rPr>
          <w:rFonts w:hint="eastAsia"/>
          <w:sz w:val="24"/>
        </w:rPr>
      </w:pPr>
      <w:r>
        <w:rPr>
          <w:rFonts w:hint="eastAsia" w:ascii="Times New Roman" w:eastAsia="宋体"/>
          <w:b/>
          <w:bCs/>
          <w:kern w:val="2"/>
          <w:sz w:val="24"/>
          <w:szCs w:val="24"/>
          <w:lang w:val="en-US" w:eastAsia="zh-CN"/>
        </w:rPr>
        <w:t>确定依据：</w:t>
      </w:r>
      <w:r>
        <w:rPr>
          <w:rFonts w:hint="eastAsia"/>
          <w:sz w:val="24"/>
        </w:rPr>
        <w:t>考虑到产品在去离子水中的溶解试验可作为鉴定产品性能的指标之一，故对产品的溶解试验的要求也作出了相应的规定。</w:t>
      </w:r>
    </w:p>
    <w:p>
      <w:pPr>
        <w:pStyle w:val="3"/>
        <w:ind w:left="0" w:leftChars="0" w:firstLine="0" w:firstLineChars="0"/>
        <w:rPr>
          <w:rFonts w:hint="eastAsia"/>
          <w:sz w:val="24"/>
          <w:lang w:val="en-US" w:eastAsia="zh-CN"/>
        </w:rPr>
      </w:pPr>
    </w:p>
    <w:p>
      <w:pPr>
        <w:pStyle w:val="3"/>
        <w:ind w:left="0" w:leftChars="0" w:firstLine="0" w:firstLineChars="0"/>
        <w:rPr>
          <w:rFonts w:hint="eastAsia"/>
          <w:sz w:val="24"/>
          <w:lang w:eastAsia="zh-CN"/>
        </w:rPr>
      </w:pPr>
      <w:r>
        <w:rPr>
          <w:rFonts w:hint="eastAsia"/>
          <w:sz w:val="24"/>
          <w:lang w:val="en-US" w:eastAsia="zh-CN"/>
        </w:rPr>
        <w:t>1</w:t>
      </w:r>
      <w:r>
        <w:rPr>
          <w:rFonts w:hint="eastAsia"/>
          <w:b/>
          <w:bCs/>
          <w:sz w:val="24"/>
          <w:lang w:val="en-US" w:eastAsia="zh-CN"/>
        </w:rPr>
        <w:t>.4规定了</w:t>
      </w:r>
      <w:r>
        <w:rPr>
          <w:rFonts w:hint="eastAsia"/>
          <w:b/>
          <w:bCs/>
          <w:sz w:val="24"/>
        </w:rPr>
        <w:t>铂质量分数以及杂质元素的质量分数的检测方法</w:t>
      </w:r>
      <w:r>
        <w:rPr>
          <w:rFonts w:hint="eastAsia"/>
          <w:b/>
          <w:bCs/>
          <w:sz w:val="24"/>
          <w:lang w:val="en-US" w:eastAsia="zh-CN"/>
        </w:rPr>
        <w:t>分别按</w:t>
      </w:r>
      <w:r>
        <w:rPr>
          <w:rFonts w:hint="eastAsia"/>
          <w:b/>
          <w:bCs/>
          <w:sz w:val="24"/>
        </w:rPr>
        <w:t>YS</w:t>
      </w:r>
      <w:r>
        <w:rPr>
          <w:b/>
          <w:bCs/>
          <w:sz w:val="24"/>
        </w:rPr>
        <w:t xml:space="preserve">/T </w:t>
      </w:r>
      <w:r>
        <w:rPr>
          <w:rFonts w:hint="eastAsia"/>
          <w:b/>
          <w:bCs/>
          <w:sz w:val="24"/>
        </w:rPr>
        <w:t>646.1和YS</w:t>
      </w:r>
      <w:r>
        <w:rPr>
          <w:b/>
          <w:bCs/>
          <w:sz w:val="24"/>
        </w:rPr>
        <w:t>/T</w:t>
      </w:r>
      <w:r>
        <w:rPr>
          <w:rFonts w:hint="eastAsia"/>
          <w:b/>
          <w:bCs/>
          <w:sz w:val="24"/>
        </w:rPr>
        <w:t xml:space="preserve"> 646.2的规定</w:t>
      </w:r>
      <w:r>
        <w:rPr>
          <w:rFonts w:hint="eastAsia"/>
          <w:b/>
          <w:bCs/>
          <w:sz w:val="24"/>
          <w:lang w:val="en-US" w:eastAsia="zh-CN"/>
        </w:rPr>
        <w:t>进行</w:t>
      </w:r>
      <w:r>
        <w:rPr>
          <w:rFonts w:hint="eastAsia"/>
          <w:sz w:val="24"/>
          <w:lang w:eastAsia="zh-CN"/>
        </w:rPr>
        <w:t>。</w:t>
      </w:r>
    </w:p>
    <w:p>
      <w:pPr>
        <w:autoSpaceDE w:val="0"/>
        <w:autoSpaceDN w:val="0"/>
        <w:adjustRightInd w:val="0"/>
        <w:spacing w:line="360" w:lineRule="auto"/>
        <w:ind w:firstLine="482" w:firstLineChars="200"/>
        <w:jc w:val="left"/>
        <w:rPr>
          <w:b/>
          <w:sz w:val="24"/>
        </w:rPr>
      </w:pPr>
      <w:r>
        <w:rPr>
          <w:rFonts w:hint="eastAsia"/>
          <w:b/>
          <w:bCs/>
          <w:sz w:val="24"/>
          <w:lang w:val="en-US" w:eastAsia="zh-CN"/>
        </w:rPr>
        <w:t>确定依据</w:t>
      </w:r>
      <w:r>
        <w:rPr>
          <w:rFonts w:hint="eastAsia"/>
          <w:sz w:val="24"/>
          <w:lang w:val="en-US" w:eastAsia="zh-CN"/>
        </w:rPr>
        <w:t>：</w:t>
      </w:r>
      <w:r>
        <w:rPr>
          <w:rFonts w:hint="eastAsia"/>
          <w:sz w:val="24"/>
        </w:rPr>
        <w:t>该</w:t>
      </w:r>
      <w:r>
        <w:rPr>
          <w:rFonts w:hint="eastAsia" w:ascii="宋体" w:hAnsi="宋体" w:cs="宋体"/>
          <w:color w:val="000000"/>
          <w:kern w:val="0"/>
          <w:sz w:val="24"/>
        </w:rPr>
        <w:t>检测技术安全可靠，更准确，操作简便，快捷高效，针对性更强，适用性高</w:t>
      </w:r>
      <w:r>
        <w:rPr>
          <w:rFonts w:hint="eastAsia"/>
          <w:sz w:val="24"/>
        </w:rPr>
        <w:t>。</w:t>
      </w:r>
    </w:p>
    <w:p>
      <w:pPr>
        <w:pStyle w:val="3"/>
        <w:ind w:left="0" w:leftChars="0" w:firstLine="0" w:firstLineChars="0"/>
        <w:rPr>
          <w:rFonts w:hint="eastAsia"/>
          <w:sz w:val="24"/>
          <w:lang w:val="en-US" w:eastAsia="zh-CN"/>
        </w:rPr>
      </w:pPr>
    </w:p>
    <w:p>
      <w:pPr>
        <w:pStyle w:val="3"/>
        <w:ind w:left="0" w:leftChars="0" w:firstLine="0" w:firstLineChars="0"/>
        <w:rPr>
          <w:rFonts w:hint="eastAsia" w:eastAsia="宋体"/>
          <w:sz w:val="24"/>
          <w:lang w:eastAsia="zh-CN"/>
        </w:rPr>
      </w:pPr>
      <w:r>
        <w:rPr>
          <w:rFonts w:hint="eastAsia"/>
          <w:b/>
          <w:bCs/>
          <w:sz w:val="24"/>
          <w:lang w:val="en-US" w:eastAsia="zh-CN"/>
        </w:rPr>
        <w:t>5规定了产品的外观为白色</w:t>
      </w:r>
      <w:r>
        <w:rPr>
          <w:rFonts w:hint="eastAsia"/>
          <w:b/>
          <w:bCs/>
          <w:sz w:val="24"/>
        </w:rPr>
        <w:t>晶体</w:t>
      </w:r>
      <w:r>
        <w:rPr>
          <w:rFonts w:hint="eastAsia"/>
          <w:b/>
          <w:bCs/>
          <w:sz w:val="24"/>
          <w:lang w:eastAsia="zh-CN"/>
        </w:rPr>
        <w:t>。</w:t>
      </w:r>
    </w:p>
    <w:p>
      <w:pPr>
        <w:pStyle w:val="3"/>
        <w:ind w:left="0" w:leftChars="0" w:firstLine="0" w:firstLineChars="0"/>
        <w:rPr>
          <w:rFonts w:hint="eastAsia"/>
          <w:sz w:val="24"/>
        </w:rPr>
      </w:pPr>
      <w:r>
        <w:rPr>
          <w:rFonts w:hint="eastAsia"/>
          <w:b/>
          <w:bCs/>
          <w:sz w:val="24"/>
          <w:lang w:val="en-US" w:eastAsia="zh-CN"/>
        </w:rPr>
        <w:t>确定依据</w:t>
      </w:r>
      <w:r>
        <w:rPr>
          <w:rFonts w:hint="eastAsia"/>
          <w:sz w:val="24"/>
          <w:lang w:val="en-US" w:eastAsia="zh-CN"/>
        </w:rPr>
        <w:t>：观察产品外观也是判断产品性能的重要手段，外观颜色不对也可判定产品不符合标准的要求</w:t>
      </w:r>
      <w:r>
        <w:rPr>
          <w:rFonts w:hint="eastAsia"/>
          <w:sz w:val="24"/>
        </w:rPr>
        <w:t>。</w:t>
      </w:r>
    </w:p>
    <w:p>
      <w:pPr>
        <w:pStyle w:val="3"/>
        <w:ind w:left="0" w:leftChars="0" w:firstLine="0" w:firstLineChars="0"/>
        <w:rPr>
          <w:rFonts w:hint="default"/>
          <w:sz w:val="24"/>
          <w:lang w:val="en-US" w:eastAsia="zh-CN"/>
        </w:rPr>
      </w:pPr>
      <w:bookmarkStart w:id="10" w:name="_GoBack"/>
      <w:bookmarkEnd w:id="10"/>
    </w:p>
    <w:bookmarkEnd w:id="4"/>
    <w:p>
      <w:pPr>
        <w:spacing w:line="360" w:lineRule="auto"/>
        <w:rPr>
          <w:rFonts w:ascii="宋体" w:hAnsi="宋体"/>
          <w:b/>
          <w:sz w:val="24"/>
        </w:rPr>
      </w:pPr>
      <w:bookmarkStart w:id="5" w:name="_Hlk97729905"/>
      <w:r>
        <w:rPr>
          <w:rFonts w:ascii="宋体" w:hAnsi="宋体"/>
          <w:b/>
          <w:sz w:val="24"/>
        </w:rPr>
        <w:t>2</w:t>
      </w:r>
      <w:r>
        <w:rPr>
          <w:rFonts w:hint="eastAsia" w:ascii="宋体" w:hAnsi="宋体"/>
          <w:b/>
          <w:sz w:val="24"/>
        </w:rPr>
        <w:t>.</w:t>
      </w:r>
      <w:r>
        <w:rPr>
          <w:rFonts w:hint="eastAsia"/>
          <w:b/>
          <w:sz w:val="24"/>
        </w:rPr>
        <w:t xml:space="preserve"> 标准主要试验和验证情况</w:t>
      </w:r>
    </w:p>
    <w:bookmarkEnd w:id="5"/>
    <w:p>
      <w:pPr>
        <w:spacing w:line="360" w:lineRule="auto"/>
        <w:ind w:firstLine="480" w:firstLineChars="200"/>
        <w:rPr>
          <w:sz w:val="24"/>
        </w:rPr>
      </w:pPr>
      <w:r>
        <w:rPr>
          <w:rFonts w:hint="eastAsia"/>
          <w:sz w:val="24"/>
        </w:rPr>
        <w:t>根据调研情况及样品检测，市场上不同生产厂家生产的磷酸氢根四氨合铂技术指标检测结果见表</w:t>
      </w:r>
      <w:r>
        <w:rPr>
          <w:rFonts w:hint="eastAsia"/>
          <w:sz w:val="24"/>
          <w:lang w:val="en-US" w:eastAsia="zh-CN"/>
        </w:rPr>
        <w:t>四</w:t>
      </w:r>
      <w:r>
        <w:rPr>
          <w:rFonts w:hint="eastAsia"/>
          <w:sz w:val="24"/>
        </w:rPr>
        <w:t>。</w:t>
      </w:r>
    </w:p>
    <w:p>
      <w:pPr>
        <w:pStyle w:val="12"/>
        <w:spacing w:line="360" w:lineRule="auto"/>
        <w:ind w:left="420" w:firstLine="2400" w:firstLineChars="1200"/>
        <w:rPr>
          <w:rFonts w:eastAsia="PMingLiU"/>
          <w:kern w:val="0"/>
          <w:sz w:val="20"/>
          <w:lang w:eastAsia="zh-TW"/>
        </w:rPr>
      </w:pPr>
      <w:r>
        <w:rPr>
          <w:rFonts w:hint="eastAsia" w:eastAsia="PMingLiU"/>
          <w:kern w:val="0"/>
          <w:sz w:val="20"/>
          <w:lang w:eastAsia="zh-TW"/>
        </w:rPr>
        <w:t>表</w:t>
      </w:r>
      <w:r>
        <w:rPr>
          <w:rFonts w:hint="eastAsia" w:asciiTheme="minorEastAsia" w:hAnsiTheme="minorEastAsia" w:eastAsiaTheme="minorEastAsia"/>
          <w:kern w:val="0"/>
          <w:sz w:val="20"/>
          <w:lang w:val="en-US" w:eastAsia="zh-CN"/>
        </w:rPr>
        <w:t>四</w:t>
      </w:r>
      <w:r>
        <w:rPr>
          <w:rFonts w:hint="eastAsia" w:eastAsia="PMingLiU"/>
          <w:kern w:val="0"/>
          <w:sz w:val="20"/>
          <w:lang w:eastAsia="zh-TW"/>
        </w:rPr>
        <w:t>不同生产厂家指标检验结果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2"/>
        <w:gridCol w:w="2348"/>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Merge w:val="restart"/>
            <w:vAlign w:val="center"/>
          </w:tcPr>
          <w:p>
            <w:pPr>
              <w:jc w:val="center"/>
              <w:rPr>
                <w:rFonts w:eastAsiaTheme="minorEastAsia"/>
                <w:kern w:val="0"/>
                <w:sz w:val="20"/>
              </w:rPr>
            </w:pPr>
          </w:p>
          <w:p>
            <w:pPr>
              <w:jc w:val="center"/>
              <w:rPr>
                <w:rFonts w:ascii="宋体" w:hAnsi="宋体"/>
                <w:color w:val="000000"/>
                <w:kern w:val="0"/>
                <w:sz w:val="24"/>
              </w:rPr>
            </w:pPr>
            <w:r>
              <w:rPr>
                <w:rFonts w:hint="eastAsia" w:eastAsia="PMingLiU"/>
                <w:kern w:val="0"/>
                <w:sz w:val="20"/>
                <w:lang w:eastAsia="zh-TW"/>
              </w:rPr>
              <w:t>指标项目</w:t>
            </w:r>
          </w:p>
        </w:tc>
        <w:tc>
          <w:tcPr>
            <w:tcW w:w="7168" w:type="dxa"/>
            <w:gridSpan w:val="3"/>
            <w:vAlign w:val="center"/>
          </w:tcPr>
          <w:p>
            <w:pPr>
              <w:spacing w:line="360" w:lineRule="auto"/>
              <w:jc w:val="center"/>
              <w:rPr>
                <w:rFonts w:ascii="宋体" w:hAnsi="宋体" w:eastAsiaTheme="minorEastAsia"/>
                <w:color w:val="000000"/>
                <w:kern w:val="0"/>
                <w:sz w:val="24"/>
              </w:rPr>
            </w:pPr>
            <w:r>
              <w:rPr>
                <w:rFonts w:hint="eastAsia" w:asciiTheme="minorEastAsia" w:hAnsiTheme="minorEastAsia" w:eastAsiaTheme="minorEastAsia"/>
                <w:kern w:val="0"/>
                <w:sz w:val="20"/>
              </w:rPr>
              <w:t>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Merge w:val="continue"/>
            <w:vAlign w:val="center"/>
          </w:tcPr>
          <w:p>
            <w:pPr>
              <w:jc w:val="center"/>
              <w:rPr>
                <w:rFonts w:eastAsia="PMingLiU"/>
                <w:kern w:val="0"/>
                <w:sz w:val="20"/>
                <w:lang w:eastAsia="zh-TW"/>
              </w:rPr>
            </w:pPr>
          </w:p>
        </w:tc>
        <w:tc>
          <w:tcPr>
            <w:tcW w:w="2348" w:type="dxa"/>
            <w:vAlign w:val="center"/>
          </w:tcPr>
          <w:p>
            <w:pPr>
              <w:jc w:val="center"/>
              <w:rPr>
                <w:kern w:val="0"/>
                <w:sz w:val="20"/>
              </w:rPr>
            </w:pPr>
            <w:r>
              <w:rPr>
                <w:rFonts w:hint="eastAsia" w:asciiTheme="minorEastAsia" w:hAnsiTheme="minorEastAsia" w:eastAsiaTheme="minorEastAsia"/>
                <w:kern w:val="0"/>
                <w:sz w:val="20"/>
              </w:rPr>
              <w:t>A厂家</w:t>
            </w:r>
          </w:p>
        </w:tc>
        <w:tc>
          <w:tcPr>
            <w:tcW w:w="2552" w:type="dxa"/>
            <w:vAlign w:val="center"/>
          </w:tcPr>
          <w:p>
            <w:pPr>
              <w:jc w:val="center"/>
              <w:rPr>
                <w:kern w:val="0"/>
                <w:sz w:val="20"/>
              </w:rPr>
            </w:pPr>
            <w:r>
              <w:rPr>
                <w:rFonts w:hint="eastAsia" w:asciiTheme="minorEastAsia" w:hAnsiTheme="minorEastAsia" w:eastAsiaTheme="minorEastAsia"/>
                <w:kern w:val="0"/>
                <w:sz w:val="20"/>
              </w:rPr>
              <w:t>B厂家</w:t>
            </w:r>
          </w:p>
        </w:tc>
        <w:tc>
          <w:tcPr>
            <w:tcW w:w="2268" w:type="dxa"/>
            <w:vAlign w:val="center"/>
          </w:tcPr>
          <w:p>
            <w:pPr>
              <w:spacing w:line="360" w:lineRule="auto"/>
              <w:jc w:val="center"/>
              <w:rPr>
                <w:rFonts w:asciiTheme="minorEastAsia" w:hAnsiTheme="minorEastAsia" w:eastAsiaTheme="minorEastAsia"/>
                <w:kern w:val="0"/>
                <w:sz w:val="20"/>
              </w:rPr>
            </w:pPr>
            <w:r>
              <w:rPr>
                <w:rFonts w:hint="eastAsia" w:asciiTheme="minorEastAsia" w:hAnsiTheme="minorEastAsia" w:eastAsiaTheme="minorEastAsia"/>
                <w:kern w:val="0"/>
                <w:sz w:val="20"/>
              </w:rPr>
              <w:t>C厂家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Pt</w:t>
            </w:r>
          </w:p>
        </w:tc>
        <w:tc>
          <w:tcPr>
            <w:tcW w:w="2348" w:type="dxa"/>
            <w:vAlign w:val="center"/>
          </w:tcPr>
          <w:p>
            <w:pPr>
              <w:jc w:val="center"/>
              <w:rPr>
                <w:color w:val="000000"/>
                <w:kern w:val="0"/>
                <w:sz w:val="18"/>
                <w:szCs w:val="18"/>
              </w:rPr>
            </w:pPr>
            <w:r>
              <w:rPr>
                <w:rFonts w:hint="eastAsia"/>
                <w:color w:val="000000"/>
                <w:kern w:val="0"/>
                <w:sz w:val="18"/>
                <w:szCs w:val="18"/>
              </w:rPr>
              <w:t>5</w:t>
            </w:r>
            <w:r>
              <w:rPr>
                <w:color w:val="000000"/>
                <w:kern w:val="0"/>
                <w:sz w:val="18"/>
                <w:szCs w:val="18"/>
              </w:rPr>
              <w:t>4</w:t>
            </w:r>
            <w:r>
              <w:rPr>
                <w:rFonts w:hint="eastAsia"/>
                <w:color w:val="000000"/>
                <w:kern w:val="0"/>
                <w:sz w:val="18"/>
                <w:szCs w:val="18"/>
              </w:rPr>
              <w:t>．35%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5</w:t>
            </w:r>
            <w:r>
              <w:rPr>
                <w:color w:val="000000"/>
                <w:kern w:val="0"/>
                <w:sz w:val="18"/>
                <w:szCs w:val="18"/>
              </w:rPr>
              <w:t>3.95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5</w:t>
            </w:r>
            <w:r>
              <w:rPr>
                <w:color w:val="000000"/>
                <w:kern w:val="0"/>
                <w:sz w:val="18"/>
                <w:szCs w:val="18"/>
              </w:rPr>
              <w:t>4</w:t>
            </w:r>
            <w:r>
              <w:rPr>
                <w:rFonts w:hint="eastAsia"/>
                <w:color w:val="000000"/>
                <w:kern w:val="0"/>
                <w:sz w:val="18"/>
                <w:szCs w:val="18"/>
              </w:rPr>
              <w:t>.10%</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Ag</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Au</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Pd</w:t>
            </w:r>
          </w:p>
        </w:tc>
        <w:tc>
          <w:tcPr>
            <w:tcW w:w="2348" w:type="dxa"/>
            <w:vAlign w:val="center"/>
          </w:tcPr>
          <w:p>
            <w:pPr>
              <w:jc w:val="center"/>
              <w:rPr>
                <w:color w:val="000000"/>
                <w:kern w:val="0"/>
                <w:sz w:val="18"/>
                <w:szCs w:val="18"/>
              </w:rPr>
            </w:pPr>
            <w:r>
              <w:rPr>
                <w:rFonts w:hint="eastAsia"/>
                <w:color w:val="000000"/>
                <w:kern w:val="0"/>
                <w:sz w:val="18"/>
                <w:szCs w:val="18"/>
              </w:rPr>
              <w:t>0.001%</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Rh</w:t>
            </w:r>
          </w:p>
        </w:tc>
        <w:tc>
          <w:tcPr>
            <w:tcW w:w="2348" w:type="dxa"/>
            <w:vAlign w:val="center"/>
          </w:tcPr>
          <w:p>
            <w:pPr>
              <w:jc w:val="center"/>
              <w:rPr>
                <w:color w:val="000000"/>
                <w:kern w:val="0"/>
                <w:sz w:val="18"/>
                <w:szCs w:val="18"/>
              </w:rPr>
            </w:pPr>
            <w:r>
              <w:rPr>
                <w:rFonts w:hint="eastAsia"/>
                <w:color w:val="000000"/>
                <w:kern w:val="0"/>
                <w:sz w:val="18"/>
                <w:szCs w:val="18"/>
              </w:rPr>
              <w:t>0.0013%</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Ir</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0.0015%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Pb</w:t>
            </w:r>
          </w:p>
        </w:tc>
        <w:tc>
          <w:tcPr>
            <w:tcW w:w="2348" w:type="dxa"/>
            <w:vAlign w:val="center"/>
          </w:tcPr>
          <w:p>
            <w:pPr>
              <w:jc w:val="center"/>
              <w:rPr>
                <w:color w:val="000000"/>
                <w:kern w:val="0"/>
                <w:sz w:val="18"/>
                <w:szCs w:val="18"/>
              </w:rPr>
            </w:pPr>
            <w:r>
              <w:rPr>
                <w:rFonts w:hint="eastAsia"/>
                <w:color w:val="000000"/>
                <w:kern w:val="0"/>
                <w:sz w:val="18"/>
                <w:szCs w:val="18"/>
              </w:rPr>
              <w:t xml:space="preserve">&lt;0.0005%    </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06</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Ni</w:t>
            </w:r>
          </w:p>
        </w:tc>
        <w:tc>
          <w:tcPr>
            <w:tcW w:w="2348" w:type="dxa"/>
            <w:vAlign w:val="center"/>
          </w:tcPr>
          <w:p>
            <w:pPr>
              <w:jc w:val="center"/>
              <w:rPr>
                <w:color w:val="000000"/>
                <w:kern w:val="0"/>
                <w:sz w:val="18"/>
                <w:szCs w:val="18"/>
              </w:rPr>
            </w:pPr>
            <w:r>
              <w:rPr>
                <w:rFonts w:hint="eastAsia"/>
                <w:color w:val="000000"/>
                <w:kern w:val="0"/>
                <w:sz w:val="18"/>
                <w:szCs w:val="18"/>
              </w:rPr>
              <w:t xml:space="preserve">&lt;0.0005%    </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05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Cu</w:t>
            </w:r>
          </w:p>
        </w:tc>
        <w:tc>
          <w:tcPr>
            <w:tcW w:w="2348" w:type="dxa"/>
            <w:vAlign w:val="center"/>
          </w:tcPr>
          <w:p>
            <w:pPr>
              <w:jc w:val="center"/>
              <w:rPr>
                <w:color w:val="000000"/>
                <w:kern w:val="0"/>
                <w:sz w:val="18"/>
                <w:szCs w:val="18"/>
              </w:rPr>
            </w:pPr>
            <w:r>
              <w:rPr>
                <w:rFonts w:hint="eastAsia"/>
                <w:color w:val="000000"/>
                <w:kern w:val="0"/>
                <w:sz w:val="18"/>
                <w:szCs w:val="18"/>
              </w:rPr>
              <w:t xml:space="preserve">&lt;0.0005%    </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Fe</w:t>
            </w:r>
          </w:p>
        </w:tc>
        <w:tc>
          <w:tcPr>
            <w:tcW w:w="2348" w:type="dxa"/>
            <w:vAlign w:val="center"/>
          </w:tcPr>
          <w:p>
            <w:pPr>
              <w:jc w:val="center"/>
              <w:rPr>
                <w:color w:val="000000"/>
                <w:kern w:val="0"/>
                <w:sz w:val="18"/>
                <w:szCs w:val="18"/>
              </w:rPr>
            </w:pPr>
            <w:r>
              <w:rPr>
                <w:rFonts w:hint="eastAsia"/>
                <w:color w:val="000000"/>
                <w:kern w:val="0"/>
                <w:sz w:val="18"/>
                <w:szCs w:val="18"/>
              </w:rPr>
              <w:t>0.001</w:t>
            </w:r>
            <w:r>
              <w:rPr>
                <w:color w:val="000000"/>
                <w:kern w:val="0"/>
                <w:sz w:val="18"/>
                <w:szCs w:val="18"/>
              </w:rPr>
              <w:t>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0.0014%</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Al</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&lt;0.00</w:t>
            </w:r>
            <w:r>
              <w:rPr>
                <w:color w:val="000000"/>
                <w:kern w:val="0"/>
                <w:sz w:val="18"/>
                <w:szCs w:val="18"/>
              </w:rPr>
              <w:t>05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Cr</w:t>
            </w:r>
          </w:p>
        </w:tc>
        <w:tc>
          <w:tcPr>
            <w:tcW w:w="2348" w:type="dxa"/>
            <w:vAlign w:val="center"/>
          </w:tcPr>
          <w:p>
            <w:pPr>
              <w:jc w:val="center"/>
              <w:rPr>
                <w:color w:val="000000"/>
                <w:kern w:val="0"/>
                <w:sz w:val="18"/>
                <w:szCs w:val="18"/>
              </w:rPr>
            </w:pPr>
            <w:r>
              <w:rPr>
                <w:rFonts w:hint="eastAsia"/>
                <w:color w:val="000000"/>
                <w:kern w:val="0"/>
                <w:sz w:val="18"/>
                <w:szCs w:val="18"/>
              </w:rPr>
              <w:t>&lt;0.0005%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05%</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&lt;0.0</w:t>
            </w:r>
            <w:r>
              <w:rPr>
                <w:color w:val="000000"/>
                <w:kern w:val="0"/>
                <w:sz w:val="18"/>
                <w:szCs w:val="18"/>
              </w:rPr>
              <w:t>0</w:t>
            </w:r>
            <w:r>
              <w:rPr>
                <w:rFonts w:hint="eastAsia"/>
                <w:color w:val="000000"/>
                <w:kern w:val="0"/>
                <w:sz w:val="18"/>
                <w:szCs w:val="18"/>
              </w:rPr>
              <w:t>05%</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Na</w:t>
            </w:r>
          </w:p>
        </w:tc>
        <w:tc>
          <w:tcPr>
            <w:tcW w:w="2348" w:type="dxa"/>
            <w:vAlign w:val="center"/>
          </w:tcPr>
          <w:p>
            <w:pPr>
              <w:jc w:val="center"/>
              <w:rPr>
                <w:color w:val="000000"/>
                <w:kern w:val="0"/>
                <w:sz w:val="18"/>
                <w:szCs w:val="18"/>
              </w:rPr>
            </w:pPr>
            <w:r>
              <w:rPr>
                <w:rFonts w:hint="eastAsia"/>
                <w:color w:val="000000"/>
                <w:kern w:val="0"/>
                <w:sz w:val="18"/>
                <w:szCs w:val="18"/>
              </w:rPr>
              <w:t>0.035%</w:t>
            </w:r>
          </w:p>
          <w:p>
            <w:pPr>
              <w:jc w:val="center"/>
              <w:rPr>
                <w:color w:val="000000"/>
                <w:kern w:val="0"/>
                <w:sz w:val="18"/>
                <w:szCs w:val="18"/>
              </w:rPr>
            </w:pPr>
            <w:r>
              <w:rPr>
                <w:rFonts w:hint="eastAsia"/>
                <w:color w:val="000000"/>
                <w:kern w:val="0"/>
                <w:sz w:val="18"/>
                <w:szCs w:val="18"/>
              </w:rPr>
              <w:t>Wt%</w:t>
            </w:r>
          </w:p>
        </w:tc>
        <w:tc>
          <w:tcPr>
            <w:tcW w:w="2552" w:type="dxa"/>
            <w:vAlign w:val="center"/>
          </w:tcPr>
          <w:p>
            <w:pPr>
              <w:jc w:val="center"/>
              <w:rPr>
                <w:color w:val="000000"/>
                <w:kern w:val="0"/>
                <w:sz w:val="18"/>
                <w:szCs w:val="18"/>
              </w:rPr>
            </w:pPr>
            <w:r>
              <w:rPr>
                <w:rFonts w:hint="eastAsia"/>
                <w:color w:val="000000"/>
                <w:kern w:val="0"/>
                <w:sz w:val="18"/>
                <w:szCs w:val="18"/>
              </w:rPr>
              <w:t>0.029%</w:t>
            </w:r>
          </w:p>
          <w:p>
            <w:pPr>
              <w:jc w:val="center"/>
              <w:rPr>
                <w:color w:val="000000"/>
                <w:kern w:val="0"/>
                <w:sz w:val="18"/>
                <w:szCs w:val="18"/>
              </w:rPr>
            </w:pPr>
            <w:r>
              <w:rPr>
                <w:rFonts w:hint="eastAsia"/>
                <w:color w:val="000000"/>
                <w:kern w:val="0"/>
                <w:sz w:val="18"/>
                <w:szCs w:val="18"/>
              </w:rPr>
              <w:t>Wt%</w:t>
            </w:r>
          </w:p>
        </w:tc>
        <w:tc>
          <w:tcPr>
            <w:tcW w:w="2268" w:type="dxa"/>
            <w:vAlign w:val="center"/>
          </w:tcPr>
          <w:p>
            <w:pPr>
              <w:jc w:val="center"/>
              <w:rPr>
                <w:color w:val="000000"/>
                <w:kern w:val="0"/>
                <w:sz w:val="18"/>
                <w:szCs w:val="18"/>
              </w:rPr>
            </w:pPr>
            <w:r>
              <w:rPr>
                <w:rFonts w:hint="eastAsia"/>
                <w:color w:val="000000"/>
                <w:kern w:val="0"/>
                <w:sz w:val="18"/>
                <w:szCs w:val="18"/>
              </w:rPr>
              <w:t>0.04</w:t>
            </w:r>
            <w:r>
              <w:rPr>
                <w:color w:val="000000"/>
                <w:kern w:val="0"/>
                <w:sz w:val="18"/>
                <w:szCs w:val="18"/>
              </w:rPr>
              <w:t>5</w:t>
            </w:r>
            <w:r>
              <w:rPr>
                <w:rFonts w:hint="eastAsia"/>
                <w:color w:val="000000"/>
                <w:kern w:val="0"/>
                <w:sz w:val="18"/>
                <w:szCs w:val="18"/>
              </w:rPr>
              <w:t>%</w:t>
            </w:r>
          </w:p>
          <w:p>
            <w:pPr>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K</w:t>
            </w:r>
          </w:p>
        </w:tc>
        <w:tc>
          <w:tcPr>
            <w:tcW w:w="2348" w:type="dxa"/>
            <w:vAlign w:val="center"/>
          </w:tcPr>
          <w:p>
            <w:pPr>
              <w:jc w:val="center"/>
              <w:rPr>
                <w:color w:val="000000"/>
                <w:kern w:val="0"/>
                <w:sz w:val="18"/>
                <w:szCs w:val="18"/>
              </w:rPr>
            </w:pPr>
            <w:r>
              <w:rPr>
                <w:rFonts w:hint="eastAsia"/>
                <w:color w:val="000000"/>
                <w:kern w:val="0"/>
                <w:sz w:val="18"/>
                <w:szCs w:val="18"/>
              </w:rPr>
              <w:t>0.025%</w:t>
            </w:r>
          </w:p>
          <w:p>
            <w:pPr>
              <w:jc w:val="center"/>
              <w:rPr>
                <w:color w:val="000000"/>
                <w:kern w:val="0"/>
                <w:sz w:val="18"/>
                <w:szCs w:val="18"/>
              </w:rPr>
            </w:pPr>
            <w:r>
              <w:rPr>
                <w:rFonts w:hint="eastAsia"/>
                <w:color w:val="000000"/>
                <w:kern w:val="0"/>
                <w:sz w:val="18"/>
                <w:szCs w:val="18"/>
              </w:rPr>
              <w:t>Wt%</w:t>
            </w:r>
          </w:p>
        </w:tc>
        <w:tc>
          <w:tcPr>
            <w:tcW w:w="2552" w:type="dxa"/>
            <w:vAlign w:val="center"/>
          </w:tcPr>
          <w:p>
            <w:pPr>
              <w:tabs>
                <w:tab w:val="left" w:pos="465"/>
                <w:tab w:val="center" w:pos="882"/>
              </w:tabs>
              <w:jc w:val="center"/>
              <w:rPr>
                <w:color w:val="000000"/>
                <w:kern w:val="0"/>
                <w:sz w:val="18"/>
                <w:szCs w:val="18"/>
              </w:rPr>
            </w:pPr>
            <w:r>
              <w:rPr>
                <w:rFonts w:hint="eastAsia"/>
                <w:color w:val="000000"/>
                <w:kern w:val="0"/>
                <w:sz w:val="18"/>
                <w:szCs w:val="18"/>
              </w:rPr>
              <w:t>0.045%</w:t>
            </w:r>
          </w:p>
          <w:p>
            <w:pPr>
              <w:tabs>
                <w:tab w:val="left" w:pos="465"/>
                <w:tab w:val="center" w:pos="882"/>
              </w:tabs>
              <w:jc w:val="center"/>
              <w:rPr>
                <w:color w:val="000000"/>
                <w:kern w:val="0"/>
                <w:sz w:val="18"/>
                <w:szCs w:val="18"/>
              </w:rPr>
            </w:pPr>
            <w:r>
              <w:rPr>
                <w:rFonts w:hint="eastAsia"/>
                <w:color w:val="000000"/>
                <w:kern w:val="0"/>
                <w:sz w:val="18"/>
                <w:szCs w:val="18"/>
              </w:rPr>
              <w:t>Wt%</w:t>
            </w:r>
          </w:p>
        </w:tc>
        <w:tc>
          <w:tcPr>
            <w:tcW w:w="2268" w:type="dxa"/>
            <w:vAlign w:val="center"/>
          </w:tcPr>
          <w:p>
            <w:pPr>
              <w:tabs>
                <w:tab w:val="left" w:pos="465"/>
                <w:tab w:val="center" w:pos="882"/>
              </w:tabs>
              <w:jc w:val="center"/>
              <w:rPr>
                <w:color w:val="000000"/>
                <w:kern w:val="0"/>
                <w:sz w:val="18"/>
                <w:szCs w:val="18"/>
              </w:rPr>
            </w:pPr>
            <w:r>
              <w:rPr>
                <w:rFonts w:hint="eastAsia"/>
                <w:color w:val="000000"/>
                <w:kern w:val="0"/>
                <w:sz w:val="18"/>
                <w:szCs w:val="18"/>
              </w:rPr>
              <w:t>0.031%</w:t>
            </w:r>
          </w:p>
          <w:p>
            <w:pPr>
              <w:tabs>
                <w:tab w:val="left" w:pos="465"/>
                <w:tab w:val="center" w:pos="882"/>
              </w:tabs>
              <w:jc w:val="center"/>
              <w:rPr>
                <w:color w:val="000000"/>
                <w:kern w:val="0"/>
                <w:sz w:val="18"/>
                <w:szCs w:val="18"/>
              </w:rPr>
            </w:pPr>
            <w:r>
              <w:rPr>
                <w:rFonts w:hint="eastAsia"/>
                <w:color w:val="000000"/>
                <w:kern w:val="0"/>
                <w:sz w:val="18"/>
                <w:szCs w:val="18"/>
              </w:rPr>
              <w:t>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外观</w:t>
            </w:r>
          </w:p>
        </w:tc>
        <w:tc>
          <w:tcPr>
            <w:tcW w:w="2348" w:type="dxa"/>
            <w:vAlign w:val="center"/>
          </w:tcPr>
          <w:p>
            <w:pPr>
              <w:jc w:val="center"/>
              <w:rPr>
                <w:color w:val="000000"/>
                <w:kern w:val="0"/>
                <w:sz w:val="18"/>
                <w:szCs w:val="18"/>
              </w:rPr>
            </w:pPr>
            <w:r>
              <w:rPr>
                <w:rFonts w:hint="eastAsia" w:hAnsi="宋体"/>
                <w:kern w:val="0"/>
                <w:sz w:val="18"/>
                <w:szCs w:val="18"/>
              </w:rPr>
              <w:t>白色粉末</w:t>
            </w:r>
          </w:p>
        </w:tc>
        <w:tc>
          <w:tcPr>
            <w:tcW w:w="2552" w:type="dxa"/>
          </w:tcPr>
          <w:p>
            <w:pPr>
              <w:jc w:val="center"/>
              <w:rPr>
                <w:kern w:val="0"/>
                <w:sz w:val="20"/>
              </w:rPr>
            </w:pPr>
            <w:r>
              <w:rPr>
                <w:rFonts w:hint="eastAsia" w:hAnsi="宋体"/>
                <w:kern w:val="0"/>
                <w:sz w:val="18"/>
                <w:szCs w:val="18"/>
              </w:rPr>
              <w:t>白色粉末</w:t>
            </w:r>
          </w:p>
        </w:tc>
        <w:tc>
          <w:tcPr>
            <w:tcW w:w="2268" w:type="dxa"/>
          </w:tcPr>
          <w:p>
            <w:pPr>
              <w:jc w:val="center"/>
              <w:rPr>
                <w:kern w:val="0"/>
                <w:sz w:val="20"/>
              </w:rPr>
            </w:pPr>
            <w:r>
              <w:rPr>
                <w:rFonts w:hint="eastAsia" w:hAnsi="宋体"/>
                <w:kern w:val="0"/>
                <w:sz w:val="18"/>
                <w:szCs w:val="18"/>
              </w:rPr>
              <w:t>白色粉末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2" w:type="dxa"/>
            <w:vAlign w:val="center"/>
          </w:tcPr>
          <w:p>
            <w:pPr>
              <w:jc w:val="center"/>
              <w:rPr>
                <w:kern w:val="0"/>
                <w:sz w:val="18"/>
                <w:szCs w:val="18"/>
              </w:rPr>
            </w:pPr>
            <w:r>
              <w:rPr>
                <w:rFonts w:hint="eastAsia"/>
                <w:kern w:val="0"/>
                <w:sz w:val="18"/>
                <w:szCs w:val="18"/>
              </w:rPr>
              <w:t>水溶解性</w:t>
            </w:r>
          </w:p>
        </w:tc>
        <w:tc>
          <w:tcPr>
            <w:tcW w:w="2348" w:type="dxa"/>
            <w:vAlign w:val="center"/>
          </w:tcPr>
          <w:p>
            <w:pPr>
              <w:jc w:val="center"/>
              <w:rPr>
                <w:kern w:val="0"/>
                <w:sz w:val="20"/>
              </w:rPr>
            </w:pPr>
            <w:r>
              <w:rPr>
                <w:rFonts w:hint="eastAsia" w:hAnsi="宋体"/>
                <w:kern w:val="0"/>
                <w:sz w:val="20"/>
                <w:szCs w:val="21"/>
              </w:rPr>
              <w:t>澄清透亮</w:t>
            </w:r>
          </w:p>
        </w:tc>
        <w:tc>
          <w:tcPr>
            <w:tcW w:w="2552" w:type="dxa"/>
            <w:vAlign w:val="center"/>
          </w:tcPr>
          <w:p>
            <w:pPr>
              <w:jc w:val="center"/>
              <w:rPr>
                <w:kern w:val="0"/>
                <w:sz w:val="20"/>
              </w:rPr>
            </w:pPr>
            <w:r>
              <w:rPr>
                <w:rFonts w:hint="eastAsia" w:hAnsi="宋体"/>
                <w:kern w:val="0"/>
                <w:sz w:val="20"/>
                <w:szCs w:val="21"/>
              </w:rPr>
              <w:t>澄清透亮</w:t>
            </w:r>
          </w:p>
        </w:tc>
        <w:tc>
          <w:tcPr>
            <w:tcW w:w="2268" w:type="dxa"/>
            <w:vAlign w:val="center"/>
          </w:tcPr>
          <w:p>
            <w:pPr>
              <w:jc w:val="center"/>
              <w:rPr>
                <w:kern w:val="0"/>
                <w:sz w:val="20"/>
              </w:rPr>
            </w:pPr>
            <w:r>
              <w:rPr>
                <w:rFonts w:hint="eastAsia" w:hAnsi="宋体"/>
                <w:kern w:val="0"/>
                <w:sz w:val="20"/>
                <w:szCs w:val="21"/>
              </w:rPr>
              <w:t>澄清透亮</w:t>
            </w:r>
          </w:p>
        </w:tc>
      </w:tr>
    </w:tbl>
    <w:p>
      <w:pPr>
        <w:spacing w:line="360" w:lineRule="auto"/>
        <w:rPr>
          <w:rFonts w:ascii="宋体" w:hAnsi="宋体"/>
          <w:color w:val="FF0000"/>
          <w:sz w:val="24"/>
        </w:rPr>
      </w:pPr>
      <w:r>
        <w:rPr>
          <w:rFonts w:hint="eastAsia"/>
          <w:b/>
          <w:sz w:val="24"/>
        </w:rPr>
        <w:t>四、标准中涉及专利的情况</w:t>
      </w:r>
    </w:p>
    <w:p>
      <w:pPr>
        <w:ind w:firstLine="480" w:firstLineChars="200"/>
        <w:rPr>
          <w:sz w:val="24"/>
        </w:rPr>
      </w:pPr>
      <w:r>
        <w:rPr>
          <w:rFonts w:hint="eastAsia"/>
          <w:sz w:val="24"/>
        </w:rPr>
        <w:t>本标准不涉及专利问题。</w:t>
      </w:r>
    </w:p>
    <w:p>
      <w:pPr>
        <w:ind w:firstLine="480" w:firstLineChars="200"/>
        <w:rPr>
          <w:sz w:val="24"/>
        </w:rPr>
      </w:pPr>
    </w:p>
    <w:p>
      <w:pPr>
        <w:spacing w:line="360" w:lineRule="auto"/>
        <w:rPr>
          <w:rFonts w:ascii="宋体" w:hAnsi="宋体"/>
          <w:color w:val="FF0000"/>
          <w:sz w:val="24"/>
        </w:rPr>
      </w:pPr>
      <w:r>
        <w:rPr>
          <w:rFonts w:hint="eastAsia"/>
          <w:b/>
          <w:sz w:val="24"/>
        </w:rPr>
        <w:t>五、预期达到的社会效益等情况</w:t>
      </w:r>
    </w:p>
    <w:p>
      <w:pPr>
        <w:rPr>
          <w:b/>
          <w:sz w:val="24"/>
        </w:rPr>
      </w:pPr>
      <w:r>
        <w:rPr>
          <w:rFonts w:hint="eastAsia"/>
          <w:b/>
          <w:sz w:val="24"/>
        </w:rPr>
        <w:t>5.1 项目的必要性简述</w:t>
      </w:r>
    </w:p>
    <w:p>
      <w:pPr>
        <w:widowControl/>
        <w:spacing w:line="360" w:lineRule="auto"/>
        <w:ind w:firstLine="480" w:firstLineChars="200"/>
        <w:jc w:val="left"/>
        <w:textAlignment w:val="baseline"/>
        <w:rPr>
          <w:sz w:val="24"/>
        </w:rPr>
      </w:pPr>
      <w:r>
        <w:rPr>
          <w:rFonts w:hint="eastAsia"/>
          <w:sz w:val="24"/>
        </w:rPr>
        <w:t>磷酸氢根四氨合铂主要应用在石油化工及汽车尾气处理用载体催化剂制备行业以及高端镀铂行业。国内主要生产厂家如外资企业如庄信万丰、贺利氏等企业技术实力雄厚、产品品质高、管理规范。而国内中小企业相对技术水平较低、小规模化生产、品质较低。为了抢占国际国内竞争制高点、提高国内厂家市场占有率，提高国内相关产品生产厂家的竞争力，有必要制定统一的磷</w:t>
      </w:r>
      <w:bookmarkStart w:id="6" w:name="_Hlk139282131"/>
      <w:r>
        <w:rPr>
          <w:rFonts w:hint="eastAsia"/>
          <w:sz w:val="24"/>
        </w:rPr>
        <w:t>酸氢根四氨合铂</w:t>
      </w:r>
      <w:bookmarkEnd w:id="6"/>
      <w:r>
        <w:rPr>
          <w:rFonts w:hint="eastAsia"/>
          <w:sz w:val="24"/>
        </w:rPr>
        <w:t>产品的技术标准，用以规范生产以提高品质与扩大产能，促进生产企业及下游应用行业的发展壮大，适应国家尖端技术发展战略要求与石化及</w:t>
      </w:r>
      <w:bookmarkStart w:id="7" w:name="_Hlk139282171"/>
      <w:r>
        <w:rPr>
          <w:rFonts w:hint="eastAsia"/>
          <w:sz w:val="24"/>
        </w:rPr>
        <w:t>汽车尾气行业、电镀铂行业</w:t>
      </w:r>
      <w:bookmarkEnd w:id="7"/>
      <w:r>
        <w:rPr>
          <w:rFonts w:hint="eastAsia"/>
          <w:sz w:val="24"/>
        </w:rPr>
        <w:t>环保新要求，同时标准的制定也为解决应用领域中的质量纠纷提供仲裁标准，促进相关行业可持续和谐发展。</w:t>
      </w:r>
    </w:p>
    <w:p>
      <w:pPr>
        <w:spacing w:line="360" w:lineRule="auto"/>
        <w:ind w:firstLine="480" w:firstLineChars="200"/>
        <w:rPr>
          <w:rFonts w:hint="eastAsia"/>
          <w:sz w:val="24"/>
        </w:rPr>
      </w:pPr>
      <w:r>
        <w:rPr>
          <w:rFonts w:hint="eastAsia"/>
          <w:sz w:val="24"/>
        </w:rPr>
        <w:t>现阶段磷酸氢根四氨合铂的下游应用已且取得良好效果，市场需求量不断增加，磷酸氢根四氨合铂行业标准所涉及的性能指标、试验方法等关键技术内容的确定，将有利于促进磷酸氢根四氨合铂生产企业对工艺装备、技术水平、试验检测及质量管理等方面的升级发展，有利于减少企业用于产品开发、性能表征技术的研发投入和重复劳动，降低产品应用开发成本，拓展其应用领域，促进企业提高质量效益。同时，标准的制定也将促进下游应用行业的发展，增强我国在高精尖技术如航空航天、半导体电子元器件中的高端镀铂行业中的竞争力。</w:t>
      </w:r>
    </w:p>
    <w:p>
      <w:pPr>
        <w:autoSpaceDE w:val="0"/>
        <w:autoSpaceDN w:val="0"/>
        <w:adjustRightInd w:val="0"/>
        <w:spacing w:line="360" w:lineRule="auto"/>
        <w:ind w:firstLine="480" w:firstLineChars="200"/>
        <w:jc w:val="left"/>
        <w:rPr>
          <w:rFonts w:hint="eastAsia"/>
          <w:sz w:val="24"/>
        </w:rPr>
      </w:pPr>
      <w:r>
        <w:rPr>
          <w:rFonts w:hint="eastAsia"/>
          <w:sz w:val="24"/>
        </w:rPr>
        <w:t>本标准制定的各项指标合理，规范产品技术要求满足用户需求，符合生产实际情况，通过本标准的进一步实施，会促进酸氢根四氨合铂在载体催化剂行业、汽车尾气行业、电镀铂行业中应用的推广和水平的提升，引导促进行业市场的良好蓬勃发展。</w:t>
      </w:r>
    </w:p>
    <w:p>
      <w:pPr>
        <w:spacing w:line="360" w:lineRule="auto"/>
        <w:ind w:firstLine="480" w:firstLineChars="200"/>
        <w:rPr>
          <w:sz w:val="24"/>
        </w:rPr>
      </w:pPr>
    </w:p>
    <w:p>
      <w:pPr>
        <w:rPr>
          <w:b/>
          <w:sz w:val="24"/>
        </w:rPr>
      </w:pPr>
      <w:r>
        <w:rPr>
          <w:rFonts w:hint="eastAsia"/>
          <w:b/>
          <w:sz w:val="24"/>
        </w:rPr>
        <w:t>5.2 项目的可行性简述</w:t>
      </w:r>
    </w:p>
    <w:p>
      <w:pPr>
        <w:pStyle w:val="6"/>
        <w:spacing w:before="0" w:beforeAutospacing="0" w:after="0" w:afterAutospacing="0" w:line="360" w:lineRule="auto"/>
        <w:ind w:firstLine="480" w:firstLineChars="200"/>
        <w:rPr>
          <w:rFonts w:ascii="Times New Roman" w:hAnsi="Times New Roman" w:cs="Times New Roman"/>
          <w:kern w:val="2"/>
        </w:rPr>
      </w:pPr>
      <w:bookmarkStart w:id="8" w:name="_Hlk139282272"/>
      <w:r>
        <w:rPr>
          <w:rFonts w:hint="eastAsia"/>
        </w:rPr>
        <w:t>贵研化学材料（云南）有限公司</w:t>
      </w:r>
      <w:bookmarkEnd w:id="8"/>
      <w:r>
        <w:rPr>
          <w:rFonts w:hint="eastAsia"/>
        </w:rPr>
        <w:t>是由贵研铂业股份有限公司全资控股的一家子公司，其前身是贵研铂业股份有限公司环境材料事业部。</w:t>
      </w:r>
      <w:r>
        <w:rPr>
          <w:rFonts w:hint="eastAsia" w:ascii="Times New Roman" w:hAnsi="Times New Roman" w:cs="Times New Roman"/>
          <w:kern w:val="2"/>
        </w:rPr>
        <w:t>是集贵金属系列功能材料研发、制造、销售于一体的高新技术企业</w:t>
      </w:r>
      <w:r>
        <w:rPr>
          <w:rFonts w:hint="eastAsia" w:cs="Times New Roman"/>
          <w:kern w:val="2"/>
        </w:rPr>
        <w:t>，</w:t>
      </w:r>
      <w:r>
        <w:rPr>
          <w:rFonts w:hint="eastAsia" w:ascii="Times New Roman" w:hAnsi="Times New Roman" w:cs="Times New Roman"/>
          <w:kern w:val="2"/>
        </w:rPr>
        <w:t>有各类工程技术和管理人员1</w:t>
      </w:r>
      <w:r>
        <w:rPr>
          <w:rFonts w:ascii="Times New Roman" w:hAnsi="Times New Roman" w:cs="Times New Roman"/>
          <w:kern w:val="2"/>
        </w:rPr>
        <w:t>6</w:t>
      </w:r>
      <w:r>
        <w:rPr>
          <w:rFonts w:hint="eastAsia" w:ascii="Times New Roman" w:hAnsi="Times New Roman" w:cs="Times New Roman"/>
          <w:kern w:val="2"/>
        </w:rPr>
        <w:t>0余人，是我国目前铂族金属化合物的主要生产基地，产品用户遍布全国各行各业上百家企业。</w:t>
      </w:r>
      <w:r>
        <w:rPr>
          <w:rFonts w:hint="eastAsia"/>
        </w:rPr>
        <w:t>贵研化学材料（云南）有限公司近年来积极研究开发，逐步掌握了多种新型前驱体贵金属化合物的生产制备技术，推向市场的磷酸氢根四氨合铂等产品已被部分厂家使用，效果良好。</w:t>
      </w:r>
      <w:r>
        <w:rPr>
          <w:rFonts w:hint="eastAsia" w:ascii="Times New Roman" w:hAnsi="Times New Roman" w:cs="Times New Roman"/>
          <w:kern w:val="2"/>
        </w:rPr>
        <w:t>相关研发技术人员近年来对</w:t>
      </w:r>
      <w:r>
        <w:rPr>
          <w:rFonts w:hint="eastAsia"/>
        </w:rPr>
        <w:t>磷酸氢根四氨合铂</w:t>
      </w:r>
      <w:r>
        <w:rPr>
          <w:rFonts w:hint="eastAsia" w:ascii="Times New Roman" w:hAnsi="Times New Roman" w:cs="Times New Roman"/>
          <w:kern w:val="2"/>
        </w:rPr>
        <w:t>的生产工艺研究较为深入，解决了一系列合成难点，明确了保证产品质量的关键工艺控制点，合成工艺成熟，产品质量稳定，已建立完整生产线，能进行大批量生产，且制定了该产品的作业指导书，规定了内控标准，相关项目检测方法及手段较为成熟，为后续标准的制定及实施提供了坚实的技术保障，且可提供必要的经费支持。</w:t>
      </w:r>
    </w:p>
    <w:p>
      <w:pPr>
        <w:pStyle w:val="6"/>
        <w:spacing w:before="0" w:beforeAutospacing="0" w:after="0" w:afterAutospacing="0" w:line="360" w:lineRule="auto"/>
        <w:ind w:firstLine="480" w:firstLineChars="200"/>
        <w:rPr>
          <w:rFonts w:ascii="Times New Roman" w:hAnsi="Times New Roman" w:cs="Times New Roman"/>
          <w:kern w:val="2"/>
        </w:rPr>
      </w:pPr>
    </w:p>
    <w:p>
      <w:pPr>
        <w:spacing w:line="360" w:lineRule="auto"/>
        <w:ind w:firstLine="480" w:firstLineChars="200"/>
        <w:rPr>
          <w:sz w:val="24"/>
        </w:rPr>
      </w:pPr>
    </w:p>
    <w:p>
      <w:pPr>
        <w:rPr>
          <w:b/>
          <w:sz w:val="24"/>
        </w:rPr>
      </w:pPr>
      <w:r>
        <w:rPr>
          <w:b/>
          <w:sz w:val="24"/>
        </w:rPr>
        <w:t>5.3</w:t>
      </w:r>
      <w:r>
        <w:rPr>
          <w:rFonts w:hint="eastAsia"/>
          <w:b/>
          <w:sz w:val="24"/>
        </w:rPr>
        <w:t xml:space="preserve"> 标准的先进性、创新性、标准实施后预期产生的经济效益和社会效益</w:t>
      </w:r>
    </w:p>
    <w:p>
      <w:pPr>
        <w:spacing w:line="360" w:lineRule="auto"/>
        <w:ind w:firstLine="480" w:firstLineChars="200"/>
        <w:rPr>
          <w:sz w:val="24"/>
        </w:rPr>
      </w:pPr>
      <w:r>
        <w:rPr>
          <w:rFonts w:hint="eastAsia" w:ascii="宋体" w:hAnsi="宋体" w:eastAsia="宋体" w:cs="宋体"/>
          <w:kern w:val="0"/>
          <w:sz w:val="24"/>
          <w:szCs w:val="24"/>
          <w:lang w:val="en-US" w:eastAsia="zh-CN" w:bidi="ar-SA"/>
        </w:rPr>
        <w:t>该标准属于国内外首次制定磷</w:t>
      </w:r>
      <w:bookmarkStart w:id="9" w:name="_Hlk139283800"/>
      <w:r>
        <w:rPr>
          <w:rFonts w:hint="eastAsia" w:ascii="宋体" w:hAnsi="宋体" w:eastAsia="宋体" w:cs="宋体"/>
          <w:kern w:val="0"/>
          <w:sz w:val="24"/>
          <w:szCs w:val="24"/>
          <w:lang w:val="en-US" w:eastAsia="zh-CN" w:bidi="ar-SA"/>
        </w:rPr>
        <w:t>酸氢根四氨合铂</w:t>
      </w:r>
      <w:bookmarkEnd w:id="9"/>
      <w:r>
        <w:rPr>
          <w:rFonts w:hint="eastAsia" w:ascii="宋体" w:hAnsi="宋体" w:eastAsia="宋体" w:cs="宋体"/>
          <w:kern w:val="0"/>
          <w:sz w:val="24"/>
          <w:szCs w:val="24"/>
          <w:lang w:val="en-US" w:eastAsia="zh-CN" w:bidi="ar-SA"/>
        </w:rPr>
        <w:t>的推荐性行业标准，是对现有贵金属标准体系的完善与补充，为磷酸氢根四氨合铂生产及应用厂家提供了规范化的指导性文件。根据市场调研，本标准将要规定的技术指标均优于不同客户对本产品的技术指标要求，同时化学成分的试验方法规定中体现了相关检测技术的的最新发展水平，本标准将要规定的其它项目如检验规则及标志、包装、运输、贮存、质量证明书和订货单内容也能最大限度保护生产及使用厂家的利益。不同生产厂家指标项目实测值基本符合本标准的规定，说明本标准的制定是符合生产实际的，能够满足生产和使用需要，可确保制定后的该标准指标水平为总体国内先进水平。基于该标准为国内外首次对磷酸氢根四氨合铂的技术指标做出规范性的规定，可考虑同步制定为国际标准。本标准规定的技术指标体现了酸氢根四氨合铂生产行业发展的最新水平，技术指标先进，检测方法更为科学可靠</w:t>
      </w:r>
      <w:r>
        <w:rPr>
          <w:rFonts w:hint="eastAsia"/>
          <w:sz w:val="24"/>
        </w:rPr>
        <w:t>。</w:t>
      </w:r>
    </w:p>
    <w:p>
      <w:pPr>
        <w:pStyle w:val="6"/>
        <w:spacing w:before="0" w:beforeAutospacing="0" w:after="0" w:afterAutospacing="0" w:line="360" w:lineRule="auto"/>
        <w:ind w:firstLine="480" w:firstLineChars="200"/>
        <w:textAlignment w:val="baseline"/>
      </w:pPr>
      <w:r>
        <w:rPr>
          <w:rFonts w:hint="eastAsia"/>
        </w:rPr>
        <w:t>磷酸氢根四氨合铂产品溶解后的水溶液体系接近中性，作为前驱物使用时有效解决了对载体的腐蚀性难题。该产品不含氯、钠、钾等易使催化剂失活的有害杂质，不排放氮氧化物，经济环保性显著。同时该产品作为电镀液时，磷酸氢根的缓冲作用可调控溶液</w:t>
      </w:r>
      <w:r>
        <w:t>pH</w:t>
      </w:r>
      <w:r>
        <w:rPr>
          <w:rFonts w:hint="eastAsia"/>
        </w:rPr>
        <w:t>值，稳定可控性增强，性能优异。该标准对易于在应用中产生不良影响的杂质元素如氯离子、钠离子、钾离子的最高含量做出严格的限制性规定，提升了行业应用水平。</w:t>
      </w:r>
    </w:p>
    <w:p>
      <w:pPr>
        <w:spacing w:line="360" w:lineRule="auto"/>
        <w:ind w:firstLine="480" w:firstLineChars="200"/>
        <w:rPr>
          <w:sz w:val="24"/>
        </w:rPr>
      </w:pPr>
      <w:r>
        <w:rPr>
          <w:rFonts w:hint="eastAsia"/>
          <w:sz w:val="24"/>
        </w:rPr>
        <w:t>本标准规定的产品在石化及汽车尾气处理行业中载体催化剂制备中具有较大优势，如传统的氯铂酸、氯化钯、氯化铑等在催化剂中残留的氯离子严重影响催化活性与寿命，现阶段主要采用硝酸盐体系，如硝酸铂、硝酸铑、硝酸钯等存在如下缺陷：溶液体系酸性较强，对载体材料存在一定破坏性，影响催化性能，且生产过程会产生有毒的氮氧化合物污染环境，不利环保。随着环保要求的日趋严格，新型不含氯、硝酸根的水溶性贵金属前驱体化合物成为了近年来研究开发的热点，磷酸氢根四氨合铂可溶于水，溶液体系为非酸性，对载体腐蚀性小，且不含易使催化剂中毒的氯、硫、钠、钾等元素，生产过程产生污染物少，有利环保，是较为理想的载体催化剂制备用前驱体化合物，其规模化应用必将对石化行业及汽车尾气处理行业中的催化剂制备技术产生深远影响。贵金属铂具备独特的物理化学特性，因为铂镀层具有良好的耐热性、耐蚀性、装饰性、电性能以及催化性能等，近年来电镀铂行业发展迅速，但从传统的酸性铂镀液中获得的铂镀层存在着应力大、附着性和光泽性差等问题，导致实用时受到许多限制。采用磷酸氢根四氨合铂溶液作为前驱物的铂镀液可有效克服上述问题，在高精尖技术如航空航天、半导体电子元器件中的高端镀铂行业中未来应用发展潜力巨大。</w:t>
      </w:r>
    </w:p>
    <w:p>
      <w:pPr>
        <w:spacing w:line="360" w:lineRule="auto"/>
        <w:ind w:firstLine="480" w:firstLineChars="200"/>
        <w:rPr>
          <w:sz w:val="24"/>
        </w:rPr>
      </w:pPr>
      <w:r>
        <w:rPr>
          <w:rFonts w:hint="eastAsia"/>
          <w:sz w:val="24"/>
        </w:rPr>
        <w:t>制定本产品的行业标准，规范产品技术要求，有利于用户了解产品规格、性能等技术指标，从而正确使用产品，对于磷酸氢根四氨合铂在载体催化剂行业推广应用具有重大意义，同时也也有利于规范市场，提高产品竞争力。通过磷酸氢根四氨合铂标准的制定并实施，将进一步促进磷酸氢根四氨合铂在化学化工行业尤其在载体催化剂制备行业中的应用，同时对提高产品质量，促进磷酸氢根四氨合铂生产行业技术进步具有重要意义，必将产生巨大的经济效益和社会效益。</w:t>
      </w:r>
    </w:p>
    <w:p>
      <w:pPr>
        <w:spacing w:line="360" w:lineRule="auto"/>
        <w:ind w:firstLine="480" w:firstLineChars="200"/>
        <w:rPr>
          <w:sz w:val="24"/>
        </w:rPr>
      </w:pPr>
    </w:p>
    <w:p>
      <w:pPr>
        <w:spacing w:line="360" w:lineRule="auto"/>
        <w:rPr>
          <w:rFonts w:ascii="宋体" w:hAnsi="宋体"/>
          <w:color w:val="FF0000"/>
          <w:sz w:val="24"/>
        </w:rPr>
      </w:pPr>
      <w:r>
        <w:rPr>
          <w:rFonts w:hint="eastAsia"/>
          <w:b/>
          <w:sz w:val="24"/>
        </w:rPr>
        <w:t>六、采用国际标准和国外先进标准的情况</w:t>
      </w:r>
    </w:p>
    <w:p>
      <w:pPr>
        <w:rPr>
          <w:sz w:val="24"/>
        </w:rPr>
      </w:pPr>
      <w:r>
        <w:rPr>
          <w:rFonts w:hint="eastAsia"/>
          <w:sz w:val="24"/>
        </w:rPr>
        <w:t xml:space="preserve">  无采用国际标准和国外先进标准的情况。</w:t>
      </w:r>
    </w:p>
    <w:p>
      <w:pPr>
        <w:rPr>
          <w:sz w:val="24"/>
        </w:rPr>
      </w:pPr>
    </w:p>
    <w:p>
      <w:pPr>
        <w:spacing w:line="360" w:lineRule="auto"/>
        <w:rPr>
          <w:rFonts w:ascii="宋体" w:hAnsi="宋体"/>
          <w:color w:val="FF0000"/>
          <w:sz w:val="24"/>
        </w:rPr>
      </w:pPr>
      <w:r>
        <w:rPr>
          <w:rFonts w:hint="eastAsia"/>
          <w:b/>
          <w:sz w:val="24"/>
        </w:rPr>
        <w:t>七、与现行相关法律、法规、规章及相关标准，特别是强制性国家标准的协调配套情况</w:t>
      </w:r>
    </w:p>
    <w:p>
      <w:pPr>
        <w:spacing w:line="300" w:lineRule="auto"/>
        <w:ind w:firstLine="480" w:firstLineChars="200"/>
        <w:jc w:val="left"/>
        <w:rPr>
          <w:sz w:val="24"/>
        </w:rPr>
      </w:pPr>
      <w:r>
        <w:rPr>
          <w:rFonts w:hint="eastAsia"/>
          <w:sz w:val="24"/>
        </w:rPr>
        <w:t>本标准属于其它有色金属标准体系“贵金属”类产品标准。标修订时，考虑到与国际标准和规范接轨，在规范性引用文件上按照我国标准体系进行了调整和编辑，并引用我国国家标准的最新版本，在标准的技术要求、试验方法、检验规则、标志、包装、运输和贮存等方面与国内相关标准协调一致；新制定的《磷酸氢根四氨合铂》标准条文精炼表达清楚，技术要求全面、准确、科学、合理；标准的格式和表达方式等方面完全执行了现行的国家标准和有关法规，符合GB/T 1.1的有关要求。本标准完全满足现行国家法规的要求，技术参数要求合理，格式规范，没有现行的法律、法规、规章制度等对其有要求，本领域没有强制性标准。</w:t>
      </w:r>
    </w:p>
    <w:p>
      <w:pPr>
        <w:spacing w:line="300" w:lineRule="auto"/>
        <w:ind w:firstLine="480" w:firstLineChars="200"/>
        <w:rPr>
          <w:sz w:val="24"/>
        </w:rPr>
      </w:pPr>
    </w:p>
    <w:p>
      <w:pPr>
        <w:rPr>
          <w:b/>
          <w:sz w:val="24"/>
        </w:rPr>
      </w:pPr>
      <w:r>
        <w:rPr>
          <w:rFonts w:hint="eastAsia"/>
          <w:b/>
          <w:sz w:val="24"/>
        </w:rPr>
        <w:t>八、重大分歧意见的处理经过和依据</w:t>
      </w:r>
    </w:p>
    <w:p>
      <w:pPr>
        <w:spacing w:line="360" w:lineRule="auto"/>
        <w:ind w:firstLine="480" w:firstLineChars="200"/>
        <w:rPr>
          <w:rFonts w:ascii="宋体" w:hAnsi="宋体"/>
          <w:sz w:val="24"/>
        </w:rPr>
      </w:pPr>
      <w:r>
        <w:rPr>
          <w:rFonts w:hint="eastAsia" w:ascii="宋体" w:hAnsi="宋体"/>
          <w:sz w:val="24"/>
        </w:rPr>
        <w:t>本标准属于有色金属领域专业基础标准，编制组根据起草前确定的编制原则进行了标准起草，标准起草过程中未发生重大分歧意见。</w:t>
      </w:r>
    </w:p>
    <w:p>
      <w:pPr>
        <w:spacing w:line="360" w:lineRule="auto"/>
        <w:ind w:firstLine="480" w:firstLineChars="200"/>
        <w:rPr>
          <w:rFonts w:ascii="宋体" w:hAnsi="宋体"/>
          <w:sz w:val="24"/>
        </w:rPr>
      </w:pPr>
    </w:p>
    <w:p>
      <w:pPr>
        <w:rPr>
          <w:b/>
          <w:sz w:val="24"/>
        </w:rPr>
      </w:pPr>
      <w:r>
        <w:rPr>
          <w:rFonts w:hint="eastAsia"/>
          <w:b/>
          <w:sz w:val="24"/>
        </w:rPr>
        <w:t>九、标准性质的建议说明</w:t>
      </w:r>
    </w:p>
    <w:p>
      <w:pPr>
        <w:pStyle w:val="12"/>
        <w:ind w:firstLine="480"/>
        <w:rPr>
          <w:sz w:val="24"/>
        </w:rPr>
      </w:pPr>
      <w:r>
        <w:rPr>
          <w:rFonts w:hint="eastAsia"/>
          <w:sz w:val="24"/>
        </w:rPr>
        <w:t>根据标准化法和有关规定，建议该标准为推荐性有色金属行业产品标准。</w:t>
      </w:r>
    </w:p>
    <w:p>
      <w:pPr>
        <w:pStyle w:val="12"/>
        <w:ind w:firstLine="480"/>
        <w:rPr>
          <w:sz w:val="24"/>
        </w:rPr>
      </w:pPr>
    </w:p>
    <w:p>
      <w:pPr>
        <w:rPr>
          <w:b/>
          <w:sz w:val="24"/>
        </w:rPr>
      </w:pPr>
      <w:r>
        <w:rPr>
          <w:rFonts w:hint="eastAsia"/>
          <w:b/>
          <w:sz w:val="24"/>
        </w:rPr>
        <w:t>十、贯彻标准的要求和建议措施</w:t>
      </w:r>
    </w:p>
    <w:p>
      <w:pPr>
        <w:spacing w:line="360" w:lineRule="auto"/>
        <w:ind w:firstLine="480" w:firstLineChars="200"/>
        <w:rPr>
          <w:sz w:val="24"/>
        </w:rPr>
      </w:pPr>
      <w:r>
        <w:rPr>
          <w:rFonts w:hint="eastAsia"/>
          <w:sz w:val="24"/>
        </w:rPr>
        <w:t>本标准全面覆盖了磷酸氢根四氨合铂的一般要求，建议相关单位组织专项标准宣贯会进行系统的学习与贯彻实施。</w:t>
      </w:r>
    </w:p>
    <w:p>
      <w:pPr>
        <w:spacing w:line="360" w:lineRule="auto"/>
        <w:ind w:firstLine="480" w:firstLineChars="200"/>
        <w:rPr>
          <w:sz w:val="24"/>
        </w:rPr>
      </w:pPr>
      <w:r>
        <w:rPr>
          <w:rFonts w:hint="eastAsia"/>
          <w:sz w:val="24"/>
        </w:rPr>
        <w:t>本标准属于行业基础标准，对磷酸氢根四氨合铂产品的一般要求进行了约定，对特殊行业用磷酸氢根四氨合铂有特殊要求时，建议供需双方在本标准基础上对特殊要求在订货合同中进行详细的约定或起草专项技术协议。</w:t>
      </w:r>
    </w:p>
    <w:p>
      <w:pPr>
        <w:spacing w:line="360" w:lineRule="auto"/>
        <w:ind w:firstLine="480" w:firstLineChars="200"/>
        <w:rPr>
          <w:rFonts w:hint="eastAsia"/>
          <w:sz w:val="24"/>
        </w:rPr>
      </w:pPr>
      <w:r>
        <w:rPr>
          <w:rFonts w:hint="eastAsia"/>
          <w:sz w:val="24"/>
        </w:rPr>
        <w:t>对于标准使用过程中容易出现的疑问，起草单位有义务进行必要的解释</w:t>
      </w:r>
    </w:p>
    <w:p>
      <w:pPr>
        <w:spacing w:line="360" w:lineRule="auto"/>
        <w:rPr>
          <w:rFonts w:hint="eastAsia"/>
          <w:sz w:val="24"/>
        </w:rPr>
      </w:pPr>
    </w:p>
    <w:p>
      <w:pPr>
        <w:rPr>
          <w:b/>
          <w:sz w:val="24"/>
        </w:rPr>
      </w:pPr>
      <w:r>
        <w:rPr>
          <w:rFonts w:hint="eastAsia"/>
          <w:b/>
          <w:sz w:val="24"/>
        </w:rPr>
        <w:t>十一、废止现行相关标准的建议</w:t>
      </w:r>
    </w:p>
    <w:p>
      <w:pPr>
        <w:pStyle w:val="12"/>
        <w:ind w:firstLine="480"/>
        <w:rPr>
          <w:sz w:val="24"/>
        </w:rPr>
      </w:pPr>
      <w:r>
        <w:rPr>
          <w:rFonts w:hint="eastAsia"/>
          <w:sz w:val="24"/>
        </w:rPr>
        <w:t>无相关现行标准。</w:t>
      </w:r>
    </w:p>
    <w:p>
      <w:pPr>
        <w:rPr>
          <w:sz w:val="24"/>
        </w:rPr>
      </w:pPr>
    </w:p>
    <w:p>
      <w:pPr>
        <w:rPr>
          <w:b/>
          <w:sz w:val="24"/>
        </w:rPr>
      </w:pPr>
      <w:r>
        <w:rPr>
          <w:rFonts w:hint="eastAsia"/>
          <w:b/>
          <w:sz w:val="24"/>
        </w:rPr>
        <w:t>十二、其他应予</w:t>
      </w:r>
      <w:r>
        <w:rPr>
          <w:b/>
          <w:sz w:val="24"/>
        </w:rPr>
        <w:t>说明</w:t>
      </w:r>
      <w:r>
        <w:rPr>
          <w:rFonts w:hint="eastAsia"/>
          <w:b/>
          <w:sz w:val="24"/>
        </w:rPr>
        <w:t>的</w:t>
      </w:r>
      <w:r>
        <w:rPr>
          <w:b/>
          <w:sz w:val="24"/>
        </w:rPr>
        <w:t>事项</w:t>
      </w:r>
    </w:p>
    <w:p>
      <w:pPr>
        <w:spacing w:line="380" w:lineRule="exact"/>
        <w:ind w:firstLine="480" w:firstLineChars="200"/>
        <w:rPr>
          <w:sz w:val="24"/>
        </w:rPr>
      </w:pPr>
      <w:r>
        <w:rPr>
          <w:rFonts w:hint="eastAsia"/>
          <w:sz w:val="24"/>
        </w:rPr>
        <w:t>本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pPr>
        <w:pStyle w:val="12"/>
        <w:ind w:firstLine="480"/>
        <w:rPr>
          <w:sz w:val="24"/>
        </w:rPr>
      </w:pPr>
    </w:p>
    <w:p>
      <w:pPr>
        <w:rPr>
          <w:b/>
          <w:color w:val="FF0000"/>
          <w:sz w:val="24"/>
        </w:rPr>
      </w:pPr>
      <w:r>
        <w:rPr>
          <w:rFonts w:hint="eastAsia"/>
          <w:b/>
          <w:sz w:val="24"/>
        </w:rPr>
        <w:t xml:space="preserve">十三、参考资料清单 </w:t>
      </w:r>
    </w:p>
    <w:p>
      <w:pPr>
        <w:pStyle w:val="13"/>
        <w:spacing w:line="360" w:lineRule="auto"/>
        <w:ind w:firstLine="480"/>
        <w:jc w:val="left"/>
        <w:rPr>
          <w:rFonts w:ascii="Times New Roman"/>
          <w:kern w:val="2"/>
          <w:sz w:val="24"/>
          <w:szCs w:val="24"/>
        </w:rPr>
      </w:pPr>
      <w:r>
        <w:rPr>
          <w:rFonts w:hint="eastAsia" w:ascii="Times New Roman"/>
          <w:kern w:val="2"/>
          <w:sz w:val="24"/>
          <w:szCs w:val="24"/>
        </w:rPr>
        <w:t>GB/T 191 包装储运图示标志</w:t>
      </w:r>
    </w:p>
    <w:p>
      <w:pPr>
        <w:pStyle w:val="13"/>
        <w:spacing w:line="360" w:lineRule="auto"/>
        <w:ind w:firstLine="480"/>
        <w:jc w:val="left"/>
        <w:rPr>
          <w:rFonts w:hint="eastAsia" w:ascii="Times New Roman"/>
          <w:kern w:val="2"/>
          <w:sz w:val="24"/>
          <w:szCs w:val="24"/>
        </w:rPr>
      </w:pPr>
      <w:r>
        <w:rPr>
          <w:rFonts w:ascii="Times New Roman"/>
          <w:kern w:val="2"/>
          <w:sz w:val="24"/>
          <w:szCs w:val="24"/>
        </w:rPr>
        <w:t>GB/T 8170 数值修约规则与极限数值的表示和判定</w:t>
      </w:r>
    </w:p>
    <w:p>
      <w:pPr>
        <w:pStyle w:val="13"/>
        <w:spacing w:line="360" w:lineRule="auto"/>
        <w:ind w:firstLine="480"/>
        <w:jc w:val="left"/>
        <w:rPr>
          <w:rFonts w:ascii="Times New Roman"/>
          <w:kern w:val="2"/>
          <w:sz w:val="24"/>
          <w:szCs w:val="24"/>
        </w:rPr>
      </w:pPr>
      <w:r>
        <w:rPr>
          <w:rFonts w:hint="eastAsia" w:ascii="Times New Roman"/>
          <w:kern w:val="2"/>
          <w:sz w:val="24"/>
          <w:szCs w:val="24"/>
        </w:rPr>
        <w:t>GB/T 1.1-2020《标准标准化工作导则 第1部分：标准的结构和编写》</w:t>
      </w:r>
    </w:p>
    <w:p>
      <w:pPr>
        <w:pStyle w:val="13"/>
        <w:spacing w:line="360" w:lineRule="auto"/>
        <w:ind w:firstLine="480"/>
        <w:jc w:val="left"/>
        <w:rPr>
          <w:rFonts w:ascii="Times New Roman"/>
          <w:kern w:val="2"/>
          <w:sz w:val="24"/>
          <w:szCs w:val="24"/>
        </w:rPr>
      </w:pPr>
      <w:r>
        <w:rPr>
          <w:rFonts w:hint="eastAsia" w:ascii="Times New Roman"/>
          <w:kern w:val="2"/>
          <w:sz w:val="24"/>
          <w:szCs w:val="24"/>
        </w:rPr>
        <w:t>GB/T 20001.10-2014《标准编写规则 第10部分：产品标准》</w:t>
      </w:r>
    </w:p>
    <w:p>
      <w:pPr>
        <w:pStyle w:val="13"/>
        <w:spacing w:line="360" w:lineRule="auto"/>
        <w:ind w:firstLine="480"/>
        <w:jc w:val="left"/>
        <w:rPr>
          <w:rFonts w:ascii="Times New Roman"/>
          <w:kern w:val="2"/>
          <w:sz w:val="24"/>
          <w:szCs w:val="24"/>
        </w:rPr>
      </w:pPr>
      <w:r>
        <w:rPr>
          <w:rFonts w:hint="eastAsia" w:ascii="Times New Roman"/>
          <w:kern w:val="2"/>
          <w:sz w:val="24"/>
          <w:szCs w:val="24"/>
        </w:rPr>
        <w:t>YS</w:t>
      </w:r>
      <w:r>
        <w:rPr>
          <w:rFonts w:ascii="Times New Roman"/>
          <w:kern w:val="2"/>
          <w:sz w:val="24"/>
          <w:szCs w:val="24"/>
        </w:rPr>
        <w:t xml:space="preserve">/T </w:t>
      </w:r>
      <w:r>
        <w:rPr>
          <w:rFonts w:hint="eastAsia" w:ascii="Times New Roman"/>
          <w:kern w:val="2"/>
          <w:sz w:val="24"/>
          <w:szCs w:val="24"/>
        </w:rPr>
        <w:t>646.1-2017 《 铂化合物化学分析方法  第</w:t>
      </w:r>
      <w:r>
        <w:rPr>
          <w:rFonts w:ascii="Times New Roman"/>
          <w:kern w:val="2"/>
          <w:sz w:val="24"/>
          <w:szCs w:val="24"/>
        </w:rPr>
        <w:t>1</w:t>
      </w:r>
      <w:r>
        <w:rPr>
          <w:rFonts w:hint="eastAsia" w:ascii="Times New Roman"/>
          <w:kern w:val="2"/>
          <w:sz w:val="24"/>
          <w:szCs w:val="24"/>
        </w:rPr>
        <w:t>部分：铂量的测定 高锰酸钾电流滴定法》</w:t>
      </w:r>
    </w:p>
    <w:p>
      <w:pPr>
        <w:pStyle w:val="13"/>
        <w:spacing w:line="360" w:lineRule="auto"/>
        <w:ind w:firstLine="480"/>
        <w:jc w:val="left"/>
        <w:rPr>
          <w:rFonts w:ascii="Times New Roman"/>
          <w:kern w:val="2"/>
          <w:sz w:val="24"/>
          <w:szCs w:val="24"/>
        </w:rPr>
      </w:pPr>
      <w:r>
        <w:rPr>
          <w:rFonts w:hint="eastAsia" w:ascii="Times New Roman"/>
          <w:kern w:val="2"/>
          <w:sz w:val="24"/>
          <w:szCs w:val="24"/>
        </w:rPr>
        <w:t>YS</w:t>
      </w:r>
      <w:r>
        <w:rPr>
          <w:rFonts w:ascii="Times New Roman"/>
          <w:kern w:val="2"/>
          <w:sz w:val="24"/>
          <w:szCs w:val="24"/>
        </w:rPr>
        <w:t>/T</w:t>
      </w:r>
      <w:r>
        <w:rPr>
          <w:rFonts w:hint="eastAsia" w:ascii="Times New Roman"/>
          <w:kern w:val="2"/>
          <w:sz w:val="24"/>
          <w:szCs w:val="24"/>
        </w:rPr>
        <w:t xml:space="preserve"> 646.2-2017  《铂化合物化学分析方法  第2部分：银、金、钯、铑、铱、钌、铅、镍、铜、铁、锡、铬、锌、镁、锰、铝、钙、钠、硅、铋、钾的测定 电感耦合等离子体发射光谱法》</w:t>
      </w:r>
    </w:p>
    <w:p>
      <w:pPr>
        <w:pStyle w:val="13"/>
        <w:spacing w:line="360" w:lineRule="auto"/>
        <w:ind w:firstLine="480"/>
        <w:jc w:val="left"/>
        <w:rPr>
          <w:rFonts w:hint="eastAsia" w:ascii="Times New Roman"/>
          <w:kern w:val="2"/>
          <w:sz w:val="24"/>
          <w:szCs w:val="24"/>
        </w:rPr>
      </w:pPr>
    </w:p>
    <w:p>
      <w:pPr>
        <w:spacing w:line="360" w:lineRule="auto"/>
        <w:ind w:firstLine="5400" w:firstLineChars="2250"/>
        <w:jc w:val="left"/>
        <w:rPr>
          <w:sz w:val="24"/>
        </w:rPr>
      </w:pPr>
    </w:p>
    <w:p>
      <w:pPr>
        <w:spacing w:line="360" w:lineRule="auto"/>
        <w:ind w:right="960" w:firstLine="3600" w:firstLineChars="1500"/>
        <w:jc w:val="left"/>
        <w:rPr>
          <w:sz w:val="24"/>
        </w:rPr>
      </w:pPr>
      <w:r>
        <w:rPr>
          <w:rFonts w:hint="eastAsia"/>
          <w:sz w:val="24"/>
        </w:rPr>
        <w:t xml:space="preserve"> 贵研化学材料（云南）有限公司</w:t>
      </w:r>
    </w:p>
    <w:p>
      <w:pPr>
        <w:spacing w:line="360" w:lineRule="auto"/>
        <w:ind w:right="960" w:firstLine="2880" w:firstLineChars="1200"/>
        <w:rPr>
          <w:sz w:val="24"/>
        </w:rPr>
      </w:pPr>
      <w:r>
        <w:rPr>
          <w:rFonts w:hint="eastAsia"/>
          <w:sz w:val="24"/>
        </w:rPr>
        <w:t xml:space="preserve">《磷酸氢根四氨合铂》行业标准起草小组 </w:t>
      </w:r>
    </w:p>
    <w:p>
      <w:pPr>
        <w:spacing w:line="360" w:lineRule="auto"/>
        <w:ind w:right="960" w:firstLine="5520" w:firstLineChars="2300"/>
        <w:rPr>
          <w:sz w:val="24"/>
        </w:rPr>
      </w:pPr>
      <w:r>
        <w:rPr>
          <w:rFonts w:hint="eastAsia"/>
          <w:sz w:val="24"/>
        </w:rPr>
        <w:t>202</w:t>
      </w:r>
      <w:r>
        <w:rPr>
          <w:sz w:val="24"/>
        </w:rPr>
        <w:t>3</w:t>
      </w:r>
      <w:r>
        <w:rPr>
          <w:rFonts w:hint="eastAsia"/>
          <w:sz w:val="24"/>
        </w:rPr>
        <w:t>年</w:t>
      </w:r>
      <w:r>
        <w:rPr>
          <w:sz w:val="24"/>
        </w:rPr>
        <w:t>6</w:t>
      </w:r>
      <w:r>
        <w:rPr>
          <w:rFonts w:hint="eastAsia"/>
          <w:sz w:val="24"/>
        </w:rPr>
        <w:t>月</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DB50B"/>
    <w:multiLevelType w:val="singleLevel"/>
    <w:tmpl w:val="FADDB50B"/>
    <w:lvl w:ilvl="0" w:tentative="0">
      <w:start w:val="2"/>
      <w:numFmt w:val="decimal"/>
      <w:suff w:val="nothing"/>
      <w:lvlText w:val="%1）"/>
      <w:lvlJc w:val="left"/>
    </w:lvl>
  </w:abstractNum>
  <w:abstractNum w:abstractNumId="1">
    <w:nsid w:val="00000004"/>
    <w:multiLevelType w:val="multilevel"/>
    <w:tmpl w:val="000000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i w:val="0"/>
        <w:sz w:val="21"/>
      </w:rPr>
    </w:lvl>
    <w:lvl w:ilvl="2" w:tentative="0">
      <w:start w:val="1"/>
      <w:numFmt w:val="decimal"/>
      <w:suff w:val="nothing"/>
      <w:lvlText w:val="%1%2.%3　"/>
      <w:lvlJc w:val="left"/>
      <w:pPr>
        <w:ind w:left="0" w:firstLine="0"/>
      </w:pPr>
      <w:rPr>
        <w:rFonts w:hint="eastAsia" w:ascii="黑体" w:hAnsi="黑体" w:eastAsia="黑体"/>
        <w:b/>
        <w:i w:val="0"/>
        <w:sz w:val="21"/>
      </w:rPr>
    </w:lvl>
    <w:lvl w:ilvl="3" w:tentative="0">
      <w:start w:val="1"/>
      <w:numFmt w:val="decimal"/>
      <w:suff w:val="nothing"/>
      <w:lvlText w:val="%1%2.%3.%4　"/>
      <w:lvlJc w:val="left"/>
      <w:pPr>
        <w:ind w:left="0" w:firstLine="0"/>
      </w:pPr>
      <w:rPr>
        <w:rFonts w:hint="eastAsia" w:ascii="黑体" w:hAnsi="Times New Roman" w:eastAsia="黑体"/>
        <w:b/>
        <w:i w:val="0"/>
        <w:sz w:val="21"/>
      </w:rPr>
    </w:lvl>
    <w:lvl w:ilvl="4" w:tentative="0">
      <w:start w:val="1"/>
      <w:numFmt w:val="decimal"/>
      <w:suff w:val="nothing"/>
      <w:lvlText w:val="%1%2.%3.%4.%5　"/>
      <w:lvlJc w:val="left"/>
      <w:pPr>
        <w:ind w:left="0" w:firstLine="0"/>
      </w:pPr>
      <w:rPr>
        <w:rFonts w:hint="eastAsia" w:ascii="黑体" w:hAnsi="Times New Roman" w:eastAsia="黑体"/>
        <w:b/>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6B124CFE"/>
    <w:multiLevelType w:val="multilevel"/>
    <w:tmpl w:val="6B124CFE"/>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xMzg4OWFlOGYyYjMzNzU1MGMxNzVkNTRiNWFkY2YifQ=="/>
  </w:docVars>
  <w:rsids>
    <w:rsidRoot w:val="00E44450"/>
    <w:rsid w:val="00003B6E"/>
    <w:rsid w:val="000200C8"/>
    <w:rsid w:val="00036372"/>
    <w:rsid w:val="0004293E"/>
    <w:rsid w:val="0004616F"/>
    <w:rsid w:val="00051191"/>
    <w:rsid w:val="000678C9"/>
    <w:rsid w:val="00067FD4"/>
    <w:rsid w:val="00070FEA"/>
    <w:rsid w:val="00072752"/>
    <w:rsid w:val="000778E2"/>
    <w:rsid w:val="00082E7E"/>
    <w:rsid w:val="000A5F6E"/>
    <w:rsid w:val="000C3A56"/>
    <w:rsid w:val="000E161C"/>
    <w:rsid w:val="000F0C60"/>
    <w:rsid w:val="000F3766"/>
    <w:rsid w:val="000F3DB4"/>
    <w:rsid w:val="00103EC2"/>
    <w:rsid w:val="0011112F"/>
    <w:rsid w:val="00114CD1"/>
    <w:rsid w:val="001212CA"/>
    <w:rsid w:val="00136BED"/>
    <w:rsid w:val="001455EF"/>
    <w:rsid w:val="0014619B"/>
    <w:rsid w:val="00185A93"/>
    <w:rsid w:val="00191086"/>
    <w:rsid w:val="00196072"/>
    <w:rsid w:val="001A46C3"/>
    <w:rsid w:val="001D0B1A"/>
    <w:rsid w:val="001D25A4"/>
    <w:rsid w:val="001F34AE"/>
    <w:rsid w:val="001F3895"/>
    <w:rsid w:val="00213F7E"/>
    <w:rsid w:val="00225F1E"/>
    <w:rsid w:val="002461D4"/>
    <w:rsid w:val="00255418"/>
    <w:rsid w:val="002563B8"/>
    <w:rsid w:val="00262203"/>
    <w:rsid w:val="00266604"/>
    <w:rsid w:val="00266B39"/>
    <w:rsid w:val="00276BD9"/>
    <w:rsid w:val="00281685"/>
    <w:rsid w:val="0028541C"/>
    <w:rsid w:val="002866C6"/>
    <w:rsid w:val="00287A16"/>
    <w:rsid w:val="002956BE"/>
    <w:rsid w:val="002A06FF"/>
    <w:rsid w:val="002A50B7"/>
    <w:rsid w:val="002B76B4"/>
    <w:rsid w:val="002B7760"/>
    <w:rsid w:val="002C1409"/>
    <w:rsid w:val="002C249F"/>
    <w:rsid w:val="002D014B"/>
    <w:rsid w:val="002F6B93"/>
    <w:rsid w:val="002F7209"/>
    <w:rsid w:val="00312015"/>
    <w:rsid w:val="00320EBE"/>
    <w:rsid w:val="00322740"/>
    <w:rsid w:val="003271B4"/>
    <w:rsid w:val="003403F0"/>
    <w:rsid w:val="00347BE7"/>
    <w:rsid w:val="00357119"/>
    <w:rsid w:val="003574A7"/>
    <w:rsid w:val="003A2D39"/>
    <w:rsid w:val="003A5B4D"/>
    <w:rsid w:val="003B5541"/>
    <w:rsid w:val="003C4E33"/>
    <w:rsid w:val="003C730E"/>
    <w:rsid w:val="003D2AF4"/>
    <w:rsid w:val="003F1DBB"/>
    <w:rsid w:val="003F4389"/>
    <w:rsid w:val="00410B34"/>
    <w:rsid w:val="004123EF"/>
    <w:rsid w:val="00416BF8"/>
    <w:rsid w:val="0042257E"/>
    <w:rsid w:val="00424741"/>
    <w:rsid w:val="00432C21"/>
    <w:rsid w:val="004455F1"/>
    <w:rsid w:val="00455001"/>
    <w:rsid w:val="004561F2"/>
    <w:rsid w:val="00471F56"/>
    <w:rsid w:val="00475064"/>
    <w:rsid w:val="0048172A"/>
    <w:rsid w:val="004844D2"/>
    <w:rsid w:val="00485E94"/>
    <w:rsid w:val="004917D7"/>
    <w:rsid w:val="00497BD1"/>
    <w:rsid w:val="004A38BE"/>
    <w:rsid w:val="004B5AF1"/>
    <w:rsid w:val="004B5B58"/>
    <w:rsid w:val="004C6B5D"/>
    <w:rsid w:val="004C736B"/>
    <w:rsid w:val="004E4FE3"/>
    <w:rsid w:val="004F2CC5"/>
    <w:rsid w:val="00535FA6"/>
    <w:rsid w:val="00564498"/>
    <w:rsid w:val="0056504E"/>
    <w:rsid w:val="0057271F"/>
    <w:rsid w:val="00576CE6"/>
    <w:rsid w:val="0058425E"/>
    <w:rsid w:val="00585F9C"/>
    <w:rsid w:val="00587219"/>
    <w:rsid w:val="00592B78"/>
    <w:rsid w:val="00594D81"/>
    <w:rsid w:val="005A08C2"/>
    <w:rsid w:val="005A6F0C"/>
    <w:rsid w:val="005B637D"/>
    <w:rsid w:val="005E29B6"/>
    <w:rsid w:val="005E2B4C"/>
    <w:rsid w:val="005E36D7"/>
    <w:rsid w:val="005F2412"/>
    <w:rsid w:val="005F24E9"/>
    <w:rsid w:val="00632C50"/>
    <w:rsid w:val="006365DD"/>
    <w:rsid w:val="0064435B"/>
    <w:rsid w:val="006606DA"/>
    <w:rsid w:val="00666A09"/>
    <w:rsid w:val="00693572"/>
    <w:rsid w:val="006A4AE0"/>
    <w:rsid w:val="006B52B5"/>
    <w:rsid w:val="006E1CDF"/>
    <w:rsid w:val="006E545E"/>
    <w:rsid w:val="006E7007"/>
    <w:rsid w:val="006F3A75"/>
    <w:rsid w:val="006F5544"/>
    <w:rsid w:val="00700485"/>
    <w:rsid w:val="00706DEE"/>
    <w:rsid w:val="00734A51"/>
    <w:rsid w:val="00737890"/>
    <w:rsid w:val="00750F86"/>
    <w:rsid w:val="00752618"/>
    <w:rsid w:val="00761F8A"/>
    <w:rsid w:val="00765CEB"/>
    <w:rsid w:val="007676BF"/>
    <w:rsid w:val="00767CD6"/>
    <w:rsid w:val="00767F72"/>
    <w:rsid w:val="00782077"/>
    <w:rsid w:val="00782D84"/>
    <w:rsid w:val="00783F78"/>
    <w:rsid w:val="00785280"/>
    <w:rsid w:val="007A46DD"/>
    <w:rsid w:val="007A50AA"/>
    <w:rsid w:val="007B0AAC"/>
    <w:rsid w:val="007B35D5"/>
    <w:rsid w:val="007B4E52"/>
    <w:rsid w:val="007B597A"/>
    <w:rsid w:val="007C32FD"/>
    <w:rsid w:val="007C534B"/>
    <w:rsid w:val="007D7B92"/>
    <w:rsid w:val="007E612E"/>
    <w:rsid w:val="007E64EB"/>
    <w:rsid w:val="007F46A6"/>
    <w:rsid w:val="008035D5"/>
    <w:rsid w:val="00804204"/>
    <w:rsid w:val="00804C5C"/>
    <w:rsid w:val="00810AE1"/>
    <w:rsid w:val="00813DD9"/>
    <w:rsid w:val="00817008"/>
    <w:rsid w:val="008255DC"/>
    <w:rsid w:val="00832A1B"/>
    <w:rsid w:val="00840731"/>
    <w:rsid w:val="0084296B"/>
    <w:rsid w:val="00842CB7"/>
    <w:rsid w:val="0084396C"/>
    <w:rsid w:val="00864785"/>
    <w:rsid w:val="00874D8C"/>
    <w:rsid w:val="00876A5D"/>
    <w:rsid w:val="00883B6C"/>
    <w:rsid w:val="00884831"/>
    <w:rsid w:val="00886C86"/>
    <w:rsid w:val="00893017"/>
    <w:rsid w:val="008969C7"/>
    <w:rsid w:val="00897669"/>
    <w:rsid w:val="008A26E2"/>
    <w:rsid w:val="008A4C23"/>
    <w:rsid w:val="008A6808"/>
    <w:rsid w:val="008B4D3B"/>
    <w:rsid w:val="008B7022"/>
    <w:rsid w:val="008E41FC"/>
    <w:rsid w:val="008F22FB"/>
    <w:rsid w:val="008F4889"/>
    <w:rsid w:val="00901692"/>
    <w:rsid w:val="0091164A"/>
    <w:rsid w:val="0093056D"/>
    <w:rsid w:val="009306F4"/>
    <w:rsid w:val="00933574"/>
    <w:rsid w:val="00934935"/>
    <w:rsid w:val="0094176E"/>
    <w:rsid w:val="009456BB"/>
    <w:rsid w:val="0094644C"/>
    <w:rsid w:val="0095334F"/>
    <w:rsid w:val="00957F14"/>
    <w:rsid w:val="00961E15"/>
    <w:rsid w:val="0096569B"/>
    <w:rsid w:val="00977826"/>
    <w:rsid w:val="00984B0C"/>
    <w:rsid w:val="00996A14"/>
    <w:rsid w:val="009C45AB"/>
    <w:rsid w:val="009C7C86"/>
    <w:rsid w:val="009D13AF"/>
    <w:rsid w:val="009D7390"/>
    <w:rsid w:val="009E05EB"/>
    <w:rsid w:val="009F3EB8"/>
    <w:rsid w:val="009F412E"/>
    <w:rsid w:val="009F48C6"/>
    <w:rsid w:val="00A06E0A"/>
    <w:rsid w:val="00A07FD6"/>
    <w:rsid w:val="00A14046"/>
    <w:rsid w:val="00A15DEC"/>
    <w:rsid w:val="00A24379"/>
    <w:rsid w:val="00A564DB"/>
    <w:rsid w:val="00A577FA"/>
    <w:rsid w:val="00A6641B"/>
    <w:rsid w:val="00A74C54"/>
    <w:rsid w:val="00A77C49"/>
    <w:rsid w:val="00A80283"/>
    <w:rsid w:val="00A81DF1"/>
    <w:rsid w:val="00A84A41"/>
    <w:rsid w:val="00A87A9B"/>
    <w:rsid w:val="00A95E26"/>
    <w:rsid w:val="00A9788E"/>
    <w:rsid w:val="00AA1C16"/>
    <w:rsid w:val="00AB4052"/>
    <w:rsid w:val="00AB7A92"/>
    <w:rsid w:val="00AC4FE1"/>
    <w:rsid w:val="00AD22C7"/>
    <w:rsid w:val="00B020AD"/>
    <w:rsid w:val="00B03829"/>
    <w:rsid w:val="00B1045A"/>
    <w:rsid w:val="00B10C7A"/>
    <w:rsid w:val="00B11DDE"/>
    <w:rsid w:val="00B12083"/>
    <w:rsid w:val="00B14FE8"/>
    <w:rsid w:val="00B159FD"/>
    <w:rsid w:val="00B15BF0"/>
    <w:rsid w:val="00B169CC"/>
    <w:rsid w:val="00B24E8C"/>
    <w:rsid w:val="00B35908"/>
    <w:rsid w:val="00B456B2"/>
    <w:rsid w:val="00B57529"/>
    <w:rsid w:val="00B579CD"/>
    <w:rsid w:val="00B61412"/>
    <w:rsid w:val="00B63EE9"/>
    <w:rsid w:val="00B65016"/>
    <w:rsid w:val="00B74CB2"/>
    <w:rsid w:val="00B82B6B"/>
    <w:rsid w:val="00B9107B"/>
    <w:rsid w:val="00B93D60"/>
    <w:rsid w:val="00BA13DD"/>
    <w:rsid w:val="00BA41E2"/>
    <w:rsid w:val="00BA653A"/>
    <w:rsid w:val="00BC55C4"/>
    <w:rsid w:val="00BC5FDF"/>
    <w:rsid w:val="00BF6D52"/>
    <w:rsid w:val="00C01FEE"/>
    <w:rsid w:val="00C0588B"/>
    <w:rsid w:val="00C11AE3"/>
    <w:rsid w:val="00C17188"/>
    <w:rsid w:val="00C24E0B"/>
    <w:rsid w:val="00C35271"/>
    <w:rsid w:val="00C359C5"/>
    <w:rsid w:val="00C40728"/>
    <w:rsid w:val="00C40A96"/>
    <w:rsid w:val="00C41C00"/>
    <w:rsid w:val="00C466D2"/>
    <w:rsid w:val="00C62B6E"/>
    <w:rsid w:val="00C62BA0"/>
    <w:rsid w:val="00C72FFD"/>
    <w:rsid w:val="00C74AC1"/>
    <w:rsid w:val="00C93158"/>
    <w:rsid w:val="00CA3080"/>
    <w:rsid w:val="00CA37E6"/>
    <w:rsid w:val="00CA5F84"/>
    <w:rsid w:val="00CB0A7C"/>
    <w:rsid w:val="00CC07D2"/>
    <w:rsid w:val="00CC1A13"/>
    <w:rsid w:val="00CC41BC"/>
    <w:rsid w:val="00CD1949"/>
    <w:rsid w:val="00CD5069"/>
    <w:rsid w:val="00CD77EF"/>
    <w:rsid w:val="00CE0035"/>
    <w:rsid w:val="00CE1595"/>
    <w:rsid w:val="00CE655E"/>
    <w:rsid w:val="00D0699F"/>
    <w:rsid w:val="00D1666E"/>
    <w:rsid w:val="00D25EF0"/>
    <w:rsid w:val="00D34C38"/>
    <w:rsid w:val="00D36D10"/>
    <w:rsid w:val="00D43239"/>
    <w:rsid w:val="00D50CE2"/>
    <w:rsid w:val="00D51C1C"/>
    <w:rsid w:val="00D539D8"/>
    <w:rsid w:val="00D57830"/>
    <w:rsid w:val="00D579A8"/>
    <w:rsid w:val="00D638A7"/>
    <w:rsid w:val="00D67FF7"/>
    <w:rsid w:val="00D70A1B"/>
    <w:rsid w:val="00D87ED1"/>
    <w:rsid w:val="00D97C69"/>
    <w:rsid w:val="00DB7276"/>
    <w:rsid w:val="00DC6D03"/>
    <w:rsid w:val="00DF2487"/>
    <w:rsid w:val="00DF5280"/>
    <w:rsid w:val="00E00651"/>
    <w:rsid w:val="00E02E33"/>
    <w:rsid w:val="00E27012"/>
    <w:rsid w:val="00E44450"/>
    <w:rsid w:val="00E4485F"/>
    <w:rsid w:val="00E47722"/>
    <w:rsid w:val="00E559C0"/>
    <w:rsid w:val="00E56173"/>
    <w:rsid w:val="00E70DB2"/>
    <w:rsid w:val="00E73E50"/>
    <w:rsid w:val="00E74D38"/>
    <w:rsid w:val="00E802B4"/>
    <w:rsid w:val="00E840E2"/>
    <w:rsid w:val="00E96AB4"/>
    <w:rsid w:val="00EB144D"/>
    <w:rsid w:val="00EB35D7"/>
    <w:rsid w:val="00EC46B9"/>
    <w:rsid w:val="00EE3193"/>
    <w:rsid w:val="00EE4D5C"/>
    <w:rsid w:val="00F0102E"/>
    <w:rsid w:val="00F02A84"/>
    <w:rsid w:val="00F03534"/>
    <w:rsid w:val="00F11A28"/>
    <w:rsid w:val="00F17DF1"/>
    <w:rsid w:val="00F24A99"/>
    <w:rsid w:val="00F35313"/>
    <w:rsid w:val="00F40976"/>
    <w:rsid w:val="00F4621E"/>
    <w:rsid w:val="00F530F1"/>
    <w:rsid w:val="00F578E7"/>
    <w:rsid w:val="00F7334B"/>
    <w:rsid w:val="00F76EAC"/>
    <w:rsid w:val="00F9398B"/>
    <w:rsid w:val="00FA1C33"/>
    <w:rsid w:val="00FA2E64"/>
    <w:rsid w:val="00FA6A8F"/>
    <w:rsid w:val="00FC3656"/>
    <w:rsid w:val="00FC7012"/>
    <w:rsid w:val="00FD17D7"/>
    <w:rsid w:val="00FF0407"/>
    <w:rsid w:val="00FF21D6"/>
    <w:rsid w:val="381140A7"/>
    <w:rsid w:val="49043EE9"/>
    <w:rsid w:val="77CD1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unhideWhenUsed/>
    <w:qFormat/>
    <w:uiPriority w:val="99"/>
    <w:pPr>
      <w:spacing w:after="120"/>
    </w:pPr>
  </w:style>
  <w:style w:type="paragraph" w:styleId="3">
    <w:name w:val="Body Text Indent"/>
    <w:basedOn w:val="1"/>
    <w:link w:val="14"/>
    <w:uiPriority w:val="0"/>
    <w:pPr>
      <w:spacing w:line="360" w:lineRule="auto"/>
      <w:ind w:firstLine="425"/>
    </w:pPr>
    <w:rPr>
      <w:sz w:val="24"/>
      <w:szCs w:val="20"/>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99"/>
    <w:rPr>
      <w:sz w:val="18"/>
      <w:szCs w:val="18"/>
    </w:rPr>
  </w:style>
  <w:style w:type="character" w:customStyle="1" w:styleId="11">
    <w:name w:val="页脚 字符"/>
    <w:basedOn w:val="9"/>
    <w:link w:val="4"/>
    <w:uiPriority w:val="99"/>
    <w:rPr>
      <w:sz w:val="18"/>
      <w:szCs w:val="18"/>
    </w:rPr>
  </w:style>
  <w:style w:type="paragraph" w:styleId="12">
    <w:name w:val="List Paragraph"/>
    <w:basedOn w:val="1"/>
    <w:qFormat/>
    <w:uiPriority w:val="34"/>
    <w:pPr>
      <w:ind w:firstLine="420" w:firstLineChars="200"/>
    </w:pPr>
  </w:style>
  <w:style w:type="paragraph" w:customStyle="1" w:styleId="13">
    <w:name w:val="段"/>
    <w:link w:val="15"/>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14">
    <w:name w:val="正文文本缩进 字符"/>
    <w:basedOn w:val="9"/>
    <w:link w:val="3"/>
    <w:uiPriority w:val="0"/>
    <w:rPr>
      <w:rFonts w:ascii="Times New Roman" w:hAnsi="Times New Roman" w:eastAsia="宋体" w:cs="Times New Roman"/>
      <w:sz w:val="24"/>
      <w:szCs w:val="20"/>
    </w:rPr>
  </w:style>
  <w:style w:type="character" w:customStyle="1" w:styleId="15">
    <w:name w:val="段 Char"/>
    <w:basedOn w:val="9"/>
    <w:link w:val="13"/>
    <w:qFormat/>
    <w:uiPriority w:val="0"/>
    <w:rPr>
      <w:rFonts w:ascii="宋体" w:hAnsi="Times New Roman" w:eastAsia="宋体" w:cs="Times New Roman"/>
      <w:kern w:val="0"/>
      <w:szCs w:val="20"/>
    </w:rPr>
  </w:style>
  <w:style w:type="character" w:customStyle="1" w:styleId="16">
    <w:name w:val="正文文本 字符"/>
    <w:basedOn w:val="9"/>
    <w:link w:val="2"/>
    <w:qFormat/>
    <w:uiPriority w:val="99"/>
    <w:rPr>
      <w:rFonts w:ascii="Times New Roman" w:hAnsi="Times New Roman" w:eastAsia="宋体" w:cs="Times New Roman"/>
      <w:szCs w:val="24"/>
    </w:rPr>
  </w:style>
  <w:style w:type="paragraph" w:customStyle="1" w:styleId="17">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8">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2622F-5107-4EBC-B43F-242E86816E6A}">
  <ds:schemaRefs/>
</ds:datastoreItem>
</file>

<file path=docProps/app.xml><?xml version="1.0" encoding="utf-8"?>
<Properties xmlns="http://schemas.openxmlformats.org/officeDocument/2006/extended-properties" xmlns:vt="http://schemas.openxmlformats.org/officeDocument/2006/docPropsVTypes">
  <Template>Normal</Template>
  <Pages>12</Pages>
  <Words>7738</Words>
  <Characters>8918</Characters>
  <Lines>68</Lines>
  <Paragraphs>19</Paragraphs>
  <TotalTime>11</TotalTime>
  <ScaleCrop>false</ScaleCrop>
  <LinksUpToDate>false</LinksUpToDate>
  <CharactersWithSpaces>9195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2020-01-05T11:55:00Z</dcterms:created>
  <dc:creator>XXX</dc:creator>
  <cp:lastModifiedBy>Administrator</cp:lastModifiedBy>
  <dcterms:modified xsi:type="dcterms:W3CDTF">2023-07-06T15:12:47Z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4CDC0D261EB347259ABA436E270DD22B_13</vt:lpwstr>
  </property>
</Properties>
</file>