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Cs/>
          <w:sz w:val="24"/>
        </w:rPr>
      </w:pPr>
      <w:r>
        <w:rPr>
          <w:rFonts w:ascii="黑体" w:eastAsia="黑体"/>
          <w:bCs/>
          <w:sz w:val="24"/>
        </w:rPr>
        <w:t>JJF</w:t>
      </w:r>
      <w:r>
        <w:rPr>
          <w:rFonts w:hint="eastAsia" w:ascii="黑体" w:eastAsia="黑体"/>
          <w:bCs/>
          <w:sz w:val="24"/>
        </w:rPr>
        <w:t>（有色金属）014-2022《塑料容量瓶校准规范》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rFonts w:ascii="黑体" w:hAnsi="宋体" w:eastAsia="黑体"/>
          <w:bCs/>
          <w:szCs w:val="21"/>
        </w:rPr>
      </w:pPr>
      <w:r>
        <w:rPr>
          <w:rFonts w:hint="eastAsia" w:ascii="黑体" w:hAnsi="宋体" w:eastAsia="黑体"/>
          <w:bCs/>
          <w:szCs w:val="21"/>
        </w:rPr>
        <w:t>一、工作简况</w:t>
      </w:r>
    </w:p>
    <w:p>
      <w:pPr>
        <w:spacing w:line="360" w:lineRule="auto"/>
        <w:rPr>
          <w:rFonts w:hAnsi="宋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立项目的</w:t>
      </w:r>
    </w:p>
    <w:p>
      <w:pPr>
        <w:spacing w:line="360" w:lineRule="auto"/>
        <w:ind w:firstLine="420" w:firstLineChars="200"/>
        <w:rPr>
          <w:rFonts w:hAnsi="宋体"/>
          <w:bCs/>
          <w:szCs w:val="21"/>
        </w:rPr>
      </w:pPr>
      <w:r>
        <w:rPr>
          <w:rFonts w:hAnsi="宋体"/>
          <w:bCs/>
          <w:szCs w:val="21"/>
        </w:rPr>
        <w:t>随着航空航天等领域的飞速发展，对材料分析的要求以及需求日益增多，其中金属材料领域中，钛合金、锆合金、铪合金的分析技术迅速发展，相关的检测标准也在逐步完善，而塑料容量瓶的使用在以上分析方法中必不可少。又如在环境检测领域，氟离子标准溶液的配置及储存，同样需要使用塑料容量瓶。</w:t>
      </w:r>
      <w:r>
        <w:rPr>
          <w:rFonts w:hint="eastAsia" w:hAnsi="宋体"/>
          <w:bCs/>
          <w:szCs w:val="21"/>
        </w:rPr>
        <w:t>随着塑料容量瓶的使用数量和种类越来越多，其容量的准确性也开始受到计量检测人员和企事业单位的关注。目前，塑料容量瓶的校准尚无国家校准规范，一些单位可能会参照 JJG 196-2006《常用玻璃量器检定规程》和JJG 646-2006《移液器检定规程》进行自校，但不同于玻璃量器，由于纯水在塑料容量瓶中受表面张力的影响接近为平液面，定容方式应取液面与容量瓶刻度线的上边缘相平。且塑料材质的体胀系数远大于玻璃材质，并且不同材质的塑料容量瓶其体胀系数也不同，导致其容量允差不尽相同，无法参照玻璃量器的容量允差。所提出的塑料容量瓶校准规范，能够适用于常见材质塑料容量瓶的校准，保证各个塑料容量瓶量值的准确，进而保证试验结果的可信度。</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.2</w:t>
      </w:r>
      <w:r>
        <w:rPr>
          <w:rFonts w:hint="eastAsia" w:ascii="黑体" w:hAnsi="宋体" w:eastAsia="黑体"/>
          <w:bCs/>
          <w:szCs w:val="21"/>
        </w:rPr>
        <w:t>任务来源</w:t>
      </w:r>
    </w:p>
    <w:p>
      <w:pPr>
        <w:pStyle w:val="11"/>
        <w:spacing w:after="0" w:line="360" w:lineRule="auto"/>
        <w:ind w:firstLine="420" w:firstLineChars="200"/>
        <w:rPr>
          <w:rFonts w:hAnsi="宋体"/>
          <w:bCs/>
          <w:szCs w:val="21"/>
        </w:rPr>
      </w:pPr>
      <w:r>
        <w:rPr>
          <w:rFonts w:hint="eastAsia" w:hAnsi="宋体"/>
          <w:bCs/>
          <w:szCs w:val="21"/>
        </w:rPr>
        <w:t>根据工业和信息化部《关于印发2022年行业计量技术规范制修订计划的通知》（工厅科［2022］464号）文的要求，行业计量技术规范《塑料容量瓶校准规范》由</w:t>
      </w:r>
      <w:r>
        <w:rPr>
          <w:rFonts w:hint="eastAsia"/>
          <w:szCs w:val="21"/>
        </w:rPr>
        <w:t>西安汉唐分析检测有限公司</w:t>
      </w:r>
      <w:r>
        <w:rPr>
          <w:rFonts w:hint="eastAsia" w:hAnsi="宋体"/>
          <w:bCs/>
          <w:szCs w:val="21"/>
        </w:rPr>
        <w:t>负责起草。该项目计划编号为</w:t>
      </w:r>
      <w:r>
        <w:rPr>
          <w:rFonts w:hAnsi="宋体"/>
          <w:bCs/>
          <w:szCs w:val="21"/>
        </w:rPr>
        <w:t>JJF</w:t>
      </w:r>
      <w:r>
        <w:rPr>
          <w:rFonts w:hint="eastAsia" w:hAnsi="宋体"/>
          <w:bCs/>
          <w:szCs w:val="21"/>
        </w:rPr>
        <w:t>（有色金属）014-2</w:t>
      </w:r>
      <w:r>
        <w:rPr>
          <w:rFonts w:hAnsi="宋体"/>
          <w:bCs/>
          <w:szCs w:val="21"/>
        </w:rPr>
        <w:t>02</w:t>
      </w:r>
      <w:r>
        <w:rPr>
          <w:rFonts w:hint="eastAsia" w:hAnsi="宋体"/>
          <w:bCs/>
          <w:szCs w:val="21"/>
        </w:rPr>
        <w:t>2，按计划要求，本计量规范应于</w:t>
      </w:r>
      <w:r>
        <w:rPr>
          <w:rFonts w:hAnsi="宋体"/>
          <w:bCs/>
          <w:szCs w:val="21"/>
        </w:rPr>
        <w:t>202</w:t>
      </w:r>
      <w:r>
        <w:rPr>
          <w:rFonts w:hint="eastAsia" w:hAnsi="宋体"/>
          <w:bCs/>
          <w:szCs w:val="21"/>
        </w:rPr>
        <w:t>4年完成。</w:t>
      </w:r>
    </w:p>
    <w:p>
      <w:pPr>
        <w:pStyle w:val="11"/>
        <w:spacing w:after="0" w:line="360" w:lineRule="auto"/>
        <w:rPr>
          <w:rFonts w:ascii="黑体" w:hAnsi="宋体" w:eastAsia="黑体"/>
          <w:bCs/>
          <w:szCs w:val="21"/>
        </w:rPr>
      </w:pPr>
      <w:r>
        <w:rPr>
          <w:rFonts w:ascii="黑体" w:hAnsi="宋体" w:eastAsia="黑体"/>
          <w:bCs/>
          <w:szCs w:val="21"/>
        </w:rPr>
        <w:t>1.</w:t>
      </w:r>
      <w:r>
        <w:rPr>
          <w:rFonts w:hint="eastAsia" w:ascii="黑体" w:hAnsi="宋体" w:eastAsia="黑体"/>
          <w:bCs/>
          <w:szCs w:val="21"/>
        </w:rPr>
        <w:t>3承担单位情况</w:t>
      </w:r>
    </w:p>
    <w:p>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pPr>
        <w:pStyle w:val="11"/>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pPr>
        <w:pStyle w:val="11"/>
        <w:spacing w:after="0" w:line="360" w:lineRule="auto"/>
        <w:rPr>
          <w:rFonts w:ascii="黑体" w:eastAsia="黑体"/>
          <w:bCs/>
          <w:szCs w:val="21"/>
        </w:rPr>
      </w:pPr>
      <w:r>
        <w:rPr>
          <w:rFonts w:ascii="黑体" w:eastAsia="黑体"/>
          <w:bCs/>
          <w:szCs w:val="21"/>
        </w:rPr>
        <w:t>1.</w:t>
      </w:r>
      <w:r>
        <w:rPr>
          <w:rFonts w:hint="eastAsia" w:ascii="黑体" w:eastAsia="黑体"/>
          <w:bCs/>
          <w:szCs w:val="21"/>
        </w:rPr>
        <w:t>4</w:t>
      </w:r>
      <w:r>
        <w:rPr>
          <w:rFonts w:hint="eastAsia" w:ascii="黑体" w:hAnsi="宋体" w:eastAsia="黑体"/>
          <w:bCs/>
          <w:szCs w:val="21"/>
        </w:rPr>
        <w:t>主要工作过程</w:t>
      </w:r>
    </w:p>
    <w:p>
      <w:pPr>
        <w:spacing w:line="360" w:lineRule="auto"/>
        <w:ind w:firstLine="420" w:firstLineChars="20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bCs/>
        </w:rPr>
      </w:pPr>
      <w:r>
        <w:rPr>
          <w:rFonts w:hint="eastAsia"/>
          <w:bCs/>
        </w:rPr>
        <w:t>1）</w:t>
      </w:r>
      <w:r>
        <w:rPr>
          <w:bCs/>
        </w:rPr>
        <w:t>20</w:t>
      </w:r>
      <w:r>
        <w:rPr>
          <w:rFonts w:hint="eastAsia"/>
          <w:bCs/>
        </w:rPr>
        <w:t>22年8月成立了计量规范编制组，明确了编制组成员各自的工作内容和任务。</w:t>
      </w:r>
    </w:p>
    <w:p>
      <w:pPr>
        <w:spacing w:line="360" w:lineRule="auto"/>
        <w:ind w:firstLine="210" w:firstLineChars="100"/>
        <w:rPr>
          <w:rFonts w:hint="eastAsia"/>
          <w:bCs/>
        </w:rPr>
      </w:pPr>
      <w:r>
        <w:rPr>
          <w:rFonts w:hint="eastAsia"/>
          <w:bCs/>
        </w:rPr>
        <w:t>2）</w:t>
      </w:r>
      <w:r>
        <w:rPr>
          <w:bCs/>
        </w:rPr>
        <w:t>20</w:t>
      </w:r>
      <w:r>
        <w:rPr>
          <w:rFonts w:hint="eastAsia"/>
          <w:bCs/>
        </w:rPr>
        <w:t>22年9月～2023年4月计量规范编制组成员对有塑料容量瓶校准规范中的计量特性及校准方法进行了讨论，确定了校准项目和方法，在</w:t>
      </w:r>
      <w:r>
        <w:rPr>
          <w:bCs/>
        </w:rPr>
        <w:t>202</w:t>
      </w:r>
      <w:r>
        <w:rPr>
          <w:rFonts w:hint="eastAsia"/>
          <w:bCs/>
        </w:rPr>
        <w:t>3年4月形成了计量规范讨论稿。</w:t>
      </w:r>
    </w:p>
    <w:p>
      <w:pPr>
        <w:spacing w:line="360" w:lineRule="auto"/>
        <w:ind w:firstLine="210" w:firstLineChars="100"/>
        <w:rPr>
          <w:rFonts w:hint="eastAsia"/>
        </w:rPr>
      </w:pPr>
      <w:r>
        <w:rPr>
          <w:rFonts w:hint="eastAsia"/>
          <w:bCs/>
        </w:rPr>
        <w:t>3）2023年5月8日~10日，在陕西省西安市西安华山酒店召开有色金属计量技术规范研讨会，</w:t>
      </w:r>
      <w:r>
        <w:rPr>
          <w:rFonts w:hint="eastAsia"/>
          <w:szCs w:val="21"/>
        </w:rPr>
        <w:t>会上对《塑料容量瓶校准规范-讨论稿》等15项有色金属行业计量技术规范进行了讨论，会上有来自不同单位的计量委员会委员、专家、代表对《塑料容量瓶校准规范-讨论稿》提出了修改建议和意见，</w:t>
      </w:r>
      <w:r>
        <w:rPr>
          <w:rFonts w:hint="eastAsia"/>
        </w:rPr>
        <w:t>会上确定了项目负责起草单位、起草单位及一验、二验单位，明确了各项工作时间进度要求。</w:t>
      </w:r>
      <w:r>
        <w:rPr>
          <w:rFonts w:hint="eastAsia"/>
          <w:lang w:val="en-US" w:eastAsia="zh-CN"/>
        </w:rPr>
        <w:t>修改形成征求意见稿。</w:t>
      </w:r>
      <w:bookmarkStart w:id="61" w:name="_GoBack"/>
      <w:bookmarkEnd w:id="61"/>
    </w:p>
    <w:p>
      <w:pPr>
        <w:spacing w:line="360" w:lineRule="auto"/>
        <w:ind w:firstLine="420" w:firstLineChars="200"/>
        <w:jc w:val="left"/>
        <w:rPr>
          <w:szCs w:val="21"/>
        </w:rPr>
      </w:pPr>
      <w:r>
        <w:rPr>
          <w:szCs w:val="21"/>
        </w:rPr>
        <w:t>主要讨论和修改的具体意见如下：</w:t>
      </w:r>
    </w:p>
    <w:p>
      <w:pPr>
        <w:spacing w:line="360" w:lineRule="auto"/>
        <w:ind w:firstLine="210" w:firstLineChars="100"/>
        <w:rPr>
          <w:rFonts w:hint="eastAsia"/>
          <w:szCs w:val="21"/>
        </w:rPr>
      </w:pPr>
      <w:r>
        <w:rPr>
          <w:rFonts w:hint="eastAsia"/>
          <w:bCs/>
        </w:rPr>
        <w:t xml:space="preserve">  1、4.1章节，</w:t>
      </w:r>
      <w:r>
        <w:rPr>
          <w:rFonts w:hint="eastAsia"/>
          <w:szCs w:val="21"/>
        </w:rPr>
        <w:t>删去计量特性中“密合性”，建议增加外观要求；</w:t>
      </w:r>
    </w:p>
    <w:p>
      <w:pPr>
        <w:spacing w:line="360" w:lineRule="auto"/>
        <w:ind w:firstLine="210" w:firstLineChars="100"/>
        <w:rPr>
          <w:rFonts w:hint="eastAsia"/>
          <w:szCs w:val="21"/>
        </w:rPr>
      </w:pPr>
      <w:r>
        <w:rPr>
          <w:rFonts w:hint="eastAsia"/>
          <w:szCs w:val="21"/>
        </w:rPr>
        <w:t xml:space="preserve">  2、增加计量特性中增加容量瓶具体容量误差；</w:t>
      </w:r>
    </w:p>
    <w:p>
      <w:pPr>
        <w:spacing w:line="360" w:lineRule="auto"/>
        <w:ind w:firstLine="210" w:firstLineChars="100"/>
        <w:rPr>
          <w:rFonts w:hint="eastAsia"/>
          <w:szCs w:val="21"/>
        </w:rPr>
      </w:pPr>
      <w:r>
        <w:rPr>
          <w:rFonts w:hint="eastAsia"/>
          <w:szCs w:val="21"/>
        </w:rPr>
        <w:t xml:space="preserve">  3、6.1章节计量特性中增加容量瓶具体容量误差；</w:t>
      </w:r>
    </w:p>
    <w:p>
      <w:pPr>
        <w:spacing w:line="360" w:lineRule="auto"/>
        <w:ind w:firstLine="210" w:firstLineChars="100"/>
        <w:rPr>
          <w:szCs w:val="21"/>
        </w:rPr>
      </w:pPr>
      <w:r>
        <w:rPr>
          <w:rFonts w:hint="eastAsia"/>
          <w:szCs w:val="21"/>
        </w:rPr>
        <w:t xml:space="preserve">  4、6.2.4章节增加容量瓶容量误差计算公式。</w:t>
      </w:r>
    </w:p>
    <w:p>
      <w:pPr>
        <w:spacing w:line="360"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11"/>
        <w:spacing w:after="0" w:line="360" w:lineRule="auto"/>
        <w:rPr>
          <w:rFonts w:ascii="黑体" w:eastAsia="黑体"/>
          <w:bCs/>
          <w:szCs w:val="21"/>
        </w:rPr>
      </w:pPr>
      <w:r>
        <w:rPr>
          <w:rFonts w:ascii="黑体" w:eastAsia="黑体"/>
          <w:bCs/>
          <w:szCs w:val="21"/>
        </w:rPr>
        <w:t>2.1</w:t>
      </w:r>
      <w:r>
        <w:rPr>
          <w:rFonts w:hint="eastAsia" w:ascii="黑体" w:hAnsi="宋体" w:eastAsia="黑体"/>
          <w:bCs/>
          <w:szCs w:val="21"/>
        </w:rPr>
        <w:t>规范编制原则</w:t>
      </w:r>
    </w:p>
    <w:p>
      <w:pPr>
        <w:pStyle w:val="25"/>
        <w:spacing w:line="324" w:lineRule="auto"/>
        <w:ind w:firstLine="619" w:firstLineChars="295"/>
        <w:rPr>
          <w:rFonts w:ascii="Times New Roman"/>
          <w:kern w:val="2"/>
          <w:szCs w:val="21"/>
        </w:rPr>
      </w:pPr>
      <w:r>
        <w:rPr>
          <w:rFonts w:hint="eastAsia" w:ascii="Times New Roman"/>
          <w:kern w:val="2"/>
          <w:szCs w:val="21"/>
        </w:rPr>
        <w:t>本规范是以</w:t>
      </w:r>
      <w:r>
        <w:rPr>
          <w:rFonts w:ascii="Times New Roman"/>
          <w:kern w:val="2"/>
          <w:szCs w:val="21"/>
        </w:rPr>
        <w:t>JJF 1071-2010</w:t>
      </w:r>
      <w:r>
        <w:rPr>
          <w:rFonts w:hint="eastAsia" w:ascii="Times New Roman"/>
          <w:kern w:val="2"/>
          <w:szCs w:val="21"/>
        </w:rPr>
        <w:t>《国家计量校准规范编写规则》、JJF 1001-2011《通用计量术语及定义》和JJF 1059.1-2012《测量不确定度评定与表示》为基础性系列规范进行编写。</w:t>
      </w:r>
    </w:p>
    <w:p>
      <w:pPr>
        <w:spacing w:line="360" w:lineRule="auto"/>
        <w:ind w:firstLine="420" w:firstLineChars="200"/>
        <w:rPr>
          <w:szCs w:val="21"/>
        </w:rPr>
      </w:pPr>
      <w:r>
        <w:rPr>
          <w:rFonts w:hint="eastAsia"/>
          <w:szCs w:val="21"/>
        </w:rPr>
        <w:t xml:space="preserve">本规范引用了JJG 196 常用玻璃量器检定规程和JJG 646 </w:t>
      </w:r>
      <w:bookmarkStart w:id="0" w:name="_Hlk37535606"/>
      <w:r>
        <w:rPr>
          <w:rFonts w:hint="eastAsia"/>
          <w:szCs w:val="21"/>
        </w:rPr>
        <w:t>移液器检定规程</w:t>
      </w:r>
      <w:bookmarkEnd w:id="0"/>
      <w:r>
        <w:rPr>
          <w:rFonts w:hint="eastAsia"/>
          <w:szCs w:val="21"/>
        </w:rPr>
        <w:t>计</w:t>
      </w:r>
      <w:r>
        <w:rPr>
          <w:szCs w:val="21"/>
        </w:rPr>
        <w:t>量特性等相关内容。</w:t>
      </w:r>
    </w:p>
    <w:p>
      <w:pPr>
        <w:spacing w:line="360" w:lineRule="auto"/>
        <w:rPr>
          <w:rFonts w:ascii="黑体" w:hAnsi="宋体" w:eastAsia="黑体"/>
          <w:bCs/>
          <w:szCs w:val="21"/>
        </w:rPr>
      </w:pPr>
      <w:r>
        <w:rPr>
          <w:rFonts w:ascii="黑体" w:eastAsia="黑体"/>
          <w:bCs/>
          <w:szCs w:val="21"/>
        </w:rPr>
        <w:t>2.2</w:t>
      </w:r>
      <w:r>
        <w:rPr>
          <w:rFonts w:hint="eastAsia" w:ascii="黑体" w:hAnsi="宋体" w:eastAsia="黑体"/>
          <w:bCs/>
          <w:szCs w:val="21"/>
        </w:rPr>
        <w:t>制定规范主要内容的论据</w:t>
      </w:r>
    </w:p>
    <w:p>
      <w:pPr>
        <w:pStyle w:val="30"/>
        <w:numPr>
          <w:ilvl w:val="0"/>
          <w:numId w:val="0"/>
        </w:numPr>
        <w:spacing w:beforeLines="0" w:afterLines="0" w:line="360" w:lineRule="auto"/>
        <w:rPr>
          <w:rFonts w:ascii="Times New Roman"/>
          <w:szCs w:val="21"/>
        </w:rPr>
      </w:pPr>
      <w:bookmarkStart w:id="1" w:name="_Toc193860027"/>
      <w:bookmarkStart w:id="2" w:name="_Toc500258929"/>
      <w:bookmarkStart w:id="3" w:name="_Toc23837_WPSOffice_Level1"/>
      <w:bookmarkStart w:id="4" w:name="_Toc193860177"/>
      <w:bookmarkStart w:id="5" w:name="_Toc193860208"/>
      <w:bookmarkStart w:id="6" w:name="_Toc464728964"/>
      <w:r>
        <w:rPr>
          <w:rFonts w:hint="eastAsia" w:ascii="Times New Roman"/>
          <w:szCs w:val="21"/>
        </w:rPr>
        <w:t>2.2.</w:t>
      </w:r>
      <w:r>
        <w:rPr>
          <w:rFonts w:ascii="Times New Roman"/>
          <w:szCs w:val="21"/>
        </w:rPr>
        <w:t>1</w:t>
      </w:r>
      <w:r>
        <w:rPr>
          <w:rFonts w:hint="eastAsia" w:ascii="Times New Roman"/>
          <w:szCs w:val="21"/>
        </w:rPr>
        <w:t xml:space="preserve"> 范围</w:t>
      </w:r>
      <w:bookmarkEnd w:id="1"/>
      <w:bookmarkEnd w:id="2"/>
      <w:bookmarkEnd w:id="3"/>
      <w:bookmarkEnd w:id="4"/>
      <w:bookmarkEnd w:id="5"/>
    </w:p>
    <w:p>
      <w:pPr>
        <w:spacing w:line="360" w:lineRule="auto"/>
        <w:ind w:firstLine="420" w:firstLineChars="200"/>
        <w:rPr>
          <w:rFonts w:eastAsiaTheme="minorEastAsia"/>
          <w:kern w:val="0"/>
          <w:szCs w:val="21"/>
        </w:rPr>
      </w:pPr>
      <w:bookmarkStart w:id="7" w:name="_Toc193860178"/>
      <w:bookmarkStart w:id="8" w:name="_Toc193860028"/>
      <w:bookmarkStart w:id="9" w:name="_Toc193860209"/>
      <w:bookmarkStart w:id="10" w:name="_Toc7848_WPSOffice_Level1"/>
      <w:bookmarkStart w:id="11" w:name="_Toc500258930"/>
      <w:r>
        <w:rPr>
          <w:rFonts w:hint="eastAsia" w:eastAsiaTheme="minorEastAsia"/>
          <w:kern w:val="0"/>
          <w:szCs w:val="21"/>
        </w:rPr>
        <w:t>本规范适用于适用于聚丙烯(PP)、聚甲基戊烯(PMP)、过氟烷氧基(PFA)塑料容量瓶校准。</w:t>
      </w:r>
    </w:p>
    <w:p>
      <w:pPr>
        <w:pStyle w:val="30"/>
        <w:numPr>
          <w:ilvl w:val="0"/>
          <w:numId w:val="0"/>
        </w:numPr>
        <w:spacing w:beforeLines="0" w:afterLines="0" w:line="360" w:lineRule="auto"/>
        <w:rPr>
          <w:rFonts w:ascii="Times New Roman"/>
          <w:szCs w:val="21"/>
        </w:rPr>
      </w:pPr>
      <w:r>
        <w:rPr>
          <w:rFonts w:ascii="Times New Roman"/>
          <w:szCs w:val="21"/>
        </w:rPr>
        <w:t>2</w:t>
      </w:r>
      <w:r>
        <w:rPr>
          <w:rFonts w:hint="eastAsia" w:ascii="Times New Roman"/>
          <w:szCs w:val="21"/>
        </w:rPr>
        <w:t>.2.2引用文</w:t>
      </w:r>
      <w:bookmarkEnd w:id="7"/>
      <w:bookmarkEnd w:id="8"/>
      <w:bookmarkEnd w:id="9"/>
      <w:r>
        <w:rPr>
          <w:rFonts w:hint="eastAsia" w:ascii="Times New Roman"/>
          <w:szCs w:val="21"/>
        </w:rPr>
        <w:t>件</w:t>
      </w:r>
      <w:bookmarkEnd w:id="10"/>
      <w:bookmarkEnd w:id="11"/>
    </w:p>
    <w:p>
      <w:pPr>
        <w:pStyle w:val="30"/>
        <w:numPr>
          <w:ilvl w:val="0"/>
          <w:numId w:val="0"/>
        </w:numPr>
        <w:spacing w:beforeLines="0" w:afterLines="0" w:line="360" w:lineRule="auto"/>
        <w:ind w:firstLine="400" w:firstLineChars="200"/>
        <w:rPr>
          <w:rFonts w:eastAsiaTheme="minorEastAsia"/>
          <w:szCs w:val="21"/>
        </w:rPr>
      </w:pPr>
      <w:bookmarkStart w:id="12" w:name="_Toc13054_WPSOffice_Level1"/>
      <w:bookmarkStart w:id="13" w:name="_Toc193860030"/>
      <w:bookmarkStart w:id="14" w:name="_Toc193619055"/>
      <w:bookmarkStart w:id="15" w:name="_Toc193618952"/>
      <w:bookmarkStart w:id="16" w:name="_Toc193860211"/>
      <w:bookmarkStart w:id="17" w:name="_Toc500258937"/>
      <w:bookmarkStart w:id="18" w:name="_Toc193860180"/>
      <w:bookmarkStart w:id="19" w:name="_Toc193619097"/>
      <w:r>
        <w:rPr>
          <w:rFonts w:hint="eastAsia" w:eastAsiaTheme="minorEastAsia"/>
          <w:szCs w:val="21"/>
        </w:rPr>
        <w:t>本规范主要引用了JJG 196 常用玻璃量器检定规程和JJG 646 移液器检定规程。</w:t>
      </w:r>
    </w:p>
    <w:p>
      <w:pPr>
        <w:pStyle w:val="30"/>
        <w:numPr>
          <w:ilvl w:val="0"/>
          <w:numId w:val="0"/>
        </w:numPr>
        <w:spacing w:beforeLines="0" w:afterLines="0" w:line="360" w:lineRule="auto"/>
        <w:rPr>
          <w:rFonts w:ascii="Times New Roman"/>
          <w:szCs w:val="21"/>
        </w:rPr>
      </w:pPr>
      <w:r>
        <w:rPr>
          <w:rFonts w:hint="eastAsia" w:ascii="Times New Roman"/>
          <w:szCs w:val="21"/>
        </w:rPr>
        <w:t>2.2.3 概述</w:t>
      </w:r>
      <w:bookmarkEnd w:id="12"/>
      <w:bookmarkEnd w:id="13"/>
      <w:bookmarkEnd w:id="14"/>
      <w:bookmarkEnd w:id="15"/>
      <w:bookmarkEnd w:id="16"/>
      <w:bookmarkEnd w:id="17"/>
      <w:bookmarkEnd w:id="18"/>
      <w:bookmarkEnd w:id="19"/>
    </w:p>
    <w:p>
      <w:pPr>
        <w:autoSpaceDE w:val="0"/>
        <w:autoSpaceDN w:val="0"/>
        <w:adjustRightInd w:val="0"/>
        <w:spacing w:line="440" w:lineRule="exact"/>
        <w:ind w:firstLine="420" w:firstLineChars="200"/>
      </w:pPr>
      <w:r>
        <w:rPr>
          <w:rFonts w:hint="eastAsia" w:eastAsiaTheme="minorEastAsia"/>
          <w:kern w:val="0"/>
          <w:szCs w:val="21"/>
        </w:rPr>
        <w:t>塑料容量瓶主要用于环保、科研、材料检测等领域，多用于一些特殊的分析方法，避免受到玻璃材质的干扰，常见的塑料容量瓶材质主要有聚丙烯(PP)、聚甲基戊烯(PMP)、过氟烷氧基(PFA)。</w:t>
      </w:r>
    </w:p>
    <w:p>
      <w:pPr>
        <w:pStyle w:val="30"/>
        <w:numPr>
          <w:ilvl w:val="0"/>
          <w:numId w:val="0"/>
        </w:numPr>
        <w:spacing w:before="156" w:afterLines="0" w:line="360" w:lineRule="auto"/>
        <w:rPr>
          <w:rFonts w:ascii="Times New Roman"/>
          <w:szCs w:val="21"/>
        </w:rPr>
      </w:pPr>
      <w:bookmarkStart w:id="20" w:name="_Toc193619056"/>
      <w:bookmarkStart w:id="21" w:name="_Toc500258938"/>
      <w:bookmarkStart w:id="22" w:name="_Toc193860181"/>
      <w:bookmarkStart w:id="23" w:name="_Toc193860031"/>
      <w:bookmarkStart w:id="24" w:name="_Toc19851_WPSOffice_Level1"/>
      <w:bookmarkStart w:id="25" w:name="_Toc193619098"/>
      <w:bookmarkStart w:id="26" w:name="_Toc193860212"/>
      <w:bookmarkStart w:id="27" w:name="_Toc193618953"/>
      <w:r>
        <w:rPr>
          <w:rFonts w:hint="eastAsia" w:ascii="Times New Roman"/>
          <w:szCs w:val="21"/>
        </w:rPr>
        <w:t xml:space="preserve">2.2.4 </w:t>
      </w:r>
      <w:bookmarkEnd w:id="20"/>
      <w:bookmarkEnd w:id="21"/>
      <w:bookmarkEnd w:id="22"/>
      <w:bookmarkEnd w:id="23"/>
      <w:bookmarkEnd w:id="24"/>
      <w:bookmarkEnd w:id="25"/>
      <w:bookmarkEnd w:id="26"/>
      <w:bookmarkEnd w:id="27"/>
      <w:r>
        <w:rPr>
          <w:rFonts w:hint="eastAsia" w:ascii="Times New Roman"/>
          <w:szCs w:val="21"/>
        </w:rPr>
        <w:t>通用技术要求</w:t>
      </w:r>
    </w:p>
    <w:p>
      <w:pPr>
        <w:spacing w:line="360" w:lineRule="auto"/>
        <w:rPr>
          <w:rFonts w:eastAsiaTheme="minorEastAsia"/>
          <w:szCs w:val="21"/>
        </w:rPr>
      </w:pPr>
      <w:r>
        <w:rPr>
          <w:rFonts w:hint="eastAsia" w:eastAsiaTheme="minorEastAsia"/>
          <w:szCs w:val="21"/>
        </w:rPr>
        <w:t>2.2.4.1 外观：</w:t>
      </w:r>
    </w:p>
    <w:p>
      <w:pPr>
        <w:spacing w:line="360" w:lineRule="auto"/>
        <w:rPr>
          <w:rFonts w:eastAsiaTheme="minorEastAsia"/>
          <w:szCs w:val="21"/>
        </w:rPr>
      </w:pPr>
      <w:r>
        <w:rPr>
          <w:rFonts w:hint="eastAsia" w:eastAsiaTheme="minorEastAsia"/>
          <w:szCs w:val="21"/>
        </w:rPr>
        <w:t>2.2.4.2密合性：</w:t>
      </w:r>
    </w:p>
    <w:p>
      <w:pPr>
        <w:pStyle w:val="30"/>
        <w:numPr>
          <w:ilvl w:val="0"/>
          <w:numId w:val="0"/>
        </w:numPr>
        <w:spacing w:before="156" w:after="156" w:line="360" w:lineRule="auto"/>
        <w:rPr>
          <w:rFonts w:hint="eastAsia" w:ascii="Times New Roman"/>
          <w:szCs w:val="21"/>
        </w:rPr>
      </w:pPr>
      <w:bookmarkStart w:id="28" w:name="_Toc25829_WPSOffice_Level1"/>
      <w:r>
        <w:rPr>
          <w:rFonts w:hint="eastAsia" w:ascii="Times New Roman"/>
          <w:szCs w:val="21"/>
        </w:rPr>
        <w:t>2.2.5 计量特性</w:t>
      </w:r>
    </w:p>
    <w:p>
      <w:pPr>
        <w:spacing w:line="360" w:lineRule="auto"/>
        <w:ind w:firstLine="480" w:firstLineChars="200"/>
        <w:rPr>
          <w:sz w:val="24"/>
        </w:rPr>
      </w:pPr>
      <w:r>
        <w:rPr>
          <w:rFonts w:hint="eastAsia"/>
          <w:sz w:val="24"/>
        </w:rPr>
        <w:t>在标准温度20℃时，常见塑料容量瓶的标称容量允差应符合表1-表3的规定。</w:t>
      </w:r>
    </w:p>
    <w:p>
      <w:pPr>
        <w:pStyle w:val="30"/>
        <w:spacing w:before="156" w:after="156" w:line="360" w:lineRule="auto"/>
        <w:jc w:val="center"/>
        <w:rPr>
          <w:rFonts w:ascii="Times New Roman" w:eastAsia="宋体"/>
          <w:kern w:val="2"/>
          <w:sz w:val="24"/>
          <w:szCs w:val="24"/>
        </w:rPr>
      </w:pPr>
      <w:r>
        <w:rPr>
          <w:rFonts w:hint="eastAsia" w:ascii="Times New Roman" w:eastAsia="宋体"/>
          <w:kern w:val="2"/>
          <w:sz w:val="24"/>
          <w:szCs w:val="24"/>
        </w:rPr>
        <w:t xml:space="preserve">表1  </w:t>
      </w:r>
      <w:r>
        <w:rPr>
          <w:rFonts w:hint="eastAsia" w:ascii="Times New Roman"/>
          <w:kern w:val="2"/>
          <w:sz w:val="24"/>
          <w:szCs w:val="24"/>
        </w:rPr>
        <w:t>VITLAB</w:t>
      </w:r>
      <w:r>
        <w:rPr>
          <w:rFonts w:hint="eastAsia" w:ascii="Times New Roman" w:eastAsia="宋体"/>
          <w:kern w:val="2"/>
          <w:sz w:val="24"/>
          <w:szCs w:val="24"/>
        </w:rPr>
        <w:t>单标线容量瓶计量要求</w:t>
      </w:r>
    </w:p>
    <w:tbl>
      <w:tblPr>
        <w:tblStyle w:val="16"/>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903"/>
        <w:gridCol w:w="903"/>
        <w:gridCol w:w="904"/>
        <w:gridCol w:w="904"/>
        <w:gridCol w:w="904"/>
        <w:gridCol w:w="904"/>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244" w:type="dxa"/>
            <w:gridSpan w:val="8"/>
          </w:tcPr>
          <w:p>
            <w:pPr>
              <w:pStyle w:val="25"/>
              <w:ind w:firstLine="480"/>
              <w:jc w:val="center"/>
              <w:rPr>
                <w:rFonts w:ascii="Times New Roman"/>
                <w:kern w:val="2"/>
                <w:sz w:val="24"/>
                <w:szCs w:val="24"/>
              </w:rPr>
            </w:pPr>
            <w:r>
              <w:rPr>
                <w:rFonts w:hint="eastAsia" w:ascii="Times New Roman"/>
                <w:kern w:val="2"/>
                <w:sz w:val="24"/>
                <w:szCs w:val="24"/>
              </w:rPr>
              <w:t>材质：PMP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879" w:type="dxa"/>
            <w:vAlign w:val="center"/>
          </w:tcPr>
          <w:p>
            <w:pPr>
              <w:jc w:val="center"/>
            </w:pPr>
            <w:r>
              <w:rPr>
                <w:rFonts w:hint="eastAsia"/>
                <w:szCs w:val="21"/>
              </w:rPr>
              <w:t>标称容量/mL</w:t>
            </w:r>
          </w:p>
        </w:tc>
        <w:tc>
          <w:tcPr>
            <w:tcW w:w="903" w:type="dxa"/>
            <w:vAlign w:val="center"/>
          </w:tcPr>
          <w:p>
            <w:pPr>
              <w:jc w:val="center"/>
            </w:pPr>
            <w:r>
              <w:rPr>
                <w:rFonts w:hint="eastAsia"/>
              </w:rPr>
              <w:t>10</w:t>
            </w:r>
          </w:p>
        </w:tc>
        <w:tc>
          <w:tcPr>
            <w:tcW w:w="903" w:type="dxa"/>
            <w:vAlign w:val="center"/>
          </w:tcPr>
          <w:p>
            <w:pPr>
              <w:jc w:val="center"/>
            </w:pPr>
            <w:r>
              <w:rPr>
                <w:rFonts w:hint="eastAsia"/>
              </w:rPr>
              <w:t>25</w:t>
            </w:r>
          </w:p>
        </w:tc>
        <w:tc>
          <w:tcPr>
            <w:tcW w:w="904" w:type="dxa"/>
            <w:vAlign w:val="center"/>
          </w:tcPr>
          <w:p>
            <w:pPr>
              <w:jc w:val="center"/>
            </w:pPr>
            <w:r>
              <w:rPr>
                <w:rFonts w:hint="eastAsia"/>
              </w:rPr>
              <w:t>50</w:t>
            </w:r>
          </w:p>
        </w:tc>
        <w:tc>
          <w:tcPr>
            <w:tcW w:w="904" w:type="dxa"/>
            <w:vAlign w:val="center"/>
          </w:tcPr>
          <w:p>
            <w:pPr>
              <w:jc w:val="center"/>
            </w:pPr>
            <w:r>
              <w:rPr>
                <w:rFonts w:hint="eastAsia"/>
              </w:rPr>
              <w:t>100</w:t>
            </w:r>
          </w:p>
        </w:tc>
        <w:tc>
          <w:tcPr>
            <w:tcW w:w="904" w:type="dxa"/>
            <w:vAlign w:val="center"/>
          </w:tcPr>
          <w:p>
            <w:pPr>
              <w:jc w:val="center"/>
            </w:pPr>
            <w:r>
              <w:rPr>
                <w:rFonts w:hint="eastAsia"/>
              </w:rPr>
              <w:t>250</w:t>
            </w:r>
          </w:p>
        </w:tc>
        <w:tc>
          <w:tcPr>
            <w:tcW w:w="904" w:type="dxa"/>
            <w:vAlign w:val="center"/>
          </w:tcPr>
          <w:p>
            <w:pPr>
              <w:jc w:val="center"/>
            </w:pPr>
            <w:r>
              <w:rPr>
                <w:rFonts w:hint="eastAsia"/>
              </w:rPr>
              <w:t>500</w:t>
            </w:r>
          </w:p>
        </w:tc>
        <w:tc>
          <w:tcPr>
            <w:tcW w:w="943" w:type="dxa"/>
            <w:vAlign w:val="center"/>
          </w:tcPr>
          <w:p>
            <w:pPr>
              <w:jc w:val="center"/>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79" w:type="dxa"/>
            <w:vAlign w:val="center"/>
          </w:tcPr>
          <w:p>
            <w:pPr>
              <w:jc w:val="center"/>
            </w:pPr>
            <w:r>
              <w:rPr>
                <w:rFonts w:hint="eastAsia"/>
                <w:szCs w:val="21"/>
              </w:rPr>
              <w:t>容量允差/mL</w:t>
            </w:r>
          </w:p>
        </w:tc>
        <w:tc>
          <w:tcPr>
            <w:tcW w:w="903" w:type="dxa"/>
            <w:vAlign w:val="center"/>
          </w:tcPr>
          <w:p>
            <w:pPr>
              <w:jc w:val="center"/>
            </w:pPr>
            <w:r>
              <w:rPr>
                <w:rFonts w:hint="eastAsia"/>
              </w:rPr>
              <w:t>±0.04</w:t>
            </w:r>
          </w:p>
        </w:tc>
        <w:tc>
          <w:tcPr>
            <w:tcW w:w="903" w:type="dxa"/>
            <w:vAlign w:val="center"/>
          </w:tcPr>
          <w:p>
            <w:pPr>
              <w:jc w:val="center"/>
            </w:pPr>
            <w:r>
              <w:rPr>
                <w:rFonts w:hint="eastAsia"/>
              </w:rPr>
              <w:t>±0.04</w:t>
            </w:r>
          </w:p>
        </w:tc>
        <w:tc>
          <w:tcPr>
            <w:tcW w:w="904" w:type="dxa"/>
            <w:vAlign w:val="center"/>
          </w:tcPr>
          <w:p>
            <w:pPr>
              <w:jc w:val="center"/>
            </w:pPr>
            <w:r>
              <w:rPr>
                <w:rFonts w:hint="eastAsia"/>
              </w:rPr>
              <w:t>±0.06</w:t>
            </w:r>
          </w:p>
        </w:tc>
        <w:tc>
          <w:tcPr>
            <w:tcW w:w="904" w:type="dxa"/>
            <w:vAlign w:val="center"/>
          </w:tcPr>
          <w:p>
            <w:pPr>
              <w:jc w:val="center"/>
            </w:pPr>
            <w:r>
              <w:rPr>
                <w:rFonts w:hint="eastAsia"/>
              </w:rPr>
              <w:t>±0.10</w:t>
            </w:r>
          </w:p>
        </w:tc>
        <w:tc>
          <w:tcPr>
            <w:tcW w:w="904" w:type="dxa"/>
            <w:vAlign w:val="center"/>
          </w:tcPr>
          <w:p>
            <w:pPr>
              <w:jc w:val="center"/>
            </w:pPr>
            <w:r>
              <w:rPr>
                <w:rFonts w:hint="eastAsia"/>
              </w:rPr>
              <w:t>±0.15</w:t>
            </w:r>
          </w:p>
        </w:tc>
        <w:tc>
          <w:tcPr>
            <w:tcW w:w="904" w:type="dxa"/>
            <w:vAlign w:val="center"/>
          </w:tcPr>
          <w:p>
            <w:pPr>
              <w:jc w:val="center"/>
            </w:pPr>
            <w:r>
              <w:rPr>
                <w:rFonts w:hint="eastAsia"/>
              </w:rPr>
              <w:t>±0.25</w:t>
            </w:r>
          </w:p>
        </w:tc>
        <w:tc>
          <w:tcPr>
            <w:tcW w:w="943" w:type="dxa"/>
            <w:vAlign w:val="center"/>
          </w:tcPr>
          <w:p>
            <w:pPr>
              <w:jc w:val="center"/>
            </w:pPr>
            <w:r>
              <w:rPr>
                <w:rFonts w:hint="eastAsia"/>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244" w:type="dxa"/>
            <w:gridSpan w:val="8"/>
            <w:vAlign w:val="center"/>
          </w:tcPr>
          <w:p>
            <w:pPr>
              <w:ind w:firstLine="480" w:firstLineChars="200"/>
              <w:jc w:val="center"/>
            </w:pPr>
            <w:r>
              <w:rPr>
                <w:rFonts w:hint="eastAsia"/>
                <w:sz w:val="24"/>
              </w:rPr>
              <w:t>材质：PFA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79" w:type="dxa"/>
            <w:vAlign w:val="center"/>
          </w:tcPr>
          <w:p>
            <w:pPr>
              <w:jc w:val="center"/>
            </w:pPr>
            <w:r>
              <w:rPr>
                <w:rFonts w:hint="eastAsia"/>
                <w:szCs w:val="21"/>
              </w:rPr>
              <w:t>标称容量/mL</w:t>
            </w:r>
          </w:p>
        </w:tc>
        <w:tc>
          <w:tcPr>
            <w:tcW w:w="903" w:type="dxa"/>
            <w:vAlign w:val="center"/>
          </w:tcPr>
          <w:p>
            <w:pPr>
              <w:jc w:val="center"/>
            </w:pPr>
            <w:r>
              <w:rPr>
                <w:rFonts w:hint="eastAsia"/>
              </w:rPr>
              <w:t>10</w:t>
            </w:r>
          </w:p>
        </w:tc>
        <w:tc>
          <w:tcPr>
            <w:tcW w:w="903" w:type="dxa"/>
            <w:vAlign w:val="center"/>
          </w:tcPr>
          <w:p>
            <w:pPr>
              <w:jc w:val="center"/>
            </w:pPr>
            <w:r>
              <w:rPr>
                <w:rFonts w:hint="eastAsia"/>
              </w:rPr>
              <w:t>25</w:t>
            </w:r>
          </w:p>
        </w:tc>
        <w:tc>
          <w:tcPr>
            <w:tcW w:w="904" w:type="dxa"/>
            <w:vAlign w:val="center"/>
          </w:tcPr>
          <w:p>
            <w:pPr>
              <w:jc w:val="center"/>
            </w:pPr>
            <w:r>
              <w:rPr>
                <w:rFonts w:hint="eastAsia"/>
              </w:rPr>
              <w:t>50</w:t>
            </w:r>
          </w:p>
        </w:tc>
        <w:tc>
          <w:tcPr>
            <w:tcW w:w="904" w:type="dxa"/>
            <w:vAlign w:val="center"/>
          </w:tcPr>
          <w:p>
            <w:pPr>
              <w:jc w:val="center"/>
            </w:pPr>
            <w:r>
              <w:rPr>
                <w:rFonts w:hint="eastAsia"/>
              </w:rPr>
              <w:t>100</w:t>
            </w:r>
          </w:p>
        </w:tc>
        <w:tc>
          <w:tcPr>
            <w:tcW w:w="904" w:type="dxa"/>
            <w:vAlign w:val="center"/>
          </w:tcPr>
          <w:p>
            <w:pPr>
              <w:jc w:val="center"/>
            </w:pPr>
            <w:r>
              <w:rPr>
                <w:rFonts w:hint="eastAsia"/>
              </w:rPr>
              <w:t>250</w:t>
            </w:r>
          </w:p>
        </w:tc>
        <w:tc>
          <w:tcPr>
            <w:tcW w:w="904" w:type="dxa"/>
            <w:vAlign w:val="center"/>
          </w:tcPr>
          <w:p>
            <w:pPr>
              <w:jc w:val="center"/>
            </w:pPr>
            <w:r>
              <w:rPr>
                <w:rFonts w:hint="eastAsia"/>
              </w:rPr>
              <w:t>500</w:t>
            </w:r>
          </w:p>
        </w:tc>
        <w:tc>
          <w:tcPr>
            <w:tcW w:w="943" w:type="dxa"/>
            <w:vAlign w:val="center"/>
          </w:tcPr>
          <w:p>
            <w:pPr>
              <w:jc w:val="center"/>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79" w:type="dxa"/>
            <w:vAlign w:val="center"/>
          </w:tcPr>
          <w:p>
            <w:pPr>
              <w:jc w:val="center"/>
            </w:pPr>
            <w:r>
              <w:rPr>
                <w:rFonts w:hint="eastAsia"/>
                <w:szCs w:val="21"/>
              </w:rPr>
              <w:t>容量允差/mL</w:t>
            </w:r>
          </w:p>
        </w:tc>
        <w:tc>
          <w:tcPr>
            <w:tcW w:w="903" w:type="dxa"/>
            <w:vAlign w:val="center"/>
          </w:tcPr>
          <w:p>
            <w:pPr>
              <w:jc w:val="center"/>
            </w:pPr>
            <w:r>
              <w:rPr>
                <w:rFonts w:hint="eastAsia"/>
              </w:rPr>
              <w:t>±0.04</w:t>
            </w:r>
          </w:p>
        </w:tc>
        <w:tc>
          <w:tcPr>
            <w:tcW w:w="903" w:type="dxa"/>
            <w:vAlign w:val="center"/>
          </w:tcPr>
          <w:p>
            <w:pPr>
              <w:jc w:val="center"/>
            </w:pPr>
            <w:r>
              <w:rPr>
                <w:rFonts w:hint="eastAsia"/>
              </w:rPr>
              <w:t>±0.04</w:t>
            </w:r>
          </w:p>
        </w:tc>
        <w:tc>
          <w:tcPr>
            <w:tcW w:w="904" w:type="dxa"/>
            <w:vAlign w:val="center"/>
          </w:tcPr>
          <w:p>
            <w:pPr>
              <w:jc w:val="center"/>
            </w:pPr>
            <w:r>
              <w:rPr>
                <w:rFonts w:hint="eastAsia"/>
              </w:rPr>
              <w:t>±0.06</w:t>
            </w:r>
          </w:p>
        </w:tc>
        <w:tc>
          <w:tcPr>
            <w:tcW w:w="904" w:type="dxa"/>
            <w:vAlign w:val="center"/>
          </w:tcPr>
          <w:p>
            <w:pPr>
              <w:jc w:val="center"/>
            </w:pPr>
            <w:r>
              <w:rPr>
                <w:rFonts w:hint="eastAsia"/>
              </w:rPr>
              <w:t>±0.10</w:t>
            </w:r>
          </w:p>
        </w:tc>
        <w:tc>
          <w:tcPr>
            <w:tcW w:w="904" w:type="dxa"/>
            <w:vAlign w:val="center"/>
          </w:tcPr>
          <w:p>
            <w:pPr>
              <w:jc w:val="center"/>
            </w:pPr>
            <w:r>
              <w:rPr>
                <w:rFonts w:hint="eastAsia"/>
              </w:rPr>
              <w:t>±0.15</w:t>
            </w:r>
          </w:p>
        </w:tc>
        <w:tc>
          <w:tcPr>
            <w:tcW w:w="904" w:type="dxa"/>
            <w:vAlign w:val="center"/>
          </w:tcPr>
          <w:p>
            <w:pPr>
              <w:jc w:val="center"/>
            </w:pPr>
            <w:r>
              <w:rPr>
                <w:rFonts w:hint="eastAsia"/>
              </w:rPr>
              <w:t>±0.25</w:t>
            </w:r>
          </w:p>
        </w:tc>
        <w:tc>
          <w:tcPr>
            <w:tcW w:w="943" w:type="dxa"/>
            <w:vAlign w:val="center"/>
          </w:tcPr>
          <w:p>
            <w:pPr>
              <w:jc w:val="center"/>
            </w:pPr>
            <w:r>
              <w:rPr>
                <w:rFonts w:hint="eastAsia"/>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8244" w:type="dxa"/>
            <w:gridSpan w:val="8"/>
            <w:vAlign w:val="center"/>
          </w:tcPr>
          <w:p>
            <w:pPr>
              <w:ind w:firstLine="480" w:firstLineChars="200"/>
              <w:jc w:val="center"/>
            </w:pPr>
            <w:r>
              <w:rPr>
                <w:rFonts w:hint="eastAsia"/>
                <w:sz w:val="24"/>
              </w:rPr>
              <w:t>材质：PP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79" w:type="dxa"/>
            <w:vAlign w:val="center"/>
          </w:tcPr>
          <w:p>
            <w:pPr>
              <w:jc w:val="center"/>
            </w:pPr>
            <w:r>
              <w:rPr>
                <w:rFonts w:hint="eastAsia"/>
                <w:szCs w:val="21"/>
              </w:rPr>
              <w:t>标称容量/mL</w:t>
            </w:r>
          </w:p>
        </w:tc>
        <w:tc>
          <w:tcPr>
            <w:tcW w:w="903" w:type="dxa"/>
            <w:vAlign w:val="center"/>
          </w:tcPr>
          <w:p>
            <w:pPr>
              <w:jc w:val="center"/>
            </w:pPr>
            <w:r>
              <w:rPr>
                <w:rFonts w:hint="eastAsia"/>
              </w:rPr>
              <w:t>10</w:t>
            </w:r>
          </w:p>
        </w:tc>
        <w:tc>
          <w:tcPr>
            <w:tcW w:w="903" w:type="dxa"/>
            <w:vAlign w:val="center"/>
          </w:tcPr>
          <w:p>
            <w:pPr>
              <w:jc w:val="center"/>
            </w:pPr>
            <w:r>
              <w:rPr>
                <w:rFonts w:hint="eastAsia"/>
              </w:rPr>
              <w:t>25</w:t>
            </w:r>
          </w:p>
        </w:tc>
        <w:tc>
          <w:tcPr>
            <w:tcW w:w="904" w:type="dxa"/>
            <w:vAlign w:val="center"/>
          </w:tcPr>
          <w:p>
            <w:pPr>
              <w:jc w:val="center"/>
            </w:pPr>
            <w:r>
              <w:rPr>
                <w:rFonts w:hint="eastAsia"/>
              </w:rPr>
              <w:t>50</w:t>
            </w:r>
          </w:p>
        </w:tc>
        <w:tc>
          <w:tcPr>
            <w:tcW w:w="904" w:type="dxa"/>
            <w:vAlign w:val="center"/>
          </w:tcPr>
          <w:p>
            <w:pPr>
              <w:jc w:val="center"/>
            </w:pPr>
            <w:r>
              <w:rPr>
                <w:rFonts w:hint="eastAsia"/>
              </w:rPr>
              <w:t>100</w:t>
            </w:r>
          </w:p>
        </w:tc>
        <w:tc>
          <w:tcPr>
            <w:tcW w:w="904" w:type="dxa"/>
            <w:vAlign w:val="center"/>
          </w:tcPr>
          <w:p>
            <w:pPr>
              <w:jc w:val="center"/>
            </w:pPr>
            <w:r>
              <w:rPr>
                <w:rFonts w:hint="eastAsia"/>
              </w:rPr>
              <w:t>250</w:t>
            </w:r>
          </w:p>
        </w:tc>
        <w:tc>
          <w:tcPr>
            <w:tcW w:w="904" w:type="dxa"/>
            <w:vAlign w:val="center"/>
          </w:tcPr>
          <w:p>
            <w:pPr>
              <w:jc w:val="center"/>
            </w:pPr>
            <w:r>
              <w:rPr>
                <w:rFonts w:hint="eastAsia"/>
              </w:rPr>
              <w:t>500</w:t>
            </w:r>
          </w:p>
        </w:tc>
        <w:tc>
          <w:tcPr>
            <w:tcW w:w="943" w:type="dxa"/>
            <w:vAlign w:val="center"/>
          </w:tcPr>
          <w:p>
            <w:pPr>
              <w:jc w:val="center"/>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879" w:type="dxa"/>
            <w:vAlign w:val="center"/>
          </w:tcPr>
          <w:p>
            <w:pPr>
              <w:jc w:val="center"/>
            </w:pPr>
            <w:r>
              <w:rPr>
                <w:rFonts w:hint="eastAsia"/>
                <w:szCs w:val="21"/>
              </w:rPr>
              <w:t>容量允差/mL</w:t>
            </w:r>
          </w:p>
        </w:tc>
        <w:tc>
          <w:tcPr>
            <w:tcW w:w="903" w:type="dxa"/>
            <w:vAlign w:val="center"/>
          </w:tcPr>
          <w:p>
            <w:pPr>
              <w:jc w:val="center"/>
            </w:pPr>
            <w:r>
              <w:rPr>
                <w:rFonts w:hint="eastAsia"/>
              </w:rPr>
              <w:t>±0.08</w:t>
            </w:r>
          </w:p>
        </w:tc>
        <w:tc>
          <w:tcPr>
            <w:tcW w:w="903" w:type="dxa"/>
            <w:vAlign w:val="center"/>
          </w:tcPr>
          <w:p>
            <w:pPr>
              <w:jc w:val="center"/>
            </w:pPr>
            <w:r>
              <w:rPr>
                <w:rFonts w:hint="eastAsia"/>
              </w:rPr>
              <w:t>±0.08</w:t>
            </w:r>
          </w:p>
        </w:tc>
        <w:tc>
          <w:tcPr>
            <w:tcW w:w="904" w:type="dxa"/>
            <w:vAlign w:val="center"/>
          </w:tcPr>
          <w:p>
            <w:pPr>
              <w:jc w:val="center"/>
            </w:pPr>
            <w:r>
              <w:rPr>
                <w:rFonts w:hint="eastAsia"/>
              </w:rPr>
              <w:t>±0.12</w:t>
            </w:r>
          </w:p>
        </w:tc>
        <w:tc>
          <w:tcPr>
            <w:tcW w:w="904" w:type="dxa"/>
            <w:vAlign w:val="center"/>
          </w:tcPr>
          <w:p>
            <w:pPr>
              <w:jc w:val="center"/>
            </w:pPr>
            <w:r>
              <w:rPr>
                <w:rFonts w:hint="eastAsia"/>
              </w:rPr>
              <w:t>±0.20</w:t>
            </w:r>
          </w:p>
        </w:tc>
        <w:tc>
          <w:tcPr>
            <w:tcW w:w="904" w:type="dxa"/>
            <w:vAlign w:val="center"/>
          </w:tcPr>
          <w:p>
            <w:pPr>
              <w:jc w:val="center"/>
            </w:pPr>
            <w:r>
              <w:rPr>
                <w:rFonts w:hint="eastAsia"/>
              </w:rPr>
              <w:t>±0.3</w:t>
            </w:r>
          </w:p>
        </w:tc>
        <w:tc>
          <w:tcPr>
            <w:tcW w:w="904" w:type="dxa"/>
            <w:vAlign w:val="center"/>
          </w:tcPr>
          <w:p>
            <w:pPr>
              <w:jc w:val="center"/>
            </w:pPr>
            <w:r>
              <w:rPr>
                <w:rFonts w:hint="eastAsia"/>
              </w:rPr>
              <w:t>±0.5</w:t>
            </w:r>
          </w:p>
        </w:tc>
        <w:tc>
          <w:tcPr>
            <w:tcW w:w="943" w:type="dxa"/>
            <w:vAlign w:val="center"/>
          </w:tcPr>
          <w:p>
            <w:pPr>
              <w:jc w:val="center"/>
            </w:pPr>
            <w:r>
              <w:rPr>
                <w:rFonts w:hint="eastAsia"/>
              </w:rPr>
              <w:t>±0.8</w:t>
            </w:r>
          </w:p>
        </w:tc>
      </w:tr>
    </w:tbl>
    <w:p>
      <w:pPr>
        <w:pStyle w:val="30"/>
        <w:spacing w:before="156" w:after="156" w:line="360" w:lineRule="auto"/>
        <w:jc w:val="center"/>
        <w:rPr>
          <w:rFonts w:ascii="Times New Roman" w:eastAsia="宋体"/>
          <w:kern w:val="2"/>
          <w:sz w:val="24"/>
          <w:szCs w:val="24"/>
        </w:rPr>
      </w:pPr>
      <w:r>
        <w:rPr>
          <w:rFonts w:hint="eastAsia" w:ascii="Times New Roman" w:eastAsia="宋体"/>
          <w:kern w:val="2"/>
          <w:sz w:val="24"/>
          <w:szCs w:val="24"/>
        </w:rPr>
        <w:t xml:space="preserve">表2  </w:t>
      </w:r>
      <w:r>
        <w:rPr>
          <w:rFonts w:hint="eastAsia" w:ascii="Times New Roman"/>
          <w:kern w:val="2"/>
          <w:sz w:val="24"/>
          <w:szCs w:val="24"/>
        </w:rPr>
        <w:t>BRADN</w:t>
      </w:r>
      <w:r>
        <w:rPr>
          <w:rFonts w:hint="eastAsia" w:ascii="Times New Roman" w:eastAsia="宋体"/>
          <w:kern w:val="2"/>
          <w:sz w:val="24"/>
          <w:szCs w:val="24"/>
        </w:rPr>
        <w:t>单标线容量瓶计量要求</w:t>
      </w:r>
    </w:p>
    <w:tbl>
      <w:tblPr>
        <w:tblStyle w:val="16"/>
        <w:tblW w:w="8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906"/>
        <w:gridCol w:w="905"/>
        <w:gridCol w:w="905"/>
        <w:gridCol w:w="905"/>
        <w:gridCol w:w="905"/>
        <w:gridCol w:w="90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261" w:type="dxa"/>
            <w:gridSpan w:val="8"/>
          </w:tcPr>
          <w:p>
            <w:pPr>
              <w:pStyle w:val="25"/>
              <w:ind w:firstLine="480"/>
              <w:jc w:val="center"/>
              <w:rPr>
                <w:rFonts w:ascii="Times New Roman"/>
                <w:kern w:val="2"/>
                <w:sz w:val="24"/>
                <w:szCs w:val="24"/>
              </w:rPr>
            </w:pPr>
            <w:r>
              <w:rPr>
                <w:rFonts w:hint="eastAsia" w:ascii="Times New Roman"/>
                <w:kern w:val="2"/>
                <w:sz w:val="24"/>
                <w:szCs w:val="24"/>
              </w:rPr>
              <w:t>材质：PMP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885" w:type="dxa"/>
            <w:vAlign w:val="center"/>
          </w:tcPr>
          <w:p>
            <w:pPr>
              <w:jc w:val="center"/>
            </w:pPr>
            <w:r>
              <w:rPr>
                <w:rFonts w:hint="eastAsia"/>
                <w:szCs w:val="21"/>
              </w:rPr>
              <w:t>标称容量/mL</w:t>
            </w:r>
          </w:p>
        </w:tc>
        <w:tc>
          <w:tcPr>
            <w:tcW w:w="906" w:type="dxa"/>
            <w:vAlign w:val="center"/>
          </w:tcPr>
          <w:p>
            <w:pPr>
              <w:jc w:val="center"/>
            </w:pPr>
            <w:r>
              <w:rPr>
                <w:rFonts w:hint="eastAsia"/>
              </w:rPr>
              <w:t>10</w:t>
            </w:r>
          </w:p>
        </w:tc>
        <w:tc>
          <w:tcPr>
            <w:tcW w:w="905" w:type="dxa"/>
            <w:vAlign w:val="center"/>
          </w:tcPr>
          <w:p>
            <w:pPr>
              <w:jc w:val="center"/>
            </w:pPr>
            <w:r>
              <w:rPr>
                <w:rFonts w:hint="eastAsia"/>
              </w:rPr>
              <w:t>25</w:t>
            </w:r>
          </w:p>
        </w:tc>
        <w:tc>
          <w:tcPr>
            <w:tcW w:w="905" w:type="dxa"/>
            <w:vAlign w:val="center"/>
          </w:tcPr>
          <w:p>
            <w:pPr>
              <w:jc w:val="center"/>
            </w:pPr>
            <w:r>
              <w:rPr>
                <w:rFonts w:hint="eastAsia"/>
              </w:rPr>
              <w:t>50</w:t>
            </w:r>
          </w:p>
        </w:tc>
        <w:tc>
          <w:tcPr>
            <w:tcW w:w="905" w:type="dxa"/>
            <w:vAlign w:val="center"/>
          </w:tcPr>
          <w:p>
            <w:pPr>
              <w:jc w:val="center"/>
            </w:pPr>
            <w:r>
              <w:rPr>
                <w:rFonts w:hint="eastAsia"/>
              </w:rPr>
              <w:t>100</w:t>
            </w:r>
          </w:p>
        </w:tc>
        <w:tc>
          <w:tcPr>
            <w:tcW w:w="905" w:type="dxa"/>
            <w:vAlign w:val="center"/>
          </w:tcPr>
          <w:p>
            <w:pPr>
              <w:jc w:val="center"/>
            </w:pPr>
            <w:r>
              <w:rPr>
                <w:rFonts w:hint="eastAsia"/>
              </w:rPr>
              <w:t>250</w:t>
            </w:r>
          </w:p>
        </w:tc>
        <w:tc>
          <w:tcPr>
            <w:tcW w:w="905" w:type="dxa"/>
            <w:vAlign w:val="center"/>
          </w:tcPr>
          <w:p>
            <w:pPr>
              <w:jc w:val="center"/>
            </w:pPr>
            <w:r>
              <w:rPr>
                <w:rFonts w:hint="eastAsia"/>
              </w:rPr>
              <w:t>500</w:t>
            </w:r>
          </w:p>
        </w:tc>
        <w:tc>
          <w:tcPr>
            <w:tcW w:w="945" w:type="dxa"/>
            <w:vAlign w:val="center"/>
          </w:tcPr>
          <w:p>
            <w:pPr>
              <w:jc w:val="center"/>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885" w:type="dxa"/>
            <w:vAlign w:val="center"/>
          </w:tcPr>
          <w:p>
            <w:pPr>
              <w:jc w:val="center"/>
            </w:pPr>
            <w:r>
              <w:rPr>
                <w:rFonts w:hint="eastAsia"/>
                <w:szCs w:val="21"/>
              </w:rPr>
              <w:t>容量允差/mL</w:t>
            </w:r>
          </w:p>
        </w:tc>
        <w:tc>
          <w:tcPr>
            <w:tcW w:w="906" w:type="dxa"/>
            <w:vAlign w:val="center"/>
          </w:tcPr>
          <w:p>
            <w:pPr>
              <w:jc w:val="center"/>
            </w:pPr>
            <w:r>
              <w:rPr>
                <w:rFonts w:hint="eastAsia"/>
              </w:rPr>
              <w:t>±0.08</w:t>
            </w:r>
          </w:p>
        </w:tc>
        <w:tc>
          <w:tcPr>
            <w:tcW w:w="905" w:type="dxa"/>
            <w:vAlign w:val="center"/>
          </w:tcPr>
          <w:p>
            <w:pPr>
              <w:jc w:val="center"/>
            </w:pPr>
            <w:r>
              <w:rPr>
                <w:rFonts w:hint="eastAsia"/>
              </w:rPr>
              <w:t>±0.08</w:t>
            </w:r>
          </w:p>
        </w:tc>
        <w:tc>
          <w:tcPr>
            <w:tcW w:w="905" w:type="dxa"/>
            <w:vAlign w:val="center"/>
          </w:tcPr>
          <w:p>
            <w:pPr>
              <w:jc w:val="center"/>
            </w:pPr>
            <w:r>
              <w:rPr>
                <w:rFonts w:hint="eastAsia"/>
              </w:rPr>
              <w:t>±0.12</w:t>
            </w:r>
          </w:p>
        </w:tc>
        <w:tc>
          <w:tcPr>
            <w:tcW w:w="905" w:type="dxa"/>
            <w:vAlign w:val="center"/>
          </w:tcPr>
          <w:p>
            <w:pPr>
              <w:jc w:val="center"/>
            </w:pPr>
            <w:r>
              <w:rPr>
                <w:rFonts w:hint="eastAsia"/>
              </w:rPr>
              <w:t>±0.2</w:t>
            </w:r>
          </w:p>
        </w:tc>
        <w:tc>
          <w:tcPr>
            <w:tcW w:w="905" w:type="dxa"/>
            <w:vAlign w:val="center"/>
          </w:tcPr>
          <w:p>
            <w:pPr>
              <w:jc w:val="center"/>
            </w:pPr>
            <w:r>
              <w:rPr>
                <w:rFonts w:hint="eastAsia"/>
              </w:rPr>
              <w:t>±0.3</w:t>
            </w:r>
          </w:p>
        </w:tc>
        <w:tc>
          <w:tcPr>
            <w:tcW w:w="905" w:type="dxa"/>
            <w:vAlign w:val="center"/>
          </w:tcPr>
          <w:p>
            <w:pPr>
              <w:jc w:val="center"/>
            </w:pPr>
            <w:r>
              <w:rPr>
                <w:rFonts w:hint="eastAsia"/>
              </w:rPr>
              <w:t>±0.5</w:t>
            </w:r>
          </w:p>
        </w:tc>
        <w:tc>
          <w:tcPr>
            <w:tcW w:w="945" w:type="dxa"/>
            <w:vAlign w:val="center"/>
          </w:tcPr>
          <w:p>
            <w:pPr>
              <w:jc w:val="center"/>
            </w:pPr>
            <w:r>
              <w:rPr>
                <w:rFonts w:hint="eastAsi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261" w:type="dxa"/>
            <w:gridSpan w:val="8"/>
            <w:vAlign w:val="center"/>
          </w:tcPr>
          <w:p>
            <w:pPr>
              <w:ind w:firstLine="480" w:firstLineChars="200"/>
              <w:jc w:val="center"/>
            </w:pPr>
            <w:r>
              <w:rPr>
                <w:rFonts w:hint="eastAsia"/>
                <w:sz w:val="24"/>
              </w:rPr>
              <w:t>材质：PFA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885" w:type="dxa"/>
            <w:vAlign w:val="center"/>
          </w:tcPr>
          <w:p>
            <w:pPr>
              <w:jc w:val="center"/>
            </w:pPr>
            <w:r>
              <w:rPr>
                <w:rFonts w:hint="eastAsia"/>
                <w:szCs w:val="21"/>
              </w:rPr>
              <w:t>标称容量/mL</w:t>
            </w:r>
          </w:p>
        </w:tc>
        <w:tc>
          <w:tcPr>
            <w:tcW w:w="906" w:type="dxa"/>
            <w:vAlign w:val="center"/>
          </w:tcPr>
          <w:p>
            <w:pPr>
              <w:jc w:val="center"/>
            </w:pPr>
            <w:r>
              <w:rPr>
                <w:rFonts w:hint="eastAsia"/>
              </w:rPr>
              <w:t>10</w:t>
            </w:r>
          </w:p>
        </w:tc>
        <w:tc>
          <w:tcPr>
            <w:tcW w:w="905" w:type="dxa"/>
            <w:vAlign w:val="center"/>
          </w:tcPr>
          <w:p>
            <w:pPr>
              <w:jc w:val="center"/>
            </w:pPr>
            <w:r>
              <w:rPr>
                <w:rFonts w:hint="eastAsia"/>
              </w:rPr>
              <w:t>25</w:t>
            </w:r>
          </w:p>
        </w:tc>
        <w:tc>
          <w:tcPr>
            <w:tcW w:w="905" w:type="dxa"/>
            <w:vAlign w:val="center"/>
          </w:tcPr>
          <w:p>
            <w:pPr>
              <w:jc w:val="center"/>
            </w:pPr>
            <w:r>
              <w:rPr>
                <w:rFonts w:hint="eastAsia"/>
              </w:rPr>
              <w:t>50</w:t>
            </w:r>
          </w:p>
        </w:tc>
        <w:tc>
          <w:tcPr>
            <w:tcW w:w="905" w:type="dxa"/>
            <w:vAlign w:val="center"/>
          </w:tcPr>
          <w:p>
            <w:pPr>
              <w:jc w:val="center"/>
            </w:pPr>
            <w:r>
              <w:rPr>
                <w:rFonts w:hint="eastAsia"/>
              </w:rPr>
              <w:t>100</w:t>
            </w:r>
          </w:p>
        </w:tc>
        <w:tc>
          <w:tcPr>
            <w:tcW w:w="905" w:type="dxa"/>
            <w:vAlign w:val="center"/>
          </w:tcPr>
          <w:p>
            <w:pPr>
              <w:jc w:val="center"/>
            </w:pPr>
            <w:r>
              <w:rPr>
                <w:rFonts w:hint="eastAsia"/>
              </w:rPr>
              <w:t>250</w:t>
            </w:r>
          </w:p>
        </w:tc>
        <w:tc>
          <w:tcPr>
            <w:tcW w:w="905" w:type="dxa"/>
            <w:vAlign w:val="center"/>
          </w:tcPr>
          <w:p>
            <w:pPr>
              <w:jc w:val="center"/>
            </w:pPr>
            <w:r>
              <w:rPr>
                <w:rFonts w:hint="eastAsia"/>
              </w:rPr>
              <w:t>500</w:t>
            </w:r>
          </w:p>
        </w:tc>
        <w:tc>
          <w:tcPr>
            <w:tcW w:w="945" w:type="dxa"/>
            <w:vAlign w:val="center"/>
          </w:tcPr>
          <w:p>
            <w:pPr>
              <w:jc w:val="center"/>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885" w:type="dxa"/>
            <w:vAlign w:val="center"/>
          </w:tcPr>
          <w:p>
            <w:pPr>
              <w:jc w:val="center"/>
            </w:pPr>
            <w:r>
              <w:rPr>
                <w:rFonts w:hint="eastAsia"/>
                <w:szCs w:val="21"/>
              </w:rPr>
              <w:t>容量允差/mL</w:t>
            </w:r>
          </w:p>
        </w:tc>
        <w:tc>
          <w:tcPr>
            <w:tcW w:w="906" w:type="dxa"/>
            <w:vAlign w:val="center"/>
          </w:tcPr>
          <w:p>
            <w:pPr>
              <w:jc w:val="center"/>
            </w:pPr>
            <w:r>
              <w:rPr>
                <w:rFonts w:hint="eastAsia"/>
              </w:rPr>
              <w:t>±0.08</w:t>
            </w:r>
          </w:p>
        </w:tc>
        <w:tc>
          <w:tcPr>
            <w:tcW w:w="905" w:type="dxa"/>
            <w:vAlign w:val="center"/>
          </w:tcPr>
          <w:p>
            <w:pPr>
              <w:jc w:val="center"/>
            </w:pPr>
            <w:r>
              <w:rPr>
                <w:rFonts w:hint="eastAsia"/>
              </w:rPr>
              <w:t>±0.08</w:t>
            </w:r>
          </w:p>
        </w:tc>
        <w:tc>
          <w:tcPr>
            <w:tcW w:w="905" w:type="dxa"/>
            <w:vAlign w:val="center"/>
          </w:tcPr>
          <w:p>
            <w:pPr>
              <w:jc w:val="center"/>
            </w:pPr>
            <w:r>
              <w:rPr>
                <w:rFonts w:hint="eastAsia"/>
              </w:rPr>
              <w:t>±0.12</w:t>
            </w:r>
          </w:p>
        </w:tc>
        <w:tc>
          <w:tcPr>
            <w:tcW w:w="905" w:type="dxa"/>
            <w:vAlign w:val="center"/>
          </w:tcPr>
          <w:p>
            <w:pPr>
              <w:jc w:val="center"/>
            </w:pPr>
            <w:r>
              <w:rPr>
                <w:rFonts w:hint="eastAsia"/>
              </w:rPr>
              <w:t>±0.2</w:t>
            </w:r>
          </w:p>
        </w:tc>
        <w:tc>
          <w:tcPr>
            <w:tcW w:w="905" w:type="dxa"/>
            <w:vAlign w:val="center"/>
          </w:tcPr>
          <w:p>
            <w:pPr>
              <w:jc w:val="center"/>
            </w:pPr>
            <w:r>
              <w:rPr>
                <w:rFonts w:hint="eastAsia"/>
              </w:rPr>
              <w:t>±0.3</w:t>
            </w:r>
          </w:p>
        </w:tc>
        <w:tc>
          <w:tcPr>
            <w:tcW w:w="905" w:type="dxa"/>
            <w:vAlign w:val="center"/>
          </w:tcPr>
          <w:p>
            <w:pPr>
              <w:jc w:val="center"/>
            </w:pPr>
            <w:r>
              <w:rPr>
                <w:rFonts w:hint="eastAsia"/>
              </w:rPr>
              <w:t>±0.5</w:t>
            </w:r>
          </w:p>
        </w:tc>
        <w:tc>
          <w:tcPr>
            <w:tcW w:w="945" w:type="dxa"/>
            <w:vAlign w:val="center"/>
          </w:tcPr>
          <w:p>
            <w:pPr>
              <w:jc w:val="center"/>
            </w:pPr>
            <w:r>
              <w:rPr>
                <w:rFonts w:hint="eastAsi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261" w:type="dxa"/>
            <w:gridSpan w:val="8"/>
            <w:vAlign w:val="center"/>
          </w:tcPr>
          <w:p>
            <w:pPr>
              <w:ind w:firstLine="480" w:firstLineChars="200"/>
              <w:jc w:val="center"/>
            </w:pPr>
            <w:r>
              <w:rPr>
                <w:rFonts w:hint="eastAsia"/>
                <w:sz w:val="24"/>
              </w:rPr>
              <w:t>材质：PP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885" w:type="dxa"/>
            <w:vAlign w:val="center"/>
          </w:tcPr>
          <w:p>
            <w:pPr>
              <w:jc w:val="center"/>
            </w:pPr>
            <w:r>
              <w:rPr>
                <w:rFonts w:hint="eastAsia"/>
                <w:szCs w:val="21"/>
              </w:rPr>
              <w:t>标称容量/mL</w:t>
            </w:r>
          </w:p>
        </w:tc>
        <w:tc>
          <w:tcPr>
            <w:tcW w:w="906" w:type="dxa"/>
            <w:vAlign w:val="center"/>
          </w:tcPr>
          <w:p>
            <w:pPr>
              <w:jc w:val="center"/>
            </w:pPr>
            <w:r>
              <w:rPr>
                <w:rFonts w:hint="eastAsia"/>
              </w:rPr>
              <w:t>10</w:t>
            </w:r>
          </w:p>
        </w:tc>
        <w:tc>
          <w:tcPr>
            <w:tcW w:w="905" w:type="dxa"/>
            <w:vAlign w:val="center"/>
          </w:tcPr>
          <w:p>
            <w:pPr>
              <w:jc w:val="center"/>
            </w:pPr>
            <w:r>
              <w:rPr>
                <w:rFonts w:hint="eastAsia"/>
              </w:rPr>
              <w:t>25</w:t>
            </w:r>
          </w:p>
        </w:tc>
        <w:tc>
          <w:tcPr>
            <w:tcW w:w="905" w:type="dxa"/>
            <w:vAlign w:val="center"/>
          </w:tcPr>
          <w:p>
            <w:pPr>
              <w:jc w:val="center"/>
            </w:pPr>
            <w:r>
              <w:rPr>
                <w:rFonts w:hint="eastAsia"/>
              </w:rPr>
              <w:t>50</w:t>
            </w:r>
          </w:p>
        </w:tc>
        <w:tc>
          <w:tcPr>
            <w:tcW w:w="905" w:type="dxa"/>
            <w:vAlign w:val="center"/>
          </w:tcPr>
          <w:p>
            <w:pPr>
              <w:jc w:val="center"/>
            </w:pPr>
            <w:r>
              <w:rPr>
                <w:rFonts w:hint="eastAsia"/>
              </w:rPr>
              <w:t>100</w:t>
            </w:r>
          </w:p>
        </w:tc>
        <w:tc>
          <w:tcPr>
            <w:tcW w:w="905" w:type="dxa"/>
            <w:vAlign w:val="center"/>
          </w:tcPr>
          <w:p>
            <w:pPr>
              <w:jc w:val="center"/>
            </w:pPr>
            <w:r>
              <w:rPr>
                <w:rFonts w:hint="eastAsia"/>
              </w:rPr>
              <w:t>250</w:t>
            </w:r>
          </w:p>
        </w:tc>
        <w:tc>
          <w:tcPr>
            <w:tcW w:w="905" w:type="dxa"/>
            <w:vAlign w:val="center"/>
          </w:tcPr>
          <w:p>
            <w:pPr>
              <w:jc w:val="center"/>
            </w:pPr>
            <w:r>
              <w:rPr>
                <w:rFonts w:hint="eastAsia"/>
              </w:rPr>
              <w:t>500</w:t>
            </w:r>
          </w:p>
        </w:tc>
        <w:tc>
          <w:tcPr>
            <w:tcW w:w="945" w:type="dxa"/>
            <w:vAlign w:val="center"/>
          </w:tcPr>
          <w:p>
            <w:pPr>
              <w:jc w:val="center"/>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885" w:type="dxa"/>
            <w:vAlign w:val="center"/>
          </w:tcPr>
          <w:p>
            <w:pPr>
              <w:jc w:val="center"/>
            </w:pPr>
            <w:r>
              <w:rPr>
                <w:rFonts w:hint="eastAsia"/>
                <w:szCs w:val="21"/>
              </w:rPr>
              <w:t>容量允差/mL</w:t>
            </w:r>
          </w:p>
        </w:tc>
        <w:tc>
          <w:tcPr>
            <w:tcW w:w="906" w:type="dxa"/>
            <w:vAlign w:val="center"/>
          </w:tcPr>
          <w:p>
            <w:pPr>
              <w:jc w:val="center"/>
            </w:pPr>
            <w:r>
              <w:rPr>
                <w:rFonts w:hint="eastAsia"/>
              </w:rPr>
              <w:t>±0.08</w:t>
            </w:r>
          </w:p>
        </w:tc>
        <w:tc>
          <w:tcPr>
            <w:tcW w:w="905" w:type="dxa"/>
            <w:vAlign w:val="center"/>
          </w:tcPr>
          <w:p>
            <w:pPr>
              <w:jc w:val="center"/>
            </w:pPr>
            <w:r>
              <w:rPr>
                <w:rFonts w:hint="eastAsia"/>
              </w:rPr>
              <w:t>±0.08</w:t>
            </w:r>
          </w:p>
        </w:tc>
        <w:tc>
          <w:tcPr>
            <w:tcW w:w="905" w:type="dxa"/>
            <w:vAlign w:val="center"/>
          </w:tcPr>
          <w:p>
            <w:pPr>
              <w:jc w:val="center"/>
            </w:pPr>
            <w:r>
              <w:rPr>
                <w:rFonts w:hint="eastAsia"/>
              </w:rPr>
              <w:t>±0.12</w:t>
            </w:r>
          </w:p>
        </w:tc>
        <w:tc>
          <w:tcPr>
            <w:tcW w:w="905" w:type="dxa"/>
            <w:vAlign w:val="center"/>
          </w:tcPr>
          <w:p>
            <w:pPr>
              <w:jc w:val="center"/>
            </w:pPr>
            <w:r>
              <w:rPr>
                <w:rFonts w:hint="eastAsia"/>
              </w:rPr>
              <w:t>±0.2</w:t>
            </w:r>
          </w:p>
        </w:tc>
        <w:tc>
          <w:tcPr>
            <w:tcW w:w="905" w:type="dxa"/>
            <w:vAlign w:val="center"/>
          </w:tcPr>
          <w:p>
            <w:pPr>
              <w:jc w:val="center"/>
            </w:pPr>
            <w:r>
              <w:rPr>
                <w:rFonts w:hint="eastAsia"/>
              </w:rPr>
              <w:t>±0.3</w:t>
            </w:r>
          </w:p>
        </w:tc>
        <w:tc>
          <w:tcPr>
            <w:tcW w:w="905" w:type="dxa"/>
            <w:vAlign w:val="center"/>
          </w:tcPr>
          <w:p>
            <w:pPr>
              <w:jc w:val="center"/>
            </w:pPr>
            <w:r>
              <w:rPr>
                <w:rFonts w:hint="eastAsia"/>
              </w:rPr>
              <w:t>±0.5</w:t>
            </w:r>
          </w:p>
        </w:tc>
        <w:tc>
          <w:tcPr>
            <w:tcW w:w="945" w:type="dxa"/>
            <w:vAlign w:val="center"/>
          </w:tcPr>
          <w:p>
            <w:pPr>
              <w:jc w:val="center"/>
            </w:pPr>
            <w:r>
              <w:rPr>
                <w:rFonts w:hint="eastAsia"/>
              </w:rPr>
              <w:t>±0.8</w:t>
            </w:r>
          </w:p>
        </w:tc>
      </w:tr>
    </w:tbl>
    <w:p>
      <w:pPr>
        <w:pStyle w:val="25"/>
        <w:ind w:firstLine="0" w:firstLineChars="0"/>
        <w:rPr>
          <w:rFonts w:ascii="Times New Roman"/>
          <w:kern w:val="2"/>
          <w:sz w:val="24"/>
          <w:szCs w:val="24"/>
        </w:rPr>
      </w:pPr>
    </w:p>
    <w:p>
      <w:pPr>
        <w:pStyle w:val="30"/>
        <w:spacing w:before="156" w:after="156" w:line="360" w:lineRule="auto"/>
        <w:jc w:val="center"/>
        <w:rPr>
          <w:rFonts w:ascii="Times New Roman" w:eastAsia="宋体"/>
          <w:kern w:val="2"/>
          <w:sz w:val="24"/>
          <w:szCs w:val="24"/>
        </w:rPr>
      </w:pPr>
      <w:r>
        <w:rPr>
          <w:rFonts w:hint="eastAsia" w:ascii="Times New Roman" w:eastAsia="宋体"/>
          <w:kern w:val="2"/>
          <w:sz w:val="24"/>
          <w:szCs w:val="24"/>
        </w:rPr>
        <w:t xml:space="preserve">表3  </w:t>
      </w:r>
      <w:r>
        <w:rPr>
          <w:rFonts w:hint="eastAsia" w:ascii="Times New Roman"/>
          <w:kern w:val="2"/>
          <w:sz w:val="24"/>
          <w:szCs w:val="24"/>
        </w:rPr>
        <w:t>NINGHE</w:t>
      </w:r>
      <w:r>
        <w:rPr>
          <w:rFonts w:hint="eastAsia" w:ascii="Times New Roman" w:eastAsia="宋体"/>
          <w:kern w:val="2"/>
          <w:sz w:val="24"/>
          <w:szCs w:val="24"/>
        </w:rPr>
        <w:t>单标线容量瓶计量要求</w:t>
      </w:r>
    </w:p>
    <w:tbl>
      <w:tblPr>
        <w:tblStyle w:val="16"/>
        <w:tblW w:w="8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060"/>
        <w:gridCol w:w="1061"/>
        <w:gridCol w:w="1061"/>
        <w:gridCol w:w="1061"/>
        <w:gridCol w:w="1061"/>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261" w:type="dxa"/>
            <w:gridSpan w:val="7"/>
            <w:vAlign w:val="center"/>
          </w:tcPr>
          <w:p>
            <w:pPr>
              <w:ind w:firstLine="480" w:firstLineChars="200"/>
              <w:jc w:val="center"/>
            </w:pPr>
            <w:r>
              <w:rPr>
                <w:rFonts w:hint="eastAsia"/>
                <w:sz w:val="24"/>
              </w:rPr>
              <w:t>材质：PP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883" w:type="dxa"/>
            <w:vAlign w:val="center"/>
          </w:tcPr>
          <w:p>
            <w:pPr>
              <w:jc w:val="center"/>
            </w:pPr>
            <w:r>
              <w:rPr>
                <w:rFonts w:hint="eastAsia"/>
                <w:szCs w:val="21"/>
              </w:rPr>
              <w:t>标称容量/mL</w:t>
            </w:r>
          </w:p>
        </w:tc>
        <w:tc>
          <w:tcPr>
            <w:tcW w:w="1060" w:type="dxa"/>
            <w:vAlign w:val="center"/>
          </w:tcPr>
          <w:p>
            <w:pPr>
              <w:jc w:val="center"/>
            </w:pPr>
            <w:r>
              <w:rPr>
                <w:rFonts w:hint="eastAsia"/>
              </w:rPr>
              <w:t>25</w:t>
            </w:r>
          </w:p>
        </w:tc>
        <w:tc>
          <w:tcPr>
            <w:tcW w:w="1061" w:type="dxa"/>
            <w:vAlign w:val="center"/>
          </w:tcPr>
          <w:p>
            <w:pPr>
              <w:jc w:val="center"/>
            </w:pPr>
            <w:r>
              <w:rPr>
                <w:rFonts w:hint="eastAsia"/>
              </w:rPr>
              <w:t>50</w:t>
            </w:r>
          </w:p>
        </w:tc>
        <w:tc>
          <w:tcPr>
            <w:tcW w:w="1061" w:type="dxa"/>
            <w:vAlign w:val="center"/>
          </w:tcPr>
          <w:p>
            <w:pPr>
              <w:jc w:val="center"/>
            </w:pPr>
            <w:r>
              <w:rPr>
                <w:rFonts w:hint="eastAsia"/>
              </w:rPr>
              <w:t>100</w:t>
            </w:r>
          </w:p>
        </w:tc>
        <w:tc>
          <w:tcPr>
            <w:tcW w:w="1061" w:type="dxa"/>
            <w:vAlign w:val="center"/>
          </w:tcPr>
          <w:p>
            <w:pPr>
              <w:jc w:val="center"/>
            </w:pPr>
            <w:r>
              <w:rPr>
                <w:rFonts w:hint="eastAsia"/>
              </w:rPr>
              <w:t>250</w:t>
            </w:r>
          </w:p>
        </w:tc>
        <w:tc>
          <w:tcPr>
            <w:tcW w:w="1061" w:type="dxa"/>
            <w:vAlign w:val="center"/>
          </w:tcPr>
          <w:p>
            <w:pPr>
              <w:jc w:val="center"/>
            </w:pPr>
            <w:r>
              <w:rPr>
                <w:rFonts w:hint="eastAsia"/>
              </w:rPr>
              <w:t>500</w:t>
            </w:r>
          </w:p>
        </w:tc>
        <w:tc>
          <w:tcPr>
            <w:tcW w:w="1074" w:type="dxa"/>
            <w:vAlign w:val="center"/>
          </w:tcPr>
          <w:p>
            <w:pPr>
              <w:jc w:val="center"/>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883" w:type="dxa"/>
            <w:vAlign w:val="center"/>
          </w:tcPr>
          <w:p>
            <w:pPr>
              <w:jc w:val="center"/>
            </w:pPr>
            <w:r>
              <w:rPr>
                <w:rFonts w:hint="eastAsia"/>
                <w:szCs w:val="21"/>
              </w:rPr>
              <w:t>容量允差/mL</w:t>
            </w:r>
          </w:p>
        </w:tc>
        <w:tc>
          <w:tcPr>
            <w:tcW w:w="1060" w:type="dxa"/>
            <w:vAlign w:val="center"/>
          </w:tcPr>
          <w:p>
            <w:pPr>
              <w:jc w:val="center"/>
            </w:pPr>
            <w:r>
              <w:rPr>
                <w:rFonts w:hint="eastAsia"/>
              </w:rPr>
              <w:t>±0.20</w:t>
            </w:r>
          </w:p>
        </w:tc>
        <w:tc>
          <w:tcPr>
            <w:tcW w:w="1061" w:type="dxa"/>
            <w:vAlign w:val="center"/>
          </w:tcPr>
          <w:p>
            <w:pPr>
              <w:jc w:val="center"/>
            </w:pPr>
            <w:r>
              <w:rPr>
                <w:rFonts w:hint="eastAsia"/>
              </w:rPr>
              <w:t>±0.30</w:t>
            </w:r>
          </w:p>
        </w:tc>
        <w:tc>
          <w:tcPr>
            <w:tcW w:w="1061" w:type="dxa"/>
            <w:vAlign w:val="center"/>
          </w:tcPr>
          <w:p>
            <w:pPr>
              <w:jc w:val="center"/>
            </w:pPr>
            <w:r>
              <w:rPr>
                <w:rFonts w:hint="eastAsia"/>
              </w:rPr>
              <w:t>±0.6</w:t>
            </w:r>
          </w:p>
        </w:tc>
        <w:tc>
          <w:tcPr>
            <w:tcW w:w="1061" w:type="dxa"/>
            <w:vAlign w:val="center"/>
          </w:tcPr>
          <w:p>
            <w:pPr>
              <w:jc w:val="center"/>
            </w:pPr>
            <w:r>
              <w:rPr>
                <w:rFonts w:hint="eastAsia"/>
              </w:rPr>
              <w:t>±1.0</w:t>
            </w:r>
          </w:p>
        </w:tc>
        <w:tc>
          <w:tcPr>
            <w:tcW w:w="1061" w:type="dxa"/>
            <w:vAlign w:val="center"/>
          </w:tcPr>
          <w:p>
            <w:pPr>
              <w:jc w:val="center"/>
            </w:pPr>
            <w:r>
              <w:rPr>
                <w:rFonts w:hint="eastAsia"/>
              </w:rPr>
              <w:t>±1.6</w:t>
            </w:r>
          </w:p>
        </w:tc>
        <w:tc>
          <w:tcPr>
            <w:tcW w:w="1074" w:type="dxa"/>
            <w:vAlign w:val="center"/>
          </w:tcPr>
          <w:p>
            <w:pPr>
              <w:jc w:val="center"/>
            </w:pPr>
            <w:r>
              <w:rPr>
                <w:rFonts w:hint="eastAsia"/>
              </w:rPr>
              <w:t>±2.6</w:t>
            </w:r>
          </w:p>
        </w:tc>
      </w:tr>
    </w:tbl>
    <w:p>
      <w:pPr>
        <w:pStyle w:val="25"/>
        <w:ind w:firstLine="0" w:firstLineChars="0"/>
        <w:rPr>
          <w:rFonts w:ascii="Times New Roman"/>
          <w:kern w:val="2"/>
          <w:sz w:val="20"/>
        </w:rPr>
      </w:pPr>
      <w:r>
        <w:rPr>
          <w:rFonts w:hint="eastAsia" w:ascii="Times New Roman"/>
          <w:kern w:val="2"/>
          <w:sz w:val="20"/>
        </w:rPr>
        <w:t>注：其他品牌材质塑料容量瓶可参照瓶身容量允许误差，以上指标不是用于合格性判别，仅供参考。</w:t>
      </w:r>
    </w:p>
    <w:p>
      <w:pPr>
        <w:pStyle w:val="25"/>
        <w:ind w:firstLine="420"/>
        <w:rPr>
          <w:rFonts w:hint="eastAsia"/>
        </w:rPr>
      </w:pPr>
    </w:p>
    <w:p>
      <w:pPr>
        <w:pStyle w:val="30"/>
        <w:numPr>
          <w:ilvl w:val="0"/>
          <w:numId w:val="0"/>
        </w:numPr>
        <w:spacing w:before="156" w:after="156" w:line="360" w:lineRule="auto"/>
        <w:rPr>
          <w:rFonts w:ascii="Times New Roman"/>
          <w:szCs w:val="21"/>
        </w:rPr>
      </w:pPr>
      <w:r>
        <w:rPr>
          <w:rFonts w:hint="eastAsia" w:ascii="Times New Roman"/>
          <w:szCs w:val="21"/>
        </w:rPr>
        <w:t>2.2.6校准条件</w:t>
      </w:r>
      <w:bookmarkEnd w:id="28"/>
      <w:bookmarkStart w:id="29" w:name="_Toc193860183"/>
      <w:bookmarkStart w:id="30" w:name="_Toc193860214"/>
      <w:bookmarkStart w:id="31" w:name="_Toc500258942"/>
      <w:bookmarkStart w:id="32" w:name="_Toc193860033"/>
    </w:p>
    <w:bookmarkEnd w:id="29"/>
    <w:bookmarkEnd w:id="30"/>
    <w:bookmarkEnd w:id="31"/>
    <w:bookmarkEnd w:id="32"/>
    <w:p>
      <w:pPr>
        <w:spacing w:line="360" w:lineRule="auto"/>
        <w:ind w:firstLine="420" w:firstLineChars="200"/>
        <w:rPr>
          <w:rFonts w:eastAsiaTheme="minorEastAsia"/>
          <w:szCs w:val="21"/>
        </w:rPr>
      </w:pPr>
      <w:bookmarkStart w:id="33" w:name="_Toc193618955"/>
      <w:bookmarkStart w:id="34" w:name="_Toc500258944"/>
      <w:bookmarkStart w:id="35" w:name="_Toc193860035"/>
      <w:bookmarkStart w:id="36" w:name="_Toc2741_WPSOffice_Level1"/>
      <w:bookmarkStart w:id="37" w:name="_Toc193619058"/>
      <w:bookmarkStart w:id="38" w:name="_Toc193860185"/>
      <w:bookmarkStart w:id="39" w:name="_Toc193619100"/>
      <w:bookmarkStart w:id="40" w:name="_Toc193860216"/>
      <w:r>
        <w:rPr>
          <w:rFonts w:hint="eastAsia" w:eastAsiaTheme="minorEastAsia"/>
          <w:szCs w:val="21"/>
        </w:rPr>
        <w:t>室温（20±5）℃，且室温变化不得大于1℃/h；校准用纯水应提前24小时放入实验室，使其温度与室温温差不得大于2℃，校准前需将容量瓶洗净并干燥，且提前4小时放入实验室内。</w:t>
      </w:r>
    </w:p>
    <w:p>
      <w:pPr>
        <w:pStyle w:val="30"/>
        <w:numPr>
          <w:ilvl w:val="0"/>
          <w:numId w:val="0"/>
        </w:numPr>
        <w:spacing w:before="156" w:after="156" w:line="360" w:lineRule="auto"/>
        <w:rPr>
          <w:rFonts w:ascii="Times New Roman"/>
          <w:szCs w:val="21"/>
        </w:rPr>
      </w:pPr>
      <w:r>
        <w:rPr>
          <w:rFonts w:hint="eastAsia" w:ascii="Times New Roman"/>
          <w:szCs w:val="21"/>
        </w:rPr>
        <w:t>2.2.7校准项目和校准方法</w:t>
      </w:r>
      <w:bookmarkEnd w:id="33"/>
      <w:bookmarkEnd w:id="34"/>
      <w:bookmarkEnd w:id="35"/>
      <w:bookmarkEnd w:id="36"/>
      <w:bookmarkEnd w:id="37"/>
      <w:bookmarkEnd w:id="38"/>
      <w:bookmarkEnd w:id="39"/>
      <w:bookmarkEnd w:id="40"/>
    </w:p>
    <w:p>
      <w:pPr>
        <w:spacing w:line="360" w:lineRule="auto"/>
        <w:ind w:firstLine="420" w:firstLineChars="200"/>
        <w:rPr>
          <w:kern w:val="0"/>
          <w:szCs w:val="21"/>
        </w:rPr>
      </w:pPr>
      <w:bookmarkStart w:id="41" w:name="_Toc22718_WPSOffice_Level2"/>
      <w:bookmarkStart w:id="42" w:name="_Toc500258945"/>
      <w:bookmarkStart w:id="43" w:name="_Toc193860219"/>
      <w:bookmarkStart w:id="44" w:name="_Toc193860038"/>
      <w:bookmarkStart w:id="45" w:name="_Toc193619101"/>
      <w:bookmarkStart w:id="46" w:name="_Toc193860188"/>
      <w:bookmarkStart w:id="47" w:name="_Toc193619059"/>
      <w:bookmarkStart w:id="48" w:name="_Toc193618956"/>
      <w:bookmarkStart w:id="49" w:name="_Toc25466_WPSOffice_Level1"/>
      <w:bookmarkStart w:id="50" w:name="_Toc500258947"/>
      <w:r>
        <w:rPr>
          <w:rFonts w:hint="eastAsia"/>
          <w:kern w:val="0"/>
          <w:szCs w:val="21"/>
        </w:rPr>
        <w:t>校准项目主要为塑料容量瓶的容量误差，校准方法采用衡量法。</w:t>
      </w:r>
    </w:p>
    <w:bookmarkEnd w:id="41"/>
    <w:bookmarkEnd w:id="42"/>
    <w:p>
      <w:pPr>
        <w:pStyle w:val="30"/>
        <w:numPr>
          <w:ilvl w:val="0"/>
          <w:numId w:val="0"/>
        </w:numPr>
        <w:spacing w:before="156" w:after="156"/>
        <w:rPr>
          <w:rFonts w:ascii="Times New Roman"/>
          <w:szCs w:val="21"/>
        </w:rPr>
      </w:pPr>
      <w:r>
        <w:rPr>
          <w:rFonts w:hint="eastAsia" w:ascii="Times New Roman"/>
          <w:szCs w:val="21"/>
        </w:rPr>
        <w:t>2.2.8校准结果</w:t>
      </w:r>
      <w:bookmarkEnd w:id="43"/>
      <w:bookmarkEnd w:id="44"/>
      <w:bookmarkEnd w:id="45"/>
      <w:bookmarkEnd w:id="46"/>
      <w:bookmarkEnd w:id="47"/>
      <w:bookmarkEnd w:id="48"/>
      <w:r>
        <w:rPr>
          <w:rFonts w:hint="eastAsia" w:ascii="Times New Roman"/>
          <w:szCs w:val="21"/>
        </w:rPr>
        <w:t>表达</w:t>
      </w:r>
      <w:bookmarkEnd w:id="49"/>
      <w:bookmarkEnd w:id="50"/>
    </w:p>
    <w:p>
      <w:pPr>
        <w:pStyle w:val="25"/>
        <w:spacing w:line="360" w:lineRule="auto"/>
        <w:ind w:firstLine="420"/>
        <w:rPr>
          <w:rFonts w:ascii="Times New Roman" w:eastAsiaTheme="minorEastAsia"/>
          <w:kern w:val="2"/>
          <w:szCs w:val="21"/>
        </w:rPr>
      </w:pPr>
      <w:bookmarkStart w:id="51" w:name="_Toc193860040"/>
      <w:bookmarkStart w:id="52" w:name="_Toc193860220"/>
      <w:bookmarkStart w:id="53" w:name="_Toc14803_WPSOffice_Level1"/>
      <w:bookmarkStart w:id="54" w:name="_Toc5529"/>
      <w:bookmarkStart w:id="55" w:name="_Toc193860189"/>
      <w:bookmarkStart w:id="56" w:name="_Toc193860041"/>
      <w:r>
        <w:rPr>
          <w:rFonts w:hint="eastAsia" w:ascii="Times New Roman" w:eastAsiaTheme="minorEastAsia"/>
          <w:kern w:val="2"/>
          <w:szCs w:val="21"/>
        </w:rPr>
        <w:t>根据实验室环境要求、校准项目校准结果、测量不确定度评定结果等，按照推荐的校准报告格式，出具校准证书。</w:t>
      </w:r>
    </w:p>
    <w:p>
      <w:pPr>
        <w:pStyle w:val="30"/>
        <w:numPr>
          <w:ilvl w:val="0"/>
          <w:numId w:val="0"/>
        </w:numPr>
        <w:spacing w:before="156" w:after="156"/>
        <w:rPr>
          <w:rFonts w:ascii="Times New Roman"/>
          <w:szCs w:val="21"/>
        </w:rPr>
      </w:pPr>
      <w:r>
        <w:rPr>
          <w:rFonts w:hint="eastAsia" w:ascii="Times New Roman"/>
          <w:szCs w:val="21"/>
        </w:rPr>
        <w:t>2.2.9复校</w:t>
      </w:r>
      <w:bookmarkEnd w:id="51"/>
      <w:bookmarkEnd w:id="52"/>
      <w:bookmarkEnd w:id="53"/>
      <w:bookmarkEnd w:id="54"/>
      <w:bookmarkEnd w:id="55"/>
      <w:r>
        <w:rPr>
          <w:rFonts w:hint="eastAsia" w:ascii="Times New Roman"/>
          <w:szCs w:val="21"/>
        </w:rPr>
        <w:t>时间间隔</w:t>
      </w:r>
    </w:p>
    <w:bookmarkEnd w:id="56"/>
    <w:p>
      <w:pPr>
        <w:pStyle w:val="25"/>
        <w:spacing w:line="360" w:lineRule="auto"/>
        <w:ind w:firstLine="420"/>
        <w:rPr>
          <w:rFonts w:ascii="Times New Roman" w:eastAsiaTheme="minorEastAsia"/>
          <w:kern w:val="2"/>
          <w:szCs w:val="21"/>
        </w:rPr>
      </w:pPr>
      <w:r>
        <w:rPr>
          <w:rFonts w:hint="eastAsia" w:ascii="Times New Roman" w:eastAsiaTheme="minorEastAsia"/>
          <w:kern w:val="2"/>
          <w:szCs w:val="21"/>
        </w:rPr>
        <w:t>建议复校时间间隔为</w:t>
      </w:r>
      <w:r>
        <w:rPr>
          <w:rFonts w:ascii="Times New Roman" w:eastAsiaTheme="minorEastAsia"/>
          <w:kern w:val="2"/>
          <w:szCs w:val="21"/>
        </w:rPr>
        <w:t>1</w:t>
      </w:r>
      <w:r>
        <w:rPr>
          <w:rFonts w:hint="eastAsia" w:ascii="Times New Roman" w:eastAsiaTheme="minorEastAsia"/>
          <w:kern w:val="2"/>
          <w:szCs w:val="21"/>
        </w:rPr>
        <w:t>年。标定器使用频繁时应适当缩短周期，在使用过程中标定器经过修理、更换重要部件的应重新校准。</w:t>
      </w:r>
    </w:p>
    <w:p>
      <w:pPr>
        <w:pStyle w:val="30"/>
        <w:numPr>
          <w:ilvl w:val="0"/>
          <w:numId w:val="0"/>
        </w:numPr>
        <w:spacing w:before="156" w:after="156"/>
        <w:rPr>
          <w:rFonts w:ascii="Times New Roman"/>
          <w:szCs w:val="21"/>
        </w:rPr>
      </w:pPr>
      <w:r>
        <w:rPr>
          <w:rFonts w:hint="eastAsia" w:ascii="Times New Roman"/>
          <w:szCs w:val="21"/>
        </w:rPr>
        <w:t>2.2.10附录</w:t>
      </w:r>
    </w:p>
    <w:bookmarkEnd w:id="6"/>
    <w:p>
      <w:pPr>
        <w:pStyle w:val="25"/>
        <w:spacing w:line="360" w:lineRule="auto"/>
        <w:ind w:firstLine="420"/>
        <w:rPr>
          <w:rFonts w:ascii="Times New Roman" w:eastAsiaTheme="minorEastAsia"/>
          <w:kern w:val="2"/>
          <w:szCs w:val="21"/>
        </w:rPr>
      </w:pPr>
      <w:r>
        <w:rPr>
          <w:rFonts w:hint="eastAsia" w:ascii="Times New Roman" w:eastAsiaTheme="minorEastAsia"/>
          <w:kern w:val="2"/>
          <w:szCs w:val="21"/>
        </w:rPr>
        <w:t>附录主要包含校准原始记录参考格式、校准证书内页参考格式、塑料容量瓶衡量法</w:t>
      </w:r>
      <w:r>
        <w:rPr>
          <w:rFonts w:ascii="Times New Roman" w:eastAsiaTheme="minorEastAsia"/>
          <w:i/>
          <w:iCs/>
          <w:kern w:val="2"/>
          <w:szCs w:val="21"/>
        </w:rPr>
        <w:t>K</w:t>
      </w:r>
      <w:r>
        <w:rPr>
          <w:rFonts w:ascii="Times New Roman" w:eastAsiaTheme="minorEastAsia"/>
          <w:kern w:val="2"/>
          <w:szCs w:val="21"/>
        </w:rPr>
        <w:t>(</w:t>
      </w:r>
      <w:r>
        <w:rPr>
          <w:rFonts w:ascii="Times New Roman" w:eastAsiaTheme="minorEastAsia"/>
          <w:i/>
          <w:iCs/>
          <w:kern w:val="2"/>
          <w:szCs w:val="21"/>
        </w:rPr>
        <w:t>t</w:t>
      </w:r>
      <w:r>
        <w:rPr>
          <w:rFonts w:ascii="Times New Roman" w:eastAsiaTheme="minorEastAsia"/>
          <w:kern w:val="2"/>
          <w:szCs w:val="21"/>
        </w:rPr>
        <w:t>)</w:t>
      </w:r>
      <w:r>
        <w:rPr>
          <w:rFonts w:hint="eastAsia" w:ascii="Times New Roman" w:eastAsiaTheme="minorEastAsia"/>
          <w:kern w:val="2"/>
          <w:szCs w:val="21"/>
        </w:rPr>
        <w:t>值表、容量误差测量结果不确定度。</w:t>
      </w: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rFonts w:ascii="宋体" w:hAnsi="宋体"/>
          <w:bCs/>
          <w:szCs w:val="21"/>
        </w:rPr>
      </w:pPr>
      <w:r>
        <w:rPr>
          <w:rFonts w:hint="eastAsia" w:ascii="宋体" w:hAnsi="宋体"/>
          <w:bCs/>
          <w:szCs w:val="21"/>
        </w:rPr>
        <w:t>据查，目前国内外没有针对</w:t>
      </w:r>
      <w:r>
        <w:rPr>
          <w:rFonts w:hint="eastAsia"/>
        </w:rPr>
        <w:t>塑料容量瓶</w:t>
      </w:r>
      <w:r>
        <w:rPr>
          <w:rFonts w:hint="eastAsia" w:ascii="宋体" w:hAnsi="宋体"/>
          <w:bCs/>
          <w:szCs w:val="21"/>
        </w:rPr>
        <w:t>的校准规范，计量检测机构也未开展该类仪器的检定校准。</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ind w:firstLine="420" w:firstLineChars="200"/>
        <w:rPr>
          <w:bCs/>
          <w:sz w:val="18"/>
        </w:rPr>
      </w:pPr>
      <w:r>
        <w:rPr>
          <w:rFonts w:hint="eastAsia" w:ascii="宋体" w:hAnsi="宋体"/>
          <w:bCs/>
          <w:szCs w:val="21"/>
        </w:rPr>
        <w:t>目前国外没有相关技术规范，本规范水平达到国外先进水平。</w:t>
      </w:r>
    </w:p>
    <w:p>
      <w:pPr>
        <w:pStyle w:val="44"/>
        <w:tabs>
          <w:tab w:val="left" w:pos="426"/>
        </w:tabs>
        <w:spacing w:before="312" w:beforeLines="100" w:after="312" w:afterLines="100"/>
        <w:ind w:left="-420" w:leftChars="-200" w:firstLine="420" w:firstLineChars="200"/>
        <w:jc w:val="left"/>
      </w:pPr>
      <w:r>
        <w:rPr>
          <w:rFonts w:hint="eastAsia" w:hAnsi="宋体"/>
          <w:bCs/>
          <w:szCs w:val="21"/>
        </w:rPr>
        <w:t>四、与有关的现行法律、法规和强制性国家标准的关系</w:t>
      </w:r>
    </w:p>
    <w:p>
      <w:pPr>
        <w:pStyle w:val="25"/>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pPr>
        <w:pStyle w:val="44"/>
        <w:tabs>
          <w:tab w:val="left" w:pos="426"/>
        </w:tabs>
        <w:spacing w:before="312" w:beforeLines="100" w:after="312" w:afterLines="100"/>
        <w:ind w:left="-420" w:leftChars="-200" w:firstLine="420" w:firstLineChars="200"/>
        <w:jc w:val="left"/>
      </w:pPr>
      <w:bookmarkStart w:id="57" w:name="_Toc464728973"/>
      <w:r>
        <w:rPr>
          <w:rFonts w:hint="eastAsia"/>
        </w:rPr>
        <w:t>五、规范中涉及的专利或知识产权说明</w:t>
      </w:r>
      <w:bookmarkEnd w:id="57"/>
    </w:p>
    <w:p>
      <w:pPr>
        <w:pStyle w:val="25"/>
        <w:ind w:firstLineChars="0"/>
        <w:contextualSpacing/>
        <w:rPr>
          <w:szCs w:val="21"/>
        </w:rPr>
      </w:pPr>
      <w:bookmarkStart w:id="58" w:name="_Toc464728974"/>
      <w:r>
        <w:rPr>
          <w:rFonts w:hint="eastAsia"/>
          <w:szCs w:val="21"/>
        </w:rPr>
        <w:t>（无）</w:t>
      </w:r>
    </w:p>
    <w:p>
      <w:pPr>
        <w:pStyle w:val="44"/>
        <w:tabs>
          <w:tab w:val="left" w:pos="426"/>
        </w:tabs>
        <w:spacing w:before="312" w:beforeLines="100" w:after="312" w:afterLines="100"/>
        <w:ind w:left="-420" w:leftChars="-200" w:firstLine="420" w:firstLineChars="200"/>
        <w:jc w:val="left"/>
      </w:pPr>
      <w:r>
        <w:rPr>
          <w:rFonts w:hint="eastAsia"/>
        </w:rPr>
        <w:t>六、重大分歧意见的处理经过和依据</w:t>
      </w:r>
      <w:bookmarkEnd w:id="58"/>
    </w:p>
    <w:p>
      <w:pPr>
        <w:pStyle w:val="25"/>
        <w:ind w:firstLine="420"/>
        <w:contextualSpacing/>
        <w:rPr>
          <w:szCs w:val="21"/>
        </w:rPr>
      </w:pPr>
      <w:r>
        <w:rPr>
          <w:rFonts w:hint="eastAsia"/>
          <w:szCs w:val="21"/>
        </w:rPr>
        <w:t>（无）</w:t>
      </w:r>
    </w:p>
    <w:p>
      <w:pPr>
        <w:pStyle w:val="44"/>
        <w:tabs>
          <w:tab w:val="left" w:pos="426"/>
        </w:tabs>
        <w:spacing w:before="312" w:beforeLines="100" w:after="312" w:afterLines="100"/>
        <w:ind w:left="-420" w:leftChars="-200" w:firstLine="420" w:firstLineChars="200"/>
        <w:jc w:val="left"/>
      </w:pPr>
      <w:r>
        <w:rPr>
          <w:rFonts w:hint="eastAsia"/>
        </w:rPr>
        <w:t>七、规范作为强制性或推荐性国家（或行业）标准的建议</w:t>
      </w:r>
    </w:p>
    <w:p>
      <w:pPr>
        <w:adjustRightInd w:val="0"/>
        <w:ind w:firstLine="420" w:firstLineChars="200"/>
        <w:rPr>
          <w:rFonts w:hAnsi="宋体"/>
          <w:bCs/>
          <w:szCs w:val="21"/>
        </w:rPr>
      </w:pPr>
      <w:r>
        <w:rPr>
          <w:rFonts w:hint="eastAsia" w:hAnsi="宋体"/>
          <w:bCs/>
          <w:szCs w:val="21"/>
        </w:rPr>
        <w:t>建议本规范作为推荐性行业计量技术规范，供相关行业参考采用。</w:t>
      </w:r>
    </w:p>
    <w:p>
      <w:pPr>
        <w:pStyle w:val="44"/>
        <w:tabs>
          <w:tab w:val="left" w:pos="426"/>
        </w:tabs>
        <w:spacing w:before="312" w:beforeLines="100" w:after="312" w:afterLines="100"/>
        <w:ind w:left="-420" w:leftChars="-200" w:firstLine="420" w:firstLineChars="200"/>
        <w:jc w:val="left"/>
      </w:pPr>
      <w:bookmarkStart w:id="59" w:name="_Toc464728976"/>
      <w:r>
        <w:rPr>
          <w:rFonts w:hint="eastAsia"/>
        </w:rPr>
        <w:t>八、贯彻规范的要求和措施建议</w:t>
      </w:r>
      <w:bookmarkEnd w:id="59"/>
    </w:p>
    <w:p>
      <w:pPr>
        <w:pStyle w:val="25"/>
        <w:ind w:firstLine="420"/>
        <w:contextualSpacing/>
        <w:rPr>
          <w:rFonts w:ascii="Times New Roman" w:hAnsi="宋体"/>
          <w:bCs/>
          <w:kern w:val="2"/>
          <w:szCs w:val="21"/>
        </w:rPr>
      </w:pPr>
      <w:r>
        <w:rPr>
          <w:rFonts w:hint="eastAsia" w:ascii="Times New Roman" w:hAnsi="宋体"/>
          <w:bCs/>
          <w:kern w:val="2"/>
          <w:szCs w:val="21"/>
        </w:rPr>
        <w:t>本规范发布后，中国有色金属行业协会和有色金属行业计量技术委员会应加强本规范的宣传力度，促进各实验室以及计量技术机构对本规范的使用，以确保塑料容量瓶量值的准确，保障人民生产生活的安全，促进金属行业化工制造，冶金，制药，环保等领域的发展。</w:t>
      </w:r>
    </w:p>
    <w:p>
      <w:pPr>
        <w:pStyle w:val="44"/>
        <w:tabs>
          <w:tab w:val="left" w:pos="426"/>
        </w:tabs>
        <w:spacing w:before="312" w:beforeLines="100" w:after="312" w:afterLines="100"/>
        <w:ind w:left="-420" w:leftChars="-200" w:firstLine="420" w:firstLineChars="200"/>
        <w:jc w:val="left"/>
      </w:pPr>
      <w:bookmarkStart w:id="60" w:name="_Toc464728977"/>
      <w:r>
        <w:rPr>
          <w:rFonts w:hint="eastAsia"/>
        </w:rPr>
        <w:t>九、废止现行有关规范的建议</w:t>
      </w:r>
      <w:bookmarkEnd w:id="60"/>
    </w:p>
    <w:p>
      <w:pPr>
        <w:pStyle w:val="25"/>
        <w:ind w:firstLine="420"/>
        <w:contextualSpacing/>
        <w:rPr>
          <w:szCs w:val="21"/>
        </w:rPr>
      </w:pPr>
      <w:r>
        <w:rPr>
          <w:rFonts w:hint="eastAsia"/>
          <w:szCs w:val="21"/>
        </w:rPr>
        <w:t>（无）。</w:t>
      </w:r>
    </w:p>
    <w:p>
      <w:pPr>
        <w:pStyle w:val="44"/>
        <w:tabs>
          <w:tab w:val="left" w:pos="426"/>
        </w:tabs>
        <w:spacing w:before="312" w:beforeLines="100" w:after="312" w:afterLines="100"/>
        <w:ind w:left="-420" w:leftChars="-200" w:firstLine="420" w:firstLineChars="200"/>
        <w:jc w:val="left"/>
      </w:pPr>
      <w:r>
        <w:rPr>
          <w:rFonts w:hint="eastAsia"/>
        </w:rPr>
        <w:t>十、预期效果</w:t>
      </w:r>
    </w:p>
    <w:p>
      <w:pPr>
        <w:pStyle w:val="25"/>
        <w:ind w:firstLineChars="0"/>
        <w:contextualSpacing/>
        <w:rPr>
          <w:rFonts w:cs="宋体"/>
          <w:szCs w:val="21"/>
        </w:rPr>
      </w:pPr>
      <w:r>
        <w:rPr>
          <w:rFonts w:hint="eastAsia" w:cs="宋体"/>
          <w:szCs w:val="21"/>
        </w:rPr>
        <w:t>塑料容量瓶校准规范的制定，</w:t>
      </w:r>
      <w:r>
        <w:rPr>
          <w:rFonts w:hint="eastAsia" w:cs="宋体"/>
          <w:kern w:val="2"/>
          <w:szCs w:val="21"/>
        </w:rPr>
        <w:t>具有极大的经济效益和社会效益，填补了有色金属行业领域校准空白，能够很好的满足有色金属领域分析检测实验室对于塑料容量瓶的校准需求，进而保证试验结果的可信度，使得产品的安全性。</w:t>
      </w:r>
    </w:p>
    <w:p>
      <w:pPr>
        <w:pStyle w:val="44"/>
        <w:tabs>
          <w:tab w:val="left" w:pos="426"/>
        </w:tabs>
        <w:spacing w:before="312" w:beforeLines="100" w:after="312" w:afterLines="100"/>
        <w:ind w:left="-420" w:leftChars="-200" w:firstLine="420" w:firstLineChars="200"/>
        <w:jc w:val="left"/>
      </w:pPr>
      <w:r>
        <w:rPr>
          <w:rFonts w:hint="eastAsia" w:hAnsi="宋体"/>
          <w:bCs/>
          <w:szCs w:val="21"/>
        </w:rPr>
        <w:t>十一、其他应予说明的事项</w:t>
      </w:r>
    </w:p>
    <w:p>
      <w:pPr>
        <w:pStyle w:val="25"/>
        <w:ind w:firstLineChars="0"/>
        <w:contextualSpacing/>
        <w:rPr>
          <w:rFonts w:ascii="Times New Roman"/>
          <w:szCs w:val="21"/>
        </w:rPr>
      </w:pPr>
      <w:r>
        <w:rPr>
          <w:rFonts w:hint="eastAsia"/>
          <w:szCs w:val="21"/>
        </w:rPr>
        <w:t>（无）。</w:t>
      </w:r>
    </w:p>
    <w:p>
      <w:pPr>
        <w:spacing w:line="360" w:lineRule="auto"/>
        <w:jc w:val="right"/>
        <w:rPr>
          <w:rFonts w:asciiTheme="minorEastAsia" w:hAnsiTheme="minorEastAsia" w:eastAsiaTheme="minorEastAsia" w:cstheme="minorEastAsia"/>
          <w:bCs/>
          <w:szCs w:val="21"/>
        </w:rPr>
      </w:pPr>
      <w:r>
        <w:rPr>
          <w:rFonts w:ascii="黑体" w:eastAsia="黑体"/>
          <w:bCs/>
        </w:rPr>
        <w:t xml:space="preserve">         </w:t>
      </w:r>
      <w:r>
        <w:rPr>
          <w:rFonts w:ascii="黑体" w:hAnsi="黑体" w:eastAsia="黑体"/>
          <w:bCs/>
        </w:rPr>
        <w:t xml:space="preserve">     </w:t>
      </w:r>
      <w:r>
        <w:rPr>
          <w:rFonts w:hint="eastAsia" w:asciiTheme="minorEastAsia" w:hAnsiTheme="minorEastAsia" w:eastAsiaTheme="minorEastAsia" w:cstheme="minorEastAsia"/>
          <w:bCs/>
          <w:szCs w:val="21"/>
        </w:rPr>
        <w:t xml:space="preserve"> 《塑料容量瓶校准规范</w:t>
      </w:r>
      <w:r>
        <w:rPr>
          <w:rFonts w:hint="eastAsia" w:asciiTheme="minorEastAsia" w:hAnsiTheme="minorEastAsia" w:eastAsiaTheme="minorEastAsia" w:cstheme="minorEastAsia"/>
          <w:bCs/>
          <w:kern w:val="0"/>
          <w:szCs w:val="21"/>
        </w:rPr>
        <w:t>》规范编制组</w:t>
      </w:r>
    </w:p>
    <w:p>
      <w:pPr>
        <w:adjustRightInd w:val="0"/>
        <w:snapToGrid w:val="0"/>
        <w:spacing w:line="360" w:lineRule="auto"/>
        <w:ind w:right="105"/>
        <w:jc w:val="right"/>
        <w:textAlignment w:val="top"/>
        <w:rPr>
          <w:rFonts w:asciiTheme="minorEastAsia" w:hAnsiTheme="minorEastAsia" w:eastAsiaTheme="minorEastAsia" w:cstheme="minorEastAsia"/>
          <w:bCs/>
        </w:rPr>
      </w:pPr>
      <w:r>
        <w:rPr>
          <w:rFonts w:hint="eastAsia" w:asciiTheme="minorEastAsia" w:hAnsiTheme="minorEastAsia" w:eastAsiaTheme="minorEastAsia" w:cstheme="minorEastAsia"/>
          <w:bCs/>
        </w:rPr>
        <w:t>2023年5月1日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PpO5poOAgAABwQAAA4AAABkcnMvZTJvRG9jLnhtbK1T&#10;zY7TMBC+I/EOlu80aRGrqmq6KrsqQqrYlQri7DpOE8l/st0m5QHgDThx4c5z9Tn47CRdBJwQF2cy&#10;M/5m5pvPy9tOSXISzjdGF3Q6ySkRmpuy0YeCfni/eTGnxAemSyaNFgU9C09vV8+fLVu7EDNTG1kK&#10;RwCi/aK1Ba1DsIss87wWivmJsUIjWBmnWMCvO2SlYy3QlcxmeX6TtcaV1hkuvIf3vg/SVcKvKsHD&#10;Q1V5EYgsKHoL6XTp3MczWy3Z4uCYrRs+tMH+oQvFGo2iV6h7Fhg5uuYPKNVwZ7ypwoQblZmqarhI&#10;M2Caaf7bNLuaWZFmATneXmny/w+Wvzs9OtKU2B0lmims6PL1y+Xbj8v3z2Qa6WmtXyBrZ5EXutem&#10;i6mD38MZp+4qp+IX8xDEQfT5Sq7oAuHx0nw2n+cIccTGH+BkT9et8+GNMIpEo6AO20ukstPWhz51&#10;TInVtNk0UsLPFlKTtqA3L1/l6cI1AnCpUSMO0TcbrdDtu2GCvSnPGMyZXhne8k2D4lvmwyNzkAIa&#10;hrzDA45KGhQxg0VJbdynv/ljPjaEKCUtpFVQDe1TIt9qbC6qcDTcaOxHQx/VnYFWsQ30kkxccEGO&#10;ZuWM+gjNr2MNhJjmqFTQMJp3oZc33gwX63VKgtYsC1u9szxCR8a8XR8DCEy8RlJ6JgauoLa0meFl&#10;RDn/+p+ynt7v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uCR82QAAAAsBAAAPAAAAAAAAAAEA&#10;IAAAACIAAABkcnMvZG93bnJldi54bWxQSwECFAAUAAAACACHTuJA+k7mmg4CAAAHBAAADgAAAAAA&#10;AAABACAAAAAoAQAAZHJzL2Uyb0RvYy54bWxQSwUGAAAAAAYABgBZAQAAqAU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6067"/>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7634B"/>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49E7"/>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A6A7A9F"/>
    <w:rsid w:val="3B506247"/>
    <w:rsid w:val="3C2D4B77"/>
    <w:rsid w:val="3C4804B8"/>
    <w:rsid w:val="3D540C00"/>
    <w:rsid w:val="3E4C126D"/>
    <w:rsid w:val="3FFB769C"/>
    <w:rsid w:val="424972B2"/>
    <w:rsid w:val="42CD2859"/>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AD2505B"/>
    <w:rsid w:val="6C0D48EE"/>
    <w:rsid w:val="6C715A3C"/>
    <w:rsid w:val="6CC25367"/>
    <w:rsid w:val="6D1337BB"/>
    <w:rsid w:val="6D4F6A9B"/>
    <w:rsid w:val="6EAB3BD4"/>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8">
    <w:name w:val="annotation reference"/>
    <w:basedOn w:val="17"/>
    <w:semiHidden/>
    <w:qFormat/>
    <w:uiPriority w:val="99"/>
    <w:rPr>
      <w:rFonts w:cs="Times New Roman"/>
      <w:sz w:val="21"/>
      <w:szCs w:val="21"/>
    </w:rPr>
  </w:style>
  <w:style w:type="character" w:customStyle="1" w:styleId="19">
    <w:name w:val="标题 2 Char"/>
    <w:basedOn w:val="17"/>
    <w:link w:val="2"/>
    <w:qFormat/>
    <w:locked/>
    <w:uiPriority w:val="99"/>
    <w:rPr>
      <w:rFonts w:ascii="Arial" w:hAnsi="Arial" w:eastAsia="黑体" w:cs="Times New Roman"/>
      <w:b/>
      <w:bCs/>
      <w:kern w:val="2"/>
      <w:sz w:val="32"/>
      <w:szCs w:val="32"/>
    </w:rPr>
  </w:style>
  <w:style w:type="character" w:customStyle="1" w:styleId="20">
    <w:name w:val="日期 Char"/>
    <w:basedOn w:val="17"/>
    <w:link w:val="6"/>
    <w:qFormat/>
    <w:locked/>
    <w:uiPriority w:val="99"/>
    <w:rPr>
      <w:rFonts w:cs="Times New Roman"/>
      <w:kern w:val="2"/>
      <w:sz w:val="24"/>
      <w:szCs w:val="24"/>
    </w:rPr>
  </w:style>
  <w:style w:type="character" w:customStyle="1" w:styleId="21">
    <w:name w:val="批注框文本 Char"/>
    <w:basedOn w:val="17"/>
    <w:link w:val="8"/>
    <w:qFormat/>
    <w:locked/>
    <w:uiPriority w:val="99"/>
    <w:rPr>
      <w:rFonts w:cs="Times New Roman"/>
      <w:kern w:val="2"/>
      <w:sz w:val="18"/>
      <w:szCs w:val="18"/>
    </w:rPr>
  </w:style>
  <w:style w:type="character" w:customStyle="1" w:styleId="22">
    <w:name w:val="页脚 Char"/>
    <w:basedOn w:val="17"/>
    <w:link w:val="9"/>
    <w:qFormat/>
    <w:locked/>
    <w:uiPriority w:val="99"/>
    <w:rPr>
      <w:rFonts w:cs="Times New Roman"/>
      <w:kern w:val="2"/>
      <w:sz w:val="18"/>
      <w:szCs w:val="18"/>
    </w:rPr>
  </w:style>
  <w:style w:type="character" w:customStyle="1" w:styleId="23">
    <w:name w:val="页眉 Char"/>
    <w:basedOn w:val="17"/>
    <w:link w:val="10"/>
    <w:semiHidden/>
    <w:qFormat/>
    <w:locked/>
    <w:uiPriority w:val="99"/>
    <w:rPr>
      <w:rFonts w:cs="Times New Roman"/>
      <w:sz w:val="18"/>
      <w:szCs w:val="18"/>
    </w:rPr>
  </w:style>
  <w:style w:type="character" w:customStyle="1" w:styleId="24">
    <w:name w:val="正文文本 2 Char"/>
    <w:basedOn w:val="17"/>
    <w:link w:val="11"/>
    <w:semiHidden/>
    <w:qFormat/>
    <w:locked/>
    <w:uiPriority w:val="99"/>
    <w:rPr>
      <w:rFonts w:cs="Times New Roman"/>
      <w:sz w:val="24"/>
      <w:szCs w:val="24"/>
    </w:rPr>
  </w:style>
  <w:style w:type="paragraph" w:customStyle="1" w:styleId="25">
    <w:name w:val="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0"/>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Char"/>
    <w:basedOn w:val="17"/>
    <w:link w:val="7"/>
    <w:semiHidden/>
    <w:qFormat/>
    <w:locked/>
    <w:uiPriority w:val="99"/>
    <w:rPr>
      <w:rFonts w:cs="Times New Roman"/>
      <w:sz w:val="24"/>
      <w:szCs w:val="24"/>
    </w:rPr>
  </w:style>
  <w:style w:type="character" w:customStyle="1" w:styleId="38">
    <w:name w:val="正文文本缩进 Char"/>
    <w:basedOn w:val="17"/>
    <w:link w:val="5"/>
    <w:semiHidden/>
    <w:qFormat/>
    <w:locked/>
    <w:uiPriority w:val="99"/>
    <w:rPr>
      <w:rFonts w:cs="Times New Roman"/>
      <w:sz w:val="24"/>
      <w:szCs w:val="24"/>
    </w:rPr>
  </w:style>
  <w:style w:type="character" w:customStyle="1" w:styleId="39">
    <w:name w:val="正文首行缩进 2 Char"/>
    <w:basedOn w:val="38"/>
    <w:link w:val="14"/>
    <w:semiHidden/>
    <w:qFormat/>
    <w:locked/>
    <w:uiPriority w:val="99"/>
    <w:rPr>
      <w:rFonts w:cs="Times New Roman"/>
      <w:sz w:val="24"/>
      <w:szCs w:val="24"/>
    </w:rPr>
  </w:style>
  <w:style w:type="character" w:customStyle="1" w:styleId="40">
    <w:name w:val="正文文本 Char"/>
    <w:basedOn w:val="17"/>
    <w:link w:val="4"/>
    <w:semiHidden/>
    <w:qFormat/>
    <w:locked/>
    <w:uiPriority w:val="99"/>
    <w:rPr>
      <w:rFonts w:cs="Times New Roman"/>
      <w:sz w:val="24"/>
      <w:szCs w:val="24"/>
    </w:rPr>
  </w:style>
  <w:style w:type="character" w:customStyle="1" w:styleId="41">
    <w:name w:val="正文首行缩进 Char"/>
    <w:basedOn w:val="40"/>
    <w:link w:val="13"/>
    <w:semiHidden/>
    <w:qFormat/>
    <w:locked/>
    <w:uiPriority w:val="99"/>
    <w:rPr>
      <w:rFonts w:cs="Times New Roman"/>
      <w:sz w:val="24"/>
      <w:szCs w:val="24"/>
    </w:rPr>
  </w:style>
  <w:style w:type="character" w:customStyle="1" w:styleId="42">
    <w:name w:val="图题及表格"/>
    <w:basedOn w:val="17"/>
    <w:qFormat/>
    <w:uiPriority w:val="0"/>
    <w:rPr>
      <w:rFonts w:ascii="Times New Roman" w:hAnsi="Times New Roman" w:eastAsia="宋体"/>
      <w:sz w:val="21"/>
    </w:rPr>
  </w:style>
  <w:style w:type="paragraph" w:customStyle="1" w:styleId="43">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参考文献、索引标题"/>
    <w:basedOn w:val="29"/>
    <w:next w:val="1"/>
    <w:qFormat/>
    <w:uiPriority w:val="0"/>
    <w:pPr>
      <w:numPr>
        <w:numId w:val="0"/>
      </w:numPr>
      <w:spacing w:after="200"/>
    </w:pPr>
    <w:rPr>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605</Words>
  <Characters>3449</Characters>
  <Lines>28</Lines>
  <Paragraphs>8</Paragraphs>
  <TotalTime>0</TotalTime>
  <ScaleCrop>false</ScaleCrop>
  <LinksUpToDate>false</LinksUpToDate>
  <CharactersWithSpaces>4046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2023-06-28T03:20:00Z</dcterms:created>
  <dc:creator>USER</dc:creator>
  <cp:lastModifiedBy>汉唐-ZB</cp:lastModifiedBy>
  <cp:lastPrinted>2013-05-26T06:25:00Z</cp:lastPrinted>
  <dcterms:modified xsi:type="dcterms:W3CDTF">2023-06-28T03:33:28Z</dcterms:modified>
  <dc:title>GB/T11105-2011《金属粉末-压坯的拉托拉试验》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2D4CEB8F29DD4C148491165E7BCF4C55_13</vt:lpwstr>
  </property>
</Properties>
</file>