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r>
        <w:rPr>
          <w:rFonts w:ascii="黑体" w:eastAsia="黑体"/>
          <w:bCs/>
          <w:sz w:val="24"/>
        </w:rPr>
        <w:t>JJF</w:t>
      </w:r>
      <w:r>
        <w:rPr>
          <w:rFonts w:hint="eastAsia" w:ascii="黑体" w:eastAsia="黑体"/>
          <w:bCs/>
          <w:sz w:val="24"/>
        </w:rPr>
        <w:t>（有色金属）01</w:t>
      </w:r>
      <w:r>
        <w:rPr>
          <w:rFonts w:hint="eastAsia" w:ascii="黑体" w:eastAsia="黑体"/>
          <w:bCs/>
          <w:sz w:val="24"/>
          <w:lang w:val="en-US" w:eastAsia="zh-CN"/>
        </w:rPr>
        <w:t>1</w:t>
      </w:r>
      <w:r>
        <w:rPr>
          <w:rFonts w:hint="eastAsia" w:ascii="黑体" w:eastAsia="黑体"/>
          <w:bCs/>
          <w:sz w:val="24"/>
        </w:rPr>
        <w:t>-2022《</w:t>
      </w:r>
      <w:r>
        <w:rPr>
          <w:rFonts w:hint="eastAsia" w:ascii="黑体" w:eastAsia="黑体"/>
          <w:bCs/>
          <w:sz w:val="24"/>
          <w:lang w:val="en-US" w:eastAsia="zh-CN"/>
        </w:rPr>
        <w:t>金属线材反复弯曲试验机</w:t>
      </w:r>
      <w:r>
        <w:rPr>
          <w:rFonts w:hint="eastAsia" w:ascii="黑体" w:eastAsia="黑体"/>
          <w:bCs/>
          <w:sz w:val="24"/>
        </w:rPr>
        <w:t>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rFonts w:ascii="黑体" w:hAnsi="宋体" w:eastAsia="黑体"/>
          <w:bCs/>
          <w:szCs w:val="21"/>
        </w:rPr>
      </w:pPr>
      <w:r>
        <w:rPr>
          <w:rFonts w:hint="eastAsia" w:ascii="黑体" w:hAnsi="宋体" w:eastAsia="黑体"/>
          <w:bCs/>
          <w:szCs w:val="21"/>
        </w:rPr>
        <w:t>一、工作简况</w:t>
      </w:r>
    </w:p>
    <w:p>
      <w:pPr>
        <w:spacing w:line="360" w:lineRule="auto"/>
        <w:rPr>
          <w:rFonts w:hAnsi="宋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立项目的</w:t>
      </w:r>
    </w:p>
    <w:p>
      <w:pPr>
        <w:spacing w:line="360" w:lineRule="auto"/>
        <w:ind w:firstLine="420" w:firstLineChars="200"/>
        <w:rPr>
          <w:rFonts w:hint="eastAsia" w:ascii="Times New Roman" w:hAnsi="宋体" w:cs="Times New Roman"/>
          <w:bCs/>
          <w:szCs w:val="21"/>
        </w:rPr>
      </w:pPr>
      <w:r>
        <w:rPr>
          <w:rFonts w:hint="eastAsia" w:ascii="Times New Roman" w:hAnsi="宋体" w:cs="Times New Roman"/>
          <w:bCs/>
          <w:szCs w:val="21"/>
        </w:rPr>
        <w:t>金属线材反复弯曲试验机是检验金属材料的耐反复弯曲性能，并显示金属材料缺陷的，适用于直径为（0.3～10）mm的铜、铝及其合金、双金属线等圆截面导体金属线材的弯曲性能检测，广泛应用于有色金属领域。反复弯曲试验是确定金属材料塑性变形能力的一种试验方法，目的在于了解产品的结构弱点以及功能退化情况，进而有效地评估产品的可靠性。因此它在材料检测和科学研究中都具有非常重要的意义。反复弯曲试验机各项性能参数合格与否直接影响着试验结果的准确性和可靠性。</w:t>
      </w:r>
    </w:p>
    <w:p>
      <w:pPr>
        <w:spacing w:line="360" w:lineRule="auto"/>
        <w:ind w:firstLine="420" w:firstLineChars="200"/>
        <w:rPr>
          <w:rFonts w:hint="eastAsia" w:ascii="Times New Roman" w:hAnsi="宋体" w:cs="Times New Roman"/>
          <w:bCs/>
          <w:szCs w:val="21"/>
        </w:rPr>
      </w:pPr>
      <w:r>
        <w:rPr>
          <w:rFonts w:hint="eastAsia" w:ascii="Times New Roman" w:hAnsi="宋体" w:cs="Times New Roman"/>
          <w:bCs/>
          <w:szCs w:val="21"/>
        </w:rPr>
        <w:t>随着有色金属行业的发展，反复弯曲试验机的应用领域也越来越广泛，对材料性能检测提出了更高的要求，为了保证金属线材塑性变形能力的准确测量，需要对反复弯曲试验机进行计量，保证各项功能参数量值准确可靠。目前，国内仅见金属线材反复弯曲试验方法相关研究，未见金属线材反复弯曲试验机计量方面的研究，各省市计量技术研究院对金属线材反复弯曲试验机的检定/校准工作未开展，或存在不合理不统一的操作。所提出的校准望能开展对反复弯曲试验机的校准工作，确保校准结果的准确性以及试验结果的可信度，弥补有色金属行业以及计量行业领域空白，促进反复弯曲试验机在有色金属行业得到更合理更准确的应用。</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.2</w:t>
      </w:r>
      <w:r>
        <w:rPr>
          <w:rFonts w:hint="eastAsia" w:ascii="黑体" w:hAnsi="宋体" w:eastAsia="黑体"/>
          <w:bCs/>
          <w:szCs w:val="21"/>
        </w:rPr>
        <w:t>任务来源</w:t>
      </w:r>
    </w:p>
    <w:p>
      <w:pPr>
        <w:pStyle w:val="2"/>
        <w:spacing w:after="0" w:line="360" w:lineRule="auto"/>
        <w:ind w:firstLine="420" w:firstLineChars="200"/>
        <w:rPr>
          <w:rFonts w:hAnsi="宋体"/>
          <w:bCs/>
          <w:szCs w:val="21"/>
        </w:rPr>
      </w:pPr>
      <w:r>
        <w:rPr>
          <w:rFonts w:hint="eastAsia" w:hAnsi="宋体"/>
          <w:bCs/>
          <w:szCs w:val="21"/>
        </w:rPr>
        <w:t>根据工业和信息化部《关于印发2022年行业计量技术规范制修订计划的通知》（工厅科［2022］464号）文的要求，行业计量技术规范《</w:t>
      </w:r>
      <w:r>
        <w:rPr>
          <w:rFonts w:hint="eastAsia" w:ascii="Times New Roman" w:hAnsi="宋体" w:cs="Times New Roman"/>
          <w:bCs/>
          <w:szCs w:val="21"/>
        </w:rPr>
        <w:t>金属线材反复弯曲试验机</w:t>
      </w:r>
      <w:r>
        <w:rPr>
          <w:rFonts w:hint="eastAsia" w:hAnsi="宋体"/>
          <w:bCs/>
          <w:szCs w:val="21"/>
        </w:rPr>
        <w:t>校准规范》由</w:t>
      </w:r>
      <w:r>
        <w:rPr>
          <w:rFonts w:hint="eastAsia"/>
          <w:szCs w:val="21"/>
        </w:rPr>
        <w:t>西安汉唐分析检测有限公司</w:t>
      </w:r>
      <w:r>
        <w:rPr>
          <w:rFonts w:hint="eastAsia" w:hAnsi="宋体"/>
          <w:bCs/>
          <w:szCs w:val="21"/>
        </w:rPr>
        <w:t>负责起草。该项目计划编号为</w:t>
      </w:r>
      <w:r>
        <w:rPr>
          <w:rFonts w:hAnsi="宋体"/>
          <w:bCs/>
          <w:szCs w:val="21"/>
        </w:rPr>
        <w:t>JJF</w:t>
      </w:r>
      <w:r>
        <w:rPr>
          <w:rFonts w:hint="eastAsia" w:hAnsi="宋体"/>
          <w:bCs/>
          <w:szCs w:val="21"/>
        </w:rPr>
        <w:t>（有色金属）01</w:t>
      </w:r>
      <w:r>
        <w:rPr>
          <w:rFonts w:hint="eastAsia" w:hAnsi="宋体"/>
          <w:bCs/>
          <w:szCs w:val="21"/>
          <w:lang w:val="en-US" w:eastAsia="zh-CN"/>
        </w:rPr>
        <w:t>1</w:t>
      </w:r>
      <w:r>
        <w:rPr>
          <w:rFonts w:hint="eastAsia" w:hAnsi="宋体"/>
          <w:bCs/>
          <w:szCs w:val="21"/>
        </w:rPr>
        <w:t>-2</w:t>
      </w:r>
      <w:r>
        <w:rPr>
          <w:rFonts w:hAnsi="宋体"/>
          <w:bCs/>
          <w:szCs w:val="21"/>
        </w:rPr>
        <w:t>02</w:t>
      </w:r>
      <w:r>
        <w:rPr>
          <w:rFonts w:hint="eastAsia" w:hAnsi="宋体"/>
          <w:bCs/>
          <w:szCs w:val="21"/>
        </w:rPr>
        <w:t>2，按计划要求，本计量规范应于</w:t>
      </w:r>
      <w:r>
        <w:rPr>
          <w:rFonts w:hAnsi="宋体"/>
          <w:bCs/>
          <w:szCs w:val="21"/>
        </w:rPr>
        <w:t>202</w:t>
      </w:r>
      <w:r>
        <w:rPr>
          <w:rFonts w:hint="eastAsia" w:hAnsi="宋体"/>
          <w:bCs/>
          <w:szCs w:val="21"/>
        </w:rPr>
        <w:t>4年完成。</w:t>
      </w:r>
    </w:p>
    <w:p>
      <w:pPr>
        <w:pStyle w:val="2"/>
        <w:spacing w:after="0" w:line="360" w:lineRule="auto"/>
        <w:rPr>
          <w:rFonts w:ascii="黑体" w:hAnsi="宋体" w:eastAsia="黑体"/>
          <w:bCs/>
          <w:szCs w:val="21"/>
        </w:rPr>
      </w:pPr>
      <w:r>
        <w:rPr>
          <w:rFonts w:ascii="黑体" w:hAnsi="宋体" w:eastAsia="黑体"/>
          <w:bCs/>
          <w:szCs w:val="21"/>
        </w:rPr>
        <w:t>1.</w:t>
      </w:r>
      <w:r>
        <w:rPr>
          <w:rFonts w:hint="eastAsia" w:ascii="黑体" w:hAnsi="宋体" w:eastAsia="黑体"/>
          <w:bCs/>
          <w:szCs w:val="21"/>
        </w:rPr>
        <w:t>3承担单位情况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pStyle w:val="2"/>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2"/>
        <w:spacing w:after="0" w:line="360" w:lineRule="auto"/>
        <w:rPr>
          <w:rFonts w:ascii="黑体" w:eastAsia="黑体"/>
          <w:bCs/>
          <w:szCs w:val="21"/>
        </w:rPr>
      </w:pPr>
      <w:r>
        <w:rPr>
          <w:rFonts w:ascii="黑体" w:eastAsia="黑体"/>
          <w:bCs/>
          <w:szCs w:val="21"/>
        </w:rPr>
        <w:t>1.</w:t>
      </w:r>
      <w:r>
        <w:rPr>
          <w:rFonts w:hint="eastAsia" w:ascii="黑体" w:eastAsia="黑体"/>
          <w:bCs/>
          <w:szCs w:val="21"/>
        </w:rPr>
        <w:t>4</w:t>
      </w:r>
      <w:r>
        <w:rPr>
          <w:rFonts w:hint="eastAsia" w:ascii="黑体" w:hAnsi="宋体" w:eastAsia="黑体"/>
          <w:bCs/>
          <w:szCs w:val="21"/>
        </w:rPr>
        <w:t>主要工作过程</w:t>
      </w:r>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rFonts w:hint="eastAsia"/>
          <w:bCs/>
        </w:rPr>
        <w:t>1）</w:t>
      </w:r>
      <w:r>
        <w:rPr>
          <w:bCs/>
        </w:rPr>
        <w:t>20</w:t>
      </w:r>
      <w:r>
        <w:rPr>
          <w:rFonts w:hint="eastAsia"/>
          <w:bCs/>
        </w:rPr>
        <w:t>22年8月成立了计量规范编制组，明确了编制组成员各自的工作内容和任务。</w:t>
      </w:r>
    </w:p>
    <w:p>
      <w:pPr>
        <w:spacing w:line="360" w:lineRule="auto"/>
        <w:ind w:firstLine="210" w:firstLineChars="100"/>
        <w:rPr>
          <w:rFonts w:hint="eastAsia"/>
          <w:bCs/>
        </w:rPr>
      </w:pPr>
      <w:r>
        <w:rPr>
          <w:rFonts w:hint="eastAsia"/>
          <w:bCs/>
        </w:rPr>
        <w:t>2）</w:t>
      </w:r>
      <w:r>
        <w:rPr>
          <w:bCs/>
        </w:rPr>
        <w:t>20</w:t>
      </w:r>
      <w:r>
        <w:rPr>
          <w:rFonts w:hint="eastAsia"/>
          <w:bCs/>
        </w:rPr>
        <w:t>22年9月～2023年4月计量规范编制组成员对</w:t>
      </w:r>
      <w:r>
        <w:rPr>
          <w:rFonts w:hint="eastAsia" w:ascii="Times New Roman" w:hAnsi="宋体" w:cs="Times New Roman"/>
          <w:bCs/>
          <w:szCs w:val="21"/>
        </w:rPr>
        <w:t>金属线材反复弯曲试验机</w:t>
      </w:r>
      <w:r>
        <w:rPr>
          <w:rFonts w:hint="eastAsia"/>
          <w:bCs/>
        </w:rPr>
        <w:t>校准规范中的计量特性及校准方法进行了讨论，确定了校准项目和方法，在</w:t>
      </w:r>
      <w:r>
        <w:rPr>
          <w:bCs/>
        </w:rPr>
        <w:t>202</w:t>
      </w:r>
      <w:r>
        <w:rPr>
          <w:rFonts w:hint="eastAsia"/>
          <w:bCs/>
        </w:rPr>
        <w:t>3年4月形成了计量规范讨论稿。</w:t>
      </w:r>
    </w:p>
    <w:p>
      <w:pPr>
        <w:spacing w:line="360" w:lineRule="auto"/>
        <w:ind w:firstLine="210" w:firstLineChars="100"/>
        <w:rPr>
          <w:rFonts w:hint="eastAsia"/>
        </w:rPr>
      </w:pPr>
      <w:r>
        <w:rPr>
          <w:rFonts w:hint="eastAsia"/>
          <w:bCs/>
        </w:rPr>
        <w:t>3）2023年5月8日~10日，在陕西省西安市西安华山酒店召开有色金属计量技术规范研讨会，</w:t>
      </w:r>
      <w:r>
        <w:rPr>
          <w:rFonts w:hint="eastAsia"/>
          <w:szCs w:val="21"/>
        </w:rPr>
        <w:t>会上对《</w:t>
      </w:r>
      <w:r>
        <w:rPr>
          <w:rFonts w:hint="eastAsia" w:ascii="Times New Roman" w:hAnsi="宋体" w:cs="Times New Roman"/>
          <w:bCs/>
          <w:szCs w:val="21"/>
        </w:rPr>
        <w:t>金属线材反复弯曲试验机</w:t>
      </w:r>
      <w:r>
        <w:rPr>
          <w:rFonts w:hint="eastAsia"/>
          <w:szCs w:val="21"/>
        </w:rPr>
        <w:t>校准规范-讨论稿》等15项有色金属行业计量技术规范进行了讨论，会上有来自不同单位的计量委员会委员、专家、代表对《</w:t>
      </w:r>
      <w:r>
        <w:rPr>
          <w:rFonts w:hint="eastAsia" w:ascii="Times New Roman" w:hAnsi="宋体" w:cs="Times New Roman"/>
          <w:bCs/>
          <w:szCs w:val="21"/>
        </w:rPr>
        <w:t>金属线材反复弯曲试验机</w:t>
      </w:r>
      <w:r>
        <w:rPr>
          <w:rFonts w:hint="eastAsia"/>
          <w:szCs w:val="21"/>
        </w:rPr>
        <w:t>校准规范-讨论稿》提出了修改建议和意见，</w:t>
      </w:r>
      <w:r>
        <w:rPr>
          <w:rFonts w:hint="eastAsia"/>
        </w:rPr>
        <w:t>会上确定了项目负责起草单位、起草单位及一验、二验单位，明确了各项工作时间进度要求。</w:t>
      </w:r>
      <w:r>
        <w:rPr>
          <w:rFonts w:hint="eastAsia"/>
          <w:lang w:val="en-US" w:eastAsia="zh-CN"/>
        </w:rPr>
        <w:t>修改形成征求意见稿。</w:t>
      </w:r>
    </w:p>
    <w:p>
      <w:pPr>
        <w:spacing w:line="360" w:lineRule="auto"/>
        <w:ind w:firstLine="420" w:firstLineChars="200"/>
        <w:jc w:val="left"/>
        <w:rPr>
          <w:szCs w:val="21"/>
        </w:rPr>
      </w:pPr>
      <w:r>
        <w:rPr>
          <w:szCs w:val="21"/>
        </w:rPr>
        <w:t>主要讨论和修改的具体意见如下：</w:t>
      </w:r>
    </w:p>
    <w:p>
      <w:pPr>
        <w:spacing w:line="360" w:lineRule="auto"/>
        <w:ind w:firstLine="210" w:firstLineChars="100"/>
        <w:rPr>
          <w:rFonts w:hint="eastAsia"/>
          <w:color w:val="auto"/>
          <w:szCs w:val="21"/>
        </w:rPr>
      </w:pPr>
      <w:r>
        <w:rPr>
          <w:rFonts w:hint="eastAsia"/>
          <w:bCs/>
          <w:color w:val="auto"/>
        </w:rPr>
        <w:t xml:space="preserve">  1、4章节，</w:t>
      </w:r>
      <w:r>
        <w:rPr>
          <w:rFonts w:hint="eastAsia"/>
          <w:color w:val="auto"/>
          <w:szCs w:val="21"/>
        </w:rPr>
        <w:t>删去计量特性中“</w:t>
      </w:r>
      <w:r>
        <w:rPr>
          <w:rFonts w:hint="eastAsia"/>
          <w:color w:val="auto"/>
          <w:szCs w:val="21"/>
          <w:lang w:val="en-US" w:eastAsia="zh-CN"/>
        </w:rPr>
        <w:t>弯折圆柱硬度</w:t>
      </w:r>
      <w:r>
        <w:rPr>
          <w:rFonts w:hint="eastAsia"/>
          <w:color w:val="auto"/>
          <w:szCs w:val="21"/>
        </w:rPr>
        <w:t>”；</w:t>
      </w:r>
    </w:p>
    <w:p>
      <w:pPr>
        <w:spacing w:line="360" w:lineRule="auto"/>
        <w:ind w:firstLine="210" w:firstLineChars="100"/>
        <w:rPr>
          <w:rFonts w:hint="eastAsia"/>
          <w:color w:val="auto"/>
          <w:szCs w:val="21"/>
        </w:rPr>
      </w:pPr>
      <w:r>
        <w:rPr>
          <w:rFonts w:hint="eastAsia"/>
          <w:color w:val="auto"/>
          <w:szCs w:val="21"/>
        </w:rPr>
        <w:t xml:space="preserve">  2、</w:t>
      </w:r>
      <w:r>
        <w:rPr>
          <w:rFonts w:hint="eastAsia"/>
          <w:bCs/>
          <w:color w:val="auto"/>
        </w:rPr>
        <w:t>4章节，</w:t>
      </w:r>
      <w:r>
        <w:rPr>
          <w:rFonts w:hint="eastAsia"/>
          <w:color w:val="auto"/>
          <w:szCs w:val="21"/>
        </w:rPr>
        <w:t>删去计量特性中“</w:t>
      </w:r>
      <w:r>
        <w:rPr>
          <w:rFonts w:hint="eastAsia"/>
          <w:color w:val="auto"/>
          <w:szCs w:val="21"/>
          <w:lang w:val="en-US" w:eastAsia="zh-CN"/>
        </w:rPr>
        <w:t>试样与圆柱支辊间隙</w:t>
      </w:r>
      <w:r>
        <w:rPr>
          <w:rFonts w:hint="eastAsia"/>
          <w:color w:val="auto"/>
          <w:szCs w:val="21"/>
        </w:rPr>
        <w:t>”；</w:t>
      </w:r>
    </w:p>
    <w:p>
      <w:pPr>
        <w:spacing w:line="360" w:lineRule="auto"/>
        <w:ind w:firstLine="210" w:firstLineChars="100"/>
        <w:rPr>
          <w:rFonts w:hint="eastAsia"/>
          <w:color w:val="auto"/>
          <w:szCs w:val="21"/>
        </w:rPr>
      </w:pPr>
      <w:r>
        <w:rPr>
          <w:rFonts w:hint="eastAsia"/>
          <w:color w:val="auto"/>
          <w:szCs w:val="21"/>
        </w:rPr>
        <w:t xml:space="preserve">  3、</w:t>
      </w:r>
      <w:r>
        <w:rPr>
          <w:rFonts w:hint="eastAsia"/>
          <w:bCs/>
          <w:color w:val="auto"/>
        </w:rPr>
        <w:t>4章节，</w:t>
      </w:r>
      <w:r>
        <w:rPr>
          <w:rFonts w:hint="eastAsia"/>
          <w:color w:val="auto"/>
          <w:szCs w:val="21"/>
        </w:rPr>
        <w:t>删去计量特性中“</w:t>
      </w:r>
      <w:r>
        <w:rPr>
          <w:rFonts w:hint="eastAsia"/>
          <w:color w:val="auto"/>
          <w:szCs w:val="21"/>
          <w:lang w:val="en-US" w:eastAsia="zh-CN"/>
        </w:rPr>
        <w:t>圆柱支辊的平行度</w:t>
      </w:r>
      <w:r>
        <w:rPr>
          <w:rFonts w:hint="eastAsia"/>
          <w:color w:val="auto"/>
          <w:szCs w:val="21"/>
        </w:rPr>
        <w:t>”；</w:t>
      </w:r>
    </w:p>
    <w:p>
      <w:pPr>
        <w:spacing w:line="360" w:lineRule="auto"/>
        <w:ind w:firstLine="210" w:firstLineChars="100"/>
        <w:rPr>
          <w:color w:val="auto"/>
          <w:szCs w:val="21"/>
        </w:rPr>
      </w:pPr>
      <w:r>
        <w:rPr>
          <w:rFonts w:hint="eastAsia"/>
          <w:color w:val="auto"/>
          <w:szCs w:val="21"/>
        </w:rPr>
        <w:t xml:space="preserve">  4、</w:t>
      </w:r>
      <w:r>
        <w:rPr>
          <w:rFonts w:hint="eastAsia"/>
          <w:bCs/>
          <w:color w:val="auto"/>
        </w:rPr>
        <w:t>6</w:t>
      </w:r>
      <w:r>
        <w:rPr>
          <w:rFonts w:hint="eastAsia"/>
          <w:bCs/>
          <w:color w:val="auto"/>
          <w:lang w:val="en-US" w:eastAsia="zh-CN"/>
        </w:rPr>
        <w:t>.2</w:t>
      </w:r>
      <w:r>
        <w:rPr>
          <w:rFonts w:hint="eastAsia"/>
          <w:bCs/>
          <w:color w:val="auto"/>
        </w:rPr>
        <w:t>章节</w:t>
      </w:r>
      <w:r>
        <w:rPr>
          <w:rFonts w:hint="eastAsia"/>
          <w:bCs/>
          <w:color w:val="auto"/>
          <w:lang w:eastAsia="zh-CN"/>
        </w:rPr>
        <w:t>，</w:t>
      </w:r>
      <w:r>
        <w:rPr>
          <w:rFonts w:hint="eastAsia"/>
          <w:bCs/>
          <w:color w:val="auto"/>
        </w:rPr>
        <w:t>删去</w:t>
      </w:r>
      <w:r>
        <w:rPr>
          <w:rFonts w:hint="eastAsia"/>
          <w:bCs/>
          <w:color w:val="auto"/>
          <w:lang w:val="en-US" w:eastAsia="zh-CN"/>
        </w:rPr>
        <w:t>校准方法中“其结果应满足X</w:t>
      </w:r>
      <w:r>
        <w:rPr>
          <w:rFonts w:hint="default"/>
          <w:bCs/>
          <w:color w:val="auto"/>
          <w:lang w:val="en-US" w:eastAsia="zh-CN"/>
        </w:rPr>
        <w:t>.</w:t>
      </w:r>
      <w:r>
        <w:rPr>
          <w:rFonts w:hint="eastAsia"/>
          <w:bCs/>
          <w:color w:val="auto"/>
          <w:lang w:val="en-US" w:eastAsia="zh-CN"/>
        </w:rPr>
        <w:t>X的要求”的表述</w:t>
      </w:r>
      <w:r>
        <w:rPr>
          <w:rFonts w:hint="eastAsia"/>
          <w:bCs/>
          <w:color w:val="auto"/>
        </w:rPr>
        <w:t>。</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2"/>
        <w:spacing w:after="0" w:line="360" w:lineRule="auto"/>
        <w:rPr>
          <w:rFonts w:ascii="黑体" w:eastAsia="黑体"/>
          <w:bCs/>
          <w:sz w:val="21"/>
          <w:szCs w:val="21"/>
        </w:rPr>
      </w:pPr>
      <w:r>
        <w:rPr>
          <w:rFonts w:ascii="黑体" w:eastAsia="黑体"/>
          <w:bCs/>
          <w:sz w:val="21"/>
          <w:szCs w:val="21"/>
        </w:rPr>
        <w:t>2.1</w:t>
      </w:r>
      <w:r>
        <w:rPr>
          <w:rFonts w:hint="eastAsia" w:ascii="黑体" w:hAnsi="宋体" w:eastAsia="黑体"/>
          <w:bCs/>
          <w:sz w:val="21"/>
          <w:szCs w:val="21"/>
        </w:rPr>
        <w:t>规范编制原则</w:t>
      </w:r>
    </w:p>
    <w:p>
      <w:pPr>
        <w:pStyle w:val="25"/>
        <w:keepNext w:val="0"/>
        <w:keepLines w:val="0"/>
        <w:pageBreakBefore w:val="0"/>
        <w:widowControl/>
        <w:kinsoku/>
        <w:wordWrap/>
        <w:overflowPunct/>
        <w:topLinePunct w:val="0"/>
        <w:autoSpaceDE w:val="0"/>
        <w:autoSpaceDN w:val="0"/>
        <w:bidi w:val="0"/>
        <w:adjustRightInd/>
        <w:snapToGrid/>
        <w:spacing w:line="324" w:lineRule="auto"/>
        <w:ind w:firstLine="420" w:firstLineChars="200"/>
        <w:textAlignment w:val="auto"/>
        <w:rPr>
          <w:rFonts w:ascii="Times New Roman"/>
          <w:kern w:val="2"/>
          <w:sz w:val="21"/>
          <w:szCs w:val="21"/>
        </w:rPr>
      </w:pPr>
      <w:r>
        <w:rPr>
          <w:rFonts w:hint="eastAsia" w:ascii="Times New Roman"/>
          <w:kern w:val="2"/>
          <w:sz w:val="21"/>
          <w:szCs w:val="21"/>
        </w:rPr>
        <w:t>本规范是以</w:t>
      </w:r>
      <w:r>
        <w:rPr>
          <w:rFonts w:ascii="Times New Roman"/>
          <w:kern w:val="2"/>
          <w:sz w:val="21"/>
          <w:szCs w:val="21"/>
        </w:rPr>
        <w:t>JJF 1071-2010</w:t>
      </w:r>
      <w:r>
        <w:rPr>
          <w:rFonts w:hint="eastAsia" w:ascii="Times New Roman"/>
          <w:kern w:val="2"/>
          <w:sz w:val="21"/>
          <w:szCs w:val="21"/>
        </w:rPr>
        <w:t>《国家计量校准规范编写规则》、JJF 1001-2011《通用计量术语及定义》和JJF 1059.1-2012《测量不确定度评定与表示》为基础性系列规范进行编写。</w:t>
      </w:r>
    </w:p>
    <w:p>
      <w:pPr>
        <w:pStyle w:val="25"/>
        <w:keepNext w:val="0"/>
        <w:keepLines w:val="0"/>
        <w:pageBreakBefore w:val="0"/>
        <w:widowControl/>
        <w:kinsoku/>
        <w:wordWrap/>
        <w:overflowPunct/>
        <w:topLinePunct w:val="0"/>
        <w:autoSpaceDE w:val="0"/>
        <w:autoSpaceDN w:val="0"/>
        <w:bidi w:val="0"/>
        <w:adjustRightInd/>
        <w:snapToGrid/>
        <w:spacing w:line="324" w:lineRule="auto"/>
        <w:ind w:left="0" w:leftChars="0" w:firstLine="420" w:firstLineChars="200"/>
        <w:textAlignment w:val="auto"/>
        <w:rPr>
          <w:rFonts w:hint="eastAsia" w:ascii="Times New Roman" w:hAnsi="Times New Roman" w:cs="Times New Roman"/>
          <w:kern w:val="2"/>
          <w:sz w:val="21"/>
          <w:szCs w:val="21"/>
        </w:rPr>
      </w:pPr>
      <w:r>
        <w:rPr>
          <w:rFonts w:hint="eastAsia" w:ascii="Times New Roman" w:hAnsi="Times New Roman" w:cs="Times New Roman"/>
          <w:kern w:val="2"/>
          <w:sz w:val="21"/>
          <w:szCs w:val="21"/>
        </w:rPr>
        <w:t>本规范引用了GB/T 238金属线材反复弯曲试验方法和GB/T 4909.5裸电线试验方法  第五部分：弯曲试验-反复弯曲等相关内容。</w:t>
      </w:r>
    </w:p>
    <w:p>
      <w:pPr>
        <w:spacing w:line="360" w:lineRule="auto"/>
        <w:rPr>
          <w:rFonts w:ascii="黑体" w:hAnsi="宋体" w:eastAsia="黑体"/>
          <w:bCs/>
          <w:sz w:val="21"/>
          <w:szCs w:val="21"/>
        </w:rPr>
      </w:pPr>
      <w:r>
        <w:rPr>
          <w:rFonts w:ascii="黑体" w:eastAsia="黑体"/>
          <w:bCs/>
          <w:sz w:val="21"/>
          <w:szCs w:val="21"/>
        </w:rPr>
        <w:t>2.2</w:t>
      </w:r>
      <w:r>
        <w:rPr>
          <w:rFonts w:hint="eastAsia" w:ascii="黑体" w:hAnsi="宋体" w:eastAsia="黑体"/>
          <w:bCs/>
          <w:sz w:val="21"/>
          <w:szCs w:val="21"/>
        </w:rPr>
        <w:t>制定规范主要内容的论据</w:t>
      </w:r>
    </w:p>
    <w:p>
      <w:pPr>
        <w:pStyle w:val="30"/>
        <w:numPr>
          <w:ilvl w:val="0"/>
          <w:numId w:val="0"/>
        </w:numPr>
        <w:spacing w:beforeLines="0" w:afterLines="0" w:line="360" w:lineRule="auto"/>
        <w:rPr>
          <w:rFonts w:ascii="Times New Roman"/>
          <w:sz w:val="21"/>
          <w:szCs w:val="21"/>
        </w:rPr>
      </w:pPr>
      <w:bookmarkStart w:id="0" w:name="_Toc193860027"/>
      <w:bookmarkStart w:id="1" w:name="_Toc23837_WPSOffice_Level1"/>
      <w:bookmarkStart w:id="2" w:name="_Toc193860177"/>
      <w:bookmarkStart w:id="3" w:name="_Toc193860208"/>
      <w:bookmarkStart w:id="4" w:name="_Toc500258929"/>
      <w:bookmarkStart w:id="5" w:name="_Toc464728964"/>
      <w:r>
        <w:rPr>
          <w:rFonts w:hint="eastAsia" w:ascii="Times New Roman"/>
          <w:sz w:val="21"/>
          <w:szCs w:val="21"/>
        </w:rPr>
        <w:t>2.2.</w:t>
      </w:r>
      <w:r>
        <w:rPr>
          <w:rFonts w:ascii="Times New Roman"/>
          <w:sz w:val="21"/>
          <w:szCs w:val="21"/>
        </w:rPr>
        <w:t>1</w:t>
      </w:r>
      <w:r>
        <w:rPr>
          <w:rFonts w:hint="eastAsia" w:ascii="Times New Roman"/>
          <w:sz w:val="21"/>
          <w:szCs w:val="21"/>
        </w:rPr>
        <w:t xml:space="preserve"> 范围</w:t>
      </w:r>
      <w:bookmarkEnd w:id="0"/>
      <w:bookmarkEnd w:id="1"/>
      <w:bookmarkEnd w:id="2"/>
      <w:bookmarkEnd w:id="3"/>
      <w:bookmarkEnd w:id="4"/>
    </w:p>
    <w:p>
      <w:pPr>
        <w:spacing w:line="360" w:lineRule="auto"/>
        <w:ind w:firstLine="420" w:firstLineChars="200"/>
        <w:rPr>
          <w:rFonts w:hint="eastAsia" w:eastAsiaTheme="minorEastAsia"/>
          <w:kern w:val="0"/>
          <w:sz w:val="21"/>
          <w:szCs w:val="21"/>
        </w:rPr>
      </w:pPr>
      <w:bookmarkStart w:id="6" w:name="_Toc193860209"/>
      <w:bookmarkStart w:id="7" w:name="_Toc193860028"/>
      <w:bookmarkStart w:id="8" w:name="_Toc193860178"/>
      <w:bookmarkStart w:id="9" w:name="_Toc7848_WPSOffice_Level1"/>
      <w:bookmarkStart w:id="10" w:name="_Toc500258930"/>
      <w:r>
        <w:rPr>
          <w:rFonts w:hint="eastAsia" w:eastAsiaTheme="minorEastAsia"/>
          <w:kern w:val="0"/>
          <w:sz w:val="21"/>
          <w:szCs w:val="21"/>
        </w:rPr>
        <w:t>本规范适用于直径为（0.3～10）mm金属线材反复弯曲试验机</w:t>
      </w:r>
      <w:r>
        <w:rPr>
          <w:rFonts w:hint="eastAsia" w:eastAsiaTheme="minorEastAsia"/>
          <w:kern w:val="0"/>
          <w:sz w:val="21"/>
          <w:szCs w:val="21"/>
          <w:lang w:eastAsia="zh-CN"/>
        </w:rPr>
        <w:t>（</w:t>
      </w:r>
      <w:r>
        <w:rPr>
          <w:rFonts w:hint="eastAsia" w:eastAsiaTheme="minorEastAsia"/>
          <w:kern w:val="0"/>
          <w:sz w:val="21"/>
          <w:szCs w:val="21"/>
        </w:rPr>
        <w:t>以下简称弯曲试验机</w:t>
      </w:r>
      <w:r>
        <w:rPr>
          <w:rFonts w:hint="eastAsia" w:eastAsiaTheme="minorEastAsia"/>
          <w:kern w:val="0"/>
          <w:sz w:val="21"/>
          <w:szCs w:val="21"/>
          <w:lang w:eastAsia="zh-CN"/>
        </w:rPr>
        <w:t>）</w:t>
      </w:r>
      <w:r>
        <w:rPr>
          <w:rFonts w:hint="eastAsia" w:eastAsiaTheme="minorEastAsia"/>
          <w:kern w:val="0"/>
          <w:sz w:val="21"/>
          <w:szCs w:val="21"/>
        </w:rPr>
        <w:t>的校准，其他类型的弯曲试验机可参照本规范进行校准。</w:t>
      </w:r>
    </w:p>
    <w:p>
      <w:pPr>
        <w:pStyle w:val="30"/>
        <w:numPr>
          <w:ilvl w:val="0"/>
          <w:numId w:val="0"/>
        </w:numPr>
        <w:spacing w:beforeLines="0" w:afterLines="0" w:line="360" w:lineRule="auto"/>
        <w:rPr>
          <w:rFonts w:ascii="Times New Roman"/>
          <w:sz w:val="21"/>
          <w:szCs w:val="21"/>
        </w:rPr>
      </w:pPr>
      <w:r>
        <w:rPr>
          <w:rFonts w:ascii="Times New Roman"/>
          <w:sz w:val="21"/>
          <w:szCs w:val="21"/>
        </w:rPr>
        <w:t>2</w:t>
      </w:r>
      <w:r>
        <w:rPr>
          <w:rFonts w:hint="eastAsia" w:ascii="Times New Roman"/>
          <w:sz w:val="21"/>
          <w:szCs w:val="21"/>
        </w:rPr>
        <w:t>.2.2引用文</w:t>
      </w:r>
      <w:bookmarkEnd w:id="6"/>
      <w:bookmarkEnd w:id="7"/>
      <w:bookmarkEnd w:id="8"/>
      <w:r>
        <w:rPr>
          <w:rFonts w:hint="eastAsia" w:ascii="Times New Roman"/>
          <w:sz w:val="21"/>
          <w:szCs w:val="21"/>
        </w:rPr>
        <w:t>件</w:t>
      </w:r>
      <w:bookmarkEnd w:id="9"/>
      <w:bookmarkEnd w:id="10"/>
    </w:p>
    <w:p>
      <w:pPr>
        <w:spacing w:line="360" w:lineRule="auto"/>
        <w:ind w:firstLine="420" w:firstLineChars="200"/>
        <w:rPr>
          <w:rFonts w:hint="eastAsia" w:eastAsiaTheme="minorEastAsia"/>
          <w:kern w:val="0"/>
          <w:sz w:val="21"/>
          <w:szCs w:val="21"/>
          <w:lang w:eastAsia="zh-CN"/>
        </w:rPr>
      </w:pPr>
      <w:bookmarkStart w:id="11" w:name="_Toc193860030"/>
      <w:bookmarkStart w:id="12" w:name="_Toc193619055"/>
      <w:bookmarkStart w:id="13" w:name="_Toc193619097"/>
      <w:bookmarkStart w:id="14" w:name="_Toc500258937"/>
      <w:bookmarkStart w:id="15" w:name="_Toc13054_WPSOffice_Level1"/>
      <w:bookmarkStart w:id="16" w:name="_Toc193618952"/>
      <w:bookmarkStart w:id="17" w:name="_Toc193860211"/>
      <w:bookmarkStart w:id="18" w:name="_Toc193860180"/>
      <w:r>
        <w:rPr>
          <w:rFonts w:hint="eastAsia" w:ascii="Times New Roman" w:hAnsi="Times New Roman" w:cs="Times New Roman" w:eastAsiaTheme="minorEastAsia"/>
          <w:kern w:val="0"/>
          <w:sz w:val="21"/>
          <w:szCs w:val="21"/>
        </w:rPr>
        <w:t>本规范主要计量特性参数引自GB/T 238 金属线材反复弯曲试验方法</w:t>
      </w:r>
      <w:r>
        <w:rPr>
          <w:rFonts w:hint="eastAsia" w:ascii="Times New Roman" w:hAnsi="Times New Roman" w:cs="Times New Roman" w:eastAsiaTheme="minorEastAsia"/>
          <w:kern w:val="0"/>
          <w:sz w:val="21"/>
          <w:szCs w:val="21"/>
          <w:lang w:eastAsia="zh-CN"/>
        </w:rPr>
        <w:t>、</w:t>
      </w:r>
      <w:r>
        <w:rPr>
          <w:rFonts w:hint="eastAsia" w:ascii="Times New Roman" w:hAnsi="Times New Roman" w:cs="Times New Roman" w:eastAsiaTheme="minorEastAsia"/>
          <w:kern w:val="0"/>
          <w:sz w:val="21"/>
          <w:szCs w:val="21"/>
        </w:rPr>
        <w:t>GB/T 4909.5 裸电线试验方法</w:t>
      </w:r>
      <w:r>
        <w:rPr>
          <w:rFonts w:hint="eastAsia" w:ascii="Times New Roman" w:hAnsi="Times New Roman" w:cs="Times New Roman" w:eastAsiaTheme="minorEastAsia"/>
          <w:kern w:val="0"/>
          <w:sz w:val="21"/>
          <w:szCs w:val="21"/>
          <w:lang w:val="en-US" w:eastAsia="zh-CN"/>
        </w:rPr>
        <w:t xml:space="preserve"> </w:t>
      </w:r>
      <w:r>
        <w:rPr>
          <w:rFonts w:hint="eastAsia" w:ascii="Times New Roman" w:hAnsi="Times New Roman" w:cs="Times New Roman" w:eastAsiaTheme="minorEastAsia"/>
          <w:kern w:val="0"/>
          <w:sz w:val="21"/>
          <w:szCs w:val="21"/>
        </w:rPr>
        <w:t>第五部分：弯曲试验-反复弯曲和JB/T 9371</w:t>
      </w:r>
      <w:r>
        <w:rPr>
          <w:rFonts w:hint="eastAsia" w:ascii="Times New Roman" w:hAnsi="Times New Roman" w:cs="Times New Roman" w:eastAsiaTheme="minorEastAsia"/>
          <w:kern w:val="0"/>
          <w:sz w:val="21"/>
          <w:szCs w:val="21"/>
          <w:lang w:val="en-US" w:eastAsia="zh-CN"/>
        </w:rPr>
        <w:t xml:space="preserve"> </w:t>
      </w:r>
      <w:r>
        <w:rPr>
          <w:rFonts w:hint="eastAsia" w:ascii="Times New Roman" w:hAnsi="Times New Roman" w:cs="Times New Roman" w:eastAsiaTheme="minorEastAsia"/>
          <w:kern w:val="0"/>
          <w:sz w:val="21"/>
          <w:szCs w:val="21"/>
        </w:rPr>
        <w:t>弯折试验机</w:t>
      </w:r>
      <w:r>
        <w:rPr>
          <w:rFonts w:hint="eastAsia" w:ascii="Times New Roman" w:hAnsi="Times New Roman" w:cs="Times New Roman" w:eastAsiaTheme="minorEastAsia"/>
          <w:kern w:val="0"/>
          <w:sz w:val="21"/>
          <w:szCs w:val="21"/>
          <w:lang w:val="en-US" w:eastAsia="zh-CN"/>
        </w:rPr>
        <w:t xml:space="preserve"> </w:t>
      </w:r>
      <w:r>
        <w:rPr>
          <w:rFonts w:hint="eastAsia" w:ascii="Times New Roman" w:hAnsi="Times New Roman" w:cs="Times New Roman" w:eastAsiaTheme="minorEastAsia"/>
          <w:kern w:val="0"/>
          <w:sz w:val="21"/>
          <w:szCs w:val="21"/>
        </w:rPr>
        <w:t>技术条件</w:t>
      </w:r>
      <w:r>
        <w:rPr>
          <w:rFonts w:hint="eastAsia" w:ascii="Times New Roman" w:hAnsi="Times New Roman" w:cs="Times New Roman" w:eastAsiaTheme="minorEastAsia"/>
          <w:kern w:val="0"/>
          <w:sz w:val="21"/>
          <w:szCs w:val="21"/>
          <w:lang w:eastAsia="zh-CN"/>
        </w:rPr>
        <w:t>。</w:t>
      </w:r>
    </w:p>
    <w:p>
      <w:pPr>
        <w:pStyle w:val="30"/>
        <w:numPr>
          <w:ilvl w:val="0"/>
          <w:numId w:val="0"/>
        </w:numPr>
        <w:spacing w:beforeLines="0" w:afterLines="0" w:line="360" w:lineRule="auto"/>
        <w:rPr>
          <w:rFonts w:ascii="Times New Roman"/>
          <w:sz w:val="21"/>
          <w:szCs w:val="21"/>
        </w:rPr>
      </w:pPr>
      <w:r>
        <w:rPr>
          <w:rFonts w:hint="eastAsia" w:ascii="Times New Roman"/>
          <w:sz w:val="21"/>
          <w:szCs w:val="21"/>
        </w:rPr>
        <w:t>2.2.3 概述</w:t>
      </w:r>
      <w:bookmarkEnd w:id="11"/>
      <w:bookmarkEnd w:id="12"/>
      <w:bookmarkEnd w:id="13"/>
      <w:bookmarkEnd w:id="14"/>
      <w:bookmarkEnd w:id="15"/>
      <w:bookmarkEnd w:id="16"/>
      <w:bookmarkEnd w:id="17"/>
      <w:bookmarkEnd w:id="18"/>
    </w:p>
    <w:p>
      <w:pPr>
        <w:spacing w:line="360" w:lineRule="auto"/>
        <w:ind w:firstLine="420" w:firstLineChars="200"/>
        <w:rPr>
          <w:rFonts w:hint="eastAsia" w:ascii="Times New Roman"/>
          <w:sz w:val="21"/>
          <w:szCs w:val="21"/>
        </w:rPr>
      </w:pPr>
      <w:bookmarkStart w:id="19" w:name="_Toc193619098"/>
      <w:bookmarkStart w:id="20" w:name="_Toc19851_WPSOffice_Level1"/>
      <w:bookmarkStart w:id="21" w:name="_Toc193860181"/>
      <w:bookmarkStart w:id="22" w:name="_Toc193860031"/>
      <w:bookmarkStart w:id="23" w:name="_Toc193618953"/>
      <w:bookmarkStart w:id="24" w:name="_Toc500258938"/>
      <w:bookmarkStart w:id="25" w:name="_Toc193860212"/>
      <w:bookmarkStart w:id="26" w:name="_Toc193619056"/>
      <w:r>
        <w:rPr>
          <w:rFonts w:hint="eastAsia" w:ascii="Times New Roman" w:hAnsi="Times New Roman" w:cs="Times New Roman" w:eastAsiaTheme="minorEastAsia"/>
          <w:color w:val="auto"/>
          <w:sz w:val="21"/>
          <w:szCs w:val="21"/>
        </w:rPr>
        <w:t>弯曲试验机是对圆截面导体金属线材做反复弯曲试验的测量设备，一般由弯折臂、拨杆、弯折圆柱、夹具以及支座等部分组成。</w:t>
      </w:r>
      <w:bookmarkEnd w:id="19"/>
      <w:bookmarkEnd w:id="20"/>
      <w:bookmarkEnd w:id="21"/>
      <w:bookmarkEnd w:id="22"/>
      <w:bookmarkEnd w:id="23"/>
      <w:bookmarkEnd w:id="24"/>
      <w:bookmarkEnd w:id="25"/>
      <w:bookmarkEnd w:id="26"/>
    </w:p>
    <w:p>
      <w:pPr>
        <w:pStyle w:val="30"/>
        <w:numPr>
          <w:ilvl w:val="0"/>
          <w:numId w:val="0"/>
        </w:numPr>
        <w:spacing w:before="156" w:after="156" w:line="360" w:lineRule="auto"/>
        <w:rPr>
          <w:rFonts w:hint="eastAsia" w:ascii="Times New Roman"/>
          <w:sz w:val="21"/>
          <w:szCs w:val="21"/>
        </w:rPr>
      </w:pPr>
      <w:bookmarkStart w:id="27" w:name="_Toc25829_WPSOffice_Level1"/>
      <w:r>
        <w:rPr>
          <w:rFonts w:hint="eastAsia" w:ascii="Times New Roman"/>
          <w:sz w:val="21"/>
          <w:szCs w:val="21"/>
        </w:rPr>
        <w:t>2.2.</w:t>
      </w:r>
      <w:r>
        <w:rPr>
          <w:rFonts w:hint="eastAsia" w:ascii="Times New Roman"/>
          <w:sz w:val="21"/>
          <w:szCs w:val="21"/>
          <w:lang w:val="en-US" w:eastAsia="zh-CN"/>
        </w:rPr>
        <w:t>4</w:t>
      </w:r>
      <w:r>
        <w:rPr>
          <w:rFonts w:hint="eastAsia" w:ascii="Times New Roman"/>
          <w:sz w:val="21"/>
          <w:szCs w:val="21"/>
        </w:rPr>
        <w:t xml:space="preserve"> 计量特性</w:t>
      </w:r>
    </w:p>
    <w:p>
      <w:pPr>
        <w:spacing w:line="360" w:lineRule="auto"/>
        <w:rPr>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.1</w:t>
      </w:r>
      <w:r>
        <w:rPr>
          <w:rFonts w:hint="eastAsia"/>
          <w:kern w:val="0"/>
          <w:sz w:val="21"/>
          <w:szCs w:val="21"/>
        </w:rPr>
        <w:t xml:space="preserve"> 弯折圆柱表面粗糙度</w:t>
      </w:r>
    </w:p>
    <w:p>
      <w:pPr>
        <w:spacing w:line="360" w:lineRule="auto"/>
        <w:ind w:firstLine="420" w:firstLineChars="200"/>
        <w:rPr>
          <w:color w:val="FF0000"/>
          <w:kern w:val="0"/>
          <w:sz w:val="21"/>
          <w:szCs w:val="21"/>
        </w:rPr>
      </w:pPr>
      <w:r>
        <w:rPr>
          <w:rFonts w:hint="eastAsia"/>
          <w:kern w:val="0"/>
          <w:sz w:val="21"/>
          <w:szCs w:val="21"/>
        </w:rPr>
        <w:t>弯折圆柱及夹块的表面粗糙度</w:t>
      </w:r>
      <w:r>
        <w:rPr>
          <w:i/>
          <w:iCs/>
          <w:kern w:val="0"/>
          <w:sz w:val="21"/>
          <w:szCs w:val="21"/>
        </w:rPr>
        <w:t>Ra</w:t>
      </w:r>
      <w:r>
        <w:rPr>
          <w:rFonts w:hint="eastAsia"/>
          <w:kern w:val="0"/>
          <w:sz w:val="21"/>
          <w:szCs w:val="21"/>
        </w:rPr>
        <w:t>不超过0.4</w:t>
      </w:r>
      <w:r>
        <w:rPr>
          <w:kern w:val="0"/>
          <w:sz w:val="21"/>
          <w:szCs w:val="21"/>
        </w:rPr>
        <w:t>µ</w:t>
      </w:r>
      <w:r>
        <w:rPr>
          <w:rFonts w:hint="eastAsia"/>
          <w:kern w:val="0"/>
          <w:sz w:val="21"/>
          <w:szCs w:val="21"/>
        </w:rPr>
        <w:t>m。</w:t>
      </w:r>
    </w:p>
    <w:p>
      <w:pPr>
        <w:spacing w:line="360" w:lineRule="auto"/>
        <w:rPr>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.2</w:t>
      </w:r>
      <w:r>
        <w:rPr>
          <w:rFonts w:hint="eastAsia"/>
          <w:kern w:val="0"/>
          <w:sz w:val="21"/>
          <w:szCs w:val="21"/>
        </w:rPr>
        <w:t xml:space="preserve"> </w:t>
      </w:r>
      <w:r>
        <w:rPr>
          <w:kern w:val="0"/>
          <w:sz w:val="21"/>
          <w:szCs w:val="21"/>
        </w:rPr>
        <w:t>弯折圆柱高度差</w:t>
      </w:r>
    </w:p>
    <w:p>
      <w:pPr>
        <w:pStyle w:val="45"/>
        <w:tabs>
          <w:tab w:val="left" w:pos="826"/>
        </w:tabs>
        <w:spacing w:line="315" w:lineRule="exact"/>
        <w:ind w:left="760" w:hanging="340"/>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弯折圆柱在其长度方向上高度变化的极限偏差为±0.15 mm。</w:t>
      </w:r>
    </w:p>
    <w:p>
      <w:pPr>
        <w:spacing w:line="360" w:lineRule="auto"/>
        <w:rPr>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.3</w:t>
      </w:r>
      <w:r>
        <w:rPr>
          <w:rFonts w:hint="eastAsia"/>
          <w:kern w:val="0"/>
          <w:sz w:val="21"/>
          <w:szCs w:val="21"/>
        </w:rPr>
        <w:t xml:space="preserve"> </w:t>
      </w:r>
      <w:r>
        <w:rPr>
          <w:kern w:val="0"/>
          <w:sz w:val="21"/>
          <w:szCs w:val="21"/>
        </w:rPr>
        <w:t>弯折圆柱</w:t>
      </w:r>
      <w:r>
        <w:rPr>
          <w:rFonts w:hint="eastAsia"/>
          <w:kern w:val="0"/>
          <w:sz w:val="21"/>
          <w:szCs w:val="21"/>
        </w:rPr>
        <w:t>半</w:t>
      </w:r>
      <w:r>
        <w:rPr>
          <w:kern w:val="0"/>
          <w:sz w:val="21"/>
          <w:szCs w:val="21"/>
        </w:rPr>
        <w:t>径</w:t>
      </w:r>
    </w:p>
    <w:p>
      <w:pPr>
        <w:spacing w:line="360" w:lineRule="auto"/>
        <w:ind w:firstLine="420" w:firstLineChars="200"/>
        <w:rPr>
          <w:rFonts w:eastAsiaTheme="minorEastAsia"/>
          <w:color w:val="FF0000"/>
          <w:kern w:val="0"/>
          <w:sz w:val="21"/>
          <w:szCs w:val="21"/>
        </w:rPr>
      </w:pPr>
      <w:r>
        <w:rPr>
          <w:kern w:val="0"/>
          <w:sz w:val="21"/>
          <w:szCs w:val="21"/>
        </w:rPr>
        <w:t>弯折圆柱半径</w:t>
      </w:r>
      <w:r>
        <w:rPr>
          <w:i/>
          <w:iCs/>
          <w:kern w:val="0"/>
          <w:sz w:val="21"/>
          <w:szCs w:val="21"/>
        </w:rPr>
        <w:t>r</w:t>
      </w:r>
      <w:r>
        <w:rPr>
          <w:kern w:val="0"/>
          <w:sz w:val="21"/>
          <w:szCs w:val="21"/>
        </w:rPr>
        <w:t>的公称尺寸和极限偏差应符合表1的规定</w:t>
      </w:r>
      <w:r>
        <w:rPr>
          <w:rFonts w:hint="eastAsia"/>
          <w:kern w:val="0"/>
          <w:sz w:val="21"/>
          <w:szCs w:val="21"/>
        </w:rPr>
        <w:t>。</w:t>
      </w:r>
    </w:p>
    <w:p>
      <w:pPr>
        <w:spacing w:line="360" w:lineRule="auto"/>
        <w:jc w:val="center"/>
        <w:rPr>
          <w:rFonts w:eastAsia="黑体"/>
          <w:color w:val="FF0000"/>
          <w:sz w:val="21"/>
          <w:szCs w:val="21"/>
        </w:rPr>
      </w:pPr>
      <w:r>
        <w:rPr>
          <w:rFonts w:hint="eastAsia" w:ascii="黑体" w:hAnsi="黑体" w:eastAsia="黑体"/>
          <w:sz w:val="21"/>
          <w:szCs w:val="21"/>
        </w:rPr>
        <w:t>表1</w:t>
      </w:r>
      <w:r>
        <w:rPr>
          <w:rFonts w:hint="eastAsia" w:ascii="黑体" w:hAnsi="黑体" w:eastAsia="黑体"/>
          <w:color w:val="FF0000"/>
          <w:sz w:val="21"/>
          <w:szCs w:val="21"/>
        </w:rPr>
        <w:t xml:space="preserve"> </w:t>
      </w:r>
      <w:r>
        <w:rPr>
          <w:rFonts w:ascii="黑体" w:hAnsi="黑体" w:eastAsia="黑体"/>
          <w:sz w:val="21"/>
          <w:szCs w:val="21"/>
        </w:rPr>
        <w:t>弯折圆柱半径</w:t>
      </w:r>
      <w:r>
        <w:rPr>
          <w:rFonts w:ascii="黑体" w:hAnsi="黑体" w:eastAsia="黑体"/>
          <w:i/>
          <w:iCs/>
          <w:sz w:val="21"/>
          <w:szCs w:val="21"/>
        </w:rPr>
        <w:t>r</w:t>
      </w:r>
      <w:r>
        <w:rPr>
          <w:rFonts w:ascii="黑体" w:hAnsi="黑体" w:eastAsia="黑体"/>
          <w:sz w:val="21"/>
          <w:szCs w:val="21"/>
        </w:rPr>
        <w:t>的公称尺寸和极限偏差</w:t>
      </w:r>
      <w:r>
        <w:rPr>
          <w:rFonts w:hint="eastAsia" w:ascii="黑体" w:hAnsi="黑体" w:eastAsia="黑体"/>
          <w:sz w:val="21"/>
          <w:szCs w:val="21"/>
        </w:rPr>
        <w:t xml:space="preserve">          </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8"/>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trPr>
        <w:tc>
          <w:tcPr>
            <w:tcW w:w="2517" w:type="pct"/>
            <w:shd w:val="clear" w:color="auto" w:fill="FFFFFF"/>
            <w:vAlign w:val="bottom"/>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d</w:t>
            </w:r>
            <w:r>
              <w:rPr>
                <w:rFonts w:ascii="Times New Roman" w:hAnsi="Times New Roman" w:cs="Times New Roman"/>
                <w:color w:val="000000"/>
                <w:sz w:val="21"/>
                <w:szCs w:val="21"/>
                <w:lang w:bidi="en-US"/>
              </w:rPr>
              <w:t>/mm</w:t>
            </w:r>
          </w:p>
        </w:tc>
        <w:tc>
          <w:tcPr>
            <w:tcW w:w="2482" w:type="pct"/>
            <w:shd w:val="clear" w:color="auto" w:fill="FFFFFF"/>
            <w:vAlign w:val="bottom"/>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r</w:t>
            </w:r>
            <w:r>
              <w:rPr>
                <w:rFonts w:ascii="Times New Roman" w:hAnsi="Times New Roman" w:cs="Times New Roman"/>
                <w:color w:val="000000"/>
                <w:sz w:val="21"/>
                <w:szCs w:val="21"/>
                <w:lang w:bidi="en-U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position w:val="9"/>
                <w:sz w:val="21"/>
                <w:szCs w:val="21"/>
              </w:rPr>
              <w:t>0.3≤</w:t>
            </w:r>
            <w:r>
              <w:rPr>
                <w:rFonts w:ascii="Times New Roman" w:hAnsi="Times New Roman" w:cs="Times New Roman"/>
                <w:i/>
                <w:iCs/>
                <w:spacing w:val="-1"/>
                <w:position w:val="9"/>
                <w:sz w:val="21"/>
                <w:szCs w:val="21"/>
              </w:rPr>
              <w:t>d</w:t>
            </w:r>
            <w:r>
              <w:rPr>
                <w:rFonts w:ascii="Times New Roman" w:hAnsi="Times New Roman" w:cs="Times New Roman"/>
                <w:spacing w:val="-1"/>
                <w:position w:val="9"/>
                <w:sz w:val="21"/>
                <w:szCs w:val="21"/>
              </w:rPr>
              <w:t>&lt;0.5</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1.25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0.5≤</w:t>
            </w:r>
            <w:r>
              <w:rPr>
                <w:rFonts w:ascii="Times New Roman" w:hAnsi="Times New Roman" w:cs="Times New Roman"/>
                <w:i/>
                <w:iCs/>
                <w:spacing w:val="-1"/>
                <w:sz w:val="21"/>
                <w:szCs w:val="21"/>
              </w:rPr>
              <w:t>d</w:t>
            </w:r>
            <w:r>
              <w:rPr>
                <w:rFonts w:ascii="Times New Roman" w:hAnsi="Times New Roman" w:cs="Times New Roman"/>
                <w:spacing w:val="-1"/>
                <w:sz w:val="21"/>
                <w:szCs w:val="21"/>
              </w:rPr>
              <w:t>&lt;0.7</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1.75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0.7≤</w:t>
            </w:r>
            <w:r>
              <w:rPr>
                <w:rFonts w:ascii="Times New Roman" w:hAnsi="Times New Roman" w:cs="Times New Roman"/>
                <w:i/>
                <w:iCs/>
                <w:spacing w:val="-1"/>
                <w:sz w:val="21"/>
                <w:szCs w:val="21"/>
              </w:rPr>
              <w:t>d</w:t>
            </w:r>
            <w:r>
              <w:rPr>
                <w:rFonts w:ascii="Times New Roman" w:hAnsi="Times New Roman" w:cs="Times New Roman"/>
                <w:spacing w:val="-1"/>
                <w:sz w:val="21"/>
                <w:szCs w:val="21"/>
              </w:rPr>
              <w:t>&lt;1.0</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2.5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1.0≤</w:t>
            </w:r>
            <w:r>
              <w:rPr>
                <w:rFonts w:ascii="Times New Roman" w:hAnsi="Times New Roman" w:cs="Times New Roman"/>
                <w:i/>
                <w:iCs/>
                <w:spacing w:val="-3"/>
                <w:sz w:val="21"/>
                <w:szCs w:val="21"/>
              </w:rPr>
              <w:t>d</w:t>
            </w:r>
            <w:r>
              <w:rPr>
                <w:rFonts w:ascii="Times New Roman" w:hAnsi="Times New Roman" w:cs="Times New Roman"/>
                <w:spacing w:val="-3"/>
                <w:sz w:val="21"/>
                <w:szCs w:val="21"/>
              </w:rPr>
              <w:t>&lt;1.5</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3.75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1.5≤</w:t>
            </w:r>
            <w:r>
              <w:rPr>
                <w:rFonts w:ascii="Times New Roman" w:hAnsi="Times New Roman" w:cs="Times New Roman"/>
                <w:i/>
                <w:iCs/>
                <w:spacing w:val="-3"/>
                <w:sz w:val="21"/>
                <w:szCs w:val="21"/>
              </w:rPr>
              <w:t>d</w:t>
            </w:r>
            <w:r>
              <w:rPr>
                <w:rFonts w:ascii="Times New Roman" w:hAnsi="Times New Roman" w:cs="Times New Roman"/>
                <w:spacing w:val="-3"/>
                <w:sz w:val="21"/>
                <w:szCs w:val="21"/>
              </w:rPr>
              <w:t>&lt;2.0</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val="zh-TW" w:eastAsia="zh-TW"/>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2"/>
                <w:sz w:val="21"/>
                <w:szCs w:val="21"/>
              </w:rPr>
              <w:t>2.0≤</w:t>
            </w:r>
            <w:r>
              <w:rPr>
                <w:rFonts w:ascii="Times New Roman" w:hAnsi="Times New Roman" w:cs="Times New Roman"/>
                <w:i/>
                <w:iCs/>
                <w:spacing w:val="-2"/>
                <w:sz w:val="21"/>
                <w:szCs w:val="21"/>
              </w:rPr>
              <w:t>d</w:t>
            </w:r>
            <w:r>
              <w:rPr>
                <w:rFonts w:ascii="Times New Roman" w:hAnsi="Times New Roman" w:cs="Times New Roman"/>
                <w:spacing w:val="-2"/>
                <w:sz w:val="21"/>
                <w:szCs w:val="21"/>
              </w:rPr>
              <w:t>&lt;3.0</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3.0≤</w:t>
            </w:r>
            <w:r>
              <w:rPr>
                <w:rFonts w:ascii="Times New Roman" w:hAnsi="Times New Roman" w:cs="Times New Roman"/>
                <w:i/>
                <w:iCs/>
                <w:spacing w:val="-2"/>
                <w:sz w:val="21"/>
                <w:szCs w:val="21"/>
              </w:rPr>
              <w:t>d</w:t>
            </w:r>
            <w:r>
              <w:rPr>
                <w:rFonts w:ascii="Times New Roman" w:hAnsi="Times New Roman" w:cs="Times New Roman"/>
                <w:spacing w:val="-2"/>
                <w:sz w:val="21"/>
                <w:szCs w:val="21"/>
              </w:rPr>
              <w:t>&lt;4.0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4.0≤</w:t>
            </w:r>
            <w:r>
              <w:rPr>
                <w:rFonts w:ascii="Times New Roman" w:hAnsi="Times New Roman" w:cs="Times New Roman"/>
                <w:i/>
                <w:iCs/>
                <w:spacing w:val="-2"/>
                <w:sz w:val="21"/>
                <w:szCs w:val="21"/>
              </w:rPr>
              <w:t>d</w:t>
            </w:r>
            <w:r>
              <w:rPr>
                <w:rFonts w:ascii="Times New Roman" w:hAnsi="Times New Roman" w:cs="Times New Roman"/>
                <w:spacing w:val="-2"/>
                <w:sz w:val="21"/>
                <w:szCs w:val="21"/>
              </w:rPr>
              <w:t>&lt;6.0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val="zh-TW" w:eastAsia="zh-TW"/>
              </w:rPr>
              <w:t>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6.0≤</w:t>
            </w:r>
            <w:r>
              <w:rPr>
                <w:rFonts w:ascii="Times New Roman" w:hAnsi="Times New Roman" w:cs="Times New Roman"/>
                <w:i/>
                <w:iCs/>
                <w:spacing w:val="-2"/>
                <w:sz w:val="21"/>
                <w:szCs w:val="21"/>
              </w:rPr>
              <w:t>d</w:t>
            </w:r>
            <w:r>
              <w:rPr>
                <w:rFonts w:ascii="Times New Roman" w:hAnsi="Times New Roman" w:cs="Times New Roman"/>
                <w:spacing w:val="-2"/>
                <w:sz w:val="21"/>
                <w:szCs w:val="21"/>
              </w:rPr>
              <w:t>&lt;8.0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trPr>
        <w:tc>
          <w:tcPr>
            <w:tcW w:w="2517"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8.0≤</w:t>
            </w:r>
            <w:r>
              <w:rPr>
                <w:rFonts w:ascii="Times New Roman" w:hAnsi="Times New Roman" w:cs="Times New Roman"/>
                <w:i/>
                <w:iCs/>
                <w:spacing w:val="-2"/>
                <w:sz w:val="21"/>
                <w:szCs w:val="21"/>
              </w:rPr>
              <w:t>d</w:t>
            </w:r>
            <w:r>
              <w:rPr>
                <w:rFonts w:ascii="Times New Roman" w:hAnsi="Times New Roman" w:cs="Times New Roman"/>
                <w:spacing w:val="-2"/>
                <w:sz w:val="21"/>
                <w:szCs w:val="21"/>
              </w:rPr>
              <w:t>≤10.0</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trPr>
        <w:tc>
          <w:tcPr>
            <w:tcW w:w="5000" w:type="pct"/>
            <w:gridSpan w:val="2"/>
            <w:shd w:val="clear" w:color="auto" w:fill="FFFFFF"/>
            <w:vAlign w:val="center"/>
          </w:tcPr>
          <w:p>
            <w:pPr>
              <w:rPr>
                <w:rFonts w:eastAsia="仿宋"/>
                <w:kern w:val="0"/>
                <w:sz w:val="21"/>
                <w:szCs w:val="21"/>
              </w:rPr>
            </w:pPr>
            <w:r>
              <w:rPr>
                <w:rFonts w:eastAsia="仿宋"/>
                <w:kern w:val="0"/>
                <w:sz w:val="21"/>
                <w:szCs w:val="21"/>
              </w:rPr>
              <w:t>注：1.表中</w:t>
            </w:r>
            <w:r>
              <w:rPr>
                <w:rFonts w:eastAsia="仿宋"/>
                <w:i/>
                <w:iCs/>
                <w:kern w:val="0"/>
                <w:sz w:val="21"/>
                <w:szCs w:val="21"/>
              </w:rPr>
              <w:t>d</w:t>
            </w:r>
            <w:r>
              <w:rPr>
                <w:rFonts w:eastAsia="仿宋"/>
                <w:kern w:val="0"/>
                <w:sz w:val="21"/>
                <w:szCs w:val="21"/>
              </w:rPr>
              <w:t>为线材公称直径，</w:t>
            </w:r>
            <w:r>
              <w:rPr>
                <w:rFonts w:eastAsia="仿宋"/>
                <w:i/>
                <w:iCs/>
                <w:kern w:val="0"/>
                <w:sz w:val="21"/>
                <w:szCs w:val="21"/>
              </w:rPr>
              <w:t>r</w:t>
            </w:r>
            <w:r>
              <w:rPr>
                <w:rFonts w:eastAsia="仿宋"/>
                <w:kern w:val="0"/>
                <w:sz w:val="21"/>
                <w:szCs w:val="21"/>
              </w:rPr>
              <w:t>为弯折圆柱半径；</w:t>
            </w:r>
          </w:p>
          <w:p>
            <w:pPr>
              <w:pStyle w:val="46"/>
              <w:spacing w:line="240" w:lineRule="auto"/>
              <w:ind w:firstLineChars="200"/>
              <w:rPr>
                <w:rFonts w:ascii="Times New Roman" w:hAnsi="Times New Roman" w:cs="Times New Roman"/>
                <w:spacing w:val="-2"/>
                <w:sz w:val="21"/>
                <w:szCs w:val="21"/>
              </w:rPr>
            </w:pPr>
            <w:r>
              <w:rPr>
                <w:rFonts w:ascii="Times New Roman" w:hAnsi="Times New Roman" w:eastAsia="仿宋" w:cs="Times New Roman"/>
                <w:kern w:val="0"/>
                <w:sz w:val="21"/>
                <w:szCs w:val="21"/>
              </w:rPr>
              <w:t>2.以上指标要求不作为合格性判定依据，仅供参考。</w:t>
            </w:r>
          </w:p>
        </w:tc>
      </w:tr>
    </w:tbl>
    <w:p>
      <w:pPr>
        <w:spacing w:line="360" w:lineRule="auto"/>
        <w:rPr>
          <w:rFonts w:eastAsiaTheme="minorEastAsia"/>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.4</w:t>
      </w:r>
      <w:r>
        <w:rPr>
          <w:rFonts w:hint="eastAsia"/>
          <w:kern w:val="0"/>
          <w:sz w:val="21"/>
          <w:szCs w:val="21"/>
        </w:rPr>
        <w:t xml:space="preserve"> </w:t>
      </w:r>
      <w:r>
        <w:rPr>
          <w:rFonts w:eastAsiaTheme="minorEastAsia"/>
          <w:kern w:val="0"/>
          <w:sz w:val="21"/>
          <w:szCs w:val="21"/>
        </w:rPr>
        <w:t>弯折臂摆角</w:t>
      </w:r>
    </w:p>
    <w:p>
      <w:pPr>
        <w:spacing w:line="360" w:lineRule="auto"/>
        <w:ind w:firstLine="420" w:firstLineChars="200"/>
        <w:rPr>
          <w:rFonts w:eastAsiaTheme="minorEastAsia"/>
          <w:kern w:val="0"/>
          <w:sz w:val="21"/>
          <w:szCs w:val="21"/>
        </w:rPr>
      </w:pPr>
      <w:r>
        <w:rPr>
          <w:rFonts w:eastAsiaTheme="minorEastAsia"/>
          <w:kern w:val="0"/>
          <w:sz w:val="21"/>
          <w:szCs w:val="21"/>
        </w:rPr>
        <w:t>弯折臂工作时应能左右摆动90°</w:t>
      </w:r>
      <w:r>
        <w:rPr>
          <w:rFonts w:hint="eastAsia" w:eastAsiaTheme="minorEastAsia"/>
          <w:kern w:val="0"/>
          <w:sz w:val="21"/>
          <w:szCs w:val="21"/>
        </w:rPr>
        <w:t>，</w:t>
      </w:r>
      <w:r>
        <w:rPr>
          <w:rFonts w:eastAsiaTheme="minorEastAsia"/>
          <w:kern w:val="0"/>
          <w:sz w:val="21"/>
          <w:szCs w:val="21"/>
        </w:rPr>
        <w:t>其极限偏差为±3°。</w:t>
      </w:r>
    </w:p>
    <w:p>
      <w:pPr>
        <w:spacing w:line="360" w:lineRule="auto"/>
        <w:rPr>
          <w:rFonts w:eastAsiaTheme="minorEastAsia"/>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.5</w:t>
      </w:r>
      <w:r>
        <w:rPr>
          <w:rFonts w:eastAsiaTheme="minorEastAsia"/>
          <w:kern w:val="0"/>
          <w:sz w:val="21"/>
          <w:szCs w:val="21"/>
        </w:rPr>
        <w:t>试验机弯曲速度</w:t>
      </w:r>
    </w:p>
    <w:p>
      <w:pPr>
        <w:spacing w:line="360" w:lineRule="auto"/>
        <w:ind w:firstLine="420" w:firstLineChars="200"/>
        <w:rPr>
          <w:rFonts w:eastAsiaTheme="minorEastAsia"/>
          <w:kern w:val="0"/>
          <w:sz w:val="21"/>
          <w:szCs w:val="21"/>
        </w:rPr>
      </w:pPr>
      <w:r>
        <w:rPr>
          <w:rFonts w:eastAsiaTheme="minorEastAsia"/>
          <w:kern w:val="0"/>
          <w:sz w:val="21"/>
          <w:szCs w:val="21"/>
        </w:rPr>
        <w:t>弯曲试验机弯曲速度不大于60次/min，最大允许误差±1次/min，试验过程中应平稳不得产生冲击、颤动、爬行等现象，试验机弯折速</w:t>
      </w:r>
      <w:r>
        <w:rPr>
          <w:rFonts w:hint="eastAsia" w:eastAsiaTheme="minorEastAsia"/>
          <w:kern w:val="0"/>
          <w:sz w:val="21"/>
          <w:szCs w:val="21"/>
        </w:rPr>
        <w:t>度</w:t>
      </w:r>
      <w:r>
        <w:rPr>
          <w:rFonts w:eastAsiaTheme="minorEastAsia"/>
          <w:kern w:val="0"/>
          <w:sz w:val="21"/>
          <w:szCs w:val="21"/>
        </w:rPr>
        <w:t>应能调整。</w:t>
      </w:r>
    </w:p>
    <w:p>
      <w:pPr>
        <w:spacing w:line="360" w:lineRule="auto"/>
        <w:rPr>
          <w:rFonts w:eastAsiaTheme="minorEastAsia"/>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.6</w:t>
      </w:r>
      <w:r>
        <w:rPr>
          <w:rFonts w:hint="eastAsia"/>
          <w:kern w:val="0"/>
          <w:sz w:val="21"/>
          <w:szCs w:val="21"/>
        </w:rPr>
        <w:t xml:space="preserve"> </w:t>
      </w:r>
      <w:r>
        <w:rPr>
          <w:rFonts w:eastAsiaTheme="minorEastAsia"/>
          <w:kern w:val="0"/>
          <w:sz w:val="21"/>
          <w:szCs w:val="21"/>
        </w:rPr>
        <w:t>弯曲臂的转动轴心至圆柱支辊顶部的距离</w:t>
      </w:r>
    </w:p>
    <w:p>
      <w:pPr>
        <w:spacing w:line="360" w:lineRule="auto"/>
        <w:ind w:firstLine="420" w:firstLineChars="200"/>
        <w:rPr>
          <w:rFonts w:eastAsiaTheme="minorEastAsia"/>
          <w:kern w:val="0"/>
          <w:sz w:val="21"/>
          <w:szCs w:val="21"/>
        </w:rPr>
      </w:pPr>
      <w:r>
        <w:rPr>
          <w:rFonts w:eastAsiaTheme="minorEastAsia"/>
          <w:kern w:val="0"/>
          <w:sz w:val="21"/>
          <w:szCs w:val="21"/>
        </w:rPr>
        <w:t>对于所有尺寸的圆柱支辊，弯曲臂的转动轴心至圆柱支辊顶部的距离均为1.0 mm。</w:t>
      </w:r>
    </w:p>
    <w:p>
      <w:pPr>
        <w:spacing w:line="360" w:lineRule="auto"/>
        <w:rPr>
          <w:rFonts w:eastAsiaTheme="minorEastAsia"/>
          <w:kern w:val="0"/>
          <w:sz w:val="21"/>
          <w:szCs w:val="21"/>
        </w:rPr>
      </w:pPr>
      <w:r>
        <w:rPr>
          <w:rFonts w:hint="eastAsia" w:ascii="Times New Roman"/>
          <w:sz w:val="21"/>
          <w:szCs w:val="21"/>
        </w:rPr>
        <w:t>2.2.</w:t>
      </w:r>
      <w:r>
        <w:rPr>
          <w:rFonts w:hint="eastAsia" w:ascii="Times New Roman"/>
          <w:sz w:val="21"/>
          <w:szCs w:val="21"/>
          <w:lang w:val="en-US" w:eastAsia="zh-CN"/>
        </w:rPr>
        <w:t>4</w:t>
      </w:r>
      <w:r>
        <w:rPr>
          <w:rFonts w:hint="eastAsia"/>
          <w:sz w:val="21"/>
          <w:szCs w:val="21"/>
          <w:lang w:val="en-US" w:eastAsia="zh-CN"/>
        </w:rPr>
        <w:t>.7</w:t>
      </w:r>
      <w:r>
        <w:rPr>
          <w:rFonts w:hint="eastAsia"/>
          <w:kern w:val="0"/>
          <w:sz w:val="21"/>
          <w:szCs w:val="21"/>
        </w:rPr>
        <w:t xml:space="preserve"> </w:t>
      </w:r>
      <w:r>
        <w:rPr>
          <w:rFonts w:eastAsiaTheme="minorEastAsia"/>
          <w:kern w:val="0"/>
          <w:sz w:val="21"/>
          <w:szCs w:val="21"/>
        </w:rPr>
        <w:t>拨杆孔直径</w:t>
      </w:r>
    </w:p>
    <w:p>
      <w:pPr>
        <w:spacing w:line="360" w:lineRule="auto"/>
        <w:ind w:firstLine="420" w:firstLineChars="200"/>
        <w:rPr>
          <w:rFonts w:hint="eastAsia"/>
          <w:kern w:val="0"/>
          <w:sz w:val="21"/>
          <w:szCs w:val="21"/>
        </w:rPr>
      </w:pPr>
      <w:r>
        <w:rPr>
          <w:rFonts w:eastAsiaTheme="minorEastAsia"/>
          <w:kern w:val="0"/>
          <w:sz w:val="21"/>
          <w:szCs w:val="21"/>
        </w:rPr>
        <w:t>拨杆孔直径</w:t>
      </w:r>
      <w:r>
        <w:rPr>
          <w:rFonts w:hint="eastAsia" w:eastAsiaTheme="minorEastAsia"/>
          <w:kern w:val="0"/>
          <w:sz w:val="21"/>
          <w:szCs w:val="21"/>
        </w:rPr>
        <w:t>的</w:t>
      </w:r>
      <w:r>
        <w:rPr>
          <w:kern w:val="0"/>
          <w:sz w:val="21"/>
          <w:szCs w:val="21"/>
        </w:rPr>
        <w:t>极限偏差应符合表</w:t>
      </w:r>
      <w:r>
        <w:rPr>
          <w:rFonts w:hint="eastAsia"/>
          <w:kern w:val="0"/>
          <w:sz w:val="21"/>
          <w:szCs w:val="21"/>
        </w:rPr>
        <w:t>2</w:t>
      </w:r>
      <w:r>
        <w:rPr>
          <w:kern w:val="0"/>
          <w:sz w:val="21"/>
          <w:szCs w:val="21"/>
        </w:rPr>
        <w:t>的规定</w:t>
      </w:r>
      <w:r>
        <w:rPr>
          <w:rFonts w:hint="eastAsia"/>
          <w:kern w:val="0"/>
          <w:sz w:val="21"/>
          <w:szCs w:val="21"/>
        </w:rPr>
        <w:t>。</w:t>
      </w:r>
    </w:p>
    <w:p>
      <w:pPr>
        <w:spacing w:line="360" w:lineRule="auto"/>
        <w:jc w:val="center"/>
        <w:rPr>
          <w:rFonts w:eastAsia="黑体"/>
          <w:color w:val="FF0000"/>
          <w:sz w:val="21"/>
          <w:szCs w:val="21"/>
        </w:rPr>
      </w:pPr>
      <w:r>
        <w:rPr>
          <w:rFonts w:hint="eastAsia" w:ascii="黑体" w:hAnsi="黑体" w:eastAsia="黑体"/>
          <w:sz w:val="21"/>
          <w:szCs w:val="21"/>
        </w:rPr>
        <w:t>表2</w:t>
      </w:r>
      <w:r>
        <w:rPr>
          <w:rFonts w:hint="eastAsia" w:ascii="黑体" w:hAnsi="黑体" w:eastAsia="黑体"/>
          <w:color w:val="FF0000"/>
          <w:sz w:val="21"/>
          <w:szCs w:val="21"/>
        </w:rPr>
        <w:t xml:space="preserve"> </w:t>
      </w:r>
      <w:r>
        <w:rPr>
          <w:rFonts w:hint="eastAsia" w:ascii="黑体" w:hAnsi="黑体" w:eastAsia="黑体"/>
          <w:sz w:val="21"/>
          <w:szCs w:val="21"/>
        </w:rPr>
        <w:t>拨杆孔直径</w:t>
      </w:r>
      <w:r>
        <w:rPr>
          <w:rFonts w:ascii="黑体" w:hAnsi="黑体" w:eastAsia="黑体"/>
          <w:sz w:val="21"/>
          <w:szCs w:val="21"/>
        </w:rPr>
        <w:t>极限偏差</w:t>
      </w:r>
      <w:r>
        <w:rPr>
          <w:rFonts w:hint="eastAsia" w:ascii="黑体" w:hAnsi="黑体" w:eastAsia="黑体"/>
          <w:sz w:val="21"/>
          <w:szCs w:val="21"/>
        </w:rPr>
        <w:t xml:space="preserve">          </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8"/>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trPr>
        <w:tc>
          <w:tcPr>
            <w:tcW w:w="2517" w:type="pct"/>
            <w:shd w:val="clear" w:color="auto" w:fill="FFFFFF"/>
            <w:vAlign w:val="bottom"/>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d</w:t>
            </w:r>
            <w:r>
              <w:rPr>
                <w:rFonts w:ascii="Times New Roman" w:hAnsi="Times New Roman" w:cs="Times New Roman"/>
                <w:color w:val="000000"/>
                <w:sz w:val="21"/>
                <w:szCs w:val="21"/>
                <w:lang w:bidi="en-US"/>
              </w:rPr>
              <w:t>/mm</w:t>
            </w:r>
          </w:p>
        </w:tc>
        <w:tc>
          <w:tcPr>
            <w:tcW w:w="2482" w:type="pct"/>
            <w:shd w:val="clear" w:color="auto" w:fill="FFFFFF"/>
            <w:vAlign w:val="bottom"/>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bidi="en-US"/>
              </w:rPr>
              <w:t>d</w:t>
            </w:r>
            <w:r>
              <w:rPr>
                <w:rFonts w:ascii="Times New Roman" w:hAnsi="Times New Roman" w:cs="Times New Roman"/>
                <w:i/>
                <w:iCs/>
                <w:color w:val="000000"/>
                <w:sz w:val="21"/>
                <w:szCs w:val="21"/>
                <w:vertAlign w:val="subscript"/>
                <w:lang w:bidi="en-US"/>
              </w:rPr>
              <w:t>g</w:t>
            </w:r>
            <w:r>
              <w:rPr>
                <w:rFonts w:ascii="Times New Roman" w:hAnsi="Times New Roman" w:cs="Times New Roman"/>
                <w:color w:val="000000"/>
                <w:sz w:val="21"/>
                <w:szCs w:val="21"/>
                <w:lang w:bidi="en-U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position w:val="9"/>
                <w:sz w:val="21"/>
                <w:szCs w:val="21"/>
              </w:rPr>
              <w:t>0.3≤</w:t>
            </w:r>
            <w:r>
              <w:rPr>
                <w:rFonts w:ascii="Times New Roman" w:hAnsi="Times New Roman" w:cs="Times New Roman"/>
                <w:i/>
                <w:iCs/>
                <w:spacing w:val="-1"/>
                <w:position w:val="9"/>
                <w:sz w:val="21"/>
                <w:szCs w:val="21"/>
              </w:rPr>
              <w:t>d</w:t>
            </w:r>
            <w:r>
              <w:rPr>
                <w:rFonts w:ascii="Times New Roman" w:hAnsi="Times New Roman" w:cs="Times New Roman"/>
                <w:spacing w:val="-1"/>
                <w:position w:val="9"/>
                <w:sz w:val="21"/>
                <w:szCs w:val="21"/>
              </w:rPr>
              <w:t>&lt;0.5</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hint="eastAsia" w:ascii="Times New Roman" w:hAnsi="Times New Roman" w:cs="Times New Roman"/>
                <w:spacing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0.5≤</w:t>
            </w:r>
            <w:r>
              <w:rPr>
                <w:rFonts w:ascii="Times New Roman" w:hAnsi="Times New Roman" w:cs="Times New Roman"/>
                <w:i/>
                <w:iCs/>
                <w:spacing w:val="-1"/>
                <w:sz w:val="21"/>
                <w:szCs w:val="21"/>
              </w:rPr>
              <w:t>d</w:t>
            </w:r>
            <w:r>
              <w:rPr>
                <w:rFonts w:ascii="Times New Roman" w:hAnsi="Times New Roman" w:cs="Times New Roman"/>
                <w:spacing w:val="-1"/>
                <w:sz w:val="21"/>
                <w:szCs w:val="21"/>
              </w:rPr>
              <w:t>&lt;0.7</w:t>
            </w:r>
          </w:p>
        </w:tc>
        <w:tc>
          <w:tcPr>
            <w:tcW w:w="2482" w:type="pct"/>
            <w:shd w:val="clear" w:color="auto" w:fill="FFFFFF"/>
            <w:vAlign w:val="center"/>
          </w:tcPr>
          <w:p>
            <w:pPr>
              <w:jc w:val="center"/>
              <w:rPr>
                <w:spacing w:val="-2"/>
                <w:sz w:val="21"/>
                <w:szCs w:val="21"/>
              </w:rPr>
            </w:pPr>
            <w:r>
              <w:rPr>
                <w:rFonts w:hint="eastAsia"/>
                <w:spacing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0.7≤</w:t>
            </w:r>
            <w:r>
              <w:rPr>
                <w:rFonts w:ascii="Times New Roman" w:hAnsi="Times New Roman" w:cs="Times New Roman"/>
                <w:i/>
                <w:iCs/>
                <w:spacing w:val="-1"/>
                <w:sz w:val="21"/>
                <w:szCs w:val="21"/>
              </w:rPr>
              <w:t>d</w:t>
            </w:r>
            <w:r>
              <w:rPr>
                <w:rFonts w:ascii="Times New Roman" w:hAnsi="Times New Roman" w:cs="Times New Roman"/>
                <w:spacing w:val="-1"/>
                <w:sz w:val="21"/>
                <w:szCs w:val="21"/>
              </w:rPr>
              <w:t>&lt;1.0</w:t>
            </w:r>
          </w:p>
        </w:tc>
        <w:tc>
          <w:tcPr>
            <w:tcW w:w="2482" w:type="pct"/>
            <w:shd w:val="clear" w:color="auto" w:fill="FFFFFF"/>
            <w:vAlign w:val="center"/>
          </w:tcPr>
          <w:p>
            <w:pPr>
              <w:jc w:val="center"/>
              <w:rPr>
                <w:spacing w:val="-2"/>
                <w:sz w:val="21"/>
                <w:szCs w:val="21"/>
              </w:rPr>
            </w:pPr>
            <w:r>
              <w:rPr>
                <w:rFonts w:hint="eastAsia"/>
                <w:spacing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1.0≤</w:t>
            </w:r>
            <w:r>
              <w:rPr>
                <w:rFonts w:ascii="Times New Roman" w:hAnsi="Times New Roman" w:cs="Times New Roman"/>
                <w:i/>
                <w:iCs/>
                <w:spacing w:val="-3"/>
                <w:sz w:val="21"/>
                <w:szCs w:val="21"/>
              </w:rPr>
              <w:t>d</w:t>
            </w:r>
            <w:r>
              <w:rPr>
                <w:rFonts w:ascii="Times New Roman" w:hAnsi="Times New Roman" w:cs="Times New Roman"/>
                <w:spacing w:val="-3"/>
                <w:sz w:val="21"/>
                <w:szCs w:val="21"/>
              </w:rPr>
              <w:t>&lt;1.5</w:t>
            </w:r>
          </w:p>
        </w:tc>
        <w:tc>
          <w:tcPr>
            <w:tcW w:w="2482" w:type="pct"/>
            <w:shd w:val="clear" w:color="auto" w:fill="FFFFFF"/>
            <w:vAlign w:val="center"/>
          </w:tcPr>
          <w:p>
            <w:pPr>
              <w:jc w:val="center"/>
              <w:rPr>
                <w:spacing w:val="-2"/>
                <w:sz w:val="21"/>
                <w:szCs w:val="21"/>
              </w:rPr>
            </w:pPr>
            <w:r>
              <w:rPr>
                <w:rFonts w:hint="eastAsia"/>
                <w:spacing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1.5≤</w:t>
            </w:r>
            <w:r>
              <w:rPr>
                <w:rFonts w:ascii="Times New Roman" w:hAnsi="Times New Roman" w:cs="Times New Roman"/>
                <w:i/>
                <w:iCs/>
                <w:spacing w:val="-3"/>
                <w:sz w:val="21"/>
                <w:szCs w:val="21"/>
              </w:rPr>
              <w:t>d</w:t>
            </w:r>
            <w:r>
              <w:rPr>
                <w:rFonts w:ascii="Times New Roman" w:hAnsi="Times New Roman" w:cs="Times New Roman"/>
                <w:spacing w:val="-3"/>
                <w:sz w:val="21"/>
                <w:szCs w:val="21"/>
              </w:rPr>
              <w:t>&lt;2.0</w:t>
            </w:r>
          </w:p>
        </w:tc>
        <w:tc>
          <w:tcPr>
            <w:tcW w:w="2482" w:type="pct"/>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hint="eastAsia" w:ascii="Times New Roman" w:hAnsi="Times New Roman" w:cs="Times New Roman"/>
                <w:spacing w:val="-2"/>
                <w:sz w:val="21"/>
                <w:szCs w:val="21"/>
              </w:rPr>
              <w:t>2.0和2.5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46"/>
              <w:spacing w:line="240" w:lineRule="auto"/>
              <w:ind w:firstLine="0"/>
              <w:jc w:val="center"/>
              <w:rPr>
                <w:rFonts w:ascii="Times New Roman" w:hAnsi="Times New Roman" w:cs="Times New Roman"/>
                <w:sz w:val="21"/>
                <w:szCs w:val="21"/>
              </w:rPr>
            </w:pPr>
            <w:r>
              <w:rPr>
                <w:rFonts w:ascii="Times New Roman" w:hAnsi="Times New Roman" w:cs="Times New Roman"/>
                <w:spacing w:val="-2"/>
                <w:sz w:val="21"/>
                <w:szCs w:val="21"/>
              </w:rPr>
              <w:t>2.0≤</w:t>
            </w:r>
            <w:r>
              <w:rPr>
                <w:rFonts w:ascii="Times New Roman" w:hAnsi="Times New Roman" w:cs="Times New Roman"/>
                <w:i/>
                <w:iCs/>
                <w:spacing w:val="-2"/>
                <w:sz w:val="21"/>
                <w:szCs w:val="21"/>
              </w:rPr>
              <w:t>d</w:t>
            </w:r>
            <w:r>
              <w:rPr>
                <w:rFonts w:ascii="Times New Roman" w:hAnsi="Times New Roman" w:cs="Times New Roman"/>
                <w:spacing w:val="-2"/>
                <w:sz w:val="21"/>
                <w:szCs w:val="21"/>
              </w:rPr>
              <w:t>&lt;3.0</w:t>
            </w:r>
          </w:p>
        </w:tc>
        <w:tc>
          <w:tcPr>
            <w:tcW w:w="2482" w:type="pct"/>
            <w:shd w:val="clear" w:color="auto" w:fill="FFFFFF"/>
            <w:vAlign w:val="center"/>
          </w:tcPr>
          <w:p>
            <w:pPr>
              <w:jc w:val="center"/>
              <w:rPr>
                <w:spacing w:val="-2"/>
                <w:sz w:val="21"/>
                <w:szCs w:val="21"/>
              </w:rPr>
            </w:pPr>
            <w:r>
              <w:rPr>
                <w:rFonts w:hint="eastAsia"/>
                <w:spacing w:val="-2"/>
                <w:sz w:val="21"/>
                <w:szCs w:val="21"/>
              </w:rPr>
              <w:t>2.5和3.5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3.0≤</w:t>
            </w:r>
            <w:r>
              <w:rPr>
                <w:rFonts w:ascii="Times New Roman" w:hAnsi="Times New Roman" w:cs="Times New Roman"/>
                <w:i/>
                <w:iCs/>
                <w:spacing w:val="-2"/>
                <w:sz w:val="21"/>
                <w:szCs w:val="21"/>
              </w:rPr>
              <w:t>d</w:t>
            </w:r>
            <w:r>
              <w:rPr>
                <w:rFonts w:ascii="Times New Roman" w:hAnsi="Times New Roman" w:cs="Times New Roman"/>
                <w:spacing w:val="-2"/>
                <w:sz w:val="21"/>
                <w:szCs w:val="21"/>
              </w:rPr>
              <w:t>&lt;4.0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 w:val="21"/>
                <w:szCs w:val="21"/>
              </w:rPr>
            </w:pPr>
            <w:r>
              <w:rPr>
                <w:rFonts w:hint="eastAsia"/>
                <w:spacing w:val="-2"/>
                <w:sz w:val="21"/>
                <w:szCs w:val="21"/>
              </w:rPr>
              <w:t>3.5和4.5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4.0≤</w:t>
            </w:r>
            <w:r>
              <w:rPr>
                <w:rFonts w:ascii="Times New Roman" w:hAnsi="Times New Roman" w:cs="Times New Roman"/>
                <w:i/>
                <w:iCs/>
                <w:spacing w:val="-2"/>
                <w:sz w:val="21"/>
                <w:szCs w:val="21"/>
              </w:rPr>
              <w:t>d</w:t>
            </w:r>
            <w:r>
              <w:rPr>
                <w:rFonts w:ascii="Times New Roman" w:hAnsi="Times New Roman" w:cs="Times New Roman"/>
                <w:spacing w:val="-2"/>
                <w:sz w:val="21"/>
                <w:szCs w:val="21"/>
              </w:rPr>
              <w:t>&lt;6.0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 w:val="21"/>
                <w:szCs w:val="21"/>
              </w:rPr>
            </w:pPr>
            <w:r>
              <w:rPr>
                <w:rFonts w:hint="eastAsia"/>
                <w:spacing w:val="-2"/>
                <w:sz w:val="21"/>
                <w:szCs w:val="21"/>
              </w:rPr>
              <w:t>4.5和7.0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6.0≤</w:t>
            </w:r>
            <w:r>
              <w:rPr>
                <w:rFonts w:ascii="Times New Roman" w:hAnsi="Times New Roman" w:cs="Times New Roman"/>
                <w:i/>
                <w:iCs/>
                <w:spacing w:val="-2"/>
                <w:sz w:val="21"/>
                <w:szCs w:val="21"/>
              </w:rPr>
              <w:t>d</w:t>
            </w:r>
            <w:r>
              <w:rPr>
                <w:rFonts w:ascii="Times New Roman" w:hAnsi="Times New Roman" w:cs="Times New Roman"/>
                <w:spacing w:val="-2"/>
                <w:sz w:val="21"/>
                <w:szCs w:val="21"/>
              </w:rPr>
              <w:t>&lt;8.0</w:t>
            </w:r>
          </w:p>
          <w:p>
            <w:pPr>
              <w:pStyle w:val="46"/>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 w:val="21"/>
                <w:szCs w:val="21"/>
              </w:rPr>
            </w:pPr>
            <w:r>
              <w:rPr>
                <w:rFonts w:hint="eastAsia"/>
                <w:spacing w:val="-2"/>
                <w:sz w:val="21"/>
                <w:szCs w:val="21"/>
              </w:rPr>
              <w:t>7.0和9.0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trPr>
        <w:tc>
          <w:tcPr>
            <w:tcW w:w="4716" w:type="dxa"/>
            <w:shd w:val="clear" w:color="auto" w:fill="FFFFFF"/>
            <w:vAlign w:val="center"/>
          </w:tcPr>
          <w:p>
            <w:pPr>
              <w:pStyle w:val="46"/>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8.0≤</w:t>
            </w:r>
            <w:r>
              <w:rPr>
                <w:rFonts w:ascii="Times New Roman" w:hAnsi="Times New Roman" w:cs="Times New Roman"/>
                <w:i/>
                <w:iCs/>
                <w:spacing w:val="-2"/>
                <w:sz w:val="21"/>
                <w:szCs w:val="21"/>
              </w:rPr>
              <w:t>d</w:t>
            </w:r>
            <w:r>
              <w:rPr>
                <w:rFonts w:ascii="Times New Roman" w:hAnsi="Times New Roman" w:cs="Times New Roman"/>
                <w:spacing w:val="-2"/>
                <w:sz w:val="21"/>
                <w:szCs w:val="21"/>
              </w:rPr>
              <w:t>≤10.0</w:t>
            </w:r>
          </w:p>
        </w:tc>
        <w:tc>
          <w:tcPr>
            <w:tcW w:w="2482" w:type="pct"/>
            <w:shd w:val="clear" w:color="auto" w:fill="FFFFFF"/>
            <w:vAlign w:val="center"/>
          </w:tcPr>
          <w:p>
            <w:pPr>
              <w:jc w:val="center"/>
              <w:rPr>
                <w:spacing w:val="-2"/>
                <w:sz w:val="21"/>
                <w:szCs w:val="21"/>
              </w:rPr>
            </w:pPr>
            <w:r>
              <w:rPr>
                <w:rFonts w:hint="eastAsia"/>
                <w:spacing w:val="-2"/>
                <w:sz w:val="21"/>
                <w:szCs w:val="21"/>
              </w:rPr>
              <w:t>9.0和11.0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trPr>
        <w:tc>
          <w:tcPr>
            <w:tcW w:w="5000" w:type="pct"/>
            <w:gridSpan w:val="2"/>
            <w:shd w:val="clear" w:color="auto" w:fill="FFFFFF"/>
            <w:vAlign w:val="center"/>
          </w:tcPr>
          <w:p>
            <w:pPr>
              <w:rPr>
                <w:rFonts w:eastAsia="仿宋"/>
                <w:kern w:val="0"/>
                <w:sz w:val="21"/>
                <w:szCs w:val="21"/>
              </w:rPr>
            </w:pPr>
            <w:r>
              <w:rPr>
                <w:rFonts w:eastAsia="仿宋"/>
                <w:kern w:val="0"/>
                <w:sz w:val="21"/>
                <w:szCs w:val="21"/>
              </w:rPr>
              <w:t>注：1.表中</w:t>
            </w:r>
            <w:r>
              <w:rPr>
                <w:rFonts w:eastAsia="仿宋"/>
                <w:i/>
                <w:iCs/>
                <w:kern w:val="0"/>
                <w:sz w:val="21"/>
                <w:szCs w:val="21"/>
              </w:rPr>
              <w:t>d</w:t>
            </w:r>
            <w:r>
              <w:rPr>
                <w:rFonts w:eastAsia="仿宋"/>
                <w:kern w:val="0"/>
                <w:sz w:val="21"/>
                <w:szCs w:val="21"/>
              </w:rPr>
              <w:t>为线材公称直径，</w:t>
            </w:r>
            <w:r>
              <w:rPr>
                <w:i/>
                <w:iCs/>
                <w:color w:val="000000"/>
                <w:sz w:val="21"/>
                <w:szCs w:val="21"/>
                <w:lang w:bidi="en-US"/>
              </w:rPr>
              <w:t>d</w:t>
            </w:r>
            <w:r>
              <w:rPr>
                <w:i/>
                <w:iCs/>
                <w:color w:val="000000"/>
                <w:sz w:val="21"/>
                <w:szCs w:val="21"/>
                <w:vertAlign w:val="subscript"/>
                <w:lang w:bidi="en-US"/>
              </w:rPr>
              <w:t>g</w:t>
            </w:r>
            <w:r>
              <w:rPr>
                <w:rFonts w:eastAsia="仿宋"/>
                <w:kern w:val="0"/>
                <w:sz w:val="21"/>
                <w:szCs w:val="21"/>
              </w:rPr>
              <w:t>为拨杆孔直径；</w:t>
            </w:r>
          </w:p>
          <w:p>
            <w:pPr>
              <w:pStyle w:val="46"/>
              <w:spacing w:line="240" w:lineRule="auto"/>
              <w:ind w:firstLineChars="200"/>
              <w:rPr>
                <w:rFonts w:ascii="Times New Roman" w:hAnsi="Times New Roman" w:cs="Times New Roman"/>
                <w:spacing w:val="-2"/>
                <w:sz w:val="21"/>
                <w:szCs w:val="21"/>
              </w:rPr>
            </w:pPr>
            <w:r>
              <w:rPr>
                <w:rFonts w:ascii="Times New Roman" w:hAnsi="Times New Roman" w:eastAsia="仿宋" w:cs="Times New Roman"/>
                <w:kern w:val="0"/>
                <w:sz w:val="21"/>
                <w:szCs w:val="21"/>
              </w:rPr>
              <w:t>2.以上指标要求不作为合格性判定依据，仅供参考。</w:t>
            </w:r>
          </w:p>
        </w:tc>
      </w:tr>
    </w:tbl>
    <w:p>
      <w:pPr>
        <w:pStyle w:val="30"/>
        <w:numPr>
          <w:ilvl w:val="0"/>
          <w:numId w:val="0"/>
        </w:numPr>
        <w:spacing w:before="156" w:after="156" w:line="360" w:lineRule="auto"/>
        <w:rPr>
          <w:rFonts w:ascii="Times New Roman"/>
          <w:sz w:val="21"/>
          <w:szCs w:val="21"/>
        </w:rPr>
      </w:pPr>
      <w:bookmarkStart w:id="60" w:name="_GoBack"/>
      <w:bookmarkEnd w:id="60"/>
      <w:r>
        <w:rPr>
          <w:rFonts w:hint="eastAsia" w:ascii="Times New Roman"/>
          <w:sz w:val="21"/>
          <w:szCs w:val="21"/>
        </w:rPr>
        <w:t>2.2.</w:t>
      </w:r>
      <w:r>
        <w:rPr>
          <w:rFonts w:hint="eastAsia" w:ascii="Times New Roman"/>
          <w:sz w:val="21"/>
          <w:szCs w:val="21"/>
          <w:lang w:val="en-US" w:eastAsia="zh-CN"/>
        </w:rPr>
        <w:t>5</w:t>
      </w:r>
      <w:r>
        <w:rPr>
          <w:rFonts w:hint="eastAsia" w:ascii="Times New Roman"/>
          <w:sz w:val="21"/>
          <w:szCs w:val="21"/>
        </w:rPr>
        <w:t>校准条件</w:t>
      </w:r>
      <w:bookmarkEnd w:id="27"/>
      <w:bookmarkStart w:id="28" w:name="_Toc193860033"/>
      <w:bookmarkStart w:id="29" w:name="_Toc193860183"/>
      <w:bookmarkStart w:id="30" w:name="_Toc500258942"/>
      <w:bookmarkStart w:id="31" w:name="_Toc193860214"/>
    </w:p>
    <w:bookmarkEnd w:id="28"/>
    <w:bookmarkEnd w:id="29"/>
    <w:bookmarkEnd w:id="30"/>
    <w:bookmarkEnd w:id="3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eastAsiaTheme="minorEastAsia"/>
          <w:color w:val="FF0000"/>
          <w:sz w:val="21"/>
          <w:szCs w:val="21"/>
        </w:rPr>
      </w:pPr>
      <w:bookmarkStart w:id="32" w:name="_Toc193619100"/>
      <w:bookmarkStart w:id="33" w:name="_Toc193860185"/>
      <w:bookmarkStart w:id="34" w:name="_Toc2741_WPSOffice_Level1"/>
      <w:bookmarkStart w:id="35" w:name="_Toc193860216"/>
      <w:bookmarkStart w:id="36" w:name="_Toc193619058"/>
      <w:bookmarkStart w:id="37" w:name="_Toc193860035"/>
      <w:bookmarkStart w:id="38" w:name="_Toc500258944"/>
      <w:bookmarkStart w:id="39" w:name="_Toc193618955"/>
      <w:r>
        <w:rPr>
          <w:rFonts w:hint="default" w:ascii="Times New Roman" w:hAnsi="Times New Roman" w:cs="Times New Roman" w:eastAsiaTheme="minorEastAsia"/>
          <w:color w:val="auto"/>
          <w:sz w:val="21"/>
          <w:szCs w:val="21"/>
        </w:rPr>
        <w:t>校准前，实验室环境条件环境温度：（10~35）℃</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相对湿度：不大于80%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试验周围无腐蚀性介质</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并且</w:t>
      </w:r>
      <w:r>
        <w:rPr>
          <w:rFonts w:hint="default" w:ascii="Times New Roman" w:hAnsi="Times New Roman" w:cs="Times New Roman" w:eastAsiaTheme="minorEastAsia"/>
          <w:color w:val="auto"/>
          <w:sz w:val="21"/>
          <w:szCs w:val="21"/>
        </w:rPr>
        <w:t>附近无影响试验结果的振源。</w:t>
      </w:r>
    </w:p>
    <w:p>
      <w:pPr>
        <w:pStyle w:val="30"/>
        <w:numPr>
          <w:ilvl w:val="0"/>
          <w:numId w:val="0"/>
        </w:numPr>
        <w:spacing w:before="156" w:after="156" w:line="360" w:lineRule="auto"/>
        <w:rPr>
          <w:rFonts w:ascii="Times New Roman"/>
          <w:sz w:val="21"/>
          <w:szCs w:val="21"/>
        </w:rPr>
      </w:pPr>
      <w:r>
        <w:rPr>
          <w:rFonts w:hint="eastAsia" w:ascii="Times New Roman"/>
          <w:sz w:val="21"/>
          <w:szCs w:val="21"/>
        </w:rPr>
        <w:t>2.2.</w:t>
      </w:r>
      <w:r>
        <w:rPr>
          <w:rFonts w:hint="eastAsia" w:ascii="Times New Roman"/>
          <w:sz w:val="21"/>
          <w:szCs w:val="21"/>
          <w:lang w:val="en-US" w:eastAsia="zh-CN"/>
        </w:rPr>
        <w:t>6</w:t>
      </w:r>
      <w:r>
        <w:rPr>
          <w:rFonts w:hint="eastAsia" w:ascii="Times New Roman"/>
          <w:sz w:val="21"/>
          <w:szCs w:val="21"/>
        </w:rPr>
        <w:t>校准项目和校准方法</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kern w:val="0"/>
          <w:sz w:val="21"/>
          <w:szCs w:val="21"/>
        </w:rPr>
      </w:pPr>
      <w:bookmarkStart w:id="40" w:name="_Toc22718_WPSOffice_Level2"/>
      <w:bookmarkStart w:id="41" w:name="_Toc500258945"/>
      <w:bookmarkStart w:id="42" w:name="_Toc193860038"/>
      <w:bookmarkStart w:id="43" w:name="_Toc193860188"/>
      <w:bookmarkStart w:id="44" w:name="_Toc193619059"/>
      <w:bookmarkStart w:id="45" w:name="_Toc193619101"/>
      <w:bookmarkStart w:id="46" w:name="_Toc193860219"/>
      <w:bookmarkStart w:id="47" w:name="_Toc193618956"/>
      <w:bookmarkStart w:id="48" w:name="_Toc25466_WPSOffice_Level1"/>
      <w:bookmarkStart w:id="49" w:name="_Toc500258947"/>
      <w:r>
        <w:rPr>
          <w:rFonts w:hint="eastAsia"/>
          <w:kern w:val="0"/>
          <w:sz w:val="21"/>
          <w:szCs w:val="21"/>
        </w:rPr>
        <w:t>校准项目包含</w:t>
      </w:r>
      <w:r>
        <w:rPr>
          <w:rFonts w:hint="eastAsia" w:ascii="Times New Roman" w:hAnsi="Times New Roman" w:cs="Times New Roman" w:eastAsiaTheme="minorEastAsia"/>
          <w:color w:val="auto"/>
          <w:sz w:val="21"/>
          <w:szCs w:val="21"/>
        </w:rPr>
        <w:t>弯折圆柱表面粗糙度、弯折圆柱硬度、弯折圆柱高度差、弯折圆柱高度差、试样与圆柱支辊间隙、圆柱支辊的平行度</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弯折臂摆角</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试验机弯曲速度</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弯曲臂的转动轴心至圆柱支辊顶部的距离</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拨杆孔直径</w:t>
      </w:r>
      <w:r>
        <w:rPr>
          <w:rFonts w:hint="eastAsia" w:eastAsiaTheme="minorEastAsia"/>
          <w:kern w:val="0"/>
          <w:sz w:val="21"/>
          <w:szCs w:val="21"/>
        </w:rPr>
        <w:t>要求以及具体的校准方法。</w:t>
      </w:r>
    </w:p>
    <w:bookmarkEnd w:id="40"/>
    <w:bookmarkEnd w:id="41"/>
    <w:p>
      <w:pPr>
        <w:pStyle w:val="30"/>
        <w:numPr>
          <w:ilvl w:val="0"/>
          <w:numId w:val="0"/>
        </w:numPr>
        <w:spacing w:before="156" w:after="156"/>
        <w:rPr>
          <w:rFonts w:ascii="Times New Roman"/>
          <w:sz w:val="21"/>
          <w:szCs w:val="21"/>
        </w:rPr>
      </w:pPr>
      <w:r>
        <w:rPr>
          <w:rFonts w:hint="eastAsia" w:ascii="Times New Roman"/>
          <w:sz w:val="21"/>
          <w:szCs w:val="21"/>
        </w:rPr>
        <w:t>2.2.</w:t>
      </w:r>
      <w:r>
        <w:rPr>
          <w:rFonts w:hint="eastAsia" w:ascii="Times New Roman"/>
          <w:sz w:val="21"/>
          <w:szCs w:val="21"/>
          <w:lang w:val="en-US" w:eastAsia="zh-CN"/>
        </w:rPr>
        <w:t>7</w:t>
      </w:r>
      <w:r>
        <w:rPr>
          <w:rFonts w:hint="eastAsia" w:ascii="Times New Roman"/>
          <w:sz w:val="21"/>
          <w:szCs w:val="21"/>
        </w:rPr>
        <w:t>校准结果</w:t>
      </w:r>
      <w:bookmarkEnd w:id="42"/>
      <w:bookmarkEnd w:id="43"/>
      <w:bookmarkEnd w:id="44"/>
      <w:bookmarkEnd w:id="45"/>
      <w:bookmarkEnd w:id="46"/>
      <w:bookmarkEnd w:id="47"/>
      <w:r>
        <w:rPr>
          <w:rFonts w:hint="eastAsia" w:ascii="Times New Roman"/>
          <w:sz w:val="21"/>
          <w:szCs w:val="21"/>
        </w:rPr>
        <w:t>表达</w:t>
      </w:r>
      <w:bookmarkEnd w:id="48"/>
      <w:bookmarkEnd w:id="49"/>
    </w:p>
    <w:p>
      <w:pPr>
        <w:pStyle w:val="25"/>
        <w:spacing w:line="360" w:lineRule="auto"/>
        <w:ind w:firstLine="420"/>
        <w:rPr>
          <w:rFonts w:ascii="Times New Roman" w:eastAsiaTheme="minorEastAsia"/>
          <w:kern w:val="2"/>
          <w:sz w:val="21"/>
          <w:szCs w:val="21"/>
        </w:rPr>
      </w:pPr>
      <w:bookmarkStart w:id="50" w:name="_Toc193860189"/>
      <w:bookmarkStart w:id="51" w:name="_Toc193860220"/>
      <w:bookmarkStart w:id="52" w:name="_Toc193860040"/>
      <w:bookmarkStart w:id="53" w:name="_Toc14803_WPSOffice_Level1"/>
      <w:bookmarkStart w:id="54" w:name="_Toc5529"/>
      <w:bookmarkStart w:id="55" w:name="_Toc193860041"/>
      <w:r>
        <w:rPr>
          <w:rFonts w:hint="eastAsia" w:ascii="Times New Roman" w:eastAsiaTheme="minorEastAsia"/>
          <w:kern w:val="2"/>
          <w:sz w:val="21"/>
          <w:szCs w:val="21"/>
        </w:rPr>
        <w:t>根据实验室环境要求、校准项目校准结果、测量不确定度评定结果等，按照推荐的校准报告格式，出具校准证书。</w:t>
      </w:r>
    </w:p>
    <w:p>
      <w:pPr>
        <w:pStyle w:val="30"/>
        <w:numPr>
          <w:ilvl w:val="0"/>
          <w:numId w:val="0"/>
        </w:numPr>
        <w:spacing w:before="156" w:after="156"/>
        <w:rPr>
          <w:rFonts w:ascii="Times New Roman"/>
          <w:sz w:val="21"/>
          <w:szCs w:val="21"/>
        </w:rPr>
      </w:pPr>
      <w:r>
        <w:rPr>
          <w:rFonts w:hint="eastAsia" w:ascii="Times New Roman"/>
          <w:sz w:val="21"/>
          <w:szCs w:val="21"/>
        </w:rPr>
        <w:t>2.2.</w:t>
      </w:r>
      <w:r>
        <w:rPr>
          <w:rFonts w:hint="eastAsia" w:ascii="Times New Roman"/>
          <w:sz w:val="21"/>
          <w:szCs w:val="21"/>
          <w:lang w:val="en-US" w:eastAsia="zh-CN"/>
        </w:rPr>
        <w:t>8</w:t>
      </w:r>
      <w:r>
        <w:rPr>
          <w:rFonts w:hint="eastAsia" w:ascii="Times New Roman"/>
          <w:sz w:val="21"/>
          <w:szCs w:val="21"/>
        </w:rPr>
        <w:t>复校</w:t>
      </w:r>
      <w:bookmarkEnd w:id="50"/>
      <w:bookmarkEnd w:id="51"/>
      <w:bookmarkEnd w:id="52"/>
      <w:bookmarkEnd w:id="53"/>
      <w:bookmarkEnd w:id="54"/>
      <w:r>
        <w:rPr>
          <w:rFonts w:hint="eastAsia" w:ascii="Times New Roman"/>
          <w:sz w:val="21"/>
          <w:szCs w:val="21"/>
        </w:rPr>
        <w:t>时间间隔</w:t>
      </w:r>
    </w:p>
    <w:bookmarkEnd w:id="55"/>
    <w:p>
      <w:pPr>
        <w:pStyle w:val="25"/>
        <w:spacing w:line="360" w:lineRule="auto"/>
        <w:ind w:firstLine="420"/>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建议复校时间间隔为</w:t>
      </w:r>
      <w:r>
        <w:rPr>
          <w:rFonts w:ascii="Times New Roman" w:hAnsi="Times New Roman" w:eastAsiaTheme="minorEastAsia"/>
          <w:kern w:val="2"/>
          <w:sz w:val="21"/>
          <w:szCs w:val="21"/>
        </w:rPr>
        <w:t>1</w:t>
      </w:r>
      <w:r>
        <w:rPr>
          <w:rFonts w:hint="eastAsia" w:ascii="Times New Roman" w:hAnsi="Times New Roman" w:eastAsiaTheme="minorEastAsia"/>
          <w:kern w:val="2"/>
          <w:sz w:val="21"/>
          <w:szCs w:val="21"/>
        </w:rPr>
        <w:t>年。</w:t>
      </w:r>
      <w:r>
        <w:rPr>
          <w:rFonts w:hint="eastAsia" w:ascii="Times New Roman" w:hAnsi="Times New Roman" w:cs="Times New Roman" w:eastAsiaTheme="minorEastAsia"/>
          <w:color w:val="auto"/>
          <w:sz w:val="21"/>
          <w:szCs w:val="21"/>
        </w:rPr>
        <w:t>弯曲试验机</w:t>
      </w:r>
      <w:r>
        <w:rPr>
          <w:rFonts w:hint="eastAsia" w:ascii="Times New Roman" w:hAnsi="Times New Roman" w:eastAsiaTheme="minorEastAsia"/>
          <w:kern w:val="2"/>
          <w:sz w:val="21"/>
          <w:szCs w:val="21"/>
        </w:rPr>
        <w:t>使用频繁时应适当缩短周期，在使用过程中</w:t>
      </w:r>
      <w:r>
        <w:rPr>
          <w:rFonts w:hint="eastAsia" w:ascii="Times New Roman" w:hAnsi="Times New Roman" w:cs="Times New Roman" w:eastAsiaTheme="minorEastAsia"/>
          <w:color w:val="auto"/>
          <w:sz w:val="21"/>
          <w:szCs w:val="21"/>
        </w:rPr>
        <w:t>弯曲试验机</w:t>
      </w:r>
      <w:r>
        <w:rPr>
          <w:rFonts w:hint="eastAsia" w:ascii="Times New Roman" w:hAnsi="Times New Roman" w:eastAsiaTheme="minorEastAsia"/>
          <w:kern w:val="2"/>
          <w:sz w:val="21"/>
          <w:szCs w:val="21"/>
        </w:rPr>
        <w:t>经过修理、更换重要部件的应重新校准。</w:t>
      </w:r>
    </w:p>
    <w:p>
      <w:pPr>
        <w:pStyle w:val="30"/>
        <w:numPr>
          <w:ilvl w:val="0"/>
          <w:numId w:val="0"/>
        </w:numPr>
        <w:spacing w:before="156" w:after="156"/>
        <w:rPr>
          <w:rFonts w:ascii="Times New Roman"/>
          <w:sz w:val="21"/>
          <w:szCs w:val="21"/>
        </w:rPr>
      </w:pPr>
      <w:r>
        <w:rPr>
          <w:rFonts w:hint="eastAsia" w:ascii="Times New Roman"/>
          <w:sz w:val="21"/>
          <w:szCs w:val="21"/>
        </w:rPr>
        <w:t>2.2.</w:t>
      </w:r>
      <w:r>
        <w:rPr>
          <w:rFonts w:hint="eastAsia" w:ascii="Times New Roman"/>
          <w:sz w:val="21"/>
          <w:szCs w:val="21"/>
          <w:lang w:val="en-US" w:eastAsia="zh-CN"/>
        </w:rPr>
        <w:t>9</w:t>
      </w:r>
      <w:r>
        <w:rPr>
          <w:rFonts w:hint="eastAsia" w:ascii="Times New Roman"/>
          <w:sz w:val="21"/>
          <w:szCs w:val="21"/>
        </w:rPr>
        <w:t>附录</w:t>
      </w:r>
    </w:p>
    <w:bookmarkEnd w:id="5"/>
    <w:p>
      <w:pPr>
        <w:pStyle w:val="25"/>
        <w:spacing w:line="360" w:lineRule="auto"/>
        <w:ind w:firstLine="420"/>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附录主要包含校准原始记录参考格式、校准证书内页参考格式、</w:t>
      </w:r>
      <w:r>
        <w:rPr>
          <w:rFonts w:hint="eastAsia" w:ascii="Times New Roman" w:hAnsi="Times New Roman" w:cs="Times New Roman" w:eastAsiaTheme="minorEastAsia"/>
          <w:kern w:val="2"/>
          <w:sz w:val="21"/>
          <w:szCs w:val="21"/>
        </w:rPr>
        <w:t>弯曲试验机圆柱</w:t>
      </w:r>
      <w:r>
        <w:rPr>
          <w:rFonts w:hint="eastAsia" w:ascii="Times New Roman" w:hAnsi="Times New Roman" w:cs="Times New Roman" w:eastAsiaTheme="minorEastAsia"/>
          <w:kern w:val="2"/>
          <w:sz w:val="21"/>
          <w:szCs w:val="21"/>
          <w:lang w:val="en-US" w:eastAsia="zh-CN"/>
        </w:rPr>
        <w:t>半径</w:t>
      </w:r>
      <w:r>
        <w:rPr>
          <w:rFonts w:hint="eastAsia" w:ascii="Times New Roman" w:hAnsi="Times New Roman" w:eastAsiaTheme="minorEastAsia"/>
          <w:kern w:val="2"/>
          <w:sz w:val="21"/>
          <w:szCs w:val="21"/>
        </w:rPr>
        <w:t>示值误差测量结果不确定度评定示例、</w:t>
      </w:r>
      <w:r>
        <w:rPr>
          <w:rFonts w:hint="eastAsia" w:ascii="Times New Roman" w:hAnsi="Times New Roman" w:eastAsiaTheme="minorEastAsia"/>
          <w:kern w:val="2"/>
          <w:sz w:val="21"/>
          <w:szCs w:val="21"/>
          <w:lang w:val="en-US" w:eastAsia="zh-CN"/>
        </w:rPr>
        <w:t>弯曲试验机反复弯曲计数方法</w:t>
      </w:r>
      <w:r>
        <w:rPr>
          <w:rFonts w:hint="eastAsia" w:ascii="Times New Roman" w:hAnsi="Times New Roman" w:eastAsiaTheme="minorEastAsia"/>
          <w:kern w:val="2"/>
          <w:sz w:val="21"/>
          <w:szCs w:val="21"/>
        </w:rPr>
        <w:t>四部分。</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hAnsi="宋体"/>
          <w:bCs/>
          <w:szCs w:val="21"/>
        </w:rPr>
      </w:pPr>
      <w:r>
        <w:rPr>
          <w:rFonts w:hint="eastAsia" w:ascii="Times New Roman" w:hAnsi="Times New Roman" w:eastAsiaTheme="minorEastAsia"/>
          <w:kern w:val="2"/>
          <w:szCs w:val="21"/>
          <w:lang w:val="en-US" w:eastAsia="zh-CN"/>
        </w:rPr>
        <w:t>弯曲试验机</w:t>
      </w:r>
      <w:r>
        <w:rPr>
          <w:rFonts w:hint="eastAsia"/>
        </w:rPr>
        <w:t>是</w:t>
      </w:r>
      <w:r>
        <w:rPr>
          <w:rFonts w:hint="eastAsia" w:ascii="Times New Roman" w:hAnsi="Times New Roman" w:cs="Times New Roman" w:eastAsiaTheme="minorEastAsia"/>
          <w:kern w:val="2"/>
          <w:szCs w:val="21"/>
          <w:lang w:val="en-US" w:eastAsia="zh-CN"/>
        </w:rPr>
        <w:t>专门用于校准或核查金属材料的耐反复弯曲性能的专用设备，据查，目前国内外没有针对弯曲试验机的校准规范，计量检测机构也未开展该类仪器的检定校准。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ind w:firstLine="420" w:firstLineChars="200"/>
        <w:rPr>
          <w:bCs/>
          <w:sz w:val="18"/>
        </w:rPr>
      </w:pPr>
      <w:r>
        <w:rPr>
          <w:rFonts w:hint="eastAsia" w:ascii="宋体" w:hAnsi="宋体"/>
          <w:bCs/>
          <w:szCs w:val="21"/>
        </w:rPr>
        <w:t>目前国外没有相关技术规范，本规范水平达到国外先进水平。</w:t>
      </w:r>
    </w:p>
    <w:p>
      <w:pPr>
        <w:pStyle w:val="44"/>
        <w:tabs>
          <w:tab w:val="left" w:pos="426"/>
        </w:tabs>
        <w:spacing w:before="312" w:beforeLines="100" w:after="312" w:afterLines="100"/>
        <w:ind w:left="-420" w:leftChars="-200" w:firstLine="420" w:firstLineChars="200"/>
        <w:jc w:val="left"/>
      </w:pPr>
      <w:r>
        <w:rPr>
          <w:rFonts w:hint="eastAsia" w:hAnsi="宋体"/>
          <w:bCs/>
          <w:szCs w:val="21"/>
        </w:rPr>
        <w:t>四、与有关的现行法律、法规和强制性国家标准的关系</w:t>
      </w:r>
    </w:p>
    <w:p>
      <w:pPr>
        <w:pStyle w:val="25"/>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44"/>
        <w:tabs>
          <w:tab w:val="left" w:pos="426"/>
        </w:tabs>
        <w:spacing w:before="312" w:beforeLines="100" w:after="312" w:afterLines="100"/>
        <w:ind w:left="-420" w:leftChars="-200" w:firstLine="420" w:firstLineChars="200"/>
        <w:jc w:val="left"/>
      </w:pPr>
      <w:bookmarkStart w:id="56" w:name="_Toc464728973"/>
      <w:r>
        <w:rPr>
          <w:rFonts w:hint="eastAsia"/>
        </w:rPr>
        <w:t>五、规范中涉及的专利或知识产权说明</w:t>
      </w:r>
      <w:bookmarkEnd w:id="56"/>
    </w:p>
    <w:p>
      <w:pPr>
        <w:pStyle w:val="25"/>
        <w:ind w:firstLineChars="0"/>
        <w:contextualSpacing/>
        <w:rPr>
          <w:szCs w:val="21"/>
        </w:rPr>
      </w:pPr>
      <w:bookmarkStart w:id="57" w:name="_Toc464728974"/>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六、重大分歧意见的处理经过和依据</w:t>
      </w:r>
      <w:bookmarkEnd w:id="57"/>
    </w:p>
    <w:p>
      <w:pPr>
        <w:pStyle w:val="25"/>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七、规范作为强制性或推荐性国家（或行业）标准的建议</w:t>
      </w:r>
    </w:p>
    <w:p>
      <w:pPr>
        <w:adjustRightInd w:val="0"/>
        <w:ind w:firstLine="420" w:firstLineChars="200"/>
        <w:rPr>
          <w:rFonts w:hAnsi="宋体"/>
          <w:bCs/>
          <w:szCs w:val="21"/>
        </w:rPr>
      </w:pPr>
      <w:r>
        <w:rPr>
          <w:rFonts w:hint="eastAsia" w:hAnsi="宋体"/>
          <w:bCs/>
          <w:szCs w:val="21"/>
        </w:rPr>
        <w:t>建议本规范作为推荐性行业计量技术规范，供相关行业参考采用。</w:t>
      </w:r>
    </w:p>
    <w:p>
      <w:pPr>
        <w:pStyle w:val="44"/>
        <w:tabs>
          <w:tab w:val="left" w:pos="426"/>
        </w:tabs>
        <w:spacing w:before="312" w:beforeLines="100" w:after="312" w:afterLines="100"/>
        <w:ind w:left="-420" w:leftChars="-200" w:firstLine="420" w:firstLineChars="200"/>
        <w:jc w:val="left"/>
        <w:rPr>
          <w:rFonts w:hint="default" w:eastAsia="黑体"/>
          <w:lang w:val="en-US" w:eastAsia="zh-CN"/>
        </w:rPr>
      </w:pPr>
      <w:bookmarkStart w:id="58" w:name="_Toc464728976"/>
      <w:r>
        <w:rPr>
          <w:rFonts w:hint="eastAsia"/>
        </w:rPr>
        <w:t>八、贯彻规范的要求和措施建议</w:t>
      </w:r>
      <w:bookmarkEnd w:id="58"/>
      <w:r>
        <w:rPr>
          <w:rFonts w:hint="eastAsia"/>
          <w:lang w:val="en-US" w:eastAsia="zh-CN"/>
        </w:rPr>
        <w:t xml:space="preserve">                                                                                                                                                                                                                                                                                                                                                                                                                                                                                                                                                                                                                                                                                                                                                                                                                                                                                                                                                                                                                                                                                                                                                                                                                                                                                                                                                                                                                                                                                                                                                                                                                                                                                                                                                                                                                                                                                                                                                                                                                                                                                                                                                                                                                                                                                                                                                                                                                                                                                                                                                                                                                                                                                                                                                                                                                                                                                                                                                                                                                                                                                                                                                                                                                                                                                                                                                                                                                                                                                                                                                                                                                                                                                                                                                                                                                                                                                                                                                                                                                                                                                                                                                                                                                </w:t>
      </w:r>
      <w:r>
        <w:rPr>
          <w:rFonts w:hint="eastAsia"/>
          <w:lang w:val="en-US" w:eastAsia="zh-CN"/>
        </w:rPr>
        <w:t xml:space="preserve">                                                                                                                                                                                                                                                                                                                                                                                                                                                                                                                                                                                                                                                                                                                                                                                                                                                                                                                                                                                                                                                                                                                                                                                                                                                                                                                                                                                                                                                                                                                                                                                                                                                                                                                                                                                                                                                                                                                                                                                                                                                                                                                                                                                                                                                                                                                                                                                                                                                                                                                                                                                                                                                                                                                                                                                                                                                                                                                                                                                                                                                                                                                                                                                                                                                                                                                                                                                                                                                                                                                                                                                                                                                                                                                                                                                                                                                                                                                                                                                                                                                                                                                                                                                                                </w:t>
      </w:r>
      <w:r>
        <w:rPr>
          <w:rFonts w:hint="eastAsia"/>
          <w:lang w:val="en-US" w:eastAsia="zh-CN"/>
        </w:rPr>
        <w:t xml:space="preserve">                                                                                                                                                                                                                                                                                                                                                                                                                                                                                                                                                                                                                                                                                                                                                                                                                                                                                                                                                                                                                                                                                                                                                                                                                                                                                                                                                                                                                                                                                                                                                                                                                                                                                                                                                                                                                                                                                                                                                                                                                                                                                                                                                                        </w:t>
      </w:r>
    </w:p>
    <w:p>
      <w:pPr>
        <w:pStyle w:val="25"/>
        <w:ind w:firstLine="420"/>
        <w:contextualSpacing/>
        <w:rPr>
          <w:rFonts w:ascii="Times New Roman" w:hAnsi="宋体"/>
          <w:bCs/>
          <w:kern w:val="2"/>
          <w:szCs w:val="21"/>
        </w:rPr>
      </w:pPr>
      <w:r>
        <w:rPr>
          <w:rFonts w:hint="eastAsia" w:ascii="Times New Roman" w:hAnsi="宋体"/>
          <w:bCs/>
          <w:kern w:val="2"/>
          <w:szCs w:val="21"/>
        </w:rPr>
        <w:t>本规范发布后，中国有色金属行业协会和有色金属行业计量技术委员会应加强本规范的宣传力度，促进各实验室以及计量技术机构对本规范的使用，以确保塑料容量瓶量值的准确，保障人民生产生活的安全，促进金属行业化工制造，冶金，制药，环保等领域的发展。</w:t>
      </w:r>
    </w:p>
    <w:p>
      <w:pPr>
        <w:pStyle w:val="44"/>
        <w:tabs>
          <w:tab w:val="left" w:pos="426"/>
        </w:tabs>
        <w:spacing w:before="312" w:beforeLines="100" w:after="312" w:afterLines="100"/>
        <w:ind w:left="-420" w:leftChars="-200" w:firstLine="420" w:firstLineChars="200"/>
        <w:jc w:val="left"/>
      </w:pPr>
      <w:bookmarkStart w:id="59" w:name="_Toc464728977"/>
      <w:r>
        <w:rPr>
          <w:rFonts w:hint="eastAsia"/>
        </w:rPr>
        <w:t>九、废止现行有关规范的建议</w:t>
      </w:r>
      <w:bookmarkEnd w:id="59"/>
    </w:p>
    <w:p>
      <w:pPr>
        <w:pStyle w:val="25"/>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十、预期效果</w:t>
      </w:r>
    </w:p>
    <w:p>
      <w:pPr>
        <w:pStyle w:val="25"/>
        <w:ind w:firstLineChars="0"/>
        <w:contextualSpacing/>
        <w:rPr>
          <w:rFonts w:cs="宋体"/>
          <w:szCs w:val="21"/>
        </w:rPr>
      </w:pPr>
      <w:r>
        <w:rPr>
          <w:rFonts w:hint="eastAsia" w:cs="宋体"/>
          <w:szCs w:val="21"/>
        </w:rPr>
        <w:t>塑料容量瓶校准规范的制定，</w:t>
      </w:r>
      <w:r>
        <w:rPr>
          <w:rFonts w:hint="eastAsia" w:cs="宋体"/>
          <w:kern w:val="2"/>
          <w:szCs w:val="21"/>
        </w:rPr>
        <w:t>具有极大的经济效益和社会效益，填补了有色金属行业领域校准空白，能够很好的满足有色金属领域分析检测实验室对于塑料容量瓶的校准需求，进而保证试验结果的可信度，使得产品的安全性。</w:t>
      </w:r>
    </w:p>
    <w:p>
      <w:pPr>
        <w:pStyle w:val="44"/>
        <w:tabs>
          <w:tab w:val="left" w:pos="426"/>
        </w:tabs>
        <w:spacing w:before="312" w:beforeLines="100" w:after="312" w:afterLines="100"/>
        <w:ind w:left="-420" w:leftChars="-200" w:firstLine="420" w:firstLineChars="200"/>
        <w:jc w:val="left"/>
      </w:pPr>
      <w:r>
        <w:rPr>
          <w:rFonts w:hint="eastAsia" w:hAnsi="宋体"/>
          <w:bCs/>
          <w:szCs w:val="21"/>
        </w:rPr>
        <w:t>十一、其他应予说明的事项</w:t>
      </w:r>
    </w:p>
    <w:p>
      <w:pPr>
        <w:pStyle w:val="25"/>
        <w:ind w:firstLineChars="0"/>
        <w:contextualSpacing/>
        <w:rPr>
          <w:rFonts w:ascii="Times New Roman"/>
          <w:szCs w:val="21"/>
        </w:rPr>
      </w:pPr>
      <w:r>
        <w:rPr>
          <w:rFonts w:hint="eastAsia"/>
          <w:szCs w:val="21"/>
        </w:rPr>
        <w:t>（无）。</w:t>
      </w:r>
    </w:p>
    <w:p>
      <w:pPr>
        <w:spacing w:line="360"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Cs w:val="21"/>
        </w:rPr>
        <w:t xml:space="preserve"> 《</w:t>
      </w:r>
      <w:r>
        <w:rPr>
          <w:rFonts w:hint="eastAsia" w:cs="Times New Roman"/>
          <w:szCs w:val="21"/>
        </w:rPr>
        <w:t>金属线材反复弯曲试验机校准规范</w:t>
      </w:r>
      <w:r>
        <w:rPr>
          <w:rFonts w:hint="eastAsia" w:asciiTheme="minorEastAsia" w:hAnsiTheme="minorEastAsia" w:eastAsiaTheme="minorEastAsia" w:cstheme="minorEastAsia"/>
          <w:bCs/>
          <w:kern w:val="0"/>
          <w:szCs w:val="21"/>
        </w:rPr>
        <w:t>》规范编制组</w:t>
      </w:r>
    </w:p>
    <w:p>
      <w:pPr>
        <w:adjustRightInd w:val="0"/>
        <w:snapToGrid w:val="0"/>
        <w:spacing w:line="360" w:lineRule="auto"/>
        <w:ind w:right="105"/>
        <w:jc w:val="right"/>
        <w:textAlignment w:val="top"/>
        <w:rPr>
          <w:rFonts w:asciiTheme="minorEastAsia" w:hAnsiTheme="minorEastAsia" w:eastAsiaTheme="minorEastAsia" w:cstheme="minorEastAsia"/>
          <w:bCs/>
        </w:rPr>
      </w:pPr>
      <w:r>
        <w:rPr>
          <w:rFonts w:hint="eastAsia" w:asciiTheme="minorEastAsia" w:hAnsiTheme="minorEastAsia" w:eastAsiaTheme="minorEastAsia" w:cstheme="minorEastAsia"/>
          <w:bCs/>
        </w:rPr>
        <w:t>2023年5月1日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gkfN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WMyNjk5NjYwNGQzM2ZjZDhlMjgxNWI0MmIxMDE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04673E"/>
    <w:rsid w:val="01387720"/>
    <w:rsid w:val="01431A4A"/>
    <w:rsid w:val="018E2466"/>
    <w:rsid w:val="030A4873"/>
    <w:rsid w:val="05003798"/>
    <w:rsid w:val="052C6AB8"/>
    <w:rsid w:val="054363E9"/>
    <w:rsid w:val="067F52D3"/>
    <w:rsid w:val="06AC0092"/>
    <w:rsid w:val="06C47189"/>
    <w:rsid w:val="071E0F8F"/>
    <w:rsid w:val="07F13FAE"/>
    <w:rsid w:val="07F25F78"/>
    <w:rsid w:val="08420CAE"/>
    <w:rsid w:val="0874698D"/>
    <w:rsid w:val="08AF79C5"/>
    <w:rsid w:val="090B5543"/>
    <w:rsid w:val="09402D37"/>
    <w:rsid w:val="09616F12"/>
    <w:rsid w:val="09931095"/>
    <w:rsid w:val="09BC683E"/>
    <w:rsid w:val="09CD45A7"/>
    <w:rsid w:val="0B510E78"/>
    <w:rsid w:val="0B7A250D"/>
    <w:rsid w:val="0B93537C"/>
    <w:rsid w:val="0BC32105"/>
    <w:rsid w:val="0C994C14"/>
    <w:rsid w:val="0D1C71DB"/>
    <w:rsid w:val="0D262EB9"/>
    <w:rsid w:val="0D5112A8"/>
    <w:rsid w:val="0D7C6A10"/>
    <w:rsid w:val="0D9378B6"/>
    <w:rsid w:val="0DB103FD"/>
    <w:rsid w:val="0DB62202"/>
    <w:rsid w:val="0E176739"/>
    <w:rsid w:val="0E4B63E2"/>
    <w:rsid w:val="0EA01F2C"/>
    <w:rsid w:val="0EAF6971"/>
    <w:rsid w:val="0ECD1618"/>
    <w:rsid w:val="0EF425D6"/>
    <w:rsid w:val="0F046843"/>
    <w:rsid w:val="0F4960E8"/>
    <w:rsid w:val="0FD961E1"/>
    <w:rsid w:val="0FFC60A7"/>
    <w:rsid w:val="0FFD1EEF"/>
    <w:rsid w:val="11580B6C"/>
    <w:rsid w:val="115B55D4"/>
    <w:rsid w:val="126E7A09"/>
    <w:rsid w:val="130C4392"/>
    <w:rsid w:val="13F10A99"/>
    <w:rsid w:val="14251CC4"/>
    <w:rsid w:val="14327E28"/>
    <w:rsid w:val="143A4F2F"/>
    <w:rsid w:val="14E223F3"/>
    <w:rsid w:val="154C457C"/>
    <w:rsid w:val="157D1577"/>
    <w:rsid w:val="163F2D2D"/>
    <w:rsid w:val="16612C47"/>
    <w:rsid w:val="17D565E9"/>
    <w:rsid w:val="180E64B6"/>
    <w:rsid w:val="18185587"/>
    <w:rsid w:val="181878E8"/>
    <w:rsid w:val="196656B5"/>
    <w:rsid w:val="19D813C6"/>
    <w:rsid w:val="1A7B17FC"/>
    <w:rsid w:val="1AE41750"/>
    <w:rsid w:val="1AF851FC"/>
    <w:rsid w:val="1B3E222D"/>
    <w:rsid w:val="1B4B5C73"/>
    <w:rsid w:val="1C913B5A"/>
    <w:rsid w:val="1D156539"/>
    <w:rsid w:val="1DFD3AB5"/>
    <w:rsid w:val="1E56053E"/>
    <w:rsid w:val="1E8721DB"/>
    <w:rsid w:val="1EB83EEE"/>
    <w:rsid w:val="1F9000F9"/>
    <w:rsid w:val="1FA6791C"/>
    <w:rsid w:val="201E1530"/>
    <w:rsid w:val="20623843"/>
    <w:rsid w:val="21815F4B"/>
    <w:rsid w:val="228D6B72"/>
    <w:rsid w:val="22FD3CF7"/>
    <w:rsid w:val="236269FD"/>
    <w:rsid w:val="23F76998"/>
    <w:rsid w:val="24500F51"/>
    <w:rsid w:val="25777D91"/>
    <w:rsid w:val="25B508B9"/>
    <w:rsid w:val="25B54415"/>
    <w:rsid w:val="2636356A"/>
    <w:rsid w:val="264362D5"/>
    <w:rsid w:val="26B11081"/>
    <w:rsid w:val="26F40F6D"/>
    <w:rsid w:val="27165388"/>
    <w:rsid w:val="2725381D"/>
    <w:rsid w:val="274041B2"/>
    <w:rsid w:val="27814EF7"/>
    <w:rsid w:val="28793E20"/>
    <w:rsid w:val="28FD67FF"/>
    <w:rsid w:val="2A5C1303"/>
    <w:rsid w:val="2B6A69EA"/>
    <w:rsid w:val="2B8A1EA0"/>
    <w:rsid w:val="2BFC0FF0"/>
    <w:rsid w:val="2C136339"/>
    <w:rsid w:val="2C244D24"/>
    <w:rsid w:val="2CEE645F"/>
    <w:rsid w:val="2D0B0DBF"/>
    <w:rsid w:val="2D1C121E"/>
    <w:rsid w:val="2DA52FC1"/>
    <w:rsid w:val="2F065CE2"/>
    <w:rsid w:val="2F3F109E"/>
    <w:rsid w:val="2F835584"/>
    <w:rsid w:val="2FC8743B"/>
    <w:rsid w:val="312D39F9"/>
    <w:rsid w:val="31924D0B"/>
    <w:rsid w:val="31D30F8D"/>
    <w:rsid w:val="32CF2B4C"/>
    <w:rsid w:val="33791178"/>
    <w:rsid w:val="33A855B9"/>
    <w:rsid w:val="33AF7665"/>
    <w:rsid w:val="34452E08"/>
    <w:rsid w:val="34915439"/>
    <w:rsid w:val="34AE4E51"/>
    <w:rsid w:val="350B22A4"/>
    <w:rsid w:val="3542559A"/>
    <w:rsid w:val="35431A3E"/>
    <w:rsid w:val="36294EFF"/>
    <w:rsid w:val="366B4F50"/>
    <w:rsid w:val="36AF4EB1"/>
    <w:rsid w:val="371A5359"/>
    <w:rsid w:val="38060B00"/>
    <w:rsid w:val="389B56ED"/>
    <w:rsid w:val="390908A8"/>
    <w:rsid w:val="397321C6"/>
    <w:rsid w:val="39904B26"/>
    <w:rsid w:val="39F63B7A"/>
    <w:rsid w:val="3A6A7A9F"/>
    <w:rsid w:val="3A762831"/>
    <w:rsid w:val="3A804B9A"/>
    <w:rsid w:val="3B506247"/>
    <w:rsid w:val="3BA24FE4"/>
    <w:rsid w:val="3BBA0580"/>
    <w:rsid w:val="3BBB7E54"/>
    <w:rsid w:val="3C0D06AF"/>
    <w:rsid w:val="3C2D4B77"/>
    <w:rsid w:val="3C4804B8"/>
    <w:rsid w:val="3CD1792F"/>
    <w:rsid w:val="3D540C00"/>
    <w:rsid w:val="3DF8713D"/>
    <w:rsid w:val="3E4C126D"/>
    <w:rsid w:val="3E817133"/>
    <w:rsid w:val="3ED656D0"/>
    <w:rsid w:val="3FFB769C"/>
    <w:rsid w:val="40CF687B"/>
    <w:rsid w:val="41390199"/>
    <w:rsid w:val="415154E2"/>
    <w:rsid w:val="41D67795"/>
    <w:rsid w:val="420267DC"/>
    <w:rsid w:val="42415557"/>
    <w:rsid w:val="424972B2"/>
    <w:rsid w:val="42CD2859"/>
    <w:rsid w:val="45B9392A"/>
    <w:rsid w:val="461756FA"/>
    <w:rsid w:val="465B3FCD"/>
    <w:rsid w:val="46E43C6C"/>
    <w:rsid w:val="484C255F"/>
    <w:rsid w:val="487F0B87"/>
    <w:rsid w:val="48943F06"/>
    <w:rsid w:val="489A63C4"/>
    <w:rsid w:val="49ED573E"/>
    <w:rsid w:val="4AEA6060"/>
    <w:rsid w:val="4B3C2D5F"/>
    <w:rsid w:val="4B7142E8"/>
    <w:rsid w:val="4B814C16"/>
    <w:rsid w:val="4C8D3147"/>
    <w:rsid w:val="4CA87F80"/>
    <w:rsid w:val="4DF72F6D"/>
    <w:rsid w:val="4E881E17"/>
    <w:rsid w:val="4F304989"/>
    <w:rsid w:val="4FEE03A0"/>
    <w:rsid w:val="503B1837"/>
    <w:rsid w:val="50812FC2"/>
    <w:rsid w:val="519E65DF"/>
    <w:rsid w:val="51C34A47"/>
    <w:rsid w:val="51F36142"/>
    <w:rsid w:val="52302EF2"/>
    <w:rsid w:val="53933738"/>
    <w:rsid w:val="54104D89"/>
    <w:rsid w:val="54273E81"/>
    <w:rsid w:val="55967510"/>
    <w:rsid w:val="55BF234C"/>
    <w:rsid w:val="55CC27F2"/>
    <w:rsid w:val="561D19DF"/>
    <w:rsid w:val="564A178B"/>
    <w:rsid w:val="57415D20"/>
    <w:rsid w:val="581A61D6"/>
    <w:rsid w:val="58421289"/>
    <w:rsid w:val="588B31DD"/>
    <w:rsid w:val="59480B21"/>
    <w:rsid w:val="595F0132"/>
    <w:rsid w:val="5988716F"/>
    <w:rsid w:val="5A054C64"/>
    <w:rsid w:val="5A1530F9"/>
    <w:rsid w:val="5A6E0A5B"/>
    <w:rsid w:val="5A8913F1"/>
    <w:rsid w:val="5B4D68C3"/>
    <w:rsid w:val="5B745BFD"/>
    <w:rsid w:val="5B9F2DFD"/>
    <w:rsid w:val="5BBE3B49"/>
    <w:rsid w:val="5C606182"/>
    <w:rsid w:val="5C8E7193"/>
    <w:rsid w:val="5CF36FF6"/>
    <w:rsid w:val="5CFE64A1"/>
    <w:rsid w:val="5E361946"/>
    <w:rsid w:val="5FE175D9"/>
    <w:rsid w:val="5FE64BF0"/>
    <w:rsid w:val="60F021CA"/>
    <w:rsid w:val="626F35C2"/>
    <w:rsid w:val="62726C0F"/>
    <w:rsid w:val="627E55B4"/>
    <w:rsid w:val="628F5A13"/>
    <w:rsid w:val="62C244A7"/>
    <w:rsid w:val="62D653F0"/>
    <w:rsid w:val="635C4B8E"/>
    <w:rsid w:val="64300B2F"/>
    <w:rsid w:val="645D0E2E"/>
    <w:rsid w:val="6502071E"/>
    <w:rsid w:val="65AC068A"/>
    <w:rsid w:val="65F509DC"/>
    <w:rsid w:val="6603474E"/>
    <w:rsid w:val="661E7DA3"/>
    <w:rsid w:val="66471C44"/>
    <w:rsid w:val="66680A54"/>
    <w:rsid w:val="66C57C55"/>
    <w:rsid w:val="670267B3"/>
    <w:rsid w:val="67D31EFE"/>
    <w:rsid w:val="69054339"/>
    <w:rsid w:val="697B284D"/>
    <w:rsid w:val="69A73642"/>
    <w:rsid w:val="6A5512F0"/>
    <w:rsid w:val="6A7C6BA9"/>
    <w:rsid w:val="6AD2505B"/>
    <w:rsid w:val="6AEC1C54"/>
    <w:rsid w:val="6B122D3D"/>
    <w:rsid w:val="6B930322"/>
    <w:rsid w:val="6BFD579B"/>
    <w:rsid w:val="6C0234D9"/>
    <w:rsid w:val="6C0D48EE"/>
    <w:rsid w:val="6C711CE5"/>
    <w:rsid w:val="6C715A3C"/>
    <w:rsid w:val="6CC25367"/>
    <w:rsid w:val="6D1337BB"/>
    <w:rsid w:val="6D4F6A9B"/>
    <w:rsid w:val="6EAB3BD4"/>
    <w:rsid w:val="6F1C062E"/>
    <w:rsid w:val="6F72024E"/>
    <w:rsid w:val="6F912DCA"/>
    <w:rsid w:val="6FB70357"/>
    <w:rsid w:val="6FC211D5"/>
    <w:rsid w:val="6FE72B43"/>
    <w:rsid w:val="70052E70"/>
    <w:rsid w:val="70293003"/>
    <w:rsid w:val="7074625E"/>
    <w:rsid w:val="70F76C5D"/>
    <w:rsid w:val="710C022E"/>
    <w:rsid w:val="71125845"/>
    <w:rsid w:val="721455EC"/>
    <w:rsid w:val="72354973"/>
    <w:rsid w:val="72BE258A"/>
    <w:rsid w:val="72BF7C4E"/>
    <w:rsid w:val="72F83160"/>
    <w:rsid w:val="73ED4347"/>
    <w:rsid w:val="7400051E"/>
    <w:rsid w:val="74145A7A"/>
    <w:rsid w:val="7432542B"/>
    <w:rsid w:val="74886692"/>
    <w:rsid w:val="748C1DB2"/>
    <w:rsid w:val="75411574"/>
    <w:rsid w:val="755F3023"/>
    <w:rsid w:val="76657642"/>
    <w:rsid w:val="76A63920"/>
    <w:rsid w:val="771D3195"/>
    <w:rsid w:val="77266CAE"/>
    <w:rsid w:val="78CE66EC"/>
    <w:rsid w:val="79386064"/>
    <w:rsid w:val="79960FDD"/>
    <w:rsid w:val="79EA1A55"/>
    <w:rsid w:val="7A637111"/>
    <w:rsid w:val="7AFD57B8"/>
    <w:rsid w:val="7B5B428C"/>
    <w:rsid w:val="7BD81D81"/>
    <w:rsid w:val="7CB4634A"/>
    <w:rsid w:val="7D6D5AB9"/>
    <w:rsid w:val="7DBC3708"/>
    <w:rsid w:val="7E0D45A7"/>
    <w:rsid w:val="7E7C2E97"/>
    <w:rsid w:val="7ECD3AB0"/>
    <w:rsid w:val="7F392B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2"/>
    <w:basedOn w:val="1"/>
    <w:link w:val="24"/>
    <w:qFormat/>
    <w:uiPriority w:val="99"/>
    <w:pPr>
      <w:spacing w:after="120" w:line="480" w:lineRule="auto"/>
    </w:pPr>
  </w:style>
  <w:style w:type="paragraph" w:styleId="4">
    <w:name w:val="annotation text"/>
    <w:basedOn w:val="1"/>
    <w:semiHidden/>
    <w:qFormat/>
    <w:uiPriority w:val="99"/>
    <w:pPr>
      <w:jc w:val="left"/>
    </w:pPr>
  </w:style>
  <w:style w:type="paragraph" w:styleId="5">
    <w:name w:val="Body Text"/>
    <w:basedOn w:val="1"/>
    <w:link w:val="40"/>
    <w:qFormat/>
    <w:uiPriority w:val="99"/>
    <w:pPr>
      <w:spacing w:after="120"/>
    </w:pPr>
  </w:style>
  <w:style w:type="paragraph" w:styleId="6">
    <w:name w:val="Body Text Indent"/>
    <w:basedOn w:val="1"/>
    <w:link w:val="38"/>
    <w:qFormat/>
    <w:uiPriority w:val="99"/>
    <w:pPr>
      <w:spacing w:after="120"/>
      <w:ind w:left="420" w:leftChars="200"/>
    </w:pPr>
  </w:style>
  <w:style w:type="paragraph" w:styleId="7">
    <w:name w:val="Date"/>
    <w:basedOn w:val="1"/>
    <w:next w:val="1"/>
    <w:link w:val="20"/>
    <w:qFormat/>
    <w:uiPriority w:val="99"/>
    <w:pPr>
      <w:ind w:left="100" w:leftChars="2500"/>
    </w:pPr>
  </w:style>
  <w:style w:type="paragraph" w:styleId="8">
    <w:name w:val="Body Text Indent 2"/>
    <w:basedOn w:val="1"/>
    <w:link w:val="37"/>
    <w:qFormat/>
    <w:uiPriority w:val="99"/>
    <w:pPr>
      <w:spacing w:after="120" w:line="480" w:lineRule="auto"/>
      <w:ind w:left="420" w:leftChars="200"/>
    </w:pPr>
  </w:style>
  <w:style w:type="paragraph" w:styleId="9">
    <w:name w:val="Balloon Text"/>
    <w:basedOn w:val="1"/>
    <w:link w:val="21"/>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5"/>
    <w:link w:val="41"/>
    <w:qFormat/>
    <w:uiPriority w:val="99"/>
    <w:pPr>
      <w:ind w:firstLine="420" w:firstLineChars="100"/>
    </w:pPr>
  </w:style>
  <w:style w:type="paragraph" w:styleId="14">
    <w:name w:val="Body Text First Indent 2"/>
    <w:basedOn w:val="6"/>
    <w:link w:val="39"/>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Char"/>
    <w:basedOn w:val="17"/>
    <w:link w:val="3"/>
    <w:qFormat/>
    <w:locked/>
    <w:uiPriority w:val="99"/>
    <w:rPr>
      <w:rFonts w:ascii="Arial" w:hAnsi="Arial" w:eastAsia="黑体" w:cs="Times New Roman"/>
      <w:b/>
      <w:bCs/>
      <w:kern w:val="2"/>
      <w:sz w:val="32"/>
      <w:szCs w:val="32"/>
    </w:rPr>
  </w:style>
  <w:style w:type="character" w:customStyle="1" w:styleId="20">
    <w:name w:val="日期 Char"/>
    <w:basedOn w:val="17"/>
    <w:link w:val="7"/>
    <w:qFormat/>
    <w:locked/>
    <w:uiPriority w:val="99"/>
    <w:rPr>
      <w:rFonts w:cs="Times New Roman"/>
      <w:kern w:val="2"/>
      <w:sz w:val="24"/>
      <w:szCs w:val="24"/>
    </w:rPr>
  </w:style>
  <w:style w:type="character" w:customStyle="1" w:styleId="21">
    <w:name w:val="批注框文本 Char"/>
    <w:basedOn w:val="17"/>
    <w:link w:val="9"/>
    <w:qFormat/>
    <w:locked/>
    <w:uiPriority w:val="99"/>
    <w:rPr>
      <w:rFonts w:cs="Times New Roman"/>
      <w:kern w:val="2"/>
      <w:sz w:val="18"/>
      <w:szCs w:val="18"/>
    </w:rPr>
  </w:style>
  <w:style w:type="character" w:customStyle="1" w:styleId="22">
    <w:name w:val="页脚 Char"/>
    <w:basedOn w:val="17"/>
    <w:link w:val="10"/>
    <w:qFormat/>
    <w:locked/>
    <w:uiPriority w:val="99"/>
    <w:rPr>
      <w:rFonts w:cs="Times New Roman"/>
      <w:kern w:val="2"/>
      <w:sz w:val="18"/>
      <w:szCs w:val="18"/>
    </w:rPr>
  </w:style>
  <w:style w:type="character" w:customStyle="1" w:styleId="23">
    <w:name w:val="页眉 Char"/>
    <w:basedOn w:val="17"/>
    <w:link w:val="11"/>
    <w:semiHidden/>
    <w:qFormat/>
    <w:locked/>
    <w:uiPriority w:val="99"/>
    <w:rPr>
      <w:rFonts w:cs="Times New Roman"/>
      <w:sz w:val="18"/>
      <w:szCs w:val="18"/>
    </w:rPr>
  </w:style>
  <w:style w:type="character" w:customStyle="1" w:styleId="24">
    <w:name w:val="正文文本 2 Char"/>
    <w:basedOn w:val="17"/>
    <w:link w:val="2"/>
    <w:semiHidden/>
    <w:qFormat/>
    <w:locked/>
    <w:uiPriority w:val="99"/>
    <w:rPr>
      <w:rFonts w:cs="Times New Roman"/>
      <w:sz w:val="24"/>
      <w:szCs w:val="24"/>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Char"/>
    <w:basedOn w:val="17"/>
    <w:link w:val="8"/>
    <w:semiHidden/>
    <w:qFormat/>
    <w:locked/>
    <w:uiPriority w:val="99"/>
    <w:rPr>
      <w:rFonts w:cs="Times New Roman"/>
      <w:sz w:val="24"/>
      <w:szCs w:val="24"/>
    </w:rPr>
  </w:style>
  <w:style w:type="character" w:customStyle="1" w:styleId="38">
    <w:name w:val="正文文本缩进 Char"/>
    <w:basedOn w:val="17"/>
    <w:link w:val="6"/>
    <w:semiHidden/>
    <w:qFormat/>
    <w:locked/>
    <w:uiPriority w:val="99"/>
    <w:rPr>
      <w:rFonts w:cs="Times New Roman"/>
      <w:sz w:val="24"/>
      <w:szCs w:val="24"/>
    </w:rPr>
  </w:style>
  <w:style w:type="character" w:customStyle="1" w:styleId="39">
    <w:name w:val="正文首行缩进 2 Char"/>
    <w:basedOn w:val="38"/>
    <w:link w:val="14"/>
    <w:semiHidden/>
    <w:qFormat/>
    <w:locked/>
    <w:uiPriority w:val="99"/>
    <w:rPr>
      <w:rFonts w:cs="Times New Roman"/>
      <w:sz w:val="24"/>
      <w:szCs w:val="24"/>
    </w:rPr>
  </w:style>
  <w:style w:type="character" w:customStyle="1" w:styleId="40">
    <w:name w:val="正文文本 Char"/>
    <w:basedOn w:val="17"/>
    <w:link w:val="5"/>
    <w:semiHidden/>
    <w:qFormat/>
    <w:locked/>
    <w:uiPriority w:val="99"/>
    <w:rPr>
      <w:rFonts w:cs="Times New Roman"/>
      <w:sz w:val="24"/>
      <w:szCs w:val="24"/>
    </w:rPr>
  </w:style>
  <w:style w:type="character" w:customStyle="1" w:styleId="41">
    <w:name w:val="正文首行缩进 Char"/>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 w:type="paragraph" w:customStyle="1" w:styleId="4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参考文献、索引标题"/>
    <w:basedOn w:val="29"/>
    <w:next w:val="1"/>
    <w:qFormat/>
    <w:uiPriority w:val="0"/>
    <w:pPr>
      <w:numPr>
        <w:numId w:val="0"/>
      </w:numPr>
      <w:spacing w:after="200"/>
    </w:pPr>
    <w:rPr>
      <w:sz w:val="21"/>
    </w:rPr>
  </w:style>
  <w:style w:type="paragraph" w:customStyle="1" w:styleId="45">
    <w:name w:val="Body text|1"/>
    <w:basedOn w:val="1"/>
    <w:qFormat/>
    <w:uiPriority w:val="0"/>
    <w:pPr>
      <w:spacing w:line="326" w:lineRule="auto"/>
      <w:ind w:firstLine="400"/>
    </w:pPr>
    <w:rPr>
      <w:rFonts w:ascii="宋体" w:hAnsi="宋体" w:cs="宋体"/>
      <w:sz w:val="20"/>
      <w:szCs w:val="20"/>
      <w:lang w:val="zh-TW" w:eastAsia="zh-TW" w:bidi="zh-TW"/>
    </w:rPr>
  </w:style>
  <w:style w:type="paragraph" w:customStyle="1" w:styleId="46">
    <w:name w:val="Other|1"/>
    <w:basedOn w:val="1"/>
    <w:qFormat/>
    <w:uiPriority w:val="0"/>
    <w:pPr>
      <w:spacing w:line="326" w:lineRule="auto"/>
      <w:ind w:firstLine="400"/>
    </w:pPr>
    <w:rPr>
      <w:rFonts w:ascii="宋体" w:hAnsi="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3193</Words>
  <Characters>3407</Characters>
  <Lines>28</Lines>
  <Paragraphs>8</Paragraphs>
  <TotalTime>1</TotalTime>
  <ScaleCrop>false</ScaleCrop>
  <LinksUpToDate>false</LinksUpToDate>
  <CharactersWithSpaces>3449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2023-06-28T03:20:00Z</dcterms:created>
  <dc:creator>USER</dc:creator>
  <cp:lastModifiedBy>dell</cp:lastModifiedBy>
  <cp:lastPrinted>2013-05-26T06:25:00Z</cp:lastPrinted>
  <dcterms:modified xsi:type="dcterms:W3CDTF">2023-06-30T00:30:57Z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2D4CEB8F29DD4C148491165E7BCF4C55_13</vt:lpwstr>
  </property>
</Properties>
</file>