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9EF" w:rsidRPr="007469CC" w:rsidRDefault="008D49EF" w:rsidP="008D49EF">
      <w:pPr>
        <w:pStyle w:val="affff9"/>
        <w:jc w:val="center"/>
        <w:rPr>
          <w:rFonts w:ascii="黑体" w:eastAsia="黑体" w:hAnsi="黑体"/>
          <w:sz w:val="24"/>
          <w:szCs w:val="24"/>
        </w:rPr>
      </w:pPr>
      <w:bookmarkStart w:id="0" w:name="_Toc464728891"/>
      <w:bookmarkStart w:id="1" w:name="SectionMark4"/>
      <w:r w:rsidRPr="007469CC">
        <w:rPr>
          <w:rFonts w:ascii="黑体" w:eastAsia="黑体" w:hAnsi="黑体" w:hint="eastAsia"/>
          <w:sz w:val="24"/>
          <w:szCs w:val="24"/>
        </w:rPr>
        <w:t>JJFZ（有色金属）0</w:t>
      </w:r>
      <w:r w:rsidRPr="007469CC">
        <w:rPr>
          <w:rFonts w:ascii="黑体" w:eastAsia="黑体" w:hAnsi="黑体"/>
          <w:sz w:val="24"/>
          <w:szCs w:val="24"/>
        </w:rPr>
        <w:t>09</w:t>
      </w:r>
      <w:r w:rsidRPr="007469CC">
        <w:rPr>
          <w:rFonts w:ascii="黑体" w:eastAsia="黑体" w:hAnsi="黑体" w:hint="eastAsia"/>
          <w:sz w:val="24"/>
          <w:szCs w:val="24"/>
        </w:rPr>
        <w:t>-</w:t>
      </w:r>
      <w:r w:rsidRPr="007469CC">
        <w:rPr>
          <w:rFonts w:ascii="黑体" w:eastAsia="黑体" w:hAnsi="黑体"/>
          <w:sz w:val="24"/>
          <w:szCs w:val="24"/>
        </w:rPr>
        <w:t>2022</w:t>
      </w:r>
      <w:r w:rsidRPr="007469CC">
        <w:rPr>
          <w:rFonts w:ascii="黑体" w:eastAsia="黑体" w:hAnsi="黑体" w:hint="eastAsia"/>
          <w:sz w:val="24"/>
          <w:szCs w:val="24"/>
        </w:rPr>
        <w:t>《光学显微镜畸变校准规范》</w:t>
      </w:r>
    </w:p>
    <w:p w:rsidR="008D49EF" w:rsidRPr="008D49EF" w:rsidRDefault="008D49EF" w:rsidP="008D49EF">
      <w:pPr>
        <w:pStyle w:val="affff9"/>
        <w:jc w:val="center"/>
        <w:rPr>
          <w:rFonts w:ascii="黑体" w:eastAsia="黑体" w:hAnsi="黑体"/>
          <w:sz w:val="24"/>
          <w:szCs w:val="24"/>
        </w:rPr>
      </w:pPr>
      <w:r w:rsidRPr="007469CC">
        <w:rPr>
          <w:rFonts w:ascii="黑体" w:eastAsia="黑体" w:hAnsi="黑体" w:hint="eastAsia"/>
          <w:sz w:val="24"/>
          <w:szCs w:val="24"/>
        </w:rPr>
        <w:t>行业计量技术规范编制说明</w:t>
      </w:r>
    </w:p>
    <w:p w:rsidR="00293085" w:rsidRPr="007469CC" w:rsidRDefault="00322078" w:rsidP="007469CC">
      <w:pPr>
        <w:pStyle w:val="afffa"/>
        <w:numPr>
          <w:ilvl w:val="0"/>
          <w:numId w:val="11"/>
        </w:numPr>
        <w:tabs>
          <w:tab w:val="left" w:pos="426"/>
        </w:tabs>
        <w:spacing w:beforeLines="100" w:before="312" w:afterLines="100" w:after="312"/>
        <w:ind w:left="420" w:hangingChars="200"/>
        <w:jc w:val="left"/>
      </w:pPr>
      <w:r>
        <w:rPr>
          <w:rFonts w:hint="eastAsia"/>
        </w:rPr>
        <w:t>工作简况</w:t>
      </w:r>
      <w:bookmarkStart w:id="2" w:name="_Toc464728896"/>
      <w:bookmarkEnd w:id="0"/>
    </w:p>
    <w:p w:rsidR="00293085" w:rsidRDefault="007469CC">
      <w:pPr>
        <w:pStyle w:val="af2"/>
        <w:numPr>
          <w:ilvl w:val="0"/>
          <w:numId w:val="0"/>
        </w:numPr>
        <w:spacing w:before="156" w:after="156" w:line="300" w:lineRule="auto"/>
        <w:contextualSpacing/>
      </w:pPr>
      <w:r>
        <w:t>1.1</w:t>
      </w:r>
      <w:r w:rsidR="00322078">
        <w:rPr>
          <w:rFonts w:hint="eastAsia"/>
        </w:rPr>
        <w:t>.任务来源</w:t>
      </w:r>
      <w:bookmarkEnd w:id="2"/>
    </w:p>
    <w:p w:rsidR="007469CC" w:rsidRDefault="00494613" w:rsidP="007469CC">
      <w:pPr>
        <w:spacing w:line="300" w:lineRule="auto"/>
        <w:ind w:firstLineChars="200" w:firstLine="420"/>
        <w:contextualSpacing/>
        <w:jc w:val="left"/>
        <w:rPr>
          <w:rFonts w:asciiTheme="minorEastAsia" w:eastAsiaTheme="minorEastAsia" w:hAnsiTheme="minorEastAsia"/>
          <w:sz w:val="24"/>
        </w:rPr>
      </w:pPr>
      <w:r>
        <w:rPr>
          <w:rFonts w:hint="eastAsia"/>
          <w:szCs w:val="21"/>
        </w:rPr>
        <w:t>为保证光学显微镜畸变在允许范围内，保证光学显微镜测量量值的准确、可靠，适应我国有色金属行业的快速发展和满足国内外市场的需要，工业和信息化部以</w:t>
      </w:r>
      <w:proofErr w:type="gramStart"/>
      <w:r>
        <w:rPr>
          <w:rFonts w:hint="eastAsia"/>
          <w:szCs w:val="21"/>
        </w:rPr>
        <w:t>工信厅下达</w:t>
      </w:r>
      <w:proofErr w:type="gramEnd"/>
      <w:r>
        <w:rPr>
          <w:rFonts w:hint="eastAsia"/>
          <w:szCs w:val="21"/>
        </w:rPr>
        <w:t>了《工业和信息化部办公厅关于印发</w:t>
      </w:r>
      <w:r>
        <w:rPr>
          <w:rFonts w:hint="eastAsia"/>
          <w:szCs w:val="21"/>
        </w:rPr>
        <w:t>2023</w:t>
      </w:r>
      <w:r>
        <w:rPr>
          <w:rFonts w:hint="eastAsia"/>
          <w:szCs w:val="21"/>
        </w:rPr>
        <w:t>年行业计量技术规范制修订计划的通知》</w:t>
      </w:r>
      <w:r>
        <w:rPr>
          <w:rFonts w:hAnsi="宋体" w:hint="eastAsia"/>
          <w:bCs/>
          <w:szCs w:val="21"/>
        </w:rPr>
        <w:t>（</w:t>
      </w:r>
      <w:proofErr w:type="gramStart"/>
      <w:r>
        <w:rPr>
          <w:rFonts w:hAnsi="宋体" w:hint="eastAsia"/>
          <w:bCs/>
          <w:szCs w:val="21"/>
        </w:rPr>
        <w:t>工信厅科</w:t>
      </w:r>
      <w:proofErr w:type="gramEnd"/>
      <w:r>
        <w:rPr>
          <w:rFonts w:hAnsi="宋体" w:hint="eastAsia"/>
          <w:bCs/>
          <w:szCs w:val="21"/>
        </w:rPr>
        <w:t>函［</w:t>
      </w:r>
      <w:r>
        <w:rPr>
          <w:rFonts w:hAnsi="宋体"/>
          <w:bCs/>
          <w:szCs w:val="21"/>
        </w:rPr>
        <w:t>20</w:t>
      </w:r>
      <w:r>
        <w:rPr>
          <w:rFonts w:hAnsi="宋体" w:hint="eastAsia"/>
          <w:bCs/>
          <w:szCs w:val="21"/>
        </w:rPr>
        <w:t>20</w:t>
      </w:r>
      <w:r>
        <w:rPr>
          <w:rFonts w:hAnsi="宋体" w:hint="eastAsia"/>
          <w:bCs/>
          <w:szCs w:val="21"/>
        </w:rPr>
        <w:t>］</w:t>
      </w:r>
      <w:r>
        <w:rPr>
          <w:rFonts w:hAnsi="宋体" w:hint="eastAsia"/>
          <w:bCs/>
          <w:szCs w:val="21"/>
        </w:rPr>
        <w:t>171</w:t>
      </w:r>
      <w:r>
        <w:rPr>
          <w:rFonts w:hAnsi="宋体" w:hint="eastAsia"/>
          <w:bCs/>
          <w:szCs w:val="21"/>
        </w:rPr>
        <w:t>号）</w:t>
      </w:r>
      <w:r>
        <w:rPr>
          <w:rFonts w:hint="eastAsia"/>
          <w:szCs w:val="21"/>
        </w:rPr>
        <w:t>，其计划项目代号为：</w:t>
      </w:r>
      <w:r>
        <w:rPr>
          <w:rFonts w:hint="eastAsia"/>
          <w:szCs w:val="21"/>
        </w:rPr>
        <w:t>JJFZ(</w:t>
      </w:r>
      <w:r>
        <w:rPr>
          <w:rFonts w:hint="eastAsia"/>
          <w:szCs w:val="21"/>
        </w:rPr>
        <w:t>有色金属</w:t>
      </w:r>
      <w:r>
        <w:rPr>
          <w:rFonts w:hint="eastAsia"/>
          <w:szCs w:val="21"/>
        </w:rPr>
        <w:t>)003-2023</w:t>
      </w:r>
      <w:r>
        <w:rPr>
          <w:rFonts w:hint="eastAsia"/>
          <w:szCs w:val="21"/>
        </w:rPr>
        <w:t>，计划完成年限为</w:t>
      </w:r>
      <w:r>
        <w:rPr>
          <w:rFonts w:hint="eastAsia"/>
          <w:szCs w:val="21"/>
        </w:rPr>
        <w:t>2023</w:t>
      </w:r>
      <w:r>
        <w:rPr>
          <w:rFonts w:hint="eastAsia"/>
          <w:szCs w:val="21"/>
        </w:rPr>
        <w:t>年。</w:t>
      </w:r>
      <w:r>
        <w:rPr>
          <w:rFonts w:asciiTheme="minorEastAsia" w:eastAsiaTheme="minorEastAsia" w:hAnsiTheme="minorEastAsia" w:hint="eastAsia"/>
          <w:sz w:val="24"/>
        </w:rPr>
        <w:t xml:space="preserve"> </w:t>
      </w:r>
      <w:bookmarkStart w:id="3" w:name="_Toc464728898"/>
      <w:bookmarkStart w:id="4" w:name="_Toc462884342"/>
    </w:p>
    <w:p w:rsidR="007469CC" w:rsidRDefault="007469CC" w:rsidP="007469CC">
      <w:pPr>
        <w:pStyle w:val="25"/>
        <w:spacing w:after="0" w:line="360" w:lineRule="auto"/>
        <w:ind w:firstLineChars="200" w:firstLine="420"/>
        <w:rPr>
          <w:rFonts w:hAnsi="宋体"/>
          <w:bCs/>
          <w:szCs w:val="21"/>
        </w:rPr>
      </w:pPr>
      <w:r>
        <w:rPr>
          <w:rFonts w:hAnsi="宋体" w:hint="eastAsia"/>
          <w:bCs/>
          <w:szCs w:val="21"/>
        </w:rPr>
        <w:t>根据工业和信息化部《关于印发</w:t>
      </w:r>
      <w:r>
        <w:rPr>
          <w:rFonts w:hAnsi="宋体" w:hint="eastAsia"/>
          <w:bCs/>
          <w:szCs w:val="21"/>
        </w:rPr>
        <w:t>2022</w:t>
      </w:r>
      <w:r>
        <w:rPr>
          <w:rFonts w:hAnsi="宋体" w:hint="eastAsia"/>
          <w:bCs/>
          <w:szCs w:val="21"/>
        </w:rPr>
        <w:t>年行业计量技术规范制修订计划的通知》（工厅科［</w:t>
      </w:r>
      <w:r>
        <w:rPr>
          <w:rFonts w:hAnsi="宋体" w:hint="eastAsia"/>
          <w:bCs/>
          <w:szCs w:val="21"/>
        </w:rPr>
        <w:t>2022</w:t>
      </w:r>
      <w:r>
        <w:rPr>
          <w:rFonts w:hAnsi="宋体" w:hint="eastAsia"/>
          <w:bCs/>
          <w:szCs w:val="21"/>
        </w:rPr>
        <w:t>］</w:t>
      </w:r>
      <w:r>
        <w:rPr>
          <w:rFonts w:hAnsi="宋体" w:hint="eastAsia"/>
          <w:bCs/>
          <w:szCs w:val="21"/>
        </w:rPr>
        <w:t>464</w:t>
      </w:r>
      <w:r>
        <w:rPr>
          <w:rFonts w:hAnsi="宋体" w:hint="eastAsia"/>
          <w:bCs/>
          <w:szCs w:val="21"/>
        </w:rPr>
        <w:t>号）文的要求，行业计量技术规范《光学显微镜畸变校准规范》由西安汉唐分析检测有限公司负责起草。该项目计划编号为</w:t>
      </w:r>
      <w:r>
        <w:rPr>
          <w:rFonts w:hAnsi="宋体"/>
          <w:bCs/>
          <w:szCs w:val="21"/>
        </w:rPr>
        <w:t>JJF</w:t>
      </w:r>
      <w:r>
        <w:rPr>
          <w:rFonts w:hAnsi="宋体" w:hint="eastAsia"/>
          <w:bCs/>
          <w:szCs w:val="21"/>
        </w:rPr>
        <w:t>Z</w:t>
      </w:r>
      <w:r>
        <w:rPr>
          <w:rFonts w:hAnsi="宋体" w:hint="eastAsia"/>
          <w:bCs/>
          <w:szCs w:val="21"/>
        </w:rPr>
        <w:t>（有色金属）</w:t>
      </w:r>
      <w:r>
        <w:rPr>
          <w:rFonts w:hAnsi="宋体" w:hint="eastAsia"/>
          <w:bCs/>
          <w:szCs w:val="21"/>
        </w:rPr>
        <w:t>0</w:t>
      </w:r>
      <w:r>
        <w:rPr>
          <w:rFonts w:hAnsi="宋体"/>
          <w:bCs/>
          <w:szCs w:val="21"/>
        </w:rPr>
        <w:t>09</w:t>
      </w:r>
      <w:r>
        <w:rPr>
          <w:rFonts w:hAnsi="宋体" w:hint="eastAsia"/>
          <w:bCs/>
          <w:szCs w:val="21"/>
        </w:rPr>
        <w:t>-2</w:t>
      </w:r>
      <w:r>
        <w:rPr>
          <w:rFonts w:hAnsi="宋体"/>
          <w:bCs/>
          <w:szCs w:val="21"/>
        </w:rPr>
        <w:t>02</w:t>
      </w:r>
      <w:r>
        <w:rPr>
          <w:rFonts w:hAnsi="宋体" w:hint="eastAsia"/>
          <w:bCs/>
          <w:szCs w:val="21"/>
        </w:rPr>
        <w:t>2</w:t>
      </w:r>
      <w:r>
        <w:rPr>
          <w:rFonts w:hAnsi="宋体" w:hint="eastAsia"/>
          <w:bCs/>
          <w:szCs w:val="21"/>
        </w:rPr>
        <w:t>。按计划要求，本计量规范应于</w:t>
      </w:r>
      <w:r>
        <w:rPr>
          <w:rFonts w:hAnsi="宋体"/>
          <w:bCs/>
          <w:szCs w:val="21"/>
        </w:rPr>
        <w:t>202</w:t>
      </w:r>
      <w:r>
        <w:rPr>
          <w:rFonts w:hAnsi="宋体" w:hint="eastAsia"/>
          <w:bCs/>
          <w:szCs w:val="21"/>
        </w:rPr>
        <w:t>4</w:t>
      </w:r>
      <w:r>
        <w:rPr>
          <w:rFonts w:hAnsi="宋体" w:hint="eastAsia"/>
          <w:bCs/>
          <w:szCs w:val="21"/>
        </w:rPr>
        <w:t>年完成。</w:t>
      </w:r>
    </w:p>
    <w:bookmarkEnd w:id="3"/>
    <w:bookmarkEnd w:id="4"/>
    <w:p w:rsidR="00293085" w:rsidRDefault="007469CC" w:rsidP="007469CC">
      <w:pPr>
        <w:pStyle w:val="af3"/>
        <w:numPr>
          <w:ilvl w:val="0"/>
          <w:numId w:val="0"/>
        </w:numPr>
        <w:spacing w:beforeLines="50" w:before="156" w:afterLines="50" w:after="156"/>
        <w:contextualSpacing/>
        <w:rPr>
          <w:color w:val="auto"/>
        </w:rPr>
      </w:pPr>
      <w:r>
        <w:rPr>
          <w:rFonts w:hAnsi="黑体"/>
          <w:color w:val="auto"/>
        </w:rPr>
        <w:t xml:space="preserve">1.2 </w:t>
      </w:r>
      <w:r>
        <w:rPr>
          <w:rFonts w:hAnsi="黑体" w:hint="eastAsia"/>
          <w:color w:val="auto"/>
        </w:rPr>
        <w:t>承担单位情况</w:t>
      </w:r>
    </w:p>
    <w:p w:rsidR="00293085" w:rsidRDefault="00322078">
      <w:pPr>
        <w:spacing w:line="360" w:lineRule="auto"/>
        <w:ind w:firstLineChars="200" w:firstLine="420"/>
        <w:rPr>
          <w:szCs w:val="21"/>
        </w:rPr>
      </w:pPr>
      <w:r>
        <w:rPr>
          <w:rFonts w:hint="eastAsia"/>
          <w:szCs w:val="21"/>
        </w:rPr>
        <w:t>西安汉唐分析检测有限公司是西北有色金属研究院</w:t>
      </w:r>
      <w:r>
        <w:rPr>
          <w:rFonts w:hint="eastAsia"/>
          <w:szCs w:val="21"/>
        </w:rPr>
        <w:t>(</w:t>
      </w:r>
      <w:r>
        <w:rPr>
          <w:rFonts w:hint="eastAsia"/>
          <w:szCs w:val="21"/>
        </w:rPr>
        <w:t>集团</w:t>
      </w:r>
      <w:r>
        <w:rPr>
          <w:rFonts w:hint="eastAsia"/>
          <w:szCs w:val="21"/>
        </w:rPr>
        <w:t>)</w:t>
      </w:r>
      <w:r>
        <w:rPr>
          <w:rFonts w:hint="eastAsia"/>
          <w:szCs w:val="21"/>
        </w:rPr>
        <w:t>控股子公司，属国有企业，主要从事有色产品的检测、可靠性评价、失效分析、质量评估、腐蚀性能及表面测试与表征、规范起草、检测方法的开发、标物的研制、设备的计量校准等。</w:t>
      </w:r>
    </w:p>
    <w:p w:rsidR="00293085" w:rsidRDefault="00322078">
      <w:pPr>
        <w:spacing w:line="360" w:lineRule="auto"/>
        <w:ind w:firstLineChars="200" w:firstLine="420"/>
        <w:rPr>
          <w:szCs w:val="21"/>
        </w:r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proofErr w:type="spellStart"/>
      <w:r>
        <w:rPr>
          <w:rFonts w:hint="eastAsia"/>
          <w:szCs w:val="21"/>
        </w:rPr>
        <w:t>DiLAC</w:t>
      </w:r>
      <w:proofErr w:type="spellEnd"/>
      <w:r>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293085" w:rsidRDefault="00322078">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行业规范共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293085" w:rsidRDefault="00322078">
      <w:pPr>
        <w:spacing w:line="360" w:lineRule="auto"/>
        <w:ind w:firstLineChars="200" w:firstLine="420"/>
        <w:contextualSpacing/>
        <w:jc w:val="left"/>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rsidR="00293085" w:rsidRDefault="007469CC">
      <w:pPr>
        <w:pStyle w:val="af2"/>
        <w:numPr>
          <w:ilvl w:val="0"/>
          <w:numId w:val="0"/>
        </w:numPr>
        <w:spacing w:before="156" w:after="156" w:line="300" w:lineRule="auto"/>
        <w:contextualSpacing/>
      </w:pPr>
      <w:bookmarkStart w:id="5" w:name="_Toc462884357"/>
      <w:bookmarkStart w:id="6" w:name="_Toc464728913"/>
      <w:r>
        <w:t>1.3</w:t>
      </w:r>
      <w:r w:rsidR="00322078">
        <w:rPr>
          <w:rFonts w:hint="eastAsia"/>
        </w:rPr>
        <w:t>.主要工作过程</w:t>
      </w:r>
      <w:bookmarkEnd w:id="5"/>
      <w:bookmarkEnd w:id="6"/>
    </w:p>
    <w:p w:rsidR="00C72490" w:rsidRDefault="00C72490" w:rsidP="00C72490">
      <w:pPr>
        <w:spacing w:line="360" w:lineRule="auto"/>
        <w:ind w:firstLineChars="200" w:firstLine="420"/>
        <w:rPr>
          <w:bCs/>
        </w:rPr>
      </w:pPr>
      <w:r>
        <w:rPr>
          <w:rFonts w:hint="eastAsia"/>
          <w:bCs/>
        </w:rPr>
        <w:lastRenderedPageBreak/>
        <w:t>西安汉唐分析检测有限公司计量检测中心接到有色金属行业计量技术委员会转发下达的制定任务后，成立了计量规范编制组，对计量技术规范编写工作进行了部署和分工，制定了制定原则及计划工作。本项目主要工作过程经过了以下几个阶段：</w:t>
      </w:r>
    </w:p>
    <w:p w:rsidR="00C72490" w:rsidRDefault="00C72490" w:rsidP="00C72490">
      <w:pPr>
        <w:spacing w:line="360" w:lineRule="auto"/>
        <w:ind w:firstLineChars="100" w:firstLine="210"/>
        <w:rPr>
          <w:bCs/>
        </w:rPr>
      </w:pPr>
      <w:r>
        <w:rPr>
          <w:bCs/>
        </w:rPr>
        <w:t>1</w:t>
      </w:r>
      <w:r>
        <w:rPr>
          <w:rFonts w:hint="eastAsia"/>
          <w:bCs/>
        </w:rPr>
        <w:t>）</w:t>
      </w:r>
      <w:r>
        <w:rPr>
          <w:bCs/>
        </w:rPr>
        <w:t>20</w:t>
      </w:r>
      <w:r>
        <w:rPr>
          <w:rFonts w:hint="eastAsia"/>
          <w:bCs/>
        </w:rPr>
        <w:t>22</w:t>
      </w:r>
      <w:r>
        <w:rPr>
          <w:rFonts w:hint="eastAsia"/>
          <w:bCs/>
        </w:rPr>
        <w:t>年</w:t>
      </w:r>
      <w:r>
        <w:rPr>
          <w:bCs/>
        </w:rPr>
        <w:t>8</w:t>
      </w:r>
      <w:r>
        <w:rPr>
          <w:rFonts w:hint="eastAsia"/>
          <w:bCs/>
        </w:rPr>
        <w:t>月成立了计量规范编制组，明确了编制组成员各自的工作内容和任务。</w:t>
      </w:r>
    </w:p>
    <w:p w:rsidR="00C72490" w:rsidRDefault="00C72490" w:rsidP="00C72490">
      <w:pPr>
        <w:spacing w:line="360" w:lineRule="auto"/>
        <w:ind w:firstLineChars="100" w:firstLine="210"/>
        <w:rPr>
          <w:rFonts w:hint="eastAsia"/>
          <w:bCs/>
        </w:rPr>
      </w:pPr>
      <w:r>
        <w:rPr>
          <w:bCs/>
        </w:rPr>
        <w:t>2</w:t>
      </w:r>
      <w:r>
        <w:rPr>
          <w:rFonts w:hint="eastAsia"/>
          <w:bCs/>
        </w:rPr>
        <w:t>）</w:t>
      </w:r>
      <w:r>
        <w:rPr>
          <w:bCs/>
        </w:rPr>
        <w:t>20</w:t>
      </w:r>
      <w:r>
        <w:rPr>
          <w:rFonts w:hint="eastAsia"/>
          <w:bCs/>
        </w:rPr>
        <w:t>22</w:t>
      </w:r>
      <w:r>
        <w:rPr>
          <w:rFonts w:hint="eastAsia"/>
          <w:bCs/>
        </w:rPr>
        <w:t>年</w:t>
      </w:r>
      <w:r>
        <w:rPr>
          <w:bCs/>
        </w:rPr>
        <w:t>9</w:t>
      </w:r>
      <w:r>
        <w:rPr>
          <w:rFonts w:hint="eastAsia"/>
          <w:bCs/>
        </w:rPr>
        <w:t>月～</w:t>
      </w:r>
      <w:r>
        <w:rPr>
          <w:rFonts w:hint="eastAsia"/>
          <w:bCs/>
        </w:rPr>
        <w:t>2023</w:t>
      </w:r>
      <w:r>
        <w:rPr>
          <w:rFonts w:hint="eastAsia"/>
          <w:bCs/>
        </w:rPr>
        <w:t>年</w:t>
      </w:r>
      <w:r>
        <w:rPr>
          <w:rFonts w:hint="eastAsia"/>
          <w:bCs/>
        </w:rPr>
        <w:t>4</w:t>
      </w:r>
      <w:r>
        <w:rPr>
          <w:rFonts w:hint="eastAsia"/>
          <w:bCs/>
        </w:rPr>
        <w:t>月计量规范编制组成员对有铝板带在线测厚仪校准规范中的计量特性及校准方法进行了讨论，确定了校准项目和方法，在</w:t>
      </w:r>
      <w:r>
        <w:rPr>
          <w:bCs/>
        </w:rPr>
        <w:t>202</w:t>
      </w:r>
      <w:r>
        <w:rPr>
          <w:rFonts w:hint="eastAsia"/>
          <w:bCs/>
        </w:rPr>
        <w:t>3</w:t>
      </w:r>
      <w:r>
        <w:rPr>
          <w:rFonts w:hint="eastAsia"/>
          <w:bCs/>
        </w:rPr>
        <w:t>年</w:t>
      </w:r>
      <w:r>
        <w:rPr>
          <w:rFonts w:hint="eastAsia"/>
          <w:bCs/>
        </w:rPr>
        <w:t>4</w:t>
      </w:r>
      <w:r>
        <w:rPr>
          <w:rFonts w:hint="eastAsia"/>
          <w:bCs/>
        </w:rPr>
        <w:t>月形成了计量规范讨论稿。</w:t>
      </w:r>
    </w:p>
    <w:p w:rsidR="00AD4A51" w:rsidRDefault="00AD4A51" w:rsidP="00C72490">
      <w:pPr>
        <w:spacing w:line="360" w:lineRule="auto"/>
        <w:ind w:firstLineChars="100" w:firstLine="210"/>
        <w:rPr>
          <w:rFonts w:hint="eastAsia"/>
        </w:rPr>
      </w:pPr>
      <w:r>
        <w:rPr>
          <w:rFonts w:hint="eastAsia"/>
          <w:bCs/>
        </w:rPr>
        <w:t>3</w:t>
      </w:r>
      <w:r>
        <w:rPr>
          <w:rFonts w:hint="eastAsia"/>
          <w:bCs/>
        </w:rPr>
        <w:t>）</w:t>
      </w:r>
      <w:r>
        <w:rPr>
          <w:rFonts w:hint="eastAsia"/>
          <w:bCs/>
        </w:rPr>
        <w:t>2023</w:t>
      </w:r>
      <w:r>
        <w:rPr>
          <w:rFonts w:hint="eastAsia"/>
          <w:bCs/>
        </w:rPr>
        <w:t>年</w:t>
      </w:r>
      <w:r>
        <w:rPr>
          <w:rFonts w:hint="eastAsia"/>
          <w:bCs/>
        </w:rPr>
        <w:t>5</w:t>
      </w:r>
      <w:r>
        <w:rPr>
          <w:rFonts w:hint="eastAsia"/>
          <w:bCs/>
        </w:rPr>
        <w:t>月</w:t>
      </w:r>
      <w:r>
        <w:rPr>
          <w:rFonts w:hint="eastAsia"/>
          <w:bCs/>
        </w:rPr>
        <w:t>8</w:t>
      </w:r>
      <w:r>
        <w:rPr>
          <w:rFonts w:hint="eastAsia"/>
          <w:bCs/>
        </w:rPr>
        <w:t>日</w:t>
      </w:r>
      <w:r>
        <w:rPr>
          <w:rFonts w:hint="eastAsia"/>
          <w:bCs/>
        </w:rPr>
        <w:t>~10</w:t>
      </w:r>
      <w:r>
        <w:rPr>
          <w:rFonts w:hint="eastAsia"/>
          <w:bCs/>
        </w:rPr>
        <w:t>日，在陕西省西安市西安华山酒店召开有色金属计量技术规范研讨会，</w:t>
      </w:r>
      <w:r>
        <w:rPr>
          <w:rFonts w:hint="eastAsia"/>
          <w:szCs w:val="21"/>
        </w:rPr>
        <w:t>会上对《</w:t>
      </w:r>
      <w:r w:rsidRPr="00C62B03">
        <w:rPr>
          <w:rFonts w:hint="eastAsia"/>
          <w:bCs/>
        </w:rPr>
        <w:t>光学显微镜畸变校准规范</w:t>
      </w:r>
      <w:r>
        <w:rPr>
          <w:rFonts w:hint="eastAsia"/>
          <w:szCs w:val="21"/>
        </w:rPr>
        <w:t>-</w:t>
      </w:r>
      <w:r>
        <w:rPr>
          <w:rFonts w:hint="eastAsia"/>
          <w:szCs w:val="21"/>
        </w:rPr>
        <w:t>讨论稿》等</w:t>
      </w:r>
      <w:r>
        <w:rPr>
          <w:rFonts w:hint="eastAsia"/>
          <w:szCs w:val="21"/>
        </w:rPr>
        <w:t>15</w:t>
      </w:r>
      <w:r>
        <w:rPr>
          <w:rFonts w:hint="eastAsia"/>
          <w:szCs w:val="21"/>
        </w:rPr>
        <w:t>项有色金属行业计量技术规范进行了讨论，会上有来自不同单位的计量委员会委员、专家、代表对《</w:t>
      </w:r>
      <w:r w:rsidRPr="00C62B03">
        <w:rPr>
          <w:rFonts w:hint="eastAsia"/>
          <w:bCs/>
        </w:rPr>
        <w:t>光学显微镜畸变校准规范</w:t>
      </w:r>
      <w:r>
        <w:rPr>
          <w:rFonts w:hint="eastAsia"/>
          <w:szCs w:val="21"/>
        </w:rPr>
        <w:t>-</w:t>
      </w:r>
      <w:r>
        <w:rPr>
          <w:rFonts w:hint="eastAsia"/>
          <w:szCs w:val="21"/>
        </w:rPr>
        <w:t>讨论稿》提出了修改建议和意见，</w:t>
      </w:r>
      <w:r>
        <w:rPr>
          <w:rFonts w:hint="eastAsia"/>
        </w:rPr>
        <w:t>会上确定了项目负责起草单位、起草单位及一验、</w:t>
      </w:r>
      <w:proofErr w:type="gramStart"/>
      <w:r>
        <w:rPr>
          <w:rFonts w:hint="eastAsia"/>
        </w:rPr>
        <w:t>二验单位</w:t>
      </w:r>
      <w:proofErr w:type="gramEnd"/>
      <w:r>
        <w:rPr>
          <w:rFonts w:hint="eastAsia"/>
        </w:rPr>
        <w:t>，明确了各项工作时间进度要求。修改形成征求意见稿。</w:t>
      </w:r>
      <w:bookmarkStart w:id="7" w:name="_GoBack"/>
      <w:bookmarkEnd w:id="7"/>
    </w:p>
    <w:p w:rsidR="00AD4A51" w:rsidRDefault="00AD4A51" w:rsidP="00AD4A51">
      <w:pPr>
        <w:spacing w:line="360" w:lineRule="auto"/>
        <w:ind w:firstLineChars="200" w:firstLine="420"/>
        <w:jc w:val="left"/>
        <w:rPr>
          <w:szCs w:val="21"/>
        </w:rPr>
      </w:pPr>
      <w:r>
        <w:rPr>
          <w:szCs w:val="21"/>
        </w:rPr>
        <w:t>主要讨论和修改的具体意见如下：</w:t>
      </w:r>
    </w:p>
    <w:p w:rsidR="00AD4A51" w:rsidRDefault="00AD4A51" w:rsidP="00AD4A51">
      <w:pPr>
        <w:spacing w:line="360" w:lineRule="auto"/>
        <w:ind w:firstLineChars="100" w:firstLine="210"/>
        <w:rPr>
          <w:szCs w:val="21"/>
        </w:rPr>
      </w:pPr>
      <w:r>
        <w:rPr>
          <w:rFonts w:hint="eastAsia"/>
          <w:bCs/>
        </w:rPr>
        <w:t xml:space="preserve">  1</w:t>
      </w:r>
      <w:r>
        <w:rPr>
          <w:rFonts w:hint="eastAsia"/>
          <w:bCs/>
        </w:rPr>
        <w:t>、</w:t>
      </w:r>
      <w:r>
        <w:rPr>
          <w:rFonts w:hint="eastAsia"/>
          <w:bCs/>
        </w:rPr>
        <w:t>第一章节和第三章节中对放大倍数的描述不统一</w:t>
      </w:r>
      <w:r>
        <w:rPr>
          <w:rFonts w:hint="eastAsia"/>
          <w:szCs w:val="21"/>
        </w:rPr>
        <w:t>；</w:t>
      </w:r>
    </w:p>
    <w:p w:rsidR="00AD4A51" w:rsidRDefault="00AD4A51" w:rsidP="00AD4A51">
      <w:pPr>
        <w:spacing w:line="360" w:lineRule="auto"/>
        <w:ind w:firstLineChars="100" w:firstLine="210"/>
        <w:rPr>
          <w:szCs w:val="21"/>
        </w:rPr>
      </w:pPr>
      <w:r>
        <w:rPr>
          <w:rFonts w:hint="eastAsia"/>
          <w:szCs w:val="21"/>
        </w:rPr>
        <w:t xml:space="preserve">  2</w:t>
      </w:r>
      <w:r>
        <w:rPr>
          <w:rFonts w:hint="eastAsia"/>
          <w:szCs w:val="21"/>
        </w:rPr>
        <w:t>、</w:t>
      </w:r>
      <w:r>
        <w:rPr>
          <w:rFonts w:hint="eastAsia"/>
          <w:szCs w:val="21"/>
        </w:rPr>
        <w:t>第四章节中术语描述不准确</w:t>
      </w:r>
      <w:r>
        <w:rPr>
          <w:rFonts w:hint="eastAsia"/>
          <w:szCs w:val="21"/>
        </w:rPr>
        <w:t>；</w:t>
      </w:r>
    </w:p>
    <w:p w:rsidR="00AD4A51" w:rsidRDefault="00AD4A51" w:rsidP="00AD4A51">
      <w:pPr>
        <w:spacing w:line="360" w:lineRule="auto"/>
        <w:ind w:firstLineChars="100" w:firstLine="210"/>
        <w:rPr>
          <w:szCs w:val="21"/>
        </w:rPr>
      </w:pPr>
      <w:r>
        <w:rPr>
          <w:rFonts w:hint="eastAsia"/>
          <w:szCs w:val="21"/>
        </w:rPr>
        <w:t xml:space="preserve">  3</w:t>
      </w:r>
      <w:r>
        <w:rPr>
          <w:rFonts w:hint="eastAsia"/>
          <w:szCs w:val="21"/>
        </w:rPr>
        <w:t>、</w:t>
      </w:r>
      <w:r>
        <w:rPr>
          <w:rFonts w:hint="eastAsia"/>
          <w:szCs w:val="21"/>
        </w:rPr>
        <w:t>7.2</w:t>
      </w:r>
      <w:r>
        <w:rPr>
          <w:rFonts w:hint="eastAsia"/>
          <w:szCs w:val="21"/>
        </w:rPr>
        <w:t>章节</w:t>
      </w:r>
      <w:r w:rsidRPr="00AD4A51">
        <w:rPr>
          <w:szCs w:val="21"/>
        </w:rPr>
        <w:t>对显微镜畸变的校准方法添加详细的图述</w:t>
      </w:r>
      <w:r w:rsidRPr="00AD4A51">
        <w:rPr>
          <w:rFonts w:hint="eastAsia"/>
          <w:szCs w:val="21"/>
        </w:rPr>
        <w:t>，</w:t>
      </w:r>
      <w:r w:rsidRPr="00AD4A51">
        <w:rPr>
          <w:szCs w:val="21"/>
        </w:rPr>
        <w:t>A</w:t>
      </w:r>
      <w:r w:rsidRPr="00AD4A51">
        <w:rPr>
          <w:rFonts w:hint="eastAsia"/>
          <w:szCs w:val="21"/>
        </w:rPr>
        <w:t>、</w:t>
      </w:r>
      <w:r w:rsidRPr="00AD4A51">
        <w:rPr>
          <w:szCs w:val="21"/>
        </w:rPr>
        <w:t>B</w:t>
      </w:r>
      <w:r w:rsidRPr="00AD4A51">
        <w:rPr>
          <w:szCs w:val="21"/>
        </w:rPr>
        <w:t>型线纹尺使用条件的区分</w:t>
      </w:r>
      <w:r>
        <w:rPr>
          <w:rFonts w:hint="eastAsia"/>
          <w:szCs w:val="21"/>
        </w:rPr>
        <w:t>；</w:t>
      </w:r>
    </w:p>
    <w:p w:rsidR="00AD4A51" w:rsidRDefault="00AD4A51" w:rsidP="00AD4A51">
      <w:pPr>
        <w:spacing w:line="360" w:lineRule="auto"/>
        <w:ind w:firstLineChars="100" w:firstLine="210"/>
        <w:rPr>
          <w:szCs w:val="21"/>
        </w:rPr>
      </w:pPr>
      <w:r>
        <w:rPr>
          <w:rFonts w:hint="eastAsia"/>
          <w:szCs w:val="21"/>
        </w:rPr>
        <w:t xml:space="preserve">  4</w:t>
      </w:r>
      <w:r>
        <w:rPr>
          <w:rFonts w:hint="eastAsia"/>
          <w:szCs w:val="21"/>
        </w:rPr>
        <w:t>、</w:t>
      </w:r>
      <w:r>
        <w:rPr>
          <w:rFonts w:hint="eastAsia"/>
          <w:szCs w:val="21"/>
        </w:rPr>
        <w:t>附录</w:t>
      </w:r>
      <w:r>
        <w:rPr>
          <w:rFonts w:hint="eastAsia"/>
          <w:szCs w:val="21"/>
        </w:rPr>
        <w:t>C</w:t>
      </w:r>
      <w:r>
        <w:rPr>
          <w:rFonts w:hint="eastAsia"/>
          <w:szCs w:val="21"/>
        </w:rPr>
        <w:t>，</w:t>
      </w:r>
      <w:r w:rsidRPr="00AD4A51">
        <w:rPr>
          <w:szCs w:val="21"/>
        </w:rPr>
        <w:t>不确定度的评定需要考虑实际操作中的不同因素</w:t>
      </w:r>
      <w:r>
        <w:rPr>
          <w:rFonts w:hint="eastAsia"/>
          <w:szCs w:val="21"/>
        </w:rPr>
        <w:t>。</w:t>
      </w:r>
    </w:p>
    <w:p w:rsidR="00293085" w:rsidRDefault="00322078">
      <w:pPr>
        <w:pStyle w:val="afffa"/>
        <w:numPr>
          <w:ilvl w:val="0"/>
          <w:numId w:val="11"/>
        </w:numPr>
        <w:tabs>
          <w:tab w:val="left" w:pos="426"/>
        </w:tabs>
        <w:spacing w:beforeLines="100" w:before="312" w:afterLines="100" w:after="312"/>
        <w:ind w:left="420" w:hangingChars="200"/>
        <w:jc w:val="left"/>
      </w:pPr>
      <w:bookmarkStart w:id="8" w:name="_Toc464728924"/>
      <w:r>
        <w:rPr>
          <w:rFonts w:hint="eastAsia"/>
        </w:rPr>
        <w:t>规范编制原则和</w:t>
      </w:r>
      <w:bookmarkEnd w:id="8"/>
      <w:r w:rsidR="007469CC">
        <w:rPr>
          <w:rFonts w:hint="eastAsia"/>
        </w:rPr>
        <w:t>依据</w:t>
      </w:r>
    </w:p>
    <w:p w:rsidR="00293085" w:rsidRDefault="007469CC" w:rsidP="007469CC">
      <w:pPr>
        <w:pStyle w:val="a9"/>
        <w:numPr>
          <w:ilvl w:val="1"/>
          <w:numId w:val="12"/>
        </w:numPr>
        <w:wordWrap/>
        <w:spacing w:beforeLines="0" w:after="156" w:line="360" w:lineRule="auto"/>
      </w:pPr>
      <w:bookmarkStart w:id="9" w:name="_Toc464728925"/>
      <w:r>
        <w:t xml:space="preserve"> </w:t>
      </w:r>
      <w:r>
        <w:rPr>
          <w:rFonts w:hint="eastAsia"/>
        </w:rPr>
        <w:t>规范</w:t>
      </w:r>
      <w:r w:rsidR="00322078">
        <w:rPr>
          <w:rFonts w:hint="eastAsia"/>
        </w:rPr>
        <w:t>编制原则</w:t>
      </w:r>
      <w:bookmarkEnd w:id="9"/>
    </w:p>
    <w:p w:rsidR="00293085" w:rsidRDefault="00322078">
      <w:pPr>
        <w:pStyle w:val="afff4"/>
        <w:spacing w:line="324" w:lineRule="auto"/>
        <w:ind w:firstLineChars="0"/>
        <w:rPr>
          <w:rFonts w:ascii="Times New Roman" w:hAnsi="Times New Roman"/>
          <w:kern w:val="2"/>
          <w:szCs w:val="21"/>
        </w:rPr>
      </w:pPr>
      <w:bookmarkStart w:id="10" w:name="_Toc464728926"/>
      <w:r>
        <w:rPr>
          <w:rFonts w:ascii="Times New Roman" w:hAnsi="Times New Roman" w:hint="eastAsia"/>
          <w:kern w:val="2"/>
          <w:szCs w:val="21"/>
        </w:rPr>
        <w:t>本规范是以</w:t>
      </w:r>
      <w:r>
        <w:rPr>
          <w:rFonts w:ascii="Times New Roman" w:hAnsi="Times New Roman"/>
          <w:kern w:val="2"/>
          <w:szCs w:val="21"/>
        </w:rPr>
        <w:t>JJF 1071-2010</w:t>
      </w:r>
      <w:r>
        <w:rPr>
          <w:rFonts w:ascii="Times New Roman" w:hAnsi="Times New Roman" w:hint="eastAsia"/>
          <w:kern w:val="2"/>
          <w:szCs w:val="21"/>
        </w:rPr>
        <w:t>《国家计量校准规范编写规则》、</w:t>
      </w:r>
      <w:r>
        <w:rPr>
          <w:rFonts w:ascii="Times New Roman" w:hAnsi="Times New Roman" w:hint="eastAsia"/>
          <w:kern w:val="2"/>
          <w:szCs w:val="21"/>
        </w:rPr>
        <w:t>JJF 1001-2011</w:t>
      </w:r>
      <w:r>
        <w:rPr>
          <w:rFonts w:ascii="Times New Roman" w:hAnsi="Times New Roman" w:hint="eastAsia"/>
          <w:kern w:val="2"/>
          <w:szCs w:val="21"/>
        </w:rPr>
        <w:t>《通用计量术语及定义》和</w:t>
      </w:r>
      <w:r>
        <w:rPr>
          <w:rFonts w:ascii="Times New Roman" w:hAnsi="Times New Roman" w:hint="eastAsia"/>
          <w:kern w:val="2"/>
          <w:szCs w:val="21"/>
        </w:rPr>
        <w:t>JJF 1059.1-2012</w:t>
      </w:r>
      <w:r>
        <w:rPr>
          <w:rFonts w:ascii="Times New Roman" w:hAnsi="Times New Roman" w:hint="eastAsia"/>
          <w:kern w:val="2"/>
          <w:szCs w:val="21"/>
        </w:rPr>
        <w:t>《测量不确定度评定与表示》为基础性系列规范进行编写。</w:t>
      </w:r>
    </w:p>
    <w:p w:rsidR="00293085" w:rsidRDefault="00494613" w:rsidP="007469CC">
      <w:pPr>
        <w:autoSpaceDE w:val="0"/>
        <w:autoSpaceDN w:val="0"/>
        <w:adjustRightInd w:val="0"/>
        <w:spacing w:line="440" w:lineRule="exact"/>
        <w:ind w:firstLineChars="200" w:firstLine="420"/>
        <w:rPr>
          <w:szCs w:val="21"/>
        </w:rPr>
      </w:pPr>
      <w:r w:rsidRPr="00494613">
        <w:rPr>
          <w:szCs w:val="21"/>
        </w:rPr>
        <w:t>JJF 1</w:t>
      </w:r>
      <w:r w:rsidRPr="00494613">
        <w:rPr>
          <w:rFonts w:hint="eastAsia"/>
          <w:szCs w:val="21"/>
        </w:rPr>
        <w:t>914</w:t>
      </w:r>
      <w:r w:rsidRPr="00494613">
        <w:rPr>
          <w:szCs w:val="21"/>
        </w:rPr>
        <w:t xml:space="preserve"> </w:t>
      </w:r>
      <w:r w:rsidRPr="00494613">
        <w:rPr>
          <w:rFonts w:hint="eastAsia"/>
          <w:szCs w:val="21"/>
        </w:rPr>
        <w:t>金相</w:t>
      </w:r>
      <w:r w:rsidRPr="00494613">
        <w:rPr>
          <w:szCs w:val="21"/>
        </w:rPr>
        <w:t>显微镜校准规范</w:t>
      </w:r>
      <w:r w:rsidR="00322078">
        <w:rPr>
          <w:szCs w:val="21"/>
        </w:rPr>
        <w:t>等相关内容。</w:t>
      </w:r>
      <w:bookmarkEnd w:id="10"/>
    </w:p>
    <w:p w:rsidR="007469CC" w:rsidRPr="007469CC" w:rsidRDefault="007469CC" w:rsidP="007469CC">
      <w:pPr>
        <w:pStyle w:val="a9"/>
        <w:numPr>
          <w:ilvl w:val="1"/>
          <w:numId w:val="12"/>
        </w:numPr>
        <w:wordWrap/>
        <w:spacing w:beforeLines="0" w:after="156" w:line="360" w:lineRule="auto"/>
      </w:pPr>
      <w:r w:rsidRPr="007469CC">
        <w:rPr>
          <w:rFonts w:hint="eastAsia"/>
        </w:rPr>
        <w:t>制定规范主要内容依据</w:t>
      </w:r>
    </w:p>
    <w:p w:rsidR="00293085" w:rsidRDefault="007469CC">
      <w:pPr>
        <w:pStyle w:val="af2"/>
        <w:numPr>
          <w:ilvl w:val="0"/>
          <w:numId w:val="0"/>
        </w:numPr>
        <w:spacing w:beforeLines="0" w:afterLines="0" w:line="360" w:lineRule="auto"/>
        <w:rPr>
          <w:rFonts w:ascii="Times New Roman"/>
          <w:szCs w:val="21"/>
        </w:rPr>
      </w:pPr>
      <w:bookmarkStart w:id="11" w:name="_Toc193860208"/>
      <w:bookmarkStart w:id="12" w:name="_Toc500258929"/>
      <w:bookmarkStart w:id="13" w:name="_Toc23837_WPSOffice_Level1"/>
      <w:bookmarkStart w:id="14" w:name="_Toc193860177"/>
      <w:bookmarkStart w:id="15" w:name="_Toc193860027"/>
      <w:bookmarkStart w:id="16" w:name="_Toc464728964"/>
      <w:r>
        <w:rPr>
          <w:rFonts w:ascii="Times New Roman"/>
          <w:szCs w:val="21"/>
        </w:rPr>
        <w:t>2.2.1</w:t>
      </w:r>
      <w:r w:rsidR="00322078">
        <w:rPr>
          <w:rFonts w:ascii="Times New Roman" w:hint="eastAsia"/>
          <w:szCs w:val="21"/>
        </w:rPr>
        <w:t>范围</w:t>
      </w:r>
      <w:bookmarkEnd w:id="11"/>
      <w:bookmarkEnd w:id="12"/>
      <w:bookmarkEnd w:id="13"/>
      <w:bookmarkEnd w:id="14"/>
      <w:bookmarkEnd w:id="15"/>
    </w:p>
    <w:p w:rsidR="00293085" w:rsidRDefault="00494613" w:rsidP="00494613">
      <w:pPr>
        <w:spacing w:line="360" w:lineRule="auto"/>
        <w:ind w:firstLineChars="200" w:firstLine="420"/>
        <w:rPr>
          <w:rFonts w:eastAsiaTheme="minorEastAsia"/>
          <w:kern w:val="0"/>
          <w:szCs w:val="21"/>
        </w:rPr>
      </w:pPr>
      <w:r w:rsidRPr="00494613">
        <w:rPr>
          <w:rFonts w:eastAsiaTheme="minorEastAsia" w:hint="eastAsia"/>
          <w:kern w:val="0"/>
          <w:szCs w:val="21"/>
        </w:rPr>
        <w:t>本规范</w:t>
      </w:r>
      <w:proofErr w:type="gramStart"/>
      <w:r w:rsidRPr="00494613">
        <w:rPr>
          <w:rFonts w:eastAsiaTheme="minorEastAsia" w:hint="eastAsia"/>
          <w:kern w:val="0"/>
          <w:szCs w:val="21"/>
        </w:rPr>
        <w:t>适用于适用于</w:t>
      </w:r>
      <w:proofErr w:type="gramEnd"/>
      <w:r w:rsidRPr="00494613">
        <w:rPr>
          <w:rFonts w:eastAsiaTheme="minorEastAsia" w:hint="eastAsia"/>
          <w:kern w:val="0"/>
          <w:szCs w:val="21"/>
        </w:rPr>
        <w:t>放大倍数不超过</w:t>
      </w:r>
      <w:r w:rsidRPr="00494613">
        <w:rPr>
          <w:rFonts w:eastAsiaTheme="minorEastAsia" w:hint="eastAsia"/>
          <w:kern w:val="0"/>
          <w:szCs w:val="21"/>
        </w:rPr>
        <w:t>2000</w:t>
      </w:r>
      <w:r w:rsidRPr="00494613">
        <w:rPr>
          <w:rFonts w:eastAsiaTheme="minorEastAsia"/>
          <w:kern w:val="0"/>
          <w:szCs w:val="21"/>
        </w:rPr>
        <w:t>×</w:t>
      </w:r>
      <w:r w:rsidRPr="00494613">
        <w:rPr>
          <w:rFonts w:eastAsiaTheme="minorEastAsia"/>
          <w:kern w:val="0"/>
          <w:szCs w:val="21"/>
        </w:rPr>
        <w:t>的</w:t>
      </w:r>
      <w:r w:rsidRPr="00494613">
        <w:rPr>
          <w:rFonts w:eastAsiaTheme="minorEastAsia" w:hint="eastAsia"/>
          <w:kern w:val="0"/>
          <w:szCs w:val="21"/>
        </w:rPr>
        <w:t>光学显微镜畸变的校准</w:t>
      </w:r>
      <w:r w:rsidRPr="00494613">
        <w:rPr>
          <w:rFonts w:eastAsiaTheme="minorEastAsia"/>
          <w:kern w:val="0"/>
          <w:szCs w:val="21"/>
        </w:rPr>
        <w:t>，</w:t>
      </w:r>
      <w:r w:rsidRPr="00494613">
        <w:rPr>
          <w:rFonts w:eastAsiaTheme="minorEastAsia" w:hint="eastAsia"/>
          <w:kern w:val="0"/>
          <w:szCs w:val="21"/>
        </w:rPr>
        <w:t>其他类型的光学显微镜可参照本规范进行校准</w:t>
      </w:r>
      <w:r w:rsidR="00322078">
        <w:rPr>
          <w:rFonts w:eastAsiaTheme="minorEastAsia" w:hint="eastAsia"/>
          <w:kern w:val="0"/>
          <w:szCs w:val="21"/>
        </w:rPr>
        <w:t>。</w:t>
      </w:r>
    </w:p>
    <w:p w:rsidR="00293085" w:rsidRDefault="007469CC">
      <w:pPr>
        <w:pStyle w:val="af2"/>
        <w:numPr>
          <w:ilvl w:val="0"/>
          <w:numId w:val="0"/>
        </w:numPr>
        <w:spacing w:beforeLines="0" w:afterLines="0" w:line="360" w:lineRule="auto"/>
        <w:rPr>
          <w:rFonts w:ascii="Times New Roman"/>
          <w:szCs w:val="21"/>
        </w:rPr>
      </w:pPr>
      <w:bookmarkStart w:id="17" w:name="_Toc193860178"/>
      <w:bookmarkStart w:id="18" w:name="_Toc193860028"/>
      <w:bookmarkStart w:id="19" w:name="_Toc193860209"/>
      <w:bookmarkStart w:id="20" w:name="_Toc500258930"/>
      <w:bookmarkStart w:id="21" w:name="_Toc7848_WPSOffice_Level1"/>
      <w:r>
        <w:rPr>
          <w:rFonts w:ascii="Times New Roman"/>
          <w:szCs w:val="21"/>
        </w:rPr>
        <w:t>2.2.2</w:t>
      </w:r>
      <w:r w:rsidR="00322078">
        <w:rPr>
          <w:rFonts w:ascii="Times New Roman" w:hint="eastAsia"/>
          <w:szCs w:val="21"/>
        </w:rPr>
        <w:t xml:space="preserve"> </w:t>
      </w:r>
      <w:r w:rsidR="00322078">
        <w:rPr>
          <w:rFonts w:ascii="Times New Roman" w:hint="eastAsia"/>
          <w:szCs w:val="21"/>
        </w:rPr>
        <w:t>引用文</w:t>
      </w:r>
      <w:bookmarkEnd w:id="17"/>
      <w:bookmarkEnd w:id="18"/>
      <w:bookmarkEnd w:id="19"/>
      <w:r w:rsidR="00322078">
        <w:rPr>
          <w:rFonts w:ascii="Times New Roman" w:hint="eastAsia"/>
          <w:szCs w:val="21"/>
        </w:rPr>
        <w:t>件</w:t>
      </w:r>
      <w:bookmarkEnd w:id="20"/>
      <w:bookmarkEnd w:id="21"/>
    </w:p>
    <w:p w:rsidR="00293085" w:rsidRDefault="00322078">
      <w:pPr>
        <w:spacing w:line="360" w:lineRule="auto"/>
        <w:ind w:firstLineChars="200" w:firstLine="420"/>
        <w:rPr>
          <w:rFonts w:eastAsiaTheme="minorEastAsia"/>
          <w:kern w:val="0"/>
          <w:szCs w:val="21"/>
        </w:rPr>
      </w:pPr>
      <w:r>
        <w:rPr>
          <w:rFonts w:eastAsiaTheme="minorEastAsia" w:hint="eastAsia"/>
          <w:kern w:val="0"/>
          <w:szCs w:val="21"/>
        </w:rPr>
        <w:t>本规范主要计量特性参数引自</w:t>
      </w:r>
      <w:r w:rsidR="00494613" w:rsidRPr="00494613">
        <w:rPr>
          <w:szCs w:val="21"/>
        </w:rPr>
        <w:t>JJF 1</w:t>
      </w:r>
      <w:r w:rsidR="00494613" w:rsidRPr="00494613">
        <w:rPr>
          <w:rFonts w:hint="eastAsia"/>
          <w:szCs w:val="21"/>
        </w:rPr>
        <w:t>914</w:t>
      </w:r>
      <w:r w:rsidR="00494613" w:rsidRPr="00494613">
        <w:rPr>
          <w:szCs w:val="21"/>
        </w:rPr>
        <w:t xml:space="preserve"> </w:t>
      </w:r>
      <w:r w:rsidR="00494613" w:rsidRPr="00494613">
        <w:rPr>
          <w:rFonts w:hint="eastAsia"/>
          <w:szCs w:val="21"/>
        </w:rPr>
        <w:t>金相</w:t>
      </w:r>
      <w:r w:rsidR="00494613" w:rsidRPr="00494613">
        <w:rPr>
          <w:szCs w:val="21"/>
        </w:rPr>
        <w:t>显微镜校准规范</w:t>
      </w:r>
      <w:r>
        <w:rPr>
          <w:rFonts w:eastAsiaTheme="minorEastAsia" w:hint="eastAsia"/>
          <w:kern w:val="0"/>
          <w:szCs w:val="21"/>
        </w:rPr>
        <w:t>。</w:t>
      </w:r>
    </w:p>
    <w:p w:rsidR="00293085" w:rsidRDefault="007469CC">
      <w:pPr>
        <w:pStyle w:val="af2"/>
        <w:numPr>
          <w:ilvl w:val="0"/>
          <w:numId w:val="0"/>
        </w:numPr>
        <w:spacing w:beforeLines="0" w:afterLines="0" w:line="360" w:lineRule="auto"/>
        <w:rPr>
          <w:rFonts w:ascii="Times New Roman"/>
          <w:szCs w:val="21"/>
        </w:rPr>
      </w:pPr>
      <w:bookmarkStart w:id="22" w:name="_Toc193619097"/>
      <w:bookmarkStart w:id="23" w:name="_Toc193618952"/>
      <w:bookmarkStart w:id="24" w:name="_Toc193619055"/>
      <w:bookmarkStart w:id="25" w:name="_Toc500258937"/>
      <w:bookmarkStart w:id="26" w:name="_Toc193860211"/>
      <w:bookmarkStart w:id="27" w:name="_Toc193860030"/>
      <w:bookmarkStart w:id="28" w:name="_Toc193860180"/>
      <w:bookmarkStart w:id="29" w:name="_Toc13054_WPSOffice_Level1"/>
      <w:r>
        <w:rPr>
          <w:rFonts w:ascii="Times New Roman"/>
          <w:szCs w:val="21"/>
        </w:rPr>
        <w:t>2.2.3</w:t>
      </w:r>
      <w:r w:rsidR="00322078">
        <w:rPr>
          <w:rFonts w:ascii="Times New Roman" w:hint="eastAsia"/>
          <w:szCs w:val="21"/>
        </w:rPr>
        <w:t xml:space="preserve"> </w:t>
      </w:r>
      <w:r w:rsidR="00322078">
        <w:rPr>
          <w:rFonts w:ascii="Times New Roman" w:hint="eastAsia"/>
          <w:szCs w:val="21"/>
        </w:rPr>
        <w:t>概述</w:t>
      </w:r>
      <w:bookmarkEnd w:id="22"/>
      <w:bookmarkEnd w:id="23"/>
      <w:bookmarkEnd w:id="24"/>
      <w:bookmarkEnd w:id="25"/>
      <w:bookmarkEnd w:id="26"/>
      <w:bookmarkEnd w:id="27"/>
      <w:bookmarkEnd w:id="28"/>
      <w:bookmarkEnd w:id="29"/>
    </w:p>
    <w:p w:rsidR="00293085" w:rsidRDefault="00494613" w:rsidP="00494613">
      <w:pPr>
        <w:autoSpaceDE w:val="0"/>
        <w:autoSpaceDN w:val="0"/>
        <w:adjustRightInd w:val="0"/>
        <w:spacing w:line="440" w:lineRule="exact"/>
        <w:ind w:firstLineChars="200" w:firstLine="420"/>
        <w:rPr>
          <w:rFonts w:eastAsiaTheme="minorEastAsia"/>
          <w:color w:val="FF0000"/>
          <w:kern w:val="0"/>
          <w:szCs w:val="21"/>
        </w:rPr>
      </w:pPr>
      <w:r w:rsidRPr="00494613">
        <w:rPr>
          <w:rFonts w:eastAsiaTheme="minorEastAsia" w:hint="eastAsia"/>
          <w:szCs w:val="21"/>
        </w:rPr>
        <w:t>光学显微镜是进行材料微观检测分析的重要设备，由物镜、中间透镜和目镜组成，其总放大倍率一般小于</w:t>
      </w:r>
      <w:r w:rsidRPr="00494613">
        <w:rPr>
          <w:rFonts w:eastAsiaTheme="minorEastAsia" w:hint="eastAsia"/>
          <w:szCs w:val="21"/>
        </w:rPr>
        <w:t>2000</w:t>
      </w:r>
      <w:r w:rsidRPr="00494613">
        <w:rPr>
          <w:rFonts w:eastAsiaTheme="minorEastAsia" w:hint="eastAsia"/>
          <w:szCs w:val="21"/>
        </w:rPr>
        <w:t>×。由于透镜材料的特性或折射或反射表面的几何形状的原因，在光学显微镜中观察到的实际像与理想像的存在一定的像差，即光学显微镜的畸变。光学显微镜的畸变分为桶形畸变、枕形畸变和透视畸变</w:t>
      </w:r>
      <w:r w:rsidR="00322078" w:rsidRPr="00494613">
        <w:rPr>
          <w:rFonts w:eastAsiaTheme="minorEastAsia" w:hint="eastAsia"/>
          <w:szCs w:val="21"/>
        </w:rPr>
        <w:t>。</w:t>
      </w:r>
      <w:r w:rsidR="00322078">
        <w:rPr>
          <w:rFonts w:eastAsiaTheme="minorEastAsia"/>
          <w:color w:val="FF0000"/>
          <w:kern w:val="0"/>
          <w:szCs w:val="21"/>
        </w:rPr>
        <w:t xml:space="preserve"> </w:t>
      </w:r>
    </w:p>
    <w:p w:rsidR="00293085" w:rsidRDefault="007469CC">
      <w:pPr>
        <w:pStyle w:val="af2"/>
        <w:numPr>
          <w:ilvl w:val="0"/>
          <w:numId w:val="0"/>
        </w:numPr>
        <w:spacing w:before="156" w:afterLines="0" w:line="360" w:lineRule="auto"/>
        <w:rPr>
          <w:rFonts w:ascii="Times New Roman"/>
          <w:szCs w:val="21"/>
        </w:rPr>
      </w:pPr>
      <w:bookmarkStart w:id="30" w:name="_Toc193860181"/>
      <w:bookmarkStart w:id="31" w:name="_Toc193618953"/>
      <w:bookmarkStart w:id="32" w:name="_Toc193860031"/>
      <w:bookmarkStart w:id="33" w:name="_Toc19851_WPSOffice_Level1"/>
      <w:bookmarkStart w:id="34" w:name="_Toc193860212"/>
      <w:bookmarkStart w:id="35" w:name="_Toc193619056"/>
      <w:bookmarkStart w:id="36" w:name="_Toc500258938"/>
      <w:bookmarkStart w:id="37" w:name="_Toc193619098"/>
      <w:r>
        <w:rPr>
          <w:rFonts w:ascii="Times New Roman"/>
          <w:szCs w:val="21"/>
        </w:rPr>
        <w:t>2.2.4</w:t>
      </w:r>
      <w:r w:rsidR="00322078">
        <w:rPr>
          <w:rFonts w:ascii="Times New Roman" w:hint="eastAsia"/>
          <w:szCs w:val="21"/>
        </w:rPr>
        <w:t>计量特性</w:t>
      </w:r>
      <w:bookmarkEnd w:id="30"/>
      <w:bookmarkEnd w:id="31"/>
      <w:bookmarkEnd w:id="32"/>
      <w:bookmarkEnd w:id="33"/>
      <w:bookmarkEnd w:id="34"/>
      <w:bookmarkEnd w:id="35"/>
      <w:bookmarkEnd w:id="36"/>
      <w:bookmarkEnd w:id="37"/>
    </w:p>
    <w:p w:rsidR="004C6E7F" w:rsidRDefault="004C6E7F" w:rsidP="004C6E7F">
      <w:pPr>
        <w:spacing w:line="400" w:lineRule="exact"/>
        <w:rPr>
          <w:rFonts w:eastAsiaTheme="minorEastAsia"/>
          <w:sz w:val="24"/>
        </w:rPr>
      </w:pPr>
      <w:bookmarkStart w:id="38" w:name="_Toc25829_WPSOffice_Level1"/>
      <w:r>
        <w:rPr>
          <w:rFonts w:eastAsiaTheme="minorEastAsia" w:hint="eastAsia"/>
          <w:sz w:val="24"/>
        </w:rPr>
        <w:t>显微镜总放大倍数</w:t>
      </w:r>
      <w:r w:rsidRPr="00645C7D">
        <w:rPr>
          <w:position w:val="-12"/>
        </w:rPr>
        <w:object w:dxaOrig="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8.85pt" o:ole="">
            <v:imagedata r:id="rId10" o:title=""/>
          </v:shape>
          <o:OLEObject Type="Embed" ProgID="Equation.3" ShapeID="_x0000_i1025" DrawAspect="Content" ObjectID="_1749621276" r:id="rId11"/>
        </w:object>
      </w:r>
    </w:p>
    <w:p w:rsidR="004C6E7F" w:rsidRDefault="004C6E7F" w:rsidP="004C6E7F">
      <w:pPr>
        <w:spacing w:line="400" w:lineRule="exact"/>
        <w:ind w:firstLineChars="200" w:firstLine="480"/>
        <w:rPr>
          <w:rFonts w:eastAsiaTheme="minorEastAsia"/>
          <w:sz w:val="24"/>
        </w:rPr>
      </w:pPr>
      <w:r>
        <w:rPr>
          <w:rFonts w:eastAsiaTheme="minorEastAsia" w:hint="eastAsia"/>
          <w:sz w:val="24"/>
        </w:rPr>
        <w:t>总放大倍数误差为</w:t>
      </w:r>
      <w:r w:rsidRPr="00C35FCB">
        <w:rPr>
          <w:rFonts w:eastAsiaTheme="minorEastAsia"/>
          <w:kern w:val="0"/>
          <w:sz w:val="24"/>
        </w:rPr>
        <w:t>±</w:t>
      </w:r>
      <w:r>
        <w:rPr>
          <w:rFonts w:eastAsiaTheme="minorEastAsia" w:hint="eastAsia"/>
          <w:kern w:val="0"/>
          <w:sz w:val="24"/>
        </w:rPr>
        <w:t xml:space="preserve">5 </w:t>
      </w:r>
      <w:r w:rsidRPr="00C35FCB">
        <w:rPr>
          <w:rFonts w:eastAsiaTheme="minorEastAsia" w:hint="eastAsia"/>
          <w:kern w:val="0"/>
          <w:sz w:val="24"/>
        </w:rPr>
        <w:t>%</w:t>
      </w:r>
      <w:r>
        <w:rPr>
          <w:rFonts w:eastAsiaTheme="minorEastAsia" w:hint="eastAsia"/>
          <w:kern w:val="0"/>
          <w:sz w:val="24"/>
        </w:rPr>
        <w:t>。</w:t>
      </w:r>
    </w:p>
    <w:p w:rsidR="004C6E7F" w:rsidRPr="00C35FCB" w:rsidRDefault="004C6E7F" w:rsidP="004C6E7F">
      <w:pPr>
        <w:spacing w:line="400" w:lineRule="exact"/>
        <w:rPr>
          <w:rFonts w:eastAsiaTheme="minorEastAsia"/>
          <w:sz w:val="24"/>
        </w:rPr>
      </w:pPr>
      <w:r w:rsidRPr="00C35FCB">
        <w:rPr>
          <w:rFonts w:eastAsiaTheme="minorEastAsia" w:hint="eastAsia"/>
          <w:sz w:val="24"/>
        </w:rPr>
        <w:t>相对畸变</w:t>
      </w:r>
      <w:r w:rsidRPr="00E26F41">
        <w:rPr>
          <w:rFonts w:eastAsiaTheme="minorEastAsia" w:hint="eastAsia"/>
          <w:i/>
          <w:iCs/>
          <w:kern w:val="0"/>
          <w:sz w:val="24"/>
        </w:rPr>
        <w:t>q</w:t>
      </w:r>
    </w:p>
    <w:p w:rsidR="004C6E7F" w:rsidRDefault="004C6E7F" w:rsidP="004C6E7F">
      <w:pPr>
        <w:spacing w:line="400" w:lineRule="exact"/>
        <w:ind w:firstLineChars="200" w:firstLine="480"/>
        <w:rPr>
          <w:rFonts w:eastAsiaTheme="minorEastAsia"/>
          <w:kern w:val="0"/>
          <w:sz w:val="24"/>
        </w:rPr>
      </w:pPr>
      <w:r w:rsidRPr="00C35FCB">
        <w:rPr>
          <w:rFonts w:eastAsiaTheme="minorEastAsia"/>
          <w:kern w:val="0"/>
          <w:sz w:val="24"/>
        </w:rPr>
        <w:t>光学显微镜</w:t>
      </w:r>
      <w:r w:rsidRPr="00C35FCB">
        <w:rPr>
          <w:rFonts w:eastAsiaTheme="minorEastAsia" w:hint="eastAsia"/>
          <w:kern w:val="0"/>
          <w:sz w:val="24"/>
        </w:rPr>
        <w:t>相对</w:t>
      </w:r>
      <w:r w:rsidRPr="00C35FCB">
        <w:rPr>
          <w:rFonts w:eastAsiaTheme="minorEastAsia"/>
          <w:kern w:val="0"/>
          <w:sz w:val="24"/>
        </w:rPr>
        <w:t>畸变的</w:t>
      </w:r>
      <w:r w:rsidRPr="00C35FCB">
        <w:rPr>
          <w:rFonts w:eastAsiaTheme="minorEastAsia" w:hint="eastAsia"/>
          <w:kern w:val="0"/>
          <w:sz w:val="24"/>
        </w:rPr>
        <w:t>最大</w:t>
      </w:r>
      <w:r w:rsidRPr="00C35FCB">
        <w:rPr>
          <w:rFonts w:eastAsiaTheme="minorEastAsia"/>
          <w:kern w:val="0"/>
          <w:sz w:val="24"/>
        </w:rPr>
        <w:t>允许误差</w:t>
      </w:r>
      <w:r w:rsidRPr="00C35FCB">
        <w:rPr>
          <w:rFonts w:eastAsiaTheme="minorEastAsia" w:hint="eastAsia"/>
          <w:kern w:val="0"/>
          <w:sz w:val="24"/>
        </w:rPr>
        <w:t>为</w:t>
      </w:r>
      <w:r w:rsidRPr="00C35FCB">
        <w:rPr>
          <w:rFonts w:eastAsiaTheme="minorEastAsia"/>
          <w:kern w:val="0"/>
          <w:sz w:val="24"/>
        </w:rPr>
        <w:t>±</w:t>
      </w:r>
      <w:r w:rsidRPr="00C35FCB">
        <w:rPr>
          <w:rFonts w:eastAsiaTheme="minorEastAsia" w:hint="eastAsia"/>
          <w:kern w:val="0"/>
          <w:sz w:val="24"/>
        </w:rPr>
        <w:t>4%</w:t>
      </w:r>
      <w:r w:rsidRPr="00C35FCB">
        <w:rPr>
          <w:rFonts w:eastAsiaTheme="minorEastAsia" w:hint="eastAsia"/>
          <w:kern w:val="0"/>
          <w:sz w:val="24"/>
        </w:rPr>
        <w:t>。</w:t>
      </w:r>
    </w:p>
    <w:p w:rsidR="00293085" w:rsidRDefault="007469CC">
      <w:pPr>
        <w:pStyle w:val="af2"/>
        <w:numPr>
          <w:ilvl w:val="0"/>
          <w:numId w:val="0"/>
        </w:numPr>
        <w:spacing w:before="156" w:after="156" w:line="360" w:lineRule="auto"/>
        <w:rPr>
          <w:rFonts w:ascii="Times New Roman"/>
          <w:szCs w:val="21"/>
        </w:rPr>
      </w:pPr>
      <w:r>
        <w:rPr>
          <w:rFonts w:ascii="Times New Roman"/>
          <w:szCs w:val="21"/>
        </w:rPr>
        <w:t>2.2.5</w:t>
      </w:r>
      <w:r w:rsidR="00322078">
        <w:rPr>
          <w:rFonts w:ascii="Times New Roman" w:hint="eastAsia"/>
          <w:szCs w:val="21"/>
        </w:rPr>
        <w:t xml:space="preserve"> </w:t>
      </w:r>
      <w:r w:rsidR="00322078">
        <w:rPr>
          <w:rFonts w:ascii="Times New Roman" w:hint="eastAsia"/>
          <w:szCs w:val="21"/>
        </w:rPr>
        <w:t>校准条件</w:t>
      </w:r>
      <w:bookmarkStart w:id="39" w:name="_Toc193860033"/>
      <w:bookmarkStart w:id="40" w:name="_Toc193860183"/>
      <w:bookmarkStart w:id="41" w:name="_Toc193860214"/>
      <w:bookmarkStart w:id="42" w:name="_Toc500258942"/>
      <w:bookmarkEnd w:id="38"/>
    </w:p>
    <w:p w:rsidR="00293085" w:rsidRDefault="00322078">
      <w:pPr>
        <w:spacing w:line="360" w:lineRule="auto"/>
        <w:ind w:firstLineChars="200" w:firstLine="420"/>
        <w:rPr>
          <w:rFonts w:eastAsiaTheme="minorEastAsia"/>
          <w:szCs w:val="21"/>
        </w:rPr>
      </w:pPr>
      <w:r>
        <w:rPr>
          <w:rFonts w:eastAsiaTheme="minorEastAsia" w:hint="eastAsia"/>
          <w:szCs w:val="21"/>
        </w:rPr>
        <w:t>校准前，实验室环境条件温度、湿度、温度波动度应满足要求，测量标准和被校仪器同时置于仪器工作台上，平衡温度一定时间。</w:t>
      </w:r>
    </w:p>
    <w:p w:rsidR="00293085" w:rsidRDefault="007469CC">
      <w:pPr>
        <w:pStyle w:val="af2"/>
        <w:numPr>
          <w:ilvl w:val="0"/>
          <w:numId w:val="0"/>
        </w:numPr>
        <w:spacing w:before="156" w:after="156" w:line="360" w:lineRule="auto"/>
        <w:rPr>
          <w:rFonts w:ascii="Times New Roman"/>
          <w:szCs w:val="21"/>
        </w:rPr>
      </w:pPr>
      <w:bookmarkStart w:id="43" w:name="_Toc193618955"/>
      <w:bookmarkStart w:id="44" w:name="_Toc193619058"/>
      <w:bookmarkStart w:id="45" w:name="_Toc193619100"/>
      <w:bookmarkStart w:id="46" w:name="_Toc193860185"/>
      <w:bookmarkStart w:id="47" w:name="_Toc193860035"/>
      <w:bookmarkStart w:id="48" w:name="_Toc193860216"/>
      <w:bookmarkStart w:id="49" w:name="_Toc500258944"/>
      <w:bookmarkStart w:id="50" w:name="_Toc2741_WPSOffice_Level1"/>
      <w:bookmarkEnd w:id="39"/>
      <w:bookmarkEnd w:id="40"/>
      <w:bookmarkEnd w:id="41"/>
      <w:bookmarkEnd w:id="42"/>
      <w:r>
        <w:rPr>
          <w:rFonts w:ascii="Times New Roman"/>
          <w:szCs w:val="21"/>
        </w:rPr>
        <w:t>2.2.6</w:t>
      </w:r>
      <w:r w:rsidR="00322078">
        <w:rPr>
          <w:rFonts w:ascii="Times New Roman" w:hint="eastAsia"/>
          <w:szCs w:val="21"/>
        </w:rPr>
        <w:t>校准项目和校准方法</w:t>
      </w:r>
      <w:bookmarkEnd w:id="43"/>
      <w:bookmarkEnd w:id="44"/>
      <w:bookmarkEnd w:id="45"/>
      <w:bookmarkEnd w:id="46"/>
      <w:bookmarkEnd w:id="47"/>
      <w:bookmarkEnd w:id="48"/>
      <w:bookmarkEnd w:id="49"/>
      <w:bookmarkEnd w:id="50"/>
    </w:p>
    <w:p w:rsidR="00293085" w:rsidRDefault="00322078">
      <w:pPr>
        <w:spacing w:line="360" w:lineRule="auto"/>
        <w:ind w:firstLineChars="200" w:firstLine="420"/>
        <w:rPr>
          <w:rFonts w:eastAsiaTheme="minorEastAsia"/>
          <w:kern w:val="0"/>
          <w:szCs w:val="21"/>
        </w:rPr>
      </w:pPr>
      <w:bookmarkStart w:id="51" w:name="_Toc22718_WPSOffice_Level2"/>
      <w:bookmarkStart w:id="52" w:name="_Toc500258945"/>
      <w:r>
        <w:rPr>
          <w:rFonts w:hint="eastAsia"/>
          <w:kern w:val="0"/>
          <w:szCs w:val="21"/>
        </w:rPr>
        <w:t>校准项目包含</w:t>
      </w:r>
      <w:r w:rsidR="00BE27C0" w:rsidRPr="00494613">
        <w:rPr>
          <w:rFonts w:eastAsiaTheme="minorEastAsia" w:hint="eastAsia"/>
          <w:szCs w:val="21"/>
        </w:rPr>
        <w:t>显微镜目镜观察图像上的特定方向的相对畸变</w:t>
      </w:r>
      <w:r w:rsidR="00BE27C0" w:rsidRPr="00BE27C0">
        <w:rPr>
          <w:rFonts w:eastAsiaTheme="minorEastAsia" w:hint="eastAsia"/>
          <w:i/>
          <w:szCs w:val="21"/>
        </w:rPr>
        <w:t>q</w:t>
      </w:r>
      <w:r w:rsidR="004C6E7F">
        <w:rPr>
          <w:rFonts w:eastAsiaTheme="minorEastAsia" w:hint="eastAsia"/>
          <w:szCs w:val="21"/>
        </w:rPr>
        <w:t>；显微镜总放大倍数</w:t>
      </w:r>
      <w:r>
        <w:rPr>
          <w:rFonts w:eastAsiaTheme="minorEastAsia" w:hint="eastAsia"/>
          <w:kern w:val="0"/>
          <w:szCs w:val="21"/>
        </w:rPr>
        <w:t>以及具体的校准方法。</w:t>
      </w:r>
    </w:p>
    <w:p w:rsidR="00293085" w:rsidRDefault="007469CC">
      <w:pPr>
        <w:pStyle w:val="af2"/>
        <w:numPr>
          <w:ilvl w:val="0"/>
          <w:numId w:val="0"/>
        </w:numPr>
        <w:spacing w:before="156" w:after="156"/>
        <w:rPr>
          <w:rFonts w:ascii="Times New Roman"/>
          <w:szCs w:val="21"/>
        </w:rPr>
      </w:pPr>
      <w:bookmarkStart w:id="53" w:name="_Toc193619059"/>
      <w:bookmarkStart w:id="54" w:name="_Toc193860188"/>
      <w:bookmarkStart w:id="55" w:name="_Toc193619101"/>
      <w:bookmarkStart w:id="56" w:name="_Toc193860038"/>
      <w:bookmarkStart w:id="57" w:name="_Toc193618956"/>
      <w:bookmarkStart w:id="58" w:name="_Toc193860219"/>
      <w:bookmarkStart w:id="59" w:name="_Toc25466_WPSOffice_Level1"/>
      <w:bookmarkStart w:id="60" w:name="_Toc500258947"/>
      <w:bookmarkEnd w:id="51"/>
      <w:bookmarkEnd w:id="52"/>
      <w:r>
        <w:rPr>
          <w:rFonts w:ascii="Times New Roman"/>
          <w:szCs w:val="21"/>
        </w:rPr>
        <w:t>2.2.7</w:t>
      </w:r>
      <w:r w:rsidR="00322078">
        <w:rPr>
          <w:rFonts w:ascii="Times New Roman" w:hint="eastAsia"/>
          <w:szCs w:val="21"/>
        </w:rPr>
        <w:t>校准结果</w:t>
      </w:r>
      <w:bookmarkEnd w:id="53"/>
      <w:bookmarkEnd w:id="54"/>
      <w:bookmarkEnd w:id="55"/>
      <w:bookmarkEnd w:id="56"/>
      <w:bookmarkEnd w:id="57"/>
      <w:bookmarkEnd w:id="58"/>
      <w:r w:rsidR="00322078">
        <w:rPr>
          <w:rFonts w:ascii="Times New Roman" w:hint="eastAsia"/>
          <w:szCs w:val="21"/>
        </w:rPr>
        <w:t>表达</w:t>
      </w:r>
      <w:bookmarkEnd w:id="59"/>
      <w:bookmarkEnd w:id="60"/>
    </w:p>
    <w:p w:rsidR="00293085" w:rsidRDefault="00322078">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根据实验室环境要求、校准项目校准结果、测量不确定度评定结果等，按照推荐的校准报告格式，出具校准证书。</w:t>
      </w:r>
    </w:p>
    <w:p w:rsidR="00293085" w:rsidRDefault="007469CC">
      <w:pPr>
        <w:pStyle w:val="af2"/>
        <w:numPr>
          <w:ilvl w:val="0"/>
          <w:numId w:val="0"/>
        </w:numPr>
        <w:spacing w:before="156" w:after="156"/>
        <w:rPr>
          <w:rFonts w:ascii="Times New Roman"/>
          <w:szCs w:val="21"/>
        </w:rPr>
      </w:pPr>
      <w:bookmarkStart w:id="61" w:name="_Toc193860040"/>
      <w:bookmarkStart w:id="62" w:name="_Toc5529"/>
      <w:bookmarkStart w:id="63" w:name="_Toc193860220"/>
      <w:bookmarkStart w:id="64" w:name="_Toc193860189"/>
      <w:bookmarkStart w:id="65" w:name="_Toc14803_WPSOffice_Level1"/>
      <w:bookmarkStart w:id="66" w:name="_Toc193860041"/>
      <w:r>
        <w:rPr>
          <w:rFonts w:ascii="Times New Roman"/>
          <w:szCs w:val="21"/>
        </w:rPr>
        <w:t>2.2.8</w:t>
      </w:r>
      <w:r w:rsidR="00322078">
        <w:rPr>
          <w:rFonts w:ascii="Times New Roman" w:hint="eastAsia"/>
          <w:szCs w:val="21"/>
        </w:rPr>
        <w:t xml:space="preserve"> </w:t>
      </w:r>
      <w:r w:rsidR="00322078">
        <w:rPr>
          <w:rFonts w:ascii="Times New Roman" w:hint="eastAsia"/>
          <w:szCs w:val="21"/>
        </w:rPr>
        <w:t>复校</w:t>
      </w:r>
      <w:bookmarkEnd w:id="61"/>
      <w:bookmarkEnd w:id="62"/>
      <w:bookmarkEnd w:id="63"/>
      <w:bookmarkEnd w:id="64"/>
      <w:bookmarkEnd w:id="65"/>
      <w:r w:rsidR="00322078">
        <w:rPr>
          <w:rFonts w:ascii="Times New Roman" w:hint="eastAsia"/>
          <w:szCs w:val="21"/>
        </w:rPr>
        <w:t>时间间隔</w:t>
      </w:r>
    </w:p>
    <w:bookmarkEnd w:id="66"/>
    <w:p w:rsidR="00293085" w:rsidRDefault="00322078">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建议复校时间间隔为</w:t>
      </w:r>
      <w:r>
        <w:rPr>
          <w:rFonts w:ascii="Times New Roman" w:eastAsiaTheme="minorEastAsia" w:hAnsi="Times New Roman"/>
          <w:kern w:val="2"/>
          <w:szCs w:val="21"/>
        </w:rPr>
        <w:t>1</w:t>
      </w:r>
      <w:r>
        <w:rPr>
          <w:rFonts w:ascii="Times New Roman" w:eastAsiaTheme="minorEastAsia" w:hAnsi="Times New Roman" w:hint="eastAsia"/>
          <w:kern w:val="2"/>
          <w:szCs w:val="21"/>
        </w:rPr>
        <w:t>年。标定器使用频繁时应适当缩短周期，在使用过程中标定器经过修理、更换重要部件的应重新校准。</w:t>
      </w:r>
    </w:p>
    <w:p w:rsidR="00293085" w:rsidRDefault="007469CC">
      <w:pPr>
        <w:pStyle w:val="af2"/>
        <w:numPr>
          <w:ilvl w:val="0"/>
          <w:numId w:val="0"/>
        </w:numPr>
        <w:spacing w:before="156" w:after="156"/>
        <w:rPr>
          <w:rFonts w:ascii="Times New Roman"/>
          <w:szCs w:val="21"/>
        </w:rPr>
      </w:pPr>
      <w:r>
        <w:rPr>
          <w:rFonts w:ascii="Times New Roman"/>
          <w:szCs w:val="21"/>
        </w:rPr>
        <w:t>2.2.9</w:t>
      </w:r>
      <w:r w:rsidR="00322078">
        <w:rPr>
          <w:rFonts w:ascii="Times New Roman" w:hint="eastAsia"/>
          <w:szCs w:val="21"/>
        </w:rPr>
        <w:t>附录</w:t>
      </w:r>
    </w:p>
    <w:p w:rsidR="00293085" w:rsidRDefault="00322078">
      <w:pPr>
        <w:pStyle w:val="afff4"/>
        <w:spacing w:line="360" w:lineRule="auto"/>
        <w:ind w:firstLine="420"/>
        <w:rPr>
          <w:rFonts w:ascii="Times New Roman" w:eastAsiaTheme="minorEastAsia" w:hAnsi="Times New Roman"/>
          <w:kern w:val="2"/>
          <w:szCs w:val="21"/>
        </w:rPr>
      </w:pPr>
      <w:r>
        <w:rPr>
          <w:rFonts w:ascii="Times New Roman" w:eastAsiaTheme="minorEastAsia" w:hAnsi="Times New Roman" w:hint="eastAsia"/>
          <w:kern w:val="2"/>
          <w:szCs w:val="21"/>
        </w:rPr>
        <w:t>附录主要包含校准原始记录参考格式、校准证书内页参考格式、</w:t>
      </w:r>
      <w:r w:rsidR="00BE27C0" w:rsidRPr="00BE27C0">
        <w:rPr>
          <w:rFonts w:ascii="Times New Roman" w:eastAsiaTheme="minorEastAsia" w:hAnsi="Times New Roman" w:hint="eastAsia"/>
          <w:kern w:val="2"/>
          <w:szCs w:val="21"/>
        </w:rPr>
        <w:t>显微镜畸变</w:t>
      </w:r>
      <w:proofErr w:type="gramStart"/>
      <w:r w:rsidR="00BE27C0" w:rsidRPr="00BE27C0">
        <w:rPr>
          <w:rFonts w:ascii="Times New Roman" w:eastAsiaTheme="minorEastAsia" w:hAnsi="Times New Roman" w:hint="eastAsia"/>
          <w:kern w:val="2"/>
          <w:szCs w:val="21"/>
        </w:rPr>
        <w:t>测量结果</w:t>
      </w:r>
      <w:r w:rsidR="00BE27C0">
        <w:rPr>
          <w:rFonts w:ascii="Times New Roman" w:eastAsiaTheme="minorEastAsia" w:hAnsi="Times New Roman" w:hint="eastAsia"/>
          <w:kern w:val="2"/>
          <w:szCs w:val="21"/>
        </w:rPr>
        <w:t>测量结果</w:t>
      </w:r>
      <w:proofErr w:type="gramEnd"/>
      <w:r w:rsidR="00BE27C0">
        <w:rPr>
          <w:rFonts w:ascii="Times New Roman" w:eastAsiaTheme="minorEastAsia" w:hAnsi="Times New Roman" w:hint="eastAsia"/>
          <w:kern w:val="2"/>
          <w:szCs w:val="21"/>
        </w:rPr>
        <w:t>不确定度评定示例</w:t>
      </w:r>
      <w:r>
        <w:rPr>
          <w:rFonts w:ascii="Times New Roman" w:eastAsiaTheme="minorEastAsia" w:hAnsi="Times New Roman" w:hint="eastAsia"/>
          <w:kern w:val="2"/>
          <w:szCs w:val="21"/>
        </w:rPr>
        <w:t>。</w:t>
      </w:r>
    </w:p>
    <w:p w:rsidR="00293085" w:rsidRDefault="00322078">
      <w:pPr>
        <w:pStyle w:val="afffa"/>
        <w:numPr>
          <w:ilvl w:val="0"/>
          <w:numId w:val="11"/>
        </w:numPr>
        <w:tabs>
          <w:tab w:val="left" w:pos="426"/>
        </w:tabs>
        <w:spacing w:beforeLines="100" w:before="312" w:afterLines="100" w:after="312"/>
        <w:ind w:left="420" w:hangingChars="200"/>
        <w:jc w:val="left"/>
      </w:pPr>
      <w:bookmarkStart w:id="67" w:name="_Toc464728965"/>
      <w:bookmarkEnd w:id="1"/>
      <w:bookmarkEnd w:id="16"/>
      <w:r>
        <w:rPr>
          <w:rFonts w:hint="eastAsia"/>
        </w:rPr>
        <w:t>规范水平分析</w:t>
      </w:r>
      <w:bookmarkEnd w:id="67"/>
    </w:p>
    <w:p w:rsidR="00293085" w:rsidRPr="007469CC" w:rsidRDefault="00322078" w:rsidP="007469CC">
      <w:pPr>
        <w:adjustRightInd w:val="0"/>
        <w:spacing w:line="360" w:lineRule="auto"/>
        <w:ind w:firstLineChars="200" w:firstLine="420"/>
        <w:rPr>
          <w:rFonts w:ascii="宋体" w:hAnsi="宋体"/>
          <w:bCs/>
          <w:szCs w:val="21"/>
        </w:rPr>
      </w:pPr>
      <w:r>
        <w:rPr>
          <w:rFonts w:ascii="宋体" w:hAnsi="宋体" w:hint="eastAsia"/>
          <w:bCs/>
          <w:szCs w:val="21"/>
        </w:rPr>
        <w:t>据查，目前国内外没有针对</w:t>
      </w:r>
      <w:r w:rsidR="00BE27C0">
        <w:rPr>
          <w:rFonts w:ascii="宋体" w:hAnsi="宋体" w:hint="eastAsia"/>
          <w:bCs/>
          <w:szCs w:val="21"/>
        </w:rPr>
        <w:t>光学</w:t>
      </w:r>
      <w:r w:rsidR="00BE27C0" w:rsidRPr="00BE27C0">
        <w:rPr>
          <w:rFonts w:eastAsiaTheme="minorEastAsia" w:hint="eastAsia"/>
          <w:szCs w:val="21"/>
        </w:rPr>
        <w:t>显微镜畸变</w:t>
      </w:r>
      <w:r>
        <w:rPr>
          <w:rFonts w:ascii="宋体" w:hAnsi="宋体" w:hint="eastAsia"/>
          <w:bCs/>
          <w:szCs w:val="21"/>
        </w:rPr>
        <w:t>的校准规范，计量检测机构也未开展该类仪器</w:t>
      </w:r>
      <w:r w:rsidR="00BE27C0">
        <w:rPr>
          <w:rFonts w:ascii="宋体" w:hAnsi="宋体" w:hint="eastAsia"/>
          <w:bCs/>
          <w:szCs w:val="21"/>
        </w:rPr>
        <w:t>项目</w:t>
      </w:r>
      <w:r>
        <w:rPr>
          <w:rFonts w:ascii="宋体" w:hAnsi="宋体" w:hint="eastAsia"/>
          <w:bCs/>
          <w:szCs w:val="21"/>
        </w:rPr>
        <w:t>的检定校准。目前国外没有相关技术规范，本规范水平达到国外先进水平。</w:t>
      </w:r>
    </w:p>
    <w:p w:rsidR="00293085" w:rsidRDefault="00322078">
      <w:pPr>
        <w:pStyle w:val="afffa"/>
        <w:numPr>
          <w:ilvl w:val="0"/>
          <w:numId w:val="11"/>
        </w:numPr>
        <w:tabs>
          <w:tab w:val="left" w:pos="426"/>
        </w:tabs>
        <w:spacing w:beforeLines="100" w:before="312" w:afterLines="100" w:after="312"/>
        <w:ind w:left="420" w:hangingChars="200"/>
        <w:jc w:val="left"/>
      </w:pPr>
      <w:r>
        <w:rPr>
          <w:rFonts w:hAnsi="宋体" w:hint="eastAsia"/>
          <w:bCs/>
          <w:szCs w:val="21"/>
        </w:rPr>
        <w:t>与有关的现行法律、法规和强制性国家标准的关系</w:t>
      </w:r>
    </w:p>
    <w:p w:rsidR="00293085" w:rsidRDefault="00322078">
      <w:pPr>
        <w:pStyle w:val="afff4"/>
        <w:spacing w:line="300"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rsidR="00293085" w:rsidRDefault="00322078">
      <w:pPr>
        <w:pStyle w:val="afffa"/>
        <w:numPr>
          <w:ilvl w:val="0"/>
          <w:numId w:val="11"/>
        </w:numPr>
        <w:tabs>
          <w:tab w:val="left" w:pos="426"/>
        </w:tabs>
        <w:spacing w:beforeLines="100" w:before="312" w:afterLines="100" w:after="312"/>
        <w:ind w:left="420" w:hangingChars="200"/>
        <w:jc w:val="left"/>
      </w:pPr>
      <w:bookmarkStart w:id="68" w:name="_Toc464728973"/>
      <w:r>
        <w:rPr>
          <w:rFonts w:hint="eastAsia"/>
        </w:rPr>
        <w:t>规范中涉及的专利或知识产权说明</w:t>
      </w:r>
      <w:bookmarkEnd w:id="68"/>
    </w:p>
    <w:p w:rsidR="00293085" w:rsidRDefault="00322078">
      <w:pPr>
        <w:pStyle w:val="afff4"/>
        <w:spacing w:line="300" w:lineRule="auto"/>
        <w:ind w:firstLineChars="0"/>
        <w:contextualSpacing/>
        <w:rPr>
          <w:szCs w:val="21"/>
        </w:rPr>
      </w:pPr>
      <w:bookmarkStart w:id="69" w:name="_Toc464728974"/>
      <w:r>
        <w:rPr>
          <w:rFonts w:hint="eastAsia"/>
          <w:szCs w:val="21"/>
        </w:rPr>
        <w:t>（无）</w:t>
      </w:r>
    </w:p>
    <w:p w:rsidR="00293085" w:rsidRDefault="00322078">
      <w:pPr>
        <w:pStyle w:val="afffa"/>
        <w:numPr>
          <w:ilvl w:val="0"/>
          <w:numId w:val="11"/>
        </w:numPr>
        <w:tabs>
          <w:tab w:val="left" w:pos="426"/>
        </w:tabs>
        <w:spacing w:beforeLines="100" w:before="312" w:afterLines="100" w:after="312"/>
        <w:ind w:left="420" w:hangingChars="200"/>
        <w:jc w:val="left"/>
      </w:pPr>
      <w:r>
        <w:rPr>
          <w:rFonts w:hint="eastAsia"/>
        </w:rPr>
        <w:t>重大分歧意见的处理经过和依据</w:t>
      </w:r>
      <w:bookmarkEnd w:id="69"/>
    </w:p>
    <w:p w:rsidR="00293085" w:rsidRDefault="00322078">
      <w:pPr>
        <w:pStyle w:val="afff4"/>
        <w:spacing w:line="300" w:lineRule="auto"/>
        <w:ind w:firstLine="420"/>
        <w:contextualSpacing/>
        <w:rPr>
          <w:szCs w:val="21"/>
        </w:rPr>
      </w:pPr>
      <w:r>
        <w:rPr>
          <w:rFonts w:hint="eastAsia"/>
          <w:szCs w:val="21"/>
        </w:rPr>
        <w:t>（无）</w:t>
      </w:r>
    </w:p>
    <w:p w:rsidR="00293085" w:rsidRDefault="00322078">
      <w:pPr>
        <w:pStyle w:val="afffa"/>
        <w:numPr>
          <w:ilvl w:val="0"/>
          <w:numId w:val="11"/>
        </w:numPr>
        <w:tabs>
          <w:tab w:val="left" w:pos="426"/>
        </w:tabs>
        <w:spacing w:beforeLines="100" w:before="312" w:afterLines="100" w:after="312"/>
        <w:ind w:left="420" w:hangingChars="200"/>
        <w:jc w:val="left"/>
      </w:pPr>
      <w:r>
        <w:rPr>
          <w:rFonts w:hint="eastAsia"/>
        </w:rPr>
        <w:t>规范作为强制性或推荐性国家（或行业）标准的建议</w:t>
      </w:r>
    </w:p>
    <w:p w:rsidR="00293085" w:rsidRDefault="00322078">
      <w:pPr>
        <w:adjustRightInd w:val="0"/>
        <w:spacing w:line="360" w:lineRule="auto"/>
        <w:ind w:firstLineChars="200" w:firstLine="420"/>
        <w:rPr>
          <w:rFonts w:hAnsi="宋体"/>
          <w:bCs/>
          <w:szCs w:val="21"/>
        </w:rPr>
      </w:pPr>
      <w:r>
        <w:rPr>
          <w:rFonts w:hAnsi="宋体" w:hint="eastAsia"/>
          <w:bCs/>
          <w:szCs w:val="21"/>
        </w:rPr>
        <w:t>建议本规范作为推荐性行业计量技术规范，供相关行业参考采用。</w:t>
      </w:r>
    </w:p>
    <w:p w:rsidR="00293085" w:rsidRDefault="00322078">
      <w:pPr>
        <w:pStyle w:val="afffa"/>
        <w:numPr>
          <w:ilvl w:val="0"/>
          <w:numId w:val="11"/>
        </w:numPr>
        <w:tabs>
          <w:tab w:val="left" w:pos="426"/>
        </w:tabs>
        <w:spacing w:beforeLines="100" w:before="312" w:afterLines="100" w:after="312"/>
        <w:ind w:left="420" w:hangingChars="200"/>
        <w:jc w:val="left"/>
      </w:pPr>
      <w:bookmarkStart w:id="70" w:name="_Toc464728976"/>
      <w:r>
        <w:rPr>
          <w:rFonts w:hint="eastAsia"/>
        </w:rPr>
        <w:t>贯彻规范的要求和措施建议</w:t>
      </w:r>
      <w:bookmarkEnd w:id="70"/>
    </w:p>
    <w:p w:rsidR="00293085" w:rsidRDefault="00322078">
      <w:pPr>
        <w:pStyle w:val="afff4"/>
        <w:spacing w:line="300" w:lineRule="auto"/>
        <w:ind w:firstLine="420"/>
        <w:contextualSpacing/>
        <w:rPr>
          <w:szCs w:val="21"/>
        </w:rPr>
      </w:pPr>
      <w:r>
        <w:rPr>
          <w:rFonts w:hint="eastAsia"/>
          <w:szCs w:val="21"/>
        </w:rPr>
        <w:t>本规范发布后，中国有色金属行业协会和有色金属行业计量技术委员会应加强本规范的宣传力度，以促进我国企业的技术进步和产品质量上档次，提高我国产品在国际国内市场的竞争能力。</w:t>
      </w:r>
    </w:p>
    <w:p w:rsidR="00293085" w:rsidRDefault="00322078">
      <w:pPr>
        <w:pStyle w:val="afffa"/>
        <w:numPr>
          <w:ilvl w:val="0"/>
          <w:numId w:val="11"/>
        </w:numPr>
        <w:tabs>
          <w:tab w:val="left" w:pos="426"/>
        </w:tabs>
        <w:spacing w:beforeLines="100" w:before="312" w:afterLines="100" w:after="312"/>
        <w:ind w:left="420" w:hangingChars="200"/>
        <w:jc w:val="left"/>
      </w:pPr>
      <w:bookmarkStart w:id="71" w:name="_Toc464728977"/>
      <w:r>
        <w:rPr>
          <w:rFonts w:hint="eastAsia"/>
        </w:rPr>
        <w:t>废止现行有关规范的建议</w:t>
      </w:r>
      <w:bookmarkEnd w:id="71"/>
    </w:p>
    <w:p w:rsidR="00293085" w:rsidRDefault="00322078">
      <w:pPr>
        <w:pStyle w:val="afff4"/>
        <w:spacing w:line="300" w:lineRule="auto"/>
        <w:ind w:firstLine="420"/>
        <w:contextualSpacing/>
        <w:rPr>
          <w:szCs w:val="21"/>
        </w:rPr>
      </w:pPr>
      <w:r>
        <w:rPr>
          <w:rFonts w:hint="eastAsia"/>
          <w:szCs w:val="21"/>
        </w:rPr>
        <w:t>（无）。</w:t>
      </w:r>
    </w:p>
    <w:p w:rsidR="00293085" w:rsidRDefault="00322078">
      <w:pPr>
        <w:pStyle w:val="afffa"/>
        <w:numPr>
          <w:ilvl w:val="0"/>
          <w:numId w:val="11"/>
        </w:numPr>
        <w:tabs>
          <w:tab w:val="left" w:pos="426"/>
        </w:tabs>
        <w:spacing w:beforeLines="100" w:before="312" w:afterLines="100" w:after="312"/>
        <w:ind w:left="420" w:hangingChars="200"/>
        <w:jc w:val="left"/>
      </w:pPr>
      <w:r>
        <w:rPr>
          <w:rFonts w:hint="eastAsia"/>
        </w:rPr>
        <w:t>预期效果</w:t>
      </w:r>
    </w:p>
    <w:p w:rsidR="00293085" w:rsidRDefault="00BE27C0">
      <w:pPr>
        <w:pStyle w:val="afff4"/>
        <w:spacing w:line="300" w:lineRule="auto"/>
        <w:ind w:firstLineChars="0"/>
        <w:contextualSpacing/>
        <w:rPr>
          <w:szCs w:val="21"/>
        </w:rPr>
      </w:pPr>
      <w:r w:rsidRPr="00BE27C0">
        <w:rPr>
          <w:rFonts w:hint="eastAsia"/>
          <w:szCs w:val="21"/>
        </w:rPr>
        <w:t>本规范基于提高显微镜的分辨能力、分析检测能力，研究、规范显微镜畸变的测量方法，旨在推动我国显微镜产品技术升级，确保显微镜的溯源性，确保通过显微镜可以获得观察样品中更多、更微小细节信息，满足行业检测需求。</w:t>
      </w:r>
    </w:p>
    <w:p w:rsidR="00293085" w:rsidRDefault="00322078" w:rsidP="00BE27C0">
      <w:pPr>
        <w:pStyle w:val="afffa"/>
        <w:numPr>
          <w:ilvl w:val="0"/>
          <w:numId w:val="11"/>
        </w:numPr>
        <w:tabs>
          <w:tab w:val="left" w:pos="426"/>
        </w:tabs>
        <w:spacing w:beforeLines="100" w:before="312" w:afterLines="100" w:after="312"/>
        <w:ind w:left="420" w:hangingChars="200"/>
        <w:jc w:val="left"/>
      </w:pPr>
      <w:r>
        <w:rPr>
          <w:rFonts w:hAnsi="宋体" w:hint="eastAsia"/>
          <w:bCs/>
          <w:szCs w:val="21"/>
        </w:rPr>
        <w:t>其他应予说明的事项</w:t>
      </w:r>
    </w:p>
    <w:p w:rsidR="00293085" w:rsidRDefault="00322078">
      <w:pPr>
        <w:pStyle w:val="afff4"/>
        <w:spacing w:line="300" w:lineRule="auto"/>
        <w:ind w:firstLineChars="0"/>
        <w:contextualSpacing/>
        <w:rPr>
          <w:rFonts w:ascii="Times New Roman" w:hAnsi="Times New Roman"/>
          <w:szCs w:val="21"/>
        </w:rPr>
      </w:pPr>
      <w:r>
        <w:rPr>
          <w:rFonts w:hint="eastAsia"/>
          <w:szCs w:val="21"/>
        </w:rPr>
        <w:t>（无）。</w:t>
      </w:r>
    </w:p>
    <w:p w:rsidR="00293085" w:rsidRDefault="00322078">
      <w:pPr>
        <w:pStyle w:val="afff4"/>
        <w:spacing w:line="300" w:lineRule="auto"/>
        <w:ind w:firstLineChars="0"/>
        <w:contextualSpacing/>
        <w:jc w:val="right"/>
        <w:rPr>
          <w:rFonts w:ascii="Times New Roman" w:hAnsi="Times New Roman"/>
          <w:szCs w:val="21"/>
        </w:rPr>
      </w:pPr>
      <w:r>
        <w:rPr>
          <w:rFonts w:ascii="Times New Roman" w:eastAsia="黑体" w:hAnsi="Times New Roman"/>
          <w:bCs/>
        </w:rPr>
        <w:t xml:space="preserve">  </w:t>
      </w:r>
      <w:r>
        <w:rPr>
          <w:rFonts w:ascii="Times New Roman" w:eastAsia="方正行楷简体" w:hAnsi="Times New Roman"/>
          <w:bCs/>
          <w:szCs w:val="21"/>
        </w:rPr>
        <w:t>《</w:t>
      </w:r>
      <w:r w:rsidR="00BE27C0">
        <w:rPr>
          <w:rFonts w:ascii="Times New Roman" w:hAnsi="Times New Roman" w:hint="eastAsia"/>
          <w:szCs w:val="21"/>
        </w:rPr>
        <w:t>光学</w:t>
      </w:r>
      <w:r w:rsidR="00BE27C0">
        <w:rPr>
          <w:rFonts w:ascii="Times New Roman" w:hAnsi="Times New Roman"/>
          <w:szCs w:val="21"/>
        </w:rPr>
        <w:t>显微镜畸变</w:t>
      </w:r>
      <w:r>
        <w:rPr>
          <w:rFonts w:ascii="Times New Roman" w:hAnsi="Times New Roman"/>
          <w:szCs w:val="21"/>
        </w:rPr>
        <w:t>校准规范</w:t>
      </w:r>
      <w:r>
        <w:rPr>
          <w:rFonts w:ascii="Times New Roman" w:eastAsia="方正行楷简体" w:hAnsi="Times New Roman"/>
          <w:bCs/>
          <w:szCs w:val="21"/>
        </w:rPr>
        <w:t>》编制组</w:t>
      </w:r>
      <w:r>
        <w:rPr>
          <w:rFonts w:ascii="Times New Roman" w:eastAsia="方正行楷简体" w:hAnsi="Times New Roman"/>
          <w:bCs/>
          <w:szCs w:val="21"/>
        </w:rPr>
        <w:t xml:space="preserve">  202</w:t>
      </w:r>
      <w:r w:rsidR="00BE27C0">
        <w:rPr>
          <w:rFonts w:ascii="Times New Roman" w:eastAsia="方正行楷简体" w:hAnsi="Times New Roman" w:hint="eastAsia"/>
          <w:bCs/>
          <w:szCs w:val="21"/>
        </w:rPr>
        <w:t>3</w:t>
      </w:r>
      <w:r>
        <w:rPr>
          <w:rFonts w:ascii="Times New Roman" w:eastAsia="方正行楷简体" w:hAnsi="Times New Roman"/>
          <w:bCs/>
          <w:szCs w:val="21"/>
        </w:rPr>
        <w:t>年</w:t>
      </w:r>
      <w:r w:rsidR="00BE27C0">
        <w:rPr>
          <w:rFonts w:ascii="Times New Roman" w:eastAsia="方正行楷简体" w:hAnsi="Times New Roman" w:hint="eastAsia"/>
          <w:bCs/>
          <w:szCs w:val="21"/>
        </w:rPr>
        <w:t>4</w:t>
      </w:r>
      <w:r>
        <w:rPr>
          <w:rFonts w:ascii="Times New Roman" w:eastAsia="方正行楷简体" w:hAnsi="Times New Roman"/>
          <w:bCs/>
          <w:szCs w:val="21"/>
        </w:rPr>
        <w:t>月</w:t>
      </w:r>
      <w:r w:rsidR="00BE27C0">
        <w:rPr>
          <w:rFonts w:ascii="Times New Roman" w:eastAsia="方正行楷简体" w:hAnsi="Times New Roman"/>
          <w:bCs/>
          <w:szCs w:val="21"/>
        </w:rPr>
        <w:t>2</w:t>
      </w:r>
      <w:r w:rsidR="00BE27C0">
        <w:rPr>
          <w:rFonts w:ascii="Times New Roman" w:eastAsia="方正行楷简体" w:hAnsi="Times New Roman" w:hint="eastAsia"/>
          <w:bCs/>
          <w:szCs w:val="21"/>
        </w:rPr>
        <w:t>0</w:t>
      </w:r>
      <w:r>
        <w:rPr>
          <w:rFonts w:ascii="Times New Roman" w:eastAsia="方正行楷简体" w:hAnsi="Times New Roman"/>
          <w:bCs/>
          <w:szCs w:val="21"/>
        </w:rPr>
        <w:t>日</w:t>
      </w:r>
    </w:p>
    <w:p w:rsidR="00293085" w:rsidRDefault="00293085">
      <w:pPr>
        <w:pStyle w:val="afff4"/>
        <w:spacing w:line="300" w:lineRule="auto"/>
        <w:ind w:firstLine="420"/>
        <w:contextualSpacing/>
        <w:rPr>
          <w:szCs w:val="21"/>
        </w:rPr>
      </w:pPr>
    </w:p>
    <w:sectPr w:rsidR="00293085">
      <w:headerReference w:type="default" r:id="rId12"/>
      <w:footerReference w:type="default" r:id="rId13"/>
      <w:footerReference w:type="first" r:id="rId14"/>
      <w:pgSz w:w="11907" w:h="16839"/>
      <w:pgMar w:top="1418" w:right="1134" w:bottom="1134" w:left="1418" w:header="1418" w:footer="85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992" w:rsidRDefault="00341992">
      <w:r>
        <w:separator/>
      </w:r>
    </w:p>
  </w:endnote>
  <w:endnote w:type="continuationSeparator" w:id="0">
    <w:p w:rsidR="00341992" w:rsidRDefault="0034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行楷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85" w:rsidRDefault="00322078">
    <w:pPr>
      <w:pStyle w:val="afff9"/>
      <w:jc w:val="center"/>
      <w:rPr>
        <w:rStyle w:val="afff"/>
      </w:rPr>
    </w:pPr>
    <w:r>
      <w:fldChar w:fldCharType="begin"/>
    </w:r>
    <w:r>
      <w:rPr>
        <w:rStyle w:val="afff"/>
      </w:rPr>
      <w:instrText xml:space="preserve">PAGE  </w:instrText>
    </w:r>
    <w:r>
      <w:fldChar w:fldCharType="separate"/>
    </w:r>
    <w:r w:rsidR="00C62B03">
      <w:rPr>
        <w:rStyle w:val="afff"/>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85" w:rsidRDefault="00293085">
    <w:pPr>
      <w:pStyle w:val="aff6"/>
      <w:jc w:val="both"/>
    </w:pPr>
  </w:p>
  <w:p w:rsidR="00293085" w:rsidRDefault="00322078">
    <w:pPr>
      <w:pStyle w:val="aff6"/>
      <w:jc w:val="center"/>
      <w:rPr>
        <w:rFonts w:ascii="宋体" w:hAnsi="宋体"/>
        <w:sz w:val="21"/>
      </w:rPr>
    </w:pPr>
    <w:r>
      <w:rPr>
        <w:rFonts w:ascii="宋体" w:hAnsi="宋体" w:hint="eastAsia"/>
        <w:sz w:val="21"/>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992" w:rsidRDefault="00341992">
      <w:r>
        <w:separator/>
      </w:r>
    </w:p>
  </w:footnote>
  <w:footnote w:type="continuationSeparator" w:id="0">
    <w:p w:rsidR="00341992" w:rsidRDefault="00341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85" w:rsidRDefault="00293085">
    <w:pPr>
      <w:pStyle w:val="af2"/>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none"/>
      <w:pStyle w:val="a"/>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C"/>
    <w:multiLevelType w:val="multilevel"/>
    <w:tmpl w:val="0000000C"/>
    <w:lvl w:ilvl="0">
      <w:start w:val="1"/>
      <w:numFmt w:val="none"/>
      <w:pStyle w:val="a0"/>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10"/>
    <w:multiLevelType w:val="multilevel"/>
    <w:tmpl w:val="00000010"/>
    <w:lvl w:ilvl="0">
      <w:start w:val="1"/>
      <w:numFmt w:val="none"/>
      <w:pStyle w:val="a1"/>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3"/>
    <w:multiLevelType w:val="multilevel"/>
    <w:tmpl w:val="00000013"/>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nsid w:val="00000014"/>
    <w:multiLevelType w:val="multilevel"/>
    <w:tmpl w:val="00000014"/>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0000015"/>
    <w:multiLevelType w:val="multilevel"/>
    <w:tmpl w:val="00000015"/>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japaneseCounting"/>
      <w:pStyle w:val="a9"/>
      <w:lvlText w:val="（%2）"/>
      <w:lvlJc w:val="left"/>
      <w:pPr>
        <w:ind w:left="0" w:firstLine="0"/>
      </w:pPr>
      <w:rPr>
        <w:rFonts w:hint="default"/>
        <w:b w:val="0"/>
        <w:i w:val="0"/>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9"/>
    <w:multiLevelType w:val="multilevel"/>
    <w:tmpl w:val="00000019"/>
    <w:lvl w:ilvl="0">
      <w:start w:val="1"/>
      <w:numFmt w:val="decimal"/>
      <w:pStyle w:val="af"/>
      <w:suff w:val="nothing"/>
      <w:lvlText w:val="表%1　"/>
      <w:lvlJc w:val="left"/>
      <w:pPr>
        <w:ind w:left="3403" w:firstLine="0"/>
      </w:pPr>
      <w:rPr>
        <w:rFonts w:ascii="黑体" w:eastAsia="黑体" w:hAnsi="Times New Roman" w:hint="eastAsia"/>
        <w:b w:val="0"/>
        <w:i w:val="0"/>
        <w:sz w:val="21"/>
      </w:rPr>
    </w:lvl>
    <w:lvl w:ilvl="1">
      <w:start w:val="1"/>
      <w:numFmt w:val="decimal"/>
      <w:lvlText w:val="%1.%2"/>
      <w:lvlJc w:val="left"/>
      <w:pPr>
        <w:tabs>
          <w:tab w:val="left" w:pos="1202"/>
        </w:tabs>
        <w:ind w:left="1202" w:hanging="567"/>
      </w:pPr>
      <w:rPr>
        <w:rFonts w:hint="eastAsia"/>
      </w:rPr>
    </w:lvl>
    <w:lvl w:ilvl="2">
      <w:start w:val="1"/>
      <w:numFmt w:val="decimal"/>
      <w:lvlText w:val="%1.%2.%3"/>
      <w:lvlJc w:val="left"/>
      <w:pPr>
        <w:tabs>
          <w:tab w:val="left" w:pos="1628"/>
        </w:tabs>
        <w:ind w:left="1628" w:hanging="567"/>
      </w:pPr>
      <w:rPr>
        <w:rFonts w:hint="eastAsia"/>
      </w:rPr>
    </w:lvl>
    <w:lvl w:ilvl="3">
      <w:start w:val="1"/>
      <w:numFmt w:val="decimal"/>
      <w:lvlText w:val="%1.%2.%3.%4"/>
      <w:lvlJc w:val="left"/>
      <w:pPr>
        <w:tabs>
          <w:tab w:val="left" w:pos="2194"/>
        </w:tabs>
        <w:ind w:left="2194" w:hanging="708"/>
      </w:pPr>
      <w:rPr>
        <w:rFonts w:hint="eastAsia"/>
      </w:rPr>
    </w:lvl>
    <w:lvl w:ilvl="4">
      <w:start w:val="1"/>
      <w:numFmt w:val="decimal"/>
      <w:lvlText w:val="%1.%2.%3.%4.%5"/>
      <w:lvlJc w:val="left"/>
      <w:pPr>
        <w:tabs>
          <w:tab w:val="left" w:pos="2761"/>
        </w:tabs>
        <w:ind w:left="2761" w:hanging="850"/>
      </w:pPr>
      <w:rPr>
        <w:rFonts w:hint="eastAsia"/>
      </w:rPr>
    </w:lvl>
    <w:lvl w:ilvl="5">
      <w:start w:val="1"/>
      <w:numFmt w:val="decimal"/>
      <w:lvlText w:val="%1.%2.%3.%4.%5.%6"/>
      <w:lvlJc w:val="left"/>
      <w:pPr>
        <w:tabs>
          <w:tab w:val="left" w:pos="3470"/>
        </w:tabs>
        <w:ind w:left="3470" w:hanging="1134"/>
      </w:pPr>
      <w:rPr>
        <w:rFonts w:hint="eastAsia"/>
      </w:rPr>
    </w:lvl>
    <w:lvl w:ilvl="6">
      <w:start w:val="1"/>
      <w:numFmt w:val="decimal"/>
      <w:lvlText w:val="%1.%2.%3.%4.%5.%6.%7"/>
      <w:lvlJc w:val="left"/>
      <w:pPr>
        <w:tabs>
          <w:tab w:val="left" w:pos="4037"/>
        </w:tabs>
        <w:ind w:left="4037" w:hanging="1276"/>
      </w:pPr>
      <w:rPr>
        <w:rFonts w:hint="eastAsia"/>
      </w:rPr>
    </w:lvl>
    <w:lvl w:ilvl="7">
      <w:start w:val="1"/>
      <w:numFmt w:val="decimal"/>
      <w:lvlText w:val="%1.%2.%3.%4.%5.%6.%7.%8"/>
      <w:lvlJc w:val="left"/>
      <w:pPr>
        <w:tabs>
          <w:tab w:val="left" w:pos="4604"/>
        </w:tabs>
        <w:ind w:left="4604" w:hanging="1418"/>
      </w:pPr>
      <w:rPr>
        <w:rFonts w:hint="eastAsia"/>
      </w:rPr>
    </w:lvl>
    <w:lvl w:ilvl="8">
      <w:start w:val="1"/>
      <w:numFmt w:val="decimal"/>
      <w:lvlText w:val="%1.%2.%3.%4.%5.%6.%7.%8.%9"/>
      <w:lvlJc w:val="left"/>
      <w:pPr>
        <w:tabs>
          <w:tab w:val="left" w:pos="5312"/>
        </w:tabs>
        <w:ind w:left="5312" w:hanging="1700"/>
      </w:pPr>
      <w:rPr>
        <w:rFonts w:hint="eastAsia"/>
      </w:rPr>
    </w:lvl>
  </w:abstractNum>
  <w:abstractNum w:abstractNumId="7">
    <w:nsid w:val="00000022"/>
    <w:multiLevelType w:val="multilevel"/>
    <w:tmpl w:val="00000022"/>
    <w:lvl w:ilvl="0">
      <w:start w:val="1"/>
      <w:numFmt w:val="decimal"/>
      <w:pStyle w:val="af0"/>
      <w:suff w:val="nothing"/>
      <w:lvlText w:val="图%1　"/>
      <w:lvlJc w:val="left"/>
      <w:pPr>
        <w:ind w:left="0" w:firstLine="0"/>
      </w:pPr>
      <w:rPr>
        <w:rFonts w:ascii="黑体" w:eastAsia="黑体" w:hAnsi="Times New Roman" w:hint="eastAsia"/>
        <w:b w:val="0"/>
        <w:i w:val="0"/>
        <w:color w:val="auto"/>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00000025"/>
    <w:multiLevelType w:val="multilevel"/>
    <w:tmpl w:val="00000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284"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color w:val="auto"/>
        <w:sz w:val="21"/>
        <w:lang w:val="en-US"/>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nsid w:val="00000027"/>
    <w:multiLevelType w:val="multilevel"/>
    <w:tmpl w:val="00000027"/>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97947F5"/>
    <w:multiLevelType w:val="multilevel"/>
    <w:tmpl w:val="297947F5"/>
    <w:lvl w:ilvl="0">
      <w:start w:val="1"/>
      <w:numFmt w:val="japaneseCounting"/>
      <w:lvlText w:val="%1、"/>
      <w:lvlJc w:val="left"/>
      <w:pPr>
        <w:ind w:left="1270"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79C68F0"/>
    <w:multiLevelType w:val="multilevel"/>
    <w:tmpl w:val="1B5AB2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5"/>
  </w:num>
  <w:num w:numId="3">
    <w:abstractNumId w:val="9"/>
  </w:num>
  <w:num w:numId="4">
    <w:abstractNumId w:val="0"/>
  </w:num>
  <w:num w:numId="5">
    <w:abstractNumId w:val="3"/>
  </w:num>
  <w:num w:numId="6">
    <w:abstractNumId w:val="7"/>
  </w:num>
  <w:num w:numId="7">
    <w:abstractNumId w:val="2"/>
  </w:num>
  <w:num w:numId="8">
    <w:abstractNumId w:val="6"/>
  </w:num>
  <w:num w:numId="9">
    <w:abstractNumId w:val="1"/>
  </w:num>
  <w:num w:numId="10">
    <w:abstractNumId w:val="4"/>
  </w:num>
  <w:num w:numId="11">
    <w:abstractNumId w:val="10"/>
  </w:num>
  <w:num w:numId="12">
    <w:abstractNumId w:val="11"/>
  </w:num>
  <w:num w:numId="13">
    <w:abstractNumId w:val="5"/>
  </w:num>
  <w:num w:numId="14">
    <w:abstractNumId w:val="5"/>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isplayBackgroundShape/>
  <w:bordersDoNotSurroundHeader/>
  <w:bordersDoNotSurroundFooter/>
  <w:hideSpellingErrors/>
  <w:proofState w:spelling="clean" w:grammar="clean"/>
  <w:attachedTemplate r:id="rId1"/>
  <w:defaultTabStop w:val="420"/>
  <w:drawingGridHorizontalSpacing w:val="105"/>
  <w:drawingGridVerticalSpacing w:val="156"/>
  <w:noPunctuationKerning/>
  <w:characterSpacingControl w:val="compressPunctuation"/>
  <w:savePreviewPicture/>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MDA3N2M4ZjNjZmQxMWU2YWM4YmQ1ODcwZTEyZjcifQ=="/>
  </w:docVars>
  <w:rsids>
    <w:rsidRoot w:val="00693668"/>
    <w:rsid w:val="000038F0"/>
    <w:rsid w:val="00004648"/>
    <w:rsid w:val="00014C66"/>
    <w:rsid w:val="000211BF"/>
    <w:rsid w:val="000237D4"/>
    <w:rsid w:val="000309D7"/>
    <w:rsid w:val="00032F98"/>
    <w:rsid w:val="00034584"/>
    <w:rsid w:val="00036A21"/>
    <w:rsid w:val="00036F02"/>
    <w:rsid w:val="0004299E"/>
    <w:rsid w:val="00043D6D"/>
    <w:rsid w:val="0005764E"/>
    <w:rsid w:val="000657B2"/>
    <w:rsid w:val="0006679C"/>
    <w:rsid w:val="0007070D"/>
    <w:rsid w:val="00073A74"/>
    <w:rsid w:val="00084878"/>
    <w:rsid w:val="000971D5"/>
    <w:rsid w:val="000C772A"/>
    <w:rsid w:val="000F15FB"/>
    <w:rsid w:val="000F714B"/>
    <w:rsid w:val="00100912"/>
    <w:rsid w:val="00104CBC"/>
    <w:rsid w:val="001164A0"/>
    <w:rsid w:val="0012155C"/>
    <w:rsid w:val="00122AD8"/>
    <w:rsid w:val="00136813"/>
    <w:rsid w:val="0014120B"/>
    <w:rsid w:val="00150062"/>
    <w:rsid w:val="001527ED"/>
    <w:rsid w:val="00184B5D"/>
    <w:rsid w:val="001859F4"/>
    <w:rsid w:val="0019431C"/>
    <w:rsid w:val="001A4F75"/>
    <w:rsid w:val="001C13CE"/>
    <w:rsid w:val="001C7BB8"/>
    <w:rsid w:val="001D0501"/>
    <w:rsid w:val="001E0288"/>
    <w:rsid w:val="001E09C6"/>
    <w:rsid w:val="00235374"/>
    <w:rsid w:val="00247A7D"/>
    <w:rsid w:val="00255EB1"/>
    <w:rsid w:val="002732FF"/>
    <w:rsid w:val="00275F7A"/>
    <w:rsid w:val="00280BE9"/>
    <w:rsid w:val="002849BB"/>
    <w:rsid w:val="00291548"/>
    <w:rsid w:val="00293085"/>
    <w:rsid w:val="002977EC"/>
    <w:rsid w:val="002A1305"/>
    <w:rsid w:val="002D0634"/>
    <w:rsid w:val="002D2103"/>
    <w:rsid w:val="002E6C19"/>
    <w:rsid w:val="002F4E61"/>
    <w:rsid w:val="003012C4"/>
    <w:rsid w:val="00305CB9"/>
    <w:rsid w:val="00307A90"/>
    <w:rsid w:val="00314BA2"/>
    <w:rsid w:val="00322078"/>
    <w:rsid w:val="0032338B"/>
    <w:rsid w:val="0033057E"/>
    <w:rsid w:val="003318C1"/>
    <w:rsid w:val="00335FEC"/>
    <w:rsid w:val="0034125E"/>
    <w:rsid w:val="00341992"/>
    <w:rsid w:val="00352269"/>
    <w:rsid w:val="00366AF1"/>
    <w:rsid w:val="00373555"/>
    <w:rsid w:val="00397407"/>
    <w:rsid w:val="003B0148"/>
    <w:rsid w:val="003C2376"/>
    <w:rsid w:val="003C685D"/>
    <w:rsid w:val="003E10E7"/>
    <w:rsid w:val="003E237F"/>
    <w:rsid w:val="003F2C11"/>
    <w:rsid w:val="00400BF2"/>
    <w:rsid w:val="0040777C"/>
    <w:rsid w:val="00411DC2"/>
    <w:rsid w:val="00415481"/>
    <w:rsid w:val="004257BB"/>
    <w:rsid w:val="00425D1F"/>
    <w:rsid w:val="004508BB"/>
    <w:rsid w:val="00455FE9"/>
    <w:rsid w:val="0046211B"/>
    <w:rsid w:val="00464019"/>
    <w:rsid w:val="0048362B"/>
    <w:rsid w:val="00494613"/>
    <w:rsid w:val="00497039"/>
    <w:rsid w:val="004A27E5"/>
    <w:rsid w:val="004B1DE2"/>
    <w:rsid w:val="004B3BD5"/>
    <w:rsid w:val="004C6E7F"/>
    <w:rsid w:val="004C6FDF"/>
    <w:rsid w:val="004E1361"/>
    <w:rsid w:val="004E4C45"/>
    <w:rsid w:val="004E5080"/>
    <w:rsid w:val="00521FA9"/>
    <w:rsid w:val="0052761B"/>
    <w:rsid w:val="005305AE"/>
    <w:rsid w:val="00531FA0"/>
    <w:rsid w:val="00536268"/>
    <w:rsid w:val="00536BFA"/>
    <w:rsid w:val="005535AA"/>
    <w:rsid w:val="0055489A"/>
    <w:rsid w:val="00556AC4"/>
    <w:rsid w:val="005608DA"/>
    <w:rsid w:val="00567271"/>
    <w:rsid w:val="005709C3"/>
    <w:rsid w:val="0059121E"/>
    <w:rsid w:val="005B3A80"/>
    <w:rsid w:val="005B5BAB"/>
    <w:rsid w:val="005C0BE7"/>
    <w:rsid w:val="005C2448"/>
    <w:rsid w:val="005C769A"/>
    <w:rsid w:val="005E67C7"/>
    <w:rsid w:val="005F42DD"/>
    <w:rsid w:val="00601ADF"/>
    <w:rsid w:val="00606487"/>
    <w:rsid w:val="00623451"/>
    <w:rsid w:val="00624A40"/>
    <w:rsid w:val="00625140"/>
    <w:rsid w:val="00627726"/>
    <w:rsid w:val="00633572"/>
    <w:rsid w:val="00636E32"/>
    <w:rsid w:val="00637AB5"/>
    <w:rsid w:val="00644C6D"/>
    <w:rsid w:val="006510D6"/>
    <w:rsid w:val="00660A77"/>
    <w:rsid w:val="00667FDB"/>
    <w:rsid w:val="00670276"/>
    <w:rsid w:val="00672533"/>
    <w:rsid w:val="006738AA"/>
    <w:rsid w:val="00675478"/>
    <w:rsid w:val="006820CD"/>
    <w:rsid w:val="00683E68"/>
    <w:rsid w:val="00686643"/>
    <w:rsid w:val="00693668"/>
    <w:rsid w:val="006B3185"/>
    <w:rsid w:val="006B43C4"/>
    <w:rsid w:val="006C188A"/>
    <w:rsid w:val="006C2258"/>
    <w:rsid w:val="006C2AF8"/>
    <w:rsid w:val="006D1B98"/>
    <w:rsid w:val="006D7E99"/>
    <w:rsid w:val="006E11F0"/>
    <w:rsid w:val="00724E03"/>
    <w:rsid w:val="00733C71"/>
    <w:rsid w:val="00735A75"/>
    <w:rsid w:val="007373AB"/>
    <w:rsid w:val="00740702"/>
    <w:rsid w:val="00743BA2"/>
    <w:rsid w:val="00743BAC"/>
    <w:rsid w:val="007469CC"/>
    <w:rsid w:val="00746BAC"/>
    <w:rsid w:val="00750ED3"/>
    <w:rsid w:val="00764D0A"/>
    <w:rsid w:val="00765621"/>
    <w:rsid w:val="007901C0"/>
    <w:rsid w:val="007902D1"/>
    <w:rsid w:val="007A3BEE"/>
    <w:rsid w:val="007C15E3"/>
    <w:rsid w:val="007E56C9"/>
    <w:rsid w:val="00804BC8"/>
    <w:rsid w:val="00820F69"/>
    <w:rsid w:val="00824B04"/>
    <w:rsid w:val="008461B6"/>
    <w:rsid w:val="0085122B"/>
    <w:rsid w:val="0086056F"/>
    <w:rsid w:val="0086378F"/>
    <w:rsid w:val="008754EE"/>
    <w:rsid w:val="00876D87"/>
    <w:rsid w:val="008B22FC"/>
    <w:rsid w:val="008C672E"/>
    <w:rsid w:val="008D49EF"/>
    <w:rsid w:val="008E415E"/>
    <w:rsid w:val="008F5DCA"/>
    <w:rsid w:val="009052E4"/>
    <w:rsid w:val="009111C1"/>
    <w:rsid w:val="00913ED1"/>
    <w:rsid w:val="00933D2C"/>
    <w:rsid w:val="00946B7D"/>
    <w:rsid w:val="009513C5"/>
    <w:rsid w:val="00954DA4"/>
    <w:rsid w:val="00967A11"/>
    <w:rsid w:val="00971240"/>
    <w:rsid w:val="009A12AB"/>
    <w:rsid w:val="009B4929"/>
    <w:rsid w:val="009C0597"/>
    <w:rsid w:val="009C2D10"/>
    <w:rsid w:val="009D79FA"/>
    <w:rsid w:val="009E3D09"/>
    <w:rsid w:val="009F420F"/>
    <w:rsid w:val="00A06113"/>
    <w:rsid w:val="00A11A21"/>
    <w:rsid w:val="00A12727"/>
    <w:rsid w:val="00A1378A"/>
    <w:rsid w:val="00A1497C"/>
    <w:rsid w:val="00A15577"/>
    <w:rsid w:val="00A3211C"/>
    <w:rsid w:val="00A363F7"/>
    <w:rsid w:val="00A40E4F"/>
    <w:rsid w:val="00A47FE2"/>
    <w:rsid w:val="00A56163"/>
    <w:rsid w:val="00A77511"/>
    <w:rsid w:val="00A7790F"/>
    <w:rsid w:val="00A8043A"/>
    <w:rsid w:val="00A8426B"/>
    <w:rsid w:val="00A86AF0"/>
    <w:rsid w:val="00A87866"/>
    <w:rsid w:val="00AC0924"/>
    <w:rsid w:val="00AD093B"/>
    <w:rsid w:val="00AD4A51"/>
    <w:rsid w:val="00AE0B35"/>
    <w:rsid w:val="00AE47AC"/>
    <w:rsid w:val="00AF7111"/>
    <w:rsid w:val="00B056DA"/>
    <w:rsid w:val="00B05E25"/>
    <w:rsid w:val="00B07D3B"/>
    <w:rsid w:val="00B369B6"/>
    <w:rsid w:val="00B43636"/>
    <w:rsid w:val="00B45E9C"/>
    <w:rsid w:val="00B53389"/>
    <w:rsid w:val="00B60FA7"/>
    <w:rsid w:val="00B614F2"/>
    <w:rsid w:val="00B706F7"/>
    <w:rsid w:val="00B7116A"/>
    <w:rsid w:val="00B75677"/>
    <w:rsid w:val="00B817F8"/>
    <w:rsid w:val="00BB316D"/>
    <w:rsid w:val="00BB4554"/>
    <w:rsid w:val="00BB7985"/>
    <w:rsid w:val="00BC66A0"/>
    <w:rsid w:val="00BC6B82"/>
    <w:rsid w:val="00BE27C0"/>
    <w:rsid w:val="00BF4703"/>
    <w:rsid w:val="00C03A4F"/>
    <w:rsid w:val="00C058B2"/>
    <w:rsid w:val="00C10883"/>
    <w:rsid w:val="00C113A5"/>
    <w:rsid w:val="00C2681C"/>
    <w:rsid w:val="00C27739"/>
    <w:rsid w:val="00C40CAE"/>
    <w:rsid w:val="00C5059F"/>
    <w:rsid w:val="00C53BDD"/>
    <w:rsid w:val="00C5550F"/>
    <w:rsid w:val="00C57BAB"/>
    <w:rsid w:val="00C62B03"/>
    <w:rsid w:val="00C66C85"/>
    <w:rsid w:val="00C70EA3"/>
    <w:rsid w:val="00C72490"/>
    <w:rsid w:val="00C7537E"/>
    <w:rsid w:val="00C8056F"/>
    <w:rsid w:val="00C81A49"/>
    <w:rsid w:val="00C86EE5"/>
    <w:rsid w:val="00CB750D"/>
    <w:rsid w:val="00CB7CDF"/>
    <w:rsid w:val="00CC3C55"/>
    <w:rsid w:val="00CC3DDD"/>
    <w:rsid w:val="00CC491D"/>
    <w:rsid w:val="00CC52E3"/>
    <w:rsid w:val="00CD2D13"/>
    <w:rsid w:val="00CD759E"/>
    <w:rsid w:val="00CF3CAA"/>
    <w:rsid w:val="00D01726"/>
    <w:rsid w:val="00D16568"/>
    <w:rsid w:val="00D17115"/>
    <w:rsid w:val="00D436F5"/>
    <w:rsid w:val="00D6471A"/>
    <w:rsid w:val="00D81C1D"/>
    <w:rsid w:val="00D85454"/>
    <w:rsid w:val="00D86648"/>
    <w:rsid w:val="00D903E4"/>
    <w:rsid w:val="00DA22D1"/>
    <w:rsid w:val="00DB4F65"/>
    <w:rsid w:val="00DD6769"/>
    <w:rsid w:val="00DD7D39"/>
    <w:rsid w:val="00DE144C"/>
    <w:rsid w:val="00E019C6"/>
    <w:rsid w:val="00E22714"/>
    <w:rsid w:val="00E22B54"/>
    <w:rsid w:val="00E23465"/>
    <w:rsid w:val="00E3183A"/>
    <w:rsid w:val="00E31A7B"/>
    <w:rsid w:val="00E32480"/>
    <w:rsid w:val="00E71DCC"/>
    <w:rsid w:val="00E82471"/>
    <w:rsid w:val="00E911BC"/>
    <w:rsid w:val="00EB2994"/>
    <w:rsid w:val="00EC149D"/>
    <w:rsid w:val="00ED5F91"/>
    <w:rsid w:val="00EE5988"/>
    <w:rsid w:val="00F10C9E"/>
    <w:rsid w:val="00F32186"/>
    <w:rsid w:val="00F3447A"/>
    <w:rsid w:val="00F45BA8"/>
    <w:rsid w:val="00F507FB"/>
    <w:rsid w:val="00F5644A"/>
    <w:rsid w:val="00F7167F"/>
    <w:rsid w:val="00F71F31"/>
    <w:rsid w:val="00F80059"/>
    <w:rsid w:val="00F812C6"/>
    <w:rsid w:val="00F91E84"/>
    <w:rsid w:val="00FA4CA4"/>
    <w:rsid w:val="00FA6198"/>
    <w:rsid w:val="00FC7BF3"/>
    <w:rsid w:val="00FD235D"/>
    <w:rsid w:val="00FD7FCA"/>
    <w:rsid w:val="00FE0C1C"/>
    <w:rsid w:val="00FE17CA"/>
    <w:rsid w:val="00FE1932"/>
    <w:rsid w:val="00FE1A74"/>
    <w:rsid w:val="00FF5630"/>
    <w:rsid w:val="02F703B0"/>
    <w:rsid w:val="07DC0ED5"/>
    <w:rsid w:val="0904785D"/>
    <w:rsid w:val="09573966"/>
    <w:rsid w:val="0A781AE7"/>
    <w:rsid w:val="0CCA0314"/>
    <w:rsid w:val="14317D7D"/>
    <w:rsid w:val="14FE0CE9"/>
    <w:rsid w:val="158E7867"/>
    <w:rsid w:val="174C2AB4"/>
    <w:rsid w:val="1F5A1A25"/>
    <w:rsid w:val="1F714057"/>
    <w:rsid w:val="208E75B3"/>
    <w:rsid w:val="218A16C9"/>
    <w:rsid w:val="21BE3478"/>
    <w:rsid w:val="21D04080"/>
    <w:rsid w:val="22423DCF"/>
    <w:rsid w:val="23A74BBD"/>
    <w:rsid w:val="23D43A72"/>
    <w:rsid w:val="29846CB3"/>
    <w:rsid w:val="29E46257"/>
    <w:rsid w:val="2A4110A1"/>
    <w:rsid w:val="2AB85E2C"/>
    <w:rsid w:val="2C281A12"/>
    <w:rsid w:val="2FBE527A"/>
    <w:rsid w:val="31B57A58"/>
    <w:rsid w:val="325F3B1A"/>
    <w:rsid w:val="34745E77"/>
    <w:rsid w:val="36AE69D8"/>
    <w:rsid w:val="38B6063A"/>
    <w:rsid w:val="39E63C45"/>
    <w:rsid w:val="3A910669"/>
    <w:rsid w:val="3BFA1058"/>
    <w:rsid w:val="3EBA5BC3"/>
    <w:rsid w:val="420E5348"/>
    <w:rsid w:val="44100726"/>
    <w:rsid w:val="44347A9B"/>
    <w:rsid w:val="456D3D97"/>
    <w:rsid w:val="45E87405"/>
    <w:rsid w:val="46474D73"/>
    <w:rsid w:val="48BE5C4B"/>
    <w:rsid w:val="49214E6F"/>
    <w:rsid w:val="4D432356"/>
    <w:rsid w:val="4E3430C7"/>
    <w:rsid w:val="52A97DDB"/>
    <w:rsid w:val="56154CA2"/>
    <w:rsid w:val="5A931503"/>
    <w:rsid w:val="5A971C98"/>
    <w:rsid w:val="5AFA5C95"/>
    <w:rsid w:val="5CDE078E"/>
    <w:rsid w:val="5DC655CC"/>
    <w:rsid w:val="5F776EED"/>
    <w:rsid w:val="605176D9"/>
    <w:rsid w:val="63F828E6"/>
    <w:rsid w:val="654D6460"/>
    <w:rsid w:val="6AB57C02"/>
    <w:rsid w:val="6B27051F"/>
    <w:rsid w:val="6B753BDA"/>
    <w:rsid w:val="6B770841"/>
    <w:rsid w:val="6E8A0C2B"/>
    <w:rsid w:val="6EF60757"/>
    <w:rsid w:val="70FA146A"/>
    <w:rsid w:val="710228B1"/>
    <w:rsid w:val="73A7009A"/>
    <w:rsid w:val="73B95B2E"/>
    <w:rsid w:val="74130018"/>
    <w:rsid w:val="77CE2BEC"/>
    <w:rsid w:val="7AC757F1"/>
    <w:rsid w:val="7D700DB4"/>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qFormat="1"/>
    <w:lsdException w:name="Body Text First Indent" w:qFormat="1"/>
    <w:lsdException w:name="Body Text 2" w:uiPriority="99"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nhideWhenUsed="0" w:qFormat="1"/>
    <w:lsdException w:name="Table Theme" w:uiPriority="99"/>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link w:val="1Char"/>
    <w:qFormat/>
    <w:pPr>
      <w:keepNext/>
      <w:keepLines/>
      <w:spacing w:before="340" w:after="330" w:line="576" w:lineRule="auto"/>
      <w:outlineLvl w:val="0"/>
    </w:pPr>
    <w:rPr>
      <w:b/>
      <w:bCs/>
      <w:kern w:val="44"/>
      <w:sz w:val="44"/>
      <w:szCs w:val="44"/>
    </w:rPr>
  </w:style>
  <w:style w:type="paragraph" w:styleId="2">
    <w:name w:val="heading 2"/>
    <w:basedOn w:val="af9"/>
    <w:next w:val="af9"/>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link w:val="3Char"/>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qFormat/>
  </w:style>
  <w:style w:type="paragraph" w:styleId="60">
    <w:name w:val="toc 6"/>
    <w:basedOn w:val="50"/>
    <w:next w:val="af9"/>
    <w:qFormat/>
  </w:style>
  <w:style w:type="paragraph" w:styleId="50">
    <w:name w:val="toc 5"/>
    <w:basedOn w:val="40"/>
    <w:next w:val="af9"/>
    <w:qFormat/>
  </w:style>
  <w:style w:type="paragraph" w:styleId="40">
    <w:name w:val="toc 4"/>
    <w:basedOn w:val="30"/>
    <w:next w:val="af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uiPriority w:val="99"/>
    <w:qFormat/>
    <w:rPr>
      <w:rFonts w:ascii="宋体" w:hAnsi="Courier New"/>
      <w:szCs w:val="21"/>
    </w:rPr>
  </w:style>
  <w:style w:type="paragraph" w:styleId="80">
    <w:name w:val="toc 8"/>
    <w:basedOn w:val="70"/>
    <w:next w:val="af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0"/>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qFormat/>
    <w:rPr>
      <w:sz w:val="18"/>
      <w:szCs w:val="18"/>
    </w:rPr>
  </w:style>
  <w:style w:type="paragraph" w:styleId="aff6">
    <w:name w:val="footer"/>
    <w:basedOn w:val="af9"/>
    <w:link w:val="Char5"/>
    <w:qFormat/>
    <w:pPr>
      <w:tabs>
        <w:tab w:val="center" w:pos="4153"/>
        <w:tab w:val="right" w:pos="8306"/>
      </w:tabs>
      <w:snapToGrid w:val="0"/>
      <w:ind w:rightChars="100" w:right="210"/>
      <w:jc w:val="right"/>
    </w:pPr>
    <w:rPr>
      <w:sz w:val="18"/>
      <w:szCs w:val="18"/>
    </w:rPr>
  </w:style>
  <w:style w:type="paragraph" w:styleId="aff7">
    <w:name w:val="header"/>
    <w:basedOn w:val="af9"/>
    <w:link w:val="Char6"/>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qFormat/>
    <w:rPr>
      <w:b/>
      <w:bCs/>
    </w:rPr>
  </w:style>
  <w:style w:type="paragraph" w:styleId="affc">
    <w:name w:val="Body Text First Indent"/>
    <w:basedOn w:val="aff0"/>
    <w:qFormat/>
    <w:pPr>
      <w:ind w:firstLine="420"/>
    </w:pPr>
    <w:rPr>
      <w:szCs w:val="20"/>
    </w:rPr>
  </w:style>
  <w:style w:type="table" w:styleId="affd">
    <w:name w:val="Table Grid"/>
    <w:basedOn w:val="afb"/>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a"/>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b"/>
    <w:qFormat/>
    <w:pPr>
      <w:numPr>
        <w:ilvl w:val="3"/>
      </w:numPr>
      <w:outlineLvl w:val="3"/>
    </w:pPr>
    <w:rPr>
      <w:rFonts w:hAnsi="黑体"/>
      <w:color w:val="000000" w:themeColor="text1"/>
      <w:spacing w:val="-6"/>
    </w:rPr>
  </w:style>
  <w:style w:type="paragraph" w:customStyle="1" w:styleId="af3">
    <w:name w:val="一级条标题"/>
    <w:basedOn w:val="af2"/>
    <w:next w:val="afff4"/>
    <w:link w:val="Charc"/>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d"/>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f"/>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f0">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1"/>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a">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b">
    <w:name w:val="二级条标题 Char"/>
    <w:link w:val="af4"/>
    <w:qFormat/>
    <w:rPr>
      <w:rFonts w:ascii="黑体" w:eastAsia="黑体" w:hAnsi="黑体" w:cs="Times New Roman"/>
      <w:color w:val="000000" w:themeColor="text1"/>
      <w:spacing w:val="-6"/>
      <w:sz w:val="21"/>
      <w:szCs w:val="24"/>
    </w:rPr>
  </w:style>
  <w:style w:type="character" w:customStyle="1" w:styleId="Chard">
    <w:name w:val="章标题 Char"/>
    <w:link w:val="af2"/>
    <w:qFormat/>
    <w:rPr>
      <w:rFonts w:ascii="黑体" w:eastAsia="黑体" w:hAnsi="Times New Roman" w:cs="Times New Roman"/>
      <w:sz w:val="21"/>
    </w:rPr>
  </w:style>
  <w:style w:type="character" w:customStyle="1" w:styleId="Charc">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uiPriority w:val="99"/>
    <w:qFormat/>
    <w:rPr>
      <w:rFonts w:ascii="宋体" w:hAnsi="Courier New" w:cs="Courier New"/>
      <w:kern w:val="2"/>
      <w:sz w:val="21"/>
      <w:szCs w:val="21"/>
    </w:rPr>
  </w:style>
  <w:style w:type="character" w:customStyle="1" w:styleId="Charf">
    <w:name w:val="三级条标题 Char"/>
    <w:link w:val="af5"/>
    <w:qFormat/>
    <w:rPr>
      <w:rFonts w:ascii="黑体" w:eastAsia="黑体"/>
      <w:color w:val="FF0000"/>
      <w:spacing w:val="-4"/>
      <w:sz w:val="21"/>
      <w:szCs w:val="24"/>
    </w:rPr>
  </w:style>
  <w:style w:type="character" w:customStyle="1" w:styleId="Char4">
    <w:name w:val="批注框文本 Char"/>
    <w:link w:val="aff5"/>
    <w:qFormat/>
    <w:rPr>
      <w:kern w:val="2"/>
      <w:sz w:val="18"/>
      <w:szCs w:val="18"/>
    </w:rPr>
  </w:style>
  <w:style w:type="character" w:customStyle="1" w:styleId="Char0">
    <w:name w:val="正文文本 Char"/>
    <w:link w:val="aff0"/>
    <w:qFormat/>
    <w:rPr>
      <w:kern w:val="2"/>
      <w:sz w:val="21"/>
      <w:szCs w:val="24"/>
    </w:rPr>
  </w:style>
  <w:style w:type="character" w:customStyle="1" w:styleId="Charf1">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9">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0">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e">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qFormat/>
    <w:rPr>
      <w:rFonts w:ascii="宋体" w:eastAsia="宋体" w:hAnsi="宋体" w:hint="eastAsia"/>
      <w:color w:val="000000"/>
      <w:sz w:val="24"/>
      <w:szCs w:val="24"/>
    </w:rPr>
  </w:style>
  <w:style w:type="character" w:customStyle="1" w:styleId="1Char">
    <w:name w:val="标题 1 Char"/>
    <w:basedOn w:val="afa"/>
    <w:link w:val="1"/>
    <w:rPr>
      <w:rFonts w:ascii="Times New Roman" w:eastAsia="宋体" w:hAnsi="Times New Roman" w:cs="Times New Roman"/>
      <w:b/>
      <w:bCs/>
      <w:kern w:val="44"/>
      <w:sz w:val="44"/>
      <w:szCs w:val="44"/>
    </w:rPr>
  </w:style>
  <w:style w:type="character" w:customStyle="1" w:styleId="2Char">
    <w:name w:val="标题 2 Char"/>
    <w:basedOn w:val="afa"/>
    <w:link w:val="2"/>
    <w:rPr>
      <w:rFonts w:ascii="Arial" w:eastAsia="黑体" w:hAnsi="Arial" w:cs="Times New Roman"/>
      <w:b/>
      <w:bCs/>
      <w:kern w:val="2"/>
      <w:sz w:val="32"/>
      <w:szCs w:val="32"/>
    </w:rPr>
  </w:style>
  <w:style w:type="character" w:customStyle="1" w:styleId="3Char">
    <w:name w:val="标题 3 Char"/>
    <w:basedOn w:val="afa"/>
    <w:link w:val="3"/>
    <w:rPr>
      <w:rFonts w:ascii="Times New Roman" w:eastAsia="宋体" w:hAnsi="Times New Roman" w:cs="Times New Roman"/>
      <w:b/>
      <w:bCs/>
      <w:kern w:val="2"/>
      <w:sz w:val="32"/>
      <w:szCs w:val="32"/>
    </w:rPr>
  </w:style>
  <w:style w:type="character" w:customStyle="1" w:styleId="Char8">
    <w:name w:val="标题 Char"/>
    <w:link w:val="affa"/>
    <w:qFormat/>
    <w:rPr>
      <w:rFonts w:ascii="Arial" w:eastAsia="宋体" w:hAnsi="Arial" w:cs="Arial"/>
      <w:b/>
      <w:bCs/>
      <w:kern w:val="2"/>
      <w:sz w:val="32"/>
      <w:szCs w:val="32"/>
    </w:rPr>
  </w:style>
  <w:style w:type="character" w:customStyle="1" w:styleId="Char7">
    <w:name w:val="脚注文本 Char"/>
    <w:link w:val="aff8"/>
    <w:rPr>
      <w:rFonts w:ascii="Times New Roman" w:eastAsia="宋体" w:hAnsi="Times New Roman" w:cs="Times New Roman"/>
      <w:kern w:val="2"/>
      <w:sz w:val="18"/>
      <w:szCs w:val="18"/>
    </w:rPr>
  </w:style>
  <w:style w:type="character" w:customStyle="1" w:styleId="15">
    <w:name w:val="未处理的提及1"/>
    <w:uiPriority w:val="99"/>
    <w:unhideWhenUsed/>
    <w:rPr>
      <w:color w:val="605E5C"/>
      <w:shd w:val="clear" w:color="auto" w:fill="E1DFDD"/>
    </w:rPr>
  </w:style>
  <w:style w:type="character" w:customStyle="1" w:styleId="Char13">
    <w:name w:val="批注框文本 Char1"/>
    <w:basedOn w:val="afa"/>
    <w:uiPriority w:val="99"/>
    <w:semiHidden/>
    <w:rPr>
      <w:rFonts w:ascii="Calibri" w:eastAsia="宋体" w:hAnsi="Calibri" w:cs="Times New Roman"/>
      <w:sz w:val="18"/>
      <w:szCs w:val="18"/>
    </w:rPr>
  </w:style>
  <w:style w:type="character" w:customStyle="1" w:styleId="Char14">
    <w:name w:val="脚注文本 Char1"/>
    <w:basedOn w:val="afa"/>
    <w:uiPriority w:val="99"/>
    <w:semiHidden/>
    <w:rPr>
      <w:rFonts w:ascii="Calibri" w:eastAsia="宋体" w:hAnsi="Calibri" w:cs="Times New Roman"/>
      <w:sz w:val="18"/>
      <w:szCs w:val="18"/>
    </w:rPr>
  </w:style>
  <w:style w:type="character" w:customStyle="1" w:styleId="Char15">
    <w:name w:val="标题 Char1"/>
    <w:basedOn w:val="afa"/>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qFormat/>
  </w:style>
  <w:style w:type="paragraph" w:customStyle="1" w:styleId="WPSOffice1">
    <w:name w:val="WPSOffice手动目录 1"/>
    <w:rPr>
      <w:rFonts w:ascii="Calibri" w:eastAsia="宋体" w:hAnsi="Calibri" w:cs="Times New Roman"/>
    </w:rPr>
  </w:style>
  <w:style w:type="paragraph" w:customStyle="1" w:styleId="16">
    <w:name w:val="1"/>
    <w:basedOn w:val="af9"/>
    <w:next w:val="aff1"/>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style>
  <w:style w:type="paragraph" w:customStyle="1" w:styleId="WPSOffice2">
    <w:name w:val="WPSOffice手动目录 2"/>
    <w:pPr>
      <w:ind w:leftChars="200" w:left="200"/>
    </w:pPr>
    <w:rPr>
      <w:rFonts w:ascii="Calibri" w:eastAsia="宋体" w:hAnsi="Calibri" w:cs="Times New Roman"/>
    </w:rPr>
  </w:style>
  <w:style w:type="table" w:customStyle="1" w:styleId="17">
    <w:name w:val="网格型1"/>
    <w:basedOn w:val="afb"/>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Placeholder Text"/>
    <w:basedOn w:val="afa"/>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uiPriority w:val="1"/>
    <w:qFormat/>
    <w:pPr>
      <w:autoSpaceDE w:val="0"/>
      <w:autoSpaceDN w:val="0"/>
      <w:ind w:left="216"/>
      <w:jc w:val="left"/>
      <w:outlineLvl w:val="2"/>
    </w:pPr>
    <w:rPr>
      <w:rFonts w:eastAsia="Times New Roman"/>
      <w:kern w:val="0"/>
      <w:sz w:val="28"/>
      <w:szCs w:val="28"/>
      <w:lang w:eastAsia="en-US" w:bidi="en-US"/>
    </w:rPr>
  </w:style>
  <w:style w:type="paragraph" w:styleId="25">
    <w:name w:val="Body Text 2"/>
    <w:basedOn w:val="af9"/>
    <w:link w:val="2Char1"/>
    <w:uiPriority w:val="99"/>
    <w:qFormat/>
    <w:rsid w:val="007469CC"/>
    <w:pPr>
      <w:spacing w:after="120" w:line="480" w:lineRule="auto"/>
    </w:pPr>
  </w:style>
  <w:style w:type="character" w:customStyle="1" w:styleId="2Char1">
    <w:name w:val="正文文本 2 Char"/>
    <w:basedOn w:val="afa"/>
    <w:link w:val="25"/>
    <w:uiPriority w:val="99"/>
    <w:qFormat/>
    <w:rsid w:val="007469CC"/>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text"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uiPriority="99" w:qFormat="1"/>
    <w:lsdException w:name="Body Text First Indent" w:qFormat="1"/>
    <w:lsdException w:name="Body Text 2" w:uiPriority="99"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nhideWhenUsed="0" w:qFormat="1"/>
    <w:lsdException w:name="Table Theme" w:uiPriority="99"/>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rFonts w:ascii="Times New Roman" w:eastAsia="宋体" w:hAnsi="Times New Roman" w:cs="Times New Roman"/>
      <w:kern w:val="2"/>
      <w:sz w:val="21"/>
      <w:szCs w:val="24"/>
    </w:rPr>
  </w:style>
  <w:style w:type="paragraph" w:styleId="1">
    <w:name w:val="heading 1"/>
    <w:basedOn w:val="af9"/>
    <w:next w:val="af9"/>
    <w:link w:val="1Char"/>
    <w:qFormat/>
    <w:pPr>
      <w:keepNext/>
      <w:keepLines/>
      <w:spacing w:before="340" w:after="330" w:line="576" w:lineRule="auto"/>
      <w:outlineLvl w:val="0"/>
    </w:pPr>
    <w:rPr>
      <w:b/>
      <w:bCs/>
      <w:kern w:val="44"/>
      <w:sz w:val="44"/>
      <w:szCs w:val="44"/>
    </w:rPr>
  </w:style>
  <w:style w:type="paragraph" w:styleId="2">
    <w:name w:val="heading 2"/>
    <w:basedOn w:val="af9"/>
    <w:next w:val="af9"/>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f9"/>
    <w:next w:val="af9"/>
    <w:link w:val="3Char"/>
    <w:qFormat/>
    <w:pPr>
      <w:keepNext/>
      <w:keepLines/>
      <w:spacing w:before="260" w:after="260" w:line="413" w:lineRule="auto"/>
      <w:outlineLvl w:val="2"/>
    </w:pPr>
    <w:rPr>
      <w:b/>
      <w:bCs/>
      <w:sz w:val="32"/>
      <w:szCs w:val="32"/>
    </w:rPr>
  </w:style>
  <w:style w:type="paragraph" w:styleId="4">
    <w:name w:val="heading 4"/>
    <w:basedOn w:val="af9"/>
    <w:next w:val="af9"/>
    <w:qFormat/>
    <w:pPr>
      <w:keepNext/>
      <w:keepLines/>
      <w:spacing w:before="280" w:after="290" w:line="372"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2" w:lineRule="auto"/>
      <w:outlineLvl w:val="4"/>
    </w:pPr>
    <w:rPr>
      <w:b/>
      <w:bCs/>
      <w:sz w:val="28"/>
      <w:szCs w:val="28"/>
    </w:rPr>
  </w:style>
  <w:style w:type="paragraph" w:styleId="6">
    <w:name w:val="heading 6"/>
    <w:basedOn w:val="af9"/>
    <w:next w:val="af9"/>
    <w:qFormat/>
    <w:pPr>
      <w:keepNext/>
      <w:keepLines/>
      <w:spacing w:before="240" w:after="64" w:line="317" w:lineRule="auto"/>
      <w:outlineLvl w:val="5"/>
    </w:pPr>
    <w:rPr>
      <w:rFonts w:ascii="Arial" w:eastAsia="黑体" w:hAnsi="Arial"/>
      <w:b/>
      <w:bCs/>
      <w:sz w:val="24"/>
    </w:rPr>
  </w:style>
  <w:style w:type="paragraph" w:styleId="7">
    <w:name w:val="heading 7"/>
    <w:basedOn w:val="af9"/>
    <w:next w:val="af9"/>
    <w:qFormat/>
    <w:pPr>
      <w:keepNext/>
      <w:keepLines/>
      <w:spacing w:before="240" w:after="64" w:line="317" w:lineRule="auto"/>
      <w:outlineLvl w:val="6"/>
    </w:pPr>
    <w:rPr>
      <w:b/>
      <w:bCs/>
      <w:sz w:val="24"/>
    </w:rPr>
  </w:style>
  <w:style w:type="paragraph" w:styleId="8">
    <w:name w:val="heading 8"/>
    <w:basedOn w:val="af9"/>
    <w:next w:val="af9"/>
    <w:qFormat/>
    <w:pPr>
      <w:keepNext/>
      <w:keepLines/>
      <w:spacing w:before="240" w:after="64" w:line="317" w:lineRule="auto"/>
      <w:outlineLvl w:val="7"/>
    </w:pPr>
    <w:rPr>
      <w:rFonts w:ascii="Arial" w:eastAsia="黑体" w:hAnsi="Arial"/>
      <w:sz w:val="24"/>
    </w:rPr>
  </w:style>
  <w:style w:type="paragraph" w:styleId="9">
    <w:name w:val="heading 9"/>
    <w:basedOn w:val="af9"/>
    <w:next w:val="af9"/>
    <w:qFormat/>
    <w:pPr>
      <w:keepNext/>
      <w:keepLines/>
      <w:spacing w:before="240" w:after="64" w:line="317"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qFormat/>
  </w:style>
  <w:style w:type="paragraph" w:styleId="60">
    <w:name w:val="toc 6"/>
    <w:basedOn w:val="50"/>
    <w:next w:val="af9"/>
    <w:qFormat/>
  </w:style>
  <w:style w:type="paragraph" w:styleId="50">
    <w:name w:val="toc 5"/>
    <w:basedOn w:val="40"/>
    <w:next w:val="af9"/>
    <w:qFormat/>
  </w:style>
  <w:style w:type="paragraph" w:styleId="40">
    <w:name w:val="toc 4"/>
    <w:basedOn w:val="30"/>
    <w:next w:val="af9"/>
    <w:qFormat/>
  </w:style>
  <w:style w:type="paragraph" w:styleId="30">
    <w:name w:val="toc 3"/>
    <w:basedOn w:val="20"/>
    <w:next w:val="af9"/>
    <w:uiPriority w:val="39"/>
    <w:qFormat/>
  </w:style>
  <w:style w:type="paragraph" w:styleId="20">
    <w:name w:val="toc 2"/>
    <w:basedOn w:val="10"/>
    <w:next w:val="af9"/>
    <w:uiPriority w:val="39"/>
    <w:qFormat/>
  </w:style>
  <w:style w:type="paragraph" w:styleId="10">
    <w:name w:val="toc 1"/>
    <w:next w:val="af9"/>
    <w:uiPriority w:val="39"/>
    <w:qFormat/>
    <w:pPr>
      <w:jc w:val="both"/>
    </w:pPr>
    <w:rPr>
      <w:rFonts w:ascii="宋体" w:eastAsia="宋体" w:hAnsi="Times New Roman" w:cs="Times New Roman"/>
      <w:sz w:val="21"/>
    </w:rPr>
  </w:style>
  <w:style w:type="paragraph" w:styleId="afd">
    <w:name w:val="Normal Indent"/>
    <w:basedOn w:val="af9"/>
    <w:qFormat/>
    <w:pPr>
      <w:ind w:firstLine="420"/>
    </w:pPr>
    <w:rPr>
      <w:szCs w:val="20"/>
    </w:rPr>
  </w:style>
  <w:style w:type="paragraph" w:styleId="afe">
    <w:name w:val="caption"/>
    <w:basedOn w:val="af9"/>
    <w:next w:val="af9"/>
    <w:qFormat/>
    <w:pPr>
      <w:spacing w:before="152" w:after="160"/>
    </w:pPr>
    <w:rPr>
      <w:rFonts w:ascii="Arial" w:eastAsia="黑体" w:hAnsi="Arial"/>
      <w:szCs w:val="20"/>
    </w:rPr>
  </w:style>
  <w:style w:type="paragraph" w:styleId="aff">
    <w:name w:val="annotation text"/>
    <w:basedOn w:val="af9"/>
    <w:link w:val="Char"/>
    <w:qFormat/>
    <w:pPr>
      <w:jc w:val="left"/>
    </w:pPr>
  </w:style>
  <w:style w:type="paragraph" w:styleId="aff0">
    <w:name w:val="Body Text"/>
    <w:basedOn w:val="af9"/>
    <w:link w:val="Char0"/>
    <w:qFormat/>
    <w:pPr>
      <w:spacing w:after="120"/>
    </w:pPr>
  </w:style>
  <w:style w:type="paragraph" w:styleId="aff1">
    <w:name w:val="Body Text Indent"/>
    <w:basedOn w:val="af9"/>
    <w:link w:val="Char1"/>
    <w:qFormat/>
    <w:pPr>
      <w:spacing w:line="360" w:lineRule="exact"/>
      <w:ind w:left="420" w:firstLine="480"/>
    </w:pPr>
    <w:rPr>
      <w:sz w:val="24"/>
      <w:szCs w:val="20"/>
    </w:rPr>
  </w:style>
  <w:style w:type="paragraph" w:styleId="HTML">
    <w:name w:val="HTML Address"/>
    <w:basedOn w:val="af9"/>
    <w:qFormat/>
    <w:rPr>
      <w:i/>
      <w:iCs/>
    </w:rPr>
  </w:style>
  <w:style w:type="paragraph" w:styleId="aff2">
    <w:name w:val="Plain Text"/>
    <w:basedOn w:val="af9"/>
    <w:link w:val="Char2"/>
    <w:uiPriority w:val="99"/>
    <w:qFormat/>
    <w:rPr>
      <w:rFonts w:ascii="宋体" w:hAnsi="Courier New"/>
      <w:szCs w:val="21"/>
    </w:rPr>
  </w:style>
  <w:style w:type="paragraph" w:styleId="80">
    <w:name w:val="toc 8"/>
    <w:basedOn w:val="70"/>
    <w:next w:val="af9"/>
    <w:qFormat/>
  </w:style>
  <w:style w:type="paragraph" w:styleId="aff3">
    <w:name w:val="Date"/>
    <w:basedOn w:val="af9"/>
    <w:next w:val="af9"/>
    <w:link w:val="Char3"/>
    <w:uiPriority w:val="99"/>
    <w:qFormat/>
    <w:pPr>
      <w:ind w:leftChars="2500" w:left="100"/>
    </w:pPr>
    <w:rPr>
      <w:sz w:val="24"/>
      <w:szCs w:val="20"/>
    </w:rPr>
  </w:style>
  <w:style w:type="paragraph" w:styleId="21">
    <w:name w:val="Body Text Indent 2"/>
    <w:basedOn w:val="af9"/>
    <w:link w:val="2Char0"/>
    <w:qFormat/>
    <w:pPr>
      <w:spacing w:after="120" w:line="480" w:lineRule="auto"/>
      <w:ind w:leftChars="200" w:left="420"/>
    </w:pPr>
  </w:style>
  <w:style w:type="paragraph" w:styleId="aff4">
    <w:name w:val="endnote text"/>
    <w:basedOn w:val="af9"/>
    <w:qFormat/>
    <w:pPr>
      <w:snapToGrid w:val="0"/>
    </w:pPr>
  </w:style>
  <w:style w:type="paragraph" w:styleId="aff5">
    <w:name w:val="Balloon Text"/>
    <w:basedOn w:val="af9"/>
    <w:link w:val="Char4"/>
    <w:qFormat/>
    <w:rPr>
      <w:sz w:val="18"/>
      <w:szCs w:val="18"/>
    </w:rPr>
  </w:style>
  <w:style w:type="paragraph" w:styleId="aff6">
    <w:name w:val="footer"/>
    <w:basedOn w:val="af9"/>
    <w:link w:val="Char5"/>
    <w:qFormat/>
    <w:pPr>
      <w:tabs>
        <w:tab w:val="center" w:pos="4153"/>
        <w:tab w:val="right" w:pos="8306"/>
      </w:tabs>
      <w:snapToGrid w:val="0"/>
      <w:ind w:rightChars="100" w:right="210"/>
      <w:jc w:val="right"/>
    </w:pPr>
    <w:rPr>
      <w:sz w:val="18"/>
      <w:szCs w:val="18"/>
    </w:rPr>
  </w:style>
  <w:style w:type="paragraph" w:styleId="aff7">
    <w:name w:val="header"/>
    <w:basedOn w:val="af9"/>
    <w:link w:val="Char6"/>
    <w:qFormat/>
    <w:pPr>
      <w:pBdr>
        <w:bottom w:val="single" w:sz="6" w:space="1" w:color="auto"/>
      </w:pBdr>
      <w:tabs>
        <w:tab w:val="center" w:pos="4153"/>
        <w:tab w:val="right" w:pos="8306"/>
      </w:tabs>
      <w:snapToGrid w:val="0"/>
      <w:jc w:val="center"/>
    </w:pPr>
    <w:rPr>
      <w:sz w:val="18"/>
      <w:szCs w:val="18"/>
    </w:rPr>
  </w:style>
  <w:style w:type="paragraph" w:styleId="aff8">
    <w:name w:val="footnote text"/>
    <w:basedOn w:val="af9"/>
    <w:link w:val="Char7"/>
    <w:qFormat/>
    <w:pPr>
      <w:snapToGrid w:val="0"/>
      <w:jc w:val="left"/>
    </w:pPr>
    <w:rPr>
      <w:sz w:val="18"/>
      <w:szCs w:val="18"/>
    </w:rPr>
  </w:style>
  <w:style w:type="paragraph" w:styleId="31">
    <w:name w:val="Body Text Indent 3"/>
    <w:basedOn w:val="af9"/>
    <w:qFormat/>
    <w:pPr>
      <w:widowControl/>
      <w:spacing w:line="360" w:lineRule="auto"/>
      <w:ind w:firstLine="420"/>
    </w:pPr>
    <w:rPr>
      <w:rFonts w:hAnsi="宋体"/>
      <w:sz w:val="18"/>
    </w:rPr>
  </w:style>
  <w:style w:type="paragraph" w:styleId="90">
    <w:name w:val="toc 9"/>
    <w:basedOn w:val="80"/>
    <w:next w:val="af9"/>
    <w:qFormat/>
  </w:style>
  <w:style w:type="paragraph" w:styleId="HTML0">
    <w:name w:val="HTML Preformatted"/>
    <w:basedOn w:val="af9"/>
    <w:qFormat/>
    <w:rPr>
      <w:rFonts w:ascii="Courier New" w:hAnsi="Courier New" w:cs="Courier New"/>
      <w:sz w:val="20"/>
      <w:szCs w:val="20"/>
    </w:rPr>
  </w:style>
  <w:style w:type="paragraph" w:styleId="aff9">
    <w:name w:val="Normal (Web)"/>
    <w:basedOn w:val="af9"/>
    <w:uiPriority w:val="99"/>
    <w:unhideWhenUsed/>
    <w:qFormat/>
    <w:pPr>
      <w:widowControl/>
      <w:spacing w:before="100" w:beforeAutospacing="1" w:after="100" w:afterAutospacing="1"/>
      <w:jc w:val="left"/>
    </w:pPr>
    <w:rPr>
      <w:rFonts w:ascii="宋体" w:hAnsi="宋体" w:cs="宋体"/>
      <w:kern w:val="0"/>
      <w:sz w:val="24"/>
    </w:rPr>
  </w:style>
  <w:style w:type="paragraph" w:styleId="affa">
    <w:name w:val="Title"/>
    <w:basedOn w:val="af9"/>
    <w:link w:val="Char8"/>
    <w:qFormat/>
    <w:pPr>
      <w:spacing w:before="240" w:after="60"/>
      <w:jc w:val="center"/>
      <w:outlineLvl w:val="0"/>
    </w:pPr>
    <w:rPr>
      <w:rFonts w:ascii="Arial" w:hAnsi="Arial" w:cs="Arial"/>
      <w:b/>
      <w:bCs/>
      <w:sz w:val="32"/>
      <w:szCs w:val="32"/>
    </w:rPr>
  </w:style>
  <w:style w:type="paragraph" w:styleId="affb">
    <w:name w:val="annotation subject"/>
    <w:basedOn w:val="aff"/>
    <w:next w:val="aff"/>
    <w:link w:val="Char9"/>
    <w:qFormat/>
    <w:rPr>
      <w:b/>
      <w:bCs/>
    </w:rPr>
  </w:style>
  <w:style w:type="paragraph" w:styleId="affc">
    <w:name w:val="Body Text First Indent"/>
    <w:basedOn w:val="aff0"/>
    <w:qFormat/>
    <w:pPr>
      <w:ind w:firstLine="420"/>
    </w:pPr>
    <w:rPr>
      <w:szCs w:val="20"/>
    </w:rPr>
  </w:style>
  <w:style w:type="table" w:styleId="affd">
    <w:name w:val="Table Grid"/>
    <w:basedOn w:val="afb"/>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e">
    <w:name w:val="Strong"/>
    <w:uiPriority w:val="22"/>
    <w:qFormat/>
    <w:rPr>
      <w:b/>
      <w:bCs/>
    </w:rPr>
  </w:style>
  <w:style w:type="character" w:styleId="afff">
    <w:name w:val="page number"/>
    <w:qFormat/>
    <w:rPr>
      <w:rFonts w:ascii="Times New Roman" w:eastAsia="宋体" w:hAnsi="Times New Roman"/>
      <w:sz w:val="18"/>
    </w:rPr>
  </w:style>
  <w:style w:type="character" w:styleId="afff0">
    <w:name w:val="FollowedHyperlink"/>
    <w:unhideWhenUsed/>
    <w:qFormat/>
    <w:rPr>
      <w:color w:val="800080"/>
      <w:u w:val="single"/>
    </w:rPr>
  </w:style>
  <w:style w:type="character" w:styleId="HTML1">
    <w:name w:val="HTML Definition"/>
    <w:qFormat/>
    <w:rPr>
      <w:i/>
      <w:iCs/>
    </w:rPr>
  </w:style>
  <w:style w:type="character" w:styleId="HTML2">
    <w:name w:val="HTML Typewriter"/>
    <w:qFormat/>
    <w:rPr>
      <w:rFonts w:ascii="Courier New" w:hAnsi="Courier New"/>
      <w:sz w:val="20"/>
      <w:szCs w:val="20"/>
    </w:rPr>
  </w:style>
  <w:style w:type="character" w:styleId="HTML3">
    <w:name w:val="HTML Acronym"/>
    <w:basedOn w:val="afa"/>
    <w:qFormat/>
  </w:style>
  <w:style w:type="character" w:styleId="HTML4">
    <w:name w:val="HTML Variable"/>
    <w:qFormat/>
    <w:rPr>
      <w:i/>
      <w:iCs/>
    </w:rPr>
  </w:style>
  <w:style w:type="character" w:styleId="afff1">
    <w:name w:val="Hyperlink"/>
    <w:basedOn w:val="afa"/>
    <w:uiPriority w:val="99"/>
    <w:qFormat/>
    <w:rPr>
      <w:rFonts w:ascii="Times New Roman" w:eastAsia="宋体" w:hAnsi="Times New Roman"/>
      <w:color w:val="auto"/>
      <w:spacing w:val="0"/>
      <w:w w:val="100"/>
      <w:position w:val="0"/>
      <w:sz w:val="21"/>
      <w:u w:val="none"/>
    </w:rPr>
  </w:style>
  <w:style w:type="character" w:styleId="HTML5">
    <w:name w:val="HTML Code"/>
    <w:qFormat/>
    <w:rPr>
      <w:rFonts w:ascii="Courier New" w:hAnsi="Courier New"/>
      <w:sz w:val="20"/>
      <w:szCs w:val="20"/>
    </w:rPr>
  </w:style>
  <w:style w:type="character" w:styleId="afff2">
    <w:name w:val="annotation reference"/>
    <w:qFormat/>
    <w:rPr>
      <w:sz w:val="21"/>
      <w:szCs w:val="21"/>
    </w:rPr>
  </w:style>
  <w:style w:type="character" w:styleId="HTML6">
    <w:name w:val="HTML Cite"/>
    <w:qFormat/>
    <w:rPr>
      <w:i/>
      <w:iCs/>
    </w:rPr>
  </w:style>
  <w:style w:type="character" w:styleId="afff3">
    <w:name w:val="footnote reference"/>
    <w:qFormat/>
    <w:rPr>
      <w:vertAlign w:val="superscript"/>
    </w:rPr>
  </w:style>
  <w:style w:type="character" w:styleId="HTML7">
    <w:name w:val="HTML Keyboard"/>
    <w:qFormat/>
    <w:rPr>
      <w:rFonts w:ascii="Courier New" w:hAnsi="Courier New"/>
      <w:sz w:val="20"/>
      <w:szCs w:val="20"/>
    </w:rPr>
  </w:style>
  <w:style w:type="character" w:styleId="HTML8">
    <w:name w:val="HTML Sample"/>
    <w:qFormat/>
    <w:rPr>
      <w:rFonts w:ascii="Courier New" w:hAnsi="Courier New"/>
    </w:rPr>
  </w:style>
  <w:style w:type="paragraph" w:customStyle="1" w:styleId="afff4">
    <w:name w:val="段"/>
    <w:link w:val="Chara"/>
    <w:qFormat/>
    <w:pPr>
      <w:autoSpaceDE w:val="0"/>
      <w:autoSpaceDN w:val="0"/>
      <w:adjustRightInd w:val="0"/>
      <w:snapToGrid w:val="0"/>
      <w:ind w:firstLineChars="200" w:firstLine="400"/>
      <w:jc w:val="both"/>
    </w:pPr>
    <w:rPr>
      <w:rFonts w:ascii="宋体" w:eastAsia="宋体" w:hAnsi="宋体" w:cs="Times New Roman"/>
      <w:sz w:val="21"/>
    </w:rPr>
  </w:style>
  <w:style w:type="paragraph" w:customStyle="1" w:styleId="af4">
    <w:name w:val="二级条标题"/>
    <w:basedOn w:val="af3"/>
    <w:next w:val="afff4"/>
    <w:link w:val="Charb"/>
    <w:qFormat/>
    <w:pPr>
      <w:numPr>
        <w:ilvl w:val="3"/>
      </w:numPr>
      <w:outlineLvl w:val="3"/>
    </w:pPr>
    <w:rPr>
      <w:rFonts w:hAnsi="黑体"/>
      <w:color w:val="000000" w:themeColor="text1"/>
      <w:spacing w:val="-6"/>
    </w:rPr>
  </w:style>
  <w:style w:type="paragraph" w:customStyle="1" w:styleId="af3">
    <w:name w:val="一级条标题"/>
    <w:basedOn w:val="af2"/>
    <w:next w:val="afff4"/>
    <w:link w:val="Charc"/>
    <w:qFormat/>
    <w:pPr>
      <w:numPr>
        <w:ilvl w:val="2"/>
      </w:numPr>
      <w:spacing w:beforeLines="0" w:afterLines="0" w:line="300" w:lineRule="auto"/>
      <w:outlineLvl w:val="2"/>
    </w:pPr>
    <w:rPr>
      <w:color w:val="FF0000"/>
      <w:spacing w:val="-4"/>
      <w:szCs w:val="24"/>
    </w:rPr>
  </w:style>
  <w:style w:type="paragraph" w:customStyle="1" w:styleId="af2">
    <w:name w:val="章标题"/>
    <w:next w:val="afff4"/>
    <w:link w:val="Chard"/>
    <w:qFormat/>
    <w:pPr>
      <w:numPr>
        <w:ilvl w:val="1"/>
        <w:numId w:val="1"/>
      </w:numPr>
      <w:spacing w:beforeLines="50" w:afterLines="50"/>
      <w:jc w:val="both"/>
      <w:outlineLvl w:val="1"/>
    </w:pPr>
    <w:rPr>
      <w:rFonts w:ascii="黑体" w:eastAsia="黑体" w:hAnsi="Times New Roman" w:cs="Times New Roman"/>
      <w:sz w:val="21"/>
    </w:rPr>
  </w:style>
  <w:style w:type="paragraph" w:customStyle="1" w:styleId="afff5">
    <w:name w:val="封面标准文稿类别"/>
    <w:qFormat/>
    <w:pPr>
      <w:spacing w:before="440" w:line="400" w:lineRule="exact"/>
      <w:jc w:val="center"/>
    </w:pPr>
    <w:rPr>
      <w:rFonts w:ascii="宋体" w:eastAsia="宋体" w:hAnsi="Times New Roman" w:cs="Times New Roman"/>
      <w:sz w:val="24"/>
    </w:rPr>
  </w:style>
  <w:style w:type="paragraph" w:customStyle="1" w:styleId="22">
    <w:name w:val="封面标准号2"/>
    <w:basedOn w:val="11"/>
    <w:qFormat/>
    <w:pPr>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8">
    <w:name w:val="附录标识"/>
    <w:basedOn w:val="af1"/>
    <w:link w:val="Chare"/>
    <w:qFormat/>
    <w:pPr>
      <w:numPr>
        <w:numId w:val="2"/>
      </w:numPr>
      <w:tabs>
        <w:tab w:val="left" w:pos="6405"/>
      </w:tabs>
      <w:spacing w:after="200"/>
    </w:pPr>
    <w:rPr>
      <w:sz w:val="21"/>
    </w:rPr>
  </w:style>
  <w:style w:type="paragraph" w:customStyle="1" w:styleId="af1">
    <w:name w:val="前言、引言标题"/>
    <w:next w:val="af9"/>
    <w:qFormat/>
    <w:pPr>
      <w:numPr>
        <w:numId w:val="1"/>
      </w:numPr>
      <w:shd w:val="clear" w:color="FFFFFF" w:fill="FFFFFF"/>
      <w:spacing w:before="640" w:after="560"/>
      <w:jc w:val="center"/>
      <w:outlineLvl w:val="0"/>
    </w:pPr>
    <w:rPr>
      <w:rFonts w:ascii="黑体" w:eastAsia="黑体" w:hAnsi="Times New Roman" w:cs="Times New Roman"/>
      <w:sz w:val="32"/>
    </w:rPr>
  </w:style>
  <w:style w:type="paragraph" w:customStyle="1" w:styleId="afff6">
    <w:name w:val="封面标准文稿编辑信息"/>
    <w:qFormat/>
    <w:pPr>
      <w:spacing w:before="180" w:line="180" w:lineRule="exact"/>
      <w:jc w:val="center"/>
    </w:pPr>
    <w:rPr>
      <w:rFonts w:ascii="宋体" w:eastAsia="宋体" w:hAnsi="Times New Roman" w:cs="Times New Roman"/>
      <w:sz w:val="21"/>
    </w:rPr>
  </w:style>
  <w:style w:type="paragraph" w:customStyle="1" w:styleId="afff7">
    <w:name w:val="发布部门"/>
    <w:next w:val="afff4"/>
    <w:qFormat/>
    <w:pPr>
      <w:jc w:val="center"/>
    </w:pPr>
    <w:rPr>
      <w:rFonts w:ascii="宋体" w:eastAsia="宋体" w:hAnsi="Times New Roman" w:cs="Times New Roman"/>
      <w:b/>
      <w:spacing w:val="20"/>
      <w:w w:val="135"/>
      <w:sz w:val="36"/>
    </w:rPr>
  </w:style>
  <w:style w:type="paragraph" w:customStyle="1" w:styleId="afff8">
    <w:name w:val="标准书脚_偶数页"/>
    <w:qFormat/>
    <w:pPr>
      <w:spacing w:before="120"/>
    </w:pPr>
    <w:rPr>
      <w:rFonts w:ascii="Times New Roman" w:eastAsia="宋体" w:hAnsi="Times New Roman" w:cs="Times New Roman"/>
      <w:sz w:val="18"/>
    </w:rPr>
  </w:style>
  <w:style w:type="paragraph" w:customStyle="1" w:styleId="af6">
    <w:name w:val="四级条标题"/>
    <w:basedOn w:val="af5"/>
    <w:next w:val="afff4"/>
    <w:qFormat/>
    <w:pPr>
      <w:numPr>
        <w:ilvl w:val="5"/>
      </w:numPr>
      <w:outlineLvl w:val="5"/>
    </w:pPr>
  </w:style>
  <w:style w:type="paragraph" w:customStyle="1" w:styleId="af5">
    <w:name w:val="三级条标题"/>
    <w:basedOn w:val="af4"/>
    <w:next w:val="afff4"/>
    <w:link w:val="Charf"/>
    <w:qFormat/>
    <w:pPr>
      <w:numPr>
        <w:ilvl w:val="4"/>
      </w:numPr>
      <w:outlineLvl w:val="4"/>
    </w:pPr>
  </w:style>
  <w:style w:type="paragraph" w:customStyle="1" w:styleId="af8">
    <w:name w:val="列项——"/>
    <w:qFormat/>
    <w:pPr>
      <w:widowControl w:val="0"/>
      <w:numPr>
        <w:numId w:val="3"/>
      </w:numPr>
      <w:tabs>
        <w:tab w:val="clear" w:pos="1140"/>
        <w:tab w:val="left" w:pos="854"/>
      </w:tabs>
      <w:ind w:leftChars="200" w:left="200" w:hangingChars="200" w:hanging="200"/>
      <w:jc w:val="both"/>
    </w:pPr>
    <w:rPr>
      <w:rFonts w:ascii="宋体" w:eastAsia="宋体" w:hAnsi="Times New Roman" w:cs="Times New Roman"/>
      <w:sz w:val="21"/>
    </w:rPr>
  </w:style>
  <w:style w:type="paragraph" w:customStyle="1" w:styleId="afff9">
    <w:name w:val="标准书脚_奇数页"/>
    <w:qFormat/>
    <w:pPr>
      <w:spacing w:before="120"/>
      <w:jc w:val="right"/>
    </w:pPr>
    <w:rPr>
      <w:rFonts w:ascii="Times New Roman" w:eastAsia="宋体" w:hAnsi="Times New Roman" w:cs="Times New Roman"/>
      <w:sz w:val="18"/>
    </w:rPr>
  </w:style>
  <w:style w:type="paragraph" w:customStyle="1" w:styleId="afffa">
    <w:name w:val="参考文献、索引标题"/>
    <w:basedOn w:val="af1"/>
    <w:next w:val="af9"/>
    <w:qFormat/>
    <w:pPr>
      <w:numPr>
        <w:numId w:val="0"/>
      </w:numPr>
      <w:spacing w:after="200"/>
    </w:pPr>
    <w:rPr>
      <w:sz w:val="21"/>
    </w:rPr>
  </w:style>
  <w:style w:type="paragraph" w:customStyle="1" w:styleId="afffb">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c">
    <w:name w:val="实施日期"/>
    <w:basedOn w:val="afffd"/>
    <w:qFormat/>
    <w:pPr>
      <w:jc w:val="right"/>
    </w:pPr>
  </w:style>
  <w:style w:type="paragraph" w:customStyle="1" w:styleId="afffd">
    <w:name w:val="发布日期"/>
    <w:qFormat/>
    <w:rPr>
      <w:rFonts w:ascii="Times New Roman" w:eastAsia="黑体" w:hAnsi="Times New Roman" w:cs="Times New Roman"/>
      <w:sz w:val="28"/>
    </w:rPr>
  </w:style>
  <w:style w:type="paragraph" w:customStyle="1" w:styleId="afffe">
    <w:name w:val="条文脚注"/>
    <w:basedOn w:val="aff8"/>
    <w:qFormat/>
    <w:pPr>
      <w:ind w:leftChars="200" w:left="780" w:hangingChars="200" w:hanging="360"/>
      <w:jc w:val="both"/>
    </w:pPr>
    <w:rPr>
      <w:rFonts w:ascii="宋体"/>
    </w:rPr>
  </w:style>
  <w:style w:type="paragraph" w:customStyle="1" w:styleId="a9">
    <w:name w:val="附录章标题"/>
    <w:next w:val="afff4"/>
    <w:qFormat/>
    <w:pPr>
      <w:numPr>
        <w:ilvl w:val="1"/>
        <w:numId w:val="2"/>
      </w:num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
    <w:name w:val="注×："/>
    <w:qFormat/>
    <w:pPr>
      <w:widowControl w:val="0"/>
      <w:numPr>
        <w:numId w:val="4"/>
      </w:numPr>
      <w:tabs>
        <w:tab w:val="clear" w:pos="900"/>
        <w:tab w:val="left" w:pos="630"/>
      </w:tabs>
      <w:autoSpaceDE w:val="0"/>
      <w:autoSpaceDN w:val="0"/>
      <w:jc w:val="both"/>
    </w:pPr>
    <w:rPr>
      <w:rFonts w:ascii="宋体" w:eastAsia="宋体" w:hAnsi="Times New Roman" w:cs="Times New Roman"/>
      <w:sz w:val="18"/>
    </w:rPr>
  </w:style>
  <w:style w:type="paragraph" w:customStyle="1" w:styleId="af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ff0">
    <w:name w:val="图表脚注"/>
    <w:next w:val="afff4"/>
    <w:qFormat/>
    <w:pPr>
      <w:ind w:leftChars="200" w:left="300" w:hangingChars="100" w:hanging="100"/>
      <w:jc w:val="both"/>
    </w:pPr>
    <w:rPr>
      <w:rFonts w:ascii="宋体" w:eastAsia="宋体" w:hAnsi="Times New Roman" w:cs="Times New Roman"/>
      <w:sz w:val="18"/>
    </w:rPr>
  </w:style>
  <w:style w:type="paragraph" w:customStyle="1" w:styleId="a6">
    <w:name w:val="五级无标题条"/>
    <w:basedOn w:val="af9"/>
    <w:qFormat/>
    <w:pPr>
      <w:numPr>
        <w:ilvl w:val="6"/>
        <w:numId w:val="5"/>
      </w:numPr>
    </w:pPr>
  </w:style>
  <w:style w:type="paragraph" w:customStyle="1" w:styleId="affff1">
    <w:name w:val="标准标志"/>
    <w:next w:val="af9"/>
    <w:qFormat/>
    <w:pPr>
      <w:shd w:val="solid" w:color="FFFFFF" w:fill="FFFFFF"/>
      <w:spacing w:line="0" w:lineRule="atLeast"/>
      <w:jc w:val="right"/>
    </w:pPr>
    <w:rPr>
      <w:rFonts w:ascii="Times New Roman" w:eastAsia="宋体" w:hAnsi="Times New Roman" w:cs="Times New Roman"/>
      <w:b/>
      <w:w w:val="130"/>
      <w:sz w:val="96"/>
    </w:rPr>
  </w:style>
  <w:style w:type="paragraph" w:customStyle="1" w:styleId="Charf0">
    <w:name w:val="Char"/>
    <w:basedOn w:val="af9"/>
    <w:qFormat/>
    <w:pPr>
      <w:widowControl/>
      <w:spacing w:after="160" w:line="240" w:lineRule="exact"/>
      <w:jc w:val="left"/>
    </w:pPr>
  </w:style>
  <w:style w:type="paragraph" w:customStyle="1" w:styleId="affff2">
    <w:name w:val="无标题条"/>
    <w:next w:val="afff4"/>
    <w:qFormat/>
    <w:pPr>
      <w:jc w:val="both"/>
    </w:pPr>
    <w:rPr>
      <w:rFonts w:ascii="Times New Roman" w:eastAsia="宋体" w:hAnsi="Times New Roman" w:cs="Times New Roman"/>
      <w:sz w:val="21"/>
    </w:rPr>
  </w:style>
  <w:style w:type="paragraph" w:customStyle="1" w:styleId="af7">
    <w:name w:val="五级条标题"/>
    <w:basedOn w:val="af6"/>
    <w:next w:val="afff4"/>
    <w:qFormat/>
    <w:pPr>
      <w:numPr>
        <w:ilvl w:val="6"/>
      </w:numPr>
      <w:outlineLvl w:val="6"/>
    </w:pPr>
  </w:style>
  <w:style w:type="paragraph" w:customStyle="1" w:styleId="Default">
    <w:name w:val="Default"/>
    <w:qFormat/>
    <w:pPr>
      <w:widowControl w:val="0"/>
      <w:autoSpaceDE w:val="0"/>
      <w:autoSpaceDN w:val="0"/>
      <w:adjustRightInd w:val="0"/>
    </w:pPr>
    <w:rPr>
      <w:rFonts w:ascii="宋体" w:eastAsia="宋体" w:hAnsi="Times New Roman" w:cs="Times New Roman"/>
    </w:rPr>
  </w:style>
  <w:style w:type="paragraph" w:customStyle="1" w:styleId="affff3">
    <w:name w:val="标准书眉_奇数页"/>
    <w:next w:val="af9"/>
    <w:qFormat/>
    <w:pPr>
      <w:tabs>
        <w:tab w:val="center" w:pos="4154"/>
        <w:tab w:val="right" w:pos="8306"/>
      </w:tabs>
      <w:spacing w:after="120"/>
      <w:jc w:val="right"/>
    </w:pPr>
    <w:rPr>
      <w:rFonts w:ascii="Times New Roman" w:eastAsia="宋体" w:hAnsi="Times New Roman" w:cs="Times New Roman"/>
      <w:sz w:val="21"/>
    </w:rPr>
  </w:style>
  <w:style w:type="paragraph" w:customStyle="1" w:styleId="af0">
    <w:name w:val="正文图标题"/>
    <w:next w:val="afff4"/>
    <w:qFormat/>
    <w:pPr>
      <w:numPr>
        <w:numId w:val="6"/>
      </w:numPr>
      <w:jc w:val="center"/>
    </w:pPr>
    <w:rPr>
      <w:rFonts w:ascii="黑体" w:eastAsia="黑体" w:hAnsi="Times New Roman" w:cs="Times New Roman"/>
      <w:sz w:val="21"/>
    </w:rPr>
  </w:style>
  <w:style w:type="paragraph" w:customStyle="1" w:styleId="a1">
    <w:name w:val="注："/>
    <w:next w:val="afff4"/>
    <w:link w:val="Charf1"/>
    <w:qFormat/>
    <w:pPr>
      <w:widowControl w:val="0"/>
      <w:numPr>
        <w:numId w:val="7"/>
      </w:numPr>
      <w:autoSpaceDE w:val="0"/>
      <w:autoSpaceDN w:val="0"/>
      <w:jc w:val="both"/>
    </w:pPr>
    <w:rPr>
      <w:rFonts w:ascii="宋体" w:eastAsia="宋体" w:hAnsi="Times New Roman" w:cs="Times New Roman"/>
      <w:sz w:val="18"/>
    </w:rPr>
  </w:style>
  <w:style w:type="paragraph" w:customStyle="1" w:styleId="affff4">
    <w:name w:val="字母编号列项（一级）"/>
    <w:qFormat/>
    <w:pPr>
      <w:ind w:leftChars="200" w:left="840" w:hangingChars="200" w:hanging="420"/>
      <w:jc w:val="both"/>
    </w:pPr>
    <w:rPr>
      <w:rFonts w:ascii="宋体" w:eastAsia="宋体" w:hAnsi="Times New Roman" w:cs="Times New Roman"/>
      <w:sz w:val="21"/>
    </w:rPr>
  </w:style>
  <w:style w:type="paragraph" w:customStyle="1" w:styleId="affff5">
    <w:name w:val="标准书眉_偶数页"/>
    <w:basedOn w:val="affff3"/>
    <w:next w:val="af9"/>
    <w:qFormat/>
    <w:pPr>
      <w:jc w:val="left"/>
    </w:pPr>
  </w:style>
  <w:style w:type="paragraph" w:customStyle="1" w:styleId="a3">
    <w:name w:val="二级无标题条"/>
    <w:basedOn w:val="af9"/>
    <w:qFormat/>
    <w:pPr>
      <w:numPr>
        <w:ilvl w:val="3"/>
        <w:numId w:val="5"/>
      </w:numPr>
    </w:pPr>
  </w:style>
  <w:style w:type="paragraph" w:customStyle="1" w:styleId="affff6">
    <w:name w:val="附录表标题"/>
    <w:next w:val="afff4"/>
    <w:qFormat/>
    <w:pPr>
      <w:jc w:val="center"/>
      <w:textAlignment w:val="baseline"/>
    </w:pPr>
    <w:rPr>
      <w:rFonts w:ascii="黑体" w:eastAsia="黑体" w:hAnsi="Times New Roman" w:cs="Times New Roman"/>
      <w:kern w:val="21"/>
      <w:sz w:val="21"/>
    </w:rPr>
  </w:style>
  <w:style w:type="paragraph" w:customStyle="1" w:styleId="affff7">
    <w:name w:val="文献分类号"/>
    <w:qFormat/>
    <w:pPr>
      <w:widowControl w:val="0"/>
      <w:textAlignment w:val="center"/>
    </w:pPr>
    <w:rPr>
      <w:rFonts w:ascii="Times New Roman" w:eastAsia="黑体" w:hAnsi="Times New Roman" w:cs="Times New Roman"/>
      <w:sz w:val="21"/>
    </w:rPr>
  </w:style>
  <w:style w:type="paragraph" w:customStyle="1" w:styleId="affff8">
    <w:name w:val="其他标准称谓"/>
    <w:qFormat/>
    <w:pPr>
      <w:spacing w:line="0" w:lineRule="atLeast"/>
      <w:jc w:val="distribute"/>
    </w:pPr>
    <w:rPr>
      <w:rFonts w:ascii="黑体" w:eastAsia="黑体" w:hAnsi="宋体" w:cs="Times New Roman"/>
      <w:sz w:val="52"/>
    </w:rPr>
  </w:style>
  <w:style w:type="paragraph" w:customStyle="1" w:styleId="affff9">
    <w:name w:val="封面正文"/>
    <w:qFormat/>
    <w:pPr>
      <w:jc w:val="both"/>
    </w:pPr>
    <w:rPr>
      <w:rFonts w:ascii="Times New Roman" w:eastAsia="宋体" w:hAnsi="Times New Roman" w:cs="Times New Roman"/>
    </w:rPr>
  </w:style>
  <w:style w:type="paragraph" w:customStyle="1" w:styleId="ae">
    <w:name w:val="附录五级条标题"/>
    <w:basedOn w:val="ad"/>
    <w:next w:val="afff4"/>
    <w:qFormat/>
    <w:pPr>
      <w:numPr>
        <w:ilvl w:val="6"/>
      </w:numPr>
      <w:outlineLvl w:val="6"/>
    </w:pPr>
  </w:style>
  <w:style w:type="paragraph" w:customStyle="1" w:styleId="ad">
    <w:name w:val="附录四级条标题"/>
    <w:basedOn w:val="ac"/>
    <w:next w:val="afff4"/>
    <w:qFormat/>
    <w:pPr>
      <w:numPr>
        <w:ilvl w:val="5"/>
      </w:numPr>
      <w:outlineLvl w:val="5"/>
    </w:pPr>
  </w:style>
  <w:style w:type="paragraph" w:customStyle="1" w:styleId="ac">
    <w:name w:val="附录三级条标题"/>
    <w:basedOn w:val="ab"/>
    <w:next w:val="afff4"/>
    <w:qFormat/>
    <w:pPr>
      <w:numPr>
        <w:ilvl w:val="4"/>
      </w:numPr>
      <w:outlineLvl w:val="4"/>
    </w:pPr>
  </w:style>
  <w:style w:type="paragraph" w:customStyle="1" w:styleId="ab">
    <w:name w:val="附录二级条标题"/>
    <w:basedOn w:val="aa"/>
    <w:next w:val="afff4"/>
    <w:qFormat/>
    <w:pPr>
      <w:numPr>
        <w:ilvl w:val="3"/>
      </w:numPr>
      <w:outlineLvl w:val="3"/>
    </w:pPr>
  </w:style>
  <w:style w:type="paragraph" w:customStyle="1" w:styleId="aa">
    <w:name w:val="附录一级条标题"/>
    <w:basedOn w:val="a9"/>
    <w:next w:val="afff4"/>
    <w:qFormat/>
    <w:pPr>
      <w:numPr>
        <w:ilvl w:val="2"/>
      </w:numPr>
      <w:autoSpaceDN w:val="0"/>
      <w:spacing w:beforeLines="0" w:afterLines="0"/>
      <w:outlineLvl w:val="2"/>
    </w:pPr>
  </w:style>
  <w:style w:type="paragraph" w:customStyle="1" w:styleId="affffa">
    <w:name w:val="数字编号列项（二级）"/>
    <w:qFormat/>
    <w:pPr>
      <w:ind w:leftChars="400" w:left="1260" w:hangingChars="200" w:hanging="420"/>
      <w:jc w:val="both"/>
    </w:pPr>
    <w:rPr>
      <w:rFonts w:ascii="宋体" w:eastAsia="宋体" w:hAnsi="Times New Roman" w:cs="Times New Roman"/>
      <w:sz w:val="21"/>
    </w:rPr>
  </w:style>
  <w:style w:type="paragraph" w:customStyle="1" w:styleId="affffb">
    <w:name w:val="附录图标题"/>
    <w:next w:val="afff4"/>
    <w:qFormat/>
    <w:pPr>
      <w:jc w:val="center"/>
    </w:pPr>
    <w:rPr>
      <w:rFonts w:ascii="黑体" w:eastAsia="黑体" w:hAnsi="Times New Roman" w:cs="Times New Roman"/>
      <w:sz w:val="21"/>
    </w:rPr>
  </w:style>
  <w:style w:type="paragraph" w:customStyle="1" w:styleId="affffc">
    <w:name w:val="封面一致性程度标识"/>
    <w:qFormat/>
    <w:pPr>
      <w:spacing w:before="440" w:line="400" w:lineRule="exact"/>
      <w:jc w:val="center"/>
    </w:pPr>
    <w:rPr>
      <w:rFonts w:ascii="宋体" w:eastAsia="宋体" w:hAnsi="Times New Roman" w:cs="Times New Roman"/>
      <w:sz w:val="28"/>
    </w:rPr>
  </w:style>
  <w:style w:type="paragraph" w:customStyle="1" w:styleId="af">
    <w:name w:val="正文表标题"/>
    <w:next w:val="afff4"/>
    <w:qFormat/>
    <w:pPr>
      <w:numPr>
        <w:numId w:val="8"/>
      </w:numPr>
      <w:jc w:val="center"/>
    </w:pPr>
    <w:rPr>
      <w:rFonts w:ascii="黑体" w:eastAsia="黑体" w:hAnsi="Times New Roman" w:cs="Times New Roman"/>
      <w:sz w:val="21"/>
    </w:rPr>
  </w:style>
  <w:style w:type="paragraph" w:customStyle="1" w:styleId="a0">
    <w:name w:val="示例"/>
    <w:next w:val="afff4"/>
    <w:qFormat/>
    <w:pPr>
      <w:numPr>
        <w:numId w:val="9"/>
      </w:numPr>
      <w:tabs>
        <w:tab w:val="clear" w:pos="1120"/>
        <w:tab w:val="left" w:pos="816"/>
      </w:tabs>
      <w:ind w:firstLineChars="233" w:firstLine="419"/>
      <w:jc w:val="both"/>
    </w:pPr>
    <w:rPr>
      <w:rFonts w:ascii="宋体" w:eastAsia="宋体" w:hAnsi="Times New Roman" w:cs="Times New Roman"/>
      <w:sz w:val="18"/>
    </w:rPr>
  </w:style>
  <w:style w:type="paragraph" w:customStyle="1" w:styleId="affffd">
    <w:name w:val="篇"/>
    <w:basedOn w:val="af9"/>
    <w:next w:val="af9"/>
    <w:qFormat/>
    <w:pPr>
      <w:adjustRightInd w:val="0"/>
      <w:spacing w:line="360" w:lineRule="atLeast"/>
      <w:jc w:val="center"/>
      <w:textAlignment w:val="baseline"/>
    </w:pPr>
    <w:rPr>
      <w:rFonts w:eastAsia="黑体"/>
      <w:kern w:val="0"/>
      <w:sz w:val="24"/>
      <w:szCs w:val="20"/>
    </w:rPr>
  </w:style>
  <w:style w:type="paragraph" w:customStyle="1" w:styleId="a5">
    <w:name w:val="四级无标题条"/>
    <w:basedOn w:val="af9"/>
    <w:qFormat/>
    <w:pPr>
      <w:numPr>
        <w:ilvl w:val="5"/>
        <w:numId w:val="5"/>
      </w:numPr>
    </w:pPr>
  </w:style>
  <w:style w:type="paragraph" w:customStyle="1" w:styleId="affffe">
    <w:name w:val="目次、标准名称标题"/>
    <w:basedOn w:val="af1"/>
    <w:next w:val="afff4"/>
    <w:qFormat/>
    <w:pPr>
      <w:numPr>
        <w:numId w:val="0"/>
      </w:numPr>
      <w:spacing w:line="460" w:lineRule="exact"/>
    </w:pPr>
  </w:style>
  <w:style w:type="paragraph" w:customStyle="1" w:styleId="afffff">
    <w:name w:val="标准书眉一"/>
    <w:qFormat/>
    <w:pPr>
      <w:jc w:val="both"/>
    </w:pPr>
    <w:rPr>
      <w:rFonts w:ascii="Times New Roman" w:eastAsia="宋体" w:hAnsi="Times New Roman" w:cs="Times New Roman"/>
    </w:rPr>
  </w:style>
  <w:style w:type="paragraph" w:customStyle="1" w:styleId="afffff0">
    <w:name w:val="标准称谓"/>
    <w:next w:val="af9"/>
    <w:qFormat/>
    <w:pPr>
      <w:widowControl w:val="0"/>
      <w:kinsoku w:val="0"/>
      <w:overflowPunct w:val="0"/>
      <w:autoSpaceDE w:val="0"/>
      <w:autoSpaceDN w:val="0"/>
      <w:spacing w:line="0" w:lineRule="atLeast"/>
      <w:jc w:val="distribute"/>
    </w:pPr>
    <w:rPr>
      <w:rFonts w:ascii="宋体" w:eastAsia="宋体" w:hAnsi="Times New Roman" w:cs="Times New Roman"/>
      <w:b/>
      <w:bCs/>
      <w:spacing w:val="20"/>
      <w:w w:val="148"/>
      <w:sz w:val="52"/>
    </w:rPr>
  </w:style>
  <w:style w:type="paragraph" w:customStyle="1" w:styleId="afffff1">
    <w:name w:val="其他发布部门"/>
    <w:basedOn w:val="afff7"/>
    <w:qFormat/>
    <w:pPr>
      <w:spacing w:line="0" w:lineRule="atLeast"/>
    </w:pPr>
    <w:rPr>
      <w:rFonts w:ascii="黑体" w:eastAsia="黑体"/>
      <w:b w:val="0"/>
    </w:rPr>
  </w:style>
  <w:style w:type="paragraph" w:customStyle="1" w:styleId="a7">
    <w:name w:val="列项·"/>
    <w:qFormat/>
    <w:pPr>
      <w:numPr>
        <w:numId w:val="10"/>
      </w:numPr>
      <w:tabs>
        <w:tab w:val="clear" w:pos="1140"/>
        <w:tab w:val="left" w:pos="840"/>
      </w:tabs>
      <w:ind w:leftChars="200" w:left="840" w:hangingChars="200" w:hanging="420"/>
      <w:jc w:val="both"/>
    </w:pPr>
    <w:rPr>
      <w:rFonts w:ascii="宋体" w:eastAsia="宋体" w:hAnsi="Times New Roman" w:cs="Times New Roman"/>
      <w:sz w:val="21"/>
    </w:rPr>
  </w:style>
  <w:style w:type="paragraph" w:customStyle="1" w:styleId="a4">
    <w:name w:val="三级无标题条"/>
    <w:basedOn w:val="af9"/>
    <w:qFormat/>
    <w:pPr>
      <w:numPr>
        <w:ilvl w:val="4"/>
        <w:numId w:val="5"/>
      </w:numPr>
    </w:pPr>
  </w:style>
  <w:style w:type="paragraph" w:customStyle="1" w:styleId="afffff2">
    <w:name w:val="目次、索引正文"/>
    <w:qFormat/>
    <w:pPr>
      <w:spacing w:line="320" w:lineRule="exact"/>
      <w:jc w:val="both"/>
    </w:pPr>
    <w:rPr>
      <w:rFonts w:ascii="宋体" w:eastAsia="宋体" w:hAnsi="Times New Roman" w:cs="Times New Roman"/>
      <w:sz w:val="21"/>
    </w:rPr>
  </w:style>
  <w:style w:type="paragraph" w:customStyle="1" w:styleId="a2">
    <w:name w:val="一级无标题条"/>
    <w:basedOn w:val="af9"/>
    <w:qFormat/>
    <w:pPr>
      <w:numPr>
        <w:ilvl w:val="2"/>
        <w:numId w:val="5"/>
      </w:numPr>
    </w:pPr>
  </w:style>
  <w:style w:type="paragraph" w:customStyle="1" w:styleId="afffff3">
    <w:name w:val="封面标准代替信息"/>
    <w:basedOn w:val="22"/>
    <w:qFormat/>
    <w:pPr>
      <w:spacing w:before="57"/>
    </w:pPr>
    <w:rPr>
      <w:rFonts w:ascii="宋体"/>
      <w:sz w:val="21"/>
    </w:rPr>
  </w:style>
  <w:style w:type="paragraph" w:customStyle="1" w:styleId="afffff4">
    <w:name w:val="标准正文"/>
    <w:basedOn w:val="af9"/>
    <w:qFormat/>
    <w:pPr>
      <w:adjustRightInd w:val="0"/>
      <w:spacing w:line="360" w:lineRule="atLeast"/>
      <w:ind w:firstLine="425"/>
      <w:jc w:val="left"/>
      <w:textAlignment w:val="baseline"/>
    </w:pPr>
    <w:rPr>
      <w:spacing w:val="-4"/>
      <w:kern w:val="21"/>
      <w:szCs w:val="20"/>
    </w:rPr>
  </w:style>
  <w:style w:type="paragraph" w:customStyle="1" w:styleId="font1">
    <w:name w:val="font1"/>
    <w:basedOn w:val="af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f9"/>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9"/>
    <w:qFormat/>
    <w:pPr>
      <w:widowControl/>
      <w:spacing w:before="100" w:beforeAutospacing="1" w:after="100" w:afterAutospacing="1"/>
      <w:jc w:val="left"/>
    </w:pPr>
    <w:rPr>
      <w:b/>
      <w:bCs/>
      <w:kern w:val="0"/>
      <w:sz w:val="20"/>
      <w:szCs w:val="20"/>
    </w:rPr>
  </w:style>
  <w:style w:type="paragraph" w:customStyle="1" w:styleId="font7">
    <w:name w:val="font7"/>
    <w:basedOn w:val="af9"/>
    <w:qFormat/>
    <w:pPr>
      <w:widowControl/>
      <w:spacing w:before="100" w:beforeAutospacing="1" w:after="100" w:afterAutospacing="1"/>
      <w:jc w:val="left"/>
    </w:pPr>
    <w:rPr>
      <w:rFonts w:ascii="宋体" w:hAnsi="宋体" w:cs="宋体"/>
      <w:b/>
      <w:bCs/>
      <w:kern w:val="0"/>
      <w:sz w:val="24"/>
    </w:rPr>
  </w:style>
  <w:style w:type="paragraph" w:customStyle="1" w:styleId="font8">
    <w:name w:val="font8"/>
    <w:basedOn w:val="af9"/>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f9"/>
    <w:qFormat/>
    <w:pPr>
      <w:widowControl/>
      <w:spacing w:before="100" w:beforeAutospacing="1" w:after="100" w:afterAutospacing="1"/>
      <w:jc w:val="left"/>
    </w:pPr>
    <w:rPr>
      <w:rFonts w:ascii="宋体" w:hAnsi="宋体" w:cs="宋体"/>
      <w:b/>
      <w:bCs/>
      <w:kern w:val="0"/>
      <w:sz w:val="24"/>
    </w:rPr>
  </w:style>
  <w:style w:type="paragraph" w:customStyle="1" w:styleId="font10">
    <w:name w:val="font10"/>
    <w:basedOn w:val="af9"/>
    <w:qFormat/>
    <w:pPr>
      <w:widowControl/>
      <w:spacing w:before="100" w:beforeAutospacing="1" w:after="100" w:afterAutospacing="1"/>
      <w:jc w:val="left"/>
    </w:pPr>
    <w:rPr>
      <w:rFonts w:ascii="宋体" w:hAnsi="宋体" w:cs="宋体"/>
      <w:b/>
      <w:bCs/>
      <w:kern w:val="0"/>
      <w:sz w:val="24"/>
    </w:rPr>
  </w:style>
  <w:style w:type="paragraph" w:customStyle="1" w:styleId="font11">
    <w:name w:val="font11"/>
    <w:basedOn w:val="af9"/>
    <w:qFormat/>
    <w:pPr>
      <w:widowControl/>
      <w:spacing w:before="100" w:beforeAutospacing="1" w:after="100" w:afterAutospacing="1"/>
      <w:jc w:val="left"/>
    </w:pPr>
    <w:rPr>
      <w:rFonts w:ascii="宋体" w:hAnsi="宋体" w:cs="宋体"/>
      <w:b/>
      <w:bCs/>
      <w:kern w:val="0"/>
      <w:sz w:val="20"/>
      <w:szCs w:val="20"/>
    </w:rPr>
  </w:style>
  <w:style w:type="paragraph" w:customStyle="1" w:styleId="xl78">
    <w:name w:val="xl78"/>
    <w:basedOn w:val="af9"/>
    <w:qFormat/>
    <w:pPr>
      <w:widowControl/>
      <w:spacing w:before="100" w:beforeAutospacing="1" w:after="100" w:afterAutospacing="1"/>
      <w:jc w:val="center"/>
      <w:textAlignment w:val="center"/>
    </w:pPr>
    <w:rPr>
      <w:b/>
      <w:bCs/>
      <w:kern w:val="0"/>
      <w:sz w:val="24"/>
    </w:rPr>
  </w:style>
  <w:style w:type="paragraph" w:customStyle="1" w:styleId="xl79">
    <w:name w:val="xl79"/>
    <w:basedOn w:val="af9"/>
    <w:qFormat/>
    <w:pPr>
      <w:widowControl/>
      <w:spacing w:before="100" w:beforeAutospacing="1" w:after="100" w:afterAutospacing="1"/>
      <w:jc w:val="center"/>
      <w:textAlignment w:val="center"/>
    </w:pPr>
    <w:rPr>
      <w:b/>
      <w:bCs/>
      <w:kern w:val="0"/>
      <w:sz w:val="24"/>
    </w:rPr>
  </w:style>
  <w:style w:type="paragraph" w:customStyle="1" w:styleId="xl80">
    <w:name w:val="xl80"/>
    <w:basedOn w:val="af9"/>
    <w:qFormat/>
    <w:pPr>
      <w:widowControl/>
      <w:spacing w:before="100" w:beforeAutospacing="1" w:after="100" w:afterAutospacing="1"/>
      <w:jc w:val="center"/>
      <w:textAlignment w:val="center"/>
    </w:pPr>
    <w:rPr>
      <w:b/>
      <w:bCs/>
      <w:kern w:val="0"/>
      <w:sz w:val="24"/>
    </w:rPr>
  </w:style>
  <w:style w:type="paragraph" w:customStyle="1" w:styleId="xl81">
    <w:name w:val="xl8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2">
    <w:name w:val="xl8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3">
    <w:name w:val="xl83"/>
    <w:basedOn w:val="af9"/>
    <w:qFormat/>
    <w:pPr>
      <w:widowControl/>
      <w:spacing w:before="100" w:beforeAutospacing="1" w:after="100" w:afterAutospacing="1"/>
      <w:jc w:val="center"/>
      <w:textAlignment w:val="center"/>
    </w:pPr>
    <w:rPr>
      <w:b/>
      <w:bCs/>
      <w:kern w:val="0"/>
      <w:sz w:val="20"/>
      <w:szCs w:val="20"/>
    </w:rPr>
  </w:style>
  <w:style w:type="paragraph" w:customStyle="1" w:styleId="xl84">
    <w:name w:val="xl8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5">
    <w:name w:val="xl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6">
    <w:name w:val="xl8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7">
    <w:name w:val="xl87"/>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8">
    <w:name w:val="xl8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89">
    <w:name w:val="xl89"/>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0">
    <w:name w:val="xl90"/>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1">
    <w:name w:val="xl9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2">
    <w:name w:val="xl9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93">
    <w:name w:val="xl93"/>
    <w:basedOn w:val="af9"/>
    <w:qFormat/>
    <w:pPr>
      <w:widowControl/>
      <w:spacing w:before="100" w:beforeAutospacing="1" w:after="100" w:afterAutospacing="1"/>
      <w:jc w:val="center"/>
      <w:textAlignment w:val="center"/>
    </w:pPr>
    <w:rPr>
      <w:b/>
      <w:bCs/>
      <w:kern w:val="0"/>
      <w:sz w:val="20"/>
      <w:szCs w:val="20"/>
    </w:rPr>
  </w:style>
  <w:style w:type="paragraph" w:customStyle="1" w:styleId="xl94">
    <w:name w:val="xl94"/>
    <w:basedOn w:val="af9"/>
    <w:qFormat/>
    <w:pPr>
      <w:widowControl/>
      <w:spacing w:before="100" w:beforeAutospacing="1" w:after="100" w:afterAutospacing="1"/>
      <w:jc w:val="center"/>
      <w:textAlignment w:val="center"/>
    </w:pPr>
    <w:rPr>
      <w:b/>
      <w:bCs/>
      <w:kern w:val="0"/>
      <w:sz w:val="20"/>
      <w:szCs w:val="20"/>
    </w:rPr>
  </w:style>
  <w:style w:type="paragraph" w:customStyle="1" w:styleId="c">
    <w:name w:val="c封面标准名称"/>
    <w:basedOn w:val="af9"/>
    <w:qFormat/>
    <w:pPr>
      <w:adjustRightInd w:val="0"/>
      <w:jc w:val="center"/>
    </w:pPr>
    <w:rPr>
      <w:rFonts w:eastAsia="黑体"/>
      <w:kern w:val="0"/>
      <w:sz w:val="52"/>
      <w:szCs w:val="20"/>
    </w:rPr>
  </w:style>
  <w:style w:type="paragraph" w:customStyle="1" w:styleId="23">
    <w:name w:val="样式2"/>
    <w:basedOn w:val="af5"/>
    <w:qFormat/>
    <w:pPr>
      <w:numPr>
        <w:numId w:val="0"/>
      </w:numPr>
      <w:spacing w:line="240" w:lineRule="auto"/>
      <w:ind w:left="454"/>
    </w:pPr>
    <w:rPr>
      <w:color w:val="auto"/>
      <w:spacing w:val="0"/>
      <w:szCs w:val="20"/>
    </w:rPr>
  </w:style>
  <w:style w:type="paragraph" w:customStyle="1" w:styleId="12">
    <w:name w:val="列出段落1"/>
    <w:basedOn w:val="af9"/>
    <w:uiPriority w:val="34"/>
    <w:qFormat/>
    <w:pPr>
      <w:ind w:firstLineChars="200" w:firstLine="420"/>
    </w:pPr>
    <w:rPr>
      <w:rFonts w:ascii="Calibri" w:hAnsi="Calibri"/>
      <w:szCs w:val="22"/>
    </w:rPr>
  </w:style>
  <w:style w:type="paragraph" w:customStyle="1" w:styleId="afffff5">
    <w:name w:val="图表脚注说明"/>
    <w:basedOn w:val="af9"/>
    <w:qFormat/>
    <w:rPr>
      <w:rFonts w:ascii="宋体"/>
      <w:sz w:val="18"/>
      <w:szCs w:val="18"/>
    </w:rPr>
  </w:style>
  <w:style w:type="paragraph" w:customStyle="1" w:styleId="Char11">
    <w:name w:val="Char11"/>
    <w:basedOn w:val="af9"/>
    <w:qFormat/>
    <w:pPr>
      <w:widowControl/>
      <w:spacing w:after="160" w:line="240" w:lineRule="exact"/>
      <w:jc w:val="left"/>
    </w:pPr>
  </w:style>
  <w:style w:type="paragraph" w:customStyle="1" w:styleId="ordinary-output">
    <w:name w:val="ordinary-output"/>
    <w:basedOn w:val="af9"/>
    <w:uiPriority w:val="99"/>
    <w:qFormat/>
    <w:pPr>
      <w:widowControl/>
      <w:spacing w:before="100" w:beforeAutospacing="1" w:after="63" w:line="275" w:lineRule="atLeast"/>
      <w:jc w:val="left"/>
    </w:pPr>
    <w:rPr>
      <w:rFonts w:ascii="宋体" w:hAnsi="宋体" w:cs="宋体"/>
      <w:color w:val="333333"/>
      <w:kern w:val="0"/>
      <w:sz w:val="18"/>
      <w:szCs w:val="18"/>
    </w:rPr>
  </w:style>
  <w:style w:type="paragraph" w:customStyle="1" w:styleId="110">
    <w:name w:val="列出段落11"/>
    <w:basedOn w:val="af9"/>
    <w:uiPriority w:val="34"/>
    <w:qFormat/>
    <w:pPr>
      <w:ind w:firstLineChars="200" w:firstLine="420"/>
    </w:pPr>
    <w:rPr>
      <w:sz w:val="24"/>
    </w:rPr>
  </w:style>
  <w:style w:type="paragraph" w:customStyle="1" w:styleId="Char1CharCharChar">
    <w:name w:val="Char1 Char Char Char"/>
    <w:basedOn w:val="af9"/>
    <w:qFormat/>
    <w:rPr>
      <w:szCs w:val="20"/>
    </w:rPr>
  </w:style>
  <w:style w:type="paragraph" w:customStyle="1" w:styleId="Char10">
    <w:name w:val="Char1"/>
    <w:basedOn w:val="af9"/>
    <w:qFormat/>
    <w:pPr>
      <w:widowControl/>
      <w:spacing w:after="160" w:line="240" w:lineRule="exact"/>
      <w:jc w:val="left"/>
    </w:pPr>
  </w:style>
  <w:style w:type="paragraph" w:customStyle="1" w:styleId="DecimalAligned">
    <w:name w:val="Decimal Aligned"/>
    <w:basedOn w:val="af9"/>
    <w:uiPriority w:val="40"/>
    <w:qFormat/>
    <w:pPr>
      <w:widowControl/>
      <w:tabs>
        <w:tab w:val="decimal" w:pos="360"/>
      </w:tabs>
      <w:spacing w:after="200" w:line="276" w:lineRule="auto"/>
      <w:jc w:val="left"/>
    </w:pPr>
    <w:rPr>
      <w:rFonts w:ascii="Calibri" w:hAnsi="Calibri"/>
      <w:kern w:val="0"/>
      <w:sz w:val="22"/>
      <w:szCs w:val="22"/>
    </w:rPr>
  </w:style>
  <w:style w:type="paragraph" w:customStyle="1" w:styleId="xl65">
    <w:name w:val="xl65"/>
    <w:basedOn w:val="af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9">
    <w:name w:val="xl69"/>
    <w:basedOn w:val="af9"/>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1">
    <w:name w:val="xl121"/>
    <w:basedOn w:val="af9"/>
    <w:qFormat/>
    <w:pPr>
      <w:widowControl/>
      <w:pBdr>
        <w:top w:val="single" w:sz="8" w:space="0" w:color="FF0000"/>
        <w:bottom w:val="single" w:sz="4" w:space="0" w:color="000000"/>
      </w:pBdr>
      <w:spacing w:before="100" w:beforeAutospacing="1" w:after="100" w:afterAutospacing="1"/>
      <w:jc w:val="center"/>
    </w:pPr>
    <w:rPr>
      <w:rFonts w:ascii="宋体" w:hAnsi="宋体" w:cs="宋体"/>
      <w:kern w:val="0"/>
      <w:szCs w:val="21"/>
    </w:rPr>
  </w:style>
  <w:style w:type="paragraph" w:customStyle="1" w:styleId="xl112">
    <w:name w:val="xl112"/>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f9"/>
    <w:qFormat/>
    <w:pPr>
      <w:widowControl/>
      <w:pBdr>
        <w:top w:val="single" w:sz="8" w:space="0" w:color="auto"/>
        <w:left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20">
    <w:name w:val="xl120"/>
    <w:basedOn w:val="af9"/>
    <w:qFormat/>
    <w:pPr>
      <w:widowControl/>
      <w:pBdr>
        <w:top w:val="single" w:sz="8" w:space="0" w:color="FF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06">
    <w:name w:val="xl106"/>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f9"/>
    <w:qFormat/>
    <w:pPr>
      <w:widowControl/>
      <w:pBdr>
        <w:top w:val="single" w:sz="8" w:space="0" w:color="FF0000"/>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24">
    <w:name w:val="xl124"/>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73">
    <w:name w:val="xl73"/>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3">
    <w:name w:val="xl183"/>
    <w:basedOn w:val="af9"/>
    <w:qFormat/>
    <w:pPr>
      <w:widowControl/>
      <w:pBdr>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4">
    <w:name w:val="xl184"/>
    <w:basedOn w:val="af9"/>
    <w:qFormat/>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22">
    <w:name w:val="xl122"/>
    <w:basedOn w:val="af9"/>
    <w:qFormat/>
    <w:pPr>
      <w:widowControl/>
      <w:pBdr>
        <w:top w:val="single" w:sz="8" w:space="0" w:color="FF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82">
    <w:name w:val="xl182"/>
    <w:basedOn w:val="af9"/>
    <w:qFormat/>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30">
    <w:name w:val="xl130"/>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1">
    <w:name w:val="xl71"/>
    <w:basedOn w:val="af9"/>
    <w:qFormat/>
    <w:pPr>
      <w:widowControl/>
      <w:pBdr>
        <w:top w:val="single" w:sz="8" w:space="0" w:color="FF0000"/>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86">
    <w:name w:val="xl186"/>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5">
    <w:name w:val="xl135"/>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66">
    <w:name w:val="xl6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3">
    <w:name w:val="xl63"/>
    <w:basedOn w:val="af9"/>
    <w:qFormat/>
    <w:pPr>
      <w:widowControl/>
      <w:spacing w:before="100" w:beforeAutospacing="1" w:after="100" w:afterAutospacing="1"/>
      <w:jc w:val="center"/>
    </w:pPr>
    <w:rPr>
      <w:rFonts w:ascii="宋体" w:hAnsi="宋体" w:cs="宋体"/>
      <w:kern w:val="0"/>
      <w:sz w:val="24"/>
    </w:rPr>
  </w:style>
  <w:style w:type="paragraph" w:customStyle="1" w:styleId="xl68">
    <w:name w:val="xl68"/>
    <w:basedOn w:val="af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7">
    <w:name w:val="xl67"/>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64">
    <w:name w:val="xl64"/>
    <w:basedOn w:val="af9"/>
    <w:qFormat/>
    <w:pPr>
      <w:widowControl/>
      <w:spacing w:before="100" w:beforeAutospacing="1" w:after="100" w:afterAutospacing="1"/>
      <w:jc w:val="left"/>
    </w:pPr>
    <w:rPr>
      <w:rFonts w:ascii="宋体" w:hAnsi="宋体" w:cs="宋体"/>
      <w:kern w:val="0"/>
      <w:sz w:val="24"/>
    </w:rPr>
  </w:style>
  <w:style w:type="paragraph" w:customStyle="1" w:styleId="xl178">
    <w:name w:val="xl178"/>
    <w:basedOn w:val="af9"/>
    <w:qFormat/>
    <w:pPr>
      <w:widowControl/>
      <w:pBdr>
        <w:top w:val="single" w:sz="8" w:space="0" w:color="FF0000"/>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0">
    <w:name w:val="xl170"/>
    <w:basedOn w:val="af9"/>
    <w:qFormat/>
    <w:pPr>
      <w:widowControl/>
      <w:pBdr>
        <w:lef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75">
    <w:name w:val="xl175"/>
    <w:basedOn w:val="af9"/>
    <w:qFormat/>
    <w:pPr>
      <w:widowControl/>
      <w:pBdr>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1">
    <w:name w:val="xl151"/>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6">
    <w:name w:val="xl176"/>
    <w:basedOn w:val="af9"/>
    <w:qFormat/>
    <w:pPr>
      <w:widowControl/>
      <w:pBdr>
        <w:top w:val="single" w:sz="8" w:space="0" w:color="auto"/>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8">
    <w:name w:val="xl168"/>
    <w:basedOn w:val="af9"/>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2">
    <w:name w:val="xl152"/>
    <w:basedOn w:val="af9"/>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kern w:val="0"/>
      <w:szCs w:val="21"/>
    </w:rPr>
  </w:style>
  <w:style w:type="paragraph" w:customStyle="1" w:styleId="xl74">
    <w:name w:val="xl74"/>
    <w:basedOn w:val="af9"/>
    <w:qFormat/>
    <w:pPr>
      <w:widowControl/>
      <w:pBdr>
        <w:top w:val="single" w:sz="8" w:space="0" w:color="FF0000"/>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4">
    <w:name w:val="xl174"/>
    <w:basedOn w:val="af9"/>
    <w:qFormat/>
    <w:pPr>
      <w:widowControl/>
      <w:pBdr>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50">
    <w:name w:val="xl150"/>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9">
    <w:name w:val="xl129"/>
    <w:basedOn w:val="af9"/>
    <w:qFormat/>
    <w:pPr>
      <w:widowControl/>
      <w:pBdr>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0">
    <w:name w:val="xl7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72">
    <w:name w:val="xl72"/>
    <w:basedOn w:val="af9"/>
    <w:qFormat/>
    <w:pPr>
      <w:widowControl/>
      <w:pBdr>
        <w:top w:val="single" w:sz="8" w:space="0" w:color="FF0000"/>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3">
    <w:name w:val="xl113"/>
    <w:basedOn w:val="af9"/>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7">
    <w:name w:val="xl107"/>
    <w:basedOn w:val="af9"/>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03">
    <w:name w:val="xl103"/>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98">
    <w:name w:val="xl98"/>
    <w:basedOn w:val="af9"/>
    <w:qFormat/>
    <w:pPr>
      <w:widowControl/>
      <w:pBdr>
        <w:top w:val="single" w:sz="4" w:space="0" w:color="auto"/>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62">
    <w:name w:val="xl162"/>
    <w:basedOn w:val="af9"/>
    <w:qFormat/>
    <w:pPr>
      <w:widowControl/>
      <w:pBdr>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4">
    <w:name w:val="xl154"/>
    <w:basedOn w:val="af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114">
    <w:name w:val="xl114"/>
    <w:basedOn w:val="af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59">
    <w:name w:val="xl159"/>
    <w:basedOn w:val="af9"/>
    <w:qFormat/>
    <w:pPr>
      <w:widowControl/>
      <w:pBdr>
        <w:left w:val="single" w:sz="4" w:space="0" w:color="auto"/>
        <w:bottom w:val="single" w:sz="8" w:space="0" w:color="FF0000"/>
      </w:pBdr>
      <w:spacing w:before="100" w:beforeAutospacing="1" w:after="100" w:afterAutospacing="1"/>
      <w:jc w:val="center"/>
    </w:pPr>
    <w:rPr>
      <w:rFonts w:ascii="宋体" w:hAnsi="宋体" w:cs="宋体"/>
      <w:kern w:val="0"/>
      <w:szCs w:val="21"/>
    </w:rPr>
  </w:style>
  <w:style w:type="paragraph" w:customStyle="1" w:styleId="xl110">
    <w:name w:val="xl110"/>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60">
    <w:name w:val="xl160"/>
    <w:basedOn w:val="af9"/>
    <w:qFormat/>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5">
    <w:name w:val="xl95"/>
    <w:basedOn w:val="af9"/>
    <w:qFormat/>
    <w:pPr>
      <w:widowControl/>
      <w:pBdr>
        <w:top w:val="single" w:sz="4" w:space="0" w:color="auto"/>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08">
    <w:name w:val="xl108"/>
    <w:basedOn w:val="af9"/>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7">
    <w:name w:val="xl157"/>
    <w:basedOn w:val="af9"/>
    <w:qFormat/>
    <w:pPr>
      <w:widowControl/>
      <w:pBdr>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18">
    <w:name w:val="xl118"/>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f9"/>
    <w:qFormat/>
    <w:pPr>
      <w:widowControl/>
      <w:pBdr>
        <w:top w:val="single" w:sz="8" w:space="0" w:color="FF0000"/>
        <w:left w:val="single" w:sz="4" w:space="0" w:color="auto"/>
        <w:bottom w:val="single" w:sz="8" w:space="0" w:color="FF0000"/>
        <w:right w:val="single" w:sz="8" w:space="0" w:color="auto"/>
      </w:pBdr>
      <w:spacing w:before="100" w:beforeAutospacing="1" w:after="100" w:afterAutospacing="1"/>
      <w:jc w:val="center"/>
    </w:pPr>
    <w:rPr>
      <w:rFonts w:ascii="宋体" w:hAnsi="宋体" w:cs="宋体"/>
      <w:kern w:val="0"/>
      <w:szCs w:val="21"/>
    </w:rPr>
  </w:style>
  <w:style w:type="paragraph" w:customStyle="1" w:styleId="xl163">
    <w:name w:val="xl163"/>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5">
    <w:name w:val="xl155"/>
    <w:basedOn w:val="af9"/>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9">
    <w:name w:val="xl99"/>
    <w:basedOn w:val="af9"/>
    <w:qFormat/>
    <w:pPr>
      <w:widowControl/>
      <w:pBdr>
        <w:top w:val="single" w:sz="4"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140">
    <w:name w:val="xl140"/>
    <w:basedOn w:val="af9"/>
    <w:qFormat/>
    <w:pPr>
      <w:widowControl/>
      <w:pBdr>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46">
    <w:name w:val="xl146"/>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f9"/>
    <w:qFormat/>
    <w:pPr>
      <w:widowControl/>
      <w:pBdr>
        <w:top w:val="single" w:sz="8" w:space="0" w:color="FF0000"/>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43">
    <w:name w:val="xl143"/>
    <w:basedOn w:val="af9"/>
    <w:qFormat/>
    <w:pPr>
      <w:widowControl/>
      <w:pBdr>
        <w:top w:val="single" w:sz="8" w:space="0" w:color="FF0000"/>
        <w:bottom w:val="single" w:sz="8" w:space="0" w:color="FF0000"/>
      </w:pBdr>
      <w:spacing w:before="100" w:beforeAutospacing="1" w:after="100" w:afterAutospacing="1"/>
      <w:jc w:val="center"/>
    </w:pPr>
    <w:rPr>
      <w:rFonts w:ascii="宋体" w:hAnsi="宋体" w:cs="宋体"/>
      <w:kern w:val="0"/>
      <w:szCs w:val="21"/>
    </w:rPr>
  </w:style>
  <w:style w:type="paragraph" w:customStyle="1" w:styleId="xl115">
    <w:name w:val="xl115"/>
    <w:basedOn w:val="af9"/>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01">
    <w:name w:val="xl101"/>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4">
    <w:name w:val="xl144"/>
    <w:basedOn w:val="af9"/>
    <w:qFormat/>
    <w:pPr>
      <w:widowControl/>
      <w:pBdr>
        <w:top w:val="single" w:sz="8" w:space="0" w:color="FF0000"/>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00">
    <w:name w:val="xl100"/>
    <w:basedOn w:val="af9"/>
    <w:qFormat/>
    <w:pPr>
      <w:widowControl/>
      <w:pBdr>
        <w:top w:val="single" w:sz="8" w:space="0" w:color="FF0000"/>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41">
    <w:name w:val="xl141"/>
    <w:basedOn w:val="af9"/>
    <w:qFormat/>
    <w:pPr>
      <w:widowControl/>
      <w:pBdr>
        <w:left w:val="single" w:sz="4"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96">
    <w:name w:val="xl96"/>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left"/>
    </w:pPr>
    <w:rPr>
      <w:rFonts w:ascii="宋体" w:hAnsi="宋体" w:cs="宋体"/>
      <w:kern w:val="0"/>
      <w:szCs w:val="21"/>
    </w:rPr>
  </w:style>
  <w:style w:type="paragraph" w:customStyle="1" w:styleId="xl171">
    <w:name w:val="xl171"/>
    <w:basedOn w:val="af9"/>
    <w:qFormat/>
    <w:pPr>
      <w:widowControl/>
      <w:spacing w:before="100" w:beforeAutospacing="1" w:after="100" w:afterAutospacing="1"/>
      <w:jc w:val="center"/>
    </w:pPr>
    <w:rPr>
      <w:rFonts w:ascii="宋体" w:hAnsi="宋体" w:cs="宋体"/>
      <w:b/>
      <w:bCs/>
      <w:color w:val="000000"/>
      <w:kern w:val="0"/>
      <w:szCs w:val="21"/>
    </w:rPr>
  </w:style>
  <w:style w:type="paragraph" w:customStyle="1" w:styleId="xl125">
    <w:name w:val="xl125"/>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xl187">
    <w:name w:val="xl187"/>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79">
    <w:name w:val="xl179"/>
    <w:basedOn w:val="af9"/>
    <w:qFormat/>
    <w:pPr>
      <w:widowControl/>
      <w:pBdr>
        <w:left w:val="single" w:sz="8" w:space="0" w:color="auto"/>
        <w:bottom w:val="single" w:sz="8" w:space="0" w:color="FF0000"/>
        <w:right w:val="single" w:sz="4" w:space="0" w:color="auto"/>
      </w:pBdr>
      <w:spacing w:before="100" w:beforeAutospacing="1" w:after="100" w:afterAutospacing="1"/>
      <w:jc w:val="center"/>
    </w:pPr>
    <w:rPr>
      <w:rFonts w:ascii="宋体" w:hAnsi="宋体" w:cs="宋体"/>
      <w:kern w:val="0"/>
      <w:szCs w:val="21"/>
    </w:rPr>
  </w:style>
  <w:style w:type="paragraph" w:customStyle="1" w:styleId="xl136">
    <w:name w:val="xl136"/>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f9"/>
    <w:qFormat/>
    <w:pPr>
      <w:widowControl/>
      <w:pBdr>
        <w:bottom w:val="single" w:sz="4" w:space="0" w:color="000000"/>
      </w:pBdr>
      <w:spacing w:before="100" w:beforeAutospacing="1" w:after="100" w:afterAutospacing="1"/>
      <w:jc w:val="center"/>
    </w:pPr>
    <w:rPr>
      <w:rFonts w:ascii="宋体" w:hAnsi="宋体" w:cs="宋体"/>
      <w:kern w:val="0"/>
      <w:szCs w:val="21"/>
    </w:rPr>
  </w:style>
  <w:style w:type="paragraph" w:customStyle="1" w:styleId="xl127">
    <w:name w:val="xl127"/>
    <w:basedOn w:val="af9"/>
    <w:qFormat/>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f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1">
    <w:name w:val="xl131"/>
    <w:basedOn w:val="af9"/>
    <w:qFormat/>
    <w:pPr>
      <w:widowControl/>
      <w:pBdr>
        <w:top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2">
    <w:name w:val="xl132"/>
    <w:basedOn w:val="af9"/>
    <w:qFormat/>
    <w:pPr>
      <w:widowControl/>
      <w:pBdr>
        <w:top w:val="single" w:sz="4" w:space="0" w:color="auto"/>
        <w:left w:val="single" w:sz="4" w:space="0" w:color="auto"/>
        <w:bottom w:val="single" w:sz="8" w:space="0" w:color="FF0000"/>
        <w:right w:val="single" w:sz="4" w:space="0" w:color="auto"/>
      </w:pBdr>
      <w:spacing w:before="100" w:beforeAutospacing="1" w:after="100" w:afterAutospacing="1"/>
      <w:jc w:val="center"/>
    </w:pPr>
    <w:rPr>
      <w:rFonts w:ascii="宋体" w:hAnsi="宋体" w:cs="宋体"/>
      <w:kern w:val="0"/>
      <w:sz w:val="24"/>
    </w:rPr>
  </w:style>
  <w:style w:type="paragraph" w:customStyle="1" w:styleId="xl177">
    <w:name w:val="xl177"/>
    <w:basedOn w:val="af9"/>
    <w:qFormat/>
    <w:pPr>
      <w:widowControl/>
      <w:pBdr>
        <w:left w:val="single" w:sz="8"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9">
    <w:name w:val="xl169"/>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33">
    <w:name w:val="xl133"/>
    <w:basedOn w:val="af9"/>
    <w:qFormat/>
    <w:pPr>
      <w:widowControl/>
      <w:pBdr>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85">
    <w:name w:val="xl185"/>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4">
    <w:name w:val="xl134"/>
    <w:basedOn w:val="af9"/>
    <w:qFormat/>
    <w:pPr>
      <w:widowControl/>
      <w:pBdr>
        <w:bottom w:val="single" w:sz="8" w:space="0" w:color="FF0000"/>
      </w:pBdr>
      <w:spacing w:before="100" w:beforeAutospacing="1" w:after="100" w:afterAutospacing="1"/>
      <w:jc w:val="center"/>
    </w:pPr>
    <w:rPr>
      <w:rFonts w:ascii="宋体" w:hAnsi="宋体" w:cs="宋体"/>
      <w:kern w:val="0"/>
      <w:szCs w:val="21"/>
    </w:rPr>
  </w:style>
  <w:style w:type="paragraph" w:customStyle="1" w:styleId="xl145">
    <w:name w:val="xl145"/>
    <w:basedOn w:val="af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f9"/>
    <w:qFormat/>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7">
    <w:name w:val="xl147"/>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39">
    <w:name w:val="xl139"/>
    <w:basedOn w:val="af9"/>
    <w:qFormat/>
    <w:pPr>
      <w:widowControl/>
      <w:pBdr>
        <w:top w:val="single" w:sz="8" w:space="0" w:color="FF0000"/>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42">
    <w:name w:val="xl142"/>
    <w:basedOn w:val="af9"/>
    <w:qFormat/>
    <w:pPr>
      <w:widowControl/>
      <w:pBdr>
        <w:top w:val="single" w:sz="8" w:space="0" w:color="FF0000"/>
        <w:bottom w:val="single" w:sz="8" w:space="0" w:color="FF0000"/>
        <w:right w:val="single" w:sz="4" w:space="0" w:color="000000"/>
      </w:pBdr>
      <w:spacing w:before="100" w:beforeAutospacing="1" w:after="100" w:afterAutospacing="1"/>
      <w:jc w:val="center"/>
    </w:pPr>
    <w:rPr>
      <w:rFonts w:ascii="宋体" w:hAnsi="宋体" w:cs="宋体"/>
      <w:kern w:val="0"/>
      <w:szCs w:val="21"/>
    </w:rPr>
  </w:style>
  <w:style w:type="paragraph" w:customStyle="1" w:styleId="xl172">
    <w:name w:val="xl172"/>
    <w:basedOn w:val="af9"/>
    <w:qFormat/>
    <w:pPr>
      <w:widowControl/>
      <w:pBdr>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8">
    <w:name w:val="xl148"/>
    <w:basedOn w:val="af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3">
    <w:name w:val="xl173"/>
    <w:basedOn w:val="af9"/>
    <w:qFormat/>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149">
    <w:name w:val="xl149"/>
    <w:basedOn w:val="af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61">
    <w:name w:val="xl161"/>
    <w:basedOn w:val="af9"/>
    <w:qFormat/>
    <w:pPr>
      <w:widowControl/>
      <w:pBdr>
        <w:left w:val="single" w:sz="4" w:space="0" w:color="auto"/>
        <w:bottom w:val="single" w:sz="8" w:space="0" w:color="FF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3">
    <w:name w:val="xl153"/>
    <w:basedOn w:val="af9"/>
    <w:qFormat/>
    <w:pPr>
      <w:widowControl/>
      <w:pBdr>
        <w:left w:val="single" w:sz="4" w:space="0" w:color="auto"/>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4">
    <w:name w:val="xl164"/>
    <w:basedOn w:val="af9"/>
    <w:qFormat/>
    <w:pPr>
      <w:widowControl/>
      <w:pBdr>
        <w:bottom w:val="single" w:sz="8" w:space="0" w:color="auto"/>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56">
    <w:name w:val="xl156"/>
    <w:basedOn w:val="af9"/>
    <w:qFormat/>
    <w:pPr>
      <w:widowControl/>
      <w:pBdr>
        <w:top w:val="single" w:sz="8" w:space="0" w:color="FF0000"/>
        <w:left w:val="single" w:sz="4" w:space="0" w:color="auto"/>
        <w:bottom w:val="single" w:sz="4" w:space="0" w:color="000000"/>
      </w:pBdr>
      <w:spacing w:before="100" w:beforeAutospacing="1" w:after="100" w:afterAutospacing="1"/>
      <w:jc w:val="center"/>
    </w:pPr>
    <w:rPr>
      <w:rFonts w:ascii="宋体" w:hAnsi="宋体" w:cs="宋体"/>
      <w:kern w:val="0"/>
      <w:szCs w:val="21"/>
    </w:rPr>
  </w:style>
  <w:style w:type="paragraph" w:customStyle="1" w:styleId="xl158">
    <w:name w:val="xl158"/>
    <w:basedOn w:val="af9"/>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166">
    <w:name w:val="xl166"/>
    <w:basedOn w:val="af9"/>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67">
    <w:name w:val="xl167"/>
    <w:basedOn w:val="af9"/>
    <w:qFormat/>
    <w:pPr>
      <w:widowControl/>
      <w:pBdr>
        <w:top w:val="single" w:sz="8" w:space="0" w:color="auto"/>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188">
    <w:name w:val="xl188"/>
    <w:basedOn w:val="af9"/>
    <w:qFormat/>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80">
    <w:name w:val="xl180"/>
    <w:basedOn w:val="af9"/>
    <w:qFormat/>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81">
    <w:name w:val="xl181"/>
    <w:basedOn w:val="af9"/>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20">
    <w:name w:val="Char2"/>
    <w:basedOn w:val="af9"/>
    <w:qFormat/>
    <w:pPr>
      <w:widowControl/>
      <w:spacing w:after="160" w:line="240" w:lineRule="exact"/>
      <w:jc w:val="left"/>
    </w:pPr>
  </w:style>
  <w:style w:type="paragraph" w:customStyle="1" w:styleId="13">
    <w:name w:val="正文1"/>
    <w:qFormat/>
    <w:pPr>
      <w:jc w:val="both"/>
    </w:pPr>
    <w:rPr>
      <w:rFonts w:ascii="Calibri" w:eastAsia="宋体" w:hAnsi="Calibri" w:cs="Calibri"/>
      <w:kern w:val="2"/>
      <w:sz w:val="21"/>
      <w:szCs w:val="21"/>
    </w:rPr>
  </w:style>
  <w:style w:type="paragraph" w:customStyle="1" w:styleId="Char30">
    <w:name w:val="Char3"/>
    <w:basedOn w:val="af9"/>
    <w:qFormat/>
    <w:pPr>
      <w:widowControl/>
      <w:spacing w:after="160" w:line="240" w:lineRule="exact"/>
      <w:jc w:val="left"/>
    </w:pPr>
    <w:rPr>
      <w:rFonts w:ascii="Verdana" w:hAnsi="Verdana"/>
      <w:kern w:val="0"/>
      <w:sz w:val="20"/>
      <w:szCs w:val="20"/>
      <w:lang w:eastAsia="en-US"/>
    </w:rPr>
  </w:style>
  <w:style w:type="paragraph" w:customStyle="1" w:styleId="p0">
    <w:name w:val="p0"/>
    <w:basedOn w:val="af9"/>
    <w:qFormat/>
    <w:pPr>
      <w:widowControl/>
      <w:jc w:val="left"/>
    </w:pPr>
    <w:rPr>
      <w:kern w:val="0"/>
      <w:szCs w:val="21"/>
    </w:rPr>
  </w:style>
  <w:style w:type="paragraph" w:customStyle="1" w:styleId="24">
    <w:name w:val="正文2"/>
    <w:qFormat/>
    <w:pPr>
      <w:jc w:val="both"/>
    </w:pPr>
    <w:rPr>
      <w:rFonts w:ascii="Times New Roman" w:eastAsia="宋体" w:hAnsi="Times New Roman" w:cs="Times New Roman"/>
      <w:kern w:val="2"/>
      <w:sz w:val="21"/>
      <w:szCs w:val="21"/>
    </w:rPr>
  </w:style>
  <w:style w:type="paragraph" w:customStyle="1" w:styleId="Char40">
    <w:name w:val="Char4"/>
    <w:basedOn w:val="af9"/>
    <w:qFormat/>
    <w:pPr>
      <w:widowControl/>
      <w:spacing w:after="160" w:line="240" w:lineRule="exact"/>
      <w:jc w:val="left"/>
    </w:pPr>
    <w:rPr>
      <w:rFonts w:ascii="Verdana" w:hAnsi="Verdana"/>
      <w:kern w:val="0"/>
      <w:sz w:val="20"/>
      <w:szCs w:val="20"/>
      <w:lang w:eastAsia="en-US"/>
    </w:rPr>
  </w:style>
  <w:style w:type="paragraph" w:customStyle="1" w:styleId="Char50">
    <w:name w:val="Char5"/>
    <w:basedOn w:val="af9"/>
    <w:qFormat/>
    <w:pPr>
      <w:widowControl/>
      <w:spacing w:after="160" w:line="240" w:lineRule="exact"/>
      <w:jc w:val="left"/>
    </w:pPr>
    <w:rPr>
      <w:rFonts w:ascii="Verdana" w:hAnsi="Verdana"/>
      <w:kern w:val="0"/>
      <w:sz w:val="20"/>
      <w:szCs w:val="20"/>
      <w:lang w:eastAsia="en-US"/>
    </w:rPr>
  </w:style>
  <w:style w:type="paragraph" w:customStyle="1" w:styleId="Char60">
    <w:name w:val="Char6"/>
    <w:basedOn w:val="af9"/>
    <w:qFormat/>
    <w:pPr>
      <w:widowControl/>
      <w:spacing w:after="160" w:line="240" w:lineRule="exact"/>
      <w:jc w:val="left"/>
    </w:pPr>
    <w:rPr>
      <w:rFonts w:ascii="Verdana" w:hAnsi="Verdana"/>
      <w:kern w:val="0"/>
      <w:sz w:val="20"/>
      <w:szCs w:val="20"/>
      <w:lang w:eastAsia="en-US"/>
    </w:rPr>
  </w:style>
  <w:style w:type="character" w:customStyle="1" w:styleId="afffff6">
    <w:name w:val="发布"/>
    <w:qFormat/>
    <w:rPr>
      <w:rFonts w:ascii="黑体" w:eastAsia="黑体"/>
      <w:spacing w:val="22"/>
      <w:w w:val="100"/>
      <w:position w:val="3"/>
      <w:sz w:val="28"/>
    </w:rPr>
  </w:style>
  <w:style w:type="character" w:customStyle="1" w:styleId="afffff7">
    <w:name w:val="个人答复风格"/>
    <w:qFormat/>
    <w:rPr>
      <w:rFonts w:ascii="Arial" w:eastAsia="宋体" w:hAnsi="Arial" w:cs="Arial"/>
      <w:color w:val="auto"/>
      <w:sz w:val="20"/>
    </w:rPr>
  </w:style>
  <w:style w:type="character" w:customStyle="1" w:styleId="Chara">
    <w:name w:val="段 Char"/>
    <w:link w:val="afff4"/>
    <w:qFormat/>
    <w:rPr>
      <w:rFonts w:ascii="宋体" w:eastAsia="宋体" w:hAnsi="宋体"/>
      <w:sz w:val="21"/>
      <w:lang w:val="en-US" w:eastAsia="zh-CN" w:bidi="ar-SA"/>
    </w:rPr>
  </w:style>
  <w:style w:type="character" w:customStyle="1" w:styleId="afffff8">
    <w:name w:val="个人撰写风格"/>
    <w:qFormat/>
    <w:rPr>
      <w:rFonts w:ascii="Arial" w:eastAsia="宋体" w:hAnsi="Arial" w:cs="Arial"/>
      <w:color w:val="auto"/>
      <w:sz w:val="20"/>
    </w:rPr>
  </w:style>
  <w:style w:type="character" w:customStyle="1" w:styleId="Charb">
    <w:name w:val="二级条标题 Char"/>
    <w:link w:val="af4"/>
    <w:qFormat/>
    <w:rPr>
      <w:rFonts w:ascii="黑体" w:eastAsia="黑体" w:hAnsi="黑体" w:cs="Times New Roman"/>
      <w:color w:val="000000" w:themeColor="text1"/>
      <w:spacing w:val="-6"/>
      <w:sz w:val="21"/>
      <w:szCs w:val="24"/>
    </w:rPr>
  </w:style>
  <w:style w:type="character" w:customStyle="1" w:styleId="Chard">
    <w:name w:val="章标题 Char"/>
    <w:link w:val="af2"/>
    <w:qFormat/>
    <w:rPr>
      <w:rFonts w:ascii="黑体" w:eastAsia="黑体" w:hAnsi="Times New Roman" w:cs="Times New Roman"/>
      <w:sz w:val="21"/>
    </w:rPr>
  </w:style>
  <w:style w:type="character" w:customStyle="1" w:styleId="Charc">
    <w:name w:val="一级条标题 Char"/>
    <w:link w:val="af3"/>
    <w:qFormat/>
    <w:rPr>
      <w:rFonts w:ascii="黑体" w:eastAsia="黑体" w:hAnsi="Times New Roman" w:cs="Times New Roman"/>
      <w:color w:val="FF0000"/>
      <w:spacing w:val="-4"/>
      <w:sz w:val="21"/>
      <w:szCs w:val="24"/>
    </w:rPr>
  </w:style>
  <w:style w:type="character" w:customStyle="1" w:styleId="Char2">
    <w:name w:val="纯文本 Char"/>
    <w:link w:val="aff2"/>
    <w:uiPriority w:val="99"/>
    <w:qFormat/>
    <w:rPr>
      <w:rFonts w:ascii="宋体" w:hAnsi="Courier New" w:cs="Courier New"/>
      <w:kern w:val="2"/>
      <w:sz w:val="21"/>
      <w:szCs w:val="21"/>
    </w:rPr>
  </w:style>
  <w:style w:type="character" w:customStyle="1" w:styleId="Charf">
    <w:name w:val="三级条标题 Char"/>
    <w:link w:val="af5"/>
    <w:qFormat/>
    <w:rPr>
      <w:rFonts w:ascii="黑体" w:eastAsia="黑体"/>
      <w:color w:val="FF0000"/>
      <w:spacing w:val="-4"/>
      <w:sz w:val="21"/>
      <w:szCs w:val="24"/>
    </w:rPr>
  </w:style>
  <w:style w:type="character" w:customStyle="1" w:styleId="Char4">
    <w:name w:val="批注框文本 Char"/>
    <w:link w:val="aff5"/>
    <w:qFormat/>
    <w:rPr>
      <w:kern w:val="2"/>
      <w:sz w:val="18"/>
      <w:szCs w:val="18"/>
    </w:rPr>
  </w:style>
  <w:style w:type="character" w:customStyle="1" w:styleId="Char0">
    <w:name w:val="正文文本 Char"/>
    <w:link w:val="aff0"/>
    <w:qFormat/>
    <w:rPr>
      <w:kern w:val="2"/>
      <w:sz w:val="21"/>
      <w:szCs w:val="24"/>
    </w:rPr>
  </w:style>
  <w:style w:type="character" w:customStyle="1" w:styleId="Charf1">
    <w:name w:val="注： Char"/>
    <w:link w:val="a1"/>
    <w:qFormat/>
    <w:rPr>
      <w:rFonts w:ascii="宋体"/>
      <w:sz w:val="18"/>
    </w:rPr>
  </w:style>
  <w:style w:type="character" w:customStyle="1" w:styleId="Char5">
    <w:name w:val="页脚 Char"/>
    <w:link w:val="aff6"/>
    <w:uiPriority w:val="99"/>
    <w:qFormat/>
    <w:rPr>
      <w:kern w:val="2"/>
      <w:sz w:val="18"/>
      <w:szCs w:val="18"/>
    </w:rPr>
  </w:style>
  <w:style w:type="character" w:customStyle="1" w:styleId="Char1">
    <w:name w:val="正文文本缩进 Char"/>
    <w:link w:val="aff1"/>
    <w:qFormat/>
    <w:rPr>
      <w:kern w:val="2"/>
      <w:sz w:val="24"/>
    </w:rPr>
  </w:style>
  <w:style w:type="character" w:customStyle="1" w:styleId="afffff9">
    <w:name w:val="表中文字"/>
    <w:qFormat/>
    <w:rPr>
      <w:rFonts w:ascii="宋体" w:eastAsia="宋体"/>
      <w:sz w:val="18"/>
    </w:rPr>
  </w:style>
  <w:style w:type="character" w:customStyle="1" w:styleId="Char">
    <w:name w:val="批注文字 Char"/>
    <w:link w:val="aff"/>
    <w:qFormat/>
    <w:rPr>
      <w:kern w:val="2"/>
      <w:sz w:val="21"/>
      <w:szCs w:val="24"/>
    </w:rPr>
  </w:style>
  <w:style w:type="character" w:customStyle="1" w:styleId="Char9">
    <w:name w:val="批注主题 Char"/>
    <w:link w:val="affb"/>
    <w:qFormat/>
    <w:rPr>
      <w:b/>
      <w:bCs/>
      <w:kern w:val="2"/>
      <w:sz w:val="21"/>
      <w:szCs w:val="24"/>
    </w:rPr>
  </w:style>
  <w:style w:type="character" w:customStyle="1" w:styleId="Char6">
    <w:name w:val="页眉 Char"/>
    <w:link w:val="aff7"/>
    <w:uiPriority w:val="99"/>
    <w:qFormat/>
    <w:rPr>
      <w:kern w:val="2"/>
      <w:sz w:val="18"/>
      <w:szCs w:val="18"/>
    </w:rPr>
  </w:style>
  <w:style w:type="character" w:customStyle="1" w:styleId="2Char0">
    <w:name w:val="正文文本缩进 2 Char"/>
    <w:link w:val="21"/>
    <w:qFormat/>
    <w:rPr>
      <w:kern w:val="2"/>
      <w:sz w:val="21"/>
      <w:szCs w:val="24"/>
    </w:rPr>
  </w:style>
  <w:style w:type="character" w:customStyle="1" w:styleId="Char3">
    <w:name w:val="日期 Char"/>
    <w:link w:val="aff3"/>
    <w:uiPriority w:val="99"/>
    <w:qFormat/>
    <w:rPr>
      <w:kern w:val="2"/>
      <w:sz w:val="24"/>
    </w:rPr>
  </w:style>
  <w:style w:type="character" w:customStyle="1" w:styleId="14">
    <w:name w:val="访问过的超链接1"/>
    <w:uiPriority w:val="99"/>
    <w:qFormat/>
    <w:rPr>
      <w:color w:val="800080"/>
      <w:u w:val="single"/>
    </w:rPr>
  </w:style>
  <w:style w:type="character" w:customStyle="1" w:styleId="CharCharCharChar">
    <w:name w:val="段 Char Char Char Char"/>
    <w:qFormat/>
    <w:rPr>
      <w:rFonts w:ascii="宋体"/>
      <w:sz w:val="21"/>
      <w:lang w:val="en-US" w:eastAsia="zh-CN" w:bidi="ar-SA"/>
    </w:rPr>
  </w:style>
  <w:style w:type="character" w:customStyle="1" w:styleId="CharChar">
    <w:name w:val="章标题 Char Char"/>
    <w:qFormat/>
    <w:rPr>
      <w:rFonts w:ascii="黑体" w:eastAsia="黑体"/>
      <w:sz w:val="21"/>
      <w:lang w:val="en-US" w:eastAsia="zh-CN" w:bidi="ar-SA"/>
    </w:rPr>
  </w:style>
  <w:style w:type="character" w:customStyle="1" w:styleId="Char12">
    <w:name w:val="正文文本缩进 Char1"/>
    <w:qFormat/>
    <w:rPr>
      <w:kern w:val="2"/>
      <w:sz w:val="21"/>
      <w:szCs w:val="24"/>
    </w:rPr>
  </w:style>
  <w:style w:type="character" w:customStyle="1" w:styleId="font21">
    <w:name w:val="font21"/>
    <w:qFormat/>
    <w:rPr>
      <w:rFonts w:ascii="宋体" w:eastAsia="宋体" w:hAnsi="宋体" w:cs="宋体" w:hint="eastAsia"/>
      <w:b/>
      <w:color w:val="FF0000"/>
      <w:sz w:val="21"/>
      <w:szCs w:val="21"/>
      <w:u w:val="none"/>
    </w:rPr>
  </w:style>
  <w:style w:type="character" w:customStyle="1" w:styleId="font41">
    <w:name w:val="font41"/>
    <w:qFormat/>
    <w:rPr>
      <w:rFonts w:ascii="宋体" w:eastAsia="宋体" w:hAnsi="宋体" w:cs="宋体" w:hint="eastAsia"/>
      <w:b/>
      <w:color w:val="FF0000"/>
      <w:sz w:val="21"/>
      <w:szCs w:val="21"/>
      <w:u w:val="none"/>
    </w:rPr>
  </w:style>
  <w:style w:type="character" w:customStyle="1" w:styleId="font01">
    <w:name w:val="font01"/>
    <w:qFormat/>
    <w:rPr>
      <w:rFonts w:ascii="宋体" w:eastAsia="宋体" w:hAnsi="宋体" w:hint="eastAsia"/>
      <w:color w:val="000000"/>
      <w:sz w:val="24"/>
      <w:szCs w:val="24"/>
      <w:u w:val="none"/>
    </w:rPr>
  </w:style>
  <w:style w:type="character" w:customStyle="1" w:styleId="Chare">
    <w:name w:val="附录标识 Char"/>
    <w:link w:val="a8"/>
    <w:qFormat/>
    <w:rPr>
      <w:sz w:val="21"/>
    </w:rPr>
  </w:style>
  <w:style w:type="character" w:customStyle="1" w:styleId="font31">
    <w:name w:val="font31"/>
    <w:qFormat/>
    <w:rPr>
      <w:rFonts w:ascii="宋体" w:eastAsia="宋体" w:hAnsi="宋体" w:cs="宋体" w:hint="eastAsia"/>
      <w:color w:val="000000"/>
      <w:sz w:val="22"/>
      <w:szCs w:val="22"/>
      <w:u w:val="none"/>
    </w:rPr>
  </w:style>
  <w:style w:type="paragraph" w:styleId="afffffa">
    <w:name w:val="List Paragraph"/>
    <w:basedOn w:val="af9"/>
    <w:uiPriority w:val="34"/>
    <w:qFormat/>
    <w:pPr>
      <w:ind w:firstLineChars="200" w:firstLine="420"/>
    </w:pPr>
  </w:style>
  <w:style w:type="paragraph" w:customStyle="1" w:styleId="TableParagraph">
    <w:name w:val="Table Paragraph"/>
    <w:basedOn w:val="af9"/>
    <w:uiPriority w:val="1"/>
    <w:qFormat/>
    <w:pPr>
      <w:autoSpaceDE w:val="0"/>
      <w:autoSpaceDN w:val="0"/>
      <w:jc w:val="left"/>
    </w:pPr>
    <w:rPr>
      <w:rFonts w:ascii="仿宋" w:eastAsia="仿宋" w:hAnsi="仿宋" w:cs="仿宋"/>
      <w:kern w:val="0"/>
      <w:sz w:val="22"/>
      <w:szCs w:val="22"/>
      <w:lang w:val="zh-CN" w:bidi="zh-CN"/>
    </w:rPr>
  </w:style>
  <w:style w:type="character" w:customStyle="1" w:styleId="fontstyle01">
    <w:name w:val="fontstyle01"/>
    <w:basedOn w:val="afa"/>
    <w:qFormat/>
    <w:rPr>
      <w:rFonts w:ascii="宋体" w:eastAsia="宋体" w:hAnsi="宋体" w:hint="eastAsia"/>
      <w:color w:val="000000"/>
      <w:sz w:val="24"/>
      <w:szCs w:val="24"/>
    </w:rPr>
  </w:style>
  <w:style w:type="character" w:customStyle="1" w:styleId="1Char">
    <w:name w:val="标题 1 Char"/>
    <w:basedOn w:val="afa"/>
    <w:link w:val="1"/>
    <w:rPr>
      <w:rFonts w:ascii="Times New Roman" w:eastAsia="宋体" w:hAnsi="Times New Roman" w:cs="Times New Roman"/>
      <w:b/>
      <w:bCs/>
      <w:kern w:val="44"/>
      <w:sz w:val="44"/>
      <w:szCs w:val="44"/>
    </w:rPr>
  </w:style>
  <w:style w:type="character" w:customStyle="1" w:styleId="2Char">
    <w:name w:val="标题 2 Char"/>
    <w:basedOn w:val="afa"/>
    <w:link w:val="2"/>
    <w:rPr>
      <w:rFonts w:ascii="Arial" w:eastAsia="黑体" w:hAnsi="Arial" w:cs="Times New Roman"/>
      <w:b/>
      <w:bCs/>
      <w:kern w:val="2"/>
      <w:sz w:val="32"/>
      <w:szCs w:val="32"/>
    </w:rPr>
  </w:style>
  <w:style w:type="character" w:customStyle="1" w:styleId="3Char">
    <w:name w:val="标题 3 Char"/>
    <w:basedOn w:val="afa"/>
    <w:link w:val="3"/>
    <w:rPr>
      <w:rFonts w:ascii="Times New Roman" w:eastAsia="宋体" w:hAnsi="Times New Roman" w:cs="Times New Roman"/>
      <w:b/>
      <w:bCs/>
      <w:kern w:val="2"/>
      <w:sz w:val="32"/>
      <w:szCs w:val="32"/>
    </w:rPr>
  </w:style>
  <w:style w:type="character" w:customStyle="1" w:styleId="Char8">
    <w:name w:val="标题 Char"/>
    <w:link w:val="affa"/>
    <w:qFormat/>
    <w:rPr>
      <w:rFonts w:ascii="Arial" w:eastAsia="宋体" w:hAnsi="Arial" w:cs="Arial"/>
      <w:b/>
      <w:bCs/>
      <w:kern w:val="2"/>
      <w:sz w:val="32"/>
      <w:szCs w:val="32"/>
    </w:rPr>
  </w:style>
  <w:style w:type="character" w:customStyle="1" w:styleId="Char7">
    <w:name w:val="脚注文本 Char"/>
    <w:link w:val="aff8"/>
    <w:rPr>
      <w:rFonts w:ascii="Times New Roman" w:eastAsia="宋体" w:hAnsi="Times New Roman" w:cs="Times New Roman"/>
      <w:kern w:val="2"/>
      <w:sz w:val="18"/>
      <w:szCs w:val="18"/>
    </w:rPr>
  </w:style>
  <w:style w:type="character" w:customStyle="1" w:styleId="15">
    <w:name w:val="未处理的提及1"/>
    <w:uiPriority w:val="99"/>
    <w:unhideWhenUsed/>
    <w:rPr>
      <w:color w:val="605E5C"/>
      <w:shd w:val="clear" w:color="auto" w:fill="E1DFDD"/>
    </w:rPr>
  </w:style>
  <w:style w:type="character" w:customStyle="1" w:styleId="Char13">
    <w:name w:val="批注框文本 Char1"/>
    <w:basedOn w:val="afa"/>
    <w:uiPriority w:val="99"/>
    <w:semiHidden/>
    <w:rPr>
      <w:rFonts w:ascii="Calibri" w:eastAsia="宋体" w:hAnsi="Calibri" w:cs="Times New Roman"/>
      <w:sz w:val="18"/>
      <w:szCs w:val="18"/>
    </w:rPr>
  </w:style>
  <w:style w:type="character" w:customStyle="1" w:styleId="Char14">
    <w:name w:val="脚注文本 Char1"/>
    <w:basedOn w:val="afa"/>
    <w:uiPriority w:val="99"/>
    <w:semiHidden/>
    <w:rPr>
      <w:rFonts w:ascii="Calibri" w:eastAsia="宋体" w:hAnsi="Calibri" w:cs="Times New Roman"/>
      <w:sz w:val="18"/>
      <w:szCs w:val="18"/>
    </w:rPr>
  </w:style>
  <w:style w:type="character" w:customStyle="1" w:styleId="Char15">
    <w:name w:val="标题 Char1"/>
    <w:basedOn w:val="afa"/>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f9"/>
    <w:qFormat/>
  </w:style>
  <w:style w:type="paragraph" w:customStyle="1" w:styleId="WPSOffice1">
    <w:name w:val="WPSOffice手动目录 1"/>
    <w:rPr>
      <w:rFonts w:ascii="Calibri" w:eastAsia="宋体" w:hAnsi="Calibri" w:cs="Times New Roman"/>
    </w:rPr>
  </w:style>
  <w:style w:type="paragraph" w:customStyle="1" w:styleId="16">
    <w:name w:val="1"/>
    <w:basedOn w:val="af9"/>
    <w:next w:val="aff1"/>
    <w:pPr>
      <w:adjustRightInd w:val="0"/>
      <w:spacing w:line="360" w:lineRule="auto"/>
      <w:ind w:firstLineChars="200" w:firstLine="480"/>
      <w:textAlignment w:val="baseline"/>
      <w:outlineLvl w:val="0"/>
    </w:pPr>
    <w:rPr>
      <w:kern w:val="0"/>
      <w:sz w:val="24"/>
      <w:szCs w:val="20"/>
    </w:rPr>
  </w:style>
  <w:style w:type="paragraph" w:customStyle="1" w:styleId="CharChar0">
    <w:name w:val="Char Char"/>
    <w:basedOn w:val="af9"/>
  </w:style>
  <w:style w:type="paragraph" w:customStyle="1" w:styleId="WPSOffice2">
    <w:name w:val="WPSOffice手动目录 2"/>
    <w:pPr>
      <w:ind w:leftChars="200" w:left="200"/>
    </w:pPr>
    <w:rPr>
      <w:rFonts w:ascii="Calibri" w:eastAsia="宋体" w:hAnsi="Calibri" w:cs="Times New Roman"/>
    </w:rPr>
  </w:style>
  <w:style w:type="table" w:customStyle="1" w:styleId="17">
    <w:name w:val="网格型1"/>
    <w:basedOn w:val="afb"/>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Placeholder Text"/>
    <w:basedOn w:val="afa"/>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f9"/>
    <w:uiPriority w:val="1"/>
    <w:qFormat/>
    <w:pPr>
      <w:autoSpaceDE w:val="0"/>
      <w:autoSpaceDN w:val="0"/>
      <w:ind w:left="216"/>
      <w:jc w:val="left"/>
      <w:outlineLvl w:val="2"/>
    </w:pPr>
    <w:rPr>
      <w:rFonts w:eastAsia="Times New Roman"/>
      <w:kern w:val="0"/>
      <w:sz w:val="28"/>
      <w:szCs w:val="28"/>
      <w:lang w:eastAsia="en-US" w:bidi="en-US"/>
    </w:rPr>
  </w:style>
  <w:style w:type="paragraph" w:styleId="25">
    <w:name w:val="Body Text 2"/>
    <w:basedOn w:val="af9"/>
    <w:link w:val="2Char1"/>
    <w:uiPriority w:val="99"/>
    <w:qFormat/>
    <w:rsid w:val="007469CC"/>
    <w:pPr>
      <w:spacing w:after="120" w:line="480" w:lineRule="auto"/>
    </w:pPr>
  </w:style>
  <w:style w:type="character" w:customStyle="1" w:styleId="2Char1">
    <w:name w:val="正文文本 2 Char"/>
    <w:basedOn w:val="afa"/>
    <w:link w:val="25"/>
    <w:uiPriority w:val="99"/>
    <w:qFormat/>
    <w:rsid w:val="007469CC"/>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BE896-52CC-4BC3-80FF-FB6A2A5C5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TotalTime>566</TotalTime>
  <Pages>4</Pages>
  <Words>444</Words>
  <Characters>2532</Characters>
  <Application>Microsoft Office Word</Application>
  <DocSecurity>0</DocSecurity>
  <Lines>21</Lines>
  <Paragraphs>5</Paragraphs>
  <ScaleCrop>false</ScaleCrop>
  <Company>Microsoft</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标准李瑞山9585</dc:creator>
  <cp:lastModifiedBy>86153</cp:lastModifiedBy>
  <cp:revision>152</cp:revision>
  <cp:lastPrinted>2016-10-20T04:13:00Z</cp:lastPrinted>
  <dcterms:created xsi:type="dcterms:W3CDTF">2022-01-09T10:10:00Z</dcterms:created>
  <dcterms:modified xsi:type="dcterms:W3CDTF">2023-06-30T01:08:00Z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1AF6B1942E934CBA9084FA9CF9CCD4B5</vt:lpwstr>
  </property>
</Properties>
</file>