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sz w:val="24"/>
          <w:highlight w:val="none"/>
        </w:rPr>
      </w:pPr>
      <w:r>
        <w:rPr>
          <w:rFonts w:ascii="黑体" w:eastAsia="黑体"/>
          <w:bCs/>
          <w:sz w:val="24"/>
          <w:highlight w:val="none"/>
        </w:rPr>
        <w:t>JJF</w:t>
      </w:r>
      <w:r>
        <w:rPr>
          <w:rFonts w:hint="eastAsia" w:ascii="黑体" w:eastAsia="黑体"/>
          <w:bCs/>
          <w:sz w:val="24"/>
          <w:highlight w:val="none"/>
        </w:rPr>
        <w:t>（有色金属）0</w:t>
      </w:r>
      <w:r>
        <w:rPr>
          <w:rFonts w:ascii="黑体" w:eastAsia="黑体"/>
          <w:bCs/>
          <w:sz w:val="24"/>
          <w:highlight w:val="none"/>
        </w:rPr>
        <w:t>0</w:t>
      </w:r>
      <w:r>
        <w:rPr>
          <w:rFonts w:hint="eastAsia" w:ascii="黑体" w:eastAsia="黑体"/>
          <w:bCs/>
          <w:sz w:val="24"/>
          <w:highlight w:val="none"/>
          <w:lang w:val="en-US" w:eastAsia="zh-CN"/>
        </w:rPr>
        <w:t>6</w:t>
      </w:r>
      <w:r>
        <w:rPr>
          <w:rFonts w:ascii="黑体" w:eastAsia="黑体"/>
          <w:bCs/>
          <w:sz w:val="24"/>
          <w:highlight w:val="none"/>
        </w:rPr>
        <w:t>-</w:t>
      </w:r>
      <w:r>
        <w:rPr>
          <w:rFonts w:hint="eastAsia" w:ascii="黑体" w:eastAsia="黑体"/>
          <w:bCs/>
          <w:sz w:val="24"/>
          <w:highlight w:val="none"/>
        </w:rPr>
        <w:t>2</w:t>
      </w:r>
      <w:r>
        <w:rPr>
          <w:rFonts w:ascii="黑体" w:eastAsia="黑体"/>
          <w:bCs/>
          <w:sz w:val="24"/>
          <w:highlight w:val="none"/>
        </w:rPr>
        <w:t>02</w:t>
      </w:r>
      <w:r>
        <w:rPr>
          <w:rFonts w:hint="eastAsia" w:ascii="黑体" w:eastAsia="黑体"/>
          <w:bCs/>
          <w:sz w:val="24"/>
          <w:highlight w:val="none"/>
          <w:lang w:val="en-US" w:eastAsia="zh-CN"/>
        </w:rPr>
        <w:t>2</w:t>
      </w:r>
      <w:r>
        <w:rPr>
          <w:rFonts w:hint="eastAsia" w:ascii="黑体" w:eastAsia="黑体"/>
          <w:bCs/>
          <w:sz w:val="24"/>
          <w:highlight w:val="none"/>
          <w:lang w:val="en-GB"/>
        </w:rPr>
        <w:t>《</w:t>
      </w:r>
      <w:r>
        <w:rPr>
          <w:rFonts w:hint="eastAsia" w:ascii="黑体" w:eastAsia="黑体"/>
          <w:bCs/>
          <w:sz w:val="24"/>
          <w:highlight w:val="none"/>
          <w:lang w:val="en-US" w:eastAsia="zh-CN"/>
        </w:rPr>
        <w:t>油膜测厚仪校准规范</w:t>
      </w:r>
      <w:r>
        <w:rPr>
          <w:rFonts w:hint="eastAsia" w:ascii="黑体" w:eastAsia="黑体"/>
          <w:bCs/>
          <w:sz w:val="24"/>
          <w:highlight w:val="none"/>
        </w:rPr>
        <w:t>》</w:t>
      </w:r>
    </w:p>
    <w:p>
      <w:pPr>
        <w:spacing w:line="360" w:lineRule="auto"/>
        <w:jc w:val="center"/>
        <w:rPr>
          <w:rFonts w:ascii="黑体" w:eastAsia="黑体"/>
          <w:bCs/>
          <w:sz w:val="24"/>
          <w:highlight w:val="none"/>
        </w:rPr>
      </w:pPr>
      <w:r>
        <w:rPr>
          <w:rFonts w:hint="eastAsia" w:ascii="黑体" w:eastAsia="黑体"/>
          <w:bCs/>
          <w:sz w:val="24"/>
          <w:highlight w:val="none"/>
        </w:rPr>
        <w:t>行业计量技术规范编制说明</w:t>
      </w:r>
    </w:p>
    <w:p>
      <w:pPr>
        <w:numPr>
          <w:ilvl w:val="0"/>
          <w:numId w:val="2"/>
        </w:numPr>
        <w:spacing w:line="360" w:lineRule="auto"/>
        <w:rPr>
          <w:rFonts w:hint="eastAsia" w:ascii="黑体" w:hAnsi="黑体" w:eastAsia="黑体" w:cs="黑体"/>
          <w:bCs/>
          <w:highlight w:val="none"/>
        </w:rPr>
      </w:pPr>
      <w:r>
        <w:rPr>
          <w:rFonts w:hint="eastAsia" w:ascii="黑体" w:hAnsi="黑体" w:eastAsia="黑体" w:cs="黑体"/>
          <w:bCs/>
          <w:highlight w:val="none"/>
        </w:rPr>
        <w:t>工作简况</w:t>
      </w:r>
    </w:p>
    <w:p>
      <w:pPr>
        <w:spacing w:line="360" w:lineRule="auto"/>
        <w:rPr>
          <w:rFonts w:hint="eastAsia" w:ascii="黑体" w:eastAsia="黑体"/>
          <w:bCs/>
          <w:szCs w:val="21"/>
          <w:highlight w:val="none"/>
          <w:lang w:val="en-US" w:eastAsia="zh-CN"/>
        </w:rPr>
      </w:pPr>
      <w:r>
        <w:rPr>
          <w:rFonts w:hint="eastAsia" w:ascii="黑体" w:hAnsi="黑体" w:eastAsia="黑体" w:cs="黑体"/>
          <w:bCs/>
          <w:highlight w:val="none"/>
          <w:lang w:val="en-US" w:eastAsia="zh-CN"/>
        </w:rPr>
        <w:t xml:space="preserve">1 </w:t>
      </w:r>
      <w:r>
        <w:rPr>
          <w:rFonts w:hint="eastAsia" w:ascii="黑体" w:eastAsia="黑体"/>
          <w:bCs/>
          <w:szCs w:val="21"/>
          <w:highlight w:val="none"/>
          <w:lang w:val="en-US" w:eastAsia="zh-CN"/>
        </w:rPr>
        <w:t>立项目的</w:t>
      </w:r>
    </w:p>
    <w:p>
      <w:pPr>
        <w:numPr>
          <w:ilvl w:val="0"/>
          <w:numId w:val="0"/>
        </w:numPr>
        <w:spacing w:line="360" w:lineRule="auto"/>
        <w:ind w:left="0" w:leftChars="0" w:firstLine="420" w:firstLineChars="200"/>
        <w:rPr>
          <w:rFonts w:hint="default" w:ascii="Times New Roman" w:hAnsi="宋体" w:eastAsia="宋体" w:cs="Times New Roman"/>
          <w:bCs/>
          <w:kern w:val="2"/>
          <w:sz w:val="21"/>
          <w:szCs w:val="21"/>
          <w:highlight w:val="none"/>
          <w:lang w:val="en-US" w:eastAsia="zh-CN" w:bidi="ar-SA"/>
        </w:rPr>
      </w:pPr>
      <w:r>
        <w:rPr>
          <w:rFonts w:hint="default" w:ascii="Times New Roman" w:hAnsi="宋体" w:eastAsia="宋体" w:cs="Times New Roman"/>
          <w:bCs/>
          <w:kern w:val="2"/>
          <w:sz w:val="21"/>
          <w:szCs w:val="21"/>
          <w:highlight w:val="none"/>
          <w:lang w:val="en-US" w:eastAsia="zh-CN" w:bidi="ar-SA"/>
        </w:rPr>
        <w:t>汽车铝板具有密度小、坚韧度高、装饰效果好等优点，因此得到了汽车工业的青睐，近几年得到爆发式增长。由于汽车铝板表面涂油油膜厚度严重影响其冲制性能，须用油膜测厚仪对油膜厚度进行在线检测与控制和成品油膜厚度测量。</w:t>
      </w:r>
    </w:p>
    <w:p>
      <w:pPr>
        <w:numPr>
          <w:ilvl w:val="0"/>
          <w:numId w:val="0"/>
        </w:numPr>
        <w:spacing w:line="360" w:lineRule="auto"/>
        <w:ind w:left="0" w:leftChars="0" w:firstLine="420" w:firstLineChars="200"/>
        <w:rPr>
          <w:rFonts w:hint="default" w:ascii="Times New Roman" w:hAnsi="宋体" w:eastAsia="宋体" w:cs="Times New Roman"/>
          <w:bCs/>
          <w:kern w:val="2"/>
          <w:sz w:val="21"/>
          <w:szCs w:val="21"/>
          <w:highlight w:val="none"/>
          <w:lang w:val="en-US" w:eastAsia="zh-CN" w:bidi="ar-SA"/>
        </w:rPr>
      </w:pPr>
      <w:r>
        <w:rPr>
          <w:rFonts w:hint="default" w:ascii="Times New Roman" w:hAnsi="宋体" w:eastAsia="宋体" w:cs="Times New Roman"/>
          <w:bCs/>
          <w:kern w:val="2"/>
          <w:sz w:val="21"/>
          <w:szCs w:val="21"/>
          <w:highlight w:val="none"/>
          <w:lang w:val="en-US" w:eastAsia="zh-CN" w:bidi="ar-SA"/>
        </w:rPr>
        <w:t>目前，油膜测厚仪还没有国家检定规程或校准规范，也没有行业和地方的校验方法或校准规范，为更好地指导对油膜测厚仪的校准工作，</w:t>
      </w:r>
      <w:r>
        <w:rPr>
          <w:rFonts w:hint="eastAsia" w:hAnsi="宋体" w:cs="Times New Roman"/>
          <w:bCs/>
          <w:kern w:val="2"/>
          <w:sz w:val="21"/>
          <w:szCs w:val="21"/>
          <w:highlight w:val="none"/>
          <w:lang w:val="en-US" w:eastAsia="zh-CN" w:bidi="ar-SA"/>
        </w:rPr>
        <w:t>特立项</w:t>
      </w:r>
      <w:r>
        <w:rPr>
          <w:rFonts w:hint="default" w:ascii="Times New Roman" w:hAnsi="宋体" w:eastAsia="宋体" w:cs="Times New Roman"/>
          <w:bCs/>
          <w:kern w:val="2"/>
          <w:sz w:val="21"/>
          <w:szCs w:val="21"/>
          <w:highlight w:val="none"/>
          <w:lang w:val="en-US" w:eastAsia="zh-CN" w:bidi="ar-SA"/>
        </w:rPr>
        <w:t>编制《油膜测厚仪校准规范》</w:t>
      </w:r>
      <w:r>
        <w:rPr>
          <w:rFonts w:hint="eastAsia" w:hAnsi="宋体" w:cs="Times New Roman"/>
          <w:bCs/>
          <w:kern w:val="2"/>
          <w:sz w:val="21"/>
          <w:szCs w:val="21"/>
          <w:highlight w:val="none"/>
          <w:lang w:val="en-US" w:eastAsia="zh-CN" w:bidi="ar-SA"/>
        </w:rPr>
        <w:t>。</w:t>
      </w:r>
    </w:p>
    <w:p>
      <w:pPr>
        <w:spacing w:line="360" w:lineRule="auto"/>
        <w:rPr>
          <w:rFonts w:ascii="黑体" w:eastAsia="黑体"/>
          <w:bCs/>
          <w:szCs w:val="21"/>
          <w:highlight w:val="none"/>
        </w:rPr>
      </w:pPr>
      <w:r>
        <w:rPr>
          <w:rFonts w:hint="eastAsia" w:ascii="黑体" w:eastAsia="黑体"/>
          <w:bCs/>
          <w:szCs w:val="21"/>
          <w:highlight w:val="none"/>
          <w:lang w:val="en-US" w:eastAsia="zh-CN"/>
        </w:rPr>
        <w:t xml:space="preserve">2 </w:t>
      </w:r>
      <w:r>
        <w:rPr>
          <w:rFonts w:hint="eastAsia" w:ascii="黑体" w:hAnsi="宋体" w:eastAsia="黑体"/>
          <w:bCs/>
          <w:szCs w:val="21"/>
          <w:highlight w:val="none"/>
        </w:rPr>
        <w:t>任务来源</w:t>
      </w:r>
    </w:p>
    <w:p>
      <w:pPr>
        <w:pStyle w:val="11"/>
        <w:spacing w:after="0" w:line="360" w:lineRule="auto"/>
        <w:ind w:firstLine="420" w:firstLineChars="200"/>
        <w:rPr>
          <w:rFonts w:hAnsi="宋体"/>
          <w:bCs/>
          <w:szCs w:val="21"/>
          <w:highlight w:val="none"/>
        </w:rPr>
      </w:pPr>
      <w:r>
        <w:rPr>
          <w:rFonts w:hint="eastAsia" w:hAnsi="宋体"/>
          <w:bCs/>
          <w:szCs w:val="21"/>
          <w:highlight w:val="none"/>
        </w:rPr>
        <w:t>根据工业和信息化部《关于印发202</w:t>
      </w:r>
      <w:r>
        <w:rPr>
          <w:rFonts w:hint="eastAsia" w:hAnsi="宋体"/>
          <w:bCs/>
          <w:szCs w:val="21"/>
          <w:highlight w:val="none"/>
          <w:lang w:val="en-US" w:eastAsia="zh-CN"/>
        </w:rPr>
        <w:t>2</w:t>
      </w:r>
      <w:r>
        <w:rPr>
          <w:rFonts w:hint="eastAsia" w:hAnsi="宋体"/>
          <w:bCs/>
          <w:szCs w:val="21"/>
          <w:highlight w:val="none"/>
        </w:rPr>
        <w:t>年行业计量技术规范制修订计划的通知》（工厅科［202</w:t>
      </w:r>
      <w:r>
        <w:rPr>
          <w:rFonts w:hint="eastAsia" w:hAnsi="宋体"/>
          <w:bCs/>
          <w:szCs w:val="21"/>
          <w:highlight w:val="none"/>
          <w:lang w:val="en-US" w:eastAsia="zh-CN"/>
        </w:rPr>
        <w:t>2</w:t>
      </w:r>
      <w:r>
        <w:rPr>
          <w:rFonts w:hint="eastAsia" w:hAnsi="宋体"/>
          <w:bCs/>
          <w:szCs w:val="21"/>
          <w:highlight w:val="none"/>
        </w:rPr>
        <w:t>］</w:t>
      </w:r>
      <w:r>
        <w:rPr>
          <w:rFonts w:hint="eastAsia" w:hAnsi="宋体"/>
          <w:bCs/>
          <w:szCs w:val="21"/>
          <w:highlight w:val="none"/>
          <w:lang w:val="en-US" w:eastAsia="zh-CN"/>
        </w:rPr>
        <w:t>464</w:t>
      </w:r>
      <w:r>
        <w:rPr>
          <w:rFonts w:hint="eastAsia" w:hAnsi="宋体"/>
          <w:bCs/>
          <w:szCs w:val="21"/>
          <w:highlight w:val="none"/>
        </w:rPr>
        <w:t>号）文的要求，行业计量技术规范《</w:t>
      </w:r>
      <w:r>
        <w:rPr>
          <w:rFonts w:hint="eastAsia" w:hAnsi="宋体"/>
          <w:bCs/>
          <w:szCs w:val="21"/>
          <w:highlight w:val="none"/>
          <w:lang w:eastAsia="zh-CN"/>
        </w:rPr>
        <w:t>油膜测厚仪校准规范</w:t>
      </w:r>
      <w:r>
        <w:rPr>
          <w:rFonts w:hint="eastAsia" w:hAnsi="宋体"/>
          <w:bCs/>
          <w:szCs w:val="21"/>
          <w:highlight w:val="none"/>
        </w:rPr>
        <w:t>》由</w:t>
      </w:r>
      <w:r>
        <w:rPr>
          <w:rFonts w:hint="eastAsia" w:hAnsi="宋体"/>
          <w:bCs/>
          <w:szCs w:val="21"/>
          <w:highlight w:val="none"/>
          <w:lang w:val="en-US" w:eastAsia="zh-CN"/>
        </w:rPr>
        <w:t>西南铝业（集团）有限责任公司</w:t>
      </w:r>
      <w:r>
        <w:rPr>
          <w:rFonts w:hint="eastAsia" w:hAnsi="宋体"/>
          <w:bCs/>
          <w:szCs w:val="21"/>
          <w:highlight w:val="none"/>
        </w:rPr>
        <w:t>负责起草。该项目计划编号为</w:t>
      </w:r>
      <w:r>
        <w:rPr>
          <w:rFonts w:hAnsi="宋体"/>
          <w:bCs/>
          <w:szCs w:val="21"/>
          <w:highlight w:val="none"/>
        </w:rPr>
        <w:t>JJF</w:t>
      </w:r>
      <w:r>
        <w:rPr>
          <w:rFonts w:hint="eastAsia" w:hAnsi="宋体"/>
          <w:bCs/>
          <w:szCs w:val="21"/>
          <w:highlight w:val="none"/>
        </w:rPr>
        <w:t>（有色金属）0</w:t>
      </w:r>
      <w:r>
        <w:rPr>
          <w:rFonts w:hAnsi="宋体"/>
          <w:bCs/>
          <w:szCs w:val="21"/>
          <w:highlight w:val="none"/>
        </w:rPr>
        <w:t>0</w:t>
      </w:r>
      <w:r>
        <w:rPr>
          <w:rFonts w:hint="eastAsia" w:hAnsi="宋体"/>
          <w:bCs/>
          <w:szCs w:val="21"/>
          <w:highlight w:val="none"/>
          <w:lang w:val="en-US" w:eastAsia="zh-CN"/>
        </w:rPr>
        <w:t>6</w:t>
      </w:r>
      <w:r>
        <w:rPr>
          <w:rFonts w:hint="eastAsia" w:hAnsi="宋体"/>
          <w:bCs/>
          <w:szCs w:val="21"/>
          <w:highlight w:val="none"/>
        </w:rPr>
        <w:t>-2</w:t>
      </w:r>
      <w:r>
        <w:rPr>
          <w:rFonts w:hAnsi="宋体"/>
          <w:bCs/>
          <w:szCs w:val="21"/>
          <w:highlight w:val="none"/>
        </w:rPr>
        <w:t>02</w:t>
      </w:r>
      <w:r>
        <w:rPr>
          <w:rFonts w:hint="eastAsia" w:hAnsi="宋体"/>
          <w:bCs/>
          <w:szCs w:val="21"/>
          <w:highlight w:val="none"/>
          <w:lang w:val="en-US" w:eastAsia="zh-CN"/>
        </w:rPr>
        <w:t>2</w:t>
      </w:r>
      <w:r>
        <w:rPr>
          <w:rFonts w:hint="eastAsia" w:hAnsi="宋体"/>
          <w:bCs/>
          <w:szCs w:val="21"/>
          <w:highlight w:val="none"/>
        </w:rPr>
        <w:t>。按计划要求，本计量规范应于</w:t>
      </w:r>
      <w:r>
        <w:rPr>
          <w:rFonts w:hAnsi="宋体"/>
          <w:bCs/>
          <w:szCs w:val="21"/>
          <w:highlight w:val="none"/>
        </w:rPr>
        <w:t>202</w:t>
      </w:r>
      <w:r>
        <w:rPr>
          <w:rFonts w:hint="eastAsia" w:hAnsi="宋体"/>
          <w:bCs/>
          <w:szCs w:val="21"/>
          <w:highlight w:val="none"/>
          <w:lang w:val="en-US" w:eastAsia="zh-CN"/>
        </w:rPr>
        <w:t>4</w:t>
      </w:r>
      <w:r>
        <w:rPr>
          <w:rFonts w:hint="eastAsia" w:hAnsi="宋体"/>
          <w:bCs/>
          <w:szCs w:val="21"/>
          <w:highlight w:val="none"/>
        </w:rPr>
        <w:t>年完成。</w:t>
      </w:r>
    </w:p>
    <w:p>
      <w:pPr>
        <w:pStyle w:val="11"/>
        <w:spacing w:after="0" w:line="360" w:lineRule="auto"/>
        <w:rPr>
          <w:rFonts w:hint="eastAsia" w:ascii="黑体" w:hAnsi="宋体" w:eastAsia="黑体"/>
          <w:bCs/>
          <w:szCs w:val="21"/>
          <w:highlight w:val="none"/>
        </w:rPr>
      </w:pPr>
      <w:r>
        <w:rPr>
          <w:rFonts w:hint="eastAsia" w:ascii="黑体" w:hAnsi="宋体" w:eastAsia="黑体"/>
          <w:bCs/>
          <w:szCs w:val="21"/>
          <w:highlight w:val="none"/>
          <w:lang w:val="en-US" w:eastAsia="zh-CN"/>
        </w:rPr>
        <w:t xml:space="preserve">3 </w:t>
      </w:r>
      <w:r>
        <w:rPr>
          <w:rFonts w:hint="eastAsia" w:ascii="黑体" w:hAnsi="宋体" w:eastAsia="黑体"/>
          <w:bCs/>
          <w:szCs w:val="21"/>
          <w:highlight w:val="none"/>
        </w:rPr>
        <w:t>承担单位情况</w:t>
      </w:r>
    </w:p>
    <w:p>
      <w:pPr>
        <w:spacing w:line="360" w:lineRule="auto"/>
        <w:ind w:left="0" w:leftChars="0" w:firstLine="0" w:firstLineChars="0"/>
        <w:rPr>
          <w:rFonts w:hint="default" w:eastAsia="宋体"/>
          <w:bCs/>
          <w:highlight w:val="none"/>
          <w:lang w:val="en-US" w:eastAsia="zh-CN"/>
        </w:rPr>
      </w:pPr>
      <w:r>
        <w:rPr>
          <w:rFonts w:hint="eastAsia"/>
          <w:bCs/>
          <w:highlight w:val="none"/>
          <w:lang w:val="en-US" w:eastAsia="zh-CN"/>
        </w:rPr>
        <w:t>3.1 主编单位简介</w:t>
      </w:r>
    </w:p>
    <w:p>
      <w:pPr>
        <w:spacing w:line="360" w:lineRule="auto"/>
        <w:ind w:firstLine="420" w:firstLineChars="200"/>
        <w:rPr>
          <w:rFonts w:hint="eastAsia"/>
          <w:bCs/>
          <w:highlight w:val="none"/>
          <w:lang w:val="en-US" w:eastAsia="zh-CN"/>
        </w:rPr>
      </w:pPr>
      <w:r>
        <w:rPr>
          <w:rFonts w:hint="eastAsia"/>
          <w:bCs/>
          <w:highlight w:val="none"/>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w:t>
      </w:r>
      <w:r>
        <w:rPr>
          <w:rFonts w:hint="eastAsia"/>
          <w:bCs/>
          <w:highlight w:val="none"/>
          <w:lang w:eastAsia="zh-CN"/>
        </w:rPr>
        <w:t>西南铝建有校准实验室与检测实验室，均通过了</w:t>
      </w:r>
      <w:r>
        <w:rPr>
          <w:rFonts w:hint="eastAsia"/>
          <w:bCs/>
          <w:highlight w:val="none"/>
          <w:lang w:val="en-US" w:eastAsia="zh-CN"/>
        </w:rPr>
        <w:t>CNAS认可，具备对测厚仪、标准厚度板、电子天平、尺寸检测的CNAS检测/校准能力。西南铝累计申请专利722件，其中授权发明专利249件、授权实用新型专利473件，主持和参与国家、行业标准277项。</w:t>
      </w:r>
    </w:p>
    <w:p>
      <w:pPr>
        <w:spacing w:line="360" w:lineRule="auto"/>
        <w:ind w:left="0" w:leftChars="0" w:firstLine="0" w:firstLineChars="0"/>
        <w:rPr>
          <w:rFonts w:hint="eastAsia"/>
          <w:bCs/>
          <w:highlight w:val="none"/>
          <w:lang w:val="en-US" w:eastAsia="zh-CN"/>
        </w:rPr>
      </w:pPr>
      <w:r>
        <w:rPr>
          <w:rFonts w:hint="eastAsia"/>
          <w:bCs/>
          <w:highlight w:val="none"/>
          <w:lang w:val="en-US" w:eastAsia="zh-CN"/>
        </w:rPr>
        <w:t>3.2 成员单位简介</w:t>
      </w:r>
    </w:p>
    <w:p>
      <w:p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上海韵鼎国际贸易有限公司公司位于上海市普陀长风生态商务区国盛中心，专注于表观检测，是中国区域的颜色、厚度、雾度、光泽、老化耐候试验、盐雾腐蚀试验、粒子异色异形和辐射率等领域的解决方案供应商，积极参与行业会议，参与起草多项国家标准，关注新行业，引领新产品的表观检测方法，在中国表观检测技术研究发展、技术论证上有突出贡献。</w:t>
      </w:r>
    </w:p>
    <w:p>
      <w:pPr>
        <w:spacing w:line="360" w:lineRule="auto"/>
        <w:ind w:firstLine="420" w:firstLineChars="200"/>
        <w:rPr>
          <w:rFonts w:hint="eastAsia"/>
          <w:highlight w:val="none"/>
          <w:lang w:val="en-US" w:eastAsia="zh-CN"/>
        </w:rPr>
      </w:pPr>
      <w:r>
        <w:rPr>
          <w:rFonts w:hint="eastAsia"/>
          <w:highlight w:val="none"/>
          <w:lang w:val="en-US"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100余人，其中教授有15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pPr>
        <w:spacing w:line="360" w:lineRule="auto"/>
        <w:ind w:firstLine="420" w:firstLineChars="200"/>
        <w:rPr>
          <w:rFonts w:hint="eastAsia"/>
          <w:sz w:val="21"/>
          <w:szCs w:val="21"/>
          <w:highlight w:val="none"/>
        </w:rPr>
      </w:pPr>
      <w:r>
        <w:rPr>
          <w:rFonts w:hint="eastAsia"/>
          <w:sz w:val="21"/>
          <w:szCs w:val="21"/>
          <w:highlight w:val="none"/>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pPr>
        <w:pStyle w:val="11"/>
        <w:spacing w:after="0" w:line="360" w:lineRule="auto"/>
        <w:rPr>
          <w:rFonts w:ascii="黑体" w:eastAsia="黑体"/>
          <w:bCs/>
          <w:szCs w:val="21"/>
          <w:highlight w:val="none"/>
        </w:rPr>
      </w:pPr>
      <w:r>
        <w:rPr>
          <w:rFonts w:hint="eastAsia" w:ascii="黑体" w:eastAsia="黑体"/>
          <w:bCs/>
          <w:szCs w:val="21"/>
          <w:highlight w:val="none"/>
          <w:lang w:val="en-US" w:eastAsia="zh-CN"/>
        </w:rPr>
        <w:t xml:space="preserve">4 </w:t>
      </w:r>
      <w:r>
        <w:rPr>
          <w:rFonts w:hint="eastAsia" w:ascii="黑体" w:hAnsi="宋体" w:eastAsia="黑体"/>
          <w:bCs/>
          <w:szCs w:val="21"/>
          <w:highlight w:val="none"/>
        </w:rPr>
        <w:t>主要工作过程</w:t>
      </w:r>
    </w:p>
    <w:p>
      <w:pPr>
        <w:spacing w:line="360" w:lineRule="auto"/>
        <w:ind w:firstLine="420" w:firstLineChars="200"/>
        <w:rPr>
          <w:bCs/>
          <w:highlight w:val="none"/>
        </w:rPr>
      </w:pPr>
      <w:r>
        <w:rPr>
          <w:rFonts w:hint="eastAsia"/>
          <w:bCs/>
          <w:highlight w:val="none"/>
          <w:lang w:val="en-US" w:eastAsia="zh-CN"/>
        </w:rPr>
        <w:t>西南铝业（集团）有限责任公司计量</w:t>
      </w:r>
      <w:r>
        <w:rPr>
          <w:rFonts w:hint="eastAsia"/>
          <w:bCs/>
          <w:highlight w:val="none"/>
        </w:rPr>
        <w:t>检测中心接到有色金属行业计量技术委员会转发下达的制定任务后，成立了计量规范编</w:t>
      </w:r>
      <w:r>
        <w:rPr>
          <w:rFonts w:hint="eastAsia"/>
          <w:bCs/>
          <w:highlight w:val="none"/>
          <w:lang w:val="en-US" w:eastAsia="zh-CN"/>
        </w:rPr>
        <w:t>制组，成员有上海韵鼎国际贸易有限公司、广东省科学院工业分析检测中心、西安汉唐分析检测有限公司、有研工程技术研究院有限公司、中铝材料应用研究院有限公司、国合通用测试评价认证股份公司、广亚铝业有限公司等。对计量技术规范编写工作进行了部署和分工，制定了制定原则及计划工作。本项目主要工作过程经过了以下几个阶段：</w:t>
      </w:r>
    </w:p>
    <w:p>
      <w:pPr>
        <w:spacing w:line="360" w:lineRule="auto"/>
        <w:ind w:firstLine="210" w:firstLineChars="100"/>
        <w:rPr>
          <w:rFonts w:hint="eastAsia"/>
          <w:bCs/>
          <w:highlight w:val="none"/>
        </w:rPr>
      </w:pPr>
      <w:r>
        <w:rPr>
          <w:bCs/>
          <w:highlight w:val="none"/>
        </w:rPr>
        <w:t>1</w:t>
      </w:r>
      <w:r>
        <w:rPr>
          <w:rFonts w:hint="eastAsia"/>
          <w:bCs/>
          <w:highlight w:val="none"/>
        </w:rPr>
        <w:t>）</w:t>
      </w:r>
      <w:r>
        <w:rPr>
          <w:bCs/>
          <w:highlight w:val="none"/>
        </w:rPr>
        <w:t>20</w:t>
      </w:r>
      <w:r>
        <w:rPr>
          <w:rFonts w:hint="eastAsia"/>
          <w:bCs/>
          <w:highlight w:val="none"/>
        </w:rPr>
        <w:t>2</w:t>
      </w:r>
      <w:r>
        <w:rPr>
          <w:rFonts w:hint="eastAsia"/>
          <w:bCs/>
          <w:highlight w:val="none"/>
          <w:lang w:val="en-US" w:eastAsia="zh-CN"/>
        </w:rPr>
        <w:t>2</w:t>
      </w:r>
      <w:r>
        <w:rPr>
          <w:rFonts w:hint="eastAsia"/>
          <w:bCs/>
          <w:highlight w:val="none"/>
        </w:rPr>
        <w:t>年</w:t>
      </w:r>
      <w:r>
        <w:rPr>
          <w:rFonts w:hint="eastAsia"/>
          <w:bCs/>
          <w:highlight w:val="none"/>
          <w:lang w:val="en-US" w:eastAsia="zh-CN"/>
        </w:rPr>
        <w:t>7</w:t>
      </w:r>
      <w:r>
        <w:rPr>
          <w:rFonts w:hint="eastAsia"/>
          <w:bCs/>
          <w:highlight w:val="none"/>
        </w:rPr>
        <w:t>月成立</w:t>
      </w:r>
      <w:r>
        <w:rPr>
          <w:rFonts w:hint="eastAsia"/>
          <w:bCs/>
          <w:highlight w:val="none"/>
          <w:lang w:eastAsia="zh-CN"/>
        </w:rPr>
        <w:t>了</w:t>
      </w:r>
      <w:r>
        <w:rPr>
          <w:rFonts w:hint="eastAsia"/>
          <w:bCs/>
          <w:highlight w:val="none"/>
        </w:rPr>
        <w:t>计量规范编制组，明确了编制组</w:t>
      </w:r>
      <w:r>
        <w:rPr>
          <w:rFonts w:hint="eastAsia"/>
          <w:bCs/>
          <w:highlight w:val="none"/>
          <w:lang w:eastAsia="zh-CN"/>
        </w:rPr>
        <w:t>成员</w:t>
      </w:r>
      <w:r>
        <w:rPr>
          <w:rFonts w:hint="eastAsia"/>
          <w:bCs/>
          <w:highlight w:val="none"/>
        </w:rPr>
        <w:t>各自的工作内容和任务。</w:t>
      </w:r>
    </w:p>
    <w:p>
      <w:pPr>
        <w:spacing w:line="360" w:lineRule="auto"/>
        <w:ind w:firstLine="210" w:firstLineChars="100"/>
        <w:rPr>
          <w:rFonts w:hint="default" w:eastAsia="宋体"/>
          <w:bCs/>
          <w:highlight w:val="none"/>
          <w:lang w:val="en-US" w:eastAsia="zh-CN"/>
        </w:rPr>
      </w:pPr>
      <w:r>
        <w:rPr>
          <w:bCs/>
          <w:highlight w:val="none"/>
        </w:rPr>
        <w:t>2</w:t>
      </w:r>
      <w:r>
        <w:rPr>
          <w:rFonts w:hint="eastAsia"/>
          <w:bCs/>
          <w:highlight w:val="none"/>
        </w:rPr>
        <w:t>）</w:t>
      </w:r>
      <w:r>
        <w:rPr>
          <w:bCs/>
          <w:highlight w:val="none"/>
        </w:rPr>
        <w:t>20</w:t>
      </w:r>
      <w:r>
        <w:rPr>
          <w:rFonts w:hint="eastAsia"/>
          <w:bCs/>
          <w:highlight w:val="none"/>
        </w:rPr>
        <w:t>2</w:t>
      </w:r>
      <w:r>
        <w:rPr>
          <w:rFonts w:hint="eastAsia"/>
          <w:bCs/>
          <w:highlight w:val="none"/>
          <w:lang w:val="en-US" w:eastAsia="zh-CN"/>
        </w:rPr>
        <w:t>2</w:t>
      </w:r>
      <w:r>
        <w:rPr>
          <w:rFonts w:hint="eastAsia"/>
          <w:bCs/>
          <w:highlight w:val="none"/>
        </w:rPr>
        <w:t>年</w:t>
      </w:r>
      <w:r>
        <w:rPr>
          <w:rFonts w:hint="eastAsia"/>
          <w:bCs/>
          <w:highlight w:val="none"/>
          <w:lang w:val="en-US" w:eastAsia="zh-CN"/>
        </w:rPr>
        <w:t>8</w:t>
      </w:r>
      <w:r>
        <w:rPr>
          <w:rFonts w:hint="eastAsia"/>
          <w:bCs/>
          <w:highlight w:val="none"/>
        </w:rPr>
        <w:t>月</w:t>
      </w:r>
      <w:r>
        <w:rPr>
          <w:rFonts w:hint="eastAsia"/>
          <w:bCs/>
          <w:highlight w:val="none"/>
          <w:lang w:val="en-US" w:eastAsia="zh-CN"/>
        </w:rPr>
        <w:t>～2023年10月</w:t>
      </w:r>
      <w:r>
        <w:rPr>
          <w:rFonts w:hint="eastAsia"/>
          <w:bCs/>
          <w:highlight w:val="none"/>
        </w:rPr>
        <w:t>计量规范编制组成员</w:t>
      </w:r>
      <w:r>
        <w:rPr>
          <w:rFonts w:hint="eastAsia"/>
          <w:bCs/>
          <w:highlight w:val="none"/>
          <w:lang w:val="en-US" w:eastAsia="zh-CN"/>
        </w:rPr>
        <w:t>完成了初步校准实施方案，并对单位的油膜测厚仪进行了校准测试。</w:t>
      </w:r>
    </w:p>
    <w:p>
      <w:pPr>
        <w:spacing w:line="360" w:lineRule="auto"/>
        <w:ind w:firstLine="210" w:firstLineChars="100"/>
        <w:rPr>
          <w:rFonts w:hint="eastAsia"/>
          <w:bCs/>
          <w:highlight w:val="none"/>
        </w:rPr>
      </w:pPr>
      <w:r>
        <w:rPr>
          <w:rFonts w:hint="eastAsia"/>
          <w:bCs/>
          <w:highlight w:val="none"/>
          <w:lang w:val="en-US" w:eastAsia="zh-CN"/>
        </w:rPr>
        <w:t>3</w:t>
      </w:r>
      <w:r>
        <w:rPr>
          <w:rFonts w:hint="eastAsia"/>
          <w:bCs/>
          <w:highlight w:val="none"/>
        </w:rPr>
        <w:t>）</w:t>
      </w:r>
      <w:r>
        <w:rPr>
          <w:bCs/>
          <w:highlight w:val="none"/>
        </w:rPr>
        <w:t>20</w:t>
      </w:r>
      <w:r>
        <w:rPr>
          <w:rFonts w:hint="eastAsia"/>
          <w:bCs/>
          <w:highlight w:val="none"/>
        </w:rPr>
        <w:t>2</w:t>
      </w:r>
      <w:r>
        <w:rPr>
          <w:rFonts w:hint="eastAsia"/>
          <w:bCs/>
          <w:highlight w:val="none"/>
          <w:lang w:val="en-US" w:eastAsia="zh-CN"/>
        </w:rPr>
        <w:t>2</w:t>
      </w:r>
      <w:r>
        <w:rPr>
          <w:rFonts w:hint="eastAsia"/>
          <w:bCs/>
          <w:highlight w:val="none"/>
        </w:rPr>
        <w:t>年</w:t>
      </w:r>
      <w:r>
        <w:rPr>
          <w:rFonts w:hint="eastAsia"/>
          <w:bCs/>
          <w:highlight w:val="none"/>
          <w:lang w:val="en-US" w:eastAsia="zh-CN"/>
        </w:rPr>
        <w:t>11</w:t>
      </w:r>
      <w:r>
        <w:rPr>
          <w:rFonts w:hint="eastAsia"/>
          <w:bCs/>
          <w:highlight w:val="none"/>
        </w:rPr>
        <w:t>月</w:t>
      </w:r>
      <w:r>
        <w:rPr>
          <w:rFonts w:hint="eastAsia"/>
          <w:bCs/>
          <w:highlight w:val="none"/>
          <w:lang w:val="en-US" w:eastAsia="zh-CN"/>
        </w:rPr>
        <w:t>～2023年4月</w:t>
      </w:r>
      <w:r>
        <w:rPr>
          <w:rFonts w:hint="eastAsia"/>
          <w:bCs/>
          <w:highlight w:val="none"/>
        </w:rPr>
        <w:t>计量规范编制组成员对有</w:t>
      </w:r>
      <w:r>
        <w:rPr>
          <w:rFonts w:hint="eastAsia"/>
          <w:bCs/>
          <w:highlight w:val="none"/>
          <w:lang w:eastAsia="zh-CN"/>
        </w:rPr>
        <w:t>油膜测厚仪校准规范</w:t>
      </w:r>
      <w:r>
        <w:rPr>
          <w:rFonts w:hint="eastAsia"/>
          <w:bCs/>
          <w:highlight w:val="none"/>
        </w:rPr>
        <w:t>中的计量特性及校准方法进行了讨论，确定了校准项目和方法，在</w:t>
      </w:r>
      <w:r>
        <w:rPr>
          <w:bCs/>
          <w:highlight w:val="none"/>
        </w:rPr>
        <w:t>202</w:t>
      </w:r>
      <w:r>
        <w:rPr>
          <w:rFonts w:hint="eastAsia"/>
          <w:bCs/>
          <w:highlight w:val="none"/>
          <w:lang w:val="en-US" w:eastAsia="zh-CN"/>
        </w:rPr>
        <w:t>3</w:t>
      </w:r>
      <w:r>
        <w:rPr>
          <w:rFonts w:hint="eastAsia"/>
          <w:bCs/>
          <w:highlight w:val="none"/>
        </w:rPr>
        <w:t>年</w:t>
      </w:r>
      <w:r>
        <w:rPr>
          <w:rFonts w:hint="eastAsia"/>
          <w:bCs/>
          <w:highlight w:val="none"/>
          <w:lang w:val="en-US" w:eastAsia="zh-CN"/>
        </w:rPr>
        <w:t>4</w:t>
      </w:r>
      <w:r>
        <w:rPr>
          <w:rFonts w:hint="eastAsia"/>
          <w:bCs/>
          <w:highlight w:val="none"/>
        </w:rPr>
        <w:t>月形成了计量规范讨论稿。</w:t>
      </w:r>
    </w:p>
    <w:p>
      <w:pPr>
        <w:spacing w:line="360" w:lineRule="auto"/>
        <w:ind w:firstLine="210" w:firstLineChars="100"/>
        <w:rPr>
          <w:rFonts w:hint="eastAsia"/>
          <w:bCs/>
        </w:rPr>
      </w:pPr>
      <w:r>
        <w:rPr>
          <w:rFonts w:hint="eastAsia"/>
          <w:bCs/>
          <w:lang w:val="en-US" w:eastAsia="zh-CN"/>
        </w:rPr>
        <w:t>4）</w:t>
      </w:r>
      <w:r>
        <w:rPr>
          <w:rFonts w:hint="eastAsia"/>
          <w:bCs/>
        </w:rPr>
        <w:t>202</w:t>
      </w:r>
      <w:r>
        <w:rPr>
          <w:rFonts w:hint="eastAsia"/>
          <w:bCs/>
          <w:lang w:val="en-US" w:eastAsia="zh-CN"/>
        </w:rPr>
        <w:t>3</w:t>
      </w:r>
      <w:r>
        <w:rPr>
          <w:rFonts w:hint="eastAsia"/>
          <w:bCs/>
        </w:rPr>
        <w:t>年</w:t>
      </w:r>
      <w:r>
        <w:rPr>
          <w:rFonts w:hint="eastAsia"/>
          <w:bCs/>
          <w:lang w:val="en-US" w:eastAsia="zh-CN"/>
        </w:rPr>
        <w:t>5</w:t>
      </w:r>
      <w:r>
        <w:rPr>
          <w:rFonts w:hint="eastAsia"/>
          <w:bCs/>
        </w:rPr>
        <w:t>月</w:t>
      </w:r>
      <w:r>
        <w:rPr>
          <w:rFonts w:hint="eastAsia"/>
          <w:bCs/>
          <w:lang w:val="en-US" w:eastAsia="zh-CN"/>
        </w:rPr>
        <w:t>8</w:t>
      </w:r>
      <w:r>
        <w:rPr>
          <w:rFonts w:hint="eastAsia"/>
          <w:bCs/>
        </w:rPr>
        <w:t>日</w:t>
      </w:r>
      <w:r>
        <w:rPr>
          <w:rFonts w:hint="eastAsia" w:ascii="仿宋" w:hAnsi="仿宋" w:eastAsia="仿宋" w:cs="仿宋"/>
          <w:bCs/>
        </w:rPr>
        <w:t>～</w:t>
      </w:r>
      <w:r>
        <w:rPr>
          <w:rFonts w:hint="eastAsia" w:eastAsia="仿宋"/>
          <w:bCs/>
          <w:lang w:val="en-US" w:eastAsia="zh-CN"/>
        </w:rPr>
        <w:t>10</w:t>
      </w:r>
      <w:r>
        <w:rPr>
          <w:rFonts w:hint="eastAsia"/>
          <w:bCs/>
        </w:rPr>
        <w:t>日，计量规范编制组成员参加了由有色金属行业计量技术委员会组织的在</w:t>
      </w:r>
      <w:r>
        <w:rPr>
          <w:rFonts w:hint="eastAsia"/>
          <w:bCs/>
          <w:lang w:val="en-US" w:eastAsia="zh-CN"/>
        </w:rPr>
        <w:t>陕西西安</w:t>
      </w:r>
      <w:r>
        <w:rPr>
          <w:rFonts w:hint="eastAsia"/>
          <w:bCs/>
        </w:rPr>
        <w:t>召开的</w:t>
      </w:r>
      <w:r>
        <w:rPr>
          <w:bCs/>
        </w:rPr>
        <w:t>202</w:t>
      </w:r>
      <w:r>
        <w:rPr>
          <w:rFonts w:hint="eastAsia"/>
          <w:bCs/>
          <w:lang w:val="en-US" w:eastAsia="zh-CN"/>
        </w:rPr>
        <w:t>3</w:t>
      </w:r>
      <w:r>
        <w:rPr>
          <w:rFonts w:hint="eastAsia"/>
          <w:bCs/>
        </w:rPr>
        <w:t>年有色金属行业计量技术规范讨论会，与会专家、代表对本校准规范的讨论稿提出了宝贵的意见和建议。</w:t>
      </w:r>
    </w:p>
    <w:p>
      <w:pPr>
        <w:spacing w:line="360" w:lineRule="auto"/>
        <w:ind w:firstLine="210" w:firstLineChars="100"/>
        <w:rPr>
          <w:rFonts w:hint="eastAsia"/>
          <w:bCs/>
          <w:highlight w:val="none"/>
        </w:rPr>
      </w:pPr>
      <w:r>
        <w:rPr>
          <w:rFonts w:hint="eastAsia"/>
          <w:bCs/>
          <w:lang w:val="en-US" w:eastAsia="zh-CN"/>
        </w:rPr>
        <w:t>5</w:t>
      </w:r>
      <w:r>
        <w:rPr>
          <w:rFonts w:hint="eastAsia"/>
          <w:bCs/>
        </w:rPr>
        <w:t>）202</w:t>
      </w:r>
      <w:r>
        <w:rPr>
          <w:rFonts w:hint="eastAsia"/>
          <w:bCs/>
          <w:lang w:val="en-US" w:eastAsia="zh-CN"/>
        </w:rPr>
        <w:t>3</w:t>
      </w:r>
      <w:r>
        <w:rPr>
          <w:rFonts w:hint="eastAsia"/>
          <w:bCs/>
        </w:rPr>
        <w:t>年</w:t>
      </w:r>
      <w:r>
        <w:rPr>
          <w:rFonts w:hint="eastAsia"/>
          <w:bCs/>
          <w:lang w:val="en-US" w:eastAsia="zh-CN"/>
        </w:rPr>
        <w:t>5</w:t>
      </w:r>
      <w:r>
        <w:rPr>
          <w:rFonts w:hint="eastAsia"/>
          <w:bCs/>
        </w:rPr>
        <w:t>月</w:t>
      </w:r>
      <w:r>
        <w:rPr>
          <w:rFonts w:hint="eastAsia"/>
          <w:bCs/>
          <w:lang w:val="en-US" w:eastAsia="zh-CN"/>
        </w:rPr>
        <w:t>10</w:t>
      </w:r>
      <w:r>
        <w:rPr>
          <w:rFonts w:hint="eastAsia" w:ascii="仿宋" w:hAnsi="仿宋" w:eastAsia="仿宋" w:cs="仿宋"/>
          <w:bCs/>
        </w:rPr>
        <w:t>～</w:t>
      </w:r>
      <w:r>
        <w:rPr>
          <w:rFonts w:hint="eastAsia" w:ascii="宋体" w:hAnsi="宋体" w:eastAsia="仿宋" w:cs="宋体"/>
          <w:bCs/>
          <w:lang w:val="en-US" w:eastAsia="zh-CN"/>
        </w:rPr>
        <w:t>5月30日</w:t>
      </w:r>
      <w:r>
        <w:rPr>
          <w:rFonts w:hint="eastAsia"/>
          <w:bCs/>
        </w:rPr>
        <w:t>，针对</w:t>
      </w:r>
      <w:r>
        <w:rPr>
          <w:rFonts w:hint="eastAsia"/>
          <w:bCs/>
          <w:lang w:val="en-US" w:eastAsia="zh-CN"/>
        </w:rPr>
        <w:t>5</w:t>
      </w:r>
      <w:r>
        <w:rPr>
          <w:rFonts w:hint="eastAsia"/>
          <w:bCs/>
        </w:rPr>
        <w:t>月的</w:t>
      </w:r>
      <w:r>
        <w:rPr>
          <w:rFonts w:hint="eastAsia"/>
          <w:bCs/>
          <w:lang w:val="en-US" w:eastAsia="zh-CN"/>
        </w:rPr>
        <w:t>陕西西安</w:t>
      </w:r>
      <w:r>
        <w:rPr>
          <w:rFonts w:hint="eastAsia"/>
          <w:bCs/>
        </w:rPr>
        <w:t>讨论会中代表们提出的修改意见和建议，编制组开会讨论并修改了校准规范。</w:t>
      </w:r>
    </w:p>
    <w:p>
      <w:pPr>
        <w:spacing w:line="360" w:lineRule="auto"/>
        <w:rPr>
          <w:rFonts w:ascii="黑体" w:eastAsia="黑体"/>
          <w:bCs/>
          <w:color w:val="FF0000"/>
          <w:szCs w:val="21"/>
          <w:highlight w:val="none"/>
        </w:rPr>
      </w:pPr>
      <w:r>
        <w:rPr>
          <w:rFonts w:hint="eastAsia"/>
          <w:bCs/>
          <w:color w:val="000000"/>
          <w:szCs w:val="21"/>
          <w:highlight w:val="none"/>
        </w:rPr>
        <w:t>二、</w:t>
      </w:r>
      <w:r>
        <w:rPr>
          <w:rFonts w:hint="eastAsia" w:ascii="黑体" w:hAnsi="宋体" w:eastAsia="黑体"/>
          <w:bCs/>
          <w:szCs w:val="21"/>
          <w:highlight w:val="none"/>
        </w:rPr>
        <w:t>编制原则和依据</w:t>
      </w:r>
    </w:p>
    <w:p>
      <w:pPr>
        <w:pStyle w:val="11"/>
        <w:spacing w:after="0" w:line="360" w:lineRule="auto"/>
        <w:rPr>
          <w:rFonts w:ascii="黑体" w:eastAsia="黑体"/>
          <w:bCs/>
          <w:szCs w:val="21"/>
          <w:highlight w:val="none"/>
        </w:rPr>
      </w:pPr>
      <w:r>
        <w:rPr>
          <w:rFonts w:ascii="黑体" w:eastAsia="黑体"/>
          <w:bCs/>
          <w:szCs w:val="21"/>
          <w:highlight w:val="none"/>
        </w:rPr>
        <w:t>1</w:t>
      </w:r>
      <w:r>
        <w:rPr>
          <w:rFonts w:hint="eastAsia" w:ascii="黑体" w:hAnsi="宋体" w:eastAsia="黑体"/>
          <w:bCs/>
          <w:szCs w:val="21"/>
          <w:highlight w:val="none"/>
        </w:rPr>
        <w:t>规范编制原则</w:t>
      </w:r>
    </w:p>
    <w:p>
      <w:pPr>
        <w:spacing w:line="360" w:lineRule="auto"/>
        <w:ind w:firstLine="435"/>
        <w:rPr>
          <w:bCs/>
          <w:szCs w:val="21"/>
          <w:highlight w:val="none"/>
        </w:rPr>
      </w:pPr>
      <w:r>
        <w:rPr>
          <w:rFonts w:ascii="宋体" w:hAnsi="宋体"/>
          <w:bCs/>
          <w:szCs w:val="21"/>
          <w:highlight w:val="none"/>
        </w:rPr>
        <w:t>1</w:t>
      </w:r>
      <w:r>
        <w:rPr>
          <w:rFonts w:hint="eastAsia" w:ascii="宋体" w:hAnsi="宋体"/>
          <w:bCs/>
          <w:szCs w:val="21"/>
          <w:highlight w:val="none"/>
        </w:rPr>
        <w:t>）</w:t>
      </w:r>
      <w:r>
        <w:rPr>
          <w:rFonts w:hint="eastAsia" w:hAnsi="宋体"/>
          <w:bCs/>
          <w:szCs w:val="21"/>
          <w:highlight w:val="none"/>
        </w:rPr>
        <w:t>该规范按照</w:t>
      </w:r>
      <w:r>
        <w:rPr>
          <w:bCs/>
          <w:szCs w:val="21"/>
          <w:highlight w:val="none"/>
        </w:rPr>
        <w:t>JJF 1071-2010</w:t>
      </w:r>
      <w:r>
        <w:rPr>
          <w:rFonts w:hint="eastAsia" w:hAnsi="宋体"/>
          <w:bCs/>
          <w:szCs w:val="21"/>
          <w:highlight w:val="none"/>
        </w:rPr>
        <w:t>《国家计量校准规范编写规则》、</w:t>
      </w:r>
      <w:r>
        <w:rPr>
          <w:bCs/>
          <w:szCs w:val="21"/>
          <w:highlight w:val="none"/>
        </w:rPr>
        <w:t>JJF 1001—2011</w:t>
      </w:r>
      <w:r>
        <w:rPr>
          <w:rFonts w:hint="eastAsia" w:hAnsi="宋体"/>
          <w:bCs/>
          <w:szCs w:val="21"/>
          <w:highlight w:val="none"/>
        </w:rPr>
        <w:t>《通用计量术语及定义》和</w:t>
      </w:r>
      <w:r>
        <w:rPr>
          <w:bCs/>
          <w:szCs w:val="21"/>
          <w:highlight w:val="none"/>
        </w:rPr>
        <w:t>JJF 1059.1—2012</w:t>
      </w:r>
      <w:r>
        <w:rPr>
          <w:rFonts w:hint="eastAsia" w:hAnsi="宋体"/>
          <w:bCs/>
          <w:szCs w:val="21"/>
          <w:highlight w:val="none"/>
        </w:rPr>
        <w:t>《测量不确定度评定与表示》编写。</w:t>
      </w:r>
    </w:p>
    <w:p>
      <w:pPr>
        <w:spacing w:line="360" w:lineRule="auto"/>
        <w:ind w:firstLine="420" w:firstLineChars="200"/>
        <w:rPr>
          <w:rFonts w:hint="eastAsia" w:ascii="宋体" w:hAnsi="宋体"/>
          <w:bCs/>
          <w:szCs w:val="21"/>
          <w:highlight w:val="none"/>
        </w:rPr>
      </w:pPr>
      <w:r>
        <w:rPr>
          <w:bCs/>
          <w:szCs w:val="21"/>
          <w:highlight w:val="none"/>
        </w:rPr>
        <w:t>2</w:t>
      </w:r>
      <w:r>
        <w:rPr>
          <w:rFonts w:hint="eastAsia" w:hAnsi="宋体"/>
          <w:bCs/>
          <w:szCs w:val="21"/>
          <w:highlight w:val="none"/>
        </w:rPr>
        <w:t>）先进性：</w:t>
      </w:r>
      <w:r>
        <w:rPr>
          <w:rFonts w:hint="eastAsia" w:hAnsi="宋体"/>
          <w:bCs/>
          <w:szCs w:val="21"/>
          <w:highlight w:val="none"/>
          <w:lang w:val="en-US" w:eastAsia="zh-CN"/>
        </w:rPr>
        <w:t>本</w:t>
      </w:r>
      <w:r>
        <w:rPr>
          <w:rFonts w:hint="eastAsia" w:hAnsi="宋体"/>
          <w:bCs/>
          <w:szCs w:val="21"/>
          <w:highlight w:val="none"/>
        </w:rPr>
        <w:t>规范对</w:t>
      </w:r>
      <w:r>
        <w:rPr>
          <w:rFonts w:hint="eastAsia" w:hAnsi="宋体"/>
          <w:bCs/>
          <w:szCs w:val="21"/>
          <w:highlight w:val="none"/>
          <w:lang w:val="en-US" w:eastAsia="zh-CN"/>
        </w:rPr>
        <w:t>校准</w:t>
      </w:r>
      <w:r>
        <w:rPr>
          <w:rFonts w:hint="eastAsia" w:hAnsi="宋体"/>
          <w:bCs/>
          <w:szCs w:val="21"/>
          <w:highlight w:val="none"/>
        </w:rPr>
        <w:t>油膜测厚仪</w:t>
      </w:r>
      <w:r>
        <w:rPr>
          <w:rFonts w:hint="eastAsia" w:hAnsi="宋体"/>
          <w:bCs/>
          <w:szCs w:val="21"/>
          <w:highlight w:val="none"/>
          <w:lang w:val="en-US" w:eastAsia="zh-CN"/>
        </w:rPr>
        <w:t>的</w:t>
      </w:r>
      <w:r>
        <w:rPr>
          <w:rFonts w:hint="eastAsia" w:hAnsi="宋体"/>
          <w:bCs/>
          <w:szCs w:val="21"/>
          <w:highlight w:val="none"/>
        </w:rPr>
        <w:t>标准板的制作</w:t>
      </w:r>
      <w:r>
        <w:rPr>
          <w:rFonts w:hint="eastAsia" w:hAnsi="宋体"/>
          <w:bCs/>
          <w:szCs w:val="21"/>
          <w:highlight w:val="none"/>
          <w:lang w:val="en-US" w:eastAsia="zh-CN"/>
        </w:rPr>
        <w:t>方法</w:t>
      </w:r>
      <w:r>
        <w:rPr>
          <w:rFonts w:hint="eastAsia" w:hAnsi="宋体"/>
          <w:bCs/>
          <w:szCs w:val="21"/>
          <w:highlight w:val="none"/>
          <w:lang w:eastAsia="zh-CN"/>
        </w:rPr>
        <w:t>，</w:t>
      </w:r>
      <w:r>
        <w:rPr>
          <w:rFonts w:hint="eastAsia" w:hAnsi="宋体"/>
          <w:bCs/>
          <w:szCs w:val="21"/>
          <w:highlight w:val="none"/>
          <w:lang w:val="en-US" w:eastAsia="zh-CN"/>
        </w:rPr>
        <w:t>对</w:t>
      </w:r>
      <w:r>
        <w:rPr>
          <w:rFonts w:hint="eastAsia" w:hAnsi="宋体"/>
          <w:bCs/>
          <w:szCs w:val="21"/>
          <w:highlight w:val="none"/>
        </w:rPr>
        <w:t>油膜测厚仪</w:t>
      </w:r>
      <w:r>
        <w:rPr>
          <w:rFonts w:hint="eastAsia" w:hAnsi="宋体"/>
          <w:bCs/>
          <w:szCs w:val="21"/>
          <w:highlight w:val="none"/>
          <w:lang w:val="en-US" w:eastAsia="zh-CN"/>
        </w:rPr>
        <w:t>计量特性的校准方法</w:t>
      </w:r>
      <w:r>
        <w:rPr>
          <w:rFonts w:hint="eastAsia" w:hAnsi="宋体"/>
          <w:bCs/>
          <w:szCs w:val="21"/>
          <w:highlight w:val="none"/>
        </w:rPr>
        <w:t>进行了详细描述</w:t>
      </w:r>
      <w:r>
        <w:rPr>
          <w:rFonts w:hint="eastAsia" w:hAnsi="宋体"/>
          <w:bCs/>
          <w:szCs w:val="21"/>
          <w:highlight w:val="none"/>
          <w:lang w:eastAsia="zh-CN"/>
        </w:rPr>
        <w:t>，</w:t>
      </w:r>
      <w:r>
        <w:rPr>
          <w:rFonts w:hint="eastAsia" w:hAnsi="宋体"/>
          <w:bCs/>
          <w:szCs w:val="21"/>
          <w:highlight w:val="none"/>
        </w:rPr>
        <w:t>本规范填补了国内对油膜测厚仪无校准规范的空白</w:t>
      </w:r>
      <w:r>
        <w:rPr>
          <w:rFonts w:hint="eastAsia" w:ascii="宋体" w:hAnsi="宋体"/>
          <w:bCs/>
          <w:szCs w:val="21"/>
          <w:highlight w:val="none"/>
        </w:rPr>
        <w:t>。</w:t>
      </w:r>
    </w:p>
    <w:p>
      <w:pPr>
        <w:spacing w:line="360" w:lineRule="auto"/>
        <w:ind w:firstLine="420" w:firstLineChars="200"/>
        <w:rPr>
          <w:rFonts w:hint="default" w:ascii="宋体"/>
          <w:bCs/>
          <w:szCs w:val="21"/>
          <w:highlight w:val="none"/>
          <w:lang w:val="en-US"/>
        </w:rPr>
      </w:pPr>
      <w:r>
        <w:rPr>
          <w:rFonts w:ascii="宋体" w:hAnsi="宋体"/>
          <w:bCs/>
          <w:szCs w:val="21"/>
          <w:highlight w:val="none"/>
        </w:rPr>
        <w:t>3</w:t>
      </w:r>
      <w:r>
        <w:rPr>
          <w:rFonts w:hint="eastAsia" w:ascii="宋体" w:hAnsi="宋体"/>
          <w:bCs/>
          <w:szCs w:val="21"/>
          <w:highlight w:val="none"/>
        </w:rPr>
        <w:t>）创新性：</w:t>
      </w:r>
      <w:r>
        <w:rPr>
          <w:rFonts w:hint="eastAsia" w:ascii="宋体" w:hAnsi="宋体"/>
          <w:bCs/>
          <w:szCs w:val="21"/>
          <w:highlight w:val="none"/>
          <w:lang w:val="en-US" w:eastAsia="zh-CN"/>
        </w:rPr>
        <w:t>对油膜测厚仪的校准方法和误差计算方法进行了详细的描述；对校准标准装置进行了详细的规定，对校准点也明确列出规定。</w:t>
      </w:r>
    </w:p>
    <w:p>
      <w:pPr>
        <w:spacing w:line="360" w:lineRule="auto"/>
        <w:rPr>
          <w:rFonts w:ascii="黑体" w:hAnsi="宋体" w:eastAsia="黑体"/>
          <w:bCs/>
          <w:szCs w:val="21"/>
          <w:highlight w:val="none"/>
        </w:rPr>
      </w:pPr>
      <w:r>
        <w:rPr>
          <w:rFonts w:ascii="黑体" w:eastAsia="黑体"/>
          <w:bCs/>
          <w:szCs w:val="21"/>
          <w:highlight w:val="none"/>
        </w:rPr>
        <w:t>2</w:t>
      </w:r>
      <w:r>
        <w:rPr>
          <w:rFonts w:hint="eastAsia" w:ascii="黑体" w:hAnsi="宋体" w:eastAsia="黑体"/>
          <w:bCs/>
          <w:szCs w:val="21"/>
          <w:highlight w:val="none"/>
        </w:rPr>
        <w:t>制定规范主要内容的论据</w:t>
      </w:r>
    </w:p>
    <w:p>
      <w:pPr>
        <w:spacing w:line="360" w:lineRule="auto"/>
        <w:rPr>
          <w:rFonts w:ascii="黑体" w:hAnsi="黑体" w:eastAsia="黑体"/>
          <w:bCs/>
          <w:szCs w:val="21"/>
          <w:highlight w:val="none"/>
        </w:rPr>
      </w:pPr>
      <w:r>
        <w:rPr>
          <w:rFonts w:ascii="黑体" w:hAnsi="黑体" w:eastAsia="黑体"/>
          <w:bCs/>
          <w:szCs w:val="21"/>
          <w:highlight w:val="none"/>
        </w:rPr>
        <w:t>2.1</w:t>
      </w:r>
      <w:r>
        <w:rPr>
          <w:rFonts w:hint="eastAsia" w:ascii="黑体" w:hAnsi="黑体" w:eastAsia="黑体"/>
          <w:bCs/>
          <w:szCs w:val="21"/>
          <w:highlight w:val="none"/>
        </w:rPr>
        <w:t>范围</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本规范</w:t>
      </w:r>
      <w:r>
        <w:rPr>
          <w:rFonts w:hint="eastAsia" w:ascii="宋体" w:hAnsi="宋体" w:cs="宋体"/>
          <w:bCs/>
          <w:szCs w:val="21"/>
          <w:highlight w:val="none"/>
          <w:lang w:val="en-US" w:eastAsia="zh-CN"/>
        </w:rPr>
        <w:t>适用于油膜测厚仪的校准。</w:t>
      </w:r>
    </w:p>
    <w:p>
      <w:pPr>
        <w:spacing w:line="360" w:lineRule="auto"/>
        <w:rPr>
          <w:rFonts w:ascii="黑体" w:hAnsi="宋体" w:eastAsia="黑体"/>
          <w:bCs/>
          <w:szCs w:val="21"/>
          <w:highlight w:val="none"/>
        </w:rPr>
      </w:pPr>
      <w:r>
        <w:rPr>
          <w:rFonts w:ascii="黑体" w:hAnsi="宋体" w:eastAsia="黑体"/>
          <w:bCs/>
          <w:szCs w:val="21"/>
          <w:highlight w:val="none"/>
        </w:rPr>
        <w:t>2.2</w:t>
      </w:r>
      <w:r>
        <w:rPr>
          <w:rFonts w:ascii="黑体" w:eastAsia="黑体"/>
          <w:bCs/>
          <w:szCs w:val="21"/>
          <w:highlight w:val="none"/>
        </w:rPr>
        <w:t xml:space="preserve"> </w:t>
      </w:r>
      <w:r>
        <w:rPr>
          <w:rFonts w:hint="eastAsia" w:ascii="黑体" w:hAnsi="宋体" w:eastAsia="黑体"/>
          <w:bCs/>
          <w:szCs w:val="21"/>
          <w:highlight w:val="none"/>
        </w:rPr>
        <w:t>引用文件</w:t>
      </w:r>
    </w:p>
    <w:p>
      <w:pPr>
        <w:adjustRightInd w:val="0"/>
        <w:snapToGrid w:val="0"/>
        <w:spacing w:line="360" w:lineRule="auto"/>
        <w:ind w:firstLine="210" w:firstLineChars="100"/>
        <w:rPr>
          <w:rFonts w:hint="default" w:hAnsi="宋体" w:eastAsia="宋体"/>
          <w:bCs/>
          <w:szCs w:val="21"/>
          <w:highlight w:val="none"/>
          <w:lang w:val="en-US" w:eastAsia="zh-CN"/>
        </w:rPr>
      </w:pPr>
      <w:r>
        <w:rPr>
          <w:rFonts w:hint="eastAsia"/>
          <w:bCs/>
          <w:szCs w:val="21"/>
          <w:highlight w:val="none"/>
        </w:rPr>
        <w:t xml:space="preserve"> </w:t>
      </w:r>
      <w:r>
        <w:rPr>
          <w:bCs/>
          <w:szCs w:val="21"/>
          <w:highlight w:val="none"/>
        </w:rPr>
        <w:t xml:space="preserve"> </w:t>
      </w:r>
      <w:r>
        <w:rPr>
          <w:rFonts w:hint="eastAsia" w:hAnsi="宋体"/>
          <w:bCs/>
          <w:szCs w:val="21"/>
          <w:highlight w:val="none"/>
        </w:rPr>
        <w:t>本规范没有引用文件</w:t>
      </w:r>
      <w:r>
        <w:rPr>
          <w:rFonts w:hint="eastAsia" w:hAnsi="宋体"/>
          <w:bCs/>
          <w:szCs w:val="21"/>
          <w:highlight w:val="none"/>
          <w:lang w:val="en-US" w:eastAsia="zh-CN"/>
        </w:rPr>
        <w:t>。</w:t>
      </w:r>
    </w:p>
    <w:p>
      <w:pPr>
        <w:spacing w:line="360" w:lineRule="auto"/>
        <w:rPr>
          <w:rFonts w:ascii="黑体" w:eastAsia="黑体"/>
          <w:bCs/>
          <w:szCs w:val="21"/>
        </w:rPr>
      </w:pPr>
      <w:r>
        <w:rPr>
          <w:rFonts w:ascii="黑体" w:hAnsi="宋体" w:eastAsia="黑体"/>
          <w:bCs/>
          <w:szCs w:val="21"/>
        </w:rPr>
        <w:t>2.3</w:t>
      </w:r>
      <w:r>
        <w:rPr>
          <w:rFonts w:ascii="黑体" w:eastAsia="黑体"/>
          <w:bCs/>
          <w:szCs w:val="21"/>
        </w:rPr>
        <w:t xml:space="preserve"> </w:t>
      </w:r>
      <w:r>
        <w:rPr>
          <w:rFonts w:hint="eastAsia" w:ascii="黑体" w:eastAsia="黑体"/>
          <w:bCs/>
          <w:szCs w:val="21"/>
        </w:rPr>
        <w:t>术语和计量单位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szCs w:val="21"/>
        </w:rPr>
      </w:pPr>
      <w:r>
        <w:rPr>
          <w:rFonts w:hint="eastAsia" w:ascii="宋体" w:hAnsi="宋体" w:cs="宋体"/>
          <w:bCs/>
          <w:szCs w:val="21"/>
          <w:lang w:val="en-US" w:eastAsia="zh-CN"/>
        </w:rPr>
        <w:t>本规范规定了</w:t>
      </w:r>
      <w:r>
        <w:rPr>
          <w:rFonts w:hint="eastAsia" w:ascii="宋体" w:hAnsi="宋体" w:cs="宋体"/>
          <w:bCs/>
          <w:szCs w:val="21"/>
        </w:rPr>
        <w:t>油膜厚度的计量单位为“mg/m</w:t>
      </w:r>
      <w:r>
        <w:rPr>
          <w:rFonts w:hint="eastAsia" w:ascii="宋体" w:hAnsi="宋体" w:cs="宋体"/>
          <w:bCs/>
          <w:szCs w:val="21"/>
          <w:vertAlign w:val="superscript"/>
        </w:rPr>
        <w:t>2</w:t>
      </w:r>
      <w:r>
        <w:rPr>
          <w:rFonts w:hint="eastAsia" w:ascii="宋体" w:hAnsi="宋体" w:cs="宋体"/>
          <w:bCs/>
          <w:szCs w:val="21"/>
        </w:rPr>
        <w:t>”，表示每平方米油膜的质量。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黑体" w:hAnsi="宋体" w:eastAsia="黑体"/>
          <w:bCs/>
          <w:szCs w:val="21"/>
          <w:highlight w:val="none"/>
        </w:rPr>
      </w:pPr>
      <w:r>
        <w:rPr>
          <w:rFonts w:ascii="宋体" w:hAnsi="宋体" w:cs="宋体"/>
          <w:bCs/>
          <w:szCs w:val="21"/>
        </w:rPr>
        <w:t>根据</w:t>
      </w:r>
      <w:r>
        <w:rPr>
          <w:rFonts w:hint="eastAsia" w:ascii="宋体" w:hAnsi="宋体" w:cs="宋体"/>
          <w:bCs/>
          <w:szCs w:val="21"/>
        </w:rPr>
        <w:t>讨论稿</w:t>
      </w:r>
      <w:r>
        <w:rPr>
          <w:rFonts w:ascii="宋体" w:hAnsi="宋体" w:cs="宋体"/>
          <w:bCs/>
          <w:szCs w:val="21"/>
        </w:rPr>
        <w:t>的意见，</w:t>
      </w:r>
      <w:r>
        <w:rPr>
          <w:rFonts w:hint="eastAsia" w:ascii="宋体" w:hAnsi="宋体" w:cs="宋体"/>
          <w:bCs/>
          <w:szCs w:val="21"/>
        </w:rPr>
        <w:t>将3.1“</w:t>
      </w:r>
      <w:r>
        <w:rPr>
          <w:rFonts w:hint="eastAsia" w:ascii="宋体" w:hAnsi="宋体" w:cs="宋体"/>
          <w:bCs/>
          <w:szCs w:val="21"/>
          <w:lang w:val="en-US" w:eastAsia="zh-CN"/>
        </w:rPr>
        <w:t>术语；无</w:t>
      </w:r>
      <w:r>
        <w:rPr>
          <w:rFonts w:hint="eastAsia" w:ascii="宋体" w:hAnsi="宋体" w:cs="宋体"/>
          <w:bCs/>
          <w:szCs w:val="21"/>
        </w:rPr>
        <w:t>”</w:t>
      </w:r>
      <w:r>
        <w:rPr>
          <w:rFonts w:hint="eastAsia" w:ascii="宋体" w:hAnsi="宋体" w:cs="宋体"/>
          <w:bCs/>
          <w:szCs w:val="21"/>
          <w:lang w:val="en-US" w:eastAsia="zh-CN"/>
        </w:rPr>
        <w:t>删除，只保留计量单位</w:t>
      </w:r>
      <w:r>
        <w:rPr>
          <w:rFonts w:hint="eastAsia" w:ascii="宋体" w:hAnsi="宋体" w:cs="宋体"/>
          <w:bCs/>
          <w:szCs w:val="21"/>
        </w:rPr>
        <w:t>。</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4</w:t>
      </w:r>
      <w:r>
        <w:rPr>
          <w:rFonts w:ascii="黑体" w:eastAsia="黑体"/>
          <w:bCs/>
          <w:szCs w:val="21"/>
          <w:highlight w:val="none"/>
        </w:rPr>
        <w:t xml:space="preserve"> </w:t>
      </w:r>
      <w:r>
        <w:rPr>
          <w:rFonts w:hint="eastAsia" w:ascii="黑体" w:hAnsi="宋体" w:eastAsia="黑体"/>
          <w:bCs/>
          <w:szCs w:val="21"/>
          <w:highlight w:val="none"/>
        </w:rPr>
        <w:t>概述</w:t>
      </w:r>
    </w:p>
    <w:p>
      <w:pPr>
        <w:adjustRightInd w:val="0"/>
        <w:snapToGrid w:val="0"/>
        <w:spacing w:line="360" w:lineRule="auto"/>
        <w:ind w:firstLine="420" w:firstLineChars="200"/>
        <w:rPr>
          <w:rFonts w:hint="default"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油膜测厚仪是由光源、透镜、光电位敏接收器、信号处理机、测量结果显示系统和测量软件等组成的测量仪器。可以对油膜/润滑剂厚度进行测量并图形化显示油膜。利用红外光穿透物质时的红外吸收效应实现非接触式的测量薄膜类材料的厚度。当红外光穿过被测物质时，一部分红外光被材质吸收导致强度减弱，利用这一原理来检测被测物质的厚度。</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5</w:t>
      </w:r>
      <w:r>
        <w:rPr>
          <w:rFonts w:ascii="黑体" w:eastAsia="黑体"/>
          <w:bCs/>
          <w:szCs w:val="21"/>
          <w:highlight w:val="none"/>
        </w:rPr>
        <w:t xml:space="preserve"> </w:t>
      </w:r>
      <w:r>
        <w:rPr>
          <w:rFonts w:hint="eastAsia" w:ascii="黑体" w:hAnsi="宋体" w:eastAsia="黑体"/>
          <w:bCs/>
          <w:szCs w:val="21"/>
          <w:highlight w:val="none"/>
        </w:rPr>
        <w:t>计量特性</w:t>
      </w:r>
    </w:p>
    <w:p>
      <w:pPr>
        <w:adjustRightInd w:val="0"/>
        <w:snapToGrid w:val="0"/>
        <w:spacing w:line="360" w:lineRule="auto"/>
        <w:ind w:firstLine="420" w:firstLineChars="200"/>
        <w:rPr>
          <w:rFonts w:hint="default" w:ascii="宋体" w:hAnsi="宋体" w:eastAsia="宋体" w:cs="宋体"/>
          <w:bCs/>
          <w:szCs w:val="21"/>
          <w:lang w:val="en-US" w:eastAsia="zh-CN"/>
        </w:rPr>
      </w:pPr>
      <w:r>
        <w:rPr>
          <w:rFonts w:hint="eastAsia" w:ascii="宋体" w:hAnsi="宋体" w:cs="宋体"/>
          <w:bCs/>
          <w:szCs w:val="21"/>
          <w:lang w:val="en-US" w:eastAsia="zh-CN"/>
        </w:rPr>
        <w:t>本规范根据对油膜测厚仪检测设备的使用要求规定油膜厚度示值最大允许误差为±100 mg/m</w:t>
      </w:r>
      <w:r>
        <w:rPr>
          <w:rFonts w:hint="eastAsia" w:ascii="宋体" w:hAnsi="宋体" w:cs="宋体"/>
          <w:bCs/>
          <w:szCs w:val="21"/>
          <w:vertAlign w:val="superscript"/>
          <w:lang w:val="en-US" w:eastAsia="zh-CN"/>
        </w:rPr>
        <w:t>2</w:t>
      </w:r>
      <w:r>
        <w:rPr>
          <w:rFonts w:hint="eastAsia" w:ascii="宋体" w:hAnsi="宋体" w:cs="宋体"/>
          <w:bCs/>
          <w:szCs w:val="21"/>
          <w:lang w:val="en-US" w:eastAsia="zh-CN"/>
        </w:rPr>
        <w:t>或读数的±10%，取二者中大值；油膜厚度示值重复性不大于100mg/m</w:t>
      </w:r>
      <w:r>
        <w:rPr>
          <w:rFonts w:hint="eastAsia" w:ascii="宋体" w:hAnsi="宋体" w:cs="宋体"/>
          <w:bCs/>
          <w:szCs w:val="21"/>
          <w:vertAlign w:val="superscript"/>
          <w:lang w:val="en-US" w:eastAsia="zh-CN"/>
        </w:rPr>
        <w:t>2</w:t>
      </w:r>
      <w:r>
        <w:rPr>
          <w:rFonts w:hint="eastAsia" w:ascii="宋体" w:hAnsi="宋体" w:cs="宋体"/>
          <w:bCs/>
          <w:szCs w:val="21"/>
          <w:vertAlign w:val="baseline"/>
          <w:lang w:val="en-US" w:eastAsia="zh-CN"/>
        </w:rPr>
        <w:t>。</w:t>
      </w:r>
    </w:p>
    <w:p>
      <w:pPr>
        <w:adjustRightInd w:val="0"/>
        <w:snapToGrid w:val="0"/>
        <w:spacing w:line="360" w:lineRule="auto"/>
        <w:ind w:firstLine="420" w:firstLineChars="200"/>
        <w:rPr>
          <w:rFonts w:hint="default" w:ascii="Times New Roman" w:hAnsi="宋体" w:eastAsia="宋体" w:cs="Times New Roman"/>
          <w:bCs/>
          <w:szCs w:val="21"/>
          <w:highlight w:val="none"/>
          <w:lang w:val="en-US" w:eastAsia="zh-CN"/>
        </w:rPr>
      </w:pPr>
      <w:r>
        <w:rPr>
          <w:rFonts w:ascii="宋体" w:hAnsi="宋体" w:cs="宋体"/>
          <w:bCs/>
          <w:szCs w:val="21"/>
        </w:rPr>
        <w:t>根据</w:t>
      </w:r>
      <w:r>
        <w:rPr>
          <w:rFonts w:hint="eastAsia" w:ascii="宋体" w:hAnsi="宋体" w:cs="宋体"/>
          <w:bCs/>
          <w:szCs w:val="21"/>
        </w:rPr>
        <w:t>讨论稿</w:t>
      </w:r>
      <w:r>
        <w:rPr>
          <w:rFonts w:ascii="宋体" w:hAnsi="宋体" w:cs="宋体"/>
          <w:bCs/>
          <w:szCs w:val="21"/>
        </w:rPr>
        <w:t>的意见，</w:t>
      </w:r>
      <w:r>
        <w:rPr>
          <w:rFonts w:hint="eastAsia" w:ascii="宋体" w:hAnsi="宋体" w:cs="宋体"/>
          <w:bCs/>
          <w:szCs w:val="21"/>
        </w:rPr>
        <w:t>将</w:t>
      </w:r>
      <w:r>
        <w:rPr>
          <w:rFonts w:hint="eastAsia" w:ascii="宋体" w:hAnsi="宋体" w:cs="宋体"/>
          <w:bCs/>
          <w:szCs w:val="21"/>
          <w:lang w:val="en-US" w:eastAsia="zh-CN"/>
        </w:rPr>
        <w:t>5.2中“油膜厚度示值重复性以单次测量的标准偏差s来表示，s不大于100mg/m</w:t>
      </w:r>
      <w:r>
        <w:rPr>
          <w:rFonts w:hint="eastAsia" w:ascii="宋体" w:hAnsi="宋体" w:cs="宋体"/>
          <w:bCs/>
          <w:szCs w:val="21"/>
          <w:vertAlign w:val="superscript"/>
          <w:lang w:val="en-US" w:eastAsia="zh-CN"/>
        </w:rPr>
        <w:t>2</w:t>
      </w:r>
      <w:r>
        <w:rPr>
          <w:rFonts w:hint="eastAsia" w:ascii="宋体" w:hAnsi="宋体" w:cs="宋体"/>
          <w:bCs/>
          <w:szCs w:val="21"/>
          <w:lang w:val="en-US" w:eastAsia="zh-CN"/>
        </w:rPr>
        <w:t>。”改为“油膜厚度示值重复性不大于100mg/m</w:t>
      </w:r>
      <w:r>
        <w:rPr>
          <w:rFonts w:hint="eastAsia" w:ascii="宋体" w:hAnsi="宋体" w:cs="宋体"/>
          <w:bCs/>
          <w:szCs w:val="21"/>
          <w:vertAlign w:val="superscript"/>
          <w:lang w:val="en-US" w:eastAsia="zh-CN"/>
        </w:rPr>
        <w:t>2</w:t>
      </w:r>
      <w:r>
        <w:rPr>
          <w:rFonts w:hint="eastAsia" w:ascii="宋体" w:hAnsi="宋体" w:cs="宋体"/>
          <w:bCs/>
          <w:szCs w:val="21"/>
          <w:lang w:val="en-US" w:eastAsia="zh-CN"/>
        </w:rPr>
        <w:t>。”</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6</w:t>
      </w:r>
      <w:r>
        <w:rPr>
          <w:rFonts w:ascii="黑体" w:eastAsia="黑体"/>
          <w:bCs/>
          <w:szCs w:val="21"/>
          <w:highlight w:val="none"/>
        </w:rPr>
        <w:t xml:space="preserve"> </w:t>
      </w:r>
      <w:r>
        <w:rPr>
          <w:rFonts w:hint="eastAsia" w:ascii="黑体" w:hAnsi="宋体" w:eastAsia="黑体"/>
          <w:bCs/>
          <w:szCs w:val="21"/>
          <w:highlight w:val="none"/>
        </w:rPr>
        <w:t>校准条件</w:t>
      </w:r>
    </w:p>
    <w:p>
      <w:pPr>
        <w:spacing w:line="360" w:lineRule="auto"/>
        <w:ind w:firstLine="420" w:firstLineChars="200"/>
        <w:rPr>
          <w:rStyle w:val="42"/>
          <w:rFonts w:hint="eastAsia"/>
          <w:highlight w:val="none"/>
          <w:lang w:val="en-US" w:eastAsia="zh-CN"/>
        </w:rPr>
      </w:pPr>
      <w:r>
        <w:rPr>
          <w:rFonts w:hint="eastAsia"/>
          <w:bCs/>
          <w:highlight w:val="none"/>
          <w:lang w:val="en-US" w:eastAsia="zh-CN"/>
        </w:rPr>
        <w:t>校准条件包括校准用计量标准、其他设备、校准环境条件和其它条件，为了使测量结果具有尽可能小的不确定度，需要建立一种较优越的环境条件，降低环境因素对计量标准带来的附加误差；需要具备一定准确度要求的计量标准及其他设备以满足用户对测量不确定度的要求、能覆盖被校设备实际校准范围。本规范是按上述原则确定校准条件的。</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7</w:t>
      </w:r>
      <w:r>
        <w:rPr>
          <w:rFonts w:ascii="黑体" w:eastAsia="黑体"/>
          <w:bCs/>
          <w:szCs w:val="21"/>
          <w:highlight w:val="none"/>
        </w:rPr>
        <w:t xml:space="preserve"> </w:t>
      </w:r>
      <w:r>
        <w:rPr>
          <w:rFonts w:hint="eastAsia" w:ascii="黑体" w:hAnsi="宋体" w:eastAsia="黑体"/>
          <w:bCs/>
          <w:szCs w:val="21"/>
          <w:highlight w:val="none"/>
        </w:rPr>
        <w:t>校准项目和校准方法</w:t>
      </w:r>
    </w:p>
    <w:p>
      <w:p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1）关于校准项目</w:t>
      </w:r>
    </w:p>
    <w:p>
      <w:p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校准项目：示值误差、重复性。</w:t>
      </w:r>
    </w:p>
    <w:p>
      <w:pPr>
        <w:numPr>
          <w:ilvl w:val="0"/>
          <w:numId w:val="3"/>
        </w:num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关于校准方法</w:t>
      </w:r>
    </w:p>
    <w:p>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规范对油膜测厚仪的校准点的选择、标准板的制作进行了分别描述，规范对油膜测厚仪计量特性示值误差、重复性的校准方法进行了详细描述，给出了相应的示值误差、重复性计算公式。规范能较好地指导校准人员对油膜测厚仪进行校准，具有较强的可操作性。</w:t>
      </w:r>
    </w:p>
    <w:p>
      <w:pPr>
        <w:adjustRightInd w:val="0"/>
        <w:snapToGrid w:val="0"/>
        <w:spacing w:line="360" w:lineRule="auto"/>
        <w:ind w:firstLine="420" w:firstLineChars="200"/>
        <w:rPr>
          <w:rFonts w:hint="default" w:ascii="宋体" w:hAnsi="宋体" w:eastAsia="宋体" w:cs="宋体"/>
          <w:bCs/>
          <w:szCs w:val="21"/>
          <w:lang w:val="en-US" w:eastAsia="zh-CN"/>
        </w:rPr>
      </w:pPr>
      <w:r>
        <w:rPr>
          <w:rFonts w:hint="eastAsia" w:ascii="宋体" w:hAnsi="宋体" w:cs="宋体"/>
          <w:bCs/>
          <w:szCs w:val="21"/>
          <w:lang w:val="en-US" w:eastAsia="zh-CN"/>
        </w:rPr>
        <w:t>根据讨论稿的意见，编制组成员在市面上咨询了薄膜标准板的情况，现目前还未找到合适的标准板用于校准油膜测厚仪，征求意见稿还是按讨论稿中所述校准方法对油膜测厚仪进行校准。</w:t>
      </w:r>
    </w:p>
    <w:p>
      <w:pPr>
        <w:adjustRightInd w:val="0"/>
        <w:snapToGrid w:val="0"/>
        <w:spacing w:line="360" w:lineRule="auto"/>
        <w:ind w:firstLine="420" w:firstLineChars="200"/>
        <w:rPr>
          <w:rFonts w:hint="eastAsia" w:ascii="宋体" w:hAnsi="宋体" w:cs="宋体"/>
          <w:bCs/>
          <w:szCs w:val="21"/>
          <w:lang w:val="en-US" w:eastAsia="zh-CN"/>
        </w:rPr>
      </w:pPr>
      <w:r>
        <w:rPr>
          <w:rFonts w:ascii="宋体" w:hAnsi="宋体" w:cs="宋体"/>
          <w:bCs/>
          <w:szCs w:val="21"/>
        </w:rPr>
        <w:t>根据</w:t>
      </w:r>
      <w:r>
        <w:rPr>
          <w:rFonts w:hint="eastAsia" w:ascii="宋体" w:hAnsi="宋体" w:cs="宋体"/>
          <w:bCs/>
          <w:szCs w:val="21"/>
        </w:rPr>
        <w:t>讨论稿</w:t>
      </w:r>
      <w:r>
        <w:rPr>
          <w:rFonts w:ascii="宋体" w:hAnsi="宋体" w:cs="宋体"/>
          <w:bCs/>
          <w:szCs w:val="21"/>
        </w:rPr>
        <w:t>的意见，</w:t>
      </w:r>
      <w:r>
        <w:rPr>
          <w:rFonts w:hint="eastAsia" w:ascii="宋体" w:hAnsi="宋体" w:cs="宋体"/>
          <w:bCs/>
          <w:szCs w:val="21"/>
        </w:rPr>
        <w:t>将</w:t>
      </w:r>
      <w:r>
        <w:rPr>
          <w:rFonts w:hint="eastAsia" w:ascii="宋体" w:hAnsi="宋体" w:cs="宋体"/>
          <w:bCs/>
          <w:szCs w:val="21"/>
          <w:lang w:val="en-US" w:eastAsia="zh-CN"/>
        </w:rPr>
        <w:t>原附录C的内容放入了校准方法中。</w:t>
      </w:r>
    </w:p>
    <w:p>
      <w:pPr>
        <w:adjustRightInd w:val="0"/>
        <w:snapToGrid w:val="0"/>
        <w:spacing w:line="360" w:lineRule="auto"/>
        <w:ind w:firstLine="420" w:firstLineChars="200"/>
        <w:rPr>
          <w:rFonts w:hint="eastAsia" w:ascii="宋体" w:hAnsi="宋体" w:cs="宋体"/>
          <w:bCs/>
          <w:szCs w:val="21"/>
          <w:lang w:val="en-US" w:eastAsia="zh-CN"/>
        </w:rPr>
      </w:pPr>
      <w:r>
        <w:rPr>
          <w:rFonts w:ascii="宋体" w:hAnsi="宋体" w:cs="宋体"/>
          <w:bCs/>
          <w:szCs w:val="21"/>
        </w:rPr>
        <w:t>根据</w:t>
      </w:r>
      <w:r>
        <w:rPr>
          <w:rFonts w:hint="eastAsia" w:ascii="宋体" w:hAnsi="宋体" w:cs="宋体"/>
          <w:bCs/>
          <w:szCs w:val="21"/>
        </w:rPr>
        <w:t>讨论稿</w:t>
      </w:r>
      <w:r>
        <w:rPr>
          <w:rFonts w:ascii="宋体" w:hAnsi="宋体" w:cs="宋体"/>
          <w:bCs/>
          <w:szCs w:val="21"/>
        </w:rPr>
        <w:t>的意见，</w:t>
      </w:r>
      <w:r>
        <w:rPr>
          <w:rFonts w:hint="eastAsia" w:ascii="宋体" w:hAnsi="宋体" w:cs="宋体"/>
          <w:bCs/>
          <w:szCs w:val="21"/>
        </w:rPr>
        <w:t>将</w:t>
      </w:r>
      <w:r>
        <w:rPr>
          <w:rFonts w:hint="eastAsia" w:ascii="宋体" w:hAnsi="宋体" w:cs="宋体"/>
          <w:bCs/>
          <w:szCs w:val="21"/>
          <w:lang w:val="en-US" w:eastAsia="zh-CN"/>
        </w:rPr>
        <w:t>原附录C.1.2中“标准基板标称表面积误差不大于±0.1%”改为“标准基板涂油面标称表面积误差不大于±0.1%”。</w:t>
      </w:r>
    </w:p>
    <w:p>
      <w:pPr>
        <w:adjustRightInd w:val="0"/>
        <w:snapToGrid w:val="0"/>
        <w:spacing w:line="360" w:lineRule="auto"/>
        <w:ind w:firstLine="420" w:firstLineChars="200"/>
        <w:rPr>
          <w:rFonts w:hint="default" w:ascii="宋体" w:hAnsi="宋体" w:eastAsia="宋体" w:cs="宋体"/>
          <w:bCs/>
          <w:szCs w:val="21"/>
          <w:lang w:val="en-US" w:eastAsia="zh-CN"/>
        </w:rPr>
      </w:pPr>
      <w:r>
        <w:rPr>
          <w:rFonts w:ascii="宋体" w:hAnsi="宋体" w:cs="宋体"/>
          <w:bCs/>
          <w:szCs w:val="21"/>
        </w:rPr>
        <w:t>根据</w:t>
      </w:r>
      <w:r>
        <w:rPr>
          <w:rFonts w:hint="eastAsia" w:ascii="宋体" w:hAnsi="宋体" w:cs="宋体"/>
          <w:bCs/>
          <w:szCs w:val="21"/>
        </w:rPr>
        <w:t>讨论稿</w:t>
      </w:r>
      <w:r>
        <w:rPr>
          <w:rFonts w:ascii="宋体" w:hAnsi="宋体" w:cs="宋体"/>
          <w:bCs/>
          <w:szCs w:val="21"/>
        </w:rPr>
        <w:t>的意见，</w:t>
      </w:r>
      <w:r>
        <w:rPr>
          <w:rFonts w:hint="eastAsia" w:ascii="宋体" w:hAnsi="宋体" w:cs="宋体"/>
          <w:bCs/>
          <w:szCs w:val="21"/>
        </w:rPr>
        <w:t>将</w:t>
      </w:r>
      <w:r>
        <w:rPr>
          <w:rFonts w:hint="eastAsia" w:ascii="宋体" w:hAnsi="宋体" w:cs="宋体"/>
          <w:bCs/>
          <w:szCs w:val="21"/>
          <w:lang w:val="en-US" w:eastAsia="zh-CN"/>
        </w:rPr>
        <w:t>原附录C.3.5中公式解释中“S——标准基板表面积”改为““S——标准基板涂油面表面积””</w:t>
      </w:r>
    </w:p>
    <w:p>
      <w:pPr>
        <w:adjustRightInd w:val="0"/>
        <w:snapToGrid w:val="0"/>
        <w:spacing w:line="360" w:lineRule="auto"/>
        <w:ind w:firstLine="420" w:firstLineChars="200"/>
        <w:rPr>
          <w:rFonts w:hint="default" w:ascii="宋体" w:hAnsi="宋体" w:cs="宋体"/>
          <w:bCs/>
          <w:szCs w:val="21"/>
          <w:lang w:val="en-US" w:eastAsia="zh-CN"/>
        </w:rPr>
      </w:pP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8</w:t>
      </w:r>
      <w:r>
        <w:rPr>
          <w:rFonts w:ascii="黑体" w:hAnsi="宋体" w:eastAsia="黑体"/>
          <w:bCs/>
          <w:szCs w:val="21"/>
          <w:highlight w:val="none"/>
        </w:rPr>
        <w:t xml:space="preserve"> </w:t>
      </w:r>
      <w:r>
        <w:rPr>
          <w:rFonts w:hint="eastAsia" w:ascii="黑体" w:hAnsi="宋体" w:eastAsia="黑体"/>
          <w:bCs/>
          <w:szCs w:val="21"/>
          <w:highlight w:val="none"/>
        </w:rPr>
        <w:t>校准结果表达</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lang w:val="en-US" w:eastAsia="zh-CN"/>
        </w:rPr>
        <w:t>校准结果表达中的描述采用了JJF1071-2010中规定的内容。详细列出了校准证书应具备的信息和说明</w:t>
      </w:r>
      <w:r>
        <w:rPr>
          <w:rFonts w:hint="eastAsia" w:ascii="宋体" w:hAnsi="宋体"/>
          <w:bCs/>
          <w:szCs w:val="21"/>
          <w:highlight w:val="none"/>
        </w:rPr>
        <w:t>。</w:t>
      </w:r>
    </w:p>
    <w:p>
      <w:pPr>
        <w:spacing w:line="360" w:lineRule="auto"/>
        <w:rPr>
          <w:rFonts w:hint="eastAsia" w:ascii="黑体" w:hAnsi="宋体" w:eastAsia="黑体"/>
          <w:bCs/>
          <w:szCs w:val="21"/>
          <w:highlight w:val="none"/>
        </w:rPr>
      </w:pPr>
      <w:r>
        <w:rPr>
          <w:rFonts w:hint="eastAsia" w:ascii="黑体" w:hAnsi="宋体" w:eastAsia="黑体"/>
          <w:bCs/>
          <w:szCs w:val="21"/>
          <w:highlight w:val="none"/>
          <w:lang w:val="en-US" w:eastAsia="zh-CN"/>
        </w:rPr>
        <w:t xml:space="preserve">2.9 </w:t>
      </w:r>
      <w:r>
        <w:rPr>
          <w:rFonts w:hint="eastAsia" w:ascii="黑体" w:hAnsi="宋体" w:eastAsia="黑体"/>
          <w:bCs/>
          <w:szCs w:val="21"/>
          <w:highlight w:val="none"/>
        </w:rPr>
        <w:t>复校时间间隔</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给出了最长12个月复校时间间隔的建议。但客户可根据使用情况自主决定复校时间间隔。</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10</w:t>
      </w:r>
      <w:r>
        <w:rPr>
          <w:rFonts w:ascii="黑体" w:eastAsia="黑体"/>
          <w:bCs/>
          <w:szCs w:val="21"/>
          <w:highlight w:val="none"/>
        </w:rPr>
        <w:t xml:space="preserve"> </w:t>
      </w:r>
      <w:r>
        <w:rPr>
          <w:rFonts w:hint="eastAsia" w:ascii="黑体" w:hAnsi="宋体" w:eastAsia="黑体"/>
          <w:bCs/>
          <w:szCs w:val="21"/>
          <w:highlight w:val="none"/>
        </w:rPr>
        <w:t>附录</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设置了3个附录，便于校准时参考和规范化。</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附录A 油膜测厚仪校准记录参考格式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附录B 油膜测厚仪校准证书内页参考格式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附录C 油膜测厚仪示值误差测量结果的不确定度评定举例</w:t>
      </w:r>
    </w:p>
    <w:p>
      <w:pPr>
        <w:adjustRightInd w:val="0"/>
        <w:snapToGrid w:val="0"/>
        <w:spacing w:line="360" w:lineRule="auto"/>
        <w:ind w:firstLine="420" w:firstLineChars="200"/>
        <w:rPr>
          <w:rFonts w:hint="eastAsia" w:ascii="宋体" w:hAnsi="宋体" w:cs="宋体"/>
          <w:bCs/>
          <w:szCs w:val="21"/>
          <w:lang w:val="en-US" w:eastAsia="zh-CN"/>
        </w:rPr>
      </w:pPr>
      <w:r>
        <w:rPr>
          <w:rFonts w:ascii="宋体" w:hAnsi="宋体" w:cs="宋体"/>
          <w:bCs/>
          <w:szCs w:val="21"/>
        </w:rPr>
        <w:t>根据</w:t>
      </w:r>
      <w:r>
        <w:rPr>
          <w:rFonts w:hint="eastAsia" w:ascii="宋体" w:hAnsi="宋体" w:cs="宋体"/>
          <w:bCs/>
          <w:szCs w:val="21"/>
        </w:rPr>
        <w:t>讨论稿</w:t>
      </w:r>
      <w:r>
        <w:rPr>
          <w:rFonts w:ascii="宋体" w:hAnsi="宋体" w:cs="宋体"/>
          <w:bCs/>
          <w:szCs w:val="21"/>
        </w:rPr>
        <w:t>的意见，</w:t>
      </w:r>
      <w:r>
        <w:rPr>
          <w:rFonts w:hint="eastAsia" w:ascii="宋体" w:hAnsi="宋体" w:cs="宋体"/>
          <w:bCs/>
          <w:szCs w:val="21"/>
        </w:rPr>
        <w:t>将</w:t>
      </w:r>
      <w:r>
        <w:rPr>
          <w:rFonts w:hint="eastAsia" w:ascii="宋体" w:hAnsi="宋体" w:cs="宋体"/>
          <w:bCs/>
          <w:szCs w:val="21"/>
          <w:lang w:val="en-US" w:eastAsia="zh-CN"/>
        </w:rPr>
        <w:t>原附录C的内容放入了校准方法中。</w:t>
      </w:r>
    </w:p>
    <w:p>
      <w:pPr>
        <w:adjustRightInd w:val="0"/>
        <w:snapToGrid w:val="0"/>
        <w:spacing w:line="360" w:lineRule="auto"/>
        <w:ind w:firstLine="420" w:firstLineChars="200"/>
        <w:rPr>
          <w:rFonts w:hint="eastAsia"/>
          <w:bCs/>
          <w:highlight w:val="none"/>
          <w:lang w:val="en-US" w:eastAsia="zh-CN"/>
        </w:rPr>
      </w:pP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三、规范水平分析</w:t>
      </w:r>
    </w:p>
    <w:p>
      <w:pPr>
        <w:adjustRightInd w:val="0"/>
        <w:spacing w:line="360" w:lineRule="auto"/>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本规范填补了国内对油膜测厚仪无校准规范的空白，规范对油膜测厚仪计量特性的校准，标准板的制作进行了详细描述，可操作性强，水平达到国内领先。</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四、与有关的现行法律、法规和强制性国家标准的关系</w:t>
      </w:r>
    </w:p>
    <w:p>
      <w:pPr>
        <w:adjustRightInd w:val="0"/>
        <w:spacing w:line="360" w:lineRule="auto"/>
        <w:ind w:firstLine="420" w:firstLineChars="200"/>
        <w:rPr>
          <w:rFonts w:hAnsi="宋体"/>
          <w:bCs/>
          <w:szCs w:val="21"/>
          <w:highlight w:val="none"/>
        </w:rPr>
      </w:pPr>
      <w:r>
        <w:rPr>
          <w:rFonts w:hint="eastAsia" w:hAnsi="宋体"/>
          <w:bCs/>
          <w:szCs w:val="21"/>
          <w:highlight w:val="none"/>
        </w:rPr>
        <w:t>本规范与有关的现行法律、法规和国家计量技术规范具有一致性，无冲突之处。</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五、重大分歧意见的处理经过和依据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六、规范作为强制性或推荐性国家（或行业）</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pacing w:line="360" w:lineRule="auto"/>
        <w:ind w:firstLine="420" w:firstLineChars="200"/>
        <w:rPr>
          <w:rFonts w:hAnsi="宋体"/>
          <w:bCs/>
          <w:szCs w:val="21"/>
          <w:highlight w:val="none"/>
        </w:rPr>
      </w:pPr>
      <w:r>
        <w:rPr>
          <w:rFonts w:hint="eastAsia" w:hAnsi="宋体"/>
          <w:bCs/>
          <w:szCs w:val="21"/>
          <w:highlight w:val="none"/>
        </w:rPr>
        <w:t>建议本规范作为推荐性行业计量技术规范，供相关行业参考采用。</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七、贯彻</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的要求和措施建议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八、废止现行有关</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napToGri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spacing w:line="360" w:lineRule="auto"/>
        <w:rPr>
          <w:rFonts w:ascii="黑体" w:eastAsia="黑体"/>
          <w:bCs/>
          <w:highlight w:val="none"/>
        </w:rPr>
      </w:pPr>
      <w:r>
        <w:rPr>
          <w:rFonts w:hint="eastAsia" w:ascii="黑体" w:eastAsia="黑体"/>
          <w:bCs/>
          <w:highlight w:val="none"/>
        </w:rPr>
        <w:t>九、预期效果</w:t>
      </w:r>
    </w:p>
    <w:p>
      <w:pPr>
        <w:adjustRightInd w:val="0"/>
        <w:snapToGrid w:val="0"/>
        <w:spacing w:line="360" w:lineRule="auto"/>
        <w:ind w:firstLine="420" w:firstLineChars="200"/>
        <w:rPr>
          <w:rFonts w:eastAsia="方正行楷简体"/>
          <w:bCs/>
          <w:highlight w:val="none"/>
        </w:rPr>
      </w:pPr>
      <w:r>
        <w:rPr>
          <w:rFonts w:hint="eastAsia"/>
          <w:bCs/>
          <w:highlight w:val="none"/>
        </w:rPr>
        <w:t>本规范的制定使</w:t>
      </w:r>
      <w:r>
        <w:rPr>
          <w:rFonts w:hint="eastAsia"/>
          <w:bCs/>
          <w:highlight w:val="none"/>
          <w:lang w:val="en-US" w:eastAsia="zh-CN"/>
        </w:rPr>
        <w:t>油膜测厚仪的校准</w:t>
      </w:r>
      <w:r>
        <w:rPr>
          <w:rFonts w:hint="eastAsia" w:ascii="宋体" w:eastAsia="方正行楷简体"/>
          <w:bCs/>
          <w:kern w:val="0"/>
          <w:szCs w:val="21"/>
          <w:highlight w:val="none"/>
        </w:rPr>
        <w:t>有了可靠依据</w:t>
      </w:r>
      <w:r>
        <w:rPr>
          <w:rFonts w:hint="eastAsia" w:ascii="宋体" w:eastAsia="方正行楷简体"/>
          <w:bCs/>
          <w:kern w:val="0"/>
          <w:szCs w:val="21"/>
          <w:highlight w:val="none"/>
          <w:lang w:eastAsia="zh-CN"/>
        </w:rPr>
        <w:t>，</w:t>
      </w:r>
      <w:r>
        <w:rPr>
          <w:rFonts w:hint="eastAsia" w:ascii="宋体" w:eastAsia="方正行楷简体"/>
          <w:bCs/>
          <w:kern w:val="0"/>
          <w:szCs w:val="21"/>
          <w:highlight w:val="none"/>
          <w:lang w:val="en-US" w:eastAsia="zh-CN"/>
        </w:rPr>
        <w:t>对油膜测厚仪的评价有了统一标准，能很好地用于指导生产</w:t>
      </w:r>
      <w:r>
        <w:rPr>
          <w:rFonts w:hint="eastAsia" w:ascii="宋体" w:eastAsia="方正行楷简体"/>
          <w:bCs/>
          <w:kern w:val="0"/>
          <w:szCs w:val="21"/>
          <w:highlight w:val="none"/>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十、其他应予说明的事项</w:t>
      </w:r>
    </w:p>
    <w:p>
      <w:pPr>
        <w:spacing w:line="360" w:lineRule="auto"/>
        <w:ind w:firstLine="420" w:firstLineChars="200"/>
        <w:rPr>
          <w:rFonts w:hint="eastAsia" w:eastAsia="宋体"/>
          <w:bCs/>
          <w:highlight w:val="none"/>
          <w:lang w:eastAsia="zh-CN"/>
        </w:rPr>
      </w:pPr>
      <w:r>
        <w:rPr>
          <w:rFonts w:hint="eastAsia"/>
          <w:bCs/>
          <w:highlight w:val="none"/>
        </w:rPr>
        <w:t>无</w:t>
      </w:r>
      <w:r>
        <w:rPr>
          <w:rFonts w:hint="eastAsia"/>
          <w:bCs/>
          <w:highlight w:val="none"/>
          <w:lang w:eastAsia="zh-CN"/>
        </w:rPr>
        <w:t>。</w:t>
      </w:r>
    </w:p>
    <w:p>
      <w:pPr>
        <w:spacing w:line="360" w:lineRule="auto"/>
        <w:jc w:val="right"/>
        <w:rPr>
          <w:rFonts w:hint="eastAsia" w:asciiTheme="minorEastAsia" w:hAnsiTheme="minorEastAsia" w:eastAsiaTheme="minorEastAsia" w:cstheme="minorEastAsia"/>
          <w:bCs/>
          <w:sz w:val="21"/>
          <w:szCs w:val="21"/>
          <w:highlight w:val="none"/>
        </w:rPr>
      </w:pPr>
      <w:r>
        <w:rPr>
          <w:rFonts w:ascii="黑体" w:eastAsia="黑体"/>
          <w:bCs/>
          <w:highlight w:val="none"/>
        </w:rPr>
        <w:t xml:space="preserve">         </w:t>
      </w:r>
      <w:r>
        <w:rPr>
          <w:rFonts w:ascii="黑体" w:hAnsi="黑体" w:eastAsia="黑体"/>
          <w:bCs/>
          <w:highlight w:val="none"/>
        </w:rPr>
        <w:t xml:space="preserve">     </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val="en-US" w:eastAsia="zh-CN"/>
        </w:rPr>
        <w:t>油膜测厚仪</w:t>
      </w:r>
      <w:r>
        <w:rPr>
          <w:rFonts w:hint="eastAsia" w:asciiTheme="minorEastAsia" w:hAnsiTheme="minorEastAsia" w:eastAsiaTheme="minorEastAsia" w:cstheme="minorEastAsia"/>
          <w:bCs/>
          <w:sz w:val="21"/>
          <w:szCs w:val="21"/>
          <w:highlight w:val="none"/>
          <w:lang w:eastAsia="zh-CN"/>
        </w:rPr>
        <w:t>校准规范</w:t>
      </w:r>
      <w:r>
        <w:rPr>
          <w:rFonts w:hint="eastAsia" w:asciiTheme="minorEastAsia" w:hAnsiTheme="minorEastAsia" w:eastAsiaTheme="minorEastAsia" w:cstheme="minorEastAsia"/>
          <w:bCs/>
          <w:kern w:val="0"/>
          <w:sz w:val="21"/>
          <w:szCs w:val="21"/>
          <w:highlight w:val="none"/>
        </w:rPr>
        <w:t>》规范编制组</w:t>
      </w:r>
    </w:p>
    <w:p>
      <w:pPr>
        <w:adjustRightInd w:val="0"/>
        <w:snapToGrid w:val="0"/>
        <w:spacing w:line="360" w:lineRule="auto"/>
        <w:ind w:right="105"/>
        <w:jc w:val="right"/>
        <w:textAlignment w:val="top"/>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202</w:t>
      </w:r>
      <w:r>
        <w:rPr>
          <w:rFonts w:hint="eastAsia" w:asciiTheme="minorEastAsia" w:hAnsiTheme="minorEastAsia" w:eastAsiaTheme="minorEastAsia" w:cstheme="minorEastAsia"/>
          <w:bCs/>
          <w:highlight w:val="none"/>
          <w:lang w:val="en-US" w:eastAsia="zh-CN"/>
        </w:rPr>
        <w:t>3</w:t>
      </w:r>
      <w:r>
        <w:rPr>
          <w:rFonts w:hint="eastAsia" w:asciiTheme="minorEastAsia" w:hAnsiTheme="minorEastAsia" w:eastAsiaTheme="minorEastAsia" w:cstheme="minorEastAsia"/>
          <w:bCs/>
          <w:highlight w:val="none"/>
        </w:rPr>
        <w:t>年</w:t>
      </w:r>
      <w:r>
        <w:rPr>
          <w:rFonts w:hint="eastAsia" w:asciiTheme="minorEastAsia" w:hAnsiTheme="minorEastAsia" w:eastAsiaTheme="minorEastAsia" w:cstheme="minorEastAsia"/>
          <w:bCs/>
          <w:highlight w:val="none"/>
          <w:lang w:val="en-US" w:eastAsia="zh-CN"/>
        </w:rPr>
        <w:t>5</w:t>
      </w:r>
      <w:r>
        <w:rPr>
          <w:rFonts w:hint="eastAsia" w:asciiTheme="minorEastAsia" w:hAnsiTheme="minorEastAsia" w:eastAsiaTheme="minorEastAsia" w:cstheme="minorEastAsia"/>
          <w:bCs/>
          <w:highlight w:val="none"/>
        </w:rPr>
        <w:t>月</w:t>
      </w:r>
      <w:r>
        <w:rPr>
          <w:rFonts w:hint="eastAsia" w:asciiTheme="minorEastAsia" w:hAnsiTheme="minorEastAsia" w:eastAsiaTheme="minorEastAsia" w:cstheme="minorEastAsia"/>
          <w:bCs/>
          <w:highlight w:val="none"/>
          <w:lang w:val="en-US" w:eastAsia="zh-CN"/>
        </w:rPr>
        <w:t>31</w:t>
      </w:r>
      <w:bookmarkStart w:id="0" w:name="_GoBack"/>
      <w:bookmarkEnd w:id="0"/>
      <w:r>
        <w:rPr>
          <w:rFonts w:hint="eastAsia" w:asciiTheme="minorEastAsia" w:hAnsiTheme="minorEastAsia" w:eastAsiaTheme="minorEastAsia" w:cstheme="minorEastAsia"/>
          <w:bCs/>
          <w:highlight w:val="none"/>
        </w:rPr>
        <w:t>日</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W4JHz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75B5"/>
    <w:multiLevelType w:val="singleLevel"/>
    <w:tmpl w:val="8AAB75B5"/>
    <w:lvl w:ilvl="0" w:tentative="0">
      <w:start w:val="1"/>
      <w:numFmt w:val="chineseCounting"/>
      <w:suff w:val="nothing"/>
      <w:lvlText w:val="%1、"/>
      <w:lvlJc w:val="left"/>
      <w:rPr>
        <w:rFonts w:hint="eastAsia"/>
      </w:rPr>
    </w:lvl>
  </w:abstractNum>
  <w:abstractNum w:abstractNumId="1">
    <w:nsid w:val="A130271F"/>
    <w:multiLevelType w:val="singleLevel"/>
    <w:tmpl w:val="A130271F"/>
    <w:lvl w:ilvl="0" w:tentative="0">
      <w:start w:val="2"/>
      <w:numFmt w:val="decimal"/>
      <w:suff w:val="nothing"/>
      <w:lvlText w:val="%1）"/>
      <w:lvlJc w:val="left"/>
    </w:lvl>
  </w:abstractNum>
  <w:abstractNum w:abstractNumId="2">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39906BD"/>
    <w:rsid w:val="052C6AB8"/>
    <w:rsid w:val="054363E9"/>
    <w:rsid w:val="09402D37"/>
    <w:rsid w:val="0C2F7BB8"/>
    <w:rsid w:val="0CC6648D"/>
    <w:rsid w:val="0CEE55A2"/>
    <w:rsid w:val="0DB103FD"/>
    <w:rsid w:val="0DB62202"/>
    <w:rsid w:val="0F046843"/>
    <w:rsid w:val="0F4960E8"/>
    <w:rsid w:val="0FD961E1"/>
    <w:rsid w:val="0FEA0001"/>
    <w:rsid w:val="11580B6C"/>
    <w:rsid w:val="126E7A09"/>
    <w:rsid w:val="14251CC4"/>
    <w:rsid w:val="154C457C"/>
    <w:rsid w:val="163F2D2D"/>
    <w:rsid w:val="168D2F97"/>
    <w:rsid w:val="181878E8"/>
    <w:rsid w:val="185C1918"/>
    <w:rsid w:val="196656B5"/>
    <w:rsid w:val="19D813C6"/>
    <w:rsid w:val="1A7B17FC"/>
    <w:rsid w:val="1B3E222D"/>
    <w:rsid w:val="1DFD3AB5"/>
    <w:rsid w:val="236269FD"/>
    <w:rsid w:val="24500F51"/>
    <w:rsid w:val="2496325D"/>
    <w:rsid w:val="264362D5"/>
    <w:rsid w:val="29350BA3"/>
    <w:rsid w:val="2B6A69EA"/>
    <w:rsid w:val="2F3F109E"/>
    <w:rsid w:val="31D30F8D"/>
    <w:rsid w:val="32CF2B4C"/>
    <w:rsid w:val="33A855B9"/>
    <w:rsid w:val="3400143C"/>
    <w:rsid w:val="34915439"/>
    <w:rsid w:val="35C417FD"/>
    <w:rsid w:val="36070A65"/>
    <w:rsid w:val="36294EFF"/>
    <w:rsid w:val="366B4F50"/>
    <w:rsid w:val="36814FE8"/>
    <w:rsid w:val="3A6A7A9F"/>
    <w:rsid w:val="3C2D4B77"/>
    <w:rsid w:val="3D540C00"/>
    <w:rsid w:val="3E5137FC"/>
    <w:rsid w:val="3FFB769C"/>
    <w:rsid w:val="424972B2"/>
    <w:rsid w:val="42CD2859"/>
    <w:rsid w:val="46057311"/>
    <w:rsid w:val="461756FA"/>
    <w:rsid w:val="46E43C6C"/>
    <w:rsid w:val="49ED573E"/>
    <w:rsid w:val="4B313C65"/>
    <w:rsid w:val="50F90BE2"/>
    <w:rsid w:val="519E65DF"/>
    <w:rsid w:val="51C34A47"/>
    <w:rsid w:val="55BF234C"/>
    <w:rsid w:val="55CC27F2"/>
    <w:rsid w:val="5689056F"/>
    <w:rsid w:val="57415D20"/>
    <w:rsid w:val="588B31DD"/>
    <w:rsid w:val="5A8913F1"/>
    <w:rsid w:val="5B9F2DFD"/>
    <w:rsid w:val="5BBE3B49"/>
    <w:rsid w:val="5C486802"/>
    <w:rsid w:val="5E361946"/>
    <w:rsid w:val="613C71BD"/>
    <w:rsid w:val="61EF2482"/>
    <w:rsid w:val="62926F6B"/>
    <w:rsid w:val="62A54666"/>
    <w:rsid w:val="62C244A7"/>
    <w:rsid w:val="635C4B8E"/>
    <w:rsid w:val="645D0E2E"/>
    <w:rsid w:val="66471C44"/>
    <w:rsid w:val="6AD2505B"/>
    <w:rsid w:val="6C0D48EE"/>
    <w:rsid w:val="6C687BC5"/>
    <w:rsid w:val="6C715A3C"/>
    <w:rsid w:val="6D4F6A9B"/>
    <w:rsid w:val="6FE72B43"/>
    <w:rsid w:val="74145A7A"/>
    <w:rsid w:val="75411574"/>
    <w:rsid w:val="76657642"/>
    <w:rsid w:val="77266CAE"/>
    <w:rsid w:val="7A5E69CB"/>
    <w:rsid w:val="7E0D45A7"/>
    <w:rsid w:val="7ECD3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0"/>
    <w:qFormat/>
    <w:uiPriority w:val="99"/>
    <w:pPr>
      <w:spacing w:after="120"/>
    </w:pPr>
  </w:style>
  <w:style w:type="paragraph" w:styleId="5">
    <w:name w:val="Body Text Indent"/>
    <w:basedOn w:val="1"/>
    <w:link w:val="38"/>
    <w:qFormat/>
    <w:uiPriority w:val="99"/>
    <w:pPr>
      <w:spacing w:after="120"/>
      <w:ind w:left="420" w:leftChars="200"/>
    </w:pPr>
  </w:style>
  <w:style w:type="paragraph" w:styleId="6">
    <w:name w:val="Date"/>
    <w:basedOn w:val="1"/>
    <w:next w:val="1"/>
    <w:link w:val="20"/>
    <w:qFormat/>
    <w:uiPriority w:val="99"/>
    <w:pPr>
      <w:ind w:left="100" w:leftChars="2500"/>
    </w:pPr>
  </w:style>
  <w:style w:type="paragraph" w:styleId="7">
    <w:name w:val="Body Text Indent 2"/>
    <w:basedOn w:val="1"/>
    <w:link w:val="37"/>
    <w:qFormat/>
    <w:uiPriority w:val="99"/>
    <w:pPr>
      <w:spacing w:after="120" w:line="480" w:lineRule="auto"/>
      <w:ind w:left="420" w:leftChars="200"/>
    </w:p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qFormat/>
    <w:uiPriority w:val="99"/>
    <w:pPr>
      <w:ind w:firstLine="420" w:firstLineChars="100"/>
    </w:pPr>
  </w:style>
  <w:style w:type="paragraph" w:styleId="14">
    <w:name w:val="Body Text First Indent 2"/>
    <w:basedOn w:val="5"/>
    <w:link w:val="39"/>
    <w:qFormat/>
    <w:uiPriority w:val="99"/>
    <w:pPr>
      <w:ind w:firstLine="420" w:firstLineChars="200"/>
    </w:p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semiHidden/>
    <w:qFormat/>
    <w:uiPriority w:val="99"/>
    <w:rPr>
      <w:rFonts w:cs="Times New Roman"/>
      <w:sz w:val="21"/>
      <w:szCs w:val="21"/>
    </w:rPr>
  </w:style>
  <w:style w:type="character" w:customStyle="1" w:styleId="19">
    <w:name w:val="标题 2 字符"/>
    <w:basedOn w:val="17"/>
    <w:link w:val="2"/>
    <w:qFormat/>
    <w:locked/>
    <w:uiPriority w:val="99"/>
    <w:rPr>
      <w:rFonts w:ascii="Arial" w:hAnsi="Arial" w:eastAsia="黑体" w:cs="Times New Roman"/>
      <w:b/>
      <w:bCs/>
      <w:kern w:val="2"/>
      <w:sz w:val="32"/>
      <w:szCs w:val="32"/>
    </w:rPr>
  </w:style>
  <w:style w:type="character" w:customStyle="1" w:styleId="20">
    <w:name w:val="日期 字符"/>
    <w:basedOn w:val="17"/>
    <w:link w:val="6"/>
    <w:qFormat/>
    <w:locked/>
    <w:uiPriority w:val="99"/>
    <w:rPr>
      <w:rFonts w:cs="Times New Roman"/>
      <w:kern w:val="2"/>
      <w:sz w:val="24"/>
      <w:szCs w:val="24"/>
    </w:rPr>
  </w:style>
  <w:style w:type="character" w:customStyle="1" w:styleId="21">
    <w:name w:val="批注框文本 字符"/>
    <w:basedOn w:val="17"/>
    <w:link w:val="8"/>
    <w:qFormat/>
    <w:locked/>
    <w:uiPriority w:val="99"/>
    <w:rPr>
      <w:rFonts w:cs="Times New Roman"/>
      <w:kern w:val="2"/>
      <w:sz w:val="18"/>
      <w:szCs w:val="18"/>
    </w:rPr>
  </w:style>
  <w:style w:type="character" w:customStyle="1" w:styleId="22">
    <w:name w:val="页脚 字符"/>
    <w:basedOn w:val="17"/>
    <w:link w:val="9"/>
    <w:qFormat/>
    <w:locked/>
    <w:uiPriority w:val="99"/>
    <w:rPr>
      <w:rFonts w:cs="Times New Roman"/>
      <w:kern w:val="2"/>
      <w:sz w:val="18"/>
      <w:szCs w:val="18"/>
    </w:rPr>
  </w:style>
  <w:style w:type="character" w:customStyle="1" w:styleId="23">
    <w:name w:val="页眉 字符"/>
    <w:basedOn w:val="17"/>
    <w:link w:val="10"/>
    <w:semiHidden/>
    <w:qFormat/>
    <w:locked/>
    <w:uiPriority w:val="99"/>
    <w:rPr>
      <w:rFonts w:cs="Times New Roman"/>
      <w:sz w:val="18"/>
      <w:szCs w:val="18"/>
    </w:rPr>
  </w:style>
  <w:style w:type="character" w:customStyle="1" w:styleId="24">
    <w:name w:val="正文文本 2 字符"/>
    <w:basedOn w:val="17"/>
    <w:link w:val="11"/>
    <w:semiHidden/>
    <w:qFormat/>
    <w:locked/>
    <w:uiPriority w:val="99"/>
    <w:rPr>
      <w:rFonts w:cs="Times New Roman"/>
      <w:sz w:val="24"/>
      <w:szCs w:val="24"/>
    </w:rPr>
  </w:style>
  <w:style w:type="paragraph" w:customStyle="1" w:styleId="25">
    <w:name w:val="段"/>
    <w:link w:val="2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qFormat/>
    <w:locked/>
    <w:uiPriority w:val="99"/>
    <w:rPr>
      <w:rFonts w:ascii="宋体" w:cs="Times New Roman"/>
      <w:sz w:val="21"/>
      <w:lang w:val="en-US" w:eastAsia="zh-CN" w:bidi="ar-SA"/>
    </w:rPr>
  </w:style>
  <w:style w:type="character" w:styleId="27">
    <w:name w:val="Placeholder Text"/>
    <w:basedOn w:val="17"/>
    <w:semiHidden/>
    <w:qFormat/>
    <w:uiPriority w:val="99"/>
    <w:rPr>
      <w:rFonts w:cs="Times New Roman"/>
      <w:color w:val="808080"/>
    </w:rPr>
  </w:style>
  <w:style w:type="paragraph" w:styleId="28">
    <w:name w:val="List Paragraph"/>
    <w:basedOn w:val="1"/>
    <w:qFormat/>
    <w:uiPriority w:val="99"/>
    <w:pPr>
      <w:ind w:firstLine="420" w:firstLineChars="200"/>
    </w:pPr>
  </w:style>
  <w:style w:type="paragraph" w:customStyle="1" w:styleId="2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qFormat/>
    <w:uiPriority w:val="99"/>
    <w:pPr>
      <w:numPr>
        <w:ilvl w:val="2"/>
      </w:numPr>
      <w:spacing w:beforeLines="0" w:afterLines="0"/>
      <w:outlineLvl w:val="2"/>
    </w:pPr>
    <w:rPr>
      <w:sz w:val="21"/>
    </w:rPr>
  </w:style>
  <w:style w:type="paragraph" w:customStyle="1" w:styleId="32">
    <w:name w:val="二级条标题"/>
    <w:basedOn w:val="31"/>
    <w:next w:val="25"/>
    <w:qFormat/>
    <w:uiPriority w:val="99"/>
    <w:pPr>
      <w:numPr>
        <w:ilvl w:val="3"/>
      </w:numPr>
      <w:ind w:left="2310" w:hanging="420"/>
      <w:outlineLvl w:val="3"/>
    </w:pPr>
  </w:style>
  <w:style w:type="paragraph" w:customStyle="1" w:styleId="33">
    <w:name w:val="三级条标题"/>
    <w:basedOn w:val="32"/>
    <w:next w:val="25"/>
    <w:qFormat/>
    <w:uiPriority w:val="99"/>
    <w:pPr>
      <w:numPr>
        <w:ilvl w:val="4"/>
      </w:numPr>
      <w:ind w:left="2730"/>
      <w:outlineLvl w:val="4"/>
    </w:pPr>
  </w:style>
  <w:style w:type="paragraph" w:customStyle="1" w:styleId="34">
    <w:name w:val="四级条标题"/>
    <w:basedOn w:val="33"/>
    <w:next w:val="25"/>
    <w:qFormat/>
    <w:uiPriority w:val="99"/>
    <w:pPr>
      <w:numPr>
        <w:ilvl w:val="5"/>
      </w:numPr>
      <w:ind w:left="3150"/>
      <w:outlineLvl w:val="5"/>
    </w:pPr>
  </w:style>
  <w:style w:type="paragraph" w:customStyle="1" w:styleId="35">
    <w:name w:val="五级条标题"/>
    <w:basedOn w:val="34"/>
    <w:next w:val="25"/>
    <w:qFormat/>
    <w:uiPriority w:val="99"/>
    <w:pPr>
      <w:numPr>
        <w:ilvl w:val="6"/>
      </w:numPr>
      <w:ind w:left="3570"/>
      <w:outlineLvl w:val="6"/>
    </w:pPr>
  </w:style>
  <w:style w:type="character" w:customStyle="1" w:styleId="36">
    <w:name w:val="一级条标题 Char"/>
    <w:link w:val="31"/>
    <w:qFormat/>
    <w:locked/>
    <w:uiPriority w:val="99"/>
    <w:rPr>
      <w:rFonts w:ascii="黑体" w:eastAsia="黑体"/>
      <w:sz w:val="21"/>
      <w:lang w:val="en-US" w:eastAsia="zh-CN"/>
    </w:rPr>
  </w:style>
  <w:style w:type="character" w:customStyle="1" w:styleId="37">
    <w:name w:val="正文文本缩进 2 字符"/>
    <w:basedOn w:val="17"/>
    <w:link w:val="7"/>
    <w:semiHidden/>
    <w:qFormat/>
    <w:locked/>
    <w:uiPriority w:val="99"/>
    <w:rPr>
      <w:rFonts w:cs="Times New Roman"/>
      <w:sz w:val="24"/>
      <w:szCs w:val="24"/>
    </w:rPr>
  </w:style>
  <w:style w:type="character" w:customStyle="1" w:styleId="38">
    <w:name w:val="正文文本缩进 字符"/>
    <w:basedOn w:val="17"/>
    <w:link w:val="5"/>
    <w:semiHidden/>
    <w:qFormat/>
    <w:locked/>
    <w:uiPriority w:val="99"/>
    <w:rPr>
      <w:rFonts w:cs="Times New Roman"/>
      <w:sz w:val="24"/>
      <w:szCs w:val="24"/>
    </w:rPr>
  </w:style>
  <w:style w:type="character" w:customStyle="1" w:styleId="39">
    <w:name w:val="正文文本首行缩进 2 字符"/>
    <w:basedOn w:val="38"/>
    <w:link w:val="14"/>
    <w:semiHidden/>
    <w:qFormat/>
    <w:locked/>
    <w:uiPriority w:val="99"/>
    <w:rPr>
      <w:rFonts w:cs="Times New Roman"/>
      <w:sz w:val="24"/>
      <w:szCs w:val="24"/>
    </w:rPr>
  </w:style>
  <w:style w:type="character" w:customStyle="1" w:styleId="40">
    <w:name w:val="正文文本 字符"/>
    <w:basedOn w:val="17"/>
    <w:link w:val="4"/>
    <w:semiHidden/>
    <w:qFormat/>
    <w:locked/>
    <w:uiPriority w:val="99"/>
    <w:rPr>
      <w:rFonts w:cs="Times New Roman"/>
      <w:sz w:val="24"/>
      <w:szCs w:val="24"/>
    </w:rPr>
  </w:style>
  <w:style w:type="character" w:customStyle="1" w:styleId="41">
    <w:name w:val="正文文本首行缩进 字符"/>
    <w:basedOn w:val="40"/>
    <w:link w:val="13"/>
    <w:semiHidden/>
    <w:qFormat/>
    <w:locked/>
    <w:uiPriority w:val="99"/>
    <w:rPr>
      <w:rFonts w:cs="Times New Roman"/>
      <w:sz w:val="24"/>
      <w:szCs w:val="24"/>
    </w:rPr>
  </w:style>
  <w:style w:type="character" w:customStyle="1" w:styleId="42">
    <w:name w:val="图题及表格"/>
    <w:basedOn w:val="17"/>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2493</Words>
  <Characters>2728</Characters>
  <Lines>3</Lines>
  <Paragraphs>8</Paragraphs>
  <TotalTime>6</TotalTime>
  <ScaleCrop>false</ScaleCrop>
  <LinksUpToDate>false</LinksUpToDate>
  <CharactersWithSpaces>2763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张国栋</cp:lastModifiedBy>
  <cp:lastPrinted>2023-05-04T07:55:00Z</cp:lastPrinted>
  <dcterms:modified xsi:type="dcterms:W3CDTF">2023-05-31T02:30:48Z</dcterms:modified>
  <dc:title>GB/T11105-2011《金属粉末-压坯的拉托拉试验》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8E4E766673714552879E86823BBA13FC_13</vt:lpwstr>
  </property>
</Properties>
</file>