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color w:val="auto"/>
          <w:sz w:val="24"/>
          <w:highlight w:val="none"/>
        </w:rPr>
      </w:pPr>
      <w:r>
        <w:rPr>
          <w:rFonts w:hint="eastAsia" w:ascii="黑体" w:eastAsia="黑体"/>
          <w:bCs/>
          <w:color w:val="auto"/>
          <w:sz w:val="24"/>
          <w:highlight w:val="none"/>
          <w:lang w:val="en-US" w:eastAsia="zh-CN"/>
        </w:rPr>
        <w:t xml:space="preserve"> </w:t>
      </w:r>
      <w:r>
        <w:rPr>
          <w:rFonts w:ascii="黑体" w:eastAsia="黑体"/>
          <w:bCs/>
          <w:color w:val="auto"/>
          <w:sz w:val="24"/>
          <w:highlight w:val="none"/>
        </w:rPr>
        <w:t>JJF</w:t>
      </w:r>
      <w:r>
        <w:rPr>
          <w:rFonts w:hint="eastAsia" w:ascii="黑体" w:eastAsia="黑体"/>
          <w:bCs/>
          <w:color w:val="auto"/>
          <w:sz w:val="24"/>
          <w:highlight w:val="none"/>
        </w:rPr>
        <w:t>（有色金属）0</w:t>
      </w:r>
      <w:r>
        <w:rPr>
          <w:rFonts w:ascii="黑体" w:eastAsia="黑体"/>
          <w:bCs/>
          <w:color w:val="auto"/>
          <w:sz w:val="24"/>
          <w:highlight w:val="none"/>
        </w:rPr>
        <w:t>0</w:t>
      </w:r>
      <w:r>
        <w:rPr>
          <w:rFonts w:hint="eastAsia" w:ascii="黑体" w:eastAsia="黑体"/>
          <w:bCs/>
          <w:color w:val="auto"/>
          <w:sz w:val="24"/>
          <w:highlight w:val="none"/>
          <w:lang w:val="en-US" w:eastAsia="zh-CN"/>
        </w:rPr>
        <w:t>5</w:t>
      </w:r>
      <w:r>
        <w:rPr>
          <w:rFonts w:ascii="黑体" w:eastAsia="黑体"/>
          <w:bCs/>
          <w:color w:val="auto"/>
          <w:sz w:val="24"/>
          <w:highlight w:val="none"/>
        </w:rPr>
        <w:t>-</w:t>
      </w:r>
      <w:r>
        <w:rPr>
          <w:rFonts w:hint="eastAsia" w:ascii="黑体" w:eastAsia="黑体"/>
          <w:bCs/>
          <w:color w:val="auto"/>
          <w:sz w:val="24"/>
          <w:highlight w:val="none"/>
        </w:rPr>
        <w:t>2</w:t>
      </w:r>
      <w:r>
        <w:rPr>
          <w:rFonts w:ascii="黑体" w:eastAsia="黑体"/>
          <w:bCs/>
          <w:color w:val="auto"/>
          <w:sz w:val="24"/>
          <w:highlight w:val="none"/>
        </w:rPr>
        <w:t>02</w:t>
      </w:r>
      <w:r>
        <w:rPr>
          <w:rFonts w:hint="eastAsia" w:ascii="黑体" w:eastAsia="黑体"/>
          <w:bCs/>
          <w:color w:val="auto"/>
          <w:sz w:val="24"/>
          <w:highlight w:val="none"/>
          <w:lang w:val="en-US" w:eastAsia="zh-CN"/>
        </w:rPr>
        <w:t>2</w:t>
      </w:r>
      <w:r>
        <w:rPr>
          <w:rFonts w:hint="eastAsia" w:ascii="黑体" w:eastAsia="黑体"/>
          <w:bCs/>
          <w:color w:val="auto"/>
          <w:sz w:val="24"/>
          <w:highlight w:val="none"/>
        </w:rPr>
        <w:t>《</w:t>
      </w:r>
      <w:r>
        <w:rPr>
          <w:rFonts w:hint="eastAsia" w:ascii="黑体" w:eastAsia="黑体"/>
          <w:bCs/>
          <w:color w:val="auto"/>
          <w:sz w:val="24"/>
          <w:highlight w:val="none"/>
          <w:lang w:val="en-US" w:eastAsia="zh-CN"/>
        </w:rPr>
        <w:t>铝板带在线测厚仪校准规范</w:t>
      </w:r>
      <w:r>
        <w:rPr>
          <w:rFonts w:hint="eastAsia" w:ascii="黑体" w:eastAsia="黑体"/>
          <w:bCs/>
          <w:color w:val="auto"/>
          <w:sz w:val="24"/>
          <w:highlight w:val="none"/>
        </w:rPr>
        <w:t>》</w:t>
      </w:r>
    </w:p>
    <w:p>
      <w:pPr>
        <w:spacing w:line="360" w:lineRule="auto"/>
        <w:jc w:val="center"/>
        <w:rPr>
          <w:rFonts w:ascii="黑体" w:eastAsia="黑体"/>
          <w:bCs/>
          <w:color w:val="auto"/>
          <w:sz w:val="24"/>
          <w:highlight w:val="none"/>
        </w:rPr>
      </w:pPr>
      <w:r>
        <w:rPr>
          <w:rFonts w:hint="eastAsia" w:ascii="黑体" w:eastAsia="黑体"/>
          <w:bCs/>
          <w:color w:val="auto"/>
          <w:sz w:val="24"/>
          <w:highlight w:val="none"/>
        </w:rPr>
        <w:t>行业计量技术规范编制说明</w:t>
      </w:r>
    </w:p>
    <w:p>
      <w:pPr>
        <w:spacing w:line="360" w:lineRule="auto"/>
        <w:rPr>
          <w:rFonts w:hint="eastAsia" w:ascii="黑体" w:hAnsi="黑体" w:eastAsia="黑体" w:cs="黑体"/>
          <w:bCs/>
          <w:color w:val="auto"/>
          <w:highlight w:val="none"/>
        </w:rPr>
      </w:pPr>
      <w:r>
        <w:rPr>
          <w:rFonts w:hint="eastAsia" w:ascii="黑体" w:hAnsi="黑体" w:eastAsia="黑体" w:cs="黑体"/>
          <w:bCs/>
          <w:color w:val="auto"/>
          <w:highlight w:val="none"/>
        </w:rPr>
        <w:t>一、工作简况</w:t>
      </w:r>
    </w:p>
    <w:p>
      <w:pPr>
        <w:numPr>
          <w:ilvl w:val="0"/>
          <w:numId w:val="2"/>
        </w:numPr>
        <w:spacing w:line="360" w:lineRule="auto"/>
        <w:ind w:left="425" w:leftChars="0" w:hanging="425" w:firstLineChars="0"/>
        <w:rPr>
          <w:rFonts w:hint="eastAsia" w:ascii="黑体" w:hAnsi="黑体" w:eastAsia="黑体" w:cs="黑体"/>
          <w:bCs/>
          <w:color w:val="auto"/>
          <w:highlight w:val="none"/>
          <w:lang w:val="en-US" w:eastAsia="zh-CN"/>
        </w:rPr>
      </w:pPr>
      <w:r>
        <w:rPr>
          <w:rFonts w:hint="eastAsia" w:ascii="黑体" w:hAnsi="黑体" w:eastAsia="黑体" w:cs="黑体"/>
          <w:bCs/>
          <w:color w:val="auto"/>
          <w:highlight w:val="none"/>
          <w:lang w:val="en-US" w:eastAsia="zh-CN"/>
        </w:rPr>
        <w:t>立项目的</w:t>
      </w:r>
    </w:p>
    <w:p>
      <w:pPr>
        <w:spacing w:line="360" w:lineRule="auto"/>
        <w:ind w:left="0" w:leftChars="0" w:firstLine="420" w:firstLineChars="200"/>
        <w:rPr>
          <w:rFonts w:hint="eastAsia"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Times New Roman"/>
          <w:bCs/>
          <w:color w:val="auto"/>
          <w:kern w:val="2"/>
          <w:sz w:val="21"/>
          <w:szCs w:val="21"/>
          <w:highlight w:val="none"/>
          <w:lang w:val="en-US" w:eastAsia="zh-CN" w:bidi="ar-SA"/>
        </w:rPr>
        <w:t>在板材、带材</w:t>
      </w:r>
      <w:r>
        <w:rPr>
          <w:rFonts w:hint="eastAsia" w:hAnsi="宋体" w:cs="Times New Roman"/>
          <w:bCs/>
          <w:color w:val="auto"/>
          <w:kern w:val="2"/>
          <w:sz w:val="21"/>
          <w:szCs w:val="21"/>
          <w:highlight w:val="none"/>
          <w:lang w:val="en-US" w:eastAsia="zh-CN" w:bidi="ar-SA"/>
        </w:rPr>
        <w:t>、箔材</w:t>
      </w:r>
      <w:r>
        <w:rPr>
          <w:rFonts w:hint="eastAsia" w:ascii="Times New Roman" w:hAnsi="宋体" w:eastAsia="宋体" w:cs="Times New Roman"/>
          <w:bCs/>
          <w:color w:val="auto"/>
          <w:kern w:val="2"/>
          <w:sz w:val="21"/>
          <w:szCs w:val="21"/>
          <w:highlight w:val="none"/>
          <w:lang w:val="en-US" w:eastAsia="zh-CN" w:bidi="ar-SA"/>
        </w:rPr>
        <w:t>高速生产线上（简称轧线）需要对产品的厚度进行在线连续、快速、非接触测量和准确控制。</w:t>
      </w:r>
      <w:bookmarkStart w:id="0" w:name="_GoBack"/>
      <w:bookmarkEnd w:id="0"/>
      <w:r>
        <w:rPr>
          <w:rFonts w:hint="eastAsia" w:ascii="Times New Roman" w:hAnsi="宋体" w:eastAsia="宋体" w:cs="Times New Roman"/>
          <w:bCs/>
          <w:color w:val="auto"/>
          <w:kern w:val="2"/>
          <w:sz w:val="21"/>
          <w:szCs w:val="21"/>
          <w:highlight w:val="none"/>
          <w:lang w:val="en-US" w:eastAsia="zh-CN" w:bidi="ar-SA"/>
        </w:rPr>
        <w:t>在线测厚仪是铝合金板</w:t>
      </w:r>
      <w:r>
        <w:rPr>
          <w:rFonts w:hint="eastAsia" w:hAnsi="宋体" w:cs="Times New Roman"/>
          <w:bCs/>
          <w:color w:val="auto"/>
          <w:kern w:val="2"/>
          <w:sz w:val="21"/>
          <w:szCs w:val="21"/>
          <w:highlight w:val="none"/>
          <w:lang w:val="en-US" w:eastAsia="zh-CN" w:bidi="ar-SA"/>
        </w:rPr>
        <w:t>材、</w:t>
      </w:r>
      <w:r>
        <w:rPr>
          <w:rFonts w:hint="eastAsia" w:ascii="Times New Roman" w:hAnsi="宋体" w:eastAsia="宋体" w:cs="Times New Roman"/>
          <w:bCs/>
          <w:color w:val="auto"/>
          <w:kern w:val="2"/>
          <w:sz w:val="21"/>
          <w:szCs w:val="21"/>
          <w:highlight w:val="none"/>
          <w:lang w:val="en-US" w:eastAsia="zh-CN" w:bidi="ar-SA"/>
        </w:rPr>
        <w:t>带材</w:t>
      </w:r>
      <w:r>
        <w:rPr>
          <w:rFonts w:hint="eastAsia" w:hAnsi="宋体" w:cs="Times New Roman"/>
          <w:bCs/>
          <w:color w:val="auto"/>
          <w:kern w:val="2"/>
          <w:sz w:val="21"/>
          <w:szCs w:val="21"/>
          <w:highlight w:val="none"/>
          <w:lang w:val="en-US" w:eastAsia="zh-CN" w:bidi="ar-SA"/>
        </w:rPr>
        <w:t>、箔材</w:t>
      </w:r>
      <w:r>
        <w:rPr>
          <w:rFonts w:hint="eastAsia" w:ascii="Times New Roman" w:hAnsi="宋体" w:eastAsia="宋体" w:cs="Times New Roman"/>
          <w:bCs/>
          <w:color w:val="auto"/>
          <w:kern w:val="2"/>
          <w:sz w:val="21"/>
          <w:szCs w:val="21"/>
          <w:highlight w:val="none"/>
          <w:lang w:val="en-US" w:eastAsia="zh-CN" w:bidi="ar-SA"/>
        </w:rPr>
        <w:t>等产品生产非常重要的在线检测设备。</w:t>
      </w:r>
    </w:p>
    <w:p>
      <w:pPr>
        <w:spacing w:line="360" w:lineRule="auto"/>
        <w:ind w:left="0" w:leftChars="0" w:firstLine="420" w:firstLineChars="200"/>
        <w:rPr>
          <w:rFonts w:hint="eastAsia"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Times New Roman"/>
          <w:bCs/>
          <w:color w:val="auto"/>
          <w:kern w:val="2"/>
          <w:sz w:val="21"/>
          <w:szCs w:val="21"/>
          <w:highlight w:val="none"/>
          <w:lang w:val="en-US" w:eastAsia="zh-CN" w:bidi="ar-SA"/>
        </w:rPr>
        <w:t>目前，国家《X射线测厚仪检定规程》给出的精度和范围不够，没有考虑在线使用时合金修正等问题，不满足铝合金在线厚度测量与控制的要求。同时，国家/行业还没有铝板带在线测厚仪的现场校准规范。</w:t>
      </w:r>
    </w:p>
    <w:p>
      <w:pPr>
        <w:spacing w:line="360" w:lineRule="auto"/>
        <w:ind w:left="0" w:leftChars="0" w:firstLine="420" w:firstLineChars="200"/>
        <w:rPr>
          <w:rFonts w:hint="eastAsia"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Times New Roman"/>
          <w:bCs/>
          <w:color w:val="auto"/>
          <w:kern w:val="2"/>
          <w:sz w:val="21"/>
          <w:szCs w:val="21"/>
          <w:highlight w:val="none"/>
          <w:lang w:val="en-US" w:eastAsia="zh-CN" w:bidi="ar-SA"/>
        </w:rPr>
        <w:t>因此，为指导、有效开展对轧线测厚仪的现场校准工作，</w:t>
      </w:r>
      <w:r>
        <w:rPr>
          <w:rFonts w:hint="eastAsia" w:hAnsi="宋体" w:cs="Times New Roman"/>
          <w:bCs/>
          <w:color w:val="auto"/>
          <w:kern w:val="2"/>
          <w:sz w:val="21"/>
          <w:szCs w:val="21"/>
          <w:highlight w:val="none"/>
          <w:lang w:val="en-US" w:eastAsia="zh-CN" w:bidi="ar-SA"/>
        </w:rPr>
        <w:t>特立项</w:t>
      </w:r>
      <w:r>
        <w:rPr>
          <w:rFonts w:hint="eastAsia" w:ascii="Times New Roman" w:hAnsi="宋体" w:eastAsia="宋体" w:cs="Times New Roman"/>
          <w:bCs/>
          <w:color w:val="auto"/>
          <w:kern w:val="2"/>
          <w:sz w:val="21"/>
          <w:szCs w:val="21"/>
          <w:highlight w:val="none"/>
          <w:lang w:val="en-US" w:eastAsia="zh-CN" w:bidi="ar-SA"/>
        </w:rPr>
        <w:t>编制《铝板带在线测厚仪校准规范》。</w:t>
      </w:r>
    </w:p>
    <w:p>
      <w:pPr>
        <w:numPr>
          <w:ilvl w:val="0"/>
          <w:numId w:val="2"/>
        </w:numPr>
        <w:spacing w:line="360" w:lineRule="auto"/>
        <w:ind w:left="425" w:leftChars="0" w:hanging="425" w:firstLineChars="0"/>
        <w:rPr>
          <w:rFonts w:ascii="黑体" w:eastAsia="黑体"/>
          <w:bCs/>
          <w:color w:val="auto"/>
          <w:szCs w:val="21"/>
          <w:highlight w:val="none"/>
        </w:rPr>
      </w:pPr>
      <w:r>
        <w:rPr>
          <w:rFonts w:hint="eastAsia" w:ascii="黑体" w:hAnsi="宋体" w:eastAsia="黑体"/>
          <w:bCs/>
          <w:color w:val="auto"/>
          <w:szCs w:val="21"/>
          <w:highlight w:val="none"/>
        </w:rPr>
        <w:t>任务来源</w:t>
      </w:r>
    </w:p>
    <w:p>
      <w:pPr>
        <w:pStyle w:val="11"/>
        <w:spacing w:after="0" w:line="360" w:lineRule="auto"/>
        <w:ind w:firstLine="420" w:firstLineChars="200"/>
        <w:rPr>
          <w:rFonts w:hAnsi="宋体"/>
          <w:bCs/>
          <w:color w:val="auto"/>
          <w:szCs w:val="21"/>
          <w:highlight w:val="none"/>
        </w:rPr>
      </w:pPr>
      <w:r>
        <w:rPr>
          <w:rFonts w:hint="eastAsia" w:hAnsi="宋体"/>
          <w:bCs/>
          <w:color w:val="auto"/>
          <w:szCs w:val="21"/>
          <w:highlight w:val="none"/>
        </w:rPr>
        <w:t>根据工业和信息化部《关于印发202</w:t>
      </w:r>
      <w:r>
        <w:rPr>
          <w:rFonts w:hint="eastAsia" w:hAnsi="宋体"/>
          <w:bCs/>
          <w:color w:val="auto"/>
          <w:szCs w:val="21"/>
          <w:highlight w:val="none"/>
          <w:lang w:val="en-US" w:eastAsia="zh-CN"/>
        </w:rPr>
        <w:t>2</w:t>
      </w:r>
      <w:r>
        <w:rPr>
          <w:rFonts w:hint="eastAsia" w:hAnsi="宋体"/>
          <w:bCs/>
          <w:color w:val="auto"/>
          <w:szCs w:val="21"/>
          <w:highlight w:val="none"/>
        </w:rPr>
        <w:t>年行业计量技术规范制修订计划的通知》（工厅科［202</w:t>
      </w:r>
      <w:r>
        <w:rPr>
          <w:rFonts w:hint="eastAsia" w:hAnsi="宋体"/>
          <w:bCs/>
          <w:color w:val="auto"/>
          <w:szCs w:val="21"/>
          <w:highlight w:val="none"/>
          <w:lang w:val="en-US" w:eastAsia="zh-CN"/>
        </w:rPr>
        <w:t>2</w:t>
      </w:r>
      <w:r>
        <w:rPr>
          <w:rFonts w:hint="eastAsia" w:hAnsi="宋体"/>
          <w:bCs/>
          <w:color w:val="auto"/>
          <w:szCs w:val="21"/>
          <w:highlight w:val="none"/>
        </w:rPr>
        <w:t>］</w:t>
      </w:r>
      <w:r>
        <w:rPr>
          <w:rFonts w:hint="eastAsia" w:hAnsi="宋体"/>
          <w:bCs/>
          <w:color w:val="auto"/>
          <w:szCs w:val="21"/>
          <w:highlight w:val="none"/>
          <w:lang w:val="en-US" w:eastAsia="zh-CN"/>
        </w:rPr>
        <w:t>464</w:t>
      </w:r>
      <w:r>
        <w:rPr>
          <w:rFonts w:hint="eastAsia" w:hAnsi="宋体"/>
          <w:bCs/>
          <w:color w:val="auto"/>
          <w:szCs w:val="21"/>
          <w:highlight w:val="none"/>
        </w:rPr>
        <w:t>号）文的要求，行业计量技术规范《</w:t>
      </w:r>
      <w:r>
        <w:rPr>
          <w:rFonts w:hint="eastAsia" w:hAnsi="宋体"/>
          <w:bCs/>
          <w:color w:val="auto"/>
          <w:szCs w:val="21"/>
          <w:highlight w:val="none"/>
          <w:lang w:eastAsia="zh-CN"/>
        </w:rPr>
        <w:t>铝板带在线测厚仪校准规范</w:t>
      </w:r>
      <w:r>
        <w:rPr>
          <w:rFonts w:hint="eastAsia" w:hAnsi="宋体"/>
          <w:bCs/>
          <w:color w:val="auto"/>
          <w:szCs w:val="21"/>
          <w:highlight w:val="none"/>
        </w:rPr>
        <w:t>》由</w:t>
      </w:r>
      <w:r>
        <w:rPr>
          <w:rFonts w:hint="eastAsia" w:hAnsi="宋体"/>
          <w:bCs/>
          <w:color w:val="auto"/>
          <w:szCs w:val="21"/>
          <w:highlight w:val="none"/>
          <w:lang w:val="en-US" w:eastAsia="zh-CN"/>
        </w:rPr>
        <w:t>西南铝业（集团）有限责任公司</w:t>
      </w:r>
      <w:r>
        <w:rPr>
          <w:rFonts w:hint="eastAsia" w:hAnsi="宋体"/>
          <w:bCs/>
          <w:color w:val="auto"/>
          <w:szCs w:val="21"/>
          <w:highlight w:val="none"/>
        </w:rPr>
        <w:t>负责起草。该项目计划编号为</w:t>
      </w:r>
      <w:r>
        <w:rPr>
          <w:rFonts w:hAnsi="宋体"/>
          <w:bCs/>
          <w:color w:val="auto"/>
          <w:szCs w:val="21"/>
          <w:highlight w:val="none"/>
        </w:rPr>
        <w:t>JJF</w:t>
      </w:r>
      <w:r>
        <w:rPr>
          <w:rFonts w:hint="eastAsia" w:hAnsi="宋体"/>
          <w:bCs/>
          <w:color w:val="auto"/>
          <w:szCs w:val="21"/>
          <w:highlight w:val="none"/>
        </w:rPr>
        <w:t>（有色金属）0</w:t>
      </w:r>
      <w:r>
        <w:rPr>
          <w:rFonts w:hAnsi="宋体"/>
          <w:bCs/>
          <w:color w:val="auto"/>
          <w:szCs w:val="21"/>
          <w:highlight w:val="none"/>
        </w:rPr>
        <w:t>0</w:t>
      </w:r>
      <w:r>
        <w:rPr>
          <w:rFonts w:hint="eastAsia" w:hAnsi="宋体"/>
          <w:bCs/>
          <w:color w:val="auto"/>
          <w:szCs w:val="21"/>
          <w:highlight w:val="none"/>
          <w:lang w:val="en-US" w:eastAsia="zh-CN"/>
        </w:rPr>
        <w:t>5</w:t>
      </w:r>
      <w:r>
        <w:rPr>
          <w:rFonts w:hint="eastAsia" w:hAnsi="宋体"/>
          <w:bCs/>
          <w:color w:val="auto"/>
          <w:szCs w:val="21"/>
          <w:highlight w:val="none"/>
        </w:rPr>
        <w:t>-2</w:t>
      </w:r>
      <w:r>
        <w:rPr>
          <w:rFonts w:hAnsi="宋体"/>
          <w:bCs/>
          <w:color w:val="auto"/>
          <w:szCs w:val="21"/>
          <w:highlight w:val="none"/>
        </w:rPr>
        <w:t>02</w:t>
      </w:r>
      <w:r>
        <w:rPr>
          <w:rFonts w:hint="eastAsia" w:hAnsi="宋体"/>
          <w:bCs/>
          <w:color w:val="auto"/>
          <w:szCs w:val="21"/>
          <w:highlight w:val="none"/>
          <w:lang w:val="en-US" w:eastAsia="zh-CN"/>
        </w:rPr>
        <w:t>2</w:t>
      </w:r>
      <w:r>
        <w:rPr>
          <w:rFonts w:hint="eastAsia" w:hAnsi="宋体"/>
          <w:bCs/>
          <w:color w:val="auto"/>
          <w:szCs w:val="21"/>
          <w:highlight w:val="none"/>
        </w:rPr>
        <w:t>。按计划要求，本计量规范应于</w:t>
      </w:r>
      <w:r>
        <w:rPr>
          <w:rFonts w:hAnsi="宋体"/>
          <w:bCs/>
          <w:color w:val="auto"/>
          <w:szCs w:val="21"/>
          <w:highlight w:val="none"/>
        </w:rPr>
        <w:t>202</w:t>
      </w:r>
      <w:r>
        <w:rPr>
          <w:rFonts w:hint="eastAsia" w:hAnsi="宋体"/>
          <w:bCs/>
          <w:color w:val="auto"/>
          <w:szCs w:val="21"/>
          <w:highlight w:val="none"/>
          <w:lang w:val="en-US" w:eastAsia="zh-CN"/>
        </w:rPr>
        <w:t>4</w:t>
      </w:r>
      <w:r>
        <w:rPr>
          <w:rFonts w:hint="eastAsia" w:hAnsi="宋体"/>
          <w:bCs/>
          <w:color w:val="auto"/>
          <w:szCs w:val="21"/>
          <w:highlight w:val="none"/>
        </w:rPr>
        <w:t>年完成。</w:t>
      </w:r>
    </w:p>
    <w:p>
      <w:pPr>
        <w:numPr>
          <w:ilvl w:val="0"/>
          <w:numId w:val="2"/>
        </w:numPr>
        <w:spacing w:line="360" w:lineRule="auto"/>
        <w:ind w:left="425" w:leftChars="0" w:hanging="425" w:firstLineChars="0"/>
        <w:rPr>
          <w:rFonts w:ascii="黑体" w:hAnsi="宋体" w:eastAsia="黑体"/>
          <w:bCs/>
          <w:color w:val="auto"/>
          <w:szCs w:val="21"/>
          <w:highlight w:val="none"/>
        </w:rPr>
      </w:pPr>
      <w:r>
        <w:rPr>
          <w:rFonts w:hint="eastAsia" w:ascii="黑体" w:hAnsi="宋体" w:eastAsia="黑体"/>
          <w:bCs/>
          <w:color w:val="auto"/>
          <w:szCs w:val="21"/>
          <w:highlight w:val="none"/>
        </w:rPr>
        <w:t>承担单位情况</w:t>
      </w:r>
    </w:p>
    <w:p>
      <w:pPr>
        <w:numPr>
          <w:ilvl w:val="1"/>
          <w:numId w:val="2"/>
        </w:numPr>
        <w:spacing w:line="360" w:lineRule="auto"/>
        <w:ind w:left="567" w:leftChars="0" w:hanging="567" w:firstLineChars="0"/>
        <w:rPr>
          <w:rFonts w:hint="default" w:ascii="黑体" w:hAnsi="宋体" w:eastAsia="黑体"/>
          <w:bCs/>
          <w:color w:val="auto"/>
          <w:szCs w:val="21"/>
          <w:highlight w:val="none"/>
          <w:lang w:val="en-US" w:eastAsia="zh-CN"/>
        </w:rPr>
      </w:pPr>
      <w:r>
        <w:rPr>
          <w:rFonts w:hint="eastAsia" w:ascii="黑体" w:hAnsi="宋体" w:eastAsia="黑体"/>
          <w:bCs/>
          <w:color w:val="auto"/>
          <w:szCs w:val="21"/>
          <w:highlight w:val="none"/>
          <w:lang w:val="en-US" w:eastAsia="zh-CN"/>
        </w:rPr>
        <w:t>主编单位简介</w:t>
      </w:r>
    </w:p>
    <w:p>
      <w:pPr>
        <w:spacing w:line="360" w:lineRule="auto"/>
        <w:ind w:firstLine="420" w:firstLineChars="200"/>
        <w:rPr>
          <w:rFonts w:hint="eastAsia"/>
          <w:bCs/>
          <w:color w:val="auto"/>
          <w:highlight w:val="none"/>
          <w:lang w:val="en-US" w:eastAsia="zh-CN"/>
        </w:rPr>
      </w:pPr>
      <w:r>
        <w:rPr>
          <w:rFonts w:hint="eastAsia"/>
          <w:bCs/>
          <w:color w:val="auto"/>
          <w:highlight w:val="none"/>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w:t>
      </w:r>
      <w:r>
        <w:rPr>
          <w:rFonts w:hint="eastAsia"/>
          <w:bCs/>
          <w:color w:val="auto"/>
          <w:highlight w:val="none"/>
          <w:lang w:eastAsia="zh-CN"/>
        </w:rPr>
        <w:t>西南铝建有校准实验室与检测实验室，均通过了</w:t>
      </w:r>
      <w:r>
        <w:rPr>
          <w:rFonts w:hint="eastAsia"/>
          <w:bCs/>
          <w:color w:val="auto"/>
          <w:highlight w:val="none"/>
          <w:lang w:val="en-US" w:eastAsia="zh-CN"/>
        </w:rPr>
        <w:t>CNAS认可，具备对测厚仪、标准厚度板的校准能力。西南铝累计申请专利722件，其中授权发明专利249件、授权实用新型专利473件，主持和参与国家、行业标准277项。</w:t>
      </w:r>
    </w:p>
    <w:p>
      <w:pPr>
        <w:numPr>
          <w:ilvl w:val="1"/>
          <w:numId w:val="2"/>
        </w:numPr>
        <w:spacing w:line="360" w:lineRule="auto"/>
        <w:ind w:left="567" w:leftChars="0" w:hanging="567" w:firstLineChars="0"/>
        <w:rPr>
          <w:rFonts w:hint="eastAsia" w:ascii="黑体" w:hAnsi="宋体" w:eastAsia="黑体"/>
          <w:bCs/>
          <w:color w:val="auto"/>
          <w:szCs w:val="21"/>
          <w:highlight w:val="none"/>
          <w:lang w:val="en-US" w:eastAsia="zh-CN"/>
        </w:rPr>
      </w:pPr>
      <w:r>
        <w:rPr>
          <w:rFonts w:hint="eastAsia" w:ascii="黑体" w:hAnsi="宋体" w:eastAsia="黑体"/>
          <w:bCs/>
          <w:color w:val="auto"/>
          <w:szCs w:val="21"/>
          <w:highlight w:val="none"/>
          <w:lang w:val="en-US" w:eastAsia="zh-CN"/>
        </w:rPr>
        <w:t>成员单位简介</w:t>
      </w:r>
    </w:p>
    <w:p>
      <w:pPr>
        <w:numPr>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pPr>
        <w:numPr>
          <w:numId w:val="0"/>
        </w:numPr>
        <w:spacing w:line="360" w:lineRule="auto"/>
        <w:ind w:left="0" w:leftChars="0" w:firstLine="420" w:firstLineChars="200"/>
        <w:rPr>
          <w:rFonts w:hint="eastAsia" w:ascii="黑体" w:hAnsi="宋体" w:eastAsia="黑体"/>
          <w:bCs/>
          <w:color w:val="auto"/>
          <w:szCs w:val="21"/>
          <w:highlight w:val="none"/>
          <w:lang w:val="en-US" w:eastAsia="zh-CN"/>
        </w:rPr>
      </w:pPr>
      <w:r>
        <w:rPr>
          <w:rFonts w:hint="eastAsia"/>
          <w:color w:val="auto"/>
          <w:highlight w:val="none"/>
          <w:lang w:val="en-US" w:eastAsia="zh-CN"/>
        </w:rPr>
        <w:t>山东南山铝业股份有限公司拥有目前全球最短最完整的铝加工产业链，拥有国家级企业技术中心，南山科学技术研究院等一流研发机构，其中国家铝合金压力加工工程技术研究中心是行业唯一国家级工程技术研究中心，公司主持起草十几项国家标准，获得全国有色金属标准化技术委员会“技术标准优秀奖”。计量中心为山东南山铝业股份有限公司设立的计量技术机构，计量中心拥有国际、国内先进的精密标准装置和仪器30多台（套），经质量技术监督等部门的考核建立了长、热、力、电等企业最高计量标准，并通过中国合格评定国家认可委员会实验室认可（CNAS）。计量中心建有“精密露点仪标准装置”企业最高计量标准，该标准装置由Optidew Vision 401型冷镜式露点仪、PR710A型精密数字温度计、PR381A型温湿度标准箱以及数显温湿度计、空盒气压表等组成，能够开展各类温湿度计的量值传递工作。</w:t>
      </w:r>
    </w:p>
    <w:p>
      <w:pPr>
        <w:numPr>
          <w:ilvl w:val="0"/>
          <w:numId w:val="2"/>
        </w:numPr>
        <w:spacing w:line="360" w:lineRule="auto"/>
        <w:ind w:left="425" w:leftChars="0" w:hanging="425" w:firstLineChars="0"/>
        <w:rPr>
          <w:rFonts w:ascii="黑体" w:eastAsia="黑体"/>
          <w:bCs/>
          <w:color w:val="auto"/>
          <w:szCs w:val="21"/>
          <w:highlight w:val="none"/>
        </w:rPr>
      </w:pPr>
      <w:r>
        <w:rPr>
          <w:rFonts w:hint="eastAsia" w:ascii="黑体" w:hAnsi="宋体" w:eastAsia="黑体"/>
          <w:bCs/>
          <w:color w:val="auto"/>
          <w:szCs w:val="21"/>
          <w:highlight w:val="none"/>
        </w:rPr>
        <w:t>主要工作过程</w:t>
      </w:r>
    </w:p>
    <w:p>
      <w:pPr>
        <w:spacing w:line="360" w:lineRule="auto"/>
        <w:ind w:firstLine="420" w:firstLineChars="200"/>
        <w:rPr>
          <w:bCs/>
          <w:color w:val="auto"/>
          <w:highlight w:val="none"/>
        </w:rPr>
      </w:pPr>
      <w:r>
        <w:rPr>
          <w:rFonts w:hint="eastAsia"/>
          <w:bCs/>
          <w:color w:val="auto"/>
          <w:highlight w:val="none"/>
          <w:lang w:val="en-US" w:eastAsia="zh-CN"/>
        </w:rPr>
        <w:t>西南铝业（集团）有限责任公司计量</w:t>
      </w:r>
      <w:r>
        <w:rPr>
          <w:rFonts w:hint="eastAsia"/>
          <w:bCs/>
          <w:color w:val="auto"/>
          <w:highlight w:val="none"/>
        </w:rPr>
        <w:t>检测中心接到有色金属行业计量技术委员会转发下达的制定任务后，成立了计量规范编制组，</w:t>
      </w:r>
      <w:r>
        <w:rPr>
          <w:rFonts w:hint="eastAsia"/>
          <w:bCs/>
          <w:color w:val="auto"/>
          <w:highlight w:val="none"/>
          <w:lang w:val="en-US" w:eastAsia="zh-CN"/>
        </w:rPr>
        <w:t>成员有</w:t>
      </w:r>
      <w:r>
        <w:rPr>
          <w:rFonts w:ascii="宋体" w:hAnsi="宋体" w:eastAsia="宋体" w:cs="宋体"/>
          <w:color w:val="auto"/>
          <w:spacing w:val="-1"/>
          <w:sz w:val="22"/>
          <w:szCs w:val="22"/>
          <w:highlight w:val="none"/>
        </w:rPr>
        <w:t>广东省科学院工业分析检测中心、国合通用测试评</w:t>
      </w:r>
      <w:r>
        <w:rPr>
          <w:rFonts w:ascii="宋体" w:hAnsi="宋体" w:eastAsia="宋体" w:cs="宋体"/>
          <w:color w:val="auto"/>
          <w:sz w:val="22"/>
          <w:szCs w:val="22"/>
          <w:highlight w:val="none"/>
        </w:rPr>
        <w:t>价认证股份公司、天津新艾隆科技有限公司、山东南山铝业股份有限公司等</w:t>
      </w:r>
      <w:r>
        <w:rPr>
          <w:rFonts w:hint="eastAsia" w:ascii="宋体" w:hAnsi="宋体" w:cs="宋体"/>
          <w:color w:val="auto"/>
          <w:sz w:val="22"/>
          <w:szCs w:val="22"/>
          <w:highlight w:val="none"/>
          <w:lang w:eastAsia="zh-CN"/>
        </w:rPr>
        <w:t>。</w:t>
      </w:r>
      <w:r>
        <w:rPr>
          <w:rFonts w:hint="eastAsia"/>
          <w:bCs/>
          <w:color w:val="auto"/>
          <w:highlight w:val="none"/>
        </w:rPr>
        <w:t>对计量技术规范编写工作进行了部署和分工，制定了制定原则及计划工作。本项目主要工作过程经过了以下几个阶段：</w:t>
      </w:r>
    </w:p>
    <w:p>
      <w:pPr>
        <w:numPr>
          <w:ilvl w:val="0"/>
          <w:numId w:val="3"/>
        </w:numPr>
        <w:spacing w:line="360" w:lineRule="auto"/>
        <w:ind w:left="0" w:leftChars="0" w:firstLine="415" w:firstLineChars="0"/>
        <w:rPr>
          <w:bCs/>
          <w:color w:val="auto"/>
          <w:highlight w:val="none"/>
        </w:rPr>
      </w:pPr>
      <w:r>
        <w:rPr>
          <w:bCs/>
          <w:color w:val="auto"/>
          <w:highlight w:val="none"/>
        </w:rPr>
        <w:t>20</w:t>
      </w:r>
      <w:r>
        <w:rPr>
          <w:rFonts w:hint="eastAsia"/>
          <w:bCs/>
          <w:color w:val="auto"/>
          <w:highlight w:val="none"/>
        </w:rPr>
        <w:t>2</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val="en-US" w:eastAsia="zh-CN"/>
        </w:rPr>
        <w:t>7</w:t>
      </w:r>
      <w:r>
        <w:rPr>
          <w:rFonts w:hint="eastAsia"/>
          <w:bCs/>
          <w:color w:val="auto"/>
          <w:highlight w:val="none"/>
        </w:rPr>
        <w:t>月成立</w:t>
      </w:r>
      <w:r>
        <w:rPr>
          <w:rFonts w:hint="eastAsia"/>
          <w:bCs/>
          <w:color w:val="auto"/>
          <w:highlight w:val="none"/>
          <w:lang w:eastAsia="zh-CN"/>
        </w:rPr>
        <w:t>了</w:t>
      </w:r>
      <w:r>
        <w:rPr>
          <w:rFonts w:hint="eastAsia"/>
          <w:bCs/>
          <w:color w:val="auto"/>
          <w:highlight w:val="none"/>
        </w:rPr>
        <w:t>计量规范编制组，明确了编制组</w:t>
      </w:r>
      <w:r>
        <w:rPr>
          <w:rFonts w:hint="eastAsia"/>
          <w:bCs/>
          <w:color w:val="auto"/>
          <w:highlight w:val="none"/>
          <w:lang w:eastAsia="zh-CN"/>
        </w:rPr>
        <w:t>成员</w:t>
      </w:r>
      <w:r>
        <w:rPr>
          <w:rFonts w:hint="eastAsia"/>
          <w:bCs/>
          <w:color w:val="auto"/>
          <w:highlight w:val="none"/>
        </w:rPr>
        <w:t>各自的工作内容和任务。</w:t>
      </w:r>
    </w:p>
    <w:p>
      <w:pPr>
        <w:numPr>
          <w:ilvl w:val="0"/>
          <w:numId w:val="3"/>
        </w:numPr>
        <w:spacing w:line="360" w:lineRule="auto"/>
        <w:ind w:left="0" w:leftChars="0" w:firstLine="415" w:firstLineChars="0"/>
        <w:rPr>
          <w:rFonts w:hint="eastAsia"/>
          <w:bCs/>
          <w:color w:val="auto"/>
          <w:highlight w:val="none"/>
        </w:rPr>
      </w:pPr>
      <w:r>
        <w:rPr>
          <w:bCs/>
          <w:color w:val="auto"/>
          <w:highlight w:val="none"/>
        </w:rPr>
        <w:t>20</w:t>
      </w:r>
      <w:r>
        <w:rPr>
          <w:rFonts w:hint="eastAsia"/>
          <w:bCs/>
          <w:color w:val="auto"/>
          <w:highlight w:val="none"/>
        </w:rPr>
        <w:t>2</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val="en-US" w:eastAsia="zh-CN"/>
        </w:rPr>
        <w:t>8</w:t>
      </w:r>
      <w:r>
        <w:rPr>
          <w:rFonts w:hint="eastAsia"/>
          <w:bCs/>
          <w:color w:val="auto"/>
          <w:highlight w:val="none"/>
        </w:rPr>
        <w:t>月</w:t>
      </w:r>
      <w:r>
        <w:rPr>
          <w:rFonts w:hint="eastAsia"/>
          <w:bCs/>
          <w:color w:val="auto"/>
          <w:highlight w:val="none"/>
          <w:lang w:val="en-US" w:eastAsia="zh-CN"/>
        </w:rPr>
        <w:t>～2023年4月</w:t>
      </w:r>
      <w:r>
        <w:rPr>
          <w:rFonts w:hint="eastAsia"/>
          <w:bCs/>
          <w:color w:val="auto"/>
          <w:highlight w:val="none"/>
        </w:rPr>
        <w:t>计量规范编制组成员对</w:t>
      </w:r>
      <w:r>
        <w:rPr>
          <w:rFonts w:hint="eastAsia" w:hAnsi="宋体"/>
          <w:bCs/>
          <w:color w:val="auto"/>
          <w:szCs w:val="21"/>
          <w:highlight w:val="none"/>
          <w:lang w:eastAsia="zh-CN"/>
        </w:rPr>
        <w:t>铝板带在线测厚仪校准</w:t>
      </w:r>
      <w:r>
        <w:rPr>
          <w:rFonts w:hint="eastAsia"/>
          <w:bCs/>
          <w:color w:val="auto"/>
          <w:highlight w:val="none"/>
          <w:lang w:eastAsia="zh-CN"/>
        </w:rPr>
        <w:t>规范</w:t>
      </w:r>
      <w:r>
        <w:rPr>
          <w:rFonts w:hint="eastAsia"/>
          <w:bCs/>
          <w:color w:val="auto"/>
          <w:highlight w:val="none"/>
        </w:rPr>
        <w:t>中的计量特性及校准方法进行了讨论，确定了校准项目和方法，在</w:t>
      </w:r>
      <w:r>
        <w:rPr>
          <w:bCs/>
          <w:color w:val="auto"/>
          <w:highlight w:val="none"/>
        </w:rPr>
        <w:t>202</w:t>
      </w:r>
      <w:r>
        <w:rPr>
          <w:rFonts w:hint="eastAsia"/>
          <w:bCs/>
          <w:color w:val="auto"/>
          <w:highlight w:val="none"/>
          <w:lang w:val="en-US" w:eastAsia="zh-CN"/>
        </w:rPr>
        <w:t>3</w:t>
      </w:r>
      <w:r>
        <w:rPr>
          <w:rFonts w:hint="eastAsia"/>
          <w:bCs/>
          <w:color w:val="auto"/>
          <w:highlight w:val="none"/>
        </w:rPr>
        <w:t>年</w:t>
      </w:r>
      <w:r>
        <w:rPr>
          <w:rFonts w:hint="eastAsia"/>
          <w:bCs/>
          <w:color w:val="auto"/>
          <w:highlight w:val="none"/>
          <w:lang w:val="en-US" w:eastAsia="zh-CN"/>
        </w:rPr>
        <w:t>4</w:t>
      </w:r>
      <w:r>
        <w:rPr>
          <w:rFonts w:hint="eastAsia"/>
          <w:bCs/>
          <w:color w:val="auto"/>
          <w:highlight w:val="none"/>
        </w:rPr>
        <w:t>月形成了计量规范讨论稿。</w:t>
      </w:r>
    </w:p>
    <w:p>
      <w:pPr>
        <w:numPr>
          <w:ilvl w:val="0"/>
          <w:numId w:val="3"/>
        </w:numPr>
        <w:spacing w:line="360" w:lineRule="auto"/>
        <w:ind w:left="0" w:leftChars="0" w:firstLine="415" w:firstLineChars="0"/>
        <w:rPr>
          <w:rFonts w:hint="eastAsia"/>
          <w:bCs/>
          <w:color w:val="auto"/>
          <w:highlight w:val="none"/>
        </w:rPr>
      </w:pPr>
      <w:r>
        <w:rPr>
          <w:rFonts w:hint="eastAsia"/>
          <w:bCs/>
          <w:color w:val="auto"/>
          <w:highlight w:val="none"/>
        </w:rPr>
        <w:t>202</w:t>
      </w:r>
      <w:r>
        <w:rPr>
          <w:rFonts w:hint="eastAsia"/>
          <w:bCs/>
          <w:color w:val="auto"/>
          <w:highlight w:val="none"/>
          <w:lang w:val="en-US" w:eastAsia="zh-CN"/>
        </w:rPr>
        <w:t>3</w:t>
      </w:r>
      <w:r>
        <w:rPr>
          <w:rFonts w:hint="eastAsia"/>
          <w:bCs/>
          <w:color w:val="auto"/>
          <w:highlight w:val="none"/>
        </w:rPr>
        <w:t>年</w:t>
      </w:r>
      <w:r>
        <w:rPr>
          <w:rFonts w:hint="eastAsia"/>
          <w:bCs/>
          <w:color w:val="auto"/>
          <w:highlight w:val="none"/>
          <w:lang w:val="en-US" w:eastAsia="zh-CN"/>
        </w:rPr>
        <w:t>5</w:t>
      </w:r>
      <w:r>
        <w:rPr>
          <w:rFonts w:hint="eastAsia"/>
          <w:bCs/>
          <w:color w:val="auto"/>
          <w:highlight w:val="none"/>
        </w:rPr>
        <w:t>月</w:t>
      </w:r>
      <w:r>
        <w:rPr>
          <w:rFonts w:hint="eastAsia"/>
          <w:bCs/>
          <w:color w:val="auto"/>
          <w:highlight w:val="none"/>
          <w:lang w:val="en-US" w:eastAsia="zh-CN"/>
        </w:rPr>
        <w:t>8</w:t>
      </w:r>
      <w:r>
        <w:rPr>
          <w:rFonts w:hint="eastAsia"/>
          <w:bCs/>
          <w:color w:val="auto"/>
          <w:highlight w:val="none"/>
        </w:rPr>
        <w:t>日～</w:t>
      </w:r>
      <w:r>
        <w:rPr>
          <w:rFonts w:hint="eastAsia"/>
          <w:bCs/>
          <w:color w:val="auto"/>
          <w:highlight w:val="none"/>
          <w:lang w:val="en-US" w:eastAsia="zh-CN"/>
        </w:rPr>
        <w:t>10</w:t>
      </w:r>
      <w:r>
        <w:rPr>
          <w:rFonts w:hint="eastAsia"/>
          <w:bCs/>
          <w:color w:val="auto"/>
          <w:highlight w:val="none"/>
        </w:rPr>
        <w:t>日，计量规范编制组成员参加了由有色金属行业计量技术委员会组织的在</w:t>
      </w:r>
      <w:r>
        <w:rPr>
          <w:rFonts w:hint="eastAsia"/>
          <w:bCs/>
          <w:color w:val="auto"/>
          <w:highlight w:val="none"/>
          <w:lang w:val="en-US" w:eastAsia="zh-CN"/>
        </w:rPr>
        <w:t>西安</w:t>
      </w:r>
      <w:r>
        <w:rPr>
          <w:rFonts w:hint="eastAsia"/>
          <w:bCs/>
          <w:color w:val="auto"/>
          <w:highlight w:val="none"/>
        </w:rPr>
        <w:t>召开的202</w:t>
      </w:r>
      <w:r>
        <w:rPr>
          <w:rFonts w:hint="eastAsia"/>
          <w:bCs/>
          <w:color w:val="auto"/>
          <w:highlight w:val="none"/>
          <w:lang w:val="en-US" w:eastAsia="zh-CN"/>
        </w:rPr>
        <w:t>3</w:t>
      </w:r>
      <w:r>
        <w:rPr>
          <w:rFonts w:hint="eastAsia"/>
          <w:bCs/>
          <w:color w:val="auto"/>
          <w:highlight w:val="none"/>
        </w:rPr>
        <w:t>年有色金属行业计量技术规范讨论会，与会专家、代表对本校准规范的讨论稿提出了宝贵的意见和建议。会上确定了项目一验、二验单位，明确了各项工作时间进度要求。</w:t>
      </w:r>
    </w:p>
    <w:p>
      <w:pPr>
        <w:numPr>
          <w:ilvl w:val="0"/>
          <w:numId w:val="3"/>
        </w:numPr>
        <w:spacing w:line="360" w:lineRule="auto"/>
        <w:ind w:left="0" w:leftChars="0" w:firstLine="415" w:firstLineChars="0"/>
        <w:rPr>
          <w:rFonts w:hint="eastAsia"/>
          <w:bCs/>
          <w:color w:val="auto"/>
          <w:highlight w:val="none"/>
        </w:rPr>
      </w:pPr>
      <w:r>
        <w:rPr>
          <w:rFonts w:hint="eastAsia"/>
          <w:bCs/>
          <w:color w:val="auto"/>
          <w:highlight w:val="none"/>
          <w:lang w:val="en-US" w:eastAsia="zh-CN"/>
        </w:rPr>
        <w:t>2023年5月，针对5月西安讨论会中代表们提出的修改意见和建议，编制组开会讨论并作了相应实验收集数据，与相关单位进行了交流沟通，对讨论稿进行了修改，形成了征求意见稿。</w:t>
      </w:r>
    </w:p>
    <w:p>
      <w:pPr>
        <w:spacing w:line="360" w:lineRule="auto"/>
        <w:rPr>
          <w:rFonts w:ascii="黑体" w:eastAsia="黑体"/>
          <w:bCs/>
          <w:color w:val="auto"/>
          <w:szCs w:val="21"/>
          <w:highlight w:val="none"/>
        </w:rPr>
      </w:pPr>
      <w:r>
        <w:rPr>
          <w:rFonts w:hint="eastAsia"/>
          <w:bCs/>
          <w:color w:val="auto"/>
          <w:szCs w:val="21"/>
          <w:highlight w:val="none"/>
        </w:rPr>
        <w:t>二、</w:t>
      </w:r>
      <w:r>
        <w:rPr>
          <w:rFonts w:hint="eastAsia" w:ascii="黑体" w:hAnsi="宋体" w:eastAsia="黑体"/>
          <w:bCs/>
          <w:color w:val="auto"/>
          <w:szCs w:val="21"/>
          <w:highlight w:val="none"/>
        </w:rPr>
        <w:t>编制原则和依据</w:t>
      </w:r>
    </w:p>
    <w:p>
      <w:pPr>
        <w:pStyle w:val="11"/>
        <w:numPr>
          <w:ilvl w:val="0"/>
          <w:numId w:val="4"/>
        </w:numPr>
        <w:spacing w:after="0" w:line="360" w:lineRule="auto"/>
        <w:ind w:left="425" w:leftChars="0" w:hanging="425" w:firstLineChars="0"/>
        <w:rPr>
          <w:rFonts w:ascii="黑体" w:eastAsia="黑体"/>
          <w:bCs/>
          <w:color w:val="auto"/>
          <w:szCs w:val="21"/>
          <w:highlight w:val="none"/>
        </w:rPr>
      </w:pPr>
      <w:r>
        <w:rPr>
          <w:rFonts w:hint="eastAsia" w:ascii="黑体" w:hAnsi="宋体" w:eastAsia="黑体"/>
          <w:bCs/>
          <w:color w:val="auto"/>
          <w:szCs w:val="21"/>
          <w:highlight w:val="none"/>
        </w:rPr>
        <w:t>规范编制原则</w:t>
      </w:r>
    </w:p>
    <w:p>
      <w:pPr>
        <w:spacing w:line="360" w:lineRule="auto"/>
        <w:ind w:firstLine="435"/>
        <w:rPr>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w:t>
      </w:r>
      <w:r>
        <w:rPr>
          <w:rFonts w:hint="eastAsia" w:hAnsi="宋体"/>
          <w:bCs/>
          <w:color w:val="auto"/>
          <w:szCs w:val="21"/>
          <w:highlight w:val="none"/>
        </w:rPr>
        <w:t>该规范按照</w:t>
      </w:r>
      <w:r>
        <w:rPr>
          <w:bCs/>
          <w:color w:val="auto"/>
          <w:szCs w:val="21"/>
          <w:highlight w:val="none"/>
        </w:rPr>
        <w:t>JJF 1071-2010</w:t>
      </w:r>
      <w:r>
        <w:rPr>
          <w:rFonts w:hint="eastAsia" w:hAnsi="宋体"/>
          <w:bCs/>
          <w:color w:val="auto"/>
          <w:szCs w:val="21"/>
          <w:highlight w:val="none"/>
        </w:rPr>
        <w:t>《国家计量校准规范编写规则》、</w:t>
      </w:r>
      <w:r>
        <w:rPr>
          <w:bCs/>
          <w:color w:val="auto"/>
          <w:szCs w:val="21"/>
          <w:highlight w:val="none"/>
        </w:rPr>
        <w:t>JJF 1001</w:t>
      </w:r>
      <w:r>
        <w:rPr>
          <w:rFonts w:hint="eastAsia"/>
          <w:bCs/>
          <w:color w:val="auto"/>
          <w:szCs w:val="21"/>
          <w:highlight w:val="none"/>
          <w:lang w:val="en-US" w:eastAsia="zh-CN"/>
        </w:rPr>
        <w:t>-</w:t>
      </w:r>
      <w:r>
        <w:rPr>
          <w:bCs/>
          <w:color w:val="auto"/>
          <w:szCs w:val="21"/>
          <w:highlight w:val="none"/>
        </w:rPr>
        <w:t>2011</w:t>
      </w:r>
      <w:r>
        <w:rPr>
          <w:rFonts w:hint="eastAsia" w:hAnsi="宋体"/>
          <w:bCs/>
          <w:color w:val="auto"/>
          <w:szCs w:val="21"/>
          <w:highlight w:val="none"/>
        </w:rPr>
        <w:t>《通用计量术语及定义》和</w:t>
      </w:r>
      <w:r>
        <w:rPr>
          <w:bCs/>
          <w:color w:val="auto"/>
          <w:szCs w:val="21"/>
          <w:highlight w:val="none"/>
        </w:rPr>
        <w:t>JJF 1059.1</w:t>
      </w:r>
      <w:r>
        <w:rPr>
          <w:rFonts w:hint="eastAsia"/>
          <w:bCs/>
          <w:color w:val="auto"/>
          <w:szCs w:val="21"/>
          <w:highlight w:val="none"/>
          <w:lang w:val="en-US" w:eastAsia="zh-CN"/>
        </w:rPr>
        <w:t>-</w:t>
      </w:r>
      <w:r>
        <w:rPr>
          <w:bCs/>
          <w:color w:val="auto"/>
          <w:szCs w:val="21"/>
          <w:highlight w:val="none"/>
        </w:rPr>
        <w:t>2012</w:t>
      </w:r>
      <w:r>
        <w:rPr>
          <w:rFonts w:hint="eastAsia" w:hAnsi="宋体"/>
          <w:bCs/>
          <w:color w:val="auto"/>
          <w:szCs w:val="21"/>
          <w:highlight w:val="none"/>
        </w:rPr>
        <w:t>《测量不确定度评定与表示》编写。</w:t>
      </w:r>
    </w:p>
    <w:p>
      <w:pPr>
        <w:spacing w:line="360" w:lineRule="auto"/>
        <w:ind w:firstLine="420" w:firstLineChars="200"/>
        <w:rPr>
          <w:rFonts w:hint="eastAsia" w:ascii="宋体" w:hAnsi="宋体"/>
          <w:bCs/>
          <w:color w:val="auto"/>
          <w:szCs w:val="21"/>
          <w:highlight w:val="none"/>
        </w:rPr>
      </w:pPr>
      <w:r>
        <w:rPr>
          <w:bCs/>
          <w:color w:val="auto"/>
          <w:szCs w:val="21"/>
          <w:highlight w:val="none"/>
        </w:rPr>
        <w:t>2</w:t>
      </w:r>
      <w:r>
        <w:rPr>
          <w:rFonts w:hint="eastAsia" w:hAnsi="宋体"/>
          <w:bCs/>
          <w:color w:val="auto"/>
          <w:szCs w:val="21"/>
          <w:highlight w:val="none"/>
        </w:rPr>
        <w:t>）先进性：本规范</w:t>
      </w:r>
      <w:r>
        <w:rPr>
          <w:rFonts w:hint="eastAsia" w:hAnsi="宋体"/>
          <w:bCs/>
          <w:color w:val="auto"/>
          <w:szCs w:val="21"/>
          <w:highlight w:val="none"/>
          <w:lang w:val="en-US" w:eastAsia="zh-CN"/>
        </w:rPr>
        <w:t>参考了</w:t>
      </w:r>
      <w:r>
        <w:rPr>
          <w:rFonts w:hint="eastAsia" w:hAnsi="宋体"/>
          <w:bCs/>
          <w:color w:val="auto"/>
          <w:szCs w:val="21"/>
          <w:highlight w:val="none"/>
        </w:rPr>
        <w:t>GBT 3880.3-2012《一般工业用铝及铝合金板、带材第3部分：尺寸偏差》、GBT 3198-2020《铝及铝合金箔》的技术内容</w:t>
      </w:r>
      <w:r>
        <w:rPr>
          <w:rFonts w:hint="eastAsia" w:hAnsi="宋体"/>
          <w:bCs/>
          <w:color w:val="auto"/>
          <w:szCs w:val="21"/>
          <w:highlight w:val="none"/>
          <w:lang w:val="en-US" w:eastAsia="zh-CN"/>
        </w:rPr>
        <w:t>对铝板、带、箔产品尺寸的要求，提出了对在线测厚仪计量特性要求，</w:t>
      </w:r>
      <w:r>
        <w:rPr>
          <w:rFonts w:hint="eastAsia" w:ascii="宋体" w:hAnsi="宋体"/>
          <w:bCs/>
          <w:color w:val="auto"/>
          <w:szCs w:val="21"/>
          <w:highlight w:val="none"/>
        </w:rPr>
        <w:t>制订了基本原则和编制依据，</w:t>
      </w:r>
      <w:r>
        <w:rPr>
          <w:rFonts w:hint="eastAsia" w:hAnsi="宋体"/>
          <w:bCs/>
          <w:color w:val="auto"/>
          <w:szCs w:val="21"/>
          <w:highlight w:val="none"/>
          <w:lang w:val="en-US" w:eastAsia="zh-CN"/>
        </w:rPr>
        <w:t>可对非接触式测厚仪（穿透式测厚仪、</w:t>
      </w:r>
      <w:r>
        <w:rPr>
          <w:rFonts w:hint="eastAsia"/>
          <w:color w:val="auto"/>
          <w:szCs w:val="21"/>
          <w:highlight w:val="none"/>
          <w:lang w:val="en-US" w:eastAsia="zh-CN"/>
        </w:rPr>
        <w:t>激光</w:t>
      </w:r>
      <w:r>
        <w:rPr>
          <w:rFonts w:hint="eastAsia"/>
          <w:color w:val="auto"/>
          <w:szCs w:val="21"/>
          <w:highlight w:val="none"/>
        </w:rPr>
        <w:t>测厚仪</w:t>
      </w:r>
      <w:r>
        <w:rPr>
          <w:rFonts w:hint="eastAsia"/>
          <w:color w:val="auto"/>
          <w:szCs w:val="21"/>
          <w:highlight w:val="none"/>
          <w:lang w:eastAsia="zh-CN"/>
        </w:rPr>
        <w:t>）</w:t>
      </w:r>
      <w:r>
        <w:rPr>
          <w:rFonts w:hint="eastAsia"/>
          <w:color w:val="auto"/>
          <w:szCs w:val="21"/>
          <w:highlight w:val="none"/>
          <w:lang w:val="en-US" w:eastAsia="zh-CN"/>
        </w:rPr>
        <w:t>进行校准，</w:t>
      </w:r>
      <w:r>
        <w:rPr>
          <w:rFonts w:hint="eastAsia" w:ascii="宋体" w:hAnsi="宋体"/>
          <w:bCs/>
          <w:color w:val="auto"/>
          <w:szCs w:val="21"/>
          <w:highlight w:val="none"/>
          <w:lang w:val="en-US" w:eastAsia="zh-CN"/>
        </w:rPr>
        <w:t>解决了现有检定规程</w:t>
      </w:r>
      <w:r>
        <w:rPr>
          <w:rFonts w:hint="eastAsia" w:ascii="宋体" w:hAnsi="宋体"/>
          <w:bCs/>
          <w:color w:val="auto"/>
          <w:szCs w:val="21"/>
          <w:highlight w:val="none"/>
        </w:rPr>
        <w:t>JJG 480-2007《X射线测厚仪检定规程》</w:t>
      </w:r>
      <w:r>
        <w:rPr>
          <w:rFonts w:hint="eastAsia" w:ascii="宋体" w:hAnsi="宋体"/>
          <w:bCs/>
          <w:color w:val="auto"/>
          <w:szCs w:val="21"/>
          <w:highlight w:val="none"/>
          <w:lang w:val="en-US" w:eastAsia="zh-CN"/>
        </w:rPr>
        <w:t>计量要求不适合现有测厚仪的问题</w:t>
      </w:r>
      <w:r>
        <w:rPr>
          <w:rFonts w:hint="eastAsia" w:ascii="宋体" w:hAnsi="宋体"/>
          <w:bCs/>
          <w:color w:val="auto"/>
          <w:szCs w:val="21"/>
          <w:highlight w:val="none"/>
        </w:rPr>
        <w:t>。</w:t>
      </w:r>
    </w:p>
    <w:p>
      <w:pPr>
        <w:spacing w:line="360" w:lineRule="auto"/>
        <w:ind w:firstLine="420" w:firstLineChars="200"/>
        <w:rPr>
          <w:rFonts w:hint="default" w:ascii="宋体"/>
          <w:bCs/>
          <w:color w:val="auto"/>
          <w:szCs w:val="21"/>
          <w:highlight w:val="none"/>
          <w:lang w:val="en-US"/>
        </w:rPr>
      </w:pPr>
      <w:r>
        <w:rPr>
          <w:rFonts w:ascii="宋体" w:hAnsi="宋体"/>
          <w:bCs/>
          <w:color w:val="auto"/>
          <w:szCs w:val="21"/>
          <w:highlight w:val="none"/>
        </w:rPr>
        <w:t>3</w:t>
      </w:r>
      <w:r>
        <w:rPr>
          <w:rFonts w:hint="eastAsia" w:ascii="宋体" w:hAnsi="宋体"/>
          <w:bCs/>
          <w:color w:val="auto"/>
          <w:szCs w:val="21"/>
          <w:highlight w:val="none"/>
        </w:rPr>
        <w:t>）创新性：</w:t>
      </w:r>
      <w:r>
        <w:rPr>
          <w:rFonts w:hint="eastAsia" w:ascii="宋体" w:hAnsi="宋体"/>
          <w:bCs/>
          <w:color w:val="auto"/>
          <w:szCs w:val="21"/>
          <w:highlight w:val="none"/>
          <w:lang w:val="en-US" w:eastAsia="zh-CN"/>
        </w:rPr>
        <w:t>本规范对校准</w:t>
      </w:r>
      <w:r>
        <w:rPr>
          <w:rFonts w:hint="eastAsia" w:ascii="宋体" w:hAnsi="宋体"/>
          <w:bCs/>
          <w:color w:val="auto"/>
          <w:szCs w:val="21"/>
          <w:highlight w:val="none"/>
        </w:rPr>
        <w:t>铝板带在线测厚仪</w:t>
      </w:r>
      <w:r>
        <w:rPr>
          <w:rFonts w:hint="eastAsia" w:ascii="宋体" w:hAnsi="宋体"/>
          <w:bCs/>
          <w:color w:val="auto"/>
          <w:szCs w:val="21"/>
          <w:highlight w:val="none"/>
          <w:lang w:val="en-US" w:eastAsia="zh-CN"/>
        </w:rPr>
        <w:t>的标准厚度板的制作方法和计量要求进行了详细的描述。</w:t>
      </w:r>
    </w:p>
    <w:p>
      <w:pPr>
        <w:pStyle w:val="11"/>
        <w:numPr>
          <w:ilvl w:val="0"/>
          <w:numId w:val="4"/>
        </w:numPr>
        <w:spacing w:after="0" w:line="360" w:lineRule="auto"/>
        <w:ind w:left="425" w:leftChars="0" w:hanging="425" w:firstLineChars="0"/>
        <w:rPr>
          <w:rFonts w:ascii="黑体" w:hAnsi="宋体" w:eastAsia="黑体"/>
          <w:bCs/>
          <w:color w:val="auto"/>
          <w:szCs w:val="21"/>
          <w:highlight w:val="none"/>
        </w:rPr>
      </w:pPr>
      <w:r>
        <w:rPr>
          <w:rFonts w:hint="eastAsia" w:ascii="黑体" w:hAnsi="宋体" w:eastAsia="黑体"/>
          <w:bCs/>
          <w:color w:val="auto"/>
          <w:szCs w:val="21"/>
          <w:highlight w:val="none"/>
        </w:rPr>
        <w:t>制定规范主要内容的论据</w:t>
      </w:r>
    </w:p>
    <w:p>
      <w:pPr>
        <w:pStyle w:val="11"/>
        <w:numPr>
          <w:ilvl w:val="1"/>
          <w:numId w:val="4"/>
        </w:numPr>
        <w:spacing w:after="0" w:line="360" w:lineRule="auto"/>
        <w:ind w:left="567" w:leftChars="0" w:hanging="567" w:firstLineChars="0"/>
        <w:rPr>
          <w:rFonts w:ascii="黑体" w:hAnsi="黑体" w:eastAsia="黑体"/>
          <w:bCs/>
          <w:color w:val="auto"/>
          <w:szCs w:val="21"/>
          <w:highlight w:val="none"/>
        </w:rPr>
      </w:pPr>
      <w:r>
        <w:rPr>
          <w:rFonts w:hint="eastAsia" w:ascii="黑体" w:hAnsi="黑体" w:eastAsia="黑体"/>
          <w:bCs/>
          <w:color w:val="auto"/>
          <w:szCs w:val="21"/>
          <w:highlight w:val="none"/>
        </w:rPr>
        <w:t>范围</w:t>
      </w:r>
    </w:p>
    <w:p>
      <w:pPr>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本规范适用于铝板、带、箔在线测厚仪(以下简称测厚仪)的校准，其它材料板带在线测厚仪的校准可参照本规范执行</w:t>
      </w:r>
      <w:r>
        <w:rPr>
          <w:rFonts w:hint="eastAsia" w:ascii="宋体" w:hAnsi="宋体" w:cs="宋体"/>
          <w:bCs/>
          <w:color w:val="auto"/>
          <w:szCs w:val="21"/>
          <w:highlight w:val="none"/>
          <w:lang w:val="en-US" w:eastAsia="zh-CN"/>
        </w:rPr>
        <w:t>。</w:t>
      </w:r>
    </w:p>
    <w:p>
      <w:pPr>
        <w:spacing w:line="360" w:lineRule="auto"/>
        <w:ind w:firstLine="420" w:firstLineChars="200"/>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针对5月西安会议专家提出本规范是否适合对铝箔在线测厚仪问题，编制组成员会后分别与西南铝业（集团）有限责任公司、山东南山铝业股份有限公司、厦顺铝箔、云南浩鑫、霍尼韦尔、IMS公司交流了铝箔在线测厚仪校准及标准板溯源情况，一致做法是用已知面积的取样工具取样标准板、用称重法称取标准板重量计算得到标准板平均厚度，再用该标准板对铝箔测厚仪进行校准。因此本校准规范适用于对铝箔在线测厚仪进行校准。</w:t>
      </w: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hint="eastAsia" w:ascii="黑体" w:hAnsi="宋体" w:eastAsia="黑体"/>
          <w:bCs/>
          <w:color w:val="auto"/>
          <w:szCs w:val="21"/>
          <w:highlight w:val="none"/>
        </w:rPr>
        <w:t>引用文件</w:t>
      </w:r>
    </w:p>
    <w:p>
      <w:pPr>
        <w:adjustRightInd w:val="0"/>
        <w:snapToGrid w:val="0"/>
        <w:spacing w:line="360" w:lineRule="auto"/>
        <w:ind w:firstLine="210" w:firstLineChars="100"/>
        <w:rPr>
          <w:rFonts w:hint="default" w:hAnsi="宋体" w:eastAsia="宋体"/>
          <w:bCs/>
          <w:color w:val="auto"/>
          <w:szCs w:val="21"/>
          <w:highlight w:val="none"/>
          <w:lang w:val="en-US" w:eastAsia="zh-CN"/>
        </w:rPr>
      </w:pPr>
      <w:r>
        <w:rPr>
          <w:rFonts w:hint="eastAsia"/>
          <w:bCs/>
          <w:color w:val="auto"/>
          <w:szCs w:val="21"/>
          <w:highlight w:val="none"/>
        </w:rPr>
        <w:t xml:space="preserve"> </w:t>
      </w:r>
      <w:r>
        <w:rPr>
          <w:bCs/>
          <w:color w:val="auto"/>
          <w:szCs w:val="21"/>
          <w:highlight w:val="none"/>
        </w:rPr>
        <w:t xml:space="preserve"> </w:t>
      </w:r>
      <w:r>
        <w:rPr>
          <w:rFonts w:hint="eastAsia" w:hAnsi="宋体"/>
          <w:bCs/>
          <w:color w:val="auto"/>
          <w:szCs w:val="21"/>
          <w:highlight w:val="none"/>
        </w:rPr>
        <w:t>本规范</w:t>
      </w:r>
      <w:r>
        <w:rPr>
          <w:rFonts w:hint="eastAsia" w:hAnsi="宋体"/>
          <w:bCs/>
          <w:color w:val="auto"/>
          <w:szCs w:val="21"/>
          <w:highlight w:val="none"/>
          <w:lang w:val="en-US" w:eastAsia="zh-CN"/>
        </w:rPr>
        <w:t>引用了</w:t>
      </w:r>
      <w:r>
        <w:rPr>
          <w:rFonts w:hint="eastAsia" w:hAnsi="宋体"/>
          <w:bCs/>
          <w:color w:val="auto"/>
          <w:szCs w:val="21"/>
          <w:highlight w:val="none"/>
        </w:rPr>
        <w:t>JJG 480-2007 X射线测厚仪检定规程</w:t>
      </w:r>
      <w:r>
        <w:rPr>
          <w:rFonts w:hint="eastAsia" w:hAnsi="宋体"/>
          <w:bCs/>
          <w:color w:val="auto"/>
          <w:szCs w:val="21"/>
          <w:highlight w:val="none"/>
          <w:lang w:val="en-US" w:eastAsia="zh-CN"/>
        </w:rPr>
        <w:t>。</w:t>
      </w: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hint="eastAsia" w:ascii="黑体" w:hAnsi="宋体" w:eastAsia="黑体"/>
          <w:bCs/>
          <w:color w:val="auto"/>
          <w:szCs w:val="21"/>
          <w:highlight w:val="none"/>
        </w:rPr>
        <w:t>概述</w:t>
      </w:r>
    </w:p>
    <w:p>
      <w:pPr>
        <w:adjustRightInd w:val="0"/>
        <w:snapToGrid w:val="0"/>
        <w:spacing w:line="360" w:lineRule="auto"/>
        <w:ind w:firstLine="420" w:firstLineChars="200"/>
        <w:rPr>
          <w:rFonts w:hint="eastAsia"/>
          <w:color w:val="auto"/>
          <w:highlight w:val="none"/>
          <w:lang w:val="en-US" w:eastAsia="zh-CN"/>
        </w:rPr>
      </w:pPr>
      <w:r>
        <w:rPr>
          <w:rFonts w:hint="eastAsia" w:hAnsi="宋体" w:cs="Times New Roman"/>
          <w:bCs/>
          <w:color w:val="auto"/>
          <w:szCs w:val="21"/>
          <w:highlight w:val="none"/>
          <w:lang w:val="en-US" w:eastAsia="zh-CN"/>
        </w:rPr>
        <w:t>针对5月西安会议专家提出本规范概述不详细问题</w:t>
      </w:r>
      <w:r>
        <w:rPr>
          <w:rFonts w:hint="eastAsia" w:ascii="Times New Roman" w:hAnsi="宋体" w:cs="Times New Roman"/>
          <w:bCs/>
          <w:color w:val="auto"/>
          <w:szCs w:val="21"/>
          <w:highlight w:val="none"/>
          <w:lang w:val="en-US" w:eastAsia="zh-CN"/>
        </w:rPr>
        <w:t>。</w:t>
      </w:r>
      <w:r>
        <w:rPr>
          <w:rFonts w:hint="eastAsia" w:hAnsi="宋体" w:cs="Times New Roman"/>
          <w:bCs/>
          <w:color w:val="auto"/>
          <w:szCs w:val="21"/>
          <w:highlight w:val="none"/>
          <w:lang w:val="en-US" w:eastAsia="zh-CN"/>
        </w:rPr>
        <w:t>编制组成员与</w:t>
      </w:r>
      <w:r>
        <w:rPr>
          <w:rFonts w:hint="eastAsia"/>
          <w:color w:val="auto"/>
          <w:highlight w:val="none"/>
          <w:lang w:val="en-US" w:eastAsia="zh-CN"/>
        </w:rPr>
        <w:t>基恩士（中国）有限公司、深圳市凤鸣亮科技有限公司、霍尼韦尔中国、IMS公司分别交流了穿透式测厚仪和激光测厚仪的工作原理、适用范围、测量精度等。根据交流沟通结果，对概述进行了重新描述，如下：</w:t>
      </w:r>
    </w:p>
    <w:p>
      <w:pPr>
        <w:pStyle w:val="20"/>
        <w:spacing w:line="360" w:lineRule="auto"/>
        <w:ind w:firstLine="42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铝板、带、箔厚度在线检测需要采用非接触方式，常用的方法主要有同位素检测、X射线检测、激光检测等。</w:t>
      </w:r>
    </w:p>
    <w:p>
      <w:pPr>
        <w:pStyle w:val="20"/>
        <w:spacing w:line="360" w:lineRule="auto"/>
        <w:ind w:firstLine="42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同位素检测、X射线检测应用穿透式检测原理，主要由射线源、探头、数据处理控制器等组成，测厚仪的射线源和探头分别置于C型架中被测铝板、带、箔的上、下方，利用射线穿透被测铝材时，一部分射线被铝材吸收，另一部分穿过铝材进入探头接收。数据处理器根据探头接收射线强度的衰减变化与材料厚度相关的特性，计算出铝材厚度，穿透式测厚仪常用于测量精度要求高、相同材料的轧制生产。</w:t>
      </w:r>
    </w:p>
    <w:p>
      <w:pPr>
        <w:adjustRightInd w:val="0"/>
        <w:snapToGrid w:val="0"/>
        <w:spacing w:line="360" w:lineRule="auto"/>
        <w:ind w:firstLine="420" w:firstLineChars="200"/>
        <w:rPr>
          <w:rFonts w:hint="eastAsia" w:ascii="Times New Roman" w:hAnsi="宋体" w:cs="Times New Roman"/>
          <w:bCs/>
          <w:color w:val="auto"/>
          <w:szCs w:val="21"/>
          <w:highlight w:val="none"/>
          <w:lang w:val="en-US" w:eastAsia="zh-CN"/>
        </w:rPr>
      </w:pPr>
      <w:r>
        <w:rPr>
          <w:rFonts w:hint="eastAsia" w:ascii="宋体" w:hAnsi="宋体" w:eastAsia="宋体" w:cs="宋体"/>
          <w:bCs/>
          <w:color w:val="auto"/>
          <w:kern w:val="2"/>
          <w:sz w:val="21"/>
          <w:szCs w:val="21"/>
          <w:highlight w:val="none"/>
          <w:lang w:val="en-US" w:eastAsia="zh-CN" w:bidi="ar-SA"/>
        </w:rPr>
        <w:t>激光测厚仪主要由激光器、透镜、CCD光电</w:t>
      </w:r>
      <w:r>
        <w:rPr>
          <w:rFonts w:hint="eastAsia" w:ascii="宋体" w:hAnsi="宋体" w:eastAsia="宋体" w:cs="宋体"/>
          <w:bCs/>
          <w:color w:val="auto"/>
          <w:kern w:val="2"/>
          <w:sz w:val="21"/>
          <w:szCs w:val="21"/>
          <w:highlight w:val="none"/>
          <w:lang w:val="en-US" w:eastAsia="zh-CN" w:bidi="ar-SA"/>
        </w:rPr>
        <w:t>转换器、控制与信号处理器等组成，上下激光测厚仪的激光器将激光束分别打在被测物的上下表面，形成两个光斑，光斑漫反射成像到CCD光电转换部件上，测厚仪利用三角测量原理，计算出发射接收器到被测物表面的距离，控制与信号处理器再根据上下发射接收器到被测物表面的距离，计算得到被测物的厚度。激光测厚仪常用于测量精度要求一般以及复合材料的轧制生产。</w:t>
      </w: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hint="eastAsia" w:ascii="黑体" w:hAnsi="宋体" w:eastAsia="黑体"/>
          <w:bCs/>
          <w:color w:val="auto"/>
          <w:szCs w:val="21"/>
          <w:highlight w:val="none"/>
        </w:rPr>
        <w:t>计量特性</w:t>
      </w:r>
    </w:p>
    <w:p>
      <w:pPr>
        <w:adjustRightInd w:val="0"/>
        <w:snapToGrid w:val="0"/>
        <w:spacing w:line="360" w:lineRule="auto"/>
        <w:ind w:firstLine="420" w:firstLineChars="200"/>
        <w:rPr>
          <w:rFonts w:hint="eastAsia" w:ascii="Times New Roman" w:hAnsi="宋体" w:cs="Times New Roman"/>
          <w:bCs/>
          <w:color w:val="auto"/>
          <w:szCs w:val="21"/>
          <w:highlight w:val="none"/>
          <w:lang w:val="en-US" w:eastAsia="zh-CN"/>
        </w:rPr>
      </w:pPr>
      <w:r>
        <w:rPr>
          <w:rFonts w:hint="eastAsia" w:ascii="Times New Roman" w:hAnsi="宋体" w:cs="Times New Roman"/>
          <w:bCs/>
          <w:color w:val="auto"/>
          <w:szCs w:val="21"/>
          <w:highlight w:val="none"/>
          <w:lang w:val="en-US" w:eastAsia="zh-CN"/>
        </w:rPr>
        <w:t>仪表的计量特性主要为重复性、示值误差</w:t>
      </w:r>
      <w:r>
        <w:rPr>
          <w:rFonts w:hint="eastAsia" w:hAnsi="宋体" w:cs="Times New Roman"/>
          <w:bCs/>
          <w:color w:val="auto"/>
          <w:szCs w:val="21"/>
          <w:highlight w:val="none"/>
          <w:lang w:val="en-US" w:eastAsia="zh-CN"/>
        </w:rPr>
        <w:t>、示值漂移</w:t>
      </w:r>
      <w:r>
        <w:rPr>
          <w:rFonts w:hint="eastAsia" w:ascii="Times New Roman" w:hAnsi="宋体" w:cs="Times New Roman"/>
          <w:bCs/>
          <w:color w:val="auto"/>
          <w:szCs w:val="21"/>
          <w:highlight w:val="none"/>
          <w:lang w:val="en-US" w:eastAsia="zh-CN"/>
        </w:rPr>
        <w:t>。</w:t>
      </w:r>
    </w:p>
    <w:p>
      <w:pPr>
        <w:adjustRightInd w:val="0"/>
        <w:snapToGrid w:val="0"/>
        <w:spacing w:line="360" w:lineRule="auto"/>
        <w:ind w:firstLine="420" w:firstLineChars="200"/>
        <w:rPr>
          <w:rFonts w:hint="eastAsia" w:hAnsi="宋体" w:cs="Times New Roman"/>
          <w:bCs/>
          <w:color w:val="auto"/>
          <w:szCs w:val="21"/>
          <w:highlight w:val="none"/>
          <w:lang w:val="en-US" w:eastAsia="zh-CN"/>
        </w:rPr>
      </w:pPr>
      <w:r>
        <w:rPr>
          <w:rFonts w:hint="eastAsia" w:hAnsi="宋体" w:cs="Times New Roman"/>
          <w:bCs/>
          <w:color w:val="auto"/>
          <w:szCs w:val="21"/>
          <w:highlight w:val="none"/>
          <w:lang w:val="en-US" w:eastAsia="zh-CN"/>
        </w:rPr>
        <w:t>本规范重复性、示值误差计量特性的提出，是根据GBT 3880.3-2012《一般工业用铝及铝合金板、带材第3部分：尺寸偏差》、GBT 3198-2020《铝及铝合金箔》对铝板、带、箔产品尺寸公差要求，采用至少1/3原则，提出了对测厚仪的计量特性技术要求。</w:t>
      </w:r>
    </w:p>
    <w:tbl>
      <w:tblPr>
        <w:tblStyle w:val="15"/>
        <w:tblpPr w:leftFromText="180" w:rightFromText="180" w:vertAnchor="text" w:horzAnchor="page" w:tblpX="1562" w:tblpY="65"/>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3764"/>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98" w:type="dxa"/>
            <w:tcBorders>
              <w:tl2br w:val="nil"/>
              <w:tr2bl w:val="nil"/>
            </w:tcBorders>
            <w:vAlign w:val="center"/>
          </w:tcPr>
          <w:p>
            <w:pPr>
              <w:jc w:val="center"/>
              <w:rPr>
                <w:rStyle w:val="46"/>
                <w:rFonts w:hint="default"/>
                <w:color w:val="auto"/>
                <w:highlight w:val="none"/>
                <w:lang w:val="en-US" w:eastAsia="zh-CN"/>
              </w:rPr>
            </w:pPr>
            <w:r>
              <w:rPr>
                <w:rStyle w:val="46"/>
                <w:rFonts w:hint="eastAsia"/>
                <w:color w:val="auto"/>
                <w:highlight w:val="none"/>
                <w:lang w:val="en-US" w:eastAsia="zh-CN"/>
              </w:rPr>
              <w:t>测量范围</w:t>
            </w:r>
          </w:p>
        </w:tc>
        <w:tc>
          <w:tcPr>
            <w:tcW w:w="3764" w:type="dxa"/>
            <w:tcBorders>
              <w:tl2br w:val="nil"/>
              <w:tr2bl w:val="nil"/>
            </w:tcBorders>
            <w:vAlign w:val="center"/>
          </w:tcPr>
          <w:p>
            <w:pPr>
              <w:jc w:val="center"/>
              <w:rPr>
                <w:rStyle w:val="46"/>
                <w:rFonts w:hint="eastAsia"/>
                <w:color w:val="auto"/>
                <w:highlight w:val="none"/>
              </w:rPr>
            </w:pPr>
            <w:r>
              <w:rPr>
                <w:rStyle w:val="46"/>
                <w:rFonts w:hint="eastAsia"/>
                <w:color w:val="auto"/>
                <w:highlight w:val="none"/>
              </w:rPr>
              <w:t>示值最大允许误差</w:t>
            </w:r>
          </w:p>
        </w:tc>
        <w:tc>
          <w:tcPr>
            <w:tcW w:w="3353" w:type="dxa"/>
            <w:tcBorders>
              <w:tl2br w:val="nil"/>
              <w:tr2bl w:val="nil"/>
            </w:tcBorders>
            <w:vAlign w:val="center"/>
          </w:tcPr>
          <w:p>
            <w:pPr>
              <w:jc w:val="center"/>
              <w:rPr>
                <w:rStyle w:val="46"/>
                <w:rFonts w:hint="eastAsia"/>
                <w:color w:val="auto"/>
                <w:highlight w:val="none"/>
                <w:lang w:eastAsia="zh-CN"/>
              </w:rPr>
            </w:pPr>
            <w:r>
              <w:rPr>
                <w:rStyle w:val="46"/>
                <w:rFonts w:hint="eastAsia"/>
                <w:color w:val="auto"/>
                <w:highlight w:val="none"/>
                <w:lang w:eastAsia="zh-CN"/>
              </w:rPr>
              <w:t>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98" w:type="dxa"/>
            <w:tcBorders>
              <w:tl2br w:val="nil"/>
              <w:tr2bl w:val="nil"/>
            </w:tcBorders>
            <w:vAlign w:val="center"/>
          </w:tcPr>
          <w:p>
            <w:pPr>
              <w:jc w:val="center"/>
              <w:rPr>
                <w:rStyle w:val="46"/>
                <w:rFonts w:hint="eastAsia"/>
                <w:color w:val="auto"/>
                <w:highlight w:val="none"/>
                <w:lang w:val="en-US" w:eastAsia="zh-CN"/>
              </w:rPr>
            </w:pPr>
            <w:r>
              <w:rPr>
                <w:rStyle w:val="46"/>
                <w:rFonts w:hint="default" w:ascii="Arial" w:hAnsi="Arial" w:cs="Arial"/>
                <w:strike w:val="0"/>
                <w:dstrike w:val="0"/>
                <w:color w:val="auto"/>
                <w:highlight w:val="none"/>
                <w:lang w:val="en-US" w:eastAsia="zh-CN"/>
              </w:rPr>
              <w:t>≤</w:t>
            </w:r>
            <w:r>
              <w:rPr>
                <w:rStyle w:val="46"/>
                <w:rFonts w:hint="eastAsia"/>
                <w:color w:val="auto"/>
                <w:highlight w:val="none"/>
                <w:lang w:val="en-US" w:eastAsia="zh-CN"/>
              </w:rPr>
              <w:t xml:space="preserve">0.2000 </w:t>
            </w:r>
            <w:r>
              <w:rPr>
                <w:rStyle w:val="46"/>
                <w:rFonts w:hint="default"/>
                <w:color w:val="auto"/>
                <w:highlight w:val="none"/>
                <w:lang w:val="en-US" w:eastAsia="zh-CN"/>
              </w:rPr>
              <w:t>mm</w:t>
            </w:r>
          </w:p>
        </w:tc>
        <w:tc>
          <w:tcPr>
            <w:tcW w:w="3764" w:type="dxa"/>
            <w:tcBorders>
              <w:tl2br w:val="nil"/>
              <w:tr2bl w:val="nil"/>
            </w:tcBorders>
            <w:vAlign w:val="center"/>
          </w:tcPr>
          <w:p>
            <w:pPr>
              <w:jc w:val="center"/>
              <w:rPr>
                <w:rStyle w:val="46"/>
                <w:rFonts w:hint="eastAsia"/>
                <w:color w:val="auto"/>
                <w:highlight w:val="none"/>
              </w:rPr>
            </w:pPr>
            <w:r>
              <w:rPr>
                <w:rStyle w:val="46"/>
                <w:rFonts w:hint="eastAsia"/>
                <w:color w:val="auto"/>
                <w:highlight w:val="none"/>
                <w:lang w:val="en-US" w:eastAsia="zh-CN"/>
              </w:rPr>
              <w:t>±1.5%读数或±0.1</w:t>
            </w:r>
            <w:r>
              <w:rPr>
                <w:rStyle w:val="46"/>
                <w:rFonts w:hint="default"/>
                <w:color w:val="auto"/>
                <w:highlight w:val="none"/>
                <w:lang w:val="en-US" w:eastAsia="zh-CN"/>
              </w:rPr>
              <w:t>μm</w:t>
            </w:r>
            <w:r>
              <w:rPr>
                <w:rStyle w:val="46"/>
                <w:rFonts w:hint="eastAsia"/>
                <w:color w:val="auto"/>
                <w:highlight w:val="none"/>
                <w:lang w:val="en-US" w:eastAsia="zh-CN"/>
              </w:rPr>
              <w:t>，二者取大值</w:t>
            </w:r>
          </w:p>
        </w:tc>
        <w:tc>
          <w:tcPr>
            <w:tcW w:w="3353" w:type="dxa"/>
            <w:tcBorders>
              <w:tl2br w:val="nil"/>
              <w:tr2bl w:val="nil"/>
            </w:tcBorders>
            <w:vAlign w:val="center"/>
          </w:tcPr>
          <w:p>
            <w:pPr>
              <w:jc w:val="center"/>
              <w:rPr>
                <w:rStyle w:val="46"/>
                <w:rFonts w:hint="eastAsia"/>
                <w:color w:val="auto"/>
                <w:highlight w:val="none"/>
                <w:lang w:val="en-US" w:eastAsia="zh-CN"/>
              </w:rPr>
            </w:pPr>
            <w:r>
              <w:rPr>
                <w:rStyle w:val="46"/>
                <w:rFonts w:hint="eastAsia"/>
                <w:color w:val="auto"/>
                <w:highlight w:val="none"/>
                <w:lang w:val="en-US" w:eastAsia="zh-CN"/>
              </w:rPr>
              <w:t>0.75%读数或0.1</w:t>
            </w:r>
            <w:r>
              <w:rPr>
                <w:rStyle w:val="46"/>
                <w:rFonts w:hint="default"/>
                <w:color w:val="auto"/>
                <w:highlight w:val="none"/>
                <w:lang w:val="en-US" w:eastAsia="zh-CN"/>
              </w:rPr>
              <w:t>μm</w:t>
            </w:r>
            <w:r>
              <w:rPr>
                <w:rStyle w:val="46"/>
                <w:rFonts w:hint="eastAsia"/>
                <w:color w:val="auto"/>
                <w:highlight w:val="none"/>
                <w:lang w:val="en-US" w:eastAsia="zh-CN"/>
              </w:rPr>
              <w:t>，二者取大值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98" w:type="dxa"/>
            <w:tcBorders>
              <w:tl2br w:val="nil"/>
              <w:tr2bl w:val="nil"/>
            </w:tcBorders>
            <w:vAlign w:val="center"/>
          </w:tcPr>
          <w:p>
            <w:pPr>
              <w:jc w:val="center"/>
              <w:rPr>
                <w:rStyle w:val="46"/>
                <w:rFonts w:hint="eastAsia"/>
                <w:color w:val="auto"/>
                <w:highlight w:val="none"/>
                <w:lang w:val="en-US" w:eastAsia="zh-CN"/>
              </w:rPr>
            </w:pPr>
            <w:r>
              <w:rPr>
                <w:rStyle w:val="46"/>
                <w:rFonts w:hint="eastAsia"/>
                <w:color w:val="auto"/>
                <w:highlight w:val="none"/>
                <w:lang w:val="en-US" w:eastAsia="zh-CN"/>
              </w:rPr>
              <w:t xml:space="preserve">&gt;0.2000 </w:t>
            </w:r>
            <w:r>
              <w:rPr>
                <w:rStyle w:val="46"/>
                <w:rFonts w:hint="default"/>
                <w:color w:val="auto"/>
                <w:highlight w:val="none"/>
                <w:lang w:val="en-US" w:eastAsia="zh-CN"/>
              </w:rPr>
              <w:t>mm</w:t>
            </w:r>
          </w:p>
        </w:tc>
        <w:tc>
          <w:tcPr>
            <w:tcW w:w="3764" w:type="dxa"/>
            <w:tcBorders>
              <w:tl2br w:val="nil"/>
              <w:tr2bl w:val="nil"/>
            </w:tcBorders>
            <w:vAlign w:val="center"/>
          </w:tcPr>
          <w:p>
            <w:pPr>
              <w:jc w:val="center"/>
              <w:rPr>
                <w:rStyle w:val="46"/>
                <w:rFonts w:hint="eastAsia"/>
                <w:color w:val="auto"/>
                <w:highlight w:val="none"/>
              </w:rPr>
            </w:pPr>
            <w:r>
              <w:rPr>
                <w:rStyle w:val="46"/>
                <w:rFonts w:hint="eastAsia"/>
                <w:color w:val="auto"/>
                <w:highlight w:val="none"/>
                <w:lang w:val="en-US" w:eastAsia="zh-CN"/>
              </w:rPr>
              <w:t>±0.5%读数或±3</w:t>
            </w:r>
            <w:r>
              <w:rPr>
                <w:rStyle w:val="46"/>
                <w:rFonts w:hint="default"/>
                <w:color w:val="auto"/>
                <w:highlight w:val="none"/>
                <w:lang w:val="en-US" w:eastAsia="zh-CN"/>
              </w:rPr>
              <w:t>μm</w:t>
            </w:r>
            <w:r>
              <w:rPr>
                <w:rStyle w:val="46"/>
                <w:rFonts w:hint="eastAsia"/>
                <w:color w:val="auto"/>
                <w:highlight w:val="none"/>
                <w:lang w:val="en-US" w:eastAsia="zh-CN"/>
              </w:rPr>
              <w:t>，二者取大值</w:t>
            </w:r>
          </w:p>
        </w:tc>
        <w:tc>
          <w:tcPr>
            <w:tcW w:w="3353" w:type="dxa"/>
            <w:tcBorders>
              <w:tl2br w:val="nil"/>
              <w:tr2bl w:val="nil"/>
            </w:tcBorders>
            <w:vAlign w:val="center"/>
          </w:tcPr>
          <w:p>
            <w:pPr>
              <w:jc w:val="center"/>
              <w:rPr>
                <w:rStyle w:val="46"/>
                <w:rFonts w:hint="eastAsia"/>
                <w:color w:val="auto"/>
                <w:highlight w:val="none"/>
                <w:lang w:val="en-US" w:eastAsia="zh-CN"/>
              </w:rPr>
            </w:pPr>
            <w:r>
              <w:rPr>
                <w:rStyle w:val="46"/>
                <w:rFonts w:hint="eastAsia"/>
                <w:color w:val="auto"/>
                <w:highlight w:val="none"/>
                <w:lang w:val="en-US" w:eastAsia="zh-CN"/>
              </w:rPr>
              <w:t>0.25%读数或3</w:t>
            </w:r>
            <w:r>
              <w:rPr>
                <w:rStyle w:val="46"/>
                <w:rFonts w:hint="default"/>
                <w:color w:val="auto"/>
                <w:highlight w:val="none"/>
                <w:lang w:val="en-US" w:eastAsia="zh-CN"/>
              </w:rPr>
              <w:t>μm</w:t>
            </w:r>
            <w:r>
              <w:rPr>
                <w:rStyle w:val="46"/>
                <w:rFonts w:hint="eastAsia"/>
                <w:color w:val="auto"/>
                <w:highlight w:val="none"/>
                <w:lang w:val="en-US" w:eastAsia="zh-CN"/>
              </w:rPr>
              <w:t>，二者取大值</w:t>
            </w:r>
          </w:p>
        </w:tc>
      </w:tr>
    </w:tbl>
    <w:p>
      <w:pPr>
        <w:adjustRightInd w:val="0"/>
        <w:snapToGrid w:val="0"/>
        <w:spacing w:line="360" w:lineRule="auto"/>
        <w:ind w:firstLine="420" w:firstLineChars="200"/>
        <w:rPr>
          <w:rFonts w:hint="eastAsia" w:hAnsi="宋体" w:cs="Times New Roman"/>
          <w:bCs/>
          <w:color w:val="auto"/>
          <w:szCs w:val="21"/>
          <w:highlight w:val="none"/>
          <w:lang w:val="en-US" w:eastAsia="zh-CN"/>
        </w:rPr>
      </w:pPr>
      <w:r>
        <w:rPr>
          <w:rFonts w:hint="eastAsia" w:hAnsi="宋体" w:cs="Times New Roman"/>
          <w:bCs/>
          <w:color w:val="auto"/>
          <w:szCs w:val="21"/>
          <w:highlight w:val="none"/>
          <w:lang w:val="en-US" w:eastAsia="zh-CN"/>
        </w:rPr>
        <w:t>示值漂移计量特性，引用于JJG 480-2007《X射线测厚仪检定规程》。</w:t>
      </w:r>
    </w:p>
    <w:p>
      <w:pPr>
        <w:adjustRightInd w:val="0"/>
        <w:snapToGrid w:val="0"/>
        <w:spacing w:line="360" w:lineRule="auto"/>
        <w:ind w:firstLine="420" w:firstLineChars="200"/>
        <w:rPr>
          <w:rFonts w:hint="default" w:hAnsi="宋体" w:cs="Times New Roman"/>
          <w:bCs/>
          <w:color w:val="auto"/>
          <w:szCs w:val="21"/>
          <w:highlight w:val="none"/>
          <w:lang w:val="en-US" w:eastAsia="zh-CN"/>
        </w:rPr>
      </w:pPr>
      <w:r>
        <w:rPr>
          <w:rFonts w:hint="default" w:hAnsi="宋体" w:cs="Times New Roman"/>
          <w:bCs/>
          <w:color w:val="auto"/>
          <w:szCs w:val="21"/>
          <w:highlight w:val="none"/>
          <w:lang w:val="en-US" w:eastAsia="zh-CN"/>
        </w:rPr>
        <w:t>针对5月西安会议专家提出测厚仪</w:t>
      </w:r>
      <w:r>
        <w:rPr>
          <w:rFonts w:hint="eastAsia" w:hAnsi="宋体" w:cs="Times New Roman"/>
          <w:bCs/>
          <w:color w:val="auto"/>
          <w:szCs w:val="21"/>
          <w:highlight w:val="none"/>
          <w:lang w:val="en-US" w:eastAsia="zh-CN"/>
        </w:rPr>
        <w:t>有用于生产大于6mm铝板，将讨论稿</w:t>
      </w:r>
      <w:r>
        <w:rPr>
          <w:rFonts w:hint="default" w:hAnsi="宋体" w:cs="Times New Roman"/>
          <w:bCs/>
          <w:color w:val="auto"/>
          <w:szCs w:val="21"/>
          <w:highlight w:val="none"/>
          <w:lang w:val="en-US" w:eastAsia="zh-CN"/>
        </w:rPr>
        <w:t>表1</w:t>
      </w:r>
      <w:r>
        <w:rPr>
          <w:rFonts w:hint="eastAsia" w:hAnsi="宋体" w:cs="Times New Roman"/>
          <w:bCs/>
          <w:color w:val="auto"/>
          <w:szCs w:val="21"/>
          <w:highlight w:val="none"/>
          <w:lang w:val="en-US" w:eastAsia="zh-CN"/>
        </w:rPr>
        <w:t>测量范围</w:t>
      </w:r>
      <w:r>
        <w:rPr>
          <w:rFonts w:hint="default" w:hAnsi="宋体" w:cs="Times New Roman"/>
          <w:bCs/>
          <w:color w:val="auto"/>
          <w:szCs w:val="21"/>
          <w:highlight w:val="none"/>
          <w:lang w:val="en-US" w:eastAsia="zh-CN"/>
        </w:rPr>
        <w:t>中的</w:t>
      </w:r>
      <w:r>
        <w:rPr>
          <w:rFonts w:hint="eastAsia" w:hAnsi="宋体" w:cs="Times New Roman"/>
          <w:bCs/>
          <w:color w:val="auto"/>
          <w:szCs w:val="21"/>
          <w:highlight w:val="none"/>
          <w:lang w:val="en-US" w:eastAsia="zh-CN"/>
        </w:rPr>
        <w:t>“</w:t>
      </w:r>
      <w:r>
        <w:rPr>
          <w:rFonts w:hint="default" w:hAnsi="宋体" w:cs="Times New Roman"/>
          <w:bCs/>
          <w:color w:val="auto"/>
          <w:szCs w:val="21"/>
          <w:highlight w:val="none"/>
          <w:lang w:val="en-US" w:eastAsia="zh-CN"/>
        </w:rPr>
        <w:t>（&gt;0.2000~6.0000）mm</w:t>
      </w:r>
      <w:r>
        <w:rPr>
          <w:rFonts w:hint="eastAsia" w:hAnsi="宋体" w:cs="Times New Roman"/>
          <w:bCs/>
          <w:color w:val="auto"/>
          <w:szCs w:val="21"/>
          <w:highlight w:val="none"/>
          <w:lang w:val="en-US" w:eastAsia="zh-CN"/>
        </w:rPr>
        <w:t>”修改为“&gt;0.2000 mm”。</w:t>
      </w: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hint="eastAsia" w:ascii="黑体" w:hAnsi="宋体" w:eastAsia="黑体"/>
          <w:bCs/>
          <w:color w:val="auto"/>
          <w:szCs w:val="21"/>
          <w:highlight w:val="none"/>
        </w:rPr>
        <w:t>校准条件</w:t>
      </w:r>
    </w:p>
    <w:p>
      <w:pPr>
        <w:spacing w:line="360" w:lineRule="auto"/>
        <w:ind w:firstLine="420" w:firstLineChars="200"/>
        <w:rPr>
          <w:rStyle w:val="46"/>
          <w:rFonts w:hint="eastAsia"/>
          <w:color w:val="auto"/>
          <w:highlight w:val="none"/>
          <w:lang w:val="en-US" w:eastAsia="zh-CN"/>
        </w:rPr>
      </w:pPr>
      <w:r>
        <w:rPr>
          <w:rFonts w:hint="eastAsia"/>
          <w:bCs/>
          <w:color w:val="auto"/>
          <w:highlight w:val="none"/>
          <w:lang w:val="en-US" w:eastAsia="zh-CN"/>
        </w:rPr>
        <w:t>校准条件包括校准用计量标准、校准环境条件和其它条件，为了使穿透式在线测厚仪的漏射线不影响工作人员身体健康，规范要求漏射线最大剂量当量率应符合有关规定；为使测量结果具有尽可能小的不确定度，需要具备一定准确度要求的计量标准以满足用户对测量不确定度的要求、能覆盖被校设备实际校准范围。本规范是按上述原则确定校准条件的。</w:t>
      </w: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ascii="黑体" w:eastAsia="黑体"/>
          <w:bCs/>
          <w:color w:val="auto"/>
          <w:szCs w:val="21"/>
          <w:highlight w:val="none"/>
        </w:rPr>
        <w:t xml:space="preserve"> </w:t>
      </w:r>
      <w:r>
        <w:rPr>
          <w:rFonts w:hint="eastAsia" w:ascii="黑体" w:hAnsi="宋体" w:eastAsia="黑体"/>
          <w:bCs/>
          <w:color w:val="auto"/>
          <w:szCs w:val="21"/>
          <w:highlight w:val="none"/>
        </w:rPr>
        <w:t>校准项目和校准方法</w:t>
      </w:r>
    </w:p>
    <w:p>
      <w:pPr>
        <w:adjustRightInd w:val="0"/>
        <w:snapToGrid w:val="0"/>
        <w:spacing w:line="360" w:lineRule="auto"/>
        <w:ind w:firstLine="420" w:firstLineChars="200"/>
        <w:rPr>
          <w:rFonts w:hint="eastAsia" w:ascii="黑体" w:hAnsi="宋体"/>
          <w:bCs/>
          <w:color w:val="auto"/>
          <w:szCs w:val="21"/>
          <w:highlight w:val="none"/>
          <w:lang w:val="en-US" w:eastAsia="zh-CN"/>
        </w:rPr>
      </w:pPr>
      <w:r>
        <w:rPr>
          <w:rFonts w:hint="eastAsia" w:ascii="黑体" w:hAnsi="宋体"/>
          <w:bCs/>
          <w:color w:val="auto"/>
          <w:szCs w:val="21"/>
          <w:highlight w:val="none"/>
          <w:lang w:val="en-US" w:eastAsia="zh-CN"/>
        </w:rPr>
        <w:t>1）关于校准项目</w:t>
      </w:r>
    </w:p>
    <w:p>
      <w:pPr>
        <w:adjustRightInd w:val="0"/>
        <w:snapToGrid w:val="0"/>
        <w:spacing w:line="360" w:lineRule="auto"/>
        <w:ind w:firstLine="420" w:firstLineChars="200"/>
        <w:rPr>
          <w:rFonts w:hint="eastAsia" w:ascii="黑体" w:hAnsi="宋体"/>
          <w:bCs/>
          <w:color w:val="auto"/>
          <w:szCs w:val="21"/>
          <w:highlight w:val="none"/>
          <w:lang w:val="en-US" w:eastAsia="zh-CN"/>
        </w:rPr>
      </w:pPr>
      <w:r>
        <w:rPr>
          <w:rFonts w:hint="eastAsia" w:ascii="黑体" w:hAnsi="宋体"/>
          <w:bCs/>
          <w:color w:val="auto"/>
          <w:szCs w:val="21"/>
          <w:highlight w:val="none"/>
          <w:lang w:val="en-US" w:eastAsia="zh-CN"/>
        </w:rPr>
        <w:t>校准项目：重复性、示值误差、示值漂移。</w:t>
      </w:r>
    </w:p>
    <w:p>
      <w:pPr>
        <w:numPr>
          <w:ilvl w:val="0"/>
          <w:numId w:val="5"/>
        </w:numPr>
        <w:adjustRightInd w:val="0"/>
        <w:snapToGrid w:val="0"/>
        <w:spacing w:line="360" w:lineRule="auto"/>
        <w:ind w:firstLine="420" w:firstLineChars="200"/>
        <w:rPr>
          <w:rFonts w:hint="eastAsia" w:ascii="黑体" w:hAnsi="宋体"/>
          <w:bCs/>
          <w:color w:val="auto"/>
          <w:szCs w:val="21"/>
          <w:highlight w:val="none"/>
          <w:lang w:val="en-US" w:eastAsia="zh-CN"/>
        </w:rPr>
      </w:pPr>
      <w:r>
        <w:rPr>
          <w:rFonts w:hint="eastAsia" w:ascii="黑体" w:hAnsi="宋体"/>
          <w:bCs/>
          <w:color w:val="auto"/>
          <w:szCs w:val="21"/>
          <w:highlight w:val="none"/>
          <w:lang w:val="en-US" w:eastAsia="zh-CN"/>
        </w:rPr>
        <w:t>关于校准方法</w:t>
      </w:r>
    </w:p>
    <w:p>
      <w:pPr>
        <w:adjustRightInd w:val="0"/>
        <w:snapToGrid w:val="0"/>
        <w:spacing w:line="360" w:lineRule="auto"/>
        <w:ind w:firstLine="420" w:firstLineChars="200"/>
        <w:rPr>
          <w:rFonts w:hint="eastAsia" w:hAnsi="宋体" w:cs="Times New Roman"/>
          <w:bCs/>
          <w:color w:val="auto"/>
          <w:szCs w:val="21"/>
          <w:highlight w:val="none"/>
          <w:lang w:val="en-US" w:eastAsia="zh-CN"/>
        </w:rPr>
      </w:pPr>
      <w:r>
        <w:rPr>
          <w:rFonts w:hint="eastAsia" w:hAnsi="宋体" w:cs="Times New Roman"/>
          <w:bCs/>
          <w:color w:val="auto"/>
          <w:szCs w:val="21"/>
          <w:highlight w:val="none"/>
          <w:lang w:val="en-US" w:eastAsia="zh-CN"/>
        </w:rPr>
        <w:t>规范对测厚仪的重复性、示值漂移的校准参考了JJG 480-2007《X射线测厚仪检定规程》，规范对校准方法进行了的详细描述，给出了相应的计算公式。规范能较好地指导校准人员对铝板带在线测厚仪进行校准，具有较强的可操作性。</w:t>
      </w:r>
    </w:p>
    <w:p>
      <w:pPr>
        <w:adjustRightInd w:val="0"/>
        <w:snapToGrid w:val="0"/>
        <w:spacing w:line="360" w:lineRule="auto"/>
        <w:ind w:firstLine="420" w:firstLineChars="200"/>
        <w:rPr>
          <w:rFonts w:hint="default" w:hAnsi="宋体" w:cs="Times New Roman"/>
          <w:bCs/>
          <w:color w:val="auto"/>
          <w:szCs w:val="21"/>
          <w:highlight w:val="none"/>
          <w:lang w:val="en-US" w:eastAsia="zh-CN"/>
        </w:rPr>
      </w:pPr>
      <w:r>
        <w:rPr>
          <w:rFonts w:hint="eastAsia" w:hAnsi="宋体" w:cs="Times New Roman"/>
          <w:bCs/>
          <w:color w:val="auto"/>
          <w:szCs w:val="21"/>
          <w:highlight w:val="none"/>
          <w:lang w:val="en-US" w:eastAsia="zh-CN"/>
        </w:rPr>
        <w:t>根据</w:t>
      </w:r>
      <w:r>
        <w:rPr>
          <w:rFonts w:hint="default" w:hAnsi="宋体" w:cs="Times New Roman"/>
          <w:bCs/>
          <w:color w:val="auto"/>
          <w:szCs w:val="21"/>
          <w:highlight w:val="none"/>
          <w:lang w:val="en-US" w:eastAsia="zh-CN"/>
        </w:rPr>
        <w:t>5月西安会议</w:t>
      </w:r>
      <w:r>
        <w:rPr>
          <w:rFonts w:hint="eastAsia" w:hAnsi="宋体" w:cs="Times New Roman"/>
          <w:bCs/>
          <w:color w:val="auto"/>
          <w:szCs w:val="21"/>
          <w:highlight w:val="none"/>
          <w:lang w:val="en-US" w:eastAsia="zh-CN"/>
        </w:rPr>
        <w:t>意见，将讨论稿的“在测厚仪的测量范围内均匀选择5个点作为校准点”中将“测量范围”改为“使用范围”。</w:t>
      </w: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hint="eastAsia" w:ascii="黑体" w:hAnsi="宋体" w:eastAsia="黑体"/>
          <w:bCs/>
          <w:color w:val="auto"/>
          <w:szCs w:val="21"/>
          <w:highlight w:val="none"/>
        </w:rPr>
        <w:t>校准结果表达</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校准结果表达中的描述采用了JJF1071-2010中规定的内容。详细列出了校准证书应具备的信息和说明</w:t>
      </w:r>
      <w:r>
        <w:rPr>
          <w:rFonts w:hint="eastAsia" w:ascii="宋体" w:hAnsi="宋体"/>
          <w:bCs/>
          <w:color w:val="auto"/>
          <w:szCs w:val="21"/>
          <w:highlight w:val="none"/>
        </w:rPr>
        <w:t>。</w:t>
      </w:r>
    </w:p>
    <w:p>
      <w:pPr>
        <w:pStyle w:val="11"/>
        <w:numPr>
          <w:ilvl w:val="1"/>
          <w:numId w:val="4"/>
        </w:numPr>
        <w:spacing w:after="0" w:line="360" w:lineRule="auto"/>
        <w:ind w:left="567" w:leftChars="0" w:hanging="567" w:firstLineChars="0"/>
        <w:rPr>
          <w:rFonts w:hint="eastAsia" w:ascii="黑体" w:hAnsi="宋体" w:eastAsia="黑体"/>
          <w:bCs/>
          <w:color w:val="auto"/>
          <w:szCs w:val="21"/>
          <w:highlight w:val="none"/>
        </w:rPr>
      </w:pPr>
      <w:r>
        <w:rPr>
          <w:rFonts w:hint="eastAsia" w:ascii="黑体" w:hAnsi="宋体" w:eastAsia="黑体"/>
          <w:bCs/>
          <w:color w:val="auto"/>
          <w:szCs w:val="21"/>
          <w:highlight w:val="none"/>
        </w:rPr>
        <w:t>复校时间间隔</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给出了最长12个月复校时间间隔的建议。但客户可根据使用情况自主决定复校时间间隔。</w:t>
      </w:r>
    </w:p>
    <w:p>
      <w:pPr>
        <w:pStyle w:val="11"/>
        <w:numPr>
          <w:ilvl w:val="1"/>
          <w:numId w:val="4"/>
        </w:numPr>
        <w:spacing w:after="0" w:line="360" w:lineRule="auto"/>
        <w:ind w:left="567" w:leftChars="0" w:hanging="567" w:firstLineChars="0"/>
        <w:rPr>
          <w:rFonts w:ascii="黑体" w:hAnsi="宋体" w:eastAsia="黑体"/>
          <w:bCs/>
          <w:color w:val="auto"/>
          <w:szCs w:val="21"/>
          <w:highlight w:val="none"/>
        </w:rPr>
      </w:pPr>
      <w:r>
        <w:rPr>
          <w:rFonts w:hint="eastAsia" w:ascii="黑体" w:hAnsi="宋体" w:eastAsia="黑体"/>
          <w:bCs/>
          <w:color w:val="auto"/>
          <w:szCs w:val="21"/>
          <w:highlight w:val="none"/>
        </w:rPr>
        <w:t>附录</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设置了5个附录，便于校准时参考和规范化。</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附录A 铝板带在线测厚仪校准记录参考格式</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附录B 铝板带在线测厚仪校准证书内页参考格式</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附录C  0.2mm以上厚度标准厚度板的技术要求及测量方法</w:t>
      </w:r>
    </w:p>
    <w:p>
      <w:pPr>
        <w:adjustRightInd w:val="0"/>
        <w:snapToGrid w:val="0"/>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附录D  0.2mm及以下厚度标准厚度板制作方法</w:t>
      </w:r>
    </w:p>
    <w:p>
      <w:pPr>
        <w:adjustRightInd w:val="0"/>
        <w:snapToGrid w:val="0"/>
        <w:spacing w:line="360" w:lineRule="auto"/>
        <w:ind w:firstLine="420" w:firstLineChars="200"/>
        <w:rPr>
          <w:rFonts w:hint="default"/>
          <w:bCs/>
          <w:color w:val="auto"/>
          <w:highlight w:val="none"/>
          <w:lang w:val="en-US" w:eastAsia="zh-CN"/>
        </w:rPr>
      </w:pPr>
      <w:r>
        <w:rPr>
          <w:rFonts w:hint="eastAsia"/>
          <w:bCs/>
          <w:color w:val="auto"/>
          <w:highlight w:val="none"/>
          <w:lang w:val="en-US" w:eastAsia="zh-CN"/>
        </w:rPr>
        <w:t>附录E 测厚仪示值误差测量结果的不确定度评定举例</w:t>
      </w:r>
    </w:p>
    <w:p>
      <w:pPr>
        <w:adjustRightIn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三、规范水平分析</w:t>
      </w:r>
    </w:p>
    <w:p>
      <w:pPr>
        <w:adjustRightIn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本规范根据现有在线测厚仪技术性能及产品技术要求提出了对在线测厚仪的计量要求，以校准在线测厚仪的标准厚度板的技术要求、制作方法，制订了对测厚仪计量特性的校准方法，规范可操作性强，水平达到国内领先。</w:t>
      </w:r>
    </w:p>
    <w:p>
      <w:pPr>
        <w:adjustRightIn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四、与有关的现行法律、法规和强制性国家标准的关系</w:t>
      </w:r>
    </w:p>
    <w:p>
      <w:pPr>
        <w:adjustRightInd w:val="0"/>
        <w:spacing w:line="360" w:lineRule="auto"/>
        <w:ind w:firstLine="420" w:firstLineChars="200"/>
        <w:rPr>
          <w:rFonts w:hAnsi="宋体"/>
          <w:bCs/>
          <w:color w:val="auto"/>
          <w:szCs w:val="21"/>
          <w:highlight w:val="none"/>
        </w:rPr>
      </w:pPr>
      <w:r>
        <w:rPr>
          <w:rFonts w:hint="eastAsia" w:hAnsi="宋体"/>
          <w:bCs/>
          <w:color w:val="auto"/>
          <w:szCs w:val="21"/>
          <w:highlight w:val="none"/>
        </w:rPr>
        <w:t>本规范与有关的现行法律、法规和国家计量技术规范具有一致性，无冲突之处。</w:t>
      </w:r>
    </w:p>
    <w:p>
      <w:pPr>
        <w:adjustRightIn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五、重大分歧意见的处理经过和依据</w:t>
      </w:r>
    </w:p>
    <w:p>
      <w:pPr>
        <w:adjustRightInd w:val="0"/>
        <w:spacing w:line="360" w:lineRule="auto"/>
        <w:ind w:firstLine="420" w:firstLineChars="200"/>
        <w:rPr>
          <w:rFonts w:hint="eastAsia" w:hAnsi="宋体" w:eastAsia="宋体"/>
          <w:bCs/>
          <w:color w:val="auto"/>
          <w:szCs w:val="21"/>
          <w:highlight w:val="none"/>
          <w:lang w:eastAsia="zh-CN"/>
        </w:rPr>
      </w:pPr>
      <w:r>
        <w:rPr>
          <w:rFonts w:hint="eastAsia" w:hAnsi="宋体"/>
          <w:bCs/>
          <w:color w:val="auto"/>
          <w:szCs w:val="21"/>
          <w:highlight w:val="none"/>
        </w:rPr>
        <w:t>无</w:t>
      </w:r>
      <w:r>
        <w:rPr>
          <w:rFonts w:hint="eastAsia" w:hAnsi="宋体"/>
          <w:bCs/>
          <w:color w:val="auto"/>
          <w:szCs w:val="21"/>
          <w:highlight w:val="none"/>
          <w:lang w:eastAsia="zh-CN"/>
        </w:rPr>
        <w:t>。</w:t>
      </w:r>
    </w:p>
    <w:p>
      <w:pPr>
        <w:adjustRightIn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六、规范作为强制性或推荐性国家（或行业）</w:t>
      </w:r>
      <w:r>
        <w:rPr>
          <w:rFonts w:hint="eastAsia" w:ascii="黑体" w:hAnsi="宋体" w:eastAsia="黑体"/>
          <w:bCs/>
          <w:color w:val="auto"/>
          <w:szCs w:val="21"/>
          <w:highlight w:val="none"/>
          <w:lang w:val="en-US" w:eastAsia="zh-CN"/>
        </w:rPr>
        <w:t>技术规范</w:t>
      </w:r>
      <w:r>
        <w:rPr>
          <w:rFonts w:hint="eastAsia" w:ascii="黑体" w:hAnsi="宋体" w:eastAsia="黑体"/>
          <w:bCs/>
          <w:color w:val="auto"/>
          <w:szCs w:val="21"/>
          <w:highlight w:val="none"/>
        </w:rPr>
        <w:t>的建议</w:t>
      </w:r>
    </w:p>
    <w:p>
      <w:pPr>
        <w:adjustRightInd w:val="0"/>
        <w:spacing w:line="360" w:lineRule="auto"/>
        <w:ind w:firstLine="420" w:firstLineChars="200"/>
        <w:rPr>
          <w:rFonts w:hAnsi="宋体"/>
          <w:bCs/>
          <w:color w:val="auto"/>
          <w:szCs w:val="21"/>
          <w:highlight w:val="none"/>
        </w:rPr>
      </w:pPr>
      <w:r>
        <w:rPr>
          <w:rFonts w:hint="eastAsia" w:hAnsi="宋体"/>
          <w:bCs/>
          <w:color w:val="auto"/>
          <w:szCs w:val="21"/>
          <w:highlight w:val="none"/>
        </w:rPr>
        <w:t>建议本规范作为推荐性行业计量技术规范，供相关行业参考采用。</w:t>
      </w:r>
    </w:p>
    <w:p>
      <w:pPr>
        <w:adjustRightIn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七、贯彻</w:t>
      </w:r>
      <w:r>
        <w:rPr>
          <w:rFonts w:hint="eastAsia" w:ascii="黑体" w:hAnsi="宋体" w:eastAsia="黑体"/>
          <w:bCs/>
          <w:color w:val="auto"/>
          <w:szCs w:val="21"/>
          <w:highlight w:val="none"/>
          <w:lang w:val="en-US" w:eastAsia="zh-CN"/>
        </w:rPr>
        <w:t>技术规范</w:t>
      </w:r>
      <w:r>
        <w:rPr>
          <w:rFonts w:hint="eastAsia" w:ascii="黑体" w:hAnsi="宋体" w:eastAsia="黑体"/>
          <w:bCs/>
          <w:color w:val="auto"/>
          <w:szCs w:val="21"/>
          <w:highlight w:val="none"/>
        </w:rPr>
        <w:t>的要求和措施建议</w:t>
      </w:r>
    </w:p>
    <w:p>
      <w:pPr>
        <w:adjustRightInd w:val="0"/>
        <w:spacing w:line="360" w:lineRule="auto"/>
        <w:ind w:firstLine="420" w:firstLineChars="200"/>
        <w:rPr>
          <w:rFonts w:hint="eastAsia" w:hAnsi="宋体" w:eastAsia="宋体"/>
          <w:bCs/>
          <w:color w:val="auto"/>
          <w:szCs w:val="21"/>
          <w:highlight w:val="none"/>
          <w:lang w:eastAsia="zh-CN"/>
        </w:rPr>
      </w:pPr>
      <w:r>
        <w:rPr>
          <w:rFonts w:hint="eastAsia" w:hAnsi="宋体"/>
          <w:bCs/>
          <w:color w:val="auto"/>
          <w:szCs w:val="21"/>
          <w:highlight w:val="none"/>
        </w:rPr>
        <w:t>无</w:t>
      </w:r>
      <w:r>
        <w:rPr>
          <w:rFonts w:hint="eastAsia" w:hAnsi="宋体"/>
          <w:bCs/>
          <w:color w:val="auto"/>
          <w:szCs w:val="21"/>
          <w:highlight w:val="none"/>
          <w:lang w:eastAsia="zh-CN"/>
        </w:rPr>
        <w:t>。</w:t>
      </w:r>
    </w:p>
    <w:p>
      <w:pPr>
        <w:adjustRightInd w:val="0"/>
        <w:snapToGri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八、废止现行有关</w:t>
      </w:r>
      <w:r>
        <w:rPr>
          <w:rFonts w:hint="eastAsia" w:ascii="黑体" w:hAnsi="宋体" w:eastAsia="黑体"/>
          <w:bCs/>
          <w:color w:val="auto"/>
          <w:szCs w:val="21"/>
          <w:highlight w:val="none"/>
          <w:lang w:val="en-US" w:eastAsia="zh-CN"/>
        </w:rPr>
        <w:t>技术规范</w:t>
      </w:r>
      <w:r>
        <w:rPr>
          <w:rFonts w:hint="eastAsia" w:ascii="黑体" w:hAnsi="宋体" w:eastAsia="黑体"/>
          <w:bCs/>
          <w:color w:val="auto"/>
          <w:szCs w:val="21"/>
          <w:highlight w:val="none"/>
        </w:rPr>
        <w:t>的建议</w:t>
      </w:r>
    </w:p>
    <w:p>
      <w:pPr>
        <w:adjustRightInd w:val="0"/>
        <w:snapToGrid w:val="0"/>
        <w:spacing w:line="360" w:lineRule="auto"/>
        <w:ind w:firstLine="420" w:firstLineChars="200"/>
        <w:rPr>
          <w:rFonts w:hint="eastAsia" w:hAnsi="宋体" w:eastAsia="宋体"/>
          <w:bCs/>
          <w:color w:val="auto"/>
          <w:szCs w:val="21"/>
          <w:highlight w:val="none"/>
          <w:lang w:eastAsia="zh-CN"/>
        </w:rPr>
      </w:pPr>
      <w:r>
        <w:rPr>
          <w:rFonts w:hint="eastAsia" w:hAnsi="宋体"/>
          <w:bCs/>
          <w:color w:val="auto"/>
          <w:szCs w:val="21"/>
          <w:highlight w:val="none"/>
        </w:rPr>
        <w:t>无</w:t>
      </w:r>
      <w:r>
        <w:rPr>
          <w:rFonts w:hint="eastAsia" w:hAnsi="宋体"/>
          <w:bCs/>
          <w:color w:val="auto"/>
          <w:szCs w:val="21"/>
          <w:highlight w:val="none"/>
          <w:lang w:eastAsia="zh-CN"/>
        </w:rPr>
        <w:t>。</w:t>
      </w:r>
    </w:p>
    <w:p>
      <w:pPr>
        <w:spacing w:line="360" w:lineRule="auto"/>
        <w:rPr>
          <w:rFonts w:ascii="黑体" w:eastAsia="黑体"/>
          <w:bCs/>
          <w:color w:val="auto"/>
          <w:highlight w:val="none"/>
        </w:rPr>
      </w:pPr>
      <w:r>
        <w:rPr>
          <w:rFonts w:hint="eastAsia" w:ascii="黑体" w:eastAsia="黑体"/>
          <w:bCs/>
          <w:color w:val="auto"/>
          <w:highlight w:val="none"/>
        </w:rPr>
        <w:t>九、预期效果</w:t>
      </w:r>
    </w:p>
    <w:p>
      <w:pPr>
        <w:adjustRightInd w:val="0"/>
        <w:snapToGrid w:val="0"/>
        <w:spacing w:line="360" w:lineRule="auto"/>
        <w:ind w:firstLine="420" w:firstLineChars="200"/>
        <w:rPr>
          <w:rFonts w:eastAsia="方正行楷简体"/>
          <w:bCs/>
          <w:color w:val="auto"/>
          <w:highlight w:val="none"/>
        </w:rPr>
      </w:pPr>
      <w:r>
        <w:rPr>
          <w:rFonts w:hint="eastAsia"/>
          <w:bCs/>
          <w:color w:val="auto"/>
          <w:highlight w:val="none"/>
        </w:rPr>
        <w:t>本规范的制定使</w:t>
      </w:r>
      <w:r>
        <w:rPr>
          <w:rFonts w:hint="eastAsia" w:ascii="宋体" w:hAnsi="宋体"/>
          <w:bCs/>
          <w:color w:val="auto"/>
          <w:szCs w:val="21"/>
          <w:highlight w:val="none"/>
          <w:lang w:val="en-US" w:eastAsia="zh-CN"/>
        </w:rPr>
        <w:t>铝板带在线测厚仪</w:t>
      </w:r>
      <w:r>
        <w:rPr>
          <w:rFonts w:hint="eastAsia" w:ascii="宋体" w:hAnsi="宋体"/>
          <w:bCs/>
          <w:color w:val="auto"/>
          <w:szCs w:val="21"/>
          <w:highlight w:val="none"/>
        </w:rPr>
        <w:t>的</w:t>
      </w:r>
      <w:r>
        <w:rPr>
          <w:rFonts w:hint="eastAsia" w:ascii="宋体" w:eastAsia="方正行楷简体"/>
          <w:bCs/>
          <w:color w:val="auto"/>
          <w:kern w:val="0"/>
          <w:szCs w:val="21"/>
          <w:highlight w:val="none"/>
        </w:rPr>
        <w:t>校准</w:t>
      </w:r>
      <w:r>
        <w:rPr>
          <w:rFonts w:hint="eastAsia" w:ascii="宋体" w:eastAsia="方正行楷简体"/>
          <w:bCs/>
          <w:color w:val="auto"/>
          <w:kern w:val="0"/>
          <w:szCs w:val="21"/>
          <w:highlight w:val="none"/>
          <w:lang w:val="en-US" w:eastAsia="zh-CN"/>
        </w:rPr>
        <w:t>更加全面、明确，且</w:t>
      </w:r>
      <w:r>
        <w:rPr>
          <w:rFonts w:hint="eastAsia" w:ascii="宋体" w:eastAsia="方正行楷简体"/>
          <w:bCs/>
          <w:color w:val="auto"/>
          <w:kern w:val="0"/>
          <w:szCs w:val="21"/>
          <w:highlight w:val="none"/>
        </w:rPr>
        <w:t>有了可靠依据。</w:t>
      </w:r>
    </w:p>
    <w:p>
      <w:pPr>
        <w:adjustRightInd w:val="0"/>
        <w:snapToGrid w:val="0"/>
        <w:spacing w:line="360" w:lineRule="auto"/>
        <w:rPr>
          <w:rFonts w:ascii="黑体" w:hAnsi="宋体" w:eastAsia="黑体"/>
          <w:bCs/>
          <w:color w:val="auto"/>
          <w:szCs w:val="21"/>
          <w:highlight w:val="none"/>
        </w:rPr>
      </w:pPr>
      <w:r>
        <w:rPr>
          <w:rFonts w:hint="eastAsia" w:ascii="黑体" w:hAnsi="宋体" w:eastAsia="黑体"/>
          <w:bCs/>
          <w:color w:val="auto"/>
          <w:szCs w:val="21"/>
          <w:highlight w:val="none"/>
        </w:rPr>
        <w:t>十、其他应予说明的事项</w:t>
      </w:r>
    </w:p>
    <w:p>
      <w:pPr>
        <w:spacing w:line="360" w:lineRule="auto"/>
        <w:ind w:firstLine="420" w:firstLineChars="200"/>
        <w:rPr>
          <w:rFonts w:hint="eastAsia" w:eastAsia="宋体"/>
          <w:bCs/>
          <w:color w:val="auto"/>
          <w:highlight w:val="none"/>
          <w:lang w:eastAsia="zh-CN"/>
        </w:rPr>
      </w:pPr>
      <w:r>
        <w:rPr>
          <w:rFonts w:hint="eastAsia"/>
          <w:bCs/>
          <w:color w:val="auto"/>
          <w:highlight w:val="none"/>
        </w:rPr>
        <w:t>无</w:t>
      </w:r>
      <w:r>
        <w:rPr>
          <w:rFonts w:hint="eastAsia"/>
          <w:bCs/>
          <w:color w:val="auto"/>
          <w:highlight w:val="none"/>
          <w:lang w:eastAsia="zh-CN"/>
        </w:rPr>
        <w:t>。</w:t>
      </w:r>
    </w:p>
    <w:p>
      <w:pPr>
        <w:spacing w:line="360" w:lineRule="auto"/>
        <w:jc w:val="right"/>
        <w:rPr>
          <w:rFonts w:hint="eastAsia" w:ascii="宋体" w:hAnsi="宋体" w:eastAsia="宋体" w:cs="宋体"/>
          <w:bCs/>
          <w:color w:val="auto"/>
          <w:sz w:val="21"/>
          <w:szCs w:val="21"/>
          <w:highlight w:val="none"/>
        </w:rPr>
      </w:pPr>
      <w:r>
        <w:rPr>
          <w:rFonts w:ascii="黑体" w:eastAsia="黑体"/>
          <w:bCs/>
          <w:color w:val="auto"/>
          <w:highlight w:val="none"/>
        </w:rPr>
        <w:t xml:space="preserve">         </w:t>
      </w:r>
      <w:r>
        <w:rPr>
          <w:rFonts w:ascii="黑体" w:hAnsi="黑体" w:eastAsia="黑体"/>
          <w:bCs/>
          <w:color w:val="auto"/>
          <w:highlight w:val="none"/>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eastAsia="zh-CN"/>
        </w:rPr>
        <w:t>铝板带在线测厚仪校准规范</w:t>
      </w:r>
      <w:r>
        <w:rPr>
          <w:rFonts w:hint="eastAsia" w:ascii="宋体" w:hAnsi="宋体" w:eastAsia="宋体" w:cs="宋体"/>
          <w:bCs/>
          <w:color w:val="auto"/>
          <w:kern w:val="0"/>
          <w:sz w:val="21"/>
          <w:szCs w:val="21"/>
          <w:highlight w:val="none"/>
        </w:rPr>
        <w:t>》规范编制组</w:t>
      </w:r>
    </w:p>
    <w:p>
      <w:pPr>
        <w:wordWrap w:val="0"/>
        <w:adjustRightInd w:val="0"/>
        <w:snapToGrid w:val="0"/>
        <w:spacing w:line="360" w:lineRule="auto"/>
        <w:ind w:right="105"/>
        <w:jc w:val="right"/>
        <w:textAlignment w:val="top"/>
        <w:rPr>
          <w:rFonts w:hint="eastAsia" w:ascii="宋体" w:hAnsi="宋体" w:eastAsia="宋体" w:cs="宋体"/>
          <w:bCs/>
          <w:color w:val="auto"/>
          <w:highlight w:val="none"/>
        </w:rPr>
      </w:pPr>
      <w:r>
        <w:rPr>
          <w:rFonts w:hint="eastAsia" w:ascii="宋体" w:hAnsi="宋体" w:eastAsia="宋体" w:cs="宋体"/>
          <w:bCs/>
          <w:color w:val="auto"/>
          <w:highlight w:val="none"/>
        </w:rPr>
        <w:t>202</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年</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月</w:t>
      </w:r>
      <w:r>
        <w:rPr>
          <w:rFonts w:hint="eastAsia" w:ascii="宋体" w:hAnsi="宋体" w:cs="宋体"/>
          <w:bCs/>
          <w:color w:val="auto"/>
          <w:highlight w:val="none"/>
          <w:lang w:val="en-US" w:eastAsia="zh-CN"/>
        </w:rPr>
        <w:t>31</w:t>
      </w:r>
      <w:r>
        <w:rPr>
          <w:rFonts w:hint="eastAsia" w:ascii="宋体" w:hAnsi="宋体" w:eastAsia="宋体" w:cs="宋体"/>
          <w:bCs/>
          <w:color w:val="auto"/>
          <w:highlight w:val="none"/>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auto"/>
    <w:pitch w:val="default"/>
    <w:sig w:usb0="00000000" w:usb1="00000000" w:usb2="00000030" w:usb3="00000000" w:csb0="4008009F" w:csb1="DFD70000"/>
  </w:font>
  <w:font w:name="方正行楷简体">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upright="1">
                      <a:spAutoFit/>
                    </wps:bodyPr>
                  </wps:wsp>
                </a:graphicData>
              </a:graphic>
            </wp:anchor>
          </w:drawing>
        </mc:Choice>
        <mc:Fallback>
          <w:pict>
            <v:rect id="文本框 1" o:spid="_x0000_s1026" o:spt="1"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3v6RvYAAAACwEAAA8AAAAAAAAAAQAgAAAAIgAAAGRycy9kb3ducmV2&#10;LnhtbFBLAQIUABQAAAAIAIdO4kC2AeOPwwEAAI8DAAAOAAAAAAAAAAEAIAAAACcBAABkcnMvZTJv&#10;RG9jLnhtbFBLBQYAAAAABgAGAFkBAABcBQAAAAA=&#10;">
              <v:fill on="f" focussize="0,0"/>
              <v:stroke on="f"/>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0271F"/>
    <w:multiLevelType w:val="singleLevel"/>
    <w:tmpl w:val="A130271F"/>
    <w:lvl w:ilvl="0" w:tentative="0">
      <w:start w:val="2"/>
      <w:numFmt w:val="decimal"/>
      <w:suff w:val="nothing"/>
      <w:lvlText w:val="%1）"/>
      <w:lvlJc w:val="left"/>
    </w:lvl>
  </w:abstractNum>
  <w:abstractNum w:abstractNumId="1">
    <w:nsid w:val="CD17680F"/>
    <w:multiLevelType w:val="multilevel"/>
    <w:tmpl w:val="CD17680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6AD5B3F3"/>
    <w:multiLevelType w:val="multilevel"/>
    <w:tmpl w:val="6AD5B3F3"/>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6CEA2025"/>
    <w:multiLevelType w:val="multilevel"/>
    <w:tmpl w:val="6CEA2025"/>
    <w:lvl w:ilvl="0" w:tentative="0">
      <w:start w:val="1"/>
      <w:numFmt w:val="none"/>
      <w:pStyle w:val="22"/>
      <w:suff w:val="nothing"/>
      <w:lvlText w:val="%1"/>
      <w:lvlJc w:val="left"/>
      <w:rPr>
        <w:rFonts w:hint="default" w:ascii="Times New Roman" w:hAnsi="Times New Roman" w:cs="Times New Roman"/>
        <w:b/>
        <w:i w:val="0"/>
        <w:sz w:val="21"/>
      </w:rPr>
    </w:lvl>
    <w:lvl w:ilvl="1" w:tentative="0">
      <w:start w:val="1"/>
      <w:numFmt w:val="decimal"/>
      <w:pStyle w:val="23"/>
      <w:suff w:val="nothing"/>
      <w:lvlText w:val="%1%2　"/>
      <w:lvlJc w:val="left"/>
      <w:rPr>
        <w:rFonts w:hint="eastAsia" w:ascii="黑体" w:hAnsi="Times New Roman" w:eastAsia="黑体" w:cs="Times New Roman"/>
        <w:b w:val="0"/>
        <w:i w:val="0"/>
        <w:sz w:val="21"/>
      </w:rPr>
    </w:lvl>
    <w:lvl w:ilvl="2" w:tentative="0">
      <w:start w:val="1"/>
      <w:numFmt w:val="decimal"/>
      <w:pStyle w:val="24"/>
      <w:suff w:val="nothing"/>
      <w:lvlText w:val="%1%2.%3　"/>
      <w:lvlJc w:val="left"/>
      <w:rPr>
        <w:rFonts w:hint="eastAsia" w:ascii="黑体" w:hAnsi="Times New Roman" w:eastAsia="黑体" w:cs="Times New Roman"/>
        <w:b w:val="0"/>
        <w:i w:val="0"/>
        <w:sz w:val="21"/>
      </w:rPr>
    </w:lvl>
    <w:lvl w:ilvl="3" w:tentative="0">
      <w:start w:val="1"/>
      <w:numFmt w:val="decimal"/>
      <w:pStyle w:val="25"/>
      <w:suff w:val="nothing"/>
      <w:lvlText w:val="%1%2.%3.%4　"/>
      <w:lvlJc w:val="left"/>
      <w:rPr>
        <w:rFonts w:hint="eastAsia" w:ascii="黑体" w:hAnsi="Times New Roman" w:eastAsia="黑体" w:cs="Times New Roman"/>
        <w:b w:val="0"/>
        <w:i w:val="0"/>
        <w:sz w:val="21"/>
      </w:rPr>
    </w:lvl>
    <w:lvl w:ilvl="4" w:tentative="0">
      <w:start w:val="1"/>
      <w:numFmt w:val="decimal"/>
      <w:pStyle w:val="26"/>
      <w:suff w:val="nothing"/>
      <w:lvlText w:val="%1%2.%3.%4.%5　"/>
      <w:lvlJc w:val="left"/>
      <w:rPr>
        <w:rFonts w:hint="eastAsia" w:ascii="黑体" w:hAnsi="Times New Roman" w:eastAsia="黑体" w:cs="Times New Roman"/>
        <w:b w:val="0"/>
        <w:i w:val="0"/>
        <w:sz w:val="21"/>
      </w:rPr>
    </w:lvl>
    <w:lvl w:ilvl="5" w:tentative="0">
      <w:start w:val="1"/>
      <w:numFmt w:val="decimal"/>
      <w:pStyle w:val="27"/>
      <w:suff w:val="nothing"/>
      <w:lvlText w:val="%1%2.%3.%4.%5.%6　"/>
      <w:lvlJc w:val="left"/>
      <w:rPr>
        <w:rFonts w:hint="eastAsia" w:ascii="黑体" w:hAnsi="Times New Roman" w:eastAsia="黑体" w:cs="Times New Roman"/>
        <w:b w:val="0"/>
        <w:i w:val="0"/>
        <w:sz w:val="21"/>
      </w:rPr>
    </w:lvl>
    <w:lvl w:ilvl="6" w:tentative="0">
      <w:start w:val="1"/>
      <w:numFmt w:val="decimal"/>
      <w:pStyle w:val="28"/>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76B1ECCD"/>
    <w:multiLevelType w:val="singleLevel"/>
    <w:tmpl w:val="76B1ECCD"/>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9402D37"/>
    <w:rsid w:val="0B510E78"/>
    <w:rsid w:val="0DB103FD"/>
    <w:rsid w:val="0DB62202"/>
    <w:rsid w:val="0F046843"/>
    <w:rsid w:val="0F4960E8"/>
    <w:rsid w:val="0FD961E1"/>
    <w:rsid w:val="0FFD1EEF"/>
    <w:rsid w:val="11580B6C"/>
    <w:rsid w:val="117B1938"/>
    <w:rsid w:val="126E7A09"/>
    <w:rsid w:val="13F10A99"/>
    <w:rsid w:val="14251CC4"/>
    <w:rsid w:val="14E223F3"/>
    <w:rsid w:val="154C457C"/>
    <w:rsid w:val="15F63B09"/>
    <w:rsid w:val="163F2D2D"/>
    <w:rsid w:val="181878E8"/>
    <w:rsid w:val="196656B5"/>
    <w:rsid w:val="19D813C6"/>
    <w:rsid w:val="1A7B17FC"/>
    <w:rsid w:val="1B3E222D"/>
    <w:rsid w:val="1DFD3AB5"/>
    <w:rsid w:val="236269FD"/>
    <w:rsid w:val="24500F51"/>
    <w:rsid w:val="250273A3"/>
    <w:rsid w:val="264362D5"/>
    <w:rsid w:val="2B6A69EA"/>
    <w:rsid w:val="2E545310"/>
    <w:rsid w:val="2F3F109E"/>
    <w:rsid w:val="2FCB3085"/>
    <w:rsid w:val="2FF65D56"/>
    <w:rsid w:val="31D30F8D"/>
    <w:rsid w:val="32CF2B4C"/>
    <w:rsid w:val="33A855B9"/>
    <w:rsid w:val="34915439"/>
    <w:rsid w:val="36294EFF"/>
    <w:rsid w:val="366B4F50"/>
    <w:rsid w:val="3A6A7A9F"/>
    <w:rsid w:val="3C2D4B77"/>
    <w:rsid w:val="3C4804B8"/>
    <w:rsid w:val="3D540C00"/>
    <w:rsid w:val="3D8250CD"/>
    <w:rsid w:val="3FFB769C"/>
    <w:rsid w:val="41303C10"/>
    <w:rsid w:val="424972B2"/>
    <w:rsid w:val="42CD2859"/>
    <w:rsid w:val="442D6861"/>
    <w:rsid w:val="461756FA"/>
    <w:rsid w:val="46E43C6C"/>
    <w:rsid w:val="49ED573E"/>
    <w:rsid w:val="4B923D95"/>
    <w:rsid w:val="4CF47669"/>
    <w:rsid w:val="4ED03064"/>
    <w:rsid w:val="519E65DF"/>
    <w:rsid w:val="51C34A47"/>
    <w:rsid w:val="5359222A"/>
    <w:rsid w:val="55BF234C"/>
    <w:rsid w:val="55CC27F2"/>
    <w:rsid w:val="56073252"/>
    <w:rsid w:val="57415D20"/>
    <w:rsid w:val="588B31DD"/>
    <w:rsid w:val="5A8913F1"/>
    <w:rsid w:val="5B9F2DFD"/>
    <w:rsid w:val="5BBE3B49"/>
    <w:rsid w:val="5E361946"/>
    <w:rsid w:val="62C244A7"/>
    <w:rsid w:val="635C4B8E"/>
    <w:rsid w:val="645D0E2E"/>
    <w:rsid w:val="66471C44"/>
    <w:rsid w:val="6AD2505B"/>
    <w:rsid w:val="6C0D48EE"/>
    <w:rsid w:val="6C715A3C"/>
    <w:rsid w:val="6D1337BB"/>
    <w:rsid w:val="6D4F6A9B"/>
    <w:rsid w:val="6E8413D2"/>
    <w:rsid w:val="6FE72B43"/>
    <w:rsid w:val="74145A7A"/>
    <w:rsid w:val="75411574"/>
    <w:rsid w:val="76475005"/>
    <w:rsid w:val="76657642"/>
    <w:rsid w:val="77266CAE"/>
    <w:rsid w:val="7D6D5AB9"/>
    <w:rsid w:val="7E0D45A7"/>
    <w:rsid w:val="7ECD3AB0"/>
    <w:rsid w:val="7F08297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4"/>
    <w:qFormat/>
    <w:uiPriority w:val="99"/>
    <w:pPr>
      <w:spacing w:after="120"/>
    </w:pPr>
  </w:style>
  <w:style w:type="paragraph" w:styleId="5">
    <w:name w:val="Body Text Indent"/>
    <w:basedOn w:val="1"/>
    <w:link w:val="42"/>
    <w:qFormat/>
    <w:uiPriority w:val="99"/>
    <w:pPr>
      <w:spacing w:after="120"/>
      <w:ind w:left="420" w:leftChars="200"/>
    </w:pPr>
  </w:style>
  <w:style w:type="paragraph" w:styleId="6">
    <w:name w:val="Date"/>
    <w:basedOn w:val="1"/>
    <w:next w:val="1"/>
    <w:link w:val="33"/>
    <w:qFormat/>
    <w:uiPriority w:val="99"/>
    <w:pPr>
      <w:ind w:left="100" w:leftChars="2500"/>
    </w:pPr>
  </w:style>
  <w:style w:type="paragraph" w:styleId="7">
    <w:name w:val="Body Text Indent 2"/>
    <w:basedOn w:val="1"/>
    <w:link w:val="41"/>
    <w:qFormat/>
    <w:uiPriority w:val="99"/>
    <w:pPr>
      <w:spacing w:after="120" w:line="480" w:lineRule="auto"/>
      <w:ind w:left="420" w:leftChars="200"/>
    </w:pPr>
  </w:style>
  <w:style w:type="paragraph" w:styleId="8">
    <w:name w:val="Balloon Text"/>
    <w:basedOn w:val="1"/>
    <w:link w:val="34"/>
    <w:qFormat/>
    <w:uiPriority w:val="99"/>
    <w:rPr>
      <w:sz w:val="18"/>
      <w:szCs w:val="18"/>
    </w:rPr>
  </w:style>
  <w:style w:type="paragraph" w:styleId="9">
    <w:name w:val="footer"/>
    <w:basedOn w:val="1"/>
    <w:link w:val="35"/>
    <w:qFormat/>
    <w:uiPriority w:val="99"/>
    <w:pPr>
      <w:tabs>
        <w:tab w:val="center" w:pos="4153"/>
        <w:tab w:val="right" w:pos="8306"/>
      </w:tabs>
      <w:snapToGrid w:val="0"/>
      <w:jc w:val="left"/>
    </w:pPr>
    <w:rPr>
      <w:sz w:val="18"/>
      <w:szCs w:val="18"/>
    </w:rPr>
  </w:style>
  <w:style w:type="paragraph" w:styleId="10">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37"/>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5"/>
    <w:qFormat/>
    <w:uiPriority w:val="99"/>
    <w:pPr>
      <w:ind w:firstLine="420" w:firstLineChars="100"/>
    </w:pPr>
  </w:style>
  <w:style w:type="paragraph" w:styleId="14">
    <w:name w:val="Body Text First Indent 2"/>
    <w:basedOn w:val="5"/>
    <w:link w:val="43"/>
    <w:qFormat/>
    <w:uiPriority w:val="99"/>
    <w:pPr>
      <w:ind w:firstLine="420" w:firstLineChars="200"/>
    </w:p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basedOn w:val="17"/>
    <w:unhideWhenUsed/>
    <w:qFormat/>
    <w:uiPriority w:val="99"/>
    <w:rPr>
      <w:rFonts w:ascii="Times New Roman" w:hAnsi="Times New Roman" w:eastAsia="宋体"/>
      <w:sz w:val="18"/>
    </w:rPr>
  </w:style>
  <w:style w:type="character" w:styleId="19">
    <w:name w:val="annotation reference"/>
    <w:basedOn w:val="17"/>
    <w:semiHidden/>
    <w:qFormat/>
    <w:uiPriority w:val="99"/>
    <w:rPr>
      <w:rFonts w:cs="Times New Roman"/>
      <w:sz w:val="21"/>
      <w:szCs w:val="21"/>
    </w:rPr>
  </w:style>
  <w:style w:type="paragraph" w:customStyle="1" w:styleId="20">
    <w:name w:val="段"/>
    <w:link w:val="38"/>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List Paragraph"/>
    <w:basedOn w:val="1"/>
    <w:qFormat/>
    <w:uiPriority w:val="99"/>
    <w:pPr>
      <w:ind w:firstLine="420" w:firstLineChars="200"/>
    </w:pPr>
  </w:style>
  <w:style w:type="paragraph" w:customStyle="1" w:styleId="22">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章标题"/>
    <w:next w:val="20"/>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24">
    <w:name w:val="一级条标题"/>
    <w:basedOn w:val="23"/>
    <w:next w:val="20"/>
    <w:link w:val="40"/>
    <w:qFormat/>
    <w:uiPriority w:val="99"/>
    <w:pPr>
      <w:numPr>
        <w:ilvl w:val="2"/>
        <w:numId w:val="1"/>
      </w:numPr>
      <w:spacing w:beforeLines="0" w:afterLines="0"/>
      <w:outlineLvl w:val="2"/>
    </w:pPr>
    <w:rPr>
      <w:sz w:val="21"/>
    </w:rPr>
  </w:style>
  <w:style w:type="paragraph" w:customStyle="1" w:styleId="25">
    <w:name w:val="二级条标题"/>
    <w:basedOn w:val="24"/>
    <w:next w:val="20"/>
    <w:qFormat/>
    <w:uiPriority w:val="99"/>
    <w:pPr>
      <w:numPr>
        <w:ilvl w:val="3"/>
        <w:numId w:val="1"/>
      </w:numPr>
      <w:ind w:left="2310" w:hanging="420"/>
      <w:outlineLvl w:val="3"/>
    </w:pPr>
  </w:style>
  <w:style w:type="paragraph" w:customStyle="1" w:styleId="26">
    <w:name w:val="三级条标题"/>
    <w:basedOn w:val="25"/>
    <w:next w:val="20"/>
    <w:qFormat/>
    <w:uiPriority w:val="99"/>
    <w:pPr>
      <w:numPr>
        <w:ilvl w:val="4"/>
        <w:numId w:val="1"/>
      </w:numPr>
      <w:ind w:left="2730"/>
      <w:outlineLvl w:val="4"/>
    </w:pPr>
  </w:style>
  <w:style w:type="paragraph" w:customStyle="1" w:styleId="27">
    <w:name w:val="四级条标题"/>
    <w:basedOn w:val="26"/>
    <w:next w:val="20"/>
    <w:qFormat/>
    <w:uiPriority w:val="99"/>
    <w:pPr>
      <w:numPr>
        <w:ilvl w:val="5"/>
        <w:numId w:val="1"/>
      </w:numPr>
      <w:ind w:left="3150"/>
      <w:outlineLvl w:val="5"/>
    </w:pPr>
  </w:style>
  <w:style w:type="paragraph" w:customStyle="1" w:styleId="28">
    <w:name w:val="五级条标题"/>
    <w:basedOn w:val="27"/>
    <w:next w:val="20"/>
    <w:qFormat/>
    <w:uiPriority w:val="99"/>
    <w:pPr>
      <w:numPr>
        <w:ilvl w:val="6"/>
        <w:numId w:val="1"/>
      </w:numPr>
      <w:ind w:left="3570"/>
      <w:outlineLvl w:val="6"/>
    </w:pPr>
  </w:style>
  <w:style w:type="paragraph" w:customStyle="1" w:styleId="29">
    <w:name w:val="封面标准英文名称"/>
    <w:qFormat/>
    <w:uiPriority w:val="0"/>
    <w:pPr>
      <w:widowControl w:val="0"/>
      <w:spacing w:before="370" w:line="400" w:lineRule="exact"/>
      <w:jc w:val="center"/>
    </w:pPr>
    <w:rPr>
      <w:rFonts w:ascii="Times New Roman" w:hAnsi="Times New Roman" w:eastAsia="Batang" w:cs="Times New Roman"/>
      <w:sz w:val="28"/>
      <w:lang w:val="en-US" w:eastAsia="zh-CN" w:bidi="ar-SA"/>
    </w:rPr>
  </w:style>
  <w:style w:type="paragraph" w:customStyle="1" w:styleId="30">
    <w:name w:val="标准书脚_偶数页"/>
    <w:qFormat/>
    <w:uiPriority w:val="0"/>
    <w:pPr>
      <w:spacing w:before="120"/>
    </w:pPr>
    <w:rPr>
      <w:rFonts w:ascii="Times New Roman" w:hAnsi="Times New Roman" w:eastAsia="Batang" w:cs="Times New Roman"/>
      <w:sz w:val="18"/>
      <w:lang w:val="en-US" w:eastAsia="zh-CN" w:bidi="ar-SA"/>
    </w:rPr>
  </w:style>
  <w:style w:type="paragraph" w:customStyle="1" w:styleId="31">
    <w:name w:val="标准书脚_奇数页"/>
    <w:qFormat/>
    <w:uiPriority w:val="0"/>
    <w:pPr>
      <w:spacing w:before="120"/>
      <w:jc w:val="right"/>
    </w:pPr>
    <w:rPr>
      <w:rFonts w:ascii="Times New Roman" w:hAnsi="Times New Roman" w:eastAsia="Batang" w:cs="Times New Roman"/>
      <w:sz w:val="18"/>
      <w:lang w:val="en-US" w:eastAsia="zh-CN" w:bidi="ar-SA"/>
    </w:rPr>
  </w:style>
  <w:style w:type="character" w:customStyle="1" w:styleId="32">
    <w:name w:val="标题 2 字符"/>
    <w:basedOn w:val="17"/>
    <w:link w:val="2"/>
    <w:qFormat/>
    <w:locked/>
    <w:uiPriority w:val="99"/>
    <w:rPr>
      <w:rFonts w:ascii="Arial" w:hAnsi="Arial" w:eastAsia="黑体" w:cs="Times New Roman"/>
      <w:b/>
      <w:bCs/>
      <w:kern w:val="2"/>
      <w:sz w:val="32"/>
      <w:szCs w:val="32"/>
    </w:rPr>
  </w:style>
  <w:style w:type="character" w:customStyle="1" w:styleId="33">
    <w:name w:val="日期 字符"/>
    <w:basedOn w:val="17"/>
    <w:link w:val="6"/>
    <w:qFormat/>
    <w:locked/>
    <w:uiPriority w:val="99"/>
    <w:rPr>
      <w:rFonts w:cs="Times New Roman"/>
      <w:kern w:val="2"/>
      <w:sz w:val="24"/>
      <w:szCs w:val="24"/>
    </w:rPr>
  </w:style>
  <w:style w:type="character" w:customStyle="1" w:styleId="34">
    <w:name w:val="批注框文本 字符"/>
    <w:basedOn w:val="17"/>
    <w:link w:val="8"/>
    <w:qFormat/>
    <w:locked/>
    <w:uiPriority w:val="99"/>
    <w:rPr>
      <w:rFonts w:cs="Times New Roman"/>
      <w:kern w:val="2"/>
      <w:sz w:val="18"/>
      <w:szCs w:val="18"/>
    </w:rPr>
  </w:style>
  <w:style w:type="character" w:customStyle="1" w:styleId="35">
    <w:name w:val="页脚 字符"/>
    <w:basedOn w:val="17"/>
    <w:link w:val="9"/>
    <w:qFormat/>
    <w:locked/>
    <w:uiPriority w:val="99"/>
    <w:rPr>
      <w:rFonts w:cs="Times New Roman"/>
      <w:kern w:val="2"/>
      <w:sz w:val="18"/>
      <w:szCs w:val="18"/>
    </w:rPr>
  </w:style>
  <w:style w:type="character" w:customStyle="1" w:styleId="36">
    <w:name w:val="页眉 字符"/>
    <w:basedOn w:val="17"/>
    <w:link w:val="10"/>
    <w:semiHidden/>
    <w:qFormat/>
    <w:locked/>
    <w:uiPriority w:val="99"/>
    <w:rPr>
      <w:rFonts w:cs="Times New Roman"/>
      <w:sz w:val="18"/>
      <w:szCs w:val="18"/>
    </w:rPr>
  </w:style>
  <w:style w:type="character" w:customStyle="1" w:styleId="37">
    <w:name w:val="正文文本 2 字符"/>
    <w:basedOn w:val="17"/>
    <w:link w:val="11"/>
    <w:semiHidden/>
    <w:qFormat/>
    <w:locked/>
    <w:uiPriority w:val="99"/>
    <w:rPr>
      <w:rFonts w:cs="Times New Roman"/>
      <w:sz w:val="24"/>
      <w:szCs w:val="24"/>
    </w:rPr>
  </w:style>
  <w:style w:type="character" w:customStyle="1" w:styleId="38">
    <w:name w:val="段 Char"/>
    <w:basedOn w:val="17"/>
    <w:link w:val="20"/>
    <w:qFormat/>
    <w:locked/>
    <w:uiPriority w:val="99"/>
    <w:rPr>
      <w:rFonts w:ascii="宋体" w:cs="Times New Roman"/>
      <w:sz w:val="21"/>
      <w:lang w:val="en-US" w:eastAsia="zh-CN" w:bidi="ar-SA"/>
    </w:rPr>
  </w:style>
  <w:style w:type="character" w:customStyle="1" w:styleId="39">
    <w:name w:val="Placeholder Text"/>
    <w:basedOn w:val="17"/>
    <w:semiHidden/>
    <w:qFormat/>
    <w:uiPriority w:val="99"/>
    <w:rPr>
      <w:rFonts w:cs="Times New Roman"/>
      <w:color w:val="808080"/>
    </w:rPr>
  </w:style>
  <w:style w:type="character" w:customStyle="1" w:styleId="40">
    <w:name w:val="一级条标题 Char"/>
    <w:basedOn w:val="17"/>
    <w:link w:val="24"/>
    <w:qFormat/>
    <w:locked/>
    <w:uiPriority w:val="99"/>
    <w:rPr>
      <w:rFonts w:ascii="黑体" w:eastAsia="黑体"/>
      <w:sz w:val="21"/>
      <w:lang w:val="en-US" w:eastAsia="zh-CN"/>
    </w:rPr>
  </w:style>
  <w:style w:type="character" w:customStyle="1" w:styleId="41">
    <w:name w:val="正文文本缩进 2 字符"/>
    <w:basedOn w:val="17"/>
    <w:link w:val="7"/>
    <w:semiHidden/>
    <w:qFormat/>
    <w:locked/>
    <w:uiPriority w:val="99"/>
    <w:rPr>
      <w:rFonts w:cs="Times New Roman"/>
      <w:sz w:val="24"/>
      <w:szCs w:val="24"/>
    </w:rPr>
  </w:style>
  <w:style w:type="character" w:customStyle="1" w:styleId="42">
    <w:name w:val="正文文本缩进 字符"/>
    <w:basedOn w:val="17"/>
    <w:link w:val="5"/>
    <w:semiHidden/>
    <w:qFormat/>
    <w:locked/>
    <w:uiPriority w:val="99"/>
    <w:rPr>
      <w:rFonts w:cs="Times New Roman"/>
      <w:sz w:val="24"/>
      <w:szCs w:val="24"/>
    </w:rPr>
  </w:style>
  <w:style w:type="character" w:customStyle="1" w:styleId="43">
    <w:name w:val="正文文本首行缩进 2 字符"/>
    <w:basedOn w:val="42"/>
    <w:link w:val="14"/>
    <w:semiHidden/>
    <w:qFormat/>
    <w:locked/>
    <w:uiPriority w:val="99"/>
    <w:rPr>
      <w:rFonts w:cs="Times New Roman"/>
      <w:sz w:val="24"/>
      <w:szCs w:val="24"/>
    </w:rPr>
  </w:style>
  <w:style w:type="character" w:customStyle="1" w:styleId="44">
    <w:name w:val="正文文本 字符"/>
    <w:basedOn w:val="17"/>
    <w:link w:val="4"/>
    <w:semiHidden/>
    <w:qFormat/>
    <w:locked/>
    <w:uiPriority w:val="99"/>
    <w:rPr>
      <w:rFonts w:cs="Times New Roman"/>
      <w:sz w:val="24"/>
      <w:szCs w:val="24"/>
    </w:rPr>
  </w:style>
  <w:style w:type="character" w:customStyle="1" w:styleId="45">
    <w:name w:val="正文文本首行缩进 字符"/>
    <w:basedOn w:val="44"/>
    <w:link w:val="13"/>
    <w:semiHidden/>
    <w:qFormat/>
    <w:locked/>
    <w:uiPriority w:val="99"/>
    <w:rPr>
      <w:rFonts w:cs="Times New Roman"/>
      <w:sz w:val="24"/>
      <w:szCs w:val="24"/>
    </w:rPr>
  </w:style>
  <w:style w:type="character" w:customStyle="1" w:styleId="46">
    <w:name w:val="图题及表格"/>
    <w:basedOn w:val="17"/>
    <w:qFormat/>
    <w:uiPriority w:val="0"/>
    <w:rPr>
      <w:rFonts w:ascii="Times New Roman" w:hAnsi="Times New Roman" w:eastAsia="宋体"/>
      <w:sz w:val="21"/>
    </w:rPr>
  </w:style>
  <w:style w:type="character" w:customStyle="1" w:styleId="47">
    <w:name w:val="表题"/>
    <w:qFormat/>
    <w:uiPriority w:val="0"/>
    <w:rPr>
      <w:rFonts w:hint="eastAsia" w:ascii="Times New Roman" w:hAnsi="Times New Roman" w:eastAsia="黑体" w:cs="黑体"/>
      <w:color w:val="000000"/>
      <w:sz w:val="21"/>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5263</Words>
  <Characters>5713</Characters>
  <Lines>3</Lines>
  <Paragraphs>8</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张国栋</cp:lastModifiedBy>
  <cp:lastPrinted>2023-05-04T08:21:00Z</cp:lastPrinted>
  <dcterms:modified xsi:type="dcterms:W3CDTF">2023-05-31T02:19:44Z</dcterms:modified>
  <dc:title>GB/T11105-2011《金属粉末-压坯的拉托拉试验》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F6A0ECDDE2994065BC1084A3D62BED97_13</vt:lpwstr>
  </property>
</Properties>
</file>