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7"/>
        <w:rPr>
          <w:rFonts w:hint="default" w:ascii="Times New Roman" w:hAnsi="Times New Roman" w:eastAsia="宋体" w:cs="Times New Roman"/>
          <w:sz w:val="21"/>
          <w:szCs w:val="21"/>
        </w:rPr>
      </w:pPr>
      <w:bookmarkStart w:id="0" w:name="SectionMark0"/>
      <w:bookmarkStart w:id="1" w:name="SectionMark4"/>
      <w:r>
        <w:rPr>
          <w:rFonts w:hint="default" w:ascii="Times New Roman" w:hAnsi="Times New Roman" w:eastAsia="宋体" w:cs="Times New Roman"/>
          <w:sz w:val="21"/>
          <w:szCs w:val="21"/>
        </w:rPr>
        <mc:AlternateContent>
          <mc:Choice Requires="wps">
            <w:drawing>
              <wp:anchor distT="0" distB="0" distL="114300" distR="114300" simplePos="0" relativeHeight="251659264" behindDoc="0" locked="1" layoutInCell="1" allowOverlap="1">
                <wp:simplePos x="0" y="0"/>
                <wp:positionH relativeFrom="margin">
                  <wp:posOffset>-8255</wp:posOffset>
                </wp:positionH>
                <wp:positionV relativeFrom="margin">
                  <wp:posOffset>7177405</wp:posOffset>
                </wp:positionV>
                <wp:extent cx="6120130" cy="1544320"/>
                <wp:effectExtent l="0" t="0" r="13970" b="17780"/>
                <wp:wrapNone/>
                <wp:docPr id="1" name="fmFrame7"/>
                <wp:cNvGraphicFramePr/>
                <a:graphic xmlns:a="http://schemas.openxmlformats.org/drawingml/2006/main">
                  <a:graphicData uri="http://schemas.microsoft.com/office/word/2010/wordprocessingShape">
                    <wps:wsp>
                      <wps:cNvSpPr/>
                      <wps:spPr>
                        <a:xfrm>
                          <a:off x="0" y="0"/>
                          <a:ext cx="6120130" cy="1544320"/>
                        </a:xfrm>
                        <a:prstGeom prst="rect">
                          <a:avLst/>
                        </a:prstGeom>
                        <a:solidFill>
                          <a:srgbClr val="FFFFFF"/>
                        </a:solidFill>
                        <a:ln>
                          <a:noFill/>
                        </a:ln>
                      </wps:spPr>
                      <wps:txbx>
                        <w:txbxContent>
                          <w:p>
                            <w:pPr>
                              <w:jc w:val="center"/>
                              <w:rPr>
                                <w:rFonts w:ascii="宋体" w:hAnsi="宋体" w:cs="宋体"/>
                                <w:spacing w:val="58"/>
                                <w:w w:val="120"/>
                                <w:sz w:val="28"/>
                                <w:szCs w:val="28"/>
                              </w:rPr>
                            </w:pPr>
                            <w:r>
                              <w:rPr>
                                <w:rFonts w:hint="eastAsia" w:ascii="宋体" w:hAnsi="宋体" w:cs="宋体"/>
                                <w:spacing w:val="58"/>
                                <w:w w:val="120"/>
                                <w:sz w:val="28"/>
                                <w:szCs w:val="28"/>
                              </w:rPr>
                              <w:t>落球冲击试验机校准规范</w:t>
                            </w:r>
                          </w:p>
                          <w:p>
                            <w:pPr>
                              <w:jc w:val="center"/>
                              <w:rPr>
                                <w:rFonts w:ascii="宋体" w:hAnsi="宋体" w:cs="宋体"/>
                                <w:sz w:val="28"/>
                                <w:szCs w:val="28"/>
                              </w:rPr>
                            </w:pPr>
                            <w:r>
                              <w:rPr>
                                <w:rFonts w:hint="eastAsia" w:ascii="宋体" w:hAnsi="宋体" w:cs="宋体"/>
                                <w:spacing w:val="58"/>
                                <w:w w:val="120"/>
                                <w:sz w:val="28"/>
                                <w:szCs w:val="28"/>
                              </w:rPr>
                              <w:t>编制组</w:t>
                            </w:r>
                          </w:p>
                          <w:p>
                            <w:pPr>
                              <w:pStyle w:val="113"/>
                              <w:rPr>
                                <w:rFonts w:hint="eastAsia" w:ascii="宋体" w:hAnsi="宋体" w:eastAsia="宋体" w:cs="宋体"/>
                                <w:sz w:val="28"/>
                                <w:szCs w:val="28"/>
                              </w:rPr>
                            </w:pPr>
                            <w:r>
                              <w:rPr>
                                <w:rFonts w:hint="eastAsia" w:ascii="宋体" w:hAnsi="宋体" w:eastAsia="宋体" w:cs="宋体"/>
                                <w:sz w:val="28"/>
                                <w:szCs w:val="28"/>
                              </w:rPr>
                              <w:t>主编单位：国标（北京）检验认证有限公司</w:t>
                            </w:r>
                          </w:p>
                          <w:p>
                            <w:pPr>
                              <w:pStyle w:val="66"/>
                              <w:spacing w:before="600"/>
                              <w:rPr>
                                <w:rFonts w:hint="default" w:ascii="黑体" w:hAnsi="黑体" w:eastAsia="黑体"/>
                                <w:sz w:val="36"/>
                                <w:szCs w:val="36"/>
                                <w:lang w:val="en-US" w:eastAsia="zh-CN"/>
                              </w:rPr>
                            </w:pPr>
                            <w:r>
                              <w:rPr>
                                <w:rFonts w:hint="eastAsia" w:ascii="黑体" w:hAnsi="黑体" w:eastAsia="黑体"/>
                                <w:sz w:val="36"/>
                                <w:szCs w:val="36"/>
                              </w:rPr>
                              <w:t>20</w:t>
                            </w:r>
                            <w:r>
                              <w:rPr>
                                <w:rFonts w:hint="eastAsia" w:ascii="黑体" w:hAnsi="黑体" w:eastAsia="黑体"/>
                                <w:sz w:val="36"/>
                                <w:szCs w:val="36"/>
                                <w:lang w:val="en-US" w:eastAsia="zh-CN"/>
                              </w:rPr>
                              <w:t>23-6</w:t>
                            </w:r>
                          </w:p>
                          <w:p>
                            <w:pPr>
                              <w:pStyle w:val="113"/>
                              <w:rPr>
                                <w:rFonts w:hint="eastAsia" w:ascii="宋体" w:hAnsi="宋体" w:eastAsia="宋体" w:cs="宋体"/>
                                <w:sz w:val="28"/>
                                <w:szCs w:val="28"/>
                              </w:rPr>
                            </w:pPr>
                          </w:p>
                        </w:txbxContent>
                      </wps:txbx>
                      <wps:bodyPr lIns="0" tIns="0" rIns="0" bIns="0" upright="1"/>
                    </wps:wsp>
                  </a:graphicData>
                </a:graphic>
              </wp:anchor>
            </w:drawing>
          </mc:Choice>
          <mc:Fallback>
            <w:pict>
              <v:rect id="fmFrame7" o:spid="_x0000_s1026" o:spt="1" style="position:absolute;left:0pt;margin-left:-0.65pt;margin-top:565.15pt;height:121.6pt;width:481.9pt;mso-position-horizontal-relative:margin;mso-position-vertical-relative:margin;z-index:251659264;mso-width-relative:page;mso-height-relative:page;" fillcolor="#FFFFFF" filled="t" stroked="f" coordsize="21600,21600" o:gfxdata="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INJrfrYAAAADAEAAA8AAAAAAAAAAQAgAAAAIgAAAGRycy9kb3ducmV2LnhtbFBLAQIU&#10;ABQAAAAIAIdO4kBYM7RfugEAAI8DAAAOAAAAAAAAAAEAIAAAACcBAABkcnMvZTJvRG9jLnhtbFBL&#10;BQYAAAAABgAGAFkBAABTBQAAAAA=&#10;">
                <v:fill on="t" focussize="0,0"/>
                <v:stroke on="f"/>
                <v:imagedata o:title=""/>
                <o:lock v:ext="edit" aspectratio="f"/>
                <v:textbox inset="0mm,0mm,0mm,0mm">
                  <w:txbxContent>
                    <w:p>
                      <w:pPr>
                        <w:jc w:val="center"/>
                        <w:rPr>
                          <w:rFonts w:ascii="宋体" w:hAnsi="宋体" w:cs="宋体"/>
                          <w:spacing w:val="58"/>
                          <w:w w:val="120"/>
                          <w:sz w:val="28"/>
                          <w:szCs w:val="28"/>
                        </w:rPr>
                      </w:pPr>
                      <w:r>
                        <w:rPr>
                          <w:rFonts w:hint="eastAsia" w:ascii="宋体" w:hAnsi="宋体" w:cs="宋体"/>
                          <w:spacing w:val="58"/>
                          <w:w w:val="120"/>
                          <w:sz w:val="28"/>
                          <w:szCs w:val="28"/>
                        </w:rPr>
                        <w:t>落球冲击试验机校准规范</w:t>
                      </w:r>
                    </w:p>
                    <w:p>
                      <w:pPr>
                        <w:jc w:val="center"/>
                        <w:rPr>
                          <w:rFonts w:ascii="宋体" w:hAnsi="宋体" w:cs="宋体"/>
                          <w:sz w:val="28"/>
                          <w:szCs w:val="28"/>
                        </w:rPr>
                      </w:pPr>
                      <w:r>
                        <w:rPr>
                          <w:rFonts w:hint="eastAsia" w:ascii="宋体" w:hAnsi="宋体" w:cs="宋体"/>
                          <w:spacing w:val="58"/>
                          <w:w w:val="120"/>
                          <w:sz w:val="28"/>
                          <w:szCs w:val="28"/>
                        </w:rPr>
                        <w:t>编制组</w:t>
                      </w:r>
                    </w:p>
                    <w:p>
                      <w:pPr>
                        <w:pStyle w:val="113"/>
                        <w:rPr>
                          <w:rFonts w:hint="eastAsia" w:ascii="宋体" w:hAnsi="宋体" w:eastAsia="宋体" w:cs="宋体"/>
                          <w:sz w:val="28"/>
                          <w:szCs w:val="28"/>
                        </w:rPr>
                      </w:pPr>
                      <w:r>
                        <w:rPr>
                          <w:rFonts w:hint="eastAsia" w:ascii="宋体" w:hAnsi="宋体" w:eastAsia="宋体" w:cs="宋体"/>
                          <w:sz w:val="28"/>
                          <w:szCs w:val="28"/>
                        </w:rPr>
                        <w:t>主编单位：国标（北京）检验认证有限公司</w:t>
                      </w:r>
                    </w:p>
                    <w:p>
                      <w:pPr>
                        <w:pStyle w:val="66"/>
                        <w:spacing w:before="600"/>
                        <w:rPr>
                          <w:rFonts w:hint="default" w:ascii="黑体" w:hAnsi="黑体" w:eastAsia="黑体"/>
                          <w:sz w:val="36"/>
                          <w:szCs w:val="36"/>
                          <w:lang w:val="en-US" w:eastAsia="zh-CN"/>
                        </w:rPr>
                      </w:pPr>
                      <w:r>
                        <w:rPr>
                          <w:rFonts w:hint="eastAsia" w:ascii="黑体" w:hAnsi="黑体" w:eastAsia="黑体"/>
                          <w:sz w:val="36"/>
                          <w:szCs w:val="36"/>
                        </w:rPr>
                        <w:t>20</w:t>
                      </w:r>
                      <w:r>
                        <w:rPr>
                          <w:rFonts w:hint="eastAsia" w:ascii="黑体" w:hAnsi="黑体" w:eastAsia="黑体"/>
                          <w:sz w:val="36"/>
                          <w:szCs w:val="36"/>
                          <w:lang w:val="en-US" w:eastAsia="zh-CN"/>
                        </w:rPr>
                        <w:t>23-6</w:t>
                      </w:r>
                    </w:p>
                    <w:p>
                      <w:pPr>
                        <w:pStyle w:val="113"/>
                        <w:rPr>
                          <w:rFonts w:hint="eastAsia" w:ascii="宋体" w:hAnsi="宋体" w:eastAsia="宋体" w:cs="宋体"/>
                          <w:sz w:val="28"/>
                          <w:szCs w:val="28"/>
                        </w:rPr>
                      </w:pPr>
                    </w:p>
                  </w:txbxContent>
                </v:textbox>
                <w10:anchorlock/>
              </v:rect>
            </w:pict>
          </mc:Fallback>
        </mc:AlternateContent>
      </w:r>
      <w:r>
        <w:rPr>
          <w:rFonts w:hint="default" w:ascii="Times New Roman" w:hAnsi="Times New Roman" w:eastAsia="宋体" w:cs="Times New Roman"/>
          <w:sz w:val="21"/>
          <w:szCs w:val="21"/>
        </w:rPr>
        <mc:AlternateContent>
          <mc:Choice Requires="wps">
            <w:drawing>
              <wp:anchor distT="0" distB="0" distL="114300" distR="114300" simplePos="0" relativeHeight="251660288" behindDoc="0" locked="1" layoutInCell="1" allowOverlap="1">
                <wp:simplePos x="0" y="0"/>
                <wp:positionH relativeFrom="margin">
                  <wp:posOffset>220345</wp:posOffset>
                </wp:positionH>
                <wp:positionV relativeFrom="margin">
                  <wp:posOffset>3543300</wp:posOffset>
                </wp:positionV>
                <wp:extent cx="5969000" cy="2703195"/>
                <wp:effectExtent l="0" t="0" r="12700" b="1905"/>
                <wp:wrapNone/>
                <wp:docPr id="2" name="文本框 5"/>
                <wp:cNvGraphicFramePr/>
                <a:graphic xmlns:a="http://schemas.openxmlformats.org/drawingml/2006/main">
                  <a:graphicData uri="http://schemas.microsoft.com/office/word/2010/wordprocessingShape">
                    <wps:wsp>
                      <wps:cNvSpPr/>
                      <wps:spPr>
                        <a:xfrm>
                          <a:off x="0" y="0"/>
                          <a:ext cx="5969000" cy="2703195"/>
                        </a:xfrm>
                        <a:prstGeom prst="rect">
                          <a:avLst/>
                        </a:prstGeom>
                        <a:solidFill>
                          <a:srgbClr val="FFFFFF"/>
                        </a:solidFill>
                        <a:ln>
                          <a:noFill/>
                        </a:ln>
                      </wps:spPr>
                      <wps:txbx>
                        <w:txbxContent>
                          <w:p>
                            <w:pPr>
                              <w:jc w:val="center"/>
                              <w:rPr>
                                <w:rFonts w:hint="default" w:ascii="Times New Roman" w:hAnsi="Times New Roman" w:eastAsia="黑体" w:cs="Times New Roman"/>
                                <w:sz w:val="44"/>
                                <w:szCs w:val="44"/>
                              </w:rPr>
                            </w:pPr>
                            <w:r>
                              <w:rPr>
                                <w:rFonts w:hint="default" w:ascii="黑体" w:hAnsi="黑体" w:eastAsia="黑体" w:cs="Times New Roman"/>
                                <w:kern w:val="0"/>
                                <w:sz w:val="48"/>
                                <w:szCs w:val="48"/>
                                <w:lang w:val="en-US" w:eastAsia="zh-CN" w:bidi="ar-SA"/>
                              </w:rPr>
                              <w:t>编制说明</w:t>
                            </w:r>
                          </w:p>
                          <w:p>
                            <w:pPr>
                              <w:pStyle w:val="66"/>
                              <w:spacing w:before="600"/>
                              <w:rPr>
                                <w:rFonts w:hint="default" w:ascii="黑体" w:hAnsi="黑体" w:eastAsia="黑体"/>
                                <w:sz w:val="36"/>
                                <w:szCs w:val="36"/>
                                <w:lang w:val="en-US" w:eastAsia="zh-CN"/>
                              </w:rPr>
                            </w:pPr>
                          </w:p>
                        </w:txbxContent>
                      </wps:txbx>
                      <wps:bodyPr lIns="0" tIns="0" rIns="0" bIns="0" upright="1"/>
                    </wps:wsp>
                  </a:graphicData>
                </a:graphic>
              </wp:anchor>
            </w:drawing>
          </mc:Choice>
          <mc:Fallback>
            <w:pict>
              <v:rect id="文本框 5" o:spid="_x0000_s1026" o:spt="1" style="position:absolute;left:0pt;margin-left:17.35pt;margin-top:279pt;height:212.85pt;width:470pt;mso-position-horizontal-relative:margin;mso-position-vertical-relative:margin;z-index:251660288;mso-width-relative:page;mso-height-relative:page;" fillcolor="#FFFFFF" filled="t" stroked="f" coordsize="21600,21600" o:gfxdata="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2u/Fh1wAAAAoBAAAPAAAAAAAAAAEAIAAAACIAAABkcnMv&#10;ZG93bnJldi54bWxQSwECFAAUAAAACACHTuJAQP28LssBAACSAwAADgAAAAAAAAABACAAAAAmAQAA&#10;ZHJzL2Uyb0RvYy54bWxQSwUGAAAAAAYABgBZAQAAYwUAAAAA&#10;">
                <v:fill on="t" focussize="0,0"/>
                <v:stroke on="f"/>
                <v:imagedata o:title=""/>
                <o:lock v:ext="edit" aspectratio="f"/>
                <v:textbox inset="0mm,0mm,0mm,0mm">
                  <w:txbxContent>
                    <w:p>
                      <w:pPr>
                        <w:jc w:val="center"/>
                        <w:rPr>
                          <w:rFonts w:hint="default" w:ascii="Times New Roman" w:hAnsi="Times New Roman" w:eastAsia="黑体" w:cs="Times New Roman"/>
                          <w:sz w:val="44"/>
                          <w:szCs w:val="44"/>
                        </w:rPr>
                      </w:pPr>
                      <w:r>
                        <w:rPr>
                          <w:rFonts w:hint="default" w:ascii="黑体" w:hAnsi="黑体" w:eastAsia="黑体" w:cs="Times New Roman"/>
                          <w:kern w:val="0"/>
                          <w:sz w:val="48"/>
                          <w:szCs w:val="48"/>
                          <w:lang w:val="en-US" w:eastAsia="zh-CN" w:bidi="ar-SA"/>
                        </w:rPr>
                        <w:t>编制说明</w:t>
                      </w:r>
                    </w:p>
                    <w:p>
                      <w:pPr>
                        <w:pStyle w:val="66"/>
                        <w:spacing w:before="600"/>
                        <w:rPr>
                          <w:rFonts w:hint="default" w:ascii="黑体" w:hAnsi="黑体" w:eastAsia="黑体"/>
                          <w:sz w:val="36"/>
                          <w:szCs w:val="36"/>
                          <w:lang w:val="en-US" w:eastAsia="zh-CN"/>
                        </w:rPr>
                      </w:pPr>
                    </w:p>
                  </w:txbxContent>
                </v:textbox>
                <w10:anchorlock/>
              </v:rect>
            </w:pict>
          </mc:Fallback>
        </mc:AlternateContent>
      </w:r>
      <w:r>
        <w:rPr>
          <w:rFonts w:hint="default" w:ascii="Times New Roman" w:hAnsi="Times New Roman" w:eastAsia="宋体" w:cs="Times New Roman"/>
          <w:sz w:val="21"/>
          <w:szCs w:val="21"/>
        </w:rPr>
        <mc:AlternateContent>
          <mc:Choice Requires="wps">
            <w:drawing>
              <wp:anchor distT="0" distB="0" distL="114300" distR="114300" simplePos="0" relativeHeight="251661312" behindDoc="0" locked="1" layoutInCell="1" allowOverlap="1">
                <wp:simplePos x="0" y="0"/>
                <wp:positionH relativeFrom="margin">
                  <wp:posOffset>152400</wp:posOffset>
                </wp:positionH>
                <wp:positionV relativeFrom="margin">
                  <wp:posOffset>1163320</wp:posOffset>
                </wp:positionV>
                <wp:extent cx="6120130" cy="2383790"/>
                <wp:effectExtent l="0" t="0" r="13970" b="16510"/>
                <wp:wrapNone/>
                <wp:docPr id="3" name="文本框 4"/>
                <wp:cNvGraphicFramePr/>
                <a:graphic xmlns:a="http://schemas.openxmlformats.org/drawingml/2006/main">
                  <a:graphicData uri="http://schemas.microsoft.com/office/word/2010/wordprocessingShape">
                    <wps:wsp>
                      <wps:cNvSpPr/>
                      <wps:spPr>
                        <a:xfrm>
                          <a:off x="0" y="0"/>
                          <a:ext cx="6120130" cy="2383790"/>
                        </a:xfrm>
                        <a:prstGeom prst="rect">
                          <a:avLst/>
                        </a:prstGeom>
                        <a:solidFill>
                          <a:srgbClr val="FFFFFF"/>
                        </a:solidFill>
                        <a:ln>
                          <a:noFill/>
                        </a:ln>
                      </wps:spPr>
                      <wps:txbx>
                        <w:txbxContent>
                          <w:p>
                            <w:pPr>
                              <w:pStyle w:val="74"/>
                              <w:rPr>
                                <w:rFonts w:hint="default" w:ascii="Times New Roman" w:hAnsi="Times New Roman" w:eastAsia="黑体" w:cs="Times New Roman"/>
                                <w:sz w:val="44"/>
                                <w:szCs w:val="44"/>
                                <w:lang w:val="en-US" w:eastAsia="zh-CN"/>
                              </w:rPr>
                            </w:pPr>
                            <w:bookmarkStart w:id="246" w:name="_Hlk23687263"/>
                            <w:r>
                              <w:rPr>
                                <w:rFonts w:hint="default" w:ascii="Times New Roman" w:hAnsi="Times New Roman" w:cs="Times New Roman"/>
                                <w:sz w:val="44"/>
                                <w:szCs w:val="44"/>
                              </w:rPr>
                              <w:t xml:space="preserve"> JJF（有色金属）</w:t>
                            </w:r>
                            <w:r>
                              <w:rPr>
                                <w:rFonts w:hint="eastAsia" w:ascii="Times New Roman" w:cs="Times New Roman"/>
                                <w:sz w:val="44"/>
                                <w:szCs w:val="44"/>
                                <w:lang w:val="en-US" w:eastAsia="zh-CN"/>
                              </w:rPr>
                              <w:t>xxxx</w:t>
                            </w:r>
                            <w:r>
                              <w:rPr>
                                <w:rFonts w:hint="default" w:ascii="Times New Roman" w:hAnsi="Times New Roman" w:cs="Times New Roman"/>
                                <w:sz w:val="44"/>
                                <w:szCs w:val="44"/>
                              </w:rPr>
                              <w:t>—</w:t>
                            </w:r>
                            <w:r>
                              <w:rPr>
                                <w:rFonts w:hint="eastAsia" w:ascii="Times New Roman" w:cs="Times New Roman"/>
                                <w:sz w:val="44"/>
                                <w:szCs w:val="44"/>
                                <w:lang w:val="en-US" w:eastAsia="zh-CN"/>
                              </w:rPr>
                              <w:t>20XX</w:t>
                            </w:r>
                          </w:p>
                          <w:bookmarkEnd w:id="246"/>
                          <w:p>
                            <w:pPr>
                              <w:pStyle w:val="74"/>
                              <w:rPr>
                                <w:rFonts w:hint="eastAsia"/>
                                <w:sz w:val="52"/>
                                <w:szCs w:val="52"/>
                                <w:lang w:eastAsia="zh-CN"/>
                              </w:rPr>
                            </w:pPr>
                            <w:bookmarkStart w:id="247" w:name="OLE_LINK1"/>
                            <w:r>
                              <w:rPr>
                                <w:rFonts w:hint="eastAsia"/>
                                <w:sz w:val="52"/>
                                <w:szCs w:val="52"/>
                                <w:lang w:eastAsia="zh-CN"/>
                              </w:rPr>
                              <w:t>《</w:t>
                            </w:r>
                            <w:r>
                              <w:rPr>
                                <w:rFonts w:hint="eastAsia"/>
                                <w:sz w:val="52"/>
                                <w:szCs w:val="52"/>
                              </w:rPr>
                              <w:t>落球冲击试验机校准规范</w:t>
                            </w:r>
                            <w:bookmarkEnd w:id="247"/>
                            <w:r>
                              <w:rPr>
                                <w:rFonts w:hint="eastAsia"/>
                                <w:sz w:val="52"/>
                                <w:szCs w:val="52"/>
                                <w:lang w:eastAsia="zh-CN"/>
                              </w:rPr>
                              <w:t>》</w:t>
                            </w:r>
                          </w:p>
                          <w:p>
                            <w:pPr>
                              <w:pStyle w:val="66"/>
                              <w:spacing w:before="600"/>
                              <w:rPr>
                                <w:rFonts w:ascii="黑体" w:hAnsi="黑体" w:eastAsia="黑体"/>
                                <w:sz w:val="36"/>
                                <w:szCs w:val="36"/>
                              </w:rPr>
                            </w:pPr>
                            <w:r>
                              <w:rPr>
                                <w:rFonts w:hint="eastAsia" w:ascii="黑体" w:hAnsi="黑体" w:eastAsia="黑体"/>
                                <w:sz w:val="36"/>
                                <w:szCs w:val="36"/>
                                <w:lang w:eastAsia="zh-CN"/>
                              </w:rPr>
                              <w:t>征求意见</w:t>
                            </w:r>
                            <w:r>
                              <w:rPr>
                                <w:rFonts w:hint="eastAsia" w:ascii="黑体" w:hAnsi="黑体" w:eastAsia="黑体"/>
                                <w:sz w:val="36"/>
                                <w:szCs w:val="36"/>
                              </w:rPr>
                              <w:t>稿</w:t>
                            </w:r>
                          </w:p>
                          <w:p>
                            <w:pPr>
                              <w:pStyle w:val="74"/>
                              <w:rPr>
                                <w:rFonts w:hint="default"/>
                                <w:sz w:val="52"/>
                                <w:szCs w:val="52"/>
                                <w:lang w:val="en-US" w:eastAsia="zh-CN"/>
                              </w:rPr>
                            </w:pPr>
                          </w:p>
                        </w:txbxContent>
                      </wps:txbx>
                      <wps:bodyPr lIns="0" tIns="0" rIns="0" bIns="0" upright="1"/>
                    </wps:wsp>
                  </a:graphicData>
                </a:graphic>
              </wp:anchor>
            </w:drawing>
          </mc:Choice>
          <mc:Fallback>
            <w:pict>
              <v:rect id="文本框 4" o:spid="_x0000_s1026" o:spt="1" style="position:absolute;left:0pt;margin-left:12pt;margin-top:91.6pt;height:187.7pt;width:481.9pt;mso-position-horizontal-relative:margin;mso-position-vertical-relative:margin;z-index:251661312;mso-width-relative:page;mso-height-relative:page;" fillcolor="#FFFFFF" filled="t" stroked="f" coordsize="21600,21600" o:gfxdata="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ZkYo31wAAAAoBAAAPAAAAAAAAAAEAIAAAACIAAABkcnMv&#10;ZG93bnJldi54bWxQSwECFAAUAAAACACHTuJAY/5bKMsBAACSAwAADgAAAAAAAAABACAAAAAmAQAA&#10;ZHJzL2Uyb0RvYy54bWxQSwUGAAAAAAYABgBZAQAAYwUAAAAA&#10;">
                <v:fill on="t" focussize="0,0"/>
                <v:stroke on="f"/>
                <v:imagedata o:title=""/>
                <o:lock v:ext="edit" aspectratio="f"/>
                <v:textbox inset="0mm,0mm,0mm,0mm">
                  <w:txbxContent>
                    <w:p>
                      <w:pPr>
                        <w:pStyle w:val="74"/>
                        <w:rPr>
                          <w:rFonts w:hint="default" w:ascii="Times New Roman" w:hAnsi="Times New Roman" w:eastAsia="黑体" w:cs="Times New Roman"/>
                          <w:sz w:val="44"/>
                          <w:szCs w:val="44"/>
                          <w:lang w:val="en-US" w:eastAsia="zh-CN"/>
                        </w:rPr>
                      </w:pPr>
                      <w:bookmarkStart w:id="246" w:name="_Hlk23687263"/>
                      <w:r>
                        <w:rPr>
                          <w:rFonts w:hint="default" w:ascii="Times New Roman" w:hAnsi="Times New Roman" w:cs="Times New Roman"/>
                          <w:sz w:val="44"/>
                          <w:szCs w:val="44"/>
                        </w:rPr>
                        <w:t xml:space="preserve"> JJF（有色金属）</w:t>
                      </w:r>
                      <w:r>
                        <w:rPr>
                          <w:rFonts w:hint="eastAsia" w:ascii="Times New Roman" w:cs="Times New Roman"/>
                          <w:sz w:val="44"/>
                          <w:szCs w:val="44"/>
                          <w:lang w:val="en-US" w:eastAsia="zh-CN"/>
                        </w:rPr>
                        <w:t>xxxx</w:t>
                      </w:r>
                      <w:r>
                        <w:rPr>
                          <w:rFonts w:hint="default" w:ascii="Times New Roman" w:hAnsi="Times New Roman" w:cs="Times New Roman"/>
                          <w:sz w:val="44"/>
                          <w:szCs w:val="44"/>
                        </w:rPr>
                        <w:t>—</w:t>
                      </w:r>
                      <w:r>
                        <w:rPr>
                          <w:rFonts w:hint="eastAsia" w:ascii="Times New Roman" w:cs="Times New Roman"/>
                          <w:sz w:val="44"/>
                          <w:szCs w:val="44"/>
                          <w:lang w:val="en-US" w:eastAsia="zh-CN"/>
                        </w:rPr>
                        <w:t>20XX</w:t>
                      </w:r>
                    </w:p>
                    <w:bookmarkEnd w:id="246"/>
                    <w:p>
                      <w:pPr>
                        <w:pStyle w:val="74"/>
                        <w:rPr>
                          <w:rFonts w:hint="eastAsia"/>
                          <w:sz w:val="52"/>
                          <w:szCs w:val="52"/>
                          <w:lang w:eastAsia="zh-CN"/>
                        </w:rPr>
                      </w:pPr>
                      <w:bookmarkStart w:id="247" w:name="OLE_LINK1"/>
                      <w:r>
                        <w:rPr>
                          <w:rFonts w:hint="eastAsia"/>
                          <w:sz w:val="52"/>
                          <w:szCs w:val="52"/>
                          <w:lang w:eastAsia="zh-CN"/>
                        </w:rPr>
                        <w:t>《</w:t>
                      </w:r>
                      <w:r>
                        <w:rPr>
                          <w:rFonts w:hint="eastAsia"/>
                          <w:sz w:val="52"/>
                          <w:szCs w:val="52"/>
                        </w:rPr>
                        <w:t>落球冲击试验机校准规范</w:t>
                      </w:r>
                      <w:bookmarkEnd w:id="247"/>
                      <w:r>
                        <w:rPr>
                          <w:rFonts w:hint="eastAsia"/>
                          <w:sz w:val="52"/>
                          <w:szCs w:val="52"/>
                          <w:lang w:eastAsia="zh-CN"/>
                        </w:rPr>
                        <w:t>》</w:t>
                      </w:r>
                    </w:p>
                    <w:p>
                      <w:pPr>
                        <w:pStyle w:val="66"/>
                        <w:spacing w:before="600"/>
                        <w:rPr>
                          <w:rFonts w:ascii="黑体" w:hAnsi="黑体" w:eastAsia="黑体"/>
                          <w:sz w:val="36"/>
                          <w:szCs w:val="36"/>
                        </w:rPr>
                      </w:pPr>
                      <w:r>
                        <w:rPr>
                          <w:rFonts w:hint="eastAsia" w:ascii="黑体" w:hAnsi="黑体" w:eastAsia="黑体"/>
                          <w:sz w:val="36"/>
                          <w:szCs w:val="36"/>
                          <w:lang w:eastAsia="zh-CN"/>
                        </w:rPr>
                        <w:t>征求意见</w:t>
                      </w:r>
                      <w:r>
                        <w:rPr>
                          <w:rFonts w:hint="eastAsia" w:ascii="黑体" w:hAnsi="黑体" w:eastAsia="黑体"/>
                          <w:sz w:val="36"/>
                          <w:szCs w:val="36"/>
                        </w:rPr>
                        <w:t>稿</w:t>
                      </w:r>
                    </w:p>
                    <w:p>
                      <w:pPr>
                        <w:pStyle w:val="74"/>
                        <w:rPr>
                          <w:rFonts w:hint="default"/>
                          <w:sz w:val="52"/>
                          <w:szCs w:val="52"/>
                          <w:lang w:val="en-US" w:eastAsia="zh-CN"/>
                        </w:rPr>
                      </w:pPr>
                    </w:p>
                  </w:txbxContent>
                </v:textbox>
                <w10:anchorlock/>
              </v:rect>
            </w:pict>
          </mc:Fallback>
        </mc:AlternateContent>
      </w:r>
      <w:bookmarkEnd w:id="0"/>
    </w:p>
    <w:p>
      <w:pPr>
        <w:pStyle w:val="71"/>
        <w:numPr>
          <w:ilvl w:val="0"/>
          <w:numId w:val="0"/>
        </w:numPr>
        <w:ind w:left="840" w:hanging="420"/>
        <w:jc w:val="center"/>
        <w:rPr>
          <w:rFonts w:hint="default" w:ascii="Times New Roman" w:hAnsi="Times New Roman" w:eastAsia="宋体" w:cs="Times New Roman"/>
          <w:b/>
          <w:sz w:val="21"/>
          <w:szCs w:val="21"/>
        </w:rPr>
      </w:pPr>
    </w:p>
    <w:p>
      <w:pPr>
        <w:pStyle w:val="57"/>
        <w:ind w:firstLine="420"/>
        <w:rPr>
          <w:rFonts w:hint="default" w:ascii="Times New Roman" w:hAnsi="Times New Roman" w:eastAsia="宋体" w:cs="Times New Roman"/>
          <w:sz w:val="21"/>
          <w:szCs w:val="21"/>
        </w:rPr>
        <w:sectPr>
          <w:headerReference r:id="rId3" w:type="default"/>
          <w:footerReference r:id="rId5" w:type="default"/>
          <w:headerReference r:id="rId4" w:type="even"/>
          <w:footerReference r:id="rId6" w:type="even"/>
          <w:pgSz w:w="11907" w:h="16839"/>
          <w:pgMar w:top="1418" w:right="1134" w:bottom="1134" w:left="1418" w:header="1418" w:footer="851" w:gutter="0"/>
          <w:pgBorders>
            <w:top w:val="none" w:sz="0" w:space="0"/>
            <w:left w:val="none" w:sz="0" w:space="0"/>
            <w:bottom w:val="none" w:sz="0" w:space="0"/>
            <w:right w:val="none" w:sz="0" w:space="0"/>
          </w:pgBorders>
          <w:pgNumType w:fmt="upperRoman" w:start="1"/>
          <w:cols w:space="720" w:num="1"/>
          <w:docGrid w:type="linesAndChars" w:linePitch="312" w:charSpace="0"/>
        </w:sectPr>
      </w:pPr>
    </w:p>
    <w:p>
      <w:pPr>
        <w:pStyle w:val="74"/>
        <w:rPr>
          <w:rFonts w:hint="default" w:ascii="Times New Roman" w:hAnsi="Times New Roman" w:eastAsia="宋体" w:cs="Times New Roman"/>
          <w:sz w:val="21"/>
          <w:szCs w:val="21"/>
          <w:lang w:eastAsia="zh-CN"/>
        </w:rPr>
      </w:pPr>
      <w:bookmarkStart w:id="2" w:name="_Toc464728891"/>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落球冲击试验机校准规范</w:t>
      </w:r>
      <w:r>
        <w:rPr>
          <w:rFonts w:hint="default" w:ascii="Times New Roman" w:hAnsi="Times New Roman" w:eastAsia="宋体" w:cs="Times New Roman"/>
          <w:sz w:val="21"/>
          <w:szCs w:val="21"/>
          <w:lang w:eastAsia="zh-CN"/>
        </w:rPr>
        <w:t>》</w:t>
      </w:r>
    </w:p>
    <w:p>
      <w:pPr>
        <w:pStyle w:val="74"/>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《报批稿》</w:t>
      </w:r>
      <w:r>
        <w:rPr>
          <w:rFonts w:hint="default" w:ascii="Times New Roman" w:hAnsi="Times New Roman" w:eastAsia="宋体" w:cs="Times New Roman"/>
          <w:sz w:val="21"/>
          <w:szCs w:val="21"/>
          <w:lang w:eastAsia="zh-CN"/>
        </w:rPr>
        <w:t>编制说明</w:t>
      </w:r>
    </w:p>
    <w:p>
      <w:pPr>
        <w:pStyle w:val="73"/>
        <w:numPr>
          <w:ilvl w:val="0"/>
          <w:numId w:val="0"/>
        </w:numPr>
        <w:tabs>
          <w:tab w:val="left" w:pos="426"/>
        </w:tabs>
        <w:spacing w:before="312" w:beforeLines="100" w:after="312" w:afterLines="100"/>
        <w:ind w:leftChars="-200"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一、</w:t>
      </w:r>
      <w:r>
        <w:rPr>
          <w:rFonts w:hint="default" w:ascii="Times New Roman" w:hAnsi="Times New Roman" w:eastAsia="宋体" w:cs="Times New Roman"/>
          <w:sz w:val="21"/>
          <w:szCs w:val="21"/>
        </w:rPr>
        <w:t>工作简况</w:t>
      </w:r>
      <w:bookmarkEnd w:id="2"/>
    </w:p>
    <w:p>
      <w:pPr>
        <w:pStyle w:val="60"/>
        <w:spacing w:before="156" w:after="156" w:line="300" w:lineRule="auto"/>
        <w:ind w:left="0"/>
        <w:contextualSpacing/>
        <w:rPr>
          <w:rFonts w:hint="default" w:ascii="Times New Roman" w:hAnsi="Times New Roman" w:eastAsia="宋体" w:cs="Times New Roman"/>
          <w:sz w:val="21"/>
          <w:szCs w:val="21"/>
        </w:rPr>
      </w:pPr>
      <w:bookmarkStart w:id="3" w:name="_Toc456592524"/>
      <w:bookmarkStart w:id="4" w:name="_Toc464728892"/>
      <w:r>
        <w:rPr>
          <w:rFonts w:hint="default" w:ascii="Times New Roman" w:hAnsi="Times New Roman" w:eastAsia="宋体" w:cs="Times New Roman"/>
          <w:sz w:val="21"/>
          <w:szCs w:val="21"/>
        </w:rPr>
        <w:t>立项目的</w:t>
      </w:r>
      <w:bookmarkEnd w:id="3"/>
      <w:bookmarkEnd w:id="4"/>
    </w:p>
    <w:p>
      <w:pPr>
        <w:spacing w:line="360" w:lineRule="auto"/>
        <w:ind w:firstLine="420" w:firstLineChars="20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落球冲击试验机使用规定重量的锤头，在规定的高度内冲击到样品表面，通过评价材料的变形破损程度或膜层的结合情况，来表征材料的抗变形破裂性。在有色金属材料行业得到了广泛的应用，例如铝及铝合金阳极氧化膜及有机聚合物膜的抗变形破裂性就是用了落锤试验机、铝合金建筑型材、幕墙板、电动汽车用电池托盘、铝合金汽车防撞梁、铝合金天窗导轨用型材、轨道列车用铝合金型材、太阳能边框用铝合金型材等户外使用的产品性能评价均需使用该设备。除有色金属行业以外，建筑材料行业也多有应用，不过各行业的设备根据使用条件不同在锤头重量和尺寸方面略有不同。</w:t>
      </w:r>
    </w:p>
    <w:p>
      <w:pPr>
        <w:spacing w:line="360" w:lineRule="auto"/>
        <w:ind w:firstLine="420" w:firstLineChars="200"/>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val="en-US" w:eastAsia="zh-CN"/>
        </w:rPr>
        <w:t>目前该试验机的溯源校准基本依靠各个试验方法进行，没有专用的校准规范，市场上的校准方法繁杂，大多企业根据自身情况进行自校准，这对规范仪器设备生产、保证设备质量起不到规范作用。科学的校准规范能规范校准操作并确保校准结果的准确性，便于该仪器的广泛推广应用，保证轨道列车、汽车、建筑型材、太阳能电池等领域产品性能检测的量值溯源，上述产品会对汽车轻量化、绿色能源产业的发展起到促进作用，较好的支撑我国碳中和、碳达峰的总体目标。</w:t>
      </w:r>
    </w:p>
    <w:p>
      <w:pPr>
        <w:pStyle w:val="60"/>
        <w:spacing w:before="156" w:after="156" w:line="300" w:lineRule="auto"/>
        <w:ind w:left="0"/>
        <w:contextualSpacing/>
        <w:rPr>
          <w:rFonts w:hint="default" w:ascii="Times New Roman" w:hAnsi="Times New Roman" w:eastAsia="宋体" w:cs="Times New Roman"/>
          <w:sz w:val="21"/>
          <w:szCs w:val="21"/>
        </w:rPr>
      </w:pPr>
      <w:bookmarkStart w:id="5" w:name="_Toc464728896"/>
      <w:r>
        <w:rPr>
          <w:rFonts w:hint="default" w:ascii="Times New Roman" w:hAnsi="Times New Roman" w:eastAsia="宋体" w:cs="Times New Roman"/>
          <w:sz w:val="21"/>
          <w:szCs w:val="21"/>
        </w:rPr>
        <w:t>任务来源</w:t>
      </w:r>
      <w:bookmarkEnd w:id="5"/>
    </w:p>
    <w:p>
      <w:pPr>
        <w:spacing w:line="360" w:lineRule="auto"/>
        <w:ind w:firstLine="420" w:firstLineChars="200"/>
        <w:contextualSpacing/>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为保证和提升我国膜层材料抗变形破裂性试验数据的准确性产品质量，适应行业的快速发展和满足国内外市场的需要，工业和信息化部以工信厅科函[2022]464号文下达了《工业和信息化部办公厅关于印发2022年行业计量技术规范制修订计划的通知》，其申报号为：JJFZ(有色金属)-001-2022，计划完成年限为2024年。</w:t>
      </w:r>
    </w:p>
    <w:p>
      <w:pPr>
        <w:pStyle w:val="60"/>
        <w:spacing w:before="156" w:after="156" w:line="300" w:lineRule="auto"/>
        <w:ind w:left="0"/>
        <w:contextualSpacing/>
        <w:rPr>
          <w:rFonts w:hint="default" w:ascii="Times New Roman" w:hAnsi="Times New Roman" w:eastAsia="宋体" w:cs="Times New Roman"/>
          <w:sz w:val="21"/>
          <w:szCs w:val="21"/>
        </w:rPr>
      </w:pPr>
      <w:bookmarkStart w:id="6" w:name="_Toc462884342"/>
      <w:bookmarkStart w:id="7" w:name="_Toc464728898"/>
      <w:r>
        <w:rPr>
          <w:rFonts w:hint="default" w:ascii="Times New Roman" w:hAnsi="Times New Roman" w:eastAsia="宋体" w:cs="Times New Roman"/>
          <w:sz w:val="21"/>
          <w:szCs w:val="21"/>
        </w:rPr>
        <w:t>项目编制组单位简况</w:t>
      </w:r>
      <w:bookmarkEnd w:id="6"/>
      <w:bookmarkEnd w:id="7"/>
      <w:r>
        <w:rPr>
          <w:rFonts w:hint="default" w:ascii="Times New Roman" w:hAnsi="Times New Roman" w:eastAsia="宋体" w:cs="Times New Roman"/>
          <w:sz w:val="21"/>
          <w:szCs w:val="21"/>
        </w:rPr>
        <w:t xml:space="preserve">      </w:t>
      </w:r>
    </w:p>
    <w:p>
      <w:pPr>
        <w:pStyle w:val="59"/>
        <w:spacing w:before="156" w:beforeLines="50" w:after="156" w:afterLines="50" w:line="240" w:lineRule="auto"/>
        <w:ind w:left="0"/>
        <w:rPr>
          <w:rFonts w:hint="default" w:ascii="Times New Roman" w:hAnsi="Times New Roman" w:eastAsia="宋体" w:cs="Times New Roman"/>
          <w:color w:val="auto"/>
          <w:sz w:val="21"/>
          <w:szCs w:val="21"/>
        </w:rPr>
      </w:pPr>
      <w:bookmarkStart w:id="8" w:name="_Toc464728899"/>
      <w:bookmarkStart w:id="9" w:name="_Toc462884343"/>
      <w:r>
        <w:rPr>
          <w:rFonts w:hint="default" w:ascii="Times New Roman" w:hAnsi="Times New Roman" w:eastAsia="宋体" w:cs="Times New Roman"/>
          <w:color w:val="auto"/>
          <w:sz w:val="21"/>
          <w:szCs w:val="21"/>
        </w:rPr>
        <w:t>编制组成员单位</w:t>
      </w:r>
      <w:bookmarkEnd w:id="8"/>
      <w:bookmarkEnd w:id="9"/>
    </w:p>
    <w:p>
      <w:pPr>
        <w:spacing w:line="300" w:lineRule="auto"/>
        <w:ind w:firstLine="420" w:firstLineChars="200"/>
        <w:contextualSpacing/>
        <w:jc w:val="left"/>
        <w:rPr>
          <w:rFonts w:hint="default" w:ascii="Times New Roman" w:hAnsi="Times New Roman" w:eastAsia="宋体" w:cs="Times New Roman"/>
          <w:sz w:val="21"/>
          <w:szCs w:val="21"/>
        </w:rPr>
      </w:pPr>
      <w:bookmarkStart w:id="10" w:name="_Toc462884344"/>
      <w:bookmarkStart w:id="11" w:name="_Toc464728900"/>
      <w:r>
        <w:rPr>
          <w:rFonts w:hint="default" w:ascii="Times New Roman" w:hAnsi="Times New Roman" w:eastAsia="宋体" w:cs="Times New Roman"/>
          <w:sz w:val="21"/>
          <w:szCs w:val="21"/>
        </w:rPr>
        <w:t>本标准的编制组单位为：国标（北京）检验认证有限公司、西安汉唐分析检测有限公司</w:t>
      </w:r>
      <w:r>
        <w:rPr>
          <w:rFonts w:hint="default" w:ascii="Times New Roman" w:hAnsi="Times New Roman" w:eastAsia="宋体" w:cs="Times New Roman"/>
          <w:sz w:val="21"/>
          <w:szCs w:val="21"/>
          <w:lang w:eastAsia="zh-CN"/>
        </w:rPr>
        <w:t>、东北轻合金有限责任公司、</w:t>
      </w:r>
      <w:r>
        <w:rPr>
          <w:rFonts w:hint="default" w:ascii="Times New Roman" w:hAnsi="Times New Roman" w:eastAsia="宋体" w:cs="Times New Roman"/>
          <w:sz w:val="21"/>
          <w:szCs w:val="21"/>
        </w:rPr>
        <w:t>广东省科学院工业分析检测中心。编制组成员单位均是我国有色金属行业的主要计量及科研研制单位。</w:t>
      </w:r>
    </w:p>
    <w:bookmarkEnd w:id="10"/>
    <w:bookmarkEnd w:id="11"/>
    <w:p>
      <w:pPr>
        <w:pStyle w:val="59"/>
        <w:spacing w:before="156" w:beforeLines="50" w:after="156" w:afterLines="50"/>
        <w:ind w:left="0"/>
        <w:contextualSpacing/>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主编单位简介</w:t>
      </w:r>
    </w:p>
    <w:p>
      <w:pPr>
        <w:pStyle w:val="58"/>
        <w:spacing w:before="156" w:beforeLines="50" w:after="156" w:afterLines="50"/>
        <w:ind w:left="2"/>
        <w:contextualSpacing/>
        <w:rPr>
          <w:rFonts w:hint="default" w:ascii="Times New Roman" w:hAnsi="Times New Roman" w:eastAsia="宋体" w:cs="Times New Roman"/>
          <w:color w:val="auto"/>
          <w:sz w:val="21"/>
          <w:szCs w:val="21"/>
        </w:rPr>
      </w:pPr>
      <w:r>
        <w:rPr>
          <w:rFonts w:hint="default" w:ascii="Times New Roman" w:hAnsi="Times New Roman" w:eastAsia="宋体" w:cs="Times New Roman"/>
          <w:sz w:val="21"/>
          <w:szCs w:val="21"/>
        </w:rPr>
        <w:t>国标（北京）检验认证有限公司</w:t>
      </w:r>
    </w:p>
    <w:p>
      <w:pPr>
        <w:spacing w:line="300" w:lineRule="auto"/>
        <w:ind w:firstLine="420" w:firstLineChars="200"/>
        <w:contextualSpacing/>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国标（北京）检验认证有限公司是我国有色行业的材料研究和材料检测的权威机构。该公司运行着国家有色金属质量监督检验中心，于1985年开始筹建并承担检验任务。1990年通过国家技术质量监督检验检疫总局的审查认可，2001年通过实验室“三合一”认可。是我国有色行业金属材料检测的权威机构。中心拥有雄厚的技术力量，先进的仪器，齐全的分析方法，以及与国际接轨的质量管理体系（ISO/IEC 17025），承接了国家质量监督抽查、实施生产许可证产品的质量检验、方圆产品认证检验、产品质量鉴定、质量评价和仲裁检验等任务。同时，研究开发新的检验技术和方法；培训检验人员和技术咨询；承担和参加国家标准、行业标准的制定和修订工作，负责和参与起草制订国家标准150余项，行业标准70余项。</w:t>
      </w:r>
    </w:p>
    <w:p>
      <w:pPr>
        <w:spacing w:line="300" w:lineRule="auto"/>
        <w:ind w:firstLine="420" w:firstLineChars="200"/>
        <w:contextualSpacing/>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在铝及铝合金材料的监督检验方面，该公司具备深厚的基础，承担了大量的分析检测任务和标准起草制定工作。实验室配备有ICP-MS、ICP-ES、GD-MS、光谱仪、氧氮氢测定仪等一系列化学分析仪器，可对铝及铝合金材料进行全元素定性和定量分析。实验室配备了万能材料试验机及相关配套设备，可进行高低室温下的拉伸、压缩、剪切等力学性能试验，以及弯曲、扩口、压扁、杯突等工艺性能的检测、配备有高周、低周和弯曲疲劳试验机及高、低温环境箱，可进行高、低、室温下的高周疲劳和弯曲疲劳性能，以及室温下的低周疲劳、裂纹扩展速率、断裂韧性、腐蚀疲劳等性能的检测。配备了多种硬度检测设备，可进行布氏、洛氏、维氏、韦氏等硬度检测。另外还可开展铝及铝合金的应力腐蚀、剥落腐蚀、盐雾腐蚀等抗腐蚀性能的检测，以及持久蠕变试验、冲击试验、热分析、粗糙度、电性能、密度、涂层性能等参数的检测，基本涵盖了铝及铝合金产品监督检验的领域范围。</w:t>
      </w:r>
    </w:p>
    <w:p>
      <w:pPr>
        <w:spacing w:line="300" w:lineRule="auto"/>
        <w:ind w:firstLine="420" w:firstLineChars="200"/>
        <w:contextualSpacing/>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本单位积极组织编制组各次工作会议，开展相关的校准，有效组织参编单位多次对标准的各版《征求意见稿》进行认真的讨论和审议，提出大量有益的意见和建议，在编制组中发挥了牵头作用。</w:t>
      </w:r>
    </w:p>
    <w:p>
      <w:pPr>
        <w:pStyle w:val="59"/>
        <w:spacing w:before="156" w:beforeLines="50" w:after="156" w:afterLines="50" w:line="240" w:lineRule="auto"/>
        <w:ind w:left="0"/>
        <w:rPr>
          <w:rFonts w:hint="default" w:ascii="Times New Roman" w:hAnsi="Times New Roman" w:eastAsia="宋体" w:cs="Times New Roman"/>
          <w:color w:val="auto"/>
          <w:sz w:val="21"/>
          <w:szCs w:val="21"/>
        </w:rPr>
      </w:pPr>
      <w:bookmarkStart w:id="12" w:name="_Toc464728901"/>
      <w:bookmarkStart w:id="13" w:name="_Toc462884345"/>
      <w:r>
        <w:rPr>
          <w:rFonts w:hint="default" w:ascii="Times New Roman" w:hAnsi="Times New Roman" w:eastAsia="宋体" w:cs="Times New Roman"/>
          <w:color w:val="auto"/>
          <w:sz w:val="21"/>
          <w:szCs w:val="21"/>
        </w:rPr>
        <w:t>成员单位简介</w:t>
      </w:r>
      <w:bookmarkEnd w:id="12"/>
      <w:bookmarkEnd w:id="13"/>
    </w:p>
    <w:p>
      <w:pPr>
        <w:pStyle w:val="58"/>
        <w:spacing w:before="156" w:beforeLines="50" w:after="156" w:afterLines="50"/>
        <w:ind w:left="2"/>
        <w:contextualSpacing/>
        <w:rPr>
          <w:rFonts w:hint="default" w:ascii="Times New Roman" w:hAnsi="Times New Roman" w:eastAsia="宋体" w:cs="Times New Roman"/>
          <w:color w:val="auto"/>
          <w:sz w:val="21"/>
          <w:szCs w:val="21"/>
        </w:rPr>
      </w:pPr>
      <w:r>
        <w:rPr>
          <w:rFonts w:hint="default" w:ascii="Times New Roman" w:hAnsi="Times New Roman" w:eastAsia="宋体" w:cs="Times New Roman"/>
          <w:sz w:val="21"/>
          <w:szCs w:val="21"/>
        </w:rPr>
        <w:t>西安汉唐分析检测有限公司</w:t>
      </w:r>
    </w:p>
    <w:p>
      <w:pPr>
        <w:spacing w:line="300" w:lineRule="auto"/>
        <w:ind w:firstLine="420" w:firstLineChars="200"/>
        <w:contextualSpacing/>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西安汉唐分析检测有限公司成立于2018年8月，是由西北有色金属研究院（集团）整合其分析检测资源组建的具有独立法律地位的检验检测机构。公司实验室可追溯于1965年，是我国较早开展有色金属材料分析检验检测与评价研究的专业机构之一。</w:t>
      </w:r>
    </w:p>
    <w:p>
      <w:pPr>
        <w:spacing w:line="300" w:lineRule="auto"/>
        <w:ind w:firstLine="420" w:firstLineChars="200"/>
        <w:contextualSpacing/>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公司具有雄厚的技术力量、完整的检验检测手段和先进的检验检测设备；在国内有色金属检验检测领域处于领先地位。认可或认证资质齐全，先后通过国家认证认可监督委员会(CMA)、中国合格评定国家认可委员会(CNAS)和国防科技工业实验室认可委员会(DILAC)认证，是国家工信部授权的“工业（稀有金属）产品质量控制和技术评价实验室”，也是陕西省科技厅授权的“陕西省有色金属分析检测与评价中心”、“核工业用金属材料检测与评价服务平台”、“稀有金属检测信息化管理及共享平台”、“陕西省稀有金属材料安全评估与失效分析平台”。2020年初，陕西省市场监督管理局批复公司负责筹建“陕西省有色金属产业计量测试中心”。</w:t>
      </w:r>
    </w:p>
    <w:p>
      <w:pPr>
        <w:spacing w:line="300" w:lineRule="auto"/>
        <w:ind w:firstLine="420" w:firstLineChars="200"/>
        <w:contextualSpacing/>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目前，公司在西安、宝鸡两地三区设立活动场所，检测面积8000余平米；下设泾渭分部、西北院分部、宝鸡分公司等三个业务分部，以及技术质量部、行政人事部、市场部、设备安环部、财务部、校准计量部等六个职能部门。现有工作人员150余名，其中技术人员70余名，拥有各种仪器设备设施120多台套。主要承担有色金属、稀有金属、贵金属、钢铁及其合金等产品的化学成份分析、物理性能与力学性能、腐蚀性能测试；材料表面形貌、成分、元素价态等特性的测试与表征；检定校准工作；同时提供技术咨询、实验室规划设计、国际/国家/行业标准制定、计量技术规范、分析方法研究、标准物质研制、人员培训等服务项目。</w:t>
      </w:r>
    </w:p>
    <w:p>
      <w:pPr>
        <w:pStyle w:val="58"/>
        <w:spacing w:before="156" w:beforeLines="50" w:after="156" w:afterLines="50"/>
        <w:ind w:left="2"/>
        <w:contextualSpacing/>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东北轻合金有限责任公司</w:t>
      </w:r>
    </w:p>
    <w:p>
      <w:pPr>
        <w:pStyle w:val="57"/>
        <w:keepNext w:val="0"/>
        <w:keepLines w:val="0"/>
        <w:pageBreakBefore w:val="0"/>
        <w:widowControl/>
        <w:kinsoku/>
        <w:wordWrap/>
        <w:overflowPunct/>
        <w:topLinePunct w:val="0"/>
        <w:autoSpaceDE w:val="0"/>
        <w:autoSpaceDN w:val="0"/>
        <w:bidi w:val="0"/>
        <w:adjustRightInd w:val="0"/>
        <w:snapToGrid w:val="0"/>
        <w:spacing w:line="300" w:lineRule="auto"/>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东北轻合金有限责任公司（即101厂，以下简称东轻公司）是建国初期陈云同志向党中央撰写报告，由毛泽东、朱德、周恩来、刘少奇亲自阅定、签批筹建的中国第一个铝镁合金加工企业，是国家“一五”期间156项重点工程中的2项。1952年建厂，1956年开工生产。1998年6月改制为国有独资公司，2000年7月划归哈尔滨市管理。2007年9月进入中国铝业公司，成为中国铝业公司a铝加工五大基地之一。 公司主要生产“天鹅”牌铝、镁及其合金板、带、箔、管、棒、型、线、粉、材、锻件等产品，广泛应用于航空航天、兵器舰船、石油化工、交通运输、电子轻工等国民经济各领域，满足各类飞机、舰艇、导弹、运载火箭及常规兵器的需要。</w:t>
      </w:r>
    </w:p>
    <w:p>
      <w:pPr>
        <w:spacing w:line="300" w:lineRule="auto"/>
        <w:ind w:firstLine="420" w:firstLineChars="200"/>
        <w:contextualSpacing/>
        <w:jc w:val="left"/>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六十多年来，东轻公司创造了中国铝加工历史上无数个第一，为国产C919大飞机、第一艘远洋巨轮、核潜艇以及“神舟”系列飞船和“嫦娥一号”等重点工程提供了大量轻合金材料，为我国航空航天、国防军工事业的起步与发展做出了重要贡献，被盛誉为“祖国的银色支柱”、“中国铝镁加工业的摇篮”。公司于1996年通过了ISO9001国际质量体系认证，近年来先后通过军工产品质量体系认证、AS9100、PED压力容器以及中国新时代认证中心的质量管理体系、职业健康安全和环境管理体系认证等。公司曾获得“国家质量管理奖”、“国家一级企业”、“质量、服务、信誉AAA级品牌、“国家优秀计量企业”，“黑龙江省先进计量企业”称号，并获得计量一级企业，2001年获得完善计量检测体系（GB／T19022.1）合格证书，2020年9月获得测量管理体系认证证书。计量管理是公司质量保证体系的重要组成部分，生产保障中心是公司计量专职部门，具备完善的计量体系和现代化的检测设备，是公司专门的计量检定校准机构。公司下设熔铸、板带、特种材料、中厚板等生产分厂（公司）及生产保障、龙翔包装公司等辅助部门，并且设备配套齐全、技术先进，手段齐全，功能完善。有着六十余年辉煌生产历史，充满生机和活力，并具有美好发展前景的东轻公司，将为满足顾客不断发展的需求和期望，为振兴中国的铝加工业作出新的贡献。</w:t>
      </w:r>
    </w:p>
    <w:p>
      <w:pPr>
        <w:pStyle w:val="58"/>
        <w:spacing w:before="156" w:beforeLines="50" w:after="156" w:afterLines="50"/>
        <w:ind w:left="2"/>
        <w:contextualSpacing/>
        <w:rPr>
          <w:rFonts w:hint="default" w:ascii="Times New Roman" w:hAnsi="Times New Roman" w:eastAsia="宋体" w:cs="Times New Roman"/>
          <w:color w:val="auto"/>
          <w:sz w:val="21"/>
          <w:szCs w:val="21"/>
        </w:rPr>
      </w:pPr>
      <w:bookmarkStart w:id="14" w:name="_Toc464728903"/>
      <w:bookmarkStart w:id="15" w:name="_Toc462884347"/>
      <w:bookmarkStart w:id="16" w:name="_Toc462884357"/>
      <w:bookmarkStart w:id="17" w:name="_Toc464728913"/>
      <w:r>
        <w:rPr>
          <w:rFonts w:hint="default" w:ascii="Times New Roman" w:hAnsi="Times New Roman" w:eastAsia="宋体" w:cs="Times New Roman"/>
          <w:sz w:val="21"/>
          <w:szCs w:val="21"/>
          <w:lang w:val="en-US" w:eastAsia="zh-CN"/>
        </w:rPr>
        <w:t>广东省科学院工业分析检测中心</w:t>
      </w:r>
    </w:p>
    <w:p>
      <w:pPr>
        <w:spacing w:line="300" w:lineRule="auto"/>
        <w:ind w:firstLine="420" w:firstLineChars="200"/>
        <w:contextualSpacing/>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 xml:space="preserve">广东省科学院工业分析检测中心（原广东省工业分析检测中心）是我国从事金属材料、冶金产品、化工产品、再生资源质量检测、欧盟环保（RoHS）指令的有害物质检测、金属材料综合利用检测与咨询、评价以及分析测试技术研究的专业机构。 </w:t>
      </w:r>
    </w:p>
    <w:p>
      <w:pPr>
        <w:spacing w:line="300" w:lineRule="auto"/>
        <w:ind w:firstLine="420" w:firstLineChars="200"/>
        <w:contextualSpacing/>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 xml:space="preserve">    中心始建于1971 年，先后隶属于广州有色金属研究院、广东省工业技术研究院（广州有色金属研究院），2015年12月经广东省机构编制委员会批准成为广东省科学院属下的独立二级事业法人单位。 </w:t>
      </w:r>
    </w:p>
    <w:p>
      <w:pPr>
        <w:spacing w:line="300" w:lineRule="auto"/>
        <w:contextualSpacing/>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 xml:space="preserve">1988 年经原国家进出口商品检验局考核，认可为“钢材及有色金属商检实验室”，是我国第一批被认可的从事进出口商品检验的社会实验室。 1988 年通过国家和省级计量认证，被确认为法定的产品质量监督检验机构，授权为“中国有色金属工业华南产品质量监督检验中心”和“广东省质量监督有色金属产品检验站”。 1989 年经广东省科委批准为“广东省科技成果鉴定检验监督机构”。 1994 年通过中国实验室国家认可委员会认可，是我国第一批公布的60个获得国家认可和国际互认的实验室之一。1996 年被中国方圆标志认证委员会确认为认证产品检验实验室。2006 年12月在广东省科技厅的支持下建立起“广东省金属材料综合利用检测与评价中心”。2008 年由中国质量认证中心确认为认证产品检验实验室。2010 年10 月25 日由中国工业和信息化部批准成立“工业（有色金属及再生有色金属）产品质量控制和技术评价实验室”，2012 年4 月6 日获授牌。 2012 年被中国质量管理协会和全国用户委员会授予“全国用户满意服务”称号。多次被评为执行“商检法”和“质量法”的先进单位。2015 年7月6 日，“国家矿物及再生金属材料质量监督检验中心” 获得中国国家认证认可监督管理委员会的批复和授权。   </w:t>
      </w:r>
    </w:p>
    <w:p>
      <w:pPr>
        <w:spacing w:line="300" w:lineRule="auto"/>
        <w:ind w:firstLine="420" w:firstLineChars="200"/>
        <w:contextualSpacing/>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 xml:space="preserve">中心现有高、中、初级专业技术和管理人员约100余人，其中教授有16人，高级工程师27人，硕博士30多人，具有中级职称以上科技人员占80%。 </w:t>
      </w:r>
    </w:p>
    <w:p>
      <w:pPr>
        <w:spacing w:line="300" w:lineRule="auto"/>
        <w:ind w:firstLine="420" w:firstLineChars="200"/>
        <w:contextualSpacing/>
        <w:jc w:val="left"/>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中心近十年来获得省部级科技进步奖20项。累计申请专利15件，其中授权发明专利5件、授权实用新型专利2件。承担国家、省级各类项目50余项，主持和参与国家、行业标准200余项，发表专著5部，发表论文300余篇。</w:t>
      </w:r>
    </w:p>
    <w:bookmarkEnd w:id="14"/>
    <w:bookmarkEnd w:id="15"/>
    <w:p>
      <w:pPr>
        <w:pStyle w:val="60"/>
        <w:spacing w:before="156" w:after="156" w:line="300" w:lineRule="auto"/>
        <w:ind w:left="0"/>
        <w:contextualSpacing/>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主要工作过程</w:t>
      </w:r>
      <w:bookmarkEnd w:id="16"/>
      <w:bookmarkEnd w:id="17"/>
    </w:p>
    <w:p>
      <w:pPr>
        <w:pStyle w:val="57"/>
        <w:spacing w:line="360" w:lineRule="auto"/>
        <w:ind w:left="0" w:leftChars="0" w:firstLine="0" w:firstLineChars="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4.1 预研阶段</w:t>
      </w:r>
    </w:p>
    <w:p>
      <w:pPr>
        <w:pStyle w:val="57"/>
        <w:spacing w:line="360" w:lineRule="auto"/>
        <w:ind w:left="0" w:leftChars="0" w:firstLine="420" w:firstLineChars="20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编制组内部经实地调研，就规范包含的内容、主要技术指标等问题进行了讨论，确定规范起草的主导思想和起草原则，对起草组人员的工作进行了分配，并对制定规范的技术指标及拟使用的方法进行现场验证。了解使用单位需求情况并进行测试试验,选取有代表性的仪器品牌并对其分类，收集相关技术材料。</w:t>
      </w:r>
    </w:p>
    <w:p>
      <w:pPr>
        <w:pStyle w:val="57"/>
        <w:spacing w:line="360" w:lineRule="auto"/>
        <w:ind w:left="0" w:leftChars="0" w:firstLine="0" w:firstLineChars="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4.2 立项阶段</w:t>
      </w:r>
    </w:p>
    <w:p>
      <w:pPr>
        <w:pStyle w:val="57"/>
        <w:keepNext w:val="0"/>
        <w:keepLines w:val="0"/>
        <w:pageBreakBefore w:val="0"/>
        <w:widowControl/>
        <w:kinsoku/>
        <w:wordWrap/>
        <w:overflowPunct/>
        <w:topLinePunct w:val="0"/>
        <w:autoSpaceDE w:val="0"/>
        <w:autoSpaceDN w:val="0"/>
        <w:bidi w:val="0"/>
        <w:adjustRightInd w:val="0"/>
        <w:snapToGrid w:val="0"/>
        <w:spacing w:line="360" w:lineRule="auto"/>
        <w:ind w:left="0" w:leftChars="0" w:firstLine="420" w:firstLineChars="200"/>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预研工作完成后，</w:t>
      </w:r>
      <w:r>
        <w:rPr>
          <w:rFonts w:hint="default" w:ascii="Times New Roman" w:hAnsi="Times New Roman" w:eastAsia="宋体" w:cs="Times New Roman"/>
          <w:sz w:val="21"/>
          <w:szCs w:val="21"/>
          <w:lang w:val="en-US" w:eastAsia="zh-CN"/>
        </w:rPr>
        <w:t>由国标（北京）检验认证有限公司提交项目申请书等材料</w:t>
      </w:r>
      <w:r>
        <w:rPr>
          <w:rFonts w:hint="eastAsia" w:ascii="Times New Roman" w:hAnsi="Times New Roman" w:cs="Times New Roman"/>
          <w:sz w:val="21"/>
          <w:szCs w:val="21"/>
          <w:lang w:val="en-US" w:eastAsia="zh-CN"/>
        </w:rPr>
        <w:t>，于</w:t>
      </w:r>
      <w:r>
        <w:rPr>
          <w:rFonts w:hint="default" w:ascii="Times New Roman" w:hAnsi="Times New Roman" w:eastAsia="宋体" w:cs="Times New Roman"/>
          <w:sz w:val="21"/>
          <w:szCs w:val="21"/>
          <w:lang w:val="en-US" w:eastAsia="zh-CN"/>
        </w:rPr>
        <w:t>2022年6月，工业和信息化部以工信厅科函[2022]464号文下达了《工业和信息化部办公厅关于印发2022年行业计量技术规范制修订计划的通知》，其申报号为：JJFZ(有色金属)-001-2022，计划完成年限为2024年。</w:t>
      </w:r>
    </w:p>
    <w:p>
      <w:pPr>
        <w:pStyle w:val="57"/>
        <w:spacing w:line="360" w:lineRule="auto"/>
        <w:ind w:left="0" w:leftChars="0" w:firstLine="0" w:firstLineChars="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4.3 起草阶段</w:t>
      </w:r>
    </w:p>
    <w:p>
      <w:pPr>
        <w:pStyle w:val="57"/>
        <w:spacing w:line="360" w:lineRule="auto"/>
        <w:ind w:left="0" w:leftChars="0" w:firstLine="0" w:firstLineChars="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4.3.1 任务讨论会</w:t>
      </w:r>
    </w:p>
    <w:p>
      <w:pPr>
        <w:pStyle w:val="57"/>
        <w:spacing w:line="324" w:lineRule="auto"/>
        <w:ind w:firstLine="42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2023年1月~4月，起草组经过多次现场试验、查阅资料、收集数据等，完成了规范的讨论稿。</w:t>
      </w:r>
      <w:r>
        <w:rPr>
          <w:rFonts w:hint="default" w:ascii="Times New Roman" w:hAnsi="Times New Roman" w:eastAsia="宋体" w:cs="Times New Roman"/>
          <w:sz w:val="21"/>
          <w:szCs w:val="21"/>
        </w:rPr>
        <w:t>20</w:t>
      </w:r>
      <w:r>
        <w:rPr>
          <w:rFonts w:hint="default" w:ascii="Times New Roman" w:hAnsi="Times New Roman" w:eastAsia="宋体" w:cs="Times New Roman"/>
          <w:sz w:val="21"/>
          <w:szCs w:val="21"/>
          <w:lang w:val="en-US" w:eastAsia="zh-CN"/>
        </w:rPr>
        <w:t>23</w:t>
      </w:r>
      <w:r>
        <w:rPr>
          <w:rFonts w:hint="default" w:ascii="Times New Roman" w:hAnsi="Times New Roman" w:eastAsia="宋体" w:cs="Times New Roman"/>
          <w:sz w:val="21"/>
          <w:szCs w:val="21"/>
        </w:rPr>
        <w:t>年</w:t>
      </w:r>
      <w:r>
        <w:rPr>
          <w:rFonts w:hint="default" w:ascii="Times New Roman" w:hAnsi="Times New Roman" w:eastAsia="宋体" w:cs="Times New Roman"/>
          <w:sz w:val="21"/>
          <w:szCs w:val="21"/>
          <w:lang w:val="en-US" w:eastAsia="zh-CN"/>
        </w:rPr>
        <w:t>5</w:t>
      </w:r>
      <w:r>
        <w:rPr>
          <w:rFonts w:hint="default" w:ascii="Times New Roman" w:hAnsi="Times New Roman" w:eastAsia="宋体" w:cs="Times New Roman"/>
          <w:sz w:val="21"/>
          <w:szCs w:val="21"/>
        </w:rPr>
        <w:t>月</w:t>
      </w:r>
      <w:r>
        <w:rPr>
          <w:rFonts w:hint="default" w:ascii="Times New Roman" w:hAnsi="Times New Roman" w:eastAsia="宋体" w:cs="Times New Roman"/>
          <w:sz w:val="21"/>
          <w:szCs w:val="21"/>
          <w:lang w:val="en-US" w:eastAsia="zh-CN"/>
        </w:rPr>
        <w:t>8~10</w:t>
      </w:r>
      <w:r>
        <w:rPr>
          <w:rFonts w:hint="default" w:ascii="Times New Roman" w:hAnsi="Times New Roman" w:eastAsia="宋体" w:cs="Times New Roman"/>
          <w:sz w:val="21"/>
          <w:szCs w:val="21"/>
        </w:rPr>
        <w:t>日</w:t>
      </w:r>
      <w:r>
        <w:rPr>
          <w:rFonts w:hint="default" w:ascii="Times New Roman" w:hAnsi="Times New Roman" w:eastAsia="宋体" w:cs="Times New Roman"/>
          <w:sz w:val="21"/>
          <w:szCs w:val="21"/>
          <w:lang w:eastAsia="zh-CN"/>
        </w:rPr>
        <w:t>，由有色金属</w:t>
      </w:r>
      <w:r>
        <w:rPr>
          <w:rFonts w:hint="default" w:ascii="Times New Roman" w:hAnsi="Times New Roman" w:eastAsia="宋体" w:cs="Times New Roman"/>
          <w:sz w:val="21"/>
          <w:szCs w:val="21"/>
          <w:lang w:val="en-US" w:eastAsia="zh-CN"/>
        </w:rPr>
        <w:t>行业</w:t>
      </w:r>
      <w:r>
        <w:rPr>
          <w:rFonts w:hint="default" w:ascii="Times New Roman" w:hAnsi="Times New Roman" w:eastAsia="宋体" w:cs="Times New Roman"/>
          <w:sz w:val="21"/>
          <w:szCs w:val="21"/>
          <w:lang w:eastAsia="zh-CN"/>
        </w:rPr>
        <w:t>计量技术委员会组织，</w:t>
      </w:r>
      <w:r>
        <w:rPr>
          <w:rFonts w:hint="default" w:ascii="Times New Roman" w:hAnsi="Times New Roman" w:eastAsia="宋体" w:cs="Times New Roman"/>
          <w:sz w:val="21"/>
          <w:szCs w:val="21"/>
          <w:highlight w:val="none"/>
        </w:rPr>
        <w:t>在</w:t>
      </w:r>
      <w:r>
        <w:rPr>
          <w:rFonts w:hint="default" w:ascii="Times New Roman" w:hAnsi="Times New Roman" w:eastAsia="宋体" w:cs="Times New Roman"/>
          <w:sz w:val="21"/>
          <w:szCs w:val="21"/>
          <w:highlight w:val="none"/>
          <w:lang w:eastAsia="zh-CN"/>
        </w:rPr>
        <w:t>西安</w:t>
      </w:r>
      <w:r>
        <w:rPr>
          <w:rFonts w:hint="default" w:ascii="Times New Roman" w:hAnsi="Times New Roman" w:eastAsia="宋体" w:cs="Times New Roman"/>
          <w:sz w:val="21"/>
          <w:szCs w:val="21"/>
          <w:highlight w:val="none"/>
        </w:rPr>
        <w:t>召开规范讨论会</w:t>
      </w:r>
      <w:r>
        <w:rPr>
          <w:rFonts w:hint="default" w:ascii="Times New Roman" w:hAnsi="Times New Roman" w:eastAsia="宋体" w:cs="Times New Roman"/>
          <w:sz w:val="21"/>
          <w:szCs w:val="21"/>
          <w:lang w:val="en-US" w:eastAsia="zh-CN"/>
        </w:rPr>
        <w:t>，</w:t>
      </w:r>
      <w:r>
        <w:rPr>
          <w:rFonts w:hint="default" w:ascii="Times New Roman" w:hAnsi="Times New Roman" w:eastAsia="宋体" w:cs="Times New Roman"/>
          <w:sz w:val="21"/>
          <w:szCs w:val="21"/>
        </w:rPr>
        <w:t>来自国标（北京）检验认证有限公司、西安汉唐分析检测有限公司</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东北轻合金有限责任公司</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广东省科学院工业分析检测中心等单位参加了会议</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会上规范制定的工作安排，并约定时间节点。</w:t>
      </w:r>
    </w:p>
    <w:p>
      <w:pPr>
        <w:pStyle w:val="57"/>
        <w:spacing w:line="324" w:lineRule="auto"/>
        <w:ind w:firstLine="420"/>
        <w:rPr>
          <w:rFonts w:hint="default" w:ascii="Times New Roman" w:hAnsi="Times New Roman" w:eastAsia="宋体" w:cs="Times New Roman"/>
          <w:b/>
          <w:bCs/>
          <w:color w:val="000000"/>
          <w:kern w:val="0"/>
          <w:sz w:val="21"/>
          <w:szCs w:val="21"/>
          <w:lang w:val="en-US" w:eastAsia="zh-CN"/>
        </w:rPr>
      </w:pPr>
      <w:r>
        <w:rPr>
          <w:rFonts w:hint="default" w:ascii="Times New Roman" w:hAnsi="Times New Roman" w:eastAsia="宋体" w:cs="Times New Roman"/>
          <w:sz w:val="21"/>
          <w:szCs w:val="21"/>
        </w:rPr>
        <w:t>与会专家对标准讨论稿进行了</w:t>
      </w:r>
      <w:r>
        <w:rPr>
          <w:rFonts w:hint="eastAsia" w:ascii="Times New Roman" w:hAnsi="Times New Roman" w:cs="Times New Roman"/>
          <w:sz w:val="21"/>
          <w:szCs w:val="21"/>
          <w:lang w:eastAsia="zh-CN"/>
        </w:rPr>
        <w:t>热烈的</w:t>
      </w:r>
      <w:r>
        <w:rPr>
          <w:rFonts w:hint="default" w:ascii="Times New Roman" w:hAnsi="Times New Roman" w:eastAsia="宋体" w:cs="Times New Roman"/>
          <w:sz w:val="21"/>
          <w:szCs w:val="21"/>
          <w:highlight w:val="none"/>
        </w:rPr>
        <w:t>讨论，并</w:t>
      </w:r>
      <w:r>
        <w:rPr>
          <w:rFonts w:hint="default" w:ascii="Times New Roman" w:hAnsi="Times New Roman" w:eastAsia="宋体" w:cs="Times New Roman"/>
          <w:sz w:val="21"/>
          <w:szCs w:val="21"/>
          <w:highlight w:val="none"/>
          <w:lang w:eastAsia="zh-CN"/>
        </w:rPr>
        <w:t>对规范讨论稿</w:t>
      </w:r>
      <w:r>
        <w:rPr>
          <w:rFonts w:hint="default" w:ascii="Times New Roman" w:hAnsi="Times New Roman" w:eastAsia="宋体" w:cs="Times New Roman"/>
          <w:sz w:val="21"/>
          <w:szCs w:val="21"/>
          <w:highlight w:val="none"/>
        </w:rPr>
        <w:t>提出了修改意见，对关键技术指标、校准方法进一步讨论和明确</w:t>
      </w:r>
      <w:r>
        <w:rPr>
          <w:rFonts w:hint="default" w:ascii="Times New Roman" w:hAnsi="Times New Roman" w:eastAsia="宋体" w:cs="Times New Roman"/>
          <w:sz w:val="21"/>
          <w:szCs w:val="21"/>
          <w:highlight w:val="none"/>
          <w:lang w:eastAsia="zh-CN"/>
        </w:rPr>
        <w:t>，具体意见见表一。</w:t>
      </w:r>
      <w:r>
        <w:rPr>
          <w:rFonts w:hint="default" w:ascii="Times New Roman" w:hAnsi="Times New Roman" w:eastAsia="宋体" w:cs="Times New Roman"/>
          <w:sz w:val="21"/>
          <w:szCs w:val="21"/>
          <w:highlight w:val="none"/>
        </w:rPr>
        <w:t>在会议上进行了本规范的任务落实，会上</w:t>
      </w:r>
      <w:r>
        <w:rPr>
          <w:rFonts w:hint="default" w:ascii="Times New Roman" w:hAnsi="Times New Roman" w:eastAsia="宋体" w:cs="Times New Roman"/>
          <w:sz w:val="21"/>
          <w:szCs w:val="21"/>
          <w:highlight w:val="none"/>
          <w:lang w:eastAsia="zh-CN"/>
        </w:rPr>
        <w:t>确定了</w:t>
      </w:r>
      <w:r>
        <w:rPr>
          <w:rFonts w:hint="default" w:ascii="Times New Roman" w:hAnsi="Times New Roman" w:eastAsia="宋体" w:cs="Times New Roman"/>
          <w:sz w:val="21"/>
          <w:szCs w:val="21"/>
          <w:highlight w:val="none"/>
          <w:lang w:val="en-US" w:eastAsia="zh-CN"/>
        </w:rPr>
        <w:t>广东省科学院工业分析检测中心为规范的一验单位；西安汉唐分析检测有限公司、东北轻合金有限责任公司、中船重工725所为二验单位，并</w:t>
      </w:r>
      <w:r>
        <w:rPr>
          <w:rFonts w:hint="default" w:ascii="Times New Roman" w:hAnsi="Times New Roman" w:eastAsia="宋体" w:cs="Times New Roman"/>
          <w:sz w:val="21"/>
          <w:szCs w:val="21"/>
          <w:highlight w:val="none"/>
        </w:rPr>
        <w:t>明确了本规范的工作安排及时间节点。</w:t>
      </w:r>
    </w:p>
    <w:p>
      <w:pPr>
        <w:jc w:val="center"/>
        <w:rPr>
          <w:rFonts w:hint="default" w:ascii="Times New Roman" w:hAnsi="Times New Roman" w:eastAsia="宋体" w:cs="Times New Roman"/>
          <w:kern w:val="0"/>
          <w:sz w:val="21"/>
          <w:szCs w:val="21"/>
          <w:highlight w:val="none"/>
          <w:lang w:val="en-US" w:eastAsia="zh-CN" w:bidi="ar-SA"/>
        </w:rPr>
      </w:pPr>
      <w:r>
        <w:rPr>
          <w:rFonts w:hint="default" w:ascii="Times New Roman" w:hAnsi="Times New Roman" w:eastAsia="宋体" w:cs="Times New Roman"/>
          <w:kern w:val="0"/>
          <w:sz w:val="21"/>
          <w:szCs w:val="21"/>
          <w:highlight w:val="none"/>
          <w:lang w:val="en-US" w:eastAsia="zh-CN" w:bidi="ar-SA"/>
        </w:rPr>
        <w:t>表</w:t>
      </w:r>
      <w:r>
        <w:rPr>
          <w:rFonts w:hint="eastAsia" w:cs="Times New Roman"/>
          <w:kern w:val="0"/>
          <w:sz w:val="21"/>
          <w:szCs w:val="21"/>
          <w:highlight w:val="none"/>
          <w:lang w:val="en-US" w:eastAsia="zh-CN" w:bidi="ar-SA"/>
        </w:rPr>
        <w:t>1.</w:t>
      </w:r>
      <w:r>
        <w:rPr>
          <w:rFonts w:hint="default" w:ascii="Times New Roman" w:hAnsi="Times New Roman" w:eastAsia="宋体" w:cs="Times New Roman"/>
          <w:kern w:val="0"/>
          <w:sz w:val="21"/>
          <w:szCs w:val="21"/>
          <w:highlight w:val="none"/>
          <w:lang w:val="en-US" w:eastAsia="zh-CN" w:bidi="ar-SA"/>
        </w:rPr>
        <w:t>1 有色金属计量技术规范研讨会会议纪要</w:t>
      </w:r>
    </w:p>
    <w:tbl>
      <w:tblPr>
        <w:tblStyle w:val="40"/>
        <w:tblW w:w="5003" w:type="pct"/>
        <w:tblInd w:w="-5" w:type="dxa"/>
        <w:tblLayout w:type="fixed"/>
        <w:tblCellMar>
          <w:top w:w="0" w:type="dxa"/>
          <w:left w:w="108" w:type="dxa"/>
          <w:bottom w:w="0" w:type="dxa"/>
          <w:right w:w="108" w:type="dxa"/>
        </w:tblCellMar>
      </w:tblPr>
      <w:tblGrid>
        <w:gridCol w:w="839"/>
        <w:gridCol w:w="1025"/>
        <w:gridCol w:w="4427"/>
        <w:gridCol w:w="1410"/>
        <w:gridCol w:w="1419"/>
        <w:gridCol w:w="458"/>
      </w:tblGrid>
      <w:tr>
        <w:tblPrEx>
          <w:tblCellMar>
            <w:top w:w="0" w:type="dxa"/>
            <w:left w:w="108" w:type="dxa"/>
            <w:bottom w:w="0" w:type="dxa"/>
            <w:right w:w="108" w:type="dxa"/>
          </w:tblCellMar>
        </w:tblPrEx>
        <w:trPr>
          <w:cantSplit/>
          <w:trHeight w:val="567" w:hRule="atLeast"/>
        </w:trPr>
        <w:tc>
          <w:tcPr>
            <w:tcW w:w="973"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参会单位及人员</w:t>
            </w:r>
          </w:p>
        </w:tc>
        <w:tc>
          <w:tcPr>
            <w:tcW w:w="4026" w:type="pct"/>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color w:val="000000"/>
                <w:kern w:val="0"/>
                <w:sz w:val="21"/>
                <w:szCs w:val="21"/>
              </w:rPr>
              <w:t>具体见签到表扫描件/复印件</w:t>
            </w:r>
          </w:p>
        </w:tc>
      </w:tr>
      <w:tr>
        <w:tblPrEx>
          <w:tblCellMar>
            <w:top w:w="0" w:type="dxa"/>
            <w:left w:w="108" w:type="dxa"/>
            <w:bottom w:w="0" w:type="dxa"/>
            <w:right w:w="108" w:type="dxa"/>
          </w:tblCellMar>
        </w:tblPrEx>
        <w:trPr>
          <w:cantSplit/>
          <w:trHeight w:val="567" w:hRule="atLeast"/>
        </w:trPr>
        <w:tc>
          <w:tcPr>
            <w:tcW w:w="973"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拟参与编制单位、一验二验单位</w:t>
            </w:r>
          </w:p>
        </w:tc>
        <w:tc>
          <w:tcPr>
            <w:tcW w:w="4026" w:type="pct"/>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color w:val="000000"/>
                <w:kern w:val="0"/>
                <w:sz w:val="21"/>
                <w:szCs w:val="21"/>
                <w:lang w:val="en-US" w:eastAsia="zh-CN"/>
              </w:rPr>
              <w:t>一验单位：广东省科学院工业分析检测中心；二验单位：西安汉唐分析检测有限公司、东北轻合金有限责任公司、中船重工725所。</w:t>
            </w:r>
          </w:p>
        </w:tc>
      </w:tr>
      <w:tr>
        <w:tblPrEx>
          <w:tblCellMar>
            <w:top w:w="0" w:type="dxa"/>
            <w:left w:w="108" w:type="dxa"/>
            <w:bottom w:w="0" w:type="dxa"/>
            <w:right w:w="108" w:type="dxa"/>
          </w:tblCellMar>
        </w:tblPrEx>
        <w:trPr>
          <w:cantSplit/>
          <w:trHeight w:val="567" w:hRule="atLeast"/>
        </w:trPr>
        <w:tc>
          <w:tcPr>
            <w:tcW w:w="973"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时间节点安排</w:t>
            </w:r>
          </w:p>
        </w:tc>
        <w:tc>
          <w:tcPr>
            <w:tcW w:w="4026" w:type="pct"/>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color w:val="000000"/>
                <w:kern w:val="0"/>
                <w:sz w:val="21"/>
                <w:szCs w:val="21"/>
                <w:lang w:val="en-US" w:eastAsia="zh-CN"/>
              </w:rPr>
              <w:t>2024年完成规范报批</w:t>
            </w:r>
          </w:p>
        </w:tc>
      </w:tr>
      <w:tr>
        <w:tblPrEx>
          <w:tblCellMar>
            <w:top w:w="0" w:type="dxa"/>
            <w:left w:w="108" w:type="dxa"/>
            <w:bottom w:w="0" w:type="dxa"/>
            <w:right w:w="108" w:type="dxa"/>
          </w:tblCellMar>
        </w:tblPrEx>
        <w:trPr>
          <w:cantSplit/>
          <w:trHeight w:val="567" w:hRule="atLeast"/>
        </w:trPr>
        <w:tc>
          <w:tcPr>
            <w:tcW w:w="973"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后续拟征求意见单位</w:t>
            </w:r>
          </w:p>
          <w:p>
            <w:pPr>
              <w:widowControl/>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（可包括编制组单位）</w:t>
            </w:r>
          </w:p>
        </w:tc>
        <w:tc>
          <w:tcPr>
            <w:tcW w:w="4026" w:type="pct"/>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color w:val="000000"/>
                <w:kern w:val="0"/>
                <w:sz w:val="21"/>
                <w:szCs w:val="21"/>
                <w:lang w:val="en-US" w:eastAsia="zh-CN"/>
              </w:rPr>
              <w:t>西安汉唐分析检测有限公司、东北轻合金有限责任公司、广东省科学院工业分析检测中心</w:t>
            </w:r>
          </w:p>
        </w:tc>
      </w:tr>
      <w:tr>
        <w:tblPrEx>
          <w:tblCellMar>
            <w:top w:w="0" w:type="dxa"/>
            <w:left w:w="108" w:type="dxa"/>
            <w:bottom w:w="0" w:type="dxa"/>
            <w:right w:w="108" w:type="dxa"/>
          </w:tblCellMar>
        </w:tblPrEx>
        <w:trPr>
          <w:cantSplit/>
          <w:trHeight w:val="567" w:hRule="atLeast"/>
        </w:trPr>
        <w:tc>
          <w:tcPr>
            <w:tcW w:w="43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both"/>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序号</w:t>
            </w:r>
          </w:p>
        </w:tc>
        <w:tc>
          <w:tcPr>
            <w:tcW w:w="53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标准章条</w:t>
            </w:r>
          </w:p>
          <w:p>
            <w:pPr>
              <w:widowControl/>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编号</w:t>
            </w:r>
          </w:p>
        </w:tc>
        <w:tc>
          <w:tcPr>
            <w:tcW w:w="2311"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意见内容</w:t>
            </w:r>
          </w:p>
        </w:tc>
        <w:tc>
          <w:tcPr>
            <w:tcW w:w="736"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提出单位及提出人</w:t>
            </w:r>
          </w:p>
          <w:p>
            <w:pPr>
              <w:widowControl/>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（可简写）</w:t>
            </w:r>
          </w:p>
        </w:tc>
        <w:tc>
          <w:tcPr>
            <w:tcW w:w="740"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处理意见</w:t>
            </w:r>
          </w:p>
        </w:tc>
        <w:tc>
          <w:tcPr>
            <w:tcW w:w="23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备注</w:t>
            </w:r>
          </w:p>
        </w:tc>
      </w:tr>
      <w:tr>
        <w:tblPrEx>
          <w:tblCellMar>
            <w:top w:w="0" w:type="dxa"/>
            <w:left w:w="108" w:type="dxa"/>
            <w:bottom w:w="0" w:type="dxa"/>
            <w:right w:w="108" w:type="dxa"/>
          </w:tblCellMar>
        </w:tblPrEx>
        <w:trPr>
          <w:cantSplit/>
          <w:trHeight w:val="567" w:hRule="atLeast"/>
        </w:trPr>
        <w:tc>
          <w:tcPr>
            <w:tcW w:w="437" w:type="pct"/>
            <w:tcBorders>
              <w:top w:val="nil"/>
              <w:left w:val="single" w:color="auto" w:sz="4" w:space="0"/>
              <w:bottom w:val="single" w:color="auto" w:sz="4" w:space="0"/>
              <w:right w:val="single" w:color="auto" w:sz="4" w:space="0"/>
            </w:tcBorders>
            <w:shd w:val="clear" w:color="auto" w:fill="auto"/>
            <w:noWrap/>
            <w:vAlign w:val="center"/>
          </w:tcPr>
          <w:p>
            <w:pPr>
              <w:pStyle w:val="301"/>
              <w:widowControl/>
              <w:numPr>
                <w:ilvl w:val="0"/>
                <w:numId w:val="12"/>
              </w:numPr>
              <w:ind w:firstLineChars="0"/>
              <w:jc w:val="center"/>
              <w:rPr>
                <w:rFonts w:hint="default" w:ascii="Times New Roman" w:hAnsi="Times New Roman" w:eastAsia="宋体" w:cs="Times New Roman"/>
                <w:color w:val="000000"/>
                <w:kern w:val="0"/>
                <w:sz w:val="21"/>
                <w:szCs w:val="21"/>
              </w:rPr>
            </w:pPr>
          </w:p>
        </w:tc>
        <w:tc>
          <w:tcPr>
            <w:tcW w:w="535" w:type="pct"/>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lang w:eastAsia="zh-CN"/>
              </w:rPr>
              <w:t>题目</w:t>
            </w:r>
          </w:p>
        </w:tc>
        <w:tc>
          <w:tcPr>
            <w:tcW w:w="2311" w:type="pct"/>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英文需大写</w:t>
            </w:r>
          </w:p>
        </w:tc>
        <w:tc>
          <w:tcPr>
            <w:tcW w:w="736" w:type="pct"/>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西安汉唐 余泽利</w:t>
            </w:r>
          </w:p>
        </w:tc>
        <w:tc>
          <w:tcPr>
            <w:tcW w:w="740" w:type="pct"/>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全部采纳</w:t>
            </w:r>
          </w:p>
        </w:tc>
        <w:tc>
          <w:tcPr>
            <w:tcW w:w="239" w:type="pct"/>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cantSplit/>
          <w:trHeight w:val="567" w:hRule="atLeast"/>
        </w:trPr>
        <w:tc>
          <w:tcPr>
            <w:tcW w:w="437" w:type="pct"/>
            <w:tcBorders>
              <w:top w:val="nil"/>
              <w:left w:val="single" w:color="auto" w:sz="4" w:space="0"/>
              <w:bottom w:val="single" w:color="auto" w:sz="4" w:space="0"/>
              <w:right w:val="single" w:color="auto" w:sz="4" w:space="0"/>
            </w:tcBorders>
            <w:shd w:val="clear" w:color="auto" w:fill="auto"/>
            <w:noWrap/>
            <w:vAlign w:val="center"/>
          </w:tcPr>
          <w:p>
            <w:pPr>
              <w:pStyle w:val="301"/>
              <w:widowControl/>
              <w:numPr>
                <w:ilvl w:val="0"/>
                <w:numId w:val="12"/>
              </w:numPr>
              <w:ind w:firstLineChars="0"/>
              <w:jc w:val="center"/>
              <w:rPr>
                <w:rFonts w:hint="default" w:ascii="Times New Roman" w:hAnsi="Times New Roman" w:eastAsia="宋体" w:cs="Times New Roman"/>
                <w:color w:val="000000"/>
                <w:kern w:val="0"/>
                <w:sz w:val="21"/>
                <w:szCs w:val="21"/>
              </w:rPr>
            </w:pPr>
          </w:p>
        </w:tc>
        <w:tc>
          <w:tcPr>
            <w:tcW w:w="535" w:type="pct"/>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lang w:eastAsia="zh-CN"/>
              </w:rPr>
              <w:t>目录</w:t>
            </w:r>
          </w:p>
        </w:tc>
        <w:tc>
          <w:tcPr>
            <w:tcW w:w="2311" w:type="pct"/>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到二级标题</w:t>
            </w:r>
          </w:p>
        </w:tc>
        <w:tc>
          <w:tcPr>
            <w:tcW w:w="736" w:type="pct"/>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西安汉唐 余泽利</w:t>
            </w:r>
          </w:p>
        </w:tc>
        <w:tc>
          <w:tcPr>
            <w:tcW w:w="740" w:type="pct"/>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全部采纳</w:t>
            </w:r>
          </w:p>
        </w:tc>
        <w:tc>
          <w:tcPr>
            <w:tcW w:w="239" w:type="pct"/>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cantSplit/>
          <w:trHeight w:val="567" w:hRule="atLeast"/>
        </w:trPr>
        <w:tc>
          <w:tcPr>
            <w:tcW w:w="437" w:type="pct"/>
            <w:tcBorders>
              <w:top w:val="nil"/>
              <w:left w:val="single" w:color="auto" w:sz="4" w:space="0"/>
              <w:bottom w:val="single" w:color="auto" w:sz="4" w:space="0"/>
              <w:right w:val="single" w:color="auto" w:sz="4" w:space="0"/>
            </w:tcBorders>
            <w:shd w:val="clear" w:color="auto" w:fill="auto"/>
            <w:noWrap/>
            <w:vAlign w:val="center"/>
          </w:tcPr>
          <w:p>
            <w:pPr>
              <w:pStyle w:val="301"/>
              <w:widowControl/>
              <w:numPr>
                <w:ilvl w:val="0"/>
                <w:numId w:val="12"/>
              </w:numPr>
              <w:ind w:firstLineChars="0"/>
              <w:jc w:val="center"/>
              <w:rPr>
                <w:rFonts w:hint="default" w:ascii="Times New Roman" w:hAnsi="Times New Roman" w:eastAsia="宋体" w:cs="Times New Roman"/>
                <w:color w:val="000000"/>
                <w:kern w:val="0"/>
                <w:sz w:val="21"/>
                <w:szCs w:val="21"/>
              </w:rPr>
            </w:pPr>
          </w:p>
        </w:tc>
        <w:tc>
          <w:tcPr>
            <w:tcW w:w="535" w:type="pct"/>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lang w:eastAsia="zh-CN"/>
              </w:rPr>
              <w:t>引用文件、图表</w:t>
            </w:r>
          </w:p>
        </w:tc>
        <w:tc>
          <w:tcPr>
            <w:tcW w:w="2311" w:type="pct"/>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格式按照标准要求调整</w:t>
            </w:r>
          </w:p>
        </w:tc>
        <w:tc>
          <w:tcPr>
            <w:tcW w:w="736" w:type="pct"/>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西安汉唐 余泽利，东北轻 马金萍</w:t>
            </w:r>
          </w:p>
        </w:tc>
        <w:tc>
          <w:tcPr>
            <w:tcW w:w="740" w:type="pct"/>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全部采纳</w:t>
            </w:r>
          </w:p>
        </w:tc>
        <w:tc>
          <w:tcPr>
            <w:tcW w:w="239" w:type="pct"/>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cantSplit/>
          <w:trHeight w:val="567" w:hRule="atLeast"/>
        </w:trPr>
        <w:tc>
          <w:tcPr>
            <w:tcW w:w="437" w:type="pct"/>
            <w:tcBorders>
              <w:top w:val="nil"/>
              <w:left w:val="single" w:color="auto" w:sz="4" w:space="0"/>
              <w:bottom w:val="single" w:color="auto" w:sz="4" w:space="0"/>
              <w:right w:val="single" w:color="auto" w:sz="4" w:space="0"/>
            </w:tcBorders>
            <w:shd w:val="clear" w:color="auto" w:fill="auto"/>
            <w:noWrap/>
            <w:vAlign w:val="center"/>
          </w:tcPr>
          <w:p>
            <w:pPr>
              <w:pStyle w:val="301"/>
              <w:widowControl/>
              <w:numPr>
                <w:ilvl w:val="0"/>
                <w:numId w:val="12"/>
              </w:numPr>
              <w:ind w:firstLineChars="0"/>
              <w:jc w:val="center"/>
              <w:rPr>
                <w:rFonts w:hint="default" w:ascii="Times New Roman" w:hAnsi="Times New Roman" w:eastAsia="宋体" w:cs="Times New Roman"/>
                <w:color w:val="000000"/>
                <w:kern w:val="0"/>
                <w:sz w:val="21"/>
                <w:szCs w:val="21"/>
              </w:rPr>
            </w:pPr>
          </w:p>
        </w:tc>
        <w:tc>
          <w:tcPr>
            <w:tcW w:w="535" w:type="pct"/>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000000"/>
                <w:kern w:val="0"/>
                <w:sz w:val="21"/>
                <w:szCs w:val="21"/>
                <w:lang w:val="en-US" w:eastAsia="zh-CN" w:bidi="ar-SA"/>
              </w:rPr>
            </w:pPr>
            <w:r>
              <w:rPr>
                <w:rFonts w:hint="default" w:ascii="Times New Roman" w:hAnsi="Times New Roman" w:eastAsia="宋体" w:cs="Times New Roman"/>
                <w:color w:val="000000"/>
                <w:kern w:val="0"/>
                <w:sz w:val="21"/>
                <w:szCs w:val="21"/>
                <w:lang w:eastAsia="zh-CN"/>
              </w:rPr>
              <w:t>概述</w:t>
            </w:r>
          </w:p>
        </w:tc>
        <w:tc>
          <w:tcPr>
            <w:tcW w:w="2311" w:type="pct"/>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内容再精简</w:t>
            </w:r>
          </w:p>
        </w:tc>
        <w:tc>
          <w:tcPr>
            <w:tcW w:w="736" w:type="pct"/>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西安汉唐 余泽利</w:t>
            </w:r>
          </w:p>
        </w:tc>
        <w:tc>
          <w:tcPr>
            <w:tcW w:w="740" w:type="pct"/>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全部采纳</w:t>
            </w:r>
          </w:p>
        </w:tc>
        <w:tc>
          <w:tcPr>
            <w:tcW w:w="239" w:type="pct"/>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cantSplit/>
          <w:trHeight w:val="567" w:hRule="atLeast"/>
        </w:trPr>
        <w:tc>
          <w:tcPr>
            <w:tcW w:w="437" w:type="pct"/>
            <w:tcBorders>
              <w:top w:val="nil"/>
              <w:left w:val="single" w:color="auto" w:sz="4" w:space="0"/>
              <w:bottom w:val="single" w:color="auto" w:sz="4" w:space="0"/>
              <w:right w:val="single" w:color="auto" w:sz="4" w:space="0"/>
            </w:tcBorders>
            <w:shd w:val="clear" w:color="auto" w:fill="auto"/>
            <w:noWrap/>
            <w:vAlign w:val="center"/>
          </w:tcPr>
          <w:p>
            <w:pPr>
              <w:pStyle w:val="301"/>
              <w:widowControl/>
              <w:numPr>
                <w:ilvl w:val="0"/>
                <w:numId w:val="12"/>
              </w:numPr>
              <w:ind w:firstLineChars="0"/>
              <w:jc w:val="center"/>
              <w:rPr>
                <w:rFonts w:hint="default" w:ascii="Times New Roman" w:hAnsi="Times New Roman" w:eastAsia="宋体" w:cs="Times New Roman"/>
                <w:color w:val="000000"/>
                <w:kern w:val="0"/>
                <w:sz w:val="21"/>
                <w:szCs w:val="21"/>
              </w:rPr>
            </w:pPr>
          </w:p>
        </w:tc>
        <w:tc>
          <w:tcPr>
            <w:tcW w:w="535" w:type="pct"/>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000000"/>
                <w:kern w:val="0"/>
                <w:sz w:val="21"/>
                <w:szCs w:val="21"/>
                <w:lang w:val="en-US" w:eastAsia="zh-CN" w:bidi="ar-SA"/>
              </w:rPr>
            </w:pPr>
            <w:r>
              <w:rPr>
                <w:rFonts w:hint="default" w:ascii="Times New Roman" w:hAnsi="Times New Roman" w:eastAsia="宋体" w:cs="Times New Roman"/>
                <w:color w:val="000000"/>
                <w:kern w:val="0"/>
                <w:sz w:val="21"/>
                <w:szCs w:val="21"/>
                <w:lang w:val="en-US" w:eastAsia="zh-CN" w:bidi="ar-SA"/>
              </w:rPr>
              <w:t>4计量特性</w:t>
            </w:r>
          </w:p>
        </w:tc>
        <w:tc>
          <w:tcPr>
            <w:tcW w:w="2311" w:type="pct"/>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000000"/>
                <w:kern w:val="0"/>
                <w:sz w:val="21"/>
                <w:szCs w:val="21"/>
                <w:lang w:val="en-US" w:eastAsia="zh-CN" w:bidi="ar-SA"/>
              </w:rPr>
            </w:pPr>
            <w:r>
              <w:rPr>
                <w:rFonts w:hint="default" w:ascii="Times New Roman" w:hAnsi="Times New Roman" w:eastAsia="宋体" w:cs="Times New Roman"/>
                <w:color w:val="000000"/>
                <w:kern w:val="0"/>
                <w:sz w:val="21"/>
                <w:szCs w:val="21"/>
                <w:lang w:val="en-US" w:eastAsia="zh-CN" w:bidi="ar-SA"/>
              </w:rPr>
              <w:t>冲头直径增加16mm</w:t>
            </w:r>
          </w:p>
        </w:tc>
        <w:tc>
          <w:tcPr>
            <w:tcW w:w="736" w:type="pct"/>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eastAsia="zh-CN"/>
              </w:rPr>
              <w:t>西安汉唐</w:t>
            </w:r>
            <w:r>
              <w:rPr>
                <w:rFonts w:hint="default" w:ascii="Times New Roman" w:hAnsi="Times New Roman" w:eastAsia="宋体" w:cs="Times New Roman"/>
                <w:color w:val="000000"/>
                <w:kern w:val="0"/>
                <w:sz w:val="21"/>
                <w:szCs w:val="21"/>
                <w:lang w:val="en-US" w:eastAsia="zh-CN"/>
              </w:rPr>
              <w:t xml:space="preserve"> </w:t>
            </w:r>
            <w:r>
              <w:rPr>
                <w:rFonts w:hint="default" w:ascii="Times New Roman" w:hAnsi="Times New Roman" w:eastAsia="宋体" w:cs="Times New Roman"/>
                <w:color w:val="000000"/>
                <w:kern w:val="0"/>
                <w:sz w:val="21"/>
                <w:szCs w:val="21"/>
                <w:lang w:eastAsia="zh-CN"/>
              </w:rPr>
              <w:t>余泽利</w:t>
            </w:r>
          </w:p>
        </w:tc>
        <w:tc>
          <w:tcPr>
            <w:tcW w:w="740" w:type="pct"/>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eastAsia="zh-CN"/>
              </w:rPr>
              <w:t>全部采纳</w:t>
            </w:r>
          </w:p>
        </w:tc>
        <w:tc>
          <w:tcPr>
            <w:tcW w:w="239" w:type="pct"/>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cantSplit/>
          <w:trHeight w:val="567" w:hRule="atLeast"/>
        </w:trPr>
        <w:tc>
          <w:tcPr>
            <w:tcW w:w="437" w:type="pct"/>
            <w:tcBorders>
              <w:top w:val="nil"/>
              <w:left w:val="single" w:color="auto" w:sz="4" w:space="0"/>
              <w:bottom w:val="single" w:color="auto" w:sz="4" w:space="0"/>
              <w:right w:val="single" w:color="auto" w:sz="4" w:space="0"/>
            </w:tcBorders>
            <w:shd w:val="clear" w:color="auto" w:fill="auto"/>
            <w:noWrap/>
            <w:vAlign w:val="center"/>
          </w:tcPr>
          <w:p>
            <w:pPr>
              <w:pStyle w:val="301"/>
              <w:widowControl/>
              <w:numPr>
                <w:ilvl w:val="0"/>
                <w:numId w:val="12"/>
              </w:numPr>
              <w:ind w:firstLineChars="0"/>
              <w:jc w:val="center"/>
              <w:rPr>
                <w:rFonts w:hint="default" w:ascii="Times New Roman" w:hAnsi="Times New Roman" w:eastAsia="宋体" w:cs="Times New Roman"/>
                <w:color w:val="000000"/>
                <w:kern w:val="0"/>
                <w:sz w:val="21"/>
                <w:szCs w:val="21"/>
              </w:rPr>
            </w:pPr>
          </w:p>
        </w:tc>
        <w:tc>
          <w:tcPr>
            <w:tcW w:w="535" w:type="pct"/>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表1</w:t>
            </w:r>
          </w:p>
        </w:tc>
        <w:tc>
          <w:tcPr>
            <w:tcW w:w="2311" w:type="pct"/>
            <w:tcBorders>
              <w:top w:val="nil"/>
              <w:left w:val="nil"/>
              <w:bottom w:val="single" w:color="auto" w:sz="4" w:space="0"/>
              <w:right w:val="single" w:color="auto" w:sz="4" w:space="0"/>
            </w:tcBorders>
            <w:shd w:val="clear" w:color="auto" w:fill="auto"/>
            <w:noWrap/>
            <w:vAlign w:val="center"/>
          </w:tcPr>
          <w:p>
            <w:pPr>
              <w:widowControl/>
              <w:numPr>
                <w:ilvl w:val="0"/>
                <w:numId w:val="0"/>
              </w:numPr>
              <w:jc w:val="left"/>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lang w:val="en-US" w:eastAsia="zh-CN"/>
              </w:rPr>
              <w:t>1）</w:t>
            </w:r>
            <w:r>
              <w:rPr>
                <w:rFonts w:hint="default" w:ascii="Times New Roman" w:hAnsi="Times New Roman" w:eastAsia="宋体" w:cs="Times New Roman"/>
                <w:color w:val="000000"/>
                <w:kern w:val="0"/>
                <w:sz w:val="21"/>
                <w:szCs w:val="21"/>
                <w:lang w:eastAsia="zh-CN"/>
              </w:rPr>
              <w:t>去掉校准范围；</w:t>
            </w:r>
          </w:p>
          <w:p>
            <w:pPr>
              <w:widowControl/>
              <w:numPr>
                <w:ilvl w:val="0"/>
                <w:numId w:val="0"/>
              </w:numPr>
              <w:jc w:val="left"/>
              <w:rPr>
                <w:rFonts w:hint="default" w:ascii="Times New Roman" w:hAnsi="Times New Roman" w:eastAsia="宋体" w:cs="Times New Roman"/>
                <w:kern w:val="0"/>
                <w:sz w:val="21"/>
                <w:szCs w:val="21"/>
                <w:highlight w:val="none"/>
                <w:vertAlign w:val="baseline"/>
                <w:lang w:val="en-US" w:eastAsia="zh-CN" w:bidi="ar-SA"/>
              </w:rPr>
            </w:pPr>
            <w:r>
              <w:rPr>
                <w:rFonts w:hint="default" w:ascii="Times New Roman" w:hAnsi="Times New Roman" w:eastAsia="宋体" w:cs="Times New Roman"/>
                <w:color w:val="000000"/>
                <w:kern w:val="0"/>
                <w:sz w:val="21"/>
                <w:szCs w:val="21"/>
                <w:lang w:val="en-US" w:eastAsia="zh-CN"/>
              </w:rPr>
              <w:t>2）计量特性保留</w:t>
            </w:r>
            <w:r>
              <w:rPr>
                <w:rFonts w:hint="default" w:ascii="Times New Roman" w:hAnsi="Times New Roman" w:eastAsia="宋体" w:cs="Times New Roman"/>
                <w:sz w:val="21"/>
                <w:szCs w:val="21"/>
                <w:vertAlign w:val="baseline"/>
                <w:lang w:val="en-US" w:eastAsia="zh-CN"/>
              </w:rPr>
              <w:t>重锤质量、</w:t>
            </w:r>
            <w:r>
              <w:rPr>
                <w:rFonts w:hint="default" w:ascii="Times New Roman" w:hAnsi="Times New Roman" w:eastAsia="宋体" w:cs="Times New Roman"/>
                <w:kern w:val="0"/>
                <w:sz w:val="21"/>
                <w:szCs w:val="21"/>
                <w:highlight w:val="none"/>
                <w:vertAlign w:val="baseline"/>
                <w:lang w:val="en-US" w:eastAsia="zh-CN" w:bidi="ar-SA"/>
              </w:rPr>
              <w:t>重锤跌落高度，其余可用外观检查代替；</w:t>
            </w:r>
          </w:p>
          <w:p>
            <w:pPr>
              <w:widowControl/>
              <w:numPr>
                <w:ilvl w:val="0"/>
                <w:numId w:val="0"/>
              </w:numPr>
              <w:jc w:val="left"/>
              <w:rPr>
                <w:rFonts w:hint="default" w:ascii="Times New Roman" w:hAnsi="Times New Roman" w:eastAsia="宋体" w:cs="Times New Roman"/>
                <w:kern w:val="0"/>
                <w:sz w:val="21"/>
                <w:szCs w:val="21"/>
                <w:highlight w:val="none"/>
                <w:vertAlign w:val="baseline"/>
                <w:lang w:val="en-US" w:eastAsia="zh-CN" w:bidi="ar-SA"/>
              </w:rPr>
            </w:pPr>
            <w:r>
              <w:rPr>
                <w:rFonts w:hint="default" w:ascii="Times New Roman" w:hAnsi="Times New Roman" w:eastAsia="宋体" w:cs="Times New Roman"/>
                <w:kern w:val="0"/>
                <w:sz w:val="21"/>
                <w:szCs w:val="21"/>
                <w:highlight w:val="none"/>
                <w:vertAlign w:val="baseline"/>
                <w:lang w:val="en-US" w:eastAsia="zh-CN" w:bidi="ar-SA"/>
              </w:rPr>
              <w:t>3）将重锤跌落高度的表述换成更直接的名称。</w:t>
            </w:r>
          </w:p>
        </w:tc>
        <w:tc>
          <w:tcPr>
            <w:tcW w:w="736" w:type="pct"/>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000000"/>
                <w:kern w:val="0"/>
                <w:sz w:val="21"/>
                <w:szCs w:val="21"/>
                <w:lang w:val="en-US"/>
              </w:rPr>
            </w:pPr>
            <w:r>
              <w:rPr>
                <w:rFonts w:hint="default" w:ascii="Times New Roman" w:hAnsi="Times New Roman" w:eastAsia="宋体" w:cs="Times New Roman"/>
                <w:color w:val="000000"/>
                <w:kern w:val="0"/>
                <w:sz w:val="21"/>
                <w:szCs w:val="21"/>
              </w:rPr>
              <w:t>国家刀剪及日用金属工具质量监督检测中心</w:t>
            </w:r>
            <w:r>
              <w:rPr>
                <w:rFonts w:hint="default" w:ascii="Times New Roman" w:hAnsi="Times New Roman" w:eastAsia="宋体" w:cs="Times New Roman"/>
                <w:color w:val="000000"/>
                <w:kern w:val="0"/>
                <w:sz w:val="21"/>
                <w:szCs w:val="21"/>
                <w:lang w:val="en-US" w:eastAsia="zh-CN"/>
              </w:rPr>
              <w:t xml:space="preserve"> </w:t>
            </w:r>
            <w:r>
              <w:rPr>
                <w:rFonts w:hint="default" w:ascii="Times New Roman" w:hAnsi="Times New Roman" w:eastAsia="宋体" w:cs="Times New Roman"/>
                <w:color w:val="000000"/>
                <w:kern w:val="0"/>
                <w:sz w:val="21"/>
                <w:szCs w:val="21"/>
                <w:lang w:eastAsia="zh-CN"/>
              </w:rPr>
              <w:t>毕革平；广东院</w:t>
            </w:r>
            <w:r>
              <w:rPr>
                <w:rFonts w:hint="default" w:ascii="Times New Roman" w:hAnsi="Times New Roman" w:eastAsia="宋体" w:cs="Times New Roman"/>
                <w:color w:val="000000"/>
                <w:kern w:val="0"/>
                <w:sz w:val="21"/>
                <w:szCs w:val="21"/>
                <w:lang w:val="en-US" w:eastAsia="zh-CN"/>
              </w:rPr>
              <w:t xml:space="preserve"> 伍超群</w:t>
            </w:r>
          </w:p>
        </w:tc>
        <w:tc>
          <w:tcPr>
            <w:tcW w:w="740" w:type="pct"/>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eastAsia="zh-CN"/>
              </w:rPr>
              <w:t>全部采纳</w:t>
            </w:r>
          </w:p>
        </w:tc>
        <w:tc>
          <w:tcPr>
            <w:tcW w:w="239" w:type="pct"/>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cantSplit/>
          <w:trHeight w:val="567" w:hRule="atLeast"/>
        </w:trPr>
        <w:tc>
          <w:tcPr>
            <w:tcW w:w="437" w:type="pct"/>
            <w:tcBorders>
              <w:top w:val="nil"/>
              <w:left w:val="single" w:color="auto" w:sz="4" w:space="0"/>
              <w:bottom w:val="single" w:color="auto" w:sz="4" w:space="0"/>
              <w:right w:val="single" w:color="auto" w:sz="4" w:space="0"/>
            </w:tcBorders>
            <w:shd w:val="clear" w:color="auto" w:fill="auto"/>
            <w:noWrap/>
            <w:vAlign w:val="center"/>
          </w:tcPr>
          <w:p>
            <w:pPr>
              <w:pStyle w:val="301"/>
              <w:widowControl/>
              <w:numPr>
                <w:ilvl w:val="0"/>
                <w:numId w:val="12"/>
              </w:numPr>
              <w:ind w:firstLineChars="0"/>
              <w:jc w:val="center"/>
              <w:rPr>
                <w:rFonts w:hint="default" w:ascii="Times New Roman" w:hAnsi="Times New Roman" w:eastAsia="宋体" w:cs="Times New Roman"/>
                <w:color w:val="000000"/>
                <w:kern w:val="0"/>
                <w:sz w:val="21"/>
                <w:szCs w:val="21"/>
              </w:rPr>
            </w:pPr>
          </w:p>
        </w:tc>
        <w:tc>
          <w:tcPr>
            <w:tcW w:w="535" w:type="pct"/>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5.2</w:t>
            </w:r>
          </w:p>
        </w:tc>
        <w:tc>
          <w:tcPr>
            <w:tcW w:w="2311" w:type="pct"/>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lang w:val="en-US" w:eastAsia="zh-CN" w:bidi="ar-SA"/>
              </w:rPr>
              <w:t>环境温度改成25±5，并根据计量实际过程考虑恒温时间要求</w:t>
            </w:r>
          </w:p>
        </w:tc>
        <w:tc>
          <w:tcPr>
            <w:tcW w:w="736" w:type="pct"/>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国家刀剪及日用金属工具质量监督检测中心</w:t>
            </w:r>
            <w:r>
              <w:rPr>
                <w:rFonts w:hint="default" w:ascii="Times New Roman" w:hAnsi="Times New Roman" w:eastAsia="宋体" w:cs="Times New Roman"/>
                <w:color w:val="000000"/>
                <w:kern w:val="0"/>
                <w:sz w:val="21"/>
                <w:szCs w:val="21"/>
                <w:lang w:val="en-US" w:eastAsia="zh-CN"/>
              </w:rPr>
              <w:t xml:space="preserve"> </w:t>
            </w:r>
            <w:r>
              <w:rPr>
                <w:rFonts w:hint="default" w:ascii="Times New Roman" w:hAnsi="Times New Roman" w:eastAsia="宋体" w:cs="Times New Roman"/>
                <w:color w:val="000000"/>
                <w:kern w:val="0"/>
                <w:sz w:val="21"/>
                <w:szCs w:val="21"/>
                <w:lang w:eastAsia="zh-CN"/>
              </w:rPr>
              <w:t>毕革平；广东院</w:t>
            </w:r>
            <w:r>
              <w:rPr>
                <w:rFonts w:hint="default" w:ascii="Times New Roman" w:hAnsi="Times New Roman" w:eastAsia="宋体" w:cs="Times New Roman"/>
                <w:color w:val="000000"/>
                <w:kern w:val="0"/>
                <w:sz w:val="21"/>
                <w:szCs w:val="21"/>
                <w:lang w:val="en-US" w:eastAsia="zh-CN"/>
              </w:rPr>
              <w:t xml:space="preserve"> 伍超群</w:t>
            </w:r>
          </w:p>
        </w:tc>
        <w:tc>
          <w:tcPr>
            <w:tcW w:w="740" w:type="pct"/>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eastAsia="zh-CN"/>
              </w:rPr>
              <w:t>全部采纳</w:t>
            </w:r>
          </w:p>
        </w:tc>
        <w:tc>
          <w:tcPr>
            <w:tcW w:w="239" w:type="pct"/>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cantSplit/>
          <w:trHeight w:val="567" w:hRule="atLeast"/>
        </w:trPr>
        <w:tc>
          <w:tcPr>
            <w:tcW w:w="437" w:type="pct"/>
            <w:tcBorders>
              <w:top w:val="nil"/>
              <w:left w:val="single" w:color="auto" w:sz="4" w:space="0"/>
              <w:bottom w:val="single" w:color="auto" w:sz="4" w:space="0"/>
              <w:right w:val="single" w:color="auto" w:sz="4" w:space="0"/>
            </w:tcBorders>
            <w:shd w:val="clear" w:color="auto" w:fill="auto"/>
            <w:noWrap/>
            <w:vAlign w:val="center"/>
          </w:tcPr>
          <w:p>
            <w:pPr>
              <w:pStyle w:val="301"/>
              <w:widowControl/>
              <w:numPr>
                <w:ilvl w:val="0"/>
                <w:numId w:val="12"/>
              </w:numPr>
              <w:ind w:firstLineChars="0"/>
              <w:jc w:val="center"/>
              <w:rPr>
                <w:rFonts w:hint="default" w:ascii="Times New Roman" w:hAnsi="Times New Roman" w:eastAsia="宋体" w:cs="Times New Roman"/>
                <w:color w:val="000000"/>
                <w:kern w:val="0"/>
                <w:sz w:val="21"/>
                <w:szCs w:val="21"/>
              </w:rPr>
            </w:pPr>
          </w:p>
        </w:tc>
        <w:tc>
          <w:tcPr>
            <w:tcW w:w="535" w:type="pct"/>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表2</w:t>
            </w:r>
          </w:p>
        </w:tc>
        <w:tc>
          <w:tcPr>
            <w:tcW w:w="2311" w:type="pct"/>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lang w:eastAsia="zh-CN"/>
              </w:rPr>
              <w:t>电子天平量程要有上限规定，完善天平级别说明；金属线纹尺可以改用大量程</w:t>
            </w:r>
            <w:r>
              <w:rPr>
                <w:rFonts w:hint="default" w:ascii="Times New Roman" w:hAnsi="Times New Roman" w:eastAsia="宋体" w:cs="Times New Roman"/>
                <w:sz w:val="21"/>
                <w:szCs w:val="21"/>
                <w:lang w:eastAsia="zh-CN"/>
              </w:rPr>
              <w:t>游标</w:t>
            </w:r>
            <w:r>
              <w:rPr>
                <w:rFonts w:hint="default" w:ascii="Times New Roman" w:hAnsi="Times New Roman" w:eastAsia="宋体" w:cs="Times New Roman"/>
                <w:color w:val="000000"/>
                <w:kern w:val="0"/>
                <w:sz w:val="21"/>
                <w:szCs w:val="21"/>
                <w:lang w:eastAsia="zh-CN"/>
              </w:rPr>
              <w:t>卡尺</w:t>
            </w:r>
          </w:p>
        </w:tc>
        <w:tc>
          <w:tcPr>
            <w:tcW w:w="736" w:type="pct"/>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国家刀剪及日用金属工具质量监督检测中心</w:t>
            </w:r>
            <w:r>
              <w:rPr>
                <w:rFonts w:hint="default" w:ascii="Times New Roman" w:hAnsi="Times New Roman" w:eastAsia="宋体" w:cs="Times New Roman"/>
                <w:color w:val="000000"/>
                <w:kern w:val="0"/>
                <w:sz w:val="21"/>
                <w:szCs w:val="21"/>
                <w:lang w:val="en-US" w:eastAsia="zh-CN"/>
              </w:rPr>
              <w:t xml:space="preserve"> </w:t>
            </w:r>
            <w:r>
              <w:rPr>
                <w:rFonts w:hint="default" w:ascii="Times New Roman" w:hAnsi="Times New Roman" w:eastAsia="宋体" w:cs="Times New Roman"/>
                <w:color w:val="000000"/>
                <w:kern w:val="0"/>
                <w:sz w:val="21"/>
                <w:szCs w:val="21"/>
                <w:lang w:eastAsia="zh-CN"/>
              </w:rPr>
              <w:t>毕革平；东轻</w:t>
            </w:r>
            <w:r>
              <w:rPr>
                <w:rFonts w:hint="default" w:ascii="Times New Roman" w:hAnsi="Times New Roman" w:eastAsia="宋体" w:cs="Times New Roman"/>
                <w:color w:val="000000"/>
                <w:kern w:val="0"/>
                <w:sz w:val="21"/>
                <w:szCs w:val="21"/>
                <w:lang w:val="en-US" w:eastAsia="zh-CN"/>
              </w:rPr>
              <w:t xml:space="preserve"> 马金萍</w:t>
            </w:r>
          </w:p>
        </w:tc>
        <w:tc>
          <w:tcPr>
            <w:tcW w:w="740" w:type="pct"/>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eastAsia="zh-CN"/>
              </w:rPr>
              <w:t>全部采纳</w:t>
            </w:r>
          </w:p>
        </w:tc>
        <w:tc>
          <w:tcPr>
            <w:tcW w:w="239" w:type="pct"/>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cantSplit/>
          <w:trHeight w:val="567" w:hRule="atLeast"/>
        </w:trPr>
        <w:tc>
          <w:tcPr>
            <w:tcW w:w="437" w:type="pct"/>
            <w:tcBorders>
              <w:top w:val="nil"/>
              <w:left w:val="single" w:color="auto" w:sz="4" w:space="0"/>
              <w:bottom w:val="single" w:color="auto" w:sz="4" w:space="0"/>
              <w:right w:val="single" w:color="auto" w:sz="4" w:space="0"/>
            </w:tcBorders>
            <w:shd w:val="clear" w:color="auto" w:fill="auto"/>
            <w:noWrap/>
            <w:vAlign w:val="center"/>
          </w:tcPr>
          <w:p>
            <w:pPr>
              <w:pStyle w:val="301"/>
              <w:widowControl/>
              <w:numPr>
                <w:ilvl w:val="0"/>
                <w:numId w:val="12"/>
              </w:numPr>
              <w:ind w:firstLineChars="0"/>
              <w:jc w:val="center"/>
              <w:rPr>
                <w:rFonts w:hint="default" w:ascii="Times New Roman" w:hAnsi="Times New Roman" w:eastAsia="宋体" w:cs="Times New Roman"/>
                <w:color w:val="000000"/>
                <w:kern w:val="0"/>
                <w:sz w:val="21"/>
                <w:szCs w:val="21"/>
              </w:rPr>
            </w:pPr>
          </w:p>
        </w:tc>
        <w:tc>
          <w:tcPr>
            <w:tcW w:w="535" w:type="pct"/>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表3</w:t>
            </w:r>
          </w:p>
        </w:tc>
        <w:tc>
          <w:tcPr>
            <w:tcW w:w="2311" w:type="pct"/>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eastAsia="zh-CN"/>
              </w:rPr>
              <w:t>与表</w:t>
            </w:r>
            <w:r>
              <w:rPr>
                <w:rFonts w:hint="default" w:ascii="Times New Roman" w:hAnsi="Times New Roman" w:eastAsia="宋体" w:cs="Times New Roman"/>
                <w:color w:val="000000"/>
                <w:kern w:val="0"/>
                <w:sz w:val="21"/>
                <w:szCs w:val="21"/>
                <w:lang w:val="en-US" w:eastAsia="zh-CN"/>
              </w:rPr>
              <w:t>1合并</w:t>
            </w:r>
          </w:p>
        </w:tc>
        <w:tc>
          <w:tcPr>
            <w:tcW w:w="736" w:type="pct"/>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eastAsia="zh-CN"/>
              </w:rPr>
              <w:t>西安汉唐</w:t>
            </w:r>
            <w:r>
              <w:rPr>
                <w:rFonts w:hint="default" w:ascii="Times New Roman" w:hAnsi="Times New Roman" w:eastAsia="宋体" w:cs="Times New Roman"/>
                <w:color w:val="000000"/>
                <w:kern w:val="0"/>
                <w:sz w:val="21"/>
                <w:szCs w:val="21"/>
                <w:lang w:val="en-US" w:eastAsia="zh-CN"/>
              </w:rPr>
              <w:t xml:space="preserve"> </w:t>
            </w:r>
            <w:r>
              <w:rPr>
                <w:rFonts w:hint="default" w:ascii="Times New Roman" w:hAnsi="Times New Roman" w:eastAsia="宋体" w:cs="Times New Roman"/>
                <w:color w:val="000000"/>
                <w:kern w:val="0"/>
                <w:sz w:val="21"/>
                <w:szCs w:val="21"/>
                <w:lang w:eastAsia="zh-CN"/>
              </w:rPr>
              <w:t>余泽利</w:t>
            </w:r>
          </w:p>
        </w:tc>
        <w:tc>
          <w:tcPr>
            <w:tcW w:w="740" w:type="pct"/>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eastAsia="zh-CN"/>
              </w:rPr>
              <w:t>全部采纳</w:t>
            </w:r>
          </w:p>
        </w:tc>
        <w:tc>
          <w:tcPr>
            <w:tcW w:w="239" w:type="pct"/>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cantSplit/>
          <w:trHeight w:val="567" w:hRule="atLeast"/>
        </w:trPr>
        <w:tc>
          <w:tcPr>
            <w:tcW w:w="437" w:type="pct"/>
            <w:tcBorders>
              <w:top w:val="nil"/>
              <w:left w:val="single" w:color="auto" w:sz="4" w:space="0"/>
              <w:bottom w:val="single" w:color="auto" w:sz="4" w:space="0"/>
              <w:right w:val="single" w:color="auto" w:sz="4" w:space="0"/>
            </w:tcBorders>
            <w:shd w:val="clear" w:color="auto" w:fill="auto"/>
            <w:noWrap/>
            <w:vAlign w:val="center"/>
          </w:tcPr>
          <w:p>
            <w:pPr>
              <w:pStyle w:val="301"/>
              <w:widowControl/>
              <w:numPr>
                <w:ilvl w:val="0"/>
                <w:numId w:val="12"/>
              </w:numPr>
              <w:ind w:firstLineChars="0"/>
              <w:jc w:val="center"/>
              <w:rPr>
                <w:rFonts w:hint="default" w:ascii="Times New Roman" w:hAnsi="Times New Roman" w:eastAsia="宋体" w:cs="Times New Roman"/>
                <w:color w:val="000000"/>
                <w:kern w:val="0"/>
                <w:sz w:val="21"/>
                <w:szCs w:val="21"/>
              </w:rPr>
            </w:pPr>
          </w:p>
        </w:tc>
        <w:tc>
          <w:tcPr>
            <w:tcW w:w="535" w:type="pct"/>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sz w:val="21"/>
                <w:szCs w:val="21"/>
                <w:highlight w:val="none"/>
                <w:lang w:val="en-US" w:eastAsia="zh-CN"/>
              </w:rPr>
              <w:t>6.2.2</w:t>
            </w:r>
          </w:p>
        </w:tc>
        <w:tc>
          <w:tcPr>
            <w:tcW w:w="2311" w:type="pct"/>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eastAsia="zh-CN"/>
              </w:rPr>
              <w:t>冲头校准</w:t>
            </w:r>
            <w:r>
              <w:rPr>
                <w:rFonts w:hint="default" w:ascii="Times New Roman" w:hAnsi="Times New Roman" w:eastAsia="宋体" w:cs="Times New Roman"/>
                <w:color w:val="000000"/>
                <w:kern w:val="0"/>
                <w:sz w:val="21"/>
                <w:szCs w:val="21"/>
                <w:lang w:val="en-US" w:eastAsia="zh-CN"/>
              </w:rPr>
              <w:t>3个点的分布参照洛氏硬度计的取点</w:t>
            </w:r>
          </w:p>
        </w:tc>
        <w:tc>
          <w:tcPr>
            <w:tcW w:w="736" w:type="pct"/>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eastAsia="zh-CN"/>
              </w:rPr>
              <w:t>西安汉唐</w:t>
            </w:r>
            <w:r>
              <w:rPr>
                <w:rFonts w:hint="default" w:ascii="Times New Roman" w:hAnsi="Times New Roman" w:eastAsia="宋体" w:cs="Times New Roman"/>
                <w:color w:val="000000"/>
                <w:kern w:val="0"/>
                <w:sz w:val="21"/>
                <w:szCs w:val="21"/>
                <w:lang w:val="en-US" w:eastAsia="zh-CN"/>
              </w:rPr>
              <w:t xml:space="preserve"> </w:t>
            </w:r>
            <w:r>
              <w:rPr>
                <w:rFonts w:hint="default" w:ascii="Times New Roman" w:hAnsi="Times New Roman" w:eastAsia="宋体" w:cs="Times New Roman"/>
                <w:color w:val="000000"/>
                <w:kern w:val="0"/>
                <w:sz w:val="21"/>
                <w:szCs w:val="21"/>
                <w:lang w:eastAsia="zh-CN"/>
              </w:rPr>
              <w:t>余泽利</w:t>
            </w:r>
          </w:p>
        </w:tc>
        <w:tc>
          <w:tcPr>
            <w:tcW w:w="740" w:type="pct"/>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eastAsia="zh-CN"/>
              </w:rPr>
              <w:t>全部采纳</w:t>
            </w:r>
          </w:p>
        </w:tc>
        <w:tc>
          <w:tcPr>
            <w:tcW w:w="239" w:type="pct"/>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cantSplit/>
          <w:trHeight w:val="567" w:hRule="atLeast"/>
        </w:trPr>
        <w:tc>
          <w:tcPr>
            <w:tcW w:w="437" w:type="pct"/>
            <w:tcBorders>
              <w:top w:val="nil"/>
              <w:left w:val="single" w:color="auto" w:sz="4" w:space="0"/>
              <w:bottom w:val="single" w:color="auto" w:sz="4" w:space="0"/>
              <w:right w:val="single" w:color="auto" w:sz="4" w:space="0"/>
            </w:tcBorders>
            <w:shd w:val="clear" w:color="auto" w:fill="auto"/>
            <w:noWrap/>
            <w:vAlign w:val="center"/>
          </w:tcPr>
          <w:p>
            <w:pPr>
              <w:pStyle w:val="301"/>
              <w:widowControl/>
              <w:numPr>
                <w:ilvl w:val="0"/>
                <w:numId w:val="12"/>
              </w:numPr>
              <w:ind w:firstLineChars="0"/>
              <w:jc w:val="center"/>
              <w:rPr>
                <w:rFonts w:hint="default" w:ascii="Times New Roman" w:hAnsi="Times New Roman" w:eastAsia="宋体" w:cs="Times New Roman"/>
                <w:color w:val="000000"/>
                <w:kern w:val="0"/>
                <w:sz w:val="21"/>
                <w:szCs w:val="21"/>
              </w:rPr>
            </w:pPr>
          </w:p>
        </w:tc>
        <w:tc>
          <w:tcPr>
            <w:tcW w:w="535" w:type="pct"/>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6.2.3</w:t>
            </w:r>
          </w:p>
        </w:tc>
        <w:tc>
          <w:tcPr>
            <w:tcW w:w="2311" w:type="pct"/>
            <w:tcBorders>
              <w:top w:val="nil"/>
              <w:left w:val="nil"/>
              <w:bottom w:val="single" w:color="auto" w:sz="4" w:space="0"/>
              <w:right w:val="single" w:color="auto" w:sz="4" w:space="0"/>
            </w:tcBorders>
            <w:shd w:val="clear" w:color="auto" w:fill="auto"/>
            <w:noWrap/>
            <w:vAlign w:val="center"/>
          </w:tcPr>
          <w:p>
            <w:pPr>
              <w:pStyle w:val="57"/>
              <w:spacing w:line="360" w:lineRule="auto"/>
              <w:ind w:left="0" w:leftChars="0" w:firstLine="0" w:firstLineChars="0"/>
              <w:jc w:val="both"/>
              <w:outlineLvl w:val="1"/>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sz w:val="21"/>
                <w:szCs w:val="21"/>
                <w:highlight w:val="none"/>
                <w:lang w:val="en-US" w:eastAsia="zh-CN"/>
              </w:rPr>
              <w:t>跌落高度的校准位置应体现均匀分布，建议选取20%、40%、60%、80%、100%五点，并增加根据客户需求指定高度位置进行校准的表述。</w:t>
            </w:r>
          </w:p>
        </w:tc>
        <w:tc>
          <w:tcPr>
            <w:tcW w:w="736" w:type="pct"/>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国家刀剪及日用金属工具质量监督检测中心</w:t>
            </w:r>
            <w:r>
              <w:rPr>
                <w:rFonts w:hint="default" w:ascii="Times New Roman" w:hAnsi="Times New Roman" w:eastAsia="宋体" w:cs="Times New Roman"/>
                <w:color w:val="000000"/>
                <w:kern w:val="0"/>
                <w:sz w:val="21"/>
                <w:szCs w:val="21"/>
                <w:lang w:val="en-US" w:eastAsia="zh-CN"/>
              </w:rPr>
              <w:t xml:space="preserve"> </w:t>
            </w:r>
            <w:r>
              <w:rPr>
                <w:rFonts w:hint="default" w:ascii="Times New Roman" w:hAnsi="Times New Roman" w:eastAsia="宋体" w:cs="Times New Roman"/>
                <w:color w:val="000000"/>
                <w:kern w:val="0"/>
                <w:sz w:val="21"/>
                <w:szCs w:val="21"/>
                <w:lang w:eastAsia="zh-CN"/>
              </w:rPr>
              <w:t>毕革平；西安汉唐</w:t>
            </w:r>
            <w:r>
              <w:rPr>
                <w:rFonts w:hint="default" w:ascii="Times New Roman" w:hAnsi="Times New Roman" w:eastAsia="宋体" w:cs="Times New Roman"/>
                <w:color w:val="000000"/>
                <w:kern w:val="0"/>
                <w:sz w:val="21"/>
                <w:szCs w:val="21"/>
                <w:lang w:val="en-US" w:eastAsia="zh-CN"/>
              </w:rPr>
              <w:t xml:space="preserve"> </w:t>
            </w:r>
            <w:r>
              <w:rPr>
                <w:rFonts w:hint="default" w:ascii="Times New Roman" w:hAnsi="Times New Roman" w:eastAsia="宋体" w:cs="Times New Roman"/>
                <w:color w:val="000000"/>
                <w:kern w:val="0"/>
                <w:sz w:val="21"/>
                <w:szCs w:val="21"/>
                <w:lang w:eastAsia="zh-CN"/>
              </w:rPr>
              <w:t>余泽利</w:t>
            </w:r>
          </w:p>
        </w:tc>
        <w:tc>
          <w:tcPr>
            <w:tcW w:w="740" w:type="pct"/>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eastAsia="zh-CN"/>
              </w:rPr>
              <w:t>全部采纳</w:t>
            </w:r>
          </w:p>
        </w:tc>
        <w:tc>
          <w:tcPr>
            <w:tcW w:w="239" w:type="pct"/>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cantSplit/>
          <w:trHeight w:val="567" w:hRule="atLeast"/>
        </w:trPr>
        <w:tc>
          <w:tcPr>
            <w:tcW w:w="437" w:type="pct"/>
            <w:tcBorders>
              <w:top w:val="nil"/>
              <w:left w:val="single" w:color="auto" w:sz="4" w:space="0"/>
              <w:bottom w:val="single" w:color="auto" w:sz="4" w:space="0"/>
              <w:right w:val="single" w:color="auto" w:sz="4" w:space="0"/>
            </w:tcBorders>
            <w:shd w:val="clear" w:color="auto" w:fill="auto"/>
            <w:noWrap/>
            <w:vAlign w:val="center"/>
          </w:tcPr>
          <w:p>
            <w:pPr>
              <w:pStyle w:val="301"/>
              <w:widowControl/>
              <w:numPr>
                <w:ilvl w:val="0"/>
                <w:numId w:val="12"/>
              </w:numPr>
              <w:ind w:firstLineChars="0"/>
              <w:jc w:val="center"/>
              <w:rPr>
                <w:rFonts w:hint="default" w:ascii="Times New Roman" w:hAnsi="Times New Roman" w:eastAsia="宋体" w:cs="Times New Roman"/>
                <w:color w:val="000000"/>
                <w:kern w:val="0"/>
                <w:sz w:val="21"/>
                <w:szCs w:val="21"/>
              </w:rPr>
            </w:pPr>
          </w:p>
        </w:tc>
        <w:tc>
          <w:tcPr>
            <w:tcW w:w="535" w:type="pct"/>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6.2.4</w:t>
            </w:r>
          </w:p>
        </w:tc>
        <w:tc>
          <w:tcPr>
            <w:tcW w:w="2311" w:type="pct"/>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sz w:val="21"/>
                <w:szCs w:val="21"/>
                <w:highlight w:val="none"/>
                <w:lang w:val="en-US" w:eastAsia="zh-CN"/>
              </w:rPr>
              <w:t>校准数据的处理与前一节内容合并</w:t>
            </w:r>
          </w:p>
        </w:tc>
        <w:tc>
          <w:tcPr>
            <w:tcW w:w="736" w:type="pct"/>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eastAsia="zh-CN"/>
              </w:rPr>
              <w:t>西安汉唐</w:t>
            </w:r>
            <w:r>
              <w:rPr>
                <w:rFonts w:hint="default" w:ascii="Times New Roman" w:hAnsi="Times New Roman" w:eastAsia="宋体" w:cs="Times New Roman"/>
                <w:color w:val="000000"/>
                <w:kern w:val="0"/>
                <w:sz w:val="21"/>
                <w:szCs w:val="21"/>
                <w:lang w:val="en-US" w:eastAsia="zh-CN"/>
              </w:rPr>
              <w:t xml:space="preserve"> </w:t>
            </w:r>
            <w:r>
              <w:rPr>
                <w:rFonts w:hint="default" w:ascii="Times New Roman" w:hAnsi="Times New Roman" w:eastAsia="宋体" w:cs="Times New Roman"/>
                <w:color w:val="000000"/>
                <w:kern w:val="0"/>
                <w:sz w:val="21"/>
                <w:szCs w:val="21"/>
                <w:lang w:eastAsia="zh-CN"/>
              </w:rPr>
              <w:t>余泽利</w:t>
            </w:r>
          </w:p>
        </w:tc>
        <w:tc>
          <w:tcPr>
            <w:tcW w:w="740" w:type="pct"/>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eastAsia="zh-CN"/>
              </w:rPr>
              <w:t>全部采纳</w:t>
            </w:r>
          </w:p>
        </w:tc>
        <w:tc>
          <w:tcPr>
            <w:tcW w:w="239" w:type="pct"/>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cantSplit/>
          <w:trHeight w:val="567" w:hRule="atLeast"/>
        </w:trPr>
        <w:tc>
          <w:tcPr>
            <w:tcW w:w="437" w:type="pct"/>
            <w:tcBorders>
              <w:top w:val="nil"/>
              <w:left w:val="single" w:color="auto" w:sz="4" w:space="0"/>
              <w:bottom w:val="single" w:color="auto" w:sz="4" w:space="0"/>
              <w:right w:val="single" w:color="auto" w:sz="4" w:space="0"/>
            </w:tcBorders>
            <w:shd w:val="clear" w:color="auto" w:fill="auto"/>
            <w:noWrap/>
            <w:vAlign w:val="center"/>
          </w:tcPr>
          <w:p>
            <w:pPr>
              <w:pStyle w:val="301"/>
              <w:widowControl/>
              <w:numPr>
                <w:ilvl w:val="0"/>
                <w:numId w:val="12"/>
              </w:numPr>
              <w:ind w:firstLineChars="0"/>
              <w:jc w:val="center"/>
              <w:rPr>
                <w:rFonts w:hint="default" w:ascii="Times New Roman" w:hAnsi="Times New Roman" w:eastAsia="宋体" w:cs="Times New Roman"/>
                <w:color w:val="000000"/>
                <w:kern w:val="0"/>
                <w:sz w:val="21"/>
                <w:szCs w:val="21"/>
              </w:rPr>
            </w:pPr>
          </w:p>
        </w:tc>
        <w:tc>
          <w:tcPr>
            <w:tcW w:w="535" w:type="pct"/>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第6章</w:t>
            </w:r>
          </w:p>
        </w:tc>
        <w:tc>
          <w:tcPr>
            <w:tcW w:w="2311" w:type="pct"/>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可增加参考物质的使用，与现有项目共同进行校准</w:t>
            </w:r>
          </w:p>
        </w:tc>
        <w:tc>
          <w:tcPr>
            <w:tcW w:w="736" w:type="pct"/>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rPr>
              <w:t>国家刀剪及日用金属工具质量监督检测中心</w:t>
            </w:r>
            <w:r>
              <w:rPr>
                <w:rFonts w:hint="default" w:ascii="Times New Roman" w:hAnsi="Times New Roman" w:eastAsia="宋体" w:cs="Times New Roman"/>
                <w:color w:val="000000"/>
                <w:kern w:val="0"/>
                <w:sz w:val="21"/>
                <w:szCs w:val="21"/>
                <w:lang w:val="en-US" w:eastAsia="zh-CN"/>
              </w:rPr>
              <w:t xml:space="preserve"> </w:t>
            </w:r>
            <w:r>
              <w:rPr>
                <w:rFonts w:hint="default" w:ascii="Times New Roman" w:hAnsi="Times New Roman" w:eastAsia="宋体" w:cs="Times New Roman"/>
                <w:color w:val="000000"/>
                <w:kern w:val="0"/>
                <w:sz w:val="21"/>
                <w:szCs w:val="21"/>
                <w:lang w:eastAsia="zh-CN"/>
              </w:rPr>
              <w:t>毕革平；有色标准计量质量研究所</w:t>
            </w:r>
            <w:r>
              <w:rPr>
                <w:rFonts w:hint="default" w:ascii="Times New Roman" w:hAnsi="Times New Roman" w:eastAsia="宋体" w:cs="Times New Roman"/>
                <w:color w:val="000000"/>
                <w:kern w:val="0"/>
                <w:sz w:val="21"/>
                <w:szCs w:val="21"/>
                <w:lang w:val="en-US" w:eastAsia="zh-CN"/>
              </w:rPr>
              <w:t xml:space="preserve"> 赵永善</w:t>
            </w:r>
          </w:p>
        </w:tc>
        <w:tc>
          <w:tcPr>
            <w:tcW w:w="740" w:type="pct"/>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lang w:eastAsia="zh-CN"/>
              </w:rPr>
              <w:t>全部采纳</w:t>
            </w:r>
          </w:p>
        </w:tc>
        <w:tc>
          <w:tcPr>
            <w:tcW w:w="239" w:type="pct"/>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cantSplit/>
          <w:trHeight w:val="567" w:hRule="atLeast"/>
        </w:trPr>
        <w:tc>
          <w:tcPr>
            <w:tcW w:w="437" w:type="pct"/>
            <w:tcBorders>
              <w:top w:val="nil"/>
              <w:left w:val="single" w:color="auto" w:sz="4" w:space="0"/>
              <w:bottom w:val="single" w:color="auto" w:sz="4" w:space="0"/>
              <w:right w:val="single" w:color="auto" w:sz="4" w:space="0"/>
            </w:tcBorders>
            <w:shd w:val="clear" w:color="auto" w:fill="auto"/>
            <w:noWrap/>
            <w:vAlign w:val="center"/>
          </w:tcPr>
          <w:p>
            <w:pPr>
              <w:pStyle w:val="301"/>
              <w:widowControl/>
              <w:numPr>
                <w:ilvl w:val="0"/>
                <w:numId w:val="12"/>
              </w:numPr>
              <w:ind w:firstLineChars="0"/>
              <w:jc w:val="center"/>
              <w:rPr>
                <w:rFonts w:hint="default" w:ascii="Times New Roman" w:hAnsi="Times New Roman" w:eastAsia="宋体" w:cs="Times New Roman"/>
                <w:color w:val="000000"/>
                <w:kern w:val="0"/>
                <w:sz w:val="21"/>
                <w:szCs w:val="21"/>
                <w:highlight w:val="none"/>
              </w:rPr>
            </w:pPr>
          </w:p>
        </w:tc>
        <w:tc>
          <w:tcPr>
            <w:tcW w:w="535" w:type="pct"/>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编制说明</w:t>
            </w:r>
          </w:p>
        </w:tc>
        <w:tc>
          <w:tcPr>
            <w:tcW w:w="2311" w:type="pct"/>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补充前期讨论、校准项目的确定等过程内容</w:t>
            </w:r>
          </w:p>
        </w:tc>
        <w:tc>
          <w:tcPr>
            <w:tcW w:w="736" w:type="pct"/>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000000"/>
                <w:kern w:val="0"/>
                <w:sz w:val="21"/>
                <w:szCs w:val="21"/>
                <w:highlight w:val="none"/>
              </w:rPr>
            </w:pPr>
            <w:r>
              <w:rPr>
                <w:rFonts w:hint="default" w:ascii="Times New Roman" w:hAnsi="Times New Roman" w:eastAsia="宋体" w:cs="Times New Roman"/>
                <w:color w:val="000000"/>
                <w:kern w:val="0"/>
                <w:sz w:val="21"/>
                <w:szCs w:val="21"/>
                <w:highlight w:val="none"/>
                <w:lang w:eastAsia="zh-CN"/>
              </w:rPr>
              <w:t>有色标准计量质量研究所</w:t>
            </w:r>
            <w:r>
              <w:rPr>
                <w:rFonts w:hint="default" w:ascii="Times New Roman" w:hAnsi="Times New Roman" w:eastAsia="宋体" w:cs="Times New Roman"/>
                <w:color w:val="000000"/>
                <w:kern w:val="0"/>
                <w:sz w:val="21"/>
                <w:szCs w:val="21"/>
                <w:highlight w:val="none"/>
                <w:lang w:val="en-US" w:eastAsia="zh-CN"/>
              </w:rPr>
              <w:t xml:space="preserve"> 赵永善</w:t>
            </w:r>
          </w:p>
        </w:tc>
        <w:tc>
          <w:tcPr>
            <w:tcW w:w="740" w:type="pct"/>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000000"/>
                <w:kern w:val="0"/>
                <w:sz w:val="21"/>
                <w:szCs w:val="21"/>
                <w:highlight w:val="none"/>
                <w:lang w:eastAsia="zh-CN"/>
              </w:rPr>
            </w:pPr>
            <w:r>
              <w:rPr>
                <w:rFonts w:hint="default" w:ascii="Times New Roman" w:hAnsi="Times New Roman" w:eastAsia="宋体" w:cs="Times New Roman"/>
                <w:color w:val="000000"/>
                <w:kern w:val="0"/>
                <w:sz w:val="21"/>
                <w:szCs w:val="21"/>
                <w:highlight w:val="none"/>
                <w:lang w:eastAsia="zh-CN"/>
              </w:rPr>
              <w:t>全部采纳</w:t>
            </w:r>
          </w:p>
        </w:tc>
        <w:tc>
          <w:tcPr>
            <w:tcW w:w="239" w:type="pct"/>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000000"/>
                <w:kern w:val="0"/>
                <w:sz w:val="21"/>
                <w:szCs w:val="21"/>
                <w:highlight w:val="none"/>
              </w:rPr>
            </w:pPr>
          </w:p>
        </w:tc>
      </w:tr>
    </w:tbl>
    <w:p>
      <w:pPr>
        <w:pStyle w:val="57"/>
        <w:spacing w:line="324" w:lineRule="auto"/>
        <w:ind w:firstLine="420"/>
        <w:rPr>
          <w:rFonts w:hint="default" w:ascii="Times New Roman" w:hAnsi="Times New Roman" w:eastAsia="宋体" w:cs="Times New Roman"/>
          <w:sz w:val="21"/>
          <w:szCs w:val="21"/>
          <w:highlight w:val="none"/>
        </w:rPr>
      </w:pPr>
    </w:p>
    <w:p>
      <w:pPr>
        <w:pStyle w:val="57"/>
        <w:spacing w:line="324" w:lineRule="auto"/>
        <w:ind w:left="0" w:leftChars="0" w:firstLine="0" w:firstLineChars="0"/>
        <w:rPr>
          <w:rFonts w:hint="eastAsia" w:ascii="Times New Roman" w:hAnsi="Times New Roman" w:cs="Times New Roman"/>
          <w:sz w:val="21"/>
          <w:szCs w:val="21"/>
          <w:lang w:val="en-US" w:eastAsia="zh-CN"/>
        </w:rPr>
      </w:pPr>
      <w:r>
        <w:rPr>
          <w:rFonts w:hint="default" w:ascii="Times New Roman" w:hAnsi="Times New Roman" w:eastAsia="宋体" w:cs="Times New Roman"/>
          <w:sz w:val="21"/>
          <w:szCs w:val="21"/>
          <w:highlight w:val="none"/>
          <w:lang w:val="en-US" w:eastAsia="zh-CN"/>
        </w:rPr>
        <w:t xml:space="preserve">4.3.2 </w:t>
      </w:r>
      <w:r>
        <w:rPr>
          <w:rFonts w:hint="default" w:ascii="Times New Roman" w:hAnsi="Times New Roman" w:eastAsia="宋体" w:cs="Times New Roman"/>
          <w:sz w:val="21"/>
          <w:szCs w:val="21"/>
          <w:lang w:val="en-US" w:eastAsia="zh-CN"/>
        </w:rPr>
        <w:t>2023年5月，编制组依据讨论会上提出的修改意见，</w:t>
      </w:r>
      <w:r>
        <w:rPr>
          <w:rFonts w:hint="eastAsia" w:ascii="Times New Roman" w:hAnsi="Times New Roman" w:cs="Times New Roman"/>
          <w:sz w:val="21"/>
          <w:szCs w:val="21"/>
          <w:lang w:val="en-US" w:eastAsia="zh-CN"/>
        </w:rPr>
        <w:t>对</w:t>
      </w:r>
      <w:r>
        <w:rPr>
          <w:rFonts w:hint="default" w:ascii="Times New Roman" w:hAnsi="Times New Roman" w:eastAsia="宋体" w:cs="Times New Roman"/>
          <w:sz w:val="21"/>
          <w:szCs w:val="21"/>
          <w:lang w:val="en-US" w:eastAsia="zh-CN"/>
        </w:rPr>
        <w:t>其中涉及格式</w:t>
      </w:r>
      <w:r>
        <w:rPr>
          <w:rFonts w:hint="eastAsia" w:ascii="Times New Roman" w:hAnsi="Times New Roman" w:cs="Times New Roman"/>
          <w:sz w:val="21"/>
          <w:szCs w:val="21"/>
          <w:lang w:val="en-US" w:eastAsia="zh-CN"/>
        </w:rPr>
        <w:t>的</w:t>
      </w:r>
      <w:r>
        <w:rPr>
          <w:rFonts w:hint="default" w:ascii="Times New Roman" w:hAnsi="Times New Roman" w:eastAsia="宋体" w:cs="Times New Roman"/>
          <w:sz w:val="21"/>
          <w:szCs w:val="21"/>
          <w:lang w:val="en-US" w:eastAsia="zh-CN"/>
        </w:rPr>
        <w:t>部分直接进行了修改，对于意见中的“增加参考物质的使用”，需要</w:t>
      </w:r>
      <w:r>
        <w:rPr>
          <w:rFonts w:hint="eastAsia" w:ascii="Times New Roman" w:hAnsi="Times New Roman" w:cs="Times New Roman"/>
          <w:sz w:val="21"/>
          <w:szCs w:val="21"/>
          <w:lang w:val="en-US" w:eastAsia="zh-CN"/>
        </w:rPr>
        <w:t>验证校准用金属板用于校准的可靠性。</w:t>
      </w:r>
    </w:p>
    <w:p>
      <w:pPr>
        <w:pStyle w:val="57"/>
        <w:spacing w:line="324" w:lineRule="auto"/>
        <w:ind w:left="0" w:leftChars="0" w:firstLine="0" w:firstLineChars="0"/>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4.3.2.1 校准用金属板材料的选择：</w:t>
      </w:r>
      <w:r>
        <w:rPr>
          <w:rFonts w:hint="default" w:ascii="Times New Roman" w:hAnsi="Times New Roman" w:eastAsia="宋体" w:cs="Times New Roman"/>
          <w:sz w:val="21"/>
          <w:szCs w:val="21"/>
          <w:lang w:val="en-US" w:eastAsia="zh-CN"/>
        </w:rPr>
        <w:t>编制组通过调研</w:t>
      </w:r>
      <w:r>
        <w:rPr>
          <w:rFonts w:hint="eastAsia" w:ascii="Times New Roman" w:hAnsi="Times New Roman" w:cs="Times New Roman"/>
          <w:sz w:val="21"/>
          <w:szCs w:val="21"/>
          <w:lang w:val="en-US" w:eastAsia="zh-CN"/>
        </w:rPr>
        <w:t>了解到</w:t>
      </w:r>
      <w:r>
        <w:rPr>
          <w:rFonts w:hint="default" w:ascii="Times New Roman" w:hAnsi="Times New Roman" w:eastAsia="宋体" w:cs="Times New Roman"/>
          <w:sz w:val="21"/>
          <w:szCs w:val="21"/>
          <w:lang w:val="en-US" w:eastAsia="zh-CN"/>
        </w:rPr>
        <w:t>，行业内用户多对厚度0.7~1.0mm的铝基板表面膜层有试验需求，从应用角度出发，并考虑试验过程</w:t>
      </w:r>
      <w:r>
        <w:rPr>
          <w:rFonts w:hint="eastAsia" w:ascii="Times New Roman" w:hAnsi="Times New Roman" w:cs="Times New Roman"/>
          <w:sz w:val="21"/>
          <w:szCs w:val="21"/>
          <w:lang w:val="en-US" w:eastAsia="zh-CN"/>
        </w:rPr>
        <w:t>校准用铝板硬度对冲头进入底座凹槽深度</w:t>
      </w:r>
      <w:r>
        <w:rPr>
          <w:rFonts w:hint="default" w:ascii="Times New Roman" w:hAnsi="Times New Roman" w:eastAsia="宋体" w:cs="Times New Roman"/>
          <w:sz w:val="21"/>
          <w:szCs w:val="21"/>
          <w:lang w:val="en-US" w:eastAsia="zh-CN"/>
        </w:rPr>
        <w:t>的影响，</w:t>
      </w:r>
      <w:r>
        <w:rPr>
          <w:rFonts w:hint="eastAsia" w:ascii="Times New Roman" w:hAnsi="Times New Roman" w:cs="Times New Roman"/>
          <w:sz w:val="21"/>
          <w:szCs w:val="21"/>
          <w:lang w:val="en-US" w:eastAsia="zh-CN"/>
        </w:rPr>
        <w:t>最终选用硬度较低的纯铝板作为校准用参考物质；</w:t>
      </w:r>
    </w:p>
    <w:p>
      <w:pPr>
        <w:pStyle w:val="57"/>
        <w:spacing w:line="324" w:lineRule="auto"/>
        <w:ind w:left="0" w:leftChars="0" w:firstLine="0" w:firstLineChars="0"/>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 xml:space="preserve">.4.3.2.2 </w:t>
      </w:r>
      <w:r>
        <w:rPr>
          <w:rFonts w:hint="default" w:ascii="Times New Roman" w:hAnsi="Times New Roman" w:eastAsia="宋体" w:cs="Times New Roman"/>
          <w:sz w:val="21"/>
          <w:szCs w:val="21"/>
          <w:lang w:val="en-US" w:eastAsia="zh-CN"/>
        </w:rPr>
        <w:t>铝板厚度</w:t>
      </w:r>
      <w:r>
        <w:rPr>
          <w:rFonts w:hint="eastAsia" w:ascii="Times New Roman" w:hAnsi="Times New Roman" w:cs="Times New Roman"/>
          <w:sz w:val="21"/>
          <w:szCs w:val="21"/>
          <w:lang w:val="en-US" w:eastAsia="zh-CN"/>
        </w:rPr>
        <w:t>的选择：</w:t>
      </w:r>
      <w:r>
        <w:rPr>
          <w:rFonts w:hint="default" w:ascii="Times New Roman" w:hAnsi="Times New Roman" w:eastAsia="宋体" w:cs="Times New Roman"/>
          <w:sz w:val="21"/>
          <w:szCs w:val="21"/>
          <w:lang w:val="en-US" w:eastAsia="zh-CN"/>
        </w:rPr>
        <w:t>通过</w:t>
      </w:r>
      <w:r>
        <w:rPr>
          <w:rFonts w:hint="eastAsia" w:ascii="Times New Roman" w:hAnsi="Times New Roman" w:cs="Times New Roman"/>
          <w:sz w:val="21"/>
          <w:szCs w:val="21"/>
          <w:lang w:val="en-US" w:eastAsia="zh-CN"/>
        </w:rPr>
        <w:t>对校准用纯铝板进行冲击试验后，</w:t>
      </w:r>
      <w:r>
        <w:rPr>
          <w:rFonts w:hint="default" w:ascii="Times New Roman" w:hAnsi="Times New Roman" w:eastAsia="宋体" w:cs="Times New Roman"/>
          <w:sz w:val="21"/>
          <w:szCs w:val="21"/>
          <w:lang w:val="en-US" w:eastAsia="zh-CN"/>
        </w:rPr>
        <w:t>测量试验产生的凹坑深度，发</w:t>
      </w:r>
      <w:r>
        <w:rPr>
          <w:rFonts w:hint="eastAsia" w:ascii="Times New Roman" w:hAnsi="Times New Roman" w:cs="Times New Roman"/>
          <w:sz w:val="21"/>
          <w:szCs w:val="21"/>
          <w:lang w:val="en-US" w:eastAsia="zh-CN"/>
        </w:rPr>
        <w:t>现如果</w:t>
      </w:r>
      <w:r>
        <w:rPr>
          <w:rFonts w:hint="default" w:ascii="Times New Roman" w:hAnsi="Times New Roman" w:eastAsia="宋体" w:cs="Times New Roman"/>
          <w:sz w:val="21"/>
          <w:szCs w:val="21"/>
          <w:lang w:val="en-US" w:eastAsia="zh-CN"/>
        </w:rPr>
        <w:t>用于冲击试验的铝板过厚</w:t>
      </w:r>
      <w:r>
        <w:rPr>
          <w:rFonts w:hint="eastAsia" w:ascii="Times New Roman" w:hAnsi="Times New Roman" w:cs="Times New Roman"/>
          <w:sz w:val="21"/>
          <w:szCs w:val="21"/>
          <w:lang w:val="en-US" w:eastAsia="zh-CN"/>
        </w:rPr>
        <w:t>，</w:t>
      </w:r>
      <w:r>
        <w:rPr>
          <w:rFonts w:hint="default" w:ascii="Times New Roman" w:hAnsi="Times New Roman" w:eastAsia="宋体" w:cs="Times New Roman"/>
          <w:sz w:val="21"/>
          <w:szCs w:val="21"/>
          <w:lang w:val="en-US" w:eastAsia="zh-CN"/>
        </w:rPr>
        <w:t>则产生凹坑较小，</w:t>
      </w:r>
      <w:r>
        <w:rPr>
          <w:rFonts w:hint="eastAsia" w:ascii="Times New Roman" w:hAnsi="Times New Roman" w:cs="Times New Roman"/>
          <w:sz w:val="21"/>
          <w:szCs w:val="21"/>
          <w:lang w:val="en-US" w:eastAsia="zh-CN"/>
        </w:rPr>
        <w:t>在试验中对厚度3.53mm铝板进行冲击，产生的凹坑过浅，</w:t>
      </w:r>
      <w:r>
        <w:rPr>
          <w:rFonts w:hint="default" w:ascii="Times New Roman" w:hAnsi="Times New Roman" w:eastAsia="宋体" w:cs="Times New Roman"/>
          <w:sz w:val="21"/>
          <w:szCs w:val="21"/>
          <w:lang w:val="en-US" w:eastAsia="zh-CN"/>
        </w:rPr>
        <w:t>结果无效；</w:t>
      </w:r>
      <w:r>
        <w:rPr>
          <w:rFonts w:hint="eastAsia" w:ascii="Times New Roman" w:hAnsi="Times New Roman" w:cs="Times New Roman"/>
          <w:sz w:val="21"/>
          <w:szCs w:val="21"/>
          <w:lang w:val="en-US" w:eastAsia="zh-CN"/>
        </w:rPr>
        <w:t>但如果</w:t>
      </w:r>
      <w:r>
        <w:rPr>
          <w:rFonts w:hint="default" w:ascii="Times New Roman" w:hAnsi="Times New Roman" w:eastAsia="宋体" w:cs="Times New Roman"/>
          <w:sz w:val="21"/>
          <w:szCs w:val="21"/>
          <w:lang w:val="en-US" w:eastAsia="zh-CN"/>
        </w:rPr>
        <w:t>铝板过薄</w:t>
      </w:r>
      <w:r>
        <w:rPr>
          <w:rFonts w:hint="eastAsia" w:ascii="Times New Roman" w:hAnsi="Times New Roman" w:cs="Times New Roman"/>
          <w:sz w:val="21"/>
          <w:szCs w:val="21"/>
          <w:lang w:val="en-US" w:eastAsia="zh-CN"/>
        </w:rPr>
        <w:t>，</w:t>
      </w:r>
      <w:r>
        <w:rPr>
          <w:rFonts w:hint="default" w:ascii="Times New Roman" w:hAnsi="Times New Roman" w:eastAsia="宋体" w:cs="Times New Roman"/>
          <w:sz w:val="21"/>
          <w:szCs w:val="21"/>
          <w:lang w:val="en-US" w:eastAsia="zh-CN"/>
        </w:rPr>
        <w:t>则最终</w:t>
      </w:r>
      <w:r>
        <w:rPr>
          <w:rFonts w:hint="eastAsia" w:ascii="Times New Roman" w:hAnsi="Times New Roman" w:cs="Times New Roman"/>
          <w:sz w:val="21"/>
          <w:szCs w:val="21"/>
          <w:lang w:val="en-US" w:eastAsia="zh-CN"/>
        </w:rPr>
        <w:t>冲击试验后</w:t>
      </w:r>
      <w:r>
        <w:rPr>
          <w:rFonts w:hint="default" w:ascii="Times New Roman" w:hAnsi="Times New Roman" w:eastAsia="宋体" w:cs="Times New Roman"/>
          <w:sz w:val="21"/>
          <w:szCs w:val="21"/>
          <w:lang w:val="en-US" w:eastAsia="zh-CN"/>
        </w:rPr>
        <w:t>由于边缘翘曲</w:t>
      </w:r>
      <w:r>
        <w:rPr>
          <w:rFonts w:hint="eastAsia" w:ascii="Times New Roman" w:hAnsi="Times New Roman" w:cs="Times New Roman"/>
          <w:sz w:val="21"/>
          <w:szCs w:val="21"/>
          <w:lang w:val="en-US" w:eastAsia="zh-CN"/>
        </w:rPr>
        <w:t>变形严重</w:t>
      </w:r>
      <w:r>
        <w:rPr>
          <w:rFonts w:hint="default" w:ascii="Times New Roman" w:hAnsi="Times New Roman" w:eastAsia="宋体" w:cs="Times New Roman"/>
          <w:sz w:val="21"/>
          <w:szCs w:val="21"/>
          <w:lang w:val="en-US" w:eastAsia="zh-CN"/>
        </w:rPr>
        <w:t>而</w:t>
      </w:r>
      <w:r>
        <w:rPr>
          <w:rFonts w:hint="eastAsia" w:ascii="Times New Roman" w:hAnsi="Times New Roman" w:cs="Times New Roman"/>
          <w:sz w:val="21"/>
          <w:szCs w:val="21"/>
          <w:lang w:val="en-US" w:eastAsia="zh-CN"/>
        </w:rPr>
        <w:t>易</w:t>
      </w:r>
      <w:r>
        <w:rPr>
          <w:rFonts w:hint="default" w:ascii="Times New Roman" w:hAnsi="Times New Roman" w:eastAsia="宋体" w:cs="Times New Roman"/>
          <w:sz w:val="21"/>
          <w:szCs w:val="21"/>
          <w:lang w:val="en-US" w:eastAsia="zh-CN"/>
        </w:rPr>
        <w:t>产生测量偏差</w:t>
      </w:r>
      <w:r>
        <w:rPr>
          <w:rFonts w:hint="eastAsia" w:ascii="Times New Roman" w:hAnsi="Times New Roman" w:cs="Times New Roman"/>
          <w:sz w:val="21"/>
          <w:szCs w:val="21"/>
          <w:lang w:val="en-US" w:eastAsia="zh-CN"/>
        </w:rPr>
        <w:t>，所以依据试验数据并结合用户实际需求，规范中确定所用校准用纯铝板厚度为</w:t>
      </w:r>
      <w:r>
        <w:rPr>
          <w:rFonts w:hint="default" w:ascii="Times New Roman" w:hAnsi="Times New Roman" w:eastAsia="宋体" w:cs="Times New Roman"/>
          <w:sz w:val="21"/>
          <w:szCs w:val="21"/>
          <w:lang w:val="en-US" w:eastAsia="zh-CN"/>
        </w:rPr>
        <w:t>0.7~1.0mm</w:t>
      </w:r>
      <w:r>
        <w:rPr>
          <w:rFonts w:hint="eastAsia" w:ascii="Times New Roman" w:hAnsi="Times New Roman" w:cs="Times New Roman"/>
          <w:sz w:val="21"/>
          <w:szCs w:val="21"/>
          <w:lang w:val="en-US" w:eastAsia="zh-CN"/>
        </w:rPr>
        <w:t>；</w:t>
      </w:r>
      <w:r>
        <w:rPr>
          <w:rFonts w:hint="default" w:ascii="Times New Roman" w:hAnsi="Times New Roman" w:eastAsia="宋体" w:cs="Times New Roman"/>
          <w:sz w:val="21"/>
          <w:szCs w:val="21"/>
          <w:lang w:val="en-US" w:eastAsia="zh-CN"/>
        </w:rPr>
        <w:t xml:space="preserve"> </w:t>
      </w:r>
    </w:p>
    <w:p>
      <w:pPr>
        <w:pStyle w:val="57"/>
        <w:spacing w:line="324" w:lineRule="auto"/>
        <w:ind w:left="0" w:leftChars="0" w:firstLine="0" w:firstLineChars="0"/>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4.3.2.3 重锤下降高度的选择：分别验证了下落高度为300mm、500mm及1000mm的效果，结果表明，三种高度所计算的冲击深度均与其他方法测量值一致，但重锤下落高度越高，则由于校准用纯铝板抵抗变形所带来的影响就越小，试验中重锤下落高度为300mm冲击后的凹坑深度较500mm及1000mm所测得的冲击深度值整体偏小，为尽量降低下落高度所带来的影响，且经调研市场上试验机导管刻度多为</w:t>
      </w:r>
      <w:r>
        <w:rPr>
          <w:rFonts w:hint="default" w:ascii="Times New Roman" w:hAnsi="Times New Roman" w:eastAsia="宋体" w:cs="Times New Roman"/>
          <w:sz w:val="21"/>
          <w:szCs w:val="21"/>
          <w:lang w:val="en-US" w:eastAsia="zh-CN"/>
        </w:rPr>
        <w:t>500mm</w:t>
      </w:r>
      <w:r>
        <w:rPr>
          <w:rFonts w:hint="eastAsia" w:ascii="Times New Roman" w:hAnsi="Times New Roman" w:cs="Times New Roman"/>
          <w:sz w:val="21"/>
          <w:szCs w:val="21"/>
          <w:lang w:val="en-US" w:eastAsia="zh-CN"/>
        </w:rPr>
        <w:t>和</w:t>
      </w:r>
      <w:r>
        <w:rPr>
          <w:rFonts w:hint="default" w:ascii="Times New Roman" w:hAnsi="Times New Roman" w:eastAsia="宋体" w:cs="Times New Roman"/>
          <w:sz w:val="21"/>
          <w:szCs w:val="21"/>
          <w:lang w:val="en-US" w:eastAsia="zh-CN"/>
        </w:rPr>
        <w:t>1000mm</w:t>
      </w:r>
      <w:r>
        <w:rPr>
          <w:rFonts w:hint="eastAsia" w:ascii="Times New Roman" w:hAnsi="Times New Roman" w:cs="Times New Roman"/>
          <w:sz w:val="21"/>
          <w:szCs w:val="21"/>
          <w:lang w:val="en-US" w:eastAsia="zh-CN"/>
        </w:rPr>
        <w:t>，所以规范中规定重锤下落高度选用</w:t>
      </w:r>
      <w:r>
        <w:rPr>
          <w:rFonts w:hint="default" w:ascii="Times New Roman" w:hAnsi="Times New Roman" w:eastAsia="宋体" w:cs="Times New Roman"/>
          <w:sz w:val="21"/>
          <w:szCs w:val="21"/>
          <w:lang w:val="en-US" w:eastAsia="zh-CN"/>
        </w:rPr>
        <w:t>500mm</w:t>
      </w:r>
      <w:r>
        <w:rPr>
          <w:rFonts w:hint="eastAsia" w:ascii="Times New Roman" w:hAnsi="Times New Roman" w:cs="Times New Roman"/>
          <w:sz w:val="21"/>
          <w:szCs w:val="21"/>
          <w:lang w:val="en-US" w:eastAsia="zh-CN"/>
        </w:rPr>
        <w:t>和</w:t>
      </w:r>
      <w:r>
        <w:rPr>
          <w:rFonts w:hint="default" w:ascii="Times New Roman" w:hAnsi="Times New Roman" w:eastAsia="宋体" w:cs="Times New Roman"/>
          <w:sz w:val="21"/>
          <w:szCs w:val="21"/>
          <w:lang w:val="en-US" w:eastAsia="zh-CN"/>
        </w:rPr>
        <w:t>1000mm</w:t>
      </w:r>
      <w:r>
        <w:rPr>
          <w:rFonts w:hint="eastAsia" w:ascii="Times New Roman" w:hAnsi="Times New Roman" w:cs="Times New Roman"/>
          <w:sz w:val="21"/>
          <w:szCs w:val="21"/>
          <w:lang w:val="en-US" w:eastAsia="zh-CN"/>
        </w:rPr>
        <w:t>，并通过</w:t>
      </w:r>
      <w:r>
        <w:rPr>
          <w:rFonts w:hint="default" w:ascii="Times New Roman" w:hAnsi="Times New Roman" w:eastAsia="宋体" w:cs="Times New Roman"/>
          <w:sz w:val="21"/>
          <w:szCs w:val="21"/>
          <w:lang w:val="en-US" w:eastAsia="zh-CN"/>
        </w:rPr>
        <w:t>反复试验</w:t>
      </w:r>
      <w:r>
        <w:rPr>
          <w:rFonts w:hint="eastAsia" w:ascii="Times New Roman" w:hAnsi="Times New Roman" w:cs="Times New Roman"/>
          <w:sz w:val="21"/>
          <w:szCs w:val="21"/>
          <w:lang w:val="en-US" w:eastAsia="zh-CN"/>
        </w:rPr>
        <w:t>验证</w:t>
      </w:r>
      <w:r>
        <w:rPr>
          <w:rFonts w:hint="default" w:ascii="Times New Roman" w:hAnsi="Times New Roman" w:eastAsia="宋体" w:cs="Times New Roman"/>
          <w:sz w:val="21"/>
          <w:szCs w:val="21"/>
          <w:lang w:val="en-US" w:eastAsia="zh-CN"/>
        </w:rPr>
        <w:t>不同的下落高度</w:t>
      </w:r>
      <w:r>
        <w:rPr>
          <w:rFonts w:hint="eastAsia" w:ascii="Times New Roman" w:hAnsi="Times New Roman" w:cs="Times New Roman"/>
          <w:sz w:val="21"/>
          <w:szCs w:val="21"/>
          <w:lang w:val="en-US" w:eastAsia="zh-CN"/>
        </w:rPr>
        <w:t>对结果的影响，结果表明重锤下落高度为500mm及1000mm所测得的冲击深度无明显区别，结果稳定，均可满足校准要求；</w:t>
      </w:r>
    </w:p>
    <w:p>
      <w:pPr>
        <w:pStyle w:val="57"/>
        <w:keepNext w:val="0"/>
        <w:keepLines w:val="0"/>
        <w:pageBreakBefore w:val="0"/>
        <w:widowControl/>
        <w:kinsoku/>
        <w:wordWrap/>
        <w:overflowPunct/>
        <w:topLinePunct w:val="0"/>
        <w:autoSpaceDE w:val="0"/>
        <w:autoSpaceDN w:val="0"/>
        <w:bidi w:val="0"/>
        <w:adjustRightInd w:val="0"/>
        <w:snapToGrid w:val="0"/>
        <w:spacing w:line="324" w:lineRule="auto"/>
        <w:ind w:left="0" w:leftChars="0" w:firstLine="420" w:firstLineChars="200"/>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综合</w:t>
      </w:r>
      <w:r>
        <w:rPr>
          <w:rFonts w:hint="default" w:ascii="Times New Roman" w:hAnsi="Times New Roman" w:eastAsia="宋体" w:cs="Times New Roman"/>
          <w:sz w:val="21"/>
          <w:szCs w:val="21"/>
          <w:lang w:val="en-US" w:eastAsia="zh-CN"/>
        </w:rPr>
        <w:t>考虑市面上试验机规格及校准试验的严谨性</w:t>
      </w:r>
      <w:r>
        <w:rPr>
          <w:rFonts w:hint="eastAsia" w:ascii="Times New Roman" w:hAnsi="Times New Roman" w:cs="Times New Roman"/>
          <w:sz w:val="21"/>
          <w:szCs w:val="21"/>
          <w:lang w:val="en-US" w:eastAsia="zh-CN"/>
        </w:rPr>
        <w:t>和实用性</w:t>
      </w:r>
      <w:r>
        <w:rPr>
          <w:rFonts w:hint="default" w:ascii="Times New Roman" w:hAnsi="Times New Roman" w:eastAsia="宋体" w:cs="Times New Roman"/>
          <w:sz w:val="21"/>
          <w:szCs w:val="21"/>
          <w:lang w:val="en-US" w:eastAsia="zh-CN"/>
        </w:rPr>
        <w:t>，最终通过试验选定校准用</w:t>
      </w:r>
      <w:r>
        <w:rPr>
          <w:rFonts w:hint="eastAsia" w:ascii="Times New Roman" w:hAnsi="Times New Roman" w:cs="Times New Roman"/>
          <w:sz w:val="21"/>
          <w:szCs w:val="21"/>
          <w:lang w:val="en-US" w:eastAsia="zh-CN"/>
        </w:rPr>
        <w:t>金属板为纯</w:t>
      </w:r>
      <w:r>
        <w:rPr>
          <w:rFonts w:hint="default" w:ascii="Times New Roman" w:hAnsi="Times New Roman" w:eastAsia="宋体" w:cs="Times New Roman"/>
          <w:sz w:val="21"/>
          <w:szCs w:val="21"/>
          <w:lang w:val="en-US" w:eastAsia="zh-CN"/>
        </w:rPr>
        <w:t>铝板</w:t>
      </w:r>
      <w:r>
        <w:rPr>
          <w:rFonts w:hint="eastAsia" w:ascii="Times New Roman" w:hAnsi="Times New Roman" w:cs="Times New Roman"/>
          <w:sz w:val="21"/>
          <w:szCs w:val="21"/>
          <w:lang w:val="en-US" w:eastAsia="zh-CN"/>
        </w:rPr>
        <w:t>，</w:t>
      </w:r>
      <w:r>
        <w:rPr>
          <w:rFonts w:hint="default" w:ascii="Times New Roman" w:hAnsi="Times New Roman" w:eastAsia="宋体" w:cs="Times New Roman"/>
          <w:sz w:val="21"/>
          <w:szCs w:val="21"/>
          <w:lang w:val="en-US" w:eastAsia="zh-CN"/>
        </w:rPr>
        <w:t>厚度为0.7mm～1.0mm，重锤下落高度500mm及1000mm</w:t>
      </w:r>
      <w:r>
        <w:rPr>
          <w:rFonts w:hint="eastAsia" w:ascii="Times New Roman" w:hAnsi="Times New Roman" w:cs="Times New Roman"/>
          <w:sz w:val="21"/>
          <w:szCs w:val="21"/>
          <w:lang w:val="en-US" w:eastAsia="zh-CN"/>
        </w:rPr>
        <w:t>。根据试验数据</w:t>
      </w:r>
      <w:r>
        <w:rPr>
          <w:rFonts w:hint="default" w:ascii="Times New Roman" w:hAnsi="Times New Roman" w:eastAsia="宋体" w:cs="Times New Roman"/>
          <w:sz w:val="21"/>
          <w:szCs w:val="21"/>
          <w:lang w:val="en-US" w:eastAsia="zh-CN"/>
        </w:rPr>
        <w:t>补充</w:t>
      </w:r>
      <w:r>
        <w:rPr>
          <w:rFonts w:hint="eastAsia" w:ascii="Times New Roman" w:hAnsi="Times New Roman" w:cs="Times New Roman"/>
          <w:sz w:val="21"/>
          <w:szCs w:val="21"/>
          <w:lang w:val="en-US" w:eastAsia="zh-CN"/>
        </w:rPr>
        <w:t>了</w:t>
      </w:r>
      <w:r>
        <w:rPr>
          <w:rFonts w:hint="default" w:ascii="Times New Roman" w:hAnsi="Times New Roman" w:eastAsia="宋体" w:cs="Times New Roman"/>
          <w:sz w:val="21"/>
          <w:szCs w:val="21"/>
          <w:lang w:val="en-US" w:eastAsia="zh-CN"/>
        </w:rPr>
        <w:t>相关内容，形成征求意见稿。主要试验过程见照片</w:t>
      </w:r>
      <w:r>
        <w:rPr>
          <w:rFonts w:hint="eastAsia" w:ascii="Times New Roman" w:hAnsi="Times New Roman" w:cs="Times New Roman"/>
          <w:sz w:val="21"/>
          <w:szCs w:val="21"/>
          <w:lang w:val="en-US" w:eastAsia="zh-CN"/>
        </w:rPr>
        <w:t>，验证数据见表1.2</w:t>
      </w:r>
      <w:r>
        <w:rPr>
          <w:rFonts w:hint="default" w:ascii="Times New Roman" w:hAnsi="Times New Roman" w:eastAsia="宋体" w:cs="Times New Roman"/>
          <w:sz w:val="21"/>
          <w:szCs w:val="21"/>
          <w:lang w:val="en-US" w:eastAsia="zh-CN"/>
        </w:rPr>
        <w:t>。</w:t>
      </w:r>
    </w:p>
    <w:p>
      <w:pPr>
        <w:pStyle w:val="57"/>
        <w:spacing w:line="324" w:lineRule="auto"/>
        <w:ind w:left="0" w:leftChars="0" w:firstLine="0" w:firstLineChars="0"/>
        <w:rPr>
          <w:rFonts w:hint="default" w:ascii="Times New Roman" w:hAnsi="Times New Roman" w:eastAsia="宋体" w:cs="Times New Roman"/>
          <w:sz w:val="21"/>
          <w:szCs w:val="21"/>
          <w:lang w:val="en-US" w:eastAsia="zh-CN"/>
        </w:rPr>
      </w:pPr>
    </w:p>
    <w:p>
      <w:pPr>
        <w:pStyle w:val="57"/>
        <w:spacing w:line="324" w:lineRule="auto"/>
        <w:ind w:left="0" w:leftChars="0" w:firstLine="0" w:firstLineChars="0"/>
        <w:jc w:val="left"/>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drawing>
          <wp:inline distT="0" distB="0" distL="114300" distR="114300">
            <wp:extent cx="2588260" cy="3806825"/>
            <wp:effectExtent l="0" t="0" r="2540" b="3175"/>
            <wp:docPr id="18" name="图片 18" descr="c94db5940f75bbedf677a337acf3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c94db5940f75bbedf677a337acf3685"/>
                    <pic:cNvPicPr>
                      <a:picLocks noChangeAspect="1"/>
                    </pic:cNvPicPr>
                  </pic:nvPicPr>
                  <pic:blipFill>
                    <a:blip r:embed="rId11"/>
                    <a:srcRect b="31747"/>
                    <a:stretch>
                      <a:fillRect/>
                    </a:stretch>
                  </pic:blipFill>
                  <pic:spPr>
                    <a:xfrm>
                      <a:off x="0" y="0"/>
                      <a:ext cx="2588260" cy="3806825"/>
                    </a:xfrm>
                    <a:prstGeom prst="rect">
                      <a:avLst/>
                    </a:prstGeom>
                  </pic:spPr>
                </pic:pic>
              </a:graphicData>
            </a:graphic>
          </wp:inline>
        </w:drawing>
      </w:r>
      <w:r>
        <w:rPr>
          <w:rFonts w:hint="default" w:ascii="Times New Roman" w:hAnsi="Times New Roman" w:eastAsia="宋体" w:cs="Times New Roman"/>
          <w:sz w:val="21"/>
          <w:szCs w:val="21"/>
          <w:lang w:val="en-US" w:eastAsia="zh-CN"/>
        </w:rPr>
        <w:drawing>
          <wp:inline distT="0" distB="0" distL="114300" distR="114300">
            <wp:extent cx="2562860" cy="3808730"/>
            <wp:effectExtent l="0" t="0" r="8890" b="1270"/>
            <wp:docPr id="10" name="图片 10" descr="fae938b9f003a66707ba776f33d4d1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fae938b9f003a66707ba776f33d4d1f"/>
                    <pic:cNvPicPr>
                      <a:picLocks noChangeAspect="1"/>
                    </pic:cNvPicPr>
                  </pic:nvPicPr>
                  <pic:blipFill>
                    <a:blip r:embed="rId12"/>
                    <a:srcRect l="331" t="11678" r="10000" b="26429"/>
                    <a:stretch>
                      <a:fillRect/>
                    </a:stretch>
                  </pic:blipFill>
                  <pic:spPr>
                    <a:xfrm>
                      <a:off x="0" y="0"/>
                      <a:ext cx="2562860" cy="3808730"/>
                    </a:xfrm>
                    <a:prstGeom prst="rect">
                      <a:avLst/>
                    </a:prstGeom>
                  </pic:spPr>
                </pic:pic>
              </a:graphicData>
            </a:graphic>
          </wp:inline>
        </w:drawing>
      </w:r>
    </w:p>
    <w:p>
      <w:pPr>
        <w:pStyle w:val="57"/>
        <w:spacing w:line="324" w:lineRule="auto"/>
        <w:ind w:left="0" w:leftChars="0" w:firstLine="0" w:firstLineChars="0"/>
        <w:jc w:val="left"/>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drawing>
          <wp:inline distT="0" distB="0" distL="114300" distR="114300">
            <wp:extent cx="2609850" cy="3756660"/>
            <wp:effectExtent l="0" t="0" r="0" b="15240"/>
            <wp:docPr id="14" name="图片 14" descr="330fe67aa562437dfd7b80c18c0fe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330fe67aa562437dfd7b80c18c0fea1"/>
                    <pic:cNvPicPr>
                      <a:picLocks noChangeAspect="1"/>
                    </pic:cNvPicPr>
                  </pic:nvPicPr>
                  <pic:blipFill>
                    <a:blip r:embed="rId13"/>
                    <a:srcRect l="10605" t="17770" b="27629"/>
                    <a:stretch>
                      <a:fillRect/>
                    </a:stretch>
                  </pic:blipFill>
                  <pic:spPr>
                    <a:xfrm>
                      <a:off x="0" y="0"/>
                      <a:ext cx="2609850" cy="3756660"/>
                    </a:xfrm>
                    <a:prstGeom prst="rect">
                      <a:avLst/>
                    </a:prstGeom>
                  </pic:spPr>
                </pic:pic>
              </a:graphicData>
            </a:graphic>
          </wp:inline>
        </w:drawing>
      </w:r>
      <w:r>
        <w:rPr>
          <w:rFonts w:hint="default" w:ascii="Times New Roman" w:hAnsi="Times New Roman" w:eastAsia="宋体" w:cs="Times New Roman"/>
          <w:sz w:val="21"/>
          <w:szCs w:val="21"/>
          <w:lang w:val="en-US" w:eastAsia="zh-CN"/>
        </w:rPr>
        <w:drawing>
          <wp:inline distT="0" distB="0" distL="114300" distR="114300">
            <wp:extent cx="2517775" cy="3739515"/>
            <wp:effectExtent l="0" t="0" r="15875" b="13335"/>
            <wp:docPr id="19" name="图片 19" descr="3ec53a4dc197b7478dfa7aa010b4e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3ec53a4dc197b7478dfa7aa010b4e2e"/>
                    <pic:cNvPicPr>
                      <a:picLocks noChangeAspect="1"/>
                    </pic:cNvPicPr>
                  </pic:nvPicPr>
                  <pic:blipFill>
                    <a:blip r:embed="rId14"/>
                    <a:srcRect t="23700" b="7274"/>
                    <a:stretch>
                      <a:fillRect/>
                    </a:stretch>
                  </pic:blipFill>
                  <pic:spPr>
                    <a:xfrm>
                      <a:off x="0" y="0"/>
                      <a:ext cx="2517775" cy="3739515"/>
                    </a:xfrm>
                    <a:prstGeom prst="rect">
                      <a:avLst/>
                    </a:prstGeom>
                  </pic:spPr>
                </pic:pic>
              </a:graphicData>
            </a:graphic>
          </wp:inline>
        </w:drawing>
      </w:r>
    </w:p>
    <w:p>
      <w:pPr>
        <w:pStyle w:val="57"/>
        <w:spacing w:line="324" w:lineRule="auto"/>
        <w:ind w:left="0" w:leftChars="0" w:firstLine="0" w:firstLineChars="0"/>
        <w:rPr>
          <w:rFonts w:hint="default" w:ascii="Times New Roman" w:hAnsi="Times New Roman" w:eastAsia="宋体" w:cs="Times New Roman"/>
          <w:sz w:val="21"/>
          <w:szCs w:val="21"/>
          <w:lang w:val="en-US" w:eastAsia="zh-CN"/>
        </w:rPr>
      </w:pPr>
    </w:p>
    <w:p>
      <w:pPr>
        <w:pStyle w:val="57"/>
        <w:spacing w:line="324" w:lineRule="auto"/>
        <w:ind w:left="0" w:leftChars="0" w:firstLine="0" w:firstLineChars="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drawing>
          <wp:inline distT="0" distB="0" distL="114300" distR="114300">
            <wp:extent cx="3339465" cy="5938520"/>
            <wp:effectExtent l="0" t="0" r="5080" b="13335"/>
            <wp:docPr id="11" name="图片 11" descr="52480231aec0fa37222bd1194d210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52480231aec0fa37222bd1194d2107a"/>
                    <pic:cNvPicPr>
                      <a:picLocks noChangeAspect="1"/>
                    </pic:cNvPicPr>
                  </pic:nvPicPr>
                  <pic:blipFill>
                    <a:blip r:embed="rId15"/>
                    <a:stretch>
                      <a:fillRect/>
                    </a:stretch>
                  </pic:blipFill>
                  <pic:spPr>
                    <a:xfrm rot="16200000">
                      <a:off x="0" y="0"/>
                      <a:ext cx="3339465" cy="5938520"/>
                    </a:xfrm>
                    <a:prstGeom prst="rect">
                      <a:avLst/>
                    </a:prstGeom>
                  </pic:spPr>
                </pic:pic>
              </a:graphicData>
            </a:graphic>
          </wp:inline>
        </w:drawing>
      </w:r>
      <w:r>
        <w:rPr>
          <w:rFonts w:hint="default" w:ascii="Times New Roman" w:hAnsi="Times New Roman" w:eastAsia="宋体" w:cs="Times New Roman"/>
          <w:sz w:val="21"/>
          <w:szCs w:val="21"/>
          <w:lang w:val="en-US" w:eastAsia="zh-CN"/>
        </w:rPr>
        <w:drawing>
          <wp:inline distT="0" distB="0" distL="114300" distR="114300">
            <wp:extent cx="5930265" cy="2756535"/>
            <wp:effectExtent l="0" t="0" r="13335" b="5715"/>
            <wp:docPr id="13" name="图片 13" descr="24f7bd05938e0c97967f160cd43dd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24f7bd05938e0c97967f160cd43dd35"/>
                    <pic:cNvPicPr>
                      <a:picLocks noChangeAspect="1"/>
                    </pic:cNvPicPr>
                  </pic:nvPicPr>
                  <pic:blipFill>
                    <a:blip r:embed="rId16"/>
                    <a:stretch>
                      <a:fillRect/>
                    </a:stretch>
                  </pic:blipFill>
                  <pic:spPr>
                    <a:xfrm>
                      <a:off x="0" y="0"/>
                      <a:ext cx="5930265" cy="2756535"/>
                    </a:xfrm>
                    <a:prstGeom prst="rect">
                      <a:avLst/>
                    </a:prstGeom>
                  </pic:spPr>
                </pic:pic>
              </a:graphicData>
            </a:graphic>
          </wp:inline>
        </w:drawing>
      </w:r>
      <w:r>
        <w:rPr>
          <w:rFonts w:hint="default" w:ascii="Times New Roman" w:hAnsi="Times New Roman" w:eastAsia="宋体" w:cs="Times New Roman"/>
          <w:sz w:val="21"/>
          <w:szCs w:val="21"/>
          <w:lang w:val="en-US" w:eastAsia="zh-CN"/>
        </w:rPr>
        <w:drawing>
          <wp:inline distT="0" distB="0" distL="114300" distR="114300">
            <wp:extent cx="5930265" cy="2756535"/>
            <wp:effectExtent l="0" t="0" r="13335" b="5715"/>
            <wp:docPr id="15" name="图片 15" descr="11d63276f6faa0485510d96536fea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11d63276f6faa0485510d96536fea57"/>
                    <pic:cNvPicPr>
                      <a:picLocks noChangeAspect="1"/>
                    </pic:cNvPicPr>
                  </pic:nvPicPr>
                  <pic:blipFill>
                    <a:blip r:embed="rId17"/>
                    <a:stretch>
                      <a:fillRect/>
                    </a:stretch>
                  </pic:blipFill>
                  <pic:spPr>
                    <a:xfrm>
                      <a:off x="0" y="0"/>
                      <a:ext cx="5930265" cy="2756535"/>
                    </a:xfrm>
                    <a:prstGeom prst="rect">
                      <a:avLst/>
                    </a:prstGeom>
                  </pic:spPr>
                </pic:pic>
              </a:graphicData>
            </a:graphic>
          </wp:inline>
        </w:drawing>
      </w:r>
    </w:p>
    <w:p>
      <w:pPr>
        <w:pStyle w:val="57"/>
        <w:spacing w:line="324" w:lineRule="auto"/>
        <w:ind w:left="0" w:leftChars="0" w:firstLine="0" w:firstLineChars="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drawing>
          <wp:inline distT="0" distB="0" distL="114300" distR="114300">
            <wp:extent cx="3143885" cy="4619625"/>
            <wp:effectExtent l="0" t="0" r="18415" b="9525"/>
            <wp:docPr id="17" name="图片 17" descr="c94db5940f75bbedf677a337acf3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c94db5940f75bbedf677a337acf3685"/>
                    <pic:cNvPicPr>
                      <a:picLocks noChangeAspect="1"/>
                    </pic:cNvPicPr>
                  </pic:nvPicPr>
                  <pic:blipFill>
                    <a:blip r:embed="rId11"/>
                    <a:srcRect b="31747"/>
                    <a:stretch>
                      <a:fillRect/>
                    </a:stretch>
                  </pic:blipFill>
                  <pic:spPr>
                    <a:xfrm>
                      <a:off x="0" y="0"/>
                      <a:ext cx="3143885" cy="4619625"/>
                    </a:xfrm>
                    <a:prstGeom prst="rect">
                      <a:avLst/>
                    </a:prstGeom>
                  </pic:spPr>
                </pic:pic>
              </a:graphicData>
            </a:graphic>
          </wp:inline>
        </w:drawing>
      </w:r>
      <w:r>
        <w:rPr>
          <w:rFonts w:hint="default" w:ascii="Times New Roman" w:hAnsi="Times New Roman" w:eastAsia="宋体" w:cs="Times New Roman"/>
          <w:sz w:val="21"/>
          <w:szCs w:val="21"/>
          <w:lang w:val="en-US" w:eastAsia="zh-CN"/>
        </w:rPr>
        <w:drawing>
          <wp:inline distT="0" distB="0" distL="114300" distR="114300">
            <wp:extent cx="2559050" cy="4610735"/>
            <wp:effectExtent l="0" t="0" r="12700" b="18415"/>
            <wp:docPr id="16" name="图片 16" descr="3ec53a4dc197b7478dfa7aa010b4e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3ec53a4dc197b7478dfa7aa010b4e2e"/>
                    <pic:cNvPicPr>
                      <a:picLocks noChangeAspect="1"/>
                    </pic:cNvPicPr>
                  </pic:nvPicPr>
                  <pic:blipFill>
                    <a:blip r:embed="rId14"/>
                    <a:srcRect t="16261"/>
                    <a:stretch>
                      <a:fillRect/>
                    </a:stretch>
                  </pic:blipFill>
                  <pic:spPr>
                    <a:xfrm>
                      <a:off x="0" y="0"/>
                      <a:ext cx="2559050" cy="4610735"/>
                    </a:xfrm>
                    <a:prstGeom prst="rect">
                      <a:avLst/>
                    </a:prstGeom>
                  </pic:spPr>
                </pic:pic>
              </a:graphicData>
            </a:graphic>
          </wp:inline>
        </w:drawing>
      </w:r>
    </w:p>
    <w:p>
      <w:pPr>
        <w:pStyle w:val="57"/>
        <w:spacing w:line="324" w:lineRule="auto"/>
        <w:ind w:left="0" w:leftChars="0" w:firstLine="0" w:firstLineChars="0"/>
        <w:jc w:val="center"/>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图1.1 试验过程照片</w:t>
      </w:r>
    </w:p>
    <w:p>
      <w:pPr>
        <w:pStyle w:val="57"/>
        <w:spacing w:line="324" w:lineRule="auto"/>
        <w:ind w:left="0" w:leftChars="0" w:firstLine="0" w:firstLineChars="0"/>
        <w:jc w:val="center"/>
        <w:rPr>
          <w:rFonts w:hint="default" w:ascii="Times New Roman" w:hAnsi="Times New Roman" w:cs="Times New Roman"/>
          <w:sz w:val="21"/>
          <w:szCs w:val="21"/>
          <w:lang w:val="en-US" w:eastAsia="zh-CN"/>
        </w:rPr>
      </w:pPr>
    </w:p>
    <w:p>
      <w:pPr>
        <w:pStyle w:val="57"/>
        <w:spacing w:line="324" w:lineRule="auto"/>
        <w:ind w:left="0" w:leftChars="0" w:firstLine="0" w:firstLineChars="0"/>
        <w:jc w:val="center"/>
        <w:rPr>
          <w:rFonts w:hint="eastAsia" w:ascii="Times New Roman" w:hAnsi="Times New Roman" w:cs="Times New Roman"/>
          <w:sz w:val="21"/>
          <w:szCs w:val="21"/>
          <w:lang w:val="en-US" w:eastAsia="zh-CN"/>
        </w:rPr>
      </w:pPr>
    </w:p>
    <w:p>
      <w:pPr>
        <w:pStyle w:val="57"/>
        <w:spacing w:line="324" w:lineRule="auto"/>
        <w:ind w:left="0" w:leftChars="0" w:firstLine="0" w:firstLineChars="0"/>
        <w:jc w:val="center"/>
        <w:rPr>
          <w:rFonts w:hint="eastAsia" w:ascii="Times New Roman" w:hAnsi="Times New Roman" w:cs="Times New Roman"/>
          <w:sz w:val="21"/>
          <w:szCs w:val="21"/>
          <w:lang w:val="en-US" w:eastAsia="zh-CN"/>
        </w:rPr>
      </w:pPr>
    </w:p>
    <w:p>
      <w:pPr>
        <w:pStyle w:val="57"/>
        <w:spacing w:line="324" w:lineRule="auto"/>
        <w:ind w:left="0" w:leftChars="0" w:firstLine="0" w:firstLineChars="0"/>
        <w:jc w:val="center"/>
        <w:rPr>
          <w:rFonts w:hint="eastAsia" w:ascii="Times New Roman" w:hAnsi="Times New Roman" w:cs="Times New Roman"/>
          <w:sz w:val="21"/>
          <w:szCs w:val="21"/>
          <w:lang w:val="en-US" w:eastAsia="zh-CN"/>
        </w:rPr>
      </w:pPr>
    </w:p>
    <w:p>
      <w:pPr>
        <w:pStyle w:val="57"/>
        <w:spacing w:line="324" w:lineRule="auto"/>
        <w:ind w:left="0" w:leftChars="0" w:firstLine="0" w:firstLineChars="0"/>
        <w:jc w:val="center"/>
        <w:rPr>
          <w:rFonts w:hint="eastAsia" w:ascii="Times New Roman" w:hAnsi="Times New Roman" w:cs="Times New Roman"/>
          <w:sz w:val="21"/>
          <w:szCs w:val="21"/>
          <w:lang w:val="en-US" w:eastAsia="zh-CN"/>
        </w:rPr>
      </w:pPr>
    </w:p>
    <w:p>
      <w:pPr>
        <w:pStyle w:val="57"/>
        <w:spacing w:line="324" w:lineRule="auto"/>
        <w:ind w:left="0" w:leftChars="0" w:firstLine="0" w:firstLineChars="0"/>
        <w:jc w:val="center"/>
        <w:rPr>
          <w:rFonts w:hint="eastAsia" w:ascii="Times New Roman" w:hAnsi="Times New Roman" w:cs="Times New Roman"/>
          <w:sz w:val="21"/>
          <w:szCs w:val="21"/>
          <w:lang w:val="en-US" w:eastAsia="zh-CN"/>
        </w:rPr>
      </w:pPr>
    </w:p>
    <w:p>
      <w:pPr>
        <w:pStyle w:val="57"/>
        <w:spacing w:line="324" w:lineRule="auto"/>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表1</w:t>
      </w:r>
      <w:bookmarkStart w:id="248" w:name="_GoBack"/>
      <w:bookmarkEnd w:id="248"/>
      <w:r>
        <w:rPr>
          <w:rFonts w:hint="eastAsia" w:ascii="Times New Roman" w:hAnsi="Times New Roman" w:cs="Times New Roman"/>
          <w:sz w:val="21"/>
          <w:szCs w:val="21"/>
          <w:lang w:val="en-US" w:eastAsia="zh-CN"/>
        </w:rPr>
        <w:t>.2 冲击深度试验数据</w:t>
      </w:r>
    </w:p>
    <w:tbl>
      <w:tblPr>
        <w:tblStyle w:val="40"/>
        <w:tblW w:w="107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926"/>
        <w:gridCol w:w="1229"/>
        <w:gridCol w:w="1229"/>
        <w:gridCol w:w="1229"/>
        <w:gridCol w:w="1229"/>
        <w:gridCol w:w="1229"/>
        <w:gridCol w:w="1229"/>
        <w:gridCol w:w="1229"/>
        <w:gridCol w:w="1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2" w:hRule="atLeast"/>
          <w:jc w:val="center"/>
        </w:trPr>
        <w:tc>
          <w:tcPr>
            <w:tcW w:w="926"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rPr>
            </w:pPr>
            <w:r>
              <w:rPr>
                <w:rFonts w:hint="eastAsia" w:ascii="宋体" w:hAnsi="宋体" w:eastAsia="宋体" w:cs="宋体"/>
                <w:i w:val="0"/>
                <w:iCs w:val="0"/>
                <w:color w:val="auto"/>
                <w:kern w:val="0"/>
                <w:sz w:val="22"/>
                <w:szCs w:val="22"/>
                <w:u w:val="none"/>
                <w:lang w:val="en-US" w:eastAsia="zh-CN" w:bidi="ar"/>
              </w:rPr>
              <w:t>纯铝板厚度</w:t>
            </w:r>
            <w:r>
              <w:rPr>
                <w:rFonts w:hint="eastAsia" w:ascii="宋体" w:hAnsi="宋体" w:cs="宋体"/>
                <w:i w:val="0"/>
                <w:iCs w:val="0"/>
                <w:color w:val="auto"/>
                <w:kern w:val="0"/>
                <w:sz w:val="22"/>
                <w:szCs w:val="22"/>
                <w:u w:val="none"/>
                <w:lang w:val="en-US" w:eastAsia="zh-CN" w:bidi="ar"/>
              </w:rPr>
              <w:t>（mm)</w:t>
            </w:r>
          </w:p>
        </w:tc>
        <w:tc>
          <w:tcPr>
            <w:tcW w:w="122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0.96</w:t>
            </w:r>
          </w:p>
        </w:tc>
        <w:tc>
          <w:tcPr>
            <w:tcW w:w="122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0.97</w:t>
            </w:r>
          </w:p>
        </w:tc>
        <w:tc>
          <w:tcPr>
            <w:tcW w:w="1229"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cs="宋体"/>
                <w:i w:val="0"/>
                <w:iCs w:val="0"/>
                <w:color w:val="auto"/>
                <w:sz w:val="22"/>
                <w:szCs w:val="22"/>
                <w:u w:val="none"/>
                <w:lang w:val="en-US" w:eastAsia="zh-CN"/>
              </w:rPr>
              <w:t>0.85</w:t>
            </w:r>
          </w:p>
        </w:tc>
        <w:tc>
          <w:tcPr>
            <w:tcW w:w="1229" w:type="dxa"/>
            <w:tcBorders>
              <w:tl2br w:val="nil"/>
              <w:tr2bl w:val="nil"/>
            </w:tcBorders>
            <w:shd w:val="clear" w:color="auto" w:fill="auto"/>
            <w:noWrap/>
            <w:vAlign w:val="center"/>
          </w:tcPr>
          <w:p>
            <w:pPr>
              <w:jc w:val="center"/>
              <w:rPr>
                <w:rFonts w:hint="default" w:ascii="宋体" w:hAnsi="宋体" w:eastAsia="宋体" w:cs="宋体"/>
                <w:i w:val="0"/>
                <w:iCs w:val="0"/>
                <w:color w:val="auto"/>
                <w:sz w:val="22"/>
                <w:szCs w:val="22"/>
                <w:u w:val="none"/>
                <w:lang w:val="en-US" w:eastAsia="zh-CN"/>
              </w:rPr>
            </w:pPr>
            <w:r>
              <w:rPr>
                <w:rFonts w:hint="eastAsia" w:ascii="宋体" w:hAnsi="宋体" w:cs="宋体"/>
                <w:i w:val="0"/>
                <w:iCs w:val="0"/>
                <w:color w:val="auto"/>
                <w:sz w:val="22"/>
                <w:szCs w:val="22"/>
                <w:u w:val="none"/>
                <w:lang w:val="en-US" w:eastAsia="zh-CN"/>
              </w:rPr>
              <w:t>0.80</w:t>
            </w:r>
          </w:p>
        </w:tc>
        <w:tc>
          <w:tcPr>
            <w:tcW w:w="122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0.75</w:t>
            </w:r>
          </w:p>
        </w:tc>
        <w:tc>
          <w:tcPr>
            <w:tcW w:w="122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0.74</w:t>
            </w:r>
          </w:p>
        </w:tc>
        <w:tc>
          <w:tcPr>
            <w:tcW w:w="1229"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0.96</w:t>
            </w:r>
          </w:p>
        </w:tc>
        <w:tc>
          <w:tcPr>
            <w:tcW w:w="1232"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2" w:hRule="atLeast"/>
          <w:jc w:val="center"/>
        </w:trPr>
        <w:tc>
          <w:tcPr>
            <w:tcW w:w="926"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rPr>
            </w:pPr>
            <w:r>
              <w:rPr>
                <w:rFonts w:hint="eastAsia" w:ascii="宋体" w:hAnsi="宋体" w:eastAsia="宋体" w:cs="宋体"/>
                <w:i w:val="0"/>
                <w:iCs w:val="0"/>
                <w:color w:val="auto"/>
                <w:kern w:val="0"/>
                <w:sz w:val="22"/>
                <w:szCs w:val="22"/>
                <w:u w:val="none"/>
                <w:lang w:val="en-US" w:eastAsia="zh-CN" w:bidi="ar"/>
              </w:rPr>
              <w:t>重锤下降高度</w:t>
            </w:r>
            <w:r>
              <w:rPr>
                <w:rFonts w:hint="eastAsia" w:ascii="宋体" w:hAnsi="宋体" w:cs="宋体"/>
                <w:i w:val="0"/>
                <w:iCs w:val="0"/>
                <w:color w:val="auto"/>
                <w:kern w:val="0"/>
                <w:sz w:val="22"/>
                <w:szCs w:val="22"/>
                <w:u w:val="none"/>
                <w:lang w:val="en-US" w:eastAsia="zh-CN" w:bidi="ar"/>
              </w:rPr>
              <w:t>(mm)</w:t>
            </w:r>
          </w:p>
        </w:tc>
        <w:tc>
          <w:tcPr>
            <w:tcW w:w="122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1000</w:t>
            </w:r>
          </w:p>
        </w:tc>
        <w:tc>
          <w:tcPr>
            <w:tcW w:w="122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500</w:t>
            </w:r>
          </w:p>
        </w:tc>
        <w:tc>
          <w:tcPr>
            <w:tcW w:w="1229"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cs="宋体"/>
                <w:i w:val="0"/>
                <w:iCs w:val="0"/>
                <w:color w:val="auto"/>
                <w:sz w:val="22"/>
                <w:szCs w:val="22"/>
                <w:u w:val="none"/>
                <w:lang w:val="en-US" w:eastAsia="zh-CN"/>
              </w:rPr>
              <w:t>1000</w:t>
            </w:r>
          </w:p>
        </w:tc>
        <w:tc>
          <w:tcPr>
            <w:tcW w:w="1229" w:type="dxa"/>
            <w:tcBorders>
              <w:tl2br w:val="nil"/>
              <w:tr2bl w:val="nil"/>
            </w:tcBorders>
            <w:shd w:val="clear" w:color="auto" w:fill="auto"/>
            <w:noWrap/>
            <w:vAlign w:val="center"/>
          </w:tcPr>
          <w:p>
            <w:pPr>
              <w:jc w:val="center"/>
              <w:rPr>
                <w:rFonts w:hint="default" w:ascii="宋体" w:hAnsi="宋体" w:eastAsia="宋体" w:cs="宋体"/>
                <w:i w:val="0"/>
                <w:iCs w:val="0"/>
                <w:color w:val="auto"/>
                <w:sz w:val="22"/>
                <w:szCs w:val="22"/>
                <w:u w:val="none"/>
                <w:lang w:val="en-US" w:eastAsia="zh-CN"/>
              </w:rPr>
            </w:pPr>
            <w:r>
              <w:rPr>
                <w:rFonts w:hint="eastAsia" w:ascii="宋体" w:hAnsi="宋体" w:cs="宋体"/>
                <w:i w:val="0"/>
                <w:iCs w:val="0"/>
                <w:color w:val="auto"/>
                <w:sz w:val="22"/>
                <w:szCs w:val="22"/>
                <w:u w:val="none"/>
                <w:lang w:val="en-US" w:eastAsia="zh-CN"/>
              </w:rPr>
              <w:t>500</w:t>
            </w:r>
          </w:p>
        </w:tc>
        <w:tc>
          <w:tcPr>
            <w:tcW w:w="122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1000</w:t>
            </w:r>
          </w:p>
        </w:tc>
        <w:tc>
          <w:tcPr>
            <w:tcW w:w="122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500</w:t>
            </w:r>
          </w:p>
        </w:tc>
        <w:tc>
          <w:tcPr>
            <w:tcW w:w="1229"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300</w:t>
            </w:r>
          </w:p>
        </w:tc>
        <w:tc>
          <w:tcPr>
            <w:tcW w:w="1232"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287" w:hRule="atLeast"/>
          <w:jc w:val="center"/>
        </w:trPr>
        <w:tc>
          <w:tcPr>
            <w:tcW w:w="926" w:type="dxa"/>
            <w:tcBorders>
              <w:tl2br w:val="nil"/>
              <w:tr2bl w:val="nil"/>
            </w:tcBorders>
            <w:shd w:val="clear" w:color="auto" w:fill="auto"/>
            <w:noWrap/>
            <w:vAlign w:val="center"/>
          </w:tcPr>
          <w:p>
            <w:pPr>
              <w:jc w:val="center"/>
              <w:rPr>
                <w:rFonts w:hint="default" w:ascii="宋体" w:hAnsi="宋体" w:eastAsia="宋体" w:cs="宋体"/>
                <w:i w:val="0"/>
                <w:iCs w:val="0"/>
                <w:color w:val="auto"/>
                <w:sz w:val="22"/>
                <w:szCs w:val="22"/>
                <w:u w:val="none"/>
                <w:lang w:val="en-US" w:eastAsia="zh-CN"/>
              </w:rPr>
            </w:pPr>
            <w:r>
              <w:rPr>
                <w:rFonts w:hint="eastAsia" w:ascii="宋体" w:hAnsi="宋体" w:cs="宋体"/>
                <w:i w:val="0"/>
                <w:iCs w:val="0"/>
                <w:color w:val="auto"/>
                <w:sz w:val="22"/>
                <w:szCs w:val="22"/>
                <w:u w:val="none"/>
                <w:lang w:val="en-US" w:eastAsia="zh-CN"/>
              </w:rPr>
              <w:t>测试点1深度（mm）</w:t>
            </w:r>
          </w:p>
        </w:tc>
        <w:tc>
          <w:tcPr>
            <w:tcW w:w="1229"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rPr>
            </w:pPr>
            <w:r>
              <w:rPr>
                <w:rFonts w:hint="eastAsia" w:ascii="宋体" w:hAnsi="宋体" w:eastAsia="宋体" w:cs="宋体"/>
                <w:i w:val="0"/>
                <w:iCs w:val="0"/>
                <w:color w:val="auto"/>
                <w:kern w:val="0"/>
                <w:sz w:val="22"/>
                <w:szCs w:val="22"/>
                <w:u w:val="none"/>
                <w:lang w:val="en-US" w:eastAsia="zh-CN" w:bidi="ar"/>
              </w:rPr>
              <w:t>3.0</w:t>
            </w:r>
            <w:r>
              <w:rPr>
                <w:rFonts w:hint="eastAsia" w:ascii="宋体" w:hAnsi="宋体" w:cs="宋体"/>
                <w:i w:val="0"/>
                <w:iCs w:val="0"/>
                <w:color w:val="auto"/>
                <w:kern w:val="0"/>
                <w:sz w:val="22"/>
                <w:szCs w:val="22"/>
                <w:u w:val="none"/>
                <w:lang w:val="en-US" w:eastAsia="zh-CN" w:bidi="ar"/>
              </w:rPr>
              <w:t>80</w:t>
            </w:r>
          </w:p>
        </w:tc>
        <w:tc>
          <w:tcPr>
            <w:tcW w:w="122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cs="宋体"/>
                <w:i w:val="0"/>
                <w:iCs w:val="0"/>
                <w:color w:val="auto"/>
                <w:kern w:val="0"/>
                <w:sz w:val="22"/>
                <w:szCs w:val="22"/>
                <w:u w:val="none"/>
                <w:lang w:val="en-US" w:eastAsia="zh-CN" w:bidi="ar"/>
              </w:rPr>
              <w:t>3.002</w:t>
            </w:r>
          </w:p>
        </w:tc>
        <w:tc>
          <w:tcPr>
            <w:tcW w:w="1229"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cs="宋体"/>
                <w:i w:val="0"/>
                <w:iCs w:val="0"/>
                <w:color w:val="auto"/>
                <w:sz w:val="22"/>
                <w:szCs w:val="22"/>
                <w:u w:val="none"/>
                <w:lang w:val="en-US" w:eastAsia="zh-CN"/>
              </w:rPr>
              <w:t>2.853</w:t>
            </w:r>
          </w:p>
        </w:tc>
        <w:tc>
          <w:tcPr>
            <w:tcW w:w="1229"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cs="宋体"/>
                <w:i w:val="0"/>
                <w:iCs w:val="0"/>
                <w:color w:val="auto"/>
                <w:sz w:val="22"/>
                <w:szCs w:val="22"/>
                <w:u w:val="none"/>
                <w:lang w:val="en-US" w:eastAsia="zh-CN"/>
              </w:rPr>
              <w:t>2.878</w:t>
            </w:r>
          </w:p>
        </w:tc>
        <w:tc>
          <w:tcPr>
            <w:tcW w:w="122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2.757</w:t>
            </w:r>
          </w:p>
        </w:tc>
        <w:tc>
          <w:tcPr>
            <w:tcW w:w="1229"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rPr>
            </w:pPr>
            <w:r>
              <w:rPr>
                <w:rFonts w:hint="eastAsia" w:ascii="宋体" w:hAnsi="宋体" w:eastAsia="宋体" w:cs="宋体"/>
                <w:i w:val="0"/>
                <w:iCs w:val="0"/>
                <w:color w:val="auto"/>
                <w:kern w:val="0"/>
                <w:sz w:val="22"/>
                <w:szCs w:val="22"/>
                <w:u w:val="none"/>
                <w:lang w:val="en-US" w:eastAsia="zh-CN" w:bidi="ar"/>
              </w:rPr>
              <w:t>2.</w:t>
            </w:r>
            <w:r>
              <w:rPr>
                <w:rFonts w:hint="eastAsia" w:ascii="宋体" w:hAnsi="宋体" w:cs="宋体"/>
                <w:i w:val="0"/>
                <w:iCs w:val="0"/>
                <w:color w:val="auto"/>
                <w:kern w:val="0"/>
                <w:sz w:val="22"/>
                <w:szCs w:val="22"/>
                <w:u w:val="none"/>
                <w:lang w:val="en-US" w:eastAsia="zh-CN" w:bidi="ar"/>
              </w:rPr>
              <w:t>790</w:t>
            </w:r>
          </w:p>
        </w:tc>
        <w:tc>
          <w:tcPr>
            <w:tcW w:w="122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2.943</w:t>
            </w:r>
          </w:p>
        </w:tc>
        <w:tc>
          <w:tcPr>
            <w:tcW w:w="1232"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2.669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272" w:hRule="atLeast"/>
          <w:jc w:val="center"/>
        </w:trPr>
        <w:tc>
          <w:tcPr>
            <w:tcW w:w="926" w:type="dxa"/>
            <w:tcBorders>
              <w:tl2br w:val="nil"/>
              <w:tr2bl w:val="nil"/>
            </w:tcBorders>
            <w:shd w:val="clear" w:color="auto" w:fill="auto"/>
            <w:noWrap/>
            <w:vAlign w:val="center"/>
          </w:tcPr>
          <w:p>
            <w:pPr>
              <w:jc w:val="center"/>
              <w:rPr>
                <w:rFonts w:hint="default" w:ascii="宋体" w:hAnsi="宋体" w:eastAsia="宋体" w:cs="宋体"/>
                <w:i w:val="0"/>
                <w:iCs w:val="0"/>
                <w:color w:val="auto"/>
                <w:sz w:val="22"/>
                <w:szCs w:val="22"/>
                <w:u w:val="none"/>
                <w:lang w:val="en-US"/>
              </w:rPr>
            </w:pPr>
            <w:r>
              <w:rPr>
                <w:rFonts w:hint="eastAsia" w:ascii="宋体" w:hAnsi="宋体" w:cs="宋体"/>
                <w:i w:val="0"/>
                <w:iCs w:val="0"/>
                <w:color w:val="auto"/>
                <w:sz w:val="22"/>
                <w:szCs w:val="22"/>
                <w:u w:val="none"/>
                <w:lang w:val="en-US" w:eastAsia="zh-CN"/>
              </w:rPr>
              <w:t>测试点2深度（mm）</w:t>
            </w:r>
          </w:p>
        </w:tc>
        <w:tc>
          <w:tcPr>
            <w:tcW w:w="1229"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rPr>
            </w:pPr>
            <w:r>
              <w:rPr>
                <w:rFonts w:hint="eastAsia" w:ascii="宋体" w:hAnsi="宋体" w:eastAsia="宋体" w:cs="宋体"/>
                <w:i w:val="0"/>
                <w:iCs w:val="0"/>
                <w:color w:val="auto"/>
                <w:kern w:val="0"/>
                <w:sz w:val="22"/>
                <w:szCs w:val="22"/>
                <w:u w:val="none"/>
                <w:lang w:val="en-US" w:eastAsia="zh-CN" w:bidi="ar"/>
              </w:rPr>
              <w:t>3.09</w:t>
            </w:r>
            <w:r>
              <w:rPr>
                <w:rFonts w:hint="eastAsia" w:ascii="宋体" w:hAnsi="宋体" w:cs="宋体"/>
                <w:i w:val="0"/>
                <w:iCs w:val="0"/>
                <w:color w:val="auto"/>
                <w:kern w:val="0"/>
                <w:sz w:val="22"/>
                <w:szCs w:val="22"/>
                <w:u w:val="none"/>
                <w:lang w:val="en-US" w:eastAsia="zh-CN" w:bidi="ar"/>
              </w:rPr>
              <w:t>0</w:t>
            </w:r>
          </w:p>
        </w:tc>
        <w:tc>
          <w:tcPr>
            <w:tcW w:w="122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cs="宋体"/>
                <w:i w:val="0"/>
                <w:iCs w:val="0"/>
                <w:color w:val="auto"/>
                <w:kern w:val="0"/>
                <w:sz w:val="22"/>
                <w:szCs w:val="22"/>
                <w:u w:val="none"/>
                <w:lang w:val="en-US" w:eastAsia="zh-CN" w:bidi="ar"/>
              </w:rPr>
              <w:t>2.993</w:t>
            </w:r>
          </w:p>
        </w:tc>
        <w:tc>
          <w:tcPr>
            <w:tcW w:w="1229"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cs="宋体"/>
                <w:i w:val="0"/>
                <w:iCs w:val="0"/>
                <w:color w:val="auto"/>
                <w:sz w:val="22"/>
                <w:szCs w:val="22"/>
                <w:u w:val="none"/>
                <w:lang w:val="en-US" w:eastAsia="zh-CN"/>
              </w:rPr>
              <w:t>2.860</w:t>
            </w:r>
          </w:p>
        </w:tc>
        <w:tc>
          <w:tcPr>
            <w:tcW w:w="122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cs="宋体"/>
                <w:i w:val="0"/>
                <w:iCs w:val="0"/>
                <w:color w:val="auto"/>
                <w:sz w:val="22"/>
                <w:szCs w:val="22"/>
                <w:u w:val="none"/>
                <w:lang w:val="en-US" w:eastAsia="zh-CN"/>
              </w:rPr>
              <w:t>2.860</w:t>
            </w:r>
          </w:p>
        </w:tc>
        <w:tc>
          <w:tcPr>
            <w:tcW w:w="122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2.792</w:t>
            </w:r>
          </w:p>
        </w:tc>
        <w:tc>
          <w:tcPr>
            <w:tcW w:w="122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2.752</w:t>
            </w:r>
          </w:p>
        </w:tc>
        <w:tc>
          <w:tcPr>
            <w:tcW w:w="1229"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2.959</w:t>
            </w:r>
          </w:p>
        </w:tc>
        <w:tc>
          <w:tcPr>
            <w:tcW w:w="1232"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2.668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2" w:hRule="atLeast"/>
          <w:jc w:val="center"/>
        </w:trPr>
        <w:tc>
          <w:tcPr>
            <w:tcW w:w="926" w:type="dxa"/>
            <w:tcBorders>
              <w:tl2br w:val="nil"/>
              <w:tr2bl w:val="nil"/>
            </w:tcBorders>
            <w:shd w:val="clear" w:color="auto" w:fill="auto"/>
            <w:noWrap/>
            <w:vAlign w:val="center"/>
          </w:tcPr>
          <w:p>
            <w:pPr>
              <w:jc w:val="center"/>
              <w:rPr>
                <w:rFonts w:hint="default" w:ascii="宋体" w:hAnsi="宋体" w:eastAsia="宋体" w:cs="宋体"/>
                <w:i w:val="0"/>
                <w:iCs w:val="0"/>
                <w:color w:val="auto"/>
                <w:sz w:val="22"/>
                <w:szCs w:val="22"/>
                <w:u w:val="none"/>
                <w:lang w:val="en-US"/>
              </w:rPr>
            </w:pPr>
            <w:r>
              <w:rPr>
                <w:rFonts w:hint="eastAsia" w:ascii="宋体" w:hAnsi="宋体" w:cs="宋体"/>
                <w:i w:val="0"/>
                <w:iCs w:val="0"/>
                <w:color w:val="auto"/>
                <w:sz w:val="22"/>
                <w:szCs w:val="22"/>
                <w:u w:val="none"/>
                <w:lang w:val="en-US" w:eastAsia="zh-CN"/>
              </w:rPr>
              <w:t>测试点3深度（mm）</w:t>
            </w:r>
          </w:p>
        </w:tc>
        <w:tc>
          <w:tcPr>
            <w:tcW w:w="122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3.084</w:t>
            </w:r>
          </w:p>
        </w:tc>
        <w:tc>
          <w:tcPr>
            <w:tcW w:w="122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cs="宋体"/>
                <w:i w:val="0"/>
                <w:iCs w:val="0"/>
                <w:color w:val="auto"/>
                <w:sz w:val="22"/>
                <w:szCs w:val="22"/>
                <w:u w:val="none"/>
                <w:lang w:val="en-US" w:eastAsia="zh-CN"/>
              </w:rPr>
              <w:t>3.002</w:t>
            </w:r>
          </w:p>
        </w:tc>
        <w:tc>
          <w:tcPr>
            <w:tcW w:w="1229"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cs="宋体"/>
                <w:i w:val="0"/>
                <w:iCs w:val="0"/>
                <w:color w:val="auto"/>
                <w:sz w:val="22"/>
                <w:szCs w:val="22"/>
                <w:u w:val="none"/>
                <w:lang w:val="en-US" w:eastAsia="zh-CN"/>
              </w:rPr>
              <w:t>2.854</w:t>
            </w:r>
          </w:p>
        </w:tc>
        <w:tc>
          <w:tcPr>
            <w:tcW w:w="122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cs="宋体"/>
                <w:i w:val="0"/>
                <w:iCs w:val="0"/>
                <w:color w:val="auto"/>
                <w:sz w:val="22"/>
                <w:szCs w:val="22"/>
                <w:u w:val="none"/>
                <w:lang w:val="en-US" w:eastAsia="zh-CN"/>
              </w:rPr>
              <w:t>2.854</w:t>
            </w:r>
          </w:p>
        </w:tc>
        <w:tc>
          <w:tcPr>
            <w:tcW w:w="122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w:t>
            </w:r>
            <w:r>
              <w:rPr>
                <w:rFonts w:hint="eastAsia" w:ascii="宋体" w:hAnsi="宋体" w:cs="宋体"/>
                <w:i w:val="0"/>
                <w:iCs w:val="0"/>
                <w:color w:val="auto"/>
                <w:kern w:val="0"/>
                <w:sz w:val="22"/>
                <w:szCs w:val="22"/>
                <w:u w:val="none"/>
                <w:lang w:val="en-US" w:eastAsia="zh-CN" w:bidi="ar"/>
              </w:rPr>
              <w:t>7</w:t>
            </w:r>
            <w:r>
              <w:rPr>
                <w:rFonts w:hint="eastAsia" w:ascii="宋体" w:hAnsi="宋体" w:eastAsia="宋体" w:cs="宋体"/>
                <w:i w:val="0"/>
                <w:iCs w:val="0"/>
                <w:color w:val="auto"/>
                <w:kern w:val="0"/>
                <w:sz w:val="22"/>
                <w:szCs w:val="22"/>
                <w:u w:val="none"/>
                <w:lang w:val="en-US" w:eastAsia="zh-CN" w:bidi="ar"/>
              </w:rPr>
              <w:t>83</w:t>
            </w:r>
          </w:p>
        </w:tc>
        <w:tc>
          <w:tcPr>
            <w:tcW w:w="1229"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rPr>
            </w:pPr>
            <w:r>
              <w:rPr>
                <w:rFonts w:hint="eastAsia" w:ascii="宋体" w:hAnsi="宋体" w:eastAsia="宋体" w:cs="宋体"/>
                <w:i w:val="0"/>
                <w:iCs w:val="0"/>
                <w:color w:val="auto"/>
                <w:kern w:val="0"/>
                <w:sz w:val="22"/>
                <w:szCs w:val="22"/>
                <w:u w:val="none"/>
                <w:lang w:val="en-US" w:eastAsia="zh-CN" w:bidi="ar"/>
              </w:rPr>
              <w:t>2.7</w:t>
            </w:r>
            <w:r>
              <w:rPr>
                <w:rFonts w:hint="eastAsia" w:ascii="宋体" w:hAnsi="宋体" w:cs="宋体"/>
                <w:i w:val="0"/>
                <w:iCs w:val="0"/>
                <w:color w:val="auto"/>
                <w:kern w:val="0"/>
                <w:sz w:val="22"/>
                <w:szCs w:val="22"/>
                <w:u w:val="none"/>
                <w:lang w:val="en-US" w:eastAsia="zh-CN" w:bidi="ar"/>
              </w:rPr>
              <w:t>22</w:t>
            </w:r>
          </w:p>
        </w:tc>
        <w:tc>
          <w:tcPr>
            <w:tcW w:w="1229"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2.950</w:t>
            </w:r>
          </w:p>
        </w:tc>
        <w:tc>
          <w:tcPr>
            <w:tcW w:w="1232"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2.660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2" w:hRule="atLeast"/>
          <w:jc w:val="center"/>
        </w:trPr>
        <w:tc>
          <w:tcPr>
            <w:tcW w:w="926" w:type="dxa"/>
            <w:tcBorders>
              <w:tl2br w:val="nil"/>
              <w:tr2bl w:val="nil"/>
            </w:tcBorders>
            <w:shd w:val="clear" w:color="auto" w:fill="auto"/>
            <w:noWrap/>
            <w:vAlign w:val="center"/>
          </w:tcPr>
          <w:p>
            <w:pPr>
              <w:jc w:val="center"/>
              <w:rPr>
                <w:rFonts w:hint="default" w:ascii="宋体" w:hAnsi="宋体" w:eastAsia="宋体" w:cs="宋体"/>
                <w:i w:val="0"/>
                <w:iCs w:val="0"/>
                <w:color w:val="auto"/>
                <w:sz w:val="22"/>
                <w:szCs w:val="22"/>
                <w:u w:val="none"/>
                <w:lang w:val="en-US"/>
              </w:rPr>
            </w:pPr>
            <w:r>
              <w:rPr>
                <w:rFonts w:hint="eastAsia" w:ascii="宋体" w:hAnsi="宋体" w:cs="宋体"/>
                <w:i w:val="0"/>
                <w:iCs w:val="0"/>
                <w:color w:val="auto"/>
                <w:sz w:val="22"/>
                <w:szCs w:val="22"/>
                <w:u w:val="none"/>
                <w:lang w:val="en-US" w:eastAsia="zh-CN"/>
              </w:rPr>
              <w:t>测试点4深度（mm）</w:t>
            </w:r>
          </w:p>
        </w:tc>
        <w:tc>
          <w:tcPr>
            <w:tcW w:w="122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2.9</w:t>
            </w:r>
            <w:r>
              <w:rPr>
                <w:rFonts w:hint="eastAsia" w:ascii="宋体" w:hAnsi="宋体" w:cs="宋体"/>
                <w:i w:val="0"/>
                <w:iCs w:val="0"/>
                <w:color w:val="auto"/>
                <w:kern w:val="0"/>
                <w:sz w:val="22"/>
                <w:szCs w:val="22"/>
                <w:u w:val="none"/>
                <w:lang w:val="en-US" w:eastAsia="zh-CN" w:bidi="ar"/>
              </w:rPr>
              <w:t>9</w:t>
            </w:r>
            <w:r>
              <w:rPr>
                <w:rFonts w:hint="eastAsia" w:ascii="宋体" w:hAnsi="宋体" w:eastAsia="宋体" w:cs="宋体"/>
                <w:i w:val="0"/>
                <w:iCs w:val="0"/>
                <w:color w:val="auto"/>
                <w:kern w:val="0"/>
                <w:sz w:val="22"/>
                <w:szCs w:val="22"/>
                <w:u w:val="none"/>
                <w:lang w:val="en-US" w:eastAsia="zh-CN" w:bidi="ar"/>
              </w:rPr>
              <w:t>9</w:t>
            </w:r>
          </w:p>
        </w:tc>
        <w:tc>
          <w:tcPr>
            <w:tcW w:w="122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3.</w:t>
            </w:r>
            <w:r>
              <w:rPr>
                <w:rFonts w:hint="eastAsia" w:ascii="宋体" w:hAnsi="宋体" w:cs="宋体"/>
                <w:i w:val="0"/>
                <w:iCs w:val="0"/>
                <w:color w:val="auto"/>
                <w:kern w:val="0"/>
                <w:sz w:val="22"/>
                <w:szCs w:val="22"/>
                <w:u w:val="none"/>
                <w:lang w:val="en-US" w:eastAsia="zh-CN" w:bidi="ar"/>
              </w:rPr>
              <w:t>000</w:t>
            </w:r>
          </w:p>
        </w:tc>
        <w:tc>
          <w:tcPr>
            <w:tcW w:w="1229"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cs="宋体"/>
                <w:i w:val="0"/>
                <w:iCs w:val="0"/>
                <w:color w:val="auto"/>
                <w:sz w:val="22"/>
                <w:szCs w:val="22"/>
                <w:u w:val="none"/>
                <w:lang w:val="en-US" w:eastAsia="zh-CN"/>
              </w:rPr>
              <w:t>2.891</w:t>
            </w:r>
          </w:p>
        </w:tc>
        <w:tc>
          <w:tcPr>
            <w:tcW w:w="1229"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cs="宋体"/>
                <w:i w:val="0"/>
                <w:iCs w:val="0"/>
                <w:color w:val="auto"/>
                <w:sz w:val="22"/>
                <w:szCs w:val="22"/>
                <w:u w:val="none"/>
                <w:lang w:val="en-US" w:eastAsia="zh-CN"/>
              </w:rPr>
              <w:t>2.802</w:t>
            </w:r>
          </w:p>
        </w:tc>
        <w:tc>
          <w:tcPr>
            <w:tcW w:w="122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w:t>
            </w:r>
            <w:r>
              <w:rPr>
                <w:rFonts w:hint="eastAsia" w:ascii="宋体" w:hAnsi="宋体" w:cs="宋体"/>
                <w:i w:val="0"/>
                <w:iCs w:val="0"/>
                <w:color w:val="auto"/>
                <w:kern w:val="0"/>
                <w:sz w:val="22"/>
                <w:szCs w:val="22"/>
                <w:u w:val="none"/>
                <w:lang w:val="en-US" w:eastAsia="zh-CN" w:bidi="ar"/>
              </w:rPr>
              <w:t>7</w:t>
            </w:r>
            <w:r>
              <w:rPr>
                <w:rFonts w:hint="eastAsia" w:ascii="宋体" w:hAnsi="宋体" w:eastAsia="宋体" w:cs="宋体"/>
                <w:i w:val="0"/>
                <w:iCs w:val="0"/>
                <w:color w:val="auto"/>
                <w:kern w:val="0"/>
                <w:sz w:val="22"/>
                <w:szCs w:val="22"/>
                <w:u w:val="none"/>
                <w:lang w:val="en-US" w:eastAsia="zh-CN" w:bidi="ar"/>
              </w:rPr>
              <w:t>54</w:t>
            </w:r>
          </w:p>
        </w:tc>
        <w:tc>
          <w:tcPr>
            <w:tcW w:w="1229"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rPr>
            </w:pPr>
            <w:r>
              <w:rPr>
                <w:rFonts w:hint="eastAsia" w:ascii="宋体" w:hAnsi="宋体" w:eastAsia="宋体" w:cs="宋体"/>
                <w:i w:val="0"/>
                <w:iCs w:val="0"/>
                <w:color w:val="auto"/>
                <w:kern w:val="0"/>
                <w:sz w:val="22"/>
                <w:szCs w:val="22"/>
                <w:u w:val="none"/>
                <w:lang w:val="en-US" w:eastAsia="zh-CN" w:bidi="ar"/>
              </w:rPr>
              <w:t>2.6</w:t>
            </w:r>
            <w:r>
              <w:rPr>
                <w:rFonts w:hint="eastAsia" w:ascii="宋体" w:hAnsi="宋体" w:cs="宋体"/>
                <w:i w:val="0"/>
                <w:iCs w:val="0"/>
                <w:color w:val="auto"/>
                <w:kern w:val="0"/>
                <w:sz w:val="22"/>
                <w:szCs w:val="22"/>
                <w:u w:val="none"/>
                <w:lang w:val="en-US" w:eastAsia="zh-CN" w:bidi="ar"/>
              </w:rPr>
              <w:t>98</w:t>
            </w:r>
          </w:p>
        </w:tc>
        <w:tc>
          <w:tcPr>
            <w:tcW w:w="1229"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2.899</w:t>
            </w:r>
          </w:p>
        </w:tc>
        <w:tc>
          <w:tcPr>
            <w:tcW w:w="1232"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2.689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2" w:hRule="atLeast"/>
          <w:jc w:val="center"/>
        </w:trPr>
        <w:tc>
          <w:tcPr>
            <w:tcW w:w="926" w:type="dxa"/>
            <w:tcBorders>
              <w:tl2br w:val="nil"/>
              <w:tr2bl w:val="nil"/>
            </w:tcBorders>
            <w:shd w:val="clear" w:color="auto" w:fill="auto"/>
            <w:noWrap/>
            <w:vAlign w:val="center"/>
          </w:tcPr>
          <w:p>
            <w:pPr>
              <w:jc w:val="center"/>
              <w:rPr>
                <w:rFonts w:hint="default" w:ascii="宋体" w:hAnsi="宋体" w:eastAsia="宋体" w:cs="宋体"/>
                <w:i w:val="0"/>
                <w:iCs w:val="0"/>
                <w:color w:val="auto"/>
                <w:sz w:val="22"/>
                <w:szCs w:val="22"/>
                <w:u w:val="none"/>
                <w:lang w:val="en-US"/>
              </w:rPr>
            </w:pPr>
            <w:r>
              <w:rPr>
                <w:rFonts w:hint="eastAsia" w:ascii="宋体" w:hAnsi="宋体" w:cs="宋体"/>
                <w:i w:val="0"/>
                <w:iCs w:val="0"/>
                <w:color w:val="auto"/>
                <w:sz w:val="22"/>
                <w:szCs w:val="22"/>
                <w:u w:val="none"/>
                <w:lang w:val="en-US" w:eastAsia="zh-CN"/>
              </w:rPr>
              <w:t>测试点5深度（mm）</w:t>
            </w:r>
          </w:p>
        </w:tc>
        <w:tc>
          <w:tcPr>
            <w:tcW w:w="122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3.092</w:t>
            </w:r>
          </w:p>
        </w:tc>
        <w:tc>
          <w:tcPr>
            <w:tcW w:w="122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3.0</w:t>
            </w:r>
            <w:r>
              <w:rPr>
                <w:rFonts w:hint="eastAsia" w:ascii="宋体" w:hAnsi="宋体" w:cs="宋体"/>
                <w:i w:val="0"/>
                <w:iCs w:val="0"/>
                <w:color w:val="auto"/>
                <w:kern w:val="0"/>
                <w:sz w:val="22"/>
                <w:szCs w:val="22"/>
                <w:u w:val="none"/>
                <w:lang w:val="en-US" w:eastAsia="zh-CN" w:bidi="ar"/>
              </w:rPr>
              <w:t>01</w:t>
            </w:r>
          </w:p>
        </w:tc>
        <w:tc>
          <w:tcPr>
            <w:tcW w:w="1229"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cs="宋体"/>
                <w:i w:val="0"/>
                <w:iCs w:val="0"/>
                <w:color w:val="auto"/>
                <w:sz w:val="22"/>
                <w:szCs w:val="22"/>
                <w:u w:val="none"/>
                <w:lang w:val="en-US" w:eastAsia="zh-CN"/>
              </w:rPr>
              <w:t>2.842</w:t>
            </w:r>
          </w:p>
        </w:tc>
        <w:tc>
          <w:tcPr>
            <w:tcW w:w="1229"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cs="宋体"/>
                <w:i w:val="0"/>
                <w:iCs w:val="0"/>
                <w:color w:val="auto"/>
                <w:sz w:val="22"/>
                <w:szCs w:val="22"/>
                <w:u w:val="none"/>
                <w:lang w:val="en-US" w:eastAsia="zh-CN"/>
              </w:rPr>
              <w:t>2.798</w:t>
            </w:r>
          </w:p>
        </w:tc>
        <w:tc>
          <w:tcPr>
            <w:tcW w:w="1229"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rPr>
            </w:pPr>
            <w:r>
              <w:rPr>
                <w:rFonts w:hint="eastAsia" w:ascii="宋体" w:hAnsi="宋体" w:eastAsia="宋体" w:cs="宋体"/>
                <w:i w:val="0"/>
                <w:iCs w:val="0"/>
                <w:color w:val="auto"/>
                <w:kern w:val="0"/>
                <w:sz w:val="22"/>
                <w:szCs w:val="22"/>
                <w:u w:val="none"/>
                <w:lang w:val="en-US" w:eastAsia="zh-CN" w:bidi="ar"/>
              </w:rPr>
              <w:t>2.</w:t>
            </w:r>
            <w:r>
              <w:rPr>
                <w:rFonts w:hint="eastAsia" w:ascii="宋体" w:hAnsi="宋体" w:cs="宋体"/>
                <w:i w:val="0"/>
                <w:iCs w:val="0"/>
                <w:color w:val="auto"/>
                <w:kern w:val="0"/>
                <w:sz w:val="22"/>
                <w:szCs w:val="22"/>
                <w:u w:val="none"/>
                <w:lang w:val="en-US" w:eastAsia="zh-CN" w:bidi="ar"/>
              </w:rPr>
              <w:t>698</w:t>
            </w:r>
          </w:p>
        </w:tc>
        <w:tc>
          <w:tcPr>
            <w:tcW w:w="122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2.733</w:t>
            </w:r>
          </w:p>
        </w:tc>
        <w:tc>
          <w:tcPr>
            <w:tcW w:w="122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2.960</w:t>
            </w:r>
          </w:p>
        </w:tc>
        <w:tc>
          <w:tcPr>
            <w:tcW w:w="1232"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2.662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2" w:hRule="atLeast"/>
          <w:jc w:val="center"/>
        </w:trPr>
        <w:tc>
          <w:tcPr>
            <w:tcW w:w="926" w:type="dxa"/>
            <w:tcBorders>
              <w:tl2br w:val="nil"/>
              <w:tr2bl w:val="nil"/>
            </w:tcBorders>
            <w:shd w:val="clear" w:color="auto" w:fill="auto"/>
            <w:noWrap/>
            <w:vAlign w:val="center"/>
          </w:tcPr>
          <w:p>
            <w:pPr>
              <w:jc w:val="center"/>
              <w:rPr>
                <w:rFonts w:hint="default" w:ascii="宋体" w:hAnsi="宋体" w:eastAsia="宋体" w:cs="宋体"/>
                <w:i w:val="0"/>
                <w:iCs w:val="0"/>
                <w:color w:val="auto"/>
                <w:sz w:val="22"/>
                <w:szCs w:val="22"/>
                <w:u w:val="none"/>
                <w:lang w:val="en-US"/>
              </w:rPr>
            </w:pPr>
            <w:r>
              <w:rPr>
                <w:rFonts w:hint="eastAsia" w:ascii="宋体" w:hAnsi="宋体" w:cs="宋体"/>
                <w:i w:val="0"/>
                <w:iCs w:val="0"/>
                <w:color w:val="auto"/>
                <w:sz w:val="22"/>
                <w:szCs w:val="22"/>
                <w:u w:val="none"/>
                <w:lang w:val="en-US" w:eastAsia="zh-CN"/>
              </w:rPr>
              <w:t>测试点6深度（mm）</w:t>
            </w:r>
          </w:p>
        </w:tc>
        <w:tc>
          <w:tcPr>
            <w:tcW w:w="122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3.089</w:t>
            </w:r>
          </w:p>
        </w:tc>
        <w:tc>
          <w:tcPr>
            <w:tcW w:w="122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cs="宋体"/>
                <w:i w:val="0"/>
                <w:iCs w:val="0"/>
                <w:color w:val="auto"/>
                <w:kern w:val="0"/>
                <w:sz w:val="22"/>
                <w:szCs w:val="22"/>
                <w:u w:val="none"/>
                <w:lang w:val="en-US" w:eastAsia="zh-CN" w:bidi="ar"/>
              </w:rPr>
              <w:t>2.995</w:t>
            </w:r>
          </w:p>
        </w:tc>
        <w:tc>
          <w:tcPr>
            <w:tcW w:w="1229"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cs="宋体"/>
                <w:i w:val="0"/>
                <w:iCs w:val="0"/>
                <w:color w:val="auto"/>
                <w:sz w:val="22"/>
                <w:szCs w:val="22"/>
                <w:u w:val="none"/>
                <w:lang w:val="en-US" w:eastAsia="zh-CN"/>
              </w:rPr>
              <w:t>2.852</w:t>
            </w:r>
          </w:p>
        </w:tc>
        <w:tc>
          <w:tcPr>
            <w:tcW w:w="1229"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cs="宋体"/>
                <w:i w:val="0"/>
                <w:iCs w:val="0"/>
                <w:color w:val="auto"/>
                <w:sz w:val="22"/>
                <w:szCs w:val="22"/>
                <w:u w:val="none"/>
                <w:lang w:val="en-US" w:eastAsia="zh-CN"/>
              </w:rPr>
              <w:t>2.802</w:t>
            </w:r>
          </w:p>
        </w:tc>
        <w:tc>
          <w:tcPr>
            <w:tcW w:w="1229"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rPr>
            </w:pPr>
            <w:r>
              <w:rPr>
                <w:rFonts w:hint="eastAsia" w:ascii="宋体" w:hAnsi="宋体" w:eastAsia="宋体" w:cs="宋体"/>
                <w:i w:val="0"/>
                <w:iCs w:val="0"/>
                <w:color w:val="auto"/>
                <w:kern w:val="0"/>
                <w:sz w:val="22"/>
                <w:szCs w:val="22"/>
                <w:u w:val="none"/>
                <w:lang w:val="en-US" w:eastAsia="zh-CN" w:bidi="ar"/>
              </w:rPr>
              <w:t>2.8</w:t>
            </w:r>
            <w:r>
              <w:rPr>
                <w:rFonts w:hint="eastAsia" w:ascii="宋体" w:hAnsi="宋体" w:cs="宋体"/>
                <w:i w:val="0"/>
                <w:iCs w:val="0"/>
                <w:color w:val="auto"/>
                <w:kern w:val="0"/>
                <w:sz w:val="22"/>
                <w:szCs w:val="22"/>
                <w:u w:val="none"/>
                <w:lang w:val="en-US" w:eastAsia="zh-CN" w:bidi="ar"/>
              </w:rPr>
              <w:t>02</w:t>
            </w:r>
          </w:p>
        </w:tc>
        <w:tc>
          <w:tcPr>
            <w:tcW w:w="122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2.768</w:t>
            </w:r>
          </w:p>
        </w:tc>
        <w:tc>
          <w:tcPr>
            <w:tcW w:w="1229"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2.895</w:t>
            </w:r>
          </w:p>
        </w:tc>
        <w:tc>
          <w:tcPr>
            <w:tcW w:w="1232"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2.665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2" w:hRule="atLeast"/>
          <w:jc w:val="center"/>
        </w:trPr>
        <w:tc>
          <w:tcPr>
            <w:tcW w:w="926" w:type="dxa"/>
            <w:tcBorders>
              <w:tl2br w:val="nil"/>
              <w:tr2bl w:val="nil"/>
            </w:tcBorders>
            <w:shd w:val="clear" w:color="auto" w:fill="auto"/>
            <w:noWrap/>
            <w:vAlign w:val="center"/>
          </w:tcPr>
          <w:p>
            <w:pPr>
              <w:jc w:val="center"/>
              <w:rPr>
                <w:rFonts w:hint="default" w:ascii="宋体" w:hAnsi="宋体" w:eastAsia="宋体" w:cs="宋体"/>
                <w:i w:val="0"/>
                <w:iCs w:val="0"/>
                <w:color w:val="auto"/>
                <w:sz w:val="22"/>
                <w:szCs w:val="22"/>
                <w:u w:val="none"/>
                <w:lang w:val="en-US"/>
              </w:rPr>
            </w:pPr>
            <w:r>
              <w:rPr>
                <w:rFonts w:hint="eastAsia" w:ascii="宋体" w:hAnsi="宋体" w:cs="宋体"/>
                <w:i w:val="0"/>
                <w:iCs w:val="0"/>
                <w:color w:val="auto"/>
                <w:sz w:val="22"/>
                <w:szCs w:val="22"/>
                <w:u w:val="none"/>
                <w:lang w:val="en-US" w:eastAsia="zh-CN"/>
              </w:rPr>
              <w:t>测试点7深度（mm）</w:t>
            </w:r>
          </w:p>
        </w:tc>
        <w:tc>
          <w:tcPr>
            <w:tcW w:w="1229" w:type="dxa"/>
            <w:tcBorders>
              <w:tl2br w:val="nil"/>
              <w:tr2bl w:val="nil"/>
            </w:tcBorders>
            <w:shd w:val="clear" w:color="auto" w:fill="auto"/>
            <w:noWrap/>
            <w:vAlign w:val="center"/>
          </w:tcPr>
          <w:p>
            <w:pPr>
              <w:jc w:val="center"/>
              <w:rPr>
                <w:rFonts w:hint="default" w:ascii="宋体" w:hAnsi="宋体" w:eastAsia="宋体" w:cs="宋体"/>
                <w:i w:val="0"/>
                <w:iCs w:val="0"/>
                <w:color w:val="auto"/>
                <w:sz w:val="22"/>
                <w:szCs w:val="22"/>
                <w:u w:val="none"/>
                <w:lang w:val="en-US" w:eastAsia="zh-CN"/>
              </w:rPr>
            </w:pPr>
            <w:r>
              <w:rPr>
                <w:rFonts w:hint="eastAsia" w:ascii="宋体" w:hAnsi="宋体" w:cs="宋体"/>
                <w:i w:val="0"/>
                <w:iCs w:val="0"/>
                <w:color w:val="auto"/>
                <w:sz w:val="22"/>
                <w:szCs w:val="22"/>
                <w:u w:val="none"/>
                <w:lang w:val="en-US" w:eastAsia="zh-CN"/>
              </w:rPr>
              <w:t>2.997</w:t>
            </w:r>
          </w:p>
        </w:tc>
        <w:tc>
          <w:tcPr>
            <w:tcW w:w="122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cs="宋体"/>
                <w:i w:val="0"/>
                <w:iCs w:val="0"/>
                <w:color w:val="auto"/>
                <w:kern w:val="0"/>
                <w:sz w:val="22"/>
                <w:szCs w:val="22"/>
                <w:u w:val="none"/>
                <w:lang w:val="en-US" w:eastAsia="zh-CN" w:bidi="ar"/>
              </w:rPr>
              <w:t>3.001</w:t>
            </w:r>
          </w:p>
        </w:tc>
        <w:tc>
          <w:tcPr>
            <w:tcW w:w="1229"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cs="宋体"/>
                <w:i w:val="0"/>
                <w:iCs w:val="0"/>
                <w:color w:val="auto"/>
                <w:sz w:val="22"/>
                <w:szCs w:val="22"/>
                <w:u w:val="none"/>
                <w:lang w:val="en-US" w:eastAsia="zh-CN"/>
              </w:rPr>
              <w:t>2.843</w:t>
            </w:r>
          </w:p>
        </w:tc>
        <w:tc>
          <w:tcPr>
            <w:tcW w:w="1229"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cs="宋体"/>
                <w:i w:val="0"/>
                <w:iCs w:val="0"/>
                <w:color w:val="auto"/>
                <w:sz w:val="22"/>
                <w:szCs w:val="22"/>
                <w:u w:val="none"/>
                <w:lang w:val="en-US" w:eastAsia="zh-CN"/>
              </w:rPr>
              <w:t>2.870</w:t>
            </w:r>
          </w:p>
        </w:tc>
        <w:tc>
          <w:tcPr>
            <w:tcW w:w="1229"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rPr>
            </w:pPr>
            <w:r>
              <w:rPr>
                <w:rFonts w:hint="eastAsia" w:ascii="宋体" w:hAnsi="宋体" w:eastAsia="宋体" w:cs="宋体"/>
                <w:i w:val="0"/>
                <w:iCs w:val="0"/>
                <w:color w:val="auto"/>
                <w:kern w:val="0"/>
                <w:sz w:val="22"/>
                <w:szCs w:val="22"/>
                <w:u w:val="none"/>
                <w:lang w:val="en-US" w:eastAsia="zh-CN" w:bidi="ar"/>
              </w:rPr>
              <w:t>2.</w:t>
            </w:r>
            <w:r>
              <w:rPr>
                <w:rFonts w:hint="eastAsia" w:ascii="宋体" w:hAnsi="宋体" w:cs="宋体"/>
                <w:i w:val="0"/>
                <w:iCs w:val="0"/>
                <w:color w:val="auto"/>
                <w:kern w:val="0"/>
                <w:sz w:val="22"/>
                <w:szCs w:val="22"/>
                <w:u w:val="none"/>
                <w:lang w:val="en-US" w:eastAsia="zh-CN" w:bidi="ar"/>
              </w:rPr>
              <w:t>754</w:t>
            </w:r>
          </w:p>
        </w:tc>
        <w:tc>
          <w:tcPr>
            <w:tcW w:w="122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2.766</w:t>
            </w:r>
          </w:p>
        </w:tc>
        <w:tc>
          <w:tcPr>
            <w:tcW w:w="1229"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2.872</w:t>
            </w:r>
          </w:p>
        </w:tc>
        <w:tc>
          <w:tcPr>
            <w:tcW w:w="1232"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2.670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2" w:hRule="atLeast"/>
          <w:jc w:val="center"/>
        </w:trPr>
        <w:tc>
          <w:tcPr>
            <w:tcW w:w="926" w:type="dxa"/>
            <w:tcBorders>
              <w:tl2br w:val="nil"/>
              <w:tr2bl w:val="nil"/>
            </w:tcBorders>
            <w:shd w:val="clear" w:color="auto" w:fill="auto"/>
            <w:noWrap/>
            <w:vAlign w:val="center"/>
          </w:tcPr>
          <w:p>
            <w:pPr>
              <w:jc w:val="center"/>
              <w:rPr>
                <w:rFonts w:hint="default" w:ascii="宋体" w:hAnsi="宋体" w:eastAsia="宋体" w:cs="宋体"/>
                <w:i w:val="0"/>
                <w:iCs w:val="0"/>
                <w:color w:val="auto"/>
                <w:sz w:val="22"/>
                <w:szCs w:val="22"/>
                <w:u w:val="none"/>
                <w:lang w:val="en-US"/>
              </w:rPr>
            </w:pPr>
            <w:r>
              <w:rPr>
                <w:rFonts w:hint="eastAsia" w:ascii="宋体" w:hAnsi="宋体" w:cs="宋体"/>
                <w:i w:val="0"/>
                <w:iCs w:val="0"/>
                <w:color w:val="auto"/>
                <w:sz w:val="22"/>
                <w:szCs w:val="22"/>
                <w:u w:val="none"/>
                <w:lang w:val="en-US" w:eastAsia="zh-CN"/>
              </w:rPr>
              <w:t>测试点8深度（mm）</w:t>
            </w:r>
          </w:p>
        </w:tc>
        <w:tc>
          <w:tcPr>
            <w:tcW w:w="1229" w:type="dxa"/>
            <w:tcBorders>
              <w:tl2br w:val="nil"/>
              <w:tr2bl w:val="nil"/>
            </w:tcBorders>
            <w:shd w:val="clear" w:color="auto" w:fill="auto"/>
            <w:noWrap/>
            <w:vAlign w:val="center"/>
          </w:tcPr>
          <w:p>
            <w:pPr>
              <w:jc w:val="center"/>
              <w:rPr>
                <w:rFonts w:hint="default" w:ascii="宋体" w:hAnsi="宋体" w:eastAsia="宋体" w:cs="宋体"/>
                <w:i w:val="0"/>
                <w:iCs w:val="0"/>
                <w:color w:val="auto"/>
                <w:sz w:val="22"/>
                <w:szCs w:val="22"/>
                <w:u w:val="none"/>
                <w:lang w:val="en-US" w:eastAsia="zh-CN"/>
              </w:rPr>
            </w:pPr>
            <w:r>
              <w:rPr>
                <w:rFonts w:hint="eastAsia" w:ascii="宋体" w:hAnsi="宋体" w:cs="宋体"/>
                <w:i w:val="0"/>
                <w:iCs w:val="0"/>
                <w:color w:val="auto"/>
                <w:sz w:val="22"/>
                <w:szCs w:val="22"/>
                <w:u w:val="none"/>
                <w:lang w:val="en-US" w:eastAsia="zh-CN"/>
              </w:rPr>
              <w:t>2.998</w:t>
            </w:r>
          </w:p>
        </w:tc>
        <w:tc>
          <w:tcPr>
            <w:tcW w:w="1229" w:type="dxa"/>
            <w:tcBorders>
              <w:tl2br w:val="nil"/>
              <w:tr2bl w:val="nil"/>
            </w:tcBorders>
            <w:shd w:val="clear" w:color="auto" w:fill="auto"/>
            <w:noWrap/>
            <w:vAlign w:val="center"/>
          </w:tcPr>
          <w:p>
            <w:pPr>
              <w:jc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cs="宋体"/>
                <w:i w:val="0"/>
                <w:iCs w:val="0"/>
                <w:color w:val="auto"/>
                <w:sz w:val="22"/>
                <w:szCs w:val="22"/>
                <w:u w:val="none"/>
                <w:lang w:val="en-US" w:eastAsia="zh-CN"/>
              </w:rPr>
              <w:t>3.000</w:t>
            </w:r>
          </w:p>
        </w:tc>
        <w:tc>
          <w:tcPr>
            <w:tcW w:w="1229" w:type="dxa"/>
            <w:tcBorders>
              <w:tl2br w:val="nil"/>
              <w:tr2bl w:val="nil"/>
            </w:tcBorders>
            <w:shd w:val="clear" w:color="auto" w:fill="auto"/>
            <w:noWrap/>
            <w:vAlign w:val="center"/>
          </w:tcPr>
          <w:p>
            <w:pPr>
              <w:jc w:val="center"/>
              <w:rPr>
                <w:rFonts w:hint="default" w:ascii="宋体" w:hAnsi="宋体" w:eastAsia="宋体" w:cs="宋体"/>
                <w:i w:val="0"/>
                <w:iCs w:val="0"/>
                <w:color w:val="auto"/>
                <w:sz w:val="22"/>
                <w:szCs w:val="22"/>
                <w:u w:val="none"/>
                <w:lang w:val="en-US" w:eastAsia="zh-CN"/>
              </w:rPr>
            </w:pPr>
            <w:r>
              <w:rPr>
                <w:rFonts w:hint="eastAsia" w:ascii="宋体" w:hAnsi="宋体" w:cs="宋体"/>
                <w:i w:val="0"/>
                <w:iCs w:val="0"/>
                <w:color w:val="auto"/>
                <w:sz w:val="22"/>
                <w:szCs w:val="22"/>
                <w:u w:val="none"/>
                <w:lang w:val="en-US" w:eastAsia="zh-CN"/>
              </w:rPr>
              <w:t>2.870</w:t>
            </w:r>
          </w:p>
        </w:tc>
        <w:tc>
          <w:tcPr>
            <w:tcW w:w="1229" w:type="dxa"/>
            <w:tcBorders>
              <w:tl2br w:val="nil"/>
              <w:tr2bl w:val="nil"/>
            </w:tcBorders>
            <w:shd w:val="clear" w:color="auto" w:fill="auto"/>
            <w:noWrap/>
            <w:vAlign w:val="center"/>
          </w:tcPr>
          <w:p>
            <w:pPr>
              <w:jc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cs="宋体"/>
                <w:i w:val="0"/>
                <w:iCs w:val="0"/>
                <w:color w:val="auto"/>
                <w:sz w:val="22"/>
                <w:szCs w:val="22"/>
                <w:u w:val="none"/>
                <w:lang w:val="en-US" w:eastAsia="zh-CN"/>
              </w:rPr>
              <w:t>2.870</w:t>
            </w:r>
          </w:p>
        </w:tc>
        <w:tc>
          <w:tcPr>
            <w:tcW w:w="1229"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cs="宋体"/>
                <w:i w:val="0"/>
                <w:iCs w:val="0"/>
                <w:color w:val="auto"/>
                <w:sz w:val="22"/>
                <w:szCs w:val="22"/>
                <w:u w:val="none"/>
                <w:lang w:val="en-US" w:eastAsia="zh-CN"/>
              </w:rPr>
              <w:t>2.752</w:t>
            </w:r>
          </w:p>
        </w:tc>
        <w:tc>
          <w:tcPr>
            <w:tcW w:w="122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2.716</w:t>
            </w:r>
          </w:p>
        </w:tc>
        <w:tc>
          <w:tcPr>
            <w:tcW w:w="1229"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2.880</w:t>
            </w:r>
          </w:p>
        </w:tc>
        <w:tc>
          <w:tcPr>
            <w:tcW w:w="1232"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2.672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2" w:hRule="atLeast"/>
          <w:jc w:val="center"/>
        </w:trPr>
        <w:tc>
          <w:tcPr>
            <w:tcW w:w="926"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sz w:val="22"/>
                <w:szCs w:val="22"/>
                <w:u w:val="none"/>
                <w:lang w:val="en-US" w:eastAsia="zh-CN"/>
              </w:rPr>
              <w:t>测试点9深度（mm）</w:t>
            </w:r>
          </w:p>
        </w:tc>
        <w:tc>
          <w:tcPr>
            <w:tcW w:w="1229"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3.022</w:t>
            </w:r>
          </w:p>
        </w:tc>
        <w:tc>
          <w:tcPr>
            <w:tcW w:w="122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2.997</w:t>
            </w:r>
          </w:p>
        </w:tc>
        <w:tc>
          <w:tcPr>
            <w:tcW w:w="1229"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2.878</w:t>
            </w:r>
          </w:p>
        </w:tc>
        <w:tc>
          <w:tcPr>
            <w:tcW w:w="122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2.873</w:t>
            </w:r>
          </w:p>
        </w:tc>
        <w:tc>
          <w:tcPr>
            <w:tcW w:w="1229"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2.753</w:t>
            </w:r>
          </w:p>
        </w:tc>
        <w:tc>
          <w:tcPr>
            <w:tcW w:w="1229"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2.742</w:t>
            </w:r>
          </w:p>
        </w:tc>
        <w:tc>
          <w:tcPr>
            <w:tcW w:w="1229"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2.922</w:t>
            </w:r>
          </w:p>
        </w:tc>
        <w:tc>
          <w:tcPr>
            <w:tcW w:w="1232"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2.663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2" w:hRule="atLeast"/>
          <w:jc w:val="center"/>
        </w:trPr>
        <w:tc>
          <w:tcPr>
            <w:tcW w:w="926"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sz w:val="22"/>
                <w:szCs w:val="22"/>
                <w:u w:val="none"/>
                <w:lang w:val="en-US" w:eastAsia="zh-CN"/>
              </w:rPr>
              <w:t>测试点10深度（mm）</w:t>
            </w:r>
          </w:p>
        </w:tc>
        <w:tc>
          <w:tcPr>
            <w:tcW w:w="1229"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3.000</w:t>
            </w:r>
          </w:p>
        </w:tc>
        <w:tc>
          <w:tcPr>
            <w:tcW w:w="122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cs="宋体"/>
                <w:i w:val="0"/>
                <w:iCs w:val="0"/>
                <w:color w:val="auto"/>
                <w:sz w:val="22"/>
                <w:szCs w:val="22"/>
                <w:u w:val="none"/>
                <w:lang w:val="en-US" w:eastAsia="zh-CN"/>
              </w:rPr>
              <w:t>2.996</w:t>
            </w:r>
          </w:p>
        </w:tc>
        <w:tc>
          <w:tcPr>
            <w:tcW w:w="1229"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cs="宋体"/>
                <w:i w:val="0"/>
                <w:iCs w:val="0"/>
                <w:color w:val="auto"/>
                <w:sz w:val="22"/>
                <w:szCs w:val="22"/>
                <w:u w:val="none"/>
                <w:lang w:val="en-US" w:eastAsia="zh-CN"/>
              </w:rPr>
              <w:t>2.841</w:t>
            </w:r>
          </w:p>
        </w:tc>
        <w:tc>
          <w:tcPr>
            <w:tcW w:w="122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cs="宋体"/>
                <w:i w:val="0"/>
                <w:iCs w:val="0"/>
                <w:color w:val="auto"/>
                <w:sz w:val="22"/>
                <w:szCs w:val="22"/>
                <w:u w:val="none"/>
                <w:lang w:val="en-US" w:eastAsia="zh-CN"/>
              </w:rPr>
              <w:t>2.841</w:t>
            </w:r>
          </w:p>
        </w:tc>
        <w:tc>
          <w:tcPr>
            <w:tcW w:w="1229"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2.690</w:t>
            </w:r>
          </w:p>
        </w:tc>
        <w:tc>
          <w:tcPr>
            <w:tcW w:w="1229"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2.7401</w:t>
            </w:r>
          </w:p>
        </w:tc>
        <w:tc>
          <w:tcPr>
            <w:tcW w:w="1229"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2.924</w:t>
            </w:r>
          </w:p>
        </w:tc>
        <w:tc>
          <w:tcPr>
            <w:tcW w:w="1232"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2.668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2" w:hRule="atLeast"/>
          <w:jc w:val="center"/>
        </w:trPr>
        <w:tc>
          <w:tcPr>
            <w:tcW w:w="92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平均</w:t>
            </w:r>
            <w:r>
              <w:rPr>
                <w:rFonts w:hint="eastAsia" w:ascii="宋体" w:hAnsi="宋体" w:cs="宋体"/>
                <w:i w:val="0"/>
                <w:iCs w:val="0"/>
                <w:color w:val="auto"/>
                <w:sz w:val="22"/>
                <w:szCs w:val="22"/>
                <w:u w:val="none"/>
                <w:lang w:val="en-US" w:eastAsia="zh-CN"/>
              </w:rPr>
              <w:t>深度（mm）</w:t>
            </w:r>
          </w:p>
        </w:tc>
        <w:tc>
          <w:tcPr>
            <w:tcW w:w="1229"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cs="宋体"/>
                <w:i w:val="0"/>
                <w:iCs w:val="0"/>
                <w:color w:val="auto"/>
                <w:sz w:val="22"/>
                <w:szCs w:val="22"/>
                <w:u w:val="none"/>
                <w:lang w:val="en-US" w:eastAsia="zh-CN"/>
              </w:rPr>
              <w:t>3.045</w:t>
            </w:r>
          </w:p>
        </w:tc>
        <w:tc>
          <w:tcPr>
            <w:tcW w:w="122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cs="宋体"/>
                <w:i w:val="0"/>
                <w:iCs w:val="0"/>
                <w:color w:val="auto"/>
                <w:sz w:val="22"/>
                <w:szCs w:val="22"/>
                <w:u w:val="none"/>
                <w:lang w:val="en-US" w:eastAsia="zh-CN"/>
              </w:rPr>
              <w:t>2.999</w:t>
            </w:r>
          </w:p>
        </w:tc>
        <w:tc>
          <w:tcPr>
            <w:tcW w:w="1229"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cs="宋体"/>
                <w:i w:val="0"/>
                <w:iCs w:val="0"/>
                <w:color w:val="auto"/>
                <w:sz w:val="22"/>
                <w:szCs w:val="22"/>
                <w:u w:val="none"/>
                <w:lang w:val="en-US" w:eastAsia="zh-CN"/>
              </w:rPr>
              <w:t>2.858</w:t>
            </w:r>
          </w:p>
        </w:tc>
        <w:tc>
          <w:tcPr>
            <w:tcW w:w="1229" w:type="dxa"/>
            <w:tcBorders>
              <w:tl2br w:val="nil"/>
              <w:tr2bl w:val="nil"/>
            </w:tcBorders>
            <w:shd w:val="clear" w:color="auto" w:fill="auto"/>
            <w:noWrap/>
            <w:vAlign w:val="center"/>
          </w:tcPr>
          <w:p>
            <w:pPr>
              <w:jc w:val="center"/>
              <w:rPr>
                <w:rFonts w:hint="default" w:ascii="宋体" w:hAnsi="宋体" w:eastAsia="宋体" w:cs="宋体"/>
                <w:i w:val="0"/>
                <w:iCs w:val="0"/>
                <w:color w:val="auto"/>
                <w:sz w:val="22"/>
                <w:szCs w:val="22"/>
                <w:u w:val="none"/>
                <w:lang w:val="en-US" w:eastAsia="zh-CN"/>
              </w:rPr>
            </w:pPr>
            <w:r>
              <w:rPr>
                <w:rFonts w:hint="eastAsia" w:ascii="宋体" w:hAnsi="宋体" w:cs="宋体"/>
                <w:i w:val="0"/>
                <w:iCs w:val="0"/>
                <w:color w:val="auto"/>
                <w:sz w:val="22"/>
                <w:szCs w:val="22"/>
                <w:u w:val="none"/>
                <w:lang w:val="en-US" w:eastAsia="zh-CN"/>
              </w:rPr>
              <w:t>2.844</w:t>
            </w:r>
          </w:p>
        </w:tc>
        <w:tc>
          <w:tcPr>
            <w:tcW w:w="1229"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cs="宋体"/>
                <w:i w:val="0"/>
                <w:iCs w:val="0"/>
                <w:color w:val="auto"/>
                <w:sz w:val="22"/>
                <w:szCs w:val="22"/>
                <w:u w:val="none"/>
                <w:lang w:val="en-US" w:eastAsia="zh-CN"/>
              </w:rPr>
              <w:t>2.754</w:t>
            </w:r>
          </w:p>
        </w:tc>
        <w:tc>
          <w:tcPr>
            <w:tcW w:w="1229"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cs="宋体"/>
                <w:i w:val="0"/>
                <w:iCs w:val="0"/>
                <w:color w:val="auto"/>
                <w:sz w:val="22"/>
                <w:szCs w:val="22"/>
                <w:u w:val="none"/>
                <w:lang w:val="en-US" w:eastAsia="zh-CN"/>
              </w:rPr>
              <w:t>2.743</w:t>
            </w:r>
          </w:p>
        </w:tc>
        <w:tc>
          <w:tcPr>
            <w:tcW w:w="1229"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auto"/>
                <w:sz w:val="22"/>
                <w:szCs w:val="22"/>
                <w:u w:val="none"/>
                <w:lang w:val="en-US" w:eastAsia="zh-CN"/>
              </w:rPr>
            </w:pPr>
            <w:r>
              <w:rPr>
                <w:rFonts w:hint="eastAsia" w:ascii="宋体" w:hAnsi="宋体" w:cs="宋体"/>
                <w:i w:val="0"/>
                <w:iCs w:val="0"/>
                <w:color w:val="auto"/>
                <w:sz w:val="22"/>
                <w:szCs w:val="22"/>
                <w:u w:val="none"/>
                <w:lang w:val="en-US" w:eastAsia="zh-CN"/>
              </w:rPr>
              <w:t>2.920</w:t>
            </w:r>
          </w:p>
        </w:tc>
        <w:tc>
          <w:tcPr>
            <w:tcW w:w="1232"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auto"/>
                <w:sz w:val="22"/>
                <w:szCs w:val="22"/>
                <w:u w:val="none"/>
                <w:lang w:val="en-US" w:eastAsia="zh-CN"/>
              </w:rPr>
            </w:pPr>
            <w:r>
              <w:rPr>
                <w:rFonts w:hint="eastAsia" w:ascii="宋体" w:hAnsi="宋体" w:cs="宋体"/>
                <w:i w:val="0"/>
                <w:iCs w:val="0"/>
                <w:color w:val="auto"/>
                <w:sz w:val="22"/>
                <w:szCs w:val="22"/>
                <w:u w:val="none"/>
                <w:lang w:val="en-US" w:eastAsia="zh-CN"/>
              </w:rPr>
              <w:t>2.669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92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冲击深度</w:t>
            </w:r>
            <w:r>
              <w:rPr>
                <w:rFonts w:hint="eastAsia" w:ascii="宋体" w:hAnsi="宋体" w:cs="宋体"/>
                <w:i w:val="0"/>
                <w:iCs w:val="0"/>
                <w:color w:val="auto"/>
                <w:sz w:val="22"/>
                <w:szCs w:val="22"/>
                <w:u w:val="none"/>
                <w:lang w:val="en-US" w:eastAsia="zh-CN"/>
              </w:rPr>
              <w:t>（mm）</w:t>
            </w:r>
          </w:p>
        </w:tc>
        <w:tc>
          <w:tcPr>
            <w:tcW w:w="1229"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cs="宋体"/>
                <w:i w:val="0"/>
                <w:iCs w:val="0"/>
                <w:color w:val="auto"/>
                <w:sz w:val="22"/>
                <w:szCs w:val="22"/>
                <w:u w:val="none"/>
                <w:lang w:val="en-US" w:eastAsia="zh-CN"/>
              </w:rPr>
              <w:t>2.09</w:t>
            </w:r>
          </w:p>
        </w:tc>
        <w:tc>
          <w:tcPr>
            <w:tcW w:w="1229"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highlight w:val="none"/>
                <w:u w:val="none"/>
                <w:lang w:val="en-US" w:eastAsia="zh-CN" w:bidi="ar"/>
              </w:rPr>
              <w:t>2.0</w:t>
            </w:r>
            <w:r>
              <w:rPr>
                <w:rFonts w:hint="eastAsia" w:ascii="宋体" w:hAnsi="宋体" w:cs="宋体"/>
                <w:i w:val="0"/>
                <w:iCs w:val="0"/>
                <w:color w:val="auto"/>
                <w:kern w:val="0"/>
                <w:sz w:val="22"/>
                <w:szCs w:val="22"/>
                <w:highlight w:val="none"/>
                <w:u w:val="none"/>
                <w:lang w:val="en-US" w:eastAsia="zh-CN" w:bidi="ar"/>
              </w:rPr>
              <w:t>3</w:t>
            </w:r>
          </w:p>
        </w:tc>
        <w:tc>
          <w:tcPr>
            <w:tcW w:w="1229"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cs="宋体"/>
                <w:i w:val="0"/>
                <w:iCs w:val="0"/>
                <w:color w:val="auto"/>
                <w:sz w:val="22"/>
                <w:szCs w:val="22"/>
                <w:u w:val="none"/>
                <w:lang w:val="en-US" w:eastAsia="zh-CN"/>
              </w:rPr>
              <w:t>2.01</w:t>
            </w:r>
          </w:p>
        </w:tc>
        <w:tc>
          <w:tcPr>
            <w:tcW w:w="1229" w:type="dxa"/>
            <w:tcBorders>
              <w:tl2br w:val="nil"/>
              <w:tr2bl w:val="nil"/>
            </w:tcBorders>
            <w:shd w:val="clear" w:color="auto" w:fill="auto"/>
            <w:noWrap/>
            <w:vAlign w:val="center"/>
          </w:tcPr>
          <w:p>
            <w:pPr>
              <w:jc w:val="center"/>
              <w:rPr>
                <w:rFonts w:hint="default" w:ascii="宋体" w:hAnsi="宋体" w:eastAsia="宋体" w:cs="宋体"/>
                <w:i w:val="0"/>
                <w:iCs w:val="0"/>
                <w:color w:val="auto"/>
                <w:sz w:val="22"/>
                <w:szCs w:val="22"/>
                <w:u w:val="none"/>
                <w:lang w:val="en-US" w:eastAsia="zh-CN"/>
              </w:rPr>
            </w:pPr>
            <w:r>
              <w:rPr>
                <w:rFonts w:hint="eastAsia" w:ascii="宋体" w:hAnsi="宋体" w:cs="宋体"/>
                <w:i w:val="0"/>
                <w:iCs w:val="0"/>
                <w:color w:val="auto"/>
                <w:sz w:val="22"/>
                <w:szCs w:val="22"/>
                <w:u w:val="none"/>
                <w:lang w:val="en-US" w:eastAsia="zh-CN"/>
              </w:rPr>
              <w:t>2.04</w:t>
            </w:r>
          </w:p>
        </w:tc>
        <w:tc>
          <w:tcPr>
            <w:tcW w:w="1229"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cs="宋体"/>
                <w:i w:val="0"/>
                <w:iCs w:val="0"/>
                <w:color w:val="auto"/>
                <w:sz w:val="22"/>
                <w:szCs w:val="22"/>
                <w:u w:val="none"/>
                <w:lang w:val="en-US" w:eastAsia="zh-CN"/>
              </w:rPr>
              <w:t>2.00</w:t>
            </w:r>
          </w:p>
        </w:tc>
        <w:tc>
          <w:tcPr>
            <w:tcW w:w="1229"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cs="宋体"/>
                <w:i w:val="0"/>
                <w:iCs w:val="0"/>
                <w:color w:val="auto"/>
                <w:sz w:val="22"/>
                <w:szCs w:val="22"/>
                <w:u w:val="none"/>
                <w:lang w:val="en-US" w:eastAsia="zh-CN"/>
              </w:rPr>
              <w:t>2.00</w:t>
            </w:r>
          </w:p>
        </w:tc>
        <w:tc>
          <w:tcPr>
            <w:tcW w:w="1229"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auto"/>
                <w:sz w:val="22"/>
                <w:szCs w:val="22"/>
                <w:u w:val="none"/>
                <w:lang w:val="en-US" w:eastAsia="zh-CN"/>
              </w:rPr>
            </w:pPr>
            <w:r>
              <w:rPr>
                <w:rFonts w:hint="eastAsia" w:ascii="宋体" w:hAnsi="宋体" w:cs="宋体"/>
                <w:i w:val="0"/>
                <w:iCs w:val="0"/>
                <w:color w:val="auto"/>
                <w:sz w:val="22"/>
                <w:szCs w:val="22"/>
                <w:u w:val="none"/>
                <w:lang w:val="en-US" w:eastAsia="zh-CN"/>
              </w:rPr>
              <w:t>1.96</w:t>
            </w:r>
          </w:p>
        </w:tc>
        <w:tc>
          <w:tcPr>
            <w:tcW w:w="1232"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auto"/>
                <w:sz w:val="22"/>
                <w:szCs w:val="22"/>
                <w:u w:val="none"/>
                <w:lang w:val="en-US" w:eastAsia="zh-CN"/>
              </w:rPr>
            </w:pPr>
            <w:r>
              <w:rPr>
                <w:rFonts w:hint="eastAsia" w:ascii="宋体" w:hAnsi="宋体" w:cs="宋体"/>
                <w:i w:val="0"/>
                <w:iCs w:val="0"/>
                <w:color w:val="auto"/>
                <w:sz w:val="22"/>
                <w:szCs w:val="22"/>
                <w:u w:val="none"/>
                <w:lang w:val="en-US" w:eastAsia="zh-CN"/>
              </w:rPr>
              <w:t>1.92</w:t>
            </w:r>
          </w:p>
        </w:tc>
      </w:tr>
    </w:tbl>
    <w:p>
      <w:pPr>
        <w:pStyle w:val="57"/>
        <w:spacing w:line="324" w:lineRule="auto"/>
        <w:ind w:left="0" w:leftChars="0" w:firstLine="0" w:firstLineChars="0"/>
        <w:rPr>
          <w:rFonts w:hint="default" w:ascii="Times New Roman" w:hAnsi="Times New Roman" w:eastAsia="宋体" w:cs="Times New Roman"/>
          <w:sz w:val="21"/>
          <w:szCs w:val="21"/>
          <w:lang w:val="en-US" w:eastAsia="zh-CN"/>
        </w:rPr>
      </w:pPr>
    </w:p>
    <w:p>
      <w:pPr>
        <w:pStyle w:val="73"/>
        <w:numPr>
          <w:ilvl w:val="0"/>
          <w:numId w:val="0"/>
        </w:numPr>
        <w:tabs>
          <w:tab w:val="left" w:pos="426"/>
        </w:tabs>
        <w:spacing w:before="312" w:beforeLines="100" w:after="312" w:afterLines="100"/>
        <w:ind w:leftChars="-200" w:firstLine="420" w:firstLineChars="200"/>
        <w:jc w:val="left"/>
        <w:rPr>
          <w:rFonts w:hint="default" w:ascii="Times New Roman" w:hAnsi="Times New Roman" w:eastAsia="宋体" w:cs="Times New Roman"/>
          <w:sz w:val="21"/>
          <w:szCs w:val="21"/>
        </w:rPr>
      </w:pPr>
      <w:bookmarkStart w:id="18" w:name="_Toc464728924"/>
      <w:r>
        <w:rPr>
          <w:rFonts w:hint="default" w:ascii="Times New Roman" w:hAnsi="Times New Roman" w:eastAsia="宋体" w:cs="Times New Roman"/>
          <w:sz w:val="21"/>
          <w:szCs w:val="21"/>
          <w:lang w:val="en-US" w:eastAsia="zh-CN"/>
        </w:rPr>
        <w:t>二、</w:t>
      </w:r>
      <w:r>
        <w:rPr>
          <w:rFonts w:hint="default" w:ascii="Times New Roman" w:hAnsi="Times New Roman" w:eastAsia="宋体" w:cs="Times New Roman"/>
          <w:sz w:val="21"/>
          <w:szCs w:val="21"/>
        </w:rPr>
        <w:t>规程编制原则和确定主要内容</w:t>
      </w:r>
      <w:bookmarkEnd w:id="18"/>
    </w:p>
    <w:p>
      <w:pPr>
        <w:pStyle w:val="78"/>
        <w:wordWrap/>
        <w:spacing w:beforeLines="0" w:after="156" w:line="360" w:lineRule="auto"/>
        <w:rPr>
          <w:rFonts w:hint="default" w:ascii="Times New Roman" w:hAnsi="Times New Roman" w:eastAsia="宋体" w:cs="Times New Roman"/>
          <w:sz w:val="21"/>
          <w:szCs w:val="21"/>
        </w:rPr>
      </w:pPr>
      <w:bookmarkStart w:id="19" w:name="_Toc464728925"/>
      <w:r>
        <w:rPr>
          <w:rFonts w:hint="default" w:ascii="Times New Roman" w:hAnsi="Times New Roman" w:eastAsia="宋体" w:cs="Times New Roman"/>
          <w:sz w:val="21"/>
          <w:szCs w:val="21"/>
        </w:rPr>
        <w:t>编制原则</w:t>
      </w:r>
      <w:bookmarkEnd w:id="19"/>
    </w:p>
    <w:p>
      <w:pPr>
        <w:pStyle w:val="57"/>
        <w:numPr>
          <w:ilvl w:val="0"/>
          <w:numId w:val="13"/>
        </w:numPr>
        <w:spacing w:line="324" w:lineRule="auto"/>
        <w:ind w:firstLine="420"/>
        <w:rPr>
          <w:rFonts w:hint="default" w:ascii="Times New Roman" w:hAnsi="Times New Roman" w:eastAsia="宋体" w:cs="Times New Roman"/>
          <w:sz w:val="21"/>
          <w:szCs w:val="21"/>
        </w:rPr>
      </w:pPr>
      <w:bookmarkStart w:id="20" w:name="_Toc464728926"/>
      <w:r>
        <w:rPr>
          <w:rFonts w:hint="default" w:ascii="Times New Roman" w:hAnsi="Times New Roman" w:eastAsia="宋体" w:cs="Times New Roman"/>
          <w:sz w:val="21"/>
          <w:szCs w:val="21"/>
        </w:rPr>
        <w:t>保证有色行业的特殊性和适用性</w:t>
      </w:r>
    </w:p>
    <w:p>
      <w:pPr>
        <w:pStyle w:val="57"/>
        <w:numPr>
          <w:ilvl w:val="0"/>
          <w:numId w:val="13"/>
        </w:numPr>
        <w:spacing w:line="324" w:lineRule="auto"/>
        <w:ind w:firstLine="42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保证</w:t>
      </w:r>
      <w:r>
        <w:rPr>
          <w:rFonts w:hint="default" w:ascii="Times New Roman" w:hAnsi="Times New Roman" w:eastAsia="宋体" w:cs="Times New Roman"/>
          <w:sz w:val="21"/>
          <w:szCs w:val="21"/>
          <w:lang w:val="en-US" w:eastAsia="zh-CN"/>
        </w:rPr>
        <w:t>校准规范</w:t>
      </w:r>
      <w:r>
        <w:rPr>
          <w:rFonts w:hint="default" w:ascii="Times New Roman" w:hAnsi="Times New Roman" w:eastAsia="宋体" w:cs="Times New Roman"/>
          <w:sz w:val="21"/>
          <w:szCs w:val="21"/>
        </w:rPr>
        <w:t>的规范性</w:t>
      </w:r>
    </w:p>
    <w:p>
      <w:pPr>
        <w:pStyle w:val="57"/>
        <w:numPr>
          <w:ilvl w:val="0"/>
          <w:numId w:val="13"/>
        </w:numPr>
        <w:spacing w:line="324" w:lineRule="auto"/>
        <w:ind w:firstLine="420"/>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保证校准规范</w:t>
      </w:r>
      <w:r>
        <w:rPr>
          <w:rFonts w:hint="default" w:ascii="Times New Roman" w:hAnsi="Times New Roman" w:eastAsia="宋体" w:cs="Times New Roman"/>
          <w:sz w:val="21"/>
          <w:szCs w:val="21"/>
        </w:rPr>
        <w:t>的</w:t>
      </w:r>
      <w:r>
        <w:rPr>
          <w:rFonts w:hint="default" w:ascii="Times New Roman" w:hAnsi="Times New Roman" w:eastAsia="宋体" w:cs="Times New Roman"/>
          <w:sz w:val="21"/>
          <w:szCs w:val="21"/>
          <w:lang w:val="en-US" w:eastAsia="zh-CN"/>
        </w:rPr>
        <w:t>可操作</w:t>
      </w:r>
      <w:r>
        <w:rPr>
          <w:rFonts w:hint="default" w:ascii="Times New Roman" w:hAnsi="Times New Roman" w:eastAsia="宋体" w:cs="Times New Roman"/>
          <w:sz w:val="21"/>
          <w:szCs w:val="21"/>
        </w:rPr>
        <w:t>性</w:t>
      </w:r>
    </w:p>
    <w:p>
      <w:pPr>
        <w:pStyle w:val="78"/>
        <w:spacing w:before="312" w:beforeLines="100" w:after="312" w:afterLines="10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确定主要内</w:t>
      </w:r>
      <w:bookmarkEnd w:id="20"/>
      <w:r>
        <w:rPr>
          <w:rFonts w:hint="default" w:ascii="Times New Roman" w:hAnsi="Times New Roman" w:eastAsia="宋体" w:cs="Times New Roman"/>
          <w:sz w:val="21"/>
          <w:szCs w:val="21"/>
          <w:highlight w:val="none"/>
        </w:rPr>
        <w:t>容</w:t>
      </w:r>
    </w:p>
    <w:p>
      <w:pPr>
        <w:pStyle w:val="29"/>
        <w:tabs>
          <w:tab w:val="right" w:leader="dot" w:pos="9345"/>
        </w:tabs>
        <w:outlineLvl w:val="0"/>
        <w:rPr>
          <w:rFonts w:hint="default" w:ascii="Times New Roman" w:hAnsi="Times New Roman" w:eastAsia="宋体" w:cs="Times New Roman"/>
          <w:sz w:val="21"/>
          <w:szCs w:val="21"/>
        </w:rPr>
      </w:pPr>
      <w:bookmarkStart w:id="21" w:name="_Toc32693"/>
      <w:bookmarkStart w:id="22" w:name="_Toc22755"/>
      <w:bookmarkStart w:id="23" w:name="_Toc24181"/>
      <w:bookmarkStart w:id="24" w:name="_Toc22613"/>
      <w:r>
        <w:rPr>
          <w:rFonts w:hint="default" w:ascii="Times New Roman" w:hAnsi="Times New Roman" w:eastAsia="宋体" w:cs="Times New Roman"/>
          <w:b w:val="0"/>
          <w:bCs/>
          <w:sz w:val="21"/>
          <w:szCs w:val="21"/>
        </w:rPr>
        <w:t>1 范围</w:t>
      </w:r>
      <w:bookmarkEnd w:id="21"/>
      <w:bookmarkEnd w:id="22"/>
      <w:bookmarkEnd w:id="23"/>
      <w:bookmarkEnd w:id="24"/>
    </w:p>
    <w:p>
      <w:pPr>
        <w:pStyle w:val="57"/>
        <w:spacing w:line="360" w:lineRule="auto"/>
        <w:ind w:firstLine="48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本</w:t>
      </w:r>
      <w:r>
        <w:rPr>
          <w:rFonts w:hint="default" w:ascii="Times New Roman" w:hAnsi="Times New Roman" w:eastAsia="宋体" w:cs="Times New Roman"/>
          <w:sz w:val="21"/>
          <w:szCs w:val="21"/>
          <w:lang w:val="en-US" w:eastAsia="zh-CN"/>
        </w:rPr>
        <w:t>规范</w:t>
      </w:r>
      <w:r>
        <w:rPr>
          <w:rFonts w:hint="default" w:ascii="Times New Roman" w:hAnsi="Times New Roman" w:eastAsia="宋体" w:cs="Times New Roman"/>
          <w:sz w:val="21"/>
          <w:szCs w:val="21"/>
        </w:rPr>
        <w:t>适用于落球冲击试验机</w:t>
      </w:r>
      <w:r>
        <w:rPr>
          <w:rFonts w:hint="default" w:ascii="Times New Roman" w:hAnsi="Times New Roman" w:eastAsia="宋体" w:cs="Times New Roman"/>
          <w:sz w:val="21"/>
          <w:szCs w:val="21"/>
          <w:lang w:val="en-US" w:eastAsia="zh-CN"/>
        </w:rPr>
        <w:t>（以下简称试验机）</w:t>
      </w:r>
      <w:r>
        <w:rPr>
          <w:rFonts w:hint="default" w:ascii="Times New Roman" w:hAnsi="Times New Roman" w:eastAsia="宋体" w:cs="Times New Roman"/>
          <w:sz w:val="21"/>
          <w:szCs w:val="21"/>
        </w:rPr>
        <w:t>的</w:t>
      </w:r>
      <w:r>
        <w:rPr>
          <w:rFonts w:hint="default" w:ascii="Times New Roman" w:hAnsi="Times New Roman" w:eastAsia="宋体" w:cs="Times New Roman"/>
          <w:sz w:val="21"/>
          <w:szCs w:val="21"/>
          <w:lang w:val="en-US" w:eastAsia="zh-CN"/>
        </w:rPr>
        <w:t>校准。</w:t>
      </w:r>
    </w:p>
    <w:p>
      <w:pPr>
        <w:pStyle w:val="57"/>
        <w:spacing w:line="360" w:lineRule="auto"/>
        <w:ind w:firstLine="480"/>
        <w:rPr>
          <w:rFonts w:hint="default" w:ascii="Times New Roman" w:hAnsi="Times New Roman" w:eastAsia="宋体" w:cs="Times New Roman"/>
          <w:sz w:val="21"/>
          <w:szCs w:val="21"/>
          <w:lang w:val="en-US" w:eastAsia="zh-CN"/>
        </w:rPr>
      </w:pPr>
      <w:bookmarkStart w:id="25" w:name="_Toc193860209"/>
      <w:bookmarkStart w:id="26" w:name="_Toc193860028"/>
      <w:bookmarkStart w:id="27" w:name="_Toc193860178"/>
      <w:bookmarkStart w:id="28" w:name="_Toc20348"/>
      <w:bookmarkStart w:id="29" w:name="_Toc23784635"/>
      <w:bookmarkStart w:id="30" w:name="_Toc21794"/>
      <w:bookmarkStart w:id="31" w:name="_Toc10155"/>
      <w:bookmarkStart w:id="32" w:name="_Toc23785529"/>
      <w:bookmarkStart w:id="33" w:name="_Toc6820_WPSOffice_Level1"/>
      <w:bookmarkStart w:id="34" w:name="_Toc23784537"/>
      <w:bookmarkStart w:id="35" w:name="_Toc19639"/>
      <w:r>
        <w:rPr>
          <w:rFonts w:hint="default" w:ascii="Times New Roman" w:hAnsi="Times New Roman" w:eastAsia="宋体" w:cs="Times New Roman"/>
          <w:sz w:val="21"/>
          <w:szCs w:val="21"/>
          <w:lang w:val="en-US" w:eastAsia="zh-CN"/>
        </w:rPr>
        <w:t>其他形式的落球试验机也可参照本规范进行校准。</w:t>
      </w:r>
    </w:p>
    <w:p>
      <w:pPr>
        <w:pStyle w:val="33"/>
        <w:tabs>
          <w:tab w:val="right" w:leader="dot" w:pos="9345"/>
        </w:tabs>
        <w:jc w:val="both"/>
        <w:outlineLvl w:val="0"/>
        <w:rPr>
          <w:rFonts w:hint="default" w:ascii="Times New Roman" w:hAnsi="Times New Roman" w:eastAsia="宋体" w:cs="Times New Roman"/>
          <w:b w:val="0"/>
          <w:bCs/>
          <w:sz w:val="21"/>
          <w:szCs w:val="21"/>
        </w:rPr>
      </w:pPr>
      <w:bookmarkStart w:id="36" w:name="_Toc30934"/>
      <w:bookmarkStart w:id="37" w:name="_Toc19304"/>
      <w:bookmarkStart w:id="38" w:name="_Toc31539"/>
      <w:bookmarkStart w:id="39" w:name="_Toc32199"/>
      <w:r>
        <w:rPr>
          <w:rFonts w:hint="default" w:ascii="Times New Roman" w:hAnsi="Times New Roman" w:eastAsia="宋体" w:cs="Times New Roman"/>
          <w:b w:val="0"/>
          <w:bCs/>
          <w:sz w:val="21"/>
          <w:szCs w:val="21"/>
          <w:lang w:val="en-US" w:eastAsia="zh-CN"/>
        </w:rPr>
        <w:t xml:space="preserve">2 </w:t>
      </w:r>
      <w:r>
        <w:rPr>
          <w:rFonts w:hint="default" w:ascii="Times New Roman" w:hAnsi="Times New Roman" w:eastAsia="宋体" w:cs="Times New Roman"/>
          <w:b w:val="0"/>
          <w:bCs/>
          <w:sz w:val="21"/>
          <w:szCs w:val="21"/>
        </w:rPr>
        <w:t>引用文</w:t>
      </w:r>
      <w:bookmarkEnd w:id="25"/>
      <w:bookmarkEnd w:id="26"/>
      <w:bookmarkEnd w:id="27"/>
      <w:r>
        <w:rPr>
          <w:rFonts w:hint="default" w:ascii="Times New Roman" w:hAnsi="Times New Roman" w:eastAsia="宋体" w:cs="Times New Roman"/>
          <w:b w:val="0"/>
          <w:bCs/>
          <w:sz w:val="21"/>
          <w:szCs w:val="21"/>
        </w:rPr>
        <w:t>件</w:t>
      </w:r>
      <w:bookmarkEnd w:id="28"/>
      <w:bookmarkEnd w:id="29"/>
      <w:bookmarkEnd w:id="30"/>
      <w:bookmarkEnd w:id="31"/>
      <w:bookmarkEnd w:id="32"/>
      <w:bookmarkEnd w:id="33"/>
      <w:bookmarkEnd w:id="34"/>
      <w:bookmarkEnd w:id="35"/>
      <w:bookmarkEnd w:id="36"/>
      <w:bookmarkEnd w:id="37"/>
      <w:bookmarkEnd w:id="38"/>
      <w:bookmarkEnd w:id="39"/>
    </w:p>
    <w:p>
      <w:pPr>
        <w:ind w:firstLine="420" w:firstLineChars="200"/>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lang w:val="en-US" w:eastAsia="zh-CN" w:bidi="ar-SA"/>
        </w:rPr>
        <w:t>本规范引用了下列文件：</w:t>
      </w:r>
    </w:p>
    <w:p>
      <w:pPr>
        <w:pStyle w:val="57"/>
        <w:spacing w:line="360" w:lineRule="auto"/>
        <w:ind w:firstLine="480"/>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GB/T 1732-2020 漆膜耐冲击测定法。</w:t>
      </w:r>
    </w:p>
    <w:p>
      <w:pPr>
        <w:pStyle w:val="57"/>
        <w:spacing w:line="360" w:lineRule="auto"/>
        <w:ind w:firstLine="480"/>
        <w:rPr>
          <w:rFonts w:hint="default" w:ascii="Times New Roman" w:hAnsi="Times New Roman" w:eastAsia="宋体" w:cs="Times New Roman"/>
          <w:color w:val="000000"/>
          <w:sz w:val="21"/>
          <w:szCs w:val="21"/>
          <w:u w:val="single"/>
        </w:rPr>
      </w:pPr>
      <w:r>
        <w:rPr>
          <w:rFonts w:hint="default" w:ascii="Times New Roman" w:hAnsi="Times New Roman" w:eastAsia="宋体" w:cs="Times New Roman"/>
          <w:sz w:val="21"/>
          <w:szCs w:val="21"/>
          <w:highlight w:val="none"/>
          <w:lang w:val="en-US" w:eastAsia="zh-CN"/>
        </w:rPr>
        <w:t>凡是注日期的引用文件，仅注日期的版本适用于本规范；凡是不注日期的引用文件，其最新版本（包括所有的修改单）适用于本规范</w:t>
      </w:r>
      <w:r>
        <w:rPr>
          <w:rFonts w:hint="default" w:ascii="Times New Roman" w:hAnsi="Times New Roman" w:eastAsia="宋体" w:cs="Times New Roman"/>
          <w:sz w:val="21"/>
          <w:szCs w:val="21"/>
          <w:highlight w:val="none"/>
        </w:rPr>
        <w:t>。</w:t>
      </w:r>
    </w:p>
    <w:p>
      <w:pPr>
        <w:pStyle w:val="20"/>
        <w:tabs>
          <w:tab w:val="right" w:leader="dot" w:pos="9345"/>
        </w:tabs>
        <w:ind w:left="0" w:leftChars="0"/>
        <w:outlineLvl w:val="0"/>
        <w:rPr>
          <w:rFonts w:hint="default" w:ascii="Times New Roman" w:hAnsi="Times New Roman" w:eastAsia="宋体" w:cs="Times New Roman"/>
          <w:b/>
          <w:sz w:val="21"/>
          <w:szCs w:val="21"/>
        </w:rPr>
      </w:pPr>
      <w:bookmarkStart w:id="40" w:name="_Toc17417"/>
      <w:bookmarkStart w:id="41" w:name="_Toc15607"/>
      <w:bookmarkStart w:id="42" w:name="_Toc13932"/>
      <w:bookmarkStart w:id="43" w:name="_Toc414"/>
      <w:bookmarkStart w:id="44" w:name="_Toc5945"/>
      <w:bookmarkStart w:id="45" w:name="_Toc29732"/>
      <w:bookmarkStart w:id="46" w:name="_Toc7590"/>
      <w:r>
        <w:rPr>
          <w:rFonts w:hint="default" w:ascii="Times New Roman" w:hAnsi="Times New Roman" w:eastAsia="宋体" w:cs="Times New Roman"/>
          <w:b w:val="0"/>
          <w:bCs w:val="0"/>
          <w:color w:val="auto"/>
          <w:sz w:val="21"/>
          <w:szCs w:val="21"/>
          <w:lang w:val="en-US" w:eastAsia="zh-CN"/>
        </w:rPr>
        <w:t xml:space="preserve">3 </w:t>
      </w:r>
      <w:bookmarkEnd w:id="40"/>
      <w:bookmarkEnd w:id="41"/>
      <w:bookmarkEnd w:id="42"/>
      <w:r>
        <w:rPr>
          <w:rFonts w:hint="default" w:ascii="Times New Roman" w:hAnsi="Times New Roman" w:eastAsia="宋体" w:cs="Times New Roman"/>
          <w:b w:val="0"/>
          <w:bCs w:val="0"/>
          <w:color w:val="auto"/>
          <w:sz w:val="21"/>
          <w:szCs w:val="21"/>
          <w:lang w:val="en-US" w:eastAsia="zh-CN"/>
        </w:rPr>
        <w:t>概述</w:t>
      </w:r>
      <w:bookmarkEnd w:id="43"/>
      <w:bookmarkEnd w:id="44"/>
      <w:bookmarkEnd w:id="45"/>
      <w:bookmarkEnd w:id="46"/>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ascii="Times New Roman" w:hAnsi="Times New Roman" w:eastAsia="宋体" w:cs="Times New Roman"/>
          <w:color w:val="auto"/>
          <w:sz w:val="21"/>
          <w:szCs w:val="21"/>
        </w:rPr>
      </w:pPr>
      <w:bookmarkStart w:id="47" w:name="_Toc29094"/>
      <w:bookmarkStart w:id="48" w:name="_Toc23785536"/>
      <w:bookmarkStart w:id="49" w:name="_Toc23785216"/>
      <w:bookmarkStart w:id="50" w:name="_Toc23784642"/>
      <w:bookmarkStart w:id="51" w:name="_Toc23784544"/>
      <w:bookmarkStart w:id="52" w:name="_Toc19723"/>
      <w:bookmarkStart w:id="53" w:name="_Toc28098"/>
      <w:bookmarkStart w:id="54" w:name="_Toc23570"/>
      <w:bookmarkStart w:id="55" w:name="_Toc19457"/>
      <w:bookmarkStart w:id="56" w:name="_Toc2124_WPSOffice_Level1"/>
      <w:bookmarkStart w:id="57" w:name="_Toc193619098"/>
      <w:bookmarkStart w:id="58" w:name="_Toc15119"/>
      <w:bookmarkStart w:id="59" w:name="_Toc23784645"/>
      <w:bookmarkStart w:id="60" w:name="_Toc193618953"/>
      <w:bookmarkStart w:id="61" w:name="_Toc193860181"/>
      <w:bookmarkStart w:id="62" w:name="_Toc24809"/>
      <w:bookmarkStart w:id="63" w:name="_Toc23785539"/>
      <w:bookmarkStart w:id="64" w:name="_Toc193619056"/>
      <w:bookmarkStart w:id="65" w:name="_Toc10575"/>
      <w:bookmarkStart w:id="66" w:name="_Toc193860031"/>
      <w:bookmarkStart w:id="67" w:name="_Toc3994"/>
      <w:bookmarkStart w:id="68" w:name="_Toc23784547"/>
      <w:bookmarkStart w:id="69" w:name="_Toc193860212"/>
      <w:r>
        <w:rPr>
          <w:rFonts w:hint="default" w:ascii="Times New Roman" w:hAnsi="Times New Roman" w:eastAsia="宋体" w:cs="Times New Roman"/>
          <w:sz w:val="21"/>
          <w:szCs w:val="21"/>
        </w:rPr>
        <w:t>落球冲击试验机</w:t>
      </w:r>
      <w:r>
        <w:rPr>
          <w:rFonts w:hint="default" w:ascii="Times New Roman" w:hAnsi="Times New Roman" w:eastAsia="宋体" w:cs="Times New Roman"/>
          <w:sz w:val="21"/>
          <w:szCs w:val="21"/>
          <w:lang w:eastAsia="zh-CN"/>
        </w:rPr>
        <w:t>是</w:t>
      </w:r>
      <w:r>
        <w:rPr>
          <w:rFonts w:hint="default" w:ascii="Times New Roman" w:hAnsi="Times New Roman" w:eastAsia="宋体" w:cs="Times New Roman"/>
          <w:color w:val="auto"/>
          <w:sz w:val="21"/>
          <w:szCs w:val="21"/>
        </w:rPr>
        <w:t>以固定质量的重锤落于试板上而不引起漆膜破坏的最大高度表示漆膜耐冲击性能的试验仪器</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sz w:val="21"/>
          <w:szCs w:val="21"/>
          <w:lang w:eastAsia="zh-CN"/>
        </w:rPr>
        <w:t>包括</w:t>
      </w:r>
      <w:r>
        <w:rPr>
          <w:rFonts w:hint="default" w:ascii="Times New Roman" w:hAnsi="Times New Roman" w:eastAsia="宋体" w:cs="Times New Roman"/>
          <w:sz w:val="21"/>
          <w:szCs w:val="21"/>
        </w:rPr>
        <w:t>重锤</w:t>
      </w:r>
      <w:r>
        <w:rPr>
          <w:rFonts w:hint="default" w:ascii="Times New Roman" w:hAnsi="Times New Roman" w:eastAsia="宋体" w:cs="Times New Roman"/>
          <w:sz w:val="21"/>
          <w:szCs w:val="21"/>
          <w:lang w:eastAsia="zh-CN"/>
        </w:rPr>
        <w:t>、控制器、高度测量部分、工作台、释放和捕捉装置等。</w:t>
      </w:r>
      <w:bookmarkEnd w:id="47"/>
      <w:bookmarkEnd w:id="48"/>
      <w:bookmarkEnd w:id="49"/>
      <w:bookmarkEnd w:id="50"/>
      <w:bookmarkEnd w:id="51"/>
      <w:bookmarkEnd w:id="52"/>
      <w:bookmarkEnd w:id="53"/>
      <w:bookmarkEnd w:id="54"/>
      <w:bookmarkStart w:id="70" w:name="_Toc1149"/>
      <w:bookmarkStart w:id="71" w:name="_Toc6254"/>
      <w:bookmarkStart w:id="72" w:name="_Toc9311"/>
      <w:r>
        <w:rPr>
          <w:rFonts w:hint="default" w:ascii="Times New Roman" w:hAnsi="Times New Roman" w:eastAsia="宋体" w:cs="Times New Roman"/>
          <w:color w:val="auto"/>
          <w:sz w:val="21"/>
          <w:szCs w:val="21"/>
        </w:rPr>
        <w:t>试验设备示意图如图</w:t>
      </w:r>
      <w:r>
        <w:rPr>
          <w:rFonts w:hint="default" w:ascii="Times New Roman" w:hAnsi="Times New Roman" w:eastAsia="宋体" w:cs="Times New Roman"/>
          <w:color w:val="auto"/>
          <w:sz w:val="21"/>
          <w:szCs w:val="21"/>
          <w:lang w:val="en-US" w:eastAsia="zh-CN"/>
        </w:rPr>
        <w:t>1</w:t>
      </w:r>
      <w:r>
        <w:rPr>
          <w:rFonts w:hint="default" w:ascii="Times New Roman" w:hAnsi="Times New Roman" w:eastAsia="宋体" w:cs="Times New Roman"/>
          <w:color w:val="auto"/>
          <w:sz w:val="21"/>
          <w:szCs w:val="21"/>
        </w:rPr>
        <w:t>所示。</w:t>
      </w:r>
      <w:bookmarkEnd w:id="55"/>
      <w:bookmarkEnd w:id="70"/>
      <w:bookmarkEnd w:id="71"/>
      <w:bookmarkEnd w:id="72"/>
    </w:p>
    <w:p>
      <w:pPr>
        <w:spacing w:line="360" w:lineRule="auto"/>
        <w:ind w:left="0" w:leftChars="0" w:firstLine="0" w:firstLineChars="0"/>
        <w:jc w:val="center"/>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sz w:val="21"/>
          <w:szCs w:val="21"/>
        </w:rPr>
        <w:drawing>
          <wp:inline distT="0" distB="0" distL="114300" distR="114300">
            <wp:extent cx="2000250" cy="3721100"/>
            <wp:effectExtent l="0" t="0" r="0" b="12700"/>
            <wp:docPr id="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pic:cNvPicPr>
                      <a:picLocks noChangeAspect="1"/>
                    </pic:cNvPicPr>
                  </pic:nvPicPr>
                  <pic:blipFill>
                    <a:blip r:embed="rId18"/>
                    <a:stretch>
                      <a:fillRect/>
                    </a:stretch>
                  </pic:blipFill>
                  <pic:spPr>
                    <a:xfrm>
                      <a:off x="0" y="0"/>
                      <a:ext cx="2000250" cy="3721100"/>
                    </a:xfrm>
                    <a:prstGeom prst="rect">
                      <a:avLst/>
                    </a:prstGeom>
                    <a:noFill/>
                    <a:ln>
                      <a:noFill/>
                    </a:ln>
                  </pic:spPr>
                </pic:pic>
              </a:graphicData>
            </a:graphic>
          </wp:inline>
        </w:drawing>
      </w:r>
    </w:p>
    <w:p>
      <w:pPr>
        <w:autoSpaceDE w:val="0"/>
        <w:autoSpaceDN w:val="0"/>
        <w:spacing w:before="156" w:beforeLines="50" w:after="156" w:afterLines="5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mc:AlternateContent>
          <mc:Choice Requires="wps">
            <w:drawing>
              <wp:anchor distT="0" distB="0" distL="114300" distR="114300" simplePos="0" relativeHeight="251662336" behindDoc="0" locked="0" layoutInCell="1" allowOverlap="1">
                <wp:simplePos x="0" y="0"/>
                <wp:positionH relativeFrom="column">
                  <wp:posOffset>167005</wp:posOffset>
                </wp:positionH>
                <wp:positionV relativeFrom="paragraph">
                  <wp:posOffset>279400</wp:posOffset>
                </wp:positionV>
                <wp:extent cx="5842635" cy="748030"/>
                <wp:effectExtent l="6350" t="6350" r="18415" b="7620"/>
                <wp:wrapNone/>
                <wp:docPr id="5" name="文本框 5"/>
                <wp:cNvGraphicFramePr/>
                <a:graphic xmlns:a="http://schemas.openxmlformats.org/drawingml/2006/main">
                  <a:graphicData uri="http://schemas.microsoft.com/office/word/2010/wordprocessingShape">
                    <wps:wsp>
                      <wps:cNvSpPr txBox="1"/>
                      <wps:spPr>
                        <a:xfrm flipV="1">
                          <a:off x="0" y="0"/>
                          <a:ext cx="5842635" cy="748030"/>
                        </a:xfrm>
                        <a:prstGeom prst="rect">
                          <a:avLst/>
                        </a:prstGeom>
                        <a:solidFill>
                          <a:srgbClr val="FFFFFF"/>
                        </a:solidFill>
                        <a:ln w="12700" cap="flat" cmpd="sng">
                          <a:solidFill>
                            <a:srgbClr val="FFFFFF"/>
                          </a:solidFill>
                          <a:prstDash val="solid"/>
                          <a:miter/>
                          <a:headEnd type="none" w="med" len="med"/>
                          <a:tailEnd type="none" w="med" len="med"/>
                        </a:ln>
                      </wps:spPr>
                      <wps:txbx>
                        <w:txbxContent>
                          <w:p>
                            <w:pPr>
                              <w:rPr>
                                <w:rFonts w:hint="eastAsia"/>
                                <w:highlight w:val="none"/>
                                <w:lang w:val="en-US" w:eastAsia="zh-CN"/>
                              </w:rPr>
                            </w:pPr>
                            <w:r>
                              <w:rPr>
                                <w:rFonts w:hint="eastAsia"/>
                                <w:highlight w:val="none"/>
                                <w:lang w:val="en-US" w:eastAsia="zh-CN"/>
                              </w:rPr>
                              <w:t>标引序号说明：</w:t>
                            </w:r>
                          </w:p>
                          <w:p>
                            <w:pPr>
                              <w:rPr>
                                <w:rFonts w:hint="eastAsia" w:ascii="Times New Roman" w:hAnsi="Times New Roman" w:cs="Times New Roman"/>
                                <w:highlight w:val="none"/>
                                <w:lang w:val="en-US" w:eastAsia="zh-CN"/>
                              </w:rPr>
                            </w:pPr>
                            <w:r>
                              <w:rPr>
                                <w:rFonts w:hint="eastAsia"/>
                                <w:highlight w:val="none"/>
                                <w:lang w:val="en-US" w:eastAsia="zh-CN"/>
                              </w:rPr>
                              <w:t xml:space="preserve">1 </w:t>
                            </w:r>
                            <w:r>
                              <w:rPr>
                                <w:rFonts w:hint="default" w:ascii="Times New Roman" w:hAnsi="Times New Roman" w:cs="Times New Roman"/>
                                <w:highlight w:val="none"/>
                                <w:lang w:val="en-US" w:eastAsia="zh-CN"/>
                              </w:rPr>
                              <w:t>—</w:t>
                            </w:r>
                            <w:r>
                              <w:rPr>
                                <w:rFonts w:hint="eastAsia" w:ascii="Times New Roman" w:hAnsi="Times New Roman" w:cs="Times New Roman"/>
                                <w:highlight w:val="none"/>
                                <w:lang w:val="en-US" w:eastAsia="zh-CN"/>
                              </w:rPr>
                              <w:t xml:space="preserve"> </w:t>
                            </w:r>
                            <w:r>
                              <w:rPr>
                                <w:rFonts w:hint="eastAsia" w:hAnsi="Times New Roman" w:cs="Times New Roman"/>
                                <w:highlight w:val="none"/>
                                <w:lang w:val="en-US" w:eastAsia="zh-CN"/>
                              </w:rPr>
                              <w:t xml:space="preserve">导管盖；2 </w:t>
                            </w:r>
                            <w:r>
                              <w:rPr>
                                <w:rFonts w:hint="default" w:ascii="Times New Roman" w:hAnsi="Times New Roman" w:cs="Times New Roman"/>
                                <w:highlight w:val="none"/>
                                <w:lang w:val="en-US" w:eastAsia="zh-CN"/>
                              </w:rPr>
                              <w:t>—</w:t>
                            </w:r>
                            <w:r>
                              <w:rPr>
                                <w:rFonts w:hint="eastAsia" w:hAnsi="Times New Roman" w:cs="Times New Roman"/>
                                <w:highlight w:val="none"/>
                                <w:lang w:val="en-US" w:eastAsia="zh-CN"/>
                              </w:rPr>
                              <w:t xml:space="preserve"> 重锤控制器；3 </w:t>
                            </w:r>
                            <w:r>
                              <w:rPr>
                                <w:rFonts w:hint="default" w:ascii="Times New Roman" w:hAnsi="Times New Roman" w:cs="Times New Roman"/>
                                <w:highlight w:val="none"/>
                                <w:lang w:val="en-US" w:eastAsia="zh-CN"/>
                              </w:rPr>
                              <w:t>—</w:t>
                            </w:r>
                            <w:r>
                              <w:rPr>
                                <w:rFonts w:hint="eastAsia" w:ascii="Times New Roman" w:hAnsi="Times New Roman" w:cs="Times New Roman"/>
                                <w:highlight w:val="none"/>
                                <w:lang w:val="en-US" w:eastAsia="zh-CN"/>
                              </w:rPr>
                              <w:t xml:space="preserve"> 刻度；4 </w:t>
                            </w:r>
                            <w:r>
                              <w:rPr>
                                <w:rFonts w:hint="default" w:ascii="Times New Roman" w:hAnsi="Times New Roman" w:cs="Times New Roman"/>
                                <w:highlight w:val="none"/>
                                <w:lang w:val="en-US" w:eastAsia="zh-CN"/>
                              </w:rPr>
                              <w:t>—</w:t>
                            </w:r>
                            <w:r>
                              <w:rPr>
                                <w:rFonts w:hint="eastAsia" w:ascii="Times New Roman" w:hAnsi="Times New Roman" w:cs="Times New Roman"/>
                                <w:highlight w:val="none"/>
                                <w:lang w:val="en-US" w:eastAsia="zh-CN"/>
                              </w:rPr>
                              <w:t xml:space="preserve"> 冲头导槽；5 </w:t>
                            </w:r>
                            <w:r>
                              <w:rPr>
                                <w:rFonts w:hint="default" w:ascii="Times New Roman" w:hAnsi="Times New Roman" w:cs="Times New Roman"/>
                                <w:highlight w:val="none"/>
                                <w:lang w:val="en-US" w:eastAsia="zh-CN"/>
                              </w:rPr>
                              <w:t>—</w:t>
                            </w:r>
                            <w:r>
                              <w:rPr>
                                <w:rFonts w:hint="eastAsia" w:ascii="Times New Roman" w:hAnsi="Times New Roman" w:cs="Times New Roman"/>
                                <w:highlight w:val="none"/>
                                <w:lang w:val="en-US" w:eastAsia="zh-CN"/>
                              </w:rPr>
                              <w:t xml:space="preserve"> 冲模；6 </w:t>
                            </w:r>
                            <w:r>
                              <w:rPr>
                                <w:rFonts w:hint="default" w:ascii="Times New Roman" w:hAnsi="Times New Roman" w:cs="Times New Roman"/>
                                <w:highlight w:val="none"/>
                                <w:lang w:val="en-US" w:eastAsia="zh-CN"/>
                              </w:rPr>
                              <w:t>—</w:t>
                            </w:r>
                            <w:r>
                              <w:rPr>
                                <w:rFonts w:hint="eastAsia" w:ascii="Times New Roman" w:hAnsi="Times New Roman" w:cs="Times New Roman"/>
                                <w:highlight w:val="none"/>
                                <w:lang w:val="en-US" w:eastAsia="zh-CN"/>
                              </w:rPr>
                              <w:t xml:space="preserve"> 底座；7 </w:t>
                            </w:r>
                            <w:r>
                              <w:rPr>
                                <w:rFonts w:hint="default" w:ascii="Times New Roman" w:hAnsi="Times New Roman" w:cs="Times New Roman"/>
                                <w:highlight w:val="none"/>
                                <w:lang w:val="en-US" w:eastAsia="zh-CN"/>
                              </w:rPr>
                              <w:t>—</w:t>
                            </w:r>
                            <w:r>
                              <w:rPr>
                                <w:rFonts w:hint="eastAsia" w:ascii="Times New Roman" w:hAnsi="Times New Roman" w:cs="Times New Roman"/>
                                <w:highlight w:val="none"/>
                                <w:lang w:val="en-US" w:eastAsia="zh-CN"/>
                              </w:rPr>
                              <w:t xml:space="preserve"> 支架；</w:t>
                            </w:r>
                          </w:p>
                          <w:p>
                            <w:pPr>
                              <w:rPr>
                                <w:rFonts w:hint="default" w:ascii="Times New Roman" w:hAnsi="Times New Roman" w:cs="Times New Roman"/>
                                <w:highlight w:val="none"/>
                                <w:lang w:val="en-US" w:eastAsia="zh-CN"/>
                              </w:rPr>
                            </w:pPr>
                            <w:r>
                              <w:rPr>
                                <w:rFonts w:hint="eastAsia" w:ascii="Times New Roman" w:hAnsi="Times New Roman" w:cs="Times New Roman"/>
                                <w:highlight w:val="none"/>
                                <w:lang w:val="en-US" w:eastAsia="zh-CN"/>
                              </w:rPr>
                              <w:t xml:space="preserve">8 </w:t>
                            </w:r>
                            <w:r>
                              <w:rPr>
                                <w:rFonts w:hint="default" w:ascii="Times New Roman" w:hAnsi="Times New Roman" w:cs="Times New Roman"/>
                                <w:highlight w:val="none"/>
                                <w:lang w:val="en-US" w:eastAsia="zh-CN"/>
                              </w:rPr>
                              <w:t>—</w:t>
                            </w:r>
                            <w:r>
                              <w:rPr>
                                <w:rFonts w:hint="eastAsia" w:ascii="Times New Roman" w:hAnsi="Times New Roman" w:cs="Times New Roman"/>
                                <w:highlight w:val="none"/>
                                <w:lang w:val="en-US" w:eastAsia="zh-CN"/>
                              </w:rPr>
                              <w:t xml:space="preserve"> 冲头；9 </w:t>
                            </w:r>
                            <w:r>
                              <w:rPr>
                                <w:rFonts w:hint="default" w:ascii="Times New Roman" w:hAnsi="Times New Roman" w:cs="Times New Roman"/>
                                <w:highlight w:val="none"/>
                                <w:lang w:val="en-US" w:eastAsia="zh-CN"/>
                              </w:rPr>
                              <w:t>—</w:t>
                            </w:r>
                            <w:r>
                              <w:rPr>
                                <w:rFonts w:hint="eastAsia" w:ascii="Times New Roman" w:hAnsi="Times New Roman" w:cs="Times New Roman"/>
                                <w:highlight w:val="none"/>
                                <w:lang w:val="en-US" w:eastAsia="zh-CN"/>
                              </w:rPr>
                              <w:t xml:space="preserve"> 导管；10</w:t>
                            </w:r>
                            <w:r>
                              <w:rPr>
                                <w:rFonts w:hint="default" w:ascii="Times New Roman" w:hAnsi="Times New Roman" w:cs="Times New Roman"/>
                                <w:highlight w:val="none"/>
                                <w:lang w:val="en-US" w:eastAsia="zh-CN"/>
                              </w:rPr>
                              <w:t>—</w:t>
                            </w:r>
                            <w:r>
                              <w:rPr>
                                <w:rFonts w:hint="eastAsia" w:ascii="Times New Roman" w:hAnsi="Times New Roman" w:cs="Times New Roman"/>
                                <w:highlight w:val="none"/>
                                <w:lang w:val="en-US" w:eastAsia="zh-CN"/>
                              </w:rPr>
                              <w:t xml:space="preserve"> 重锤</w:t>
                            </w:r>
                          </w:p>
                        </w:txbxContent>
                      </wps:txbx>
                      <wps:bodyPr upright="1"/>
                    </wps:wsp>
                  </a:graphicData>
                </a:graphic>
              </wp:anchor>
            </w:drawing>
          </mc:Choice>
          <mc:Fallback>
            <w:pict>
              <v:shape id="_x0000_s1026" o:spid="_x0000_s1026" o:spt="202" type="#_x0000_t202" style="position:absolute;left:0pt;flip:y;margin-left:13.15pt;margin-top:22pt;height:58.9pt;width:460.05pt;z-index:251662336;mso-width-relative:page;mso-height-relative:page;" fillcolor="#FFFFFF" filled="t" stroked="t" coordsize="21600,21600" o:gfxdata="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r7xEc1wAAAAkBAAAPAAAAAAAAAAEA&#10;IAAAACIAAABkcnMvZG93bnJldi54bWxQSwECFAAUAAAACACHTuJA/1eu7xACAABBBAAADgAAAAAA&#10;AAABACAAAAAmAQAAZHJzL2Uyb0RvYy54bWxQSwUGAAAAAAYABgBZAQAAqAUAAAAA&#10;">
                <v:fill on="t" focussize="0,0"/>
                <v:stroke weight="1pt" color="#FFFFFF" joinstyle="miter"/>
                <v:imagedata o:title=""/>
                <o:lock v:ext="edit" aspectratio="f"/>
                <v:textbox>
                  <w:txbxContent>
                    <w:p>
                      <w:pPr>
                        <w:rPr>
                          <w:rFonts w:hint="eastAsia"/>
                          <w:highlight w:val="none"/>
                          <w:lang w:val="en-US" w:eastAsia="zh-CN"/>
                        </w:rPr>
                      </w:pPr>
                      <w:r>
                        <w:rPr>
                          <w:rFonts w:hint="eastAsia"/>
                          <w:highlight w:val="none"/>
                          <w:lang w:val="en-US" w:eastAsia="zh-CN"/>
                        </w:rPr>
                        <w:t>标引序号说明：</w:t>
                      </w:r>
                    </w:p>
                    <w:p>
                      <w:pPr>
                        <w:rPr>
                          <w:rFonts w:hint="eastAsia" w:ascii="Times New Roman" w:hAnsi="Times New Roman" w:cs="Times New Roman"/>
                          <w:highlight w:val="none"/>
                          <w:lang w:val="en-US" w:eastAsia="zh-CN"/>
                        </w:rPr>
                      </w:pPr>
                      <w:r>
                        <w:rPr>
                          <w:rFonts w:hint="eastAsia"/>
                          <w:highlight w:val="none"/>
                          <w:lang w:val="en-US" w:eastAsia="zh-CN"/>
                        </w:rPr>
                        <w:t xml:space="preserve">1 </w:t>
                      </w:r>
                      <w:r>
                        <w:rPr>
                          <w:rFonts w:hint="default" w:ascii="Times New Roman" w:hAnsi="Times New Roman" w:cs="Times New Roman"/>
                          <w:highlight w:val="none"/>
                          <w:lang w:val="en-US" w:eastAsia="zh-CN"/>
                        </w:rPr>
                        <w:t>—</w:t>
                      </w:r>
                      <w:r>
                        <w:rPr>
                          <w:rFonts w:hint="eastAsia" w:ascii="Times New Roman" w:hAnsi="Times New Roman" w:cs="Times New Roman"/>
                          <w:highlight w:val="none"/>
                          <w:lang w:val="en-US" w:eastAsia="zh-CN"/>
                        </w:rPr>
                        <w:t xml:space="preserve"> </w:t>
                      </w:r>
                      <w:r>
                        <w:rPr>
                          <w:rFonts w:hint="eastAsia" w:hAnsi="Times New Roman" w:cs="Times New Roman"/>
                          <w:highlight w:val="none"/>
                          <w:lang w:val="en-US" w:eastAsia="zh-CN"/>
                        </w:rPr>
                        <w:t xml:space="preserve">导管盖；2 </w:t>
                      </w:r>
                      <w:r>
                        <w:rPr>
                          <w:rFonts w:hint="default" w:ascii="Times New Roman" w:hAnsi="Times New Roman" w:cs="Times New Roman"/>
                          <w:highlight w:val="none"/>
                          <w:lang w:val="en-US" w:eastAsia="zh-CN"/>
                        </w:rPr>
                        <w:t>—</w:t>
                      </w:r>
                      <w:r>
                        <w:rPr>
                          <w:rFonts w:hint="eastAsia" w:hAnsi="Times New Roman" w:cs="Times New Roman"/>
                          <w:highlight w:val="none"/>
                          <w:lang w:val="en-US" w:eastAsia="zh-CN"/>
                        </w:rPr>
                        <w:t xml:space="preserve"> 重锤控制器；3 </w:t>
                      </w:r>
                      <w:r>
                        <w:rPr>
                          <w:rFonts w:hint="default" w:ascii="Times New Roman" w:hAnsi="Times New Roman" w:cs="Times New Roman"/>
                          <w:highlight w:val="none"/>
                          <w:lang w:val="en-US" w:eastAsia="zh-CN"/>
                        </w:rPr>
                        <w:t>—</w:t>
                      </w:r>
                      <w:r>
                        <w:rPr>
                          <w:rFonts w:hint="eastAsia" w:ascii="Times New Roman" w:hAnsi="Times New Roman" w:cs="Times New Roman"/>
                          <w:highlight w:val="none"/>
                          <w:lang w:val="en-US" w:eastAsia="zh-CN"/>
                        </w:rPr>
                        <w:t xml:space="preserve"> 刻度；4 </w:t>
                      </w:r>
                      <w:r>
                        <w:rPr>
                          <w:rFonts w:hint="default" w:ascii="Times New Roman" w:hAnsi="Times New Roman" w:cs="Times New Roman"/>
                          <w:highlight w:val="none"/>
                          <w:lang w:val="en-US" w:eastAsia="zh-CN"/>
                        </w:rPr>
                        <w:t>—</w:t>
                      </w:r>
                      <w:r>
                        <w:rPr>
                          <w:rFonts w:hint="eastAsia" w:ascii="Times New Roman" w:hAnsi="Times New Roman" w:cs="Times New Roman"/>
                          <w:highlight w:val="none"/>
                          <w:lang w:val="en-US" w:eastAsia="zh-CN"/>
                        </w:rPr>
                        <w:t xml:space="preserve"> 冲头导槽；5 </w:t>
                      </w:r>
                      <w:r>
                        <w:rPr>
                          <w:rFonts w:hint="default" w:ascii="Times New Roman" w:hAnsi="Times New Roman" w:cs="Times New Roman"/>
                          <w:highlight w:val="none"/>
                          <w:lang w:val="en-US" w:eastAsia="zh-CN"/>
                        </w:rPr>
                        <w:t>—</w:t>
                      </w:r>
                      <w:r>
                        <w:rPr>
                          <w:rFonts w:hint="eastAsia" w:ascii="Times New Roman" w:hAnsi="Times New Roman" w:cs="Times New Roman"/>
                          <w:highlight w:val="none"/>
                          <w:lang w:val="en-US" w:eastAsia="zh-CN"/>
                        </w:rPr>
                        <w:t xml:space="preserve"> 冲模；6 </w:t>
                      </w:r>
                      <w:r>
                        <w:rPr>
                          <w:rFonts w:hint="default" w:ascii="Times New Roman" w:hAnsi="Times New Roman" w:cs="Times New Roman"/>
                          <w:highlight w:val="none"/>
                          <w:lang w:val="en-US" w:eastAsia="zh-CN"/>
                        </w:rPr>
                        <w:t>—</w:t>
                      </w:r>
                      <w:r>
                        <w:rPr>
                          <w:rFonts w:hint="eastAsia" w:ascii="Times New Roman" w:hAnsi="Times New Roman" w:cs="Times New Roman"/>
                          <w:highlight w:val="none"/>
                          <w:lang w:val="en-US" w:eastAsia="zh-CN"/>
                        </w:rPr>
                        <w:t xml:space="preserve"> 底座；7 </w:t>
                      </w:r>
                      <w:r>
                        <w:rPr>
                          <w:rFonts w:hint="default" w:ascii="Times New Roman" w:hAnsi="Times New Roman" w:cs="Times New Roman"/>
                          <w:highlight w:val="none"/>
                          <w:lang w:val="en-US" w:eastAsia="zh-CN"/>
                        </w:rPr>
                        <w:t>—</w:t>
                      </w:r>
                      <w:r>
                        <w:rPr>
                          <w:rFonts w:hint="eastAsia" w:ascii="Times New Roman" w:hAnsi="Times New Roman" w:cs="Times New Roman"/>
                          <w:highlight w:val="none"/>
                          <w:lang w:val="en-US" w:eastAsia="zh-CN"/>
                        </w:rPr>
                        <w:t xml:space="preserve"> 支架；</w:t>
                      </w:r>
                    </w:p>
                    <w:p>
                      <w:pPr>
                        <w:rPr>
                          <w:rFonts w:hint="default" w:ascii="Times New Roman" w:hAnsi="Times New Roman" w:cs="Times New Roman"/>
                          <w:highlight w:val="none"/>
                          <w:lang w:val="en-US" w:eastAsia="zh-CN"/>
                        </w:rPr>
                      </w:pPr>
                      <w:r>
                        <w:rPr>
                          <w:rFonts w:hint="eastAsia" w:ascii="Times New Roman" w:hAnsi="Times New Roman" w:cs="Times New Roman"/>
                          <w:highlight w:val="none"/>
                          <w:lang w:val="en-US" w:eastAsia="zh-CN"/>
                        </w:rPr>
                        <w:t xml:space="preserve">8 </w:t>
                      </w:r>
                      <w:r>
                        <w:rPr>
                          <w:rFonts w:hint="default" w:ascii="Times New Roman" w:hAnsi="Times New Roman" w:cs="Times New Roman"/>
                          <w:highlight w:val="none"/>
                          <w:lang w:val="en-US" w:eastAsia="zh-CN"/>
                        </w:rPr>
                        <w:t>—</w:t>
                      </w:r>
                      <w:r>
                        <w:rPr>
                          <w:rFonts w:hint="eastAsia" w:ascii="Times New Roman" w:hAnsi="Times New Roman" w:cs="Times New Roman"/>
                          <w:highlight w:val="none"/>
                          <w:lang w:val="en-US" w:eastAsia="zh-CN"/>
                        </w:rPr>
                        <w:t xml:space="preserve"> 冲头；9 </w:t>
                      </w:r>
                      <w:r>
                        <w:rPr>
                          <w:rFonts w:hint="default" w:ascii="Times New Roman" w:hAnsi="Times New Roman" w:cs="Times New Roman"/>
                          <w:highlight w:val="none"/>
                          <w:lang w:val="en-US" w:eastAsia="zh-CN"/>
                        </w:rPr>
                        <w:t>—</w:t>
                      </w:r>
                      <w:r>
                        <w:rPr>
                          <w:rFonts w:hint="eastAsia" w:ascii="Times New Roman" w:hAnsi="Times New Roman" w:cs="Times New Roman"/>
                          <w:highlight w:val="none"/>
                          <w:lang w:val="en-US" w:eastAsia="zh-CN"/>
                        </w:rPr>
                        <w:t xml:space="preserve"> 导管；10</w:t>
                      </w:r>
                      <w:r>
                        <w:rPr>
                          <w:rFonts w:hint="default" w:ascii="Times New Roman" w:hAnsi="Times New Roman" w:cs="Times New Roman"/>
                          <w:highlight w:val="none"/>
                          <w:lang w:val="en-US" w:eastAsia="zh-CN"/>
                        </w:rPr>
                        <w:t>—</w:t>
                      </w:r>
                      <w:r>
                        <w:rPr>
                          <w:rFonts w:hint="eastAsia" w:ascii="Times New Roman" w:hAnsi="Times New Roman" w:cs="Times New Roman"/>
                          <w:highlight w:val="none"/>
                          <w:lang w:val="en-US" w:eastAsia="zh-CN"/>
                        </w:rPr>
                        <w:t xml:space="preserve"> 重锤</w:t>
                      </w:r>
                    </w:p>
                  </w:txbxContent>
                </v:textbox>
              </v:shape>
            </w:pict>
          </mc:Fallback>
        </mc:AlternateContent>
      </w:r>
      <w:r>
        <w:rPr>
          <w:rFonts w:hint="default" w:ascii="Times New Roman" w:hAnsi="Times New Roman" w:eastAsia="宋体" w:cs="Times New Roman"/>
          <w:bCs/>
          <w:color w:val="auto"/>
          <w:kern w:val="0"/>
          <w:sz w:val="21"/>
          <w:szCs w:val="21"/>
        </w:rPr>
        <w:t>图1 落球冲击试验机设备示意图</w:t>
      </w:r>
    </w:p>
    <w:p>
      <w:pPr>
        <w:pStyle w:val="30"/>
        <w:tabs>
          <w:tab w:val="right" w:leader="dot" w:pos="9345"/>
        </w:tabs>
        <w:ind w:left="0" w:leftChars="0"/>
        <w:outlineLvl w:val="9"/>
        <w:rPr>
          <w:rFonts w:hint="default" w:ascii="Times New Roman" w:hAnsi="Times New Roman" w:eastAsia="宋体" w:cs="Times New Roman"/>
          <w:b w:val="0"/>
          <w:bCs w:val="0"/>
          <w:color w:val="auto"/>
          <w:sz w:val="21"/>
          <w:szCs w:val="21"/>
          <w:lang w:val="en-US" w:eastAsia="zh-CN"/>
        </w:rPr>
      </w:pPr>
    </w:p>
    <w:p>
      <w:pPr>
        <w:pStyle w:val="30"/>
        <w:tabs>
          <w:tab w:val="right" w:leader="dot" w:pos="9345"/>
        </w:tabs>
        <w:ind w:left="0" w:leftChars="0"/>
        <w:outlineLvl w:val="9"/>
        <w:rPr>
          <w:rFonts w:hint="default" w:ascii="Times New Roman" w:hAnsi="Times New Roman" w:eastAsia="宋体" w:cs="Times New Roman"/>
          <w:b w:val="0"/>
          <w:bCs w:val="0"/>
          <w:color w:val="auto"/>
          <w:sz w:val="21"/>
          <w:szCs w:val="21"/>
          <w:lang w:val="en-US" w:eastAsia="zh-CN"/>
        </w:rPr>
      </w:pPr>
    </w:p>
    <w:p>
      <w:pPr>
        <w:pStyle w:val="30"/>
        <w:tabs>
          <w:tab w:val="right" w:leader="dot" w:pos="9345"/>
        </w:tabs>
        <w:ind w:left="0" w:leftChars="0"/>
        <w:outlineLvl w:val="0"/>
        <w:rPr>
          <w:rFonts w:hint="default" w:ascii="Times New Roman" w:hAnsi="Times New Roman" w:eastAsia="宋体" w:cs="Times New Roman"/>
          <w:b/>
          <w:sz w:val="21"/>
          <w:szCs w:val="21"/>
        </w:rPr>
      </w:pPr>
      <w:bookmarkStart w:id="73" w:name="_Toc1642"/>
      <w:bookmarkStart w:id="74" w:name="_Toc9462"/>
      <w:bookmarkStart w:id="75" w:name="_Toc14021"/>
      <w:bookmarkStart w:id="76" w:name="_Toc7525"/>
      <w:r>
        <w:rPr>
          <w:rFonts w:hint="default" w:ascii="Times New Roman" w:hAnsi="Times New Roman" w:eastAsia="宋体" w:cs="Times New Roman"/>
          <w:b w:val="0"/>
          <w:bCs w:val="0"/>
          <w:color w:val="auto"/>
          <w:sz w:val="21"/>
          <w:szCs w:val="21"/>
          <w:lang w:val="en-US" w:eastAsia="zh-CN"/>
        </w:rPr>
        <w:t xml:space="preserve">4 </w:t>
      </w:r>
      <w:r>
        <w:rPr>
          <w:rFonts w:hint="default" w:ascii="Times New Roman" w:hAnsi="Times New Roman" w:eastAsia="宋体" w:cs="Times New Roman"/>
          <w:b w:val="0"/>
          <w:bCs w:val="0"/>
          <w:color w:val="auto"/>
          <w:sz w:val="21"/>
          <w:szCs w:val="21"/>
        </w:rPr>
        <w:t>计量特性</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3"/>
      <w:bookmarkEnd w:id="74"/>
      <w:bookmarkEnd w:id="75"/>
      <w:bookmarkEnd w:id="76"/>
    </w:p>
    <w:p>
      <w:pPr>
        <w:pStyle w:val="3"/>
        <w:keepNext/>
        <w:keepLines/>
        <w:pageBreakBefore w:val="0"/>
        <w:widowControl w:val="0"/>
        <w:kinsoku/>
        <w:wordWrap/>
        <w:overflowPunct/>
        <w:topLinePunct w:val="0"/>
        <w:autoSpaceDE/>
        <w:autoSpaceDN/>
        <w:bidi w:val="0"/>
        <w:adjustRightInd/>
        <w:snapToGrid/>
        <w:spacing w:before="156" w:after="156" w:line="360" w:lineRule="auto"/>
        <w:textAlignment w:val="auto"/>
        <w:rPr>
          <w:rFonts w:hint="default" w:ascii="Times New Roman" w:hAnsi="Times New Roman" w:eastAsia="宋体" w:cs="Times New Roman"/>
          <w:b w:val="0"/>
          <w:bCs w:val="0"/>
          <w:sz w:val="21"/>
          <w:szCs w:val="21"/>
          <w:lang w:eastAsia="zh-CN"/>
        </w:rPr>
      </w:pPr>
      <w:bookmarkStart w:id="77" w:name="_Toc23784548"/>
      <w:bookmarkStart w:id="78" w:name="_Toc28348_WPSOffice_Level2"/>
      <w:bookmarkStart w:id="79" w:name="_Toc32205"/>
      <w:bookmarkStart w:id="80" w:name="_Toc23784646"/>
      <w:bookmarkStart w:id="81" w:name="_Toc21860"/>
      <w:bookmarkStart w:id="82" w:name="_Toc22790"/>
      <w:bookmarkStart w:id="83" w:name="_Toc990"/>
      <w:bookmarkStart w:id="84" w:name="_Toc23785540"/>
      <w:bookmarkStart w:id="85" w:name="_Toc10403"/>
      <w:bookmarkStart w:id="86" w:name="_Toc31416"/>
      <w:bookmarkStart w:id="87" w:name="_Toc18358"/>
      <w:bookmarkStart w:id="88" w:name="_Toc11799"/>
      <w:bookmarkStart w:id="89" w:name="_Toc23785542"/>
      <w:bookmarkStart w:id="90" w:name="_Toc23784648"/>
      <w:bookmarkStart w:id="91" w:name="_Toc13236_WPSOffice_Level2"/>
      <w:bookmarkStart w:id="92" w:name="_Toc7264"/>
      <w:bookmarkStart w:id="93" w:name="_Toc31906"/>
      <w:r>
        <w:rPr>
          <w:rFonts w:hint="default" w:ascii="Times New Roman" w:hAnsi="Times New Roman" w:eastAsia="宋体" w:cs="Times New Roman"/>
          <w:b w:val="0"/>
          <w:bCs w:val="0"/>
          <w:sz w:val="21"/>
          <w:szCs w:val="21"/>
          <w:lang w:val="en-US" w:eastAsia="zh-CN"/>
        </w:rPr>
        <w:t>4</w:t>
      </w:r>
      <w:r>
        <w:rPr>
          <w:rFonts w:hint="default" w:ascii="Times New Roman" w:hAnsi="Times New Roman" w:eastAsia="宋体" w:cs="Times New Roman"/>
          <w:b w:val="0"/>
          <w:bCs w:val="0"/>
          <w:sz w:val="21"/>
          <w:szCs w:val="21"/>
        </w:rPr>
        <w:t xml:space="preserve">.1 </w:t>
      </w:r>
      <w:bookmarkEnd w:id="77"/>
      <w:bookmarkEnd w:id="78"/>
      <w:bookmarkEnd w:id="79"/>
      <w:bookmarkEnd w:id="80"/>
      <w:bookmarkEnd w:id="81"/>
      <w:bookmarkEnd w:id="82"/>
      <w:bookmarkEnd w:id="83"/>
      <w:bookmarkEnd w:id="84"/>
      <w:r>
        <w:rPr>
          <w:rFonts w:hint="default" w:ascii="Times New Roman" w:hAnsi="Times New Roman" w:eastAsia="宋体" w:cs="Times New Roman"/>
          <w:b w:val="0"/>
          <w:bCs w:val="0"/>
          <w:sz w:val="21"/>
          <w:szCs w:val="21"/>
          <w:lang w:eastAsia="zh-CN"/>
        </w:rPr>
        <w:t>外观</w:t>
      </w:r>
      <w:bookmarkEnd w:id="85"/>
      <w:bookmarkEnd w:id="86"/>
      <w:bookmarkEnd w:id="87"/>
      <w:bookmarkEnd w:id="88"/>
    </w:p>
    <w:p>
      <w:pPr>
        <w:pStyle w:val="57"/>
        <w:spacing w:line="360" w:lineRule="auto"/>
        <w:ind w:firstLine="48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试验机应标有仪器名称、规格型号、出厂编号、制造厂名(或商标)等信息。试验机应放置在稳固的平台上，导管垂直于水平面。仪器的外观不应有影响校准结果的缺陷。各部件的连接应牢固、可靠、无松动，重锤与导管之间应有足够的间隙使重锤保持自由落体运动。导管上的刻度应清晰可读，重锤控制器能将重锤固定在导管的任何刻度，且无卡滞现象，冲头上的钢球表面须光洁平滑。</w:t>
      </w:r>
    </w:p>
    <w:p>
      <w:pPr>
        <w:pStyle w:val="60"/>
        <w:numPr>
          <w:ilvl w:val="0"/>
          <w:numId w:val="0"/>
        </w:numPr>
        <w:spacing w:before="156" w:after="0" w:afterLines="0" w:line="360" w:lineRule="auto"/>
        <w:ind w:left="269" w:hanging="235" w:hangingChars="112"/>
        <w:rPr>
          <w:rFonts w:hint="default" w:ascii="Times New Roman" w:hAnsi="Times New Roman" w:eastAsia="宋体" w:cs="Times New Roman"/>
          <w:sz w:val="21"/>
          <w:szCs w:val="21"/>
          <w:lang w:val="en-US" w:eastAsia="zh-CN"/>
        </w:rPr>
      </w:pPr>
      <w:bookmarkStart w:id="94" w:name="_Toc18255"/>
      <w:bookmarkStart w:id="95" w:name="_Toc20302"/>
      <w:bookmarkStart w:id="96" w:name="_Toc26392"/>
      <w:bookmarkStart w:id="97" w:name="_Toc540"/>
      <w:r>
        <w:rPr>
          <w:rFonts w:hint="default" w:ascii="Times New Roman" w:hAnsi="Times New Roman" w:eastAsia="宋体" w:cs="Times New Roman"/>
          <w:sz w:val="21"/>
          <w:szCs w:val="21"/>
        </w:rPr>
        <w:t>4.2</w:t>
      </w:r>
      <w:bookmarkEnd w:id="89"/>
      <w:bookmarkEnd w:id="90"/>
      <w:bookmarkEnd w:id="91"/>
      <w:bookmarkEnd w:id="92"/>
      <w:r>
        <w:rPr>
          <w:rFonts w:hint="default" w:ascii="Times New Roman" w:hAnsi="Times New Roman" w:eastAsia="宋体" w:cs="Times New Roman"/>
          <w:sz w:val="21"/>
          <w:szCs w:val="21"/>
        </w:rPr>
        <w:t xml:space="preserve"> </w:t>
      </w:r>
      <w:r>
        <w:rPr>
          <w:rFonts w:hint="default" w:ascii="Times New Roman" w:hAnsi="Times New Roman" w:eastAsia="宋体" w:cs="Times New Roman"/>
          <w:sz w:val="21"/>
          <w:szCs w:val="21"/>
          <w:lang w:val="en-US" w:eastAsia="zh-CN"/>
        </w:rPr>
        <w:t>重锤质量</w:t>
      </w:r>
      <w:bookmarkEnd w:id="93"/>
      <w:bookmarkEnd w:id="94"/>
      <w:bookmarkEnd w:id="95"/>
      <w:bookmarkEnd w:id="96"/>
      <w:bookmarkEnd w:id="97"/>
    </w:p>
    <w:p>
      <w:pPr>
        <w:pStyle w:val="57"/>
        <w:keepNext w:val="0"/>
        <w:keepLines w:val="0"/>
        <w:pageBreakBefore w:val="0"/>
        <w:widowControl/>
        <w:kinsoku/>
        <w:wordWrap/>
        <w:overflowPunct/>
        <w:topLinePunct w:val="0"/>
        <w:autoSpaceDE w:val="0"/>
        <w:autoSpaceDN w:val="0"/>
        <w:bidi w:val="0"/>
        <w:adjustRightInd/>
        <w:snapToGrid/>
        <w:spacing w:line="360" w:lineRule="auto"/>
        <w:ind w:left="0" w:leftChars="0" w:firstLine="420" w:firstLineChars="200"/>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重锤质量最大允许误差±1g。</w:t>
      </w:r>
    </w:p>
    <w:p>
      <w:pPr>
        <w:pStyle w:val="57"/>
        <w:spacing w:line="360" w:lineRule="auto"/>
        <w:ind w:left="0" w:leftChars="0" w:firstLine="0" w:firstLineChars="0"/>
        <w:outlineLvl w:val="1"/>
        <w:rPr>
          <w:rFonts w:hint="default" w:ascii="Times New Roman" w:hAnsi="Times New Roman" w:eastAsia="宋体" w:cs="Times New Roman"/>
          <w:sz w:val="21"/>
          <w:szCs w:val="21"/>
          <w:lang w:val="en-US" w:eastAsia="zh-CN" w:bidi="ar-SA"/>
        </w:rPr>
      </w:pPr>
      <w:bookmarkStart w:id="98" w:name="_Toc11826"/>
      <w:bookmarkStart w:id="99" w:name="_Toc17705"/>
      <w:bookmarkStart w:id="100" w:name="_Toc28545"/>
      <w:bookmarkStart w:id="101" w:name="_Toc7467"/>
      <w:r>
        <w:rPr>
          <w:rFonts w:hint="default" w:ascii="Times New Roman" w:hAnsi="Times New Roman" w:eastAsia="宋体" w:cs="Times New Roman"/>
          <w:sz w:val="21"/>
          <w:szCs w:val="21"/>
          <w:lang w:val="en-US" w:eastAsia="zh-CN"/>
        </w:rPr>
        <w:t xml:space="preserve">4.3 </w:t>
      </w:r>
      <w:r>
        <w:rPr>
          <w:rFonts w:hint="default" w:ascii="Times New Roman" w:hAnsi="Times New Roman" w:eastAsia="宋体" w:cs="Times New Roman"/>
          <w:sz w:val="21"/>
          <w:szCs w:val="21"/>
          <w:lang w:val="en-US" w:eastAsia="zh-CN" w:bidi="ar-SA"/>
        </w:rPr>
        <w:t>导管刻度</w:t>
      </w:r>
      <w:bookmarkEnd w:id="98"/>
      <w:bookmarkEnd w:id="99"/>
      <w:bookmarkEnd w:id="100"/>
      <w:bookmarkEnd w:id="101"/>
    </w:p>
    <w:p>
      <w:pPr>
        <w:pStyle w:val="57"/>
        <w:keepNext w:val="0"/>
        <w:keepLines w:val="0"/>
        <w:pageBreakBefore w:val="0"/>
        <w:widowControl/>
        <w:kinsoku/>
        <w:wordWrap/>
        <w:overflowPunct/>
        <w:topLinePunct w:val="0"/>
        <w:autoSpaceDE w:val="0"/>
        <w:autoSpaceDN w:val="0"/>
        <w:bidi w:val="0"/>
        <w:adjustRightInd/>
        <w:snapToGrid/>
        <w:spacing w:line="360" w:lineRule="auto"/>
        <w:ind w:left="0" w:leftChars="0" w:firstLine="420" w:firstLineChars="200"/>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测量范围一般为0～1000mm,最大允许误差±1mm。</w:t>
      </w:r>
    </w:p>
    <w:p>
      <w:pPr>
        <w:pStyle w:val="57"/>
        <w:spacing w:line="360" w:lineRule="auto"/>
        <w:ind w:left="0" w:leftChars="0" w:firstLine="0" w:firstLineChars="0"/>
        <w:outlineLvl w:val="1"/>
        <w:rPr>
          <w:rFonts w:hint="default" w:ascii="Times New Roman" w:hAnsi="Times New Roman" w:eastAsia="宋体" w:cs="Times New Roman"/>
          <w:sz w:val="21"/>
          <w:szCs w:val="21"/>
          <w:lang w:val="en-US" w:eastAsia="zh-CN"/>
        </w:rPr>
      </w:pPr>
      <w:bookmarkStart w:id="102" w:name="_Toc30723"/>
      <w:bookmarkStart w:id="103" w:name="_Toc26929"/>
      <w:bookmarkStart w:id="104" w:name="_Toc19209"/>
      <w:bookmarkStart w:id="105" w:name="_Toc19032"/>
      <w:r>
        <w:rPr>
          <w:rFonts w:hint="default" w:ascii="Times New Roman" w:hAnsi="Times New Roman" w:eastAsia="宋体" w:cs="Times New Roman"/>
          <w:sz w:val="21"/>
          <w:szCs w:val="21"/>
          <w:lang w:val="en-US" w:eastAsia="zh-CN"/>
        </w:rPr>
        <w:t>4.4 冲击深度</w:t>
      </w:r>
      <w:bookmarkEnd w:id="102"/>
      <w:bookmarkEnd w:id="103"/>
      <w:bookmarkEnd w:id="104"/>
      <w:bookmarkEnd w:id="105"/>
    </w:p>
    <w:p>
      <w:pPr>
        <w:pStyle w:val="57"/>
        <w:keepNext w:val="0"/>
        <w:keepLines w:val="0"/>
        <w:pageBreakBefore w:val="0"/>
        <w:widowControl/>
        <w:kinsoku/>
        <w:wordWrap/>
        <w:overflowPunct/>
        <w:topLinePunct w:val="0"/>
        <w:autoSpaceDE w:val="0"/>
        <w:autoSpaceDN w:val="0"/>
        <w:bidi w:val="0"/>
        <w:adjustRightInd/>
        <w:snapToGrid/>
        <w:spacing w:line="360" w:lineRule="auto"/>
        <w:ind w:left="0" w:leftChars="0" w:firstLine="420" w:firstLineChars="200"/>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标称深度2.0mm，最大允许误差±0.1mm。</w:t>
      </w:r>
    </w:p>
    <w:p>
      <w:pPr>
        <w:pStyle w:val="19"/>
        <w:spacing w:line="360" w:lineRule="auto"/>
        <w:ind w:left="0"/>
        <w:outlineLvl w:val="0"/>
        <w:rPr>
          <w:rFonts w:hint="default" w:ascii="Times New Roman" w:hAnsi="Times New Roman" w:eastAsia="宋体" w:cs="Times New Roman"/>
          <w:b/>
          <w:sz w:val="21"/>
          <w:szCs w:val="21"/>
          <w:lang w:val="en-US" w:eastAsia="zh-CN"/>
        </w:rPr>
      </w:pPr>
      <w:bookmarkStart w:id="106" w:name="_Toc15543"/>
      <w:bookmarkStart w:id="107" w:name="_Toc8411"/>
      <w:bookmarkStart w:id="108" w:name="_Toc2818"/>
      <w:bookmarkStart w:id="109" w:name="_Toc2455"/>
      <w:bookmarkStart w:id="110" w:name="_Toc7235"/>
      <w:bookmarkStart w:id="111" w:name="_Toc18151"/>
      <w:bookmarkStart w:id="112" w:name="_Toc20048"/>
      <w:r>
        <w:rPr>
          <w:rFonts w:hint="default" w:ascii="Times New Roman" w:hAnsi="Times New Roman" w:eastAsia="宋体" w:cs="Times New Roman"/>
          <w:b w:val="0"/>
          <w:bCs w:val="0"/>
          <w:sz w:val="21"/>
          <w:szCs w:val="21"/>
        </w:rPr>
        <w:t>5 校准条件</w:t>
      </w:r>
      <w:bookmarkEnd w:id="106"/>
      <w:bookmarkEnd w:id="107"/>
      <w:bookmarkEnd w:id="108"/>
      <w:bookmarkEnd w:id="109"/>
      <w:bookmarkEnd w:id="110"/>
      <w:bookmarkEnd w:id="111"/>
      <w:bookmarkEnd w:id="112"/>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default" w:ascii="Times New Roman" w:hAnsi="Times New Roman" w:eastAsia="宋体" w:cs="Times New Roman"/>
          <w:sz w:val="21"/>
          <w:szCs w:val="21"/>
        </w:rPr>
      </w:pPr>
      <w:bookmarkStart w:id="113" w:name="_Toc23785559"/>
      <w:bookmarkStart w:id="114" w:name="_Toc23784661"/>
      <w:bookmarkStart w:id="115" w:name="_Toc23785235"/>
      <w:bookmarkStart w:id="116" w:name="_Toc23784562"/>
      <w:bookmarkStart w:id="117" w:name="_Toc22807"/>
      <w:bookmarkStart w:id="118" w:name="_Toc21015"/>
      <w:bookmarkStart w:id="119" w:name="_Toc24517"/>
      <w:bookmarkStart w:id="120" w:name="_Toc2162"/>
      <w:bookmarkStart w:id="121" w:name="_Toc27738"/>
      <w:bookmarkStart w:id="122" w:name="_Toc6038"/>
      <w:bookmarkStart w:id="123" w:name="_Toc12670"/>
      <w:bookmarkStart w:id="124" w:name="_Toc24356"/>
      <w:r>
        <w:rPr>
          <w:rFonts w:hint="default" w:ascii="Times New Roman" w:hAnsi="Times New Roman" w:eastAsia="宋体" w:cs="Times New Roman"/>
          <w:sz w:val="21"/>
          <w:szCs w:val="21"/>
        </w:rPr>
        <w:t>5.1</w:t>
      </w:r>
      <w:bookmarkEnd w:id="113"/>
      <w:bookmarkEnd w:id="114"/>
      <w:bookmarkEnd w:id="115"/>
      <w:bookmarkEnd w:id="116"/>
      <w:bookmarkStart w:id="125" w:name="_Toc20581_WPSOffice_Level2"/>
      <w:r>
        <w:rPr>
          <w:rFonts w:hint="default" w:ascii="Times New Roman" w:hAnsi="Times New Roman" w:eastAsia="宋体" w:cs="Times New Roman"/>
          <w:sz w:val="21"/>
          <w:szCs w:val="21"/>
        </w:rPr>
        <w:t xml:space="preserve"> 环境条件</w:t>
      </w:r>
      <w:bookmarkEnd w:id="117"/>
      <w:bookmarkEnd w:id="118"/>
      <w:bookmarkEnd w:id="119"/>
      <w:bookmarkEnd w:id="120"/>
      <w:bookmarkEnd w:id="121"/>
      <w:bookmarkEnd w:id="122"/>
      <w:bookmarkEnd w:id="123"/>
      <w:bookmarkEnd w:id="124"/>
    </w:p>
    <w:p>
      <w:pPr>
        <w:pStyle w:val="57"/>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试验机应在</w:t>
      </w:r>
      <w:r>
        <w:rPr>
          <w:rFonts w:hint="default" w:ascii="Times New Roman" w:hAnsi="Times New Roman" w:eastAsia="宋体" w:cs="Times New Roman"/>
          <w:sz w:val="21"/>
          <w:szCs w:val="21"/>
          <w:highlight w:val="none"/>
        </w:rPr>
        <w:t>（</w:t>
      </w:r>
      <w:r>
        <w:rPr>
          <w:rFonts w:hint="default" w:ascii="Times New Roman" w:hAnsi="Times New Roman" w:eastAsia="宋体" w:cs="Times New Roman"/>
          <w:sz w:val="21"/>
          <w:szCs w:val="21"/>
          <w:highlight w:val="none"/>
          <w:lang w:val="en-US" w:eastAsia="zh-CN"/>
        </w:rPr>
        <w:t>25±5</w:t>
      </w:r>
      <w:r>
        <w:rPr>
          <w:rFonts w:hint="default" w:ascii="Times New Roman" w:hAnsi="Times New Roman" w:eastAsia="宋体" w:cs="Times New Roman"/>
          <w:sz w:val="21"/>
          <w:szCs w:val="21"/>
          <w:highlight w:val="none"/>
        </w:rPr>
        <w:t>）℃条件下校准，相对湿度不大</w:t>
      </w:r>
      <w:r>
        <w:rPr>
          <w:rFonts w:hint="default" w:ascii="Times New Roman" w:hAnsi="Times New Roman" w:eastAsia="宋体" w:cs="Times New Roman"/>
          <w:sz w:val="21"/>
          <w:szCs w:val="21"/>
          <w:highlight w:val="none"/>
          <w:lang w:eastAsia="zh-CN"/>
        </w:rPr>
        <w:t>于</w:t>
      </w:r>
      <w:r>
        <w:rPr>
          <w:rFonts w:hint="default" w:ascii="Times New Roman" w:hAnsi="Times New Roman" w:eastAsia="宋体" w:cs="Times New Roman"/>
          <w:sz w:val="21"/>
          <w:szCs w:val="21"/>
          <w:highlight w:val="none"/>
          <w:lang w:val="en-US" w:eastAsia="zh-CN"/>
        </w:rPr>
        <w:t>80</w:t>
      </w:r>
      <w:r>
        <w:rPr>
          <w:rFonts w:hint="default" w:ascii="Times New Roman" w:hAnsi="Times New Roman" w:eastAsia="宋体" w:cs="Times New Roman"/>
          <w:sz w:val="21"/>
          <w:szCs w:val="21"/>
          <w:highlight w:val="none"/>
        </w:rPr>
        <w:t>%的条件</w:t>
      </w:r>
      <w:r>
        <w:rPr>
          <w:rFonts w:hint="default" w:ascii="Times New Roman" w:hAnsi="Times New Roman" w:eastAsia="宋体" w:cs="Times New Roman"/>
          <w:sz w:val="21"/>
          <w:szCs w:val="21"/>
        </w:rPr>
        <w:t>下校准</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校准过程中温度波动不大于</w:t>
      </w:r>
      <w:r>
        <w:rPr>
          <w:rFonts w:hint="default" w:ascii="Times New Roman" w:hAnsi="Times New Roman" w:eastAsia="宋体" w:cs="Times New Roman"/>
          <w:sz w:val="21"/>
          <w:szCs w:val="21"/>
          <w:lang w:val="en-US" w:eastAsia="zh-CN"/>
        </w:rPr>
        <w:t>2</w:t>
      </w:r>
      <w:r>
        <w:rPr>
          <w:rFonts w:hint="default" w:ascii="Times New Roman" w:hAnsi="Times New Roman" w:eastAsia="宋体" w:cs="Times New Roman"/>
          <w:sz w:val="21"/>
          <w:szCs w:val="21"/>
        </w:rPr>
        <w:t>℃。</w:t>
      </w:r>
      <w:r>
        <w:rPr>
          <w:rFonts w:hint="default" w:ascii="Times New Roman" w:hAnsi="Times New Roman" w:eastAsia="宋体" w:cs="Times New Roman"/>
          <w:sz w:val="21"/>
          <w:szCs w:val="21"/>
          <w:lang w:eastAsia="zh-CN"/>
        </w:rPr>
        <w:t>校准环境</w:t>
      </w:r>
      <w:r>
        <w:rPr>
          <w:rFonts w:hint="default" w:ascii="Times New Roman" w:hAnsi="Times New Roman" w:eastAsia="宋体" w:cs="Times New Roman"/>
          <w:sz w:val="21"/>
          <w:szCs w:val="21"/>
          <w:lang w:val="en-US" w:eastAsia="zh-CN"/>
        </w:rPr>
        <w:t>周围无腐蚀性介质，附近无影响实验结果的振源。标准器和落球冲击试验机在室内达到温度平衡。</w:t>
      </w:r>
    </w:p>
    <w:p>
      <w:pPr>
        <w:spacing w:line="360" w:lineRule="auto"/>
        <w:outlineLvl w:val="1"/>
        <w:rPr>
          <w:rFonts w:hint="default" w:ascii="Times New Roman" w:hAnsi="Times New Roman" w:eastAsia="宋体" w:cs="Times New Roman"/>
          <w:sz w:val="21"/>
          <w:szCs w:val="21"/>
          <w:lang w:val="en-US" w:eastAsia="zh-CN"/>
        </w:rPr>
      </w:pPr>
      <w:bookmarkStart w:id="126" w:name="_Toc3528"/>
      <w:bookmarkStart w:id="127" w:name="_Toc15841"/>
      <w:bookmarkStart w:id="128" w:name="_Toc26676"/>
      <w:bookmarkStart w:id="129" w:name="_Toc26988"/>
      <w:bookmarkStart w:id="130" w:name="_Toc12046"/>
      <w:bookmarkStart w:id="131" w:name="_Toc18184"/>
      <w:bookmarkStart w:id="132" w:name="_Toc8829"/>
      <w:bookmarkStart w:id="133" w:name="_Toc17904"/>
      <w:r>
        <w:rPr>
          <w:rFonts w:hint="default" w:ascii="Times New Roman" w:hAnsi="Times New Roman" w:eastAsia="宋体" w:cs="Times New Roman"/>
          <w:sz w:val="21"/>
          <w:szCs w:val="21"/>
        </w:rPr>
        <w:t>5.2</w:t>
      </w:r>
      <w:bookmarkEnd w:id="126"/>
      <w:r>
        <w:rPr>
          <w:rFonts w:hint="default" w:ascii="Times New Roman" w:hAnsi="Times New Roman" w:eastAsia="宋体" w:cs="Times New Roman"/>
          <w:sz w:val="21"/>
          <w:szCs w:val="21"/>
        </w:rPr>
        <w:t xml:space="preserve"> 测量标准</w:t>
      </w:r>
      <w:bookmarkEnd w:id="127"/>
      <w:bookmarkEnd w:id="128"/>
      <w:bookmarkEnd w:id="129"/>
      <w:r>
        <w:rPr>
          <w:rFonts w:hint="default" w:ascii="Times New Roman" w:hAnsi="Times New Roman" w:eastAsia="宋体" w:cs="Times New Roman"/>
          <w:sz w:val="21"/>
          <w:szCs w:val="21"/>
          <w:lang w:val="en-US" w:eastAsia="zh-CN"/>
        </w:rPr>
        <w:t>及其他设备</w:t>
      </w:r>
      <w:bookmarkEnd w:id="130"/>
      <w:bookmarkEnd w:id="131"/>
      <w:bookmarkEnd w:id="132"/>
      <w:bookmarkEnd w:id="133"/>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ascii="Times New Roman" w:hAnsi="Times New Roman" w:eastAsia="宋体" w:cs="Times New Roman"/>
          <w:sz w:val="21"/>
          <w:szCs w:val="21"/>
          <w:lang w:val="en-US" w:eastAsia="zh-CN"/>
        </w:rPr>
      </w:pPr>
      <w:bookmarkStart w:id="134" w:name="_Toc22501"/>
      <w:r>
        <w:rPr>
          <w:rFonts w:hint="default" w:ascii="Times New Roman" w:hAnsi="Times New Roman" w:eastAsia="宋体" w:cs="Times New Roman"/>
          <w:sz w:val="21"/>
          <w:szCs w:val="21"/>
          <w:lang w:val="en-US" w:eastAsia="zh-CN"/>
        </w:rPr>
        <w:t>校准用测量标准见表1。</w:t>
      </w:r>
      <w:bookmarkEnd w:id="134"/>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default" w:ascii="Times New Roman" w:hAnsi="Times New Roman" w:eastAsia="宋体" w:cs="Times New Roman"/>
          <w:sz w:val="21"/>
          <w:szCs w:val="21"/>
        </w:rPr>
      </w:pPr>
      <w:bookmarkStart w:id="135" w:name="_Toc13515"/>
      <w:r>
        <w:rPr>
          <w:rFonts w:hint="default" w:ascii="Times New Roman" w:hAnsi="Times New Roman" w:eastAsia="宋体" w:cs="Times New Roman"/>
          <w:sz w:val="21"/>
          <w:szCs w:val="21"/>
        </w:rPr>
        <w:t>表</w:t>
      </w:r>
      <w:r>
        <w:rPr>
          <w:rFonts w:hint="default" w:ascii="Times New Roman" w:hAnsi="Times New Roman" w:eastAsia="宋体" w:cs="Times New Roman"/>
          <w:sz w:val="21"/>
          <w:szCs w:val="21"/>
          <w:lang w:val="en-US" w:eastAsia="zh-CN"/>
        </w:rPr>
        <w:t>1</w:t>
      </w:r>
      <w:r>
        <w:rPr>
          <w:rFonts w:hint="default" w:ascii="Times New Roman" w:hAnsi="Times New Roman" w:eastAsia="宋体" w:cs="Times New Roman"/>
          <w:sz w:val="21"/>
          <w:szCs w:val="21"/>
        </w:rPr>
        <w:t>测量标准</w:t>
      </w:r>
      <w:bookmarkEnd w:id="135"/>
    </w:p>
    <w:tbl>
      <w:tblPr>
        <w:tblStyle w:val="40"/>
        <w:tblW w:w="91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6"/>
        <w:gridCol w:w="2328"/>
        <w:gridCol w:w="4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ascii="Times New Roman" w:hAnsi="Times New Roman" w:eastAsia="宋体" w:cs="Times New Roman"/>
                <w:sz w:val="21"/>
                <w:szCs w:val="21"/>
                <w:lang w:val="en-US" w:eastAsia="zh-CN"/>
              </w:rPr>
            </w:pPr>
            <w:bookmarkStart w:id="136" w:name="_Toc20583"/>
            <w:bookmarkStart w:id="137" w:name="_Toc25616"/>
            <w:bookmarkStart w:id="138" w:name="_Toc20362"/>
            <w:bookmarkStart w:id="139" w:name="_Toc8545"/>
            <w:r>
              <w:rPr>
                <w:rFonts w:hint="default" w:ascii="Times New Roman" w:hAnsi="Times New Roman" w:eastAsia="宋体" w:cs="Times New Roman"/>
                <w:sz w:val="21"/>
                <w:szCs w:val="21"/>
                <w:lang w:val="en-US" w:eastAsia="zh-CN"/>
              </w:rPr>
              <w:t>校准项目</w:t>
            </w:r>
            <w:bookmarkEnd w:id="136"/>
            <w:bookmarkEnd w:id="137"/>
            <w:bookmarkEnd w:id="138"/>
            <w:bookmarkEnd w:id="139"/>
          </w:p>
        </w:tc>
        <w:tc>
          <w:tcPr>
            <w:tcW w:w="232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ascii="Times New Roman" w:hAnsi="Times New Roman" w:eastAsia="宋体" w:cs="Times New Roman"/>
                <w:sz w:val="21"/>
                <w:szCs w:val="21"/>
                <w:lang w:val="en-US" w:eastAsia="zh-CN"/>
              </w:rPr>
            </w:pPr>
            <w:bookmarkStart w:id="140" w:name="_Toc26101"/>
            <w:bookmarkStart w:id="141" w:name="_Toc1002"/>
            <w:bookmarkStart w:id="142" w:name="_Toc18182"/>
            <w:bookmarkStart w:id="143" w:name="_Toc18995"/>
            <w:r>
              <w:rPr>
                <w:rFonts w:hint="default" w:ascii="Times New Roman" w:hAnsi="Times New Roman" w:eastAsia="宋体" w:cs="Times New Roman"/>
                <w:sz w:val="21"/>
                <w:szCs w:val="21"/>
                <w:lang w:val="en-US" w:eastAsia="zh-CN"/>
              </w:rPr>
              <w:t>设备名称</w:t>
            </w:r>
            <w:bookmarkEnd w:id="140"/>
            <w:bookmarkEnd w:id="141"/>
            <w:bookmarkEnd w:id="142"/>
            <w:bookmarkEnd w:id="143"/>
          </w:p>
        </w:tc>
        <w:tc>
          <w:tcPr>
            <w:tcW w:w="43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ascii="Times New Roman" w:hAnsi="Times New Roman" w:eastAsia="宋体" w:cs="Times New Roman"/>
                <w:sz w:val="21"/>
                <w:szCs w:val="21"/>
                <w:lang w:val="en-US" w:eastAsia="zh-CN"/>
              </w:rPr>
            </w:pPr>
            <w:bookmarkStart w:id="144" w:name="_Toc2307"/>
            <w:bookmarkStart w:id="145" w:name="_Toc32519"/>
            <w:bookmarkStart w:id="146" w:name="_Toc16243"/>
            <w:bookmarkStart w:id="147" w:name="_Toc20007"/>
            <w:r>
              <w:rPr>
                <w:rFonts w:hint="default" w:ascii="Times New Roman" w:hAnsi="Times New Roman" w:eastAsia="宋体" w:cs="Times New Roman"/>
                <w:sz w:val="21"/>
                <w:szCs w:val="21"/>
                <w:lang w:val="en-US" w:eastAsia="zh-CN"/>
              </w:rPr>
              <w:t>技术指标</w:t>
            </w:r>
            <w:bookmarkEnd w:id="144"/>
            <w:bookmarkEnd w:id="145"/>
            <w:bookmarkEnd w:id="146"/>
            <w:bookmarkEnd w:id="14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ascii="Times New Roman" w:hAnsi="Times New Roman" w:eastAsia="宋体" w:cs="Times New Roman"/>
                <w:sz w:val="21"/>
                <w:szCs w:val="21"/>
                <w:lang w:val="en-US" w:eastAsia="zh-CN"/>
              </w:rPr>
            </w:pPr>
            <w:bookmarkStart w:id="148" w:name="_Toc9532"/>
            <w:bookmarkStart w:id="149" w:name="_Toc3583"/>
            <w:bookmarkStart w:id="150" w:name="_Toc6600"/>
            <w:bookmarkStart w:id="151" w:name="_Toc7345"/>
            <w:r>
              <w:rPr>
                <w:rFonts w:hint="default" w:ascii="Times New Roman" w:hAnsi="Times New Roman" w:eastAsia="宋体" w:cs="Times New Roman"/>
                <w:sz w:val="21"/>
                <w:szCs w:val="21"/>
                <w:lang w:val="en-US" w:eastAsia="zh-CN"/>
              </w:rPr>
              <w:t>外观</w:t>
            </w:r>
            <w:bookmarkEnd w:id="148"/>
            <w:bookmarkEnd w:id="149"/>
            <w:bookmarkEnd w:id="150"/>
            <w:bookmarkEnd w:id="151"/>
          </w:p>
        </w:tc>
        <w:tc>
          <w:tcPr>
            <w:tcW w:w="232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ascii="Times New Roman" w:hAnsi="Times New Roman" w:eastAsia="宋体" w:cs="Times New Roman"/>
                <w:sz w:val="21"/>
                <w:szCs w:val="21"/>
                <w:lang w:val="en-US" w:eastAsia="zh-CN"/>
              </w:rPr>
            </w:pPr>
            <w:bookmarkStart w:id="152" w:name="_Toc22157"/>
            <w:bookmarkStart w:id="153" w:name="_Toc28463"/>
            <w:bookmarkStart w:id="154" w:name="_Toc13097"/>
            <w:bookmarkStart w:id="155" w:name="_Toc9539"/>
            <w:r>
              <w:rPr>
                <w:rFonts w:hint="default" w:ascii="Times New Roman" w:hAnsi="Times New Roman" w:eastAsia="宋体" w:cs="Times New Roman"/>
                <w:sz w:val="21"/>
                <w:szCs w:val="21"/>
                <w:lang w:val="en-US" w:eastAsia="zh-CN"/>
              </w:rPr>
              <w:t>目视</w:t>
            </w:r>
            <w:bookmarkEnd w:id="152"/>
            <w:bookmarkEnd w:id="153"/>
            <w:bookmarkEnd w:id="154"/>
            <w:bookmarkEnd w:id="155"/>
          </w:p>
        </w:tc>
        <w:tc>
          <w:tcPr>
            <w:tcW w:w="43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ascii="Times New Roman" w:hAnsi="Times New Roman" w:eastAsia="宋体" w:cs="Times New Roman"/>
                <w:sz w:val="21"/>
                <w:szCs w:val="21"/>
                <w:lang w:val="en-US" w:eastAsia="zh-CN"/>
              </w:rPr>
            </w:pPr>
            <w:bookmarkStart w:id="156" w:name="_Toc7689"/>
            <w:bookmarkStart w:id="157" w:name="_Toc8172"/>
            <w:bookmarkStart w:id="158" w:name="_Toc9524"/>
            <w:bookmarkStart w:id="159" w:name="_Toc14453"/>
            <w:r>
              <w:rPr>
                <w:rFonts w:hint="default" w:ascii="Times New Roman" w:hAnsi="Times New Roman" w:eastAsia="宋体" w:cs="Times New Roman"/>
                <w:sz w:val="21"/>
                <w:szCs w:val="21"/>
                <w:lang w:val="en-US" w:eastAsia="zh-CN"/>
              </w:rPr>
              <w:t>/</w:t>
            </w:r>
            <w:bookmarkEnd w:id="156"/>
            <w:bookmarkEnd w:id="157"/>
            <w:bookmarkEnd w:id="158"/>
            <w:bookmarkEnd w:id="15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40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ascii="Times New Roman" w:hAnsi="Times New Roman" w:eastAsia="宋体" w:cs="Times New Roman"/>
                <w:sz w:val="21"/>
                <w:szCs w:val="21"/>
                <w:lang w:val="en-US" w:eastAsia="zh-CN"/>
              </w:rPr>
            </w:pPr>
            <w:bookmarkStart w:id="160" w:name="_Toc6928"/>
            <w:bookmarkStart w:id="161" w:name="_Toc16009"/>
            <w:bookmarkStart w:id="162" w:name="_Toc25644"/>
            <w:bookmarkStart w:id="163" w:name="_Toc3771"/>
            <w:r>
              <w:rPr>
                <w:rFonts w:hint="default" w:ascii="Times New Roman" w:hAnsi="Times New Roman" w:eastAsia="宋体" w:cs="Times New Roman"/>
                <w:sz w:val="21"/>
                <w:szCs w:val="21"/>
                <w:lang w:val="en-US" w:eastAsia="zh-CN"/>
              </w:rPr>
              <w:t>重锤质量</w:t>
            </w:r>
            <w:bookmarkEnd w:id="160"/>
            <w:bookmarkEnd w:id="161"/>
            <w:bookmarkEnd w:id="162"/>
            <w:bookmarkEnd w:id="163"/>
          </w:p>
        </w:tc>
        <w:tc>
          <w:tcPr>
            <w:tcW w:w="232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ascii="Times New Roman" w:hAnsi="Times New Roman" w:eastAsia="宋体" w:cs="Times New Roman"/>
                <w:sz w:val="21"/>
                <w:szCs w:val="21"/>
              </w:rPr>
            </w:pPr>
            <w:bookmarkStart w:id="164" w:name="_Toc26141"/>
            <w:bookmarkStart w:id="165" w:name="_Toc16197"/>
            <w:bookmarkStart w:id="166" w:name="_Toc12174"/>
            <w:bookmarkStart w:id="167" w:name="_Toc31707"/>
            <w:r>
              <w:rPr>
                <w:rFonts w:hint="default" w:ascii="Times New Roman" w:hAnsi="Times New Roman" w:eastAsia="宋体" w:cs="Times New Roman"/>
                <w:sz w:val="21"/>
                <w:szCs w:val="21"/>
                <w:lang w:val="en-US" w:eastAsia="zh-CN"/>
              </w:rPr>
              <w:t>电子天平</w:t>
            </w:r>
            <w:bookmarkEnd w:id="164"/>
            <w:bookmarkEnd w:id="165"/>
            <w:bookmarkEnd w:id="166"/>
            <w:bookmarkEnd w:id="167"/>
          </w:p>
        </w:tc>
        <w:tc>
          <w:tcPr>
            <w:tcW w:w="43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ascii="Times New Roman" w:hAnsi="Times New Roman" w:eastAsia="宋体" w:cs="Times New Roman"/>
                <w:sz w:val="21"/>
                <w:szCs w:val="21"/>
                <w:lang w:val="en-US" w:eastAsia="zh-CN"/>
              </w:rPr>
            </w:pPr>
            <w:bookmarkStart w:id="168" w:name="_Toc16839"/>
            <w:bookmarkStart w:id="169" w:name="_Toc10948"/>
            <w:bookmarkStart w:id="170" w:name="_Toc19035"/>
            <w:bookmarkStart w:id="171" w:name="_Toc4088"/>
            <w:r>
              <w:rPr>
                <w:rFonts w:hint="default" w:ascii="Times New Roman" w:hAnsi="Times New Roman" w:eastAsia="宋体" w:cs="Times New Roman"/>
                <w:sz w:val="21"/>
                <w:szCs w:val="21"/>
                <w:lang w:val="en-US" w:eastAsia="zh-CN"/>
              </w:rPr>
              <w:t>量程（0~3000）g，检定分度值≤ 0.1g</w:t>
            </w:r>
            <w:bookmarkEnd w:id="168"/>
            <w:bookmarkEnd w:id="169"/>
            <w:bookmarkEnd w:id="170"/>
            <w:bookmarkEnd w:id="17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ascii="Times New Roman" w:hAnsi="Times New Roman" w:eastAsia="宋体" w:cs="Times New Roman"/>
                <w:sz w:val="21"/>
                <w:szCs w:val="21"/>
                <w:lang w:val="en-US" w:eastAsia="zh-CN"/>
              </w:rPr>
            </w:pPr>
            <w:bookmarkStart w:id="172" w:name="_Toc14259"/>
            <w:bookmarkStart w:id="173" w:name="_Toc27490"/>
            <w:bookmarkStart w:id="174" w:name="_Toc11167"/>
            <w:bookmarkStart w:id="175" w:name="_Toc13780"/>
            <w:r>
              <w:rPr>
                <w:rFonts w:hint="default" w:ascii="Times New Roman" w:hAnsi="Times New Roman" w:eastAsia="宋体" w:cs="Times New Roman"/>
                <w:sz w:val="21"/>
                <w:szCs w:val="21"/>
                <w:lang w:val="en-US" w:eastAsia="zh-CN"/>
              </w:rPr>
              <w:t>导管刻度示值</w:t>
            </w:r>
            <w:bookmarkEnd w:id="172"/>
            <w:bookmarkEnd w:id="173"/>
            <w:bookmarkEnd w:id="174"/>
            <w:bookmarkEnd w:id="175"/>
          </w:p>
        </w:tc>
        <w:tc>
          <w:tcPr>
            <w:tcW w:w="232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ascii="Times New Roman" w:hAnsi="Times New Roman" w:eastAsia="宋体" w:cs="Times New Roman"/>
                <w:sz w:val="21"/>
                <w:szCs w:val="21"/>
                <w:lang w:val="en-US" w:eastAsia="zh-CN"/>
              </w:rPr>
            </w:pPr>
            <w:bookmarkStart w:id="176" w:name="_Toc28898"/>
            <w:bookmarkStart w:id="177" w:name="_Toc660"/>
            <w:bookmarkStart w:id="178" w:name="_Toc16647"/>
            <w:bookmarkStart w:id="179" w:name="_Toc15643"/>
            <w:r>
              <w:rPr>
                <w:rFonts w:hint="default" w:ascii="Times New Roman" w:hAnsi="Times New Roman" w:eastAsia="宋体" w:cs="Times New Roman"/>
                <w:sz w:val="21"/>
                <w:szCs w:val="21"/>
                <w:lang w:val="en-US" w:eastAsia="zh-CN"/>
              </w:rPr>
              <w:t>钢直尺</w:t>
            </w:r>
            <w:bookmarkEnd w:id="176"/>
            <w:bookmarkEnd w:id="177"/>
            <w:bookmarkEnd w:id="178"/>
            <w:bookmarkEnd w:id="179"/>
          </w:p>
        </w:tc>
        <w:tc>
          <w:tcPr>
            <w:tcW w:w="43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ascii="Times New Roman" w:hAnsi="Times New Roman" w:eastAsia="宋体" w:cs="Times New Roman"/>
                <w:sz w:val="21"/>
                <w:szCs w:val="21"/>
                <w:lang w:val="en-US" w:eastAsia="zh-CN"/>
              </w:rPr>
            </w:pPr>
            <w:bookmarkStart w:id="180" w:name="_Toc28811"/>
            <w:bookmarkStart w:id="181" w:name="_Toc29324"/>
            <w:bookmarkStart w:id="182" w:name="_Toc22594"/>
            <w:bookmarkStart w:id="183" w:name="_Toc27558"/>
            <w:r>
              <w:rPr>
                <w:rFonts w:hint="default" w:ascii="Times New Roman" w:hAnsi="Times New Roman" w:eastAsia="宋体" w:cs="Times New Roman"/>
                <w:sz w:val="21"/>
                <w:szCs w:val="21"/>
                <w:lang w:val="en-US" w:eastAsia="zh-CN"/>
              </w:rPr>
              <w:t>量程(0~1500) mm，MPE:±0.27mm</w:t>
            </w:r>
            <w:bookmarkEnd w:id="180"/>
            <w:bookmarkEnd w:id="181"/>
            <w:bookmarkEnd w:id="182"/>
            <w:bookmarkEnd w:id="18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40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ascii="Times New Roman" w:hAnsi="Times New Roman" w:eastAsia="宋体" w:cs="Times New Roman"/>
                <w:sz w:val="21"/>
                <w:szCs w:val="21"/>
                <w:lang w:val="en-US" w:eastAsia="zh-CN"/>
              </w:rPr>
            </w:pPr>
            <w:bookmarkStart w:id="184" w:name="_Toc24492"/>
            <w:bookmarkStart w:id="185" w:name="_Toc11371"/>
            <w:bookmarkStart w:id="186" w:name="_Toc4275"/>
            <w:bookmarkStart w:id="187" w:name="_Toc10226"/>
            <w:r>
              <w:rPr>
                <w:rFonts w:hint="default" w:ascii="Times New Roman" w:hAnsi="Times New Roman" w:eastAsia="宋体" w:cs="Times New Roman"/>
                <w:sz w:val="21"/>
                <w:szCs w:val="21"/>
                <w:lang w:val="en-US" w:eastAsia="zh-CN"/>
              </w:rPr>
              <w:t>冲击深度</w:t>
            </w:r>
            <w:bookmarkEnd w:id="184"/>
            <w:bookmarkEnd w:id="185"/>
            <w:bookmarkEnd w:id="186"/>
            <w:bookmarkEnd w:id="187"/>
          </w:p>
        </w:tc>
        <w:tc>
          <w:tcPr>
            <w:tcW w:w="232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卡尺</w:t>
            </w:r>
          </w:p>
        </w:tc>
        <w:tc>
          <w:tcPr>
            <w:tcW w:w="43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ascii="Times New Roman" w:hAnsi="Times New Roman" w:eastAsia="宋体" w:cs="Times New Roman"/>
                <w:sz w:val="21"/>
                <w:szCs w:val="21"/>
                <w:lang w:val="en-US" w:eastAsia="zh-CN"/>
              </w:rPr>
            </w:pPr>
            <w:bookmarkStart w:id="188" w:name="_Toc1227"/>
            <w:bookmarkStart w:id="189" w:name="_Toc2222"/>
            <w:bookmarkStart w:id="190" w:name="_Toc12945"/>
            <w:bookmarkStart w:id="191" w:name="_Toc12883"/>
            <w:r>
              <w:rPr>
                <w:rFonts w:hint="default" w:ascii="Times New Roman" w:hAnsi="Times New Roman" w:eastAsia="宋体" w:cs="Times New Roman"/>
                <w:sz w:val="21"/>
                <w:szCs w:val="21"/>
                <w:lang w:val="en-US" w:eastAsia="zh-CN"/>
              </w:rPr>
              <w:t>量程: (0~150)mm，MPE:±0.02 mm</w:t>
            </w:r>
            <w:bookmarkEnd w:id="188"/>
            <w:bookmarkEnd w:id="189"/>
            <w:bookmarkEnd w:id="190"/>
            <w:bookmarkEnd w:id="19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40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ascii="Times New Roman" w:hAnsi="Times New Roman" w:eastAsia="宋体" w:cs="Times New Roman"/>
                <w:sz w:val="21"/>
                <w:szCs w:val="21"/>
                <w:lang w:val="en-US" w:eastAsia="zh-CN"/>
              </w:rPr>
            </w:pPr>
            <w:bookmarkStart w:id="192" w:name="_Toc30548"/>
          </w:p>
        </w:tc>
        <w:tc>
          <w:tcPr>
            <w:tcW w:w="232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深度千分尺</w:t>
            </w:r>
          </w:p>
        </w:tc>
        <w:tc>
          <w:tcPr>
            <w:tcW w:w="43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量程: (0~25)mm，MPE:±0.004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40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ascii="Times New Roman" w:hAnsi="Times New Roman" w:eastAsia="宋体" w:cs="Times New Roman"/>
                <w:sz w:val="21"/>
                <w:szCs w:val="21"/>
                <w:lang w:val="en-US" w:eastAsia="zh-CN"/>
              </w:rPr>
            </w:pPr>
          </w:p>
        </w:tc>
        <w:tc>
          <w:tcPr>
            <w:tcW w:w="232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校准用纯铝板</w:t>
            </w:r>
          </w:p>
        </w:tc>
        <w:tc>
          <w:tcPr>
            <w:tcW w:w="43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厚（0.7~1.0）mm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119" w:type="dxa"/>
            <w:gridSpan w:val="3"/>
            <w:noWrap w:val="0"/>
            <w:vAlign w:val="center"/>
          </w:tcPr>
          <w:p>
            <w:pPr>
              <w:pStyle w:val="60"/>
              <w:widowControl w:val="0"/>
              <w:numPr>
                <w:ilvl w:val="0"/>
                <w:numId w:val="0"/>
              </w:numPr>
              <w:spacing w:before="0" w:beforeLines="0" w:after="0" w:afterLines="0" w:line="360" w:lineRule="auto"/>
              <w:rPr>
                <w:rFonts w:hint="default" w:ascii="Times New Roman" w:hAnsi="Times New Roman" w:eastAsia="宋体" w:cs="Times New Roman"/>
                <w:sz w:val="21"/>
                <w:szCs w:val="21"/>
                <w:lang w:val="en-US" w:eastAsia="zh-CN"/>
              </w:rPr>
            </w:pPr>
            <w:bookmarkStart w:id="193" w:name="_Toc25888"/>
            <w:r>
              <w:rPr>
                <w:rFonts w:hint="default" w:ascii="Times New Roman" w:hAnsi="Times New Roman" w:eastAsia="宋体" w:cs="Times New Roman"/>
                <w:sz w:val="21"/>
                <w:szCs w:val="21"/>
              </w:rPr>
              <w:t>注 1：</w:t>
            </w:r>
            <w:bookmarkEnd w:id="193"/>
            <w:r>
              <w:rPr>
                <w:rFonts w:hint="default" w:ascii="Times New Roman" w:hAnsi="Times New Roman" w:eastAsia="宋体" w:cs="Times New Roman"/>
                <w:sz w:val="21"/>
                <w:szCs w:val="21"/>
              </w:rPr>
              <w:t>允许使用满足要求的其他测量标准器具</w:t>
            </w:r>
            <w:r>
              <w:rPr>
                <w:rFonts w:hint="default" w:ascii="Times New Roman" w:hAnsi="Times New Roman" w:eastAsia="宋体" w:cs="Times New Roman"/>
                <w:sz w:val="21"/>
                <w:szCs w:val="21"/>
                <w:lang w:eastAsia="zh-CN"/>
              </w:rPr>
              <w:t>。</w:t>
            </w:r>
          </w:p>
        </w:tc>
      </w:tr>
      <w:bookmarkEnd w:id="125"/>
      <w:bookmarkEnd w:id="192"/>
    </w:tbl>
    <w:p>
      <w:pPr>
        <w:spacing w:line="360" w:lineRule="auto"/>
        <w:outlineLvl w:val="0"/>
        <w:rPr>
          <w:rFonts w:hint="default" w:ascii="Times New Roman" w:hAnsi="Times New Roman" w:eastAsia="宋体" w:cs="Times New Roman"/>
          <w:sz w:val="21"/>
          <w:szCs w:val="21"/>
        </w:rPr>
      </w:pPr>
      <w:bookmarkStart w:id="194" w:name="_Toc9252"/>
      <w:bookmarkStart w:id="195" w:name="_Toc1818"/>
      <w:bookmarkStart w:id="196" w:name="_Toc7085"/>
      <w:bookmarkStart w:id="197" w:name="_Toc23968"/>
      <w:bookmarkStart w:id="198" w:name="_Toc19080"/>
      <w:bookmarkStart w:id="199" w:name="_Toc12797"/>
      <w:bookmarkStart w:id="200" w:name="_Toc1970"/>
      <w:bookmarkStart w:id="201" w:name="_Toc7975"/>
      <w:r>
        <w:rPr>
          <w:rFonts w:hint="default" w:ascii="Times New Roman" w:hAnsi="Times New Roman" w:eastAsia="宋体" w:cs="Times New Roman"/>
          <w:b w:val="0"/>
          <w:bCs/>
          <w:kern w:val="0"/>
          <w:sz w:val="21"/>
          <w:szCs w:val="21"/>
        </w:rPr>
        <w:t xml:space="preserve">6 </w:t>
      </w:r>
      <w:r>
        <w:rPr>
          <w:rStyle w:val="322"/>
          <w:rFonts w:hint="default" w:ascii="Times New Roman" w:hAnsi="Times New Roman" w:eastAsia="宋体" w:cs="Times New Roman"/>
          <w:b w:val="0"/>
          <w:bCs/>
          <w:sz w:val="21"/>
          <w:szCs w:val="21"/>
        </w:rPr>
        <w:t>校准项目和校准方法</w:t>
      </w:r>
      <w:bookmarkEnd w:id="194"/>
      <w:bookmarkEnd w:id="195"/>
      <w:bookmarkEnd w:id="196"/>
      <w:bookmarkEnd w:id="197"/>
      <w:bookmarkEnd w:id="198"/>
      <w:bookmarkEnd w:id="199"/>
      <w:bookmarkEnd w:id="200"/>
      <w:bookmarkEnd w:id="201"/>
    </w:p>
    <w:p>
      <w:pPr>
        <w:pStyle w:val="57"/>
        <w:spacing w:line="360" w:lineRule="auto"/>
        <w:ind w:firstLine="420" w:firstLineChars="20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根据技术要求及计量特性确定校准方法和校准项目。</w:t>
      </w:r>
    </w:p>
    <w:p>
      <w:pPr>
        <w:pStyle w:val="57"/>
        <w:spacing w:line="360" w:lineRule="auto"/>
        <w:ind w:firstLine="420" w:firstLineChars="20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校准方法的确定参考土工行业标准 GB/T 1732-2020《漆膜耐冲击测定法》的相关内容。具体校准项目见表2。</w:t>
      </w:r>
    </w:p>
    <w:p>
      <w:pPr>
        <w:pStyle w:val="57"/>
        <w:keepNext w:val="0"/>
        <w:keepLines w:val="0"/>
        <w:pageBreakBefore w:val="0"/>
        <w:widowControl/>
        <w:kinsoku/>
        <w:wordWrap/>
        <w:overflowPunct/>
        <w:topLinePunct w:val="0"/>
        <w:autoSpaceDE w:val="0"/>
        <w:autoSpaceDN w:val="0"/>
        <w:bidi w:val="0"/>
        <w:adjustRightInd w:val="0"/>
        <w:snapToGrid w:val="0"/>
        <w:spacing w:line="360" w:lineRule="auto"/>
        <w:ind w:left="0" w:leftChars="0" w:firstLine="0" w:firstLineChars="0"/>
        <w:textAlignment w:val="auto"/>
        <w:outlineLvl w:val="1"/>
        <w:rPr>
          <w:rFonts w:hint="default" w:ascii="Times New Roman" w:hAnsi="Times New Roman" w:eastAsia="宋体" w:cs="Times New Roman"/>
          <w:sz w:val="21"/>
          <w:szCs w:val="21"/>
          <w:lang w:val="en-US" w:eastAsia="zh-CN"/>
        </w:rPr>
      </w:pPr>
      <w:bookmarkStart w:id="202" w:name="_Toc6972"/>
      <w:bookmarkStart w:id="203" w:name="_Toc15625"/>
      <w:bookmarkStart w:id="204" w:name="_Toc10967"/>
      <w:bookmarkStart w:id="205" w:name="_Toc23104"/>
      <w:r>
        <w:rPr>
          <w:rFonts w:hint="default" w:ascii="Times New Roman" w:hAnsi="Times New Roman" w:eastAsia="宋体" w:cs="Times New Roman"/>
          <w:sz w:val="21"/>
          <w:szCs w:val="21"/>
        </w:rPr>
        <w:t>6.1 校准项目</w:t>
      </w:r>
      <w:bookmarkEnd w:id="202"/>
      <w:bookmarkEnd w:id="203"/>
      <w:bookmarkEnd w:id="204"/>
      <w:bookmarkEnd w:id="205"/>
    </w:p>
    <w:p>
      <w:pPr>
        <w:pStyle w:val="57"/>
        <w:spacing w:line="360" w:lineRule="auto"/>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表</w:t>
      </w:r>
      <w:r>
        <w:rPr>
          <w:rFonts w:hint="default" w:ascii="Times New Roman" w:hAnsi="Times New Roman" w:eastAsia="宋体" w:cs="Times New Roman"/>
          <w:sz w:val="21"/>
          <w:szCs w:val="21"/>
          <w:lang w:val="en-US" w:eastAsia="zh-CN"/>
        </w:rPr>
        <w:t>2</w:t>
      </w:r>
      <w:r>
        <w:rPr>
          <w:rFonts w:hint="default" w:ascii="Times New Roman" w:hAnsi="Times New Roman" w:eastAsia="宋体" w:cs="Times New Roman"/>
          <w:sz w:val="21"/>
          <w:szCs w:val="21"/>
        </w:rPr>
        <w:t xml:space="preserve"> 校准项目</w:t>
      </w:r>
    </w:p>
    <w:tbl>
      <w:tblPr>
        <w:tblStyle w:val="40"/>
        <w:tblW w:w="95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8"/>
        <w:gridCol w:w="4336"/>
        <w:gridCol w:w="4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8" w:type="dxa"/>
            <w:noWrap w:val="0"/>
            <w:vAlign w:val="top"/>
          </w:tcPr>
          <w:p>
            <w:pPr>
              <w:pStyle w:val="57"/>
              <w:widowControl w:val="0"/>
              <w:spacing w:line="360" w:lineRule="auto"/>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序号</w:t>
            </w:r>
          </w:p>
        </w:tc>
        <w:tc>
          <w:tcPr>
            <w:tcW w:w="4336" w:type="dxa"/>
            <w:noWrap w:val="0"/>
            <w:vAlign w:val="top"/>
          </w:tcPr>
          <w:p>
            <w:pPr>
              <w:pStyle w:val="57"/>
              <w:widowControl w:val="0"/>
              <w:spacing w:line="360" w:lineRule="auto"/>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校准项目</w:t>
            </w:r>
          </w:p>
        </w:tc>
        <w:tc>
          <w:tcPr>
            <w:tcW w:w="4336" w:type="dxa"/>
            <w:noWrap w:val="0"/>
            <w:vAlign w:val="top"/>
          </w:tcPr>
          <w:p>
            <w:pPr>
              <w:pStyle w:val="57"/>
              <w:widowControl w:val="0"/>
              <w:spacing w:line="360" w:lineRule="auto"/>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8" w:type="dxa"/>
            <w:noWrap w:val="0"/>
            <w:vAlign w:val="top"/>
          </w:tcPr>
          <w:p>
            <w:pPr>
              <w:pStyle w:val="57"/>
              <w:widowControl w:val="0"/>
              <w:spacing w:line="360" w:lineRule="auto"/>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4336" w:type="dxa"/>
            <w:noWrap w:val="0"/>
            <w:vAlign w:val="top"/>
          </w:tcPr>
          <w:p>
            <w:pPr>
              <w:pStyle w:val="57"/>
              <w:spacing w:line="360" w:lineRule="auto"/>
              <w:ind w:left="0" w:leftChars="0"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highlight w:val="none"/>
                <w:vertAlign w:val="baseline"/>
                <w:lang w:val="en-US" w:eastAsia="zh-CN" w:bidi="ar-SA"/>
              </w:rPr>
              <w:t>外观检查</w:t>
            </w:r>
          </w:p>
        </w:tc>
        <w:tc>
          <w:tcPr>
            <w:tcW w:w="4336" w:type="dxa"/>
            <w:noWrap w:val="0"/>
            <w:vAlign w:val="top"/>
          </w:tcPr>
          <w:p>
            <w:pPr>
              <w:pStyle w:val="57"/>
              <w:widowControl w:val="0"/>
              <w:spacing w:line="360" w:lineRule="auto"/>
              <w:ind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8" w:type="dxa"/>
            <w:noWrap w:val="0"/>
            <w:vAlign w:val="top"/>
          </w:tcPr>
          <w:p>
            <w:pPr>
              <w:pStyle w:val="57"/>
              <w:widowControl w:val="0"/>
              <w:spacing w:line="360" w:lineRule="auto"/>
              <w:ind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w:t>
            </w:r>
          </w:p>
        </w:tc>
        <w:tc>
          <w:tcPr>
            <w:tcW w:w="4336" w:type="dxa"/>
            <w:noWrap w:val="0"/>
            <w:vAlign w:val="top"/>
          </w:tcPr>
          <w:p>
            <w:pPr>
              <w:pStyle w:val="57"/>
              <w:spacing w:line="360" w:lineRule="auto"/>
              <w:ind w:left="0" w:leftChars="0" w:firstLine="0" w:firstLineChars="0"/>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kern w:val="0"/>
                <w:sz w:val="21"/>
                <w:szCs w:val="21"/>
                <w:highlight w:val="none"/>
                <w:vertAlign w:val="baseline"/>
                <w:lang w:val="en-US" w:eastAsia="zh-CN" w:bidi="ar-SA"/>
              </w:rPr>
              <w:t>重锤质量</w:t>
            </w:r>
          </w:p>
        </w:tc>
        <w:tc>
          <w:tcPr>
            <w:tcW w:w="4336" w:type="dxa"/>
            <w:noWrap w:val="0"/>
            <w:vAlign w:val="top"/>
          </w:tcPr>
          <w:p>
            <w:pPr>
              <w:widowControl w:val="0"/>
              <w:spacing w:line="360" w:lineRule="auto"/>
              <w:ind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8" w:type="dxa"/>
            <w:noWrap w:val="0"/>
            <w:vAlign w:val="top"/>
          </w:tcPr>
          <w:p>
            <w:pPr>
              <w:pStyle w:val="57"/>
              <w:widowControl w:val="0"/>
              <w:spacing w:line="360" w:lineRule="auto"/>
              <w:ind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w:t>
            </w:r>
          </w:p>
        </w:tc>
        <w:tc>
          <w:tcPr>
            <w:tcW w:w="4336" w:type="dxa"/>
            <w:noWrap w:val="0"/>
            <w:vAlign w:val="top"/>
          </w:tcPr>
          <w:p>
            <w:pPr>
              <w:pStyle w:val="57"/>
              <w:spacing w:line="360" w:lineRule="auto"/>
              <w:ind w:left="0" w:leftChars="0" w:firstLine="0" w:firstLineChars="0"/>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kern w:val="0"/>
                <w:sz w:val="21"/>
                <w:szCs w:val="21"/>
                <w:highlight w:val="none"/>
                <w:vertAlign w:val="baseline"/>
                <w:lang w:val="en-US" w:eastAsia="zh-CN" w:bidi="ar-SA"/>
              </w:rPr>
              <w:t>导管刻度示值</w:t>
            </w:r>
          </w:p>
        </w:tc>
        <w:tc>
          <w:tcPr>
            <w:tcW w:w="4336" w:type="dxa"/>
            <w:noWrap w:val="0"/>
            <w:vAlign w:val="top"/>
          </w:tcPr>
          <w:p>
            <w:pPr>
              <w:widowControl w:val="0"/>
              <w:spacing w:line="360" w:lineRule="auto"/>
              <w:ind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8" w:type="dxa"/>
            <w:noWrap w:val="0"/>
            <w:vAlign w:val="top"/>
          </w:tcPr>
          <w:p>
            <w:pPr>
              <w:pStyle w:val="57"/>
              <w:spacing w:line="360" w:lineRule="auto"/>
              <w:ind w:left="0" w:leftChars="0"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4</w:t>
            </w:r>
          </w:p>
        </w:tc>
        <w:tc>
          <w:tcPr>
            <w:tcW w:w="4336" w:type="dxa"/>
            <w:noWrap w:val="0"/>
            <w:vAlign w:val="center"/>
          </w:tcPr>
          <w:p>
            <w:pPr>
              <w:pStyle w:val="57"/>
              <w:spacing w:line="360" w:lineRule="auto"/>
              <w:ind w:left="0" w:leftChars="0" w:firstLine="0" w:firstLineChars="0"/>
              <w:jc w:val="center"/>
              <w:rPr>
                <w:rFonts w:hint="default" w:ascii="Times New Roman" w:hAnsi="Times New Roman" w:eastAsia="宋体" w:cs="Times New Roman"/>
                <w:sz w:val="21"/>
                <w:szCs w:val="21"/>
                <w:vertAlign w:val="baseline"/>
                <w:lang w:val="en-US" w:eastAsia="zh-CN"/>
              </w:rPr>
            </w:pPr>
            <w:bookmarkStart w:id="206" w:name="_Toc28364"/>
            <w:bookmarkStart w:id="207" w:name="_Toc23392"/>
            <w:bookmarkStart w:id="208" w:name="_Toc14029"/>
            <w:bookmarkStart w:id="209" w:name="_Toc16792"/>
            <w:r>
              <w:rPr>
                <w:rFonts w:hint="default" w:ascii="Times New Roman" w:hAnsi="Times New Roman" w:eastAsia="宋体" w:cs="Times New Roman"/>
                <w:kern w:val="0"/>
                <w:sz w:val="21"/>
                <w:szCs w:val="21"/>
                <w:highlight w:val="none"/>
                <w:vertAlign w:val="baseline"/>
                <w:lang w:val="en-US" w:eastAsia="zh-CN" w:bidi="ar-SA"/>
              </w:rPr>
              <w:t>冲击深度</w:t>
            </w:r>
            <w:bookmarkEnd w:id="206"/>
            <w:bookmarkEnd w:id="207"/>
            <w:bookmarkEnd w:id="208"/>
            <w:bookmarkEnd w:id="209"/>
          </w:p>
        </w:tc>
        <w:tc>
          <w:tcPr>
            <w:tcW w:w="4336" w:type="dxa"/>
            <w:noWrap w:val="0"/>
            <w:vAlign w:val="top"/>
          </w:tcPr>
          <w:p>
            <w:pPr>
              <w:widowControl w:val="0"/>
              <w:spacing w:line="360" w:lineRule="auto"/>
              <w:ind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r>
    </w:tbl>
    <w:p>
      <w:pPr>
        <w:pStyle w:val="57"/>
        <w:spacing w:line="360" w:lineRule="auto"/>
        <w:ind w:firstLine="0" w:firstLineChars="0"/>
        <w:outlineLvl w:val="1"/>
        <w:rPr>
          <w:rFonts w:hint="default" w:ascii="Times New Roman" w:hAnsi="Times New Roman" w:eastAsia="宋体" w:cs="Times New Roman"/>
          <w:sz w:val="21"/>
          <w:szCs w:val="21"/>
        </w:rPr>
      </w:pPr>
      <w:bookmarkStart w:id="210" w:name="_Toc28313"/>
      <w:bookmarkStart w:id="211" w:name="_Toc16652"/>
      <w:bookmarkStart w:id="212" w:name="_Toc29525"/>
      <w:bookmarkStart w:id="213" w:name="_Toc12337"/>
      <w:r>
        <w:rPr>
          <w:rFonts w:hint="default" w:ascii="Times New Roman" w:hAnsi="Times New Roman" w:eastAsia="宋体" w:cs="Times New Roman"/>
          <w:sz w:val="21"/>
          <w:szCs w:val="21"/>
        </w:rPr>
        <w:t>6.2 校准方法</w:t>
      </w:r>
      <w:bookmarkEnd w:id="210"/>
      <w:bookmarkEnd w:id="211"/>
      <w:bookmarkEnd w:id="212"/>
      <w:bookmarkEnd w:id="213"/>
    </w:p>
    <w:p>
      <w:pPr>
        <w:pStyle w:val="57"/>
        <w:keepNext w:val="0"/>
        <w:keepLines w:val="0"/>
        <w:pageBreakBefore w:val="0"/>
        <w:widowControl/>
        <w:kinsoku/>
        <w:wordWrap/>
        <w:overflowPunct/>
        <w:topLinePunct w:val="0"/>
        <w:autoSpaceDE w:val="0"/>
        <w:autoSpaceDN w:val="0"/>
        <w:bidi w:val="0"/>
        <w:adjustRightInd/>
        <w:snapToGrid/>
        <w:spacing w:line="360" w:lineRule="auto"/>
        <w:ind w:firstLine="0" w:firstLineChars="0"/>
        <w:textAlignment w:val="auto"/>
        <w:outlineLvl w:val="2"/>
        <w:rPr>
          <w:rFonts w:hint="default" w:ascii="Times New Roman" w:hAnsi="Times New Roman" w:eastAsia="宋体" w:cs="Times New Roman"/>
          <w:sz w:val="21"/>
          <w:szCs w:val="21"/>
          <w:lang w:val="en-US" w:eastAsia="zh-CN"/>
        </w:rPr>
      </w:pPr>
      <w:bookmarkStart w:id="214" w:name="_Toc13251"/>
      <w:bookmarkStart w:id="215" w:name="_Toc8556"/>
      <w:r>
        <w:rPr>
          <w:rFonts w:hint="default" w:ascii="Times New Roman" w:hAnsi="Times New Roman" w:eastAsia="宋体" w:cs="Times New Roman"/>
          <w:sz w:val="21"/>
          <w:szCs w:val="21"/>
        </w:rPr>
        <w:t xml:space="preserve">6.2.1 </w:t>
      </w:r>
      <w:bookmarkEnd w:id="214"/>
      <w:r>
        <w:rPr>
          <w:rFonts w:hint="default" w:ascii="Times New Roman" w:hAnsi="Times New Roman" w:eastAsia="宋体" w:cs="Times New Roman"/>
          <w:sz w:val="21"/>
          <w:szCs w:val="21"/>
          <w:lang w:val="en-US" w:eastAsia="zh-CN"/>
        </w:rPr>
        <w:t>外观检查</w:t>
      </w:r>
      <w:bookmarkEnd w:id="215"/>
    </w:p>
    <w:p>
      <w:pPr>
        <w:pStyle w:val="57"/>
        <w:keepNext w:val="0"/>
        <w:keepLines w:val="0"/>
        <w:pageBreakBefore w:val="0"/>
        <w:widowControl/>
        <w:kinsoku/>
        <w:wordWrap/>
        <w:overflowPunct/>
        <w:topLinePunct w:val="0"/>
        <w:autoSpaceDE w:val="0"/>
        <w:autoSpaceDN w:val="0"/>
        <w:bidi w:val="0"/>
        <w:adjustRightInd/>
        <w:snapToGrid/>
        <w:spacing w:line="360" w:lineRule="auto"/>
        <w:ind w:firstLine="420" w:firstLineChars="200"/>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试验机应标有仪器名称、规格型号、出厂编号、制造厂名(或商标)等信息。试验机应放置在稳固的平台上，导管垂直于水平面。仪器的外观不应有影响校准结果的缺陷。各部件的连接应牢固、可靠、无松动，重锤与导管之间应有足够的间隙使重锤保持自由落体运动。导管上的刻度应清晰可读，重锤控制器能将重锤固定在导管的任何刻度，且无卡滞现象，冲头上的钢球表面须光洁平滑。</w:t>
      </w:r>
    </w:p>
    <w:p>
      <w:pPr>
        <w:pStyle w:val="57"/>
        <w:keepNext w:val="0"/>
        <w:keepLines w:val="0"/>
        <w:pageBreakBefore w:val="0"/>
        <w:widowControl/>
        <w:kinsoku/>
        <w:wordWrap/>
        <w:overflowPunct/>
        <w:topLinePunct w:val="0"/>
        <w:autoSpaceDE w:val="0"/>
        <w:autoSpaceDN w:val="0"/>
        <w:bidi w:val="0"/>
        <w:adjustRightInd/>
        <w:snapToGrid/>
        <w:spacing w:line="360" w:lineRule="auto"/>
        <w:ind w:firstLine="420" w:firstLineChars="200"/>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重锤下落不应受到任何阻碍，使用一段时间后，或经受过度撞击，会造成冲头的损伤，从而影响测试结果的准确性，所以外观检查中应包括以上项目。</w:t>
      </w:r>
    </w:p>
    <w:p>
      <w:pPr>
        <w:pStyle w:val="57"/>
        <w:keepNext w:val="0"/>
        <w:keepLines w:val="0"/>
        <w:pageBreakBefore w:val="0"/>
        <w:widowControl/>
        <w:kinsoku/>
        <w:wordWrap/>
        <w:overflowPunct/>
        <w:topLinePunct w:val="0"/>
        <w:autoSpaceDE w:val="0"/>
        <w:autoSpaceDN w:val="0"/>
        <w:bidi w:val="0"/>
        <w:adjustRightInd/>
        <w:snapToGrid/>
        <w:spacing w:line="360" w:lineRule="auto"/>
        <w:ind w:firstLine="0" w:firstLineChars="0"/>
        <w:textAlignment w:val="auto"/>
        <w:outlineLvl w:val="2"/>
        <w:rPr>
          <w:rFonts w:hint="default" w:ascii="Times New Roman" w:hAnsi="Times New Roman" w:eastAsia="宋体" w:cs="Times New Roman"/>
          <w:sz w:val="21"/>
          <w:szCs w:val="21"/>
          <w:lang w:val="en-US" w:eastAsia="zh-CN"/>
        </w:rPr>
      </w:pPr>
      <w:bookmarkStart w:id="216" w:name="_Toc16674"/>
      <w:r>
        <w:rPr>
          <w:rFonts w:hint="default" w:ascii="Times New Roman" w:hAnsi="Times New Roman" w:eastAsia="宋体" w:cs="Times New Roman"/>
          <w:sz w:val="21"/>
          <w:szCs w:val="21"/>
          <w:lang w:val="en-US" w:eastAsia="zh-CN"/>
        </w:rPr>
        <w:t>6.2.2 重锤质量的校准</w:t>
      </w:r>
      <w:bookmarkEnd w:id="216"/>
    </w:p>
    <w:p>
      <w:pPr>
        <w:pStyle w:val="57"/>
        <w:keepNext w:val="0"/>
        <w:keepLines w:val="0"/>
        <w:pageBreakBefore w:val="0"/>
        <w:widowControl/>
        <w:kinsoku/>
        <w:wordWrap/>
        <w:overflowPunct/>
        <w:topLinePunct w:val="0"/>
        <w:autoSpaceDE w:val="0"/>
        <w:autoSpaceDN w:val="0"/>
        <w:bidi w:val="0"/>
        <w:adjustRightInd/>
        <w:snapToGrid/>
        <w:spacing w:line="360" w:lineRule="auto"/>
        <w:ind w:left="0" w:leftChars="0" w:firstLine="420" w:firstLineChars="200"/>
        <w:textAlignment w:val="auto"/>
        <w:outlineLvl w:val="9"/>
        <w:rPr>
          <w:rFonts w:hint="default" w:ascii="Times New Roman" w:hAnsi="Times New Roman" w:eastAsia="宋体" w:cs="Times New Roman"/>
          <w:b w:val="0"/>
          <w:bCs w:val="0"/>
          <w:sz w:val="21"/>
          <w:szCs w:val="21"/>
          <w:lang w:val="en-US" w:eastAsia="zh-CN"/>
        </w:rPr>
      </w:pPr>
      <w:bookmarkStart w:id="217" w:name="_Toc126"/>
      <w:r>
        <w:rPr>
          <w:rFonts w:hint="default" w:ascii="Times New Roman" w:hAnsi="Times New Roman" w:eastAsia="宋体" w:cs="Times New Roman"/>
          <w:sz w:val="21"/>
          <w:szCs w:val="21"/>
          <w:highlight w:val="none"/>
          <w:lang w:val="en-US" w:eastAsia="zh-CN"/>
        </w:rPr>
        <w:t>将重锤从仪器上拆下，清洁干净。在电子天平上称量3次，取3次称量值的算术平均值作为校准结果，计算方法见式 (1)</w:t>
      </w:r>
      <w:r>
        <w:rPr>
          <w:rFonts w:hint="default" w:ascii="Times New Roman" w:hAnsi="Times New Roman" w:eastAsia="宋体" w:cs="Times New Roman"/>
          <w:sz w:val="21"/>
          <w:szCs w:val="21"/>
        </w:rPr>
        <w:t>。</w:t>
      </w:r>
      <w:bookmarkEnd w:id="217"/>
    </w:p>
    <w:p>
      <w:pPr>
        <w:pStyle w:val="57"/>
        <w:keepNext w:val="0"/>
        <w:keepLines w:val="0"/>
        <w:pageBreakBefore w:val="0"/>
        <w:widowControl/>
        <w:kinsoku/>
        <w:wordWrap/>
        <w:overflowPunct/>
        <w:topLinePunct w:val="0"/>
        <w:autoSpaceDE w:val="0"/>
        <w:autoSpaceDN w:val="0"/>
        <w:bidi w:val="0"/>
        <w:adjustRightInd/>
        <w:snapToGrid/>
        <w:spacing w:line="360" w:lineRule="auto"/>
        <w:ind w:left="0" w:leftChars="0" w:firstLine="420" w:firstLineChars="200"/>
        <w:jc w:val="both"/>
        <w:textAlignment w:val="auto"/>
        <w:outlineLvl w:val="9"/>
        <w:rPr>
          <w:rFonts w:hint="default" w:ascii="Times New Roman" w:hAnsi="Times New Roman" w:eastAsia="宋体" w:cs="Times New Roman"/>
          <w:sz w:val="21"/>
          <w:szCs w:val="21"/>
          <w:highlight w:val="none"/>
          <w:lang w:val="en-US" w:eastAsia="zh-CN"/>
        </w:rPr>
      </w:pPr>
    </w:p>
    <w:p>
      <w:pPr>
        <w:pStyle w:val="57"/>
        <w:spacing w:line="360" w:lineRule="auto"/>
        <w:ind w:left="0" w:leftChars="0" w:firstLine="0" w:firstLineChars="0"/>
        <w:jc w:val="righ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 xml:space="preserve">               </w:t>
      </w:r>
      <w:r>
        <w:rPr>
          <w:rFonts w:hint="default" w:ascii="Times New Roman" w:hAnsi="Times New Roman" w:eastAsia="宋体" w:cs="Times New Roman"/>
          <w:position w:val="-24"/>
          <w:sz w:val="21"/>
          <w:szCs w:val="21"/>
          <w:highlight w:val="none"/>
          <w:lang w:val="en-US" w:eastAsia="zh-CN"/>
        </w:rPr>
        <w:object>
          <v:shape id="_x0000_i1025" o:spt="75" type="#_x0000_t75" style="height:48pt;width:95pt;" o:ole="t" filled="f" o:preferrelative="t" stroked="f" coordsize="21600,21600">
            <v:path/>
            <v:fill on="f" focussize="0,0"/>
            <v:stroke on="f"/>
            <v:imagedata r:id="rId20" o:title=""/>
            <o:lock v:ext="edit" aspectratio="t"/>
            <w10:wrap type="none"/>
            <w10:anchorlock/>
          </v:shape>
          <o:OLEObject Type="Embed" ProgID="Equation.KSEE3" ShapeID="_x0000_i1025" DrawAspect="Content" ObjectID="_1468075725" r:id="rId19">
            <o:LockedField>false</o:LockedField>
          </o:OLEObject>
        </w:object>
      </w:r>
      <w:r>
        <w:rPr>
          <w:rFonts w:hint="default" w:ascii="Times New Roman" w:hAnsi="Times New Roman" w:eastAsia="宋体" w:cs="Times New Roman"/>
          <w:sz w:val="21"/>
          <w:szCs w:val="21"/>
          <w:highlight w:val="none"/>
          <w:lang w:val="en-US" w:eastAsia="zh-CN"/>
        </w:rPr>
        <w:t xml:space="preserve">                       （1）           </w:t>
      </w:r>
    </w:p>
    <w:p>
      <w:pPr>
        <w:pStyle w:val="57"/>
        <w:keepNext w:val="0"/>
        <w:keepLines w:val="0"/>
        <w:pageBreakBefore w:val="0"/>
        <w:widowControl/>
        <w:kinsoku/>
        <w:wordWrap/>
        <w:overflowPunct/>
        <w:topLinePunct w:val="0"/>
        <w:autoSpaceDE w:val="0"/>
        <w:autoSpaceDN w:val="0"/>
        <w:bidi w:val="0"/>
        <w:adjustRightInd/>
        <w:snapToGrid/>
        <w:spacing w:line="360" w:lineRule="auto"/>
        <w:ind w:left="0" w:leftChars="0" w:firstLine="420" w:firstLineChars="200"/>
        <w:jc w:val="left"/>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式中：</w:t>
      </w:r>
    </w:p>
    <w:p>
      <w:pPr>
        <w:pStyle w:val="57"/>
        <w:keepNext w:val="0"/>
        <w:keepLines w:val="0"/>
        <w:pageBreakBefore w:val="0"/>
        <w:widowControl/>
        <w:kinsoku/>
        <w:wordWrap/>
        <w:overflowPunct/>
        <w:topLinePunct w:val="0"/>
        <w:autoSpaceDE w:val="0"/>
        <w:autoSpaceDN w:val="0"/>
        <w:bidi w:val="0"/>
        <w:adjustRightInd/>
        <w:snapToGrid/>
        <w:spacing w:line="360" w:lineRule="auto"/>
        <w:jc w:val="left"/>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rPr>
        <w:drawing>
          <wp:inline distT="0" distB="0" distL="114300" distR="114300">
            <wp:extent cx="200025" cy="161925"/>
            <wp:effectExtent l="0" t="0" r="0" b="6350"/>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21"/>
                    <a:stretch>
                      <a:fillRect/>
                    </a:stretch>
                  </pic:blipFill>
                  <pic:spPr>
                    <a:xfrm>
                      <a:off x="0" y="0"/>
                      <a:ext cx="200025" cy="161925"/>
                    </a:xfrm>
                    <a:prstGeom prst="rect">
                      <a:avLst/>
                    </a:prstGeom>
                    <a:noFill/>
                    <a:ln>
                      <a:noFill/>
                    </a:ln>
                  </pic:spPr>
                </pic:pic>
              </a:graphicData>
            </a:graphic>
          </wp:inline>
        </w:drawing>
      </w:r>
      <w:r>
        <w:rPr>
          <w:rFonts w:hint="default" w:ascii="Times New Roman" w:hAnsi="Times New Roman" w:eastAsia="宋体" w:cs="Times New Roman"/>
          <w:sz w:val="21"/>
          <w:szCs w:val="21"/>
          <w:highlight w:val="none"/>
          <w:lang w:val="en-US" w:eastAsia="zh-CN"/>
        </w:rPr>
        <w:t>-重锤质量，g；</w:t>
      </w:r>
    </w:p>
    <w:p>
      <w:pPr>
        <w:pStyle w:val="57"/>
        <w:keepNext w:val="0"/>
        <w:keepLines w:val="0"/>
        <w:pageBreakBefore w:val="0"/>
        <w:widowControl/>
        <w:kinsoku/>
        <w:wordWrap/>
        <w:overflowPunct/>
        <w:topLinePunct w:val="0"/>
        <w:autoSpaceDE w:val="0"/>
        <w:autoSpaceDN w:val="0"/>
        <w:bidi w:val="0"/>
        <w:adjustRightInd/>
        <w:snapToGrid/>
        <w:spacing w:line="360" w:lineRule="auto"/>
        <w:jc w:val="left"/>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lang w:val="en-US" w:eastAsia="zh-CN"/>
        </w:rPr>
        <w:drawing>
          <wp:inline distT="0" distB="0" distL="114300" distR="114300">
            <wp:extent cx="180975" cy="228600"/>
            <wp:effectExtent l="0" t="0" r="9525" b="0"/>
            <wp:docPr id="7"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9"/>
                    <pic:cNvPicPr>
                      <a:picLocks noChangeAspect="1"/>
                    </pic:cNvPicPr>
                  </pic:nvPicPr>
                  <pic:blipFill>
                    <a:blip r:embed="rId22"/>
                    <a:stretch>
                      <a:fillRect/>
                    </a:stretch>
                  </pic:blipFill>
                  <pic:spPr>
                    <a:xfrm>
                      <a:off x="0" y="0"/>
                      <a:ext cx="180975" cy="228600"/>
                    </a:xfrm>
                    <a:prstGeom prst="rect">
                      <a:avLst/>
                    </a:prstGeom>
                    <a:noFill/>
                    <a:ln>
                      <a:noFill/>
                    </a:ln>
                  </pic:spPr>
                </pic:pic>
              </a:graphicData>
            </a:graphic>
          </wp:inline>
        </w:drawing>
      </w:r>
      <w:r>
        <w:rPr>
          <w:rFonts w:hint="default" w:ascii="Times New Roman" w:hAnsi="Times New Roman" w:eastAsia="宋体" w:cs="Times New Roman"/>
          <w:sz w:val="21"/>
          <w:szCs w:val="21"/>
          <w:lang w:val="en-US" w:eastAsia="zh-CN"/>
        </w:rPr>
        <w:t>-</w:t>
      </w:r>
      <w:r>
        <w:rPr>
          <w:rFonts w:hint="default" w:ascii="Times New Roman" w:hAnsi="Times New Roman" w:eastAsia="宋体" w:cs="Times New Roman"/>
          <w:sz w:val="21"/>
          <w:szCs w:val="21"/>
          <w:highlight w:val="none"/>
          <w:lang w:val="en-US" w:eastAsia="zh-CN"/>
        </w:rPr>
        <w:t xml:space="preserve">重锤第i次称量值，g。     </w:t>
      </w:r>
      <w:r>
        <w:rPr>
          <w:rFonts w:hint="default" w:ascii="Times New Roman" w:hAnsi="Times New Roman" w:eastAsia="宋体" w:cs="Times New Roman"/>
          <w:sz w:val="21"/>
          <w:szCs w:val="21"/>
          <w:lang w:val="en-US" w:eastAsia="zh-CN"/>
        </w:rPr>
        <w:t xml:space="preserve">    </w:t>
      </w:r>
    </w:p>
    <w:p>
      <w:pPr>
        <w:pStyle w:val="57"/>
        <w:keepNext w:val="0"/>
        <w:keepLines w:val="0"/>
        <w:pageBreakBefore w:val="0"/>
        <w:widowControl/>
        <w:kinsoku/>
        <w:wordWrap/>
        <w:overflowPunct/>
        <w:topLinePunct w:val="0"/>
        <w:autoSpaceDE w:val="0"/>
        <w:autoSpaceDN w:val="0"/>
        <w:bidi w:val="0"/>
        <w:adjustRightInd/>
        <w:snapToGrid/>
        <w:spacing w:line="360" w:lineRule="auto"/>
        <w:ind w:firstLine="0" w:firstLineChars="0"/>
        <w:textAlignment w:val="auto"/>
        <w:outlineLvl w:val="2"/>
        <w:rPr>
          <w:rFonts w:hint="default" w:ascii="Times New Roman" w:hAnsi="Times New Roman" w:eastAsia="宋体" w:cs="Times New Roman"/>
          <w:b w:val="0"/>
          <w:bCs w:val="0"/>
          <w:sz w:val="21"/>
          <w:szCs w:val="21"/>
          <w:lang w:val="en-US" w:eastAsia="zh-CN"/>
        </w:rPr>
      </w:pPr>
      <w:bookmarkStart w:id="218" w:name="_Toc17927"/>
      <w:bookmarkStart w:id="219" w:name="_Toc15588"/>
      <w:r>
        <w:rPr>
          <w:rFonts w:hint="default" w:ascii="Times New Roman" w:hAnsi="Times New Roman" w:eastAsia="宋体" w:cs="Times New Roman"/>
          <w:sz w:val="21"/>
          <w:szCs w:val="21"/>
          <w:lang w:val="en-US" w:eastAsia="zh-CN"/>
        </w:rPr>
        <w:t>6.2.</w:t>
      </w:r>
      <w:bookmarkEnd w:id="218"/>
      <w:r>
        <w:rPr>
          <w:rFonts w:hint="default" w:ascii="Times New Roman" w:hAnsi="Times New Roman" w:eastAsia="宋体" w:cs="Times New Roman"/>
          <w:sz w:val="21"/>
          <w:szCs w:val="21"/>
          <w:lang w:val="en-US" w:eastAsia="zh-CN"/>
        </w:rPr>
        <w:t>3 导管刻度</w:t>
      </w:r>
      <w:bookmarkEnd w:id="219"/>
    </w:p>
    <w:p>
      <w:pPr>
        <w:pStyle w:val="57"/>
        <w:keepNext w:val="0"/>
        <w:keepLines w:val="0"/>
        <w:pageBreakBefore w:val="0"/>
        <w:widowControl/>
        <w:kinsoku/>
        <w:wordWrap/>
        <w:overflowPunct/>
        <w:topLinePunct w:val="0"/>
        <w:autoSpaceDE w:val="0"/>
        <w:autoSpaceDN w:val="0"/>
        <w:bidi w:val="0"/>
        <w:adjustRightInd/>
        <w:snapToGrid/>
        <w:spacing w:line="360" w:lineRule="auto"/>
        <w:ind w:left="0" w:leftChars="0" w:firstLine="420" w:firstLineChars="200"/>
        <w:jc w:val="both"/>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将钢直尺与导管外壁紧贴，并将钢直尺的侧边与导管刻度的中心轴线对齐，钢直尺的端边与导管刻度的零刻线对齐，读出被校导管零刻度线到任一刻度线的长度。一</w:t>
      </w:r>
      <w:r>
        <w:rPr>
          <w:rFonts w:hint="default" w:ascii="Times New Roman" w:hAnsi="Times New Roman" w:eastAsia="宋体" w:cs="Times New Roman"/>
          <w:sz w:val="21"/>
          <w:szCs w:val="21"/>
          <w:highlight w:val="none"/>
          <w:lang w:val="en-US" w:eastAsia="zh-CN"/>
        </w:rPr>
        <w:t>般在导管刻度量程范围内选择不少于5个点进行测量，选择的测量点尽量做到均匀分布，也</w:t>
      </w:r>
      <w:r>
        <w:rPr>
          <w:rFonts w:hint="default" w:ascii="Times New Roman" w:hAnsi="Times New Roman" w:eastAsia="宋体" w:cs="Times New Roman"/>
          <w:sz w:val="21"/>
          <w:szCs w:val="21"/>
          <w:lang w:val="en-US" w:eastAsia="zh-CN"/>
        </w:rPr>
        <w:t>可按照送检方需求进行取点。</w:t>
      </w:r>
      <w:r>
        <w:rPr>
          <w:rFonts w:hint="default" w:ascii="Times New Roman" w:hAnsi="Times New Roman" w:eastAsia="宋体" w:cs="Times New Roman"/>
          <w:sz w:val="21"/>
          <w:szCs w:val="21"/>
          <w:highlight w:val="none"/>
          <w:lang w:val="en-US" w:eastAsia="zh-CN"/>
        </w:rPr>
        <w:t>每个点重复测量三次，取三次测量值的平均值作为测量结果，计算方法见式 (2)，结果保留到0.1mm</w:t>
      </w:r>
      <w:r>
        <w:rPr>
          <w:rFonts w:hint="default" w:ascii="Times New Roman" w:hAnsi="Times New Roman" w:eastAsia="宋体" w:cs="Times New Roman"/>
          <w:sz w:val="21"/>
          <w:szCs w:val="21"/>
          <w:highlight w:val="none"/>
        </w:rPr>
        <w:t>。</w:t>
      </w:r>
    </w:p>
    <w:p>
      <w:pPr>
        <w:pStyle w:val="57"/>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right"/>
        <w:textAlignment w:val="auto"/>
        <w:outlineLvl w:val="9"/>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 xml:space="preserve">                 </w:t>
      </w:r>
      <w:bookmarkStart w:id="220" w:name="_Toc22132"/>
      <w:r>
        <w:rPr>
          <w:rFonts w:hint="default" w:ascii="Times New Roman" w:hAnsi="Times New Roman" w:eastAsia="宋体" w:cs="Times New Roman"/>
          <w:position w:val="-24"/>
          <w:sz w:val="21"/>
          <w:szCs w:val="21"/>
          <w:highlight w:val="none"/>
          <w:lang w:val="en-US" w:eastAsia="zh-CN"/>
        </w:rPr>
        <w:object>
          <v:shape id="_x0000_i1026" o:spt="75" type="#_x0000_t75" style="height:48pt;width:84pt;" o:ole="t" filled="f" o:preferrelative="t" stroked="f" coordsize="21600,21600">
            <v:path/>
            <v:fill on="f" focussize="0,0"/>
            <v:stroke on="f"/>
            <v:imagedata r:id="rId24" o:title=""/>
            <o:lock v:ext="edit" aspectratio="t"/>
            <w10:wrap type="none"/>
            <w10:anchorlock/>
          </v:shape>
          <o:OLEObject Type="Embed" ProgID="Equation.KSEE3" ShapeID="_x0000_i1026" DrawAspect="Content" ObjectID="_1468075726" r:id="rId23">
            <o:LockedField>false</o:LockedField>
          </o:OLEObject>
        </w:object>
      </w:r>
      <w:r>
        <w:rPr>
          <w:rFonts w:hint="default" w:ascii="Times New Roman" w:hAnsi="Times New Roman" w:eastAsia="宋体" w:cs="Times New Roman"/>
          <w:sz w:val="21"/>
          <w:szCs w:val="21"/>
          <w:highlight w:val="none"/>
          <w:lang w:val="en-US" w:eastAsia="zh-CN"/>
        </w:rPr>
        <w:t xml:space="preserve">                             (2)</w:t>
      </w:r>
      <w:bookmarkEnd w:id="220"/>
    </w:p>
    <w:p>
      <w:pPr>
        <w:pStyle w:val="57"/>
        <w:keepNext w:val="0"/>
        <w:keepLines w:val="0"/>
        <w:pageBreakBefore w:val="0"/>
        <w:widowControl/>
        <w:kinsoku/>
        <w:wordWrap/>
        <w:overflowPunct/>
        <w:topLinePunct w:val="0"/>
        <w:autoSpaceDE w:val="0"/>
        <w:autoSpaceDN w:val="0"/>
        <w:bidi w:val="0"/>
        <w:adjustRightInd/>
        <w:snapToGrid/>
        <w:spacing w:line="360" w:lineRule="auto"/>
        <w:ind w:left="0" w:leftChars="0" w:firstLine="420" w:firstLineChars="200"/>
        <w:textAlignment w:val="auto"/>
        <w:outlineLvl w:val="9"/>
        <w:rPr>
          <w:rFonts w:hint="default" w:ascii="Times New Roman" w:hAnsi="Times New Roman" w:eastAsia="宋体" w:cs="Times New Roman"/>
          <w:b w:val="0"/>
          <w:bCs w:val="0"/>
          <w:sz w:val="21"/>
          <w:szCs w:val="21"/>
          <w:lang w:val="en-US" w:eastAsia="zh-CN"/>
        </w:rPr>
      </w:pPr>
      <w:bookmarkStart w:id="221" w:name="_Toc8940"/>
      <w:r>
        <w:rPr>
          <w:rFonts w:hint="default" w:ascii="Times New Roman" w:hAnsi="Times New Roman" w:eastAsia="宋体" w:cs="Times New Roman"/>
          <w:b w:val="0"/>
          <w:bCs w:val="0"/>
          <w:sz w:val="21"/>
          <w:szCs w:val="21"/>
          <w:lang w:val="en-US" w:eastAsia="zh-CN"/>
        </w:rPr>
        <w:t>式中：</w:t>
      </w:r>
      <w:bookmarkEnd w:id="221"/>
    </w:p>
    <w:p>
      <w:pPr>
        <w:pStyle w:val="57"/>
        <w:keepNext w:val="0"/>
        <w:keepLines w:val="0"/>
        <w:pageBreakBefore w:val="0"/>
        <w:widowControl/>
        <w:kinsoku/>
        <w:wordWrap/>
        <w:overflowPunct/>
        <w:topLinePunct w:val="0"/>
        <w:autoSpaceDE w:val="0"/>
        <w:autoSpaceDN w:val="0"/>
        <w:bidi w:val="0"/>
        <w:adjustRightInd/>
        <w:snapToGrid/>
        <w:spacing w:line="360" w:lineRule="auto"/>
        <w:ind w:left="0" w:leftChars="0" w:firstLine="420" w:firstLineChars="200"/>
        <w:textAlignment w:val="auto"/>
        <w:outlineLvl w:val="9"/>
        <w:rPr>
          <w:rFonts w:hint="default" w:ascii="Times New Roman" w:hAnsi="Times New Roman" w:eastAsia="宋体" w:cs="Times New Roman"/>
          <w:b w:val="0"/>
          <w:bCs w:val="0"/>
          <w:sz w:val="21"/>
          <w:szCs w:val="21"/>
          <w:lang w:val="en-US" w:eastAsia="zh-CN"/>
        </w:rPr>
      </w:pPr>
      <w:bookmarkStart w:id="222" w:name="_Toc8635"/>
      <w:r>
        <w:rPr>
          <w:rFonts w:hint="default" w:ascii="Times New Roman" w:hAnsi="Times New Roman" w:eastAsia="宋体" w:cs="Times New Roman"/>
          <w:sz w:val="21"/>
          <w:szCs w:val="21"/>
        </w:rPr>
        <w:drawing>
          <wp:inline distT="0" distB="0" distL="114300" distR="114300">
            <wp:extent cx="133350" cy="161925"/>
            <wp:effectExtent l="0" t="0" r="0" b="6350"/>
            <wp:docPr id="8"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1"/>
                    <pic:cNvPicPr>
                      <a:picLocks noChangeAspect="1"/>
                    </pic:cNvPicPr>
                  </pic:nvPicPr>
                  <pic:blipFill>
                    <a:blip r:embed="rId25"/>
                    <a:stretch>
                      <a:fillRect/>
                    </a:stretch>
                  </pic:blipFill>
                  <pic:spPr>
                    <a:xfrm>
                      <a:off x="0" y="0"/>
                      <a:ext cx="133350" cy="161925"/>
                    </a:xfrm>
                    <a:prstGeom prst="rect">
                      <a:avLst/>
                    </a:prstGeom>
                    <a:noFill/>
                    <a:ln>
                      <a:noFill/>
                    </a:ln>
                  </pic:spPr>
                </pic:pic>
              </a:graphicData>
            </a:graphic>
          </wp:inline>
        </w:drawing>
      </w:r>
      <w:r>
        <w:rPr>
          <w:rFonts w:hint="default" w:ascii="Times New Roman" w:hAnsi="Times New Roman" w:eastAsia="宋体" w:cs="Times New Roman"/>
          <w:b w:val="0"/>
          <w:bCs w:val="0"/>
          <w:sz w:val="21"/>
          <w:szCs w:val="21"/>
          <w:lang w:val="en-US" w:eastAsia="zh-CN"/>
        </w:rPr>
        <w:t>—</w:t>
      </w:r>
      <w:r>
        <w:rPr>
          <w:rFonts w:hint="default" w:ascii="Times New Roman" w:hAnsi="Times New Roman" w:eastAsia="宋体" w:cs="Times New Roman"/>
          <w:sz w:val="21"/>
          <w:szCs w:val="21"/>
          <w:lang w:val="en-US" w:eastAsia="zh-CN"/>
        </w:rPr>
        <w:t>被检试验机导管刻度校准值，mm ；</w:t>
      </w:r>
      <w:bookmarkEnd w:id="222"/>
    </w:p>
    <w:p>
      <w:pPr>
        <w:pStyle w:val="57"/>
        <w:keepNext w:val="0"/>
        <w:keepLines w:val="0"/>
        <w:pageBreakBefore w:val="0"/>
        <w:widowControl/>
        <w:kinsoku/>
        <w:wordWrap/>
        <w:overflowPunct/>
        <w:topLinePunct w:val="0"/>
        <w:autoSpaceDE w:val="0"/>
        <w:autoSpaceDN w:val="0"/>
        <w:bidi w:val="0"/>
        <w:adjustRightInd/>
        <w:snapToGrid/>
        <w:spacing w:line="360" w:lineRule="auto"/>
        <w:ind w:left="0" w:leftChars="0" w:firstLine="420" w:firstLineChars="200"/>
        <w:textAlignment w:val="auto"/>
        <w:outlineLvl w:val="9"/>
        <w:rPr>
          <w:rFonts w:hint="default" w:ascii="Times New Roman" w:hAnsi="Times New Roman" w:eastAsia="宋体" w:cs="Times New Roman"/>
          <w:b w:val="0"/>
          <w:bCs w:val="0"/>
          <w:sz w:val="21"/>
          <w:szCs w:val="21"/>
          <w:lang w:val="en-US" w:eastAsia="zh-CN"/>
        </w:rPr>
      </w:pPr>
      <w:bookmarkStart w:id="223" w:name="_Toc10649"/>
      <w:r>
        <w:rPr>
          <w:rFonts w:hint="default" w:ascii="Times New Roman" w:hAnsi="Times New Roman" w:eastAsia="宋体" w:cs="Times New Roman"/>
          <w:sz w:val="21"/>
          <w:szCs w:val="21"/>
        </w:rPr>
        <w:drawing>
          <wp:inline distT="0" distB="0" distL="114300" distR="114300">
            <wp:extent cx="104775" cy="228600"/>
            <wp:effectExtent l="0" t="0" r="9525" b="0"/>
            <wp:docPr id="9"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2"/>
                    <pic:cNvPicPr>
                      <a:picLocks noChangeAspect="1"/>
                    </pic:cNvPicPr>
                  </pic:nvPicPr>
                  <pic:blipFill>
                    <a:blip r:embed="rId26"/>
                    <a:stretch>
                      <a:fillRect/>
                    </a:stretch>
                  </pic:blipFill>
                  <pic:spPr>
                    <a:xfrm>
                      <a:off x="0" y="0"/>
                      <a:ext cx="104775" cy="228600"/>
                    </a:xfrm>
                    <a:prstGeom prst="rect">
                      <a:avLst/>
                    </a:prstGeom>
                    <a:noFill/>
                    <a:ln>
                      <a:noFill/>
                    </a:ln>
                  </pic:spPr>
                </pic:pic>
              </a:graphicData>
            </a:graphic>
          </wp:inline>
        </w:drawing>
      </w:r>
      <w:r>
        <w:rPr>
          <w:rFonts w:hint="default" w:ascii="Times New Roman" w:hAnsi="Times New Roman" w:eastAsia="宋体" w:cs="Times New Roman"/>
          <w:b w:val="0"/>
          <w:bCs w:val="0"/>
          <w:sz w:val="21"/>
          <w:szCs w:val="21"/>
          <w:lang w:val="en-US" w:eastAsia="zh-CN"/>
        </w:rPr>
        <w:t>—</w:t>
      </w:r>
      <w:r>
        <w:rPr>
          <w:rFonts w:hint="default" w:ascii="Times New Roman" w:hAnsi="Times New Roman" w:eastAsia="宋体" w:cs="Times New Roman"/>
          <w:sz w:val="21"/>
          <w:szCs w:val="21"/>
          <w:lang w:val="en-US" w:eastAsia="zh-CN"/>
        </w:rPr>
        <w:t>被检试验机导管刻度</w:t>
      </w:r>
      <w:r>
        <w:rPr>
          <w:rFonts w:hint="default" w:ascii="Times New Roman" w:hAnsi="Times New Roman" w:eastAsia="宋体" w:cs="Times New Roman"/>
          <w:sz w:val="21"/>
          <w:szCs w:val="21"/>
          <w:highlight w:val="none"/>
          <w:lang w:val="en-US" w:eastAsia="zh-CN"/>
        </w:rPr>
        <w:t>第i次测量值</w:t>
      </w:r>
      <w:r>
        <w:rPr>
          <w:rFonts w:hint="default" w:ascii="Times New Roman" w:hAnsi="Times New Roman" w:eastAsia="宋体" w:cs="Times New Roman"/>
          <w:sz w:val="21"/>
          <w:szCs w:val="21"/>
          <w:lang w:val="en-US" w:eastAsia="zh-CN"/>
        </w:rPr>
        <w:t>，mm。</w:t>
      </w:r>
      <w:bookmarkEnd w:id="223"/>
    </w:p>
    <w:p>
      <w:pPr>
        <w:pStyle w:val="57"/>
        <w:keepNext w:val="0"/>
        <w:keepLines w:val="0"/>
        <w:pageBreakBefore w:val="0"/>
        <w:widowControl/>
        <w:kinsoku/>
        <w:wordWrap/>
        <w:overflowPunct/>
        <w:topLinePunct w:val="0"/>
        <w:autoSpaceDE w:val="0"/>
        <w:autoSpaceDN w:val="0"/>
        <w:bidi w:val="0"/>
        <w:adjustRightInd/>
        <w:snapToGrid/>
        <w:spacing w:line="360" w:lineRule="auto"/>
        <w:ind w:firstLine="0" w:firstLineChars="0"/>
        <w:textAlignment w:val="auto"/>
        <w:outlineLvl w:val="2"/>
        <w:rPr>
          <w:rFonts w:hint="default" w:ascii="Times New Roman" w:hAnsi="Times New Roman" w:eastAsia="宋体" w:cs="Times New Roman"/>
          <w:sz w:val="21"/>
          <w:szCs w:val="21"/>
          <w:lang w:val="en-US" w:eastAsia="zh-CN"/>
        </w:rPr>
      </w:pPr>
      <w:bookmarkStart w:id="224" w:name="_Toc13966"/>
      <w:bookmarkStart w:id="225" w:name="_Toc12882"/>
      <w:r>
        <w:rPr>
          <w:rFonts w:hint="default" w:ascii="Times New Roman" w:hAnsi="Times New Roman" w:eastAsia="宋体" w:cs="Times New Roman"/>
          <w:sz w:val="21"/>
          <w:szCs w:val="21"/>
        </w:rPr>
        <w:t>6.2.</w:t>
      </w:r>
      <w:r>
        <w:rPr>
          <w:rFonts w:hint="default" w:ascii="Times New Roman" w:hAnsi="Times New Roman" w:eastAsia="宋体" w:cs="Times New Roman"/>
          <w:sz w:val="21"/>
          <w:szCs w:val="21"/>
          <w:lang w:val="en-US" w:eastAsia="zh-CN"/>
        </w:rPr>
        <w:t>4</w:t>
      </w:r>
      <w:r>
        <w:rPr>
          <w:rFonts w:hint="default" w:ascii="Times New Roman" w:hAnsi="Times New Roman" w:eastAsia="宋体" w:cs="Times New Roman"/>
          <w:sz w:val="21"/>
          <w:szCs w:val="21"/>
        </w:rPr>
        <w:t xml:space="preserve"> </w:t>
      </w:r>
      <w:bookmarkEnd w:id="224"/>
      <w:r>
        <w:rPr>
          <w:rFonts w:hint="default" w:ascii="Times New Roman" w:hAnsi="Times New Roman" w:eastAsia="宋体" w:cs="Times New Roman"/>
          <w:sz w:val="21"/>
          <w:szCs w:val="21"/>
          <w:lang w:val="en-US" w:eastAsia="zh-CN"/>
        </w:rPr>
        <w:t>冲击深度</w:t>
      </w:r>
      <w:bookmarkEnd w:id="225"/>
    </w:p>
    <w:p>
      <w:pPr>
        <w:pStyle w:val="57"/>
        <w:spacing w:line="360" w:lineRule="auto"/>
        <w:ind w:firstLine="420" w:firstLineChars="200"/>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目前在国内市场上的试验机，根据调节冲击深度方法的不同，主要分成两类：一类通过调节试验机的压紧螺帽高低调节冲击深度，这类试验机称为A类试验机；另外一类是通过调节试验机铁砧高低来调节冲击深度的试验机，称为B类试验机。这两类试验机在外形上没有区别均如图1所示。可根据试验机种类，从以下三种方法中选择适合的方法进行校准。</w:t>
      </w:r>
    </w:p>
    <w:p>
      <w:pPr>
        <w:pStyle w:val="57"/>
        <w:spacing w:line="360" w:lineRule="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 xml:space="preserve"> 方法1：将校准用纯铝板平放在铁砧表面上，使锤头从导管刻度示值为500mm或1000mm处落下，冲击纯铝板表面，用深度千分尺测量冲击凹坑深度，其与板厚的差值即为冲击深度。冲击试验重复三次，且相邻冲击点边缘的距离不得少于 10 mm，结果取三次结果平均值。此校准方法适用于A类试验机和B类试验机。</w:t>
      </w:r>
    </w:p>
    <w:p>
      <w:pPr>
        <w:pStyle w:val="57"/>
        <w:spacing w:line="360" w:lineRule="auto"/>
        <w:ind w:firstLine="420" w:firstLineChars="200"/>
        <w:jc w:val="right"/>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i/>
          <w:iCs/>
          <w:sz w:val="21"/>
          <w:szCs w:val="21"/>
          <w:highlight w:val="none"/>
          <w:lang w:val="en-US" w:eastAsia="zh-CN"/>
        </w:rPr>
        <w:t>h=H-P</w:t>
      </w:r>
      <w:r>
        <w:rPr>
          <w:rFonts w:hint="default" w:ascii="Times New Roman" w:hAnsi="Times New Roman" w:eastAsia="宋体" w:cs="Times New Roman"/>
          <w:b w:val="0"/>
          <w:bCs w:val="0"/>
          <w:sz w:val="21"/>
          <w:szCs w:val="21"/>
          <w:lang w:val="en-US" w:eastAsia="zh-CN"/>
        </w:rPr>
        <w:t xml:space="preserve">                                 （3）</w:t>
      </w:r>
    </w:p>
    <w:p>
      <w:pPr>
        <w:spacing w:after="180"/>
        <w:ind w:firstLine="480"/>
        <w:rPr>
          <w:rFonts w:hint="default" w:ascii="Times New Roman" w:hAnsi="Times New Roman" w:eastAsia="宋体" w:cs="Times New Roman"/>
          <w:sz w:val="21"/>
          <w:szCs w:val="21"/>
          <w:lang w:val="zh-TW" w:eastAsia="zh-TW" w:bidi="zh-TW"/>
        </w:rPr>
      </w:pPr>
      <w:r>
        <w:rPr>
          <w:rFonts w:hint="default" w:ascii="Times New Roman" w:hAnsi="Times New Roman" w:eastAsia="宋体" w:cs="Times New Roman"/>
          <w:color w:val="000000"/>
          <w:sz w:val="21"/>
          <w:szCs w:val="21"/>
          <w:lang w:val="zh-TW" w:eastAsia="zh-TW" w:bidi="zh-TW"/>
        </w:rPr>
        <w:t>式中：</w:t>
      </w:r>
    </w:p>
    <w:p>
      <w:pPr>
        <w:keepNext w:val="0"/>
        <w:keepLines w:val="0"/>
        <w:pageBreakBefore w:val="0"/>
        <w:widowControl w:val="0"/>
        <w:kinsoku/>
        <w:wordWrap/>
        <w:overflowPunct/>
        <w:topLinePunct w:val="0"/>
        <w:autoSpaceDE/>
        <w:autoSpaceDN/>
        <w:bidi w:val="0"/>
        <w:adjustRightInd/>
        <w:snapToGrid/>
        <w:spacing w:after="100"/>
        <w:ind w:firstLine="482"/>
        <w:textAlignment w:val="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i/>
          <w:iCs/>
          <w:sz w:val="21"/>
          <w:szCs w:val="21"/>
          <w:highlight w:val="none"/>
          <w:lang w:val="en-US" w:eastAsia="zh-CN"/>
        </w:rPr>
        <w:t>h</w:t>
      </w:r>
      <w:r>
        <w:rPr>
          <w:rFonts w:hint="default" w:ascii="Times New Roman" w:hAnsi="Times New Roman" w:eastAsia="宋体" w:cs="Times New Roman"/>
          <w:color w:val="000000"/>
          <w:sz w:val="21"/>
          <w:szCs w:val="21"/>
          <w:lang w:val="zh-TW" w:eastAsia="zh-TW" w:bidi="zh-TW"/>
        </w:rPr>
        <w:t>—</w:t>
      </w:r>
      <w:r>
        <w:rPr>
          <w:rFonts w:hint="default" w:ascii="Times New Roman" w:hAnsi="Times New Roman" w:eastAsia="宋体" w:cs="Times New Roman"/>
          <w:sz w:val="21"/>
          <w:szCs w:val="21"/>
          <w:highlight w:val="none"/>
          <w:lang w:val="en-US" w:eastAsia="zh-CN"/>
        </w:rPr>
        <w:t>冲击深度，mm</w:t>
      </w:r>
      <w:r>
        <w:rPr>
          <w:rFonts w:hint="default" w:ascii="Times New Roman" w:hAnsi="Times New Roman" w:eastAsia="宋体" w:cs="Times New Roman"/>
          <w:b w:val="0"/>
          <w:bCs w:val="0"/>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after="100"/>
        <w:ind w:firstLine="482"/>
        <w:textAlignment w:val="auto"/>
        <w:rPr>
          <w:rFonts w:hint="default" w:ascii="Times New Roman" w:hAnsi="Times New Roman" w:eastAsia="宋体" w:cs="Times New Roman"/>
          <w:color w:val="000000"/>
          <w:sz w:val="21"/>
          <w:szCs w:val="21"/>
          <w:lang w:bidi="en-US"/>
        </w:rPr>
      </w:pPr>
      <w:r>
        <w:rPr>
          <w:rFonts w:hint="default" w:ascii="Times New Roman" w:hAnsi="Times New Roman" w:eastAsia="宋体" w:cs="Times New Roman"/>
          <w:i/>
          <w:iCs/>
          <w:sz w:val="21"/>
          <w:szCs w:val="21"/>
          <w:highlight w:val="none"/>
          <w:lang w:val="en-US" w:eastAsia="zh-CN"/>
        </w:rPr>
        <w:t>H</w:t>
      </w:r>
      <w:r>
        <w:rPr>
          <w:rFonts w:hint="default" w:ascii="Times New Roman" w:hAnsi="Times New Roman" w:eastAsia="宋体" w:cs="Times New Roman"/>
          <w:color w:val="000000"/>
          <w:sz w:val="21"/>
          <w:szCs w:val="21"/>
          <w:lang w:val="zh-TW" w:eastAsia="zh-TW" w:bidi="zh-TW"/>
        </w:rPr>
        <w:t>—</w:t>
      </w:r>
      <w:r>
        <w:rPr>
          <w:rFonts w:hint="default" w:ascii="Times New Roman" w:hAnsi="Times New Roman" w:eastAsia="宋体" w:cs="Times New Roman"/>
          <w:sz w:val="21"/>
          <w:szCs w:val="21"/>
          <w:highlight w:val="none"/>
          <w:lang w:val="en-US" w:eastAsia="zh-CN"/>
        </w:rPr>
        <w:t>深度千分尺对冲击凹坑深度3次测量值的算术平均值，mm；</w:t>
      </w:r>
    </w:p>
    <w:p>
      <w:pPr>
        <w:keepNext w:val="0"/>
        <w:keepLines w:val="0"/>
        <w:pageBreakBefore w:val="0"/>
        <w:widowControl w:val="0"/>
        <w:kinsoku/>
        <w:wordWrap/>
        <w:overflowPunct/>
        <w:topLinePunct w:val="0"/>
        <w:autoSpaceDE/>
        <w:autoSpaceDN/>
        <w:bidi w:val="0"/>
        <w:adjustRightInd/>
        <w:snapToGrid/>
        <w:spacing w:after="100"/>
        <w:ind w:firstLine="482"/>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i/>
          <w:iCs/>
          <w:sz w:val="21"/>
          <w:szCs w:val="21"/>
          <w:highlight w:val="none"/>
          <w:lang w:val="en-US" w:eastAsia="zh-CN"/>
        </w:rPr>
        <w:t>P</w:t>
      </w:r>
      <w:r>
        <w:rPr>
          <w:rFonts w:hint="default" w:ascii="Times New Roman" w:hAnsi="Times New Roman" w:eastAsia="宋体" w:cs="Times New Roman"/>
          <w:color w:val="000000"/>
          <w:sz w:val="21"/>
          <w:szCs w:val="21"/>
          <w:lang w:val="zh-TW" w:eastAsia="zh-TW" w:bidi="zh-TW"/>
        </w:rPr>
        <w:t>—</w:t>
      </w:r>
      <w:r>
        <w:rPr>
          <w:rFonts w:hint="default" w:ascii="Times New Roman" w:hAnsi="Times New Roman" w:eastAsia="宋体" w:cs="Times New Roman"/>
          <w:sz w:val="21"/>
          <w:szCs w:val="21"/>
          <w:highlight w:val="none"/>
          <w:lang w:val="en-US" w:eastAsia="zh-CN"/>
        </w:rPr>
        <w:t>卡尺对校准片厚度3次测量值的算术平均值，mm。</w:t>
      </w:r>
    </w:p>
    <w:p>
      <w:pPr>
        <w:pStyle w:val="57"/>
        <w:spacing w:line="360" w:lineRule="auto"/>
        <w:ind w:firstLine="420" w:firstLineChars="200"/>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方法2：将导管旋下来，松开试验机底座背面的紧固螺钉，将纯铝板平放在铁砧表面上，用底部平整的物体压放在冲头上部。用深度千分尺测量冲头上部至压紧螺帽上平面的距离，测量值与纯铝板厚度之差即为此时的冲击深度。此校准方法适用于A类试验机。</w:t>
      </w:r>
    </w:p>
    <w:p>
      <w:pPr>
        <w:pStyle w:val="57"/>
        <w:spacing w:line="360" w:lineRule="auto"/>
        <w:ind w:firstLine="420" w:firstLineChars="200"/>
        <w:jc w:val="right"/>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 xml:space="preserve">                 </w:t>
      </w:r>
      <w:r>
        <w:rPr>
          <w:rFonts w:hint="default" w:ascii="Times New Roman" w:hAnsi="Times New Roman" w:eastAsia="宋体" w:cs="Times New Roman"/>
          <w:i/>
          <w:iCs/>
          <w:sz w:val="21"/>
          <w:szCs w:val="21"/>
          <w:highlight w:val="none"/>
          <w:lang w:val="en-US" w:eastAsia="zh-CN"/>
        </w:rPr>
        <w:t>h=H-P</w:t>
      </w:r>
      <w:r>
        <w:rPr>
          <w:rFonts w:hint="default" w:ascii="Times New Roman" w:hAnsi="Times New Roman" w:eastAsia="宋体" w:cs="Times New Roman"/>
          <w:b w:val="0"/>
          <w:bCs w:val="0"/>
          <w:sz w:val="21"/>
          <w:szCs w:val="21"/>
          <w:lang w:val="en-US" w:eastAsia="zh-CN"/>
        </w:rPr>
        <w:t xml:space="preserve">                                  （4）</w:t>
      </w:r>
    </w:p>
    <w:p>
      <w:pPr>
        <w:spacing w:after="180"/>
        <w:ind w:firstLine="480"/>
        <w:rPr>
          <w:rFonts w:hint="default" w:ascii="Times New Roman" w:hAnsi="Times New Roman" w:eastAsia="宋体" w:cs="Times New Roman"/>
          <w:sz w:val="21"/>
          <w:szCs w:val="21"/>
          <w:lang w:val="zh-TW" w:eastAsia="zh-TW" w:bidi="zh-TW"/>
        </w:rPr>
      </w:pPr>
      <w:r>
        <w:rPr>
          <w:rFonts w:hint="default" w:ascii="Times New Roman" w:hAnsi="Times New Roman" w:eastAsia="宋体" w:cs="Times New Roman"/>
          <w:color w:val="000000"/>
          <w:sz w:val="21"/>
          <w:szCs w:val="21"/>
          <w:lang w:val="zh-TW" w:eastAsia="zh-TW" w:bidi="zh-TW"/>
        </w:rPr>
        <w:t>式中：</w:t>
      </w:r>
    </w:p>
    <w:p>
      <w:pPr>
        <w:keepNext w:val="0"/>
        <w:keepLines w:val="0"/>
        <w:pageBreakBefore w:val="0"/>
        <w:widowControl w:val="0"/>
        <w:kinsoku/>
        <w:wordWrap/>
        <w:overflowPunct/>
        <w:topLinePunct w:val="0"/>
        <w:autoSpaceDE/>
        <w:autoSpaceDN/>
        <w:bidi w:val="0"/>
        <w:adjustRightInd/>
        <w:snapToGrid/>
        <w:spacing w:after="100"/>
        <w:ind w:firstLine="482"/>
        <w:textAlignment w:val="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i/>
          <w:iCs/>
          <w:sz w:val="21"/>
          <w:szCs w:val="21"/>
          <w:highlight w:val="none"/>
          <w:lang w:val="en-US" w:eastAsia="zh-CN"/>
        </w:rPr>
        <w:t>h</w:t>
      </w:r>
      <w:r>
        <w:rPr>
          <w:rFonts w:hint="default" w:ascii="Times New Roman" w:hAnsi="Times New Roman" w:eastAsia="宋体" w:cs="Times New Roman"/>
          <w:color w:val="000000"/>
          <w:sz w:val="21"/>
          <w:szCs w:val="21"/>
          <w:lang w:val="zh-TW" w:eastAsia="zh-TW" w:bidi="zh-TW"/>
        </w:rPr>
        <w:t>—</w:t>
      </w:r>
      <w:r>
        <w:rPr>
          <w:rFonts w:hint="default" w:ascii="Times New Roman" w:hAnsi="Times New Roman" w:eastAsia="宋体" w:cs="Times New Roman"/>
          <w:sz w:val="21"/>
          <w:szCs w:val="21"/>
          <w:highlight w:val="none"/>
          <w:lang w:val="en-US" w:eastAsia="zh-CN"/>
        </w:rPr>
        <w:t>冲击深度，mm</w:t>
      </w:r>
      <w:r>
        <w:rPr>
          <w:rFonts w:hint="default" w:ascii="Times New Roman" w:hAnsi="Times New Roman" w:eastAsia="宋体" w:cs="Times New Roman"/>
          <w:b w:val="0"/>
          <w:bCs w:val="0"/>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after="100"/>
        <w:ind w:firstLine="482"/>
        <w:textAlignment w:val="auto"/>
        <w:rPr>
          <w:rFonts w:hint="default" w:ascii="Times New Roman" w:hAnsi="Times New Roman" w:eastAsia="宋体" w:cs="Times New Roman"/>
          <w:color w:val="000000"/>
          <w:sz w:val="21"/>
          <w:szCs w:val="21"/>
          <w:lang w:bidi="en-US"/>
        </w:rPr>
      </w:pPr>
      <w:r>
        <w:rPr>
          <w:rFonts w:hint="default" w:ascii="Times New Roman" w:hAnsi="Times New Roman" w:eastAsia="宋体" w:cs="Times New Roman"/>
          <w:i/>
          <w:iCs/>
          <w:sz w:val="21"/>
          <w:szCs w:val="21"/>
          <w:highlight w:val="none"/>
          <w:lang w:val="en-US" w:eastAsia="zh-CN"/>
        </w:rPr>
        <w:t>H</w:t>
      </w:r>
      <w:r>
        <w:rPr>
          <w:rFonts w:hint="default" w:ascii="Times New Roman" w:hAnsi="Times New Roman" w:eastAsia="宋体" w:cs="Times New Roman"/>
          <w:color w:val="000000"/>
          <w:sz w:val="21"/>
          <w:szCs w:val="21"/>
          <w:lang w:val="zh-TW" w:eastAsia="zh-TW" w:bidi="zh-TW"/>
        </w:rPr>
        <w:t>—</w:t>
      </w:r>
      <w:r>
        <w:rPr>
          <w:rFonts w:hint="default" w:ascii="Times New Roman" w:hAnsi="Times New Roman" w:eastAsia="宋体" w:cs="Times New Roman"/>
          <w:sz w:val="21"/>
          <w:szCs w:val="21"/>
          <w:highlight w:val="none"/>
          <w:lang w:val="en-US" w:eastAsia="zh-CN"/>
        </w:rPr>
        <w:t>深度千分尺对冲头上部至压紧螺帽上平面的距离3次测量值的算术平均值，mm；</w:t>
      </w:r>
    </w:p>
    <w:p>
      <w:pPr>
        <w:keepNext w:val="0"/>
        <w:keepLines w:val="0"/>
        <w:pageBreakBefore w:val="0"/>
        <w:widowControl w:val="0"/>
        <w:kinsoku/>
        <w:wordWrap/>
        <w:overflowPunct/>
        <w:topLinePunct w:val="0"/>
        <w:autoSpaceDE/>
        <w:autoSpaceDN/>
        <w:bidi w:val="0"/>
        <w:adjustRightInd/>
        <w:snapToGrid/>
        <w:spacing w:after="100"/>
        <w:ind w:firstLine="482"/>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i/>
          <w:iCs/>
          <w:sz w:val="21"/>
          <w:szCs w:val="21"/>
          <w:highlight w:val="none"/>
          <w:lang w:val="en-US" w:eastAsia="zh-CN"/>
        </w:rPr>
        <w:t>P</w:t>
      </w:r>
      <w:r>
        <w:rPr>
          <w:rFonts w:hint="default" w:ascii="Times New Roman" w:hAnsi="Times New Roman" w:eastAsia="宋体" w:cs="Times New Roman"/>
          <w:color w:val="000000"/>
          <w:sz w:val="21"/>
          <w:szCs w:val="21"/>
          <w:lang w:val="zh-TW" w:eastAsia="zh-TW" w:bidi="zh-TW"/>
        </w:rPr>
        <w:t>—</w:t>
      </w:r>
      <w:r>
        <w:rPr>
          <w:rFonts w:hint="default" w:ascii="Times New Roman" w:hAnsi="Times New Roman" w:eastAsia="宋体" w:cs="Times New Roman"/>
          <w:sz w:val="21"/>
          <w:szCs w:val="21"/>
          <w:highlight w:val="none"/>
          <w:lang w:val="en-US" w:eastAsia="zh-CN"/>
        </w:rPr>
        <w:t>深度千分尺对校准片厚度3次测量值的算术平均值，mm。</w:t>
      </w:r>
    </w:p>
    <w:p>
      <w:pPr>
        <w:keepNext w:val="0"/>
        <w:keepLines w:val="0"/>
        <w:pageBreakBefore w:val="0"/>
        <w:widowControl w:val="0"/>
        <w:kinsoku/>
        <w:wordWrap/>
        <w:overflowPunct/>
        <w:topLinePunct w:val="0"/>
        <w:autoSpaceDE/>
        <w:autoSpaceDN/>
        <w:bidi w:val="0"/>
        <w:adjustRightInd/>
        <w:snapToGrid/>
        <w:spacing w:after="100"/>
        <w:ind w:firstLine="482"/>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方法3：</w:t>
      </w:r>
      <w:r>
        <w:rPr>
          <w:rFonts w:hint="default" w:ascii="Times New Roman" w:hAnsi="Times New Roman" w:eastAsia="宋体" w:cs="Times New Roman"/>
          <w:b w:val="0"/>
          <w:bCs w:val="0"/>
          <w:sz w:val="21"/>
          <w:szCs w:val="21"/>
          <w:lang w:val="en-US" w:eastAsia="zh-CN"/>
        </w:rPr>
        <w:t xml:space="preserve"> </w:t>
      </w:r>
      <w:r>
        <w:rPr>
          <w:rFonts w:hint="default" w:ascii="Times New Roman" w:hAnsi="Times New Roman" w:eastAsia="宋体" w:cs="Times New Roman"/>
          <w:sz w:val="21"/>
          <w:szCs w:val="21"/>
          <w:highlight w:val="none"/>
          <w:lang w:val="en-US" w:eastAsia="zh-CN"/>
        </w:rPr>
        <w:t>将导管旋下来，将纯铝板平放在铁砧表面上，用手向下轻压冲头上部至刚好接触纯铝板，此时用笔在冲头上画线标记位置A，此位置与冲头导槽上端平齐。然后，移除纯铝板，用手向下压紧冲头，此时用笔再在冲头上画线标记其与冲头导槽上端平齐位置B。取下冲头用卡尺测量A与B两个位置的平行轴线方向的距离</w:t>
      </w:r>
      <w:r>
        <w:rPr>
          <w:rFonts w:hint="default" w:ascii="Times New Roman" w:hAnsi="Times New Roman" w:eastAsia="宋体" w:cs="Times New Roman"/>
          <w:kern w:val="2"/>
          <w:position w:val="-14"/>
          <w:sz w:val="21"/>
          <w:szCs w:val="21"/>
          <w:lang w:val="en-US" w:eastAsia="zh-CN" w:bidi="ar-SA"/>
        </w:rPr>
        <w:object>
          <v:shape id="_x0000_i1027" o:spt="75" type="#_x0000_t75" style="height:20pt;width:23pt;" o:ole="t" filled="f" o:preferrelative="t" stroked="f" coordsize="21600,21600">
            <v:path/>
            <v:fill on="f" focussize="0,0"/>
            <v:stroke on="f"/>
            <v:imagedata r:id="rId28" o:title=""/>
            <o:lock v:ext="edit" aspectratio="t"/>
            <w10:wrap type="none"/>
            <w10:anchorlock/>
          </v:shape>
          <o:OLEObject Type="Embed" ProgID="Equation.KSEE3" ShapeID="_x0000_i1027" DrawAspect="Content" ObjectID="_1468075727" r:id="rId27">
            <o:LockedField>false</o:LockedField>
          </o:OLEObject>
        </w:object>
      </w:r>
      <w:r>
        <w:rPr>
          <w:rFonts w:hint="default" w:ascii="Times New Roman" w:hAnsi="Times New Roman" w:eastAsia="宋体" w:cs="Times New Roman"/>
          <w:sz w:val="21"/>
          <w:szCs w:val="21"/>
          <w:highlight w:val="none"/>
          <w:lang w:val="en-US" w:eastAsia="zh-CN"/>
        </w:rPr>
        <w:t>即为冲击深度。重复三次，取平均值。</w:t>
      </w:r>
      <w:r>
        <w:rPr>
          <w:rFonts w:hint="default" w:ascii="Times New Roman" w:hAnsi="Times New Roman" w:eastAsia="宋体" w:cs="Times New Roman"/>
          <w:b w:val="0"/>
          <w:bCs w:val="0"/>
          <w:sz w:val="21"/>
          <w:szCs w:val="21"/>
          <w:lang w:val="en-US" w:eastAsia="zh-CN"/>
        </w:rPr>
        <w:t xml:space="preserve"> </w:t>
      </w:r>
    </w:p>
    <w:p>
      <w:pPr>
        <w:pStyle w:val="57"/>
        <w:spacing w:line="360" w:lineRule="auto"/>
        <w:ind w:firstLine="0" w:firstLineChars="0"/>
        <w:outlineLvl w:val="0"/>
        <w:rPr>
          <w:rStyle w:val="322"/>
          <w:rFonts w:hint="default" w:ascii="Times New Roman" w:hAnsi="Times New Roman" w:eastAsia="宋体" w:cs="Times New Roman"/>
          <w:b w:val="0"/>
          <w:bCs w:val="0"/>
          <w:kern w:val="2"/>
          <w:sz w:val="21"/>
          <w:szCs w:val="21"/>
        </w:rPr>
      </w:pPr>
      <w:bookmarkStart w:id="226" w:name="_Toc8332"/>
      <w:bookmarkStart w:id="227" w:name="_Toc28571"/>
      <w:bookmarkStart w:id="228" w:name="_Toc9263"/>
      <w:bookmarkStart w:id="229" w:name="_Toc13965"/>
      <w:bookmarkStart w:id="230" w:name="_Toc26159"/>
      <w:bookmarkStart w:id="231" w:name="_Toc11713"/>
      <w:r>
        <w:rPr>
          <w:rStyle w:val="322"/>
          <w:rFonts w:hint="default" w:ascii="Times New Roman" w:hAnsi="Times New Roman" w:eastAsia="宋体" w:cs="Times New Roman"/>
          <w:b w:val="0"/>
          <w:bCs w:val="0"/>
          <w:kern w:val="2"/>
          <w:sz w:val="21"/>
          <w:szCs w:val="21"/>
        </w:rPr>
        <w:t>7 校准结果表达</w:t>
      </w:r>
      <w:bookmarkEnd w:id="226"/>
      <w:bookmarkEnd w:id="227"/>
      <w:bookmarkEnd w:id="228"/>
      <w:bookmarkEnd w:id="229"/>
      <w:bookmarkEnd w:id="230"/>
      <w:bookmarkEnd w:id="231"/>
    </w:p>
    <w:p>
      <w:pPr>
        <w:pStyle w:val="57"/>
        <w:keepNext w:val="0"/>
        <w:keepLines w:val="0"/>
        <w:pageBreakBefore w:val="0"/>
        <w:widowControl/>
        <w:kinsoku/>
        <w:wordWrap/>
        <w:overflowPunct/>
        <w:topLinePunct w:val="0"/>
        <w:autoSpaceDE w:val="0"/>
        <w:autoSpaceDN w:val="0"/>
        <w:bidi w:val="0"/>
        <w:adjustRightInd/>
        <w:snapToGrid/>
        <w:spacing w:line="360" w:lineRule="auto"/>
        <w:ind w:firstLine="420" w:firstLineChars="200"/>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经校准的试验机出具校准证书，校准证书至少应包括以下信息：</w:t>
      </w:r>
    </w:p>
    <w:p>
      <w:pPr>
        <w:pStyle w:val="57"/>
        <w:spacing w:line="360" w:lineRule="auto"/>
        <w:ind w:firstLine="48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a）标题</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校准证书</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w:t>
      </w:r>
    </w:p>
    <w:p>
      <w:pPr>
        <w:pStyle w:val="57"/>
        <w:spacing w:line="360" w:lineRule="auto"/>
        <w:ind w:firstLine="48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b）实验室的名称和地址；</w:t>
      </w:r>
    </w:p>
    <w:p>
      <w:pPr>
        <w:pStyle w:val="57"/>
        <w:spacing w:line="360" w:lineRule="auto"/>
        <w:ind w:firstLine="48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c）实施校准活动的地点，包括客户设施、实验室固定设施以外的地点；</w:t>
      </w:r>
    </w:p>
    <w:p>
      <w:pPr>
        <w:pStyle w:val="57"/>
        <w:spacing w:line="360" w:lineRule="auto"/>
        <w:ind w:firstLine="48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d）证书的唯一性标识（如编号），每页及总页数的标识；</w:t>
      </w:r>
    </w:p>
    <w:p>
      <w:pPr>
        <w:pStyle w:val="57"/>
        <w:spacing w:line="360" w:lineRule="auto"/>
        <w:ind w:firstLine="48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e）客户的名称和联络信息；</w:t>
      </w:r>
    </w:p>
    <w:p>
      <w:pPr>
        <w:pStyle w:val="57"/>
        <w:spacing w:line="360" w:lineRule="auto"/>
        <w:ind w:firstLine="48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f）被校对象的描述和明确标识；</w:t>
      </w:r>
    </w:p>
    <w:p>
      <w:pPr>
        <w:pStyle w:val="57"/>
        <w:spacing w:line="360" w:lineRule="auto"/>
        <w:ind w:firstLine="48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g）进行校准活动的日期，如果与校准结果的有效性和应用有关时，应说明被校对象的接收日期和证书发布日期；</w:t>
      </w:r>
    </w:p>
    <w:p>
      <w:pPr>
        <w:pStyle w:val="57"/>
        <w:spacing w:line="360" w:lineRule="auto"/>
        <w:ind w:firstLine="48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h）</w:t>
      </w:r>
      <w:r>
        <w:rPr>
          <w:rFonts w:hint="default" w:ascii="Times New Roman" w:hAnsi="Times New Roman" w:eastAsia="宋体" w:cs="Times New Roman"/>
          <w:sz w:val="21"/>
          <w:szCs w:val="21"/>
          <w:lang w:val="en-US" w:eastAsia="zh-CN"/>
        </w:rPr>
        <w:t>对</w:t>
      </w:r>
      <w:r>
        <w:rPr>
          <w:rFonts w:hint="default" w:ascii="Times New Roman" w:hAnsi="Times New Roman" w:eastAsia="宋体" w:cs="Times New Roman"/>
          <w:sz w:val="21"/>
          <w:szCs w:val="21"/>
        </w:rPr>
        <w:t>校准所依据的技术规范的标识，包括名称及代号；</w:t>
      </w:r>
    </w:p>
    <w:p>
      <w:pPr>
        <w:pStyle w:val="57"/>
        <w:spacing w:line="360" w:lineRule="auto"/>
        <w:ind w:firstLine="48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i）本次校准所用的测量标准和溯源性及有效性说明；</w:t>
      </w:r>
    </w:p>
    <w:p>
      <w:pPr>
        <w:pStyle w:val="57"/>
        <w:spacing w:line="360" w:lineRule="auto"/>
        <w:ind w:firstLine="48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j）校准环境的描述；</w:t>
      </w:r>
    </w:p>
    <w:p>
      <w:pPr>
        <w:pStyle w:val="57"/>
        <w:spacing w:line="360" w:lineRule="auto"/>
        <w:ind w:firstLine="48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k）校准结果及其测量不确定度的说明（给出整个测量范围校准结果测量不确定度的最大值）；</w:t>
      </w:r>
    </w:p>
    <w:p>
      <w:pPr>
        <w:pStyle w:val="57"/>
        <w:spacing w:line="360" w:lineRule="auto"/>
        <w:ind w:firstLine="48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l）校准证书签发人的签名、职务或等效标识，以及签发日期；</w:t>
      </w:r>
    </w:p>
    <w:p>
      <w:pPr>
        <w:pStyle w:val="57"/>
        <w:spacing w:line="360" w:lineRule="auto"/>
        <w:ind w:firstLine="48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m）校准人和核验人签名；</w:t>
      </w:r>
    </w:p>
    <w:p>
      <w:pPr>
        <w:pStyle w:val="57"/>
        <w:spacing w:line="360" w:lineRule="auto"/>
        <w:ind w:firstLine="480"/>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val="en-US" w:eastAsia="zh-CN"/>
        </w:rPr>
        <w:t>n</w:t>
      </w:r>
      <w:r>
        <w:rPr>
          <w:rFonts w:hint="default" w:ascii="Times New Roman" w:hAnsi="Times New Roman" w:eastAsia="宋体" w:cs="Times New Roman"/>
          <w:sz w:val="21"/>
          <w:szCs w:val="21"/>
        </w:rPr>
        <w:t>）校准</w:t>
      </w:r>
      <w:r>
        <w:rPr>
          <w:rFonts w:hint="default" w:ascii="Times New Roman" w:hAnsi="Times New Roman" w:eastAsia="宋体" w:cs="Times New Roman"/>
          <w:sz w:val="21"/>
          <w:szCs w:val="21"/>
          <w:lang w:val="en-US" w:eastAsia="zh-CN"/>
        </w:rPr>
        <w:t>结果</w:t>
      </w:r>
      <w:r>
        <w:rPr>
          <w:rFonts w:hint="default" w:ascii="Times New Roman" w:hAnsi="Times New Roman" w:eastAsia="宋体" w:cs="Times New Roman"/>
          <w:sz w:val="21"/>
          <w:szCs w:val="21"/>
        </w:rPr>
        <w:t>仅对被校对象有效</w:t>
      </w:r>
      <w:r>
        <w:rPr>
          <w:rFonts w:hint="default" w:ascii="Times New Roman" w:hAnsi="Times New Roman" w:eastAsia="宋体" w:cs="Times New Roman"/>
          <w:sz w:val="21"/>
          <w:szCs w:val="21"/>
          <w:lang w:val="en-US" w:eastAsia="zh-CN"/>
        </w:rPr>
        <w:t>的</w:t>
      </w:r>
      <w:r>
        <w:rPr>
          <w:rFonts w:hint="default" w:ascii="Times New Roman" w:hAnsi="Times New Roman" w:eastAsia="宋体" w:cs="Times New Roman"/>
          <w:sz w:val="21"/>
          <w:szCs w:val="21"/>
        </w:rPr>
        <w:t>声明</w:t>
      </w:r>
      <w:r>
        <w:rPr>
          <w:rFonts w:hint="default" w:ascii="Times New Roman" w:hAnsi="Times New Roman" w:eastAsia="宋体" w:cs="Times New Roman"/>
          <w:sz w:val="21"/>
          <w:szCs w:val="21"/>
          <w:lang w:eastAsia="zh-CN"/>
        </w:rPr>
        <w:t>；</w:t>
      </w:r>
    </w:p>
    <w:p>
      <w:pPr>
        <w:pStyle w:val="57"/>
        <w:spacing w:line="360" w:lineRule="auto"/>
        <w:ind w:firstLine="480"/>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val="en-US" w:eastAsia="zh-CN"/>
        </w:rPr>
        <w:t>o</w:t>
      </w:r>
      <w:r>
        <w:rPr>
          <w:rFonts w:hint="default" w:ascii="Times New Roman" w:hAnsi="Times New Roman" w:eastAsia="宋体" w:cs="Times New Roman"/>
          <w:sz w:val="21"/>
          <w:szCs w:val="21"/>
        </w:rPr>
        <w:t>）未经校准实验室书面批准，不得部分复制校准证书的声明</w:t>
      </w:r>
      <w:r>
        <w:rPr>
          <w:rFonts w:hint="default" w:ascii="Times New Roman" w:hAnsi="Times New Roman" w:eastAsia="宋体" w:cs="Times New Roman"/>
          <w:sz w:val="21"/>
          <w:szCs w:val="21"/>
          <w:lang w:eastAsia="zh-CN"/>
        </w:rPr>
        <w:t>。</w:t>
      </w:r>
    </w:p>
    <w:p>
      <w:pPr>
        <w:pStyle w:val="57"/>
        <w:spacing w:line="360" w:lineRule="auto"/>
        <w:ind w:firstLine="48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校准原始记录参考格式见附录A，校准证书参考格式见附录B。</w:t>
      </w:r>
    </w:p>
    <w:p>
      <w:pPr>
        <w:pStyle w:val="57"/>
        <w:spacing w:line="360" w:lineRule="auto"/>
        <w:ind w:firstLine="0" w:firstLineChars="0"/>
        <w:outlineLvl w:val="0"/>
        <w:rPr>
          <w:rFonts w:hint="default" w:ascii="Times New Roman" w:hAnsi="Times New Roman" w:eastAsia="宋体" w:cs="Times New Roman"/>
          <w:sz w:val="21"/>
          <w:szCs w:val="21"/>
        </w:rPr>
      </w:pPr>
      <w:bookmarkStart w:id="232" w:name="_Toc1835"/>
      <w:bookmarkStart w:id="233" w:name="_Toc18447"/>
      <w:bookmarkStart w:id="234" w:name="_Toc18838"/>
      <w:bookmarkStart w:id="235" w:name="_Toc14162"/>
      <w:bookmarkStart w:id="236" w:name="_Toc7966"/>
      <w:bookmarkStart w:id="237" w:name="_Toc3813"/>
      <w:bookmarkStart w:id="238" w:name="_Toc15252"/>
      <w:r>
        <w:rPr>
          <w:rFonts w:hint="default" w:ascii="Times New Roman" w:hAnsi="Times New Roman" w:eastAsia="宋体" w:cs="Times New Roman"/>
          <w:b w:val="0"/>
          <w:bCs w:val="0"/>
          <w:sz w:val="21"/>
          <w:szCs w:val="21"/>
        </w:rPr>
        <w:t xml:space="preserve">8 </w:t>
      </w:r>
      <w:r>
        <w:rPr>
          <w:rStyle w:val="323"/>
          <w:rFonts w:hint="default" w:ascii="Times New Roman" w:hAnsi="Times New Roman" w:eastAsia="宋体" w:cs="Times New Roman"/>
          <w:b w:val="0"/>
          <w:bCs w:val="0"/>
          <w:sz w:val="21"/>
          <w:szCs w:val="21"/>
        </w:rPr>
        <w:t>复校时间间隔</w:t>
      </w:r>
      <w:bookmarkEnd w:id="232"/>
      <w:bookmarkEnd w:id="233"/>
      <w:bookmarkEnd w:id="234"/>
      <w:bookmarkEnd w:id="235"/>
      <w:bookmarkEnd w:id="236"/>
      <w:bookmarkEnd w:id="237"/>
      <w:bookmarkEnd w:id="238"/>
    </w:p>
    <w:p>
      <w:pPr>
        <w:pStyle w:val="57"/>
        <w:spacing w:line="360" w:lineRule="auto"/>
        <w:ind w:firstLine="420" w:firstLine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复校时间间隔的长短取决于其使用情况，使用单位可根据实际使用情况自主决定复校的时间，建议复校时间间隔为1年。</w:t>
      </w:r>
    </w:p>
    <w:bookmarkEnd w:id="1"/>
    <w:p>
      <w:pPr>
        <w:pStyle w:val="73"/>
        <w:numPr>
          <w:ilvl w:val="0"/>
          <w:numId w:val="0"/>
        </w:numPr>
        <w:tabs>
          <w:tab w:val="left" w:pos="426"/>
        </w:tabs>
        <w:spacing w:before="312" w:beforeLines="100" w:after="312" w:afterLines="100"/>
        <w:ind w:leftChars="-200"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三、</w:t>
      </w:r>
      <w:r>
        <w:rPr>
          <w:rFonts w:hint="default" w:ascii="Times New Roman" w:hAnsi="Times New Roman" w:eastAsia="宋体" w:cs="Times New Roman"/>
          <w:sz w:val="21"/>
          <w:szCs w:val="21"/>
        </w:rPr>
        <w:t>实践检测情况</w:t>
      </w:r>
    </w:p>
    <w:p>
      <w:pPr>
        <w:spacing w:line="360" w:lineRule="auto"/>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国标（北京）检验认证有限公司根据本</w:t>
      </w:r>
      <w:r>
        <w:rPr>
          <w:rFonts w:hint="default" w:ascii="Times New Roman" w:hAnsi="Times New Roman" w:eastAsia="宋体" w:cs="Times New Roman"/>
          <w:sz w:val="21"/>
          <w:szCs w:val="21"/>
          <w:lang w:val="en-US" w:eastAsia="zh-CN"/>
        </w:rPr>
        <w:t>规范</w:t>
      </w:r>
      <w:r>
        <w:rPr>
          <w:rFonts w:hint="default" w:ascii="Times New Roman" w:hAnsi="Times New Roman" w:eastAsia="宋体" w:cs="Times New Roman"/>
          <w:sz w:val="21"/>
          <w:szCs w:val="21"/>
        </w:rPr>
        <w:t>对</w:t>
      </w:r>
      <w:r>
        <w:rPr>
          <w:rFonts w:hint="default" w:ascii="Times New Roman" w:hAnsi="Times New Roman" w:eastAsia="宋体" w:cs="Times New Roman"/>
          <w:sz w:val="21"/>
          <w:szCs w:val="21"/>
          <w:lang w:val="en-US" w:eastAsia="zh-CN"/>
        </w:rPr>
        <w:t>落球冲击试验机</w:t>
      </w:r>
      <w:r>
        <w:rPr>
          <w:rFonts w:hint="default" w:ascii="Times New Roman" w:hAnsi="Times New Roman" w:eastAsia="宋体" w:cs="Times New Roman"/>
          <w:sz w:val="21"/>
          <w:szCs w:val="21"/>
        </w:rPr>
        <w:t>进行了全计量特性的校准，内容详见校准报告。</w:t>
      </w:r>
    </w:p>
    <w:p>
      <w:pPr>
        <w:pStyle w:val="73"/>
        <w:numPr>
          <w:ilvl w:val="0"/>
          <w:numId w:val="0"/>
        </w:numPr>
        <w:tabs>
          <w:tab w:val="left" w:pos="426"/>
        </w:tabs>
        <w:spacing w:before="312" w:beforeLines="100" w:after="312" w:afterLines="100"/>
        <w:ind w:leftChars="-200" w:firstLine="420" w:firstLineChars="200"/>
        <w:jc w:val="left"/>
        <w:rPr>
          <w:rFonts w:hint="default" w:ascii="Times New Roman" w:hAnsi="Times New Roman" w:eastAsia="宋体" w:cs="Times New Roman"/>
          <w:sz w:val="21"/>
          <w:szCs w:val="21"/>
        </w:rPr>
      </w:pPr>
      <w:bookmarkStart w:id="239" w:name="_Toc464728965"/>
      <w:r>
        <w:rPr>
          <w:rFonts w:hint="default" w:ascii="Times New Roman" w:hAnsi="Times New Roman" w:eastAsia="宋体" w:cs="Times New Roman"/>
          <w:sz w:val="21"/>
          <w:szCs w:val="21"/>
          <w:lang w:val="en-US" w:eastAsia="zh-CN"/>
        </w:rPr>
        <w:t>四、</w:t>
      </w:r>
      <w:r>
        <w:rPr>
          <w:rFonts w:hint="default" w:ascii="Times New Roman" w:hAnsi="Times New Roman" w:eastAsia="宋体" w:cs="Times New Roman"/>
          <w:sz w:val="21"/>
          <w:szCs w:val="21"/>
        </w:rPr>
        <w:t>标准水平分析</w:t>
      </w:r>
      <w:bookmarkEnd w:id="239"/>
    </w:p>
    <w:p>
      <w:pPr>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    本规程的制定填补了有色金属行业用</w:t>
      </w:r>
      <w:r>
        <w:rPr>
          <w:rFonts w:hint="default" w:ascii="Times New Roman" w:hAnsi="Times New Roman" w:eastAsia="宋体" w:cs="Times New Roman"/>
          <w:sz w:val="21"/>
          <w:szCs w:val="21"/>
          <w:lang w:val="en-US" w:eastAsia="zh-CN"/>
        </w:rPr>
        <w:t>落球冲击试验机</w:t>
      </w:r>
      <w:r>
        <w:rPr>
          <w:rFonts w:hint="default" w:ascii="Times New Roman" w:hAnsi="Times New Roman" w:eastAsia="宋体" w:cs="Times New Roman"/>
          <w:sz w:val="21"/>
          <w:szCs w:val="21"/>
        </w:rPr>
        <w:t>的校准空白，属于国内首创，水平达到国内领先。</w:t>
      </w:r>
    </w:p>
    <w:p>
      <w:pPr>
        <w:pStyle w:val="73"/>
        <w:numPr>
          <w:ilvl w:val="0"/>
          <w:numId w:val="0"/>
        </w:numPr>
        <w:tabs>
          <w:tab w:val="left" w:pos="426"/>
        </w:tabs>
        <w:spacing w:before="312" w:beforeLines="100" w:after="312" w:afterLines="100"/>
        <w:ind w:leftChars="-200" w:firstLine="420" w:firstLineChars="200"/>
        <w:jc w:val="left"/>
        <w:rPr>
          <w:rFonts w:hint="default" w:ascii="Times New Roman" w:hAnsi="Times New Roman" w:eastAsia="宋体" w:cs="Times New Roman"/>
          <w:sz w:val="21"/>
          <w:szCs w:val="21"/>
        </w:rPr>
      </w:pPr>
      <w:bookmarkStart w:id="240" w:name="_Toc464728972"/>
      <w:r>
        <w:rPr>
          <w:rFonts w:hint="default" w:ascii="Times New Roman" w:hAnsi="Times New Roman" w:eastAsia="宋体" w:cs="Times New Roman"/>
          <w:sz w:val="21"/>
          <w:szCs w:val="21"/>
          <w:lang w:val="en-US" w:eastAsia="zh-CN"/>
        </w:rPr>
        <w:t>五、</w:t>
      </w:r>
      <w:r>
        <w:rPr>
          <w:rFonts w:hint="default" w:ascii="Times New Roman" w:hAnsi="Times New Roman" w:eastAsia="宋体" w:cs="Times New Roman"/>
          <w:sz w:val="21"/>
          <w:szCs w:val="21"/>
        </w:rPr>
        <w:t>与现行相关法律、法规、规章及相关规范，特别是规程的协调性</w:t>
      </w:r>
      <w:bookmarkEnd w:id="240"/>
    </w:p>
    <w:p>
      <w:pPr>
        <w:pStyle w:val="57"/>
        <w:spacing w:line="360" w:lineRule="auto"/>
        <w:ind w:left="0" w:leftChars="0"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本规范所引用的规程及规范均为我国现行有效的计量规程及规范，是本标准的一部分，引用这些规程及规范后，使本规范的要求与现行的相关法律、法规、规章及相关规程规范的关系不矛盾、不冲突，其相互关系非常协调。</w:t>
      </w:r>
    </w:p>
    <w:p>
      <w:pPr>
        <w:pStyle w:val="73"/>
        <w:numPr>
          <w:ilvl w:val="0"/>
          <w:numId w:val="0"/>
        </w:numPr>
        <w:tabs>
          <w:tab w:val="left" w:pos="426"/>
        </w:tabs>
        <w:spacing w:before="312" w:beforeLines="100" w:after="312" w:afterLines="100"/>
        <w:ind w:leftChars="-200" w:firstLine="420" w:firstLineChars="200"/>
        <w:jc w:val="left"/>
        <w:rPr>
          <w:rFonts w:hint="default" w:ascii="Times New Roman" w:hAnsi="Times New Roman" w:eastAsia="宋体" w:cs="Times New Roman"/>
          <w:sz w:val="21"/>
          <w:szCs w:val="21"/>
        </w:rPr>
      </w:pPr>
      <w:bookmarkStart w:id="241" w:name="_Toc464728973"/>
      <w:r>
        <w:rPr>
          <w:rFonts w:hint="default" w:ascii="Times New Roman" w:hAnsi="Times New Roman" w:eastAsia="宋体" w:cs="Times New Roman"/>
          <w:sz w:val="21"/>
          <w:szCs w:val="21"/>
          <w:lang w:val="en-US" w:eastAsia="zh-CN"/>
        </w:rPr>
        <w:t>六、</w:t>
      </w:r>
      <w:r>
        <w:rPr>
          <w:rFonts w:hint="default" w:ascii="Times New Roman" w:hAnsi="Times New Roman" w:eastAsia="宋体" w:cs="Times New Roman"/>
          <w:sz w:val="21"/>
          <w:szCs w:val="21"/>
        </w:rPr>
        <w:t>标准中涉及的专利或知识产权说明</w:t>
      </w:r>
      <w:bookmarkEnd w:id="241"/>
    </w:p>
    <w:p>
      <w:pPr>
        <w:pStyle w:val="57"/>
        <w:spacing w:line="300" w:lineRule="auto"/>
        <w:ind w:firstLine="420"/>
        <w:contextualSpacing/>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本标准不涉及任何专利或知识产权。</w:t>
      </w:r>
    </w:p>
    <w:p>
      <w:pPr>
        <w:pStyle w:val="73"/>
        <w:numPr>
          <w:ilvl w:val="0"/>
          <w:numId w:val="0"/>
        </w:numPr>
        <w:tabs>
          <w:tab w:val="left" w:pos="426"/>
        </w:tabs>
        <w:spacing w:before="312" w:beforeLines="100" w:after="312" w:afterLines="100"/>
        <w:ind w:leftChars="-200" w:firstLine="420" w:firstLineChars="200"/>
        <w:jc w:val="left"/>
        <w:rPr>
          <w:rFonts w:hint="default" w:ascii="Times New Roman" w:hAnsi="Times New Roman" w:eastAsia="宋体" w:cs="Times New Roman"/>
          <w:sz w:val="21"/>
          <w:szCs w:val="21"/>
        </w:rPr>
      </w:pPr>
      <w:bookmarkStart w:id="242" w:name="_Toc464728974"/>
      <w:r>
        <w:rPr>
          <w:rFonts w:hint="default" w:ascii="Times New Roman" w:hAnsi="Times New Roman" w:eastAsia="宋体" w:cs="Times New Roman"/>
          <w:sz w:val="21"/>
          <w:szCs w:val="21"/>
          <w:lang w:val="en-US" w:eastAsia="zh-CN"/>
        </w:rPr>
        <w:t>七、</w:t>
      </w:r>
      <w:r>
        <w:rPr>
          <w:rFonts w:hint="default" w:ascii="Times New Roman" w:hAnsi="Times New Roman" w:eastAsia="宋体" w:cs="Times New Roman"/>
          <w:sz w:val="21"/>
          <w:szCs w:val="21"/>
        </w:rPr>
        <w:t>重大分歧意见的处理经过和依据</w:t>
      </w:r>
      <w:bookmarkEnd w:id="242"/>
    </w:p>
    <w:p>
      <w:pPr>
        <w:pStyle w:val="57"/>
        <w:spacing w:line="300" w:lineRule="auto"/>
        <w:ind w:firstLine="420"/>
        <w:contextualSpacing/>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（无）</w:t>
      </w:r>
    </w:p>
    <w:p>
      <w:pPr>
        <w:pStyle w:val="73"/>
        <w:numPr>
          <w:ilvl w:val="0"/>
          <w:numId w:val="0"/>
        </w:numPr>
        <w:tabs>
          <w:tab w:val="left" w:pos="426"/>
        </w:tabs>
        <w:spacing w:before="312" w:beforeLines="100" w:after="312" w:afterLines="100"/>
        <w:ind w:leftChars="-200" w:firstLine="420" w:firstLineChars="200"/>
        <w:jc w:val="left"/>
        <w:rPr>
          <w:rFonts w:hint="default" w:ascii="Times New Roman" w:hAnsi="Times New Roman" w:eastAsia="宋体" w:cs="Times New Roman"/>
          <w:sz w:val="21"/>
          <w:szCs w:val="21"/>
        </w:rPr>
      </w:pPr>
      <w:bookmarkStart w:id="243" w:name="_Toc464728976"/>
      <w:r>
        <w:rPr>
          <w:rFonts w:hint="default" w:ascii="Times New Roman" w:hAnsi="Times New Roman" w:eastAsia="宋体" w:cs="Times New Roman"/>
          <w:sz w:val="21"/>
          <w:szCs w:val="21"/>
          <w:lang w:val="en-US" w:eastAsia="zh-CN"/>
        </w:rPr>
        <w:t>八、</w:t>
      </w:r>
      <w:r>
        <w:rPr>
          <w:rFonts w:hint="default" w:ascii="Times New Roman" w:hAnsi="Times New Roman" w:eastAsia="宋体" w:cs="Times New Roman"/>
          <w:sz w:val="21"/>
          <w:szCs w:val="21"/>
        </w:rPr>
        <w:t>贯彻规范的要求和措施建议</w:t>
      </w:r>
      <w:bookmarkEnd w:id="243"/>
    </w:p>
    <w:p>
      <w:pPr>
        <w:pStyle w:val="57"/>
        <w:spacing w:line="360" w:lineRule="auto"/>
        <w:ind w:firstLine="420"/>
        <w:contextualSpacing/>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本规范发布后，中国有色金属行业协会和有色金属行业计量技术委员会应加强本规范的宣传力度，促进</w:t>
      </w:r>
      <w:r>
        <w:rPr>
          <w:rFonts w:hint="default" w:ascii="Times New Roman" w:hAnsi="Times New Roman" w:eastAsia="宋体" w:cs="Times New Roman"/>
          <w:sz w:val="21"/>
          <w:szCs w:val="21"/>
          <w:lang w:val="en-US" w:eastAsia="zh-CN"/>
        </w:rPr>
        <w:t>铜合金冲刷腐蚀试验机</w:t>
      </w:r>
      <w:r>
        <w:rPr>
          <w:rFonts w:hint="default" w:ascii="Times New Roman" w:hAnsi="Times New Roman" w:eastAsia="宋体" w:cs="Times New Roman"/>
          <w:sz w:val="21"/>
          <w:szCs w:val="21"/>
        </w:rPr>
        <w:t>生产厂家按照设备使用情况合理选用校准规程，以促进我国企业的技术进步和产品质量，提高我国产品在国际、国内市场的竞争能力，走出国门践行“一带一路”，有效地化解我国的</w:t>
      </w:r>
      <w:r>
        <w:rPr>
          <w:rFonts w:hint="default" w:ascii="Times New Roman" w:hAnsi="Times New Roman" w:eastAsia="宋体" w:cs="Times New Roman"/>
          <w:sz w:val="21"/>
          <w:szCs w:val="21"/>
          <w:lang w:val="en-US" w:eastAsia="zh-CN"/>
        </w:rPr>
        <w:t>有色金属</w:t>
      </w:r>
      <w:r>
        <w:rPr>
          <w:rFonts w:hint="default" w:ascii="Times New Roman" w:hAnsi="Times New Roman" w:eastAsia="宋体" w:cs="Times New Roman"/>
          <w:sz w:val="21"/>
          <w:szCs w:val="21"/>
        </w:rPr>
        <w:t>产能过剩，促进</w:t>
      </w:r>
      <w:r>
        <w:rPr>
          <w:rFonts w:hint="default" w:ascii="Times New Roman" w:hAnsi="Times New Roman" w:eastAsia="宋体" w:cs="Times New Roman"/>
          <w:sz w:val="21"/>
          <w:szCs w:val="21"/>
          <w:lang w:val="en-US" w:eastAsia="zh-CN"/>
        </w:rPr>
        <w:t>有色金属</w:t>
      </w:r>
      <w:r>
        <w:rPr>
          <w:rFonts w:hint="default" w:ascii="Times New Roman" w:hAnsi="Times New Roman" w:eastAsia="宋体" w:cs="Times New Roman"/>
          <w:sz w:val="21"/>
          <w:szCs w:val="21"/>
        </w:rPr>
        <w:t>加工产业的质量提升。</w:t>
      </w:r>
    </w:p>
    <w:p>
      <w:pPr>
        <w:pStyle w:val="73"/>
        <w:numPr>
          <w:ilvl w:val="0"/>
          <w:numId w:val="0"/>
        </w:numPr>
        <w:tabs>
          <w:tab w:val="left" w:pos="426"/>
        </w:tabs>
        <w:spacing w:before="312" w:beforeLines="100" w:after="312" w:afterLines="100"/>
        <w:ind w:leftChars="-200" w:firstLine="420" w:firstLineChars="200"/>
        <w:jc w:val="left"/>
        <w:rPr>
          <w:rFonts w:hint="default" w:ascii="Times New Roman" w:hAnsi="Times New Roman" w:eastAsia="宋体" w:cs="Times New Roman"/>
          <w:sz w:val="21"/>
          <w:szCs w:val="21"/>
        </w:rPr>
      </w:pPr>
      <w:bookmarkStart w:id="244" w:name="_Toc464728977"/>
      <w:r>
        <w:rPr>
          <w:rFonts w:hint="default" w:ascii="Times New Roman" w:hAnsi="Times New Roman" w:eastAsia="宋体" w:cs="Times New Roman"/>
          <w:sz w:val="21"/>
          <w:szCs w:val="21"/>
          <w:lang w:val="en-US" w:eastAsia="zh-CN"/>
        </w:rPr>
        <w:t>九、</w:t>
      </w:r>
      <w:r>
        <w:rPr>
          <w:rFonts w:hint="default" w:ascii="Times New Roman" w:hAnsi="Times New Roman" w:eastAsia="宋体" w:cs="Times New Roman"/>
          <w:sz w:val="21"/>
          <w:szCs w:val="21"/>
        </w:rPr>
        <w:t>废止现行有关规程的建议</w:t>
      </w:r>
      <w:bookmarkEnd w:id="244"/>
    </w:p>
    <w:p>
      <w:pPr>
        <w:pStyle w:val="57"/>
        <w:spacing w:line="300" w:lineRule="auto"/>
        <w:ind w:firstLine="420"/>
        <w:contextualSpacing/>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（无）。</w:t>
      </w:r>
    </w:p>
    <w:p>
      <w:pPr>
        <w:pStyle w:val="73"/>
        <w:numPr>
          <w:ilvl w:val="0"/>
          <w:numId w:val="0"/>
        </w:numPr>
        <w:tabs>
          <w:tab w:val="left" w:pos="426"/>
        </w:tabs>
        <w:spacing w:before="312" w:beforeLines="100" w:after="312" w:afterLines="100"/>
        <w:ind w:leftChars="-200" w:firstLine="420" w:firstLineChars="200"/>
        <w:jc w:val="left"/>
        <w:rPr>
          <w:rFonts w:hint="default" w:ascii="Times New Roman" w:hAnsi="Times New Roman" w:eastAsia="宋体" w:cs="Times New Roman"/>
          <w:sz w:val="21"/>
          <w:szCs w:val="21"/>
        </w:rPr>
      </w:pPr>
      <w:bookmarkStart w:id="245" w:name="_Toc464728978"/>
      <w:r>
        <w:rPr>
          <w:rFonts w:hint="default" w:ascii="Times New Roman" w:hAnsi="Times New Roman" w:eastAsia="宋体" w:cs="Times New Roman"/>
          <w:sz w:val="21"/>
          <w:szCs w:val="21"/>
          <w:lang w:val="en-US" w:eastAsia="zh-CN"/>
        </w:rPr>
        <w:t>十、</w:t>
      </w:r>
      <w:r>
        <w:rPr>
          <w:rFonts w:hint="default" w:ascii="Times New Roman" w:hAnsi="Times New Roman" w:eastAsia="宋体" w:cs="Times New Roman"/>
          <w:sz w:val="21"/>
          <w:szCs w:val="21"/>
        </w:rPr>
        <w:t>产业化情况、推广应用论证和预期达到的经济效果</w:t>
      </w:r>
      <w:bookmarkEnd w:id="245"/>
    </w:p>
    <w:p>
      <w:pPr>
        <w:spacing w:line="360" w:lineRule="auto"/>
        <w:ind w:firstLine="420" w:firstLineChars="200"/>
        <w:contextualSpacing/>
        <w:jc w:val="left"/>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落球冲击试验机校准规范在之前的校准工作中，因没有相应的校准规范或检定规程无法满足对其性能进行全面的校准评估。本校准规范的制定，填补了原有的校准性能的空缺，对于解决落球冲击试验机校准规范日益增长的校准需求有极大的帮助。</w:t>
      </w:r>
    </w:p>
    <w:p>
      <w:pPr>
        <w:pStyle w:val="57"/>
        <w:spacing w:line="300" w:lineRule="auto"/>
        <w:ind w:firstLine="420"/>
        <w:contextualSpacing/>
        <w:rPr>
          <w:rFonts w:hint="default" w:ascii="Times New Roman" w:hAnsi="Times New Roman" w:eastAsia="宋体" w:cs="Times New Roman"/>
          <w:kern w:val="2"/>
          <w:sz w:val="21"/>
          <w:szCs w:val="21"/>
        </w:rPr>
      </w:pPr>
    </w:p>
    <w:p>
      <w:pPr>
        <w:pStyle w:val="57"/>
        <w:spacing w:line="360" w:lineRule="auto"/>
        <w:ind w:firstLine="630" w:firstLineChars="300"/>
        <w:jc w:val="both"/>
        <w:rPr>
          <w:rFonts w:hint="default" w:ascii="Times New Roman" w:hAnsi="Times New Roman" w:eastAsia="宋体" w:cs="Times New Roman"/>
          <w:sz w:val="21"/>
          <w:szCs w:val="21"/>
          <w:lang w:val="en-US" w:eastAsia="zh-CN"/>
        </w:rPr>
      </w:pPr>
    </w:p>
    <w:sectPr>
      <w:footerReference r:id="rId9" w:type="first"/>
      <w:headerReference r:id="rId7" w:type="default"/>
      <w:footerReference r:id="rId8" w:type="default"/>
      <w:pgSz w:w="11907" w:h="16839"/>
      <w:pgMar w:top="1418" w:right="1134" w:bottom="1134" w:left="1418" w:header="1418" w:footer="851" w:gutter="0"/>
      <w:pgBorders>
        <w:top w:val="none" w:sz="0" w:space="0"/>
        <w:left w:val="none" w:sz="0" w:space="0"/>
        <w:bottom w:val="none" w:sz="0" w:space="0"/>
        <w:right w:val="none" w:sz="0" w:space="0"/>
      </w:pgBorders>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2"/>
      <w:rPr>
        <w:rStyle w:val="44"/>
      </w:rPr>
    </w:pPr>
    <w:r>
      <w:rPr>
        <w:rStyle w:val="44"/>
      </w:rPr>
      <w:fldChar w:fldCharType="begin"/>
    </w:r>
    <w:r>
      <w:rPr>
        <w:rStyle w:val="44"/>
      </w:rPr>
      <w:instrText xml:space="preserve">PAGE  </w:instrText>
    </w:r>
    <w:r>
      <w:rPr>
        <w:rStyle w:val="44"/>
      </w:rPr>
      <w:fldChar w:fldCharType="separate"/>
    </w:r>
    <w:r>
      <w:rPr>
        <w:rStyle w:val="44"/>
      </w:rPr>
      <w:t>I</w:t>
    </w:r>
    <w:r>
      <w:rPr>
        <w:rStyle w:val="4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8"/>
      <w:rPr>
        <w:rStyle w:val="44"/>
      </w:rPr>
    </w:pPr>
    <w:r>
      <w:rPr>
        <w:rStyle w:val="44"/>
      </w:rPr>
      <w:fldChar w:fldCharType="begin"/>
    </w:r>
    <w:r>
      <w:rPr>
        <w:rStyle w:val="44"/>
      </w:rPr>
      <w:instrText xml:space="preserve">PAGE  </w:instrText>
    </w:r>
    <w:r>
      <w:rPr>
        <w:rStyle w:val="44"/>
      </w:rPr>
      <w:fldChar w:fldCharType="separate"/>
    </w:r>
    <w:r>
      <w:rPr>
        <w:rStyle w:val="44"/>
      </w:rPr>
      <w:t>II</w:t>
    </w:r>
    <w:r>
      <w:rPr>
        <w:rStyle w:val="4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2"/>
      <w:jc w:val="center"/>
      <w:rPr>
        <w:rStyle w:val="44"/>
      </w:rPr>
    </w:pPr>
    <w:r>
      <w:fldChar w:fldCharType="begin"/>
    </w:r>
    <w:r>
      <w:rPr>
        <w:rStyle w:val="44"/>
      </w:rPr>
      <w:instrText xml:space="preserve">PAGE  </w:instrText>
    </w:r>
    <w:r>
      <w:fldChar w:fldCharType="separate"/>
    </w:r>
    <w:r>
      <w:rPr>
        <w:rStyle w:val="44"/>
      </w:rPr>
      <w:t>14</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both"/>
    </w:pPr>
  </w:p>
  <w:p>
    <w:pPr>
      <w:pStyle w:val="27"/>
      <w:jc w:val="center"/>
      <w:rPr>
        <w:rFonts w:ascii="宋体" w:hAnsi="宋体"/>
        <w:sz w:val="21"/>
      </w:rPr>
    </w:pPr>
    <w:r>
      <w:rPr>
        <w:rFonts w:hint="eastAsia" w:ascii="宋体" w:hAnsi="宋体"/>
        <w:sz w:val="21"/>
      </w:rPr>
      <w:t>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8"/>
      <w:wordWrap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2"/>
    </w:pPr>
    <w:r>
      <w:t>GB/TXXX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widowControl w:val="0"/>
      <w:numPr>
        <w:ilvl w:val="1"/>
        <w:numId w:val="0"/>
      </w:numPr>
      <w:adjustRightInd w:val="0"/>
      <w:snapToGrid w:val="0"/>
      <w:spacing w:beforeLines="0" w:after="120"/>
      <w:outlineLvl w:val="9"/>
      <w:rPr>
        <w:rFonts w:ascii="Times New Roman" w:eastAsia="宋体"/>
        <w:kern w:val="2"/>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67AA00"/>
    <w:multiLevelType w:val="singleLevel"/>
    <w:tmpl w:val="9967AA00"/>
    <w:lvl w:ilvl="0" w:tentative="0">
      <w:start w:val="1"/>
      <w:numFmt w:val="chineseCounting"/>
      <w:suff w:val="nothing"/>
      <w:lvlText w:val="第%1、"/>
      <w:lvlJc w:val="left"/>
      <w:rPr>
        <w:rFonts w:hint="eastAsia"/>
      </w:rPr>
    </w:lvl>
  </w:abstractNum>
  <w:abstractNum w:abstractNumId="1">
    <w:nsid w:val="00000007"/>
    <w:multiLevelType w:val="multilevel"/>
    <w:tmpl w:val="00000007"/>
    <w:lvl w:ilvl="0" w:tentative="0">
      <w:start w:val="1"/>
      <w:numFmt w:val="none"/>
      <w:pStyle w:val="79"/>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C"/>
    <w:multiLevelType w:val="multilevel"/>
    <w:tmpl w:val="0000000C"/>
    <w:lvl w:ilvl="0" w:tentative="0">
      <w:start w:val="1"/>
      <w:numFmt w:val="none"/>
      <w:pStyle w:val="107"/>
      <w:lvlText w:val="%1示例"/>
      <w:lvlJc w:val="left"/>
      <w:pPr>
        <w:tabs>
          <w:tab w:val="left" w:pos="1120"/>
        </w:tabs>
        <w:ind w:left="0" w:firstLine="400"/>
      </w:pPr>
      <w:rPr>
        <w:rFonts w:hint="eastAsia" w:asci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10"/>
    <w:multiLevelType w:val="multilevel"/>
    <w:tmpl w:val="00000010"/>
    <w:lvl w:ilvl="0" w:tentative="0">
      <w:start w:val="1"/>
      <w:numFmt w:val="none"/>
      <w:pStyle w:val="90"/>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13"/>
    <w:multiLevelType w:val="multilevel"/>
    <w:tmpl w:val="00000013"/>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pacing w:val="0"/>
        <w:w w:val="100"/>
        <w:kern w:val="21"/>
        <w:sz w:val="21"/>
      </w:rPr>
    </w:lvl>
    <w:lvl w:ilvl="2" w:tentative="0">
      <w:start w:val="1"/>
      <w:numFmt w:val="decimal"/>
      <w:pStyle w:val="117"/>
      <w:suff w:val="nothing"/>
      <w:lvlText w:val="%1%2.%3　"/>
      <w:lvlJc w:val="left"/>
      <w:pPr>
        <w:ind w:left="0" w:firstLine="0"/>
      </w:pPr>
      <w:rPr>
        <w:rFonts w:hint="eastAsia" w:ascii="黑体" w:hAnsi="Times New Roman" w:eastAsia="黑体"/>
        <w:b w:val="0"/>
        <w:i w:val="0"/>
        <w:sz w:val="21"/>
      </w:rPr>
    </w:lvl>
    <w:lvl w:ilvl="3" w:tentative="0">
      <w:start w:val="1"/>
      <w:numFmt w:val="decimal"/>
      <w:pStyle w:val="93"/>
      <w:suff w:val="nothing"/>
      <w:lvlText w:val="%1%2.%3.%4　"/>
      <w:lvlJc w:val="left"/>
      <w:pPr>
        <w:ind w:left="0" w:firstLine="0"/>
      </w:pPr>
      <w:rPr>
        <w:rFonts w:hint="eastAsia" w:ascii="黑体" w:hAnsi="Times New Roman" w:eastAsia="黑体"/>
        <w:b w:val="0"/>
        <w:i w:val="0"/>
        <w:sz w:val="21"/>
      </w:rPr>
    </w:lvl>
    <w:lvl w:ilvl="4" w:tentative="0">
      <w:start w:val="1"/>
      <w:numFmt w:val="decimal"/>
      <w:pStyle w:val="115"/>
      <w:suff w:val="nothing"/>
      <w:lvlText w:val="%1%2.%3.%4.%5　"/>
      <w:lvlJc w:val="left"/>
      <w:pPr>
        <w:ind w:left="0" w:firstLine="0"/>
      </w:pPr>
      <w:rPr>
        <w:rFonts w:hint="eastAsia" w:ascii="黑体" w:hAnsi="Times New Roman" w:eastAsia="黑体"/>
        <w:b w:val="0"/>
        <w:i w:val="0"/>
        <w:sz w:val="21"/>
      </w:rPr>
    </w:lvl>
    <w:lvl w:ilvl="5" w:tentative="0">
      <w:start w:val="1"/>
      <w:numFmt w:val="decimal"/>
      <w:pStyle w:val="109"/>
      <w:suff w:val="nothing"/>
      <w:lvlText w:val="%1%2.%3.%4.%5.%6　"/>
      <w:lvlJc w:val="left"/>
      <w:pPr>
        <w:ind w:left="0" w:firstLine="0"/>
      </w:pPr>
      <w:rPr>
        <w:rFonts w:hint="eastAsia" w:ascii="黑体" w:hAnsi="Times New Roman" w:eastAsia="黑体"/>
        <w:b w:val="0"/>
        <w:i w:val="0"/>
        <w:sz w:val="21"/>
      </w:rPr>
    </w:lvl>
    <w:lvl w:ilvl="6" w:tentative="0">
      <w:start w:val="1"/>
      <w:numFmt w:val="decimal"/>
      <w:pStyle w:val="82"/>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5">
    <w:nsid w:val="00000014"/>
    <w:multiLevelType w:val="multilevel"/>
    <w:tmpl w:val="00000014"/>
    <w:lvl w:ilvl="0" w:tentative="0">
      <w:start w:val="1"/>
      <w:numFmt w:val="none"/>
      <w:pStyle w:val="114"/>
      <w:lvlText w:val="%1·　"/>
      <w:lvlJc w:val="left"/>
      <w:pPr>
        <w:tabs>
          <w:tab w:val="left" w:pos="1140"/>
        </w:tabs>
        <w:ind w:left="737" w:hanging="317"/>
      </w:pPr>
      <w:rPr>
        <w:rFonts w:hint="eastAsia" w:ascii="宋体" w:hAnsi="Times New Roman" w:eastAsia="宋体"/>
        <w:b w:val="0"/>
        <w:i w:val="0"/>
        <w:sz w:val="21"/>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6">
    <w:nsid w:val="00000015"/>
    <w:multiLevelType w:val="multilevel"/>
    <w:tmpl w:val="00000015"/>
    <w:lvl w:ilvl="0" w:tentative="0">
      <w:start w:val="1"/>
      <w:numFmt w:val="upperLetter"/>
      <w:pStyle w:val="64"/>
      <w:suff w:val="nothing"/>
      <w:lvlText w:val="附　录　%1"/>
      <w:lvlJc w:val="left"/>
      <w:pPr>
        <w:ind w:left="0" w:firstLine="0"/>
      </w:pPr>
      <w:rPr>
        <w:rFonts w:hint="eastAsia" w:ascii="黑体" w:hAnsi="Times New Roman" w:eastAsia="黑体"/>
        <w:b w:val="0"/>
        <w:i w:val="0"/>
        <w:sz w:val="21"/>
      </w:rPr>
    </w:lvl>
    <w:lvl w:ilvl="1" w:tentative="0">
      <w:start w:val="1"/>
      <w:numFmt w:val="japaneseCounting"/>
      <w:pStyle w:val="78"/>
      <w:lvlText w:val="（%2）"/>
      <w:lvlJc w:val="left"/>
      <w:pPr>
        <w:ind w:left="0" w:firstLine="0"/>
      </w:pPr>
      <w:rPr>
        <w:rFonts w:hint="default"/>
        <w:b w:val="0"/>
        <w:i w:val="0"/>
        <w:spacing w:val="0"/>
        <w:w w:val="100"/>
        <w:kern w:val="21"/>
        <w:sz w:val="21"/>
      </w:rPr>
    </w:lvl>
    <w:lvl w:ilvl="2" w:tentative="0">
      <w:start w:val="1"/>
      <w:numFmt w:val="decimal"/>
      <w:pStyle w:val="102"/>
      <w:suff w:val="nothing"/>
      <w:lvlText w:val="%1.%2.%3　"/>
      <w:lvlJc w:val="left"/>
      <w:pPr>
        <w:ind w:left="0" w:firstLine="0"/>
      </w:pPr>
      <w:rPr>
        <w:rFonts w:hint="eastAsia" w:ascii="黑体" w:hAnsi="Times New Roman" w:eastAsia="黑体"/>
        <w:b w:val="0"/>
        <w:i w:val="0"/>
        <w:sz w:val="21"/>
      </w:rPr>
    </w:lvl>
    <w:lvl w:ilvl="3" w:tentative="0">
      <w:start w:val="1"/>
      <w:numFmt w:val="decimal"/>
      <w:pStyle w:val="101"/>
      <w:suff w:val="nothing"/>
      <w:lvlText w:val="%1.%2.%3.%4　"/>
      <w:lvlJc w:val="left"/>
      <w:pPr>
        <w:ind w:left="0" w:firstLine="0"/>
      </w:pPr>
      <w:rPr>
        <w:rFonts w:hint="eastAsia" w:ascii="黑体" w:hAnsi="Times New Roman" w:eastAsia="黑体"/>
        <w:b w:val="0"/>
        <w:i w:val="0"/>
        <w:sz w:val="21"/>
      </w:rPr>
    </w:lvl>
    <w:lvl w:ilvl="4" w:tentative="0">
      <w:start w:val="1"/>
      <w:numFmt w:val="decimal"/>
      <w:pStyle w:val="100"/>
      <w:suff w:val="nothing"/>
      <w:lvlText w:val="%1.%2.%3.%4.%5　"/>
      <w:lvlJc w:val="left"/>
      <w:pPr>
        <w:ind w:left="0" w:firstLine="0"/>
      </w:pPr>
      <w:rPr>
        <w:rFonts w:hint="eastAsia" w:ascii="黑体" w:hAnsi="Times New Roman" w:eastAsia="黑体"/>
        <w:b w:val="0"/>
        <w:i w:val="0"/>
        <w:sz w:val="21"/>
      </w:rPr>
    </w:lvl>
    <w:lvl w:ilvl="5" w:tentative="0">
      <w:start w:val="1"/>
      <w:numFmt w:val="decimal"/>
      <w:pStyle w:val="99"/>
      <w:suff w:val="nothing"/>
      <w:lvlText w:val="%1.%2.%3.%4.%5.%6　"/>
      <w:lvlJc w:val="left"/>
      <w:pPr>
        <w:ind w:left="0" w:firstLine="0"/>
      </w:pPr>
      <w:rPr>
        <w:rFonts w:hint="eastAsia" w:ascii="黑体" w:hAnsi="Times New Roman" w:eastAsia="黑体"/>
        <w:b w:val="0"/>
        <w:i w:val="0"/>
        <w:sz w:val="21"/>
      </w:rPr>
    </w:lvl>
    <w:lvl w:ilvl="6" w:tentative="0">
      <w:start w:val="1"/>
      <w:numFmt w:val="decimal"/>
      <w:pStyle w:val="98"/>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7">
    <w:nsid w:val="00000019"/>
    <w:multiLevelType w:val="multilevel"/>
    <w:tmpl w:val="00000019"/>
    <w:lvl w:ilvl="0" w:tentative="0">
      <w:start w:val="1"/>
      <w:numFmt w:val="decimal"/>
      <w:pStyle w:val="106"/>
      <w:suff w:val="nothing"/>
      <w:lvlText w:val="表%1　"/>
      <w:lvlJc w:val="left"/>
      <w:pPr>
        <w:ind w:left="3403" w:firstLine="0"/>
      </w:pPr>
      <w:rPr>
        <w:rFonts w:hint="eastAsia" w:ascii="黑体" w:hAnsi="Times New Roman" w:eastAsia="黑体"/>
        <w:b w:val="0"/>
        <w:i w:val="0"/>
        <w:sz w:val="21"/>
      </w:rPr>
    </w:lvl>
    <w:lvl w:ilvl="1" w:tentative="0">
      <w:start w:val="1"/>
      <w:numFmt w:val="decimal"/>
      <w:lvlText w:val="%1.%2"/>
      <w:lvlJc w:val="left"/>
      <w:pPr>
        <w:tabs>
          <w:tab w:val="left" w:pos="1202"/>
        </w:tabs>
        <w:ind w:left="1202" w:hanging="567"/>
      </w:pPr>
      <w:rPr>
        <w:rFonts w:hint="eastAsia"/>
      </w:rPr>
    </w:lvl>
    <w:lvl w:ilvl="2" w:tentative="0">
      <w:start w:val="1"/>
      <w:numFmt w:val="decimal"/>
      <w:lvlText w:val="%1.%2.%3"/>
      <w:lvlJc w:val="left"/>
      <w:pPr>
        <w:tabs>
          <w:tab w:val="left" w:pos="1628"/>
        </w:tabs>
        <w:ind w:left="1628" w:hanging="567"/>
      </w:pPr>
      <w:rPr>
        <w:rFonts w:hint="eastAsia"/>
      </w:rPr>
    </w:lvl>
    <w:lvl w:ilvl="3" w:tentative="0">
      <w:start w:val="1"/>
      <w:numFmt w:val="decimal"/>
      <w:lvlText w:val="%1.%2.%3.%4"/>
      <w:lvlJc w:val="left"/>
      <w:pPr>
        <w:tabs>
          <w:tab w:val="left" w:pos="2194"/>
        </w:tabs>
        <w:ind w:left="2194" w:hanging="708"/>
      </w:pPr>
      <w:rPr>
        <w:rFonts w:hint="eastAsia"/>
      </w:rPr>
    </w:lvl>
    <w:lvl w:ilvl="4" w:tentative="0">
      <w:start w:val="1"/>
      <w:numFmt w:val="decimal"/>
      <w:lvlText w:val="%1.%2.%3.%4.%5"/>
      <w:lvlJc w:val="left"/>
      <w:pPr>
        <w:tabs>
          <w:tab w:val="left" w:pos="2761"/>
        </w:tabs>
        <w:ind w:left="2761" w:hanging="850"/>
      </w:pPr>
      <w:rPr>
        <w:rFonts w:hint="eastAsia"/>
      </w:rPr>
    </w:lvl>
    <w:lvl w:ilvl="5" w:tentative="0">
      <w:start w:val="1"/>
      <w:numFmt w:val="decimal"/>
      <w:lvlText w:val="%1.%2.%3.%4.%5.%6"/>
      <w:lvlJc w:val="left"/>
      <w:pPr>
        <w:tabs>
          <w:tab w:val="left" w:pos="3470"/>
        </w:tabs>
        <w:ind w:left="3470" w:hanging="1134"/>
      </w:pPr>
      <w:rPr>
        <w:rFonts w:hint="eastAsia"/>
      </w:rPr>
    </w:lvl>
    <w:lvl w:ilvl="6" w:tentative="0">
      <w:start w:val="1"/>
      <w:numFmt w:val="decimal"/>
      <w:lvlText w:val="%1.%2.%3.%4.%5.%6.%7"/>
      <w:lvlJc w:val="left"/>
      <w:pPr>
        <w:tabs>
          <w:tab w:val="left" w:pos="4037"/>
        </w:tabs>
        <w:ind w:left="4037" w:hanging="1276"/>
      </w:pPr>
      <w:rPr>
        <w:rFonts w:hint="eastAsia"/>
      </w:rPr>
    </w:lvl>
    <w:lvl w:ilvl="7" w:tentative="0">
      <w:start w:val="1"/>
      <w:numFmt w:val="decimal"/>
      <w:lvlText w:val="%1.%2.%3.%4.%5.%6.%7.%8"/>
      <w:lvlJc w:val="left"/>
      <w:pPr>
        <w:tabs>
          <w:tab w:val="left" w:pos="4604"/>
        </w:tabs>
        <w:ind w:left="4604" w:hanging="1418"/>
      </w:pPr>
      <w:rPr>
        <w:rFonts w:hint="eastAsia"/>
      </w:rPr>
    </w:lvl>
    <w:lvl w:ilvl="8" w:tentative="0">
      <w:start w:val="1"/>
      <w:numFmt w:val="decimal"/>
      <w:lvlText w:val="%1.%2.%3.%4.%5.%6.%7.%8.%9"/>
      <w:lvlJc w:val="left"/>
      <w:pPr>
        <w:tabs>
          <w:tab w:val="left" w:pos="5312"/>
        </w:tabs>
        <w:ind w:left="5312" w:hanging="1700"/>
      </w:pPr>
      <w:rPr>
        <w:rFonts w:hint="eastAsia"/>
      </w:rPr>
    </w:lvl>
  </w:abstractNum>
  <w:abstractNum w:abstractNumId="8">
    <w:nsid w:val="00000022"/>
    <w:multiLevelType w:val="multilevel"/>
    <w:tmpl w:val="00000022"/>
    <w:lvl w:ilvl="0" w:tentative="0">
      <w:start w:val="1"/>
      <w:numFmt w:val="decimal"/>
      <w:pStyle w:val="89"/>
      <w:suff w:val="nothing"/>
      <w:lvlText w:val="图%1　"/>
      <w:lvlJc w:val="left"/>
      <w:pPr>
        <w:ind w:left="0" w:firstLine="0"/>
      </w:pPr>
      <w:rPr>
        <w:rFonts w:hint="eastAsia" w:ascii="黑体" w:hAnsi="Times New Roman" w:eastAsia="黑体"/>
        <w:b w:val="0"/>
        <w:i w:val="0"/>
        <w:color w:val="auto"/>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9">
    <w:nsid w:val="00000025"/>
    <w:multiLevelType w:val="multilevel"/>
    <w:tmpl w:val="00000025"/>
    <w:lvl w:ilvl="0" w:tentative="0">
      <w:start w:val="1"/>
      <w:numFmt w:val="none"/>
      <w:pStyle w:val="65"/>
      <w:suff w:val="nothing"/>
      <w:lvlText w:val="%1"/>
      <w:lvlJc w:val="left"/>
      <w:pPr>
        <w:ind w:left="0" w:firstLine="0"/>
      </w:pPr>
      <w:rPr>
        <w:rFonts w:hint="default" w:ascii="Times New Roman" w:hAnsi="Times New Roman"/>
        <w:b/>
        <w:i w:val="0"/>
        <w:sz w:val="21"/>
      </w:rPr>
    </w:lvl>
    <w:lvl w:ilvl="1" w:tentative="0">
      <w:start w:val="1"/>
      <w:numFmt w:val="decimal"/>
      <w:pStyle w:val="60"/>
      <w:suff w:val="nothing"/>
      <w:lvlText w:val="%1%2　"/>
      <w:lvlJc w:val="left"/>
      <w:pPr>
        <w:ind w:left="142" w:firstLine="0"/>
      </w:pPr>
      <w:rPr>
        <w:rFonts w:hint="eastAsia" w:ascii="黑体" w:hAnsi="Times New Roman" w:eastAsia="黑体"/>
        <w:b w:val="0"/>
        <w:i w:val="0"/>
        <w:sz w:val="21"/>
      </w:rPr>
    </w:lvl>
    <w:lvl w:ilvl="2" w:tentative="0">
      <w:start w:val="1"/>
      <w:numFmt w:val="decimal"/>
      <w:pStyle w:val="59"/>
      <w:suff w:val="nothing"/>
      <w:lvlText w:val="%1%2.%3　"/>
      <w:lvlJc w:val="left"/>
      <w:pPr>
        <w:ind w:left="284" w:firstLine="0"/>
      </w:pPr>
      <w:rPr>
        <w:rFonts w:hint="eastAsia" w:ascii="黑体" w:hAnsi="Times New Roman" w:eastAsia="黑体"/>
        <w:b w:val="0"/>
        <w:i w:val="0"/>
        <w:sz w:val="21"/>
      </w:rPr>
    </w:lvl>
    <w:lvl w:ilvl="3" w:tentative="0">
      <w:start w:val="1"/>
      <w:numFmt w:val="decimal"/>
      <w:pStyle w:val="58"/>
      <w:suff w:val="nothing"/>
      <w:lvlText w:val="%1%2.%3.%4　"/>
      <w:lvlJc w:val="left"/>
      <w:pPr>
        <w:ind w:left="284" w:firstLine="0"/>
      </w:pPr>
      <w:rPr>
        <w:rFonts w:hint="eastAsia" w:ascii="黑体" w:hAnsi="Times New Roman" w:eastAsia="黑体"/>
        <w:b w:val="0"/>
        <w:i w:val="0"/>
        <w:sz w:val="21"/>
      </w:rPr>
    </w:lvl>
    <w:lvl w:ilvl="4" w:tentative="0">
      <w:start w:val="1"/>
      <w:numFmt w:val="decimal"/>
      <w:pStyle w:val="70"/>
      <w:suff w:val="nothing"/>
      <w:lvlText w:val="%1%2.%3.%4.%5　"/>
      <w:lvlJc w:val="left"/>
      <w:pPr>
        <w:ind w:left="0" w:firstLine="0"/>
      </w:pPr>
      <w:rPr>
        <w:rFonts w:hint="eastAsia" w:ascii="黑体" w:hAnsi="Times New Roman" w:eastAsia="黑体"/>
        <w:b w:val="0"/>
        <w:i w:val="0"/>
        <w:color w:val="auto"/>
        <w:sz w:val="21"/>
        <w:lang w:val="en-US"/>
      </w:rPr>
    </w:lvl>
    <w:lvl w:ilvl="5" w:tentative="0">
      <w:start w:val="1"/>
      <w:numFmt w:val="decimal"/>
      <w:pStyle w:val="69"/>
      <w:suff w:val="nothing"/>
      <w:lvlText w:val="%1%2.%3.%4.%5.%6　"/>
      <w:lvlJc w:val="left"/>
      <w:pPr>
        <w:ind w:left="0" w:firstLine="0"/>
      </w:pPr>
      <w:rPr>
        <w:rFonts w:hint="eastAsia" w:ascii="黑体" w:hAnsi="Times New Roman" w:eastAsia="黑体"/>
        <w:b w:val="0"/>
        <w:i w:val="0"/>
        <w:sz w:val="21"/>
      </w:rPr>
    </w:lvl>
    <w:lvl w:ilvl="6" w:tentative="0">
      <w:start w:val="1"/>
      <w:numFmt w:val="decimal"/>
      <w:pStyle w:val="86"/>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0">
    <w:nsid w:val="00000027"/>
    <w:multiLevelType w:val="multilevel"/>
    <w:tmpl w:val="00000027"/>
    <w:lvl w:ilvl="0" w:tentative="0">
      <w:start w:val="1"/>
      <w:numFmt w:val="none"/>
      <w:pStyle w:val="71"/>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49D2325A"/>
    <w:multiLevelType w:val="multilevel"/>
    <w:tmpl w:val="49D2325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pStyle w:val="320"/>
      <w:suff w:val="nothing"/>
      <w:lvlText w:val="%1%2　"/>
      <w:lvlJc w:val="left"/>
      <w:pPr>
        <w:ind w:left="0" w:firstLine="0"/>
      </w:pPr>
      <w:rPr>
        <w:rFonts w:hint="eastAsia" w:ascii="黑体" w:hAnsi="Times New Roman" w:eastAsia="黑体"/>
        <w:b w:val="0"/>
        <w:i w:val="0"/>
        <w:sz w:val="21"/>
      </w:rPr>
    </w:lvl>
    <w:lvl w:ilvl="2" w:tentative="0">
      <w:start w:val="1"/>
      <w:numFmt w:val="decimal"/>
      <w:pStyle w:val="319"/>
      <w:suff w:val="nothing"/>
      <w:lvlText w:val="%1%2.%3　"/>
      <w:lvlJc w:val="left"/>
      <w:pPr>
        <w:ind w:left="2552" w:firstLine="0"/>
      </w:pPr>
      <w:rPr>
        <w:rFonts w:hint="eastAsia" w:ascii="黑体" w:hAnsi="Times New Roman" w:eastAsia="黑体"/>
        <w:b w:val="0"/>
        <w:i w:val="0"/>
        <w:sz w:val="21"/>
      </w:rPr>
    </w:lvl>
    <w:lvl w:ilvl="3" w:tentative="0">
      <w:start w:val="1"/>
      <w:numFmt w:val="decimal"/>
      <w:suff w:val="nothing"/>
      <w:lvlText w:val="%1%2.%3.%4　"/>
      <w:lvlJc w:val="left"/>
      <w:pPr>
        <w:ind w:left="851" w:firstLine="0"/>
      </w:pPr>
      <w:rPr>
        <w:rFonts w:hint="eastAsia" w:ascii="宋体" w:hAnsi="宋体" w:eastAsia="宋体"/>
        <w:b/>
        <w:bCs w:val="0"/>
        <w:i w:val="0"/>
        <w:iCs w:val="0"/>
        <w:caps w:val="0"/>
        <w:smallCaps w:val="0"/>
        <w:strike w:val="0"/>
        <w:dstrike w:val="0"/>
        <w:color w:val="auto"/>
        <w:spacing w:val="0"/>
        <w:w w:val="100"/>
        <w:kern w:val="0"/>
        <w:position w:val="0"/>
        <w:sz w:val="21"/>
        <w:u w:val="none"/>
        <w:shd w:val="clear" w:color="auto" w:fill="auto"/>
        <w:vertAlign w:val="baseline"/>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9"/>
  </w:num>
  <w:num w:numId="2">
    <w:abstractNumId w:val="6"/>
  </w:num>
  <w:num w:numId="3">
    <w:abstractNumId w:val="10"/>
  </w:num>
  <w:num w:numId="4">
    <w:abstractNumId w:val="1"/>
  </w:num>
  <w:num w:numId="5">
    <w:abstractNumId w:val="4"/>
  </w:num>
  <w:num w:numId="6">
    <w:abstractNumId w:val="8"/>
  </w:num>
  <w:num w:numId="7">
    <w:abstractNumId w:val="3"/>
  </w:num>
  <w:num w:numId="8">
    <w:abstractNumId w:val="7"/>
  </w:num>
  <w:num w:numId="9">
    <w:abstractNumId w:val="2"/>
  </w:num>
  <w:num w:numId="10">
    <w:abstractNumId w:val="5"/>
  </w:num>
  <w:num w:numId="11">
    <w:abstractNumId w:val="12"/>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hideSpellingErrors/>
  <w:attachedTemplate r:id="rId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FkM2VjZTFlZGVlYmM1YmQ3MWE0MDI1M2E0NGE0N2IifQ=="/>
  </w:docVars>
  <w:rsids>
    <w:rsidRoot w:val="00693668"/>
    <w:rsid w:val="000971D5"/>
    <w:rsid w:val="00122AD8"/>
    <w:rsid w:val="00122DCA"/>
    <w:rsid w:val="0019431C"/>
    <w:rsid w:val="002849BB"/>
    <w:rsid w:val="00291548"/>
    <w:rsid w:val="004A27E5"/>
    <w:rsid w:val="004F58ED"/>
    <w:rsid w:val="00536C60"/>
    <w:rsid w:val="00567271"/>
    <w:rsid w:val="0059121E"/>
    <w:rsid w:val="005F42DD"/>
    <w:rsid w:val="00601ADF"/>
    <w:rsid w:val="00623451"/>
    <w:rsid w:val="00625140"/>
    <w:rsid w:val="00644C6D"/>
    <w:rsid w:val="0069107A"/>
    <w:rsid w:val="00693668"/>
    <w:rsid w:val="006E11F0"/>
    <w:rsid w:val="00724E03"/>
    <w:rsid w:val="00764D0A"/>
    <w:rsid w:val="00765621"/>
    <w:rsid w:val="007902D1"/>
    <w:rsid w:val="0086056F"/>
    <w:rsid w:val="00876D87"/>
    <w:rsid w:val="008E415E"/>
    <w:rsid w:val="008F5DCA"/>
    <w:rsid w:val="009111C1"/>
    <w:rsid w:val="00946B7D"/>
    <w:rsid w:val="009A61F5"/>
    <w:rsid w:val="00A1497C"/>
    <w:rsid w:val="00A15577"/>
    <w:rsid w:val="00AC0924"/>
    <w:rsid w:val="00B706F7"/>
    <w:rsid w:val="00BC6B82"/>
    <w:rsid w:val="00C058B2"/>
    <w:rsid w:val="00C27739"/>
    <w:rsid w:val="00C7537E"/>
    <w:rsid w:val="00CD2D13"/>
    <w:rsid w:val="00CD7C00"/>
    <w:rsid w:val="00DB362A"/>
    <w:rsid w:val="00DB4F65"/>
    <w:rsid w:val="00E019C6"/>
    <w:rsid w:val="00E22714"/>
    <w:rsid w:val="00E82471"/>
    <w:rsid w:val="00E911BC"/>
    <w:rsid w:val="00F10C9E"/>
    <w:rsid w:val="00F3447A"/>
    <w:rsid w:val="00F507FB"/>
    <w:rsid w:val="00FE1932"/>
    <w:rsid w:val="00FE3C04"/>
    <w:rsid w:val="015F515B"/>
    <w:rsid w:val="02716DB5"/>
    <w:rsid w:val="02F703B0"/>
    <w:rsid w:val="05C37B35"/>
    <w:rsid w:val="07DC0ED5"/>
    <w:rsid w:val="07ED5CFE"/>
    <w:rsid w:val="08FB502E"/>
    <w:rsid w:val="0904785D"/>
    <w:rsid w:val="09573966"/>
    <w:rsid w:val="0A781AE7"/>
    <w:rsid w:val="0A8E0E22"/>
    <w:rsid w:val="0C326AC3"/>
    <w:rsid w:val="0CCA0314"/>
    <w:rsid w:val="0F544D7D"/>
    <w:rsid w:val="10E0491B"/>
    <w:rsid w:val="11B72615"/>
    <w:rsid w:val="14317D7D"/>
    <w:rsid w:val="14FE0CE9"/>
    <w:rsid w:val="15181786"/>
    <w:rsid w:val="158E7867"/>
    <w:rsid w:val="174C2AB4"/>
    <w:rsid w:val="1894661C"/>
    <w:rsid w:val="1C290153"/>
    <w:rsid w:val="1E2A3513"/>
    <w:rsid w:val="1F5A1A25"/>
    <w:rsid w:val="1F714057"/>
    <w:rsid w:val="1FB352A4"/>
    <w:rsid w:val="201E74B3"/>
    <w:rsid w:val="208E75B3"/>
    <w:rsid w:val="218A16C9"/>
    <w:rsid w:val="21BE3478"/>
    <w:rsid w:val="21D04080"/>
    <w:rsid w:val="22423DCF"/>
    <w:rsid w:val="23A74BBD"/>
    <w:rsid w:val="23D43A72"/>
    <w:rsid w:val="29846CB3"/>
    <w:rsid w:val="29A47794"/>
    <w:rsid w:val="29E46257"/>
    <w:rsid w:val="29F51563"/>
    <w:rsid w:val="2A4110A1"/>
    <w:rsid w:val="2AB85E2C"/>
    <w:rsid w:val="2B795DAE"/>
    <w:rsid w:val="2C281A12"/>
    <w:rsid w:val="2D287BC3"/>
    <w:rsid w:val="2F796467"/>
    <w:rsid w:val="2FBE527A"/>
    <w:rsid w:val="31B57A58"/>
    <w:rsid w:val="343B01DB"/>
    <w:rsid w:val="34745E77"/>
    <w:rsid w:val="35125E50"/>
    <w:rsid w:val="369342FF"/>
    <w:rsid w:val="36AE69D8"/>
    <w:rsid w:val="38B6063A"/>
    <w:rsid w:val="39E63C45"/>
    <w:rsid w:val="3A910669"/>
    <w:rsid w:val="3BFA1058"/>
    <w:rsid w:val="3C800C0F"/>
    <w:rsid w:val="3EBA5BC3"/>
    <w:rsid w:val="420E5348"/>
    <w:rsid w:val="42B856E3"/>
    <w:rsid w:val="438931EE"/>
    <w:rsid w:val="44100726"/>
    <w:rsid w:val="456D3D97"/>
    <w:rsid w:val="45E87405"/>
    <w:rsid w:val="463522B1"/>
    <w:rsid w:val="46474D73"/>
    <w:rsid w:val="48BE5C4B"/>
    <w:rsid w:val="49214E6F"/>
    <w:rsid w:val="4B7919E3"/>
    <w:rsid w:val="4C143A31"/>
    <w:rsid w:val="4C5F1CA6"/>
    <w:rsid w:val="4CDC6C36"/>
    <w:rsid w:val="4E3430C7"/>
    <w:rsid w:val="4FEB6573"/>
    <w:rsid w:val="52A97DDB"/>
    <w:rsid w:val="56154CA2"/>
    <w:rsid w:val="57BB325E"/>
    <w:rsid w:val="5A931503"/>
    <w:rsid w:val="5A971C98"/>
    <w:rsid w:val="5AFA5C95"/>
    <w:rsid w:val="5BAD4136"/>
    <w:rsid w:val="5CDE078E"/>
    <w:rsid w:val="5DC655CC"/>
    <w:rsid w:val="5F776EED"/>
    <w:rsid w:val="605176D9"/>
    <w:rsid w:val="60D96A57"/>
    <w:rsid w:val="63F828E6"/>
    <w:rsid w:val="66F343C9"/>
    <w:rsid w:val="68E47C07"/>
    <w:rsid w:val="6AB57C02"/>
    <w:rsid w:val="6B27051F"/>
    <w:rsid w:val="6B753BDA"/>
    <w:rsid w:val="6B770841"/>
    <w:rsid w:val="6E8A0C2B"/>
    <w:rsid w:val="6EF60757"/>
    <w:rsid w:val="70FA146A"/>
    <w:rsid w:val="710228B1"/>
    <w:rsid w:val="71EC09C0"/>
    <w:rsid w:val="73A7009A"/>
    <w:rsid w:val="73B95B2E"/>
    <w:rsid w:val="73FD7A27"/>
    <w:rsid w:val="74130018"/>
    <w:rsid w:val="7599464D"/>
    <w:rsid w:val="76ED0341"/>
    <w:rsid w:val="77CE2BEC"/>
    <w:rsid w:val="79626335"/>
    <w:rsid w:val="7A313CB4"/>
    <w:rsid w:val="7A995906"/>
    <w:rsid w:val="7AC757F1"/>
    <w:rsid w:val="7D700DB4"/>
    <w:rsid w:val="7F720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paragraph" w:styleId="3">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3" w:lineRule="auto"/>
      <w:outlineLvl w:val="2"/>
    </w:pPr>
    <w:rPr>
      <w:b/>
      <w:bCs/>
      <w:sz w:val="32"/>
      <w:szCs w:val="32"/>
    </w:rPr>
  </w:style>
  <w:style w:type="paragraph" w:styleId="5">
    <w:name w:val="heading 4"/>
    <w:basedOn w:val="1"/>
    <w:next w:val="1"/>
    <w:qFormat/>
    <w:uiPriority w:val="0"/>
    <w:pPr>
      <w:keepNext/>
      <w:keepLines/>
      <w:spacing w:before="280" w:after="290" w:line="372" w:lineRule="auto"/>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72" w:lineRule="auto"/>
      <w:outlineLvl w:val="4"/>
    </w:pPr>
    <w:rPr>
      <w:b/>
      <w:bCs/>
      <w:sz w:val="28"/>
      <w:szCs w:val="28"/>
    </w:rPr>
  </w:style>
  <w:style w:type="paragraph" w:styleId="7">
    <w:name w:val="heading 6"/>
    <w:basedOn w:val="1"/>
    <w:next w:val="1"/>
    <w:qFormat/>
    <w:uiPriority w:val="0"/>
    <w:pPr>
      <w:keepNext/>
      <w:keepLines/>
      <w:spacing w:before="240" w:after="64" w:line="317" w:lineRule="auto"/>
      <w:outlineLvl w:val="5"/>
    </w:pPr>
    <w:rPr>
      <w:rFonts w:ascii="Arial" w:hAnsi="Arial" w:eastAsia="黑体"/>
      <w:b/>
      <w:bCs/>
      <w:sz w:val="24"/>
    </w:rPr>
  </w:style>
  <w:style w:type="paragraph" w:styleId="8">
    <w:name w:val="heading 7"/>
    <w:basedOn w:val="1"/>
    <w:next w:val="1"/>
    <w:qFormat/>
    <w:uiPriority w:val="0"/>
    <w:pPr>
      <w:keepNext/>
      <w:keepLines/>
      <w:spacing w:before="240" w:after="64" w:line="317" w:lineRule="auto"/>
      <w:outlineLvl w:val="6"/>
    </w:pPr>
    <w:rPr>
      <w:b/>
      <w:bCs/>
      <w:sz w:val="24"/>
    </w:rPr>
  </w:style>
  <w:style w:type="paragraph" w:styleId="9">
    <w:name w:val="heading 8"/>
    <w:basedOn w:val="1"/>
    <w:next w:val="1"/>
    <w:qFormat/>
    <w:uiPriority w:val="0"/>
    <w:pPr>
      <w:keepNext/>
      <w:keepLines/>
      <w:spacing w:before="240" w:after="64" w:line="317" w:lineRule="auto"/>
      <w:outlineLvl w:val="7"/>
    </w:pPr>
    <w:rPr>
      <w:rFonts w:ascii="Arial" w:hAnsi="Arial" w:eastAsia="黑体"/>
      <w:sz w:val="24"/>
    </w:rPr>
  </w:style>
  <w:style w:type="paragraph" w:styleId="10">
    <w:name w:val="heading 9"/>
    <w:basedOn w:val="1"/>
    <w:next w:val="1"/>
    <w:qFormat/>
    <w:uiPriority w:val="0"/>
    <w:pPr>
      <w:keepNext/>
      <w:keepLines/>
      <w:spacing w:before="240" w:after="64" w:line="317" w:lineRule="auto"/>
      <w:outlineLvl w:val="8"/>
    </w:pPr>
    <w:rPr>
      <w:rFonts w:ascii="Arial" w:hAnsi="Arial" w:eastAsia="黑体"/>
      <w:szCs w:val="21"/>
    </w:rPr>
  </w:style>
  <w:style w:type="character" w:default="1" w:styleId="42">
    <w:name w:val="Default Paragraph Font"/>
    <w:unhideWhenUsed/>
    <w:qFormat/>
    <w:uiPriority w:val="1"/>
  </w:style>
  <w:style w:type="table" w:default="1" w:styleId="40">
    <w:name w:val="Normal Table"/>
    <w:semiHidden/>
    <w:unhideWhenUsed/>
    <w:qFormat/>
    <w:uiPriority w:val="99"/>
    <w:tblPr>
      <w:tblCellMar>
        <w:top w:w="0" w:type="dxa"/>
        <w:left w:w="108" w:type="dxa"/>
        <w:bottom w:w="0" w:type="dxa"/>
        <w:right w:w="108" w:type="dxa"/>
      </w:tblCellMar>
    </w:tblPr>
  </w:style>
  <w:style w:type="paragraph" w:styleId="11">
    <w:name w:val="toc 7"/>
    <w:basedOn w:val="12"/>
    <w:next w:val="1"/>
    <w:qFormat/>
    <w:uiPriority w:val="39"/>
  </w:style>
  <w:style w:type="paragraph" w:styleId="12">
    <w:name w:val="toc 6"/>
    <w:basedOn w:val="1"/>
    <w:next w:val="1"/>
    <w:link w:val="322"/>
    <w:qFormat/>
    <w:uiPriority w:val="39"/>
  </w:style>
  <w:style w:type="paragraph" w:styleId="13">
    <w:name w:val="Normal Indent"/>
    <w:basedOn w:val="1"/>
    <w:qFormat/>
    <w:uiPriority w:val="0"/>
    <w:pPr>
      <w:ind w:firstLine="420"/>
    </w:pPr>
    <w:rPr>
      <w:szCs w:val="20"/>
    </w:rPr>
  </w:style>
  <w:style w:type="paragraph" w:styleId="14">
    <w:name w:val="caption"/>
    <w:basedOn w:val="1"/>
    <w:next w:val="1"/>
    <w:qFormat/>
    <w:uiPriority w:val="0"/>
    <w:pPr>
      <w:spacing w:before="152" w:after="160"/>
    </w:pPr>
    <w:rPr>
      <w:rFonts w:ascii="Arial" w:hAnsi="Arial" w:eastAsia="黑体"/>
      <w:szCs w:val="20"/>
    </w:rPr>
  </w:style>
  <w:style w:type="paragraph" w:styleId="15">
    <w:name w:val="annotation text"/>
    <w:basedOn w:val="1"/>
    <w:link w:val="287"/>
    <w:qFormat/>
    <w:uiPriority w:val="0"/>
    <w:pPr>
      <w:jc w:val="left"/>
    </w:pPr>
  </w:style>
  <w:style w:type="paragraph" w:styleId="16">
    <w:name w:val="Body Text"/>
    <w:basedOn w:val="1"/>
    <w:link w:val="282"/>
    <w:qFormat/>
    <w:uiPriority w:val="0"/>
    <w:pPr>
      <w:spacing w:after="120"/>
    </w:pPr>
  </w:style>
  <w:style w:type="paragraph" w:styleId="17">
    <w:name w:val="Body Text Indent"/>
    <w:basedOn w:val="1"/>
    <w:link w:val="285"/>
    <w:qFormat/>
    <w:uiPriority w:val="0"/>
    <w:pPr>
      <w:spacing w:line="360" w:lineRule="exact"/>
      <w:ind w:left="420" w:firstLine="480"/>
    </w:pPr>
    <w:rPr>
      <w:sz w:val="24"/>
      <w:szCs w:val="20"/>
    </w:rPr>
  </w:style>
  <w:style w:type="paragraph" w:styleId="18">
    <w:name w:val="HTML Address"/>
    <w:basedOn w:val="1"/>
    <w:qFormat/>
    <w:uiPriority w:val="0"/>
    <w:rPr>
      <w:i/>
      <w:iCs/>
    </w:rPr>
  </w:style>
  <w:style w:type="paragraph" w:styleId="19">
    <w:name w:val="toc 5"/>
    <w:basedOn w:val="1"/>
    <w:next w:val="1"/>
    <w:qFormat/>
    <w:uiPriority w:val="39"/>
  </w:style>
  <w:style w:type="paragraph" w:styleId="20">
    <w:name w:val="toc 3"/>
    <w:basedOn w:val="1"/>
    <w:next w:val="1"/>
    <w:qFormat/>
    <w:uiPriority w:val="39"/>
  </w:style>
  <w:style w:type="paragraph" w:styleId="21">
    <w:name w:val="Plain Text"/>
    <w:basedOn w:val="1"/>
    <w:link w:val="279"/>
    <w:qFormat/>
    <w:uiPriority w:val="0"/>
    <w:rPr>
      <w:rFonts w:ascii="宋体" w:hAnsi="Courier New"/>
      <w:szCs w:val="21"/>
    </w:rPr>
  </w:style>
  <w:style w:type="paragraph" w:styleId="22">
    <w:name w:val="toc 8"/>
    <w:basedOn w:val="1"/>
    <w:next w:val="1"/>
    <w:link w:val="323"/>
    <w:qFormat/>
    <w:uiPriority w:val="39"/>
  </w:style>
  <w:style w:type="paragraph" w:styleId="23">
    <w:name w:val="Date"/>
    <w:basedOn w:val="1"/>
    <w:next w:val="1"/>
    <w:link w:val="291"/>
    <w:qFormat/>
    <w:uiPriority w:val="99"/>
    <w:pPr>
      <w:ind w:left="100" w:leftChars="2500"/>
    </w:pPr>
    <w:rPr>
      <w:sz w:val="24"/>
      <w:szCs w:val="20"/>
    </w:rPr>
  </w:style>
  <w:style w:type="paragraph" w:styleId="24">
    <w:name w:val="Body Text Indent 2"/>
    <w:basedOn w:val="1"/>
    <w:link w:val="290"/>
    <w:qFormat/>
    <w:uiPriority w:val="0"/>
    <w:pPr>
      <w:spacing w:after="120" w:line="480" w:lineRule="auto"/>
      <w:ind w:left="420" w:leftChars="200"/>
    </w:pPr>
  </w:style>
  <w:style w:type="paragraph" w:styleId="25">
    <w:name w:val="endnote text"/>
    <w:basedOn w:val="1"/>
    <w:qFormat/>
    <w:uiPriority w:val="0"/>
    <w:pPr>
      <w:snapToGrid w:val="0"/>
    </w:pPr>
  </w:style>
  <w:style w:type="paragraph" w:styleId="26">
    <w:name w:val="Balloon Text"/>
    <w:basedOn w:val="1"/>
    <w:link w:val="281"/>
    <w:qFormat/>
    <w:uiPriority w:val="99"/>
    <w:rPr>
      <w:sz w:val="18"/>
      <w:szCs w:val="18"/>
    </w:rPr>
  </w:style>
  <w:style w:type="paragraph" w:styleId="27">
    <w:name w:val="footer"/>
    <w:basedOn w:val="1"/>
    <w:link w:val="284"/>
    <w:qFormat/>
    <w:uiPriority w:val="99"/>
    <w:pPr>
      <w:tabs>
        <w:tab w:val="center" w:pos="4153"/>
        <w:tab w:val="right" w:pos="8306"/>
      </w:tabs>
      <w:snapToGrid w:val="0"/>
      <w:ind w:right="210" w:rightChars="100"/>
      <w:jc w:val="right"/>
    </w:pPr>
    <w:rPr>
      <w:sz w:val="18"/>
      <w:szCs w:val="18"/>
    </w:rPr>
  </w:style>
  <w:style w:type="paragraph" w:styleId="28">
    <w:name w:val="header"/>
    <w:basedOn w:val="1"/>
    <w:link w:val="289"/>
    <w:qFormat/>
    <w:uiPriority w:val="99"/>
    <w:pPr>
      <w:pBdr>
        <w:bottom w:val="single" w:color="auto" w:sz="6" w:space="1"/>
      </w:pBdr>
      <w:tabs>
        <w:tab w:val="center" w:pos="4153"/>
        <w:tab w:val="right" w:pos="8306"/>
      </w:tabs>
      <w:snapToGrid w:val="0"/>
      <w:jc w:val="center"/>
    </w:pPr>
    <w:rPr>
      <w:sz w:val="18"/>
      <w:szCs w:val="18"/>
    </w:rPr>
  </w:style>
  <w:style w:type="paragraph" w:styleId="29">
    <w:name w:val="toc 1"/>
    <w:next w:val="1"/>
    <w:qFormat/>
    <w:uiPriority w:val="39"/>
    <w:pPr>
      <w:jc w:val="both"/>
    </w:pPr>
    <w:rPr>
      <w:rFonts w:ascii="宋体" w:hAnsi="Times New Roman" w:eastAsia="宋体" w:cs="Times New Roman"/>
      <w:sz w:val="21"/>
      <w:lang w:val="en-US" w:eastAsia="zh-CN" w:bidi="ar-SA"/>
    </w:rPr>
  </w:style>
  <w:style w:type="paragraph" w:styleId="30">
    <w:name w:val="toc 4"/>
    <w:basedOn w:val="20"/>
    <w:next w:val="1"/>
    <w:qFormat/>
    <w:uiPriority w:val="39"/>
  </w:style>
  <w:style w:type="paragraph" w:styleId="31">
    <w:name w:val="footnote text"/>
    <w:basedOn w:val="1"/>
    <w:qFormat/>
    <w:uiPriority w:val="0"/>
    <w:pPr>
      <w:snapToGrid w:val="0"/>
      <w:jc w:val="left"/>
    </w:pPr>
    <w:rPr>
      <w:sz w:val="18"/>
      <w:szCs w:val="18"/>
    </w:rPr>
  </w:style>
  <w:style w:type="paragraph" w:styleId="32">
    <w:name w:val="Body Text Indent 3"/>
    <w:basedOn w:val="1"/>
    <w:qFormat/>
    <w:uiPriority w:val="0"/>
    <w:pPr>
      <w:widowControl/>
      <w:spacing w:line="360" w:lineRule="auto"/>
      <w:ind w:firstLine="420"/>
    </w:pPr>
    <w:rPr>
      <w:rFonts w:hAnsi="宋体"/>
      <w:sz w:val="18"/>
    </w:rPr>
  </w:style>
  <w:style w:type="paragraph" w:styleId="33">
    <w:name w:val="toc 2"/>
    <w:basedOn w:val="1"/>
    <w:next w:val="1"/>
    <w:qFormat/>
    <w:uiPriority w:val="39"/>
  </w:style>
  <w:style w:type="paragraph" w:styleId="34">
    <w:name w:val="toc 9"/>
    <w:basedOn w:val="22"/>
    <w:next w:val="1"/>
    <w:qFormat/>
    <w:uiPriority w:val="39"/>
  </w:style>
  <w:style w:type="paragraph" w:styleId="35">
    <w:name w:val="HTML Preformatted"/>
    <w:basedOn w:val="1"/>
    <w:qFormat/>
    <w:uiPriority w:val="0"/>
    <w:rPr>
      <w:rFonts w:ascii="Courier New" w:hAnsi="Courier New" w:cs="Courier New"/>
      <w:sz w:val="20"/>
      <w:szCs w:val="20"/>
    </w:rPr>
  </w:style>
  <w:style w:type="paragraph" w:styleId="3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37">
    <w:name w:val="Title"/>
    <w:basedOn w:val="1"/>
    <w:next w:val="1"/>
    <w:qFormat/>
    <w:uiPriority w:val="0"/>
    <w:pPr>
      <w:spacing w:before="240" w:after="60"/>
      <w:jc w:val="center"/>
      <w:outlineLvl w:val="0"/>
    </w:pPr>
    <w:rPr>
      <w:rFonts w:ascii="Arial" w:hAnsi="Arial" w:cs="Arial"/>
      <w:b/>
      <w:bCs/>
      <w:sz w:val="32"/>
      <w:szCs w:val="32"/>
    </w:rPr>
  </w:style>
  <w:style w:type="paragraph" w:styleId="38">
    <w:name w:val="annotation subject"/>
    <w:basedOn w:val="15"/>
    <w:next w:val="15"/>
    <w:link w:val="288"/>
    <w:qFormat/>
    <w:uiPriority w:val="0"/>
    <w:rPr>
      <w:b/>
      <w:bCs/>
    </w:rPr>
  </w:style>
  <w:style w:type="paragraph" w:styleId="39">
    <w:name w:val="Body Text First Indent"/>
    <w:basedOn w:val="16"/>
    <w:qFormat/>
    <w:uiPriority w:val="0"/>
    <w:pPr>
      <w:ind w:firstLine="420"/>
    </w:pPr>
    <w:rPr>
      <w:szCs w:val="20"/>
    </w:rPr>
  </w:style>
  <w:style w:type="table" w:styleId="41">
    <w:name w:val="Table Grid"/>
    <w:basedOn w:val="4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43">
    <w:name w:val="Strong"/>
    <w:qFormat/>
    <w:uiPriority w:val="22"/>
    <w:rPr>
      <w:b/>
      <w:bCs/>
    </w:rPr>
  </w:style>
  <w:style w:type="character" w:styleId="44">
    <w:name w:val="page number"/>
    <w:qFormat/>
    <w:uiPriority w:val="0"/>
    <w:rPr>
      <w:rFonts w:ascii="Times New Roman" w:hAnsi="Times New Roman" w:eastAsia="宋体"/>
      <w:sz w:val="18"/>
    </w:rPr>
  </w:style>
  <w:style w:type="character" w:styleId="45">
    <w:name w:val="FollowedHyperlink"/>
    <w:unhideWhenUsed/>
    <w:qFormat/>
    <w:uiPriority w:val="0"/>
    <w:rPr>
      <w:color w:val="800080"/>
      <w:u w:val="single"/>
    </w:rPr>
  </w:style>
  <w:style w:type="character" w:styleId="46">
    <w:name w:val="HTML Definition"/>
    <w:qFormat/>
    <w:uiPriority w:val="0"/>
    <w:rPr>
      <w:i/>
      <w:iCs/>
    </w:rPr>
  </w:style>
  <w:style w:type="character" w:styleId="47">
    <w:name w:val="HTML Typewriter"/>
    <w:qFormat/>
    <w:uiPriority w:val="0"/>
    <w:rPr>
      <w:rFonts w:ascii="Courier New" w:hAnsi="Courier New"/>
      <w:sz w:val="20"/>
      <w:szCs w:val="20"/>
    </w:rPr>
  </w:style>
  <w:style w:type="character" w:styleId="48">
    <w:name w:val="HTML Acronym"/>
    <w:basedOn w:val="42"/>
    <w:qFormat/>
    <w:uiPriority w:val="0"/>
  </w:style>
  <w:style w:type="character" w:styleId="49">
    <w:name w:val="HTML Variable"/>
    <w:qFormat/>
    <w:uiPriority w:val="0"/>
    <w:rPr>
      <w:i/>
      <w:iCs/>
    </w:rPr>
  </w:style>
  <w:style w:type="character" w:styleId="50">
    <w:name w:val="Hyperlink"/>
    <w:basedOn w:val="42"/>
    <w:qFormat/>
    <w:uiPriority w:val="99"/>
    <w:rPr>
      <w:rFonts w:ascii="Times New Roman" w:hAnsi="Times New Roman" w:eastAsia="宋体"/>
      <w:color w:val="auto"/>
      <w:spacing w:val="0"/>
      <w:w w:val="100"/>
      <w:position w:val="0"/>
      <w:sz w:val="21"/>
      <w:u w:val="none"/>
    </w:rPr>
  </w:style>
  <w:style w:type="character" w:styleId="51">
    <w:name w:val="HTML Code"/>
    <w:qFormat/>
    <w:uiPriority w:val="0"/>
    <w:rPr>
      <w:rFonts w:ascii="Courier New" w:hAnsi="Courier New"/>
      <w:sz w:val="20"/>
      <w:szCs w:val="20"/>
    </w:rPr>
  </w:style>
  <w:style w:type="character" w:styleId="52">
    <w:name w:val="annotation reference"/>
    <w:qFormat/>
    <w:uiPriority w:val="0"/>
    <w:rPr>
      <w:sz w:val="21"/>
      <w:szCs w:val="21"/>
    </w:rPr>
  </w:style>
  <w:style w:type="character" w:styleId="53">
    <w:name w:val="HTML Cite"/>
    <w:qFormat/>
    <w:uiPriority w:val="0"/>
    <w:rPr>
      <w:i/>
      <w:iCs/>
    </w:rPr>
  </w:style>
  <w:style w:type="character" w:styleId="54">
    <w:name w:val="footnote reference"/>
    <w:qFormat/>
    <w:uiPriority w:val="0"/>
    <w:rPr>
      <w:vertAlign w:val="superscript"/>
    </w:rPr>
  </w:style>
  <w:style w:type="character" w:styleId="55">
    <w:name w:val="HTML Keyboard"/>
    <w:qFormat/>
    <w:uiPriority w:val="0"/>
    <w:rPr>
      <w:rFonts w:ascii="Courier New" w:hAnsi="Courier New"/>
      <w:sz w:val="20"/>
      <w:szCs w:val="20"/>
    </w:rPr>
  </w:style>
  <w:style w:type="character" w:styleId="56">
    <w:name w:val="HTML Sample"/>
    <w:qFormat/>
    <w:uiPriority w:val="0"/>
    <w:rPr>
      <w:rFonts w:ascii="Courier New" w:hAnsi="Courier New"/>
    </w:rPr>
  </w:style>
  <w:style w:type="paragraph" w:customStyle="1" w:styleId="57">
    <w:name w:val="段"/>
    <w:link w:val="274"/>
    <w:qFormat/>
    <w:uiPriority w:val="0"/>
    <w:pPr>
      <w:autoSpaceDE w:val="0"/>
      <w:autoSpaceDN w:val="0"/>
      <w:adjustRightInd w:val="0"/>
      <w:snapToGrid w:val="0"/>
      <w:ind w:firstLine="400" w:firstLineChars="200"/>
      <w:jc w:val="both"/>
    </w:pPr>
    <w:rPr>
      <w:rFonts w:ascii="宋体" w:hAnsi="宋体" w:eastAsia="宋体" w:cs="Times New Roman"/>
      <w:sz w:val="21"/>
      <w:lang w:val="en-US" w:eastAsia="zh-CN" w:bidi="ar-SA"/>
    </w:rPr>
  </w:style>
  <w:style w:type="paragraph" w:customStyle="1" w:styleId="58">
    <w:name w:val="二级条标题"/>
    <w:basedOn w:val="59"/>
    <w:next w:val="57"/>
    <w:link w:val="276"/>
    <w:qFormat/>
    <w:uiPriority w:val="0"/>
    <w:pPr>
      <w:numPr>
        <w:ilvl w:val="3"/>
      </w:numPr>
      <w:ind w:left="0"/>
      <w:outlineLvl w:val="3"/>
    </w:pPr>
    <w:rPr>
      <w:rFonts w:hAnsi="黑体"/>
      <w:color w:val="000000" w:themeColor="text1"/>
      <w:spacing w:val="-6"/>
      <w14:textFill>
        <w14:solidFill>
          <w14:schemeClr w14:val="tx1"/>
        </w14:solidFill>
      </w14:textFill>
    </w:rPr>
  </w:style>
  <w:style w:type="paragraph" w:customStyle="1" w:styleId="59">
    <w:name w:val="一级条标题"/>
    <w:basedOn w:val="60"/>
    <w:next w:val="57"/>
    <w:link w:val="278"/>
    <w:qFormat/>
    <w:uiPriority w:val="0"/>
    <w:pPr>
      <w:numPr>
        <w:ilvl w:val="2"/>
      </w:numPr>
      <w:spacing w:beforeLines="0" w:afterLines="0" w:line="300" w:lineRule="auto"/>
      <w:outlineLvl w:val="2"/>
    </w:pPr>
    <w:rPr>
      <w:color w:val="FF0000"/>
      <w:spacing w:val="-4"/>
      <w:szCs w:val="24"/>
    </w:rPr>
  </w:style>
  <w:style w:type="paragraph" w:customStyle="1" w:styleId="60">
    <w:name w:val="章标题"/>
    <w:next w:val="57"/>
    <w:link w:val="277"/>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61">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62">
    <w:name w:val="封面标准号2"/>
    <w:basedOn w:val="63"/>
    <w:qFormat/>
    <w:uiPriority w:val="0"/>
    <w:pPr>
      <w:adjustRightInd w:val="0"/>
      <w:spacing w:before="357" w:line="280" w:lineRule="exact"/>
    </w:pPr>
  </w:style>
  <w:style w:type="paragraph" w:customStyle="1" w:styleId="63">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64">
    <w:name w:val="附录标识"/>
    <w:basedOn w:val="65"/>
    <w:link w:val="299"/>
    <w:qFormat/>
    <w:uiPriority w:val="0"/>
    <w:pPr>
      <w:numPr>
        <w:ilvl w:val="0"/>
        <w:numId w:val="2"/>
      </w:numPr>
      <w:tabs>
        <w:tab w:val="left" w:pos="6405"/>
      </w:tabs>
      <w:spacing w:after="200"/>
    </w:pPr>
    <w:rPr>
      <w:sz w:val="21"/>
    </w:rPr>
  </w:style>
  <w:style w:type="paragraph" w:customStyle="1" w:styleId="65">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66">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67">
    <w:name w:val="发布部门"/>
    <w:next w:val="57"/>
    <w:qFormat/>
    <w:uiPriority w:val="0"/>
    <w:pPr>
      <w:jc w:val="center"/>
    </w:pPr>
    <w:rPr>
      <w:rFonts w:ascii="宋体" w:hAnsi="Times New Roman" w:eastAsia="宋体" w:cs="Times New Roman"/>
      <w:b/>
      <w:spacing w:val="20"/>
      <w:w w:val="135"/>
      <w:sz w:val="36"/>
      <w:lang w:val="en-US" w:eastAsia="zh-CN" w:bidi="ar-SA"/>
    </w:rPr>
  </w:style>
  <w:style w:type="paragraph" w:customStyle="1" w:styleId="68">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69">
    <w:name w:val="四级条标题"/>
    <w:basedOn w:val="70"/>
    <w:next w:val="57"/>
    <w:qFormat/>
    <w:uiPriority w:val="0"/>
    <w:pPr>
      <w:numPr>
        <w:ilvl w:val="5"/>
      </w:numPr>
      <w:outlineLvl w:val="5"/>
    </w:pPr>
  </w:style>
  <w:style w:type="paragraph" w:customStyle="1" w:styleId="70">
    <w:name w:val="三级条标题"/>
    <w:basedOn w:val="58"/>
    <w:next w:val="57"/>
    <w:link w:val="280"/>
    <w:qFormat/>
    <w:uiPriority w:val="0"/>
    <w:pPr>
      <w:numPr>
        <w:ilvl w:val="4"/>
      </w:numPr>
      <w:outlineLvl w:val="4"/>
    </w:pPr>
  </w:style>
  <w:style w:type="paragraph" w:customStyle="1" w:styleId="71">
    <w:name w:val="列项——"/>
    <w:qFormat/>
    <w:uiPriority w:val="0"/>
    <w:pPr>
      <w:widowControl w:val="0"/>
      <w:numPr>
        <w:ilvl w:val="0"/>
        <w:numId w:val="3"/>
      </w:numPr>
      <w:tabs>
        <w:tab w:val="left" w:pos="854"/>
        <w:tab w:val="clear" w:pos="1140"/>
      </w:tabs>
      <w:ind w:left="200" w:leftChars="200" w:hanging="200" w:hangingChars="200"/>
      <w:jc w:val="both"/>
    </w:pPr>
    <w:rPr>
      <w:rFonts w:ascii="宋体" w:hAnsi="Times New Roman" w:eastAsia="宋体" w:cs="Times New Roman"/>
      <w:sz w:val="21"/>
      <w:lang w:val="en-US" w:eastAsia="zh-CN" w:bidi="ar-SA"/>
    </w:rPr>
  </w:style>
  <w:style w:type="paragraph" w:customStyle="1" w:styleId="72">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73">
    <w:name w:val="参考文献、索引标题"/>
    <w:basedOn w:val="65"/>
    <w:next w:val="1"/>
    <w:qFormat/>
    <w:uiPriority w:val="0"/>
    <w:pPr>
      <w:numPr>
        <w:numId w:val="0"/>
      </w:numPr>
      <w:spacing w:after="200"/>
    </w:pPr>
    <w:rPr>
      <w:sz w:val="21"/>
    </w:rPr>
  </w:style>
  <w:style w:type="paragraph" w:customStyle="1" w:styleId="74">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5">
    <w:name w:val="实施日期"/>
    <w:basedOn w:val="76"/>
    <w:qFormat/>
    <w:uiPriority w:val="0"/>
    <w:pPr>
      <w:jc w:val="right"/>
    </w:pPr>
  </w:style>
  <w:style w:type="paragraph" w:customStyle="1" w:styleId="76">
    <w:name w:val="发布日期"/>
    <w:qFormat/>
    <w:uiPriority w:val="0"/>
    <w:rPr>
      <w:rFonts w:ascii="Times New Roman" w:hAnsi="Times New Roman" w:eastAsia="黑体" w:cs="Times New Roman"/>
      <w:sz w:val="28"/>
      <w:lang w:val="en-US" w:eastAsia="zh-CN" w:bidi="ar-SA"/>
    </w:rPr>
  </w:style>
  <w:style w:type="paragraph" w:customStyle="1" w:styleId="77">
    <w:name w:val="条文脚注"/>
    <w:basedOn w:val="31"/>
    <w:qFormat/>
    <w:uiPriority w:val="0"/>
    <w:pPr>
      <w:ind w:left="780" w:leftChars="200" w:hanging="360" w:hangingChars="200"/>
      <w:jc w:val="both"/>
    </w:pPr>
    <w:rPr>
      <w:rFonts w:ascii="宋体"/>
    </w:rPr>
  </w:style>
  <w:style w:type="paragraph" w:customStyle="1" w:styleId="78">
    <w:name w:val="附录章标题"/>
    <w:next w:val="57"/>
    <w:qFormat/>
    <w:uiPriority w:val="0"/>
    <w:pPr>
      <w:numPr>
        <w:ilvl w:val="1"/>
        <w:numId w:val="2"/>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79">
    <w:name w:val="注×："/>
    <w:qFormat/>
    <w:uiPriority w:val="0"/>
    <w:pPr>
      <w:widowControl w:val="0"/>
      <w:numPr>
        <w:ilvl w:val="0"/>
        <w:numId w:val="4"/>
      </w:numPr>
      <w:tabs>
        <w:tab w:val="left" w:pos="630"/>
        <w:tab w:val="clear" w:pos="900"/>
      </w:tabs>
      <w:autoSpaceDE w:val="0"/>
      <w:autoSpaceDN w:val="0"/>
      <w:jc w:val="both"/>
    </w:pPr>
    <w:rPr>
      <w:rFonts w:ascii="宋体" w:hAnsi="Times New Roman" w:eastAsia="宋体" w:cs="Times New Roman"/>
      <w:sz w:val="18"/>
      <w:lang w:val="en-US" w:eastAsia="zh-CN" w:bidi="ar-SA"/>
    </w:rPr>
  </w:style>
  <w:style w:type="paragraph" w:customStyle="1" w:styleId="80">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81">
    <w:name w:val="图表脚注"/>
    <w:next w:val="57"/>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82">
    <w:name w:val="五级无标题条"/>
    <w:basedOn w:val="1"/>
    <w:qFormat/>
    <w:uiPriority w:val="0"/>
    <w:pPr>
      <w:numPr>
        <w:ilvl w:val="6"/>
        <w:numId w:val="5"/>
      </w:numPr>
    </w:pPr>
  </w:style>
  <w:style w:type="paragraph" w:customStyle="1" w:styleId="83">
    <w:name w:val="标准标志"/>
    <w:next w:val="1"/>
    <w:qFormat/>
    <w:uiPriority w:val="0"/>
    <w:pPr>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84">
    <w:name w:val="Char"/>
    <w:basedOn w:val="1"/>
    <w:qFormat/>
    <w:uiPriority w:val="0"/>
    <w:pPr>
      <w:widowControl/>
      <w:spacing w:after="160" w:line="240" w:lineRule="exact"/>
      <w:jc w:val="left"/>
    </w:pPr>
  </w:style>
  <w:style w:type="paragraph" w:customStyle="1" w:styleId="85">
    <w:name w:val="无标题条"/>
    <w:next w:val="57"/>
    <w:qFormat/>
    <w:uiPriority w:val="0"/>
    <w:pPr>
      <w:jc w:val="both"/>
    </w:pPr>
    <w:rPr>
      <w:rFonts w:ascii="Times New Roman" w:hAnsi="Times New Roman" w:eastAsia="宋体" w:cs="Times New Roman"/>
      <w:sz w:val="21"/>
      <w:lang w:val="en-US" w:eastAsia="zh-CN" w:bidi="ar-SA"/>
    </w:rPr>
  </w:style>
  <w:style w:type="paragraph" w:customStyle="1" w:styleId="86">
    <w:name w:val="五级条标题"/>
    <w:basedOn w:val="69"/>
    <w:next w:val="57"/>
    <w:qFormat/>
    <w:uiPriority w:val="0"/>
    <w:pPr>
      <w:numPr>
        <w:ilvl w:val="6"/>
      </w:numPr>
      <w:outlineLvl w:val="6"/>
    </w:pPr>
  </w:style>
  <w:style w:type="paragraph" w:customStyle="1" w:styleId="87">
    <w:name w:val="Default"/>
    <w:qFormat/>
    <w:uiPriority w:val="0"/>
    <w:pPr>
      <w:widowControl w:val="0"/>
      <w:autoSpaceDE w:val="0"/>
      <w:autoSpaceDN w:val="0"/>
      <w:adjustRightInd w:val="0"/>
    </w:pPr>
    <w:rPr>
      <w:rFonts w:ascii="宋体" w:hAnsi="Times New Roman" w:eastAsia="宋体" w:cs="Times New Roman"/>
      <w:lang w:val="en-US" w:eastAsia="zh-CN" w:bidi="ar-SA"/>
    </w:rPr>
  </w:style>
  <w:style w:type="paragraph" w:customStyle="1" w:styleId="88">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89">
    <w:name w:val="正文图标题"/>
    <w:next w:val="57"/>
    <w:qFormat/>
    <w:uiPriority w:val="0"/>
    <w:pPr>
      <w:numPr>
        <w:ilvl w:val="0"/>
        <w:numId w:val="6"/>
      </w:numPr>
      <w:jc w:val="center"/>
    </w:pPr>
    <w:rPr>
      <w:rFonts w:ascii="黑体" w:hAnsi="Times New Roman" w:eastAsia="黑体" w:cs="Times New Roman"/>
      <w:sz w:val="21"/>
      <w:lang w:val="en-US" w:eastAsia="zh-CN" w:bidi="ar-SA"/>
    </w:rPr>
  </w:style>
  <w:style w:type="paragraph" w:customStyle="1" w:styleId="90">
    <w:name w:val="注："/>
    <w:next w:val="57"/>
    <w:link w:val="283"/>
    <w:qFormat/>
    <w:uiPriority w:val="0"/>
    <w:pPr>
      <w:widowControl w:val="0"/>
      <w:numPr>
        <w:ilvl w:val="0"/>
        <w:numId w:val="7"/>
      </w:numPr>
      <w:autoSpaceDE w:val="0"/>
      <w:autoSpaceDN w:val="0"/>
      <w:jc w:val="both"/>
    </w:pPr>
    <w:rPr>
      <w:rFonts w:ascii="宋体" w:hAnsi="Times New Roman" w:eastAsia="宋体" w:cs="Times New Roman"/>
      <w:sz w:val="18"/>
      <w:lang w:val="en-US" w:eastAsia="zh-CN" w:bidi="ar-SA"/>
    </w:rPr>
  </w:style>
  <w:style w:type="paragraph" w:customStyle="1" w:styleId="91">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92">
    <w:name w:val="标准书眉_偶数页"/>
    <w:basedOn w:val="88"/>
    <w:next w:val="1"/>
    <w:qFormat/>
    <w:uiPriority w:val="0"/>
    <w:pPr>
      <w:jc w:val="left"/>
    </w:pPr>
  </w:style>
  <w:style w:type="paragraph" w:customStyle="1" w:styleId="93">
    <w:name w:val="二级无标题条"/>
    <w:basedOn w:val="1"/>
    <w:qFormat/>
    <w:uiPriority w:val="0"/>
    <w:pPr>
      <w:numPr>
        <w:ilvl w:val="3"/>
        <w:numId w:val="5"/>
      </w:numPr>
    </w:pPr>
  </w:style>
  <w:style w:type="paragraph" w:customStyle="1" w:styleId="94">
    <w:name w:val="附录表标题"/>
    <w:next w:val="57"/>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95">
    <w:name w:val="文献分类号"/>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96">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97">
    <w:name w:val="封面正文"/>
    <w:qFormat/>
    <w:uiPriority w:val="0"/>
    <w:pPr>
      <w:jc w:val="both"/>
    </w:pPr>
    <w:rPr>
      <w:rFonts w:ascii="Times New Roman" w:hAnsi="Times New Roman" w:eastAsia="宋体" w:cs="Times New Roman"/>
      <w:lang w:val="en-US" w:eastAsia="zh-CN" w:bidi="ar-SA"/>
    </w:rPr>
  </w:style>
  <w:style w:type="paragraph" w:customStyle="1" w:styleId="98">
    <w:name w:val="附录五级条标题"/>
    <w:basedOn w:val="99"/>
    <w:next w:val="57"/>
    <w:qFormat/>
    <w:uiPriority w:val="0"/>
    <w:pPr>
      <w:numPr>
        <w:ilvl w:val="6"/>
      </w:numPr>
      <w:outlineLvl w:val="6"/>
    </w:pPr>
  </w:style>
  <w:style w:type="paragraph" w:customStyle="1" w:styleId="99">
    <w:name w:val="附录四级条标题"/>
    <w:basedOn w:val="100"/>
    <w:next w:val="57"/>
    <w:qFormat/>
    <w:uiPriority w:val="0"/>
    <w:pPr>
      <w:numPr>
        <w:ilvl w:val="5"/>
      </w:numPr>
      <w:outlineLvl w:val="5"/>
    </w:pPr>
  </w:style>
  <w:style w:type="paragraph" w:customStyle="1" w:styleId="100">
    <w:name w:val="附录三级条标题"/>
    <w:basedOn w:val="101"/>
    <w:next w:val="57"/>
    <w:qFormat/>
    <w:uiPriority w:val="0"/>
    <w:pPr>
      <w:numPr>
        <w:ilvl w:val="4"/>
      </w:numPr>
      <w:outlineLvl w:val="4"/>
    </w:pPr>
  </w:style>
  <w:style w:type="paragraph" w:customStyle="1" w:styleId="101">
    <w:name w:val="附录二级条标题"/>
    <w:basedOn w:val="102"/>
    <w:next w:val="57"/>
    <w:qFormat/>
    <w:uiPriority w:val="0"/>
    <w:pPr>
      <w:numPr>
        <w:ilvl w:val="3"/>
      </w:numPr>
      <w:outlineLvl w:val="3"/>
    </w:pPr>
  </w:style>
  <w:style w:type="paragraph" w:customStyle="1" w:styleId="102">
    <w:name w:val="附录一级条标题"/>
    <w:basedOn w:val="78"/>
    <w:next w:val="57"/>
    <w:qFormat/>
    <w:uiPriority w:val="0"/>
    <w:pPr>
      <w:numPr>
        <w:ilvl w:val="2"/>
      </w:numPr>
      <w:autoSpaceDN w:val="0"/>
      <w:spacing w:beforeLines="0" w:afterLines="0"/>
      <w:outlineLvl w:val="2"/>
    </w:pPr>
  </w:style>
  <w:style w:type="paragraph" w:customStyle="1" w:styleId="103">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104">
    <w:name w:val="附录图标题"/>
    <w:next w:val="57"/>
    <w:qFormat/>
    <w:uiPriority w:val="0"/>
    <w:pPr>
      <w:jc w:val="center"/>
    </w:pPr>
    <w:rPr>
      <w:rFonts w:ascii="黑体" w:hAnsi="Times New Roman" w:eastAsia="黑体" w:cs="Times New Roman"/>
      <w:sz w:val="21"/>
      <w:lang w:val="en-US" w:eastAsia="zh-CN" w:bidi="ar-SA"/>
    </w:rPr>
  </w:style>
  <w:style w:type="paragraph" w:customStyle="1" w:styleId="105">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106">
    <w:name w:val="正文表标题"/>
    <w:next w:val="57"/>
    <w:qFormat/>
    <w:uiPriority w:val="0"/>
    <w:pPr>
      <w:numPr>
        <w:ilvl w:val="0"/>
        <w:numId w:val="8"/>
      </w:numPr>
      <w:jc w:val="center"/>
    </w:pPr>
    <w:rPr>
      <w:rFonts w:ascii="黑体" w:hAnsi="Times New Roman" w:eastAsia="黑体" w:cs="Times New Roman"/>
      <w:sz w:val="21"/>
      <w:lang w:val="en-US" w:eastAsia="zh-CN" w:bidi="ar-SA"/>
    </w:rPr>
  </w:style>
  <w:style w:type="paragraph" w:customStyle="1" w:styleId="107">
    <w:name w:val="示例"/>
    <w:next w:val="57"/>
    <w:qFormat/>
    <w:uiPriority w:val="0"/>
    <w:pPr>
      <w:numPr>
        <w:ilvl w:val="0"/>
        <w:numId w:val="9"/>
      </w:numPr>
      <w:tabs>
        <w:tab w:val="left" w:pos="816"/>
        <w:tab w:val="clear" w:pos="1120"/>
      </w:tabs>
      <w:ind w:firstLine="419" w:firstLineChars="233"/>
      <w:jc w:val="both"/>
    </w:pPr>
    <w:rPr>
      <w:rFonts w:ascii="宋体" w:hAnsi="Times New Roman" w:eastAsia="宋体" w:cs="Times New Roman"/>
      <w:sz w:val="18"/>
      <w:lang w:val="en-US" w:eastAsia="zh-CN" w:bidi="ar-SA"/>
    </w:rPr>
  </w:style>
  <w:style w:type="paragraph" w:customStyle="1" w:styleId="108">
    <w:name w:val="篇"/>
    <w:basedOn w:val="1"/>
    <w:next w:val="1"/>
    <w:qFormat/>
    <w:uiPriority w:val="0"/>
    <w:pPr>
      <w:adjustRightInd w:val="0"/>
      <w:spacing w:line="360" w:lineRule="atLeast"/>
      <w:jc w:val="center"/>
      <w:textAlignment w:val="baseline"/>
    </w:pPr>
    <w:rPr>
      <w:rFonts w:eastAsia="黑体"/>
      <w:kern w:val="0"/>
      <w:sz w:val="24"/>
      <w:szCs w:val="20"/>
    </w:rPr>
  </w:style>
  <w:style w:type="paragraph" w:customStyle="1" w:styleId="109">
    <w:name w:val="四级无标题条"/>
    <w:basedOn w:val="1"/>
    <w:qFormat/>
    <w:uiPriority w:val="0"/>
    <w:pPr>
      <w:numPr>
        <w:ilvl w:val="5"/>
        <w:numId w:val="5"/>
      </w:numPr>
    </w:pPr>
  </w:style>
  <w:style w:type="paragraph" w:customStyle="1" w:styleId="110">
    <w:name w:val="目次、标准名称标题"/>
    <w:basedOn w:val="65"/>
    <w:next w:val="57"/>
    <w:qFormat/>
    <w:uiPriority w:val="0"/>
    <w:pPr>
      <w:numPr>
        <w:numId w:val="0"/>
      </w:numPr>
      <w:spacing w:line="460" w:lineRule="exact"/>
    </w:pPr>
  </w:style>
  <w:style w:type="paragraph" w:customStyle="1" w:styleId="111">
    <w:name w:val="标准书眉一"/>
    <w:link w:val="303"/>
    <w:qFormat/>
    <w:uiPriority w:val="0"/>
    <w:pPr>
      <w:jc w:val="both"/>
    </w:pPr>
    <w:rPr>
      <w:rFonts w:ascii="Times New Roman" w:hAnsi="Times New Roman" w:eastAsia="宋体" w:cs="Times New Roman"/>
      <w:lang w:val="en-US" w:eastAsia="zh-CN" w:bidi="ar-SA"/>
    </w:rPr>
  </w:style>
  <w:style w:type="paragraph" w:customStyle="1" w:styleId="112">
    <w:name w:val="标准称谓"/>
    <w:next w:val="1"/>
    <w:qFormat/>
    <w:uiPriority w:val="0"/>
    <w:pPr>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113">
    <w:name w:val="其他发布部门"/>
    <w:basedOn w:val="67"/>
    <w:qFormat/>
    <w:uiPriority w:val="0"/>
    <w:pPr>
      <w:spacing w:line="0" w:lineRule="atLeast"/>
    </w:pPr>
    <w:rPr>
      <w:rFonts w:ascii="黑体" w:eastAsia="黑体"/>
      <w:b w:val="0"/>
    </w:rPr>
  </w:style>
  <w:style w:type="paragraph" w:customStyle="1" w:styleId="114">
    <w:name w:val="列项·"/>
    <w:qFormat/>
    <w:uiPriority w:val="0"/>
    <w:pPr>
      <w:numPr>
        <w:ilvl w:val="0"/>
        <w:numId w:val="10"/>
      </w:numPr>
      <w:tabs>
        <w:tab w:val="left" w:pos="840"/>
        <w:tab w:val="clear" w:pos="1140"/>
      </w:tabs>
      <w:ind w:left="840" w:leftChars="200" w:hanging="420" w:hangingChars="200"/>
      <w:jc w:val="both"/>
    </w:pPr>
    <w:rPr>
      <w:rFonts w:ascii="宋体" w:hAnsi="Times New Roman" w:eastAsia="宋体" w:cs="Times New Roman"/>
      <w:sz w:val="21"/>
      <w:lang w:val="en-US" w:eastAsia="zh-CN" w:bidi="ar-SA"/>
    </w:rPr>
  </w:style>
  <w:style w:type="paragraph" w:customStyle="1" w:styleId="115">
    <w:name w:val="三级无标题条"/>
    <w:basedOn w:val="1"/>
    <w:qFormat/>
    <w:uiPriority w:val="0"/>
    <w:pPr>
      <w:numPr>
        <w:ilvl w:val="4"/>
        <w:numId w:val="5"/>
      </w:numPr>
    </w:pPr>
  </w:style>
  <w:style w:type="paragraph" w:customStyle="1" w:styleId="116">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17">
    <w:name w:val="一级无标题条"/>
    <w:basedOn w:val="1"/>
    <w:qFormat/>
    <w:uiPriority w:val="0"/>
    <w:pPr>
      <w:numPr>
        <w:ilvl w:val="2"/>
        <w:numId w:val="5"/>
      </w:numPr>
    </w:pPr>
  </w:style>
  <w:style w:type="paragraph" w:customStyle="1" w:styleId="118">
    <w:name w:val="封面标准代替信息"/>
    <w:basedOn w:val="62"/>
    <w:qFormat/>
    <w:uiPriority w:val="0"/>
    <w:pPr>
      <w:spacing w:before="57"/>
    </w:pPr>
    <w:rPr>
      <w:rFonts w:ascii="宋体"/>
      <w:sz w:val="21"/>
    </w:rPr>
  </w:style>
  <w:style w:type="paragraph" w:customStyle="1" w:styleId="119">
    <w:name w:val="标准正文"/>
    <w:basedOn w:val="1"/>
    <w:qFormat/>
    <w:uiPriority w:val="0"/>
    <w:pPr>
      <w:adjustRightInd w:val="0"/>
      <w:spacing w:line="360" w:lineRule="atLeast"/>
      <w:ind w:firstLine="425"/>
      <w:jc w:val="left"/>
      <w:textAlignment w:val="baseline"/>
    </w:pPr>
    <w:rPr>
      <w:spacing w:val="-4"/>
      <w:kern w:val="21"/>
      <w:szCs w:val="20"/>
    </w:rPr>
  </w:style>
  <w:style w:type="paragraph" w:customStyle="1" w:styleId="120">
    <w:name w:val="font1"/>
    <w:basedOn w:val="1"/>
    <w:qFormat/>
    <w:uiPriority w:val="0"/>
    <w:pPr>
      <w:widowControl/>
      <w:spacing w:before="100" w:beforeAutospacing="1" w:after="100" w:afterAutospacing="1"/>
      <w:jc w:val="left"/>
    </w:pPr>
    <w:rPr>
      <w:rFonts w:ascii="宋体" w:hAnsi="宋体" w:cs="宋体"/>
      <w:kern w:val="0"/>
      <w:sz w:val="24"/>
    </w:rPr>
  </w:style>
  <w:style w:type="paragraph" w:customStyle="1" w:styleId="121">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22">
    <w:name w:val="font6"/>
    <w:basedOn w:val="1"/>
    <w:qFormat/>
    <w:uiPriority w:val="0"/>
    <w:pPr>
      <w:widowControl/>
      <w:spacing w:before="100" w:beforeAutospacing="1" w:after="100" w:afterAutospacing="1"/>
      <w:jc w:val="left"/>
    </w:pPr>
    <w:rPr>
      <w:b/>
      <w:bCs/>
      <w:kern w:val="0"/>
      <w:sz w:val="20"/>
      <w:szCs w:val="20"/>
    </w:rPr>
  </w:style>
  <w:style w:type="paragraph" w:customStyle="1" w:styleId="123">
    <w:name w:val="font7"/>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124">
    <w:name w:val="font8"/>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125">
    <w:name w:val="font9"/>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126">
    <w:name w:val="font10"/>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127">
    <w:name w:val="font11"/>
    <w:basedOn w:val="1"/>
    <w:qFormat/>
    <w:uiPriority w:val="0"/>
    <w:pPr>
      <w:widowControl/>
      <w:spacing w:before="100" w:beforeAutospacing="1" w:after="100" w:afterAutospacing="1"/>
      <w:jc w:val="left"/>
    </w:pPr>
    <w:rPr>
      <w:rFonts w:ascii="宋体" w:hAnsi="宋体" w:cs="宋体"/>
      <w:b/>
      <w:bCs/>
      <w:kern w:val="0"/>
      <w:sz w:val="20"/>
      <w:szCs w:val="20"/>
    </w:rPr>
  </w:style>
  <w:style w:type="paragraph" w:customStyle="1" w:styleId="128">
    <w:name w:val="xl78"/>
    <w:basedOn w:val="1"/>
    <w:qFormat/>
    <w:uiPriority w:val="0"/>
    <w:pPr>
      <w:widowControl/>
      <w:spacing w:before="100" w:beforeAutospacing="1" w:after="100" w:afterAutospacing="1"/>
      <w:jc w:val="center"/>
      <w:textAlignment w:val="center"/>
    </w:pPr>
    <w:rPr>
      <w:b/>
      <w:bCs/>
      <w:kern w:val="0"/>
      <w:sz w:val="24"/>
    </w:rPr>
  </w:style>
  <w:style w:type="paragraph" w:customStyle="1" w:styleId="129">
    <w:name w:val="xl79"/>
    <w:basedOn w:val="1"/>
    <w:qFormat/>
    <w:uiPriority w:val="0"/>
    <w:pPr>
      <w:widowControl/>
      <w:spacing w:before="100" w:beforeAutospacing="1" w:after="100" w:afterAutospacing="1"/>
      <w:jc w:val="center"/>
      <w:textAlignment w:val="center"/>
    </w:pPr>
    <w:rPr>
      <w:b/>
      <w:bCs/>
      <w:kern w:val="0"/>
      <w:sz w:val="24"/>
    </w:rPr>
  </w:style>
  <w:style w:type="paragraph" w:customStyle="1" w:styleId="130">
    <w:name w:val="xl80"/>
    <w:basedOn w:val="1"/>
    <w:qFormat/>
    <w:uiPriority w:val="0"/>
    <w:pPr>
      <w:widowControl/>
      <w:spacing w:before="100" w:beforeAutospacing="1" w:after="100" w:afterAutospacing="1"/>
      <w:jc w:val="center"/>
      <w:textAlignment w:val="center"/>
    </w:pPr>
    <w:rPr>
      <w:b/>
      <w:bCs/>
      <w:kern w:val="0"/>
      <w:sz w:val="24"/>
    </w:rPr>
  </w:style>
  <w:style w:type="paragraph" w:customStyle="1" w:styleId="131">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2">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3">
    <w:name w:val="xl83"/>
    <w:basedOn w:val="1"/>
    <w:qFormat/>
    <w:uiPriority w:val="0"/>
    <w:pPr>
      <w:widowControl/>
      <w:spacing w:before="100" w:beforeAutospacing="1" w:after="100" w:afterAutospacing="1"/>
      <w:jc w:val="center"/>
      <w:textAlignment w:val="center"/>
    </w:pPr>
    <w:rPr>
      <w:b/>
      <w:bCs/>
      <w:kern w:val="0"/>
      <w:sz w:val="20"/>
      <w:szCs w:val="20"/>
    </w:rPr>
  </w:style>
  <w:style w:type="paragraph" w:customStyle="1" w:styleId="134">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5">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6">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7">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8">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9">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40">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41">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42">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43">
    <w:name w:val="xl93"/>
    <w:basedOn w:val="1"/>
    <w:qFormat/>
    <w:uiPriority w:val="0"/>
    <w:pPr>
      <w:widowControl/>
      <w:spacing w:before="100" w:beforeAutospacing="1" w:after="100" w:afterAutospacing="1"/>
      <w:jc w:val="center"/>
      <w:textAlignment w:val="center"/>
    </w:pPr>
    <w:rPr>
      <w:b/>
      <w:bCs/>
      <w:kern w:val="0"/>
      <w:sz w:val="20"/>
      <w:szCs w:val="20"/>
    </w:rPr>
  </w:style>
  <w:style w:type="paragraph" w:customStyle="1" w:styleId="144">
    <w:name w:val="xl94"/>
    <w:basedOn w:val="1"/>
    <w:qFormat/>
    <w:uiPriority w:val="0"/>
    <w:pPr>
      <w:widowControl/>
      <w:spacing w:before="100" w:beforeAutospacing="1" w:after="100" w:afterAutospacing="1"/>
      <w:jc w:val="center"/>
      <w:textAlignment w:val="center"/>
    </w:pPr>
    <w:rPr>
      <w:b/>
      <w:bCs/>
      <w:kern w:val="0"/>
      <w:sz w:val="20"/>
      <w:szCs w:val="20"/>
    </w:rPr>
  </w:style>
  <w:style w:type="paragraph" w:customStyle="1" w:styleId="145">
    <w:name w:val="c封面标准名称"/>
    <w:basedOn w:val="1"/>
    <w:qFormat/>
    <w:uiPriority w:val="0"/>
    <w:pPr>
      <w:adjustRightInd w:val="0"/>
      <w:jc w:val="center"/>
    </w:pPr>
    <w:rPr>
      <w:rFonts w:eastAsia="黑体"/>
      <w:kern w:val="0"/>
      <w:sz w:val="52"/>
      <w:szCs w:val="20"/>
    </w:rPr>
  </w:style>
  <w:style w:type="paragraph" w:customStyle="1" w:styleId="146">
    <w:name w:val="样式2"/>
    <w:basedOn w:val="70"/>
    <w:qFormat/>
    <w:uiPriority w:val="0"/>
    <w:pPr>
      <w:numPr>
        <w:numId w:val="0"/>
      </w:numPr>
      <w:spacing w:line="240" w:lineRule="auto"/>
      <w:ind w:left="454"/>
    </w:pPr>
    <w:rPr>
      <w:color w:val="auto"/>
      <w:spacing w:val="0"/>
      <w:szCs w:val="20"/>
    </w:rPr>
  </w:style>
  <w:style w:type="paragraph" w:customStyle="1" w:styleId="147">
    <w:name w:val="列出段落1"/>
    <w:basedOn w:val="1"/>
    <w:qFormat/>
    <w:uiPriority w:val="34"/>
    <w:pPr>
      <w:ind w:firstLine="420" w:firstLineChars="200"/>
    </w:pPr>
    <w:rPr>
      <w:rFonts w:ascii="Calibri" w:hAnsi="Calibri"/>
      <w:szCs w:val="22"/>
    </w:rPr>
  </w:style>
  <w:style w:type="paragraph" w:customStyle="1" w:styleId="148">
    <w:name w:val="图表脚注说明"/>
    <w:basedOn w:val="1"/>
    <w:qFormat/>
    <w:uiPriority w:val="0"/>
    <w:rPr>
      <w:rFonts w:ascii="宋体"/>
      <w:sz w:val="18"/>
      <w:szCs w:val="18"/>
    </w:rPr>
  </w:style>
  <w:style w:type="paragraph" w:customStyle="1" w:styleId="149">
    <w:name w:val="Char11"/>
    <w:basedOn w:val="1"/>
    <w:qFormat/>
    <w:uiPriority w:val="0"/>
    <w:pPr>
      <w:widowControl/>
      <w:spacing w:after="160" w:line="240" w:lineRule="exact"/>
      <w:jc w:val="left"/>
    </w:pPr>
  </w:style>
  <w:style w:type="paragraph" w:customStyle="1" w:styleId="150">
    <w:name w:val="ordinary-output"/>
    <w:basedOn w:val="1"/>
    <w:qFormat/>
    <w:uiPriority w:val="99"/>
    <w:pPr>
      <w:widowControl/>
      <w:spacing w:before="100" w:beforeAutospacing="1" w:after="63" w:line="275" w:lineRule="atLeast"/>
      <w:jc w:val="left"/>
    </w:pPr>
    <w:rPr>
      <w:rFonts w:ascii="宋体" w:hAnsi="宋体" w:cs="宋体"/>
      <w:color w:val="333333"/>
      <w:kern w:val="0"/>
      <w:sz w:val="18"/>
      <w:szCs w:val="18"/>
    </w:rPr>
  </w:style>
  <w:style w:type="paragraph" w:customStyle="1" w:styleId="151">
    <w:name w:val="列出段落11"/>
    <w:basedOn w:val="1"/>
    <w:qFormat/>
    <w:uiPriority w:val="34"/>
    <w:pPr>
      <w:ind w:firstLine="420" w:firstLineChars="200"/>
    </w:pPr>
    <w:rPr>
      <w:sz w:val="24"/>
    </w:rPr>
  </w:style>
  <w:style w:type="paragraph" w:customStyle="1" w:styleId="152">
    <w:name w:val="Char1 Char Char Char"/>
    <w:basedOn w:val="1"/>
    <w:qFormat/>
    <w:uiPriority w:val="0"/>
    <w:rPr>
      <w:szCs w:val="20"/>
    </w:rPr>
  </w:style>
  <w:style w:type="paragraph" w:customStyle="1" w:styleId="153">
    <w:name w:val="Char1"/>
    <w:basedOn w:val="1"/>
    <w:qFormat/>
    <w:uiPriority w:val="0"/>
    <w:pPr>
      <w:widowControl/>
      <w:spacing w:after="160" w:line="240" w:lineRule="exact"/>
      <w:jc w:val="left"/>
    </w:pPr>
  </w:style>
  <w:style w:type="paragraph" w:customStyle="1" w:styleId="154">
    <w:name w:val="Decimal Aligned"/>
    <w:basedOn w:val="1"/>
    <w:qFormat/>
    <w:uiPriority w:val="40"/>
    <w:pPr>
      <w:widowControl/>
      <w:tabs>
        <w:tab w:val="decimal" w:pos="360"/>
      </w:tabs>
      <w:spacing w:after="200" w:line="276" w:lineRule="auto"/>
      <w:jc w:val="left"/>
    </w:pPr>
    <w:rPr>
      <w:rFonts w:ascii="Calibri" w:hAnsi="Calibri"/>
      <w:kern w:val="0"/>
      <w:sz w:val="22"/>
      <w:szCs w:val="22"/>
    </w:rPr>
  </w:style>
  <w:style w:type="paragraph" w:customStyle="1" w:styleId="155">
    <w:name w:val="xl65"/>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56">
    <w:name w:val="xl69"/>
    <w:basedOn w:val="1"/>
    <w:qFormat/>
    <w:uiPriority w:val="0"/>
    <w:pPr>
      <w:widowControl/>
      <w:pBdr>
        <w:top w:val="single" w:color="auto" w:sz="4" w:space="0"/>
        <w:lef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57">
    <w:name w:val="xl121"/>
    <w:basedOn w:val="1"/>
    <w:qFormat/>
    <w:uiPriority w:val="0"/>
    <w:pPr>
      <w:widowControl/>
      <w:pBdr>
        <w:top w:val="single" w:color="FF0000" w:sz="8" w:space="0"/>
        <w:bottom w:val="single" w:color="000000" w:sz="4" w:space="0"/>
      </w:pBdr>
      <w:spacing w:before="100" w:beforeAutospacing="1" w:after="100" w:afterAutospacing="1"/>
      <w:jc w:val="center"/>
    </w:pPr>
    <w:rPr>
      <w:rFonts w:ascii="宋体" w:hAnsi="宋体" w:cs="宋体"/>
      <w:kern w:val="0"/>
      <w:szCs w:val="21"/>
    </w:rPr>
  </w:style>
  <w:style w:type="paragraph" w:customStyle="1" w:styleId="158">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59">
    <w:name w:val="xl165"/>
    <w:basedOn w:val="1"/>
    <w:qFormat/>
    <w:uiPriority w:val="0"/>
    <w:pPr>
      <w:widowControl/>
      <w:pBdr>
        <w:top w:val="single" w:color="auto" w:sz="8" w:space="0"/>
        <w:left w:val="single" w:color="auto" w:sz="8" w:space="0"/>
        <w:bottom w:val="single" w:color="auto" w:sz="4" w:space="0"/>
      </w:pBdr>
      <w:spacing w:before="100" w:beforeAutospacing="1" w:after="100" w:afterAutospacing="1"/>
      <w:jc w:val="center"/>
    </w:pPr>
    <w:rPr>
      <w:rFonts w:ascii="宋体" w:hAnsi="宋体" w:cs="宋体"/>
      <w:b/>
      <w:bCs/>
      <w:color w:val="000000"/>
      <w:kern w:val="0"/>
      <w:sz w:val="28"/>
      <w:szCs w:val="28"/>
    </w:rPr>
  </w:style>
  <w:style w:type="paragraph" w:customStyle="1" w:styleId="160">
    <w:name w:val="xl120"/>
    <w:basedOn w:val="1"/>
    <w:qFormat/>
    <w:uiPriority w:val="0"/>
    <w:pPr>
      <w:widowControl/>
      <w:pBdr>
        <w:top w:val="single" w:color="FF0000" w:sz="8" w:space="0"/>
        <w:bottom w:val="single" w:color="000000" w:sz="4" w:space="0"/>
        <w:right w:val="single" w:color="000000" w:sz="4" w:space="0"/>
      </w:pBdr>
      <w:spacing w:before="100" w:beforeAutospacing="1" w:after="100" w:afterAutospacing="1"/>
      <w:jc w:val="center"/>
    </w:pPr>
    <w:rPr>
      <w:rFonts w:ascii="宋体" w:hAnsi="宋体" w:cs="宋体"/>
      <w:kern w:val="0"/>
      <w:szCs w:val="21"/>
    </w:rPr>
  </w:style>
  <w:style w:type="paragraph" w:customStyle="1" w:styleId="161">
    <w:name w:val="xl106"/>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62">
    <w:name w:val="xl116"/>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63">
    <w:name w:val="xl102"/>
    <w:basedOn w:val="1"/>
    <w:qFormat/>
    <w:uiPriority w:val="0"/>
    <w:pPr>
      <w:widowControl/>
      <w:pBdr>
        <w:top w:val="single" w:color="FF0000" w:sz="8" w:space="0"/>
        <w:left w:val="single" w:color="auto" w:sz="8"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64">
    <w:name w:val="xl97"/>
    <w:basedOn w:val="1"/>
    <w:qFormat/>
    <w:uiPriority w:val="0"/>
    <w:pPr>
      <w:widowControl/>
      <w:pBdr>
        <w:top w:val="single" w:color="auto" w:sz="4" w:space="0"/>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65">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66">
    <w:name w:val="xl7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67">
    <w:name w:val="xl73"/>
    <w:basedOn w:val="1"/>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68">
    <w:name w:val="xl183"/>
    <w:basedOn w:val="1"/>
    <w:qFormat/>
    <w:uiPriority w:val="0"/>
    <w:pPr>
      <w:widowControl/>
      <w:pBdr>
        <w:left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69">
    <w:name w:val="xl184"/>
    <w:basedOn w:val="1"/>
    <w:qFormat/>
    <w:uiPriority w:val="0"/>
    <w:pPr>
      <w:widowControl/>
      <w:pBdr>
        <w:top w:val="single" w:color="auto" w:sz="4" w:space="0"/>
        <w:left w:val="single" w:color="auto" w:sz="8"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70">
    <w:name w:val="xl122"/>
    <w:basedOn w:val="1"/>
    <w:qFormat/>
    <w:uiPriority w:val="0"/>
    <w:pPr>
      <w:widowControl/>
      <w:pBdr>
        <w:top w:val="single" w:color="FF0000" w:sz="8" w:space="0"/>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71">
    <w:name w:val="xl75"/>
    <w:basedOn w:val="1"/>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172">
    <w:name w:val="xl182"/>
    <w:basedOn w:val="1"/>
    <w:qFormat/>
    <w:uiPriority w:val="0"/>
    <w:pPr>
      <w:widowControl/>
      <w:pBdr>
        <w:top w:val="single" w:color="auto" w:sz="8" w:space="0"/>
        <w:left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73">
    <w:name w:val="xl130"/>
    <w:basedOn w:val="1"/>
    <w:qFormat/>
    <w:uiPriority w:val="0"/>
    <w:pPr>
      <w:widowControl/>
      <w:pBdr>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74">
    <w:name w:val="xl71"/>
    <w:basedOn w:val="1"/>
    <w:qFormat/>
    <w:uiPriority w:val="0"/>
    <w:pPr>
      <w:widowControl/>
      <w:pBdr>
        <w:top w:val="single" w:color="FF0000" w:sz="8"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75">
    <w:name w:val="xl18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76">
    <w:name w:val="xl135"/>
    <w:basedOn w:val="1"/>
    <w:qFormat/>
    <w:uiPriority w:val="0"/>
    <w:pPr>
      <w:widowControl/>
      <w:pBdr>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77">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78">
    <w:name w:val="xl63"/>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79">
    <w:name w:val="xl6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80">
    <w:name w:val="xl67"/>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81">
    <w:name w:val="xl64"/>
    <w:basedOn w:val="1"/>
    <w:qFormat/>
    <w:uiPriority w:val="0"/>
    <w:pPr>
      <w:widowControl/>
      <w:spacing w:before="100" w:beforeAutospacing="1" w:after="100" w:afterAutospacing="1"/>
      <w:jc w:val="left"/>
    </w:pPr>
    <w:rPr>
      <w:rFonts w:ascii="宋体" w:hAnsi="宋体" w:cs="宋体"/>
      <w:kern w:val="0"/>
      <w:sz w:val="24"/>
    </w:rPr>
  </w:style>
  <w:style w:type="paragraph" w:customStyle="1" w:styleId="182">
    <w:name w:val="xl178"/>
    <w:basedOn w:val="1"/>
    <w:qFormat/>
    <w:uiPriority w:val="0"/>
    <w:pPr>
      <w:widowControl/>
      <w:pBdr>
        <w:top w:val="single" w:color="FF0000" w:sz="8" w:space="0"/>
        <w:left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83">
    <w:name w:val="xl170"/>
    <w:basedOn w:val="1"/>
    <w:qFormat/>
    <w:uiPriority w:val="0"/>
    <w:pPr>
      <w:widowControl/>
      <w:pBdr>
        <w:lef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84">
    <w:name w:val="xl175"/>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85">
    <w:name w:val="xl151"/>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 w:val="24"/>
    </w:rPr>
  </w:style>
  <w:style w:type="paragraph" w:customStyle="1" w:styleId="186">
    <w:name w:val="xl176"/>
    <w:basedOn w:val="1"/>
    <w:qFormat/>
    <w:uiPriority w:val="0"/>
    <w:pPr>
      <w:widowControl/>
      <w:pBdr>
        <w:top w:val="single" w:color="auto" w:sz="8" w:space="0"/>
        <w:left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87">
    <w:name w:val="xl168"/>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88">
    <w:name w:val="xl152"/>
    <w:basedOn w:val="1"/>
    <w:qFormat/>
    <w:uiPriority w:val="0"/>
    <w:pPr>
      <w:widowControl/>
      <w:pBdr>
        <w:top w:val="single" w:color="auto" w:sz="4" w:space="0"/>
        <w:left w:val="single" w:color="auto" w:sz="4" w:space="0"/>
        <w:bottom w:val="single" w:color="auto" w:sz="8" w:space="0"/>
      </w:pBdr>
      <w:spacing w:before="100" w:beforeAutospacing="1" w:after="100" w:afterAutospacing="1"/>
      <w:jc w:val="center"/>
    </w:pPr>
    <w:rPr>
      <w:rFonts w:ascii="宋体" w:hAnsi="宋体" w:cs="宋体"/>
      <w:kern w:val="0"/>
      <w:szCs w:val="21"/>
    </w:rPr>
  </w:style>
  <w:style w:type="paragraph" w:customStyle="1" w:styleId="189">
    <w:name w:val="xl74"/>
    <w:basedOn w:val="1"/>
    <w:qFormat/>
    <w:uiPriority w:val="0"/>
    <w:pPr>
      <w:widowControl/>
      <w:pBdr>
        <w:top w:val="single" w:color="FF0000" w:sz="8" w:space="0"/>
        <w:left w:val="single" w:color="auto" w:sz="4" w:space="0"/>
        <w:bottom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90">
    <w:name w:val="xl174"/>
    <w:basedOn w:val="1"/>
    <w:qFormat/>
    <w:uiPriority w:val="0"/>
    <w:pPr>
      <w:widowControl/>
      <w:pBdr>
        <w:bottom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91">
    <w:name w:val="xl150"/>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92">
    <w:name w:val="xl129"/>
    <w:basedOn w:val="1"/>
    <w:qFormat/>
    <w:uiPriority w:val="0"/>
    <w:pPr>
      <w:widowControl/>
      <w:pBdr>
        <w:left w:val="single" w:color="auto" w:sz="4" w:space="0"/>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193">
    <w:name w:val="xl70"/>
    <w:basedOn w:val="1"/>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194">
    <w:name w:val="xl12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95">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196">
    <w:name w:val="xl72"/>
    <w:basedOn w:val="1"/>
    <w:qFormat/>
    <w:uiPriority w:val="0"/>
    <w:pPr>
      <w:widowControl/>
      <w:pBdr>
        <w:top w:val="single" w:color="FF0000" w:sz="8"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97">
    <w:name w:val="xl113"/>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98">
    <w:name w:val="xl10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99">
    <w:name w:val="xl107"/>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200">
    <w:name w:val="xl117"/>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201">
    <w:name w:val="xl103"/>
    <w:basedOn w:val="1"/>
    <w:qFormat/>
    <w:uiPriority w:val="0"/>
    <w:pPr>
      <w:widowControl/>
      <w:pBdr>
        <w:top w:val="single" w:color="FF0000" w:sz="8" w:space="0"/>
        <w:left w:val="single" w:color="auto" w:sz="4" w:space="0"/>
        <w:bottom w:val="single" w:color="FF0000" w:sz="8" w:space="0"/>
        <w:right w:val="single" w:color="auto" w:sz="4" w:space="0"/>
      </w:pBdr>
      <w:spacing w:before="100" w:beforeAutospacing="1" w:after="100" w:afterAutospacing="1"/>
      <w:jc w:val="left"/>
    </w:pPr>
    <w:rPr>
      <w:rFonts w:ascii="宋体" w:hAnsi="宋体" w:cs="宋体"/>
      <w:kern w:val="0"/>
      <w:szCs w:val="21"/>
    </w:rPr>
  </w:style>
  <w:style w:type="paragraph" w:customStyle="1" w:styleId="202">
    <w:name w:val="xl98"/>
    <w:basedOn w:val="1"/>
    <w:qFormat/>
    <w:uiPriority w:val="0"/>
    <w:pPr>
      <w:widowControl/>
      <w:pBdr>
        <w:top w:val="single" w:color="auto" w:sz="4" w:space="0"/>
        <w:left w:val="single" w:color="auto" w:sz="4" w:space="0"/>
        <w:bottom w:val="single" w:color="FF0000" w:sz="8" w:space="0"/>
      </w:pBdr>
      <w:spacing w:before="100" w:beforeAutospacing="1" w:after="100" w:afterAutospacing="1"/>
      <w:jc w:val="center"/>
    </w:pPr>
    <w:rPr>
      <w:rFonts w:ascii="宋体" w:hAnsi="宋体" w:cs="宋体"/>
      <w:kern w:val="0"/>
      <w:szCs w:val="21"/>
    </w:rPr>
  </w:style>
  <w:style w:type="paragraph" w:customStyle="1" w:styleId="203">
    <w:name w:val="xl162"/>
    <w:basedOn w:val="1"/>
    <w:qFormat/>
    <w:uiPriority w:val="0"/>
    <w:pPr>
      <w:widowControl/>
      <w:pBdr>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04">
    <w:name w:val="xl15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color w:val="000000"/>
      <w:kern w:val="0"/>
      <w:szCs w:val="21"/>
    </w:rPr>
  </w:style>
  <w:style w:type="paragraph" w:customStyle="1" w:styleId="205">
    <w:name w:val="xl114"/>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pPr>
    <w:rPr>
      <w:rFonts w:ascii="宋体" w:hAnsi="宋体" w:cs="宋体"/>
      <w:kern w:val="0"/>
      <w:szCs w:val="21"/>
    </w:rPr>
  </w:style>
  <w:style w:type="paragraph" w:customStyle="1" w:styleId="206">
    <w:name w:val="xl159"/>
    <w:basedOn w:val="1"/>
    <w:qFormat/>
    <w:uiPriority w:val="0"/>
    <w:pPr>
      <w:widowControl/>
      <w:pBdr>
        <w:left w:val="single" w:color="auto" w:sz="4" w:space="0"/>
        <w:bottom w:val="single" w:color="FF0000" w:sz="8" w:space="0"/>
      </w:pBdr>
      <w:spacing w:before="100" w:beforeAutospacing="1" w:after="100" w:afterAutospacing="1"/>
      <w:jc w:val="center"/>
    </w:pPr>
    <w:rPr>
      <w:rFonts w:ascii="宋体" w:hAnsi="宋体" w:cs="宋体"/>
      <w:kern w:val="0"/>
      <w:szCs w:val="21"/>
    </w:rPr>
  </w:style>
  <w:style w:type="paragraph" w:customStyle="1" w:styleId="207">
    <w:name w:val="xl11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208">
    <w:name w:val="xl160"/>
    <w:basedOn w:val="1"/>
    <w:qFormat/>
    <w:uiPriority w:val="0"/>
    <w:pPr>
      <w:widowControl/>
      <w:pBdr>
        <w:top w:val="single" w:color="000000" w:sz="4" w:space="0"/>
        <w:left w:val="single" w:color="auto" w:sz="4" w:space="0"/>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09">
    <w:name w:val="xl95"/>
    <w:basedOn w:val="1"/>
    <w:qFormat/>
    <w:uiPriority w:val="0"/>
    <w:pPr>
      <w:widowControl/>
      <w:pBdr>
        <w:top w:val="single" w:color="auto" w:sz="4" w:space="0"/>
        <w:left w:val="single" w:color="auto" w:sz="8"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10">
    <w:name w:val="xl108"/>
    <w:basedOn w:val="1"/>
    <w:qFormat/>
    <w:uiPriority w:val="0"/>
    <w:pPr>
      <w:widowControl/>
      <w:pBdr>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211">
    <w:name w:val="xl157"/>
    <w:basedOn w:val="1"/>
    <w:qFormat/>
    <w:uiPriority w:val="0"/>
    <w:pPr>
      <w:widowControl/>
      <w:pBdr>
        <w:left w:val="single" w:color="auto" w:sz="4" w:space="0"/>
        <w:bottom w:val="single" w:color="000000" w:sz="4" w:space="0"/>
      </w:pBdr>
      <w:spacing w:before="100" w:beforeAutospacing="1" w:after="100" w:afterAutospacing="1"/>
      <w:jc w:val="center"/>
    </w:pPr>
    <w:rPr>
      <w:rFonts w:ascii="宋体" w:hAnsi="宋体" w:cs="宋体"/>
      <w:kern w:val="0"/>
      <w:szCs w:val="21"/>
    </w:rPr>
  </w:style>
  <w:style w:type="paragraph" w:customStyle="1" w:styleId="212">
    <w:name w:val="xl118"/>
    <w:basedOn w:val="1"/>
    <w:qFormat/>
    <w:uiPriority w:val="0"/>
    <w:pPr>
      <w:widowControl/>
      <w:pBdr>
        <w:top w:val="single" w:color="FF0000" w:sz="8"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13">
    <w:name w:val="xl104"/>
    <w:basedOn w:val="1"/>
    <w:qFormat/>
    <w:uiPriority w:val="0"/>
    <w:pPr>
      <w:widowControl/>
      <w:pBdr>
        <w:top w:val="single" w:color="FF0000" w:sz="8" w:space="0"/>
        <w:left w:val="single" w:color="auto" w:sz="4" w:space="0"/>
        <w:bottom w:val="single" w:color="FF0000" w:sz="8" w:space="0"/>
        <w:right w:val="single" w:color="auto" w:sz="8" w:space="0"/>
      </w:pBdr>
      <w:spacing w:before="100" w:beforeAutospacing="1" w:after="100" w:afterAutospacing="1"/>
      <w:jc w:val="center"/>
    </w:pPr>
    <w:rPr>
      <w:rFonts w:ascii="宋体" w:hAnsi="宋体" w:cs="宋体"/>
      <w:kern w:val="0"/>
      <w:szCs w:val="21"/>
    </w:rPr>
  </w:style>
  <w:style w:type="paragraph" w:customStyle="1" w:styleId="214">
    <w:name w:val="xl163"/>
    <w:basedOn w:val="1"/>
    <w:qFormat/>
    <w:uiPriority w:val="0"/>
    <w:pPr>
      <w:widowControl/>
      <w:pBdr>
        <w:top w:val="single" w:color="FF0000" w:sz="8" w:space="0"/>
        <w:bottom w:val="single" w:color="FF0000"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15">
    <w:name w:val="xl155"/>
    <w:basedOn w:val="1"/>
    <w:qFormat/>
    <w:uiPriority w:val="0"/>
    <w:pPr>
      <w:widowControl/>
      <w:pBdr>
        <w:top w:val="single" w:color="auto" w:sz="4" w:space="0"/>
        <w:left w:val="single" w:color="auto" w:sz="4" w:space="0"/>
        <w:right w:val="single" w:color="auto" w:sz="8" w:space="0"/>
      </w:pBdr>
      <w:spacing w:before="100" w:beforeAutospacing="1" w:after="100" w:afterAutospacing="1"/>
      <w:jc w:val="center"/>
    </w:pPr>
    <w:rPr>
      <w:rFonts w:ascii="宋体" w:hAnsi="宋体" w:cs="宋体"/>
      <w:color w:val="000000"/>
      <w:kern w:val="0"/>
      <w:szCs w:val="21"/>
    </w:rPr>
  </w:style>
  <w:style w:type="paragraph" w:customStyle="1" w:styleId="216">
    <w:name w:val="xl99"/>
    <w:basedOn w:val="1"/>
    <w:qFormat/>
    <w:uiPriority w:val="0"/>
    <w:pPr>
      <w:widowControl/>
      <w:pBdr>
        <w:top w:val="single" w:color="FF0000"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217">
    <w:name w:val="xl140"/>
    <w:basedOn w:val="1"/>
    <w:qFormat/>
    <w:uiPriority w:val="0"/>
    <w:pPr>
      <w:widowControl/>
      <w:pBdr>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18">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219">
    <w:name w:val="xl14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20">
    <w:name w:val="xl138"/>
    <w:basedOn w:val="1"/>
    <w:qFormat/>
    <w:uiPriority w:val="0"/>
    <w:pPr>
      <w:widowControl/>
      <w:pBdr>
        <w:top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21">
    <w:name w:val="xl119"/>
    <w:basedOn w:val="1"/>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22">
    <w:name w:val="xl105"/>
    <w:basedOn w:val="1"/>
    <w:qFormat/>
    <w:uiPriority w:val="0"/>
    <w:pPr>
      <w:widowControl/>
      <w:pBdr>
        <w:top w:val="single" w:color="FF0000" w:sz="8" w:space="0"/>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23">
    <w:name w:val="xl143"/>
    <w:basedOn w:val="1"/>
    <w:qFormat/>
    <w:uiPriority w:val="0"/>
    <w:pPr>
      <w:widowControl/>
      <w:pBdr>
        <w:top w:val="single" w:color="FF0000" w:sz="8" w:space="0"/>
        <w:bottom w:val="single" w:color="FF0000" w:sz="8" w:space="0"/>
      </w:pBdr>
      <w:spacing w:before="100" w:beforeAutospacing="1" w:after="100" w:afterAutospacing="1"/>
      <w:jc w:val="center"/>
    </w:pPr>
    <w:rPr>
      <w:rFonts w:ascii="宋体" w:hAnsi="宋体" w:cs="宋体"/>
      <w:kern w:val="0"/>
      <w:szCs w:val="21"/>
    </w:rPr>
  </w:style>
  <w:style w:type="paragraph" w:customStyle="1" w:styleId="224">
    <w:name w:val="xl115"/>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center"/>
    </w:pPr>
    <w:rPr>
      <w:rFonts w:ascii="宋体" w:hAnsi="宋体" w:cs="宋体"/>
      <w:kern w:val="0"/>
      <w:szCs w:val="21"/>
    </w:rPr>
  </w:style>
  <w:style w:type="paragraph" w:customStyle="1" w:styleId="225">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226">
    <w:name w:val="xl144"/>
    <w:basedOn w:val="1"/>
    <w:qFormat/>
    <w:uiPriority w:val="0"/>
    <w:pPr>
      <w:widowControl/>
      <w:pBdr>
        <w:top w:val="single" w:color="FF0000" w:sz="8" w:space="0"/>
        <w:left w:val="single" w:color="auto" w:sz="4" w:space="0"/>
        <w:bottom w:val="single" w:color="FF0000"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27">
    <w:name w:val="xl100"/>
    <w:basedOn w:val="1"/>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228">
    <w:name w:val="xl141"/>
    <w:basedOn w:val="1"/>
    <w:qFormat/>
    <w:uiPriority w:val="0"/>
    <w:pPr>
      <w:widowControl/>
      <w:pBdr>
        <w:left w:val="single" w:color="auto"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29">
    <w:name w:val="xl96"/>
    <w:basedOn w:val="1"/>
    <w:qFormat/>
    <w:uiPriority w:val="0"/>
    <w:pPr>
      <w:widowControl/>
      <w:pBdr>
        <w:top w:val="single" w:color="auto" w:sz="4" w:space="0"/>
        <w:left w:val="single" w:color="auto" w:sz="4" w:space="0"/>
        <w:bottom w:val="single" w:color="FF0000" w:sz="8" w:space="0"/>
        <w:right w:val="single" w:color="auto" w:sz="4" w:space="0"/>
      </w:pBdr>
      <w:spacing w:before="100" w:beforeAutospacing="1" w:after="100" w:afterAutospacing="1"/>
      <w:jc w:val="left"/>
    </w:pPr>
    <w:rPr>
      <w:rFonts w:ascii="宋体" w:hAnsi="宋体" w:cs="宋体"/>
      <w:kern w:val="0"/>
      <w:szCs w:val="21"/>
    </w:rPr>
  </w:style>
  <w:style w:type="paragraph" w:customStyle="1" w:styleId="230">
    <w:name w:val="xl171"/>
    <w:basedOn w:val="1"/>
    <w:qFormat/>
    <w:uiPriority w:val="0"/>
    <w:pPr>
      <w:widowControl/>
      <w:spacing w:before="100" w:beforeAutospacing="1" w:after="100" w:afterAutospacing="1"/>
      <w:jc w:val="center"/>
    </w:pPr>
    <w:rPr>
      <w:rFonts w:ascii="宋体" w:hAnsi="宋体" w:cs="宋体"/>
      <w:b/>
      <w:bCs/>
      <w:color w:val="000000"/>
      <w:kern w:val="0"/>
      <w:szCs w:val="21"/>
    </w:rPr>
  </w:style>
  <w:style w:type="paragraph" w:customStyle="1" w:styleId="231">
    <w:name w:val="xl125"/>
    <w:basedOn w:val="1"/>
    <w:qFormat/>
    <w:uiPriority w:val="0"/>
    <w:pPr>
      <w:widowControl/>
      <w:pBdr>
        <w:bottom w:val="single" w:color="000000" w:sz="4" w:space="0"/>
        <w:right w:val="single" w:color="000000" w:sz="4" w:space="0"/>
      </w:pBdr>
      <w:spacing w:before="100" w:beforeAutospacing="1" w:after="100" w:afterAutospacing="1"/>
      <w:jc w:val="center"/>
    </w:pPr>
    <w:rPr>
      <w:rFonts w:ascii="宋体" w:hAnsi="宋体" w:cs="宋体"/>
      <w:kern w:val="0"/>
      <w:szCs w:val="21"/>
    </w:rPr>
  </w:style>
  <w:style w:type="paragraph" w:customStyle="1" w:styleId="232">
    <w:name w:val="xl18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33">
    <w:name w:val="xl179"/>
    <w:basedOn w:val="1"/>
    <w:qFormat/>
    <w:uiPriority w:val="0"/>
    <w:pPr>
      <w:widowControl/>
      <w:pBdr>
        <w:left w:val="single" w:color="auto" w:sz="8"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34">
    <w:name w:val="xl136"/>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35">
    <w:name w:val="xl126"/>
    <w:basedOn w:val="1"/>
    <w:qFormat/>
    <w:uiPriority w:val="0"/>
    <w:pPr>
      <w:widowControl/>
      <w:pBdr>
        <w:bottom w:val="single" w:color="000000" w:sz="4" w:space="0"/>
      </w:pBdr>
      <w:spacing w:before="100" w:beforeAutospacing="1" w:after="100" w:afterAutospacing="1"/>
      <w:jc w:val="center"/>
    </w:pPr>
    <w:rPr>
      <w:rFonts w:ascii="宋体" w:hAnsi="宋体" w:cs="宋体"/>
      <w:kern w:val="0"/>
      <w:szCs w:val="21"/>
    </w:rPr>
  </w:style>
  <w:style w:type="paragraph" w:customStyle="1" w:styleId="236">
    <w:name w:val="xl127"/>
    <w:basedOn w:val="1"/>
    <w:qFormat/>
    <w:uiPriority w:val="0"/>
    <w:pPr>
      <w:widowControl/>
      <w:pBdr>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37">
    <w:name w:val="xl12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38">
    <w:name w:val="xl131"/>
    <w:basedOn w:val="1"/>
    <w:qFormat/>
    <w:uiPriority w:val="0"/>
    <w:pPr>
      <w:widowControl/>
      <w:pBdr>
        <w:top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39">
    <w:name w:val="xl132"/>
    <w:basedOn w:val="1"/>
    <w:qFormat/>
    <w:uiPriority w:val="0"/>
    <w:pPr>
      <w:widowControl/>
      <w:pBdr>
        <w:top w:val="single" w:color="auto" w:sz="4" w:space="0"/>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 w:val="24"/>
    </w:rPr>
  </w:style>
  <w:style w:type="paragraph" w:customStyle="1" w:styleId="240">
    <w:name w:val="xl177"/>
    <w:basedOn w:val="1"/>
    <w:qFormat/>
    <w:uiPriority w:val="0"/>
    <w:pPr>
      <w:widowControl/>
      <w:pBdr>
        <w:left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41">
    <w:name w:val="xl16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242">
    <w:name w:val="xl133"/>
    <w:basedOn w:val="1"/>
    <w:qFormat/>
    <w:uiPriority w:val="0"/>
    <w:pPr>
      <w:widowControl/>
      <w:pBdr>
        <w:bottom w:val="single" w:color="FF0000" w:sz="8" w:space="0"/>
        <w:right w:val="single" w:color="000000" w:sz="4" w:space="0"/>
      </w:pBdr>
      <w:spacing w:before="100" w:beforeAutospacing="1" w:after="100" w:afterAutospacing="1"/>
      <w:jc w:val="center"/>
    </w:pPr>
    <w:rPr>
      <w:rFonts w:ascii="宋体" w:hAnsi="宋体" w:cs="宋体"/>
      <w:kern w:val="0"/>
      <w:szCs w:val="21"/>
    </w:rPr>
  </w:style>
  <w:style w:type="paragraph" w:customStyle="1" w:styleId="243">
    <w:name w:val="xl1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44">
    <w:name w:val="xl134"/>
    <w:basedOn w:val="1"/>
    <w:qFormat/>
    <w:uiPriority w:val="0"/>
    <w:pPr>
      <w:widowControl/>
      <w:pBdr>
        <w:bottom w:val="single" w:color="FF0000" w:sz="8" w:space="0"/>
      </w:pBdr>
      <w:spacing w:before="100" w:beforeAutospacing="1" w:after="100" w:afterAutospacing="1"/>
      <w:jc w:val="center"/>
    </w:pPr>
    <w:rPr>
      <w:rFonts w:ascii="宋体" w:hAnsi="宋体" w:cs="宋体"/>
      <w:kern w:val="0"/>
      <w:szCs w:val="21"/>
    </w:rPr>
  </w:style>
  <w:style w:type="paragraph" w:customStyle="1" w:styleId="245">
    <w:name w:val="xl14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46">
    <w:name w:val="xl137"/>
    <w:basedOn w:val="1"/>
    <w:qFormat/>
    <w:uiPriority w:val="0"/>
    <w:pPr>
      <w:widowControl/>
      <w:pBdr>
        <w:top w:val="single" w:color="000000" w:sz="4" w:space="0"/>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47">
    <w:name w:val="xl147"/>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kern w:val="0"/>
      <w:szCs w:val="21"/>
    </w:rPr>
  </w:style>
  <w:style w:type="paragraph" w:customStyle="1" w:styleId="248">
    <w:name w:val="xl139"/>
    <w:basedOn w:val="1"/>
    <w:qFormat/>
    <w:uiPriority w:val="0"/>
    <w:pPr>
      <w:widowControl/>
      <w:pBdr>
        <w:top w:val="single" w:color="FF0000" w:sz="8"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49">
    <w:name w:val="xl142"/>
    <w:basedOn w:val="1"/>
    <w:qFormat/>
    <w:uiPriority w:val="0"/>
    <w:pPr>
      <w:widowControl/>
      <w:pBdr>
        <w:top w:val="single" w:color="FF0000" w:sz="8" w:space="0"/>
        <w:bottom w:val="single" w:color="FF0000" w:sz="8" w:space="0"/>
        <w:right w:val="single" w:color="000000" w:sz="4" w:space="0"/>
      </w:pBdr>
      <w:spacing w:before="100" w:beforeAutospacing="1" w:after="100" w:afterAutospacing="1"/>
      <w:jc w:val="center"/>
    </w:pPr>
    <w:rPr>
      <w:rFonts w:ascii="宋体" w:hAnsi="宋体" w:cs="宋体"/>
      <w:kern w:val="0"/>
      <w:szCs w:val="21"/>
    </w:rPr>
  </w:style>
  <w:style w:type="paragraph" w:customStyle="1" w:styleId="250">
    <w:name w:val="xl172"/>
    <w:basedOn w:val="1"/>
    <w:qFormat/>
    <w:uiPriority w:val="0"/>
    <w:pPr>
      <w:widowControl/>
      <w:pBdr>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251">
    <w:name w:val="xl1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52">
    <w:name w:val="xl173"/>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253">
    <w:name w:val="xl14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Cs w:val="21"/>
    </w:rPr>
  </w:style>
  <w:style w:type="paragraph" w:customStyle="1" w:styleId="254">
    <w:name w:val="xl161"/>
    <w:basedOn w:val="1"/>
    <w:qFormat/>
    <w:uiPriority w:val="0"/>
    <w:pPr>
      <w:widowControl/>
      <w:pBdr>
        <w:left w:val="single" w:color="auto" w:sz="4" w:space="0"/>
        <w:bottom w:val="single" w:color="FF0000"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55">
    <w:name w:val="xl153"/>
    <w:basedOn w:val="1"/>
    <w:qFormat/>
    <w:uiPriority w:val="0"/>
    <w:pPr>
      <w:widowControl/>
      <w:pBdr>
        <w:left w:val="single" w:color="auto" w:sz="4" w:space="0"/>
        <w:bottom w:val="single" w:color="auto"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56">
    <w:name w:val="xl164"/>
    <w:basedOn w:val="1"/>
    <w:qFormat/>
    <w:uiPriority w:val="0"/>
    <w:pPr>
      <w:widowControl/>
      <w:pBdr>
        <w:bottom w:val="single" w:color="auto"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57">
    <w:name w:val="xl156"/>
    <w:basedOn w:val="1"/>
    <w:qFormat/>
    <w:uiPriority w:val="0"/>
    <w:pPr>
      <w:widowControl/>
      <w:pBdr>
        <w:top w:val="single" w:color="FF0000" w:sz="8" w:space="0"/>
        <w:left w:val="single" w:color="auto" w:sz="4" w:space="0"/>
        <w:bottom w:val="single" w:color="000000" w:sz="4" w:space="0"/>
      </w:pBdr>
      <w:spacing w:before="100" w:beforeAutospacing="1" w:after="100" w:afterAutospacing="1"/>
      <w:jc w:val="center"/>
    </w:pPr>
    <w:rPr>
      <w:rFonts w:ascii="宋体" w:hAnsi="宋体" w:cs="宋体"/>
      <w:kern w:val="0"/>
      <w:szCs w:val="21"/>
    </w:rPr>
  </w:style>
  <w:style w:type="paragraph" w:customStyle="1" w:styleId="258">
    <w:name w:val="xl158"/>
    <w:basedOn w:val="1"/>
    <w:qFormat/>
    <w:uiPriority w:val="0"/>
    <w:pPr>
      <w:widowControl/>
      <w:pBdr>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59">
    <w:name w:val="xl166"/>
    <w:basedOn w:val="1"/>
    <w:qFormat/>
    <w:uiPriority w:val="0"/>
    <w:pPr>
      <w:widowControl/>
      <w:pBdr>
        <w:top w:val="single" w:color="auto" w:sz="8" w:space="0"/>
        <w:left w:val="single" w:color="auto" w:sz="8" w:space="0"/>
        <w:bottom w:val="single" w:color="auto" w:sz="4" w:space="0"/>
        <w:right w:val="single" w:color="auto" w:sz="8" w:space="0"/>
      </w:pBdr>
      <w:spacing w:before="100" w:beforeAutospacing="1" w:after="100" w:afterAutospacing="1"/>
      <w:jc w:val="center"/>
    </w:pPr>
    <w:rPr>
      <w:rFonts w:ascii="宋体" w:hAnsi="宋体" w:cs="宋体"/>
      <w:b/>
      <w:bCs/>
      <w:color w:val="000000"/>
      <w:kern w:val="0"/>
      <w:sz w:val="28"/>
      <w:szCs w:val="28"/>
    </w:rPr>
  </w:style>
  <w:style w:type="paragraph" w:customStyle="1" w:styleId="260">
    <w:name w:val="xl167"/>
    <w:basedOn w:val="1"/>
    <w:qFormat/>
    <w:uiPriority w:val="0"/>
    <w:pPr>
      <w:widowControl/>
      <w:pBdr>
        <w:top w:val="single" w:color="auto" w:sz="8" w:space="0"/>
        <w:bottom w:val="single" w:color="auto" w:sz="4" w:space="0"/>
      </w:pBdr>
      <w:spacing w:before="100" w:beforeAutospacing="1" w:after="100" w:afterAutospacing="1"/>
      <w:jc w:val="center"/>
    </w:pPr>
    <w:rPr>
      <w:rFonts w:ascii="宋体" w:hAnsi="宋体" w:cs="宋体"/>
      <w:b/>
      <w:bCs/>
      <w:color w:val="000000"/>
      <w:kern w:val="0"/>
      <w:sz w:val="28"/>
      <w:szCs w:val="28"/>
    </w:rPr>
  </w:style>
  <w:style w:type="paragraph" w:customStyle="1" w:styleId="261">
    <w:name w:val="xl188"/>
    <w:basedOn w:val="1"/>
    <w:qFormat/>
    <w:uiPriority w:val="0"/>
    <w:pPr>
      <w:widowControl/>
      <w:pBdr>
        <w:top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62">
    <w:name w:val="xl180"/>
    <w:basedOn w:val="1"/>
    <w:qFormat/>
    <w:uiPriority w:val="0"/>
    <w:pPr>
      <w:widowControl/>
      <w:pBdr>
        <w:top w:val="single" w:color="auto" w:sz="8" w:space="0"/>
        <w:left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63">
    <w:name w:val="xl181"/>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64">
    <w:name w:val="Char2"/>
    <w:basedOn w:val="1"/>
    <w:qFormat/>
    <w:uiPriority w:val="0"/>
    <w:pPr>
      <w:widowControl/>
      <w:spacing w:after="160" w:line="240" w:lineRule="exact"/>
      <w:jc w:val="left"/>
    </w:pPr>
  </w:style>
  <w:style w:type="paragraph" w:customStyle="1" w:styleId="265">
    <w:name w:val="正文1"/>
    <w:qFormat/>
    <w:uiPriority w:val="0"/>
    <w:pPr>
      <w:jc w:val="both"/>
    </w:pPr>
    <w:rPr>
      <w:rFonts w:ascii="Calibri" w:hAnsi="Calibri" w:eastAsia="宋体" w:cs="Calibri"/>
      <w:kern w:val="2"/>
      <w:sz w:val="21"/>
      <w:szCs w:val="21"/>
      <w:lang w:val="en-US" w:eastAsia="zh-CN" w:bidi="ar-SA"/>
    </w:rPr>
  </w:style>
  <w:style w:type="paragraph" w:customStyle="1" w:styleId="266">
    <w:name w:val="Char3"/>
    <w:basedOn w:val="1"/>
    <w:qFormat/>
    <w:uiPriority w:val="0"/>
    <w:pPr>
      <w:widowControl/>
      <w:spacing w:after="160" w:line="240" w:lineRule="exact"/>
      <w:jc w:val="left"/>
    </w:pPr>
    <w:rPr>
      <w:rFonts w:ascii="Verdana" w:hAnsi="Verdana"/>
      <w:kern w:val="0"/>
      <w:sz w:val="20"/>
      <w:szCs w:val="20"/>
      <w:lang w:eastAsia="en-US"/>
    </w:rPr>
  </w:style>
  <w:style w:type="paragraph" w:customStyle="1" w:styleId="267">
    <w:name w:val="p0"/>
    <w:basedOn w:val="1"/>
    <w:qFormat/>
    <w:uiPriority w:val="0"/>
    <w:pPr>
      <w:widowControl/>
      <w:jc w:val="left"/>
    </w:pPr>
    <w:rPr>
      <w:kern w:val="0"/>
      <w:szCs w:val="21"/>
    </w:rPr>
  </w:style>
  <w:style w:type="paragraph" w:customStyle="1" w:styleId="268">
    <w:name w:val="正文2"/>
    <w:qFormat/>
    <w:uiPriority w:val="0"/>
    <w:pPr>
      <w:jc w:val="both"/>
    </w:pPr>
    <w:rPr>
      <w:rFonts w:ascii="Times New Roman" w:hAnsi="Times New Roman" w:eastAsia="宋体" w:cs="Times New Roman"/>
      <w:kern w:val="2"/>
      <w:sz w:val="21"/>
      <w:szCs w:val="21"/>
      <w:lang w:val="en-US" w:eastAsia="zh-CN" w:bidi="ar-SA"/>
    </w:rPr>
  </w:style>
  <w:style w:type="paragraph" w:customStyle="1" w:styleId="269">
    <w:name w:val="Char4"/>
    <w:basedOn w:val="1"/>
    <w:qFormat/>
    <w:uiPriority w:val="0"/>
    <w:pPr>
      <w:widowControl/>
      <w:spacing w:after="160" w:line="240" w:lineRule="exact"/>
      <w:jc w:val="left"/>
    </w:pPr>
    <w:rPr>
      <w:rFonts w:ascii="Verdana" w:hAnsi="Verdana"/>
      <w:kern w:val="0"/>
      <w:sz w:val="20"/>
      <w:szCs w:val="20"/>
      <w:lang w:eastAsia="en-US"/>
    </w:rPr>
  </w:style>
  <w:style w:type="paragraph" w:customStyle="1" w:styleId="270">
    <w:name w:val="Char5"/>
    <w:basedOn w:val="1"/>
    <w:qFormat/>
    <w:uiPriority w:val="0"/>
    <w:pPr>
      <w:widowControl/>
      <w:spacing w:after="160" w:line="240" w:lineRule="exact"/>
      <w:jc w:val="left"/>
    </w:pPr>
    <w:rPr>
      <w:rFonts w:ascii="Verdana" w:hAnsi="Verdana"/>
      <w:kern w:val="0"/>
      <w:sz w:val="20"/>
      <w:szCs w:val="20"/>
      <w:lang w:eastAsia="en-US"/>
    </w:rPr>
  </w:style>
  <w:style w:type="paragraph" w:customStyle="1" w:styleId="271">
    <w:name w:val="Char6"/>
    <w:basedOn w:val="1"/>
    <w:qFormat/>
    <w:uiPriority w:val="0"/>
    <w:pPr>
      <w:widowControl/>
      <w:spacing w:after="160" w:line="240" w:lineRule="exact"/>
      <w:jc w:val="left"/>
    </w:pPr>
    <w:rPr>
      <w:rFonts w:ascii="Verdana" w:hAnsi="Verdana"/>
      <w:kern w:val="0"/>
      <w:sz w:val="20"/>
      <w:szCs w:val="20"/>
      <w:lang w:eastAsia="en-US"/>
    </w:rPr>
  </w:style>
  <w:style w:type="character" w:customStyle="1" w:styleId="272">
    <w:name w:val="发布"/>
    <w:qFormat/>
    <w:uiPriority w:val="0"/>
    <w:rPr>
      <w:rFonts w:ascii="黑体" w:eastAsia="黑体"/>
      <w:spacing w:val="22"/>
      <w:w w:val="100"/>
      <w:position w:val="3"/>
      <w:sz w:val="28"/>
    </w:rPr>
  </w:style>
  <w:style w:type="character" w:customStyle="1" w:styleId="273">
    <w:name w:val="个人答复风格"/>
    <w:qFormat/>
    <w:uiPriority w:val="0"/>
    <w:rPr>
      <w:rFonts w:ascii="Arial" w:hAnsi="Arial" w:eastAsia="宋体" w:cs="Arial"/>
      <w:color w:val="auto"/>
      <w:sz w:val="20"/>
    </w:rPr>
  </w:style>
  <w:style w:type="character" w:customStyle="1" w:styleId="274">
    <w:name w:val="段 Char"/>
    <w:link w:val="57"/>
    <w:qFormat/>
    <w:uiPriority w:val="0"/>
    <w:rPr>
      <w:rFonts w:ascii="宋体" w:hAnsi="宋体" w:eastAsia="宋体"/>
      <w:sz w:val="21"/>
      <w:lang w:val="en-US" w:eastAsia="zh-CN" w:bidi="ar-SA"/>
    </w:rPr>
  </w:style>
  <w:style w:type="character" w:customStyle="1" w:styleId="275">
    <w:name w:val="个人撰写风格"/>
    <w:qFormat/>
    <w:uiPriority w:val="0"/>
    <w:rPr>
      <w:rFonts w:ascii="Arial" w:hAnsi="Arial" w:eastAsia="宋体" w:cs="Arial"/>
      <w:color w:val="auto"/>
      <w:sz w:val="20"/>
    </w:rPr>
  </w:style>
  <w:style w:type="character" w:customStyle="1" w:styleId="276">
    <w:name w:val="二级条标题 Char"/>
    <w:link w:val="58"/>
    <w:qFormat/>
    <w:uiPriority w:val="0"/>
    <w:rPr>
      <w:rFonts w:ascii="黑体" w:hAnsi="黑体" w:eastAsia="黑体"/>
      <w:color w:val="000000" w:themeColor="text1"/>
      <w:spacing w:val="-6"/>
      <w:sz w:val="21"/>
      <w:szCs w:val="24"/>
      <w14:textFill>
        <w14:solidFill>
          <w14:schemeClr w14:val="tx1"/>
        </w14:solidFill>
      </w14:textFill>
    </w:rPr>
  </w:style>
  <w:style w:type="character" w:customStyle="1" w:styleId="277">
    <w:name w:val="章标题 Char"/>
    <w:link w:val="60"/>
    <w:qFormat/>
    <w:uiPriority w:val="0"/>
    <w:rPr>
      <w:rFonts w:ascii="黑体" w:eastAsia="黑体"/>
      <w:sz w:val="21"/>
    </w:rPr>
  </w:style>
  <w:style w:type="character" w:customStyle="1" w:styleId="278">
    <w:name w:val="一级条标题 Char"/>
    <w:link w:val="59"/>
    <w:qFormat/>
    <w:uiPriority w:val="0"/>
    <w:rPr>
      <w:rFonts w:ascii="黑体" w:eastAsia="黑体"/>
      <w:color w:val="FF0000"/>
      <w:spacing w:val="-4"/>
      <w:sz w:val="21"/>
      <w:szCs w:val="24"/>
    </w:rPr>
  </w:style>
  <w:style w:type="character" w:customStyle="1" w:styleId="279">
    <w:name w:val="纯文本 字符"/>
    <w:link w:val="21"/>
    <w:qFormat/>
    <w:uiPriority w:val="0"/>
    <w:rPr>
      <w:rFonts w:ascii="宋体" w:hAnsi="Courier New" w:cs="Courier New"/>
      <w:kern w:val="2"/>
      <w:sz w:val="21"/>
      <w:szCs w:val="21"/>
    </w:rPr>
  </w:style>
  <w:style w:type="character" w:customStyle="1" w:styleId="280">
    <w:name w:val="三级条标题 Char"/>
    <w:link w:val="70"/>
    <w:qFormat/>
    <w:uiPriority w:val="0"/>
    <w:rPr>
      <w:rFonts w:ascii="黑体" w:eastAsia="黑体"/>
      <w:color w:val="FF0000"/>
      <w:spacing w:val="-4"/>
      <w:sz w:val="21"/>
      <w:szCs w:val="24"/>
    </w:rPr>
  </w:style>
  <w:style w:type="character" w:customStyle="1" w:styleId="281">
    <w:name w:val="批注框文本 字符"/>
    <w:link w:val="26"/>
    <w:qFormat/>
    <w:uiPriority w:val="99"/>
    <w:rPr>
      <w:kern w:val="2"/>
      <w:sz w:val="18"/>
      <w:szCs w:val="18"/>
    </w:rPr>
  </w:style>
  <w:style w:type="character" w:customStyle="1" w:styleId="282">
    <w:name w:val="正文文本 字符"/>
    <w:link w:val="16"/>
    <w:qFormat/>
    <w:uiPriority w:val="0"/>
    <w:rPr>
      <w:kern w:val="2"/>
      <w:sz w:val="21"/>
      <w:szCs w:val="24"/>
    </w:rPr>
  </w:style>
  <w:style w:type="character" w:customStyle="1" w:styleId="283">
    <w:name w:val="注： Char"/>
    <w:link w:val="90"/>
    <w:qFormat/>
    <w:uiPriority w:val="0"/>
    <w:rPr>
      <w:rFonts w:ascii="宋体"/>
      <w:sz w:val="18"/>
    </w:rPr>
  </w:style>
  <w:style w:type="character" w:customStyle="1" w:styleId="284">
    <w:name w:val="页脚 字符"/>
    <w:link w:val="27"/>
    <w:qFormat/>
    <w:uiPriority w:val="99"/>
    <w:rPr>
      <w:kern w:val="2"/>
      <w:sz w:val="18"/>
      <w:szCs w:val="18"/>
    </w:rPr>
  </w:style>
  <w:style w:type="character" w:customStyle="1" w:styleId="285">
    <w:name w:val="正文文本缩进 字符"/>
    <w:link w:val="17"/>
    <w:qFormat/>
    <w:uiPriority w:val="0"/>
    <w:rPr>
      <w:kern w:val="2"/>
      <w:sz w:val="24"/>
    </w:rPr>
  </w:style>
  <w:style w:type="character" w:customStyle="1" w:styleId="286">
    <w:name w:val="表中文字"/>
    <w:qFormat/>
    <w:uiPriority w:val="0"/>
    <w:rPr>
      <w:rFonts w:ascii="宋体" w:eastAsia="宋体"/>
      <w:sz w:val="18"/>
    </w:rPr>
  </w:style>
  <w:style w:type="character" w:customStyle="1" w:styleId="287">
    <w:name w:val="批注文字 字符"/>
    <w:link w:val="15"/>
    <w:qFormat/>
    <w:uiPriority w:val="0"/>
    <w:rPr>
      <w:kern w:val="2"/>
      <w:sz w:val="21"/>
      <w:szCs w:val="24"/>
    </w:rPr>
  </w:style>
  <w:style w:type="character" w:customStyle="1" w:styleId="288">
    <w:name w:val="批注主题 字符"/>
    <w:link w:val="38"/>
    <w:qFormat/>
    <w:uiPriority w:val="0"/>
    <w:rPr>
      <w:b/>
      <w:bCs/>
      <w:kern w:val="2"/>
      <w:sz w:val="21"/>
      <w:szCs w:val="24"/>
    </w:rPr>
  </w:style>
  <w:style w:type="character" w:customStyle="1" w:styleId="289">
    <w:name w:val="页眉 字符"/>
    <w:link w:val="28"/>
    <w:qFormat/>
    <w:uiPriority w:val="99"/>
    <w:rPr>
      <w:kern w:val="2"/>
      <w:sz w:val="18"/>
      <w:szCs w:val="18"/>
    </w:rPr>
  </w:style>
  <w:style w:type="character" w:customStyle="1" w:styleId="290">
    <w:name w:val="正文文本缩进 2 字符"/>
    <w:link w:val="24"/>
    <w:qFormat/>
    <w:uiPriority w:val="0"/>
    <w:rPr>
      <w:kern w:val="2"/>
      <w:sz w:val="21"/>
      <w:szCs w:val="24"/>
    </w:rPr>
  </w:style>
  <w:style w:type="character" w:customStyle="1" w:styleId="291">
    <w:name w:val="日期 字符"/>
    <w:link w:val="23"/>
    <w:qFormat/>
    <w:uiPriority w:val="99"/>
    <w:rPr>
      <w:kern w:val="2"/>
      <w:sz w:val="24"/>
    </w:rPr>
  </w:style>
  <w:style w:type="character" w:customStyle="1" w:styleId="292">
    <w:name w:val="访问过的超链接1"/>
    <w:qFormat/>
    <w:uiPriority w:val="99"/>
    <w:rPr>
      <w:color w:val="800080"/>
      <w:u w:val="single"/>
    </w:rPr>
  </w:style>
  <w:style w:type="character" w:customStyle="1" w:styleId="293">
    <w:name w:val="段 Char Char Char Char"/>
    <w:qFormat/>
    <w:uiPriority w:val="0"/>
    <w:rPr>
      <w:rFonts w:ascii="宋体"/>
      <w:sz w:val="21"/>
      <w:lang w:val="en-US" w:eastAsia="zh-CN" w:bidi="ar-SA"/>
    </w:rPr>
  </w:style>
  <w:style w:type="character" w:customStyle="1" w:styleId="294">
    <w:name w:val="章标题 Char Char"/>
    <w:qFormat/>
    <w:uiPriority w:val="0"/>
    <w:rPr>
      <w:rFonts w:ascii="黑体" w:eastAsia="黑体"/>
      <w:sz w:val="21"/>
      <w:lang w:val="en-US" w:eastAsia="zh-CN" w:bidi="ar-SA"/>
    </w:rPr>
  </w:style>
  <w:style w:type="character" w:customStyle="1" w:styleId="295">
    <w:name w:val="正文文本缩进 Char1"/>
    <w:qFormat/>
    <w:uiPriority w:val="0"/>
    <w:rPr>
      <w:kern w:val="2"/>
      <w:sz w:val="21"/>
      <w:szCs w:val="24"/>
    </w:rPr>
  </w:style>
  <w:style w:type="character" w:customStyle="1" w:styleId="296">
    <w:name w:val="font21"/>
    <w:qFormat/>
    <w:uiPriority w:val="0"/>
    <w:rPr>
      <w:rFonts w:hint="eastAsia" w:ascii="宋体" w:hAnsi="宋体" w:eastAsia="宋体" w:cs="宋体"/>
      <w:b/>
      <w:color w:val="FF0000"/>
      <w:sz w:val="21"/>
      <w:szCs w:val="21"/>
      <w:u w:val="none"/>
    </w:rPr>
  </w:style>
  <w:style w:type="character" w:customStyle="1" w:styleId="297">
    <w:name w:val="font41"/>
    <w:qFormat/>
    <w:uiPriority w:val="0"/>
    <w:rPr>
      <w:rFonts w:hint="eastAsia" w:ascii="宋体" w:hAnsi="宋体" w:eastAsia="宋体" w:cs="宋体"/>
      <w:b/>
      <w:color w:val="FF0000"/>
      <w:sz w:val="21"/>
      <w:szCs w:val="21"/>
      <w:u w:val="none"/>
    </w:rPr>
  </w:style>
  <w:style w:type="character" w:customStyle="1" w:styleId="298">
    <w:name w:val="font01"/>
    <w:qFormat/>
    <w:uiPriority w:val="0"/>
    <w:rPr>
      <w:rFonts w:hint="eastAsia" w:ascii="宋体" w:hAnsi="宋体" w:eastAsia="宋体"/>
      <w:color w:val="000000"/>
      <w:sz w:val="24"/>
      <w:szCs w:val="24"/>
      <w:u w:val="none"/>
    </w:rPr>
  </w:style>
  <w:style w:type="character" w:customStyle="1" w:styleId="299">
    <w:name w:val="附录标识 Char"/>
    <w:link w:val="64"/>
    <w:qFormat/>
    <w:uiPriority w:val="0"/>
    <w:rPr>
      <w:sz w:val="21"/>
    </w:rPr>
  </w:style>
  <w:style w:type="character" w:customStyle="1" w:styleId="300">
    <w:name w:val="font31"/>
    <w:qFormat/>
    <w:uiPriority w:val="0"/>
    <w:rPr>
      <w:rFonts w:hint="eastAsia" w:ascii="宋体" w:hAnsi="宋体" w:eastAsia="宋体" w:cs="宋体"/>
      <w:color w:val="000000"/>
      <w:sz w:val="22"/>
      <w:szCs w:val="22"/>
      <w:u w:val="none"/>
    </w:rPr>
  </w:style>
  <w:style w:type="paragraph" w:styleId="301">
    <w:name w:val="List Paragraph"/>
    <w:basedOn w:val="1"/>
    <w:qFormat/>
    <w:uiPriority w:val="34"/>
    <w:pPr>
      <w:ind w:firstLine="420" w:firstLineChars="200"/>
    </w:pPr>
  </w:style>
  <w:style w:type="paragraph" w:customStyle="1" w:styleId="302">
    <w:name w:val="Other|1"/>
    <w:basedOn w:val="1"/>
    <w:qFormat/>
    <w:uiPriority w:val="0"/>
    <w:pPr>
      <w:widowControl w:val="0"/>
      <w:shd w:val="clear" w:color="auto" w:fill="auto"/>
      <w:spacing w:after="80" w:line="377" w:lineRule="auto"/>
    </w:pPr>
    <w:rPr>
      <w:rFonts w:ascii="宋体" w:hAnsi="宋体" w:eastAsia="宋体" w:cs="宋体"/>
      <w:sz w:val="20"/>
      <w:szCs w:val="20"/>
      <w:u w:val="none"/>
      <w:shd w:val="clear" w:color="auto" w:fill="auto"/>
      <w:lang w:val="zh-TW" w:eastAsia="zh-TW" w:bidi="zh-TW"/>
    </w:rPr>
  </w:style>
  <w:style w:type="character" w:customStyle="1" w:styleId="303">
    <w:name w:val="标准书眉一 Char"/>
    <w:link w:val="111"/>
    <w:qFormat/>
    <w:uiPriority w:val="0"/>
    <w:rPr>
      <w:rFonts w:ascii="Times New Roman" w:hAnsi="Times New Roman" w:eastAsia="宋体" w:cs="Times New Roman"/>
      <w:lang w:val="en-US" w:eastAsia="zh-CN" w:bidi="ar-SA"/>
    </w:rPr>
  </w:style>
  <w:style w:type="character" w:customStyle="1" w:styleId="304">
    <w:name w:val="bds_more"/>
    <w:basedOn w:val="42"/>
    <w:qFormat/>
    <w:uiPriority w:val="0"/>
    <w:rPr>
      <w:rFonts w:hint="eastAsia" w:ascii="宋体" w:hAnsi="宋体" w:eastAsia="宋体" w:cs="宋体"/>
    </w:rPr>
  </w:style>
  <w:style w:type="character" w:customStyle="1" w:styleId="305">
    <w:name w:val="bds_more1"/>
    <w:basedOn w:val="42"/>
    <w:qFormat/>
    <w:uiPriority w:val="0"/>
  </w:style>
  <w:style w:type="character" w:customStyle="1" w:styleId="306">
    <w:name w:val="bds_more2"/>
    <w:basedOn w:val="42"/>
    <w:qFormat/>
    <w:uiPriority w:val="0"/>
  </w:style>
  <w:style w:type="character" w:customStyle="1" w:styleId="307">
    <w:name w:val="bds_nopic"/>
    <w:basedOn w:val="42"/>
    <w:qFormat/>
    <w:uiPriority w:val="0"/>
  </w:style>
  <w:style w:type="character" w:customStyle="1" w:styleId="308">
    <w:name w:val="bds_nopic1"/>
    <w:basedOn w:val="42"/>
    <w:qFormat/>
    <w:uiPriority w:val="0"/>
  </w:style>
  <w:style w:type="character" w:customStyle="1" w:styleId="309">
    <w:name w:val="bds_nopic2"/>
    <w:basedOn w:val="42"/>
    <w:qFormat/>
    <w:uiPriority w:val="0"/>
  </w:style>
  <w:style w:type="character" w:customStyle="1" w:styleId="310">
    <w:name w:val="hover13"/>
    <w:basedOn w:val="42"/>
    <w:qFormat/>
    <w:uiPriority w:val="0"/>
    <w:rPr>
      <w:color w:val="187BE4"/>
    </w:rPr>
  </w:style>
  <w:style w:type="character" w:customStyle="1" w:styleId="311">
    <w:name w:val="hover14"/>
    <w:basedOn w:val="42"/>
    <w:qFormat/>
    <w:uiPriority w:val="0"/>
    <w:rPr>
      <w:color w:val="187BE4"/>
    </w:rPr>
  </w:style>
  <w:style w:type="character" w:customStyle="1" w:styleId="312">
    <w:name w:val="hover15"/>
    <w:basedOn w:val="42"/>
    <w:qFormat/>
    <w:uiPriority w:val="0"/>
    <w:rPr>
      <w:color w:val="FFFFFF"/>
      <w:shd w:val="clear" w:fill="187BE4"/>
    </w:rPr>
  </w:style>
  <w:style w:type="character" w:customStyle="1" w:styleId="313">
    <w:name w:val="hover16"/>
    <w:basedOn w:val="42"/>
    <w:qFormat/>
    <w:uiPriority w:val="0"/>
    <w:rPr>
      <w:color w:val="FFFFFF"/>
      <w:shd w:val="clear" w:fill="187BE4"/>
    </w:rPr>
  </w:style>
  <w:style w:type="character" w:customStyle="1" w:styleId="314">
    <w:name w:val="hover"/>
    <w:basedOn w:val="42"/>
    <w:qFormat/>
    <w:uiPriority w:val="0"/>
    <w:rPr>
      <w:color w:val="FFFFFF"/>
      <w:shd w:val="clear" w:fill="187BE4"/>
    </w:rPr>
  </w:style>
  <w:style w:type="character" w:customStyle="1" w:styleId="315">
    <w:name w:val="hover1"/>
    <w:basedOn w:val="42"/>
    <w:qFormat/>
    <w:uiPriority w:val="0"/>
    <w:rPr>
      <w:color w:val="187BE4"/>
      <w:shd w:val="clear" w:fill="187BE4"/>
    </w:rPr>
  </w:style>
  <w:style w:type="character" w:customStyle="1" w:styleId="316">
    <w:name w:val="目录 6 Char"/>
    <w:link w:val="12"/>
    <w:qFormat/>
    <w:uiPriority w:val="0"/>
  </w:style>
  <w:style w:type="character" w:customStyle="1" w:styleId="317">
    <w:name w:val="目录 8 Char"/>
    <w:link w:val="22"/>
    <w:qFormat/>
    <w:uiPriority w:val="0"/>
  </w:style>
  <w:style w:type="paragraph" w:customStyle="1" w:styleId="318">
    <w:name w:val="标准文件_一级无标题"/>
    <w:basedOn w:val="319"/>
    <w:qFormat/>
    <w:uiPriority w:val="0"/>
    <w:pPr>
      <w:spacing w:beforeLines="0" w:afterLines="0"/>
      <w:outlineLvl w:val="9"/>
    </w:pPr>
    <w:rPr>
      <w:rFonts w:ascii="宋体" w:eastAsia="宋体"/>
    </w:rPr>
  </w:style>
  <w:style w:type="paragraph" w:customStyle="1" w:styleId="319">
    <w:name w:val="标准文件_一级条标题"/>
    <w:basedOn w:val="320"/>
    <w:next w:val="321"/>
    <w:qFormat/>
    <w:uiPriority w:val="0"/>
    <w:pPr>
      <w:numPr>
        <w:ilvl w:val="2"/>
      </w:numPr>
      <w:spacing w:beforeLines="50" w:afterLines="50"/>
      <w:outlineLvl w:val="1"/>
    </w:pPr>
  </w:style>
  <w:style w:type="paragraph" w:customStyle="1" w:styleId="320">
    <w:name w:val="标准文件_章标题"/>
    <w:next w:val="321"/>
    <w:qFormat/>
    <w:uiPriority w:val="0"/>
    <w:pPr>
      <w:numPr>
        <w:ilvl w:val="1"/>
        <w:numId w:val="11"/>
      </w:numPr>
      <w:spacing w:beforeLines="100" w:afterLines="100"/>
      <w:jc w:val="both"/>
      <w:outlineLvl w:val="0"/>
    </w:pPr>
    <w:rPr>
      <w:rFonts w:ascii="黑体" w:hAnsi="Times New Roman" w:eastAsia="黑体" w:cs="Times New Roman"/>
      <w:sz w:val="21"/>
      <w:lang w:val="en-US" w:eastAsia="zh-CN" w:bidi="ar-SA"/>
    </w:rPr>
  </w:style>
  <w:style w:type="paragraph" w:customStyle="1" w:styleId="321">
    <w:name w:val="标准文件_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322">
    <w:name w:val="TOC 6 字符"/>
    <w:link w:val="12"/>
    <w:qFormat/>
    <w:uiPriority w:val="0"/>
  </w:style>
  <w:style w:type="character" w:customStyle="1" w:styleId="323">
    <w:name w:val="TOC 8 字符"/>
    <w:link w:val="22"/>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2" Type="http://schemas.openxmlformats.org/officeDocument/2006/relationships/fontTable" Target="fontTable.xml"/><Relationship Id="rId31" Type="http://schemas.openxmlformats.org/officeDocument/2006/relationships/customXml" Target="../customXml/item2.xml"/><Relationship Id="rId30" Type="http://schemas.openxmlformats.org/officeDocument/2006/relationships/numbering" Target="numbering.xml"/><Relationship Id="rId3" Type="http://schemas.openxmlformats.org/officeDocument/2006/relationships/header" Target="header1.xml"/><Relationship Id="rId29" Type="http://schemas.openxmlformats.org/officeDocument/2006/relationships/customXml" Target="../customXml/item1.xml"/><Relationship Id="rId28" Type="http://schemas.openxmlformats.org/officeDocument/2006/relationships/image" Target="media/image15.wmf"/><Relationship Id="rId27" Type="http://schemas.openxmlformats.org/officeDocument/2006/relationships/oleObject" Target="embeddings/oleObject3.bin"/><Relationship Id="rId26" Type="http://schemas.openxmlformats.org/officeDocument/2006/relationships/image" Target="media/image14.wmf"/><Relationship Id="rId25" Type="http://schemas.openxmlformats.org/officeDocument/2006/relationships/image" Target="media/image13.wmf"/><Relationship Id="rId24" Type="http://schemas.openxmlformats.org/officeDocument/2006/relationships/image" Target="media/image12.wmf"/><Relationship Id="rId23" Type="http://schemas.openxmlformats.org/officeDocument/2006/relationships/oleObject" Target="embeddings/oleObject2.bin"/><Relationship Id="rId22" Type="http://schemas.openxmlformats.org/officeDocument/2006/relationships/image" Target="media/image11.wmf"/><Relationship Id="rId21" Type="http://schemas.openxmlformats.org/officeDocument/2006/relationships/image" Target="media/image10.wmf"/><Relationship Id="rId20" Type="http://schemas.openxmlformats.org/officeDocument/2006/relationships/image" Target="media/image9.wmf"/><Relationship Id="rId2" Type="http://schemas.openxmlformats.org/officeDocument/2006/relationships/settings" Target="settings.xml"/><Relationship Id="rId19" Type="http://schemas.openxmlformats.org/officeDocument/2006/relationships/oleObject" Target="embeddings/oleObject1.bin"/><Relationship Id="rId18" Type="http://schemas.openxmlformats.org/officeDocument/2006/relationships/image" Target="media/image8.png"/><Relationship Id="rId17" Type="http://schemas.openxmlformats.org/officeDocument/2006/relationships/image" Target="media/image7.jpeg"/><Relationship Id="rId16" Type="http://schemas.openxmlformats.org/officeDocument/2006/relationships/image" Target="media/image6.jpeg"/><Relationship Id="rId15" Type="http://schemas.openxmlformats.org/officeDocument/2006/relationships/image" Target="media/image5.jpeg"/><Relationship Id="rId14" Type="http://schemas.openxmlformats.org/officeDocument/2006/relationships/image" Target="media/image4.jpeg"/><Relationship Id="rId13" Type="http://schemas.openxmlformats.org/officeDocument/2006/relationships/image" Target="media/image3.jpeg"/><Relationship Id="rId12" Type="http://schemas.openxmlformats.org/officeDocument/2006/relationships/image" Target="media/image2.jpeg"/><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6631;&#20934;\5237-201X\2\GB-T5237-201X\&#25253;&#25209;&#26448;&#26009;\GBT%205237.2&#21644;.5&#25253;&#25209;&#26448;&#26009;20160927\GBT%205237.2-201X%20&#25253;&#25209;&#26448;&#26009;\&#22269;&#23478;&#34892;&#19994;&#26631;&#20934;&#32534;&#21046;&#35828;&#26126;&#27169;&#2649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CC06E0-E10B-46FD-AB59-2F17ED22A987}">
  <ds:schemaRefs/>
</ds:datastoreItem>
</file>

<file path=docProps/app.xml><?xml version="1.0" encoding="utf-8"?>
<Properties xmlns="http://schemas.openxmlformats.org/officeDocument/2006/extended-properties" xmlns:vt="http://schemas.openxmlformats.org/officeDocument/2006/docPropsVTypes">
  <Template>国家行业标准编制说明模板</Template>
  <Company>Microsoft</Company>
  <Pages>11</Pages>
  <Words>8431</Words>
  <Characters>8980</Characters>
  <Lines>32</Lines>
  <Paragraphs>9</Paragraphs>
  <TotalTime>5</TotalTime>
  <ScaleCrop>false</ScaleCrop>
  <LinksUpToDate>false</LinksUpToDate>
  <CharactersWithSpaces>9073</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2019-11-11T12:12:00Z</dcterms:created>
  <dc:creator>标准李瑞山9585</dc:creator>
  <cp:lastModifiedBy>Administrator</cp:lastModifiedBy>
  <cp:lastPrinted>2016-10-20T04:13:00Z</cp:lastPrinted>
  <dcterms:modified xsi:type="dcterms:W3CDTF">2023-06-09T03:00:05Z</dcterms:modified>
  <dc:title>标准名称</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01B553B64B8843D8B98B101E440AD108</vt:lpwstr>
  </property>
</Properties>
</file>