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7D7AB" w14:textId="69F64C56" w:rsidR="00E8223F" w:rsidRDefault="003B2497" w:rsidP="00B54D89">
      <w:pPr>
        <w:spacing w:line="480" w:lineRule="auto"/>
        <w:jc w:val="center"/>
        <w:rPr>
          <w:rFonts w:ascii="黑体" w:eastAsia="黑体" w:hAnsi="黑体" w:cs="黑体"/>
          <w:b/>
          <w:bCs/>
          <w:w w:val="90"/>
          <w:sz w:val="32"/>
          <w:szCs w:val="32"/>
        </w:rPr>
      </w:pPr>
      <w:bookmarkStart w:id="0" w:name="_Hlk82435718"/>
      <w:r w:rsidRPr="00356B4B">
        <w:rPr>
          <w:rFonts w:ascii="黑体" w:eastAsia="黑体" w:hAnsi="黑体" w:cs="黑体" w:hint="eastAsia"/>
          <w:b/>
          <w:bCs/>
          <w:w w:val="90"/>
          <w:sz w:val="32"/>
          <w:szCs w:val="32"/>
        </w:rPr>
        <w:t>稀土行业标准</w:t>
      </w:r>
      <w:r w:rsidRPr="00356B4B">
        <w:rPr>
          <w:rFonts w:ascii="黑体" w:eastAsia="黑体" w:hAnsi="黑体" w:cs="黑体"/>
          <w:b/>
          <w:bCs/>
          <w:w w:val="90"/>
          <w:sz w:val="32"/>
          <w:szCs w:val="32"/>
        </w:rPr>
        <w:t>《</w:t>
      </w:r>
      <w:r w:rsidR="00EB635C">
        <w:rPr>
          <w:rFonts w:ascii="黑体" w:eastAsia="黑体" w:hAnsi="黑体" w:cs="黑体" w:hint="eastAsia"/>
          <w:b/>
          <w:bCs/>
          <w:w w:val="90"/>
          <w:sz w:val="32"/>
          <w:szCs w:val="32"/>
        </w:rPr>
        <w:t>高纯金属</w:t>
      </w:r>
      <w:r w:rsidR="00AE17EA">
        <w:rPr>
          <w:rFonts w:ascii="黑体" w:eastAsia="黑体" w:hAnsi="黑体" w:cs="黑体" w:hint="eastAsia"/>
          <w:b/>
          <w:bCs/>
          <w:w w:val="90"/>
          <w:sz w:val="32"/>
          <w:szCs w:val="32"/>
        </w:rPr>
        <w:t>钬</w:t>
      </w:r>
      <w:r w:rsidRPr="00356B4B">
        <w:rPr>
          <w:rFonts w:ascii="黑体" w:eastAsia="黑体" w:hAnsi="黑体" w:cs="黑体"/>
          <w:b/>
          <w:bCs/>
          <w:w w:val="90"/>
          <w:sz w:val="32"/>
          <w:szCs w:val="32"/>
        </w:rPr>
        <w:t>》</w:t>
      </w:r>
      <w:bookmarkEnd w:id="0"/>
      <w:r w:rsidR="00844FDF">
        <w:rPr>
          <w:rFonts w:ascii="黑体" w:eastAsia="黑体" w:hAnsi="黑体" w:cs="黑体" w:hint="eastAsia"/>
          <w:b/>
          <w:bCs/>
          <w:w w:val="90"/>
          <w:sz w:val="32"/>
          <w:szCs w:val="32"/>
        </w:rPr>
        <w:t>预</w:t>
      </w:r>
      <w:r w:rsidR="002F4FEE">
        <w:rPr>
          <w:rFonts w:ascii="黑体" w:eastAsia="黑体" w:hAnsi="黑体" w:cs="黑体" w:hint="eastAsia"/>
          <w:b/>
          <w:bCs/>
          <w:w w:val="90"/>
          <w:sz w:val="32"/>
          <w:szCs w:val="32"/>
        </w:rPr>
        <w:t>审</w:t>
      </w:r>
      <w:r w:rsidR="00E8223F">
        <w:rPr>
          <w:rFonts w:ascii="黑体" w:eastAsia="黑体" w:hAnsi="黑体" w:cs="黑体" w:hint="eastAsia"/>
          <w:b/>
          <w:bCs/>
          <w:w w:val="90"/>
          <w:sz w:val="32"/>
          <w:szCs w:val="32"/>
        </w:rPr>
        <w:t>稿</w:t>
      </w:r>
    </w:p>
    <w:p w14:paraId="3FD51450" w14:textId="1A19CF06" w:rsidR="00601EFB" w:rsidRPr="00356B4B" w:rsidRDefault="003B2497" w:rsidP="00B54D89">
      <w:pPr>
        <w:spacing w:line="480" w:lineRule="auto"/>
        <w:jc w:val="center"/>
        <w:rPr>
          <w:rFonts w:ascii="黑体" w:eastAsia="黑体" w:hAnsi="黑体" w:cs="黑体"/>
          <w:b/>
          <w:bCs/>
          <w:w w:val="90"/>
          <w:sz w:val="32"/>
          <w:szCs w:val="32"/>
        </w:rPr>
      </w:pPr>
      <w:r w:rsidRPr="00356B4B">
        <w:rPr>
          <w:rFonts w:ascii="黑体" w:eastAsia="黑体" w:hAnsi="黑体" w:cs="黑体"/>
          <w:b/>
          <w:bCs/>
          <w:w w:val="90"/>
          <w:sz w:val="32"/>
          <w:szCs w:val="32"/>
        </w:rPr>
        <w:t>编制说明</w:t>
      </w:r>
    </w:p>
    <w:p w14:paraId="6C790BEA" w14:textId="77777777" w:rsidR="00601EFB" w:rsidRPr="00356B4B" w:rsidRDefault="003B2497">
      <w:pPr>
        <w:spacing w:beforeLines="50" w:before="156" w:afterLines="50" w:after="156" w:line="312" w:lineRule="auto"/>
        <w:rPr>
          <w:rFonts w:ascii="黑体" w:eastAsia="黑体"/>
          <w:b/>
        </w:rPr>
      </w:pPr>
      <w:r w:rsidRPr="00356B4B">
        <w:rPr>
          <w:rFonts w:ascii="黑体" w:eastAsia="黑体" w:hint="eastAsia"/>
          <w:b/>
        </w:rPr>
        <w:t>一、工作简况</w:t>
      </w:r>
    </w:p>
    <w:p w14:paraId="7ACAFB74" w14:textId="77777777" w:rsidR="00601EFB" w:rsidRPr="005E681A"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5E681A">
        <w:rPr>
          <w:rFonts w:hAnsi="黑体" w:hint="eastAsia"/>
          <w:b/>
          <w:sz w:val="24"/>
          <w:szCs w:val="22"/>
        </w:rPr>
        <w:t>（一）</w:t>
      </w:r>
      <w:r w:rsidRPr="005E681A">
        <w:rPr>
          <w:rFonts w:hAnsi="黑体"/>
          <w:b/>
          <w:sz w:val="24"/>
          <w:szCs w:val="22"/>
        </w:rPr>
        <w:t>任务来源</w:t>
      </w:r>
    </w:p>
    <w:p w14:paraId="401C0D0F" w14:textId="3C4414FF" w:rsidR="0039367A" w:rsidRPr="00356B4B" w:rsidRDefault="005814F2" w:rsidP="0005672A">
      <w:pPr>
        <w:spacing w:line="360" w:lineRule="auto"/>
        <w:ind w:firstLineChars="200" w:firstLine="480"/>
        <w:jc w:val="both"/>
      </w:pPr>
      <w:r>
        <w:rPr>
          <w:rFonts w:hint="eastAsia"/>
        </w:rPr>
        <w:t>根据《工业和信息化部办公厅关于印发2022 年第二批行业标准制修订和外文版项目计划的通知》（工</w:t>
      </w:r>
      <w:proofErr w:type="gramStart"/>
      <w:r>
        <w:rPr>
          <w:rFonts w:hint="eastAsia"/>
        </w:rPr>
        <w:t>信厅科函</w:t>
      </w:r>
      <w:proofErr w:type="gramEnd"/>
      <w:r>
        <w:rPr>
          <w:rFonts w:hint="eastAsia"/>
        </w:rPr>
        <w:t>〔2022〕158 号）的要求，全国稀土标准化技术委员会于2022 年7 月25 日至26 日以网络会议的形式召开了2022 年第五次稀土标准工作会议，</w:t>
      </w:r>
      <w:r w:rsidRPr="00356B4B">
        <w:rPr>
          <w:rFonts w:hint="eastAsia"/>
        </w:rPr>
        <w:t>正式下达</w:t>
      </w:r>
      <w:r>
        <w:rPr>
          <w:rFonts w:hint="eastAsia"/>
        </w:rPr>
        <w:t>了</w:t>
      </w:r>
      <w:r w:rsidRPr="00356B4B">
        <w:rPr>
          <w:rFonts w:hint="eastAsia"/>
        </w:rPr>
        <w:t>《</w:t>
      </w:r>
      <w:r>
        <w:rPr>
          <w:rFonts w:hint="eastAsia"/>
        </w:rPr>
        <w:t>高纯金属</w:t>
      </w:r>
      <w:r w:rsidR="00AE17EA">
        <w:rPr>
          <w:rFonts w:hint="eastAsia"/>
        </w:rPr>
        <w:t>钬</w:t>
      </w:r>
      <w:r w:rsidRPr="00356B4B">
        <w:rPr>
          <w:rFonts w:hint="eastAsia"/>
        </w:rPr>
        <w:t>》</w:t>
      </w:r>
      <w:r>
        <w:rPr>
          <w:rFonts w:hint="eastAsia"/>
        </w:rPr>
        <w:t>行业标准项目</w:t>
      </w:r>
      <w:r w:rsidRPr="00356B4B">
        <w:rPr>
          <w:rFonts w:hint="eastAsia"/>
        </w:rPr>
        <w:t>计划</w:t>
      </w:r>
      <w:r>
        <w:rPr>
          <w:rFonts w:hint="eastAsia"/>
        </w:rPr>
        <w:t>。本标准</w:t>
      </w:r>
      <w:r w:rsidR="003B2497" w:rsidRPr="00356B4B">
        <w:rPr>
          <w:rFonts w:hint="eastAsia"/>
        </w:rPr>
        <w:t>计划号为</w:t>
      </w:r>
      <w:r w:rsidR="00AE17EA" w:rsidRPr="00AE17EA">
        <w:t>2022-0575T-XB</w:t>
      </w:r>
      <w:r w:rsidR="003B2497" w:rsidRPr="00356B4B">
        <w:rPr>
          <w:rFonts w:hint="eastAsia"/>
        </w:rPr>
        <w:t>，完成年限为</w:t>
      </w:r>
      <w:r w:rsidR="0039367A" w:rsidRPr="00356B4B">
        <w:t>202</w:t>
      </w:r>
      <w:r w:rsidR="002C7564">
        <w:t>3</w:t>
      </w:r>
      <w:r w:rsidR="003B2497" w:rsidRPr="00356B4B">
        <w:rPr>
          <w:rFonts w:hint="eastAsia"/>
        </w:rPr>
        <w:t>年。</w:t>
      </w:r>
    </w:p>
    <w:p w14:paraId="581D7D43" w14:textId="2111D56E" w:rsidR="00601EFB" w:rsidRPr="00303C61" w:rsidRDefault="003B2497" w:rsidP="00AE17EA">
      <w:pPr>
        <w:spacing w:line="360" w:lineRule="auto"/>
        <w:ind w:firstLineChars="200" w:firstLine="480"/>
        <w:jc w:val="both"/>
      </w:pPr>
      <w:r>
        <w:t>本文件由全国稀土标准化技术委员会（SAC/TC 229）提出并归口，由</w:t>
      </w:r>
      <w:r w:rsidR="00AE17EA">
        <w:rPr>
          <w:rFonts w:hint="eastAsia"/>
        </w:rPr>
        <w:t>有</w:t>
      </w:r>
      <w:proofErr w:type="gramStart"/>
      <w:r w:rsidR="00AE17EA">
        <w:rPr>
          <w:rFonts w:hint="eastAsia"/>
        </w:rPr>
        <w:t>研</w:t>
      </w:r>
      <w:proofErr w:type="gramEnd"/>
      <w:r w:rsidR="00AE17EA">
        <w:rPr>
          <w:rFonts w:hint="eastAsia"/>
        </w:rPr>
        <w:t>稀土新材料股份有限公司、虔东稀土集团股份有限公司、中稀（广西）金源稀土新材料有限公司、福建省长汀金龙稀土有限公司、包头稀土研究院、瑞科稀土冶金及功能材料国家工程研究中心有限公司、乐山有研稀土新材料有限公司、国瑞科创稀土功能材料（赣州）有限公司、有研稀土高技术有限公司、</w:t>
      </w:r>
      <w:proofErr w:type="gramStart"/>
      <w:r w:rsidR="00AE17EA">
        <w:rPr>
          <w:rFonts w:hint="eastAsia"/>
        </w:rPr>
        <w:t>中稀天</w:t>
      </w:r>
      <w:proofErr w:type="gramEnd"/>
      <w:r w:rsidR="00AE17EA">
        <w:rPr>
          <w:rFonts w:hint="eastAsia"/>
        </w:rPr>
        <w:t>马新材料科技股份有限公司、益阳鸿源稀土有限责任公司、湖南稀土金属材料研究院有限责任公司</w:t>
      </w:r>
      <w:r w:rsidR="00AE17EA">
        <w:t>等</w:t>
      </w:r>
      <w:r w:rsidR="00AE17EA">
        <w:rPr>
          <w:rFonts w:hint="eastAsia"/>
        </w:rPr>
        <w:t>多家生产</w:t>
      </w:r>
      <w:r w:rsidR="00AE17EA">
        <w:t>单位</w:t>
      </w:r>
      <w:r w:rsidR="00AE17EA">
        <w:rPr>
          <w:rFonts w:hint="eastAsia"/>
        </w:rPr>
        <w:t>共同参与起草</w:t>
      </w:r>
      <w:r w:rsidR="00D15A5F">
        <w:rPr>
          <w:rFonts w:hint="eastAsia"/>
        </w:rPr>
        <w:t>。</w:t>
      </w:r>
    </w:p>
    <w:p w14:paraId="7E5B515F" w14:textId="77777777" w:rsidR="00601EFB" w:rsidRPr="00781514"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（二）</w:t>
      </w:r>
      <w:bookmarkStart w:id="1" w:name="_Toc451633880"/>
      <w:r w:rsidRPr="00781514">
        <w:rPr>
          <w:rFonts w:hAnsi="黑体" w:hint="eastAsia"/>
          <w:b/>
          <w:sz w:val="24"/>
          <w:szCs w:val="22"/>
        </w:rPr>
        <w:t>主要参加单位和工作成员及其所做的工作</w:t>
      </w:r>
      <w:bookmarkEnd w:id="1"/>
    </w:p>
    <w:p w14:paraId="1E8F65A0" w14:textId="77777777" w:rsidR="009A796A" w:rsidRDefault="003B2497" w:rsidP="0005672A">
      <w:pPr>
        <w:spacing w:line="360" w:lineRule="auto"/>
        <w:ind w:firstLineChars="200" w:firstLine="480"/>
        <w:jc w:val="both"/>
      </w:pPr>
      <w:r>
        <w:rPr>
          <w:rFonts w:hint="eastAsia"/>
        </w:rPr>
        <w:t>标准牵头起草单位有</w:t>
      </w:r>
      <w:proofErr w:type="gramStart"/>
      <w:r>
        <w:rPr>
          <w:rFonts w:hint="eastAsia"/>
        </w:rPr>
        <w:t>研</w:t>
      </w:r>
      <w:proofErr w:type="gramEnd"/>
      <w:r>
        <w:rPr>
          <w:rFonts w:hint="eastAsia"/>
        </w:rPr>
        <w:t>稀土新材料股份有限公司（简称</w:t>
      </w:r>
      <w:r w:rsidR="0017706E">
        <w:rPr>
          <w:rFonts w:hint="eastAsia"/>
        </w:rPr>
        <w:t>“</w:t>
      </w:r>
      <w:r>
        <w:rPr>
          <w:rFonts w:hint="eastAsia"/>
        </w:rPr>
        <w:t>有研稀土</w:t>
      </w:r>
      <w:r w:rsidR="0017706E">
        <w:rPr>
          <w:rFonts w:hint="eastAsia"/>
        </w:rPr>
        <w:t>”</w:t>
      </w:r>
      <w:r>
        <w:rPr>
          <w:rFonts w:hint="eastAsia"/>
        </w:rPr>
        <w:t>）</w:t>
      </w:r>
      <w:r>
        <w:t>负责</w:t>
      </w:r>
      <w:r>
        <w:rPr>
          <w:rFonts w:hint="eastAsia"/>
        </w:rPr>
        <w:t>组织</w:t>
      </w:r>
      <w:r w:rsidR="005814F2">
        <w:rPr>
          <w:rFonts w:hint="eastAsia"/>
        </w:rPr>
        <w:t>《高纯金属</w:t>
      </w:r>
      <w:r w:rsidR="00AE17EA">
        <w:rPr>
          <w:rFonts w:hint="eastAsia"/>
        </w:rPr>
        <w:t>钬</w:t>
      </w:r>
      <w:r w:rsidR="005814F2">
        <w:rPr>
          <w:rFonts w:hint="eastAsia"/>
        </w:rPr>
        <w:t>》行业</w:t>
      </w:r>
      <w:r>
        <w:rPr>
          <w:rFonts w:hint="eastAsia"/>
        </w:rPr>
        <w:t>标准</w:t>
      </w:r>
      <w:r w:rsidR="005814F2">
        <w:rPr>
          <w:rFonts w:hint="eastAsia"/>
        </w:rPr>
        <w:t>的</w:t>
      </w:r>
      <w:r w:rsidR="00AE17EA">
        <w:rPr>
          <w:rFonts w:hint="eastAsia"/>
        </w:rPr>
        <w:t>技术</w:t>
      </w:r>
      <w:r w:rsidR="009A796A">
        <w:rPr>
          <w:rFonts w:hint="eastAsia"/>
        </w:rPr>
        <w:t>内容</w:t>
      </w:r>
      <w:r>
        <w:t>调研、标准</w:t>
      </w:r>
      <w:r w:rsidR="009A796A">
        <w:rPr>
          <w:rFonts w:hint="eastAsia"/>
        </w:rPr>
        <w:t>文本</w:t>
      </w:r>
      <w:r>
        <w:t>起草</w:t>
      </w:r>
      <w:r>
        <w:rPr>
          <w:rFonts w:hint="eastAsia"/>
        </w:rPr>
        <w:t>、</w:t>
      </w:r>
      <w:r>
        <w:t>预审</w:t>
      </w:r>
      <w:r w:rsidR="009A796A">
        <w:rPr>
          <w:rFonts w:hint="eastAsia"/>
        </w:rPr>
        <w:t>稿和</w:t>
      </w:r>
      <w:r>
        <w:t>审定</w:t>
      </w:r>
      <w:r w:rsidR="009A796A">
        <w:rPr>
          <w:rFonts w:hint="eastAsia"/>
        </w:rPr>
        <w:t>稿的牵头撰写</w:t>
      </w:r>
      <w:r w:rsidR="00AE17EA">
        <w:rPr>
          <w:rFonts w:hint="eastAsia"/>
        </w:rPr>
        <w:t>等</w:t>
      </w:r>
      <w:r>
        <w:t>工作</w:t>
      </w:r>
      <w:r>
        <w:rPr>
          <w:rFonts w:hint="eastAsia"/>
        </w:rPr>
        <w:t>。</w:t>
      </w:r>
      <w:r w:rsidRPr="00AD066A">
        <w:rPr>
          <w:rFonts w:hint="eastAsia"/>
        </w:rPr>
        <w:t>有</w:t>
      </w:r>
      <w:proofErr w:type="gramStart"/>
      <w:r w:rsidRPr="00AD066A">
        <w:rPr>
          <w:rFonts w:hint="eastAsia"/>
        </w:rPr>
        <w:t>研</w:t>
      </w:r>
      <w:proofErr w:type="gramEnd"/>
      <w:r w:rsidRPr="00AD066A">
        <w:rPr>
          <w:rFonts w:hint="eastAsia"/>
        </w:rPr>
        <w:t>稀土是</w:t>
      </w:r>
      <w:r w:rsidRPr="00AD066A">
        <w:t>2001</w:t>
      </w:r>
      <w:r w:rsidRPr="00AD066A">
        <w:rPr>
          <w:rFonts w:hint="eastAsia"/>
        </w:rPr>
        <w:t>年由</w:t>
      </w:r>
      <w:r w:rsidR="00F63279" w:rsidRPr="00AD066A">
        <w:rPr>
          <w:rFonts w:hint="eastAsia"/>
        </w:rPr>
        <w:t>中国有研科技集团有限公司（原北京有色金属研究总院）</w:t>
      </w:r>
      <w:r w:rsidRPr="00AD066A">
        <w:rPr>
          <w:rFonts w:hint="eastAsia"/>
        </w:rPr>
        <w:t>作为主发起人对“稀土国家工程研究中心”进行整体改制而设立的股份公司</w:t>
      </w:r>
      <w:r>
        <w:rPr>
          <w:rFonts w:hint="eastAsia"/>
        </w:rPr>
        <w:t>，是首家在中关村科技</w:t>
      </w:r>
      <w:proofErr w:type="gramStart"/>
      <w:r>
        <w:rPr>
          <w:rFonts w:hint="eastAsia"/>
        </w:rPr>
        <w:t>园区德胜科</w:t>
      </w:r>
      <w:proofErr w:type="gramEnd"/>
      <w:r>
        <w:rPr>
          <w:rFonts w:hint="eastAsia"/>
        </w:rPr>
        <w:t>技园的注册高新技术企业，被评为中关村国家自主创新示范区“十百千工程”重点培育企业。有</w:t>
      </w:r>
      <w:proofErr w:type="gramStart"/>
      <w:r>
        <w:rPr>
          <w:rFonts w:hint="eastAsia"/>
        </w:rPr>
        <w:t>研</w:t>
      </w:r>
      <w:proofErr w:type="gramEnd"/>
      <w:r>
        <w:rPr>
          <w:rFonts w:hint="eastAsia"/>
        </w:rPr>
        <w:t>稀土一直积极参与标准的制修订工作，牵头</w:t>
      </w:r>
      <w:r>
        <w:t>/</w:t>
      </w:r>
      <w:r>
        <w:rPr>
          <w:rFonts w:hint="eastAsia"/>
        </w:rPr>
        <w:t>参与制定了</w:t>
      </w:r>
      <w:r w:rsidR="005814F2">
        <w:rPr>
          <w:rFonts w:hint="eastAsia"/>
        </w:rPr>
        <w:t>《高纯金属镝》、《高纯金属铽》、《高纯金属镱》、《金属钬》、</w:t>
      </w:r>
      <w:r>
        <w:rPr>
          <w:rFonts w:hint="eastAsia"/>
        </w:rPr>
        <w:t>《氟化镝》、《氟化钕》、《稀土术语</w:t>
      </w:r>
      <w:r>
        <w:t>-</w:t>
      </w:r>
      <w:r>
        <w:rPr>
          <w:rFonts w:hint="eastAsia"/>
        </w:rPr>
        <w:t>稀土金属及合金》、《稀土术语</w:t>
      </w:r>
      <w:r>
        <w:t>-</w:t>
      </w:r>
      <w:r>
        <w:rPr>
          <w:rFonts w:hint="eastAsia"/>
        </w:rPr>
        <w:t>稀土矿产品及化合物》、《快淬钕铁硼永磁粉》、《粘结钕铁硼永磁材料》、《钕铁硼速凝薄片合金》等</w:t>
      </w:r>
      <w:r>
        <w:t>60</w:t>
      </w:r>
      <w:r>
        <w:rPr>
          <w:rFonts w:hint="eastAsia"/>
        </w:rPr>
        <w:t>多项稀土国际标准</w:t>
      </w:r>
      <w:r w:rsidR="000D3889">
        <w:rPr>
          <w:rFonts w:hint="eastAsia"/>
        </w:rPr>
        <w:t>/</w:t>
      </w:r>
      <w:r>
        <w:rPr>
          <w:rFonts w:hint="eastAsia"/>
        </w:rPr>
        <w:t>国家标准</w:t>
      </w:r>
      <w:r w:rsidR="000D3889">
        <w:rPr>
          <w:rFonts w:hint="eastAsia"/>
        </w:rPr>
        <w:t>/</w:t>
      </w:r>
      <w:r>
        <w:rPr>
          <w:rFonts w:hint="eastAsia"/>
        </w:rPr>
        <w:t>行业标准。</w:t>
      </w:r>
    </w:p>
    <w:p w14:paraId="64CB73C1" w14:textId="103BFFE3" w:rsidR="00601EFB" w:rsidRPr="000D3889" w:rsidRDefault="00AE17EA" w:rsidP="0005672A">
      <w:pPr>
        <w:spacing w:line="360" w:lineRule="auto"/>
        <w:ind w:firstLineChars="200" w:firstLine="480"/>
        <w:jc w:val="both"/>
      </w:pPr>
      <w:proofErr w:type="gramStart"/>
      <w:r>
        <w:rPr>
          <w:rFonts w:hint="eastAsia"/>
        </w:rPr>
        <w:t>虔</w:t>
      </w:r>
      <w:proofErr w:type="gramEnd"/>
      <w:r>
        <w:rPr>
          <w:rFonts w:hint="eastAsia"/>
        </w:rPr>
        <w:t>东稀土集团股份有限公司、中稀（广西）金源稀土新材料有限公司、福建省长汀金龙稀土有限公司、包头稀土研究院、瑞科稀土冶金及功能材料国家工程研究中心有限公司、乐山有研稀土新材料有限公司、国瑞科创稀土功能材料（赣州）有限公司、有研稀土高技术有限公司、</w:t>
      </w:r>
      <w:proofErr w:type="gramStart"/>
      <w:r>
        <w:rPr>
          <w:rFonts w:hint="eastAsia"/>
        </w:rPr>
        <w:t>中稀天</w:t>
      </w:r>
      <w:proofErr w:type="gramEnd"/>
      <w:r>
        <w:rPr>
          <w:rFonts w:hint="eastAsia"/>
        </w:rPr>
        <w:t>马新材料科技股份有限公司、益阳鸿源稀土有限责任公司、湖南稀土金属材料研究院有</w:t>
      </w:r>
      <w:r>
        <w:rPr>
          <w:rFonts w:hint="eastAsia"/>
        </w:rPr>
        <w:lastRenderedPageBreak/>
        <w:t>限责任公司</w:t>
      </w:r>
      <w:r w:rsidR="000D3889">
        <w:rPr>
          <w:rFonts w:hint="eastAsia"/>
        </w:rPr>
        <w:t>等</w:t>
      </w:r>
      <w:r w:rsidR="006C3B61">
        <w:rPr>
          <w:rFonts w:hint="eastAsia"/>
        </w:rPr>
        <w:t>单位是</w:t>
      </w:r>
      <w:r>
        <w:rPr>
          <w:rFonts w:hint="eastAsia"/>
        </w:rPr>
        <w:t>《高纯金属钬》</w:t>
      </w:r>
      <w:r w:rsidR="006C3B61">
        <w:rPr>
          <w:rFonts w:hint="eastAsia"/>
        </w:rPr>
        <w:t>行业</w:t>
      </w:r>
      <w:r w:rsidR="005D3249" w:rsidRPr="000D3889">
        <w:rPr>
          <w:rFonts w:hint="eastAsia"/>
        </w:rPr>
        <w:t>标准</w:t>
      </w:r>
      <w:r w:rsidR="006C3B61">
        <w:rPr>
          <w:rFonts w:hint="eastAsia"/>
        </w:rPr>
        <w:t>的</w:t>
      </w:r>
      <w:r w:rsidR="005D3249">
        <w:rPr>
          <w:rFonts w:hint="eastAsia"/>
        </w:rPr>
        <w:t>主要参与</w:t>
      </w:r>
      <w:r w:rsidR="005D3249" w:rsidRPr="000D3889">
        <w:rPr>
          <w:rFonts w:hint="eastAsia"/>
        </w:rPr>
        <w:t>起草单位</w:t>
      </w:r>
      <w:r w:rsidR="006C3B61">
        <w:rPr>
          <w:rFonts w:hint="eastAsia"/>
        </w:rPr>
        <w:t>。《高纯金属钬》起草单位</w:t>
      </w:r>
      <w:r w:rsidR="005D3249">
        <w:rPr>
          <w:rFonts w:hint="eastAsia"/>
        </w:rPr>
        <w:t>涵盖了</w:t>
      </w:r>
      <w:r w:rsidR="000D3889">
        <w:rPr>
          <w:rFonts w:hint="eastAsia"/>
        </w:rPr>
        <w:t>国内</w:t>
      </w:r>
      <w:r>
        <w:rPr>
          <w:rFonts w:hint="eastAsia"/>
        </w:rPr>
        <w:t>主要高纯</w:t>
      </w:r>
      <w:r w:rsidR="005D3249">
        <w:rPr>
          <w:rFonts w:hint="eastAsia"/>
        </w:rPr>
        <w:t>稀土金属产品</w:t>
      </w:r>
      <w:r w:rsidR="000D3889">
        <w:rPr>
          <w:rFonts w:hint="eastAsia"/>
        </w:rPr>
        <w:t>生产</w:t>
      </w:r>
      <w:r w:rsidR="005D3249">
        <w:rPr>
          <w:rFonts w:hint="eastAsia"/>
        </w:rPr>
        <w:t>单位</w:t>
      </w:r>
      <w:r w:rsidR="003058C5">
        <w:rPr>
          <w:rFonts w:hint="eastAsia"/>
        </w:rPr>
        <w:t>，</w:t>
      </w:r>
      <w:r w:rsidR="005D3249">
        <w:rPr>
          <w:rFonts w:hint="eastAsia"/>
        </w:rPr>
        <w:t>也</w:t>
      </w:r>
      <w:r>
        <w:rPr>
          <w:rFonts w:hint="eastAsia"/>
        </w:rPr>
        <w:t>是</w:t>
      </w:r>
      <w:r w:rsidR="005D3249">
        <w:rPr>
          <w:rFonts w:hint="eastAsia"/>
        </w:rPr>
        <w:t>长期</w:t>
      </w:r>
      <w:r>
        <w:rPr>
          <w:rFonts w:hint="eastAsia"/>
        </w:rPr>
        <w:t>牵头</w:t>
      </w:r>
      <w:r w:rsidR="006C3B61">
        <w:rPr>
          <w:rFonts w:hint="eastAsia"/>
        </w:rPr>
        <w:t>或</w:t>
      </w:r>
      <w:r w:rsidR="005D3249">
        <w:rPr>
          <w:rFonts w:hint="eastAsia"/>
        </w:rPr>
        <w:t>参与</w:t>
      </w:r>
      <w:r>
        <w:rPr>
          <w:rFonts w:hint="eastAsia"/>
        </w:rPr>
        <w:t>多项</w:t>
      </w:r>
      <w:r w:rsidR="005D3249">
        <w:rPr>
          <w:rFonts w:hint="eastAsia"/>
        </w:rPr>
        <w:t>稀土标准的制修订，</w:t>
      </w:r>
      <w:r w:rsidR="006C3B61">
        <w:rPr>
          <w:rFonts w:hint="eastAsia"/>
        </w:rPr>
        <w:t>将</w:t>
      </w:r>
      <w:r w:rsidR="005D3249">
        <w:rPr>
          <w:rFonts w:hint="eastAsia"/>
        </w:rPr>
        <w:t>为《高纯金属</w:t>
      </w:r>
      <w:r>
        <w:rPr>
          <w:rFonts w:hint="eastAsia"/>
        </w:rPr>
        <w:t>钬</w:t>
      </w:r>
      <w:r w:rsidR="005D3249">
        <w:rPr>
          <w:rFonts w:hint="eastAsia"/>
        </w:rPr>
        <w:t>》</w:t>
      </w:r>
      <w:proofErr w:type="gramStart"/>
      <w:r w:rsidR="005D3249">
        <w:rPr>
          <w:rFonts w:hint="eastAsia"/>
        </w:rPr>
        <w:t>行标标准</w:t>
      </w:r>
      <w:proofErr w:type="gramEnd"/>
      <w:r w:rsidR="005D3249">
        <w:rPr>
          <w:rFonts w:hint="eastAsia"/>
        </w:rPr>
        <w:t>技术</w:t>
      </w:r>
      <w:r w:rsidR="006C3B61">
        <w:rPr>
          <w:rFonts w:hint="eastAsia"/>
        </w:rPr>
        <w:t>内容</w:t>
      </w:r>
      <w:r w:rsidR="005D3249">
        <w:rPr>
          <w:rFonts w:hint="eastAsia"/>
        </w:rPr>
        <w:t>的确定</w:t>
      </w:r>
      <w:r>
        <w:rPr>
          <w:rFonts w:hint="eastAsia"/>
        </w:rPr>
        <w:t>提供良好的基础</w:t>
      </w:r>
      <w:r w:rsidR="003058C5" w:rsidRPr="002E5F1C">
        <w:rPr>
          <w:rFonts w:hint="eastAsia"/>
        </w:rPr>
        <w:t>。</w:t>
      </w:r>
    </w:p>
    <w:p w14:paraId="011DE99F" w14:textId="3F326E66" w:rsidR="00601EFB" w:rsidRDefault="003058C5" w:rsidP="0005672A">
      <w:pPr>
        <w:spacing w:line="360" w:lineRule="auto"/>
        <w:ind w:firstLineChars="200" w:firstLine="480"/>
        <w:jc w:val="both"/>
      </w:pPr>
      <w:r>
        <w:rPr>
          <w:rFonts w:hint="eastAsia"/>
        </w:rPr>
        <w:t>本标准</w:t>
      </w:r>
      <w:r w:rsidR="002F11AA" w:rsidRPr="002F11AA">
        <w:rPr>
          <w:rFonts w:hint="eastAsia"/>
        </w:rPr>
        <w:t>主要参加单位和工作成员及其所做的工作</w:t>
      </w:r>
      <w:r w:rsidR="003B2497">
        <w:rPr>
          <w:rFonts w:hint="eastAsia"/>
        </w:rPr>
        <w:t>见表1。</w:t>
      </w:r>
    </w:p>
    <w:p w14:paraId="73982737" w14:textId="2B900A78" w:rsidR="00601EFB" w:rsidRDefault="003B2497">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4673"/>
        <w:gridCol w:w="4980"/>
      </w:tblGrid>
      <w:tr w:rsidR="00AD066A" w14:paraId="2006B6D5" w14:textId="77777777" w:rsidTr="00AD066A">
        <w:trPr>
          <w:trHeight w:val="332"/>
          <w:tblHeader/>
          <w:jc w:val="center"/>
        </w:trPr>
        <w:tc>
          <w:tcPr>
            <w:tcW w:w="4673" w:type="dxa"/>
          </w:tcPr>
          <w:p w14:paraId="470DA6B5" w14:textId="77777777" w:rsidR="00AD066A" w:rsidRDefault="00AD066A" w:rsidP="002F11AA">
            <w:pPr>
              <w:spacing w:line="276" w:lineRule="auto"/>
              <w:ind w:hanging="28"/>
              <w:jc w:val="center"/>
              <w:rPr>
                <w:szCs w:val="21"/>
              </w:rPr>
            </w:pPr>
            <w:r>
              <w:rPr>
                <w:szCs w:val="21"/>
              </w:rPr>
              <w:t>单位</w:t>
            </w:r>
            <w:r>
              <w:rPr>
                <w:rFonts w:hint="eastAsia"/>
                <w:szCs w:val="21"/>
              </w:rPr>
              <w:t>名称</w:t>
            </w:r>
          </w:p>
        </w:tc>
        <w:tc>
          <w:tcPr>
            <w:tcW w:w="4980" w:type="dxa"/>
          </w:tcPr>
          <w:p w14:paraId="71C14F28" w14:textId="77777777" w:rsidR="00AD066A" w:rsidRDefault="00AD066A" w:rsidP="007E00FC">
            <w:pPr>
              <w:spacing w:line="276" w:lineRule="auto"/>
              <w:ind w:firstLine="435"/>
              <w:jc w:val="center"/>
              <w:rPr>
                <w:szCs w:val="21"/>
              </w:rPr>
            </w:pPr>
            <w:r>
              <w:rPr>
                <w:rFonts w:hint="eastAsia"/>
                <w:szCs w:val="21"/>
              </w:rPr>
              <w:t>工作职责</w:t>
            </w:r>
          </w:p>
        </w:tc>
      </w:tr>
      <w:tr w:rsidR="00AD066A" w14:paraId="72D3928C" w14:textId="77777777" w:rsidTr="00AD066A">
        <w:trPr>
          <w:trHeight w:val="2341"/>
          <w:jc w:val="center"/>
        </w:trPr>
        <w:tc>
          <w:tcPr>
            <w:tcW w:w="4673" w:type="dxa"/>
            <w:vAlign w:val="center"/>
          </w:tcPr>
          <w:p w14:paraId="7E48E5EA" w14:textId="77777777"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有</w:t>
            </w:r>
            <w:proofErr w:type="gramStart"/>
            <w:r>
              <w:rPr>
                <w:rFonts w:ascii="Times New Roman" w:cs="Times New Roman" w:hint="eastAsia"/>
                <w:kern w:val="2"/>
                <w:sz w:val="21"/>
                <w:szCs w:val="21"/>
              </w:rPr>
              <w:t>研</w:t>
            </w:r>
            <w:proofErr w:type="gramEnd"/>
            <w:r>
              <w:rPr>
                <w:rFonts w:ascii="Times New Roman" w:cs="Times New Roman" w:hint="eastAsia"/>
                <w:kern w:val="2"/>
                <w:sz w:val="21"/>
                <w:szCs w:val="21"/>
              </w:rPr>
              <w:t>稀土新材料股份有限公司</w:t>
            </w:r>
          </w:p>
        </w:tc>
        <w:tc>
          <w:tcPr>
            <w:tcW w:w="4980" w:type="dxa"/>
            <w:vAlign w:val="center"/>
          </w:tcPr>
          <w:p w14:paraId="27EA0D91" w14:textId="02E3BA3D"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）牵头组织制定高纯金属</w:t>
            </w:r>
            <w:proofErr w:type="gramStart"/>
            <w:r w:rsidR="00AE17EA">
              <w:rPr>
                <w:rFonts w:ascii="Times New Roman" w:cs="Times New Roman" w:hint="eastAsia"/>
                <w:kern w:val="2"/>
                <w:sz w:val="21"/>
                <w:szCs w:val="21"/>
              </w:rPr>
              <w:t>钬</w:t>
            </w:r>
            <w:proofErr w:type="gramEnd"/>
            <w:r>
              <w:rPr>
                <w:rFonts w:ascii="Times New Roman" w:cs="Times New Roman" w:hint="eastAsia"/>
                <w:kern w:val="2"/>
                <w:sz w:val="21"/>
                <w:szCs w:val="21"/>
              </w:rPr>
              <w:t>标准；</w:t>
            </w:r>
          </w:p>
          <w:p w14:paraId="38C5592E" w14:textId="006EA2D0"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）成立高纯金属</w:t>
            </w:r>
            <w:proofErr w:type="gramStart"/>
            <w:r w:rsidR="00AE17EA">
              <w:rPr>
                <w:rFonts w:ascii="Times New Roman" w:cs="Times New Roman" w:hint="eastAsia"/>
                <w:kern w:val="2"/>
                <w:sz w:val="21"/>
                <w:szCs w:val="21"/>
              </w:rPr>
              <w:t>钬</w:t>
            </w:r>
            <w:proofErr w:type="gramEnd"/>
            <w:r>
              <w:rPr>
                <w:rFonts w:ascii="Times New Roman" w:cs="Times New Roman" w:hint="eastAsia"/>
                <w:kern w:val="2"/>
                <w:sz w:val="21"/>
                <w:szCs w:val="21"/>
              </w:rPr>
              <w:t>标准项目组，组织标准</w:t>
            </w:r>
            <w:r w:rsidR="006C3B61">
              <w:rPr>
                <w:rFonts w:ascii="Times New Roman" w:cs="Times New Roman" w:hint="eastAsia"/>
                <w:kern w:val="2"/>
                <w:sz w:val="21"/>
                <w:szCs w:val="21"/>
              </w:rPr>
              <w:t>技术</w:t>
            </w:r>
            <w:r>
              <w:rPr>
                <w:rFonts w:ascii="Times New Roman" w:cs="Times New Roman" w:hint="eastAsia"/>
                <w:kern w:val="2"/>
                <w:sz w:val="21"/>
                <w:szCs w:val="21"/>
              </w:rPr>
              <w:t>内容讨论会；</w:t>
            </w:r>
          </w:p>
          <w:p w14:paraId="6B6DC444" w14:textId="5A234F24"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3</w:t>
            </w:r>
            <w:r>
              <w:rPr>
                <w:rFonts w:ascii="Times New Roman" w:cs="Times New Roman" w:hint="eastAsia"/>
                <w:kern w:val="2"/>
                <w:sz w:val="21"/>
                <w:szCs w:val="21"/>
              </w:rPr>
              <w:t>）收集汇总标准参与单位代表意见，负责</w:t>
            </w:r>
            <w:proofErr w:type="gramStart"/>
            <w:r>
              <w:rPr>
                <w:rFonts w:ascii="Times New Roman" w:cs="Times New Roman" w:hint="eastAsia"/>
                <w:kern w:val="2"/>
                <w:sz w:val="21"/>
                <w:szCs w:val="21"/>
              </w:rPr>
              <w:t>编制高</w:t>
            </w:r>
            <w:proofErr w:type="gramEnd"/>
            <w:r>
              <w:rPr>
                <w:rFonts w:ascii="Times New Roman" w:cs="Times New Roman" w:hint="eastAsia"/>
                <w:kern w:val="2"/>
                <w:sz w:val="21"/>
                <w:szCs w:val="21"/>
              </w:rPr>
              <w:t>纯金属</w:t>
            </w:r>
            <w:r w:rsidR="00AE17EA">
              <w:rPr>
                <w:rFonts w:ascii="Times New Roman" w:cs="Times New Roman" w:hint="eastAsia"/>
                <w:kern w:val="2"/>
                <w:sz w:val="21"/>
                <w:szCs w:val="21"/>
              </w:rPr>
              <w:t>钬</w:t>
            </w:r>
            <w:r>
              <w:rPr>
                <w:rFonts w:ascii="Times New Roman" w:cs="Times New Roman" w:hint="eastAsia"/>
                <w:kern w:val="2"/>
                <w:sz w:val="21"/>
                <w:szCs w:val="21"/>
              </w:rPr>
              <w:t>标准征求意见稿、编制说明等文件；</w:t>
            </w:r>
          </w:p>
          <w:p w14:paraId="4DA94BF3" w14:textId="179FEF5F"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w:t>
            </w:r>
            <w:proofErr w:type="gramStart"/>
            <w:r>
              <w:rPr>
                <w:rFonts w:ascii="Times New Roman" w:cs="Times New Roman" w:hint="eastAsia"/>
                <w:kern w:val="2"/>
                <w:sz w:val="21"/>
                <w:szCs w:val="21"/>
              </w:rPr>
              <w:t>调研高</w:t>
            </w:r>
            <w:proofErr w:type="gramEnd"/>
            <w:r>
              <w:rPr>
                <w:rFonts w:ascii="Times New Roman" w:cs="Times New Roman" w:hint="eastAsia"/>
                <w:kern w:val="2"/>
                <w:sz w:val="21"/>
                <w:szCs w:val="21"/>
              </w:rPr>
              <w:t>纯金属</w:t>
            </w:r>
            <w:r w:rsidR="00AE17EA">
              <w:rPr>
                <w:rFonts w:ascii="Times New Roman" w:cs="Times New Roman" w:hint="eastAsia"/>
                <w:kern w:val="2"/>
                <w:sz w:val="21"/>
                <w:szCs w:val="21"/>
              </w:rPr>
              <w:t>钬</w:t>
            </w:r>
            <w:r>
              <w:rPr>
                <w:rFonts w:ascii="Times New Roman" w:cs="Times New Roman" w:hint="eastAsia"/>
                <w:kern w:val="2"/>
                <w:sz w:val="21"/>
                <w:szCs w:val="21"/>
              </w:rPr>
              <w:t>产品的应用情况及其技术要求。</w:t>
            </w:r>
          </w:p>
        </w:tc>
      </w:tr>
      <w:tr w:rsidR="00AD066A" w14:paraId="10F0BA35" w14:textId="77777777" w:rsidTr="00AD066A">
        <w:trPr>
          <w:trHeight w:val="2920"/>
          <w:jc w:val="center"/>
        </w:trPr>
        <w:tc>
          <w:tcPr>
            <w:tcW w:w="4673" w:type="dxa"/>
            <w:vAlign w:val="center"/>
          </w:tcPr>
          <w:p w14:paraId="4BBEDAE8" w14:textId="67FEED1A" w:rsidR="00AD066A" w:rsidRDefault="00AE17E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proofErr w:type="gramStart"/>
            <w:r w:rsidRPr="00AE17EA">
              <w:rPr>
                <w:rFonts w:ascii="Times New Roman" w:cs="Times New Roman" w:hint="eastAsia"/>
                <w:kern w:val="2"/>
                <w:sz w:val="21"/>
                <w:szCs w:val="21"/>
              </w:rPr>
              <w:t>虔</w:t>
            </w:r>
            <w:proofErr w:type="gramEnd"/>
            <w:r w:rsidRPr="00AE17EA">
              <w:rPr>
                <w:rFonts w:ascii="Times New Roman" w:cs="Times New Roman" w:hint="eastAsia"/>
                <w:kern w:val="2"/>
                <w:sz w:val="21"/>
                <w:szCs w:val="21"/>
              </w:rPr>
              <w:t>东稀土集团股份有限公司、中稀（广西）金源稀土新材料有限公司、福建省长汀金龙稀土有限公司、包头稀土研究院、瑞科稀土冶金及功能材料国家工程研究中心有限公司、乐山有研稀土新材料有限公司、国瑞科创稀土功能材料（赣州）有限公司、有研稀土高技术有限公司、</w:t>
            </w:r>
            <w:proofErr w:type="gramStart"/>
            <w:r w:rsidRPr="00AE17EA">
              <w:rPr>
                <w:rFonts w:ascii="Times New Roman" w:cs="Times New Roman" w:hint="eastAsia"/>
                <w:kern w:val="2"/>
                <w:sz w:val="21"/>
                <w:szCs w:val="21"/>
              </w:rPr>
              <w:t>中稀天</w:t>
            </w:r>
            <w:proofErr w:type="gramEnd"/>
            <w:r w:rsidRPr="00AE17EA">
              <w:rPr>
                <w:rFonts w:ascii="Times New Roman" w:cs="Times New Roman" w:hint="eastAsia"/>
                <w:kern w:val="2"/>
                <w:sz w:val="21"/>
                <w:szCs w:val="21"/>
              </w:rPr>
              <w:t>马新材料科技股份有限公司、益阳鸿源稀土有限责任公司、湖南稀土金属材料研究院有限责任公司</w:t>
            </w:r>
            <w:r>
              <w:rPr>
                <w:rFonts w:ascii="Times New Roman" w:cs="Times New Roman" w:hint="eastAsia"/>
                <w:kern w:val="2"/>
                <w:sz w:val="21"/>
                <w:szCs w:val="21"/>
              </w:rPr>
              <w:t>等</w:t>
            </w:r>
          </w:p>
        </w:tc>
        <w:tc>
          <w:tcPr>
            <w:tcW w:w="4980" w:type="dxa"/>
            <w:vAlign w:val="center"/>
          </w:tcPr>
          <w:p w14:paraId="2B8316E2" w14:textId="39DAE65F"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）提供各单位有关高纯金属</w:t>
            </w:r>
            <w:proofErr w:type="gramStart"/>
            <w:r w:rsidR="00AE17EA">
              <w:rPr>
                <w:rFonts w:ascii="Times New Roman" w:cs="Times New Roman" w:hint="eastAsia"/>
                <w:kern w:val="2"/>
                <w:sz w:val="21"/>
                <w:szCs w:val="21"/>
              </w:rPr>
              <w:t>钬</w:t>
            </w:r>
            <w:proofErr w:type="gramEnd"/>
            <w:r>
              <w:rPr>
                <w:rFonts w:ascii="Times New Roman" w:cs="Times New Roman" w:hint="eastAsia"/>
                <w:kern w:val="2"/>
                <w:sz w:val="21"/>
                <w:szCs w:val="21"/>
              </w:rPr>
              <w:t>产品生产情况、技术指标，以及产品的应用情况；</w:t>
            </w:r>
          </w:p>
          <w:p w14:paraId="1A2010C9" w14:textId="77777777"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）参与征求意见稿的制定；</w:t>
            </w:r>
          </w:p>
          <w:p w14:paraId="73E0C4F4" w14:textId="1DC4A1E1" w:rsidR="00AD066A" w:rsidRPr="00E23BDD"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3</w:t>
            </w:r>
            <w:r>
              <w:rPr>
                <w:rFonts w:ascii="Times New Roman" w:cs="Times New Roman" w:hint="eastAsia"/>
                <w:kern w:val="2"/>
                <w:sz w:val="21"/>
                <w:szCs w:val="21"/>
              </w:rPr>
              <w:t>）参与高纯金属</w:t>
            </w:r>
            <w:proofErr w:type="gramStart"/>
            <w:r w:rsidR="00AE17EA">
              <w:rPr>
                <w:rFonts w:ascii="Times New Roman" w:cs="Times New Roman" w:hint="eastAsia"/>
                <w:kern w:val="2"/>
                <w:sz w:val="21"/>
                <w:szCs w:val="21"/>
              </w:rPr>
              <w:t>钬</w:t>
            </w:r>
            <w:proofErr w:type="gramEnd"/>
            <w:r>
              <w:rPr>
                <w:rFonts w:ascii="Times New Roman" w:cs="Times New Roman" w:hint="eastAsia"/>
                <w:kern w:val="2"/>
                <w:sz w:val="21"/>
                <w:szCs w:val="21"/>
              </w:rPr>
              <w:t>产品的应用领域及其技术指标的调研。</w:t>
            </w:r>
          </w:p>
        </w:tc>
      </w:tr>
    </w:tbl>
    <w:p w14:paraId="7E243694" w14:textId="77475FE0" w:rsidR="00601EFB" w:rsidRPr="00781514"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（三）研制背景</w:t>
      </w:r>
    </w:p>
    <w:p w14:paraId="4E4EB5DD" w14:textId="2FCB3AE4" w:rsidR="00601EFB" w:rsidRDefault="003B2497" w:rsidP="005E681A">
      <w:pPr>
        <w:spacing w:line="360" w:lineRule="auto"/>
        <w:rPr>
          <w:b/>
          <w:bCs/>
          <w:szCs w:val="32"/>
        </w:rPr>
      </w:pPr>
      <w:r w:rsidRPr="005E681A">
        <w:rPr>
          <w:b/>
          <w:bCs/>
          <w:szCs w:val="32"/>
        </w:rPr>
        <w:t>1</w:t>
      </w:r>
      <w:r w:rsidRPr="005E681A">
        <w:rPr>
          <w:rFonts w:hint="eastAsia"/>
          <w:b/>
          <w:bCs/>
          <w:szCs w:val="32"/>
        </w:rPr>
        <w:t>、项目的必要性简述</w:t>
      </w:r>
    </w:p>
    <w:p w14:paraId="208973AC" w14:textId="1DFBA2AE" w:rsidR="00EE713D" w:rsidRDefault="00EE713D" w:rsidP="0005672A">
      <w:pPr>
        <w:spacing w:line="360" w:lineRule="auto"/>
        <w:ind w:firstLine="420"/>
        <w:jc w:val="both"/>
        <w:rPr>
          <w:color w:val="000000"/>
          <w:szCs w:val="21"/>
        </w:rPr>
      </w:pPr>
      <w:r w:rsidRPr="00EE713D">
        <w:rPr>
          <w:rFonts w:hint="eastAsia"/>
          <w:color w:val="000000"/>
          <w:szCs w:val="21"/>
        </w:rPr>
        <w:t>高纯稀土金属作为先进磁、光、电功能材料的关键基础材料</w:t>
      </w:r>
      <w:r w:rsidR="006C3B61">
        <w:rPr>
          <w:rFonts w:hint="eastAsia"/>
          <w:color w:val="000000"/>
          <w:szCs w:val="21"/>
        </w:rPr>
        <w:t>，</w:t>
      </w:r>
      <w:r w:rsidRPr="00EE713D">
        <w:rPr>
          <w:rFonts w:hint="eastAsia"/>
          <w:color w:val="000000"/>
          <w:szCs w:val="21"/>
        </w:rPr>
        <w:t>在国防军工和新一代电子信息等战略性新兴产业中发挥着不可或缺的关键作用。稀土金属本征性质与材料性能密切相关，不同高纯稀土金属对应的应用领域不同</w:t>
      </w:r>
      <w:r>
        <w:rPr>
          <w:rFonts w:hint="eastAsia"/>
          <w:color w:val="000000"/>
          <w:szCs w:val="21"/>
        </w:rPr>
        <w:t>，</w:t>
      </w:r>
      <w:r w:rsidRPr="00EE713D">
        <w:rPr>
          <w:rFonts w:hint="eastAsia"/>
          <w:color w:val="000000"/>
          <w:szCs w:val="21"/>
        </w:rPr>
        <w:t>高纯金属</w:t>
      </w:r>
      <w:proofErr w:type="gramStart"/>
      <w:r w:rsidR="00AE17EA">
        <w:rPr>
          <w:rFonts w:hint="eastAsia"/>
          <w:color w:val="000000"/>
          <w:szCs w:val="21"/>
        </w:rPr>
        <w:t>钬</w:t>
      </w:r>
      <w:proofErr w:type="gramEnd"/>
      <w:r w:rsidRPr="00EE713D">
        <w:rPr>
          <w:rFonts w:hint="eastAsia"/>
          <w:color w:val="000000"/>
          <w:szCs w:val="21"/>
        </w:rPr>
        <w:t>主要用于</w:t>
      </w:r>
      <w:r w:rsidR="00AE2D6A">
        <w:rPr>
          <w:rFonts w:hint="eastAsia"/>
          <w:szCs w:val="20"/>
        </w:rPr>
        <w:t>生产钬铜合金、高纯金属钬靶</w:t>
      </w:r>
      <w:proofErr w:type="gramStart"/>
      <w:r w:rsidR="00AE2D6A">
        <w:rPr>
          <w:rFonts w:hint="eastAsia"/>
          <w:szCs w:val="20"/>
        </w:rPr>
        <w:t>材</w:t>
      </w:r>
      <w:r w:rsidR="00AE2D6A" w:rsidRPr="00FF4FF8">
        <w:rPr>
          <w:rFonts w:hint="eastAsia"/>
          <w:szCs w:val="20"/>
        </w:rPr>
        <w:t>及</w:t>
      </w:r>
      <w:proofErr w:type="gramEnd"/>
      <w:r w:rsidR="00AE2D6A" w:rsidRPr="00FF4FF8">
        <w:rPr>
          <w:rFonts w:hint="eastAsia"/>
          <w:szCs w:val="20"/>
        </w:rPr>
        <w:t>其合金靶材</w:t>
      </w:r>
      <w:r w:rsidR="00AE2D6A">
        <w:rPr>
          <w:rFonts w:hint="eastAsia"/>
          <w:color w:val="000000"/>
          <w:szCs w:val="21"/>
        </w:rPr>
        <w:t>等</w:t>
      </w:r>
      <w:r w:rsidR="006C3B61">
        <w:rPr>
          <w:rFonts w:hint="eastAsia"/>
          <w:color w:val="000000"/>
          <w:szCs w:val="21"/>
        </w:rPr>
        <w:t>新材料</w:t>
      </w:r>
      <w:r w:rsidR="00AE2D6A">
        <w:rPr>
          <w:rFonts w:hint="eastAsia"/>
          <w:color w:val="000000"/>
          <w:szCs w:val="21"/>
        </w:rPr>
        <w:t>，用于蓄冷、电子信息等领域</w:t>
      </w:r>
      <w:r>
        <w:rPr>
          <w:rFonts w:hint="eastAsia"/>
          <w:color w:val="000000"/>
          <w:szCs w:val="21"/>
        </w:rPr>
        <w:t>。</w:t>
      </w:r>
    </w:p>
    <w:p w14:paraId="4480E851" w14:textId="77777777" w:rsidR="006C3B61" w:rsidRDefault="00EE713D" w:rsidP="006C3B61">
      <w:pPr>
        <w:spacing w:line="360" w:lineRule="auto"/>
        <w:ind w:firstLine="420"/>
        <w:jc w:val="both"/>
        <w:rPr>
          <w:color w:val="000000"/>
          <w:szCs w:val="21"/>
        </w:rPr>
      </w:pPr>
      <w:r w:rsidRPr="00EE713D">
        <w:rPr>
          <w:rFonts w:hint="eastAsia"/>
          <w:color w:val="000000"/>
          <w:szCs w:val="21"/>
        </w:rPr>
        <w:t>近年来，高纯稀土金属作为新材料的基础物质保障，可以确保从原子、电子层次研究稀土材料组织结构与性能关系，其纯度要求也不断提高</w:t>
      </w:r>
      <w:r w:rsidR="006C3B61">
        <w:rPr>
          <w:rFonts w:hint="eastAsia"/>
          <w:color w:val="000000"/>
          <w:szCs w:val="21"/>
        </w:rPr>
        <w:t>。</w:t>
      </w:r>
      <w:proofErr w:type="gramStart"/>
      <w:r w:rsidR="006C3B61">
        <w:rPr>
          <w:rFonts w:hint="eastAsia"/>
          <w:color w:val="000000"/>
          <w:szCs w:val="21"/>
        </w:rPr>
        <w:t>微纳电子</w:t>
      </w:r>
      <w:proofErr w:type="gramEnd"/>
      <w:r w:rsidR="006C3B61">
        <w:rPr>
          <w:rFonts w:hint="eastAsia"/>
          <w:color w:val="000000"/>
          <w:szCs w:val="21"/>
        </w:rPr>
        <w:t>制造领域</w:t>
      </w:r>
      <w:r w:rsidR="00AE515F" w:rsidRPr="00AE515F">
        <w:rPr>
          <w:rFonts w:hint="eastAsia"/>
          <w:color w:val="000000"/>
          <w:szCs w:val="21"/>
        </w:rPr>
        <w:t>对</w:t>
      </w:r>
      <w:r w:rsidR="006C3B61">
        <w:rPr>
          <w:rFonts w:hint="eastAsia"/>
          <w:color w:val="000000"/>
          <w:szCs w:val="21"/>
        </w:rPr>
        <w:t>高纯</w:t>
      </w:r>
      <w:r w:rsidR="00AE515F" w:rsidRPr="00AE515F">
        <w:rPr>
          <w:rFonts w:hint="eastAsia"/>
          <w:color w:val="000000"/>
          <w:szCs w:val="21"/>
        </w:rPr>
        <w:t>金属</w:t>
      </w:r>
      <w:r w:rsidR="00AE515F">
        <w:rPr>
          <w:rFonts w:hint="eastAsia"/>
          <w:color w:val="000000"/>
          <w:szCs w:val="21"/>
        </w:rPr>
        <w:t>钬的</w:t>
      </w:r>
      <w:r w:rsidR="00AE515F" w:rsidRPr="00AE515F">
        <w:rPr>
          <w:color w:val="000000"/>
          <w:szCs w:val="21"/>
        </w:rPr>
        <w:t>纯度要求99.99%</w:t>
      </w:r>
      <w:r w:rsidR="006C3B61">
        <w:rPr>
          <w:rFonts w:hint="eastAsia"/>
          <w:color w:val="000000"/>
          <w:szCs w:val="21"/>
        </w:rPr>
        <w:t>以上</w:t>
      </w:r>
      <w:r w:rsidR="00AE515F" w:rsidRPr="00AE515F">
        <w:rPr>
          <w:color w:val="000000"/>
          <w:szCs w:val="21"/>
        </w:rPr>
        <w:t>，Fe、Cu和Ni等过渡族元素杂质含量＜10ppm</w:t>
      </w:r>
      <w:r w:rsidR="00AE515F">
        <w:rPr>
          <w:rFonts w:hint="eastAsia"/>
          <w:color w:val="000000"/>
          <w:szCs w:val="21"/>
        </w:rPr>
        <w:t>；</w:t>
      </w:r>
      <w:r w:rsidR="00AE515F" w:rsidRPr="00AE515F">
        <w:rPr>
          <w:rFonts w:hint="eastAsia"/>
          <w:color w:val="000000"/>
          <w:szCs w:val="21"/>
        </w:rPr>
        <w:t>磁致冷材料</w:t>
      </w:r>
      <w:r w:rsidR="00AE515F">
        <w:rPr>
          <w:rFonts w:hint="eastAsia"/>
          <w:color w:val="000000"/>
          <w:szCs w:val="21"/>
        </w:rPr>
        <w:t>对高纯金属</w:t>
      </w:r>
      <w:proofErr w:type="gramStart"/>
      <w:r w:rsidR="00AE515F">
        <w:rPr>
          <w:rFonts w:hint="eastAsia"/>
          <w:color w:val="000000"/>
          <w:szCs w:val="21"/>
        </w:rPr>
        <w:t>钬</w:t>
      </w:r>
      <w:proofErr w:type="gramEnd"/>
      <w:r w:rsidR="00AE515F">
        <w:rPr>
          <w:rFonts w:hint="eastAsia"/>
          <w:color w:val="000000"/>
          <w:szCs w:val="21"/>
        </w:rPr>
        <w:t>的纯度要求3</w:t>
      </w:r>
      <w:r w:rsidR="00AE515F">
        <w:rPr>
          <w:color w:val="000000"/>
          <w:szCs w:val="21"/>
        </w:rPr>
        <w:t>N</w:t>
      </w:r>
      <w:r w:rsidR="006C3B61">
        <w:rPr>
          <w:rFonts w:hint="eastAsia"/>
          <w:color w:val="000000"/>
          <w:szCs w:val="21"/>
        </w:rPr>
        <w:t>以上</w:t>
      </w:r>
      <w:r w:rsidR="00AE515F">
        <w:rPr>
          <w:rFonts w:hint="eastAsia"/>
          <w:color w:val="000000"/>
          <w:szCs w:val="21"/>
        </w:rPr>
        <w:t>，</w:t>
      </w:r>
      <w:r w:rsidR="00AE515F" w:rsidRPr="00AE515F">
        <w:rPr>
          <w:color w:val="000000"/>
          <w:szCs w:val="21"/>
        </w:rPr>
        <w:t>Al</w:t>
      </w:r>
      <w:r w:rsidR="00AE515F" w:rsidRPr="00AE515F">
        <w:rPr>
          <w:rFonts w:hint="eastAsia"/>
          <w:color w:val="000000"/>
          <w:szCs w:val="21"/>
        </w:rPr>
        <w:t>、</w:t>
      </w:r>
      <w:r w:rsidR="00AE515F" w:rsidRPr="00AE515F">
        <w:rPr>
          <w:color w:val="000000"/>
          <w:szCs w:val="21"/>
        </w:rPr>
        <w:t>Si</w:t>
      </w:r>
      <w:r w:rsidR="00AE515F" w:rsidRPr="00AE515F">
        <w:rPr>
          <w:rFonts w:hint="eastAsia"/>
          <w:color w:val="000000"/>
          <w:szCs w:val="21"/>
        </w:rPr>
        <w:t>、</w:t>
      </w:r>
      <w:r w:rsidR="00AE515F" w:rsidRPr="00AE515F">
        <w:rPr>
          <w:color w:val="000000"/>
          <w:szCs w:val="21"/>
        </w:rPr>
        <w:t>Ca</w:t>
      </w:r>
      <w:r w:rsidR="00AE515F" w:rsidRPr="00AE515F">
        <w:rPr>
          <w:rFonts w:hint="eastAsia"/>
          <w:color w:val="000000"/>
          <w:szCs w:val="21"/>
        </w:rPr>
        <w:t>、</w:t>
      </w:r>
      <w:r w:rsidR="00AE515F" w:rsidRPr="00AE515F">
        <w:rPr>
          <w:color w:val="000000"/>
          <w:szCs w:val="21"/>
        </w:rPr>
        <w:t>Mg</w:t>
      </w:r>
      <w:r w:rsidR="00AE515F" w:rsidRPr="00AE515F">
        <w:rPr>
          <w:rFonts w:hint="eastAsia"/>
          <w:color w:val="000000"/>
          <w:szCs w:val="21"/>
        </w:rPr>
        <w:t>等常见杂质含量均控制在</w:t>
      </w:r>
      <w:r w:rsidR="00AE515F" w:rsidRPr="00AE515F">
        <w:rPr>
          <w:color w:val="000000"/>
          <w:szCs w:val="21"/>
        </w:rPr>
        <w:t>200ppm</w:t>
      </w:r>
      <w:r w:rsidR="00AE515F" w:rsidRPr="00AE515F">
        <w:rPr>
          <w:rFonts w:hint="eastAsia"/>
          <w:color w:val="000000"/>
          <w:szCs w:val="21"/>
        </w:rPr>
        <w:t>以下</w:t>
      </w:r>
      <w:r>
        <w:rPr>
          <w:rFonts w:hint="eastAsia"/>
          <w:color w:val="000000"/>
          <w:szCs w:val="21"/>
        </w:rPr>
        <w:t>。</w:t>
      </w:r>
      <w:r w:rsidR="00AE515F">
        <w:rPr>
          <w:rFonts w:hint="eastAsia"/>
          <w:color w:val="000000"/>
          <w:szCs w:val="21"/>
        </w:rPr>
        <w:t>然而，</w:t>
      </w:r>
      <w:r w:rsidRPr="00EE713D">
        <w:rPr>
          <w:rFonts w:hint="eastAsia"/>
          <w:color w:val="000000"/>
          <w:szCs w:val="21"/>
        </w:rPr>
        <w:t>高纯稀土金属由于活性高、工艺步骤多，制备难度非常大，是典型的高技术、高附加值稀土产品。</w:t>
      </w:r>
      <w:r w:rsidR="00AE515F" w:rsidRPr="00AE515F">
        <w:rPr>
          <w:rFonts w:hint="eastAsia"/>
          <w:color w:val="000000"/>
          <w:szCs w:val="21"/>
        </w:rPr>
        <w:t>不同的稀土金属，其提纯工艺路线也不同。</w:t>
      </w:r>
      <w:r w:rsidR="006C3B61">
        <w:rPr>
          <w:rFonts w:hint="eastAsia"/>
          <w:color w:val="000000"/>
          <w:szCs w:val="21"/>
        </w:rPr>
        <w:t>目前，随着我国稀土金属制备与提纯技术的发展，</w:t>
      </w:r>
      <w:r w:rsidR="00AE515F" w:rsidRPr="00AE515F">
        <w:rPr>
          <w:rFonts w:hint="eastAsia"/>
          <w:color w:val="000000"/>
          <w:szCs w:val="21"/>
        </w:rPr>
        <w:t>我国多家企业</w:t>
      </w:r>
      <w:r w:rsidR="006C3B61">
        <w:rPr>
          <w:rFonts w:hint="eastAsia"/>
          <w:color w:val="000000"/>
          <w:szCs w:val="21"/>
        </w:rPr>
        <w:t>已</w:t>
      </w:r>
      <w:r w:rsidR="00AE515F" w:rsidRPr="00AE515F">
        <w:rPr>
          <w:rFonts w:hint="eastAsia"/>
          <w:color w:val="000000"/>
          <w:szCs w:val="21"/>
        </w:rPr>
        <w:t>具备高纯稀土金属生产能力</w:t>
      </w:r>
      <w:r w:rsidR="006C3B61">
        <w:rPr>
          <w:rFonts w:hint="eastAsia"/>
          <w:color w:val="000000"/>
          <w:szCs w:val="21"/>
        </w:rPr>
        <w:t>，</w:t>
      </w:r>
      <w:r w:rsidR="00AE515F" w:rsidRPr="00AE515F">
        <w:rPr>
          <w:rFonts w:hint="eastAsia"/>
          <w:color w:val="000000"/>
          <w:szCs w:val="21"/>
        </w:rPr>
        <w:t>但不同企业生产的金属</w:t>
      </w:r>
      <w:proofErr w:type="gramStart"/>
      <w:r w:rsidR="00AE515F" w:rsidRPr="00AE515F">
        <w:rPr>
          <w:rFonts w:hint="eastAsia"/>
          <w:color w:val="000000"/>
          <w:szCs w:val="21"/>
        </w:rPr>
        <w:t>钬</w:t>
      </w:r>
      <w:proofErr w:type="gramEnd"/>
      <w:r w:rsidR="00AE515F" w:rsidRPr="00AE515F">
        <w:rPr>
          <w:rFonts w:hint="eastAsia"/>
          <w:color w:val="000000"/>
          <w:szCs w:val="21"/>
        </w:rPr>
        <w:t>产品纯度差异大，涵盖了</w:t>
      </w:r>
      <w:r w:rsidR="00AE515F" w:rsidRPr="00AE515F">
        <w:rPr>
          <w:color w:val="000000"/>
          <w:szCs w:val="21"/>
        </w:rPr>
        <w:t>3N-4N5，</w:t>
      </w:r>
      <w:r w:rsidR="006C3B61">
        <w:rPr>
          <w:rFonts w:hint="eastAsia"/>
          <w:color w:val="000000"/>
          <w:szCs w:val="21"/>
        </w:rPr>
        <w:lastRenderedPageBreak/>
        <w:t>一定程度上影响了下游用户选用高纯稀土钬产品</w:t>
      </w:r>
      <w:r w:rsidRPr="00EE713D">
        <w:rPr>
          <w:rFonts w:hint="eastAsia"/>
          <w:color w:val="000000"/>
          <w:szCs w:val="21"/>
        </w:rPr>
        <w:t>。</w:t>
      </w:r>
      <w:r w:rsidR="006C3B61">
        <w:rPr>
          <w:rFonts w:hint="eastAsia"/>
          <w:color w:val="000000"/>
          <w:szCs w:val="21"/>
        </w:rPr>
        <w:t>此外</w:t>
      </w:r>
      <w:r w:rsidRPr="00EE713D">
        <w:rPr>
          <w:rFonts w:hint="eastAsia"/>
          <w:color w:val="000000"/>
          <w:szCs w:val="21"/>
        </w:rPr>
        <w:t>， 现行《金属</w:t>
      </w:r>
      <w:r w:rsidR="00AE17EA">
        <w:rPr>
          <w:rFonts w:hint="eastAsia"/>
          <w:color w:val="000000"/>
          <w:szCs w:val="21"/>
        </w:rPr>
        <w:t>钬</w:t>
      </w:r>
      <w:r w:rsidRPr="00EE713D">
        <w:rPr>
          <w:rFonts w:hint="eastAsia"/>
          <w:color w:val="000000"/>
          <w:szCs w:val="21"/>
        </w:rPr>
        <w:t>》标准均采用相对纯度进行分类，最高牌号产品的绝对纯度仅为99%，且要求杂质种类少，不能反应研发及产业水平，也不能满足下游应用的需要。</w:t>
      </w:r>
    </w:p>
    <w:p w14:paraId="3B0AA12E" w14:textId="77777777" w:rsidR="006C3B61" w:rsidRDefault="00EE713D" w:rsidP="006C3B61">
      <w:pPr>
        <w:spacing w:line="360" w:lineRule="auto"/>
        <w:ind w:firstLine="420"/>
        <w:jc w:val="both"/>
        <w:rPr>
          <w:color w:val="000000"/>
          <w:szCs w:val="21"/>
        </w:rPr>
      </w:pPr>
      <w:r w:rsidRPr="00EE713D">
        <w:rPr>
          <w:rFonts w:hint="eastAsia"/>
          <w:color w:val="000000"/>
          <w:szCs w:val="21"/>
        </w:rPr>
        <w:t>高纯稀土金属</w:t>
      </w:r>
      <w:r w:rsidR="006C3B61">
        <w:rPr>
          <w:rFonts w:hint="eastAsia"/>
          <w:color w:val="000000"/>
          <w:szCs w:val="21"/>
        </w:rPr>
        <w:t>产品标准的研制</w:t>
      </w:r>
      <w:r w:rsidRPr="00EE713D">
        <w:rPr>
          <w:rFonts w:hint="eastAsia"/>
          <w:color w:val="000000"/>
          <w:szCs w:val="21"/>
        </w:rPr>
        <w:t>高度契合了国家相关政策</w:t>
      </w:r>
      <w:r w:rsidR="006C3B61">
        <w:rPr>
          <w:rFonts w:hint="eastAsia"/>
          <w:color w:val="000000"/>
          <w:szCs w:val="21"/>
        </w:rPr>
        <w:t>。</w:t>
      </w:r>
      <w:r w:rsidR="00C9792F" w:rsidRPr="00C9792F">
        <w:rPr>
          <w:rFonts w:hint="eastAsia"/>
          <w:color w:val="000000"/>
          <w:szCs w:val="21"/>
        </w:rPr>
        <w:t>《新材料标准领航行动计划（2018-2020 年）》（国质检标联[2018]77 号主要行动：7.稀土新材料  制定优特钢用高纯稀土金属与稀土合金标准，扩大稀土在钢铁行业的应用，打造国际化的稀土品牌；推进高纯稀土金属和稀土化合物材料标准研制，促进我国稀土产业改造升级</w:t>
      </w:r>
      <w:r w:rsidR="00C9792F">
        <w:rPr>
          <w:rFonts w:hint="eastAsia"/>
          <w:color w:val="000000"/>
          <w:szCs w:val="21"/>
        </w:rPr>
        <w:t>；</w:t>
      </w:r>
      <w:r w:rsidR="00C9792F" w:rsidRPr="00C9792F">
        <w:rPr>
          <w:rFonts w:hint="eastAsia"/>
          <w:color w:val="000000"/>
          <w:szCs w:val="21"/>
        </w:rPr>
        <w:t>《重点新材料首批次应用示范指导目录（2019版）》中涵盖了超高纯稀土金属材料及制品新材料</w:t>
      </w:r>
      <w:r w:rsidR="00C9792F">
        <w:rPr>
          <w:rFonts w:hint="eastAsia"/>
          <w:color w:val="000000"/>
          <w:szCs w:val="21"/>
        </w:rPr>
        <w:t>；</w:t>
      </w:r>
      <w:r w:rsidR="00C9792F" w:rsidRPr="00C9792F">
        <w:rPr>
          <w:rFonts w:hint="eastAsia"/>
          <w:color w:val="000000"/>
          <w:szCs w:val="21"/>
        </w:rPr>
        <w:t>“十四五”科技部发布国家重点研发计划中资源矿产专项指南</w:t>
      </w:r>
      <w:r w:rsidR="004F36A3">
        <w:rPr>
          <w:rFonts w:hint="eastAsia"/>
          <w:color w:val="000000"/>
          <w:szCs w:val="21"/>
        </w:rPr>
        <w:t>中</w:t>
      </w:r>
      <w:r w:rsidR="00C9792F" w:rsidRPr="00C9792F">
        <w:rPr>
          <w:rFonts w:hint="eastAsia"/>
          <w:color w:val="000000"/>
          <w:szCs w:val="21"/>
        </w:rPr>
        <w:t>涉及高纯稀土金属研究方向</w:t>
      </w:r>
      <w:r w:rsidR="00C9792F">
        <w:rPr>
          <w:rFonts w:hint="eastAsia"/>
          <w:color w:val="000000"/>
          <w:szCs w:val="21"/>
        </w:rPr>
        <w:t>等。</w:t>
      </w:r>
    </w:p>
    <w:p w14:paraId="20840A1B" w14:textId="7871A66D" w:rsidR="00EE713D" w:rsidRDefault="00C9792F" w:rsidP="006C3B61">
      <w:pPr>
        <w:spacing w:line="360" w:lineRule="auto"/>
        <w:ind w:firstLine="420"/>
        <w:jc w:val="both"/>
        <w:rPr>
          <w:color w:val="000000"/>
          <w:szCs w:val="21"/>
        </w:rPr>
      </w:pPr>
      <w:r>
        <w:rPr>
          <w:rFonts w:hint="eastAsia"/>
          <w:color w:val="000000"/>
          <w:szCs w:val="21"/>
        </w:rPr>
        <w:t>因此，</w:t>
      </w:r>
      <w:r w:rsidRPr="00C9792F">
        <w:rPr>
          <w:rFonts w:hint="eastAsia"/>
          <w:color w:val="000000"/>
          <w:szCs w:val="21"/>
        </w:rPr>
        <w:t>研制</w:t>
      </w:r>
      <w:r>
        <w:rPr>
          <w:rFonts w:hint="eastAsia"/>
          <w:color w:val="000000"/>
          <w:szCs w:val="21"/>
        </w:rPr>
        <w:t>《</w:t>
      </w:r>
      <w:r w:rsidRPr="00C9792F">
        <w:rPr>
          <w:rFonts w:hint="eastAsia"/>
          <w:color w:val="000000"/>
          <w:szCs w:val="21"/>
        </w:rPr>
        <w:t>高纯金属</w:t>
      </w:r>
      <w:r w:rsidR="00AE17EA">
        <w:rPr>
          <w:rFonts w:hint="eastAsia"/>
          <w:color w:val="000000"/>
          <w:szCs w:val="21"/>
        </w:rPr>
        <w:t>钬</w:t>
      </w:r>
      <w:r>
        <w:rPr>
          <w:rFonts w:hint="eastAsia"/>
          <w:color w:val="000000"/>
          <w:szCs w:val="21"/>
        </w:rPr>
        <w:t>》</w:t>
      </w:r>
      <w:r w:rsidRPr="00C9792F">
        <w:rPr>
          <w:rFonts w:hint="eastAsia"/>
          <w:color w:val="000000"/>
          <w:szCs w:val="21"/>
        </w:rPr>
        <w:t>行业标准，助力高纯稀土金属产业向高质量方向发展</w:t>
      </w:r>
      <w:r>
        <w:rPr>
          <w:rFonts w:hint="eastAsia"/>
          <w:color w:val="000000"/>
          <w:szCs w:val="21"/>
        </w:rPr>
        <w:t>，</w:t>
      </w:r>
      <w:r w:rsidRPr="00C9792F">
        <w:rPr>
          <w:rFonts w:hint="eastAsia"/>
          <w:color w:val="000000"/>
          <w:szCs w:val="21"/>
        </w:rPr>
        <w:t>进一步提升我国在高纯金属材料领域国际竞争力。</w:t>
      </w:r>
    </w:p>
    <w:p w14:paraId="5A616E63" w14:textId="77777777" w:rsidR="00601EFB" w:rsidRPr="005E681A" w:rsidRDefault="003B2497" w:rsidP="0005672A">
      <w:pPr>
        <w:spacing w:line="360" w:lineRule="auto"/>
        <w:jc w:val="both"/>
        <w:rPr>
          <w:b/>
          <w:bCs/>
          <w:szCs w:val="32"/>
        </w:rPr>
      </w:pPr>
      <w:r w:rsidRPr="005E681A">
        <w:rPr>
          <w:b/>
          <w:bCs/>
          <w:szCs w:val="32"/>
        </w:rPr>
        <w:t>2</w:t>
      </w:r>
      <w:r w:rsidRPr="005E681A">
        <w:rPr>
          <w:rFonts w:hint="eastAsia"/>
          <w:b/>
          <w:bCs/>
          <w:szCs w:val="32"/>
        </w:rPr>
        <w:t>、项目的可行性简述</w:t>
      </w:r>
    </w:p>
    <w:p w14:paraId="66D4B011" w14:textId="22622BA4" w:rsidR="00601EFB" w:rsidRDefault="00B22A98" w:rsidP="00E919F3">
      <w:pPr>
        <w:spacing w:line="360" w:lineRule="auto"/>
        <w:ind w:firstLine="420"/>
        <w:jc w:val="both"/>
        <w:rPr>
          <w:color w:val="000000"/>
          <w:szCs w:val="21"/>
        </w:rPr>
      </w:pPr>
      <w:r>
        <w:rPr>
          <w:rFonts w:hint="eastAsia"/>
          <w:color w:val="000000"/>
          <w:szCs w:val="21"/>
        </w:rPr>
        <w:t>项目牵头单位和参与单位涵盖了国内主要</w:t>
      </w:r>
      <w:r w:rsidR="00A4327F">
        <w:rPr>
          <w:rFonts w:hint="eastAsia"/>
          <w:color w:val="000000"/>
          <w:szCs w:val="21"/>
        </w:rPr>
        <w:t>高纯金属</w:t>
      </w:r>
      <w:proofErr w:type="gramStart"/>
      <w:r w:rsidR="00AE17EA">
        <w:rPr>
          <w:rFonts w:hint="eastAsia"/>
          <w:color w:val="000000"/>
          <w:szCs w:val="21"/>
        </w:rPr>
        <w:t>钬</w:t>
      </w:r>
      <w:proofErr w:type="gramEnd"/>
      <w:r>
        <w:rPr>
          <w:rFonts w:hint="eastAsia"/>
          <w:color w:val="000000"/>
          <w:szCs w:val="21"/>
        </w:rPr>
        <w:t>生产单位和使用单位，</w:t>
      </w:r>
      <w:r w:rsidRPr="00B22A98">
        <w:rPr>
          <w:rFonts w:hint="eastAsia"/>
          <w:color w:val="000000"/>
          <w:szCs w:val="21"/>
        </w:rPr>
        <w:t>建立了</w:t>
      </w:r>
      <w:r w:rsidR="00A4327F">
        <w:rPr>
          <w:rFonts w:hint="eastAsia"/>
          <w:color w:val="000000"/>
          <w:szCs w:val="21"/>
        </w:rPr>
        <w:t>高纯金属</w:t>
      </w:r>
      <w:r w:rsidR="00AE17EA">
        <w:rPr>
          <w:rFonts w:hint="eastAsia"/>
          <w:color w:val="000000"/>
          <w:szCs w:val="21"/>
        </w:rPr>
        <w:t>钬</w:t>
      </w:r>
      <w:r w:rsidRPr="00B22A98">
        <w:rPr>
          <w:rFonts w:hint="eastAsia"/>
          <w:color w:val="000000"/>
          <w:szCs w:val="21"/>
        </w:rPr>
        <w:t>完整的生产工艺技术条件，</w:t>
      </w:r>
      <w:r w:rsidR="000D6D9D">
        <w:rPr>
          <w:rFonts w:hint="eastAsia"/>
          <w:color w:val="000000"/>
          <w:szCs w:val="21"/>
        </w:rPr>
        <w:t>具有</w:t>
      </w:r>
      <w:r w:rsidRPr="00B22A98">
        <w:rPr>
          <w:rFonts w:hint="eastAsia"/>
          <w:color w:val="000000"/>
          <w:szCs w:val="21"/>
        </w:rPr>
        <w:t>完善的工艺操作制度和分析检测制度</w:t>
      </w:r>
      <w:r>
        <w:rPr>
          <w:rFonts w:hint="eastAsia"/>
          <w:color w:val="000000"/>
          <w:szCs w:val="21"/>
        </w:rPr>
        <w:t>，为标准技术指标的合理设定提供了良好的</w:t>
      </w:r>
      <w:r w:rsidR="00AE515F">
        <w:rPr>
          <w:rFonts w:hint="eastAsia"/>
          <w:color w:val="000000"/>
          <w:szCs w:val="21"/>
        </w:rPr>
        <w:t>技术</w:t>
      </w:r>
      <w:r>
        <w:rPr>
          <w:rFonts w:hint="eastAsia"/>
          <w:color w:val="000000"/>
          <w:szCs w:val="21"/>
        </w:rPr>
        <w:t>基础</w:t>
      </w:r>
      <w:r w:rsidR="003B2497">
        <w:rPr>
          <w:rFonts w:hint="eastAsia"/>
          <w:szCs w:val="21"/>
        </w:rPr>
        <w:t>。</w:t>
      </w:r>
      <w:r>
        <w:rPr>
          <w:rFonts w:hint="eastAsia"/>
          <w:szCs w:val="21"/>
        </w:rPr>
        <w:t>此外，</w:t>
      </w:r>
      <w:r w:rsidR="00A351D1">
        <w:rPr>
          <w:rFonts w:hint="eastAsia"/>
        </w:rPr>
        <w:t>有</w:t>
      </w:r>
      <w:proofErr w:type="gramStart"/>
      <w:r w:rsidR="00A351D1">
        <w:rPr>
          <w:rFonts w:hint="eastAsia"/>
        </w:rPr>
        <w:t>研</w:t>
      </w:r>
      <w:proofErr w:type="gramEnd"/>
      <w:r w:rsidR="00A351D1">
        <w:rPr>
          <w:rFonts w:hint="eastAsia"/>
        </w:rPr>
        <w:t>稀土新材料股份有限公司</w:t>
      </w:r>
      <w:r w:rsidR="00F63279">
        <w:rPr>
          <w:rFonts w:hint="eastAsia"/>
        </w:rPr>
        <w:t>成立2</w:t>
      </w:r>
      <w:r w:rsidR="00F63279">
        <w:t>0</w:t>
      </w:r>
      <w:r w:rsidR="00F63279">
        <w:rPr>
          <w:rFonts w:hint="eastAsia"/>
        </w:rPr>
        <w:t>多年来</w:t>
      </w:r>
      <w:r w:rsidR="00A351D1">
        <w:rPr>
          <w:rFonts w:hint="eastAsia"/>
        </w:rPr>
        <w:t>一直积极参与标准的制修订工作，牵头</w:t>
      </w:r>
      <w:r w:rsidR="00A351D1">
        <w:t>/</w:t>
      </w:r>
      <w:r w:rsidR="00A351D1">
        <w:rPr>
          <w:rFonts w:hint="eastAsia"/>
        </w:rPr>
        <w:t>参与制定了《氟化镝》、《氟化钕》、《稀土术语</w:t>
      </w:r>
      <w:r w:rsidR="00A351D1">
        <w:t>-</w:t>
      </w:r>
      <w:r w:rsidR="00A351D1">
        <w:rPr>
          <w:rFonts w:hint="eastAsia"/>
        </w:rPr>
        <w:t>稀土金属及合金》、《稀土术语</w:t>
      </w:r>
      <w:r w:rsidR="00A351D1">
        <w:t>-</w:t>
      </w:r>
      <w:r w:rsidR="00A351D1">
        <w:rPr>
          <w:rFonts w:hint="eastAsia"/>
        </w:rPr>
        <w:t>稀土矿产品及化合物》、《快淬钕铁硼永磁粉》、《粘结钕铁硼永磁材料》、《钕铁硼速凝薄片合金》、《金属钬》、《高纯金属镝》、《高纯金属铽》等</w:t>
      </w:r>
      <w:r w:rsidR="00A351D1">
        <w:t>60</w:t>
      </w:r>
      <w:r w:rsidR="00A351D1">
        <w:rPr>
          <w:rFonts w:hint="eastAsia"/>
        </w:rPr>
        <w:t>多项稀土国际标准/国家标准/行业标准，具备</w:t>
      </w:r>
      <w:r w:rsidR="000D6D9D">
        <w:rPr>
          <w:rFonts w:hint="eastAsia"/>
        </w:rPr>
        <w:t>组织</w:t>
      </w:r>
      <w:r w:rsidR="00A351D1">
        <w:rPr>
          <w:rFonts w:hint="eastAsia"/>
        </w:rPr>
        <w:t>承担标准制订</w:t>
      </w:r>
      <w:r w:rsidR="000D6D9D">
        <w:rPr>
          <w:rFonts w:hint="eastAsia"/>
        </w:rPr>
        <w:t>稀土国际标准/国家标准/行业标准项目</w:t>
      </w:r>
      <w:r w:rsidR="00A351D1">
        <w:rPr>
          <w:rFonts w:hint="eastAsia"/>
        </w:rPr>
        <w:t>的能力。</w:t>
      </w:r>
    </w:p>
    <w:p w14:paraId="08736FCB" w14:textId="77777777" w:rsidR="00601EFB" w:rsidRPr="00781514" w:rsidRDefault="003B2497" w:rsidP="00781514">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（四）主要工作过程</w:t>
      </w:r>
    </w:p>
    <w:p w14:paraId="4F947CA3" w14:textId="1B3BFE93" w:rsidR="00601EFB" w:rsidRDefault="00781514">
      <w:pPr>
        <w:spacing w:beforeLines="50" w:before="156" w:afterLines="50" w:after="156" w:line="312" w:lineRule="auto"/>
        <w:rPr>
          <w:rFonts w:ascii="黑体" w:eastAsia="黑体" w:hAnsi="黑体"/>
        </w:rPr>
      </w:pPr>
      <w:r>
        <w:rPr>
          <w:rFonts w:ascii="黑体" w:eastAsia="黑体" w:hAnsi="黑体"/>
        </w:rPr>
        <w:t>4.1</w:t>
      </w:r>
      <w:r w:rsidRPr="00781514">
        <w:rPr>
          <w:rFonts w:ascii="黑体" w:eastAsia="黑体" w:hAnsi="黑体" w:hint="eastAsia"/>
        </w:rPr>
        <w:t>预研阶段</w:t>
      </w:r>
    </w:p>
    <w:p w14:paraId="23BCBACB" w14:textId="4EB9FB69" w:rsidR="00781514" w:rsidRDefault="00781514" w:rsidP="00E919F3">
      <w:pPr>
        <w:spacing w:line="360" w:lineRule="auto"/>
        <w:ind w:firstLine="420"/>
        <w:jc w:val="both"/>
        <w:rPr>
          <w:color w:val="000000"/>
          <w:szCs w:val="21"/>
        </w:rPr>
      </w:pPr>
      <w:r w:rsidRPr="00781514">
        <w:rPr>
          <w:rFonts w:hint="eastAsia"/>
          <w:color w:val="000000"/>
          <w:szCs w:val="21"/>
        </w:rPr>
        <w:t>20</w:t>
      </w:r>
      <w:r w:rsidR="009B4150">
        <w:rPr>
          <w:color w:val="000000"/>
          <w:szCs w:val="21"/>
        </w:rPr>
        <w:t>19</w:t>
      </w:r>
      <w:r w:rsidRPr="00781514">
        <w:rPr>
          <w:rFonts w:hint="eastAsia"/>
          <w:color w:val="000000"/>
          <w:szCs w:val="21"/>
        </w:rPr>
        <w:t>年1</w:t>
      </w:r>
      <w:r w:rsidR="00184A57">
        <w:rPr>
          <w:color w:val="000000"/>
          <w:szCs w:val="21"/>
        </w:rPr>
        <w:t>0</w:t>
      </w:r>
      <w:r w:rsidRPr="00781514">
        <w:rPr>
          <w:rFonts w:hint="eastAsia"/>
          <w:color w:val="000000"/>
          <w:szCs w:val="21"/>
        </w:rPr>
        <w:t>月，</w:t>
      </w:r>
      <w:r w:rsidR="00BD3BE1" w:rsidRPr="00E919F3">
        <w:rPr>
          <w:rFonts w:hint="eastAsia"/>
          <w:color w:val="000000"/>
          <w:szCs w:val="21"/>
        </w:rPr>
        <w:t>有</w:t>
      </w:r>
      <w:proofErr w:type="gramStart"/>
      <w:r w:rsidR="00BD3BE1" w:rsidRPr="00E919F3">
        <w:rPr>
          <w:rFonts w:hint="eastAsia"/>
          <w:color w:val="000000"/>
          <w:szCs w:val="21"/>
        </w:rPr>
        <w:t>研</w:t>
      </w:r>
      <w:proofErr w:type="gramEnd"/>
      <w:r w:rsidR="00BD3BE1" w:rsidRPr="00E919F3">
        <w:rPr>
          <w:rFonts w:hint="eastAsia"/>
          <w:color w:val="000000"/>
          <w:szCs w:val="21"/>
        </w:rPr>
        <w:t>稀土新材料股份有限公司</w:t>
      </w:r>
      <w:r w:rsidRPr="00781514">
        <w:rPr>
          <w:rFonts w:hint="eastAsia"/>
          <w:color w:val="000000"/>
          <w:szCs w:val="21"/>
        </w:rPr>
        <w:t>根据国内</w:t>
      </w:r>
      <w:r w:rsidR="00BD3BE1">
        <w:rPr>
          <w:rFonts w:hint="eastAsia"/>
          <w:color w:val="000000"/>
          <w:szCs w:val="21"/>
        </w:rPr>
        <w:t>高纯金属</w:t>
      </w:r>
      <w:r w:rsidR="00AE17EA">
        <w:rPr>
          <w:rFonts w:hint="eastAsia"/>
          <w:color w:val="000000"/>
          <w:szCs w:val="21"/>
        </w:rPr>
        <w:t>钬</w:t>
      </w:r>
      <w:r w:rsidR="00BD3BE1">
        <w:rPr>
          <w:rFonts w:hint="eastAsia"/>
          <w:color w:val="000000"/>
          <w:szCs w:val="21"/>
        </w:rPr>
        <w:t>生产技术水平、应用情况等，调研了国内外</w:t>
      </w:r>
      <w:r w:rsidR="006C3B61">
        <w:rPr>
          <w:rFonts w:hint="eastAsia"/>
          <w:color w:val="000000"/>
          <w:szCs w:val="21"/>
        </w:rPr>
        <w:t>高纯金属钬产品的</w:t>
      </w:r>
      <w:r w:rsidRPr="00781514">
        <w:rPr>
          <w:rFonts w:hint="eastAsia"/>
          <w:color w:val="000000"/>
          <w:szCs w:val="21"/>
        </w:rPr>
        <w:t>实际贸易及使用情况，提出</w:t>
      </w:r>
      <w:r w:rsidR="00F638DB">
        <w:rPr>
          <w:rFonts w:hint="eastAsia"/>
          <w:color w:val="000000"/>
          <w:szCs w:val="21"/>
        </w:rPr>
        <w:t>起草</w:t>
      </w:r>
      <w:r w:rsidRPr="00781514">
        <w:rPr>
          <w:rFonts w:hint="eastAsia"/>
          <w:color w:val="000000"/>
          <w:szCs w:val="21"/>
        </w:rPr>
        <w:t>《</w:t>
      </w:r>
      <w:r w:rsidR="00184A57">
        <w:rPr>
          <w:rFonts w:hint="eastAsia"/>
          <w:color w:val="000000"/>
          <w:szCs w:val="21"/>
        </w:rPr>
        <w:t>高</w:t>
      </w:r>
      <w:r w:rsidR="00BD3BE1">
        <w:rPr>
          <w:rFonts w:hint="eastAsia"/>
          <w:color w:val="000000"/>
          <w:szCs w:val="21"/>
        </w:rPr>
        <w:t>纯金属</w:t>
      </w:r>
      <w:r w:rsidR="00AE17EA">
        <w:rPr>
          <w:rFonts w:hint="eastAsia"/>
          <w:color w:val="000000"/>
          <w:szCs w:val="21"/>
        </w:rPr>
        <w:t>钬</w:t>
      </w:r>
      <w:r w:rsidRPr="00781514">
        <w:rPr>
          <w:rFonts w:hint="eastAsia"/>
          <w:color w:val="000000"/>
          <w:szCs w:val="21"/>
        </w:rPr>
        <w:t>》标准</w:t>
      </w:r>
      <w:r w:rsidR="00F638DB">
        <w:rPr>
          <w:rFonts w:hint="eastAsia"/>
          <w:color w:val="000000"/>
          <w:szCs w:val="21"/>
        </w:rPr>
        <w:t>项目</w:t>
      </w:r>
      <w:r w:rsidRPr="00781514">
        <w:rPr>
          <w:rFonts w:hint="eastAsia"/>
          <w:color w:val="000000"/>
          <w:szCs w:val="21"/>
        </w:rPr>
        <w:t>研制计划。</w:t>
      </w:r>
    </w:p>
    <w:p w14:paraId="18A6D852" w14:textId="57CD0880" w:rsidR="00601EFB" w:rsidRDefault="00781514">
      <w:pPr>
        <w:spacing w:beforeLines="50" w:before="156" w:afterLines="50" w:after="156" w:line="312" w:lineRule="auto"/>
        <w:rPr>
          <w:rFonts w:ascii="黑体" w:eastAsia="黑体" w:hAnsi="黑体"/>
        </w:rPr>
      </w:pPr>
      <w:r>
        <w:rPr>
          <w:rFonts w:ascii="黑体" w:eastAsia="黑体" w:hAnsi="黑体"/>
        </w:rPr>
        <w:t>4.2</w:t>
      </w:r>
      <w:r w:rsidR="004F36A3">
        <w:rPr>
          <w:rFonts w:ascii="黑体" w:eastAsia="黑体" w:hAnsi="黑体" w:hint="eastAsia"/>
        </w:rPr>
        <w:t>立项及任务落实阶段</w:t>
      </w:r>
    </w:p>
    <w:p w14:paraId="5BB3BC23" w14:textId="55EABDE7" w:rsidR="00184A57" w:rsidRDefault="003B2497" w:rsidP="00DD3E94">
      <w:pPr>
        <w:spacing w:line="360" w:lineRule="auto"/>
        <w:ind w:firstLine="420"/>
        <w:jc w:val="both"/>
        <w:rPr>
          <w:color w:val="000000"/>
          <w:szCs w:val="21"/>
        </w:rPr>
      </w:pPr>
      <w:r w:rsidRPr="0078634D">
        <w:rPr>
          <w:rFonts w:hint="eastAsia"/>
          <w:color w:val="000000"/>
          <w:szCs w:val="21"/>
        </w:rPr>
        <w:t>2</w:t>
      </w:r>
      <w:r w:rsidRPr="0078634D">
        <w:rPr>
          <w:color w:val="000000"/>
          <w:szCs w:val="21"/>
        </w:rPr>
        <w:t>0</w:t>
      </w:r>
      <w:r w:rsidR="00184A57">
        <w:rPr>
          <w:color w:val="000000"/>
          <w:szCs w:val="21"/>
        </w:rPr>
        <w:t>19</w:t>
      </w:r>
      <w:r w:rsidRPr="0078634D">
        <w:rPr>
          <w:rFonts w:hint="eastAsia"/>
          <w:color w:val="000000"/>
          <w:szCs w:val="21"/>
        </w:rPr>
        <w:t>年</w:t>
      </w:r>
      <w:r w:rsidR="00184A57">
        <w:rPr>
          <w:color w:val="000000"/>
          <w:szCs w:val="21"/>
        </w:rPr>
        <w:t>11</w:t>
      </w:r>
      <w:r w:rsidRPr="0078634D">
        <w:rPr>
          <w:rFonts w:hint="eastAsia"/>
          <w:color w:val="000000"/>
          <w:szCs w:val="21"/>
        </w:rPr>
        <w:t>月，</w:t>
      </w:r>
      <w:r w:rsidR="00184A57">
        <w:rPr>
          <w:rFonts w:hint="eastAsia"/>
          <w:szCs w:val="21"/>
        </w:rPr>
        <w:t>有</w:t>
      </w:r>
      <w:proofErr w:type="gramStart"/>
      <w:r w:rsidR="00184A57">
        <w:rPr>
          <w:rFonts w:hint="eastAsia"/>
          <w:szCs w:val="21"/>
        </w:rPr>
        <w:t>研</w:t>
      </w:r>
      <w:proofErr w:type="gramEnd"/>
      <w:r w:rsidR="00184A57">
        <w:rPr>
          <w:rFonts w:hint="eastAsia"/>
          <w:szCs w:val="21"/>
        </w:rPr>
        <w:t>稀土新材料股份有限公司</w:t>
      </w:r>
      <w:r w:rsidR="00184A57" w:rsidRPr="00184A57">
        <w:rPr>
          <w:rFonts w:hint="eastAsia"/>
          <w:color w:val="000000"/>
          <w:szCs w:val="21"/>
        </w:rPr>
        <w:t>向全体委员会议提交了《</w:t>
      </w:r>
      <w:r w:rsidR="00184A57">
        <w:rPr>
          <w:rFonts w:hint="eastAsia"/>
          <w:color w:val="000000"/>
          <w:szCs w:val="21"/>
        </w:rPr>
        <w:t>高纯金属</w:t>
      </w:r>
      <w:r w:rsidR="00AE17EA">
        <w:rPr>
          <w:rFonts w:hint="eastAsia"/>
          <w:color w:val="000000"/>
          <w:szCs w:val="21"/>
        </w:rPr>
        <w:t>钬</w:t>
      </w:r>
      <w:r w:rsidR="00184A57" w:rsidRPr="00184A57">
        <w:rPr>
          <w:rFonts w:hint="eastAsia"/>
          <w:color w:val="000000"/>
          <w:szCs w:val="21"/>
        </w:rPr>
        <w:t>》标准项目建议书、标准草案及标准立项说明等</w:t>
      </w:r>
      <w:r w:rsidR="00F638DB">
        <w:rPr>
          <w:rFonts w:hint="eastAsia"/>
          <w:color w:val="000000"/>
          <w:szCs w:val="21"/>
        </w:rPr>
        <w:t>项目申报</w:t>
      </w:r>
      <w:r w:rsidR="00184A57" w:rsidRPr="00184A57">
        <w:rPr>
          <w:rFonts w:hint="eastAsia"/>
          <w:color w:val="000000"/>
          <w:szCs w:val="21"/>
        </w:rPr>
        <w:t>材料，</w:t>
      </w:r>
      <w:r w:rsidR="00F638DB">
        <w:rPr>
          <w:rFonts w:hint="eastAsia"/>
          <w:color w:val="000000"/>
          <w:szCs w:val="21"/>
        </w:rPr>
        <w:t>并汇报了《高纯金属钬》标准立项的目的、标准内容等内容，</w:t>
      </w:r>
      <w:r w:rsidR="007C3604">
        <w:rPr>
          <w:rFonts w:hint="eastAsia"/>
          <w:color w:val="000000"/>
          <w:szCs w:val="21"/>
        </w:rPr>
        <w:t>会议</w:t>
      </w:r>
      <w:r w:rsidR="00184A57" w:rsidRPr="00184A57">
        <w:rPr>
          <w:rFonts w:hint="eastAsia"/>
          <w:color w:val="000000"/>
          <w:szCs w:val="21"/>
        </w:rPr>
        <w:t>论证结论同意</w:t>
      </w:r>
      <w:r w:rsidR="007C3604">
        <w:rPr>
          <w:rFonts w:hint="eastAsia"/>
          <w:color w:val="000000"/>
          <w:szCs w:val="21"/>
        </w:rPr>
        <w:t>该项</w:t>
      </w:r>
      <w:r w:rsidR="00184A57" w:rsidRPr="00184A57">
        <w:rPr>
          <w:rFonts w:hint="eastAsia"/>
          <w:color w:val="000000"/>
          <w:szCs w:val="21"/>
        </w:rPr>
        <w:t>行业标准</w:t>
      </w:r>
      <w:r w:rsidR="007C3604">
        <w:rPr>
          <w:rFonts w:hint="eastAsia"/>
          <w:color w:val="000000"/>
          <w:szCs w:val="21"/>
        </w:rPr>
        <w:t>申请</w:t>
      </w:r>
      <w:r w:rsidR="00184A57" w:rsidRPr="00184A57">
        <w:rPr>
          <w:rFonts w:hint="eastAsia"/>
          <w:color w:val="000000"/>
          <w:szCs w:val="21"/>
        </w:rPr>
        <w:t>立项。</w:t>
      </w:r>
    </w:p>
    <w:p w14:paraId="2B1EFA5D" w14:textId="14D1310B" w:rsidR="004F36A3" w:rsidRDefault="004F36A3" w:rsidP="00DD3E94">
      <w:pPr>
        <w:spacing w:line="360" w:lineRule="auto"/>
        <w:ind w:firstLine="420"/>
        <w:jc w:val="both"/>
        <w:rPr>
          <w:color w:val="000000"/>
          <w:szCs w:val="21"/>
        </w:rPr>
      </w:pPr>
      <w:r>
        <w:rPr>
          <w:rFonts w:hint="eastAsia"/>
        </w:rPr>
        <w:lastRenderedPageBreak/>
        <w:t>2022 年7 月</w:t>
      </w:r>
      <w:r>
        <w:rPr>
          <w:rFonts w:hint="eastAsia"/>
          <w:color w:val="000000"/>
          <w:szCs w:val="21"/>
        </w:rPr>
        <w:t>，</w:t>
      </w:r>
      <w:r w:rsidRPr="004F36A3">
        <w:rPr>
          <w:rFonts w:hint="eastAsia"/>
          <w:color w:val="000000"/>
          <w:szCs w:val="21"/>
        </w:rPr>
        <w:t>全国稀土标准化技术委员会下达了《</w:t>
      </w:r>
      <w:r>
        <w:rPr>
          <w:rFonts w:hint="eastAsia"/>
          <w:color w:val="000000"/>
          <w:szCs w:val="21"/>
        </w:rPr>
        <w:t>高纯金属</w:t>
      </w:r>
      <w:r w:rsidR="00AE17EA">
        <w:rPr>
          <w:rFonts w:hint="eastAsia"/>
          <w:color w:val="000000"/>
          <w:szCs w:val="21"/>
        </w:rPr>
        <w:t>钬</w:t>
      </w:r>
      <w:r w:rsidRPr="004F36A3">
        <w:rPr>
          <w:rFonts w:hint="eastAsia"/>
          <w:color w:val="000000"/>
          <w:szCs w:val="21"/>
        </w:rPr>
        <w:t>》行业标准制定任务，项目计划编号为</w:t>
      </w:r>
      <w:r w:rsidR="009F524D" w:rsidRPr="00AE17EA">
        <w:t>2022-0575T-XB</w:t>
      </w:r>
      <w:r w:rsidRPr="004F36A3">
        <w:rPr>
          <w:rFonts w:hint="eastAsia"/>
          <w:color w:val="000000"/>
          <w:szCs w:val="21"/>
        </w:rPr>
        <w:t>，</w:t>
      </w:r>
      <w:r w:rsidRPr="00356B4B">
        <w:rPr>
          <w:rFonts w:hint="eastAsia"/>
        </w:rPr>
        <w:t>完成年限为</w:t>
      </w:r>
      <w:r w:rsidRPr="00356B4B">
        <w:t>202</w:t>
      </w:r>
      <w:r>
        <w:t>3</w:t>
      </w:r>
      <w:r w:rsidRPr="00356B4B">
        <w:rPr>
          <w:rFonts w:hint="eastAsia"/>
        </w:rPr>
        <w:t>年</w:t>
      </w:r>
      <w:r w:rsidRPr="004F36A3">
        <w:rPr>
          <w:rFonts w:hint="eastAsia"/>
          <w:color w:val="000000"/>
          <w:szCs w:val="21"/>
        </w:rPr>
        <w:t>，由全国稀土标准化技术委员会（SAC/TC 229）提出并归口。</w:t>
      </w:r>
    </w:p>
    <w:p w14:paraId="1B039B29" w14:textId="48409676" w:rsidR="004F36A3" w:rsidRDefault="004F36A3" w:rsidP="004F36A3">
      <w:pPr>
        <w:spacing w:beforeLines="50" w:before="156" w:afterLines="50" w:after="156" w:line="312" w:lineRule="auto"/>
        <w:rPr>
          <w:rFonts w:ascii="黑体" w:eastAsia="黑体" w:hAnsi="黑体"/>
        </w:rPr>
      </w:pPr>
      <w:r>
        <w:rPr>
          <w:rFonts w:ascii="黑体" w:eastAsia="黑体" w:hAnsi="黑体"/>
        </w:rPr>
        <w:t>4.</w:t>
      </w:r>
      <w:r w:rsidR="0097286C">
        <w:rPr>
          <w:rFonts w:ascii="黑体" w:eastAsia="黑体" w:hAnsi="黑体"/>
        </w:rPr>
        <w:t>3</w:t>
      </w:r>
      <w:r w:rsidR="00D250DD">
        <w:rPr>
          <w:rFonts w:ascii="黑体" w:eastAsia="黑体" w:hAnsi="黑体" w:hint="eastAsia"/>
        </w:rPr>
        <w:t>起草</w:t>
      </w:r>
      <w:r>
        <w:rPr>
          <w:rFonts w:ascii="黑体" w:eastAsia="黑体" w:hAnsi="黑体" w:hint="eastAsia"/>
        </w:rPr>
        <w:t>阶段</w:t>
      </w:r>
    </w:p>
    <w:p w14:paraId="120D305A" w14:textId="06AE737E" w:rsidR="00D250DD" w:rsidRPr="00D250DD" w:rsidRDefault="00D250DD" w:rsidP="00E919F3">
      <w:pPr>
        <w:spacing w:line="360" w:lineRule="auto"/>
        <w:ind w:firstLine="420"/>
        <w:jc w:val="both"/>
        <w:rPr>
          <w:color w:val="000000"/>
          <w:szCs w:val="21"/>
        </w:rPr>
      </w:pPr>
      <w:r w:rsidRPr="00D250DD">
        <w:rPr>
          <w:rFonts w:hint="eastAsia"/>
          <w:color w:val="000000"/>
          <w:szCs w:val="21"/>
        </w:rPr>
        <w:t>任务下达后，</w:t>
      </w:r>
      <w:r>
        <w:rPr>
          <w:rFonts w:hint="eastAsia"/>
          <w:color w:val="000000"/>
          <w:szCs w:val="21"/>
        </w:rPr>
        <w:t>有</w:t>
      </w:r>
      <w:proofErr w:type="gramStart"/>
      <w:r>
        <w:rPr>
          <w:rFonts w:hint="eastAsia"/>
          <w:color w:val="000000"/>
          <w:szCs w:val="21"/>
        </w:rPr>
        <w:t>研</w:t>
      </w:r>
      <w:proofErr w:type="gramEnd"/>
      <w:r>
        <w:rPr>
          <w:rFonts w:hint="eastAsia"/>
          <w:color w:val="000000"/>
          <w:szCs w:val="21"/>
        </w:rPr>
        <w:t>稀土</w:t>
      </w:r>
      <w:r w:rsidR="007C3604" w:rsidRPr="00D250DD">
        <w:rPr>
          <w:rFonts w:hint="eastAsia"/>
          <w:color w:val="000000"/>
          <w:szCs w:val="21"/>
        </w:rPr>
        <w:t>联合参编单位</w:t>
      </w:r>
      <w:r>
        <w:rPr>
          <w:rFonts w:hint="eastAsia"/>
          <w:color w:val="000000"/>
          <w:szCs w:val="21"/>
        </w:rPr>
        <w:t>成立</w:t>
      </w:r>
      <w:r w:rsidRPr="00184A57">
        <w:rPr>
          <w:rFonts w:hint="eastAsia"/>
          <w:color w:val="000000"/>
          <w:szCs w:val="21"/>
        </w:rPr>
        <w:t>《</w:t>
      </w:r>
      <w:r>
        <w:rPr>
          <w:rFonts w:hint="eastAsia"/>
          <w:color w:val="000000"/>
          <w:szCs w:val="21"/>
        </w:rPr>
        <w:t>高纯金属</w:t>
      </w:r>
      <w:r w:rsidR="00AE17EA">
        <w:rPr>
          <w:rFonts w:hint="eastAsia"/>
          <w:color w:val="000000"/>
          <w:szCs w:val="21"/>
        </w:rPr>
        <w:t>钬</w:t>
      </w:r>
      <w:r w:rsidRPr="00184A57">
        <w:rPr>
          <w:rFonts w:hint="eastAsia"/>
          <w:color w:val="000000"/>
          <w:szCs w:val="21"/>
        </w:rPr>
        <w:t>》</w:t>
      </w:r>
      <w:r>
        <w:rPr>
          <w:rFonts w:hint="eastAsia"/>
          <w:color w:val="000000"/>
          <w:szCs w:val="21"/>
        </w:rPr>
        <w:t>标准项目组，</w:t>
      </w:r>
      <w:r w:rsidRPr="00D250DD">
        <w:rPr>
          <w:rFonts w:hint="eastAsia"/>
          <w:color w:val="000000"/>
          <w:szCs w:val="21"/>
        </w:rPr>
        <w:t>并建立</w:t>
      </w:r>
      <w:r w:rsidR="009F524D">
        <w:rPr>
          <w:rFonts w:hint="eastAsia"/>
          <w:color w:val="000000"/>
          <w:szCs w:val="21"/>
        </w:rPr>
        <w:t>工作</w:t>
      </w:r>
      <w:r w:rsidRPr="00D250DD">
        <w:rPr>
          <w:rFonts w:hint="eastAsia"/>
          <w:color w:val="000000"/>
          <w:szCs w:val="21"/>
        </w:rPr>
        <w:t>群</w:t>
      </w:r>
      <w:r w:rsidR="007C3604">
        <w:rPr>
          <w:rFonts w:hint="eastAsia"/>
          <w:color w:val="000000"/>
          <w:szCs w:val="21"/>
        </w:rPr>
        <w:t>，</w:t>
      </w:r>
      <w:r w:rsidR="009F524D">
        <w:rPr>
          <w:rFonts w:hint="eastAsia"/>
          <w:color w:val="000000"/>
          <w:szCs w:val="21"/>
        </w:rPr>
        <w:t>通过多种途径进行</w:t>
      </w:r>
      <w:r w:rsidR="007C3604">
        <w:rPr>
          <w:rFonts w:hint="eastAsia"/>
          <w:color w:val="000000"/>
          <w:szCs w:val="21"/>
        </w:rPr>
        <w:t>讨论</w:t>
      </w:r>
      <w:r w:rsidR="009F524D">
        <w:rPr>
          <w:rFonts w:hint="eastAsia"/>
          <w:color w:val="000000"/>
          <w:szCs w:val="21"/>
        </w:rPr>
        <w:t>，确认标准技术内容</w:t>
      </w:r>
      <w:r w:rsidRPr="00D250DD">
        <w:rPr>
          <w:rFonts w:hint="eastAsia"/>
          <w:color w:val="000000"/>
          <w:szCs w:val="21"/>
        </w:rPr>
        <w:t>。根据</w:t>
      </w:r>
      <w:r>
        <w:rPr>
          <w:rFonts w:hint="eastAsia"/>
          <w:color w:val="000000"/>
          <w:szCs w:val="21"/>
        </w:rPr>
        <w:t>高纯金属</w:t>
      </w:r>
      <w:proofErr w:type="gramStart"/>
      <w:r w:rsidR="00AE17EA">
        <w:rPr>
          <w:rFonts w:hint="eastAsia"/>
          <w:color w:val="000000"/>
          <w:szCs w:val="21"/>
        </w:rPr>
        <w:t>钬</w:t>
      </w:r>
      <w:proofErr w:type="gramEnd"/>
      <w:r>
        <w:rPr>
          <w:rFonts w:hint="eastAsia"/>
          <w:color w:val="000000"/>
          <w:szCs w:val="21"/>
        </w:rPr>
        <w:t>生产技术水平</w:t>
      </w:r>
      <w:r w:rsidR="007C3604">
        <w:rPr>
          <w:rFonts w:hint="eastAsia"/>
          <w:color w:val="000000"/>
          <w:szCs w:val="21"/>
        </w:rPr>
        <w:t>以</w:t>
      </w:r>
      <w:r>
        <w:rPr>
          <w:rFonts w:hint="eastAsia"/>
          <w:color w:val="000000"/>
          <w:szCs w:val="21"/>
        </w:rPr>
        <w:t>及下游需求情况，</w:t>
      </w:r>
      <w:r w:rsidR="009F524D">
        <w:rPr>
          <w:rFonts w:hint="eastAsia"/>
          <w:color w:val="000000"/>
          <w:szCs w:val="21"/>
        </w:rPr>
        <w:t>最终确认了</w:t>
      </w:r>
      <w:r w:rsidR="007C3604">
        <w:rPr>
          <w:rFonts w:hint="eastAsia"/>
          <w:color w:val="000000"/>
          <w:szCs w:val="21"/>
        </w:rPr>
        <w:t>本</w:t>
      </w:r>
      <w:r w:rsidR="009F524D">
        <w:rPr>
          <w:rFonts w:hint="eastAsia"/>
          <w:color w:val="000000"/>
          <w:szCs w:val="21"/>
        </w:rPr>
        <w:t>文件</w:t>
      </w:r>
      <w:r w:rsidRPr="00D250DD">
        <w:rPr>
          <w:rFonts w:hint="eastAsia"/>
          <w:color w:val="000000"/>
          <w:szCs w:val="21"/>
        </w:rPr>
        <w:t>的适用范围、技术要求、实验方法、检验规则、 包装、运输、贮存及随行文件</w:t>
      </w:r>
      <w:r w:rsidR="007C3604">
        <w:rPr>
          <w:rFonts w:hint="eastAsia"/>
          <w:color w:val="000000"/>
          <w:szCs w:val="21"/>
        </w:rPr>
        <w:t>等</w:t>
      </w:r>
      <w:r w:rsidRPr="00D250DD">
        <w:rPr>
          <w:rFonts w:hint="eastAsia"/>
          <w:color w:val="000000"/>
          <w:szCs w:val="21"/>
        </w:rPr>
        <w:t>内容，</w:t>
      </w:r>
      <w:r w:rsidR="009F524D">
        <w:rPr>
          <w:rFonts w:hint="eastAsia"/>
          <w:color w:val="000000"/>
          <w:szCs w:val="21"/>
        </w:rPr>
        <w:t>并</w:t>
      </w:r>
      <w:r w:rsidRPr="00D250DD">
        <w:rPr>
          <w:rFonts w:hint="eastAsia"/>
          <w:color w:val="000000"/>
          <w:szCs w:val="21"/>
        </w:rPr>
        <w:t>形成</w:t>
      </w:r>
      <w:r w:rsidR="007C3604">
        <w:rPr>
          <w:rFonts w:hint="eastAsia"/>
          <w:color w:val="000000"/>
          <w:szCs w:val="21"/>
        </w:rPr>
        <w:t>了</w:t>
      </w:r>
      <w:r w:rsidRPr="00D250DD">
        <w:rPr>
          <w:rFonts w:hint="eastAsia"/>
          <w:color w:val="000000"/>
          <w:szCs w:val="21"/>
        </w:rPr>
        <w:t>《</w:t>
      </w:r>
      <w:r>
        <w:rPr>
          <w:rFonts w:hint="eastAsia"/>
          <w:color w:val="000000"/>
          <w:szCs w:val="21"/>
        </w:rPr>
        <w:t>高纯金属</w:t>
      </w:r>
      <w:r w:rsidR="00AE17EA">
        <w:rPr>
          <w:rFonts w:hint="eastAsia"/>
          <w:color w:val="000000"/>
          <w:szCs w:val="21"/>
        </w:rPr>
        <w:t>钬</w:t>
      </w:r>
      <w:r w:rsidRPr="00D250DD">
        <w:rPr>
          <w:rFonts w:hint="eastAsia"/>
          <w:color w:val="000000"/>
          <w:szCs w:val="21"/>
        </w:rPr>
        <w:t>》标准征求意见稿及其编制说明。</w:t>
      </w:r>
    </w:p>
    <w:p w14:paraId="6E7C5DEB" w14:textId="70E2A776" w:rsidR="00D250DD" w:rsidRDefault="00D250DD" w:rsidP="00D250DD">
      <w:pPr>
        <w:spacing w:beforeLines="50" w:before="156" w:afterLines="50" w:after="156" w:line="312" w:lineRule="auto"/>
        <w:rPr>
          <w:rFonts w:ascii="黑体" w:eastAsia="黑体" w:hAnsi="黑体"/>
        </w:rPr>
      </w:pPr>
      <w:r>
        <w:rPr>
          <w:rFonts w:ascii="黑体" w:eastAsia="黑体" w:hAnsi="黑体"/>
        </w:rPr>
        <w:t>4.</w:t>
      </w:r>
      <w:r w:rsidR="0097286C">
        <w:rPr>
          <w:rFonts w:ascii="黑体" w:eastAsia="黑体" w:hAnsi="黑体"/>
        </w:rPr>
        <w:t>4</w:t>
      </w:r>
      <w:r>
        <w:rPr>
          <w:rFonts w:ascii="黑体" w:eastAsia="黑体" w:hAnsi="黑体" w:hint="eastAsia"/>
        </w:rPr>
        <w:t>征求意见阶段</w:t>
      </w:r>
    </w:p>
    <w:p w14:paraId="423F4EE8" w14:textId="38AA5751" w:rsidR="0097286C" w:rsidRPr="00E919F3" w:rsidRDefault="009F524D" w:rsidP="00E919F3">
      <w:pPr>
        <w:spacing w:line="360" w:lineRule="auto"/>
        <w:ind w:firstLine="420"/>
        <w:jc w:val="both"/>
        <w:rPr>
          <w:color w:val="000000"/>
          <w:szCs w:val="21"/>
        </w:rPr>
      </w:pPr>
      <w:r w:rsidRPr="00E919F3">
        <w:rPr>
          <w:color w:val="000000"/>
          <w:szCs w:val="21"/>
        </w:rPr>
        <w:t>2023</w:t>
      </w:r>
      <w:r w:rsidRPr="00E919F3">
        <w:rPr>
          <w:rFonts w:hint="eastAsia"/>
          <w:color w:val="000000"/>
          <w:szCs w:val="21"/>
        </w:rPr>
        <w:t>年</w:t>
      </w:r>
      <w:r>
        <w:rPr>
          <w:color w:val="000000"/>
          <w:szCs w:val="21"/>
        </w:rPr>
        <w:t>5</w:t>
      </w:r>
      <w:r w:rsidR="00674A63" w:rsidRPr="00E919F3">
        <w:rPr>
          <w:rFonts w:hint="eastAsia"/>
          <w:color w:val="000000"/>
          <w:szCs w:val="21"/>
        </w:rPr>
        <w:t>月，</w:t>
      </w:r>
      <w:r w:rsidR="007C3604" w:rsidRPr="00E919F3">
        <w:rPr>
          <w:rFonts w:hint="eastAsia"/>
          <w:color w:val="000000"/>
          <w:szCs w:val="21"/>
        </w:rPr>
        <w:t>标准主撰写人</w:t>
      </w:r>
      <w:r w:rsidR="0095593B" w:rsidRPr="00E919F3">
        <w:rPr>
          <w:rFonts w:hint="eastAsia"/>
          <w:color w:val="000000"/>
          <w:szCs w:val="21"/>
        </w:rPr>
        <w:t>通过邮件形式</w:t>
      </w:r>
      <w:r w:rsidR="007C3604" w:rsidRPr="00E919F3">
        <w:rPr>
          <w:rFonts w:hint="eastAsia"/>
          <w:color w:val="000000"/>
          <w:szCs w:val="21"/>
        </w:rPr>
        <w:t>广泛征求稀土行业</w:t>
      </w:r>
      <w:r w:rsidR="0095593B" w:rsidRPr="00E919F3">
        <w:rPr>
          <w:rFonts w:hint="eastAsia"/>
          <w:color w:val="000000"/>
          <w:szCs w:val="21"/>
        </w:rPr>
        <w:t>对《高纯金属</w:t>
      </w:r>
      <w:r w:rsidR="00AE17EA">
        <w:rPr>
          <w:rFonts w:hint="eastAsia"/>
          <w:color w:val="000000"/>
          <w:szCs w:val="21"/>
        </w:rPr>
        <w:t>钬</w:t>
      </w:r>
      <w:r w:rsidR="0095593B" w:rsidRPr="00E919F3">
        <w:rPr>
          <w:rFonts w:hint="eastAsia"/>
          <w:color w:val="000000"/>
          <w:szCs w:val="21"/>
        </w:rPr>
        <w:t>》预审稿</w:t>
      </w:r>
      <w:r w:rsidR="008E10A1" w:rsidRPr="00E919F3">
        <w:rPr>
          <w:rFonts w:hint="eastAsia"/>
          <w:color w:val="000000"/>
          <w:szCs w:val="21"/>
        </w:rPr>
        <w:t>文本修改</w:t>
      </w:r>
      <w:r w:rsidR="0095593B" w:rsidRPr="00E919F3">
        <w:rPr>
          <w:rFonts w:hint="eastAsia"/>
          <w:color w:val="000000"/>
          <w:szCs w:val="21"/>
        </w:rPr>
        <w:t>意见。本</w:t>
      </w:r>
      <w:r w:rsidR="008E10A1" w:rsidRPr="00E919F3">
        <w:rPr>
          <w:rFonts w:hint="eastAsia"/>
          <w:color w:val="000000"/>
          <w:szCs w:val="21"/>
        </w:rPr>
        <w:t>文件</w:t>
      </w:r>
      <w:r w:rsidR="0095593B" w:rsidRPr="00E919F3">
        <w:rPr>
          <w:rFonts w:hint="eastAsia"/>
          <w:color w:val="000000"/>
          <w:szCs w:val="21"/>
        </w:rPr>
        <w:t>发送《征求意见稿》的单位数</w:t>
      </w:r>
      <w:r>
        <w:rPr>
          <w:color w:val="000000"/>
          <w:szCs w:val="21"/>
        </w:rPr>
        <w:t>1</w:t>
      </w:r>
      <w:r w:rsidR="00D4583E">
        <w:rPr>
          <w:color w:val="000000"/>
          <w:szCs w:val="21"/>
        </w:rPr>
        <w:t>7</w:t>
      </w:r>
      <w:r w:rsidR="0095593B" w:rsidRPr="00E919F3">
        <w:rPr>
          <w:rFonts w:hint="eastAsia"/>
          <w:color w:val="000000"/>
          <w:szCs w:val="21"/>
        </w:rPr>
        <w:t>个，回函的单位数</w:t>
      </w:r>
      <w:r w:rsidRPr="00E919F3">
        <w:rPr>
          <w:rFonts w:hint="eastAsia"/>
          <w:color w:val="000000"/>
          <w:szCs w:val="21"/>
        </w:rPr>
        <w:t>1</w:t>
      </w:r>
      <w:r w:rsidR="00D4583E">
        <w:rPr>
          <w:color w:val="000000"/>
          <w:szCs w:val="21"/>
        </w:rPr>
        <w:t>1</w:t>
      </w:r>
      <w:r w:rsidR="0095593B" w:rsidRPr="00E919F3">
        <w:rPr>
          <w:rFonts w:hint="eastAsia"/>
          <w:color w:val="000000"/>
          <w:szCs w:val="21"/>
        </w:rPr>
        <w:t>个，函并有建议或意见的单位数</w:t>
      </w:r>
      <w:r w:rsidR="00D4583E">
        <w:rPr>
          <w:color w:val="000000"/>
          <w:szCs w:val="21"/>
        </w:rPr>
        <w:t>7</w:t>
      </w:r>
      <w:r w:rsidR="0095593B" w:rsidRPr="00E919F3">
        <w:rPr>
          <w:rFonts w:hint="eastAsia"/>
          <w:color w:val="000000"/>
          <w:szCs w:val="21"/>
        </w:rPr>
        <w:t>个。</w:t>
      </w:r>
      <w:r w:rsidR="008B10B0" w:rsidRPr="00E919F3">
        <w:rPr>
          <w:rFonts w:hint="eastAsia"/>
          <w:color w:val="000000"/>
          <w:szCs w:val="21"/>
        </w:rPr>
        <w:t>经汇总各方意见及项目组专家代表进行讨论，形成标准预审稿。</w:t>
      </w:r>
    </w:p>
    <w:p w14:paraId="2ABA4F3D" w14:textId="3A49BF00" w:rsidR="008B10B0" w:rsidRPr="00E919F3" w:rsidRDefault="009F524D" w:rsidP="00E919F3">
      <w:pPr>
        <w:spacing w:line="360" w:lineRule="auto"/>
        <w:ind w:firstLine="420"/>
        <w:jc w:val="both"/>
        <w:rPr>
          <w:color w:val="000000"/>
          <w:szCs w:val="21"/>
        </w:rPr>
      </w:pPr>
      <w:r w:rsidRPr="00E919F3">
        <w:rPr>
          <w:color w:val="000000"/>
          <w:szCs w:val="21"/>
        </w:rPr>
        <w:t>2023</w:t>
      </w:r>
      <w:r w:rsidRPr="00E919F3">
        <w:rPr>
          <w:rFonts w:hint="eastAsia"/>
          <w:color w:val="000000"/>
          <w:szCs w:val="21"/>
        </w:rPr>
        <w:t>年</w:t>
      </w:r>
      <w:r>
        <w:rPr>
          <w:color w:val="000000"/>
          <w:szCs w:val="21"/>
        </w:rPr>
        <w:t>6</w:t>
      </w:r>
      <w:r w:rsidR="008B10B0" w:rsidRPr="00E919F3">
        <w:rPr>
          <w:rFonts w:hint="eastAsia"/>
          <w:color w:val="000000"/>
          <w:szCs w:val="21"/>
        </w:rPr>
        <w:t>月，</w:t>
      </w:r>
      <w:r w:rsidR="00560666" w:rsidRPr="00E919F3">
        <w:rPr>
          <w:rFonts w:hint="eastAsia"/>
          <w:color w:val="000000"/>
          <w:szCs w:val="21"/>
        </w:rPr>
        <w:t>《高纯金属</w:t>
      </w:r>
      <w:r w:rsidR="00AE17EA">
        <w:rPr>
          <w:rFonts w:hint="eastAsia"/>
          <w:color w:val="000000"/>
          <w:szCs w:val="21"/>
        </w:rPr>
        <w:t>钬</w:t>
      </w:r>
      <w:r w:rsidR="00560666" w:rsidRPr="00E919F3">
        <w:rPr>
          <w:rFonts w:hint="eastAsia"/>
          <w:color w:val="000000"/>
          <w:szCs w:val="21"/>
        </w:rPr>
        <w:t>》在中国有色金属标准质量信息网上公开征求意见。</w:t>
      </w:r>
    </w:p>
    <w:p w14:paraId="342BE201" w14:textId="51E1BC28" w:rsidR="00D250DD" w:rsidRPr="00902DF1" w:rsidRDefault="00D250DD" w:rsidP="0005672A">
      <w:pPr>
        <w:spacing w:beforeLines="50" w:before="156" w:afterLines="50" w:after="156" w:line="360" w:lineRule="auto"/>
        <w:rPr>
          <w:rFonts w:ascii="黑体" w:eastAsia="黑体" w:hAnsi="黑体"/>
        </w:rPr>
      </w:pPr>
      <w:r w:rsidRPr="00902DF1">
        <w:rPr>
          <w:rFonts w:ascii="黑体" w:eastAsia="黑体" w:hAnsi="黑体"/>
        </w:rPr>
        <w:t>4.</w:t>
      </w:r>
      <w:r w:rsidR="004D25CD" w:rsidRPr="00902DF1">
        <w:rPr>
          <w:rFonts w:ascii="黑体" w:eastAsia="黑体" w:hAnsi="黑体"/>
        </w:rPr>
        <w:t>5</w:t>
      </w:r>
      <w:bookmarkStart w:id="2" w:name="_Hlk132722628"/>
      <w:r w:rsidR="004D25CD" w:rsidRPr="00902DF1">
        <w:rPr>
          <w:rFonts w:ascii="黑体" w:eastAsia="黑体" w:hAnsi="黑体" w:hint="eastAsia"/>
        </w:rPr>
        <w:t>预审</w:t>
      </w:r>
      <w:bookmarkEnd w:id="2"/>
      <w:r w:rsidRPr="00902DF1">
        <w:rPr>
          <w:rFonts w:ascii="黑体" w:eastAsia="黑体" w:hAnsi="黑体" w:hint="eastAsia"/>
        </w:rPr>
        <w:t>阶段</w:t>
      </w:r>
    </w:p>
    <w:p w14:paraId="4A0A7776" w14:textId="78FEB39C" w:rsidR="008E10A1" w:rsidRPr="00D8089B" w:rsidRDefault="00973D45" w:rsidP="00E919F3">
      <w:pPr>
        <w:spacing w:line="360" w:lineRule="auto"/>
        <w:ind w:firstLine="420"/>
        <w:jc w:val="both"/>
      </w:pPr>
      <w:r w:rsidRPr="00DD3E94">
        <w:rPr>
          <w:color w:val="000000"/>
          <w:szCs w:val="21"/>
        </w:rPr>
        <w:t>2023</w:t>
      </w:r>
      <w:r w:rsidRPr="00DD3E94">
        <w:rPr>
          <w:rFonts w:hint="eastAsia"/>
          <w:color w:val="000000"/>
          <w:szCs w:val="21"/>
        </w:rPr>
        <w:t>年</w:t>
      </w:r>
      <w:r>
        <w:rPr>
          <w:color w:val="000000"/>
          <w:szCs w:val="21"/>
        </w:rPr>
        <w:t>6</w:t>
      </w:r>
      <w:r w:rsidR="007050A9" w:rsidRPr="00DD3E94">
        <w:rPr>
          <w:rFonts w:hint="eastAsia"/>
          <w:color w:val="000000"/>
          <w:szCs w:val="21"/>
        </w:rPr>
        <w:t>月</w:t>
      </w:r>
      <w:r w:rsidR="007050A9" w:rsidRPr="00DD3E94">
        <w:rPr>
          <w:color w:val="000000"/>
          <w:szCs w:val="21"/>
        </w:rPr>
        <w:t>15</w:t>
      </w:r>
      <w:r w:rsidR="00B712D6" w:rsidRPr="00DD3E94">
        <w:rPr>
          <w:rFonts w:hint="eastAsia"/>
          <w:color w:val="000000"/>
          <w:szCs w:val="21"/>
        </w:rPr>
        <w:t>日，</w:t>
      </w:r>
      <w:r w:rsidR="009F524D" w:rsidRPr="00DD3E94">
        <w:rPr>
          <w:rFonts w:hint="eastAsia"/>
          <w:color w:val="000000"/>
          <w:szCs w:val="21"/>
        </w:rPr>
        <w:t>在贵州省贵阳市召开</w:t>
      </w:r>
      <w:r w:rsidR="009F524D" w:rsidRPr="00DD3E94">
        <w:rPr>
          <w:color w:val="000000"/>
          <w:szCs w:val="21"/>
        </w:rPr>
        <w:t xml:space="preserve">2023 </w:t>
      </w:r>
      <w:r w:rsidR="009F524D" w:rsidRPr="00DD3E94">
        <w:rPr>
          <w:rFonts w:hint="eastAsia"/>
          <w:color w:val="000000"/>
          <w:szCs w:val="21"/>
        </w:rPr>
        <w:t>年第四次稀土标准工作会议，</w:t>
      </w:r>
      <w:r w:rsidR="00B712D6" w:rsidRPr="00DD3E94">
        <w:rPr>
          <w:rFonts w:hint="eastAsia"/>
          <w:color w:val="000000"/>
          <w:szCs w:val="21"/>
        </w:rPr>
        <w:t>与会专家对《高纯金属</w:t>
      </w:r>
      <w:r w:rsidR="00AE17EA" w:rsidRPr="00DD3E94">
        <w:rPr>
          <w:rFonts w:hint="eastAsia"/>
          <w:color w:val="000000"/>
          <w:szCs w:val="21"/>
        </w:rPr>
        <w:t>钬</w:t>
      </w:r>
      <w:r w:rsidR="00B712D6" w:rsidRPr="00DD3E94">
        <w:rPr>
          <w:rFonts w:hint="eastAsia"/>
          <w:color w:val="000000"/>
          <w:szCs w:val="21"/>
        </w:rPr>
        <w:t>》行业标准进行了</w:t>
      </w:r>
      <w:r w:rsidR="007050A9" w:rsidRPr="00DD3E94">
        <w:rPr>
          <w:rFonts w:hint="eastAsia"/>
          <w:color w:val="000000"/>
          <w:szCs w:val="21"/>
        </w:rPr>
        <w:t>预审</w:t>
      </w:r>
      <w:r w:rsidR="00B712D6" w:rsidRPr="00D8089B">
        <w:rPr>
          <w:rFonts w:ascii="Times New Roman" w:hAnsi="Times New Roman" w:cs="Times New Roman" w:hint="eastAsia"/>
        </w:rPr>
        <w:t>。专家组审</w:t>
      </w:r>
      <w:bookmarkStart w:id="3" w:name="_GoBack"/>
      <w:bookmarkEnd w:id="3"/>
      <w:r w:rsidR="00B712D6" w:rsidRPr="00D8089B">
        <w:rPr>
          <w:rFonts w:ascii="Times New Roman" w:hAnsi="Times New Roman" w:cs="Times New Roman" w:hint="eastAsia"/>
        </w:rPr>
        <w:t>阅了相关资料，听取了标准牵头单位的工作汇报，经质询、讨论，提出了具体的修改意见</w:t>
      </w:r>
      <w:r w:rsidR="00B712D6" w:rsidRPr="00D8089B">
        <w:rPr>
          <w:rFonts w:hint="eastAsia"/>
        </w:rPr>
        <w:t>：</w:t>
      </w:r>
    </w:p>
    <w:p w14:paraId="036DBAAC" w14:textId="7807B2E5" w:rsidR="00B712D6" w:rsidRDefault="00B712D6" w:rsidP="0005672A">
      <w:pPr>
        <w:spacing w:beforeLines="50" w:before="156" w:afterLines="50" w:after="156" w:line="312" w:lineRule="auto"/>
        <w:rPr>
          <w:rFonts w:ascii="黑体" w:eastAsia="黑体" w:hAnsi="黑体"/>
        </w:rPr>
      </w:pPr>
      <w:r w:rsidRPr="0005672A">
        <w:rPr>
          <w:rFonts w:ascii="黑体" w:eastAsia="黑体" w:hAnsi="黑体"/>
        </w:rPr>
        <w:t>4.</w:t>
      </w:r>
      <w:r>
        <w:rPr>
          <w:rFonts w:ascii="黑体" w:eastAsia="黑体" w:hAnsi="黑体"/>
        </w:rPr>
        <w:t>6</w:t>
      </w:r>
      <w:r>
        <w:rPr>
          <w:rFonts w:ascii="黑体" w:eastAsia="黑体" w:hAnsi="黑体" w:hint="eastAsia"/>
        </w:rPr>
        <w:t>送审征求意见</w:t>
      </w:r>
      <w:r w:rsidRPr="0005672A">
        <w:rPr>
          <w:rFonts w:ascii="黑体" w:eastAsia="黑体" w:hAnsi="黑体" w:hint="eastAsia"/>
        </w:rPr>
        <w:t>阶段</w:t>
      </w:r>
    </w:p>
    <w:p w14:paraId="6B00F2A6" w14:textId="6038EFB5" w:rsidR="00D8089B" w:rsidRPr="0005672A" w:rsidRDefault="00D8089B" w:rsidP="00D8089B">
      <w:pPr>
        <w:spacing w:beforeLines="50" w:before="156" w:afterLines="50" w:after="156" w:line="312" w:lineRule="auto"/>
        <w:ind w:firstLineChars="200" w:firstLine="480"/>
        <w:rPr>
          <w:rFonts w:ascii="黑体" w:eastAsia="黑体" w:hAnsi="黑体"/>
        </w:rPr>
      </w:pPr>
      <w:r>
        <w:rPr>
          <w:rFonts w:ascii="黑体" w:eastAsia="黑体" w:hAnsi="黑体" w:hint="eastAsia"/>
        </w:rPr>
        <w:t>。。。。</w:t>
      </w:r>
    </w:p>
    <w:p w14:paraId="3D044494" w14:textId="43CE913D" w:rsidR="00446A0F" w:rsidRDefault="00446A0F" w:rsidP="00446A0F">
      <w:pPr>
        <w:spacing w:beforeLines="50" w:before="156" w:afterLines="50" w:after="156" w:line="360" w:lineRule="auto"/>
        <w:rPr>
          <w:rFonts w:ascii="黑体" w:eastAsia="黑体" w:hAnsi="黑体"/>
        </w:rPr>
      </w:pPr>
      <w:r w:rsidRPr="00902DF1">
        <w:rPr>
          <w:rFonts w:ascii="黑体" w:eastAsia="黑体" w:hAnsi="黑体"/>
        </w:rPr>
        <w:t>4.</w:t>
      </w:r>
      <w:r>
        <w:rPr>
          <w:rFonts w:ascii="黑体" w:eastAsia="黑体" w:hAnsi="黑体"/>
        </w:rPr>
        <w:t>7</w:t>
      </w:r>
      <w:r>
        <w:rPr>
          <w:rFonts w:ascii="黑体" w:eastAsia="黑体" w:hAnsi="黑体" w:hint="eastAsia"/>
        </w:rPr>
        <w:t>审定</w:t>
      </w:r>
      <w:r w:rsidRPr="00902DF1">
        <w:rPr>
          <w:rFonts w:ascii="黑体" w:eastAsia="黑体" w:hAnsi="黑体" w:hint="eastAsia"/>
        </w:rPr>
        <w:t>阶段</w:t>
      </w:r>
    </w:p>
    <w:p w14:paraId="020E44C7" w14:textId="2BFE3E04" w:rsidR="00D8089B" w:rsidRPr="00902DF1" w:rsidRDefault="00D8089B" w:rsidP="00D8089B">
      <w:pPr>
        <w:spacing w:beforeLines="50" w:before="156" w:afterLines="50" w:after="156" w:line="312" w:lineRule="auto"/>
        <w:ind w:firstLineChars="200" w:firstLine="480"/>
        <w:rPr>
          <w:rFonts w:ascii="黑体" w:eastAsia="黑体" w:hAnsi="黑体"/>
        </w:rPr>
      </w:pPr>
      <w:r>
        <w:rPr>
          <w:rFonts w:ascii="黑体" w:eastAsia="黑体" w:hAnsi="黑体" w:hint="eastAsia"/>
        </w:rPr>
        <w:t>。。。。</w:t>
      </w:r>
    </w:p>
    <w:p w14:paraId="1B3D7609" w14:textId="22DE8062" w:rsidR="00BB0EEE" w:rsidRPr="00902DF1" w:rsidRDefault="00BB0EEE" w:rsidP="00BB0EEE">
      <w:pPr>
        <w:spacing w:beforeLines="50" w:before="156" w:afterLines="50" w:after="156" w:line="360" w:lineRule="auto"/>
        <w:rPr>
          <w:rFonts w:ascii="黑体" w:eastAsia="黑体" w:hAnsi="黑体"/>
        </w:rPr>
      </w:pPr>
      <w:r w:rsidRPr="00902DF1">
        <w:rPr>
          <w:rFonts w:ascii="黑体" w:eastAsia="黑体" w:hAnsi="黑体"/>
        </w:rPr>
        <w:t>4.</w:t>
      </w:r>
      <w:r>
        <w:rPr>
          <w:rFonts w:ascii="黑体" w:eastAsia="黑体" w:hAnsi="黑体"/>
        </w:rPr>
        <w:t>8</w:t>
      </w:r>
      <w:r>
        <w:rPr>
          <w:rFonts w:ascii="黑体" w:eastAsia="黑体" w:hAnsi="黑体" w:hint="eastAsia"/>
        </w:rPr>
        <w:t>报批</w:t>
      </w:r>
      <w:r w:rsidRPr="00902DF1">
        <w:rPr>
          <w:rFonts w:ascii="黑体" w:eastAsia="黑体" w:hAnsi="黑体" w:hint="eastAsia"/>
        </w:rPr>
        <w:t>阶段</w:t>
      </w:r>
    </w:p>
    <w:p w14:paraId="48CB67BF" w14:textId="1BF6AC72" w:rsidR="00BB0EEE" w:rsidRPr="00BB5CF1" w:rsidRDefault="00BB0EEE" w:rsidP="00BB5CF1">
      <w:pPr>
        <w:pStyle w:val="afffff2"/>
        <w:adjustRightInd w:val="0"/>
        <w:snapToGrid w:val="0"/>
        <w:spacing w:line="360" w:lineRule="auto"/>
        <w:ind w:firstLine="480"/>
        <w:rPr>
          <w:sz w:val="24"/>
        </w:rPr>
      </w:pPr>
      <w:r>
        <w:rPr>
          <w:rFonts w:hint="eastAsia"/>
          <w:sz w:val="24"/>
        </w:rPr>
        <w:t>。。。</w:t>
      </w:r>
      <w:r w:rsidR="00D8089B">
        <w:rPr>
          <w:rFonts w:hint="eastAsia"/>
          <w:sz w:val="24"/>
        </w:rPr>
        <w:t>。</w:t>
      </w:r>
    </w:p>
    <w:p w14:paraId="3029B31E" w14:textId="77777777" w:rsidR="00601EFB" w:rsidRPr="001E2CD8" w:rsidRDefault="003B2497">
      <w:pPr>
        <w:spacing w:beforeLines="50" w:before="156" w:afterLines="50" w:after="156" w:line="312" w:lineRule="auto"/>
        <w:rPr>
          <w:rFonts w:ascii="黑体" w:eastAsia="黑体"/>
          <w:b/>
        </w:rPr>
      </w:pPr>
      <w:r w:rsidRPr="001E2CD8">
        <w:rPr>
          <w:rFonts w:ascii="黑体" w:eastAsia="黑体" w:hint="eastAsia"/>
          <w:b/>
        </w:rPr>
        <w:t>二、标准编制原则、主要内容及其确定依据</w:t>
      </w:r>
    </w:p>
    <w:p w14:paraId="4AC94B48" w14:textId="77777777" w:rsidR="00601EFB" w:rsidRPr="001E2CD8" w:rsidRDefault="003B2497">
      <w:pPr>
        <w:spacing w:beforeLines="50" w:before="156" w:afterLines="50" w:after="156" w:line="312" w:lineRule="auto"/>
        <w:rPr>
          <w:rFonts w:ascii="黑体" w:eastAsia="黑体"/>
          <w:bCs/>
        </w:rPr>
      </w:pPr>
      <w:r w:rsidRPr="001E2CD8">
        <w:rPr>
          <w:rFonts w:ascii="黑体" w:eastAsia="黑体" w:hint="eastAsia"/>
          <w:bCs/>
        </w:rPr>
        <w:t>1、本标准起草过程中遵循以下原则：</w:t>
      </w:r>
    </w:p>
    <w:p w14:paraId="2759EAA4" w14:textId="33085650" w:rsidR="00601EFB" w:rsidRPr="00847FD9" w:rsidRDefault="00847FD9" w:rsidP="0005672A">
      <w:pPr>
        <w:spacing w:line="360" w:lineRule="auto"/>
        <w:ind w:firstLineChars="200" w:firstLine="480"/>
        <w:jc w:val="both"/>
        <w:rPr>
          <w:color w:val="000000"/>
          <w:szCs w:val="21"/>
        </w:rPr>
      </w:pPr>
      <w:r>
        <w:rPr>
          <w:rFonts w:hint="eastAsia"/>
          <w:color w:val="000000"/>
          <w:szCs w:val="21"/>
        </w:rPr>
        <w:lastRenderedPageBreak/>
        <w:t>（1）</w:t>
      </w:r>
      <w:r w:rsidR="003B2497" w:rsidRPr="00847FD9">
        <w:rPr>
          <w:color w:val="000000"/>
          <w:szCs w:val="21"/>
        </w:rPr>
        <w:t>本标准是根据GB/T</w:t>
      </w:r>
      <w:r w:rsidR="003B2497" w:rsidRPr="00847FD9">
        <w:rPr>
          <w:rFonts w:hint="eastAsia"/>
          <w:color w:val="000000"/>
          <w:szCs w:val="21"/>
        </w:rPr>
        <w:t xml:space="preserve"> </w:t>
      </w:r>
      <w:r w:rsidR="003B2497" w:rsidRPr="00847FD9">
        <w:rPr>
          <w:color w:val="000000"/>
          <w:szCs w:val="21"/>
        </w:rPr>
        <w:t>1.1-2020《标准化工作导则 第1部分:标准化文件的结构和起草规则》和GB/T</w:t>
      </w:r>
      <w:r w:rsidR="003B2497" w:rsidRPr="00847FD9">
        <w:rPr>
          <w:rFonts w:hint="eastAsia"/>
          <w:color w:val="000000"/>
          <w:szCs w:val="21"/>
        </w:rPr>
        <w:t xml:space="preserve"> </w:t>
      </w:r>
      <w:r w:rsidR="003B2497" w:rsidRPr="00847FD9">
        <w:rPr>
          <w:color w:val="000000"/>
          <w:szCs w:val="21"/>
        </w:rPr>
        <w:t>20001.4-20</w:t>
      </w:r>
      <w:r w:rsidR="003B2497" w:rsidRPr="00847FD9">
        <w:rPr>
          <w:rFonts w:hint="eastAsia"/>
          <w:color w:val="000000"/>
          <w:szCs w:val="21"/>
        </w:rPr>
        <w:t>15</w:t>
      </w:r>
      <w:r w:rsidR="003B2497" w:rsidRPr="00847FD9">
        <w:rPr>
          <w:color w:val="000000"/>
          <w:szCs w:val="21"/>
        </w:rPr>
        <w:t>《标准编写规则 第4部分：</w:t>
      </w:r>
      <w:r w:rsidR="003B2497" w:rsidRPr="00847FD9">
        <w:rPr>
          <w:rFonts w:hint="eastAsia"/>
          <w:color w:val="000000"/>
          <w:szCs w:val="21"/>
        </w:rPr>
        <w:t>试验方法标准</w:t>
      </w:r>
      <w:r w:rsidR="003B2497" w:rsidRPr="00847FD9">
        <w:rPr>
          <w:color w:val="000000"/>
          <w:szCs w:val="21"/>
        </w:rPr>
        <w:t>》的要求进行编写的</w:t>
      </w:r>
      <w:r w:rsidR="003B2497" w:rsidRPr="00847FD9">
        <w:rPr>
          <w:rFonts w:hint="eastAsia"/>
          <w:color w:val="000000"/>
          <w:szCs w:val="21"/>
        </w:rPr>
        <w:t>；</w:t>
      </w:r>
    </w:p>
    <w:p w14:paraId="3B443B76" w14:textId="4CF7B20A" w:rsidR="00847FD9" w:rsidRPr="00847FD9" w:rsidRDefault="00847FD9" w:rsidP="0005672A">
      <w:pPr>
        <w:spacing w:line="360" w:lineRule="auto"/>
        <w:ind w:firstLineChars="200" w:firstLine="480"/>
        <w:jc w:val="both"/>
        <w:rPr>
          <w:color w:val="000000"/>
          <w:szCs w:val="21"/>
        </w:rPr>
      </w:pPr>
      <w:r>
        <w:rPr>
          <w:rFonts w:hint="eastAsia"/>
          <w:color w:val="000000"/>
          <w:szCs w:val="21"/>
        </w:rPr>
        <w:t>（2）</w:t>
      </w:r>
      <w:r w:rsidRPr="00847FD9">
        <w:rPr>
          <w:rFonts w:hint="eastAsia"/>
          <w:color w:val="000000"/>
          <w:szCs w:val="21"/>
        </w:rPr>
        <w:t>充分满足市场要求的原则；</w:t>
      </w:r>
    </w:p>
    <w:p w14:paraId="43A9F4A2" w14:textId="2DD48071" w:rsidR="00847FD9" w:rsidRPr="00847FD9" w:rsidRDefault="00847FD9" w:rsidP="0005672A">
      <w:pPr>
        <w:spacing w:line="360" w:lineRule="auto"/>
        <w:ind w:firstLineChars="200" w:firstLine="480"/>
        <w:jc w:val="both"/>
        <w:rPr>
          <w:color w:val="000000"/>
          <w:szCs w:val="21"/>
        </w:rPr>
      </w:pPr>
      <w:r>
        <w:rPr>
          <w:rFonts w:hint="eastAsia"/>
          <w:color w:val="000000"/>
          <w:szCs w:val="21"/>
        </w:rPr>
        <w:t>（3）</w:t>
      </w:r>
      <w:proofErr w:type="gramStart"/>
      <w:r w:rsidRPr="00847FD9">
        <w:rPr>
          <w:rFonts w:hint="eastAsia"/>
          <w:color w:val="000000"/>
          <w:szCs w:val="21"/>
        </w:rPr>
        <w:t>划繁就</w:t>
      </w:r>
      <w:proofErr w:type="gramEnd"/>
      <w:r w:rsidRPr="00847FD9">
        <w:rPr>
          <w:rFonts w:hint="eastAsia"/>
          <w:color w:val="000000"/>
          <w:szCs w:val="21"/>
        </w:rPr>
        <w:t>简的原则；</w:t>
      </w:r>
    </w:p>
    <w:p w14:paraId="6A1AD1BA" w14:textId="788575E2" w:rsidR="00847FD9" w:rsidRPr="00847FD9" w:rsidRDefault="00847FD9" w:rsidP="0005672A">
      <w:pPr>
        <w:spacing w:line="360" w:lineRule="auto"/>
        <w:ind w:firstLineChars="200" w:firstLine="480"/>
        <w:jc w:val="both"/>
        <w:rPr>
          <w:color w:val="000000"/>
          <w:szCs w:val="21"/>
        </w:rPr>
      </w:pPr>
      <w:r>
        <w:rPr>
          <w:rFonts w:hint="eastAsia"/>
          <w:color w:val="000000"/>
          <w:szCs w:val="21"/>
        </w:rPr>
        <w:t>（4）</w:t>
      </w:r>
      <w:r w:rsidRPr="00847FD9">
        <w:rPr>
          <w:rFonts w:hint="eastAsia"/>
          <w:color w:val="000000"/>
          <w:szCs w:val="21"/>
        </w:rPr>
        <w:t>有利于创新发展的原则。</w:t>
      </w:r>
    </w:p>
    <w:p w14:paraId="56810985" w14:textId="2145D8D5" w:rsidR="00601EFB" w:rsidRDefault="003B2497">
      <w:pPr>
        <w:spacing w:beforeLines="50" w:before="156" w:afterLines="50" w:after="156" w:line="312" w:lineRule="auto"/>
        <w:rPr>
          <w:rFonts w:ascii="黑体" w:eastAsia="黑体"/>
          <w:bCs/>
        </w:rPr>
      </w:pPr>
      <w:r>
        <w:rPr>
          <w:rFonts w:ascii="黑体" w:eastAsia="黑体" w:hint="eastAsia"/>
          <w:bCs/>
        </w:rPr>
        <w:t>2、主要技术内容及其确定的依据：</w:t>
      </w:r>
    </w:p>
    <w:p w14:paraId="37A924E2" w14:textId="6C4F343D" w:rsidR="00F74A8C" w:rsidRDefault="00F74A8C" w:rsidP="00F74A8C">
      <w:pPr>
        <w:spacing w:line="360" w:lineRule="auto"/>
        <w:rPr>
          <w:b/>
          <w:bCs/>
          <w:szCs w:val="20"/>
        </w:rPr>
      </w:pPr>
      <w:r w:rsidRPr="00411E30">
        <w:rPr>
          <w:rFonts w:hint="eastAsia"/>
          <w:b/>
          <w:bCs/>
          <w:szCs w:val="20"/>
        </w:rPr>
        <w:t>2</w:t>
      </w:r>
      <w:r w:rsidRPr="00411E30">
        <w:rPr>
          <w:b/>
          <w:bCs/>
          <w:szCs w:val="20"/>
        </w:rPr>
        <w:t>.1</w:t>
      </w:r>
      <w:r w:rsidR="007D67B7" w:rsidRPr="00411E30">
        <w:rPr>
          <w:rFonts w:hint="eastAsia"/>
          <w:b/>
          <w:bCs/>
          <w:szCs w:val="20"/>
        </w:rPr>
        <w:t>范围</w:t>
      </w:r>
    </w:p>
    <w:p w14:paraId="6452CCB6" w14:textId="5784561B" w:rsidR="004F4FD0" w:rsidRDefault="008463EF" w:rsidP="004F4FD0">
      <w:pPr>
        <w:spacing w:line="360" w:lineRule="auto"/>
        <w:ind w:firstLine="490"/>
        <w:jc w:val="both"/>
        <w:rPr>
          <w:color w:val="000000"/>
          <w:szCs w:val="21"/>
        </w:rPr>
      </w:pPr>
      <w:r w:rsidRPr="008463EF">
        <w:rPr>
          <w:rFonts w:hint="eastAsia"/>
          <w:color w:val="000000"/>
          <w:szCs w:val="21"/>
        </w:rPr>
        <w:t>金属</w:t>
      </w:r>
      <w:proofErr w:type="gramStart"/>
      <w:r w:rsidR="00AE17EA">
        <w:rPr>
          <w:rFonts w:hint="eastAsia"/>
          <w:color w:val="000000"/>
          <w:szCs w:val="21"/>
        </w:rPr>
        <w:t>钬</w:t>
      </w:r>
      <w:proofErr w:type="gramEnd"/>
      <w:r w:rsidR="000F7099">
        <w:rPr>
          <w:rFonts w:hint="eastAsia"/>
          <w:color w:val="000000"/>
          <w:szCs w:val="21"/>
        </w:rPr>
        <w:t>的</w:t>
      </w:r>
      <w:r>
        <w:rPr>
          <w:rFonts w:hint="eastAsia"/>
          <w:color w:val="000000"/>
          <w:szCs w:val="21"/>
        </w:rPr>
        <w:t>熔点</w:t>
      </w:r>
      <w:r w:rsidR="00303C61">
        <w:rPr>
          <w:rFonts w:hint="eastAsia"/>
          <w:color w:val="000000"/>
          <w:szCs w:val="21"/>
        </w:rPr>
        <w:t>1</w:t>
      </w:r>
      <w:r w:rsidR="00303C61">
        <w:rPr>
          <w:color w:val="000000"/>
          <w:szCs w:val="21"/>
        </w:rPr>
        <w:t>470</w:t>
      </w:r>
      <w:r>
        <w:rPr>
          <w:rFonts w:hint="eastAsia"/>
          <w:color w:val="000000"/>
          <w:szCs w:val="21"/>
        </w:rPr>
        <w:t>℃、沸点</w:t>
      </w:r>
      <w:r w:rsidR="00303C61">
        <w:rPr>
          <w:color w:val="000000"/>
          <w:szCs w:val="21"/>
        </w:rPr>
        <w:t>2720</w:t>
      </w:r>
      <w:r>
        <w:rPr>
          <w:rFonts w:hint="eastAsia"/>
          <w:color w:val="000000"/>
          <w:szCs w:val="21"/>
        </w:rPr>
        <w:t>℃，属于</w:t>
      </w:r>
      <w:r w:rsidR="004F4FD0">
        <w:rPr>
          <w:rFonts w:hint="eastAsia"/>
          <w:color w:val="000000"/>
          <w:szCs w:val="21"/>
        </w:rPr>
        <w:t>较</w:t>
      </w:r>
      <w:r>
        <w:rPr>
          <w:rFonts w:hint="eastAsia"/>
          <w:color w:val="000000"/>
          <w:szCs w:val="21"/>
        </w:rPr>
        <w:t>高熔点、</w:t>
      </w:r>
      <w:r w:rsidR="004F4FD0">
        <w:rPr>
          <w:rFonts w:hint="eastAsia"/>
          <w:color w:val="000000"/>
          <w:szCs w:val="21"/>
        </w:rPr>
        <w:t>较高饱和</w:t>
      </w:r>
      <w:proofErr w:type="gramStart"/>
      <w:r w:rsidR="004F4FD0">
        <w:rPr>
          <w:rFonts w:hint="eastAsia"/>
          <w:color w:val="000000"/>
          <w:szCs w:val="21"/>
        </w:rPr>
        <w:t>蒸汽压</w:t>
      </w:r>
      <w:r>
        <w:rPr>
          <w:rFonts w:hint="eastAsia"/>
          <w:color w:val="000000"/>
          <w:szCs w:val="21"/>
        </w:rPr>
        <w:t>类稀土金</w:t>
      </w:r>
      <w:proofErr w:type="gramEnd"/>
      <w:r>
        <w:rPr>
          <w:rFonts w:hint="eastAsia"/>
          <w:color w:val="000000"/>
          <w:szCs w:val="21"/>
        </w:rPr>
        <w:t>属</w:t>
      </w:r>
      <w:r w:rsidR="004F4FD0">
        <w:rPr>
          <w:rFonts w:hint="eastAsia"/>
          <w:color w:val="000000"/>
          <w:szCs w:val="21"/>
        </w:rPr>
        <w:t>之一</w:t>
      </w:r>
      <w:r>
        <w:rPr>
          <w:rFonts w:hint="eastAsia"/>
          <w:color w:val="000000"/>
          <w:szCs w:val="21"/>
        </w:rPr>
        <w:t>。通过国内外文献</w:t>
      </w:r>
      <w:r w:rsidR="004F4FD0">
        <w:rPr>
          <w:rFonts w:hint="eastAsia"/>
          <w:color w:val="000000"/>
          <w:szCs w:val="21"/>
        </w:rPr>
        <w:t>资料</w:t>
      </w:r>
      <w:r>
        <w:rPr>
          <w:rFonts w:hint="eastAsia"/>
          <w:color w:val="000000"/>
          <w:szCs w:val="21"/>
        </w:rPr>
        <w:t>调研，以及国内生产高纯金属</w:t>
      </w:r>
      <w:proofErr w:type="gramStart"/>
      <w:r w:rsidR="00AE17EA">
        <w:rPr>
          <w:rFonts w:hint="eastAsia"/>
          <w:color w:val="000000"/>
          <w:szCs w:val="21"/>
        </w:rPr>
        <w:t>钬</w:t>
      </w:r>
      <w:proofErr w:type="gramEnd"/>
      <w:r>
        <w:rPr>
          <w:rFonts w:hint="eastAsia"/>
          <w:color w:val="000000"/>
          <w:szCs w:val="21"/>
        </w:rPr>
        <w:t>产品</w:t>
      </w:r>
      <w:r w:rsidR="000F7099">
        <w:rPr>
          <w:rFonts w:hint="eastAsia"/>
          <w:color w:val="000000"/>
          <w:szCs w:val="21"/>
        </w:rPr>
        <w:t>及其</w:t>
      </w:r>
      <w:r w:rsidR="004F4FD0">
        <w:rPr>
          <w:rFonts w:hint="eastAsia"/>
          <w:color w:val="000000"/>
          <w:szCs w:val="21"/>
        </w:rPr>
        <w:t>工艺</w:t>
      </w:r>
      <w:r w:rsidR="000F7099">
        <w:rPr>
          <w:rFonts w:hint="eastAsia"/>
          <w:color w:val="000000"/>
          <w:szCs w:val="21"/>
        </w:rPr>
        <w:t>情况</w:t>
      </w:r>
      <w:r>
        <w:rPr>
          <w:rFonts w:hint="eastAsia"/>
          <w:color w:val="000000"/>
          <w:szCs w:val="21"/>
        </w:rPr>
        <w:t>，</w:t>
      </w:r>
      <w:r w:rsidR="004F4FD0">
        <w:rPr>
          <w:rFonts w:hint="eastAsia"/>
          <w:color w:val="000000"/>
          <w:szCs w:val="21"/>
        </w:rPr>
        <w:t>其</w:t>
      </w:r>
      <w:r>
        <w:rPr>
          <w:rFonts w:hint="eastAsia"/>
          <w:color w:val="000000"/>
          <w:szCs w:val="21"/>
        </w:rPr>
        <w:t>提纯方法主要包括真空精炼、真空蒸馏、电子束熔炼、</w:t>
      </w:r>
      <w:proofErr w:type="gramStart"/>
      <w:r>
        <w:rPr>
          <w:rFonts w:hint="eastAsia"/>
          <w:color w:val="000000"/>
          <w:szCs w:val="21"/>
        </w:rPr>
        <w:t>固态</w:t>
      </w:r>
      <w:proofErr w:type="gramEnd"/>
      <w:r>
        <w:rPr>
          <w:rFonts w:hint="eastAsia"/>
          <w:color w:val="000000"/>
          <w:szCs w:val="21"/>
        </w:rPr>
        <w:t>电迁移等。</w:t>
      </w:r>
      <w:r w:rsidR="009D7FD7">
        <w:rPr>
          <w:rFonts w:hint="eastAsia"/>
          <w:color w:val="000000"/>
          <w:szCs w:val="21"/>
        </w:rPr>
        <w:t>由于高纯金属</w:t>
      </w:r>
      <w:proofErr w:type="gramStart"/>
      <w:r w:rsidR="00AE17EA">
        <w:rPr>
          <w:rFonts w:hint="eastAsia"/>
          <w:color w:val="000000"/>
          <w:szCs w:val="21"/>
        </w:rPr>
        <w:t>钬</w:t>
      </w:r>
      <w:proofErr w:type="gramEnd"/>
      <w:r w:rsidR="009D7FD7">
        <w:rPr>
          <w:rFonts w:hint="eastAsia"/>
          <w:color w:val="000000"/>
          <w:szCs w:val="21"/>
        </w:rPr>
        <w:t>具有特殊的电子结构，成为</w:t>
      </w:r>
      <w:r w:rsidR="009D7FD7" w:rsidRPr="009D7FD7">
        <w:rPr>
          <w:rFonts w:hint="eastAsia"/>
          <w:color w:val="000000"/>
          <w:szCs w:val="21"/>
        </w:rPr>
        <w:t>生产</w:t>
      </w:r>
      <w:r w:rsidR="004F4FD0" w:rsidRPr="004F4FD0">
        <w:rPr>
          <w:rFonts w:hint="eastAsia"/>
          <w:color w:val="000000"/>
          <w:szCs w:val="21"/>
        </w:rPr>
        <w:t>钬铜合金、高纯金属钬靶</w:t>
      </w:r>
      <w:proofErr w:type="gramStart"/>
      <w:r w:rsidR="004F4FD0" w:rsidRPr="004F4FD0">
        <w:rPr>
          <w:rFonts w:hint="eastAsia"/>
          <w:color w:val="000000"/>
          <w:szCs w:val="21"/>
        </w:rPr>
        <w:t>材及</w:t>
      </w:r>
      <w:proofErr w:type="gramEnd"/>
      <w:r w:rsidR="004F4FD0" w:rsidRPr="004F4FD0">
        <w:rPr>
          <w:rFonts w:hint="eastAsia"/>
          <w:color w:val="000000"/>
          <w:szCs w:val="21"/>
        </w:rPr>
        <w:t>其合金靶材</w:t>
      </w:r>
      <w:r w:rsidR="009D7FD7">
        <w:rPr>
          <w:rFonts w:hint="eastAsia"/>
          <w:color w:val="000000"/>
          <w:szCs w:val="21"/>
        </w:rPr>
        <w:t>等稀土新材料</w:t>
      </w:r>
      <w:r w:rsidR="004F4FD0">
        <w:rPr>
          <w:rFonts w:hint="eastAsia"/>
          <w:color w:val="000000"/>
          <w:szCs w:val="21"/>
        </w:rPr>
        <w:t>的关键基础材料</w:t>
      </w:r>
      <w:r w:rsidR="009D7FD7">
        <w:rPr>
          <w:rFonts w:hint="eastAsia"/>
          <w:color w:val="000000"/>
          <w:szCs w:val="21"/>
        </w:rPr>
        <w:t>。</w:t>
      </w:r>
    </w:p>
    <w:p w14:paraId="3593EBAA" w14:textId="4E3A4568" w:rsidR="00411E30" w:rsidRPr="00411E30" w:rsidRDefault="009D7FD7" w:rsidP="004F4FD0">
      <w:pPr>
        <w:spacing w:line="360" w:lineRule="auto"/>
        <w:ind w:firstLine="490"/>
        <w:jc w:val="both"/>
        <w:rPr>
          <w:b/>
          <w:bCs/>
          <w:szCs w:val="20"/>
        </w:rPr>
      </w:pPr>
      <w:r>
        <w:rPr>
          <w:rFonts w:hint="eastAsia"/>
          <w:color w:val="000000"/>
          <w:szCs w:val="21"/>
        </w:rPr>
        <w:t>因此，</w:t>
      </w:r>
      <w:r w:rsidR="004F4FD0">
        <w:rPr>
          <w:rFonts w:hint="eastAsia"/>
          <w:color w:val="000000"/>
          <w:szCs w:val="21"/>
        </w:rPr>
        <w:t>本标准范围</w:t>
      </w:r>
      <w:r w:rsidRPr="009D7FD7">
        <w:rPr>
          <w:rFonts w:hint="eastAsia"/>
          <w:color w:val="000000"/>
          <w:szCs w:val="21"/>
        </w:rPr>
        <w:t>适用于以真空精炼、真空蒸馏、区域熔炼等提纯方法制得的高纯金属</w:t>
      </w:r>
      <w:proofErr w:type="gramStart"/>
      <w:r w:rsidR="00AE17EA">
        <w:rPr>
          <w:rFonts w:hint="eastAsia"/>
          <w:color w:val="000000"/>
          <w:szCs w:val="21"/>
        </w:rPr>
        <w:t>钬</w:t>
      </w:r>
      <w:proofErr w:type="gramEnd"/>
      <w:r w:rsidRPr="009D7FD7">
        <w:rPr>
          <w:rFonts w:hint="eastAsia"/>
          <w:color w:val="000000"/>
          <w:szCs w:val="21"/>
        </w:rPr>
        <w:t>，主要用于生产高纯金属</w:t>
      </w:r>
      <w:r w:rsidR="00AE17EA">
        <w:rPr>
          <w:rFonts w:hint="eastAsia"/>
          <w:color w:val="000000"/>
          <w:szCs w:val="21"/>
        </w:rPr>
        <w:t>钬</w:t>
      </w:r>
      <w:r w:rsidRPr="009D7FD7">
        <w:rPr>
          <w:rFonts w:hint="eastAsia"/>
          <w:color w:val="000000"/>
          <w:szCs w:val="21"/>
        </w:rPr>
        <w:t>靶材、含</w:t>
      </w:r>
      <w:r w:rsidR="00AE17EA">
        <w:rPr>
          <w:rFonts w:hint="eastAsia"/>
          <w:color w:val="000000"/>
          <w:szCs w:val="21"/>
        </w:rPr>
        <w:t>钬</w:t>
      </w:r>
      <w:r w:rsidRPr="009D7FD7">
        <w:rPr>
          <w:rFonts w:hint="eastAsia"/>
          <w:color w:val="000000"/>
          <w:szCs w:val="21"/>
        </w:rPr>
        <w:t>合金靶材、特种合金和涂层材料等</w:t>
      </w:r>
      <w:r>
        <w:rPr>
          <w:rFonts w:hint="eastAsia"/>
          <w:color w:val="000000"/>
          <w:szCs w:val="21"/>
        </w:rPr>
        <w:t>。</w:t>
      </w:r>
    </w:p>
    <w:p w14:paraId="5C222D8D" w14:textId="77777777" w:rsidR="008463EF" w:rsidRDefault="001B01EB" w:rsidP="001B01EB">
      <w:pPr>
        <w:spacing w:line="360" w:lineRule="auto"/>
        <w:rPr>
          <w:b/>
          <w:bCs/>
        </w:rPr>
      </w:pPr>
      <w:r w:rsidRPr="00411E30">
        <w:rPr>
          <w:rFonts w:hint="eastAsia"/>
          <w:b/>
          <w:bCs/>
          <w:szCs w:val="20"/>
        </w:rPr>
        <w:t>2</w:t>
      </w:r>
      <w:r w:rsidRPr="00411E30">
        <w:rPr>
          <w:b/>
          <w:bCs/>
          <w:szCs w:val="20"/>
        </w:rPr>
        <w:t>.</w:t>
      </w:r>
      <w:r w:rsidR="00411E30" w:rsidRPr="00411E30">
        <w:rPr>
          <w:b/>
          <w:bCs/>
          <w:szCs w:val="20"/>
        </w:rPr>
        <w:t>2</w:t>
      </w:r>
      <w:r w:rsidR="00411E30" w:rsidRPr="00411E30">
        <w:rPr>
          <w:rFonts w:hint="eastAsia"/>
          <w:b/>
          <w:bCs/>
        </w:rPr>
        <w:t>产品牌号</w:t>
      </w:r>
    </w:p>
    <w:p w14:paraId="4A8E3A67" w14:textId="67B47C00" w:rsidR="003946E1" w:rsidRDefault="008463EF" w:rsidP="003946E1">
      <w:pPr>
        <w:spacing w:line="360" w:lineRule="auto"/>
        <w:ind w:firstLineChars="200" w:firstLine="480"/>
        <w:jc w:val="both"/>
        <w:rPr>
          <w:color w:val="000000"/>
          <w:szCs w:val="21"/>
        </w:rPr>
      </w:pPr>
      <w:r w:rsidRPr="009D7FD7">
        <w:rPr>
          <w:rFonts w:hint="eastAsia"/>
          <w:color w:val="000000"/>
          <w:szCs w:val="21"/>
        </w:rPr>
        <w:t>高纯</w:t>
      </w:r>
      <w:r w:rsidR="008D08DE">
        <w:rPr>
          <w:rFonts w:hint="eastAsia"/>
          <w:color w:val="000000"/>
          <w:szCs w:val="21"/>
        </w:rPr>
        <w:t>金属</w:t>
      </w:r>
      <w:proofErr w:type="gramStart"/>
      <w:r w:rsidR="00AE17EA">
        <w:rPr>
          <w:rFonts w:hint="eastAsia"/>
          <w:color w:val="000000"/>
          <w:szCs w:val="21"/>
        </w:rPr>
        <w:t>钬</w:t>
      </w:r>
      <w:proofErr w:type="gramEnd"/>
      <w:r w:rsidRPr="009D7FD7">
        <w:rPr>
          <w:rFonts w:hint="eastAsia"/>
          <w:color w:val="000000"/>
          <w:szCs w:val="21"/>
        </w:rPr>
        <w:t>产品属于我国自主研发的重点新产品，国内</w:t>
      </w:r>
      <w:r w:rsidR="009D7FD7">
        <w:rPr>
          <w:rFonts w:hint="eastAsia"/>
          <w:color w:val="000000"/>
          <w:szCs w:val="21"/>
        </w:rPr>
        <w:t>高纯金属</w:t>
      </w:r>
      <w:r w:rsidR="00AE17EA">
        <w:rPr>
          <w:rFonts w:hint="eastAsia"/>
          <w:color w:val="000000"/>
          <w:szCs w:val="21"/>
        </w:rPr>
        <w:t>钬</w:t>
      </w:r>
      <w:r w:rsidR="009D7FD7">
        <w:rPr>
          <w:rFonts w:hint="eastAsia"/>
          <w:color w:val="000000"/>
          <w:szCs w:val="21"/>
        </w:rPr>
        <w:t>产品以覆盖了3</w:t>
      </w:r>
      <w:r w:rsidR="009D7FD7">
        <w:rPr>
          <w:color w:val="000000"/>
          <w:szCs w:val="21"/>
        </w:rPr>
        <w:t>N-4N</w:t>
      </w:r>
      <w:r w:rsidR="004F4FD0">
        <w:rPr>
          <w:color w:val="000000"/>
          <w:szCs w:val="21"/>
        </w:rPr>
        <w:t>5</w:t>
      </w:r>
      <w:r w:rsidR="004F4FD0">
        <w:rPr>
          <w:rFonts w:hint="eastAsia"/>
          <w:color w:val="000000"/>
          <w:szCs w:val="21"/>
        </w:rPr>
        <w:t>范围的</w:t>
      </w:r>
      <w:r w:rsidRPr="009D7FD7">
        <w:rPr>
          <w:rFonts w:hint="eastAsia"/>
          <w:color w:val="000000"/>
          <w:szCs w:val="21"/>
        </w:rPr>
        <w:t>不同</w:t>
      </w:r>
      <w:r w:rsidR="009D7FD7">
        <w:rPr>
          <w:rFonts w:hint="eastAsia"/>
          <w:color w:val="000000"/>
          <w:szCs w:val="21"/>
        </w:rPr>
        <w:t>技术</w:t>
      </w:r>
      <w:r w:rsidRPr="009D7FD7">
        <w:rPr>
          <w:rFonts w:hint="eastAsia"/>
          <w:color w:val="000000"/>
          <w:szCs w:val="21"/>
        </w:rPr>
        <w:t>指标产品</w:t>
      </w:r>
      <w:r w:rsidR="009D7FD7">
        <w:rPr>
          <w:rFonts w:hint="eastAsia"/>
          <w:color w:val="000000"/>
          <w:szCs w:val="21"/>
        </w:rPr>
        <w:t>，</w:t>
      </w:r>
      <w:r w:rsidR="004F4FD0">
        <w:rPr>
          <w:rFonts w:hint="eastAsia"/>
          <w:color w:val="000000"/>
          <w:szCs w:val="21"/>
        </w:rPr>
        <w:t>已</w:t>
      </w:r>
      <w:r w:rsidR="009D7FD7">
        <w:rPr>
          <w:rFonts w:hint="eastAsia"/>
          <w:color w:val="000000"/>
          <w:szCs w:val="21"/>
        </w:rPr>
        <w:t>在</w:t>
      </w:r>
      <w:r w:rsidR="004F4FD0">
        <w:rPr>
          <w:rFonts w:hint="eastAsia"/>
          <w:color w:val="000000"/>
          <w:szCs w:val="21"/>
        </w:rPr>
        <w:t>不同</w:t>
      </w:r>
      <w:r w:rsidR="009D7FD7">
        <w:rPr>
          <w:rFonts w:hint="eastAsia"/>
          <w:color w:val="000000"/>
          <w:szCs w:val="21"/>
        </w:rPr>
        <w:t>领域实现规模化应用。</w:t>
      </w:r>
      <w:r w:rsidR="009D7FD7" w:rsidRPr="009D7FD7">
        <w:rPr>
          <w:rFonts w:hint="eastAsia"/>
          <w:color w:val="000000"/>
          <w:szCs w:val="21"/>
        </w:rPr>
        <w:t>产品按化学成分分为</w:t>
      </w:r>
      <w:r w:rsidR="004F4FD0" w:rsidRPr="00CB755E">
        <w:rPr>
          <w:rFonts w:hint="eastAsia"/>
          <w:color w:val="000000"/>
          <w:szCs w:val="20"/>
        </w:rPr>
        <w:t>H-</w:t>
      </w:r>
      <w:r w:rsidR="004F4FD0">
        <w:rPr>
          <w:color w:val="000000"/>
          <w:szCs w:val="20"/>
        </w:rPr>
        <w:t>H</w:t>
      </w:r>
      <w:r w:rsidR="004F4FD0">
        <w:rPr>
          <w:rFonts w:hint="eastAsia"/>
          <w:color w:val="000000"/>
          <w:szCs w:val="20"/>
        </w:rPr>
        <w:t>o</w:t>
      </w:r>
      <w:r w:rsidR="004F4FD0" w:rsidRPr="00CB755E">
        <w:rPr>
          <w:rFonts w:hint="eastAsia"/>
          <w:color w:val="000000"/>
          <w:szCs w:val="20"/>
        </w:rPr>
        <w:t>-</w:t>
      </w:r>
      <w:r w:rsidR="004F4FD0">
        <w:rPr>
          <w:color w:val="000000"/>
          <w:szCs w:val="20"/>
        </w:rPr>
        <w:t>4</w:t>
      </w:r>
      <w:r w:rsidR="004F4FD0" w:rsidRPr="00CB755E">
        <w:rPr>
          <w:rFonts w:hint="eastAsia"/>
          <w:color w:val="000000"/>
          <w:szCs w:val="20"/>
        </w:rPr>
        <w:t>N</w:t>
      </w:r>
      <w:r w:rsidR="004F4FD0" w:rsidRPr="00BB435E">
        <w:rPr>
          <w:color w:val="000000"/>
          <w:szCs w:val="20"/>
          <w:vertAlign w:val="superscript"/>
        </w:rPr>
        <w:t xml:space="preserve"> </w:t>
      </w:r>
      <w:r w:rsidR="004F4FD0" w:rsidRPr="00D2569B">
        <w:rPr>
          <w:color w:val="000000"/>
          <w:szCs w:val="20"/>
          <w:vertAlign w:val="superscript"/>
        </w:rPr>
        <w:t>a</w:t>
      </w:r>
      <w:r w:rsidR="004F4FD0">
        <w:rPr>
          <w:color w:val="000000"/>
          <w:szCs w:val="20"/>
        </w:rPr>
        <w:t xml:space="preserve"> 5</w:t>
      </w:r>
      <w:r w:rsidR="004F4FD0">
        <w:rPr>
          <w:rFonts w:hint="eastAsia"/>
          <w:color w:val="000000"/>
          <w:szCs w:val="20"/>
        </w:rPr>
        <w:t>、</w:t>
      </w:r>
      <w:r w:rsidR="004F4FD0" w:rsidRPr="00CB755E">
        <w:rPr>
          <w:rFonts w:hint="eastAsia"/>
          <w:color w:val="000000"/>
          <w:szCs w:val="20"/>
        </w:rPr>
        <w:t>H-</w:t>
      </w:r>
      <w:r w:rsidR="004F4FD0">
        <w:rPr>
          <w:color w:val="000000"/>
          <w:szCs w:val="20"/>
        </w:rPr>
        <w:t>H</w:t>
      </w:r>
      <w:r w:rsidR="004F4FD0">
        <w:rPr>
          <w:rFonts w:hint="eastAsia"/>
          <w:color w:val="000000"/>
          <w:szCs w:val="20"/>
        </w:rPr>
        <w:t>o</w:t>
      </w:r>
      <w:r w:rsidR="004F4FD0" w:rsidRPr="00CB755E">
        <w:rPr>
          <w:rFonts w:hint="eastAsia"/>
          <w:color w:val="000000"/>
          <w:szCs w:val="20"/>
        </w:rPr>
        <w:t>-</w:t>
      </w:r>
      <w:r w:rsidR="004F4FD0">
        <w:rPr>
          <w:color w:val="000000"/>
          <w:szCs w:val="20"/>
        </w:rPr>
        <w:t>4</w:t>
      </w:r>
      <w:r w:rsidR="004F4FD0" w:rsidRPr="00CB755E">
        <w:rPr>
          <w:rFonts w:hint="eastAsia"/>
          <w:color w:val="000000"/>
          <w:szCs w:val="20"/>
        </w:rPr>
        <w:t>N</w:t>
      </w:r>
      <w:r w:rsidR="004F4FD0" w:rsidRPr="00D2569B">
        <w:rPr>
          <w:color w:val="000000"/>
          <w:szCs w:val="20"/>
          <w:vertAlign w:val="superscript"/>
        </w:rPr>
        <w:t>a</w:t>
      </w:r>
      <w:r w:rsidR="004F4FD0" w:rsidRPr="00CB755E">
        <w:rPr>
          <w:rFonts w:hint="eastAsia"/>
          <w:color w:val="000000"/>
          <w:szCs w:val="20"/>
        </w:rPr>
        <w:t>、</w:t>
      </w:r>
      <w:r w:rsidR="004F4FD0" w:rsidRPr="00AE6CF4">
        <w:rPr>
          <w:rFonts w:hint="eastAsia"/>
          <w:color w:val="000000"/>
          <w:szCs w:val="20"/>
        </w:rPr>
        <w:t>H</w:t>
      </w:r>
      <w:r w:rsidR="004F4FD0" w:rsidRPr="00AE6CF4">
        <w:rPr>
          <w:color w:val="000000"/>
          <w:szCs w:val="20"/>
        </w:rPr>
        <w:t>-</w:t>
      </w:r>
      <w:r w:rsidR="004F4FD0">
        <w:rPr>
          <w:color w:val="000000"/>
          <w:szCs w:val="20"/>
        </w:rPr>
        <w:t>Ho</w:t>
      </w:r>
      <w:r w:rsidR="004F4FD0" w:rsidRPr="00AE6CF4">
        <w:rPr>
          <w:color w:val="000000"/>
          <w:szCs w:val="20"/>
        </w:rPr>
        <w:t>-3</w:t>
      </w:r>
      <w:r w:rsidR="004F4FD0" w:rsidRPr="00AE6CF4">
        <w:rPr>
          <w:rFonts w:hint="eastAsia"/>
          <w:color w:val="000000"/>
          <w:szCs w:val="20"/>
        </w:rPr>
        <w:t>N</w:t>
      </w:r>
      <w:r w:rsidR="004F4FD0" w:rsidRPr="00AE6CF4">
        <w:rPr>
          <w:rFonts w:hint="eastAsia"/>
          <w:color w:val="000000"/>
          <w:szCs w:val="20"/>
          <w:vertAlign w:val="superscript"/>
        </w:rPr>
        <w:t>a</w:t>
      </w:r>
      <w:r w:rsidR="004F4FD0" w:rsidRPr="00AE6CF4">
        <w:rPr>
          <w:color w:val="000000"/>
          <w:szCs w:val="20"/>
        </w:rPr>
        <w:t>7</w:t>
      </w:r>
      <w:r w:rsidR="004F4FD0" w:rsidRPr="00AE6CF4">
        <w:rPr>
          <w:rFonts w:hint="eastAsia"/>
          <w:color w:val="000000"/>
          <w:szCs w:val="20"/>
        </w:rPr>
        <w:t>、</w:t>
      </w:r>
      <w:r w:rsidR="004F4FD0" w:rsidRPr="00CB755E">
        <w:rPr>
          <w:rFonts w:hint="eastAsia"/>
          <w:color w:val="000000"/>
          <w:szCs w:val="20"/>
        </w:rPr>
        <w:t>H-</w:t>
      </w:r>
      <w:r w:rsidR="004F4FD0">
        <w:rPr>
          <w:color w:val="000000"/>
          <w:szCs w:val="20"/>
        </w:rPr>
        <w:t>H</w:t>
      </w:r>
      <w:r w:rsidR="004F4FD0">
        <w:rPr>
          <w:rFonts w:hint="eastAsia"/>
          <w:color w:val="000000"/>
          <w:szCs w:val="20"/>
        </w:rPr>
        <w:t>o</w:t>
      </w:r>
      <w:r w:rsidR="004F4FD0" w:rsidRPr="00CB755E">
        <w:rPr>
          <w:rFonts w:hint="eastAsia"/>
          <w:color w:val="000000"/>
          <w:szCs w:val="20"/>
        </w:rPr>
        <w:t>-</w:t>
      </w:r>
      <w:r w:rsidR="004F4FD0">
        <w:rPr>
          <w:color w:val="000000"/>
          <w:szCs w:val="20"/>
        </w:rPr>
        <w:t>3</w:t>
      </w:r>
      <w:r w:rsidR="004F4FD0" w:rsidRPr="00CB755E">
        <w:rPr>
          <w:rFonts w:hint="eastAsia"/>
          <w:color w:val="000000"/>
          <w:szCs w:val="20"/>
        </w:rPr>
        <w:t>N</w:t>
      </w:r>
      <w:r w:rsidR="004F4FD0" w:rsidRPr="002A15E1">
        <w:rPr>
          <w:color w:val="000000"/>
          <w:szCs w:val="20"/>
          <w:vertAlign w:val="superscript"/>
        </w:rPr>
        <w:t>a</w:t>
      </w:r>
      <w:r w:rsidR="004F4FD0">
        <w:rPr>
          <w:color w:val="000000"/>
          <w:szCs w:val="20"/>
        </w:rPr>
        <w:t>5</w:t>
      </w:r>
      <w:r w:rsidR="004F4FD0" w:rsidRPr="00CB755E">
        <w:rPr>
          <w:rFonts w:hint="eastAsia"/>
          <w:color w:val="000000"/>
          <w:szCs w:val="20"/>
        </w:rPr>
        <w:t>、H-</w:t>
      </w:r>
      <w:r w:rsidR="004F4FD0">
        <w:rPr>
          <w:color w:val="000000"/>
          <w:szCs w:val="20"/>
        </w:rPr>
        <w:t>H</w:t>
      </w:r>
      <w:r w:rsidR="004F4FD0">
        <w:rPr>
          <w:rFonts w:hint="eastAsia"/>
          <w:color w:val="000000"/>
          <w:szCs w:val="20"/>
        </w:rPr>
        <w:t>o</w:t>
      </w:r>
      <w:r w:rsidR="004F4FD0" w:rsidRPr="00CB755E">
        <w:rPr>
          <w:rFonts w:hint="eastAsia"/>
          <w:color w:val="000000"/>
          <w:szCs w:val="20"/>
        </w:rPr>
        <w:t>-</w:t>
      </w:r>
      <w:r w:rsidR="004F4FD0">
        <w:rPr>
          <w:color w:val="000000"/>
          <w:szCs w:val="20"/>
        </w:rPr>
        <w:t>3</w:t>
      </w:r>
      <w:r w:rsidR="004F4FD0" w:rsidRPr="00CB755E">
        <w:rPr>
          <w:rFonts w:hint="eastAsia"/>
          <w:color w:val="000000"/>
          <w:szCs w:val="20"/>
        </w:rPr>
        <w:t>N</w:t>
      </w:r>
      <w:r w:rsidR="004F4FD0" w:rsidRPr="002A15E1">
        <w:rPr>
          <w:color w:val="000000"/>
          <w:szCs w:val="20"/>
          <w:vertAlign w:val="superscript"/>
        </w:rPr>
        <w:t>a</w:t>
      </w:r>
      <w:r w:rsidR="004F4FD0">
        <w:rPr>
          <w:rFonts w:hint="eastAsia"/>
          <w:color w:val="000000"/>
          <w:szCs w:val="20"/>
        </w:rPr>
        <w:t>五</w:t>
      </w:r>
      <w:r w:rsidR="004F4FD0" w:rsidRPr="00CB755E">
        <w:rPr>
          <w:rFonts w:hint="eastAsia"/>
          <w:color w:val="000000"/>
          <w:szCs w:val="20"/>
        </w:rPr>
        <w:t>个牌号</w:t>
      </w:r>
      <w:r w:rsidR="009D7FD7" w:rsidRPr="009D7FD7">
        <w:rPr>
          <w:rFonts w:hint="eastAsia"/>
          <w:color w:val="000000"/>
          <w:szCs w:val="21"/>
        </w:rPr>
        <w:t>。</w:t>
      </w:r>
    </w:p>
    <w:p w14:paraId="6B8C5200" w14:textId="035AF288" w:rsidR="009D7FD7" w:rsidRDefault="003946E1" w:rsidP="003946E1">
      <w:pPr>
        <w:spacing w:line="360" w:lineRule="auto"/>
        <w:ind w:firstLineChars="200" w:firstLine="480"/>
        <w:jc w:val="both"/>
      </w:pPr>
      <w:r w:rsidRPr="003946E1">
        <w:rPr>
          <w:rFonts w:hint="eastAsia"/>
          <w:color w:val="000000"/>
          <w:szCs w:val="21"/>
        </w:rPr>
        <w:t>高纯金属</w:t>
      </w:r>
      <w:proofErr w:type="gramStart"/>
      <w:r w:rsidR="00AE17EA">
        <w:rPr>
          <w:rFonts w:hint="eastAsia"/>
          <w:color w:val="000000"/>
          <w:szCs w:val="21"/>
        </w:rPr>
        <w:t>钬</w:t>
      </w:r>
      <w:proofErr w:type="gramEnd"/>
      <w:r w:rsidRPr="003946E1">
        <w:rPr>
          <w:rFonts w:hint="eastAsia"/>
          <w:color w:val="000000"/>
          <w:szCs w:val="21"/>
        </w:rPr>
        <w:t>牌号共分为三个层次。其中第一层次表示高纯，用高纯的英文首字母“</w:t>
      </w:r>
      <w:r w:rsidRPr="003946E1">
        <w:rPr>
          <w:color w:val="000000"/>
          <w:szCs w:val="21"/>
        </w:rPr>
        <w:t>H”表示；第二层次表示产品金属</w:t>
      </w:r>
      <w:proofErr w:type="gramStart"/>
      <w:r w:rsidR="00AE17EA">
        <w:rPr>
          <w:color w:val="000000"/>
          <w:szCs w:val="21"/>
        </w:rPr>
        <w:t>钬</w:t>
      </w:r>
      <w:proofErr w:type="gramEnd"/>
      <w:r w:rsidRPr="003946E1">
        <w:rPr>
          <w:color w:val="000000"/>
          <w:szCs w:val="21"/>
        </w:rPr>
        <w:t>，用元素符号“</w:t>
      </w:r>
      <w:r w:rsidR="002779A4">
        <w:rPr>
          <w:color w:val="000000"/>
          <w:szCs w:val="21"/>
        </w:rPr>
        <w:t>H</w:t>
      </w:r>
      <w:r w:rsidR="002779A4">
        <w:rPr>
          <w:rFonts w:hint="eastAsia"/>
          <w:color w:val="000000"/>
          <w:szCs w:val="21"/>
        </w:rPr>
        <w:t>o</w:t>
      </w:r>
      <w:r w:rsidRPr="003946E1">
        <w:rPr>
          <w:color w:val="000000"/>
          <w:szCs w:val="21"/>
        </w:rPr>
        <w:t>”表示；第三层次表示纯度，当产品稀土绝对纯度（质量分数）不小于99%时，用质量分数中“9”的个数加“N”来表示，其中“X”表示质量分数中“9”的个数， “Z”表示质量分数最后一位的值（当值为0时省略），</w:t>
      </w:r>
      <w:r w:rsidRPr="004F4FD0">
        <w:rPr>
          <w:color w:val="000000"/>
          <w:szCs w:val="21"/>
          <w:vertAlign w:val="superscript"/>
        </w:rPr>
        <w:t>a</w:t>
      </w:r>
      <w:r w:rsidRPr="003946E1">
        <w:rPr>
          <w:color w:val="000000"/>
          <w:szCs w:val="21"/>
        </w:rPr>
        <w:t>为absolute首字母，N</w:t>
      </w:r>
      <w:r w:rsidRPr="004F4FD0">
        <w:rPr>
          <w:color w:val="000000"/>
          <w:szCs w:val="21"/>
          <w:vertAlign w:val="superscript"/>
        </w:rPr>
        <w:t>a</w:t>
      </w:r>
      <w:r w:rsidRPr="003946E1">
        <w:rPr>
          <w:color w:val="000000"/>
          <w:szCs w:val="21"/>
        </w:rPr>
        <w:t>表示绝对纯度。具体表示方法如下：</w:t>
      </w:r>
    </w:p>
    <w:p w14:paraId="5AEE6151" w14:textId="1C938FC2" w:rsidR="003946E1" w:rsidRDefault="004F4FD0" w:rsidP="0005672A">
      <w:pPr>
        <w:spacing w:line="360" w:lineRule="auto"/>
        <w:ind w:firstLineChars="200" w:firstLine="480"/>
        <w:jc w:val="center"/>
      </w:pPr>
      <w:r>
        <w:rPr>
          <w:noProof/>
        </w:rPr>
        <w:drawing>
          <wp:inline distT="0" distB="0" distL="0" distR="0" wp14:anchorId="22424D15" wp14:editId="02CD6475">
            <wp:extent cx="3239770" cy="1339850"/>
            <wp:effectExtent l="0" t="0" r="0" b="0"/>
            <wp:docPr id="15436635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9770" cy="1339850"/>
                    </a:xfrm>
                    <a:prstGeom prst="rect">
                      <a:avLst/>
                    </a:prstGeom>
                    <a:noFill/>
                  </pic:spPr>
                </pic:pic>
              </a:graphicData>
            </a:graphic>
          </wp:inline>
        </w:drawing>
      </w:r>
    </w:p>
    <w:p w14:paraId="1194037D" w14:textId="629FF9E7" w:rsidR="001B01EB" w:rsidRPr="009D7FD7" w:rsidRDefault="009D7FD7" w:rsidP="009D7FD7">
      <w:pPr>
        <w:spacing w:line="360" w:lineRule="exact"/>
        <w:ind w:firstLineChars="200" w:firstLine="480"/>
        <w:rPr>
          <w:color w:val="000000"/>
          <w:szCs w:val="21"/>
        </w:rPr>
      </w:pPr>
      <w:r w:rsidRPr="005771F1">
        <w:rPr>
          <w:rFonts w:hint="eastAsia"/>
          <w:color w:val="000000"/>
          <w:szCs w:val="21"/>
        </w:rPr>
        <w:t>牌号示例：</w:t>
      </w:r>
      <w:r w:rsidRPr="005771F1">
        <w:rPr>
          <w:color w:val="000000"/>
          <w:szCs w:val="21"/>
        </w:rPr>
        <w:t>H-</w:t>
      </w:r>
      <w:r w:rsidR="004F4FD0">
        <w:rPr>
          <w:color w:val="000000"/>
          <w:szCs w:val="21"/>
        </w:rPr>
        <w:t>H</w:t>
      </w:r>
      <w:r w:rsidR="004F4FD0">
        <w:rPr>
          <w:rFonts w:hint="eastAsia"/>
          <w:color w:val="000000"/>
          <w:szCs w:val="21"/>
        </w:rPr>
        <w:t>o</w:t>
      </w:r>
      <w:r w:rsidRPr="005771F1">
        <w:rPr>
          <w:color w:val="000000"/>
          <w:szCs w:val="21"/>
        </w:rPr>
        <w:t>-3N</w:t>
      </w:r>
      <w:r w:rsidRPr="00D2569B">
        <w:rPr>
          <w:rFonts w:hint="eastAsia"/>
          <w:color w:val="000000"/>
          <w:szCs w:val="21"/>
          <w:vertAlign w:val="superscript"/>
        </w:rPr>
        <w:t>a</w:t>
      </w:r>
      <w:r>
        <w:rPr>
          <w:color w:val="000000"/>
          <w:szCs w:val="21"/>
        </w:rPr>
        <w:t>5</w:t>
      </w:r>
      <w:r w:rsidRPr="005771F1">
        <w:rPr>
          <w:rFonts w:hint="eastAsia"/>
          <w:color w:val="000000"/>
          <w:szCs w:val="21"/>
        </w:rPr>
        <w:t>表示</w:t>
      </w:r>
      <w:r w:rsidR="0034776C">
        <w:rPr>
          <w:rFonts w:hint="eastAsia"/>
          <w:color w:val="000000"/>
          <w:szCs w:val="21"/>
        </w:rPr>
        <w:t>绝对</w:t>
      </w:r>
      <w:r w:rsidRPr="005771F1">
        <w:rPr>
          <w:rFonts w:hint="eastAsia"/>
          <w:color w:val="000000"/>
          <w:szCs w:val="21"/>
        </w:rPr>
        <w:t>纯度为</w:t>
      </w:r>
      <w:r w:rsidRPr="005771F1">
        <w:rPr>
          <w:color w:val="000000"/>
          <w:szCs w:val="21"/>
        </w:rPr>
        <w:t>99.9</w:t>
      </w:r>
      <w:r>
        <w:rPr>
          <w:color w:val="000000"/>
          <w:szCs w:val="21"/>
        </w:rPr>
        <w:t>5</w:t>
      </w:r>
      <w:r w:rsidRPr="005771F1">
        <w:rPr>
          <w:color w:val="000000"/>
          <w:szCs w:val="21"/>
        </w:rPr>
        <w:t>%</w:t>
      </w:r>
      <w:r w:rsidRPr="005771F1">
        <w:rPr>
          <w:rFonts w:hint="eastAsia"/>
          <w:color w:val="000000"/>
          <w:szCs w:val="21"/>
        </w:rPr>
        <w:t>的高纯</w:t>
      </w:r>
      <w:r>
        <w:rPr>
          <w:rFonts w:hint="eastAsia"/>
          <w:color w:val="000000"/>
          <w:szCs w:val="21"/>
        </w:rPr>
        <w:t>金属</w:t>
      </w:r>
      <w:proofErr w:type="gramStart"/>
      <w:r w:rsidR="00AE17EA">
        <w:rPr>
          <w:rFonts w:hint="eastAsia"/>
          <w:color w:val="000000"/>
          <w:szCs w:val="21"/>
        </w:rPr>
        <w:t>钬</w:t>
      </w:r>
      <w:proofErr w:type="gramEnd"/>
      <w:r w:rsidRPr="005771F1">
        <w:rPr>
          <w:rFonts w:hint="eastAsia"/>
          <w:color w:val="000000"/>
          <w:szCs w:val="21"/>
        </w:rPr>
        <w:t>产品。</w:t>
      </w:r>
    </w:p>
    <w:p w14:paraId="288113A5" w14:textId="69F2FAE5" w:rsidR="00411E30" w:rsidRPr="00411E30" w:rsidRDefault="00411E30" w:rsidP="001B01EB">
      <w:pPr>
        <w:spacing w:line="360" w:lineRule="auto"/>
        <w:rPr>
          <w:b/>
          <w:bCs/>
          <w:szCs w:val="20"/>
        </w:rPr>
      </w:pPr>
      <w:r w:rsidRPr="00411E30">
        <w:rPr>
          <w:rFonts w:hint="eastAsia"/>
          <w:b/>
          <w:bCs/>
        </w:rPr>
        <w:t>2</w:t>
      </w:r>
      <w:r w:rsidRPr="00411E30">
        <w:rPr>
          <w:b/>
          <w:bCs/>
        </w:rPr>
        <w:t>.3</w:t>
      </w:r>
      <w:r w:rsidRPr="00411E30">
        <w:rPr>
          <w:rFonts w:hint="eastAsia"/>
          <w:b/>
          <w:bCs/>
        </w:rPr>
        <w:t>技术要求</w:t>
      </w:r>
    </w:p>
    <w:p w14:paraId="581A16BF" w14:textId="1F069CE6" w:rsidR="00772149" w:rsidRDefault="002411F1" w:rsidP="0005672A">
      <w:pPr>
        <w:spacing w:line="360" w:lineRule="auto"/>
        <w:ind w:firstLineChars="200" w:firstLine="480"/>
        <w:jc w:val="both"/>
        <w:rPr>
          <w:szCs w:val="21"/>
        </w:rPr>
      </w:pPr>
      <w:r w:rsidRPr="002411F1">
        <w:rPr>
          <w:rFonts w:hint="eastAsia"/>
          <w:szCs w:val="21"/>
        </w:rPr>
        <w:lastRenderedPageBreak/>
        <w:t>稀土金属在高新技术领域应用广泛，而超高纯的稀土金属最能体现稀土本征性质，是高新技术材料研发和制备高性能磁、光、电功能材料的物质保障。</w:t>
      </w:r>
      <w:r>
        <w:rPr>
          <w:rFonts w:hint="eastAsia"/>
          <w:szCs w:val="21"/>
        </w:rPr>
        <w:t>高端应用对高纯金</w:t>
      </w:r>
      <w:proofErr w:type="gramStart"/>
      <w:r>
        <w:rPr>
          <w:rFonts w:hint="eastAsia"/>
          <w:szCs w:val="21"/>
        </w:rPr>
        <w:t>属具有</w:t>
      </w:r>
      <w:proofErr w:type="gramEnd"/>
      <w:r>
        <w:rPr>
          <w:rFonts w:hint="eastAsia"/>
          <w:szCs w:val="21"/>
        </w:rPr>
        <w:t>严苛的要求，如在</w:t>
      </w:r>
      <w:proofErr w:type="gramStart"/>
      <w:r>
        <w:rPr>
          <w:rFonts w:hint="eastAsia"/>
          <w:szCs w:val="21"/>
        </w:rPr>
        <w:t>微纳电</w:t>
      </w:r>
      <w:proofErr w:type="gramEnd"/>
      <w:r>
        <w:rPr>
          <w:rFonts w:hint="eastAsia"/>
          <w:szCs w:val="21"/>
        </w:rPr>
        <w:t>子制造领域，</w:t>
      </w:r>
      <w:r w:rsidR="00BF59AF">
        <w:rPr>
          <w:rFonts w:hint="eastAsia"/>
          <w:szCs w:val="21"/>
        </w:rPr>
        <w:t>高纯金属</w:t>
      </w:r>
      <w:r w:rsidR="00AE17EA">
        <w:rPr>
          <w:rFonts w:hint="eastAsia"/>
          <w:szCs w:val="21"/>
        </w:rPr>
        <w:t>钬</w:t>
      </w:r>
      <w:r>
        <w:rPr>
          <w:rFonts w:hint="eastAsia"/>
          <w:szCs w:val="21"/>
        </w:rPr>
        <w:t>的绝对纯度必须大于4</w:t>
      </w:r>
      <w:r>
        <w:rPr>
          <w:szCs w:val="21"/>
        </w:rPr>
        <w:t>N</w:t>
      </w:r>
      <w:r>
        <w:rPr>
          <w:rFonts w:hint="eastAsia"/>
          <w:szCs w:val="21"/>
        </w:rPr>
        <w:t>，其中，金属</w:t>
      </w:r>
      <w:r w:rsidR="00AE17EA">
        <w:rPr>
          <w:rFonts w:hint="eastAsia"/>
          <w:szCs w:val="21"/>
        </w:rPr>
        <w:t>钬</w:t>
      </w:r>
      <w:r>
        <w:rPr>
          <w:rFonts w:hint="eastAsia"/>
          <w:szCs w:val="21"/>
        </w:rPr>
        <w:t>中的氧含量会遗传至金属</w:t>
      </w:r>
      <w:r w:rsidR="00AE17EA">
        <w:rPr>
          <w:rFonts w:hint="eastAsia"/>
          <w:szCs w:val="21"/>
        </w:rPr>
        <w:t>钬</w:t>
      </w:r>
      <w:r>
        <w:rPr>
          <w:rFonts w:hint="eastAsia"/>
          <w:szCs w:val="21"/>
        </w:rPr>
        <w:t>靶中，溅射稳定性会受到影响，氧含量＜1</w:t>
      </w:r>
      <w:r>
        <w:rPr>
          <w:szCs w:val="21"/>
        </w:rPr>
        <w:t>00</w:t>
      </w:r>
      <w:r>
        <w:rPr>
          <w:rFonts w:hint="eastAsia"/>
          <w:szCs w:val="21"/>
        </w:rPr>
        <w:t>ppm；</w:t>
      </w:r>
      <w:r w:rsidR="00E248EE" w:rsidRPr="00E248EE">
        <w:rPr>
          <w:rFonts w:hint="eastAsia"/>
          <w:szCs w:val="21"/>
        </w:rPr>
        <w:t>锂、钠、钾</w:t>
      </w:r>
      <w:r w:rsidR="00E248EE">
        <w:rPr>
          <w:rFonts w:hint="eastAsia"/>
          <w:szCs w:val="21"/>
        </w:rPr>
        <w:t>、</w:t>
      </w:r>
      <w:r w:rsidR="00E248EE" w:rsidRPr="00E248EE">
        <w:rPr>
          <w:rFonts w:hint="eastAsia"/>
          <w:szCs w:val="21"/>
        </w:rPr>
        <w:t>钙</w:t>
      </w:r>
      <w:r w:rsidR="00E248EE">
        <w:rPr>
          <w:rFonts w:hint="eastAsia"/>
          <w:szCs w:val="21"/>
        </w:rPr>
        <w:t>等碱金属及碱土金属</w:t>
      </w:r>
      <w:r w:rsidR="00E248EE" w:rsidRPr="00E248EE">
        <w:rPr>
          <w:rFonts w:hint="eastAsia"/>
          <w:szCs w:val="21"/>
        </w:rPr>
        <w:t>为正电性，</w:t>
      </w:r>
      <w:r>
        <w:rPr>
          <w:rFonts w:hint="eastAsia"/>
          <w:szCs w:val="21"/>
        </w:rPr>
        <w:t>造成</w:t>
      </w:r>
      <w:r w:rsidR="00E248EE" w:rsidRPr="00E248EE">
        <w:rPr>
          <w:rFonts w:hint="eastAsia"/>
          <w:szCs w:val="21"/>
        </w:rPr>
        <w:t>使器件的特性不稳定的问题</w:t>
      </w:r>
      <w:r>
        <w:rPr>
          <w:rFonts w:hint="eastAsia"/>
          <w:szCs w:val="21"/>
        </w:rPr>
        <w:t>，各元素含量控制在1ppm以下；</w:t>
      </w:r>
      <w:r w:rsidRPr="002411F1">
        <w:rPr>
          <w:rFonts w:hint="eastAsia"/>
          <w:szCs w:val="21"/>
        </w:rPr>
        <w:t>过渡金属元素镍、铜等引起漏电流的增加，成为耐压下降的原因</w:t>
      </w:r>
      <w:r>
        <w:rPr>
          <w:rFonts w:hint="eastAsia"/>
          <w:szCs w:val="21"/>
        </w:rPr>
        <w:t>，各元素含量控制在1</w:t>
      </w:r>
      <w:r>
        <w:rPr>
          <w:szCs w:val="21"/>
        </w:rPr>
        <w:t>0</w:t>
      </w:r>
      <w:r>
        <w:rPr>
          <w:rFonts w:hint="eastAsia"/>
          <w:szCs w:val="21"/>
        </w:rPr>
        <w:t>ppm以下。除在</w:t>
      </w:r>
      <w:proofErr w:type="gramStart"/>
      <w:r>
        <w:rPr>
          <w:rFonts w:hint="eastAsia"/>
          <w:szCs w:val="21"/>
        </w:rPr>
        <w:t>微纳电子</w:t>
      </w:r>
      <w:proofErr w:type="gramEnd"/>
      <w:r>
        <w:rPr>
          <w:rFonts w:hint="eastAsia"/>
          <w:szCs w:val="21"/>
        </w:rPr>
        <w:t>制造领域</w:t>
      </w:r>
      <w:r w:rsidR="00217220">
        <w:rPr>
          <w:rFonts w:hint="eastAsia"/>
          <w:szCs w:val="21"/>
        </w:rPr>
        <w:t>；</w:t>
      </w:r>
      <w:r>
        <w:rPr>
          <w:rFonts w:hint="eastAsia"/>
          <w:szCs w:val="21"/>
        </w:rPr>
        <w:t>高纯金属</w:t>
      </w:r>
      <w:proofErr w:type="gramStart"/>
      <w:r w:rsidR="00AE17EA">
        <w:rPr>
          <w:rFonts w:hint="eastAsia"/>
          <w:szCs w:val="21"/>
        </w:rPr>
        <w:t>钬</w:t>
      </w:r>
      <w:proofErr w:type="gramEnd"/>
      <w:r>
        <w:rPr>
          <w:rFonts w:hint="eastAsia"/>
          <w:szCs w:val="21"/>
        </w:rPr>
        <w:t>还广泛</w:t>
      </w:r>
      <w:proofErr w:type="gramStart"/>
      <w:r>
        <w:rPr>
          <w:rFonts w:hint="eastAsia"/>
          <w:szCs w:val="21"/>
        </w:rPr>
        <w:t>应用于</w:t>
      </w:r>
      <w:r w:rsidR="007848EF">
        <w:rPr>
          <w:rFonts w:hint="eastAsia"/>
          <w:szCs w:val="21"/>
        </w:rPr>
        <w:t>蓄</w:t>
      </w:r>
      <w:proofErr w:type="gramEnd"/>
      <w:r w:rsidR="007848EF">
        <w:rPr>
          <w:rFonts w:hint="eastAsia"/>
          <w:szCs w:val="21"/>
        </w:rPr>
        <w:t>冷材料、</w:t>
      </w:r>
      <w:r>
        <w:rPr>
          <w:rFonts w:hint="eastAsia"/>
          <w:szCs w:val="21"/>
        </w:rPr>
        <w:t>高温合金</w:t>
      </w:r>
      <w:r w:rsidR="001338FC">
        <w:rPr>
          <w:rFonts w:hint="eastAsia"/>
          <w:szCs w:val="21"/>
        </w:rPr>
        <w:t>等材料</w:t>
      </w:r>
      <w:r>
        <w:rPr>
          <w:rFonts w:hint="eastAsia"/>
          <w:szCs w:val="21"/>
        </w:rPr>
        <w:t>中，要求金属</w:t>
      </w:r>
      <w:r w:rsidR="00AE17EA">
        <w:rPr>
          <w:rFonts w:hint="eastAsia"/>
          <w:szCs w:val="21"/>
        </w:rPr>
        <w:t>钬</w:t>
      </w:r>
      <w:r>
        <w:rPr>
          <w:rFonts w:hint="eastAsia"/>
          <w:szCs w:val="21"/>
        </w:rPr>
        <w:t>的纯度至少大于3</w:t>
      </w:r>
      <w:r>
        <w:rPr>
          <w:szCs w:val="21"/>
        </w:rPr>
        <w:t>N</w:t>
      </w:r>
      <w:r>
        <w:rPr>
          <w:rFonts w:hint="eastAsia"/>
          <w:szCs w:val="21"/>
        </w:rPr>
        <w:t>，且对各杂质元素提出了具体的要求，具体指标如下表所示。</w:t>
      </w:r>
    </w:p>
    <w:p w14:paraId="77B44650" w14:textId="54A76C0D" w:rsidR="008F6A1D" w:rsidRDefault="008F6A1D" w:rsidP="008F6A1D">
      <w:pPr>
        <w:spacing w:line="360" w:lineRule="auto"/>
        <w:ind w:firstLineChars="200" w:firstLine="480"/>
        <w:jc w:val="center"/>
        <w:rPr>
          <w:rFonts w:ascii="黑体" w:eastAsia="黑体" w:hAnsi="黑体" w:cs="黑体"/>
          <w:bCs/>
        </w:rPr>
      </w:pPr>
      <w:r w:rsidRPr="0005672A">
        <w:rPr>
          <w:rFonts w:ascii="黑体" w:eastAsia="黑体" w:hAnsi="黑体" w:cs="黑体" w:hint="eastAsia"/>
          <w:bCs/>
        </w:rPr>
        <w:t>表</w:t>
      </w:r>
      <w:r w:rsidRPr="0005672A">
        <w:rPr>
          <w:rFonts w:ascii="黑体" w:eastAsia="黑体" w:hAnsi="黑体" w:cs="黑体"/>
          <w:bCs/>
        </w:rPr>
        <w:t xml:space="preserve">3 </w:t>
      </w:r>
      <w:r>
        <w:rPr>
          <w:rFonts w:ascii="黑体" w:eastAsia="黑体" w:hAnsi="黑体" w:cs="黑体" w:hint="eastAsia"/>
          <w:bCs/>
        </w:rPr>
        <w:t>产品的化学成分</w:t>
      </w:r>
    </w:p>
    <w:tbl>
      <w:tblPr>
        <w:tblW w:w="9395" w:type="dxa"/>
        <w:tblInd w:w="113" w:type="dxa"/>
        <w:tblLook w:val="04A0" w:firstRow="1" w:lastRow="0" w:firstColumn="1" w:lastColumn="0" w:noHBand="0" w:noVBand="1"/>
      </w:tblPr>
      <w:tblGrid>
        <w:gridCol w:w="1010"/>
        <w:gridCol w:w="1010"/>
        <w:gridCol w:w="1010"/>
        <w:gridCol w:w="1012"/>
        <w:gridCol w:w="1111"/>
        <w:gridCol w:w="1010"/>
        <w:gridCol w:w="1111"/>
        <w:gridCol w:w="1111"/>
        <w:gridCol w:w="1010"/>
      </w:tblGrid>
      <w:tr w:rsidR="001338FC" w:rsidRPr="0070106F" w14:paraId="629DC9AC" w14:textId="77777777" w:rsidTr="00A825B8">
        <w:trPr>
          <w:trHeight w:val="309"/>
          <w:tblHeader/>
        </w:trPr>
        <w:tc>
          <w:tcPr>
            <w:tcW w:w="4042"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3EC5109" w14:textId="77777777" w:rsidR="001338FC" w:rsidRPr="00746681" w:rsidRDefault="001338FC" w:rsidP="00A825B8">
            <w:pPr>
              <w:adjustRightInd w:val="0"/>
              <w:snapToGrid w:val="0"/>
              <w:jc w:val="center"/>
              <w:rPr>
                <w:color w:val="000000"/>
                <w:sz w:val="21"/>
                <w:szCs w:val="21"/>
              </w:rPr>
            </w:pPr>
            <w:r w:rsidRPr="00746681">
              <w:rPr>
                <w:rFonts w:hint="eastAsia"/>
                <w:color w:val="000000"/>
                <w:sz w:val="21"/>
                <w:szCs w:val="21"/>
              </w:rPr>
              <w:t>产品牌号</w:t>
            </w:r>
          </w:p>
        </w:tc>
        <w:tc>
          <w:tcPr>
            <w:tcW w:w="1111" w:type="dxa"/>
            <w:tcBorders>
              <w:top w:val="single" w:sz="12" w:space="0" w:color="auto"/>
              <w:left w:val="nil"/>
              <w:bottom w:val="single" w:sz="4" w:space="0" w:color="auto"/>
              <w:right w:val="single" w:sz="4" w:space="0" w:color="auto"/>
            </w:tcBorders>
            <w:shd w:val="clear" w:color="auto" w:fill="auto"/>
            <w:noWrap/>
            <w:vAlign w:val="center"/>
            <w:hideMark/>
          </w:tcPr>
          <w:p w14:paraId="4BEDAD12" w14:textId="77777777" w:rsidR="001338FC" w:rsidRPr="00746681" w:rsidRDefault="001338FC" w:rsidP="00A825B8">
            <w:pPr>
              <w:adjustRightInd w:val="0"/>
              <w:snapToGrid w:val="0"/>
              <w:jc w:val="center"/>
              <w:rPr>
                <w:color w:val="000000"/>
                <w:sz w:val="21"/>
                <w:szCs w:val="21"/>
              </w:rPr>
            </w:pPr>
            <w:r w:rsidRPr="00746681">
              <w:rPr>
                <w:rFonts w:hint="eastAsia"/>
                <w:color w:val="000000"/>
                <w:sz w:val="21"/>
                <w:szCs w:val="21"/>
              </w:rPr>
              <w:t>H-Ho-4N</w:t>
            </w:r>
            <w:r w:rsidRPr="00746681">
              <w:rPr>
                <w:rFonts w:hint="eastAsia"/>
                <w:color w:val="000000"/>
                <w:sz w:val="21"/>
                <w:szCs w:val="21"/>
                <w:vertAlign w:val="superscript"/>
              </w:rPr>
              <w:t>a</w:t>
            </w:r>
            <w:r w:rsidRPr="00746681">
              <w:rPr>
                <w:rFonts w:hint="eastAsia"/>
                <w:color w:val="000000"/>
                <w:sz w:val="21"/>
                <w:szCs w:val="21"/>
              </w:rPr>
              <w:t>5</w:t>
            </w:r>
          </w:p>
        </w:tc>
        <w:tc>
          <w:tcPr>
            <w:tcW w:w="1010" w:type="dxa"/>
            <w:tcBorders>
              <w:top w:val="single" w:sz="12" w:space="0" w:color="auto"/>
              <w:left w:val="nil"/>
              <w:bottom w:val="single" w:sz="4" w:space="0" w:color="auto"/>
              <w:right w:val="single" w:sz="4" w:space="0" w:color="auto"/>
            </w:tcBorders>
            <w:shd w:val="clear" w:color="auto" w:fill="auto"/>
            <w:noWrap/>
            <w:vAlign w:val="center"/>
            <w:hideMark/>
          </w:tcPr>
          <w:p w14:paraId="78156D78" w14:textId="77777777" w:rsidR="001338FC" w:rsidRPr="00746681" w:rsidRDefault="001338FC" w:rsidP="00A825B8">
            <w:pPr>
              <w:adjustRightInd w:val="0"/>
              <w:snapToGrid w:val="0"/>
              <w:jc w:val="center"/>
              <w:rPr>
                <w:color w:val="000000"/>
                <w:sz w:val="21"/>
                <w:szCs w:val="21"/>
              </w:rPr>
            </w:pPr>
            <w:r w:rsidRPr="00746681">
              <w:rPr>
                <w:rFonts w:hint="eastAsia"/>
                <w:color w:val="000000"/>
                <w:sz w:val="21"/>
                <w:szCs w:val="21"/>
              </w:rPr>
              <w:t>H-Ho-4N</w:t>
            </w:r>
            <w:r w:rsidRPr="00746681">
              <w:rPr>
                <w:rFonts w:hint="eastAsia"/>
                <w:color w:val="000000"/>
                <w:sz w:val="21"/>
                <w:szCs w:val="21"/>
                <w:vertAlign w:val="superscript"/>
              </w:rPr>
              <w:t>a</w:t>
            </w:r>
          </w:p>
        </w:tc>
        <w:tc>
          <w:tcPr>
            <w:tcW w:w="1111" w:type="dxa"/>
            <w:tcBorders>
              <w:top w:val="single" w:sz="12" w:space="0" w:color="auto"/>
              <w:left w:val="nil"/>
              <w:bottom w:val="single" w:sz="4" w:space="0" w:color="auto"/>
              <w:right w:val="single" w:sz="4" w:space="0" w:color="auto"/>
            </w:tcBorders>
            <w:shd w:val="clear" w:color="auto" w:fill="auto"/>
            <w:vAlign w:val="center"/>
            <w:hideMark/>
          </w:tcPr>
          <w:p w14:paraId="69157DF1" w14:textId="77777777" w:rsidR="001338FC" w:rsidRPr="00746681" w:rsidRDefault="001338FC" w:rsidP="00A825B8">
            <w:pPr>
              <w:adjustRightInd w:val="0"/>
              <w:snapToGrid w:val="0"/>
              <w:jc w:val="center"/>
              <w:rPr>
                <w:color w:val="000000"/>
                <w:sz w:val="21"/>
                <w:szCs w:val="21"/>
              </w:rPr>
            </w:pPr>
            <w:r w:rsidRPr="00746681">
              <w:rPr>
                <w:rFonts w:hint="eastAsia"/>
                <w:color w:val="000000"/>
                <w:sz w:val="21"/>
                <w:szCs w:val="21"/>
              </w:rPr>
              <w:t>H-Ho-3N</w:t>
            </w:r>
            <w:r w:rsidRPr="00746681">
              <w:rPr>
                <w:rFonts w:hint="eastAsia"/>
                <w:color w:val="000000"/>
                <w:sz w:val="21"/>
                <w:szCs w:val="21"/>
                <w:vertAlign w:val="superscript"/>
              </w:rPr>
              <w:t>a</w:t>
            </w:r>
            <w:r w:rsidRPr="00746681">
              <w:rPr>
                <w:rFonts w:hint="eastAsia"/>
                <w:color w:val="000000"/>
                <w:sz w:val="21"/>
                <w:szCs w:val="21"/>
              </w:rPr>
              <w:t>7</w:t>
            </w:r>
          </w:p>
        </w:tc>
        <w:tc>
          <w:tcPr>
            <w:tcW w:w="1111" w:type="dxa"/>
            <w:tcBorders>
              <w:top w:val="single" w:sz="12" w:space="0" w:color="auto"/>
              <w:left w:val="nil"/>
              <w:bottom w:val="single" w:sz="4" w:space="0" w:color="auto"/>
              <w:right w:val="single" w:sz="4" w:space="0" w:color="auto"/>
            </w:tcBorders>
            <w:shd w:val="clear" w:color="auto" w:fill="auto"/>
            <w:vAlign w:val="center"/>
            <w:hideMark/>
          </w:tcPr>
          <w:p w14:paraId="788D6F5F" w14:textId="77777777" w:rsidR="001338FC" w:rsidRPr="00746681" w:rsidRDefault="001338FC" w:rsidP="00A825B8">
            <w:pPr>
              <w:adjustRightInd w:val="0"/>
              <w:snapToGrid w:val="0"/>
              <w:jc w:val="center"/>
              <w:rPr>
                <w:color w:val="000000"/>
                <w:sz w:val="21"/>
                <w:szCs w:val="21"/>
              </w:rPr>
            </w:pPr>
            <w:r w:rsidRPr="00746681">
              <w:rPr>
                <w:rFonts w:hint="eastAsia"/>
                <w:color w:val="000000"/>
                <w:sz w:val="21"/>
                <w:szCs w:val="21"/>
              </w:rPr>
              <w:t>H-Ho-3N</w:t>
            </w:r>
            <w:r w:rsidRPr="00746681">
              <w:rPr>
                <w:rFonts w:hint="eastAsia"/>
                <w:color w:val="000000"/>
                <w:sz w:val="21"/>
                <w:szCs w:val="21"/>
                <w:vertAlign w:val="superscript"/>
              </w:rPr>
              <w:t>a</w:t>
            </w:r>
            <w:r w:rsidRPr="00746681">
              <w:rPr>
                <w:rFonts w:hint="eastAsia"/>
                <w:color w:val="000000"/>
                <w:sz w:val="21"/>
                <w:szCs w:val="21"/>
              </w:rPr>
              <w:t>5</w:t>
            </w:r>
          </w:p>
        </w:tc>
        <w:tc>
          <w:tcPr>
            <w:tcW w:w="1010" w:type="dxa"/>
            <w:tcBorders>
              <w:top w:val="single" w:sz="12" w:space="0" w:color="auto"/>
              <w:left w:val="nil"/>
              <w:bottom w:val="single" w:sz="4" w:space="0" w:color="auto"/>
              <w:right w:val="single" w:sz="12" w:space="0" w:color="auto"/>
            </w:tcBorders>
            <w:shd w:val="clear" w:color="auto" w:fill="auto"/>
            <w:vAlign w:val="center"/>
            <w:hideMark/>
          </w:tcPr>
          <w:p w14:paraId="64F69422" w14:textId="77777777" w:rsidR="001338FC" w:rsidRPr="00746681" w:rsidRDefault="001338FC" w:rsidP="00A825B8">
            <w:pPr>
              <w:adjustRightInd w:val="0"/>
              <w:snapToGrid w:val="0"/>
              <w:jc w:val="center"/>
              <w:rPr>
                <w:color w:val="000000"/>
                <w:sz w:val="21"/>
                <w:szCs w:val="21"/>
              </w:rPr>
            </w:pPr>
            <w:r w:rsidRPr="00746681">
              <w:rPr>
                <w:rFonts w:hint="eastAsia"/>
                <w:color w:val="000000"/>
                <w:sz w:val="21"/>
                <w:szCs w:val="21"/>
              </w:rPr>
              <w:t>H-Ho-3N</w:t>
            </w:r>
            <w:r w:rsidRPr="00746681">
              <w:rPr>
                <w:rFonts w:hint="eastAsia"/>
                <w:color w:val="000000"/>
                <w:sz w:val="21"/>
                <w:szCs w:val="21"/>
                <w:vertAlign w:val="superscript"/>
              </w:rPr>
              <w:t>a</w:t>
            </w:r>
          </w:p>
        </w:tc>
      </w:tr>
      <w:tr w:rsidR="001338FC" w:rsidRPr="0070106F" w14:paraId="095614AE" w14:textId="77777777" w:rsidTr="00A825B8">
        <w:trPr>
          <w:trHeight w:val="279"/>
        </w:trPr>
        <w:tc>
          <w:tcPr>
            <w:tcW w:w="1010" w:type="dxa"/>
            <w:vMerge w:val="restart"/>
            <w:tcBorders>
              <w:top w:val="nil"/>
              <w:left w:val="single" w:sz="12" w:space="0" w:color="auto"/>
              <w:bottom w:val="single" w:sz="4" w:space="0" w:color="auto"/>
              <w:right w:val="single" w:sz="4" w:space="0" w:color="auto"/>
            </w:tcBorders>
            <w:shd w:val="clear" w:color="auto" w:fill="auto"/>
            <w:vAlign w:val="center"/>
            <w:hideMark/>
          </w:tcPr>
          <w:p w14:paraId="5A4EA5D9"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化学成分（质量分数）/%</w:t>
            </w:r>
          </w:p>
        </w:tc>
        <w:tc>
          <w:tcPr>
            <w:tcW w:w="3032" w:type="dxa"/>
            <w:gridSpan w:val="3"/>
            <w:tcBorders>
              <w:top w:val="single" w:sz="4" w:space="0" w:color="auto"/>
              <w:left w:val="nil"/>
              <w:bottom w:val="single" w:sz="4" w:space="0" w:color="auto"/>
              <w:right w:val="single" w:sz="4" w:space="0" w:color="auto"/>
            </w:tcBorders>
            <w:shd w:val="clear" w:color="auto" w:fill="auto"/>
            <w:vAlign w:val="center"/>
            <w:hideMark/>
          </w:tcPr>
          <w:p w14:paraId="163D51EC"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Ho,不小于</w:t>
            </w:r>
          </w:p>
        </w:tc>
        <w:tc>
          <w:tcPr>
            <w:tcW w:w="1111" w:type="dxa"/>
            <w:tcBorders>
              <w:top w:val="nil"/>
              <w:left w:val="nil"/>
              <w:bottom w:val="single" w:sz="4" w:space="0" w:color="auto"/>
              <w:right w:val="single" w:sz="4" w:space="0" w:color="auto"/>
            </w:tcBorders>
            <w:shd w:val="clear" w:color="auto" w:fill="auto"/>
            <w:vAlign w:val="center"/>
            <w:hideMark/>
          </w:tcPr>
          <w:p w14:paraId="497C8747"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99.995</w:t>
            </w:r>
          </w:p>
        </w:tc>
        <w:tc>
          <w:tcPr>
            <w:tcW w:w="1010" w:type="dxa"/>
            <w:tcBorders>
              <w:top w:val="nil"/>
              <w:left w:val="nil"/>
              <w:bottom w:val="single" w:sz="4" w:space="0" w:color="auto"/>
              <w:right w:val="single" w:sz="4" w:space="0" w:color="auto"/>
            </w:tcBorders>
            <w:shd w:val="clear" w:color="auto" w:fill="auto"/>
            <w:vAlign w:val="center"/>
            <w:hideMark/>
          </w:tcPr>
          <w:p w14:paraId="495E7FA4" w14:textId="77777777" w:rsidR="001338FC" w:rsidRPr="0070106F" w:rsidRDefault="001338FC" w:rsidP="00A825B8">
            <w:pPr>
              <w:adjustRightInd w:val="0"/>
              <w:snapToGrid w:val="0"/>
              <w:jc w:val="center"/>
              <w:rPr>
                <w:sz w:val="18"/>
                <w:szCs w:val="18"/>
              </w:rPr>
            </w:pPr>
            <w:r w:rsidRPr="0070106F">
              <w:rPr>
                <w:rFonts w:hint="eastAsia"/>
                <w:sz w:val="18"/>
                <w:szCs w:val="18"/>
              </w:rPr>
              <w:t>99.99</w:t>
            </w:r>
          </w:p>
        </w:tc>
        <w:tc>
          <w:tcPr>
            <w:tcW w:w="1111" w:type="dxa"/>
            <w:tcBorders>
              <w:top w:val="nil"/>
              <w:left w:val="nil"/>
              <w:bottom w:val="single" w:sz="4" w:space="0" w:color="auto"/>
              <w:right w:val="single" w:sz="4" w:space="0" w:color="auto"/>
            </w:tcBorders>
            <w:shd w:val="clear" w:color="auto" w:fill="auto"/>
            <w:vAlign w:val="center"/>
            <w:hideMark/>
          </w:tcPr>
          <w:p w14:paraId="4953900B" w14:textId="77777777" w:rsidR="001338FC" w:rsidRPr="0070106F" w:rsidRDefault="001338FC" w:rsidP="00A825B8">
            <w:pPr>
              <w:adjustRightInd w:val="0"/>
              <w:snapToGrid w:val="0"/>
              <w:jc w:val="center"/>
              <w:rPr>
                <w:sz w:val="18"/>
                <w:szCs w:val="18"/>
              </w:rPr>
            </w:pPr>
            <w:r w:rsidRPr="0070106F">
              <w:rPr>
                <w:rFonts w:hint="eastAsia"/>
                <w:sz w:val="18"/>
                <w:szCs w:val="18"/>
              </w:rPr>
              <w:t>99.97</w:t>
            </w:r>
          </w:p>
        </w:tc>
        <w:tc>
          <w:tcPr>
            <w:tcW w:w="1111" w:type="dxa"/>
            <w:tcBorders>
              <w:top w:val="nil"/>
              <w:left w:val="nil"/>
              <w:bottom w:val="single" w:sz="4" w:space="0" w:color="auto"/>
              <w:right w:val="single" w:sz="4" w:space="0" w:color="auto"/>
            </w:tcBorders>
            <w:shd w:val="clear" w:color="auto" w:fill="auto"/>
            <w:vAlign w:val="center"/>
            <w:hideMark/>
          </w:tcPr>
          <w:p w14:paraId="25C9CB31" w14:textId="77777777" w:rsidR="001338FC" w:rsidRPr="0070106F" w:rsidRDefault="001338FC" w:rsidP="00A825B8">
            <w:pPr>
              <w:adjustRightInd w:val="0"/>
              <w:snapToGrid w:val="0"/>
              <w:jc w:val="center"/>
              <w:rPr>
                <w:sz w:val="18"/>
                <w:szCs w:val="18"/>
              </w:rPr>
            </w:pPr>
            <w:r w:rsidRPr="0070106F">
              <w:rPr>
                <w:rFonts w:hint="eastAsia"/>
                <w:sz w:val="18"/>
                <w:szCs w:val="18"/>
              </w:rPr>
              <w:t>99.95</w:t>
            </w:r>
          </w:p>
        </w:tc>
        <w:tc>
          <w:tcPr>
            <w:tcW w:w="1010" w:type="dxa"/>
            <w:tcBorders>
              <w:top w:val="nil"/>
              <w:left w:val="nil"/>
              <w:bottom w:val="single" w:sz="4" w:space="0" w:color="auto"/>
              <w:right w:val="single" w:sz="12" w:space="0" w:color="auto"/>
            </w:tcBorders>
            <w:shd w:val="clear" w:color="auto" w:fill="auto"/>
            <w:vAlign w:val="center"/>
            <w:hideMark/>
          </w:tcPr>
          <w:p w14:paraId="4984DE6F" w14:textId="77777777" w:rsidR="001338FC" w:rsidRPr="0070106F" w:rsidRDefault="001338FC" w:rsidP="00A825B8">
            <w:pPr>
              <w:adjustRightInd w:val="0"/>
              <w:snapToGrid w:val="0"/>
              <w:jc w:val="center"/>
              <w:rPr>
                <w:sz w:val="18"/>
                <w:szCs w:val="18"/>
              </w:rPr>
            </w:pPr>
            <w:r w:rsidRPr="0070106F">
              <w:rPr>
                <w:rFonts w:hint="eastAsia"/>
                <w:sz w:val="18"/>
                <w:szCs w:val="18"/>
              </w:rPr>
              <w:t>99.9</w:t>
            </w:r>
          </w:p>
        </w:tc>
      </w:tr>
      <w:tr w:rsidR="001338FC" w:rsidRPr="0070106F" w14:paraId="1C382D9D"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46640E35" w14:textId="77777777" w:rsidR="001338FC" w:rsidRPr="0070106F" w:rsidRDefault="001338FC" w:rsidP="00A825B8">
            <w:pPr>
              <w:adjustRightInd w:val="0"/>
              <w:snapToGrid w:val="0"/>
              <w:jc w:val="center"/>
              <w:rPr>
                <w:color w:val="000000"/>
                <w:sz w:val="18"/>
                <w:szCs w:val="18"/>
              </w:rPr>
            </w:pPr>
          </w:p>
        </w:tc>
        <w:tc>
          <w:tcPr>
            <w:tcW w:w="1010" w:type="dxa"/>
            <w:vMerge w:val="restart"/>
            <w:tcBorders>
              <w:top w:val="nil"/>
              <w:left w:val="single" w:sz="4" w:space="0" w:color="auto"/>
              <w:bottom w:val="single" w:sz="4" w:space="0" w:color="auto"/>
              <w:right w:val="single" w:sz="4" w:space="0" w:color="auto"/>
            </w:tcBorders>
            <w:shd w:val="clear" w:color="auto" w:fill="auto"/>
            <w:vAlign w:val="center"/>
            <w:hideMark/>
          </w:tcPr>
          <w:p w14:paraId="0781ED89"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杂质含量，不大于</w:t>
            </w:r>
          </w:p>
        </w:tc>
        <w:tc>
          <w:tcPr>
            <w:tcW w:w="2022" w:type="dxa"/>
            <w:gridSpan w:val="2"/>
            <w:tcBorders>
              <w:top w:val="single" w:sz="4" w:space="0" w:color="auto"/>
              <w:left w:val="nil"/>
              <w:bottom w:val="single" w:sz="4" w:space="0" w:color="auto"/>
              <w:right w:val="single" w:sz="4" w:space="0" w:color="auto"/>
            </w:tcBorders>
            <w:shd w:val="clear" w:color="auto" w:fill="auto"/>
            <w:vAlign w:val="center"/>
            <w:hideMark/>
          </w:tcPr>
          <w:p w14:paraId="1E8251ED"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稀土杂质合量</w:t>
            </w:r>
          </w:p>
        </w:tc>
        <w:tc>
          <w:tcPr>
            <w:tcW w:w="1111" w:type="dxa"/>
            <w:tcBorders>
              <w:top w:val="nil"/>
              <w:left w:val="nil"/>
              <w:bottom w:val="single" w:sz="4" w:space="0" w:color="auto"/>
              <w:right w:val="single" w:sz="4" w:space="0" w:color="auto"/>
            </w:tcBorders>
            <w:shd w:val="clear" w:color="000000" w:fill="FFFFFF"/>
            <w:vAlign w:val="center"/>
            <w:hideMark/>
          </w:tcPr>
          <w:p w14:paraId="088DAA92" w14:textId="77777777" w:rsidR="001338FC" w:rsidRPr="0070106F" w:rsidRDefault="001338FC" w:rsidP="00A825B8">
            <w:pPr>
              <w:adjustRightInd w:val="0"/>
              <w:snapToGrid w:val="0"/>
              <w:jc w:val="center"/>
              <w:rPr>
                <w:color w:val="000000"/>
                <w:sz w:val="18"/>
                <w:szCs w:val="18"/>
              </w:rPr>
            </w:pPr>
            <w:r w:rsidRPr="00A825B8">
              <w:rPr>
                <w:rFonts w:hint="eastAsia"/>
                <w:sz w:val="18"/>
                <w:szCs w:val="18"/>
              </w:rPr>
              <w:t>0.001</w:t>
            </w:r>
          </w:p>
        </w:tc>
        <w:tc>
          <w:tcPr>
            <w:tcW w:w="1010" w:type="dxa"/>
            <w:tcBorders>
              <w:top w:val="nil"/>
              <w:left w:val="nil"/>
              <w:bottom w:val="single" w:sz="4" w:space="0" w:color="auto"/>
              <w:right w:val="single" w:sz="4" w:space="0" w:color="auto"/>
            </w:tcBorders>
            <w:shd w:val="clear" w:color="000000" w:fill="FFFFFF"/>
            <w:vAlign w:val="center"/>
            <w:hideMark/>
          </w:tcPr>
          <w:p w14:paraId="3DD562BB"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111" w:type="dxa"/>
            <w:tcBorders>
              <w:top w:val="nil"/>
              <w:left w:val="nil"/>
              <w:bottom w:val="single" w:sz="4" w:space="0" w:color="auto"/>
              <w:right w:val="single" w:sz="4" w:space="0" w:color="auto"/>
            </w:tcBorders>
            <w:shd w:val="clear" w:color="000000" w:fill="FFFFFF"/>
            <w:noWrap/>
            <w:vAlign w:val="center"/>
            <w:hideMark/>
          </w:tcPr>
          <w:p w14:paraId="3E39628C" w14:textId="77777777" w:rsidR="001338FC" w:rsidRPr="0070106F" w:rsidRDefault="001338FC" w:rsidP="00A825B8">
            <w:pPr>
              <w:adjustRightInd w:val="0"/>
              <w:snapToGrid w:val="0"/>
              <w:jc w:val="center"/>
              <w:rPr>
                <w:sz w:val="18"/>
                <w:szCs w:val="18"/>
              </w:rPr>
            </w:pPr>
            <w:r w:rsidRPr="0070106F">
              <w:rPr>
                <w:rFonts w:hint="eastAsia"/>
                <w:sz w:val="18"/>
                <w:szCs w:val="18"/>
              </w:rPr>
              <w:t>0.003</w:t>
            </w:r>
          </w:p>
        </w:tc>
        <w:tc>
          <w:tcPr>
            <w:tcW w:w="1111" w:type="dxa"/>
            <w:tcBorders>
              <w:top w:val="nil"/>
              <w:left w:val="nil"/>
              <w:bottom w:val="single" w:sz="4" w:space="0" w:color="auto"/>
              <w:right w:val="single" w:sz="4" w:space="0" w:color="auto"/>
            </w:tcBorders>
            <w:shd w:val="clear" w:color="000000" w:fill="FFFFFF"/>
            <w:vAlign w:val="center"/>
            <w:hideMark/>
          </w:tcPr>
          <w:p w14:paraId="3A865AB1"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c>
          <w:tcPr>
            <w:tcW w:w="1010" w:type="dxa"/>
            <w:tcBorders>
              <w:top w:val="nil"/>
              <w:left w:val="nil"/>
              <w:bottom w:val="single" w:sz="4" w:space="0" w:color="auto"/>
              <w:right w:val="single" w:sz="12" w:space="0" w:color="auto"/>
            </w:tcBorders>
            <w:shd w:val="clear" w:color="000000" w:fill="FFFFFF"/>
            <w:vAlign w:val="center"/>
            <w:hideMark/>
          </w:tcPr>
          <w:p w14:paraId="4F521D3B"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r>
      <w:tr w:rsidR="001338FC" w:rsidRPr="0070106F" w14:paraId="227A6753" w14:textId="77777777" w:rsidTr="00A825B8">
        <w:trPr>
          <w:trHeight w:val="319"/>
        </w:trPr>
        <w:tc>
          <w:tcPr>
            <w:tcW w:w="1010" w:type="dxa"/>
            <w:vMerge/>
            <w:tcBorders>
              <w:top w:val="nil"/>
              <w:left w:val="single" w:sz="12" w:space="0" w:color="auto"/>
              <w:bottom w:val="single" w:sz="4" w:space="0" w:color="auto"/>
              <w:right w:val="single" w:sz="4" w:space="0" w:color="auto"/>
            </w:tcBorders>
            <w:vAlign w:val="center"/>
            <w:hideMark/>
          </w:tcPr>
          <w:p w14:paraId="323A96F5" w14:textId="77777777" w:rsidR="001338FC" w:rsidRPr="0070106F" w:rsidRDefault="001338FC" w:rsidP="00A825B8">
            <w:pPr>
              <w:adjustRightInd w:val="0"/>
              <w:snapToGrid w:val="0"/>
              <w:jc w:val="center"/>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0CBE1451" w14:textId="77777777" w:rsidR="001338FC" w:rsidRPr="0070106F" w:rsidRDefault="001338FC" w:rsidP="00A825B8">
            <w:pPr>
              <w:adjustRightInd w:val="0"/>
              <w:snapToGrid w:val="0"/>
              <w:jc w:val="center"/>
              <w:rPr>
                <w:color w:val="000000"/>
                <w:sz w:val="18"/>
                <w:szCs w:val="18"/>
              </w:rPr>
            </w:pPr>
          </w:p>
        </w:tc>
        <w:tc>
          <w:tcPr>
            <w:tcW w:w="1010" w:type="dxa"/>
            <w:vMerge w:val="restart"/>
            <w:tcBorders>
              <w:top w:val="nil"/>
              <w:left w:val="single" w:sz="4" w:space="0" w:color="auto"/>
              <w:bottom w:val="single" w:sz="4" w:space="0" w:color="auto"/>
              <w:right w:val="single" w:sz="4" w:space="0" w:color="auto"/>
            </w:tcBorders>
            <w:shd w:val="clear" w:color="auto" w:fill="auto"/>
            <w:vAlign w:val="center"/>
            <w:hideMark/>
          </w:tcPr>
          <w:p w14:paraId="731E1CB2"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非稀土杂质</w:t>
            </w:r>
          </w:p>
        </w:tc>
        <w:tc>
          <w:tcPr>
            <w:tcW w:w="1012" w:type="dxa"/>
            <w:tcBorders>
              <w:top w:val="nil"/>
              <w:left w:val="nil"/>
              <w:bottom w:val="single" w:sz="4" w:space="0" w:color="auto"/>
              <w:right w:val="single" w:sz="4" w:space="0" w:color="auto"/>
            </w:tcBorders>
            <w:shd w:val="clear" w:color="auto" w:fill="auto"/>
            <w:vAlign w:val="center"/>
            <w:hideMark/>
          </w:tcPr>
          <w:p w14:paraId="653FDE7C"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Al</w:t>
            </w:r>
          </w:p>
        </w:tc>
        <w:tc>
          <w:tcPr>
            <w:tcW w:w="1111" w:type="dxa"/>
            <w:tcBorders>
              <w:top w:val="nil"/>
              <w:left w:val="nil"/>
              <w:bottom w:val="single" w:sz="4" w:space="0" w:color="auto"/>
              <w:right w:val="single" w:sz="4" w:space="0" w:color="auto"/>
            </w:tcBorders>
            <w:shd w:val="clear" w:color="000000" w:fill="FFFFFF"/>
            <w:vAlign w:val="center"/>
            <w:hideMark/>
          </w:tcPr>
          <w:p w14:paraId="5E4724C5"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0.001</w:t>
            </w:r>
          </w:p>
        </w:tc>
        <w:tc>
          <w:tcPr>
            <w:tcW w:w="1010" w:type="dxa"/>
            <w:tcBorders>
              <w:top w:val="nil"/>
              <w:left w:val="nil"/>
              <w:bottom w:val="single" w:sz="4" w:space="0" w:color="auto"/>
              <w:right w:val="single" w:sz="4" w:space="0" w:color="auto"/>
            </w:tcBorders>
            <w:shd w:val="clear" w:color="000000" w:fill="FFFFFF"/>
            <w:noWrap/>
            <w:vAlign w:val="center"/>
            <w:hideMark/>
          </w:tcPr>
          <w:p w14:paraId="6A5A7EB8" w14:textId="77777777" w:rsidR="001338FC" w:rsidRPr="0070106F" w:rsidRDefault="001338FC" w:rsidP="00A825B8">
            <w:pPr>
              <w:adjustRightInd w:val="0"/>
              <w:snapToGrid w:val="0"/>
              <w:jc w:val="center"/>
              <w:rPr>
                <w:sz w:val="18"/>
                <w:szCs w:val="18"/>
              </w:rPr>
            </w:pPr>
            <w:r w:rsidRPr="0070106F">
              <w:rPr>
                <w:rFonts w:hint="eastAsia"/>
                <w:sz w:val="18"/>
                <w:szCs w:val="18"/>
              </w:rPr>
              <w:t>0.0015</w:t>
            </w:r>
          </w:p>
        </w:tc>
        <w:tc>
          <w:tcPr>
            <w:tcW w:w="1111" w:type="dxa"/>
            <w:tcBorders>
              <w:top w:val="nil"/>
              <w:left w:val="nil"/>
              <w:bottom w:val="single" w:sz="4" w:space="0" w:color="auto"/>
              <w:right w:val="single" w:sz="4" w:space="0" w:color="auto"/>
            </w:tcBorders>
            <w:shd w:val="clear" w:color="000000" w:fill="FFFFFF"/>
            <w:noWrap/>
            <w:vAlign w:val="center"/>
            <w:hideMark/>
          </w:tcPr>
          <w:p w14:paraId="2CBC3AED"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c>
          <w:tcPr>
            <w:tcW w:w="1111" w:type="dxa"/>
            <w:tcBorders>
              <w:top w:val="nil"/>
              <w:left w:val="nil"/>
              <w:bottom w:val="single" w:sz="4" w:space="0" w:color="auto"/>
              <w:right w:val="single" w:sz="4" w:space="0" w:color="auto"/>
            </w:tcBorders>
            <w:shd w:val="clear" w:color="000000" w:fill="FFFFFF"/>
            <w:vAlign w:val="center"/>
            <w:hideMark/>
          </w:tcPr>
          <w:p w14:paraId="4C2D6705" w14:textId="77777777" w:rsidR="001338FC" w:rsidRPr="0070106F" w:rsidRDefault="001338FC" w:rsidP="00A825B8">
            <w:pPr>
              <w:adjustRightInd w:val="0"/>
              <w:snapToGrid w:val="0"/>
              <w:jc w:val="center"/>
              <w:rPr>
                <w:sz w:val="18"/>
                <w:szCs w:val="18"/>
              </w:rPr>
            </w:pPr>
            <w:r w:rsidRPr="0070106F">
              <w:rPr>
                <w:rFonts w:hint="eastAsia"/>
                <w:sz w:val="18"/>
                <w:szCs w:val="18"/>
              </w:rPr>
              <w:t>0.02</w:t>
            </w:r>
          </w:p>
        </w:tc>
        <w:tc>
          <w:tcPr>
            <w:tcW w:w="1010" w:type="dxa"/>
            <w:tcBorders>
              <w:top w:val="nil"/>
              <w:left w:val="nil"/>
              <w:bottom w:val="single" w:sz="4" w:space="0" w:color="auto"/>
              <w:right w:val="single" w:sz="12" w:space="0" w:color="auto"/>
            </w:tcBorders>
            <w:shd w:val="clear" w:color="000000" w:fill="FFFFFF"/>
            <w:vAlign w:val="center"/>
            <w:hideMark/>
          </w:tcPr>
          <w:p w14:paraId="04D60B41" w14:textId="77777777" w:rsidR="001338FC" w:rsidRPr="0070106F" w:rsidRDefault="001338FC" w:rsidP="00A825B8">
            <w:pPr>
              <w:adjustRightInd w:val="0"/>
              <w:snapToGrid w:val="0"/>
              <w:jc w:val="center"/>
              <w:rPr>
                <w:sz w:val="18"/>
                <w:szCs w:val="18"/>
              </w:rPr>
            </w:pPr>
            <w:r w:rsidRPr="0070106F">
              <w:rPr>
                <w:rFonts w:hint="eastAsia"/>
                <w:sz w:val="18"/>
                <w:szCs w:val="18"/>
              </w:rPr>
              <w:t>0.025</w:t>
            </w:r>
          </w:p>
        </w:tc>
      </w:tr>
      <w:tr w:rsidR="001338FC" w:rsidRPr="0070106F" w14:paraId="48862BB5"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4CDAA328"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7AB224B9"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1F37BC54"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000000" w:fill="FFFFFF"/>
            <w:vAlign w:val="center"/>
            <w:hideMark/>
          </w:tcPr>
          <w:p w14:paraId="3840A461"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B</w:t>
            </w:r>
          </w:p>
        </w:tc>
        <w:tc>
          <w:tcPr>
            <w:tcW w:w="1111" w:type="dxa"/>
            <w:tcBorders>
              <w:top w:val="nil"/>
              <w:left w:val="nil"/>
              <w:bottom w:val="single" w:sz="4" w:space="0" w:color="auto"/>
              <w:right w:val="single" w:sz="4" w:space="0" w:color="auto"/>
            </w:tcBorders>
            <w:shd w:val="clear" w:color="000000" w:fill="FFFFFF"/>
            <w:vAlign w:val="center"/>
            <w:hideMark/>
          </w:tcPr>
          <w:p w14:paraId="22EEEA1E"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0.00005</w:t>
            </w:r>
          </w:p>
        </w:tc>
        <w:tc>
          <w:tcPr>
            <w:tcW w:w="1010" w:type="dxa"/>
            <w:tcBorders>
              <w:top w:val="nil"/>
              <w:left w:val="nil"/>
              <w:bottom w:val="single" w:sz="4" w:space="0" w:color="auto"/>
              <w:right w:val="single" w:sz="4" w:space="0" w:color="auto"/>
            </w:tcBorders>
            <w:shd w:val="clear" w:color="000000" w:fill="FFFFFF"/>
            <w:noWrap/>
            <w:vAlign w:val="center"/>
            <w:hideMark/>
          </w:tcPr>
          <w:p w14:paraId="42984250" w14:textId="77777777" w:rsidR="001338FC" w:rsidRPr="0070106F" w:rsidRDefault="001338FC" w:rsidP="00A825B8">
            <w:pPr>
              <w:adjustRightInd w:val="0"/>
              <w:snapToGrid w:val="0"/>
              <w:jc w:val="center"/>
              <w:rPr>
                <w:sz w:val="18"/>
                <w:szCs w:val="18"/>
              </w:rPr>
            </w:pPr>
            <w:r w:rsidRPr="0070106F">
              <w:rPr>
                <w:rFonts w:hint="eastAsia"/>
                <w:sz w:val="18"/>
                <w:szCs w:val="18"/>
              </w:rPr>
              <w:t>0.000</w:t>
            </w:r>
            <w:r>
              <w:rPr>
                <w:sz w:val="18"/>
                <w:szCs w:val="18"/>
              </w:rPr>
              <w:t>5</w:t>
            </w:r>
          </w:p>
        </w:tc>
        <w:tc>
          <w:tcPr>
            <w:tcW w:w="1111" w:type="dxa"/>
            <w:tcBorders>
              <w:top w:val="nil"/>
              <w:left w:val="nil"/>
              <w:bottom w:val="single" w:sz="4" w:space="0" w:color="auto"/>
              <w:right w:val="single" w:sz="4" w:space="0" w:color="auto"/>
            </w:tcBorders>
            <w:shd w:val="clear" w:color="000000" w:fill="FFFFFF"/>
            <w:noWrap/>
            <w:vAlign w:val="center"/>
            <w:hideMark/>
          </w:tcPr>
          <w:p w14:paraId="6634C07D"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111" w:type="dxa"/>
            <w:tcBorders>
              <w:top w:val="nil"/>
              <w:left w:val="nil"/>
              <w:bottom w:val="single" w:sz="4" w:space="0" w:color="auto"/>
              <w:right w:val="single" w:sz="4" w:space="0" w:color="auto"/>
            </w:tcBorders>
            <w:shd w:val="clear" w:color="000000" w:fill="FFFFFF"/>
            <w:noWrap/>
            <w:vAlign w:val="center"/>
            <w:hideMark/>
          </w:tcPr>
          <w:p w14:paraId="10C97BEA" w14:textId="77777777" w:rsidR="001338FC" w:rsidRPr="0070106F" w:rsidRDefault="001338FC" w:rsidP="00A825B8">
            <w:pPr>
              <w:adjustRightInd w:val="0"/>
              <w:snapToGrid w:val="0"/>
              <w:jc w:val="center"/>
              <w:rPr>
                <w:sz w:val="18"/>
                <w:szCs w:val="18"/>
              </w:rPr>
            </w:pPr>
            <w:r w:rsidRPr="0070106F">
              <w:rPr>
                <w:rFonts w:hint="eastAsia"/>
                <w:sz w:val="18"/>
                <w:szCs w:val="18"/>
              </w:rPr>
              <w:t>0.00</w:t>
            </w:r>
            <w:r>
              <w:rPr>
                <w:sz w:val="18"/>
                <w:szCs w:val="18"/>
              </w:rPr>
              <w:t>2</w:t>
            </w:r>
          </w:p>
        </w:tc>
        <w:tc>
          <w:tcPr>
            <w:tcW w:w="1010" w:type="dxa"/>
            <w:tcBorders>
              <w:top w:val="nil"/>
              <w:left w:val="nil"/>
              <w:bottom w:val="single" w:sz="4" w:space="0" w:color="auto"/>
              <w:right w:val="single" w:sz="12" w:space="0" w:color="auto"/>
            </w:tcBorders>
            <w:shd w:val="clear" w:color="000000" w:fill="FFFFFF"/>
            <w:noWrap/>
            <w:vAlign w:val="center"/>
            <w:hideMark/>
          </w:tcPr>
          <w:p w14:paraId="1CA38731" w14:textId="77777777" w:rsidR="001338FC" w:rsidRPr="0070106F" w:rsidRDefault="001338FC" w:rsidP="00A825B8">
            <w:pPr>
              <w:adjustRightInd w:val="0"/>
              <w:snapToGrid w:val="0"/>
              <w:jc w:val="center"/>
              <w:rPr>
                <w:sz w:val="18"/>
                <w:szCs w:val="18"/>
              </w:rPr>
            </w:pPr>
            <w:r w:rsidRPr="0070106F">
              <w:rPr>
                <w:rFonts w:hint="eastAsia"/>
                <w:sz w:val="18"/>
                <w:szCs w:val="18"/>
              </w:rPr>
              <w:t>0.00</w:t>
            </w:r>
            <w:r>
              <w:rPr>
                <w:sz w:val="18"/>
                <w:szCs w:val="18"/>
              </w:rPr>
              <w:t>5</w:t>
            </w:r>
          </w:p>
        </w:tc>
      </w:tr>
      <w:tr w:rsidR="001338FC" w:rsidRPr="0070106F" w14:paraId="1F76C306" w14:textId="77777777" w:rsidTr="00A825B8">
        <w:trPr>
          <w:trHeight w:val="319"/>
        </w:trPr>
        <w:tc>
          <w:tcPr>
            <w:tcW w:w="1010" w:type="dxa"/>
            <w:vMerge/>
            <w:tcBorders>
              <w:top w:val="nil"/>
              <w:left w:val="single" w:sz="12" w:space="0" w:color="auto"/>
              <w:bottom w:val="single" w:sz="4" w:space="0" w:color="auto"/>
              <w:right w:val="single" w:sz="4" w:space="0" w:color="auto"/>
            </w:tcBorders>
            <w:vAlign w:val="center"/>
            <w:hideMark/>
          </w:tcPr>
          <w:p w14:paraId="5E478E7A"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7A31C259"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61F9BCFA"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44D3AB58"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Ca</w:t>
            </w:r>
          </w:p>
        </w:tc>
        <w:tc>
          <w:tcPr>
            <w:tcW w:w="1111" w:type="dxa"/>
            <w:tcBorders>
              <w:top w:val="nil"/>
              <w:left w:val="nil"/>
              <w:bottom w:val="single" w:sz="4" w:space="0" w:color="auto"/>
              <w:right w:val="single" w:sz="4" w:space="0" w:color="auto"/>
            </w:tcBorders>
            <w:shd w:val="clear" w:color="000000" w:fill="FFFFFF"/>
            <w:vAlign w:val="center"/>
            <w:hideMark/>
          </w:tcPr>
          <w:p w14:paraId="076137B9"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w:t>
            </w:r>
            <w:r>
              <w:rPr>
                <w:color w:val="000000"/>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14:paraId="37A36523" w14:textId="77777777" w:rsidR="001338FC" w:rsidRPr="0070106F" w:rsidRDefault="001338FC" w:rsidP="00A825B8">
            <w:pPr>
              <w:adjustRightInd w:val="0"/>
              <w:snapToGrid w:val="0"/>
              <w:jc w:val="center"/>
              <w:rPr>
                <w:sz w:val="18"/>
                <w:szCs w:val="18"/>
              </w:rPr>
            </w:pPr>
            <w:r w:rsidRPr="0070106F">
              <w:rPr>
                <w:rFonts w:hint="eastAsia"/>
                <w:sz w:val="18"/>
                <w:szCs w:val="18"/>
              </w:rPr>
              <w:t>0.00</w:t>
            </w:r>
            <w:r>
              <w:rPr>
                <w:sz w:val="18"/>
                <w:szCs w:val="18"/>
              </w:rPr>
              <w:t>1</w:t>
            </w:r>
          </w:p>
        </w:tc>
        <w:tc>
          <w:tcPr>
            <w:tcW w:w="1111" w:type="dxa"/>
            <w:tcBorders>
              <w:top w:val="nil"/>
              <w:left w:val="nil"/>
              <w:bottom w:val="single" w:sz="4" w:space="0" w:color="auto"/>
              <w:right w:val="single" w:sz="4" w:space="0" w:color="auto"/>
            </w:tcBorders>
            <w:shd w:val="clear" w:color="000000" w:fill="FFFFFF"/>
            <w:noWrap/>
            <w:vAlign w:val="center"/>
            <w:hideMark/>
          </w:tcPr>
          <w:p w14:paraId="126BBAA5" w14:textId="77777777" w:rsidR="001338FC" w:rsidRPr="0070106F" w:rsidRDefault="001338FC" w:rsidP="00A825B8">
            <w:pPr>
              <w:adjustRightInd w:val="0"/>
              <w:snapToGrid w:val="0"/>
              <w:jc w:val="center"/>
              <w:rPr>
                <w:sz w:val="18"/>
                <w:szCs w:val="18"/>
              </w:rPr>
            </w:pPr>
            <w:r w:rsidRPr="0070106F">
              <w:rPr>
                <w:rFonts w:hint="eastAsia"/>
                <w:sz w:val="18"/>
                <w:szCs w:val="18"/>
              </w:rPr>
              <w:t>0.001</w:t>
            </w:r>
            <w:r>
              <w:rPr>
                <w:sz w:val="18"/>
                <w:szCs w:val="18"/>
              </w:rPr>
              <w:t>5</w:t>
            </w:r>
          </w:p>
        </w:tc>
        <w:tc>
          <w:tcPr>
            <w:tcW w:w="1111" w:type="dxa"/>
            <w:tcBorders>
              <w:top w:val="nil"/>
              <w:left w:val="nil"/>
              <w:bottom w:val="single" w:sz="4" w:space="0" w:color="auto"/>
              <w:right w:val="single" w:sz="4" w:space="0" w:color="auto"/>
            </w:tcBorders>
            <w:shd w:val="clear" w:color="000000" w:fill="FFFFFF"/>
            <w:vAlign w:val="center"/>
            <w:hideMark/>
          </w:tcPr>
          <w:p w14:paraId="49E417FE" w14:textId="77777777" w:rsidR="001338FC" w:rsidRPr="0070106F" w:rsidRDefault="001338FC" w:rsidP="00A825B8">
            <w:pPr>
              <w:adjustRightInd w:val="0"/>
              <w:snapToGrid w:val="0"/>
              <w:jc w:val="center"/>
              <w:rPr>
                <w:sz w:val="18"/>
                <w:szCs w:val="18"/>
              </w:rPr>
            </w:pPr>
            <w:r w:rsidRPr="0070106F">
              <w:rPr>
                <w:rFonts w:hint="eastAsia"/>
                <w:sz w:val="18"/>
                <w:szCs w:val="18"/>
              </w:rPr>
              <w:t>0.00</w:t>
            </w:r>
            <w:r>
              <w:rPr>
                <w:sz w:val="18"/>
                <w:szCs w:val="18"/>
              </w:rPr>
              <w:t>35</w:t>
            </w:r>
          </w:p>
        </w:tc>
        <w:tc>
          <w:tcPr>
            <w:tcW w:w="1010" w:type="dxa"/>
            <w:tcBorders>
              <w:top w:val="nil"/>
              <w:left w:val="nil"/>
              <w:bottom w:val="single" w:sz="4" w:space="0" w:color="auto"/>
              <w:right w:val="single" w:sz="12" w:space="0" w:color="auto"/>
            </w:tcBorders>
            <w:shd w:val="clear" w:color="000000" w:fill="FFFFFF"/>
            <w:vAlign w:val="center"/>
            <w:hideMark/>
          </w:tcPr>
          <w:p w14:paraId="4E795320"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r>
      <w:tr w:rsidR="001338FC" w:rsidRPr="0070106F" w14:paraId="34D72DD1"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2A249333"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582FD315"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3DC1B860"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4BCB1C5B"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Co</w:t>
            </w:r>
          </w:p>
        </w:tc>
        <w:tc>
          <w:tcPr>
            <w:tcW w:w="1111" w:type="dxa"/>
            <w:tcBorders>
              <w:top w:val="nil"/>
              <w:left w:val="nil"/>
              <w:bottom w:val="single" w:sz="4" w:space="0" w:color="auto"/>
              <w:right w:val="single" w:sz="4" w:space="0" w:color="auto"/>
            </w:tcBorders>
            <w:shd w:val="clear" w:color="000000" w:fill="FFFFFF"/>
            <w:vAlign w:val="center"/>
            <w:hideMark/>
          </w:tcPr>
          <w:p w14:paraId="4A0BB4F6"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0.0001</w:t>
            </w:r>
          </w:p>
        </w:tc>
        <w:tc>
          <w:tcPr>
            <w:tcW w:w="1010" w:type="dxa"/>
            <w:tcBorders>
              <w:top w:val="nil"/>
              <w:left w:val="nil"/>
              <w:bottom w:val="single" w:sz="4" w:space="0" w:color="auto"/>
              <w:right w:val="single" w:sz="4" w:space="0" w:color="auto"/>
            </w:tcBorders>
            <w:shd w:val="clear" w:color="000000" w:fill="FFFFFF"/>
            <w:vAlign w:val="center"/>
            <w:hideMark/>
          </w:tcPr>
          <w:p w14:paraId="3E2A1C68"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vAlign w:val="center"/>
            <w:hideMark/>
          </w:tcPr>
          <w:p w14:paraId="70908FDB"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111" w:type="dxa"/>
            <w:tcBorders>
              <w:top w:val="nil"/>
              <w:left w:val="nil"/>
              <w:bottom w:val="single" w:sz="4" w:space="0" w:color="auto"/>
              <w:right w:val="single" w:sz="4" w:space="0" w:color="auto"/>
            </w:tcBorders>
            <w:shd w:val="clear" w:color="000000" w:fill="FFFFFF"/>
            <w:vAlign w:val="center"/>
            <w:hideMark/>
          </w:tcPr>
          <w:p w14:paraId="74EBA8BC"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010" w:type="dxa"/>
            <w:tcBorders>
              <w:top w:val="nil"/>
              <w:left w:val="nil"/>
              <w:bottom w:val="single" w:sz="4" w:space="0" w:color="auto"/>
              <w:right w:val="single" w:sz="12" w:space="0" w:color="auto"/>
            </w:tcBorders>
            <w:shd w:val="clear" w:color="000000" w:fill="FFFFFF"/>
            <w:vAlign w:val="center"/>
            <w:hideMark/>
          </w:tcPr>
          <w:p w14:paraId="0FB52EF5"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r>
      <w:tr w:rsidR="001338FC" w:rsidRPr="0070106F" w14:paraId="2A99C1B1"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3E058956"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75727CFC"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4431BA18"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42BD0FF2"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Cr</w:t>
            </w:r>
          </w:p>
        </w:tc>
        <w:tc>
          <w:tcPr>
            <w:tcW w:w="1111" w:type="dxa"/>
            <w:tcBorders>
              <w:top w:val="nil"/>
              <w:left w:val="nil"/>
              <w:bottom w:val="single" w:sz="4" w:space="0" w:color="auto"/>
              <w:right w:val="single" w:sz="4" w:space="0" w:color="auto"/>
            </w:tcBorders>
            <w:shd w:val="clear" w:color="000000" w:fill="FFFFFF"/>
            <w:vAlign w:val="center"/>
            <w:hideMark/>
          </w:tcPr>
          <w:p w14:paraId="6A199FF6"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0.0001</w:t>
            </w:r>
          </w:p>
        </w:tc>
        <w:tc>
          <w:tcPr>
            <w:tcW w:w="1010" w:type="dxa"/>
            <w:tcBorders>
              <w:top w:val="nil"/>
              <w:left w:val="nil"/>
              <w:bottom w:val="single" w:sz="4" w:space="0" w:color="auto"/>
              <w:right w:val="single" w:sz="4" w:space="0" w:color="auto"/>
            </w:tcBorders>
            <w:shd w:val="clear" w:color="000000" w:fill="FFFFFF"/>
            <w:vAlign w:val="center"/>
            <w:hideMark/>
          </w:tcPr>
          <w:p w14:paraId="741A9387"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vAlign w:val="center"/>
            <w:hideMark/>
          </w:tcPr>
          <w:p w14:paraId="3A9AA937"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111" w:type="dxa"/>
            <w:tcBorders>
              <w:top w:val="nil"/>
              <w:left w:val="nil"/>
              <w:bottom w:val="single" w:sz="4" w:space="0" w:color="auto"/>
              <w:right w:val="single" w:sz="4" w:space="0" w:color="auto"/>
            </w:tcBorders>
            <w:shd w:val="clear" w:color="000000" w:fill="FFFFFF"/>
            <w:vAlign w:val="center"/>
            <w:hideMark/>
          </w:tcPr>
          <w:p w14:paraId="5A5A7088"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010" w:type="dxa"/>
            <w:tcBorders>
              <w:top w:val="nil"/>
              <w:left w:val="nil"/>
              <w:bottom w:val="single" w:sz="4" w:space="0" w:color="auto"/>
              <w:right w:val="single" w:sz="12" w:space="0" w:color="auto"/>
            </w:tcBorders>
            <w:shd w:val="clear" w:color="000000" w:fill="FFFFFF"/>
            <w:vAlign w:val="center"/>
            <w:hideMark/>
          </w:tcPr>
          <w:p w14:paraId="5A9BEB2B"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r>
      <w:tr w:rsidR="001338FC" w:rsidRPr="0070106F" w14:paraId="3AB5FF24"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67A85A72"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40A2BBA1"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3E04DEC3"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5BE2BF6C"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Cu</w:t>
            </w:r>
          </w:p>
        </w:tc>
        <w:tc>
          <w:tcPr>
            <w:tcW w:w="1111" w:type="dxa"/>
            <w:tcBorders>
              <w:top w:val="nil"/>
              <w:left w:val="nil"/>
              <w:bottom w:val="single" w:sz="4" w:space="0" w:color="auto"/>
              <w:right w:val="single" w:sz="4" w:space="0" w:color="auto"/>
            </w:tcBorders>
            <w:shd w:val="clear" w:color="000000" w:fill="FFFFFF"/>
            <w:vAlign w:val="center"/>
            <w:hideMark/>
          </w:tcPr>
          <w:p w14:paraId="24D6713F"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0.0002</w:t>
            </w:r>
          </w:p>
        </w:tc>
        <w:tc>
          <w:tcPr>
            <w:tcW w:w="1010" w:type="dxa"/>
            <w:tcBorders>
              <w:top w:val="nil"/>
              <w:left w:val="nil"/>
              <w:bottom w:val="single" w:sz="4" w:space="0" w:color="auto"/>
              <w:right w:val="single" w:sz="4" w:space="0" w:color="auto"/>
            </w:tcBorders>
            <w:shd w:val="clear" w:color="000000" w:fill="FFFFFF"/>
            <w:noWrap/>
            <w:vAlign w:val="center"/>
            <w:hideMark/>
          </w:tcPr>
          <w:p w14:paraId="51C33DA6"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111" w:type="dxa"/>
            <w:tcBorders>
              <w:top w:val="nil"/>
              <w:left w:val="nil"/>
              <w:bottom w:val="single" w:sz="4" w:space="0" w:color="auto"/>
              <w:right w:val="single" w:sz="4" w:space="0" w:color="auto"/>
            </w:tcBorders>
            <w:shd w:val="clear" w:color="000000" w:fill="FFFFFF"/>
            <w:noWrap/>
            <w:vAlign w:val="center"/>
            <w:hideMark/>
          </w:tcPr>
          <w:p w14:paraId="4A20F93F"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111" w:type="dxa"/>
            <w:tcBorders>
              <w:top w:val="nil"/>
              <w:left w:val="nil"/>
              <w:bottom w:val="single" w:sz="4" w:space="0" w:color="auto"/>
              <w:right w:val="single" w:sz="4" w:space="0" w:color="auto"/>
            </w:tcBorders>
            <w:shd w:val="clear" w:color="000000" w:fill="FFFFFF"/>
            <w:vAlign w:val="center"/>
            <w:hideMark/>
          </w:tcPr>
          <w:p w14:paraId="6E06CDF6"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c>
          <w:tcPr>
            <w:tcW w:w="1010" w:type="dxa"/>
            <w:tcBorders>
              <w:top w:val="nil"/>
              <w:left w:val="nil"/>
              <w:bottom w:val="single" w:sz="4" w:space="0" w:color="auto"/>
              <w:right w:val="single" w:sz="12" w:space="0" w:color="auto"/>
            </w:tcBorders>
            <w:shd w:val="clear" w:color="000000" w:fill="FFFFFF"/>
            <w:vAlign w:val="center"/>
            <w:hideMark/>
          </w:tcPr>
          <w:p w14:paraId="16183BAC"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r>
      <w:tr w:rsidR="001338FC" w:rsidRPr="0070106F" w14:paraId="67DFF079"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7309D0C1"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5A9A83A8"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74B9B47F"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134E5EA1"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Fe</w:t>
            </w:r>
          </w:p>
        </w:tc>
        <w:tc>
          <w:tcPr>
            <w:tcW w:w="1111" w:type="dxa"/>
            <w:tcBorders>
              <w:top w:val="nil"/>
              <w:left w:val="nil"/>
              <w:bottom w:val="single" w:sz="4" w:space="0" w:color="auto"/>
              <w:right w:val="single" w:sz="4" w:space="0" w:color="auto"/>
            </w:tcBorders>
            <w:shd w:val="clear" w:color="000000" w:fill="FFFFFF"/>
            <w:vAlign w:val="center"/>
            <w:hideMark/>
          </w:tcPr>
          <w:p w14:paraId="40910EF2"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0.001</w:t>
            </w:r>
          </w:p>
        </w:tc>
        <w:tc>
          <w:tcPr>
            <w:tcW w:w="1010" w:type="dxa"/>
            <w:tcBorders>
              <w:top w:val="nil"/>
              <w:left w:val="nil"/>
              <w:bottom w:val="single" w:sz="4" w:space="0" w:color="auto"/>
              <w:right w:val="single" w:sz="4" w:space="0" w:color="auto"/>
            </w:tcBorders>
            <w:shd w:val="clear" w:color="000000" w:fill="FFFFFF"/>
            <w:vAlign w:val="center"/>
            <w:hideMark/>
          </w:tcPr>
          <w:p w14:paraId="17F72632"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111" w:type="dxa"/>
            <w:tcBorders>
              <w:top w:val="nil"/>
              <w:left w:val="nil"/>
              <w:bottom w:val="single" w:sz="4" w:space="0" w:color="auto"/>
              <w:right w:val="single" w:sz="4" w:space="0" w:color="auto"/>
            </w:tcBorders>
            <w:shd w:val="clear" w:color="000000" w:fill="FFFFFF"/>
            <w:noWrap/>
            <w:vAlign w:val="center"/>
            <w:hideMark/>
          </w:tcPr>
          <w:p w14:paraId="7F80FC31"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c>
          <w:tcPr>
            <w:tcW w:w="1111" w:type="dxa"/>
            <w:tcBorders>
              <w:top w:val="nil"/>
              <w:left w:val="nil"/>
              <w:bottom w:val="single" w:sz="4" w:space="0" w:color="auto"/>
              <w:right w:val="single" w:sz="4" w:space="0" w:color="auto"/>
            </w:tcBorders>
            <w:shd w:val="clear" w:color="000000" w:fill="FFFFFF"/>
            <w:vAlign w:val="center"/>
            <w:hideMark/>
          </w:tcPr>
          <w:p w14:paraId="1257CE34" w14:textId="77777777" w:rsidR="001338FC" w:rsidRPr="0070106F" w:rsidRDefault="001338FC" w:rsidP="00A825B8">
            <w:pPr>
              <w:adjustRightInd w:val="0"/>
              <w:snapToGrid w:val="0"/>
              <w:jc w:val="center"/>
              <w:rPr>
                <w:sz w:val="18"/>
                <w:szCs w:val="18"/>
              </w:rPr>
            </w:pPr>
            <w:r w:rsidRPr="0070106F">
              <w:rPr>
                <w:rFonts w:hint="eastAsia"/>
                <w:sz w:val="18"/>
                <w:szCs w:val="18"/>
              </w:rPr>
              <w:t>0.015</w:t>
            </w:r>
          </w:p>
        </w:tc>
        <w:tc>
          <w:tcPr>
            <w:tcW w:w="1010" w:type="dxa"/>
            <w:tcBorders>
              <w:top w:val="nil"/>
              <w:left w:val="nil"/>
              <w:bottom w:val="single" w:sz="4" w:space="0" w:color="auto"/>
              <w:right w:val="single" w:sz="12" w:space="0" w:color="auto"/>
            </w:tcBorders>
            <w:shd w:val="clear" w:color="000000" w:fill="FFFFFF"/>
            <w:vAlign w:val="center"/>
            <w:hideMark/>
          </w:tcPr>
          <w:p w14:paraId="4D8E51AB" w14:textId="77777777" w:rsidR="001338FC" w:rsidRPr="0070106F" w:rsidRDefault="001338FC" w:rsidP="00A825B8">
            <w:pPr>
              <w:adjustRightInd w:val="0"/>
              <w:snapToGrid w:val="0"/>
              <w:jc w:val="center"/>
              <w:rPr>
                <w:sz w:val="18"/>
                <w:szCs w:val="18"/>
              </w:rPr>
            </w:pPr>
            <w:r w:rsidRPr="0070106F">
              <w:rPr>
                <w:rFonts w:hint="eastAsia"/>
                <w:sz w:val="18"/>
                <w:szCs w:val="18"/>
              </w:rPr>
              <w:t>0.02</w:t>
            </w:r>
          </w:p>
        </w:tc>
      </w:tr>
      <w:tr w:rsidR="001338FC" w:rsidRPr="0070106F" w14:paraId="6E3DAF83"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15194C9E"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069D0A24"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519AB828"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3797AF66"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K</w:t>
            </w:r>
          </w:p>
        </w:tc>
        <w:tc>
          <w:tcPr>
            <w:tcW w:w="1111" w:type="dxa"/>
            <w:tcBorders>
              <w:top w:val="nil"/>
              <w:left w:val="nil"/>
              <w:bottom w:val="single" w:sz="4" w:space="0" w:color="auto"/>
              <w:right w:val="single" w:sz="4" w:space="0" w:color="auto"/>
            </w:tcBorders>
            <w:shd w:val="clear" w:color="000000" w:fill="FFFFFF"/>
            <w:vAlign w:val="center"/>
            <w:hideMark/>
          </w:tcPr>
          <w:p w14:paraId="51309FDD"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0.00005</w:t>
            </w:r>
          </w:p>
        </w:tc>
        <w:tc>
          <w:tcPr>
            <w:tcW w:w="1010" w:type="dxa"/>
            <w:tcBorders>
              <w:top w:val="nil"/>
              <w:left w:val="nil"/>
              <w:bottom w:val="single" w:sz="4" w:space="0" w:color="auto"/>
              <w:right w:val="single" w:sz="4" w:space="0" w:color="auto"/>
            </w:tcBorders>
            <w:shd w:val="clear" w:color="000000" w:fill="FFFFFF"/>
            <w:noWrap/>
            <w:vAlign w:val="center"/>
            <w:hideMark/>
          </w:tcPr>
          <w:p w14:paraId="5171C9E2" w14:textId="77777777" w:rsidR="001338FC" w:rsidRPr="0070106F" w:rsidRDefault="001338FC" w:rsidP="00A825B8">
            <w:pPr>
              <w:adjustRightInd w:val="0"/>
              <w:snapToGrid w:val="0"/>
              <w:jc w:val="center"/>
              <w:rPr>
                <w:sz w:val="18"/>
                <w:szCs w:val="18"/>
              </w:rPr>
            </w:pPr>
            <w:r w:rsidRPr="0070106F">
              <w:rPr>
                <w:rFonts w:hint="eastAsia"/>
                <w:sz w:val="18"/>
                <w:szCs w:val="18"/>
              </w:rPr>
              <w:t>0.0001</w:t>
            </w:r>
          </w:p>
        </w:tc>
        <w:tc>
          <w:tcPr>
            <w:tcW w:w="1111" w:type="dxa"/>
            <w:tcBorders>
              <w:top w:val="nil"/>
              <w:left w:val="nil"/>
              <w:bottom w:val="single" w:sz="4" w:space="0" w:color="auto"/>
              <w:right w:val="single" w:sz="4" w:space="0" w:color="auto"/>
            </w:tcBorders>
            <w:shd w:val="clear" w:color="000000" w:fill="FFFFFF"/>
            <w:noWrap/>
            <w:vAlign w:val="center"/>
            <w:hideMark/>
          </w:tcPr>
          <w:p w14:paraId="155AD2D3"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vAlign w:val="center"/>
            <w:hideMark/>
          </w:tcPr>
          <w:p w14:paraId="58569575"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010" w:type="dxa"/>
            <w:tcBorders>
              <w:top w:val="nil"/>
              <w:left w:val="nil"/>
              <w:bottom w:val="single" w:sz="4" w:space="0" w:color="auto"/>
              <w:right w:val="single" w:sz="12" w:space="0" w:color="auto"/>
            </w:tcBorders>
            <w:shd w:val="clear" w:color="000000" w:fill="FFFFFF"/>
            <w:vAlign w:val="center"/>
            <w:hideMark/>
          </w:tcPr>
          <w:p w14:paraId="0CB09B2C"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r>
      <w:tr w:rsidR="001338FC" w:rsidRPr="0070106F" w14:paraId="3378C012"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4F832E33"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76902CDF"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141658C2"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3857B3C3"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Li</w:t>
            </w:r>
          </w:p>
        </w:tc>
        <w:tc>
          <w:tcPr>
            <w:tcW w:w="1111" w:type="dxa"/>
            <w:tcBorders>
              <w:top w:val="nil"/>
              <w:left w:val="nil"/>
              <w:bottom w:val="single" w:sz="4" w:space="0" w:color="auto"/>
              <w:right w:val="single" w:sz="4" w:space="0" w:color="auto"/>
            </w:tcBorders>
            <w:shd w:val="clear" w:color="000000" w:fill="FFFFFF"/>
            <w:vAlign w:val="center"/>
            <w:hideMark/>
          </w:tcPr>
          <w:p w14:paraId="17981CE7"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0.00005</w:t>
            </w:r>
          </w:p>
        </w:tc>
        <w:tc>
          <w:tcPr>
            <w:tcW w:w="1010" w:type="dxa"/>
            <w:tcBorders>
              <w:top w:val="nil"/>
              <w:left w:val="nil"/>
              <w:bottom w:val="single" w:sz="4" w:space="0" w:color="auto"/>
              <w:right w:val="single" w:sz="4" w:space="0" w:color="auto"/>
            </w:tcBorders>
            <w:shd w:val="clear" w:color="000000" w:fill="FFFFFF"/>
            <w:noWrap/>
            <w:vAlign w:val="center"/>
            <w:hideMark/>
          </w:tcPr>
          <w:p w14:paraId="41999452" w14:textId="77777777" w:rsidR="001338FC" w:rsidRPr="0070106F" w:rsidRDefault="001338FC" w:rsidP="00A825B8">
            <w:pPr>
              <w:adjustRightInd w:val="0"/>
              <w:snapToGrid w:val="0"/>
              <w:jc w:val="center"/>
              <w:rPr>
                <w:sz w:val="18"/>
                <w:szCs w:val="18"/>
              </w:rPr>
            </w:pPr>
            <w:r w:rsidRPr="0070106F">
              <w:rPr>
                <w:rFonts w:hint="eastAsia"/>
                <w:sz w:val="18"/>
                <w:szCs w:val="18"/>
              </w:rPr>
              <w:t>0.0001</w:t>
            </w:r>
          </w:p>
        </w:tc>
        <w:tc>
          <w:tcPr>
            <w:tcW w:w="1111" w:type="dxa"/>
            <w:tcBorders>
              <w:top w:val="nil"/>
              <w:left w:val="nil"/>
              <w:bottom w:val="single" w:sz="4" w:space="0" w:color="auto"/>
              <w:right w:val="single" w:sz="4" w:space="0" w:color="auto"/>
            </w:tcBorders>
            <w:shd w:val="clear" w:color="000000" w:fill="FFFFFF"/>
            <w:noWrap/>
            <w:vAlign w:val="center"/>
            <w:hideMark/>
          </w:tcPr>
          <w:p w14:paraId="3BDBF5CA"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vAlign w:val="center"/>
            <w:hideMark/>
          </w:tcPr>
          <w:p w14:paraId="007124B9"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010" w:type="dxa"/>
            <w:tcBorders>
              <w:top w:val="nil"/>
              <w:left w:val="nil"/>
              <w:bottom w:val="single" w:sz="4" w:space="0" w:color="auto"/>
              <w:right w:val="single" w:sz="12" w:space="0" w:color="auto"/>
            </w:tcBorders>
            <w:shd w:val="clear" w:color="000000" w:fill="FFFFFF"/>
            <w:vAlign w:val="center"/>
            <w:hideMark/>
          </w:tcPr>
          <w:p w14:paraId="0F9A749F"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r>
      <w:tr w:rsidR="001338FC" w:rsidRPr="0070106F" w14:paraId="027A0701"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3A6D3C62"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0BB24286"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50AED26A"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5DCB0E23"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Mg</w:t>
            </w:r>
          </w:p>
        </w:tc>
        <w:tc>
          <w:tcPr>
            <w:tcW w:w="1111" w:type="dxa"/>
            <w:tcBorders>
              <w:top w:val="nil"/>
              <w:left w:val="nil"/>
              <w:bottom w:val="single" w:sz="4" w:space="0" w:color="auto"/>
              <w:right w:val="single" w:sz="4" w:space="0" w:color="auto"/>
            </w:tcBorders>
            <w:shd w:val="clear" w:color="000000" w:fill="FFFFFF"/>
            <w:vAlign w:val="center"/>
            <w:hideMark/>
          </w:tcPr>
          <w:p w14:paraId="51EA488E"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0.0001</w:t>
            </w:r>
          </w:p>
        </w:tc>
        <w:tc>
          <w:tcPr>
            <w:tcW w:w="1010" w:type="dxa"/>
            <w:tcBorders>
              <w:top w:val="nil"/>
              <w:left w:val="nil"/>
              <w:bottom w:val="single" w:sz="4" w:space="0" w:color="auto"/>
              <w:right w:val="single" w:sz="4" w:space="0" w:color="auto"/>
            </w:tcBorders>
            <w:shd w:val="clear" w:color="000000" w:fill="FFFFFF"/>
            <w:noWrap/>
            <w:vAlign w:val="center"/>
            <w:hideMark/>
          </w:tcPr>
          <w:p w14:paraId="23EE4262"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noWrap/>
            <w:vAlign w:val="center"/>
            <w:hideMark/>
          </w:tcPr>
          <w:p w14:paraId="0675786E"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111" w:type="dxa"/>
            <w:tcBorders>
              <w:top w:val="nil"/>
              <w:left w:val="nil"/>
              <w:bottom w:val="single" w:sz="4" w:space="0" w:color="auto"/>
              <w:right w:val="single" w:sz="4" w:space="0" w:color="auto"/>
            </w:tcBorders>
            <w:shd w:val="clear" w:color="000000" w:fill="FFFFFF"/>
            <w:vAlign w:val="center"/>
            <w:hideMark/>
          </w:tcPr>
          <w:p w14:paraId="6399CABB" w14:textId="77777777" w:rsidR="001338FC" w:rsidRPr="0070106F" w:rsidRDefault="001338FC" w:rsidP="00A825B8">
            <w:pPr>
              <w:adjustRightInd w:val="0"/>
              <w:snapToGrid w:val="0"/>
              <w:jc w:val="center"/>
              <w:rPr>
                <w:sz w:val="18"/>
                <w:szCs w:val="18"/>
              </w:rPr>
            </w:pPr>
            <w:r w:rsidRPr="0070106F">
              <w:rPr>
                <w:rFonts w:hint="eastAsia"/>
                <w:sz w:val="18"/>
                <w:szCs w:val="18"/>
              </w:rPr>
              <w:t>0.0015</w:t>
            </w:r>
          </w:p>
        </w:tc>
        <w:tc>
          <w:tcPr>
            <w:tcW w:w="1010" w:type="dxa"/>
            <w:tcBorders>
              <w:top w:val="nil"/>
              <w:left w:val="nil"/>
              <w:bottom w:val="single" w:sz="4" w:space="0" w:color="auto"/>
              <w:right w:val="single" w:sz="12" w:space="0" w:color="auto"/>
            </w:tcBorders>
            <w:shd w:val="clear" w:color="000000" w:fill="FFFFFF"/>
            <w:vAlign w:val="center"/>
            <w:hideMark/>
          </w:tcPr>
          <w:p w14:paraId="1E035FAC" w14:textId="77777777" w:rsidR="001338FC" w:rsidRPr="0070106F" w:rsidRDefault="001338FC" w:rsidP="00A825B8">
            <w:pPr>
              <w:adjustRightInd w:val="0"/>
              <w:snapToGrid w:val="0"/>
              <w:jc w:val="center"/>
              <w:rPr>
                <w:sz w:val="18"/>
                <w:szCs w:val="18"/>
              </w:rPr>
            </w:pPr>
            <w:r w:rsidRPr="0070106F">
              <w:rPr>
                <w:rFonts w:hint="eastAsia"/>
                <w:sz w:val="18"/>
                <w:szCs w:val="18"/>
              </w:rPr>
              <w:t>0.00</w:t>
            </w:r>
            <w:r>
              <w:rPr>
                <w:sz w:val="18"/>
                <w:szCs w:val="18"/>
              </w:rPr>
              <w:t>5</w:t>
            </w:r>
          </w:p>
        </w:tc>
      </w:tr>
      <w:tr w:rsidR="001338FC" w:rsidRPr="0070106F" w14:paraId="408683F3"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1E6B69B6"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19C33560"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70E36E93"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60160146"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Mn</w:t>
            </w:r>
          </w:p>
        </w:tc>
        <w:tc>
          <w:tcPr>
            <w:tcW w:w="1111" w:type="dxa"/>
            <w:tcBorders>
              <w:top w:val="nil"/>
              <w:left w:val="nil"/>
              <w:bottom w:val="single" w:sz="4" w:space="0" w:color="auto"/>
              <w:right w:val="single" w:sz="4" w:space="0" w:color="auto"/>
            </w:tcBorders>
            <w:shd w:val="clear" w:color="000000" w:fill="FFFFFF"/>
            <w:vAlign w:val="center"/>
            <w:hideMark/>
          </w:tcPr>
          <w:p w14:paraId="473BCEA5"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0.0001</w:t>
            </w:r>
          </w:p>
        </w:tc>
        <w:tc>
          <w:tcPr>
            <w:tcW w:w="1010" w:type="dxa"/>
            <w:tcBorders>
              <w:top w:val="nil"/>
              <w:left w:val="nil"/>
              <w:bottom w:val="single" w:sz="4" w:space="0" w:color="auto"/>
              <w:right w:val="single" w:sz="4" w:space="0" w:color="auto"/>
            </w:tcBorders>
            <w:shd w:val="clear" w:color="000000" w:fill="FFFFFF"/>
            <w:noWrap/>
            <w:vAlign w:val="center"/>
            <w:hideMark/>
          </w:tcPr>
          <w:p w14:paraId="5C735F37" w14:textId="77777777" w:rsidR="001338FC" w:rsidRPr="0070106F" w:rsidRDefault="001338FC" w:rsidP="00A825B8">
            <w:pPr>
              <w:adjustRightInd w:val="0"/>
              <w:snapToGrid w:val="0"/>
              <w:jc w:val="center"/>
              <w:rPr>
                <w:sz w:val="18"/>
                <w:szCs w:val="18"/>
              </w:rPr>
            </w:pPr>
            <w:r w:rsidRPr="0070106F">
              <w:rPr>
                <w:rFonts w:hint="eastAsia"/>
                <w:sz w:val="18"/>
                <w:szCs w:val="18"/>
              </w:rPr>
              <w:t>0.0002</w:t>
            </w:r>
          </w:p>
        </w:tc>
        <w:tc>
          <w:tcPr>
            <w:tcW w:w="1111" w:type="dxa"/>
            <w:tcBorders>
              <w:top w:val="nil"/>
              <w:left w:val="nil"/>
              <w:bottom w:val="single" w:sz="4" w:space="0" w:color="auto"/>
              <w:right w:val="single" w:sz="4" w:space="0" w:color="auto"/>
            </w:tcBorders>
            <w:shd w:val="clear" w:color="000000" w:fill="FFFFFF"/>
            <w:noWrap/>
            <w:vAlign w:val="center"/>
            <w:hideMark/>
          </w:tcPr>
          <w:p w14:paraId="5118A190"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vAlign w:val="center"/>
            <w:hideMark/>
          </w:tcPr>
          <w:p w14:paraId="38FAF053"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010" w:type="dxa"/>
            <w:tcBorders>
              <w:top w:val="nil"/>
              <w:left w:val="nil"/>
              <w:bottom w:val="single" w:sz="4" w:space="0" w:color="auto"/>
              <w:right w:val="single" w:sz="12" w:space="0" w:color="auto"/>
            </w:tcBorders>
            <w:shd w:val="clear" w:color="000000" w:fill="FFFFFF"/>
            <w:vAlign w:val="center"/>
            <w:hideMark/>
          </w:tcPr>
          <w:p w14:paraId="0DE25FEB"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r>
      <w:tr w:rsidR="001338FC" w:rsidRPr="0070106F" w14:paraId="22B5FFE6"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0380E95B"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03850701"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216A54A8"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073E79B7"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Na</w:t>
            </w:r>
          </w:p>
        </w:tc>
        <w:tc>
          <w:tcPr>
            <w:tcW w:w="1111" w:type="dxa"/>
            <w:tcBorders>
              <w:top w:val="nil"/>
              <w:left w:val="nil"/>
              <w:bottom w:val="single" w:sz="4" w:space="0" w:color="auto"/>
              <w:right w:val="single" w:sz="4" w:space="0" w:color="auto"/>
            </w:tcBorders>
            <w:shd w:val="clear" w:color="000000" w:fill="FFFFFF"/>
            <w:vAlign w:val="center"/>
            <w:hideMark/>
          </w:tcPr>
          <w:p w14:paraId="02D01C4E"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0.00005</w:t>
            </w:r>
          </w:p>
        </w:tc>
        <w:tc>
          <w:tcPr>
            <w:tcW w:w="1010" w:type="dxa"/>
            <w:tcBorders>
              <w:top w:val="nil"/>
              <w:left w:val="nil"/>
              <w:bottom w:val="single" w:sz="4" w:space="0" w:color="auto"/>
              <w:right w:val="single" w:sz="4" w:space="0" w:color="auto"/>
            </w:tcBorders>
            <w:shd w:val="clear" w:color="000000" w:fill="FFFFFF"/>
            <w:noWrap/>
            <w:vAlign w:val="center"/>
            <w:hideMark/>
          </w:tcPr>
          <w:p w14:paraId="04DA8001" w14:textId="77777777" w:rsidR="001338FC" w:rsidRPr="0070106F" w:rsidRDefault="001338FC" w:rsidP="00A825B8">
            <w:pPr>
              <w:adjustRightInd w:val="0"/>
              <w:snapToGrid w:val="0"/>
              <w:jc w:val="center"/>
              <w:rPr>
                <w:sz w:val="18"/>
                <w:szCs w:val="18"/>
              </w:rPr>
            </w:pPr>
            <w:r w:rsidRPr="0070106F">
              <w:rPr>
                <w:rFonts w:hint="eastAsia"/>
                <w:sz w:val="18"/>
                <w:szCs w:val="18"/>
              </w:rPr>
              <w:t>0.0001</w:t>
            </w:r>
          </w:p>
        </w:tc>
        <w:tc>
          <w:tcPr>
            <w:tcW w:w="1111" w:type="dxa"/>
            <w:tcBorders>
              <w:top w:val="nil"/>
              <w:left w:val="nil"/>
              <w:bottom w:val="single" w:sz="4" w:space="0" w:color="auto"/>
              <w:right w:val="single" w:sz="4" w:space="0" w:color="auto"/>
            </w:tcBorders>
            <w:shd w:val="clear" w:color="000000" w:fill="FFFFFF"/>
            <w:noWrap/>
            <w:vAlign w:val="center"/>
            <w:hideMark/>
          </w:tcPr>
          <w:p w14:paraId="4D6D6B86"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vAlign w:val="center"/>
            <w:hideMark/>
          </w:tcPr>
          <w:p w14:paraId="79C2D73F"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010" w:type="dxa"/>
            <w:tcBorders>
              <w:top w:val="nil"/>
              <w:left w:val="nil"/>
              <w:bottom w:val="single" w:sz="4" w:space="0" w:color="auto"/>
              <w:right w:val="single" w:sz="12" w:space="0" w:color="auto"/>
            </w:tcBorders>
            <w:shd w:val="clear" w:color="000000" w:fill="FFFFFF"/>
            <w:vAlign w:val="center"/>
            <w:hideMark/>
          </w:tcPr>
          <w:p w14:paraId="42C88C2A"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r>
      <w:tr w:rsidR="001338FC" w:rsidRPr="0070106F" w14:paraId="6EF6E8FD"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3B26EFD3"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5FCB4040"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136CC5D9"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4EEECD34"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Ni</w:t>
            </w:r>
          </w:p>
        </w:tc>
        <w:tc>
          <w:tcPr>
            <w:tcW w:w="1111" w:type="dxa"/>
            <w:tcBorders>
              <w:top w:val="nil"/>
              <w:left w:val="nil"/>
              <w:bottom w:val="single" w:sz="4" w:space="0" w:color="auto"/>
              <w:right w:val="single" w:sz="4" w:space="0" w:color="auto"/>
            </w:tcBorders>
            <w:shd w:val="clear" w:color="000000" w:fill="FFFFFF"/>
            <w:vAlign w:val="center"/>
            <w:hideMark/>
          </w:tcPr>
          <w:p w14:paraId="3A4326A6"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0.0005</w:t>
            </w:r>
          </w:p>
        </w:tc>
        <w:tc>
          <w:tcPr>
            <w:tcW w:w="1010" w:type="dxa"/>
            <w:tcBorders>
              <w:top w:val="nil"/>
              <w:left w:val="nil"/>
              <w:bottom w:val="single" w:sz="4" w:space="0" w:color="auto"/>
              <w:right w:val="single" w:sz="4" w:space="0" w:color="auto"/>
            </w:tcBorders>
            <w:shd w:val="clear" w:color="000000" w:fill="FFFFFF"/>
            <w:noWrap/>
            <w:vAlign w:val="center"/>
            <w:hideMark/>
          </w:tcPr>
          <w:p w14:paraId="3D2E7137"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111" w:type="dxa"/>
            <w:tcBorders>
              <w:top w:val="nil"/>
              <w:left w:val="nil"/>
              <w:bottom w:val="single" w:sz="4" w:space="0" w:color="auto"/>
              <w:right w:val="single" w:sz="4" w:space="0" w:color="auto"/>
            </w:tcBorders>
            <w:shd w:val="clear" w:color="000000" w:fill="FFFFFF"/>
            <w:noWrap/>
            <w:vAlign w:val="center"/>
            <w:hideMark/>
          </w:tcPr>
          <w:p w14:paraId="39BA2CB0"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111" w:type="dxa"/>
            <w:tcBorders>
              <w:top w:val="nil"/>
              <w:left w:val="nil"/>
              <w:bottom w:val="single" w:sz="4" w:space="0" w:color="auto"/>
              <w:right w:val="single" w:sz="4" w:space="0" w:color="auto"/>
            </w:tcBorders>
            <w:shd w:val="clear" w:color="000000" w:fill="FFFFFF"/>
            <w:vAlign w:val="center"/>
            <w:hideMark/>
          </w:tcPr>
          <w:p w14:paraId="36513062" w14:textId="77777777" w:rsidR="001338FC" w:rsidRPr="0070106F" w:rsidRDefault="001338FC" w:rsidP="00A825B8">
            <w:pPr>
              <w:adjustRightInd w:val="0"/>
              <w:snapToGrid w:val="0"/>
              <w:jc w:val="center"/>
              <w:rPr>
                <w:sz w:val="18"/>
                <w:szCs w:val="18"/>
              </w:rPr>
            </w:pPr>
            <w:r w:rsidRPr="0070106F">
              <w:rPr>
                <w:rFonts w:hint="eastAsia"/>
                <w:sz w:val="18"/>
                <w:szCs w:val="18"/>
              </w:rPr>
              <w:t>0.00</w:t>
            </w:r>
            <w:r>
              <w:rPr>
                <w:sz w:val="18"/>
                <w:szCs w:val="18"/>
              </w:rPr>
              <w:t>5</w:t>
            </w:r>
          </w:p>
        </w:tc>
        <w:tc>
          <w:tcPr>
            <w:tcW w:w="1010" w:type="dxa"/>
            <w:tcBorders>
              <w:top w:val="nil"/>
              <w:left w:val="nil"/>
              <w:bottom w:val="single" w:sz="4" w:space="0" w:color="auto"/>
              <w:right w:val="single" w:sz="12" w:space="0" w:color="auto"/>
            </w:tcBorders>
            <w:shd w:val="clear" w:color="000000" w:fill="FFFFFF"/>
            <w:vAlign w:val="center"/>
            <w:hideMark/>
          </w:tcPr>
          <w:p w14:paraId="63B9EE46" w14:textId="77777777" w:rsidR="001338FC" w:rsidRPr="0070106F" w:rsidRDefault="001338FC" w:rsidP="00A825B8">
            <w:pPr>
              <w:adjustRightInd w:val="0"/>
              <w:snapToGrid w:val="0"/>
              <w:jc w:val="center"/>
              <w:rPr>
                <w:sz w:val="18"/>
                <w:szCs w:val="18"/>
              </w:rPr>
            </w:pPr>
            <w:r w:rsidRPr="0070106F">
              <w:rPr>
                <w:rFonts w:hint="eastAsia"/>
                <w:sz w:val="18"/>
                <w:szCs w:val="18"/>
              </w:rPr>
              <w:t>0.0</w:t>
            </w:r>
            <w:r>
              <w:rPr>
                <w:sz w:val="18"/>
                <w:szCs w:val="18"/>
              </w:rPr>
              <w:t>1</w:t>
            </w:r>
          </w:p>
        </w:tc>
      </w:tr>
      <w:tr w:rsidR="001338FC" w:rsidRPr="0070106F" w14:paraId="770556DD"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115531E4"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0C67B499"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018810FA"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5BFFED8F"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Pb</w:t>
            </w:r>
          </w:p>
        </w:tc>
        <w:tc>
          <w:tcPr>
            <w:tcW w:w="1111" w:type="dxa"/>
            <w:tcBorders>
              <w:top w:val="nil"/>
              <w:left w:val="nil"/>
              <w:bottom w:val="single" w:sz="4" w:space="0" w:color="auto"/>
              <w:right w:val="single" w:sz="4" w:space="0" w:color="auto"/>
            </w:tcBorders>
            <w:shd w:val="clear" w:color="000000" w:fill="FFFFFF"/>
            <w:vAlign w:val="center"/>
            <w:hideMark/>
          </w:tcPr>
          <w:p w14:paraId="04495D46"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0.0001</w:t>
            </w:r>
          </w:p>
        </w:tc>
        <w:tc>
          <w:tcPr>
            <w:tcW w:w="1010" w:type="dxa"/>
            <w:tcBorders>
              <w:top w:val="nil"/>
              <w:left w:val="nil"/>
              <w:bottom w:val="single" w:sz="4" w:space="0" w:color="auto"/>
              <w:right w:val="single" w:sz="4" w:space="0" w:color="auto"/>
            </w:tcBorders>
            <w:shd w:val="clear" w:color="000000" w:fill="FFFFFF"/>
            <w:noWrap/>
            <w:vAlign w:val="center"/>
            <w:hideMark/>
          </w:tcPr>
          <w:p w14:paraId="0D8BE89A" w14:textId="77777777" w:rsidR="001338FC" w:rsidRPr="0070106F" w:rsidRDefault="001338FC" w:rsidP="00A825B8">
            <w:pPr>
              <w:adjustRightInd w:val="0"/>
              <w:snapToGrid w:val="0"/>
              <w:jc w:val="center"/>
              <w:rPr>
                <w:sz w:val="18"/>
                <w:szCs w:val="18"/>
              </w:rPr>
            </w:pPr>
            <w:r w:rsidRPr="0070106F">
              <w:rPr>
                <w:rFonts w:hint="eastAsia"/>
                <w:sz w:val="18"/>
                <w:szCs w:val="18"/>
              </w:rPr>
              <w:t>0.0002</w:t>
            </w:r>
          </w:p>
        </w:tc>
        <w:tc>
          <w:tcPr>
            <w:tcW w:w="1111" w:type="dxa"/>
            <w:tcBorders>
              <w:top w:val="nil"/>
              <w:left w:val="nil"/>
              <w:bottom w:val="single" w:sz="4" w:space="0" w:color="auto"/>
              <w:right w:val="single" w:sz="4" w:space="0" w:color="auto"/>
            </w:tcBorders>
            <w:shd w:val="clear" w:color="000000" w:fill="FFFFFF"/>
            <w:noWrap/>
            <w:vAlign w:val="center"/>
            <w:hideMark/>
          </w:tcPr>
          <w:p w14:paraId="4B6708D4"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vAlign w:val="center"/>
            <w:hideMark/>
          </w:tcPr>
          <w:p w14:paraId="4ACA7F49"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010" w:type="dxa"/>
            <w:tcBorders>
              <w:top w:val="nil"/>
              <w:left w:val="nil"/>
              <w:bottom w:val="single" w:sz="4" w:space="0" w:color="auto"/>
              <w:right w:val="single" w:sz="12" w:space="0" w:color="auto"/>
            </w:tcBorders>
            <w:shd w:val="clear" w:color="000000" w:fill="FFFFFF"/>
            <w:vAlign w:val="center"/>
            <w:hideMark/>
          </w:tcPr>
          <w:p w14:paraId="5581FE4B"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r>
      <w:tr w:rsidR="001338FC" w:rsidRPr="0070106F" w14:paraId="26F96526"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22E25166"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5F598C4C"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09681C13"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7A09BDEB"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Si</w:t>
            </w:r>
          </w:p>
        </w:tc>
        <w:tc>
          <w:tcPr>
            <w:tcW w:w="1111" w:type="dxa"/>
            <w:tcBorders>
              <w:top w:val="nil"/>
              <w:left w:val="nil"/>
              <w:bottom w:val="single" w:sz="4" w:space="0" w:color="auto"/>
              <w:right w:val="single" w:sz="4" w:space="0" w:color="auto"/>
            </w:tcBorders>
            <w:shd w:val="clear" w:color="000000" w:fill="FFFFFF"/>
            <w:vAlign w:val="center"/>
            <w:hideMark/>
          </w:tcPr>
          <w:p w14:paraId="62C7E957"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0.0002</w:t>
            </w:r>
          </w:p>
        </w:tc>
        <w:tc>
          <w:tcPr>
            <w:tcW w:w="1010" w:type="dxa"/>
            <w:tcBorders>
              <w:top w:val="nil"/>
              <w:left w:val="nil"/>
              <w:bottom w:val="single" w:sz="4" w:space="0" w:color="auto"/>
              <w:right w:val="single" w:sz="4" w:space="0" w:color="auto"/>
            </w:tcBorders>
            <w:shd w:val="clear" w:color="000000" w:fill="FFFFFF"/>
            <w:vAlign w:val="center"/>
            <w:hideMark/>
          </w:tcPr>
          <w:p w14:paraId="2A4F89F2"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111" w:type="dxa"/>
            <w:tcBorders>
              <w:top w:val="nil"/>
              <w:left w:val="nil"/>
              <w:bottom w:val="single" w:sz="4" w:space="0" w:color="auto"/>
              <w:right w:val="single" w:sz="4" w:space="0" w:color="auto"/>
            </w:tcBorders>
            <w:shd w:val="clear" w:color="000000" w:fill="FFFFFF"/>
            <w:noWrap/>
            <w:vAlign w:val="center"/>
            <w:hideMark/>
          </w:tcPr>
          <w:p w14:paraId="486BCC80"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111" w:type="dxa"/>
            <w:tcBorders>
              <w:top w:val="nil"/>
              <w:left w:val="nil"/>
              <w:bottom w:val="single" w:sz="4" w:space="0" w:color="auto"/>
              <w:right w:val="single" w:sz="4" w:space="0" w:color="auto"/>
            </w:tcBorders>
            <w:shd w:val="clear" w:color="000000" w:fill="FFFFFF"/>
            <w:vAlign w:val="center"/>
            <w:hideMark/>
          </w:tcPr>
          <w:p w14:paraId="6A911E31"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c>
          <w:tcPr>
            <w:tcW w:w="1010" w:type="dxa"/>
            <w:tcBorders>
              <w:top w:val="nil"/>
              <w:left w:val="nil"/>
              <w:bottom w:val="single" w:sz="4" w:space="0" w:color="auto"/>
              <w:right w:val="single" w:sz="12" w:space="0" w:color="auto"/>
            </w:tcBorders>
            <w:shd w:val="clear" w:color="000000" w:fill="FFFFFF"/>
            <w:vAlign w:val="center"/>
            <w:hideMark/>
          </w:tcPr>
          <w:p w14:paraId="5C4039E1"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r>
      <w:tr w:rsidR="001338FC" w:rsidRPr="0070106F" w14:paraId="27E1E440"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48AA38AC"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454CFE78"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35CB0F38"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4A13B813"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Sn</w:t>
            </w:r>
          </w:p>
        </w:tc>
        <w:tc>
          <w:tcPr>
            <w:tcW w:w="1111" w:type="dxa"/>
            <w:tcBorders>
              <w:top w:val="nil"/>
              <w:left w:val="nil"/>
              <w:bottom w:val="single" w:sz="4" w:space="0" w:color="auto"/>
              <w:right w:val="single" w:sz="4" w:space="0" w:color="auto"/>
            </w:tcBorders>
            <w:shd w:val="clear" w:color="000000" w:fill="FFFFFF"/>
            <w:vAlign w:val="center"/>
            <w:hideMark/>
          </w:tcPr>
          <w:p w14:paraId="71899DD8"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0.0001</w:t>
            </w:r>
          </w:p>
        </w:tc>
        <w:tc>
          <w:tcPr>
            <w:tcW w:w="1010" w:type="dxa"/>
            <w:tcBorders>
              <w:top w:val="nil"/>
              <w:left w:val="nil"/>
              <w:bottom w:val="single" w:sz="4" w:space="0" w:color="auto"/>
              <w:right w:val="single" w:sz="4" w:space="0" w:color="auto"/>
            </w:tcBorders>
            <w:shd w:val="clear" w:color="000000" w:fill="FFFFFF"/>
            <w:vAlign w:val="center"/>
            <w:hideMark/>
          </w:tcPr>
          <w:p w14:paraId="47796BB8"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noWrap/>
            <w:vAlign w:val="center"/>
            <w:hideMark/>
          </w:tcPr>
          <w:p w14:paraId="18263C40"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111" w:type="dxa"/>
            <w:tcBorders>
              <w:top w:val="nil"/>
              <w:left w:val="nil"/>
              <w:bottom w:val="single" w:sz="4" w:space="0" w:color="auto"/>
              <w:right w:val="single" w:sz="4" w:space="0" w:color="auto"/>
            </w:tcBorders>
            <w:shd w:val="clear" w:color="000000" w:fill="FFFFFF"/>
            <w:vAlign w:val="center"/>
            <w:hideMark/>
          </w:tcPr>
          <w:p w14:paraId="0DE224E4"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010" w:type="dxa"/>
            <w:tcBorders>
              <w:top w:val="nil"/>
              <w:left w:val="nil"/>
              <w:bottom w:val="single" w:sz="4" w:space="0" w:color="auto"/>
              <w:right w:val="single" w:sz="12" w:space="0" w:color="auto"/>
            </w:tcBorders>
            <w:shd w:val="clear" w:color="000000" w:fill="FFFFFF"/>
            <w:vAlign w:val="center"/>
            <w:hideMark/>
          </w:tcPr>
          <w:p w14:paraId="37ADF6CD"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r>
      <w:tr w:rsidR="001338FC" w:rsidRPr="0070106F" w14:paraId="62B491D0"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1FFE338F"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760CB349"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6046FC84"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1E523DAE"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Th</w:t>
            </w:r>
          </w:p>
        </w:tc>
        <w:tc>
          <w:tcPr>
            <w:tcW w:w="1111" w:type="dxa"/>
            <w:tcBorders>
              <w:top w:val="nil"/>
              <w:left w:val="nil"/>
              <w:bottom w:val="single" w:sz="4" w:space="0" w:color="auto"/>
              <w:right w:val="single" w:sz="4" w:space="0" w:color="auto"/>
            </w:tcBorders>
            <w:shd w:val="clear" w:color="000000" w:fill="FFFFFF"/>
            <w:vAlign w:val="center"/>
            <w:hideMark/>
          </w:tcPr>
          <w:p w14:paraId="5414FB00"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0.000001</w:t>
            </w:r>
          </w:p>
        </w:tc>
        <w:tc>
          <w:tcPr>
            <w:tcW w:w="1010" w:type="dxa"/>
            <w:tcBorders>
              <w:top w:val="nil"/>
              <w:left w:val="nil"/>
              <w:bottom w:val="single" w:sz="4" w:space="0" w:color="auto"/>
              <w:right w:val="single" w:sz="4" w:space="0" w:color="auto"/>
            </w:tcBorders>
            <w:shd w:val="clear" w:color="000000" w:fill="FFFFFF"/>
            <w:noWrap/>
            <w:vAlign w:val="center"/>
            <w:hideMark/>
          </w:tcPr>
          <w:p w14:paraId="43EE1115" w14:textId="77777777" w:rsidR="001338FC" w:rsidRPr="0070106F" w:rsidRDefault="001338FC" w:rsidP="00A825B8">
            <w:pPr>
              <w:adjustRightInd w:val="0"/>
              <w:snapToGrid w:val="0"/>
              <w:jc w:val="center"/>
              <w:rPr>
                <w:sz w:val="18"/>
                <w:szCs w:val="18"/>
              </w:rPr>
            </w:pPr>
            <w:r w:rsidRPr="0070106F">
              <w:rPr>
                <w:rFonts w:hint="eastAsia"/>
                <w:sz w:val="18"/>
                <w:szCs w:val="18"/>
              </w:rPr>
              <w:t>0.0001</w:t>
            </w:r>
          </w:p>
        </w:tc>
        <w:tc>
          <w:tcPr>
            <w:tcW w:w="1111" w:type="dxa"/>
            <w:tcBorders>
              <w:top w:val="nil"/>
              <w:left w:val="nil"/>
              <w:bottom w:val="single" w:sz="4" w:space="0" w:color="auto"/>
              <w:right w:val="single" w:sz="4" w:space="0" w:color="auto"/>
            </w:tcBorders>
            <w:shd w:val="clear" w:color="000000" w:fill="FFFFFF"/>
            <w:vAlign w:val="center"/>
            <w:hideMark/>
          </w:tcPr>
          <w:p w14:paraId="1F12238E" w14:textId="77777777" w:rsidR="001338FC" w:rsidRPr="0070106F" w:rsidRDefault="001338FC" w:rsidP="00A825B8">
            <w:pPr>
              <w:adjustRightInd w:val="0"/>
              <w:snapToGrid w:val="0"/>
              <w:jc w:val="center"/>
              <w:rPr>
                <w:sz w:val="18"/>
                <w:szCs w:val="18"/>
              </w:rPr>
            </w:pPr>
            <w:r>
              <w:rPr>
                <w:rFonts w:hint="eastAsia"/>
                <w:sz w:val="18"/>
                <w:szCs w:val="18"/>
              </w:rPr>
              <w:t>—</w:t>
            </w:r>
          </w:p>
        </w:tc>
        <w:tc>
          <w:tcPr>
            <w:tcW w:w="1111" w:type="dxa"/>
            <w:tcBorders>
              <w:top w:val="nil"/>
              <w:left w:val="nil"/>
              <w:bottom w:val="single" w:sz="4" w:space="0" w:color="auto"/>
              <w:right w:val="single" w:sz="4" w:space="0" w:color="auto"/>
            </w:tcBorders>
            <w:shd w:val="clear" w:color="000000" w:fill="FFFFFF"/>
            <w:vAlign w:val="center"/>
            <w:hideMark/>
          </w:tcPr>
          <w:p w14:paraId="15EAB8A9" w14:textId="77777777" w:rsidR="001338FC" w:rsidRPr="0070106F" w:rsidRDefault="001338FC" w:rsidP="00A825B8">
            <w:pPr>
              <w:adjustRightInd w:val="0"/>
              <w:snapToGrid w:val="0"/>
              <w:jc w:val="center"/>
              <w:rPr>
                <w:sz w:val="18"/>
                <w:szCs w:val="18"/>
              </w:rPr>
            </w:pPr>
            <w:r>
              <w:rPr>
                <w:rFonts w:hint="eastAsia"/>
                <w:sz w:val="18"/>
                <w:szCs w:val="18"/>
              </w:rPr>
              <w:t>—</w:t>
            </w:r>
          </w:p>
        </w:tc>
        <w:tc>
          <w:tcPr>
            <w:tcW w:w="1010" w:type="dxa"/>
            <w:tcBorders>
              <w:top w:val="nil"/>
              <w:left w:val="nil"/>
              <w:bottom w:val="single" w:sz="4" w:space="0" w:color="auto"/>
              <w:right w:val="single" w:sz="12" w:space="0" w:color="auto"/>
            </w:tcBorders>
            <w:shd w:val="clear" w:color="000000" w:fill="FFFFFF"/>
            <w:vAlign w:val="center"/>
            <w:hideMark/>
          </w:tcPr>
          <w:p w14:paraId="68BAD61A" w14:textId="77777777" w:rsidR="001338FC" w:rsidRPr="0070106F" w:rsidRDefault="001338FC" w:rsidP="00A825B8">
            <w:pPr>
              <w:adjustRightInd w:val="0"/>
              <w:snapToGrid w:val="0"/>
              <w:jc w:val="center"/>
              <w:rPr>
                <w:sz w:val="18"/>
                <w:szCs w:val="18"/>
              </w:rPr>
            </w:pPr>
            <w:r>
              <w:rPr>
                <w:rFonts w:hint="eastAsia"/>
                <w:sz w:val="18"/>
                <w:szCs w:val="18"/>
              </w:rPr>
              <w:t>—</w:t>
            </w:r>
          </w:p>
        </w:tc>
      </w:tr>
      <w:tr w:rsidR="001338FC" w:rsidRPr="0070106F" w14:paraId="6990E941"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444AC7C2"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03DE263C"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7C6D8D95"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11DD7967" w14:textId="77777777" w:rsidR="001338FC" w:rsidRPr="0070106F" w:rsidRDefault="001338FC" w:rsidP="00A825B8">
            <w:pPr>
              <w:adjustRightInd w:val="0"/>
              <w:snapToGrid w:val="0"/>
              <w:jc w:val="center"/>
              <w:rPr>
                <w:color w:val="000000"/>
                <w:sz w:val="18"/>
                <w:szCs w:val="18"/>
              </w:rPr>
            </w:pPr>
            <w:proofErr w:type="spellStart"/>
            <w:r w:rsidRPr="0070106F">
              <w:rPr>
                <w:rFonts w:hint="eastAsia"/>
                <w:color w:val="000000"/>
                <w:sz w:val="18"/>
                <w:szCs w:val="18"/>
              </w:rPr>
              <w:t>Ti</w:t>
            </w:r>
            <w:proofErr w:type="spellEnd"/>
          </w:p>
        </w:tc>
        <w:tc>
          <w:tcPr>
            <w:tcW w:w="1111" w:type="dxa"/>
            <w:tcBorders>
              <w:top w:val="nil"/>
              <w:left w:val="nil"/>
              <w:bottom w:val="single" w:sz="4" w:space="0" w:color="auto"/>
              <w:right w:val="single" w:sz="4" w:space="0" w:color="auto"/>
            </w:tcBorders>
            <w:shd w:val="clear" w:color="000000" w:fill="FFFFFF"/>
            <w:vAlign w:val="center"/>
            <w:hideMark/>
          </w:tcPr>
          <w:p w14:paraId="78872A06"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0.0005</w:t>
            </w:r>
          </w:p>
        </w:tc>
        <w:tc>
          <w:tcPr>
            <w:tcW w:w="1010" w:type="dxa"/>
            <w:tcBorders>
              <w:top w:val="nil"/>
              <w:left w:val="nil"/>
              <w:bottom w:val="single" w:sz="4" w:space="0" w:color="auto"/>
              <w:right w:val="single" w:sz="4" w:space="0" w:color="auto"/>
            </w:tcBorders>
            <w:shd w:val="clear" w:color="000000" w:fill="FFFFFF"/>
            <w:noWrap/>
            <w:vAlign w:val="center"/>
            <w:hideMark/>
          </w:tcPr>
          <w:p w14:paraId="74641E90"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111" w:type="dxa"/>
            <w:tcBorders>
              <w:top w:val="nil"/>
              <w:left w:val="nil"/>
              <w:bottom w:val="single" w:sz="4" w:space="0" w:color="auto"/>
              <w:right w:val="single" w:sz="4" w:space="0" w:color="auto"/>
            </w:tcBorders>
            <w:shd w:val="clear" w:color="000000" w:fill="FFFFFF"/>
            <w:noWrap/>
            <w:vAlign w:val="center"/>
            <w:hideMark/>
          </w:tcPr>
          <w:p w14:paraId="3FF57A37"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c>
          <w:tcPr>
            <w:tcW w:w="1111" w:type="dxa"/>
            <w:tcBorders>
              <w:top w:val="nil"/>
              <w:left w:val="nil"/>
              <w:bottom w:val="single" w:sz="4" w:space="0" w:color="auto"/>
              <w:right w:val="single" w:sz="4" w:space="0" w:color="auto"/>
            </w:tcBorders>
            <w:shd w:val="clear" w:color="000000" w:fill="FFFFFF"/>
            <w:vAlign w:val="center"/>
            <w:hideMark/>
          </w:tcPr>
          <w:p w14:paraId="475E6C38"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c>
          <w:tcPr>
            <w:tcW w:w="1010" w:type="dxa"/>
            <w:tcBorders>
              <w:top w:val="nil"/>
              <w:left w:val="nil"/>
              <w:bottom w:val="single" w:sz="4" w:space="0" w:color="auto"/>
              <w:right w:val="single" w:sz="12" w:space="0" w:color="auto"/>
            </w:tcBorders>
            <w:shd w:val="clear" w:color="000000" w:fill="FFFFFF"/>
            <w:vAlign w:val="center"/>
            <w:hideMark/>
          </w:tcPr>
          <w:p w14:paraId="0C6A6AD3" w14:textId="77777777" w:rsidR="001338FC" w:rsidRPr="0070106F" w:rsidRDefault="001338FC" w:rsidP="00A825B8">
            <w:pPr>
              <w:adjustRightInd w:val="0"/>
              <w:snapToGrid w:val="0"/>
              <w:jc w:val="center"/>
              <w:rPr>
                <w:sz w:val="18"/>
                <w:szCs w:val="18"/>
              </w:rPr>
            </w:pPr>
            <w:r w:rsidRPr="0070106F">
              <w:rPr>
                <w:rFonts w:hint="eastAsia"/>
                <w:sz w:val="18"/>
                <w:szCs w:val="18"/>
              </w:rPr>
              <w:t>0.015</w:t>
            </w:r>
          </w:p>
        </w:tc>
      </w:tr>
      <w:tr w:rsidR="001338FC" w:rsidRPr="0070106F" w14:paraId="269D5807"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77516330"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08571CF4"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10FE8181"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0EBAE292"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U</w:t>
            </w:r>
          </w:p>
        </w:tc>
        <w:tc>
          <w:tcPr>
            <w:tcW w:w="1111" w:type="dxa"/>
            <w:tcBorders>
              <w:top w:val="nil"/>
              <w:left w:val="nil"/>
              <w:bottom w:val="single" w:sz="4" w:space="0" w:color="auto"/>
              <w:right w:val="single" w:sz="4" w:space="0" w:color="auto"/>
            </w:tcBorders>
            <w:shd w:val="clear" w:color="000000" w:fill="FFFFFF"/>
            <w:vAlign w:val="center"/>
            <w:hideMark/>
          </w:tcPr>
          <w:p w14:paraId="3292B110"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0.000001</w:t>
            </w:r>
          </w:p>
        </w:tc>
        <w:tc>
          <w:tcPr>
            <w:tcW w:w="1010" w:type="dxa"/>
            <w:tcBorders>
              <w:top w:val="nil"/>
              <w:left w:val="nil"/>
              <w:bottom w:val="single" w:sz="4" w:space="0" w:color="auto"/>
              <w:right w:val="single" w:sz="4" w:space="0" w:color="auto"/>
            </w:tcBorders>
            <w:shd w:val="clear" w:color="000000" w:fill="FFFFFF"/>
            <w:noWrap/>
            <w:vAlign w:val="center"/>
            <w:hideMark/>
          </w:tcPr>
          <w:p w14:paraId="409F8B3A" w14:textId="77777777" w:rsidR="001338FC" w:rsidRPr="0070106F" w:rsidRDefault="001338FC" w:rsidP="00A825B8">
            <w:pPr>
              <w:adjustRightInd w:val="0"/>
              <w:snapToGrid w:val="0"/>
              <w:jc w:val="center"/>
              <w:rPr>
                <w:sz w:val="18"/>
                <w:szCs w:val="18"/>
              </w:rPr>
            </w:pPr>
            <w:r w:rsidRPr="0070106F">
              <w:rPr>
                <w:rFonts w:hint="eastAsia"/>
                <w:sz w:val="18"/>
                <w:szCs w:val="18"/>
              </w:rPr>
              <w:t>0.0001</w:t>
            </w:r>
          </w:p>
        </w:tc>
        <w:tc>
          <w:tcPr>
            <w:tcW w:w="1111" w:type="dxa"/>
            <w:tcBorders>
              <w:top w:val="nil"/>
              <w:left w:val="nil"/>
              <w:bottom w:val="single" w:sz="4" w:space="0" w:color="auto"/>
              <w:right w:val="single" w:sz="4" w:space="0" w:color="auto"/>
            </w:tcBorders>
            <w:shd w:val="clear" w:color="000000" w:fill="FFFFFF"/>
            <w:vAlign w:val="center"/>
            <w:hideMark/>
          </w:tcPr>
          <w:p w14:paraId="43AD16CC" w14:textId="77777777" w:rsidR="001338FC" w:rsidRPr="0070106F" w:rsidRDefault="001338FC" w:rsidP="00A825B8">
            <w:pPr>
              <w:adjustRightInd w:val="0"/>
              <w:snapToGrid w:val="0"/>
              <w:jc w:val="center"/>
              <w:rPr>
                <w:sz w:val="18"/>
                <w:szCs w:val="18"/>
              </w:rPr>
            </w:pPr>
            <w:r>
              <w:rPr>
                <w:rFonts w:hint="eastAsia"/>
                <w:sz w:val="18"/>
                <w:szCs w:val="18"/>
              </w:rPr>
              <w:t>—</w:t>
            </w:r>
          </w:p>
        </w:tc>
        <w:tc>
          <w:tcPr>
            <w:tcW w:w="1111" w:type="dxa"/>
            <w:tcBorders>
              <w:top w:val="nil"/>
              <w:left w:val="nil"/>
              <w:bottom w:val="single" w:sz="4" w:space="0" w:color="auto"/>
              <w:right w:val="single" w:sz="4" w:space="0" w:color="auto"/>
            </w:tcBorders>
            <w:shd w:val="clear" w:color="000000" w:fill="FFFFFF"/>
            <w:vAlign w:val="center"/>
            <w:hideMark/>
          </w:tcPr>
          <w:p w14:paraId="62506B12" w14:textId="77777777" w:rsidR="001338FC" w:rsidRPr="0070106F" w:rsidRDefault="001338FC" w:rsidP="00A825B8">
            <w:pPr>
              <w:adjustRightInd w:val="0"/>
              <w:snapToGrid w:val="0"/>
              <w:jc w:val="center"/>
              <w:rPr>
                <w:sz w:val="18"/>
                <w:szCs w:val="18"/>
              </w:rPr>
            </w:pPr>
            <w:r>
              <w:rPr>
                <w:rFonts w:hint="eastAsia"/>
                <w:sz w:val="18"/>
                <w:szCs w:val="18"/>
              </w:rPr>
              <w:t>—</w:t>
            </w:r>
          </w:p>
        </w:tc>
        <w:tc>
          <w:tcPr>
            <w:tcW w:w="1010" w:type="dxa"/>
            <w:tcBorders>
              <w:top w:val="nil"/>
              <w:left w:val="nil"/>
              <w:bottom w:val="single" w:sz="4" w:space="0" w:color="auto"/>
              <w:right w:val="single" w:sz="12" w:space="0" w:color="auto"/>
            </w:tcBorders>
            <w:shd w:val="clear" w:color="000000" w:fill="FFFFFF"/>
            <w:vAlign w:val="center"/>
            <w:hideMark/>
          </w:tcPr>
          <w:p w14:paraId="42287F02" w14:textId="77777777" w:rsidR="001338FC" w:rsidRPr="0070106F" w:rsidRDefault="001338FC" w:rsidP="00A825B8">
            <w:pPr>
              <w:adjustRightInd w:val="0"/>
              <w:snapToGrid w:val="0"/>
              <w:jc w:val="center"/>
              <w:rPr>
                <w:sz w:val="18"/>
                <w:szCs w:val="18"/>
              </w:rPr>
            </w:pPr>
            <w:r>
              <w:rPr>
                <w:rFonts w:hint="eastAsia"/>
                <w:sz w:val="18"/>
                <w:szCs w:val="18"/>
              </w:rPr>
              <w:t>—</w:t>
            </w:r>
          </w:p>
        </w:tc>
      </w:tr>
      <w:tr w:rsidR="001338FC" w:rsidRPr="0070106F" w14:paraId="71847D83" w14:textId="77777777" w:rsidTr="00A825B8">
        <w:trPr>
          <w:trHeight w:val="319"/>
        </w:trPr>
        <w:tc>
          <w:tcPr>
            <w:tcW w:w="1010" w:type="dxa"/>
            <w:vMerge/>
            <w:tcBorders>
              <w:top w:val="nil"/>
              <w:left w:val="single" w:sz="12" w:space="0" w:color="auto"/>
              <w:bottom w:val="single" w:sz="4" w:space="0" w:color="auto"/>
              <w:right w:val="single" w:sz="4" w:space="0" w:color="auto"/>
            </w:tcBorders>
            <w:vAlign w:val="center"/>
            <w:hideMark/>
          </w:tcPr>
          <w:p w14:paraId="7D46D862"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21E8319F"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63C46AB7"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013ED30A"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V</w:t>
            </w:r>
          </w:p>
        </w:tc>
        <w:tc>
          <w:tcPr>
            <w:tcW w:w="1111" w:type="dxa"/>
            <w:tcBorders>
              <w:top w:val="nil"/>
              <w:left w:val="nil"/>
              <w:bottom w:val="single" w:sz="4" w:space="0" w:color="auto"/>
              <w:right w:val="single" w:sz="4" w:space="0" w:color="auto"/>
            </w:tcBorders>
            <w:shd w:val="clear" w:color="000000" w:fill="FFFFFF"/>
            <w:vAlign w:val="center"/>
            <w:hideMark/>
          </w:tcPr>
          <w:p w14:paraId="6232D0F7"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0.0001</w:t>
            </w:r>
          </w:p>
        </w:tc>
        <w:tc>
          <w:tcPr>
            <w:tcW w:w="1010" w:type="dxa"/>
            <w:tcBorders>
              <w:top w:val="nil"/>
              <w:left w:val="nil"/>
              <w:bottom w:val="single" w:sz="4" w:space="0" w:color="auto"/>
              <w:right w:val="single" w:sz="4" w:space="0" w:color="auto"/>
            </w:tcBorders>
            <w:shd w:val="clear" w:color="000000" w:fill="FFFFFF"/>
            <w:vAlign w:val="center"/>
            <w:hideMark/>
          </w:tcPr>
          <w:p w14:paraId="5287859F" w14:textId="77777777" w:rsidR="001338FC" w:rsidRPr="0070106F" w:rsidRDefault="001338FC" w:rsidP="00A825B8">
            <w:pPr>
              <w:adjustRightInd w:val="0"/>
              <w:snapToGrid w:val="0"/>
              <w:jc w:val="center"/>
              <w:rPr>
                <w:sz w:val="18"/>
                <w:szCs w:val="18"/>
              </w:rPr>
            </w:pPr>
            <w:r w:rsidRPr="0070106F">
              <w:rPr>
                <w:rFonts w:hint="eastAsia"/>
                <w:sz w:val="18"/>
                <w:szCs w:val="18"/>
              </w:rPr>
              <w:t>0.0001</w:t>
            </w:r>
          </w:p>
        </w:tc>
        <w:tc>
          <w:tcPr>
            <w:tcW w:w="1111" w:type="dxa"/>
            <w:tcBorders>
              <w:top w:val="nil"/>
              <w:left w:val="nil"/>
              <w:bottom w:val="single" w:sz="4" w:space="0" w:color="auto"/>
              <w:right w:val="single" w:sz="4" w:space="0" w:color="auto"/>
            </w:tcBorders>
            <w:shd w:val="clear" w:color="000000" w:fill="FFFFFF"/>
            <w:vAlign w:val="center"/>
            <w:hideMark/>
          </w:tcPr>
          <w:p w14:paraId="341E0DAA"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vAlign w:val="center"/>
            <w:hideMark/>
          </w:tcPr>
          <w:p w14:paraId="7FFEF19E"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010" w:type="dxa"/>
            <w:tcBorders>
              <w:top w:val="nil"/>
              <w:left w:val="nil"/>
              <w:bottom w:val="single" w:sz="4" w:space="0" w:color="auto"/>
              <w:right w:val="single" w:sz="12" w:space="0" w:color="auto"/>
            </w:tcBorders>
            <w:shd w:val="clear" w:color="000000" w:fill="FFFFFF"/>
            <w:vAlign w:val="center"/>
            <w:hideMark/>
          </w:tcPr>
          <w:p w14:paraId="728849CF"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r>
      <w:tr w:rsidR="001338FC" w:rsidRPr="0070106F" w14:paraId="07843914"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02CFF96A"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7F9FFD7E"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37CCCE80"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471ADB7E"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Zn</w:t>
            </w:r>
          </w:p>
        </w:tc>
        <w:tc>
          <w:tcPr>
            <w:tcW w:w="1111" w:type="dxa"/>
            <w:tcBorders>
              <w:top w:val="nil"/>
              <w:left w:val="nil"/>
              <w:bottom w:val="single" w:sz="4" w:space="0" w:color="auto"/>
              <w:right w:val="single" w:sz="4" w:space="0" w:color="auto"/>
            </w:tcBorders>
            <w:shd w:val="clear" w:color="000000" w:fill="FFFFFF"/>
            <w:vAlign w:val="center"/>
            <w:hideMark/>
          </w:tcPr>
          <w:p w14:paraId="6C634630"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0.0001</w:t>
            </w:r>
          </w:p>
        </w:tc>
        <w:tc>
          <w:tcPr>
            <w:tcW w:w="1010" w:type="dxa"/>
            <w:tcBorders>
              <w:top w:val="nil"/>
              <w:left w:val="nil"/>
              <w:bottom w:val="single" w:sz="4" w:space="0" w:color="auto"/>
              <w:right w:val="single" w:sz="4" w:space="0" w:color="auto"/>
            </w:tcBorders>
            <w:shd w:val="clear" w:color="000000" w:fill="FFFFFF"/>
            <w:noWrap/>
            <w:vAlign w:val="center"/>
            <w:hideMark/>
          </w:tcPr>
          <w:p w14:paraId="3788A257" w14:textId="77777777" w:rsidR="001338FC" w:rsidRPr="0070106F" w:rsidRDefault="001338FC" w:rsidP="00A825B8">
            <w:pPr>
              <w:adjustRightInd w:val="0"/>
              <w:snapToGrid w:val="0"/>
              <w:jc w:val="center"/>
              <w:rPr>
                <w:sz w:val="18"/>
                <w:szCs w:val="18"/>
              </w:rPr>
            </w:pPr>
            <w:r w:rsidRPr="0070106F">
              <w:rPr>
                <w:rFonts w:hint="eastAsia"/>
                <w:sz w:val="18"/>
                <w:szCs w:val="18"/>
              </w:rPr>
              <w:t>0.0001</w:t>
            </w:r>
          </w:p>
        </w:tc>
        <w:tc>
          <w:tcPr>
            <w:tcW w:w="1111" w:type="dxa"/>
            <w:tcBorders>
              <w:top w:val="nil"/>
              <w:left w:val="nil"/>
              <w:bottom w:val="single" w:sz="4" w:space="0" w:color="auto"/>
              <w:right w:val="single" w:sz="4" w:space="0" w:color="auto"/>
            </w:tcBorders>
            <w:shd w:val="clear" w:color="000000" w:fill="FFFFFF"/>
            <w:noWrap/>
            <w:vAlign w:val="center"/>
            <w:hideMark/>
          </w:tcPr>
          <w:p w14:paraId="0FC8A3AC" w14:textId="77777777" w:rsidR="001338FC" w:rsidRPr="0070106F" w:rsidRDefault="001338FC" w:rsidP="00A825B8">
            <w:pPr>
              <w:adjustRightInd w:val="0"/>
              <w:snapToGrid w:val="0"/>
              <w:jc w:val="center"/>
              <w:rPr>
                <w:sz w:val="18"/>
                <w:szCs w:val="18"/>
              </w:rPr>
            </w:pPr>
            <w:r w:rsidRPr="0070106F">
              <w:rPr>
                <w:rFonts w:hint="eastAsia"/>
                <w:sz w:val="18"/>
                <w:szCs w:val="18"/>
              </w:rPr>
              <w:t>0.0005</w:t>
            </w:r>
          </w:p>
        </w:tc>
        <w:tc>
          <w:tcPr>
            <w:tcW w:w="1111" w:type="dxa"/>
            <w:tcBorders>
              <w:top w:val="nil"/>
              <w:left w:val="nil"/>
              <w:bottom w:val="single" w:sz="4" w:space="0" w:color="auto"/>
              <w:right w:val="single" w:sz="4" w:space="0" w:color="auto"/>
            </w:tcBorders>
            <w:shd w:val="clear" w:color="000000" w:fill="FFFFFF"/>
            <w:vAlign w:val="center"/>
            <w:hideMark/>
          </w:tcPr>
          <w:p w14:paraId="1F3BBC94"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010" w:type="dxa"/>
            <w:tcBorders>
              <w:top w:val="nil"/>
              <w:left w:val="nil"/>
              <w:bottom w:val="single" w:sz="4" w:space="0" w:color="auto"/>
              <w:right w:val="single" w:sz="12" w:space="0" w:color="auto"/>
            </w:tcBorders>
            <w:shd w:val="clear" w:color="000000" w:fill="FFFFFF"/>
            <w:vAlign w:val="center"/>
            <w:hideMark/>
          </w:tcPr>
          <w:p w14:paraId="51BE2AFE" w14:textId="77777777" w:rsidR="001338FC" w:rsidRPr="0070106F" w:rsidRDefault="001338FC" w:rsidP="00A825B8">
            <w:pPr>
              <w:adjustRightInd w:val="0"/>
              <w:snapToGrid w:val="0"/>
              <w:jc w:val="center"/>
              <w:rPr>
                <w:sz w:val="18"/>
                <w:szCs w:val="18"/>
              </w:rPr>
            </w:pPr>
            <w:r w:rsidRPr="0070106F">
              <w:rPr>
                <w:rFonts w:hint="eastAsia"/>
                <w:sz w:val="18"/>
                <w:szCs w:val="18"/>
              </w:rPr>
              <w:t>0.00</w:t>
            </w:r>
            <w:r>
              <w:rPr>
                <w:sz w:val="18"/>
                <w:szCs w:val="18"/>
              </w:rPr>
              <w:t>5</w:t>
            </w:r>
          </w:p>
        </w:tc>
      </w:tr>
      <w:tr w:rsidR="001338FC" w:rsidRPr="0070106F" w14:paraId="67C369A3" w14:textId="77777777" w:rsidTr="00A825B8">
        <w:trPr>
          <w:trHeight w:val="719"/>
        </w:trPr>
        <w:tc>
          <w:tcPr>
            <w:tcW w:w="1010" w:type="dxa"/>
            <w:vMerge/>
            <w:tcBorders>
              <w:top w:val="nil"/>
              <w:left w:val="single" w:sz="12" w:space="0" w:color="auto"/>
              <w:bottom w:val="single" w:sz="4" w:space="0" w:color="auto"/>
              <w:right w:val="single" w:sz="4" w:space="0" w:color="auto"/>
            </w:tcBorders>
            <w:vAlign w:val="center"/>
            <w:hideMark/>
          </w:tcPr>
          <w:p w14:paraId="768E6FD5"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516527BA"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30B1F365"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35D347F4" w14:textId="77777777" w:rsidR="001338FC" w:rsidRPr="0070106F" w:rsidRDefault="001338FC" w:rsidP="001338FC">
            <w:pPr>
              <w:adjustRightInd w:val="0"/>
              <w:snapToGrid w:val="0"/>
              <w:jc w:val="both"/>
              <w:rPr>
                <w:color w:val="000000"/>
                <w:sz w:val="18"/>
                <w:szCs w:val="18"/>
              </w:rPr>
            </w:pPr>
            <w:r w:rsidRPr="0070106F">
              <w:rPr>
                <w:rFonts w:hint="eastAsia"/>
                <w:color w:val="000000"/>
                <w:sz w:val="18"/>
                <w:szCs w:val="18"/>
              </w:rPr>
              <w:t>Ta、 Nb 、Mo 、 W的合量</w:t>
            </w:r>
          </w:p>
        </w:tc>
        <w:tc>
          <w:tcPr>
            <w:tcW w:w="1111" w:type="dxa"/>
            <w:tcBorders>
              <w:top w:val="nil"/>
              <w:left w:val="nil"/>
              <w:bottom w:val="single" w:sz="4" w:space="0" w:color="auto"/>
              <w:right w:val="single" w:sz="4" w:space="0" w:color="auto"/>
            </w:tcBorders>
            <w:shd w:val="clear" w:color="000000" w:fill="FFFFFF"/>
            <w:vAlign w:val="center"/>
            <w:hideMark/>
          </w:tcPr>
          <w:p w14:paraId="057C2274"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0.0005</w:t>
            </w:r>
          </w:p>
        </w:tc>
        <w:tc>
          <w:tcPr>
            <w:tcW w:w="1010" w:type="dxa"/>
            <w:tcBorders>
              <w:top w:val="nil"/>
              <w:left w:val="nil"/>
              <w:bottom w:val="single" w:sz="4" w:space="0" w:color="auto"/>
              <w:right w:val="single" w:sz="4" w:space="0" w:color="auto"/>
            </w:tcBorders>
            <w:shd w:val="clear" w:color="000000" w:fill="FFFFFF"/>
            <w:noWrap/>
            <w:vAlign w:val="center"/>
            <w:hideMark/>
          </w:tcPr>
          <w:p w14:paraId="06426235" w14:textId="77777777" w:rsidR="001338FC" w:rsidRPr="0070106F" w:rsidRDefault="001338FC" w:rsidP="00A825B8">
            <w:pPr>
              <w:adjustRightInd w:val="0"/>
              <w:snapToGrid w:val="0"/>
              <w:jc w:val="center"/>
              <w:rPr>
                <w:sz w:val="18"/>
                <w:szCs w:val="18"/>
              </w:rPr>
            </w:pPr>
            <w:r w:rsidRPr="0070106F">
              <w:rPr>
                <w:rFonts w:hint="eastAsia"/>
                <w:sz w:val="18"/>
                <w:szCs w:val="18"/>
              </w:rPr>
              <w:t>0.001</w:t>
            </w:r>
          </w:p>
        </w:tc>
        <w:tc>
          <w:tcPr>
            <w:tcW w:w="1111" w:type="dxa"/>
            <w:tcBorders>
              <w:top w:val="nil"/>
              <w:left w:val="nil"/>
              <w:bottom w:val="single" w:sz="4" w:space="0" w:color="auto"/>
              <w:right w:val="single" w:sz="4" w:space="0" w:color="auto"/>
            </w:tcBorders>
            <w:shd w:val="clear" w:color="000000" w:fill="FFFFFF"/>
            <w:noWrap/>
            <w:vAlign w:val="center"/>
            <w:hideMark/>
          </w:tcPr>
          <w:p w14:paraId="3BBE4938"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c>
          <w:tcPr>
            <w:tcW w:w="1111" w:type="dxa"/>
            <w:tcBorders>
              <w:top w:val="nil"/>
              <w:left w:val="nil"/>
              <w:bottom w:val="single" w:sz="4" w:space="0" w:color="auto"/>
              <w:right w:val="single" w:sz="4" w:space="0" w:color="auto"/>
            </w:tcBorders>
            <w:shd w:val="clear" w:color="000000" w:fill="FFFFFF"/>
            <w:vAlign w:val="center"/>
            <w:hideMark/>
          </w:tcPr>
          <w:p w14:paraId="0E0BCB81"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c>
          <w:tcPr>
            <w:tcW w:w="1010" w:type="dxa"/>
            <w:tcBorders>
              <w:top w:val="nil"/>
              <w:left w:val="nil"/>
              <w:bottom w:val="single" w:sz="4" w:space="0" w:color="auto"/>
              <w:right w:val="single" w:sz="12" w:space="0" w:color="auto"/>
            </w:tcBorders>
            <w:shd w:val="clear" w:color="000000" w:fill="FFFFFF"/>
            <w:vAlign w:val="center"/>
            <w:hideMark/>
          </w:tcPr>
          <w:p w14:paraId="758AC563"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r>
      <w:tr w:rsidR="001338FC" w:rsidRPr="0070106F" w14:paraId="72DCE5AC"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4EB88A06"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1893F308"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7EDF2E21"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52F998FB"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C</w:t>
            </w:r>
          </w:p>
        </w:tc>
        <w:tc>
          <w:tcPr>
            <w:tcW w:w="1111" w:type="dxa"/>
            <w:tcBorders>
              <w:top w:val="nil"/>
              <w:left w:val="nil"/>
              <w:bottom w:val="single" w:sz="4" w:space="0" w:color="auto"/>
              <w:right w:val="single" w:sz="4" w:space="0" w:color="auto"/>
            </w:tcBorders>
            <w:shd w:val="clear" w:color="000000" w:fill="FFFFFF"/>
            <w:vAlign w:val="center"/>
            <w:hideMark/>
          </w:tcPr>
          <w:p w14:paraId="4C6EABBA"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w:t>
            </w:r>
            <w:r>
              <w:rPr>
                <w:color w:val="000000"/>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14:paraId="4CBED08B"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c>
          <w:tcPr>
            <w:tcW w:w="1111" w:type="dxa"/>
            <w:tcBorders>
              <w:top w:val="nil"/>
              <w:left w:val="nil"/>
              <w:bottom w:val="single" w:sz="4" w:space="0" w:color="auto"/>
              <w:right w:val="single" w:sz="4" w:space="0" w:color="auto"/>
            </w:tcBorders>
            <w:shd w:val="clear" w:color="000000" w:fill="FFFFFF"/>
            <w:noWrap/>
            <w:vAlign w:val="center"/>
            <w:hideMark/>
          </w:tcPr>
          <w:p w14:paraId="4F533365" w14:textId="77777777" w:rsidR="001338FC" w:rsidRPr="0070106F" w:rsidRDefault="001338FC" w:rsidP="00A825B8">
            <w:pPr>
              <w:adjustRightInd w:val="0"/>
              <w:snapToGrid w:val="0"/>
              <w:jc w:val="center"/>
              <w:rPr>
                <w:sz w:val="18"/>
                <w:szCs w:val="18"/>
              </w:rPr>
            </w:pPr>
            <w:r w:rsidRPr="0070106F">
              <w:rPr>
                <w:rFonts w:hint="eastAsia"/>
                <w:sz w:val="18"/>
                <w:szCs w:val="18"/>
              </w:rPr>
              <w:t>0.008</w:t>
            </w:r>
          </w:p>
        </w:tc>
        <w:tc>
          <w:tcPr>
            <w:tcW w:w="1111" w:type="dxa"/>
            <w:tcBorders>
              <w:top w:val="nil"/>
              <w:left w:val="nil"/>
              <w:bottom w:val="single" w:sz="4" w:space="0" w:color="auto"/>
              <w:right w:val="single" w:sz="4" w:space="0" w:color="auto"/>
            </w:tcBorders>
            <w:shd w:val="clear" w:color="000000" w:fill="FFFFFF"/>
            <w:vAlign w:val="center"/>
            <w:hideMark/>
          </w:tcPr>
          <w:p w14:paraId="45E78DCC"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c>
          <w:tcPr>
            <w:tcW w:w="1010" w:type="dxa"/>
            <w:tcBorders>
              <w:top w:val="nil"/>
              <w:left w:val="nil"/>
              <w:bottom w:val="single" w:sz="4" w:space="0" w:color="auto"/>
              <w:right w:val="single" w:sz="12" w:space="0" w:color="auto"/>
            </w:tcBorders>
            <w:shd w:val="clear" w:color="000000" w:fill="FFFFFF"/>
            <w:vAlign w:val="center"/>
            <w:hideMark/>
          </w:tcPr>
          <w:p w14:paraId="5F37985C" w14:textId="77777777" w:rsidR="001338FC" w:rsidRPr="0070106F" w:rsidRDefault="001338FC" w:rsidP="00A825B8">
            <w:pPr>
              <w:adjustRightInd w:val="0"/>
              <w:snapToGrid w:val="0"/>
              <w:jc w:val="center"/>
              <w:rPr>
                <w:sz w:val="18"/>
                <w:szCs w:val="18"/>
              </w:rPr>
            </w:pPr>
            <w:r w:rsidRPr="0070106F">
              <w:rPr>
                <w:rFonts w:hint="eastAsia"/>
                <w:sz w:val="18"/>
                <w:szCs w:val="18"/>
              </w:rPr>
              <w:t>0.015</w:t>
            </w:r>
          </w:p>
        </w:tc>
      </w:tr>
      <w:tr w:rsidR="001338FC" w:rsidRPr="0070106F" w14:paraId="13600BF9"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1F63F90A"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5955AA5B"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467547F7"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1C569F95"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O</w:t>
            </w:r>
          </w:p>
        </w:tc>
        <w:tc>
          <w:tcPr>
            <w:tcW w:w="1111" w:type="dxa"/>
            <w:tcBorders>
              <w:top w:val="nil"/>
              <w:left w:val="nil"/>
              <w:bottom w:val="single" w:sz="4" w:space="0" w:color="auto"/>
              <w:right w:val="single" w:sz="4" w:space="0" w:color="auto"/>
            </w:tcBorders>
            <w:shd w:val="clear" w:color="000000" w:fill="FFFFFF"/>
            <w:vAlign w:val="center"/>
            <w:hideMark/>
          </w:tcPr>
          <w:p w14:paraId="4234CA3B"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0.005</w:t>
            </w:r>
          </w:p>
        </w:tc>
        <w:tc>
          <w:tcPr>
            <w:tcW w:w="1010" w:type="dxa"/>
            <w:tcBorders>
              <w:top w:val="nil"/>
              <w:left w:val="nil"/>
              <w:bottom w:val="single" w:sz="4" w:space="0" w:color="auto"/>
              <w:right w:val="single" w:sz="4" w:space="0" w:color="auto"/>
            </w:tcBorders>
            <w:shd w:val="clear" w:color="000000" w:fill="FFFFFF"/>
            <w:noWrap/>
            <w:vAlign w:val="center"/>
            <w:hideMark/>
          </w:tcPr>
          <w:p w14:paraId="7E3F0EA0" w14:textId="77777777" w:rsidR="001338FC" w:rsidRPr="0070106F" w:rsidRDefault="001338FC" w:rsidP="00A825B8">
            <w:pPr>
              <w:adjustRightInd w:val="0"/>
              <w:snapToGrid w:val="0"/>
              <w:jc w:val="center"/>
              <w:rPr>
                <w:sz w:val="18"/>
                <w:szCs w:val="18"/>
              </w:rPr>
            </w:pPr>
            <w:r w:rsidRPr="0070106F">
              <w:rPr>
                <w:rFonts w:hint="eastAsia"/>
                <w:sz w:val="18"/>
                <w:szCs w:val="18"/>
              </w:rPr>
              <w:t>0.01</w:t>
            </w:r>
          </w:p>
        </w:tc>
        <w:tc>
          <w:tcPr>
            <w:tcW w:w="1111" w:type="dxa"/>
            <w:tcBorders>
              <w:top w:val="nil"/>
              <w:left w:val="nil"/>
              <w:bottom w:val="single" w:sz="4" w:space="0" w:color="auto"/>
              <w:right w:val="single" w:sz="4" w:space="0" w:color="auto"/>
            </w:tcBorders>
            <w:shd w:val="clear" w:color="000000" w:fill="FFFFFF"/>
            <w:noWrap/>
            <w:vAlign w:val="center"/>
            <w:hideMark/>
          </w:tcPr>
          <w:p w14:paraId="5420FE1E" w14:textId="77777777" w:rsidR="001338FC" w:rsidRPr="0070106F" w:rsidRDefault="001338FC" w:rsidP="00A825B8">
            <w:pPr>
              <w:adjustRightInd w:val="0"/>
              <w:snapToGrid w:val="0"/>
              <w:jc w:val="center"/>
              <w:rPr>
                <w:sz w:val="18"/>
                <w:szCs w:val="18"/>
              </w:rPr>
            </w:pPr>
            <w:r w:rsidRPr="0070106F">
              <w:rPr>
                <w:rFonts w:hint="eastAsia"/>
                <w:sz w:val="18"/>
                <w:szCs w:val="18"/>
              </w:rPr>
              <w:t>0.02</w:t>
            </w:r>
          </w:p>
        </w:tc>
        <w:tc>
          <w:tcPr>
            <w:tcW w:w="1111" w:type="dxa"/>
            <w:tcBorders>
              <w:top w:val="nil"/>
              <w:left w:val="nil"/>
              <w:bottom w:val="single" w:sz="4" w:space="0" w:color="auto"/>
              <w:right w:val="single" w:sz="4" w:space="0" w:color="auto"/>
            </w:tcBorders>
            <w:shd w:val="clear" w:color="000000" w:fill="FFFFFF"/>
            <w:vAlign w:val="center"/>
            <w:hideMark/>
          </w:tcPr>
          <w:p w14:paraId="10C1B79E" w14:textId="77777777" w:rsidR="001338FC" w:rsidRPr="0070106F" w:rsidRDefault="001338FC" w:rsidP="00A825B8">
            <w:pPr>
              <w:adjustRightInd w:val="0"/>
              <w:snapToGrid w:val="0"/>
              <w:jc w:val="center"/>
              <w:rPr>
                <w:sz w:val="18"/>
                <w:szCs w:val="18"/>
              </w:rPr>
            </w:pPr>
            <w:r w:rsidRPr="0070106F">
              <w:rPr>
                <w:rFonts w:hint="eastAsia"/>
                <w:sz w:val="18"/>
                <w:szCs w:val="18"/>
              </w:rPr>
              <w:t>0.03</w:t>
            </w:r>
          </w:p>
        </w:tc>
        <w:tc>
          <w:tcPr>
            <w:tcW w:w="1010" w:type="dxa"/>
            <w:tcBorders>
              <w:top w:val="nil"/>
              <w:left w:val="nil"/>
              <w:bottom w:val="single" w:sz="4" w:space="0" w:color="auto"/>
              <w:right w:val="single" w:sz="12" w:space="0" w:color="auto"/>
            </w:tcBorders>
            <w:shd w:val="clear" w:color="000000" w:fill="FFFFFF"/>
            <w:vAlign w:val="center"/>
            <w:hideMark/>
          </w:tcPr>
          <w:p w14:paraId="72ADDF65" w14:textId="77777777" w:rsidR="001338FC" w:rsidRPr="0070106F" w:rsidRDefault="001338FC" w:rsidP="00A825B8">
            <w:pPr>
              <w:adjustRightInd w:val="0"/>
              <w:snapToGrid w:val="0"/>
              <w:jc w:val="center"/>
              <w:rPr>
                <w:sz w:val="18"/>
                <w:szCs w:val="18"/>
              </w:rPr>
            </w:pPr>
            <w:r w:rsidRPr="0070106F">
              <w:rPr>
                <w:rFonts w:hint="eastAsia"/>
                <w:sz w:val="18"/>
                <w:szCs w:val="18"/>
              </w:rPr>
              <w:t>0.06</w:t>
            </w:r>
          </w:p>
        </w:tc>
      </w:tr>
      <w:tr w:rsidR="001338FC" w:rsidRPr="0070106F" w14:paraId="6E78B51D"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66B800AF"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3BFF2060"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4589E4CE"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561B9C2F"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N</w:t>
            </w:r>
          </w:p>
        </w:tc>
        <w:tc>
          <w:tcPr>
            <w:tcW w:w="1111" w:type="dxa"/>
            <w:tcBorders>
              <w:top w:val="nil"/>
              <w:left w:val="nil"/>
              <w:bottom w:val="single" w:sz="4" w:space="0" w:color="auto"/>
              <w:right w:val="single" w:sz="4" w:space="0" w:color="auto"/>
            </w:tcBorders>
            <w:shd w:val="clear" w:color="000000" w:fill="FFFFFF"/>
            <w:noWrap/>
            <w:vAlign w:val="center"/>
            <w:hideMark/>
          </w:tcPr>
          <w:p w14:paraId="7C439FBF"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0.002</w:t>
            </w:r>
          </w:p>
        </w:tc>
        <w:tc>
          <w:tcPr>
            <w:tcW w:w="1010" w:type="dxa"/>
            <w:tcBorders>
              <w:top w:val="nil"/>
              <w:left w:val="nil"/>
              <w:bottom w:val="single" w:sz="4" w:space="0" w:color="auto"/>
              <w:right w:val="single" w:sz="4" w:space="0" w:color="auto"/>
            </w:tcBorders>
            <w:shd w:val="clear" w:color="000000" w:fill="FFFFFF"/>
            <w:noWrap/>
            <w:vAlign w:val="center"/>
            <w:hideMark/>
          </w:tcPr>
          <w:p w14:paraId="49545913"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111" w:type="dxa"/>
            <w:tcBorders>
              <w:top w:val="nil"/>
              <w:left w:val="nil"/>
              <w:bottom w:val="single" w:sz="4" w:space="0" w:color="auto"/>
              <w:right w:val="single" w:sz="4" w:space="0" w:color="auto"/>
            </w:tcBorders>
            <w:shd w:val="clear" w:color="000000" w:fill="FFFFFF"/>
            <w:noWrap/>
            <w:vAlign w:val="center"/>
            <w:hideMark/>
          </w:tcPr>
          <w:p w14:paraId="43E9FCF4" w14:textId="77777777" w:rsidR="001338FC" w:rsidRPr="0070106F" w:rsidRDefault="001338FC" w:rsidP="00A825B8">
            <w:pPr>
              <w:adjustRightInd w:val="0"/>
              <w:snapToGrid w:val="0"/>
              <w:jc w:val="center"/>
              <w:rPr>
                <w:sz w:val="18"/>
                <w:szCs w:val="18"/>
              </w:rPr>
            </w:pPr>
            <w:r w:rsidRPr="0070106F">
              <w:rPr>
                <w:rFonts w:hint="eastAsia"/>
                <w:sz w:val="18"/>
                <w:szCs w:val="18"/>
              </w:rPr>
              <w:t>0.003</w:t>
            </w:r>
          </w:p>
        </w:tc>
        <w:tc>
          <w:tcPr>
            <w:tcW w:w="1111" w:type="dxa"/>
            <w:tcBorders>
              <w:top w:val="nil"/>
              <w:left w:val="nil"/>
              <w:bottom w:val="single" w:sz="4" w:space="0" w:color="auto"/>
              <w:right w:val="single" w:sz="4" w:space="0" w:color="auto"/>
            </w:tcBorders>
            <w:shd w:val="clear" w:color="000000" w:fill="FFFFFF"/>
            <w:vAlign w:val="center"/>
            <w:hideMark/>
          </w:tcPr>
          <w:p w14:paraId="0299E853"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c>
          <w:tcPr>
            <w:tcW w:w="1010" w:type="dxa"/>
            <w:tcBorders>
              <w:top w:val="nil"/>
              <w:left w:val="nil"/>
              <w:bottom w:val="single" w:sz="4" w:space="0" w:color="auto"/>
              <w:right w:val="single" w:sz="12" w:space="0" w:color="auto"/>
            </w:tcBorders>
            <w:shd w:val="clear" w:color="000000" w:fill="FFFFFF"/>
            <w:vAlign w:val="center"/>
            <w:hideMark/>
          </w:tcPr>
          <w:p w14:paraId="657256CC" w14:textId="77777777" w:rsidR="001338FC" w:rsidRPr="0070106F" w:rsidRDefault="001338FC" w:rsidP="00A825B8">
            <w:pPr>
              <w:adjustRightInd w:val="0"/>
              <w:snapToGrid w:val="0"/>
              <w:jc w:val="center"/>
              <w:rPr>
                <w:sz w:val="18"/>
                <w:szCs w:val="18"/>
              </w:rPr>
            </w:pPr>
            <w:r w:rsidRPr="0070106F">
              <w:rPr>
                <w:rFonts w:hint="eastAsia"/>
                <w:sz w:val="18"/>
                <w:szCs w:val="18"/>
              </w:rPr>
              <w:t>0.00</w:t>
            </w:r>
            <w:r>
              <w:rPr>
                <w:sz w:val="18"/>
                <w:szCs w:val="18"/>
              </w:rPr>
              <w:t>8</w:t>
            </w:r>
          </w:p>
        </w:tc>
      </w:tr>
      <w:tr w:rsidR="001338FC" w:rsidRPr="0070106F" w14:paraId="317A4BC0"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27C904AF"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65C57DD2"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6478CFBB"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09C62F19"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S</w:t>
            </w:r>
          </w:p>
        </w:tc>
        <w:tc>
          <w:tcPr>
            <w:tcW w:w="1111" w:type="dxa"/>
            <w:tcBorders>
              <w:top w:val="nil"/>
              <w:left w:val="nil"/>
              <w:bottom w:val="single" w:sz="4" w:space="0" w:color="auto"/>
              <w:right w:val="single" w:sz="4" w:space="0" w:color="auto"/>
            </w:tcBorders>
            <w:shd w:val="clear" w:color="000000" w:fill="FFFFFF"/>
            <w:noWrap/>
            <w:vAlign w:val="center"/>
            <w:hideMark/>
          </w:tcPr>
          <w:p w14:paraId="130996B8"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0.002</w:t>
            </w:r>
          </w:p>
        </w:tc>
        <w:tc>
          <w:tcPr>
            <w:tcW w:w="1010" w:type="dxa"/>
            <w:tcBorders>
              <w:top w:val="nil"/>
              <w:left w:val="nil"/>
              <w:bottom w:val="single" w:sz="4" w:space="0" w:color="auto"/>
              <w:right w:val="single" w:sz="4" w:space="0" w:color="auto"/>
            </w:tcBorders>
            <w:shd w:val="clear" w:color="000000" w:fill="FFFFFF"/>
            <w:noWrap/>
            <w:vAlign w:val="center"/>
            <w:hideMark/>
          </w:tcPr>
          <w:p w14:paraId="71E7D301" w14:textId="77777777" w:rsidR="001338FC" w:rsidRPr="0070106F" w:rsidRDefault="001338FC" w:rsidP="00A825B8">
            <w:pPr>
              <w:adjustRightInd w:val="0"/>
              <w:snapToGrid w:val="0"/>
              <w:jc w:val="center"/>
              <w:rPr>
                <w:sz w:val="18"/>
                <w:szCs w:val="18"/>
              </w:rPr>
            </w:pPr>
            <w:r w:rsidRPr="0070106F">
              <w:rPr>
                <w:rFonts w:hint="eastAsia"/>
                <w:sz w:val="18"/>
                <w:szCs w:val="18"/>
              </w:rPr>
              <w:t>0.002</w:t>
            </w:r>
          </w:p>
        </w:tc>
        <w:tc>
          <w:tcPr>
            <w:tcW w:w="1111" w:type="dxa"/>
            <w:tcBorders>
              <w:top w:val="nil"/>
              <w:left w:val="nil"/>
              <w:bottom w:val="single" w:sz="4" w:space="0" w:color="auto"/>
              <w:right w:val="single" w:sz="4" w:space="0" w:color="auto"/>
            </w:tcBorders>
            <w:shd w:val="clear" w:color="000000" w:fill="FFFFFF"/>
            <w:noWrap/>
            <w:vAlign w:val="center"/>
            <w:hideMark/>
          </w:tcPr>
          <w:p w14:paraId="6596B61C" w14:textId="77777777" w:rsidR="001338FC" w:rsidRPr="0070106F" w:rsidRDefault="001338FC" w:rsidP="00A825B8">
            <w:pPr>
              <w:adjustRightInd w:val="0"/>
              <w:snapToGrid w:val="0"/>
              <w:jc w:val="center"/>
              <w:rPr>
                <w:sz w:val="18"/>
                <w:szCs w:val="18"/>
              </w:rPr>
            </w:pPr>
            <w:r w:rsidRPr="0070106F">
              <w:rPr>
                <w:rFonts w:hint="eastAsia"/>
                <w:sz w:val="18"/>
                <w:szCs w:val="18"/>
              </w:rPr>
              <w:t>0.003</w:t>
            </w:r>
          </w:p>
        </w:tc>
        <w:tc>
          <w:tcPr>
            <w:tcW w:w="1111" w:type="dxa"/>
            <w:tcBorders>
              <w:top w:val="nil"/>
              <w:left w:val="nil"/>
              <w:bottom w:val="single" w:sz="4" w:space="0" w:color="auto"/>
              <w:right w:val="single" w:sz="4" w:space="0" w:color="auto"/>
            </w:tcBorders>
            <w:shd w:val="clear" w:color="000000" w:fill="FFFFFF"/>
            <w:vAlign w:val="center"/>
            <w:hideMark/>
          </w:tcPr>
          <w:p w14:paraId="61D54DFA"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c>
          <w:tcPr>
            <w:tcW w:w="1010" w:type="dxa"/>
            <w:tcBorders>
              <w:top w:val="nil"/>
              <w:left w:val="nil"/>
              <w:bottom w:val="single" w:sz="4" w:space="0" w:color="auto"/>
              <w:right w:val="single" w:sz="12" w:space="0" w:color="auto"/>
            </w:tcBorders>
            <w:shd w:val="clear" w:color="000000" w:fill="FFFFFF"/>
            <w:vAlign w:val="center"/>
            <w:hideMark/>
          </w:tcPr>
          <w:p w14:paraId="4F1D48AF" w14:textId="77777777" w:rsidR="001338FC" w:rsidRPr="0070106F" w:rsidRDefault="001338FC" w:rsidP="00A825B8">
            <w:pPr>
              <w:adjustRightInd w:val="0"/>
              <w:snapToGrid w:val="0"/>
              <w:jc w:val="center"/>
              <w:rPr>
                <w:sz w:val="18"/>
                <w:szCs w:val="18"/>
              </w:rPr>
            </w:pPr>
            <w:r w:rsidRPr="0070106F">
              <w:rPr>
                <w:rFonts w:hint="eastAsia"/>
                <w:sz w:val="18"/>
                <w:szCs w:val="18"/>
              </w:rPr>
              <w:t>0.005</w:t>
            </w:r>
          </w:p>
        </w:tc>
      </w:tr>
      <w:tr w:rsidR="001338FC" w:rsidRPr="0070106F" w14:paraId="7961E694" w14:textId="77777777" w:rsidTr="00A825B8">
        <w:trPr>
          <w:trHeight w:val="279"/>
        </w:trPr>
        <w:tc>
          <w:tcPr>
            <w:tcW w:w="1010" w:type="dxa"/>
            <w:vMerge/>
            <w:tcBorders>
              <w:top w:val="nil"/>
              <w:left w:val="single" w:sz="12" w:space="0" w:color="auto"/>
              <w:bottom w:val="single" w:sz="4" w:space="0" w:color="auto"/>
              <w:right w:val="single" w:sz="4" w:space="0" w:color="auto"/>
            </w:tcBorders>
            <w:vAlign w:val="center"/>
            <w:hideMark/>
          </w:tcPr>
          <w:p w14:paraId="3BB8C6FD"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3AB6A144" w14:textId="77777777" w:rsidR="001338FC" w:rsidRPr="0070106F" w:rsidRDefault="001338FC" w:rsidP="00A825B8">
            <w:pPr>
              <w:adjustRightInd w:val="0"/>
              <w:snapToGrid w:val="0"/>
              <w:rPr>
                <w:color w:val="000000"/>
                <w:sz w:val="18"/>
                <w:szCs w:val="18"/>
              </w:rPr>
            </w:pPr>
          </w:p>
        </w:tc>
        <w:tc>
          <w:tcPr>
            <w:tcW w:w="1010" w:type="dxa"/>
            <w:vMerge/>
            <w:tcBorders>
              <w:top w:val="nil"/>
              <w:left w:val="single" w:sz="4" w:space="0" w:color="auto"/>
              <w:bottom w:val="single" w:sz="4" w:space="0" w:color="auto"/>
              <w:right w:val="single" w:sz="4" w:space="0" w:color="auto"/>
            </w:tcBorders>
            <w:vAlign w:val="center"/>
            <w:hideMark/>
          </w:tcPr>
          <w:p w14:paraId="0B5580E1" w14:textId="77777777" w:rsidR="001338FC" w:rsidRPr="0070106F" w:rsidRDefault="001338FC" w:rsidP="00A825B8">
            <w:pPr>
              <w:adjustRightInd w:val="0"/>
              <w:snapToGrid w:val="0"/>
              <w:rPr>
                <w:color w:val="000000"/>
                <w:sz w:val="18"/>
                <w:szCs w:val="18"/>
              </w:rPr>
            </w:pPr>
          </w:p>
        </w:tc>
        <w:tc>
          <w:tcPr>
            <w:tcW w:w="1012" w:type="dxa"/>
            <w:tcBorders>
              <w:top w:val="nil"/>
              <w:left w:val="nil"/>
              <w:bottom w:val="single" w:sz="4" w:space="0" w:color="auto"/>
              <w:right w:val="single" w:sz="4" w:space="0" w:color="auto"/>
            </w:tcBorders>
            <w:shd w:val="clear" w:color="auto" w:fill="auto"/>
            <w:vAlign w:val="center"/>
            <w:hideMark/>
          </w:tcPr>
          <w:p w14:paraId="6A3DDCAD"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Cl</w:t>
            </w:r>
          </w:p>
        </w:tc>
        <w:tc>
          <w:tcPr>
            <w:tcW w:w="1111" w:type="dxa"/>
            <w:tcBorders>
              <w:top w:val="nil"/>
              <w:left w:val="nil"/>
              <w:bottom w:val="single" w:sz="4" w:space="0" w:color="auto"/>
              <w:right w:val="single" w:sz="4" w:space="0" w:color="auto"/>
            </w:tcBorders>
            <w:shd w:val="clear" w:color="000000" w:fill="FFFFFF"/>
            <w:vAlign w:val="center"/>
            <w:hideMark/>
          </w:tcPr>
          <w:p w14:paraId="6247C7BD"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0.0005</w:t>
            </w:r>
          </w:p>
        </w:tc>
        <w:tc>
          <w:tcPr>
            <w:tcW w:w="1010" w:type="dxa"/>
            <w:tcBorders>
              <w:top w:val="nil"/>
              <w:left w:val="nil"/>
              <w:bottom w:val="single" w:sz="4" w:space="0" w:color="auto"/>
              <w:right w:val="single" w:sz="4" w:space="0" w:color="auto"/>
            </w:tcBorders>
            <w:shd w:val="clear" w:color="000000" w:fill="FFFFFF"/>
            <w:vAlign w:val="center"/>
            <w:hideMark/>
          </w:tcPr>
          <w:p w14:paraId="76C69744"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0.001</w:t>
            </w:r>
          </w:p>
        </w:tc>
        <w:tc>
          <w:tcPr>
            <w:tcW w:w="1111" w:type="dxa"/>
            <w:tcBorders>
              <w:top w:val="nil"/>
              <w:left w:val="nil"/>
              <w:bottom w:val="single" w:sz="4" w:space="0" w:color="auto"/>
              <w:right w:val="single" w:sz="4" w:space="0" w:color="auto"/>
            </w:tcBorders>
            <w:shd w:val="clear" w:color="000000" w:fill="FFFFFF"/>
            <w:noWrap/>
            <w:vAlign w:val="center"/>
            <w:hideMark/>
          </w:tcPr>
          <w:p w14:paraId="3BA60457"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0.002</w:t>
            </w:r>
          </w:p>
        </w:tc>
        <w:tc>
          <w:tcPr>
            <w:tcW w:w="1111" w:type="dxa"/>
            <w:tcBorders>
              <w:top w:val="nil"/>
              <w:left w:val="nil"/>
              <w:bottom w:val="single" w:sz="4" w:space="0" w:color="auto"/>
              <w:right w:val="single" w:sz="4" w:space="0" w:color="auto"/>
            </w:tcBorders>
            <w:shd w:val="clear" w:color="000000" w:fill="FFFFFF"/>
            <w:vAlign w:val="center"/>
            <w:hideMark/>
          </w:tcPr>
          <w:p w14:paraId="6B01422A"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0.005</w:t>
            </w:r>
          </w:p>
        </w:tc>
        <w:tc>
          <w:tcPr>
            <w:tcW w:w="1010" w:type="dxa"/>
            <w:tcBorders>
              <w:top w:val="nil"/>
              <w:left w:val="nil"/>
              <w:bottom w:val="single" w:sz="4" w:space="0" w:color="auto"/>
              <w:right w:val="single" w:sz="12" w:space="0" w:color="auto"/>
            </w:tcBorders>
            <w:shd w:val="clear" w:color="000000" w:fill="FFFFFF"/>
            <w:vAlign w:val="center"/>
            <w:hideMark/>
          </w:tcPr>
          <w:p w14:paraId="2A5426D1"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0.01</w:t>
            </w:r>
          </w:p>
        </w:tc>
      </w:tr>
      <w:tr w:rsidR="001338FC" w:rsidRPr="0070106F" w14:paraId="01E33608" w14:textId="77777777" w:rsidTr="00A825B8">
        <w:trPr>
          <w:trHeight w:val="279"/>
        </w:trPr>
        <w:tc>
          <w:tcPr>
            <w:tcW w:w="1010" w:type="dxa"/>
            <w:vMerge/>
            <w:tcBorders>
              <w:top w:val="nil"/>
              <w:left w:val="single" w:sz="12" w:space="0" w:color="auto"/>
              <w:bottom w:val="single" w:sz="12" w:space="0" w:color="auto"/>
              <w:right w:val="single" w:sz="4" w:space="0" w:color="auto"/>
            </w:tcBorders>
            <w:vAlign w:val="center"/>
            <w:hideMark/>
          </w:tcPr>
          <w:p w14:paraId="3BD7C6FC" w14:textId="77777777" w:rsidR="001338FC" w:rsidRPr="0070106F" w:rsidRDefault="001338FC" w:rsidP="00A825B8">
            <w:pPr>
              <w:adjustRightInd w:val="0"/>
              <w:snapToGrid w:val="0"/>
              <w:rPr>
                <w:color w:val="000000"/>
                <w:sz w:val="18"/>
                <w:szCs w:val="18"/>
              </w:rPr>
            </w:pPr>
          </w:p>
        </w:tc>
        <w:tc>
          <w:tcPr>
            <w:tcW w:w="3032" w:type="dxa"/>
            <w:gridSpan w:val="3"/>
            <w:tcBorders>
              <w:top w:val="single" w:sz="4" w:space="0" w:color="auto"/>
              <w:left w:val="nil"/>
              <w:bottom w:val="single" w:sz="12" w:space="0" w:color="auto"/>
              <w:right w:val="single" w:sz="4" w:space="0" w:color="auto"/>
            </w:tcBorders>
            <w:shd w:val="clear" w:color="auto" w:fill="auto"/>
            <w:vAlign w:val="center"/>
            <w:hideMark/>
          </w:tcPr>
          <w:p w14:paraId="5FF977E7"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杂质合量，不大于</w:t>
            </w:r>
          </w:p>
        </w:tc>
        <w:tc>
          <w:tcPr>
            <w:tcW w:w="1111" w:type="dxa"/>
            <w:tcBorders>
              <w:top w:val="nil"/>
              <w:left w:val="nil"/>
              <w:bottom w:val="single" w:sz="12" w:space="0" w:color="auto"/>
              <w:right w:val="single" w:sz="4" w:space="0" w:color="auto"/>
            </w:tcBorders>
            <w:shd w:val="clear" w:color="auto" w:fill="auto"/>
            <w:vAlign w:val="center"/>
            <w:hideMark/>
          </w:tcPr>
          <w:p w14:paraId="0079C844"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0.005</w:t>
            </w:r>
          </w:p>
        </w:tc>
        <w:tc>
          <w:tcPr>
            <w:tcW w:w="1010" w:type="dxa"/>
            <w:tcBorders>
              <w:top w:val="nil"/>
              <w:left w:val="nil"/>
              <w:bottom w:val="single" w:sz="12" w:space="0" w:color="auto"/>
              <w:right w:val="single" w:sz="4" w:space="0" w:color="auto"/>
            </w:tcBorders>
            <w:shd w:val="clear" w:color="auto" w:fill="auto"/>
            <w:vAlign w:val="center"/>
            <w:hideMark/>
          </w:tcPr>
          <w:p w14:paraId="5B048908"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0.01</w:t>
            </w:r>
          </w:p>
        </w:tc>
        <w:tc>
          <w:tcPr>
            <w:tcW w:w="1111" w:type="dxa"/>
            <w:tcBorders>
              <w:top w:val="nil"/>
              <w:left w:val="nil"/>
              <w:bottom w:val="single" w:sz="12" w:space="0" w:color="auto"/>
              <w:right w:val="single" w:sz="4" w:space="0" w:color="auto"/>
            </w:tcBorders>
            <w:shd w:val="clear" w:color="auto" w:fill="auto"/>
            <w:vAlign w:val="center"/>
            <w:hideMark/>
          </w:tcPr>
          <w:p w14:paraId="5809D7D1"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0.03</w:t>
            </w:r>
          </w:p>
        </w:tc>
        <w:tc>
          <w:tcPr>
            <w:tcW w:w="1111" w:type="dxa"/>
            <w:tcBorders>
              <w:top w:val="nil"/>
              <w:left w:val="nil"/>
              <w:bottom w:val="single" w:sz="12" w:space="0" w:color="auto"/>
              <w:right w:val="single" w:sz="4" w:space="0" w:color="auto"/>
            </w:tcBorders>
            <w:shd w:val="clear" w:color="auto" w:fill="auto"/>
            <w:vAlign w:val="center"/>
            <w:hideMark/>
          </w:tcPr>
          <w:p w14:paraId="0CA93F0D"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0.05</w:t>
            </w:r>
          </w:p>
        </w:tc>
        <w:tc>
          <w:tcPr>
            <w:tcW w:w="1010" w:type="dxa"/>
            <w:tcBorders>
              <w:top w:val="nil"/>
              <w:left w:val="nil"/>
              <w:bottom w:val="single" w:sz="12" w:space="0" w:color="auto"/>
              <w:right w:val="single" w:sz="12" w:space="0" w:color="auto"/>
            </w:tcBorders>
            <w:shd w:val="clear" w:color="auto" w:fill="auto"/>
            <w:vAlign w:val="center"/>
            <w:hideMark/>
          </w:tcPr>
          <w:p w14:paraId="53E48C32" w14:textId="77777777" w:rsidR="001338FC" w:rsidRPr="0070106F" w:rsidRDefault="001338FC" w:rsidP="00A825B8">
            <w:pPr>
              <w:adjustRightInd w:val="0"/>
              <w:snapToGrid w:val="0"/>
              <w:jc w:val="center"/>
              <w:rPr>
                <w:color w:val="000000"/>
                <w:sz w:val="18"/>
                <w:szCs w:val="18"/>
              </w:rPr>
            </w:pPr>
            <w:r w:rsidRPr="0070106F">
              <w:rPr>
                <w:rFonts w:hint="eastAsia"/>
                <w:color w:val="000000"/>
                <w:sz w:val="18"/>
                <w:szCs w:val="18"/>
              </w:rPr>
              <w:t>0.1</w:t>
            </w:r>
          </w:p>
        </w:tc>
      </w:tr>
    </w:tbl>
    <w:p w14:paraId="2511E1E3" w14:textId="77777777" w:rsidR="00601EFB" w:rsidRDefault="003B2497">
      <w:pPr>
        <w:spacing w:beforeLines="50" w:before="156" w:afterLines="50" w:after="156" w:line="312" w:lineRule="auto"/>
        <w:rPr>
          <w:rFonts w:ascii="黑体" w:eastAsia="黑体"/>
          <w:bCs/>
        </w:rPr>
      </w:pPr>
      <w:r>
        <w:rPr>
          <w:rFonts w:ascii="黑体" w:eastAsia="黑体" w:hint="eastAsia"/>
          <w:bCs/>
        </w:rPr>
        <w:t>三、试验验证的分析、综述报告，预期达到的社会效益</w:t>
      </w:r>
    </w:p>
    <w:p w14:paraId="16FCC257" w14:textId="5316F7A7" w:rsidR="00076C45" w:rsidRPr="00B042E4" w:rsidRDefault="00B042E4" w:rsidP="00B042E4">
      <w:pPr>
        <w:spacing w:line="360" w:lineRule="auto"/>
        <w:ind w:firstLineChars="200" w:firstLine="480"/>
        <w:jc w:val="both"/>
        <w:rPr>
          <w:rFonts w:ascii="Times New Roman" w:hAnsi="Times New Roman" w:cs="Times New Roman"/>
          <w:kern w:val="2"/>
        </w:rPr>
      </w:pPr>
      <w:r w:rsidRPr="00B042E4">
        <w:rPr>
          <w:rFonts w:ascii="Times New Roman" w:hAnsi="Times New Roman" w:cs="Times New Roman" w:hint="eastAsia"/>
          <w:kern w:val="2"/>
        </w:rPr>
        <w:lastRenderedPageBreak/>
        <w:t>《高纯金属</w:t>
      </w:r>
      <w:r w:rsidR="00AE17EA">
        <w:rPr>
          <w:rFonts w:ascii="Times New Roman" w:hAnsi="Times New Roman" w:cs="Times New Roman" w:hint="eastAsia"/>
          <w:kern w:val="2"/>
        </w:rPr>
        <w:t>钬</w:t>
      </w:r>
      <w:r w:rsidRPr="00B042E4">
        <w:rPr>
          <w:rFonts w:ascii="Times New Roman" w:hAnsi="Times New Roman" w:cs="Times New Roman" w:hint="eastAsia"/>
          <w:kern w:val="2"/>
        </w:rPr>
        <w:t>》标准为首次制定，起草单位涵盖了国内高纯稀土金属生产主要单位，规定了高纯金属</w:t>
      </w:r>
      <w:proofErr w:type="gramStart"/>
      <w:r w:rsidR="00AE17EA">
        <w:rPr>
          <w:rFonts w:ascii="Times New Roman" w:hAnsi="Times New Roman" w:cs="Times New Roman" w:hint="eastAsia"/>
          <w:kern w:val="2"/>
        </w:rPr>
        <w:t>钬</w:t>
      </w:r>
      <w:proofErr w:type="gramEnd"/>
      <w:r w:rsidRPr="00B042E4">
        <w:rPr>
          <w:rFonts w:ascii="Times New Roman" w:hAnsi="Times New Roman" w:cs="Times New Roman" w:hint="eastAsia"/>
          <w:kern w:val="2"/>
        </w:rPr>
        <w:t>的分类、技术要求、试验方法、检验规则等内容，产品按化学成分分为绝对纯度</w:t>
      </w:r>
      <w:r w:rsidR="00844FDF" w:rsidRPr="00844FDF">
        <w:rPr>
          <w:rFonts w:ascii="Times New Roman" w:hAnsi="Times New Roman" w:cs="Times New Roman"/>
          <w:kern w:val="2"/>
        </w:rPr>
        <w:t>H-Ho-4N</w:t>
      </w:r>
      <w:r w:rsidR="00844FDF" w:rsidRPr="00844FDF">
        <w:rPr>
          <w:rFonts w:ascii="Times New Roman" w:hAnsi="Times New Roman" w:cs="Times New Roman"/>
          <w:kern w:val="2"/>
          <w:vertAlign w:val="superscript"/>
        </w:rPr>
        <w:t>a</w:t>
      </w:r>
      <w:r w:rsidR="00844FDF" w:rsidRPr="00844FDF">
        <w:rPr>
          <w:rFonts w:ascii="Times New Roman" w:hAnsi="Times New Roman" w:cs="Times New Roman"/>
          <w:kern w:val="2"/>
        </w:rPr>
        <w:t xml:space="preserve"> 5</w:t>
      </w:r>
      <w:r w:rsidR="00844FDF" w:rsidRPr="00844FDF">
        <w:rPr>
          <w:rFonts w:ascii="Times New Roman" w:hAnsi="Times New Roman" w:cs="Times New Roman"/>
          <w:kern w:val="2"/>
        </w:rPr>
        <w:t>、</w:t>
      </w:r>
      <w:r w:rsidR="00844FDF" w:rsidRPr="00844FDF">
        <w:rPr>
          <w:rFonts w:ascii="Times New Roman" w:hAnsi="Times New Roman" w:cs="Times New Roman"/>
          <w:kern w:val="2"/>
        </w:rPr>
        <w:t>H-Ho-4N</w:t>
      </w:r>
      <w:r w:rsidR="00844FDF" w:rsidRPr="00844FDF">
        <w:rPr>
          <w:rFonts w:ascii="Times New Roman" w:hAnsi="Times New Roman" w:cs="Times New Roman"/>
          <w:kern w:val="2"/>
          <w:vertAlign w:val="superscript"/>
        </w:rPr>
        <w:t>a</w:t>
      </w:r>
      <w:r w:rsidR="00844FDF" w:rsidRPr="00844FDF">
        <w:rPr>
          <w:rFonts w:ascii="Times New Roman" w:hAnsi="Times New Roman" w:cs="Times New Roman"/>
          <w:kern w:val="2"/>
        </w:rPr>
        <w:t>、</w:t>
      </w:r>
      <w:r w:rsidR="00844FDF" w:rsidRPr="00844FDF">
        <w:rPr>
          <w:rFonts w:ascii="Times New Roman" w:hAnsi="Times New Roman" w:cs="Times New Roman"/>
          <w:kern w:val="2"/>
        </w:rPr>
        <w:t>H-Ho-3N</w:t>
      </w:r>
      <w:r w:rsidR="00844FDF" w:rsidRPr="00844FDF">
        <w:rPr>
          <w:rFonts w:ascii="Times New Roman" w:hAnsi="Times New Roman" w:cs="Times New Roman"/>
          <w:kern w:val="2"/>
          <w:vertAlign w:val="superscript"/>
        </w:rPr>
        <w:t>a</w:t>
      </w:r>
      <w:r w:rsidR="00844FDF" w:rsidRPr="00844FDF">
        <w:rPr>
          <w:rFonts w:ascii="Times New Roman" w:hAnsi="Times New Roman" w:cs="Times New Roman"/>
          <w:kern w:val="2"/>
        </w:rPr>
        <w:t>7</w:t>
      </w:r>
      <w:r w:rsidR="00844FDF" w:rsidRPr="00844FDF">
        <w:rPr>
          <w:rFonts w:ascii="Times New Roman" w:hAnsi="Times New Roman" w:cs="Times New Roman"/>
          <w:kern w:val="2"/>
        </w:rPr>
        <w:t>、</w:t>
      </w:r>
      <w:r w:rsidR="00844FDF" w:rsidRPr="00844FDF">
        <w:rPr>
          <w:rFonts w:ascii="Times New Roman" w:hAnsi="Times New Roman" w:cs="Times New Roman"/>
          <w:kern w:val="2"/>
        </w:rPr>
        <w:t>H-Ho-3N</w:t>
      </w:r>
      <w:r w:rsidR="00844FDF" w:rsidRPr="00844FDF">
        <w:rPr>
          <w:rFonts w:ascii="Times New Roman" w:hAnsi="Times New Roman" w:cs="Times New Roman"/>
          <w:kern w:val="2"/>
          <w:vertAlign w:val="superscript"/>
        </w:rPr>
        <w:t>a</w:t>
      </w:r>
      <w:r w:rsidR="00844FDF" w:rsidRPr="00844FDF">
        <w:rPr>
          <w:rFonts w:ascii="Times New Roman" w:hAnsi="Times New Roman" w:cs="Times New Roman"/>
          <w:kern w:val="2"/>
        </w:rPr>
        <w:t>5</w:t>
      </w:r>
      <w:r w:rsidR="00844FDF" w:rsidRPr="00844FDF">
        <w:rPr>
          <w:rFonts w:ascii="Times New Roman" w:hAnsi="Times New Roman" w:cs="Times New Roman"/>
          <w:kern w:val="2"/>
        </w:rPr>
        <w:t>、</w:t>
      </w:r>
      <w:r w:rsidR="00844FDF" w:rsidRPr="00844FDF">
        <w:rPr>
          <w:rFonts w:ascii="Times New Roman" w:hAnsi="Times New Roman" w:cs="Times New Roman"/>
          <w:kern w:val="2"/>
        </w:rPr>
        <w:t>H-Ho-3N</w:t>
      </w:r>
      <w:r w:rsidR="00844FDF" w:rsidRPr="00844FDF">
        <w:rPr>
          <w:rFonts w:ascii="Times New Roman" w:hAnsi="Times New Roman" w:cs="Times New Roman"/>
          <w:kern w:val="2"/>
          <w:vertAlign w:val="superscript"/>
        </w:rPr>
        <w:t>a</w:t>
      </w:r>
      <w:r w:rsidR="00844FDF" w:rsidRPr="00844FDF">
        <w:rPr>
          <w:rFonts w:ascii="Times New Roman" w:hAnsi="Times New Roman" w:cs="Times New Roman"/>
          <w:kern w:val="2"/>
        </w:rPr>
        <w:t>五个牌号</w:t>
      </w:r>
      <w:r w:rsidR="00844FDF">
        <w:rPr>
          <w:rFonts w:ascii="Times New Roman" w:hAnsi="Times New Roman" w:cs="Times New Roman" w:hint="eastAsia"/>
          <w:kern w:val="2"/>
        </w:rPr>
        <w:t>。本</w:t>
      </w:r>
      <w:r w:rsidRPr="00B042E4">
        <w:rPr>
          <w:rFonts w:ascii="Times New Roman" w:hAnsi="Times New Roman" w:cs="Times New Roman"/>
          <w:kern w:val="2"/>
        </w:rPr>
        <w:t>文</w:t>
      </w:r>
      <w:proofErr w:type="gramStart"/>
      <w:r w:rsidRPr="00B042E4">
        <w:rPr>
          <w:rFonts w:ascii="Times New Roman" w:hAnsi="Times New Roman" w:cs="Times New Roman"/>
          <w:kern w:val="2"/>
        </w:rPr>
        <w:t>本内容</w:t>
      </w:r>
      <w:proofErr w:type="gramEnd"/>
      <w:r w:rsidRPr="00B042E4">
        <w:rPr>
          <w:rFonts w:ascii="Times New Roman" w:hAnsi="Times New Roman" w:cs="Times New Roman"/>
          <w:kern w:val="2"/>
        </w:rPr>
        <w:t>全面、详实，条款清晰，可操作性强，</w:t>
      </w:r>
      <w:r w:rsidR="00844FDF">
        <w:rPr>
          <w:rFonts w:ascii="Times New Roman" w:hAnsi="Times New Roman" w:cs="Times New Roman" w:hint="eastAsia"/>
          <w:kern w:val="2"/>
        </w:rPr>
        <w:t>将</w:t>
      </w:r>
      <w:r w:rsidRPr="00B042E4">
        <w:rPr>
          <w:rFonts w:ascii="Times New Roman" w:hAnsi="Times New Roman" w:cs="Times New Roman"/>
          <w:kern w:val="2"/>
        </w:rPr>
        <w:t>打破美国、日本等发达国家技术标准封锁，实现国产高纯金属</w:t>
      </w:r>
      <w:r w:rsidR="00AE17EA">
        <w:rPr>
          <w:rFonts w:ascii="Times New Roman" w:hAnsi="Times New Roman" w:cs="Times New Roman"/>
          <w:kern w:val="2"/>
        </w:rPr>
        <w:t>钬</w:t>
      </w:r>
      <w:r w:rsidRPr="00B042E4">
        <w:rPr>
          <w:rFonts w:ascii="Times New Roman" w:hAnsi="Times New Roman" w:cs="Times New Roman"/>
          <w:kern w:val="2"/>
        </w:rPr>
        <w:t>产品的安全可控。</w:t>
      </w:r>
      <w:r w:rsidRPr="00B042E4">
        <w:rPr>
          <w:rFonts w:ascii="Times New Roman" w:hAnsi="Times New Roman" w:cs="Times New Roman" w:hint="eastAsia"/>
          <w:kern w:val="2"/>
        </w:rPr>
        <w:t>因此，《高纯金属</w:t>
      </w:r>
      <w:r w:rsidR="00AE17EA">
        <w:rPr>
          <w:rFonts w:ascii="Times New Roman" w:hAnsi="Times New Roman" w:cs="Times New Roman" w:hint="eastAsia"/>
          <w:kern w:val="2"/>
        </w:rPr>
        <w:t>钬</w:t>
      </w:r>
      <w:r w:rsidRPr="00B042E4">
        <w:rPr>
          <w:rFonts w:ascii="Times New Roman" w:hAnsi="Times New Roman" w:cs="Times New Roman" w:hint="eastAsia"/>
          <w:kern w:val="2"/>
        </w:rPr>
        <w:t>》标准的研制，将引领高纯稀土金属产业的高质量发展方向，提升我国在高纯金属材料领域国际竞争力，具有重大经济社会效益。</w:t>
      </w:r>
    </w:p>
    <w:p w14:paraId="54007741" w14:textId="77777777" w:rsidR="00601EFB" w:rsidRDefault="003B2497">
      <w:pPr>
        <w:spacing w:beforeLines="50" w:before="156" w:afterLines="50" w:after="156" w:line="312" w:lineRule="auto"/>
        <w:rPr>
          <w:rFonts w:ascii="黑体" w:eastAsia="黑体"/>
          <w:bCs/>
        </w:rPr>
      </w:pPr>
      <w:r>
        <w:rPr>
          <w:rFonts w:ascii="黑体" w:eastAsia="黑体" w:hint="eastAsia"/>
          <w:bCs/>
        </w:rPr>
        <w:t>四、与国际、国外同类标准技术内容的对比情况</w:t>
      </w:r>
    </w:p>
    <w:p w14:paraId="7B731512" w14:textId="60734B59" w:rsidR="00B042E4" w:rsidRPr="007F062F" w:rsidRDefault="00076C45" w:rsidP="00B042E4">
      <w:pPr>
        <w:pStyle w:val="afffff2"/>
        <w:adjustRightInd w:val="0"/>
        <w:snapToGrid w:val="0"/>
        <w:spacing w:line="360" w:lineRule="auto"/>
        <w:ind w:firstLine="480"/>
        <w:rPr>
          <w:b/>
          <w:bCs/>
          <w:sz w:val="24"/>
        </w:rPr>
      </w:pPr>
      <w:r w:rsidRPr="00B042E4">
        <w:rPr>
          <w:rFonts w:hint="eastAsia"/>
          <w:sz w:val="24"/>
        </w:rPr>
        <w:t>目前，</w:t>
      </w:r>
      <w:r w:rsidR="00A4327F" w:rsidRPr="00B042E4">
        <w:rPr>
          <w:rFonts w:hint="eastAsia"/>
          <w:sz w:val="24"/>
        </w:rPr>
        <w:t>未见有关高纯金属</w:t>
      </w:r>
      <w:proofErr w:type="gramStart"/>
      <w:r w:rsidR="00AE17EA">
        <w:rPr>
          <w:rFonts w:hint="eastAsia"/>
          <w:sz w:val="24"/>
        </w:rPr>
        <w:t>钬</w:t>
      </w:r>
      <w:proofErr w:type="gramEnd"/>
      <w:r w:rsidR="00A4327F" w:rsidRPr="00B042E4">
        <w:rPr>
          <w:rFonts w:hint="eastAsia"/>
          <w:sz w:val="24"/>
        </w:rPr>
        <w:t>的国际、国外同类标准技术内容。</w:t>
      </w:r>
      <w:r w:rsidR="00B042E4" w:rsidRPr="00B042E4">
        <w:rPr>
          <w:rFonts w:hint="eastAsia"/>
          <w:sz w:val="24"/>
        </w:rPr>
        <w:t>欧美日等发达国家生产的高纯金属</w:t>
      </w:r>
      <w:proofErr w:type="gramStart"/>
      <w:r w:rsidR="00AE17EA">
        <w:rPr>
          <w:rFonts w:hint="eastAsia"/>
          <w:sz w:val="24"/>
        </w:rPr>
        <w:t>钬</w:t>
      </w:r>
      <w:proofErr w:type="gramEnd"/>
      <w:r w:rsidR="00B042E4" w:rsidRPr="00B042E4">
        <w:rPr>
          <w:rFonts w:hint="eastAsia"/>
          <w:sz w:val="24"/>
        </w:rPr>
        <w:t>的绝对纯度达到</w:t>
      </w:r>
      <w:r w:rsidR="00B042E4" w:rsidRPr="00B042E4">
        <w:rPr>
          <w:rFonts w:hint="eastAsia"/>
          <w:sz w:val="24"/>
        </w:rPr>
        <w:t>99.99%</w:t>
      </w:r>
      <w:r w:rsidR="00B042E4" w:rsidRPr="00B042E4">
        <w:rPr>
          <w:rFonts w:hint="eastAsia"/>
          <w:sz w:val="24"/>
        </w:rPr>
        <w:t>（</w:t>
      </w:r>
      <w:r w:rsidR="00B042E4" w:rsidRPr="00B042E4">
        <w:rPr>
          <w:rFonts w:hint="eastAsia"/>
          <w:sz w:val="24"/>
        </w:rPr>
        <w:t>4</w:t>
      </w:r>
      <w:r w:rsidR="00B042E4" w:rsidRPr="00B042E4">
        <w:rPr>
          <w:sz w:val="24"/>
        </w:rPr>
        <w:t>N</w:t>
      </w:r>
      <w:r w:rsidR="00B042E4" w:rsidRPr="00B042E4">
        <w:rPr>
          <w:rFonts w:hint="eastAsia"/>
          <w:sz w:val="24"/>
        </w:rPr>
        <w:t>）以上，在新一代电子信息等领域实现稳定应用，如美国埃姆斯、</w:t>
      </w:r>
      <w:proofErr w:type="gramStart"/>
      <w:r w:rsidR="00B042E4" w:rsidRPr="00B042E4">
        <w:rPr>
          <w:rFonts w:hint="eastAsia"/>
          <w:sz w:val="24"/>
        </w:rPr>
        <w:t>日矿金</w:t>
      </w:r>
      <w:proofErr w:type="gramEnd"/>
      <w:r w:rsidR="00B042E4" w:rsidRPr="00B042E4">
        <w:rPr>
          <w:rFonts w:hint="eastAsia"/>
          <w:sz w:val="24"/>
        </w:rPr>
        <w:t>属、日本</w:t>
      </w:r>
      <w:r w:rsidR="00AE17EA">
        <w:rPr>
          <w:rFonts w:hint="eastAsia"/>
          <w:sz w:val="24"/>
        </w:rPr>
        <w:t>钬</w:t>
      </w:r>
      <w:r w:rsidR="00B042E4" w:rsidRPr="00B042E4">
        <w:rPr>
          <w:rFonts w:hint="eastAsia"/>
          <w:sz w:val="24"/>
        </w:rPr>
        <w:t>公司等单位。面向国内外</w:t>
      </w:r>
      <w:proofErr w:type="gramStart"/>
      <w:r w:rsidR="00B042E4" w:rsidRPr="00B042E4">
        <w:rPr>
          <w:rFonts w:hint="eastAsia"/>
          <w:sz w:val="24"/>
        </w:rPr>
        <w:t>微纳电子</w:t>
      </w:r>
      <w:proofErr w:type="gramEnd"/>
      <w:r w:rsidR="00B042E4" w:rsidRPr="00B042E4">
        <w:rPr>
          <w:rFonts w:hint="eastAsia"/>
          <w:sz w:val="24"/>
        </w:rPr>
        <w:t>制造领域对高纯金属</w:t>
      </w:r>
      <w:r w:rsidR="00AE17EA">
        <w:rPr>
          <w:rFonts w:hint="eastAsia"/>
          <w:sz w:val="24"/>
        </w:rPr>
        <w:t>钬</w:t>
      </w:r>
      <w:r w:rsidR="00B042E4" w:rsidRPr="00B042E4">
        <w:rPr>
          <w:rFonts w:hint="eastAsia"/>
          <w:sz w:val="24"/>
        </w:rPr>
        <w:t>的应用需求，通过开展技术创新、标准研制和产业提升联动攻关，国内多家企业突破了高纯金属</w:t>
      </w:r>
      <w:r w:rsidR="00AE17EA">
        <w:rPr>
          <w:rFonts w:hint="eastAsia"/>
          <w:sz w:val="24"/>
        </w:rPr>
        <w:t>钬</w:t>
      </w:r>
      <w:r w:rsidR="00B042E4" w:rsidRPr="00B042E4">
        <w:rPr>
          <w:rFonts w:hint="eastAsia"/>
          <w:sz w:val="24"/>
        </w:rPr>
        <w:t>规模化制备技术，最高规格产品的绝对纯度≥</w:t>
      </w:r>
      <w:r w:rsidR="00B042E4" w:rsidRPr="00B042E4">
        <w:rPr>
          <w:rFonts w:hint="eastAsia"/>
          <w:sz w:val="24"/>
        </w:rPr>
        <w:t>4N</w:t>
      </w:r>
      <w:r w:rsidR="00B042E4" w:rsidRPr="00B042E4">
        <w:rPr>
          <w:rFonts w:hint="eastAsia"/>
          <w:sz w:val="24"/>
        </w:rPr>
        <w:t>，满足了集成电路、</w:t>
      </w:r>
      <w:r w:rsidR="00844FDF">
        <w:rPr>
          <w:rFonts w:hint="eastAsia"/>
          <w:sz w:val="24"/>
        </w:rPr>
        <w:t>磁致冷</w:t>
      </w:r>
      <w:r w:rsidR="00B042E4" w:rsidRPr="00B042E4">
        <w:rPr>
          <w:rFonts w:hint="eastAsia"/>
          <w:sz w:val="24"/>
        </w:rPr>
        <w:t>等高端器件的应用要求，技术指标达到国际先进水平</w:t>
      </w:r>
      <w:r w:rsidR="00B042E4" w:rsidRPr="007F062F">
        <w:rPr>
          <w:rFonts w:hint="eastAsia"/>
          <w:sz w:val="24"/>
        </w:rPr>
        <w:t>。</w:t>
      </w:r>
    </w:p>
    <w:p w14:paraId="70C9C404" w14:textId="33279241" w:rsidR="00076C45" w:rsidRPr="00B042E4" w:rsidRDefault="00B042E4" w:rsidP="00B042E4">
      <w:pPr>
        <w:pStyle w:val="afffff2"/>
        <w:adjustRightInd w:val="0"/>
        <w:snapToGrid w:val="0"/>
        <w:spacing w:line="360" w:lineRule="auto"/>
        <w:ind w:firstLine="480"/>
        <w:rPr>
          <w:sz w:val="24"/>
        </w:rPr>
      </w:pPr>
      <w:r w:rsidRPr="007F062F">
        <w:rPr>
          <w:rFonts w:hint="eastAsia"/>
          <w:sz w:val="24"/>
        </w:rPr>
        <w:t>《高纯金属</w:t>
      </w:r>
      <w:r w:rsidR="00AE17EA">
        <w:rPr>
          <w:rFonts w:hint="eastAsia"/>
          <w:sz w:val="24"/>
        </w:rPr>
        <w:t>钬</w:t>
      </w:r>
      <w:r w:rsidRPr="007F062F">
        <w:rPr>
          <w:rFonts w:hint="eastAsia"/>
          <w:sz w:val="24"/>
        </w:rPr>
        <w:t>》标准为首次制定，起草单位涵盖了国内高纯稀土金属生产主要单位，规定了高纯金属</w:t>
      </w:r>
      <w:proofErr w:type="gramStart"/>
      <w:r w:rsidR="00AE17EA">
        <w:rPr>
          <w:rFonts w:hint="eastAsia"/>
          <w:sz w:val="24"/>
        </w:rPr>
        <w:t>钬</w:t>
      </w:r>
      <w:proofErr w:type="gramEnd"/>
      <w:r w:rsidRPr="007F062F">
        <w:rPr>
          <w:rFonts w:hint="eastAsia"/>
          <w:sz w:val="24"/>
        </w:rPr>
        <w:t>的分类、技术要求、试验方法、检验规则等内容，产品按化学成分分为绝对纯度</w:t>
      </w:r>
      <w:r w:rsidR="00844FDF" w:rsidRPr="00844FDF">
        <w:rPr>
          <w:sz w:val="24"/>
        </w:rPr>
        <w:t>H-Ho-4N</w:t>
      </w:r>
      <w:r w:rsidR="00844FDF" w:rsidRPr="00844FDF">
        <w:rPr>
          <w:sz w:val="24"/>
          <w:vertAlign w:val="superscript"/>
        </w:rPr>
        <w:t>a</w:t>
      </w:r>
      <w:r w:rsidR="00844FDF" w:rsidRPr="00844FDF">
        <w:rPr>
          <w:sz w:val="24"/>
        </w:rPr>
        <w:t xml:space="preserve"> 5</w:t>
      </w:r>
      <w:r w:rsidR="00844FDF" w:rsidRPr="00844FDF">
        <w:rPr>
          <w:sz w:val="24"/>
        </w:rPr>
        <w:t>、</w:t>
      </w:r>
      <w:r w:rsidR="00844FDF" w:rsidRPr="00844FDF">
        <w:rPr>
          <w:sz w:val="24"/>
        </w:rPr>
        <w:t>H-Ho-4N</w:t>
      </w:r>
      <w:r w:rsidR="00844FDF" w:rsidRPr="00844FDF">
        <w:rPr>
          <w:sz w:val="24"/>
          <w:vertAlign w:val="superscript"/>
        </w:rPr>
        <w:t>a</w:t>
      </w:r>
      <w:r w:rsidR="00844FDF" w:rsidRPr="00844FDF">
        <w:rPr>
          <w:sz w:val="24"/>
        </w:rPr>
        <w:t>、</w:t>
      </w:r>
      <w:r w:rsidR="00844FDF" w:rsidRPr="00844FDF">
        <w:rPr>
          <w:sz w:val="24"/>
        </w:rPr>
        <w:t>H-Ho-3N</w:t>
      </w:r>
      <w:r w:rsidR="00844FDF" w:rsidRPr="00844FDF">
        <w:rPr>
          <w:sz w:val="24"/>
          <w:vertAlign w:val="superscript"/>
        </w:rPr>
        <w:t>a</w:t>
      </w:r>
      <w:r w:rsidR="00844FDF" w:rsidRPr="00844FDF">
        <w:rPr>
          <w:sz w:val="24"/>
        </w:rPr>
        <w:t>7</w:t>
      </w:r>
      <w:r w:rsidR="00844FDF" w:rsidRPr="00844FDF">
        <w:rPr>
          <w:sz w:val="24"/>
        </w:rPr>
        <w:t>、</w:t>
      </w:r>
      <w:r w:rsidR="00844FDF" w:rsidRPr="00844FDF">
        <w:rPr>
          <w:sz w:val="24"/>
        </w:rPr>
        <w:t>H-Ho-3N</w:t>
      </w:r>
      <w:r w:rsidR="00844FDF" w:rsidRPr="00844FDF">
        <w:rPr>
          <w:sz w:val="24"/>
          <w:vertAlign w:val="superscript"/>
        </w:rPr>
        <w:t>a</w:t>
      </w:r>
      <w:r w:rsidR="00844FDF" w:rsidRPr="00844FDF">
        <w:rPr>
          <w:sz w:val="24"/>
        </w:rPr>
        <w:t>5</w:t>
      </w:r>
      <w:r w:rsidR="00844FDF" w:rsidRPr="00844FDF">
        <w:rPr>
          <w:sz w:val="24"/>
        </w:rPr>
        <w:t>、</w:t>
      </w:r>
      <w:r w:rsidR="00844FDF" w:rsidRPr="00844FDF">
        <w:rPr>
          <w:sz w:val="24"/>
        </w:rPr>
        <w:t>H-Ho-3N</w:t>
      </w:r>
      <w:r w:rsidR="00844FDF" w:rsidRPr="00844FDF">
        <w:rPr>
          <w:sz w:val="24"/>
          <w:vertAlign w:val="superscript"/>
        </w:rPr>
        <w:t>a</w:t>
      </w:r>
      <w:r w:rsidR="00844FDF" w:rsidRPr="00844FDF">
        <w:rPr>
          <w:sz w:val="24"/>
        </w:rPr>
        <w:t>五个牌号</w:t>
      </w:r>
      <w:r w:rsidRPr="007F062F">
        <w:rPr>
          <w:rFonts w:hint="eastAsia"/>
          <w:sz w:val="24"/>
        </w:rPr>
        <w:t>，文本内容全面、详实，条款清晰，可操作性强，打破了美国、日本等发达国家技术标准封锁，实现国产高纯金属</w:t>
      </w:r>
      <w:r w:rsidR="00AE17EA">
        <w:rPr>
          <w:rFonts w:hint="eastAsia"/>
          <w:sz w:val="24"/>
        </w:rPr>
        <w:t>钬</w:t>
      </w:r>
      <w:r w:rsidRPr="007F062F">
        <w:rPr>
          <w:rFonts w:hint="eastAsia"/>
          <w:sz w:val="24"/>
        </w:rPr>
        <w:t>产品的安全可控。</w:t>
      </w:r>
    </w:p>
    <w:p w14:paraId="614EC550" w14:textId="77777777" w:rsidR="00601EFB" w:rsidRDefault="003B2497">
      <w:pPr>
        <w:spacing w:beforeLines="50" w:before="156" w:afterLines="50" w:after="156" w:line="312" w:lineRule="auto"/>
        <w:rPr>
          <w:rFonts w:ascii="黑体" w:eastAsia="黑体"/>
          <w:bCs/>
        </w:rPr>
      </w:pPr>
      <w:r>
        <w:rPr>
          <w:rFonts w:ascii="黑体" w:eastAsia="黑体" w:hint="eastAsia"/>
          <w:bCs/>
        </w:rPr>
        <w:t>五、采标情况，以及是否合</w:t>
      </w:r>
      <w:proofErr w:type="gramStart"/>
      <w:r>
        <w:rPr>
          <w:rFonts w:ascii="黑体" w:eastAsia="黑体" w:hint="eastAsia"/>
          <w:bCs/>
        </w:rPr>
        <w:t>规</w:t>
      </w:r>
      <w:proofErr w:type="gramEnd"/>
      <w:r>
        <w:rPr>
          <w:rFonts w:ascii="黑体" w:eastAsia="黑体" w:hint="eastAsia"/>
          <w:bCs/>
        </w:rPr>
        <w:t>引用或采用国际国外标准</w:t>
      </w:r>
    </w:p>
    <w:p w14:paraId="25F4704C" w14:textId="77777777" w:rsidR="00601EFB" w:rsidRPr="00B042E4" w:rsidRDefault="003B2497">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t>经查</w:t>
      </w:r>
      <w:r w:rsidRPr="00B042E4">
        <w:rPr>
          <w:rFonts w:ascii="Times New Roman" w:hAnsi="Times New Roman" w:cs="Times New Roman"/>
          <w:kern w:val="2"/>
        </w:rPr>
        <w:t>，</w:t>
      </w:r>
      <w:r w:rsidRPr="00B042E4">
        <w:rPr>
          <w:rFonts w:ascii="Times New Roman" w:hAnsi="Times New Roman" w:cs="Times New Roman" w:hint="eastAsia"/>
          <w:kern w:val="2"/>
        </w:rPr>
        <w:t>本标准的制订与现有的标准及制订中的标准协调配套，无重复交叉现象。</w:t>
      </w:r>
    </w:p>
    <w:p w14:paraId="2D84CC1B" w14:textId="77777777" w:rsidR="00601EFB" w:rsidRDefault="003B2497">
      <w:pPr>
        <w:spacing w:line="360" w:lineRule="auto"/>
        <w:rPr>
          <w:rFonts w:ascii="黑体" w:eastAsia="黑体"/>
          <w:bCs/>
        </w:rPr>
      </w:pPr>
      <w:r>
        <w:rPr>
          <w:rFonts w:ascii="黑体" w:eastAsia="黑体" w:hint="eastAsia"/>
          <w:bCs/>
        </w:rPr>
        <w:t>六、与有关法律、法规的关系</w:t>
      </w:r>
    </w:p>
    <w:p w14:paraId="5A96FFFF" w14:textId="77777777" w:rsidR="00601EFB" w:rsidRPr="00B042E4" w:rsidRDefault="003B2497">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t>本标准本文件按照</w:t>
      </w:r>
      <w:r w:rsidRPr="00B042E4">
        <w:rPr>
          <w:rFonts w:ascii="Times New Roman" w:hAnsi="Times New Roman" w:cs="Times New Roman" w:hint="eastAsia"/>
          <w:kern w:val="2"/>
        </w:rPr>
        <w:t>GB/T 1.1-2020</w:t>
      </w:r>
      <w:r w:rsidRPr="00B042E4">
        <w:rPr>
          <w:rFonts w:ascii="Times New Roman" w:hAnsi="Times New Roman" w:cs="Times New Roman" w:hint="eastAsia"/>
          <w:kern w:val="2"/>
        </w:rPr>
        <w:t>《标准化工作导则</w:t>
      </w:r>
      <w:r w:rsidRPr="00B042E4">
        <w:rPr>
          <w:rFonts w:ascii="Times New Roman" w:hAnsi="Times New Roman" w:cs="Times New Roman" w:hint="eastAsia"/>
          <w:kern w:val="2"/>
        </w:rPr>
        <w:t xml:space="preserve"> </w:t>
      </w:r>
      <w:r w:rsidRPr="00B042E4">
        <w:rPr>
          <w:rFonts w:ascii="Times New Roman" w:hAnsi="Times New Roman" w:cs="Times New Roman" w:hint="eastAsia"/>
          <w:kern w:val="2"/>
        </w:rPr>
        <w:t>第</w:t>
      </w:r>
      <w:r w:rsidRPr="00B042E4">
        <w:rPr>
          <w:rFonts w:ascii="Times New Roman" w:hAnsi="Times New Roman" w:cs="Times New Roman" w:hint="eastAsia"/>
          <w:kern w:val="2"/>
        </w:rPr>
        <w:t>1</w:t>
      </w:r>
      <w:r w:rsidRPr="00B042E4">
        <w:rPr>
          <w:rFonts w:ascii="Times New Roman" w:hAnsi="Times New Roman" w:cs="Times New Roman" w:hint="eastAsia"/>
          <w:kern w:val="2"/>
        </w:rPr>
        <w:t>部分：标准化文件的结构和起草规则》的规定起草。本标准与现行法律、法规和相关标准相协调、无冲突。</w:t>
      </w:r>
    </w:p>
    <w:p w14:paraId="6DE7D1D2" w14:textId="77777777" w:rsidR="00601EFB" w:rsidRDefault="003B2497">
      <w:pPr>
        <w:spacing w:line="360" w:lineRule="auto"/>
        <w:rPr>
          <w:rFonts w:ascii="黑体" w:eastAsia="黑体"/>
          <w:bCs/>
        </w:rPr>
      </w:pPr>
      <w:r>
        <w:rPr>
          <w:rFonts w:ascii="黑体" w:eastAsia="黑体" w:hint="eastAsia"/>
          <w:bCs/>
        </w:rPr>
        <w:t>七、重大分歧意见的处理经过和依据</w:t>
      </w:r>
    </w:p>
    <w:p w14:paraId="71694C9D" w14:textId="77777777" w:rsidR="00601EFB" w:rsidRPr="00B042E4" w:rsidRDefault="003B2497">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t>无重大分歧。</w:t>
      </w:r>
    </w:p>
    <w:p w14:paraId="6FAD0F74" w14:textId="77777777" w:rsidR="00601EFB" w:rsidRDefault="003B2497">
      <w:pPr>
        <w:spacing w:line="360" w:lineRule="auto"/>
        <w:rPr>
          <w:rFonts w:ascii="黑体" w:eastAsia="黑体"/>
          <w:bCs/>
        </w:rPr>
      </w:pPr>
      <w:r>
        <w:rPr>
          <w:rFonts w:ascii="黑体" w:eastAsia="黑体" w:hint="eastAsia"/>
          <w:bCs/>
        </w:rPr>
        <w:t>八、涉及专利的有关说明</w:t>
      </w:r>
    </w:p>
    <w:p w14:paraId="5D36CF0C" w14:textId="77777777" w:rsidR="00601EFB" w:rsidRPr="00B042E4" w:rsidRDefault="003B2497" w:rsidP="00B042E4">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t>本标准未涉及相关知识产权。</w:t>
      </w:r>
    </w:p>
    <w:p w14:paraId="1AB1ED95" w14:textId="6811DFEE" w:rsidR="00601EFB" w:rsidRDefault="003B2497">
      <w:pPr>
        <w:spacing w:line="360" w:lineRule="auto"/>
        <w:rPr>
          <w:rFonts w:ascii="黑体" w:eastAsia="黑体"/>
          <w:bCs/>
        </w:rPr>
      </w:pPr>
      <w:r>
        <w:rPr>
          <w:rFonts w:ascii="黑体" w:eastAsia="黑体" w:hint="eastAsia"/>
          <w:bCs/>
        </w:rPr>
        <w:t>九、贯彻国家标准的要求，以及组织措施、技术措施、过渡期和实施日期的建议等措施建议</w:t>
      </w:r>
    </w:p>
    <w:p w14:paraId="10C8A3DA" w14:textId="6B3BA8F0" w:rsidR="00A4327F" w:rsidRPr="00B042E4" w:rsidRDefault="0002359F" w:rsidP="00B042E4">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lastRenderedPageBreak/>
        <w:t>无。</w:t>
      </w:r>
    </w:p>
    <w:p w14:paraId="377488C0" w14:textId="77777777" w:rsidR="00601EFB" w:rsidRDefault="003B2497">
      <w:pPr>
        <w:spacing w:line="360" w:lineRule="auto"/>
        <w:rPr>
          <w:rFonts w:ascii="黑体" w:eastAsia="黑体"/>
          <w:bCs/>
        </w:rPr>
      </w:pPr>
      <w:r>
        <w:rPr>
          <w:rFonts w:ascii="黑体" w:eastAsia="黑体" w:hint="eastAsia"/>
          <w:bCs/>
        </w:rPr>
        <w:t>十、其他应当说明的事项</w:t>
      </w:r>
    </w:p>
    <w:p w14:paraId="0F9DD16A" w14:textId="77777777" w:rsidR="0002359F" w:rsidRPr="00B042E4" w:rsidRDefault="0002359F" w:rsidP="00B042E4">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t>无。</w:t>
      </w:r>
    </w:p>
    <w:p w14:paraId="2FD493C6" w14:textId="77777777" w:rsidR="00601EFB" w:rsidRPr="00653578" w:rsidRDefault="00601EFB">
      <w:pPr>
        <w:spacing w:line="312" w:lineRule="auto"/>
        <w:rPr>
          <w:rFonts w:ascii="黑体" w:eastAsia="黑体"/>
        </w:rPr>
      </w:pPr>
    </w:p>
    <w:p w14:paraId="0935D83E" w14:textId="4C71F674" w:rsidR="00601EFB" w:rsidRPr="00653578" w:rsidRDefault="003B2497">
      <w:pPr>
        <w:spacing w:line="360" w:lineRule="auto"/>
        <w:ind w:firstLineChars="200" w:firstLine="480"/>
        <w:jc w:val="center"/>
      </w:pPr>
      <w:r w:rsidRPr="00653578">
        <w:rPr>
          <w:rFonts w:hint="eastAsia"/>
        </w:rPr>
        <w:t xml:space="preserve"> </w:t>
      </w:r>
      <w:r w:rsidRPr="00653578">
        <w:t xml:space="preserve">                         </w:t>
      </w:r>
      <w:r w:rsidR="002707CF" w:rsidRPr="00653578">
        <w:t xml:space="preserve">            </w:t>
      </w:r>
      <w:r w:rsidRPr="00653578">
        <w:t xml:space="preserve"> </w:t>
      </w:r>
      <w:r w:rsidR="00F45F5B" w:rsidRPr="00653578">
        <w:rPr>
          <w:rFonts w:hint="eastAsia"/>
        </w:rPr>
        <w:t>《高纯金属</w:t>
      </w:r>
      <w:r w:rsidR="00AE17EA">
        <w:rPr>
          <w:rFonts w:hint="eastAsia"/>
        </w:rPr>
        <w:t>钬</w:t>
      </w:r>
      <w:r w:rsidR="00F45F5B" w:rsidRPr="00653578">
        <w:rPr>
          <w:rFonts w:hint="eastAsia"/>
        </w:rPr>
        <w:t>》</w:t>
      </w:r>
      <w:r w:rsidRPr="00653578">
        <w:rPr>
          <w:rFonts w:hint="eastAsia"/>
        </w:rPr>
        <w:t>标准编制工作组</w:t>
      </w:r>
    </w:p>
    <w:p w14:paraId="71B576AC" w14:textId="739D5FCF" w:rsidR="00601EFB" w:rsidRPr="0005672A" w:rsidRDefault="00653578" w:rsidP="0005672A">
      <w:pPr>
        <w:pStyle w:val="affffe"/>
        <w:spacing w:before="0" w:line="312" w:lineRule="auto"/>
        <w:ind w:firstLineChars="2883" w:firstLine="6919"/>
        <w:jc w:val="both"/>
        <w:rPr>
          <w:sz w:val="24"/>
          <w:szCs w:val="24"/>
        </w:rPr>
      </w:pPr>
      <w:r w:rsidRPr="0005672A">
        <w:rPr>
          <w:sz w:val="24"/>
          <w:szCs w:val="24"/>
        </w:rPr>
        <w:t>2023</w:t>
      </w:r>
      <w:r w:rsidRPr="0005672A">
        <w:rPr>
          <w:rFonts w:hint="eastAsia"/>
          <w:sz w:val="24"/>
          <w:szCs w:val="24"/>
        </w:rPr>
        <w:t>年</w:t>
      </w:r>
      <w:r w:rsidR="00844FDF">
        <w:rPr>
          <w:sz w:val="24"/>
          <w:szCs w:val="24"/>
        </w:rPr>
        <w:t>6</w:t>
      </w:r>
      <w:r w:rsidR="003B2497" w:rsidRPr="0005672A">
        <w:rPr>
          <w:rFonts w:hint="eastAsia"/>
          <w:sz w:val="24"/>
          <w:szCs w:val="24"/>
        </w:rPr>
        <w:t>月</w:t>
      </w:r>
      <w:r w:rsidR="00844FDF">
        <w:rPr>
          <w:sz w:val="24"/>
          <w:szCs w:val="24"/>
        </w:rPr>
        <w:t>7</w:t>
      </w:r>
      <w:r w:rsidR="00F05E76">
        <w:rPr>
          <w:rFonts w:hint="eastAsia"/>
          <w:sz w:val="24"/>
          <w:szCs w:val="24"/>
        </w:rPr>
        <w:t>日</w:t>
      </w:r>
    </w:p>
    <w:sectPr w:rsidR="00601EFB" w:rsidRPr="0005672A">
      <w:footerReference w:type="default" r:id="rId10"/>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916E" w14:textId="77777777" w:rsidR="00E34849" w:rsidRDefault="00E34849">
      <w:r>
        <w:separator/>
      </w:r>
    </w:p>
  </w:endnote>
  <w:endnote w:type="continuationSeparator" w:id="0">
    <w:p w14:paraId="2F8DC8C1" w14:textId="77777777" w:rsidR="00E34849" w:rsidRDefault="00E3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F40B" w14:textId="77777777" w:rsidR="00601EFB" w:rsidRDefault="003B2497">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56B19" w14:textId="77777777" w:rsidR="00E34849" w:rsidRDefault="00E34849">
      <w:r>
        <w:separator/>
      </w:r>
    </w:p>
  </w:footnote>
  <w:footnote w:type="continuationSeparator" w:id="0">
    <w:p w14:paraId="7DAA189D" w14:textId="77777777" w:rsidR="00E34849" w:rsidRDefault="00E34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B2D4264"/>
    <w:multiLevelType w:val="hybridMultilevel"/>
    <w:tmpl w:val="252C5246"/>
    <w:lvl w:ilvl="0" w:tplc="204C61FA">
      <w:start w:val="1"/>
      <w:numFmt w:val="decimal"/>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B3A3746"/>
    <w:multiLevelType w:val="hybridMultilevel"/>
    <w:tmpl w:val="5ACE1946"/>
    <w:lvl w:ilvl="0" w:tplc="D850F5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1697E46"/>
    <w:multiLevelType w:val="hybridMultilevel"/>
    <w:tmpl w:val="4CC45450"/>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231D5610"/>
    <w:multiLevelType w:val="hybridMultilevel"/>
    <w:tmpl w:val="B802C834"/>
    <w:lvl w:ilvl="0" w:tplc="DB80587A">
      <w:start w:val="1"/>
      <w:numFmt w:val="japaneseCounting"/>
      <w:lvlText w:val="（%1）"/>
      <w:lvlJc w:val="left"/>
      <w:pPr>
        <w:tabs>
          <w:tab w:val="num" w:pos="1430"/>
        </w:tabs>
        <w:ind w:left="1430" w:hanging="720"/>
      </w:pPr>
      <w:rPr>
        <w:rFonts w:hint="eastAsia"/>
      </w:rPr>
    </w:lvl>
    <w:lvl w:ilvl="1" w:tplc="04090019" w:tentative="1">
      <w:start w:val="1"/>
      <w:numFmt w:val="lowerLetter"/>
      <w:lvlText w:val="%2)"/>
      <w:lvlJc w:val="left"/>
      <w:pPr>
        <w:tabs>
          <w:tab w:val="num" w:pos="2270"/>
        </w:tabs>
        <w:ind w:left="2270" w:hanging="420"/>
      </w:pPr>
    </w:lvl>
    <w:lvl w:ilvl="2" w:tplc="0409001B" w:tentative="1">
      <w:start w:val="1"/>
      <w:numFmt w:val="lowerRoman"/>
      <w:lvlText w:val="%3."/>
      <w:lvlJc w:val="right"/>
      <w:pPr>
        <w:tabs>
          <w:tab w:val="num" w:pos="2690"/>
        </w:tabs>
        <w:ind w:left="2690" w:hanging="420"/>
      </w:pPr>
    </w:lvl>
    <w:lvl w:ilvl="3" w:tplc="0409000F" w:tentative="1">
      <w:start w:val="1"/>
      <w:numFmt w:val="decimal"/>
      <w:lvlText w:val="%4."/>
      <w:lvlJc w:val="left"/>
      <w:pPr>
        <w:tabs>
          <w:tab w:val="num" w:pos="3110"/>
        </w:tabs>
        <w:ind w:left="3110" w:hanging="420"/>
      </w:pPr>
    </w:lvl>
    <w:lvl w:ilvl="4" w:tplc="04090019" w:tentative="1">
      <w:start w:val="1"/>
      <w:numFmt w:val="lowerLetter"/>
      <w:lvlText w:val="%5)"/>
      <w:lvlJc w:val="left"/>
      <w:pPr>
        <w:tabs>
          <w:tab w:val="num" w:pos="3530"/>
        </w:tabs>
        <w:ind w:left="3530" w:hanging="420"/>
      </w:pPr>
    </w:lvl>
    <w:lvl w:ilvl="5" w:tplc="0409001B" w:tentative="1">
      <w:start w:val="1"/>
      <w:numFmt w:val="lowerRoman"/>
      <w:lvlText w:val="%6."/>
      <w:lvlJc w:val="right"/>
      <w:pPr>
        <w:tabs>
          <w:tab w:val="num" w:pos="3950"/>
        </w:tabs>
        <w:ind w:left="3950" w:hanging="420"/>
      </w:pPr>
    </w:lvl>
    <w:lvl w:ilvl="6" w:tplc="0409000F" w:tentative="1">
      <w:start w:val="1"/>
      <w:numFmt w:val="decimal"/>
      <w:lvlText w:val="%7."/>
      <w:lvlJc w:val="left"/>
      <w:pPr>
        <w:tabs>
          <w:tab w:val="num" w:pos="4370"/>
        </w:tabs>
        <w:ind w:left="4370" w:hanging="420"/>
      </w:pPr>
    </w:lvl>
    <w:lvl w:ilvl="7" w:tplc="04090019" w:tentative="1">
      <w:start w:val="1"/>
      <w:numFmt w:val="lowerLetter"/>
      <w:lvlText w:val="%8)"/>
      <w:lvlJc w:val="left"/>
      <w:pPr>
        <w:tabs>
          <w:tab w:val="num" w:pos="4790"/>
        </w:tabs>
        <w:ind w:left="4790" w:hanging="420"/>
      </w:pPr>
    </w:lvl>
    <w:lvl w:ilvl="8" w:tplc="0409001B" w:tentative="1">
      <w:start w:val="1"/>
      <w:numFmt w:val="lowerRoman"/>
      <w:lvlText w:val="%9."/>
      <w:lvlJc w:val="right"/>
      <w:pPr>
        <w:tabs>
          <w:tab w:val="num" w:pos="5210"/>
        </w:tabs>
        <w:ind w:left="5210" w:hanging="420"/>
      </w:pPr>
    </w:lvl>
  </w:abstractNum>
  <w:abstractNum w:abstractNumId="5" w15:restartNumberingAfterBreak="0">
    <w:nsid w:val="3C623A3C"/>
    <w:multiLevelType w:val="multilevel"/>
    <w:tmpl w:val="3C623A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738B5A3A"/>
    <w:multiLevelType w:val="multilevel"/>
    <w:tmpl w:val="738B5A3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7"/>
  </w:num>
  <w:num w:numId="3">
    <w:abstractNumId w:val="5"/>
  </w:num>
  <w:num w:numId="4">
    <w:abstractNumId w:val="6"/>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2096F"/>
    <w:rsid w:val="00022FF0"/>
    <w:rsid w:val="0002359F"/>
    <w:rsid w:val="00024B42"/>
    <w:rsid w:val="00026D78"/>
    <w:rsid w:val="00032195"/>
    <w:rsid w:val="000332A6"/>
    <w:rsid w:val="00033691"/>
    <w:rsid w:val="000340A9"/>
    <w:rsid w:val="00035035"/>
    <w:rsid w:val="00035CBE"/>
    <w:rsid w:val="00036C57"/>
    <w:rsid w:val="00046319"/>
    <w:rsid w:val="00046620"/>
    <w:rsid w:val="00047D95"/>
    <w:rsid w:val="00050085"/>
    <w:rsid w:val="00050948"/>
    <w:rsid w:val="0005146E"/>
    <w:rsid w:val="000526A0"/>
    <w:rsid w:val="0005350B"/>
    <w:rsid w:val="0005672A"/>
    <w:rsid w:val="00061D34"/>
    <w:rsid w:val="00061D46"/>
    <w:rsid w:val="00062070"/>
    <w:rsid w:val="0006432D"/>
    <w:rsid w:val="0006477B"/>
    <w:rsid w:val="0007254D"/>
    <w:rsid w:val="00072756"/>
    <w:rsid w:val="0007278B"/>
    <w:rsid w:val="00073C3A"/>
    <w:rsid w:val="000747A8"/>
    <w:rsid w:val="00076C45"/>
    <w:rsid w:val="00081A9E"/>
    <w:rsid w:val="00083A57"/>
    <w:rsid w:val="000842C3"/>
    <w:rsid w:val="0008478A"/>
    <w:rsid w:val="00085404"/>
    <w:rsid w:val="00091BB7"/>
    <w:rsid w:val="00091DD9"/>
    <w:rsid w:val="000A0C8C"/>
    <w:rsid w:val="000A0CA9"/>
    <w:rsid w:val="000A180E"/>
    <w:rsid w:val="000A1CC0"/>
    <w:rsid w:val="000A1DCD"/>
    <w:rsid w:val="000A2986"/>
    <w:rsid w:val="000A54AC"/>
    <w:rsid w:val="000A569E"/>
    <w:rsid w:val="000A5CC2"/>
    <w:rsid w:val="000A7209"/>
    <w:rsid w:val="000A7FF3"/>
    <w:rsid w:val="000B14A6"/>
    <w:rsid w:val="000B3127"/>
    <w:rsid w:val="000B605E"/>
    <w:rsid w:val="000C44B2"/>
    <w:rsid w:val="000C44E3"/>
    <w:rsid w:val="000C7808"/>
    <w:rsid w:val="000D3889"/>
    <w:rsid w:val="000D6334"/>
    <w:rsid w:val="000D6D9D"/>
    <w:rsid w:val="000D7360"/>
    <w:rsid w:val="000E068C"/>
    <w:rsid w:val="000E34D5"/>
    <w:rsid w:val="000E3741"/>
    <w:rsid w:val="000E37CA"/>
    <w:rsid w:val="000E5B60"/>
    <w:rsid w:val="000E636D"/>
    <w:rsid w:val="000E6E9C"/>
    <w:rsid w:val="000E7ED5"/>
    <w:rsid w:val="000E7EDF"/>
    <w:rsid w:val="000F1FD1"/>
    <w:rsid w:val="000F224C"/>
    <w:rsid w:val="000F3489"/>
    <w:rsid w:val="000F7099"/>
    <w:rsid w:val="0010034F"/>
    <w:rsid w:val="00100D28"/>
    <w:rsid w:val="00100E6F"/>
    <w:rsid w:val="00101BCE"/>
    <w:rsid w:val="0010496D"/>
    <w:rsid w:val="001074F0"/>
    <w:rsid w:val="00110508"/>
    <w:rsid w:val="001115A6"/>
    <w:rsid w:val="00112CBC"/>
    <w:rsid w:val="001139D5"/>
    <w:rsid w:val="0011570F"/>
    <w:rsid w:val="00116D8F"/>
    <w:rsid w:val="00121979"/>
    <w:rsid w:val="00122903"/>
    <w:rsid w:val="001241A8"/>
    <w:rsid w:val="0012792A"/>
    <w:rsid w:val="001338FC"/>
    <w:rsid w:val="001345DA"/>
    <w:rsid w:val="00134E2D"/>
    <w:rsid w:val="00135E64"/>
    <w:rsid w:val="00136064"/>
    <w:rsid w:val="00137D4C"/>
    <w:rsid w:val="001424D5"/>
    <w:rsid w:val="001438F6"/>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7706E"/>
    <w:rsid w:val="00181F19"/>
    <w:rsid w:val="00182D22"/>
    <w:rsid w:val="00184A57"/>
    <w:rsid w:val="00186DB8"/>
    <w:rsid w:val="00187FC9"/>
    <w:rsid w:val="0019163F"/>
    <w:rsid w:val="00192E96"/>
    <w:rsid w:val="00194EB2"/>
    <w:rsid w:val="00196497"/>
    <w:rsid w:val="001A02DA"/>
    <w:rsid w:val="001A0910"/>
    <w:rsid w:val="001A1931"/>
    <w:rsid w:val="001A1A3D"/>
    <w:rsid w:val="001A287E"/>
    <w:rsid w:val="001A78A3"/>
    <w:rsid w:val="001A7F0B"/>
    <w:rsid w:val="001B01EB"/>
    <w:rsid w:val="001B24C8"/>
    <w:rsid w:val="001B3592"/>
    <w:rsid w:val="001B5781"/>
    <w:rsid w:val="001B785A"/>
    <w:rsid w:val="001C113E"/>
    <w:rsid w:val="001C2754"/>
    <w:rsid w:val="001C35AF"/>
    <w:rsid w:val="001C4AB5"/>
    <w:rsid w:val="001C5722"/>
    <w:rsid w:val="001C5E29"/>
    <w:rsid w:val="001C6263"/>
    <w:rsid w:val="001D18F0"/>
    <w:rsid w:val="001D1A3E"/>
    <w:rsid w:val="001D200A"/>
    <w:rsid w:val="001D24F0"/>
    <w:rsid w:val="001D27F6"/>
    <w:rsid w:val="001D57BC"/>
    <w:rsid w:val="001D6080"/>
    <w:rsid w:val="001D783C"/>
    <w:rsid w:val="001D7A87"/>
    <w:rsid w:val="001E2CD8"/>
    <w:rsid w:val="001E7268"/>
    <w:rsid w:val="001E76E8"/>
    <w:rsid w:val="001F4370"/>
    <w:rsid w:val="001F4A0D"/>
    <w:rsid w:val="001F5F9B"/>
    <w:rsid w:val="001F65ED"/>
    <w:rsid w:val="001F6922"/>
    <w:rsid w:val="001F6B47"/>
    <w:rsid w:val="001F7DA6"/>
    <w:rsid w:val="0020225C"/>
    <w:rsid w:val="0021099A"/>
    <w:rsid w:val="00210DE0"/>
    <w:rsid w:val="002111C0"/>
    <w:rsid w:val="0021153B"/>
    <w:rsid w:val="002119ED"/>
    <w:rsid w:val="002123C9"/>
    <w:rsid w:val="0021264D"/>
    <w:rsid w:val="00216076"/>
    <w:rsid w:val="00217220"/>
    <w:rsid w:val="00217B7C"/>
    <w:rsid w:val="00220A49"/>
    <w:rsid w:val="0022213B"/>
    <w:rsid w:val="00222AF0"/>
    <w:rsid w:val="002246A5"/>
    <w:rsid w:val="00224A26"/>
    <w:rsid w:val="00224C4A"/>
    <w:rsid w:val="002261C7"/>
    <w:rsid w:val="00226891"/>
    <w:rsid w:val="002344C3"/>
    <w:rsid w:val="002367F4"/>
    <w:rsid w:val="00237934"/>
    <w:rsid w:val="002408F8"/>
    <w:rsid w:val="00240D65"/>
    <w:rsid w:val="002411F1"/>
    <w:rsid w:val="002414FB"/>
    <w:rsid w:val="00242023"/>
    <w:rsid w:val="00242752"/>
    <w:rsid w:val="00242AAA"/>
    <w:rsid w:val="00243777"/>
    <w:rsid w:val="00245A31"/>
    <w:rsid w:val="0024636D"/>
    <w:rsid w:val="002464C4"/>
    <w:rsid w:val="002474F1"/>
    <w:rsid w:val="00252865"/>
    <w:rsid w:val="00252CB5"/>
    <w:rsid w:val="0025699B"/>
    <w:rsid w:val="002569A0"/>
    <w:rsid w:val="00257050"/>
    <w:rsid w:val="00261448"/>
    <w:rsid w:val="002634A5"/>
    <w:rsid w:val="00263B9F"/>
    <w:rsid w:val="002640B3"/>
    <w:rsid w:val="00264880"/>
    <w:rsid w:val="002658D8"/>
    <w:rsid w:val="00270709"/>
    <w:rsid w:val="002707CF"/>
    <w:rsid w:val="00271256"/>
    <w:rsid w:val="00273376"/>
    <w:rsid w:val="00275581"/>
    <w:rsid w:val="00276D32"/>
    <w:rsid w:val="002779A4"/>
    <w:rsid w:val="00277FC2"/>
    <w:rsid w:val="00283872"/>
    <w:rsid w:val="002841A5"/>
    <w:rsid w:val="002842F4"/>
    <w:rsid w:val="00291D93"/>
    <w:rsid w:val="0029258B"/>
    <w:rsid w:val="00292C1B"/>
    <w:rsid w:val="002935AF"/>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3DEB"/>
    <w:rsid w:val="002B6730"/>
    <w:rsid w:val="002B6D40"/>
    <w:rsid w:val="002B743A"/>
    <w:rsid w:val="002B7F73"/>
    <w:rsid w:val="002C0695"/>
    <w:rsid w:val="002C2432"/>
    <w:rsid w:val="002C5386"/>
    <w:rsid w:val="002C6032"/>
    <w:rsid w:val="002C7564"/>
    <w:rsid w:val="002D3E3A"/>
    <w:rsid w:val="002D4DC6"/>
    <w:rsid w:val="002D542A"/>
    <w:rsid w:val="002D7674"/>
    <w:rsid w:val="002E0737"/>
    <w:rsid w:val="002E1898"/>
    <w:rsid w:val="002E5F1C"/>
    <w:rsid w:val="002F11AA"/>
    <w:rsid w:val="002F1734"/>
    <w:rsid w:val="002F3670"/>
    <w:rsid w:val="002F4FEE"/>
    <w:rsid w:val="003017C7"/>
    <w:rsid w:val="00302CA7"/>
    <w:rsid w:val="00303C61"/>
    <w:rsid w:val="00305363"/>
    <w:rsid w:val="003058C5"/>
    <w:rsid w:val="00305AB4"/>
    <w:rsid w:val="003070AE"/>
    <w:rsid w:val="00311372"/>
    <w:rsid w:val="003152A4"/>
    <w:rsid w:val="0031608B"/>
    <w:rsid w:val="00323A91"/>
    <w:rsid w:val="00326117"/>
    <w:rsid w:val="00331DA0"/>
    <w:rsid w:val="003320EC"/>
    <w:rsid w:val="003336E8"/>
    <w:rsid w:val="0033380B"/>
    <w:rsid w:val="00333F1C"/>
    <w:rsid w:val="00336817"/>
    <w:rsid w:val="003371FA"/>
    <w:rsid w:val="00340092"/>
    <w:rsid w:val="003402ED"/>
    <w:rsid w:val="003406E3"/>
    <w:rsid w:val="003430B3"/>
    <w:rsid w:val="00344855"/>
    <w:rsid w:val="0034776C"/>
    <w:rsid w:val="003504AB"/>
    <w:rsid w:val="00352BC9"/>
    <w:rsid w:val="00356B4B"/>
    <w:rsid w:val="00362D8D"/>
    <w:rsid w:val="003639DC"/>
    <w:rsid w:val="00363C9B"/>
    <w:rsid w:val="00363FF5"/>
    <w:rsid w:val="00364128"/>
    <w:rsid w:val="00366C1C"/>
    <w:rsid w:val="00370FF7"/>
    <w:rsid w:val="00371AA3"/>
    <w:rsid w:val="00372782"/>
    <w:rsid w:val="00373131"/>
    <w:rsid w:val="00376DAF"/>
    <w:rsid w:val="00376F19"/>
    <w:rsid w:val="00381914"/>
    <w:rsid w:val="00382EE9"/>
    <w:rsid w:val="00383889"/>
    <w:rsid w:val="003846D0"/>
    <w:rsid w:val="00385C99"/>
    <w:rsid w:val="00386103"/>
    <w:rsid w:val="00386212"/>
    <w:rsid w:val="003867E3"/>
    <w:rsid w:val="003918BA"/>
    <w:rsid w:val="003922C1"/>
    <w:rsid w:val="00392AC9"/>
    <w:rsid w:val="0039367A"/>
    <w:rsid w:val="003939C9"/>
    <w:rsid w:val="003946E1"/>
    <w:rsid w:val="00395B19"/>
    <w:rsid w:val="0039640D"/>
    <w:rsid w:val="003A1523"/>
    <w:rsid w:val="003A1FDB"/>
    <w:rsid w:val="003A4DF7"/>
    <w:rsid w:val="003A640C"/>
    <w:rsid w:val="003B2497"/>
    <w:rsid w:val="003B26E0"/>
    <w:rsid w:val="003B3203"/>
    <w:rsid w:val="003B4C78"/>
    <w:rsid w:val="003B65F5"/>
    <w:rsid w:val="003B789C"/>
    <w:rsid w:val="003B7E75"/>
    <w:rsid w:val="003B7F17"/>
    <w:rsid w:val="003C0CDA"/>
    <w:rsid w:val="003C1F6D"/>
    <w:rsid w:val="003C25C6"/>
    <w:rsid w:val="003C492E"/>
    <w:rsid w:val="003C5392"/>
    <w:rsid w:val="003C5F0B"/>
    <w:rsid w:val="003C7814"/>
    <w:rsid w:val="003C7BCE"/>
    <w:rsid w:val="003D0114"/>
    <w:rsid w:val="003D6BA4"/>
    <w:rsid w:val="003D79E6"/>
    <w:rsid w:val="003E0A25"/>
    <w:rsid w:val="003E1178"/>
    <w:rsid w:val="003E2665"/>
    <w:rsid w:val="003E47D4"/>
    <w:rsid w:val="003E7121"/>
    <w:rsid w:val="003F03FD"/>
    <w:rsid w:val="003F34E7"/>
    <w:rsid w:val="003F5178"/>
    <w:rsid w:val="003F67B0"/>
    <w:rsid w:val="0040007C"/>
    <w:rsid w:val="0040009E"/>
    <w:rsid w:val="00400ED1"/>
    <w:rsid w:val="00402FE6"/>
    <w:rsid w:val="00404E31"/>
    <w:rsid w:val="00405AFC"/>
    <w:rsid w:val="00411827"/>
    <w:rsid w:val="00411E30"/>
    <w:rsid w:val="00415749"/>
    <w:rsid w:val="004169D7"/>
    <w:rsid w:val="00424F60"/>
    <w:rsid w:val="004306FA"/>
    <w:rsid w:val="0043072C"/>
    <w:rsid w:val="00433247"/>
    <w:rsid w:val="004351B8"/>
    <w:rsid w:val="00437F04"/>
    <w:rsid w:val="004425AD"/>
    <w:rsid w:val="0044631C"/>
    <w:rsid w:val="004468D7"/>
    <w:rsid w:val="00446A0F"/>
    <w:rsid w:val="0044747A"/>
    <w:rsid w:val="00451D1D"/>
    <w:rsid w:val="0045247E"/>
    <w:rsid w:val="00455251"/>
    <w:rsid w:val="00457C85"/>
    <w:rsid w:val="00457F66"/>
    <w:rsid w:val="00462904"/>
    <w:rsid w:val="00465D91"/>
    <w:rsid w:val="00471A2D"/>
    <w:rsid w:val="004730FF"/>
    <w:rsid w:val="00474857"/>
    <w:rsid w:val="0048045C"/>
    <w:rsid w:val="004804B2"/>
    <w:rsid w:val="00480F24"/>
    <w:rsid w:val="004814CC"/>
    <w:rsid w:val="00483671"/>
    <w:rsid w:val="004837ED"/>
    <w:rsid w:val="0048575A"/>
    <w:rsid w:val="00486081"/>
    <w:rsid w:val="00493E0A"/>
    <w:rsid w:val="0049424A"/>
    <w:rsid w:val="004961DA"/>
    <w:rsid w:val="004A28AA"/>
    <w:rsid w:val="004A2C5B"/>
    <w:rsid w:val="004A328B"/>
    <w:rsid w:val="004A3A2A"/>
    <w:rsid w:val="004A513C"/>
    <w:rsid w:val="004A73FA"/>
    <w:rsid w:val="004B415A"/>
    <w:rsid w:val="004B41B0"/>
    <w:rsid w:val="004B5F05"/>
    <w:rsid w:val="004C0C60"/>
    <w:rsid w:val="004C144D"/>
    <w:rsid w:val="004C63B3"/>
    <w:rsid w:val="004C6DE0"/>
    <w:rsid w:val="004D1285"/>
    <w:rsid w:val="004D25CD"/>
    <w:rsid w:val="004D7BA0"/>
    <w:rsid w:val="004D7C2D"/>
    <w:rsid w:val="004E282E"/>
    <w:rsid w:val="004E7AD9"/>
    <w:rsid w:val="004F0AC8"/>
    <w:rsid w:val="004F36A3"/>
    <w:rsid w:val="004F4FD0"/>
    <w:rsid w:val="004F59CD"/>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4F8A"/>
    <w:rsid w:val="00535E44"/>
    <w:rsid w:val="00540267"/>
    <w:rsid w:val="005421E7"/>
    <w:rsid w:val="0054331E"/>
    <w:rsid w:val="0054635C"/>
    <w:rsid w:val="00546368"/>
    <w:rsid w:val="005469A5"/>
    <w:rsid w:val="00546DF5"/>
    <w:rsid w:val="005475AF"/>
    <w:rsid w:val="00550CA0"/>
    <w:rsid w:val="00551151"/>
    <w:rsid w:val="0055122C"/>
    <w:rsid w:val="00554A02"/>
    <w:rsid w:val="00560666"/>
    <w:rsid w:val="00561BAB"/>
    <w:rsid w:val="0056535D"/>
    <w:rsid w:val="0056539D"/>
    <w:rsid w:val="005671B8"/>
    <w:rsid w:val="005675C7"/>
    <w:rsid w:val="00570BC3"/>
    <w:rsid w:val="005731B4"/>
    <w:rsid w:val="00573F64"/>
    <w:rsid w:val="005761B2"/>
    <w:rsid w:val="005812BF"/>
    <w:rsid w:val="005814F2"/>
    <w:rsid w:val="0058298B"/>
    <w:rsid w:val="00584051"/>
    <w:rsid w:val="00584DCF"/>
    <w:rsid w:val="00587778"/>
    <w:rsid w:val="00587D84"/>
    <w:rsid w:val="0059018B"/>
    <w:rsid w:val="00590DF2"/>
    <w:rsid w:val="00591B99"/>
    <w:rsid w:val="00592A0B"/>
    <w:rsid w:val="0059441F"/>
    <w:rsid w:val="00595A33"/>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5F5"/>
    <w:rsid w:val="005C76D7"/>
    <w:rsid w:val="005D1372"/>
    <w:rsid w:val="005D255E"/>
    <w:rsid w:val="005D3249"/>
    <w:rsid w:val="005D5B2C"/>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1D8E"/>
    <w:rsid w:val="00613007"/>
    <w:rsid w:val="006159F0"/>
    <w:rsid w:val="00615CD1"/>
    <w:rsid w:val="006237B0"/>
    <w:rsid w:val="006264DE"/>
    <w:rsid w:val="006279BA"/>
    <w:rsid w:val="00632305"/>
    <w:rsid w:val="006336B7"/>
    <w:rsid w:val="0063380C"/>
    <w:rsid w:val="0063508A"/>
    <w:rsid w:val="00636BDB"/>
    <w:rsid w:val="00636F2E"/>
    <w:rsid w:val="006407FA"/>
    <w:rsid w:val="00640839"/>
    <w:rsid w:val="00642493"/>
    <w:rsid w:val="006437BE"/>
    <w:rsid w:val="00644B14"/>
    <w:rsid w:val="00645CDE"/>
    <w:rsid w:val="00646F53"/>
    <w:rsid w:val="0065133E"/>
    <w:rsid w:val="00653578"/>
    <w:rsid w:val="00653DEA"/>
    <w:rsid w:val="006555BA"/>
    <w:rsid w:val="00657FDB"/>
    <w:rsid w:val="006619E4"/>
    <w:rsid w:val="0066318E"/>
    <w:rsid w:val="00664E99"/>
    <w:rsid w:val="006664F9"/>
    <w:rsid w:val="00666745"/>
    <w:rsid w:val="006727AA"/>
    <w:rsid w:val="00673F33"/>
    <w:rsid w:val="006748C4"/>
    <w:rsid w:val="00674A63"/>
    <w:rsid w:val="00674D40"/>
    <w:rsid w:val="00675AA1"/>
    <w:rsid w:val="006773F1"/>
    <w:rsid w:val="00677B56"/>
    <w:rsid w:val="006815E1"/>
    <w:rsid w:val="00681710"/>
    <w:rsid w:val="006846AC"/>
    <w:rsid w:val="00684C40"/>
    <w:rsid w:val="00685707"/>
    <w:rsid w:val="00686631"/>
    <w:rsid w:val="006870CA"/>
    <w:rsid w:val="006877FE"/>
    <w:rsid w:val="006905BF"/>
    <w:rsid w:val="006920D7"/>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B61"/>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050A9"/>
    <w:rsid w:val="00706C2B"/>
    <w:rsid w:val="007123C8"/>
    <w:rsid w:val="00712513"/>
    <w:rsid w:val="00713AC2"/>
    <w:rsid w:val="00715E46"/>
    <w:rsid w:val="00716A87"/>
    <w:rsid w:val="0071761A"/>
    <w:rsid w:val="00717801"/>
    <w:rsid w:val="0072041D"/>
    <w:rsid w:val="0072080A"/>
    <w:rsid w:val="0072235E"/>
    <w:rsid w:val="00723AF6"/>
    <w:rsid w:val="00723B32"/>
    <w:rsid w:val="00723CFC"/>
    <w:rsid w:val="007255D5"/>
    <w:rsid w:val="00726914"/>
    <w:rsid w:val="00726C2F"/>
    <w:rsid w:val="00727AB4"/>
    <w:rsid w:val="007415D6"/>
    <w:rsid w:val="007436BB"/>
    <w:rsid w:val="00745D4F"/>
    <w:rsid w:val="00746681"/>
    <w:rsid w:val="00746EF3"/>
    <w:rsid w:val="00747E57"/>
    <w:rsid w:val="00750CFC"/>
    <w:rsid w:val="00752374"/>
    <w:rsid w:val="00752ACC"/>
    <w:rsid w:val="00752FB4"/>
    <w:rsid w:val="00754E21"/>
    <w:rsid w:val="00755B27"/>
    <w:rsid w:val="007621D8"/>
    <w:rsid w:val="00764446"/>
    <w:rsid w:val="007661BF"/>
    <w:rsid w:val="00766258"/>
    <w:rsid w:val="00771198"/>
    <w:rsid w:val="00772149"/>
    <w:rsid w:val="00772C3A"/>
    <w:rsid w:val="0077459D"/>
    <w:rsid w:val="00781499"/>
    <w:rsid w:val="00781514"/>
    <w:rsid w:val="00781B18"/>
    <w:rsid w:val="00782E65"/>
    <w:rsid w:val="0078372D"/>
    <w:rsid w:val="007848EF"/>
    <w:rsid w:val="0078634D"/>
    <w:rsid w:val="00790EBF"/>
    <w:rsid w:val="007967ED"/>
    <w:rsid w:val="00796ECC"/>
    <w:rsid w:val="00796FFE"/>
    <w:rsid w:val="007A16E2"/>
    <w:rsid w:val="007A3FC1"/>
    <w:rsid w:val="007B1B7D"/>
    <w:rsid w:val="007B29F0"/>
    <w:rsid w:val="007B5DB0"/>
    <w:rsid w:val="007B688D"/>
    <w:rsid w:val="007B74F4"/>
    <w:rsid w:val="007B7D0F"/>
    <w:rsid w:val="007C2A43"/>
    <w:rsid w:val="007C35DE"/>
    <w:rsid w:val="007C3604"/>
    <w:rsid w:val="007C44E1"/>
    <w:rsid w:val="007C58DE"/>
    <w:rsid w:val="007C5B98"/>
    <w:rsid w:val="007C5E4E"/>
    <w:rsid w:val="007D27BC"/>
    <w:rsid w:val="007D3170"/>
    <w:rsid w:val="007D67B7"/>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39FC"/>
    <w:rsid w:val="008043CF"/>
    <w:rsid w:val="008130E4"/>
    <w:rsid w:val="008148E9"/>
    <w:rsid w:val="00815B0F"/>
    <w:rsid w:val="0082271E"/>
    <w:rsid w:val="00822777"/>
    <w:rsid w:val="008237DA"/>
    <w:rsid w:val="00825D21"/>
    <w:rsid w:val="008260E1"/>
    <w:rsid w:val="0082615F"/>
    <w:rsid w:val="00826C6B"/>
    <w:rsid w:val="0083190B"/>
    <w:rsid w:val="00832B3D"/>
    <w:rsid w:val="00835BDA"/>
    <w:rsid w:val="00842D20"/>
    <w:rsid w:val="00844FDF"/>
    <w:rsid w:val="008459EE"/>
    <w:rsid w:val="008463EF"/>
    <w:rsid w:val="0084647D"/>
    <w:rsid w:val="00847FD9"/>
    <w:rsid w:val="00854C07"/>
    <w:rsid w:val="0086177D"/>
    <w:rsid w:val="00862280"/>
    <w:rsid w:val="008629F1"/>
    <w:rsid w:val="00872C9E"/>
    <w:rsid w:val="00873AC3"/>
    <w:rsid w:val="00880BF7"/>
    <w:rsid w:val="00880F82"/>
    <w:rsid w:val="00881B81"/>
    <w:rsid w:val="00881F03"/>
    <w:rsid w:val="00883D85"/>
    <w:rsid w:val="008840BA"/>
    <w:rsid w:val="008A2F64"/>
    <w:rsid w:val="008A3569"/>
    <w:rsid w:val="008A3C8F"/>
    <w:rsid w:val="008A3FF9"/>
    <w:rsid w:val="008A4E27"/>
    <w:rsid w:val="008B105E"/>
    <w:rsid w:val="008B10B0"/>
    <w:rsid w:val="008B6805"/>
    <w:rsid w:val="008C306D"/>
    <w:rsid w:val="008C513A"/>
    <w:rsid w:val="008C5E1E"/>
    <w:rsid w:val="008C6A2D"/>
    <w:rsid w:val="008C73F2"/>
    <w:rsid w:val="008C754F"/>
    <w:rsid w:val="008D08DE"/>
    <w:rsid w:val="008D2104"/>
    <w:rsid w:val="008D3F5C"/>
    <w:rsid w:val="008D4991"/>
    <w:rsid w:val="008E10A1"/>
    <w:rsid w:val="008E1C30"/>
    <w:rsid w:val="008E22B8"/>
    <w:rsid w:val="008E2B02"/>
    <w:rsid w:val="008E2C62"/>
    <w:rsid w:val="008E340B"/>
    <w:rsid w:val="008E39BC"/>
    <w:rsid w:val="008E3E70"/>
    <w:rsid w:val="008F2540"/>
    <w:rsid w:val="008F4D39"/>
    <w:rsid w:val="008F58FF"/>
    <w:rsid w:val="008F5BB3"/>
    <w:rsid w:val="008F5C0C"/>
    <w:rsid w:val="008F6A1D"/>
    <w:rsid w:val="008F77F4"/>
    <w:rsid w:val="00901439"/>
    <w:rsid w:val="00902DF1"/>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4A90"/>
    <w:rsid w:val="00945C50"/>
    <w:rsid w:val="009507EE"/>
    <w:rsid w:val="009514E6"/>
    <w:rsid w:val="00952E60"/>
    <w:rsid w:val="0095338D"/>
    <w:rsid w:val="00953D99"/>
    <w:rsid w:val="00954F1C"/>
    <w:rsid w:val="00955795"/>
    <w:rsid w:val="0095593B"/>
    <w:rsid w:val="009579E5"/>
    <w:rsid w:val="00957CCE"/>
    <w:rsid w:val="0096152F"/>
    <w:rsid w:val="0096234C"/>
    <w:rsid w:val="00963674"/>
    <w:rsid w:val="00964A13"/>
    <w:rsid w:val="009660B1"/>
    <w:rsid w:val="0097286C"/>
    <w:rsid w:val="00973D45"/>
    <w:rsid w:val="00974F87"/>
    <w:rsid w:val="009750A7"/>
    <w:rsid w:val="00977009"/>
    <w:rsid w:val="00977426"/>
    <w:rsid w:val="00977B7F"/>
    <w:rsid w:val="0098380E"/>
    <w:rsid w:val="00983DA9"/>
    <w:rsid w:val="00984BB9"/>
    <w:rsid w:val="009855CE"/>
    <w:rsid w:val="009855F9"/>
    <w:rsid w:val="00987010"/>
    <w:rsid w:val="00990368"/>
    <w:rsid w:val="00990D94"/>
    <w:rsid w:val="00991880"/>
    <w:rsid w:val="009938AE"/>
    <w:rsid w:val="00996ADD"/>
    <w:rsid w:val="00997FEF"/>
    <w:rsid w:val="009A06F2"/>
    <w:rsid w:val="009A2C15"/>
    <w:rsid w:val="009A3D10"/>
    <w:rsid w:val="009A48B0"/>
    <w:rsid w:val="009A796A"/>
    <w:rsid w:val="009B2597"/>
    <w:rsid w:val="009B2744"/>
    <w:rsid w:val="009B4150"/>
    <w:rsid w:val="009B79AC"/>
    <w:rsid w:val="009C2CC3"/>
    <w:rsid w:val="009C5117"/>
    <w:rsid w:val="009C76E1"/>
    <w:rsid w:val="009D2729"/>
    <w:rsid w:val="009D7FD7"/>
    <w:rsid w:val="009E19E0"/>
    <w:rsid w:val="009E2786"/>
    <w:rsid w:val="009E3323"/>
    <w:rsid w:val="009E4222"/>
    <w:rsid w:val="009E437C"/>
    <w:rsid w:val="009E47AE"/>
    <w:rsid w:val="009E4EC4"/>
    <w:rsid w:val="009E532E"/>
    <w:rsid w:val="009E5672"/>
    <w:rsid w:val="009E7658"/>
    <w:rsid w:val="009F1E47"/>
    <w:rsid w:val="009F479E"/>
    <w:rsid w:val="009F524D"/>
    <w:rsid w:val="009F5C49"/>
    <w:rsid w:val="009F6382"/>
    <w:rsid w:val="009F7A68"/>
    <w:rsid w:val="00A01650"/>
    <w:rsid w:val="00A0169F"/>
    <w:rsid w:val="00A01F1A"/>
    <w:rsid w:val="00A02009"/>
    <w:rsid w:val="00A0302A"/>
    <w:rsid w:val="00A03103"/>
    <w:rsid w:val="00A03DF7"/>
    <w:rsid w:val="00A042AD"/>
    <w:rsid w:val="00A07E9D"/>
    <w:rsid w:val="00A1283A"/>
    <w:rsid w:val="00A12D11"/>
    <w:rsid w:val="00A1601B"/>
    <w:rsid w:val="00A17980"/>
    <w:rsid w:val="00A24091"/>
    <w:rsid w:val="00A248DD"/>
    <w:rsid w:val="00A25709"/>
    <w:rsid w:val="00A267A6"/>
    <w:rsid w:val="00A27A5C"/>
    <w:rsid w:val="00A31303"/>
    <w:rsid w:val="00A3343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5BB8"/>
    <w:rsid w:val="00A56CCD"/>
    <w:rsid w:val="00A60FC6"/>
    <w:rsid w:val="00A61069"/>
    <w:rsid w:val="00A6172F"/>
    <w:rsid w:val="00A62258"/>
    <w:rsid w:val="00A62D3A"/>
    <w:rsid w:val="00A66175"/>
    <w:rsid w:val="00A72A11"/>
    <w:rsid w:val="00A73569"/>
    <w:rsid w:val="00A76449"/>
    <w:rsid w:val="00A77438"/>
    <w:rsid w:val="00A7773A"/>
    <w:rsid w:val="00A77C1A"/>
    <w:rsid w:val="00A8120B"/>
    <w:rsid w:val="00A82995"/>
    <w:rsid w:val="00A82F63"/>
    <w:rsid w:val="00A834B6"/>
    <w:rsid w:val="00A847A8"/>
    <w:rsid w:val="00A84C6B"/>
    <w:rsid w:val="00A8711B"/>
    <w:rsid w:val="00A92BFB"/>
    <w:rsid w:val="00A976FA"/>
    <w:rsid w:val="00A97C9F"/>
    <w:rsid w:val="00AA2645"/>
    <w:rsid w:val="00AA265A"/>
    <w:rsid w:val="00AA540B"/>
    <w:rsid w:val="00AB04D8"/>
    <w:rsid w:val="00AB10A7"/>
    <w:rsid w:val="00AB171A"/>
    <w:rsid w:val="00AB640E"/>
    <w:rsid w:val="00AC067C"/>
    <w:rsid w:val="00AC1627"/>
    <w:rsid w:val="00AC20AF"/>
    <w:rsid w:val="00AC355C"/>
    <w:rsid w:val="00AC475D"/>
    <w:rsid w:val="00AC5F01"/>
    <w:rsid w:val="00AD066A"/>
    <w:rsid w:val="00AD0DDB"/>
    <w:rsid w:val="00AD2E9B"/>
    <w:rsid w:val="00AD33C0"/>
    <w:rsid w:val="00AD7A38"/>
    <w:rsid w:val="00AD7DDD"/>
    <w:rsid w:val="00AE1106"/>
    <w:rsid w:val="00AE17EA"/>
    <w:rsid w:val="00AE24F5"/>
    <w:rsid w:val="00AE2D6A"/>
    <w:rsid w:val="00AE3993"/>
    <w:rsid w:val="00AE515F"/>
    <w:rsid w:val="00AE7126"/>
    <w:rsid w:val="00AE723E"/>
    <w:rsid w:val="00AE728B"/>
    <w:rsid w:val="00AE752B"/>
    <w:rsid w:val="00AF4851"/>
    <w:rsid w:val="00AF573E"/>
    <w:rsid w:val="00B01873"/>
    <w:rsid w:val="00B01E95"/>
    <w:rsid w:val="00B02981"/>
    <w:rsid w:val="00B02AD7"/>
    <w:rsid w:val="00B042E4"/>
    <w:rsid w:val="00B047CD"/>
    <w:rsid w:val="00B072E8"/>
    <w:rsid w:val="00B13F4A"/>
    <w:rsid w:val="00B1517C"/>
    <w:rsid w:val="00B154A8"/>
    <w:rsid w:val="00B220F1"/>
    <w:rsid w:val="00B22A98"/>
    <w:rsid w:val="00B251A5"/>
    <w:rsid w:val="00B25B50"/>
    <w:rsid w:val="00B2693C"/>
    <w:rsid w:val="00B269C0"/>
    <w:rsid w:val="00B2769A"/>
    <w:rsid w:val="00B27EB5"/>
    <w:rsid w:val="00B33660"/>
    <w:rsid w:val="00B3625D"/>
    <w:rsid w:val="00B36291"/>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433D"/>
    <w:rsid w:val="00B66F49"/>
    <w:rsid w:val="00B6789F"/>
    <w:rsid w:val="00B71126"/>
    <w:rsid w:val="00B712D6"/>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0EEE"/>
    <w:rsid w:val="00BB29B0"/>
    <w:rsid w:val="00BB4A8F"/>
    <w:rsid w:val="00BB5CF1"/>
    <w:rsid w:val="00BB6830"/>
    <w:rsid w:val="00BB7322"/>
    <w:rsid w:val="00BC09A7"/>
    <w:rsid w:val="00BC1EBE"/>
    <w:rsid w:val="00BC677B"/>
    <w:rsid w:val="00BC7247"/>
    <w:rsid w:val="00BD1292"/>
    <w:rsid w:val="00BD3BE1"/>
    <w:rsid w:val="00BD3E12"/>
    <w:rsid w:val="00BD7B69"/>
    <w:rsid w:val="00BD7CCC"/>
    <w:rsid w:val="00BE07C9"/>
    <w:rsid w:val="00BE7122"/>
    <w:rsid w:val="00BF013A"/>
    <w:rsid w:val="00BF1244"/>
    <w:rsid w:val="00BF592D"/>
    <w:rsid w:val="00BF59AF"/>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2EF6"/>
    <w:rsid w:val="00C3392D"/>
    <w:rsid w:val="00C33B55"/>
    <w:rsid w:val="00C35A0F"/>
    <w:rsid w:val="00C35D4C"/>
    <w:rsid w:val="00C40DAE"/>
    <w:rsid w:val="00C417FC"/>
    <w:rsid w:val="00C5372F"/>
    <w:rsid w:val="00C563D2"/>
    <w:rsid w:val="00C57F39"/>
    <w:rsid w:val="00C62684"/>
    <w:rsid w:val="00C63201"/>
    <w:rsid w:val="00C659BF"/>
    <w:rsid w:val="00C65B29"/>
    <w:rsid w:val="00C66710"/>
    <w:rsid w:val="00C7010E"/>
    <w:rsid w:val="00C76442"/>
    <w:rsid w:val="00C76B98"/>
    <w:rsid w:val="00C831AB"/>
    <w:rsid w:val="00C85A32"/>
    <w:rsid w:val="00C87278"/>
    <w:rsid w:val="00C915A4"/>
    <w:rsid w:val="00C92209"/>
    <w:rsid w:val="00C96A7D"/>
    <w:rsid w:val="00C97441"/>
    <w:rsid w:val="00C9792F"/>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27E5"/>
    <w:rsid w:val="00CE2B46"/>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65C"/>
    <w:rsid w:val="00D14B3A"/>
    <w:rsid w:val="00D15A5F"/>
    <w:rsid w:val="00D23C7C"/>
    <w:rsid w:val="00D250DD"/>
    <w:rsid w:val="00D2514B"/>
    <w:rsid w:val="00D27ADE"/>
    <w:rsid w:val="00D3251C"/>
    <w:rsid w:val="00D3293E"/>
    <w:rsid w:val="00D358A0"/>
    <w:rsid w:val="00D364E8"/>
    <w:rsid w:val="00D376A4"/>
    <w:rsid w:val="00D37E79"/>
    <w:rsid w:val="00D40031"/>
    <w:rsid w:val="00D45373"/>
    <w:rsid w:val="00D4583E"/>
    <w:rsid w:val="00D46973"/>
    <w:rsid w:val="00D537C1"/>
    <w:rsid w:val="00D5684E"/>
    <w:rsid w:val="00D60CF1"/>
    <w:rsid w:val="00D61C50"/>
    <w:rsid w:val="00D61D4E"/>
    <w:rsid w:val="00D627A0"/>
    <w:rsid w:val="00D62BBB"/>
    <w:rsid w:val="00D63D6E"/>
    <w:rsid w:val="00D64543"/>
    <w:rsid w:val="00D65801"/>
    <w:rsid w:val="00D66FE0"/>
    <w:rsid w:val="00D67E36"/>
    <w:rsid w:val="00D77813"/>
    <w:rsid w:val="00D77C0E"/>
    <w:rsid w:val="00D8089B"/>
    <w:rsid w:val="00D812CF"/>
    <w:rsid w:val="00D81811"/>
    <w:rsid w:val="00D81A5C"/>
    <w:rsid w:val="00D90C73"/>
    <w:rsid w:val="00D9204E"/>
    <w:rsid w:val="00D92B70"/>
    <w:rsid w:val="00D9464C"/>
    <w:rsid w:val="00D96002"/>
    <w:rsid w:val="00D96A87"/>
    <w:rsid w:val="00D979B0"/>
    <w:rsid w:val="00DA0918"/>
    <w:rsid w:val="00DA2967"/>
    <w:rsid w:val="00DA43A9"/>
    <w:rsid w:val="00DA4676"/>
    <w:rsid w:val="00DA582E"/>
    <w:rsid w:val="00DA79CE"/>
    <w:rsid w:val="00DC0F1A"/>
    <w:rsid w:val="00DC60EE"/>
    <w:rsid w:val="00DD2E25"/>
    <w:rsid w:val="00DD33FA"/>
    <w:rsid w:val="00DD3BAF"/>
    <w:rsid w:val="00DD3E94"/>
    <w:rsid w:val="00DD6D4E"/>
    <w:rsid w:val="00DD70C1"/>
    <w:rsid w:val="00DE2AFA"/>
    <w:rsid w:val="00DE4206"/>
    <w:rsid w:val="00DE5B96"/>
    <w:rsid w:val="00DE68A7"/>
    <w:rsid w:val="00DE6BD9"/>
    <w:rsid w:val="00DF4E97"/>
    <w:rsid w:val="00E01E44"/>
    <w:rsid w:val="00E02A78"/>
    <w:rsid w:val="00E0461D"/>
    <w:rsid w:val="00E06F2D"/>
    <w:rsid w:val="00E12877"/>
    <w:rsid w:val="00E16860"/>
    <w:rsid w:val="00E16B6F"/>
    <w:rsid w:val="00E172AB"/>
    <w:rsid w:val="00E17AC3"/>
    <w:rsid w:val="00E203A5"/>
    <w:rsid w:val="00E20C9D"/>
    <w:rsid w:val="00E22DE0"/>
    <w:rsid w:val="00E23BDD"/>
    <w:rsid w:val="00E23F95"/>
    <w:rsid w:val="00E248EE"/>
    <w:rsid w:val="00E24DCD"/>
    <w:rsid w:val="00E27E4C"/>
    <w:rsid w:val="00E3074A"/>
    <w:rsid w:val="00E338F5"/>
    <w:rsid w:val="00E340A6"/>
    <w:rsid w:val="00E344A8"/>
    <w:rsid w:val="00E345D5"/>
    <w:rsid w:val="00E34849"/>
    <w:rsid w:val="00E36E30"/>
    <w:rsid w:val="00E45521"/>
    <w:rsid w:val="00E50610"/>
    <w:rsid w:val="00E50944"/>
    <w:rsid w:val="00E51658"/>
    <w:rsid w:val="00E51966"/>
    <w:rsid w:val="00E52C95"/>
    <w:rsid w:val="00E55128"/>
    <w:rsid w:val="00E5542E"/>
    <w:rsid w:val="00E60000"/>
    <w:rsid w:val="00E73FAC"/>
    <w:rsid w:val="00E75019"/>
    <w:rsid w:val="00E76EF5"/>
    <w:rsid w:val="00E8223F"/>
    <w:rsid w:val="00E861EA"/>
    <w:rsid w:val="00E8758A"/>
    <w:rsid w:val="00E919F3"/>
    <w:rsid w:val="00E966A3"/>
    <w:rsid w:val="00E97A93"/>
    <w:rsid w:val="00EA3F4A"/>
    <w:rsid w:val="00EA4584"/>
    <w:rsid w:val="00EA545B"/>
    <w:rsid w:val="00EA5E1E"/>
    <w:rsid w:val="00EA7123"/>
    <w:rsid w:val="00EB4EEB"/>
    <w:rsid w:val="00EB60D2"/>
    <w:rsid w:val="00EB635C"/>
    <w:rsid w:val="00EB6C07"/>
    <w:rsid w:val="00EC2BC3"/>
    <w:rsid w:val="00EC3811"/>
    <w:rsid w:val="00EC4880"/>
    <w:rsid w:val="00EC4AF8"/>
    <w:rsid w:val="00EC4C53"/>
    <w:rsid w:val="00EC6651"/>
    <w:rsid w:val="00EC6F1C"/>
    <w:rsid w:val="00ED0334"/>
    <w:rsid w:val="00ED4979"/>
    <w:rsid w:val="00ED51F7"/>
    <w:rsid w:val="00EE0AD7"/>
    <w:rsid w:val="00EE1A1C"/>
    <w:rsid w:val="00EE207A"/>
    <w:rsid w:val="00EE32C3"/>
    <w:rsid w:val="00EE37FC"/>
    <w:rsid w:val="00EE4D8B"/>
    <w:rsid w:val="00EE580F"/>
    <w:rsid w:val="00EE6702"/>
    <w:rsid w:val="00EE6AF4"/>
    <w:rsid w:val="00EE713D"/>
    <w:rsid w:val="00EE7CB8"/>
    <w:rsid w:val="00EF13E4"/>
    <w:rsid w:val="00EF1FFC"/>
    <w:rsid w:val="00EF24D7"/>
    <w:rsid w:val="00EF342B"/>
    <w:rsid w:val="00EF6149"/>
    <w:rsid w:val="00F04B73"/>
    <w:rsid w:val="00F05E76"/>
    <w:rsid w:val="00F06C09"/>
    <w:rsid w:val="00F10465"/>
    <w:rsid w:val="00F10BF7"/>
    <w:rsid w:val="00F115A4"/>
    <w:rsid w:val="00F1351E"/>
    <w:rsid w:val="00F1444E"/>
    <w:rsid w:val="00F147BD"/>
    <w:rsid w:val="00F14D9A"/>
    <w:rsid w:val="00F16864"/>
    <w:rsid w:val="00F173C9"/>
    <w:rsid w:val="00F2079F"/>
    <w:rsid w:val="00F2098A"/>
    <w:rsid w:val="00F20A6F"/>
    <w:rsid w:val="00F20BBA"/>
    <w:rsid w:val="00F211DE"/>
    <w:rsid w:val="00F226F3"/>
    <w:rsid w:val="00F23970"/>
    <w:rsid w:val="00F25592"/>
    <w:rsid w:val="00F25D6D"/>
    <w:rsid w:val="00F26C05"/>
    <w:rsid w:val="00F34739"/>
    <w:rsid w:val="00F35194"/>
    <w:rsid w:val="00F355C3"/>
    <w:rsid w:val="00F35782"/>
    <w:rsid w:val="00F40404"/>
    <w:rsid w:val="00F41187"/>
    <w:rsid w:val="00F45F5B"/>
    <w:rsid w:val="00F46975"/>
    <w:rsid w:val="00F46BF3"/>
    <w:rsid w:val="00F503DE"/>
    <w:rsid w:val="00F51D56"/>
    <w:rsid w:val="00F525E0"/>
    <w:rsid w:val="00F5492A"/>
    <w:rsid w:val="00F56A99"/>
    <w:rsid w:val="00F57F6E"/>
    <w:rsid w:val="00F61D46"/>
    <w:rsid w:val="00F63279"/>
    <w:rsid w:val="00F638DB"/>
    <w:rsid w:val="00F63F99"/>
    <w:rsid w:val="00F64BF1"/>
    <w:rsid w:val="00F65E63"/>
    <w:rsid w:val="00F66868"/>
    <w:rsid w:val="00F672FB"/>
    <w:rsid w:val="00F7011F"/>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97497"/>
    <w:rsid w:val="00FA1F8E"/>
    <w:rsid w:val="00FA2949"/>
    <w:rsid w:val="00FA2C47"/>
    <w:rsid w:val="00FA3AD1"/>
    <w:rsid w:val="00FB57B9"/>
    <w:rsid w:val="00FB5882"/>
    <w:rsid w:val="00FB7CDE"/>
    <w:rsid w:val="00FC1558"/>
    <w:rsid w:val="00FC348F"/>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89A40"/>
  <w15:docId w15:val="{FD94A8D2-F336-477C-B322-7CC8C246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5C75F5"/>
    <w:rPr>
      <w:rFonts w:ascii="宋体" w:hAnsi="宋体" w:cs="宋体"/>
      <w:sz w:val="24"/>
      <w:szCs w:val="24"/>
    </w:rPr>
  </w:style>
  <w:style w:type="paragraph" w:styleId="1">
    <w:name w:val="heading 1"/>
    <w:basedOn w:val="a6"/>
    <w:next w:val="a6"/>
    <w:link w:val="10"/>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
    <w:name w:val="heading 2"/>
    <w:basedOn w:val="a6"/>
    <w:next w:val="a6"/>
    <w:link w:val="20"/>
    <w:qFormat/>
    <w:pPr>
      <w:keepNext/>
      <w:keepLines/>
      <w:widowControl w:val="0"/>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6"/>
    <w:next w:val="a6"/>
    <w:link w:val="30"/>
    <w:qFormat/>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paragraph" w:styleId="4">
    <w:name w:val="heading 4"/>
    <w:basedOn w:val="a6"/>
    <w:next w:val="a6"/>
    <w:link w:val="40"/>
    <w:qFormat/>
    <w:pPr>
      <w:keepNext/>
      <w:keepLines/>
      <w:widowControl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6"/>
    <w:next w:val="a6"/>
    <w:link w:val="50"/>
    <w:qFormat/>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6">
    <w:name w:val="heading 6"/>
    <w:basedOn w:val="a6"/>
    <w:next w:val="a6"/>
    <w:link w:val="60"/>
    <w:qFormat/>
    <w:pPr>
      <w:keepNext/>
      <w:keepLines/>
      <w:widowControl w:val="0"/>
      <w:spacing w:before="240" w:after="64" w:line="320" w:lineRule="auto"/>
      <w:jc w:val="both"/>
      <w:outlineLvl w:val="5"/>
    </w:pPr>
    <w:rPr>
      <w:rFonts w:ascii="Arial" w:eastAsia="黑体" w:hAnsi="Arial" w:cs="Times New Roman"/>
      <w:b/>
      <w:bCs/>
      <w:kern w:val="2"/>
    </w:rPr>
  </w:style>
  <w:style w:type="paragraph" w:styleId="7">
    <w:name w:val="heading 7"/>
    <w:basedOn w:val="a6"/>
    <w:next w:val="a6"/>
    <w:link w:val="70"/>
    <w:qFormat/>
    <w:pPr>
      <w:keepNext/>
      <w:keepLines/>
      <w:widowControl w:val="0"/>
      <w:spacing w:before="240" w:after="64" w:line="320" w:lineRule="auto"/>
      <w:jc w:val="both"/>
      <w:outlineLvl w:val="6"/>
    </w:pPr>
    <w:rPr>
      <w:rFonts w:ascii="Times New Roman" w:hAnsi="Times New Roman" w:cs="Times New Roman"/>
      <w:b/>
      <w:bCs/>
      <w:kern w:val="2"/>
    </w:rPr>
  </w:style>
  <w:style w:type="paragraph" w:styleId="8">
    <w:name w:val="heading 8"/>
    <w:basedOn w:val="a6"/>
    <w:next w:val="a6"/>
    <w:link w:val="80"/>
    <w:qFormat/>
    <w:pPr>
      <w:keepNext/>
      <w:keepLines/>
      <w:widowControl w:val="0"/>
      <w:spacing w:before="240" w:after="64" w:line="320" w:lineRule="auto"/>
      <w:jc w:val="both"/>
      <w:outlineLvl w:val="7"/>
    </w:pPr>
    <w:rPr>
      <w:rFonts w:ascii="Arial" w:eastAsia="黑体" w:hAnsi="Arial" w:cs="Times New Roman"/>
      <w:kern w:val="2"/>
    </w:rPr>
  </w:style>
  <w:style w:type="paragraph" w:styleId="9">
    <w:name w:val="heading 9"/>
    <w:basedOn w:val="a6"/>
    <w:next w:val="a6"/>
    <w:link w:val="90"/>
    <w:qFormat/>
    <w:pPr>
      <w:keepNext/>
      <w:keepLines/>
      <w:widowControl w:val="0"/>
      <w:spacing w:before="240" w:after="64" w:line="320" w:lineRule="auto"/>
      <w:jc w:val="both"/>
      <w:outlineLvl w:val="8"/>
    </w:pPr>
    <w:rPr>
      <w:rFonts w:ascii="Arial" w:eastAsia="黑体" w:hAnsi="Arial" w:cs="Times New Roman"/>
      <w:kern w:val="2"/>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widowControl w:val="0"/>
      <w:ind w:leftChars="400" w:left="100" w:hangingChars="200" w:hanging="200"/>
      <w:jc w:val="both"/>
    </w:pPr>
    <w:rPr>
      <w:rFonts w:ascii="Times New Roman" w:hAnsi="Times New Roman" w:cs="Times New Roman"/>
      <w:kern w:val="2"/>
      <w:sz w:val="21"/>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21">
    <w:name w:val="List Number 2"/>
    <w:basedOn w:val="a6"/>
    <w:qFormat/>
    <w:pPr>
      <w:widowControl w:val="0"/>
      <w:tabs>
        <w:tab w:val="left" w:pos="675"/>
        <w:tab w:val="left" w:pos="780"/>
      </w:tabs>
      <w:ind w:left="675" w:hanging="360"/>
      <w:jc w:val="both"/>
    </w:pPr>
    <w:rPr>
      <w:rFonts w:ascii="Times New Roman" w:hAnsi="Times New Roman" w:cs="Times New Roman"/>
      <w:kern w:val="2"/>
      <w:sz w:val="21"/>
    </w:rPr>
  </w:style>
  <w:style w:type="paragraph" w:styleId="ac">
    <w:name w:val="table of authorities"/>
    <w:basedOn w:val="a6"/>
    <w:next w:val="a6"/>
    <w:qFormat/>
    <w:pPr>
      <w:widowControl w:val="0"/>
      <w:ind w:leftChars="200" w:left="420"/>
      <w:jc w:val="both"/>
    </w:pPr>
    <w:rPr>
      <w:rFonts w:ascii="Times New Roman" w:hAnsi="Times New Roman" w:cs="Times New Roman"/>
      <w:kern w:val="2"/>
      <w:sz w:val="21"/>
    </w:rPr>
  </w:style>
  <w:style w:type="paragraph" w:styleId="ad">
    <w:name w:val="Note Heading"/>
    <w:basedOn w:val="a6"/>
    <w:next w:val="a6"/>
    <w:link w:val="ae"/>
    <w:qFormat/>
    <w:pPr>
      <w:widowControl w:val="0"/>
      <w:jc w:val="center"/>
    </w:pPr>
    <w:rPr>
      <w:rFonts w:ascii="Times New Roman" w:hAnsi="Times New Roman" w:cs="Times New Roman"/>
      <w:kern w:val="2"/>
      <w:sz w:val="21"/>
    </w:rPr>
  </w:style>
  <w:style w:type="paragraph" w:styleId="41">
    <w:name w:val="List Bullet 4"/>
    <w:basedOn w:val="a6"/>
    <w:qFormat/>
    <w:pPr>
      <w:widowControl w:val="0"/>
      <w:tabs>
        <w:tab w:val="left" w:pos="750"/>
        <w:tab w:val="left" w:pos="1620"/>
      </w:tabs>
      <w:ind w:left="750" w:hanging="750"/>
      <w:jc w:val="both"/>
    </w:pPr>
    <w:rPr>
      <w:rFonts w:ascii="Times New Roman" w:hAnsi="Times New Roman" w:cs="Times New Roman"/>
      <w:kern w:val="2"/>
      <w:sz w:val="21"/>
    </w:rPr>
  </w:style>
  <w:style w:type="paragraph" w:styleId="81">
    <w:name w:val="index 8"/>
    <w:basedOn w:val="a6"/>
    <w:next w:val="a6"/>
    <w:qFormat/>
    <w:pPr>
      <w:widowControl w:val="0"/>
      <w:ind w:leftChars="1400" w:left="1400"/>
      <w:jc w:val="both"/>
    </w:pPr>
    <w:rPr>
      <w:rFonts w:ascii="Times New Roman" w:hAnsi="Times New Roman" w:cs="Times New Roman"/>
      <w:kern w:val="2"/>
      <w:sz w:val="21"/>
    </w:rPr>
  </w:style>
  <w:style w:type="paragraph" w:styleId="af">
    <w:name w:val="E-mail Signature"/>
    <w:basedOn w:val="a6"/>
    <w:link w:val="af0"/>
    <w:qFormat/>
    <w:pPr>
      <w:widowControl w:val="0"/>
      <w:jc w:val="both"/>
    </w:pPr>
    <w:rPr>
      <w:rFonts w:ascii="Times New Roman" w:hAnsi="Times New Roman" w:cs="Times New Roman"/>
      <w:kern w:val="2"/>
      <w:sz w:val="21"/>
    </w:rPr>
  </w:style>
  <w:style w:type="paragraph" w:styleId="af1">
    <w:name w:val="List Number"/>
    <w:basedOn w:val="a6"/>
    <w:qFormat/>
    <w:pPr>
      <w:widowControl w:val="0"/>
      <w:tabs>
        <w:tab w:val="left" w:pos="360"/>
        <w:tab w:val="left" w:pos="720"/>
      </w:tabs>
      <w:ind w:left="720" w:hanging="720"/>
      <w:jc w:val="both"/>
    </w:pPr>
    <w:rPr>
      <w:rFonts w:ascii="Times New Roman" w:hAnsi="Times New Roman" w:cs="Times New Roman"/>
      <w:kern w:val="2"/>
      <w:sz w:val="21"/>
    </w:rPr>
  </w:style>
  <w:style w:type="paragraph" w:styleId="af2">
    <w:name w:val="Normal Indent"/>
    <w:basedOn w:val="a6"/>
    <w:unhideWhenUsed/>
    <w:qFormat/>
    <w:pPr>
      <w:widowControl w:val="0"/>
      <w:ind w:firstLineChars="200" w:firstLine="420"/>
      <w:jc w:val="both"/>
    </w:pPr>
    <w:rPr>
      <w:rFonts w:ascii="Times New Roman" w:hAnsi="Times New Roman" w:cs="Times New Roman"/>
      <w:kern w:val="2"/>
      <w:sz w:val="21"/>
    </w:rPr>
  </w:style>
  <w:style w:type="paragraph" w:styleId="af3">
    <w:name w:val="caption"/>
    <w:basedOn w:val="a6"/>
    <w:next w:val="a6"/>
    <w:qFormat/>
    <w:pPr>
      <w:widowControl w:val="0"/>
      <w:jc w:val="center"/>
    </w:pPr>
    <w:rPr>
      <w:rFonts w:ascii="Arial" w:eastAsia="黑体" w:hAnsi="Arial" w:cs="Arial"/>
      <w:kern w:val="2"/>
      <w:szCs w:val="20"/>
    </w:rPr>
  </w:style>
  <w:style w:type="paragraph" w:styleId="51">
    <w:name w:val="index 5"/>
    <w:basedOn w:val="a6"/>
    <w:next w:val="a6"/>
    <w:qFormat/>
    <w:pPr>
      <w:widowControl w:val="0"/>
      <w:ind w:leftChars="800" w:left="800"/>
      <w:jc w:val="both"/>
    </w:pPr>
    <w:rPr>
      <w:rFonts w:ascii="Times New Roman" w:hAnsi="Times New Roman" w:cs="Times New Roman"/>
      <w:kern w:val="2"/>
      <w:sz w:val="21"/>
    </w:rPr>
  </w:style>
  <w:style w:type="paragraph" w:styleId="af4">
    <w:name w:val="List Bullet"/>
    <w:basedOn w:val="a6"/>
    <w:qFormat/>
    <w:pPr>
      <w:widowControl w:val="0"/>
      <w:tabs>
        <w:tab w:val="left" w:pos="360"/>
        <w:tab w:val="left" w:pos="720"/>
      </w:tabs>
      <w:ind w:left="720" w:hanging="720"/>
      <w:jc w:val="both"/>
    </w:pPr>
    <w:rPr>
      <w:rFonts w:ascii="Times New Roman" w:hAnsi="Times New Roman" w:cs="Times New Roman"/>
      <w:kern w:val="2"/>
      <w:sz w:val="21"/>
    </w:rPr>
  </w:style>
  <w:style w:type="paragraph" w:styleId="af5">
    <w:name w:val="envelope address"/>
    <w:basedOn w:val="a6"/>
    <w:qFormat/>
    <w:pPr>
      <w:widowControl w:val="0"/>
      <w:snapToGrid w:val="0"/>
      <w:ind w:leftChars="1400" w:left="100"/>
      <w:jc w:val="both"/>
    </w:pPr>
    <w:rPr>
      <w:rFonts w:ascii="Arial" w:hAnsi="Arial" w:cs="Arial"/>
      <w:kern w:val="2"/>
    </w:rPr>
  </w:style>
  <w:style w:type="paragraph" w:styleId="af6">
    <w:name w:val="Document Map"/>
    <w:basedOn w:val="a6"/>
    <w:link w:val="af7"/>
    <w:qFormat/>
    <w:pPr>
      <w:widowControl w:val="0"/>
      <w:shd w:val="clear" w:color="auto" w:fill="000080"/>
      <w:jc w:val="both"/>
    </w:pPr>
    <w:rPr>
      <w:rFonts w:ascii="Times New Roman" w:hAnsi="Times New Roman" w:cs="Times New Roman"/>
      <w:kern w:val="2"/>
      <w:sz w:val="21"/>
    </w:rPr>
  </w:style>
  <w:style w:type="paragraph" w:styleId="af8">
    <w:name w:val="toa heading"/>
    <w:basedOn w:val="a6"/>
    <w:next w:val="a6"/>
    <w:qFormat/>
    <w:pPr>
      <w:widowControl w:val="0"/>
      <w:spacing w:before="120"/>
      <w:jc w:val="both"/>
    </w:pPr>
    <w:rPr>
      <w:rFonts w:ascii="Arial" w:hAnsi="Arial" w:cs="Arial"/>
      <w:kern w:val="2"/>
    </w:rPr>
  </w:style>
  <w:style w:type="paragraph" w:styleId="af9">
    <w:name w:val="annotation text"/>
    <w:basedOn w:val="a6"/>
    <w:link w:val="afa"/>
    <w:unhideWhenUsed/>
    <w:qFormat/>
    <w:pPr>
      <w:widowControl w:val="0"/>
    </w:pPr>
    <w:rPr>
      <w:rFonts w:ascii="Times New Roman" w:hAnsi="Times New Roman" w:cs="Times New Roman"/>
      <w:kern w:val="2"/>
      <w:sz w:val="21"/>
      <w:szCs w:val="21"/>
    </w:rPr>
  </w:style>
  <w:style w:type="paragraph" w:styleId="61">
    <w:name w:val="index 6"/>
    <w:basedOn w:val="a6"/>
    <w:next w:val="a6"/>
    <w:qFormat/>
    <w:pPr>
      <w:widowControl w:val="0"/>
      <w:ind w:leftChars="1000" w:left="1000"/>
      <w:jc w:val="both"/>
    </w:pPr>
    <w:rPr>
      <w:rFonts w:ascii="Times New Roman" w:hAnsi="Times New Roman" w:cs="Times New Roman"/>
      <w:kern w:val="2"/>
      <w:sz w:val="21"/>
    </w:rPr>
  </w:style>
  <w:style w:type="paragraph" w:styleId="afb">
    <w:name w:val="Salutation"/>
    <w:basedOn w:val="a6"/>
    <w:next w:val="a6"/>
    <w:link w:val="afc"/>
    <w:qFormat/>
    <w:pPr>
      <w:widowControl w:val="0"/>
      <w:jc w:val="both"/>
    </w:pPr>
    <w:rPr>
      <w:rFonts w:ascii="Times New Roman" w:hAnsi="Times New Roman" w:cs="Times New Roman"/>
      <w:kern w:val="2"/>
      <w:sz w:val="21"/>
    </w:rPr>
  </w:style>
  <w:style w:type="paragraph" w:styleId="32">
    <w:name w:val="Body Text 3"/>
    <w:basedOn w:val="a6"/>
    <w:link w:val="33"/>
    <w:qFormat/>
    <w:pPr>
      <w:widowControl w:val="0"/>
      <w:spacing w:after="120"/>
      <w:jc w:val="both"/>
    </w:pPr>
    <w:rPr>
      <w:rFonts w:ascii="Times New Roman" w:hAnsi="Times New Roman" w:cs="Times New Roman"/>
      <w:kern w:val="2"/>
      <w:sz w:val="16"/>
      <w:szCs w:val="16"/>
    </w:rPr>
  </w:style>
  <w:style w:type="paragraph" w:styleId="afd">
    <w:name w:val="Closing"/>
    <w:basedOn w:val="a6"/>
    <w:link w:val="afe"/>
    <w:qFormat/>
    <w:pPr>
      <w:widowControl w:val="0"/>
      <w:ind w:leftChars="2100" w:left="100"/>
      <w:jc w:val="both"/>
    </w:pPr>
    <w:rPr>
      <w:rFonts w:ascii="Times New Roman" w:hAnsi="Times New Roman" w:cs="Times New Roman"/>
      <w:kern w:val="2"/>
      <w:sz w:val="21"/>
    </w:rPr>
  </w:style>
  <w:style w:type="paragraph" w:styleId="34">
    <w:name w:val="List Bullet 3"/>
    <w:basedOn w:val="a6"/>
    <w:qFormat/>
    <w:pPr>
      <w:widowControl w:val="0"/>
      <w:tabs>
        <w:tab w:val="left" w:pos="480"/>
        <w:tab w:val="left" w:pos="1200"/>
      </w:tabs>
      <w:ind w:left="480" w:hanging="480"/>
      <w:jc w:val="both"/>
    </w:pPr>
    <w:rPr>
      <w:rFonts w:ascii="Times New Roman" w:hAnsi="Times New Roman" w:cs="Times New Roman"/>
      <w:kern w:val="2"/>
      <w:sz w:val="21"/>
    </w:rPr>
  </w:style>
  <w:style w:type="paragraph" w:styleId="aff">
    <w:name w:val="Body Text"/>
    <w:basedOn w:val="a6"/>
    <w:link w:val="aff0"/>
    <w:qFormat/>
    <w:pPr>
      <w:widowControl w:val="0"/>
      <w:spacing w:after="120"/>
      <w:jc w:val="both"/>
    </w:pPr>
    <w:rPr>
      <w:rFonts w:ascii="Times New Roman" w:hAnsi="Times New Roman" w:cs="Times New Roman"/>
      <w:kern w:val="2"/>
      <w:sz w:val="21"/>
    </w:rPr>
  </w:style>
  <w:style w:type="paragraph" w:styleId="aff1">
    <w:name w:val="Body Text Indent"/>
    <w:basedOn w:val="a6"/>
    <w:link w:val="aff2"/>
    <w:qFormat/>
    <w:pPr>
      <w:widowControl w:val="0"/>
      <w:spacing w:after="120"/>
      <w:ind w:leftChars="200" w:left="420"/>
      <w:jc w:val="both"/>
    </w:pPr>
    <w:rPr>
      <w:rFonts w:ascii="Times New Roman" w:hAnsi="Times New Roman" w:cs="Times New Roman"/>
      <w:kern w:val="2"/>
      <w:sz w:val="21"/>
    </w:rPr>
  </w:style>
  <w:style w:type="paragraph" w:styleId="35">
    <w:name w:val="List Number 3"/>
    <w:basedOn w:val="a6"/>
    <w:qFormat/>
    <w:pPr>
      <w:widowControl w:val="0"/>
      <w:tabs>
        <w:tab w:val="left" w:pos="360"/>
        <w:tab w:val="left" w:pos="1200"/>
      </w:tabs>
      <w:ind w:left="360" w:hanging="360"/>
      <w:jc w:val="both"/>
    </w:pPr>
    <w:rPr>
      <w:rFonts w:ascii="Times New Roman" w:hAnsi="Times New Roman" w:cs="Times New Roman"/>
      <w:kern w:val="2"/>
      <w:sz w:val="21"/>
    </w:rPr>
  </w:style>
  <w:style w:type="paragraph" w:styleId="22">
    <w:name w:val="List 2"/>
    <w:basedOn w:val="a6"/>
    <w:qFormat/>
    <w:pPr>
      <w:widowControl w:val="0"/>
      <w:ind w:leftChars="200" w:left="100" w:hangingChars="200" w:hanging="200"/>
      <w:contextualSpacing/>
      <w:jc w:val="both"/>
    </w:pPr>
    <w:rPr>
      <w:rFonts w:ascii="Times New Roman" w:hAnsi="Times New Roman" w:cs="Times New Roman"/>
      <w:kern w:val="2"/>
      <w:sz w:val="21"/>
    </w:rPr>
  </w:style>
  <w:style w:type="paragraph" w:styleId="aff3">
    <w:name w:val="List Continue"/>
    <w:basedOn w:val="a6"/>
    <w:qFormat/>
    <w:pPr>
      <w:widowControl w:val="0"/>
      <w:spacing w:after="120"/>
      <w:ind w:leftChars="200" w:left="420"/>
      <w:jc w:val="both"/>
    </w:pPr>
    <w:rPr>
      <w:rFonts w:ascii="Times New Roman" w:hAnsi="Times New Roman" w:cs="Times New Roman"/>
      <w:kern w:val="2"/>
      <w:sz w:val="21"/>
    </w:rPr>
  </w:style>
  <w:style w:type="paragraph" w:styleId="aff4">
    <w:name w:val="Block Text"/>
    <w:basedOn w:val="a6"/>
    <w:qFormat/>
    <w:pPr>
      <w:widowControl w:val="0"/>
      <w:spacing w:after="120"/>
      <w:ind w:leftChars="700" w:left="1440" w:rightChars="700" w:right="1440"/>
      <w:jc w:val="both"/>
    </w:pPr>
    <w:rPr>
      <w:rFonts w:ascii="Times New Roman" w:hAnsi="Times New Roman" w:cs="Times New Roman"/>
      <w:kern w:val="2"/>
      <w:sz w:val="21"/>
    </w:rPr>
  </w:style>
  <w:style w:type="paragraph" w:styleId="23">
    <w:name w:val="List Bullet 2"/>
    <w:basedOn w:val="a6"/>
    <w:qFormat/>
    <w:pPr>
      <w:widowControl w:val="0"/>
      <w:tabs>
        <w:tab w:val="left" w:pos="720"/>
        <w:tab w:val="left" w:pos="780"/>
      </w:tabs>
      <w:ind w:left="720" w:hanging="360"/>
      <w:jc w:val="both"/>
    </w:pPr>
    <w:rPr>
      <w:rFonts w:ascii="Times New Roman" w:hAnsi="Times New Roman" w:cs="Times New Roman"/>
      <w:kern w:val="2"/>
      <w:sz w:val="21"/>
    </w:rPr>
  </w:style>
  <w:style w:type="paragraph" w:styleId="HTML">
    <w:name w:val="HTML Address"/>
    <w:basedOn w:val="a6"/>
    <w:link w:val="HTML0"/>
    <w:qFormat/>
    <w:pPr>
      <w:widowControl w:val="0"/>
      <w:jc w:val="both"/>
    </w:pPr>
    <w:rPr>
      <w:rFonts w:ascii="Times New Roman" w:hAnsi="Times New Roman" w:cs="Times New Roman"/>
      <w:i/>
      <w:iCs/>
      <w:kern w:val="2"/>
      <w:sz w:val="21"/>
    </w:rPr>
  </w:style>
  <w:style w:type="paragraph" w:styleId="42">
    <w:name w:val="index 4"/>
    <w:basedOn w:val="a6"/>
    <w:next w:val="a6"/>
    <w:qFormat/>
    <w:pPr>
      <w:widowControl w:val="0"/>
      <w:ind w:leftChars="600" w:left="6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qFormat/>
    <w:pPr>
      <w:widowControl w:val="0"/>
      <w:tabs>
        <w:tab w:val="right" w:leader="dot" w:pos="8296"/>
      </w:tabs>
      <w:spacing w:line="312" w:lineRule="auto"/>
      <w:ind w:leftChars="400" w:left="400"/>
      <w:jc w:val="both"/>
    </w:pPr>
    <w:rPr>
      <w:rFonts w:ascii="Times New Roman" w:hAnsi="Times New Roman" w:cs="Times New Roman"/>
      <w:kern w:val="2"/>
    </w:rPr>
  </w:style>
  <w:style w:type="paragraph" w:styleId="aff5">
    <w:name w:val="Plain Text"/>
    <w:basedOn w:val="a6"/>
    <w:link w:val="aff6"/>
    <w:qFormat/>
    <w:pPr>
      <w:widowControl w:val="0"/>
      <w:jc w:val="both"/>
    </w:pPr>
    <w:rPr>
      <w:rFonts w:hAnsi="Courier New" w:cs="Courier New"/>
      <w:kern w:val="2"/>
      <w:sz w:val="21"/>
      <w:szCs w:val="21"/>
    </w:rPr>
  </w:style>
  <w:style w:type="paragraph" w:styleId="52">
    <w:name w:val="List Bullet 5"/>
    <w:basedOn w:val="a6"/>
    <w:qFormat/>
    <w:pPr>
      <w:widowControl w:val="0"/>
      <w:tabs>
        <w:tab w:val="left" w:pos="840"/>
        <w:tab w:val="left" w:pos="2040"/>
      </w:tabs>
      <w:ind w:left="840" w:hanging="420"/>
      <w:jc w:val="both"/>
    </w:pPr>
    <w:rPr>
      <w:rFonts w:ascii="Times New Roman" w:hAnsi="Times New Roman" w:cs="Times New Roman"/>
      <w:kern w:val="2"/>
      <w:sz w:val="21"/>
    </w:rPr>
  </w:style>
  <w:style w:type="paragraph" w:styleId="43">
    <w:name w:val="List Number 4"/>
    <w:basedOn w:val="a6"/>
    <w:qFormat/>
    <w:pPr>
      <w:widowControl w:val="0"/>
      <w:tabs>
        <w:tab w:val="left" w:pos="960"/>
        <w:tab w:val="left" w:pos="1620"/>
      </w:tabs>
      <w:ind w:left="960" w:hanging="720"/>
      <w:jc w:val="both"/>
    </w:pPr>
    <w:rPr>
      <w:rFonts w:ascii="Times New Roman" w:hAnsi="Times New Roman" w:cs="Times New Roman"/>
      <w:kern w:val="2"/>
      <w:sz w:val="21"/>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36">
    <w:name w:val="index 3"/>
    <w:basedOn w:val="a6"/>
    <w:next w:val="a6"/>
    <w:qFormat/>
    <w:pPr>
      <w:widowControl w:val="0"/>
      <w:ind w:leftChars="400" w:left="400"/>
      <w:jc w:val="both"/>
    </w:pPr>
    <w:rPr>
      <w:rFonts w:ascii="Times New Roman" w:hAnsi="Times New Roman" w:cs="Times New Roman"/>
      <w:kern w:val="2"/>
      <w:sz w:val="21"/>
    </w:rPr>
  </w:style>
  <w:style w:type="paragraph" w:styleId="aff7">
    <w:name w:val="Date"/>
    <w:basedOn w:val="a6"/>
    <w:next w:val="a6"/>
    <w:link w:val="aff8"/>
    <w:qFormat/>
    <w:pPr>
      <w:widowControl w:val="0"/>
      <w:ind w:leftChars="2500" w:left="100"/>
      <w:jc w:val="both"/>
    </w:pPr>
    <w:rPr>
      <w:rFonts w:ascii="Times New Roman" w:hAnsi="Times New Roman" w:cs="Times New Roman"/>
      <w:kern w:val="2"/>
      <w:sz w:val="21"/>
    </w:rPr>
  </w:style>
  <w:style w:type="paragraph" w:styleId="24">
    <w:name w:val="Body Text Indent 2"/>
    <w:basedOn w:val="a6"/>
    <w:link w:val="25"/>
    <w:qFormat/>
    <w:pPr>
      <w:widowControl w:val="0"/>
      <w:spacing w:after="120" w:line="480" w:lineRule="auto"/>
      <w:ind w:leftChars="200" w:left="420"/>
      <w:jc w:val="both"/>
    </w:pPr>
    <w:rPr>
      <w:rFonts w:ascii="Times New Roman" w:hAnsi="Times New Roman" w:cs="Times New Roman"/>
      <w:kern w:val="2"/>
      <w:sz w:val="21"/>
    </w:rPr>
  </w:style>
  <w:style w:type="paragraph" w:styleId="aff9">
    <w:name w:val="endnote text"/>
    <w:basedOn w:val="a6"/>
    <w:link w:val="affa"/>
    <w:qFormat/>
    <w:pPr>
      <w:widowControl w:val="0"/>
      <w:snapToGrid w:val="0"/>
    </w:pPr>
    <w:rPr>
      <w:rFonts w:ascii="Times New Roman" w:hAnsi="Times New Roman" w:cs="Times New Roman"/>
      <w:kern w:val="2"/>
      <w:sz w:val="21"/>
    </w:rPr>
  </w:style>
  <w:style w:type="paragraph" w:styleId="53">
    <w:name w:val="List Continue 5"/>
    <w:basedOn w:val="a6"/>
    <w:qFormat/>
    <w:pPr>
      <w:widowControl w:val="0"/>
      <w:spacing w:after="120"/>
      <w:ind w:leftChars="1000" w:left="2100"/>
      <w:jc w:val="both"/>
    </w:pPr>
    <w:rPr>
      <w:rFonts w:ascii="Times New Roman" w:hAnsi="Times New Roman" w:cs="Times New Roman"/>
      <w:kern w:val="2"/>
      <w:sz w:val="21"/>
    </w:rPr>
  </w:style>
  <w:style w:type="paragraph" w:styleId="affb">
    <w:name w:val="Balloon Text"/>
    <w:basedOn w:val="a6"/>
    <w:link w:val="affc"/>
    <w:qFormat/>
    <w:pPr>
      <w:widowControl w:val="0"/>
      <w:jc w:val="both"/>
    </w:pPr>
    <w:rPr>
      <w:rFonts w:ascii="Times New Roman" w:hAnsi="Times New Roman" w:cs="Times New Roman"/>
      <w:kern w:val="2"/>
      <w:sz w:val="18"/>
      <w:szCs w:val="18"/>
    </w:rPr>
  </w:style>
  <w:style w:type="paragraph" w:styleId="affd">
    <w:name w:val="footer"/>
    <w:basedOn w:val="a6"/>
    <w:link w:val="affe"/>
    <w:uiPriority w:val="99"/>
    <w:qFormat/>
    <w:pPr>
      <w:widowControl w:val="0"/>
      <w:tabs>
        <w:tab w:val="center" w:pos="4153"/>
        <w:tab w:val="right" w:pos="8306"/>
      </w:tabs>
      <w:snapToGrid w:val="0"/>
    </w:pPr>
    <w:rPr>
      <w:rFonts w:ascii="Times New Roman" w:hAnsi="Times New Roman" w:cs="Times New Roman"/>
      <w:kern w:val="2"/>
      <w:sz w:val="18"/>
    </w:rPr>
  </w:style>
  <w:style w:type="paragraph" w:styleId="afff">
    <w:name w:val="envelope return"/>
    <w:basedOn w:val="a6"/>
    <w:qFormat/>
    <w:pPr>
      <w:widowControl w:val="0"/>
      <w:snapToGrid w:val="0"/>
      <w:jc w:val="both"/>
    </w:pPr>
    <w:rPr>
      <w:rFonts w:ascii="Arial" w:hAnsi="Arial" w:cs="Arial"/>
      <w:kern w:val="2"/>
      <w:sz w:val="21"/>
    </w:rPr>
  </w:style>
  <w:style w:type="paragraph" w:styleId="afff0">
    <w:name w:val="header"/>
    <w:basedOn w:val="a6"/>
    <w:link w:val="afff1"/>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cs="Times New Roman"/>
      <w:kern w:val="2"/>
      <w:sz w:val="18"/>
    </w:rPr>
  </w:style>
  <w:style w:type="paragraph" w:styleId="afff2">
    <w:name w:val="Signature"/>
    <w:basedOn w:val="a6"/>
    <w:link w:val="afff3"/>
    <w:qFormat/>
    <w:pPr>
      <w:widowControl w:val="0"/>
      <w:ind w:leftChars="2100" w:left="100"/>
      <w:jc w:val="both"/>
    </w:pPr>
    <w:rPr>
      <w:rFonts w:ascii="Times New Roman" w:hAnsi="Times New Roman" w:cs="Times New Roman"/>
      <w:kern w:val="2"/>
      <w:sz w:val="21"/>
    </w:rPr>
  </w:style>
  <w:style w:type="paragraph" w:styleId="TOC1">
    <w:name w:val="toc 1"/>
    <w:basedOn w:val="a6"/>
    <w:next w:val="a6"/>
    <w:qFormat/>
    <w:pPr>
      <w:widowControl w:val="0"/>
      <w:tabs>
        <w:tab w:val="right" w:leader="dot" w:pos="8296"/>
      </w:tabs>
      <w:spacing w:line="312" w:lineRule="auto"/>
      <w:jc w:val="both"/>
    </w:pPr>
    <w:rPr>
      <w:rFonts w:ascii="Times New Roman" w:hAnsi="Times New Roman" w:cs="Times New Roman"/>
      <w:kern w:val="2"/>
    </w:rPr>
  </w:style>
  <w:style w:type="paragraph" w:styleId="44">
    <w:name w:val="List Continue 4"/>
    <w:basedOn w:val="a6"/>
    <w:qFormat/>
    <w:pPr>
      <w:widowControl w:val="0"/>
      <w:spacing w:after="120"/>
      <w:ind w:leftChars="800" w:left="1680"/>
      <w:jc w:val="both"/>
    </w:pPr>
    <w:rPr>
      <w:rFonts w:ascii="Times New Roman" w:hAnsi="Times New Roman" w:cs="Times New Roman"/>
      <w:kern w:val="2"/>
      <w:sz w:val="21"/>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afff4">
    <w:name w:val="index heading"/>
    <w:basedOn w:val="a6"/>
    <w:next w:val="11"/>
    <w:qFormat/>
    <w:pPr>
      <w:widowControl w:val="0"/>
      <w:jc w:val="both"/>
    </w:pPr>
    <w:rPr>
      <w:rFonts w:ascii="Arial" w:hAnsi="Arial" w:cs="Arial"/>
      <w:b/>
      <w:bCs/>
      <w:kern w:val="2"/>
      <w:sz w:val="21"/>
    </w:rPr>
  </w:style>
  <w:style w:type="paragraph" w:styleId="11">
    <w:name w:val="index 1"/>
    <w:basedOn w:val="a6"/>
    <w:next w:val="a6"/>
    <w:qFormat/>
    <w:pPr>
      <w:widowControl w:val="0"/>
      <w:jc w:val="both"/>
    </w:pPr>
    <w:rPr>
      <w:rFonts w:ascii="Times New Roman" w:hAnsi="Times New Roman" w:cs="Times New Roman"/>
      <w:kern w:val="2"/>
      <w:sz w:val="21"/>
    </w:rPr>
  </w:style>
  <w:style w:type="paragraph" w:styleId="afff5">
    <w:name w:val="Subtitle"/>
    <w:basedOn w:val="a6"/>
    <w:link w:val="afff6"/>
    <w:qFormat/>
    <w:pPr>
      <w:widowControl w:val="0"/>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widowControl w:val="0"/>
      <w:tabs>
        <w:tab w:val="left" w:pos="2040"/>
      </w:tabs>
      <w:jc w:val="both"/>
    </w:pPr>
    <w:rPr>
      <w:rFonts w:ascii="Times New Roman" w:hAnsi="Times New Roman" w:cs="Times New Roman"/>
      <w:kern w:val="2"/>
      <w:sz w:val="21"/>
    </w:rPr>
  </w:style>
  <w:style w:type="paragraph" w:styleId="afff7">
    <w:name w:val="List"/>
    <w:basedOn w:val="a6"/>
    <w:qFormat/>
    <w:pPr>
      <w:widowControl w:val="0"/>
      <w:ind w:left="200" w:hangingChars="200" w:hanging="200"/>
      <w:jc w:val="both"/>
    </w:pPr>
    <w:rPr>
      <w:rFonts w:ascii="Times New Roman" w:hAnsi="Times New Roman" w:cs="Times New Roman"/>
      <w:kern w:val="2"/>
      <w:sz w:val="21"/>
    </w:rPr>
  </w:style>
  <w:style w:type="paragraph" w:styleId="afff8">
    <w:name w:val="footnote text"/>
    <w:basedOn w:val="a6"/>
    <w:link w:val="afff9"/>
    <w:qFormat/>
    <w:pPr>
      <w:widowControl w:val="0"/>
      <w:snapToGrid w:val="0"/>
    </w:pPr>
    <w:rPr>
      <w:rFonts w:ascii="Times New Roman" w:hAnsi="Times New Roman" w:cs="Times New Roman"/>
      <w:kern w:val="2"/>
      <w:sz w:val="18"/>
      <w:szCs w:val="18"/>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55">
    <w:name w:val="List 5"/>
    <w:basedOn w:val="a6"/>
    <w:qFormat/>
    <w:pPr>
      <w:widowControl w:val="0"/>
      <w:ind w:leftChars="800" w:left="100" w:hangingChars="200" w:hanging="200"/>
      <w:jc w:val="both"/>
    </w:pPr>
    <w:rPr>
      <w:rFonts w:ascii="Times New Roman" w:hAnsi="Times New Roman" w:cs="Times New Roman"/>
      <w:kern w:val="2"/>
      <w:sz w:val="21"/>
    </w:rPr>
  </w:style>
  <w:style w:type="paragraph" w:styleId="37">
    <w:name w:val="Body Text Indent 3"/>
    <w:basedOn w:val="a6"/>
    <w:link w:val="38"/>
    <w:uiPriority w:val="99"/>
    <w:qFormat/>
    <w:pPr>
      <w:widowControl w:val="0"/>
      <w:spacing w:after="120"/>
      <w:ind w:leftChars="200" w:left="420"/>
      <w:jc w:val="both"/>
    </w:pPr>
    <w:rPr>
      <w:rFonts w:ascii="Times New Roman" w:hAnsi="Times New Roman" w:cs="Times New Roman"/>
      <w:kern w:val="2"/>
      <w:sz w:val="16"/>
      <w:szCs w:val="16"/>
    </w:rPr>
  </w:style>
  <w:style w:type="paragraph" w:styleId="71">
    <w:name w:val="index 7"/>
    <w:basedOn w:val="a6"/>
    <w:next w:val="a6"/>
    <w:qFormat/>
    <w:pPr>
      <w:widowControl w:val="0"/>
      <w:ind w:leftChars="1200" w:left="1200"/>
      <w:jc w:val="both"/>
    </w:pPr>
    <w:rPr>
      <w:rFonts w:ascii="Times New Roman" w:hAnsi="Times New Roman" w:cs="Times New Roman"/>
      <w:kern w:val="2"/>
      <w:sz w:val="21"/>
    </w:rPr>
  </w:style>
  <w:style w:type="paragraph" w:styleId="91">
    <w:name w:val="index 9"/>
    <w:basedOn w:val="a6"/>
    <w:next w:val="a6"/>
    <w:qFormat/>
    <w:pPr>
      <w:widowControl w:val="0"/>
      <w:ind w:leftChars="1600" w:left="1600"/>
      <w:jc w:val="both"/>
    </w:pPr>
    <w:rPr>
      <w:rFonts w:ascii="Times New Roman" w:hAnsi="Times New Roman" w:cs="Times New Roman"/>
      <w:kern w:val="2"/>
      <w:sz w:val="21"/>
    </w:rPr>
  </w:style>
  <w:style w:type="paragraph" w:styleId="afffa">
    <w:name w:val="table of figures"/>
    <w:basedOn w:val="a6"/>
    <w:next w:val="a6"/>
    <w:qFormat/>
    <w:pPr>
      <w:widowControl w:val="0"/>
      <w:ind w:leftChars="200" w:left="200" w:hangingChars="200" w:hanging="200"/>
      <w:jc w:val="both"/>
    </w:pPr>
    <w:rPr>
      <w:rFonts w:ascii="Times New Roman" w:hAnsi="Times New Roman" w:cs="Times New Roman"/>
      <w:kern w:val="2"/>
      <w:sz w:val="21"/>
    </w:rPr>
  </w:style>
  <w:style w:type="paragraph" w:styleId="TOC2">
    <w:name w:val="toc 2"/>
    <w:basedOn w:val="a6"/>
    <w:next w:val="a6"/>
    <w:qFormat/>
    <w:pPr>
      <w:widowControl w:val="0"/>
      <w:tabs>
        <w:tab w:val="right" w:leader="dot" w:pos="8296"/>
      </w:tabs>
      <w:spacing w:line="312" w:lineRule="auto"/>
      <w:ind w:leftChars="200" w:left="420"/>
      <w:jc w:val="both"/>
    </w:pPr>
    <w:rPr>
      <w:rFonts w:ascii="Times New Roman" w:hAnsi="Times New Roman" w:cs="Times New Roman"/>
      <w:kern w:val="2"/>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6">
    <w:name w:val="Body Text 2"/>
    <w:basedOn w:val="a6"/>
    <w:link w:val="27"/>
    <w:qFormat/>
    <w:pPr>
      <w:widowControl w:val="0"/>
      <w:spacing w:after="120" w:line="480" w:lineRule="auto"/>
      <w:jc w:val="both"/>
    </w:pPr>
    <w:rPr>
      <w:rFonts w:ascii="Times New Roman" w:hAnsi="Times New Roman" w:cs="Times New Roman"/>
      <w:kern w:val="2"/>
      <w:sz w:val="21"/>
    </w:rPr>
  </w:style>
  <w:style w:type="paragraph" w:styleId="45">
    <w:name w:val="List 4"/>
    <w:basedOn w:val="a6"/>
    <w:qFormat/>
    <w:pPr>
      <w:widowControl w:val="0"/>
      <w:ind w:leftChars="600" w:left="100" w:hangingChars="200" w:hanging="200"/>
      <w:jc w:val="both"/>
    </w:pPr>
    <w:rPr>
      <w:rFonts w:ascii="Times New Roman" w:hAnsi="Times New Roman" w:cs="Times New Roman"/>
      <w:kern w:val="2"/>
      <w:sz w:val="21"/>
    </w:rPr>
  </w:style>
  <w:style w:type="paragraph" w:styleId="28">
    <w:name w:val="List Continue 2"/>
    <w:basedOn w:val="a6"/>
    <w:qFormat/>
    <w:pPr>
      <w:widowControl w:val="0"/>
      <w:spacing w:after="120"/>
      <w:ind w:leftChars="400" w:left="840"/>
      <w:jc w:val="both"/>
    </w:pPr>
    <w:rPr>
      <w:rFonts w:ascii="Times New Roman" w:hAnsi="Times New Roman" w:cs="Times New Roman"/>
      <w:kern w:val="2"/>
      <w:sz w:val="21"/>
    </w:rPr>
  </w:style>
  <w:style w:type="paragraph" w:styleId="afffb">
    <w:name w:val="Message Header"/>
    <w:basedOn w:val="a6"/>
    <w:link w:val="afffc"/>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rPr>
  </w:style>
  <w:style w:type="paragraph" w:styleId="HTML1">
    <w:name w:val="HTML Preformatted"/>
    <w:basedOn w:val="a6"/>
    <w:link w:val="HTML2"/>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fd">
    <w:name w:val="Normal (Web)"/>
    <w:basedOn w:val="a6"/>
    <w:unhideWhenUsed/>
    <w:qFormat/>
    <w:pPr>
      <w:spacing w:before="100" w:beforeAutospacing="1" w:after="100" w:afterAutospacing="1"/>
    </w:pPr>
  </w:style>
  <w:style w:type="paragraph" w:styleId="39">
    <w:name w:val="List Continue 3"/>
    <w:basedOn w:val="a6"/>
    <w:qFormat/>
    <w:pPr>
      <w:widowControl w:val="0"/>
      <w:spacing w:after="120"/>
      <w:ind w:leftChars="600" w:left="1260"/>
      <w:jc w:val="both"/>
    </w:pPr>
    <w:rPr>
      <w:rFonts w:ascii="Times New Roman" w:hAnsi="Times New Roman" w:cs="Times New Roman"/>
      <w:kern w:val="2"/>
      <w:sz w:val="21"/>
    </w:rPr>
  </w:style>
  <w:style w:type="paragraph" w:styleId="29">
    <w:name w:val="index 2"/>
    <w:basedOn w:val="a6"/>
    <w:next w:val="a6"/>
    <w:qFormat/>
    <w:pPr>
      <w:widowControl w:val="0"/>
      <w:ind w:leftChars="200" w:left="200"/>
      <w:jc w:val="both"/>
    </w:pPr>
    <w:rPr>
      <w:rFonts w:ascii="Times New Roman" w:hAnsi="Times New Roman" w:cs="Times New Roman"/>
      <w:kern w:val="2"/>
      <w:sz w:val="21"/>
    </w:rPr>
  </w:style>
  <w:style w:type="paragraph" w:styleId="afffe">
    <w:name w:val="Title"/>
    <w:basedOn w:val="a6"/>
    <w:link w:val="affff"/>
    <w:qFormat/>
    <w:pPr>
      <w:widowControl w:val="0"/>
      <w:spacing w:before="240" w:after="60"/>
      <w:jc w:val="center"/>
      <w:outlineLvl w:val="0"/>
    </w:pPr>
    <w:rPr>
      <w:rFonts w:ascii="Arial" w:hAnsi="Arial" w:cs="Arial"/>
      <w:b/>
      <w:bCs/>
      <w:kern w:val="2"/>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widowControl w:val="0"/>
      <w:adjustRightInd w:val="0"/>
      <w:spacing w:line="312" w:lineRule="atLeast"/>
      <w:jc w:val="center"/>
      <w:textAlignment w:val="baseline"/>
    </w:pPr>
    <w:rPr>
      <w:rFonts w:ascii="Times New Roman" w:hAnsi="Times New Roman" w:cs="Times New Roman"/>
      <w:sz w:val="21"/>
      <w:szCs w:val="20"/>
    </w:rPr>
  </w:style>
  <w:style w:type="paragraph" w:customStyle="1" w:styleId="2c">
    <w:name w:val="封面标准号2"/>
    <w:basedOn w:val="a6"/>
    <w:qFormat/>
    <w:pPr>
      <w:widowControl w:val="0"/>
      <w:jc w:val="both"/>
    </w:pPr>
    <w:rPr>
      <w:rFonts w:ascii="Times New Roman" w:hAnsi="Times New Roman" w:cs="Times New Roman"/>
      <w:kern w:val="2"/>
      <w:sz w:val="21"/>
    </w:rPr>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widowControl w:val="0"/>
      <w:ind w:firstLineChars="200" w:firstLine="420"/>
      <w:jc w:val="both"/>
    </w:pPr>
    <w:rPr>
      <w:rFonts w:ascii="Calibri" w:hAnsi="Calibri" w:cs="黑体"/>
      <w:kern w:val="2"/>
      <w:sz w:val="21"/>
      <w:szCs w:val="22"/>
    </w:rPr>
  </w:style>
  <w:style w:type="paragraph" w:customStyle="1" w:styleId="CharCharCharChar">
    <w:name w:val="Char Char Char Char"/>
    <w:basedOn w:val="a6"/>
    <w:qFormat/>
    <w:pPr>
      <w:spacing w:after="160" w:line="240" w:lineRule="exact"/>
    </w:pPr>
    <w:rPr>
      <w:rFonts w:ascii="Times New Roman" w:hAnsi="Times New Roman" w:cs="Times New Roman"/>
      <w:kern w:val="2"/>
      <w:sz w:val="21"/>
    </w:r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widowControl w:val="0"/>
      <w:ind w:firstLineChars="200" w:firstLine="420"/>
      <w:jc w:val="both"/>
    </w:pPr>
    <w:rPr>
      <w:rFonts w:ascii="Times New Roman" w:hAnsi="Times New Roman" w:cs="Times New Roman"/>
      <w:kern w:val="2"/>
      <w:sz w:val="21"/>
    </w:r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widowControl w:val="0"/>
      <w:spacing w:beforeLines="10" w:afterLines="10" w:line="312" w:lineRule="auto"/>
      <w:ind w:firstLineChars="200" w:firstLine="200"/>
      <w:jc w:val="both"/>
    </w:pPr>
    <w:rPr>
      <w:rFonts w:ascii="Times New Roman" w:hAnsi="Times New Roman"/>
      <w:kern w:val="2"/>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widowControl w:val="0"/>
      <w:pBdr>
        <w:bottom w:val="single" w:sz="4" w:space="1" w:color="auto"/>
      </w:pBdr>
      <w:jc w:val="center"/>
    </w:pPr>
    <w:rPr>
      <w:rFonts w:ascii="Times New Roman" w:hAnsi="Times New Roman" w:cs="Times New Roman"/>
      <w:kern w:val="2"/>
      <w:sz w:val="21"/>
    </w:r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widowControl w:val="0"/>
      <w:adjustRightInd w:val="0"/>
      <w:snapToGrid w:val="0"/>
      <w:spacing w:line="320" w:lineRule="exact"/>
      <w:ind w:firstLineChars="200" w:firstLine="200"/>
      <w:jc w:val="both"/>
    </w:pPr>
    <w:rPr>
      <w:rFonts w:ascii="Times New Roman" w:hAnsi="Times New Roman" w:cs="Times New Roman"/>
      <w:kern w:val="2"/>
      <w:sz w:val="21"/>
    </w:r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spacing w:before="200" w:after="400" w:line="312" w:lineRule="auto"/>
      <w:ind w:firstLine="476"/>
      <w:jc w:val="center"/>
    </w:pPr>
    <w:rPr>
      <w:rFonts w:ascii="Times New Roman" w:hAnsi="Times New Roman" w:cs="Times New Roman"/>
      <w:b/>
      <w:spacing w:val="-5"/>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widowControl w:val="0"/>
      <w:spacing w:beforeLines="10" w:afterLines="10" w:line="312" w:lineRule="auto"/>
      <w:ind w:firstLineChars="200" w:firstLine="200"/>
      <w:jc w:val="both"/>
    </w:pPr>
    <w:rPr>
      <w:rFonts w:ascii="Times New Roman" w:hAnsi="Times New Roman"/>
      <w:kern w:val="2"/>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widowControl w:val="0"/>
      <w:spacing w:line="312" w:lineRule="auto"/>
      <w:ind w:left="200" w:hangingChars="200" w:hanging="200"/>
      <w:jc w:val="both"/>
    </w:pPr>
    <w:rPr>
      <w:rFonts w:ascii="Times New Roman" w:hAnsi="Times New Roman" w:cs="Times New Roman"/>
      <w:kern w:val="2"/>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spacing w:after="160" w:line="240" w:lineRule="exact"/>
    </w:pPr>
    <w:rPr>
      <w:rFonts w:ascii="Verdana" w:hAnsi="Verdana" w:cs="Times New Roman"/>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widowControl w:val="0"/>
      <w:spacing w:beforeLines="150" w:afterLines="50" w:line="360" w:lineRule="auto"/>
      <w:jc w:val="center"/>
    </w:pPr>
    <w:rPr>
      <w:rFonts w:ascii="Times New Roman" w:eastAsia="黑体" w:hAnsi="Times New Roman" w:cs="Times New Roman"/>
      <w:b/>
      <w:kern w:val="2"/>
      <w:sz w:val="21"/>
    </w:rPr>
  </w:style>
  <w:style w:type="paragraph" w:customStyle="1" w:styleId="affffff2">
    <w:name w:val="图表题"/>
    <w:basedOn w:val="a6"/>
    <w:qFormat/>
    <w:pPr>
      <w:widowControl w:val="0"/>
      <w:adjustRightInd w:val="0"/>
      <w:snapToGrid w:val="0"/>
      <w:spacing w:line="400" w:lineRule="exact"/>
      <w:jc w:val="center"/>
    </w:pPr>
    <w:rPr>
      <w:rFonts w:ascii="Times New Roman" w:hAnsi="Times New Roman" w:cs="Times New Roman"/>
      <w:kern w:val="2"/>
      <w:sz w:val="21"/>
    </w:r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widowControl w:val="0"/>
      <w:spacing w:before="100" w:beforeAutospacing="1" w:after="100" w:afterAutospacing="1"/>
      <w:jc w:val="both"/>
    </w:pPr>
    <w:rPr>
      <w:rFonts w:ascii="Times New Roman" w:hAnsi="Times New Roman" w:cs="Times New Roman"/>
      <w:kern w:val="2"/>
      <w:sz w:val="21"/>
    </w:r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pBdr>
        <w:bottom w:val="single" w:sz="6" w:space="19" w:color="auto"/>
        <w:between w:val="single" w:sz="6" w:space="19" w:color="auto"/>
      </w:pBdr>
      <w:tabs>
        <w:tab w:val="left" w:pos="1260"/>
        <w:tab w:val="left" w:pos="2940"/>
      </w:tabs>
      <w:spacing w:before="120" w:after="120" w:line="312" w:lineRule="auto"/>
    </w:pPr>
    <w:rPr>
      <w:rFonts w:ascii="Times New Roman" w:hAnsi="Times New Roman" w:cs="Times New Roman"/>
      <w:spacing w:val="-5"/>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spacing w:before="400" w:after="200" w:line="312" w:lineRule="auto"/>
    </w:pPr>
    <w:rPr>
      <w:rFonts w:ascii="Times New Roman" w:hAnsi="Times New Roman" w:cs="Times New Roman"/>
      <w:b/>
      <w:spacing w:val="-5"/>
      <w:szCs w:val="20"/>
    </w:rPr>
  </w:style>
  <w:style w:type="paragraph" w:customStyle="1" w:styleId="affffff6">
    <w:name w:val="其他"/>
    <w:basedOn w:val="a6"/>
    <w:qFormat/>
    <w:pPr>
      <w:widowControl w:val="0"/>
      <w:jc w:val="both"/>
    </w:pPr>
    <w:rPr>
      <w:rFonts w:ascii="Times New Roman" w:hAnsi="Times New Roman" w:cs="Times New Roman"/>
      <w:kern w:val="2"/>
      <w:sz w:val="21"/>
    </w:rPr>
  </w:style>
  <w:style w:type="paragraph" w:customStyle="1" w:styleId="u8">
    <w:name w:val="u参考文献条目顺序编码制"/>
    <w:basedOn w:val="a6"/>
    <w:qFormat/>
    <w:pPr>
      <w:widowControl w:val="0"/>
      <w:tabs>
        <w:tab w:val="left" w:pos="525"/>
        <w:tab w:val="left" w:pos="927"/>
      </w:tabs>
      <w:spacing w:before="100" w:beforeAutospacing="1" w:after="100" w:afterAutospacing="1" w:line="312" w:lineRule="auto"/>
      <w:ind w:left="525" w:hanging="525"/>
      <w:jc w:val="both"/>
    </w:pPr>
    <w:rPr>
      <w:rFonts w:ascii="Times New Roman" w:hAnsi="Times New Roman" w:cs="Times New Roman"/>
      <w:kern w:val="2"/>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widowControl w:val="0"/>
      <w:spacing w:beforeLines="50" w:afterLines="150" w:line="360" w:lineRule="auto"/>
      <w:jc w:val="center"/>
    </w:pPr>
    <w:rPr>
      <w:rFonts w:ascii="Times New Roman" w:eastAsia="黑体" w:hAnsi="Times New Roman" w:cs="Times New Roman"/>
      <w:b/>
      <w:kern w:val="2"/>
      <w:sz w:val="21"/>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spacing w:line="312" w:lineRule="auto"/>
      <w:ind w:firstLine="476"/>
    </w:pPr>
    <w:rPr>
      <w:rFonts w:ascii="Times New Roman" w:hAnsi="Times New Roman" w:cs="Times New Roman"/>
      <w:spacing w:val="-5"/>
      <w:szCs w:val="20"/>
    </w:rPr>
  </w:style>
  <w:style w:type="paragraph" w:customStyle="1" w:styleId="CharCharCharCharCharCharCharCharChar">
    <w:name w:val="Char Char Char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13">
    <w:name w:val="样式1"/>
    <w:basedOn w:val="a6"/>
    <w:qFormat/>
    <w:pPr>
      <w:widowControl w:val="0"/>
      <w:spacing w:beforeLines="10" w:afterLines="10" w:line="312" w:lineRule="auto"/>
      <w:ind w:firstLineChars="200" w:firstLine="480"/>
      <w:jc w:val="both"/>
    </w:pPr>
    <w:rPr>
      <w:rFonts w:ascii="Times New Roman"/>
      <w:kern w:val="2"/>
    </w:rPr>
  </w:style>
  <w:style w:type="paragraph" w:customStyle="1" w:styleId="ua">
    <w:name w:val="u标题 不入目录"/>
    <w:basedOn w:val="a6"/>
    <w:qFormat/>
    <w:pPr>
      <w:widowControl w:val="0"/>
      <w:jc w:val="center"/>
    </w:pPr>
    <w:rPr>
      <w:rFonts w:ascii="Times New Roman" w:eastAsia="黑体" w:hAnsi="Times New Roman" w:cs="Times New Roman"/>
      <w:b/>
      <w:kern w:val="2"/>
      <w:sz w:val="30"/>
      <w:szCs w:val="30"/>
    </w:rPr>
  </w:style>
  <w:style w:type="paragraph" w:customStyle="1" w:styleId="xl63">
    <w:name w:val="xl63"/>
    <w:basedOn w:val="a6"/>
    <w:qFormat/>
    <w:pPr>
      <w:spacing w:before="100" w:beforeAutospacing="1" w:after="100" w:afterAutospacing="1"/>
      <w:jc w:val="center"/>
      <w:textAlignment w:val="center"/>
    </w:pPr>
  </w:style>
  <w:style w:type="paragraph" w:customStyle="1" w:styleId="xl64">
    <w:name w:val="xl6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nt5">
    <w:name w:val="font5"/>
    <w:basedOn w:val="a6"/>
    <w:qFormat/>
    <w:pPr>
      <w:spacing w:before="100" w:beforeAutospacing="1" w:after="100" w:afterAutospacing="1"/>
    </w:pPr>
    <w:rPr>
      <w:sz w:val="18"/>
      <w:szCs w:val="18"/>
    </w:rPr>
  </w:style>
  <w:style w:type="paragraph" w:customStyle="1" w:styleId="xl71">
    <w:name w:val="xl71"/>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2">
    <w:name w:val="xl72"/>
    <w:basedOn w:val="a6"/>
    <w:qFormat/>
    <w:pPr>
      <w:pBdr>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3">
    <w:name w:val="xl7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74">
    <w:name w:val="xl74"/>
    <w:basedOn w:val="a6"/>
    <w:qFormat/>
    <w:pPr>
      <w:pBdr>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5">
    <w:name w:val="xl75"/>
    <w:basedOn w:val="a6"/>
    <w:qFormat/>
    <w:pPr>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rFonts w:ascii="Times New Roman" w:hAnsi="Times New Roman" w:cs="Times New Roman"/>
      <w:sz w:val="20"/>
      <w:szCs w:val="20"/>
    </w:rPr>
  </w:style>
  <w:style w:type="paragraph" w:customStyle="1" w:styleId="xl76">
    <w:name w:val="xl76"/>
    <w:basedOn w:val="a6"/>
    <w:qFormat/>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rFonts w:ascii="Times New Roman" w:hAnsi="Times New Roman" w:cs="Times New Roman"/>
      <w:sz w:val="20"/>
      <w:szCs w:val="20"/>
    </w:rPr>
  </w:style>
  <w:style w:type="paragraph" w:customStyle="1" w:styleId="xl77">
    <w:name w:val="xl77"/>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78">
    <w:name w:val="xl78"/>
    <w:basedOn w:val="a6"/>
    <w:qFormat/>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rFonts w:ascii="Times New Roman" w:hAnsi="Times New Roman" w:cs="Times New Roman"/>
      <w:sz w:val="20"/>
      <w:szCs w:val="20"/>
    </w:rPr>
  </w:style>
  <w:style w:type="paragraph" w:customStyle="1" w:styleId="xl79">
    <w:name w:val="xl79"/>
    <w:basedOn w:val="a6"/>
    <w:qFormat/>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80">
    <w:name w:val="xl80"/>
    <w:basedOn w:val="a6"/>
    <w:qFormat/>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81">
    <w:name w:val="xl81"/>
    <w:basedOn w:val="a6"/>
    <w:qFormat/>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2">
    <w:name w:val="xl82"/>
    <w:basedOn w:val="a6"/>
    <w:qFormat/>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3">
    <w:name w:val="xl83"/>
    <w:basedOn w:val="a6"/>
    <w:qFormat/>
    <w:pPr>
      <w:pBdr>
        <w:top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4">
    <w:name w:val="xl84"/>
    <w:basedOn w:val="a6"/>
    <w:qFormat/>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5">
    <w:name w:val="xl85"/>
    <w:basedOn w:val="a6"/>
    <w:qFormat/>
    <w:pPr>
      <w:pBdr>
        <w:top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ind w:firstLine="420"/>
      <w:jc w:val="both"/>
    </w:pPr>
    <w:rPr>
      <w:sz w:val="21"/>
      <w:szCs w:val="21"/>
    </w:rPr>
  </w:style>
  <w:style w:type="paragraph" w:customStyle="1" w:styleId="p0">
    <w:name w:val="p0"/>
    <w:basedOn w:val="a6"/>
    <w:qFormat/>
    <w:pPr>
      <w:jc w:val="both"/>
    </w:pPr>
    <w:rPr>
      <w:rFonts w:ascii="Times New Roman" w:hAnsi="Times New Roman" w:cs="Times New Roman"/>
      <w:sz w:val="21"/>
      <w:szCs w:val="21"/>
    </w:rPr>
  </w:style>
  <w:style w:type="paragraph" w:styleId="affffff9">
    <w:name w:val="Revision"/>
    <w:hidden/>
    <w:uiPriority w:val="99"/>
    <w:semiHidden/>
    <w:rsid w:val="00B54D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2583">
      <w:bodyDiv w:val="1"/>
      <w:marLeft w:val="0"/>
      <w:marRight w:val="0"/>
      <w:marTop w:val="0"/>
      <w:marBottom w:val="0"/>
      <w:divBdr>
        <w:top w:val="none" w:sz="0" w:space="0" w:color="auto"/>
        <w:left w:val="none" w:sz="0" w:space="0" w:color="auto"/>
        <w:bottom w:val="none" w:sz="0" w:space="0" w:color="auto"/>
        <w:right w:val="none" w:sz="0" w:space="0" w:color="auto"/>
      </w:divBdr>
    </w:div>
    <w:div w:id="155269869">
      <w:bodyDiv w:val="1"/>
      <w:marLeft w:val="0"/>
      <w:marRight w:val="0"/>
      <w:marTop w:val="0"/>
      <w:marBottom w:val="0"/>
      <w:divBdr>
        <w:top w:val="none" w:sz="0" w:space="0" w:color="auto"/>
        <w:left w:val="none" w:sz="0" w:space="0" w:color="auto"/>
        <w:bottom w:val="none" w:sz="0" w:space="0" w:color="auto"/>
        <w:right w:val="none" w:sz="0" w:space="0" w:color="auto"/>
      </w:divBdr>
    </w:div>
    <w:div w:id="1153908593">
      <w:bodyDiv w:val="1"/>
      <w:marLeft w:val="0"/>
      <w:marRight w:val="0"/>
      <w:marTop w:val="0"/>
      <w:marBottom w:val="0"/>
      <w:divBdr>
        <w:top w:val="none" w:sz="0" w:space="0" w:color="auto"/>
        <w:left w:val="none" w:sz="0" w:space="0" w:color="auto"/>
        <w:bottom w:val="none" w:sz="0" w:space="0" w:color="auto"/>
        <w:right w:val="none" w:sz="0" w:space="0" w:color="auto"/>
      </w:divBdr>
    </w:div>
    <w:div w:id="2126844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D343D-7C39-4BE3-B481-413C854D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8</Pages>
  <Words>1038</Words>
  <Characters>5921</Characters>
  <Application>Microsoft Office Word</Application>
  <DocSecurity>0</DocSecurity>
  <Lines>49</Lines>
  <Paragraphs>13</Paragraphs>
  <ScaleCrop>false</ScaleCrop>
  <Company>www.xunchi.com</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245</cp:revision>
  <cp:lastPrinted>2018-08-20T12:57:00Z</cp:lastPrinted>
  <dcterms:created xsi:type="dcterms:W3CDTF">2020-11-30T07:58:00Z</dcterms:created>
  <dcterms:modified xsi:type="dcterms:W3CDTF">2023-06-09T06:55:00Z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91FAA315E05A40A192F0831A3BA987E7</vt:lpwstr>
  </property>
</Properties>
</file>