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pPr>
        <w:pStyle w:val="afff8"/>
        <w:sectPr>
          <w:headerReference w:type="default" r:id="rId10"/>
          <w:footerReference w:type="even" r:id="rId11"/>
          <w:footerReference w:type="default" r:id="rId12"/>
          <w:headerReference w:type="first" r:id="rId13"/>
          <w:pgSz w:w="11907" w:h="16839"/>
          <w:pgMar w:top="567" w:right="851" w:bottom="1361" w:left="1418" w:header="0" w:footer="0" w:gutter="0"/>
          <w:pgNumType w:start="1"/>
          <w:cols w:space="425"/>
          <w:titlePg/>
          <w:docGrid w:type="lines" w:linePitch="312"/>
        </w:sectP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8888730</wp:posOffset>
                </wp:positionV>
                <wp:extent cx="6121400" cy="0"/>
                <wp:effectExtent l="0" t="0" r="12700" b="190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0pt;margin-top:699.9pt;height:0pt;width:482pt;z-index:251667456;mso-width-relative:page;mso-height-relative:page;" filled="f" stroked="t" coordsize="21600,21600" o:gfxdata="UEsDBAoAAAAAAIdO4kAAAAAAAAAAAAAAAAAEAAAAZHJzL1BLAwQUAAAACACHTuJAi/yUodY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yUodYAAAAKAQAADwAAAAAAAAABACAAAAAiAAAAZHJzL2Rv&#10;d25yZXYueG1sUEsBAhQAFAAAAAgAh07iQOMMN17KAQAAogMAAA4AAAAAAAAAAQAgAAAAJQEAAGRy&#10;cy9lMm9Eb2MueG1sUEsFBgAAAAAGAAYAWQEAAGEFA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2272030</wp:posOffset>
                </wp:positionV>
                <wp:extent cx="6121400" cy="0"/>
                <wp:effectExtent l="0" t="0" r="1270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178.9pt;height:0pt;width:482pt;z-index:251666432;mso-width-relative:page;mso-height-relative:page;" filled="f" stroked="t" coordsize="21600,21600" o:gfxdata="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p2TnXAAAACAEAAA8AAAAAAAAAAQAgAAAAIgAAAGRycy9k&#10;b3ducmV2LnhtbFBLAQIUABQAAAAIAIdO4kBbVxkYygEAAKIDAAAOAAAAAAAAAAEAIAAAACYBAABk&#10;cnMvZTJvRG9jLnhtbFBLBQYAAAAABgAGAFkBAABiBQAAAAA=&#10;">
                <v:fill on="f" focussize="0,0"/>
                <v:stroke weight="1pt" color="#080000" joinstyle="round"/>
                <v:imagedata o:title=""/>
                <o:lock v:ext="edit" aspectratio="f"/>
              </v:line>
            </w:pict>
          </mc:Fallback>
        </mc:AlternateContent>
      </w:r>
      <w:bookmarkStart w:id="1" w:name="_Hlk57585389"/>
      <w:bookmarkEnd w:id="1"/>
      <w:r>
        <w:rPr>
          <w:noProof/>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90"/>
                              <w:jc w:val="center"/>
                              <w:rPr>
                                <w:color w:val="000000"/>
                              </w:rPr>
                            </w:pPr>
                            <w:r>
                              <w:rPr>
                                <w:rFonts w:hint="eastAsia"/>
                                <w:b/>
                                <w:color w:val="000000"/>
                                <w:szCs w:val="36"/>
                              </w:rPr>
                              <w:t>中华人民共和国</w:t>
                            </w:r>
                            <w:r>
                              <w:rPr>
                                <w:rFonts w:hAnsi="宋体" w:hint="eastAsia"/>
                                <w:b/>
                                <w:color w:val="000000"/>
                                <w:szCs w:val="36"/>
                              </w:rPr>
                              <w:t xml:space="preserve">工业和信息化部 </w:t>
                            </w:r>
                            <w:r>
                              <w:rPr>
                                <w:rFonts w:hint="eastAsia"/>
                                <w:b/>
                                <w:color w:val="000000"/>
                                <w:sz w:val="24"/>
                                <w:szCs w:val="24"/>
                              </w:rPr>
                              <w:t>发 布</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" stroked="f">
                <v:textbox inset="0,0,0,0">
                  <w:txbxContent>
                    <w:p>
                      <w:pPr>
                        <w:pStyle w:val="90"/>
                        <w:jc w:val="center"/>
                        <w:rPr>
                          <w:color w:val="000000"/>
                        </w:rPr>
                      </w:pPr>
                      <w:r>
                        <w:rPr>
                          <w:rFonts w:hint="eastAsia"/>
                          <w:b/>
                          <w:color w:val="000000"/>
                          <w:szCs w:val="36"/>
                        </w:rPr>
                        <w:t>中华人民共和国</w:t>
                      </w:r>
                      <w:r>
                        <w:rPr>
                          <w:rFonts w:hAnsi="宋体" w:hint="eastAsia"/>
                          <w:b/>
                          <w:color w:val="000000"/>
                          <w:szCs w:val="36"/>
                        </w:rPr>
                        <w:t xml:space="preserve">工业和信息化部 </w:t>
                      </w:r>
                      <w:r>
                        <w:rPr>
                          <w:rFonts w:hint="eastAsia"/>
                          <w:b/>
                          <w:color w:val="000000"/>
                          <w:sz w:val="24"/>
                          <w:szCs w:val="24"/>
                        </w:rPr>
                        <w:t>发 布</w:t>
                      </w: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7" type="#_x0000_t202" style="position:absolute;left:0;text-align:left;margin-left:322.9pt;margin-top:674.3pt;width:159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o+w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" stroked="f">
                <v:textbox inset="0,0,0,0">
                  <w:txbxContent>
                    <w:p>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8" type="#_x0000_t202" style="position:absolute;left:0;text-align:left;margin-left:0;margin-top:674.3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OHQktL9AQAA5AMAAA4AAAAAAAAAAAAA&#10;AAAALgIAAGRycy9lMm9Eb2MueG1sUEsBAi0AFAAGAAgAAAAhAK6Iy8TeAAAACgEAAA8AAAAAAAAA&#10;AAAAAAAAVwQAAGRycy9kb3ducmV2LnhtbFBLBQYAAAAABAAEAPMAAABiBQAAAAA=&#10;" stroked="f">
                <v:textbox inset="0,0,0,0">
                  <w:txbxContent>
                    <w:p>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afff5"/>
                              <w:rPr>
                                <w:rFonts w:ascii="黑体" w:eastAsia="黑体"/>
                                <w:sz w:val="52"/>
                              </w:rPr>
                            </w:pPr>
                            <w:r>
                              <w:rPr>
                                <w:rFonts w:ascii="黑体" w:eastAsia="黑体" w:hint="eastAsia"/>
                                <w:sz w:val="52"/>
                              </w:rPr>
                              <w:t>高强高导铜铁合金棒线材</w:t>
                            </w:r>
                          </w:p>
                          <w:p>
                            <w:pPr>
                              <w:pStyle w:val="afff5"/>
                              <w:rPr>
                                <w:color w:val="000000" w:themeColor="text1"/>
                                <w:sz w:val="28"/>
                              </w:rPr>
                            </w:pPr>
                            <w:r>
                              <w:rPr>
                                <w:rFonts w:hint="eastAsia"/>
                                <w:color w:val="000000" w:themeColor="text1"/>
                                <w:sz w:val="28"/>
                              </w:rPr>
                              <w:t>C</w:t>
                            </w:r>
                            <w:r>
                              <w:rPr>
                                <w:color w:val="000000" w:themeColor="text1"/>
                                <w:sz w:val="28"/>
                              </w:rPr>
                              <w:t xml:space="preserve">opper-Ferro bar and </w:t>
                            </w:r>
                            <w:r>
                              <w:rPr>
                                <w:rFonts w:hint="eastAsia"/>
                                <w:color w:val="000000" w:themeColor="text1"/>
                                <w:sz w:val="28"/>
                              </w:rPr>
                              <w:t>wire with h</w:t>
                            </w:r>
                            <w:r>
                              <w:rPr>
                                <w:color w:val="000000" w:themeColor="text1"/>
                                <w:sz w:val="28"/>
                              </w:rPr>
                              <w:t>igh strength</w:t>
                            </w:r>
                            <w:r>
                              <w:rPr>
                                <w:rFonts w:hint="eastAsia"/>
                                <w:color w:val="000000" w:themeColor="text1"/>
                                <w:sz w:val="28"/>
                              </w:rPr>
                              <w:t xml:space="preserve"> and high </w:t>
                            </w:r>
                            <w:r>
                              <w:rPr>
                                <w:color w:val="000000" w:themeColor="text1"/>
                                <w:sz w:val="28"/>
                              </w:rPr>
                              <w:t xml:space="preserve">conductivity </w:t>
                            </w:r>
                          </w:p>
                          <w:p>
                            <w:pPr>
                              <w:pStyle w:val="afff5"/>
                            </w:pPr>
                            <w:r>
                              <w:rPr>
                                <w:rFonts w:hint="eastAsia"/>
                              </w:rPr>
                              <w:t>（预审稿）</w:t>
                            </w:r>
                          </w:p>
                          <w:p>
                            <w:pPr>
                              <w:pStyle w:val="afff4"/>
                            </w:pPr>
                          </w:p>
                        </w:txbxContent>
                      </wps:txbx>
                      <wps:bodyPr rot="0" vert="horz" wrap="square" lIns="0" tIns="0" rIns="0" bIns="0" anchor="t" anchorCtr="0" upright="1">
                        <a:noAutofit/>
                      </wps:bodyPr>
                    </wps:wsp>
                  </a:graphicData>
                </a:graphic>
              </wp:anchor>
            </w:drawing>
          </mc:Choice>
          <mc:Fallback>
            <w:pict>
              <v:shape id="fmFrame4" o:spid="_x0000_s1029" type="#_x0000_t202" style="position:absolute;left:0;text-align:left;margin-left:0;margin-top:286.25pt;width:470pt;height:368.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Mvk803/AQAA5QMAAA4AAAAAAAAA&#10;AAAAAAAALgIAAGRycy9lMm9Eb2MueG1sUEsBAi0AFAAGAAgAAAAhAHX4MRnfAAAACQEAAA8AAAAA&#10;AAAAAAAAAAAAWQQAAGRycy9kb3ducmV2LnhtbFBLBQYAAAAABAAEAPMAAABlBQAAAAA=&#10;" stroked="f">
                <v:textbox inset="0,0,0,0">
                  <w:txbxContent>
                    <w:p>
                      <w:pPr>
                        <w:pStyle w:val="afff5"/>
                        <w:rPr>
                          <w:rFonts w:ascii="黑体" w:eastAsia="黑体"/>
                          <w:sz w:val="52"/>
                        </w:rPr>
                      </w:pPr>
                      <w:r>
                        <w:rPr>
                          <w:rFonts w:ascii="黑体" w:eastAsia="黑体" w:hint="eastAsia"/>
                          <w:sz w:val="52"/>
                        </w:rPr>
                        <w:t>高强高导铜铁合金棒线材</w:t>
                      </w:r>
                    </w:p>
                    <w:p>
                      <w:pPr>
                        <w:pStyle w:val="afff5"/>
                        <w:rPr>
                          <w:color w:val="000000" w:themeColor="text1"/>
                          <w:sz w:val="28"/>
                        </w:rPr>
                      </w:pPr>
                      <w:r>
                        <w:rPr>
                          <w:rFonts w:hint="eastAsia"/>
                          <w:color w:val="000000" w:themeColor="text1"/>
                          <w:sz w:val="28"/>
                        </w:rPr>
                        <w:t>C</w:t>
                      </w:r>
                      <w:r>
                        <w:rPr>
                          <w:color w:val="000000" w:themeColor="text1"/>
                          <w:sz w:val="28"/>
                        </w:rPr>
                        <w:t xml:space="preserve">opper-Ferro bar and </w:t>
                      </w:r>
                      <w:r>
                        <w:rPr>
                          <w:rFonts w:hint="eastAsia"/>
                          <w:color w:val="000000" w:themeColor="text1"/>
                          <w:sz w:val="28"/>
                        </w:rPr>
                        <w:t>wire with h</w:t>
                      </w:r>
                      <w:r>
                        <w:rPr>
                          <w:color w:val="000000" w:themeColor="text1"/>
                          <w:sz w:val="28"/>
                        </w:rPr>
                        <w:t>igh strength</w:t>
                      </w:r>
                      <w:r>
                        <w:rPr>
                          <w:rFonts w:hint="eastAsia"/>
                          <w:color w:val="000000" w:themeColor="text1"/>
                          <w:sz w:val="28"/>
                        </w:rPr>
                        <w:t xml:space="preserve"> and high </w:t>
                      </w:r>
                      <w:r>
                        <w:rPr>
                          <w:color w:val="000000" w:themeColor="text1"/>
                          <w:sz w:val="28"/>
                        </w:rPr>
                        <w:t xml:space="preserve">conductivity </w:t>
                      </w:r>
                    </w:p>
                    <w:p>
                      <w:pPr>
                        <w:pStyle w:val="afff5"/>
                      </w:pPr>
                      <w:r>
                        <w:rPr>
                          <w:rFonts w:hint="eastAsia"/>
                        </w:rPr>
                        <w:t>（预审稿）</w:t>
                      </w:r>
                    </w:p>
                    <w:p>
                      <w:pPr>
                        <w:pStyle w:val="afff4"/>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-38100</wp:posOffset>
                </wp:positionH>
                <wp:positionV relativeFrom="margin">
                  <wp:posOffset>1725295</wp:posOffset>
                </wp:positionV>
                <wp:extent cx="5802630" cy="876935"/>
                <wp:effectExtent l="0" t="0" r="7620" b="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76935"/>
                        </a:xfrm>
                        <a:prstGeom prst="rect">
                          <a:avLst/>
                        </a:prstGeom>
                        <a:solidFill>
                          <a:srgbClr val="FFFFFF"/>
                        </a:solidFill>
                        <a:ln>
                          <a:noFill/>
                        </a:ln>
                      </wps:spPr>
                      <wps:txbx>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left:0;text-align:left;margin-left:-3pt;margin-top:135.85pt;width:456.9pt;height:69.05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" stroked="f">
                <v:textbox inset="0,0,0,0">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5"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jc w:val="right"/>
                              <w:rPr>
                                <w:b/>
                                <w:sz w:val="96"/>
                                <w:szCs w:val="96"/>
                              </w:rPr>
                            </w:pPr>
                            <w:r>
                              <w:rPr>
                                <w:b/>
                                <w:sz w:val="96"/>
                                <w:szCs w:val="96"/>
                              </w:rPr>
                              <w:t>YS</w:t>
                            </w:r>
                          </w:p>
                        </w:txbxContent>
                      </wps:txbx>
                      <wps:bodyPr rot="0" vert="horz" wrap="square" lIns="0" tIns="0" rIns="0" bIns="0" anchor="t" anchorCtr="0" upright="1">
                        <a:noAutofit/>
                      </wps:bodyPr>
                    </wps:wsp>
                  </a:graphicData>
                </a:graphic>
              </wp:anchor>
            </w:drawing>
          </mc:Choice>
          <mc:Fallback>
            <w:pict>
              <v:shape id="fmFrame8" o:spid="_x0000_s1031" type="#_x0000_t202" style="position:absolute;left:0;text-align:left;margin-left:200.75pt;margin-top:8.45pt;width:250pt;height:56.7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" stroked="f">
                <v:textbox inset="0,0,0,0">
                  <w:txbxContent>
                    <w:p>
                      <w:pPr>
                        <w:jc w:val="right"/>
                        <w:rPr>
                          <w:b/>
                          <w:sz w:val="96"/>
                          <w:szCs w:val="96"/>
                        </w:rPr>
                      </w:pPr>
                      <w:r>
                        <w:rPr>
                          <w:b/>
                          <w:sz w:val="96"/>
                          <w:szCs w:val="96"/>
                        </w:rPr>
                        <w:t>YS</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1010920</wp:posOffset>
                </wp:positionV>
                <wp:extent cx="6067425" cy="578485"/>
                <wp:effectExtent l="0" t="0" r="9525" b="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78485"/>
                        </a:xfrm>
                        <a:prstGeom prst="rect">
                          <a:avLst/>
                        </a:prstGeom>
                        <a:solidFill>
                          <a:srgbClr val="FFFFFF"/>
                        </a:solidFill>
                        <a:ln>
                          <a:noFill/>
                        </a:ln>
                      </wps:spPr>
                      <wps:txbx>
                        <w:txbxContent>
                          <w:p>
                            <w:pPr>
                              <w:rPr>
                                <w:rFonts w:ascii="黑体" w:eastAsia="黑体" w:hAnsi="黑体"/>
                                <w:spacing w:val="90"/>
                                <w:sz w:val="52"/>
                                <w:szCs w:val="52"/>
                              </w:rPr>
                            </w:pPr>
                            <w:r>
                              <w:rPr>
                                <w:rFonts w:ascii="黑体" w:eastAsia="黑体" w:hAnsi="黑体" w:hint="eastAsia"/>
                                <w:spacing w:val="90"/>
                                <w:sz w:val="52"/>
                                <w:szCs w:val="52"/>
                              </w:rPr>
                              <w:t>中华人民共和国有色行业标准</w:t>
                            </w:r>
                          </w:p>
                        </w:txbxContent>
                      </wps:txbx>
                      <wps:bodyPr rot="0" vert="horz" wrap="square" lIns="0" tIns="0" rIns="0" bIns="0" anchor="t" anchorCtr="0" upright="1">
                        <a:noAutofit/>
                      </wps:bodyPr>
                    </wps:wsp>
                  </a:graphicData>
                </a:graphic>
              </wp:anchor>
            </w:drawing>
          </mc:Choice>
          <mc:Fallback>
            <w:pict>
              <v:shape id="fmFrame2" o:spid="_x0000_s1032" type="#_x0000_t202" style="position:absolute;left:0;text-align:left;margin-left:0;margin-top:79.6pt;width:477.75pt;height:45.55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" stroked="f">
                <v:textbox inset="0,0,0,0">
                  <w:txbxContent>
                    <w:p>
                      <w:pPr>
                        <w:rPr>
                          <w:rFonts w:ascii="黑体" w:eastAsia="黑体" w:hAnsi="黑体"/>
                          <w:spacing w:val="90"/>
                          <w:sz w:val="52"/>
                          <w:szCs w:val="52"/>
                        </w:rPr>
                      </w:pPr>
                      <w:r>
                        <w:rPr>
                          <w:rFonts w:ascii="黑体" w:eastAsia="黑体" w:hAnsi="黑体" w:hint="eastAsia"/>
                          <w:spacing w:val="90"/>
                          <w:sz w:val="52"/>
                          <w:szCs w:val="52"/>
                        </w:rPr>
                        <w:t>中华人民共和国有色行业标准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1" allowOverlap="1">
                <wp:simplePos x="0" y="0"/>
                <wp:positionH relativeFrom="margin">
                  <wp:posOffset>-87630</wp:posOffset>
                </wp:positionH>
                <wp:positionV relativeFrom="margin">
                  <wp:posOffset>132080</wp:posOffset>
                </wp:positionV>
                <wp:extent cx="2540000" cy="657860"/>
                <wp:effectExtent l="0" t="0" r="0" b="8890"/>
                <wp:wrapNone/>
                <wp:docPr id="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
                              <w:rPr>
                                <w:rFonts w:hint="eastAsia"/>
                              </w:rPr>
                              <w:t>ICS 77.150.30</w:t>
                            </w:r>
                          </w:p>
                          <w:p>
                            <w:r>
                              <w:rPr>
                                <w:rFonts w:hint="eastAsia"/>
                              </w:rPr>
                              <w:t>CCS H62</w:t>
                            </w:r>
                          </w:p>
                          <w:p/>
                        </w:txbxContent>
                      </wps:txbx>
                      <wps:bodyPr rot="0" vert="horz" wrap="square" lIns="0" tIns="0" rIns="0" bIns="0" anchor="t" anchorCtr="0" upright="1">
                        <a:noAutofit/>
                      </wps:bodyPr>
                    </wps:wsp>
                  </a:graphicData>
                </a:graphic>
              </wp:anchor>
            </w:drawing>
          </mc:Choice>
          <mc:Fallback>
            <w:pict>
              <v:shape id="fmFrame1" o:spid="_x0000_s1033" type="#_x0000_t202" style="position:absolute;left:0;text-align:left;margin-left:-6.9pt;margin-top:10.4pt;width:200pt;height:51.8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" stroked="f">
                <v:textbox inset="0,0,0,0">
                  <w:txbxContent>
                    <w:p>
                      <w:r>
                        <w:rPr>
                          <w:rFonts w:hint="eastAsia"/>
                        </w:rPr>
                        <w:t>ICS 77.150.30</w:t>
                      </w:r>
                    </w:p>
                    <w:p>
                      <w:r>
                        <w:rPr>
                          <w:rFonts w:hint="eastAsia"/>
                        </w:rPr>
                        <w:t>CCS H62</w:t>
                      </w:r>
                    </w:p>
                    <w:p/>
                  </w:txbxContent>
                </v:textbox>
                <w10:wrap anchorx="margin" anchory="margin"/>
                <w10:anchorlock/>
              </v:shape>
            </w:pict>
          </mc:Fallback>
        </mc:AlternateContent>
      </w:r>
    </w:p>
    <w:p>
      <w:pPr>
        <w:pStyle w:val="a8"/>
      </w:pPr>
      <w:bookmarkStart w:id="2" w:name="SectionMark2"/>
      <w:bookmarkEnd w:id="0"/>
      <w:r>
        <w:rPr>
          <w:rFonts w:hint="eastAsia"/>
        </w:rPr>
        <w:lastRenderedPageBreak/>
        <w:t>前    言</w:t>
      </w:r>
    </w:p>
    <w:p>
      <w:pPr>
        <w:pStyle w:val="affe"/>
        <w:ind w:firstLine="420"/>
      </w:pPr>
      <w:r>
        <w:rPr>
          <w:rFonts w:hint="eastAsia"/>
        </w:rPr>
        <w:t>本文件按照GB/T 1.1-2020《标准化工作导则 第1部分：标准化文件的结构和起草规则》的规定起草。</w:t>
      </w:r>
    </w:p>
    <w:p>
      <w:pPr>
        <w:pStyle w:val="affe"/>
        <w:ind w:firstLine="420"/>
        <w:rPr>
          <w:rFonts w:hAnsi="宋体"/>
          <w:szCs w:val="21"/>
        </w:rPr>
      </w:pPr>
      <w:r>
        <w:rPr>
          <w:rFonts w:hAnsi="宋体" w:hint="eastAsia"/>
          <w:szCs w:val="21"/>
        </w:rPr>
        <w:t>请注意本文件的某些内容可能涉及专利。本文件的发布机构不承担识别专利的责任。</w:t>
      </w:r>
    </w:p>
    <w:p>
      <w:pPr>
        <w:pStyle w:val="affe"/>
        <w:ind w:firstLine="420"/>
      </w:pPr>
      <w:r>
        <w:rPr>
          <w:rFonts w:hint="eastAsia"/>
        </w:rPr>
        <w:t>本文件由全国有色金属标准化技术委员会</w:t>
      </w:r>
      <w:r>
        <w:rPr>
          <w:rFonts w:hAnsi="宋体" w:hint="eastAsia"/>
        </w:rPr>
        <w:t>（SAC/TC 243）提出并</w:t>
      </w:r>
      <w:r>
        <w:rPr>
          <w:rFonts w:hint="eastAsia"/>
        </w:rPr>
        <w:t>归口。</w:t>
      </w:r>
    </w:p>
    <w:p>
      <w:pPr>
        <w:pStyle w:val="affe"/>
        <w:ind w:firstLine="420"/>
      </w:pPr>
      <w:r>
        <w:rPr>
          <w:rFonts w:hint="eastAsia"/>
        </w:rPr>
        <w:t>本文件起草单位：宁波金田铜业（集团）股份有限公司、西安斯瑞先进铜合金科技有限公司、中南大学、绍兴市质量技术监督检测研究院</w:t>
      </w:r>
    </w:p>
    <w:p>
      <w:pPr>
        <w:pStyle w:val="affe"/>
        <w:ind w:firstLine="420"/>
      </w:pPr>
      <w:r>
        <w:rPr>
          <w:rFonts w:hint="eastAsia"/>
        </w:rPr>
        <w:t>本文件主要起草人：</w:t>
      </w:r>
    </w:p>
    <w:p>
      <w:pPr>
        <w:pStyle w:val="af0"/>
        <w:numPr>
          <w:ilvl w:val="0"/>
          <w:numId w:val="0"/>
        </w:numPr>
        <w:tabs>
          <w:tab w:val="left" w:pos="420"/>
        </w:tabs>
      </w:pPr>
    </w:p>
    <w:p>
      <w:pPr>
        <w:pStyle w:val="af0"/>
        <w:numPr>
          <w:ilvl w:val="0"/>
          <w:numId w:val="0"/>
        </w:numPr>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fff1"/>
      </w:pPr>
      <w:bookmarkStart w:id="3" w:name="SectionMark4"/>
      <w:bookmarkEnd w:id="2"/>
    </w:p>
    <w:p>
      <w:pPr>
        <w:pStyle w:val="affff1"/>
      </w:pPr>
    </w:p>
    <w:p>
      <w:pPr>
        <w:pStyle w:val="affff1"/>
        <w:numPr>
          <w:ilvl w:val="0"/>
          <w:numId w:val="0"/>
        </w:numPr>
        <w:jc w:val="both"/>
      </w:pPr>
    </w:p>
    <w:p>
      <w:pPr>
        <w:pStyle w:val="affe"/>
        <w:ind w:firstLine="420"/>
      </w:pPr>
    </w:p>
    <w:p>
      <w:pPr>
        <w:pStyle w:val="affe"/>
        <w:ind w:firstLine="420"/>
      </w:pPr>
    </w:p>
    <w:p>
      <w:pPr>
        <w:pStyle w:val="affe"/>
        <w:ind w:firstLine="420"/>
      </w:pPr>
    </w:p>
    <w:p>
      <w:pPr>
        <w:pStyle w:val="affe"/>
        <w:ind w:firstLine="420"/>
      </w:pPr>
    </w:p>
    <w:p>
      <w:pPr>
        <w:pStyle w:val="affe"/>
        <w:ind w:firstLine="420"/>
      </w:pPr>
    </w:p>
    <w:p>
      <w:pPr>
        <w:pStyle w:val="affe"/>
        <w:ind w:firstLine="420"/>
      </w:pPr>
    </w:p>
    <w:p>
      <w:pPr>
        <w:pStyle w:val="affe"/>
        <w:ind w:firstLine="420"/>
      </w:pPr>
    </w:p>
    <w:p>
      <w:pPr>
        <w:pStyle w:val="affe"/>
        <w:ind w:firstLine="420"/>
      </w:pPr>
    </w:p>
    <w:p>
      <w:pPr>
        <w:pStyle w:val="affe"/>
        <w:ind w:firstLineChars="0" w:firstLine="0"/>
      </w:pPr>
    </w:p>
    <w:p>
      <w:pPr>
        <w:snapToGrid w:val="0"/>
        <w:spacing w:line="340" w:lineRule="atLeast"/>
        <w:ind w:firstLine="420"/>
        <w:jc w:val="center"/>
        <w:rPr>
          <w:rFonts w:ascii="黑体" w:eastAsia="黑体"/>
          <w:sz w:val="32"/>
          <w:szCs w:val="32"/>
        </w:rPr>
      </w:pPr>
      <w:r>
        <w:rPr>
          <w:rFonts w:ascii="黑体" w:eastAsia="黑体" w:hint="eastAsia"/>
          <w:sz w:val="32"/>
          <w:szCs w:val="32"/>
        </w:rPr>
        <w:lastRenderedPageBreak/>
        <w:t>高强高导铜铁合金棒线材</w:t>
      </w:r>
    </w:p>
    <w:p>
      <w:pPr>
        <w:pStyle w:val="a9"/>
        <w:spacing w:beforeLines="100" w:before="312" w:afterLines="100" w:after="312"/>
        <w:ind w:left="0"/>
      </w:pPr>
      <w:r>
        <w:rPr>
          <w:rFonts w:hint="eastAsia"/>
        </w:rPr>
        <w:t>范围</w:t>
      </w:r>
    </w:p>
    <w:p>
      <w:pPr>
        <w:pStyle w:val="affe"/>
        <w:spacing w:line="340" w:lineRule="exact"/>
        <w:ind w:firstLine="420"/>
      </w:pPr>
      <w:r>
        <w:rPr>
          <w:rFonts w:hint="eastAsia"/>
        </w:rPr>
        <w:t>本文件规定了铜铁合金棒、线材的分类和标记、技术要求、试验方法、检验规则及标志、包装、运输、贮存和随行文件、订货单内容。</w:t>
      </w:r>
    </w:p>
    <w:p>
      <w:pPr>
        <w:pStyle w:val="affe"/>
        <w:spacing w:line="340" w:lineRule="exact"/>
        <w:ind w:firstLine="420"/>
        <w:rPr>
          <w:sz w:val="20"/>
        </w:rPr>
      </w:pPr>
      <w:r>
        <w:rPr>
          <w:rFonts w:hint="eastAsia"/>
        </w:rPr>
        <w:t>本文件适用于</w:t>
      </w:r>
      <w:r>
        <w:rPr>
          <w:rFonts w:hAnsi="宋体" w:cs="Arial" w:hint="eastAsia"/>
        </w:rPr>
        <w:t>铜铁合金棒、线材（以下简称棒线材）</w:t>
      </w:r>
      <w:r>
        <w:rPr>
          <w:rFonts w:hint="eastAsia"/>
        </w:rPr>
        <w:t>。</w:t>
      </w:r>
    </w:p>
    <w:p>
      <w:pPr>
        <w:pStyle w:val="a9"/>
        <w:spacing w:beforeLines="100" w:before="312" w:afterLines="100" w:after="312"/>
        <w:ind w:left="0"/>
      </w:pPr>
      <w:r>
        <w:rPr>
          <w:rFonts w:hint="eastAsia"/>
        </w:rPr>
        <w:t>规范性引用文件</w:t>
      </w:r>
    </w:p>
    <w:p>
      <w:pPr>
        <w:pStyle w:val="affe"/>
        <w:spacing w:line="36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351  金属材料电阻系数测量方法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Ansi="宋体" w:hint="eastAsia"/>
          <w:kern w:val="0"/>
          <w:szCs w:val="20"/>
        </w:rPr>
        <w:t xml:space="preserve">GB/T 4340.1  </w:t>
      </w:r>
      <w:r>
        <w:rPr>
          <w:rFonts w:ascii="宋体"/>
          <w:kern w:val="0"/>
          <w:szCs w:val="20"/>
        </w:rPr>
        <w:t xml:space="preserve">金属材料 </w:t>
      </w:r>
      <w:r>
        <w:rPr>
          <w:rFonts w:ascii="宋体" w:hint="eastAsia"/>
          <w:kern w:val="0"/>
          <w:szCs w:val="20"/>
        </w:rPr>
        <w:t xml:space="preserve"> </w:t>
      </w:r>
      <w:r>
        <w:rPr>
          <w:rFonts w:ascii="宋体"/>
          <w:kern w:val="0"/>
          <w:szCs w:val="20"/>
        </w:rPr>
        <w:t>维氏硬度试验 第1部分</w:t>
      </w:r>
      <w:r>
        <w:rPr>
          <w:rFonts w:ascii="宋体" w:hint="eastAsia"/>
          <w:kern w:val="0"/>
          <w:szCs w:val="20"/>
        </w:rPr>
        <w:t>：</w:t>
      </w:r>
      <w:r>
        <w:rPr>
          <w:rFonts w:ascii="宋体"/>
          <w:kern w:val="0"/>
          <w:szCs w:val="20"/>
        </w:rPr>
        <w:t>试验方法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5121  铜及铜合金化学成分分析方法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5231  加工铜及铜合金牌号和化学成分</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10573 有色金属细丝拉伸试验方法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kern w:val="0"/>
          <w:szCs w:val="20"/>
        </w:rPr>
        <w:t>GB/T</w:t>
      </w:r>
      <w:r>
        <w:rPr>
          <w:rFonts w:ascii="宋体" w:hint="eastAsia"/>
          <w:kern w:val="0"/>
          <w:szCs w:val="20"/>
        </w:rPr>
        <w:t xml:space="preserve"> </w:t>
      </w:r>
      <w:r>
        <w:rPr>
          <w:rFonts w:ascii="宋体"/>
          <w:kern w:val="0"/>
          <w:szCs w:val="20"/>
        </w:rPr>
        <w:t>10610</w:t>
      </w:r>
      <w:r>
        <w:rPr>
          <w:rFonts w:ascii="宋体" w:hint="eastAsia"/>
          <w:kern w:val="0"/>
          <w:szCs w:val="20"/>
        </w:rPr>
        <w:t xml:space="preserve">  产品几何技术规范（GPS） 表面结构 轮廓法 评定表面结构的规则和方法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26303.2  铜及铜合金加工材外形尺寸检测方法 第2部分：棒、线、型材</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29094  铜及铜合金状态表示方法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30142  平面型电磁屏蔽材料屏蔽效能测量方法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34505-2017 铜及铜合金材料  室温拉伸试验方法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kern w:val="0"/>
          <w:szCs w:val="20"/>
        </w:rPr>
        <w:t>YS/T</w:t>
      </w:r>
      <w:r>
        <w:rPr>
          <w:rFonts w:ascii="宋体" w:hint="eastAsia"/>
          <w:kern w:val="0"/>
          <w:szCs w:val="20"/>
        </w:rPr>
        <w:t xml:space="preserve"> </w:t>
      </w:r>
      <w:r>
        <w:rPr>
          <w:rFonts w:ascii="宋体"/>
          <w:kern w:val="0"/>
          <w:szCs w:val="20"/>
        </w:rPr>
        <w:t>336</w:t>
      </w:r>
      <w:r>
        <w:rPr>
          <w:rFonts w:ascii="宋体" w:hint="eastAsia"/>
          <w:kern w:val="0"/>
          <w:szCs w:val="20"/>
        </w:rPr>
        <w:t xml:space="preserve">  铜、镍及其合金管材和棒材断口检验法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YS/T 482 铜及铜合金分析方法  火花放电原子发射光谱法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YS/T 483 铜及铜合金分析方法  X射线荧光光谱法（波长色散型）</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YS/T 668 铜及铜合金理化检测取样方法</w:t>
      </w:r>
    </w:p>
    <w:p>
      <w:pPr>
        <w:pStyle w:val="a9"/>
        <w:spacing w:beforeLines="100" w:before="312" w:afterLines="100" w:after="312"/>
        <w:ind w:left="0"/>
      </w:pPr>
      <w:r>
        <w:rPr>
          <w:rFonts w:hint="eastAsia"/>
        </w:rPr>
        <w:t>术语和定义</w:t>
      </w:r>
    </w:p>
    <w:p>
      <w:pPr>
        <w:autoSpaceDE w:val="0"/>
        <w:autoSpaceDN w:val="0"/>
        <w:adjustRightInd w:val="0"/>
        <w:spacing w:line="340" w:lineRule="exact"/>
        <w:ind w:firstLineChars="200" w:firstLine="420"/>
        <w:rPr>
          <w:rFonts w:ascii="宋体" w:hAnsi="宋体"/>
          <w:kern w:val="0"/>
          <w:szCs w:val="46"/>
        </w:rPr>
      </w:pPr>
      <w:r>
        <w:rPr>
          <w:rFonts w:ascii="宋体" w:hAnsi="宋体" w:hint="eastAsia"/>
          <w:kern w:val="0"/>
          <w:szCs w:val="46"/>
        </w:rPr>
        <w:t>下列术语和定义适用于本文件。</w:t>
      </w:r>
    </w:p>
    <w:p>
      <w:pPr>
        <w:autoSpaceDE w:val="0"/>
        <w:autoSpaceDN w:val="0"/>
        <w:adjustRightInd w:val="0"/>
        <w:spacing w:beforeLines="50" w:before="156" w:afterLines="50" w:after="156" w:line="340" w:lineRule="exact"/>
        <w:rPr>
          <w:rFonts w:ascii="黑体" w:eastAsia="黑体"/>
          <w:kern w:val="0"/>
          <w:szCs w:val="20"/>
        </w:rPr>
      </w:pPr>
      <w:r>
        <w:rPr>
          <w:rFonts w:ascii="黑体" w:eastAsia="黑体" w:hAnsi="黑体" w:hint="eastAsia"/>
          <w:kern w:val="0"/>
          <w:szCs w:val="46"/>
        </w:rPr>
        <w:t>3.1</w:t>
      </w:r>
      <w:r>
        <w:rPr>
          <w:rFonts w:ascii="黑体" w:eastAsia="黑体" w:hint="eastAsia"/>
          <w:kern w:val="0"/>
          <w:szCs w:val="20"/>
        </w:rPr>
        <w:t xml:space="preserve"> </w:t>
      </w:r>
    </w:p>
    <w:p>
      <w:pPr>
        <w:autoSpaceDE w:val="0"/>
        <w:autoSpaceDN w:val="0"/>
        <w:adjustRightInd w:val="0"/>
        <w:spacing w:line="340" w:lineRule="exact"/>
        <w:ind w:firstLine="420"/>
        <w:rPr>
          <w:rFonts w:ascii="黑体" w:eastAsia="黑体"/>
          <w:kern w:val="0"/>
          <w:szCs w:val="20"/>
        </w:rPr>
      </w:pPr>
      <w:r>
        <w:rPr>
          <w:rFonts w:ascii="黑体" w:eastAsia="黑体" w:hint="eastAsia"/>
          <w:kern w:val="0"/>
          <w:szCs w:val="20"/>
        </w:rPr>
        <w:t>电磁屏蔽  electromagnetic shielding</w:t>
      </w:r>
    </w:p>
    <w:p>
      <w:pPr>
        <w:autoSpaceDE w:val="0"/>
        <w:autoSpaceDN w:val="0"/>
        <w:adjustRightInd w:val="0"/>
        <w:spacing w:line="340" w:lineRule="exact"/>
        <w:ind w:firstLine="420"/>
        <w:rPr>
          <w:rFonts w:asciiTheme="minorEastAsia" w:eastAsiaTheme="minorEastAsia" w:hAnsiTheme="minorEastAsia"/>
          <w:kern w:val="0"/>
          <w:szCs w:val="20"/>
        </w:rPr>
      </w:pPr>
      <w:r>
        <w:rPr>
          <w:rFonts w:asciiTheme="minorEastAsia" w:eastAsiaTheme="minorEastAsia" w:hAnsiTheme="minorEastAsia" w:hint="eastAsia"/>
          <w:kern w:val="0"/>
          <w:szCs w:val="20"/>
        </w:rPr>
        <w:t>用导电、导磁或同时具备导电导磁的材料减少或阻断电磁场向指定区域传播的状态。</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[来源：GB/T 26667-2021，3.1.6]</w:t>
      </w:r>
    </w:p>
    <w:p>
      <w:pPr>
        <w:autoSpaceDE w:val="0"/>
        <w:autoSpaceDN w:val="0"/>
        <w:adjustRightInd w:val="0"/>
        <w:spacing w:beforeLines="50" w:before="156" w:afterLines="50" w:after="156" w:line="340" w:lineRule="exact"/>
        <w:rPr>
          <w:rFonts w:ascii="黑体" w:eastAsia="黑体" w:hAnsi="黑体"/>
          <w:kern w:val="0"/>
          <w:szCs w:val="46"/>
        </w:rPr>
      </w:pPr>
      <w:r>
        <w:rPr>
          <w:rFonts w:ascii="黑体" w:eastAsia="黑体" w:hAnsi="黑体" w:hint="eastAsia"/>
          <w:kern w:val="0"/>
          <w:szCs w:val="46"/>
        </w:rPr>
        <w:t>3.2</w:t>
      </w:r>
    </w:p>
    <w:p>
      <w:pPr>
        <w:autoSpaceDE w:val="0"/>
        <w:autoSpaceDN w:val="0"/>
        <w:adjustRightInd w:val="0"/>
        <w:spacing w:line="340" w:lineRule="exact"/>
        <w:ind w:firstLineChars="200" w:firstLine="420"/>
        <w:rPr>
          <w:rFonts w:asciiTheme="minorEastAsia" w:eastAsiaTheme="minorEastAsia" w:hAnsiTheme="minorEastAsia"/>
          <w:kern w:val="0"/>
          <w:szCs w:val="20"/>
        </w:rPr>
      </w:pPr>
      <w:r>
        <w:rPr>
          <w:rFonts w:ascii="黑体" w:eastAsia="黑体" w:hint="eastAsia"/>
          <w:kern w:val="0"/>
          <w:szCs w:val="20"/>
        </w:rPr>
        <w:t>屏蔽效能 shielding effectiveness</w:t>
      </w:r>
    </w:p>
    <w:p>
      <w:pPr>
        <w:autoSpaceDE w:val="0"/>
        <w:autoSpaceDN w:val="0"/>
        <w:adjustRightInd w:val="0"/>
        <w:spacing w:line="340" w:lineRule="exact"/>
        <w:ind w:firstLine="420"/>
        <w:rPr>
          <w:rFonts w:asciiTheme="minorEastAsia" w:eastAsiaTheme="minorEastAsia" w:hAnsiTheme="minorEastAsia"/>
          <w:kern w:val="0"/>
          <w:szCs w:val="20"/>
        </w:rPr>
      </w:pPr>
      <w:r>
        <w:rPr>
          <w:rFonts w:asciiTheme="minorEastAsia" w:eastAsiaTheme="minorEastAsia" w:hAnsiTheme="minorEastAsia" w:hint="eastAsia"/>
          <w:kern w:val="0"/>
          <w:szCs w:val="20"/>
        </w:rPr>
        <w:t>在同一激励下的某点上，有屏蔽材料与无屏蔽材料时所测量到的电场强度、磁场强度之比。</w:t>
      </w:r>
    </w:p>
    <w:p>
      <w:pPr>
        <w:autoSpaceDE w:val="0"/>
        <w:autoSpaceDN w:val="0"/>
        <w:adjustRightInd w:val="0"/>
        <w:spacing w:line="340" w:lineRule="exact"/>
        <w:jc w:val="center"/>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lastRenderedPageBreak/>
        <w:t>SE</w:t>
      </w:r>
      <w:r>
        <w:rPr>
          <w:rFonts w:asciiTheme="minorEastAsia" w:eastAsiaTheme="minorEastAsia" w:hAnsiTheme="minorEastAsia" w:hint="eastAsia"/>
          <w:kern w:val="0"/>
          <w:sz w:val="18"/>
          <w:szCs w:val="18"/>
        </w:rPr>
        <w:t>=</w:t>
      </w:r>
      <w:proofErr w:type="gramStart"/>
      <w:r>
        <w:rPr>
          <w:rFonts w:asciiTheme="minorEastAsia" w:eastAsiaTheme="minorEastAsia" w:hAnsiTheme="minorEastAsia" w:hint="eastAsia"/>
          <w:kern w:val="0"/>
          <w:sz w:val="18"/>
          <w:szCs w:val="18"/>
        </w:rPr>
        <w:t>20</w:t>
      </w:r>
      <w:r>
        <w:rPr>
          <w:rFonts w:asciiTheme="minorEastAsia" w:eastAsiaTheme="minorEastAsia" w:hAnsiTheme="minorEastAsia" w:hint="eastAsia"/>
          <w:i/>
          <w:kern w:val="0"/>
          <w:sz w:val="18"/>
          <w:szCs w:val="18"/>
        </w:rPr>
        <w:t>lg(</w:t>
      </w:r>
      <w:proofErr w:type="gramEnd"/>
      <w:r>
        <w:rPr>
          <w:rFonts w:asciiTheme="minorEastAsia" w:eastAsiaTheme="minorEastAsia" w:hAnsiTheme="minorEastAsia" w:hint="eastAsia"/>
          <w:i/>
          <w:kern w:val="0"/>
          <w:sz w:val="18"/>
          <w:szCs w:val="18"/>
        </w:rPr>
        <w:t>E</w:t>
      </w:r>
      <w:r>
        <w:rPr>
          <w:rFonts w:asciiTheme="minorEastAsia" w:eastAsiaTheme="minorEastAsia" w:hAnsiTheme="minorEastAsia" w:hint="eastAsia"/>
          <w:i/>
          <w:kern w:val="0"/>
          <w:sz w:val="18"/>
          <w:szCs w:val="18"/>
          <w:vertAlign w:val="subscript"/>
        </w:rPr>
        <w:t>2</w:t>
      </w:r>
      <w:r>
        <w:rPr>
          <w:rFonts w:asciiTheme="minorEastAsia" w:eastAsiaTheme="minorEastAsia" w:hAnsiTheme="minorEastAsia" w:hint="eastAsia"/>
          <w:i/>
          <w:kern w:val="0"/>
          <w:sz w:val="18"/>
          <w:szCs w:val="18"/>
        </w:rPr>
        <w:t>/E</w:t>
      </w:r>
      <w:r>
        <w:rPr>
          <w:rFonts w:asciiTheme="minorEastAsia" w:eastAsiaTheme="minorEastAsia" w:hAnsiTheme="minorEastAsia" w:hint="eastAsia"/>
          <w:i/>
          <w:kern w:val="0"/>
          <w:sz w:val="18"/>
          <w:szCs w:val="18"/>
          <w:vertAlign w:val="subscript"/>
        </w:rPr>
        <w:t>1</w:t>
      </w:r>
      <w:r>
        <w:rPr>
          <w:rFonts w:asciiTheme="minorEastAsia" w:eastAsiaTheme="minorEastAsia" w:hAnsiTheme="minorEastAsia" w:hint="eastAsia"/>
          <w:i/>
          <w:kern w:val="0"/>
          <w:sz w:val="18"/>
          <w:szCs w:val="18"/>
        </w:rPr>
        <w:t>)</w:t>
      </w:r>
    </w:p>
    <w:p>
      <w:pPr>
        <w:autoSpaceDE w:val="0"/>
        <w:autoSpaceDN w:val="0"/>
        <w:adjustRightInd w:val="0"/>
        <w:spacing w:line="340" w:lineRule="exact"/>
        <w:ind w:firstLineChars="2232" w:firstLine="4018"/>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或</w:t>
      </w:r>
      <w:r>
        <w:rPr>
          <w:rFonts w:asciiTheme="minorEastAsia" w:eastAsiaTheme="minorEastAsia" w:hAnsiTheme="minorEastAsia" w:hint="eastAsia"/>
          <w:i/>
          <w:kern w:val="0"/>
          <w:sz w:val="18"/>
          <w:szCs w:val="18"/>
        </w:rPr>
        <w:t>SE</w:t>
      </w:r>
      <w:r>
        <w:rPr>
          <w:rFonts w:asciiTheme="minorEastAsia" w:eastAsiaTheme="minorEastAsia" w:hAnsiTheme="minorEastAsia" w:hint="eastAsia"/>
          <w:kern w:val="0"/>
          <w:sz w:val="18"/>
          <w:szCs w:val="18"/>
        </w:rPr>
        <w:t>=20</w:t>
      </w:r>
      <w:r>
        <w:rPr>
          <w:rFonts w:asciiTheme="minorEastAsia" w:eastAsiaTheme="minorEastAsia" w:hAnsiTheme="minorEastAsia" w:hint="eastAsia"/>
          <w:i/>
          <w:kern w:val="0"/>
          <w:sz w:val="18"/>
          <w:szCs w:val="18"/>
        </w:rPr>
        <w:t>lg(H</w:t>
      </w:r>
      <w:r>
        <w:rPr>
          <w:rFonts w:asciiTheme="minorEastAsia" w:eastAsiaTheme="minorEastAsia" w:hAnsiTheme="minorEastAsia" w:hint="eastAsia"/>
          <w:i/>
          <w:kern w:val="0"/>
          <w:sz w:val="18"/>
          <w:szCs w:val="18"/>
          <w:vertAlign w:val="subscript"/>
        </w:rPr>
        <w:t>2</w:t>
      </w:r>
      <w:r>
        <w:rPr>
          <w:rFonts w:asciiTheme="minorEastAsia" w:eastAsiaTheme="minorEastAsia" w:hAnsiTheme="minorEastAsia" w:hint="eastAsia"/>
          <w:i/>
          <w:kern w:val="0"/>
          <w:sz w:val="18"/>
          <w:szCs w:val="18"/>
        </w:rPr>
        <w:t>/H</w:t>
      </w:r>
      <w:r>
        <w:rPr>
          <w:rFonts w:asciiTheme="minorEastAsia" w:eastAsiaTheme="minorEastAsia" w:hAnsiTheme="minorEastAsia" w:hint="eastAsia"/>
          <w:i/>
          <w:kern w:val="0"/>
          <w:sz w:val="18"/>
          <w:szCs w:val="18"/>
          <w:vertAlign w:val="subscript"/>
        </w:rPr>
        <w:t>1</w:t>
      </w:r>
      <w:r>
        <w:rPr>
          <w:rFonts w:asciiTheme="minorEastAsia" w:eastAsiaTheme="minorEastAsia" w:hAnsiTheme="minorEastAsia" w:hint="eastAsia"/>
          <w:i/>
          <w:kern w:val="0"/>
          <w:sz w:val="18"/>
          <w:szCs w:val="18"/>
        </w:rPr>
        <w:t>)</w:t>
      </w:r>
      <w:r>
        <w:rPr>
          <w:rFonts w:asciiTheme="minorEastAsia" w:eastAsiaTheme="minorEastAsia" w:hAnsiTheme="minorEastAsia" w:hint="eastAsia"/>
          <w:kern w:val="0"/>
          <w:sz w:val="18"/>
          <w:szCs w:val="18"/>
        </w:rPr>
        <w:t>……………………………………公式（1）</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式中：</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SE</w:t>
      </w:r>
      <w:r>
        <w:rPr>
          <w:rFonts w:asciiTheme="minorEastAsia" w:eastAsiaTheme="minorEastAsia" w:hAnsiTheme="minorEastAsia" w:hint="eastAsia"/>
          <w:kern w:val="0"/>
          <w:sz w:val="18"/>
          <w:szCs w:val="18"/>
        </w:rPr>
        <w:t>——屏蔽效能，单位为分贝（dB</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E</w:t>
      </w:r>
      <w:r>
        <w:rPr>
          <w:rFonts w:asciiTheme="minorEastAsia" w:eastAsiaTheme="minorEastAsia" w:hAnsiTheme="minorEastAsia" w:hint="eastAsia"/>
          <w:i/>
          <w:kern w:val="0"/>
          <w:sz w:val="18"/>
          <w:szCs w:val="18"/>
          <w:vertAlign w:val="subscript"/>
        </w:rPr>
        <w:t>1</w:t>
      </w:r>
      <w:r>
        <w:rPr>
          <w:rFonts w:asciiTheme="minorEastAsia" w:eastAsiaTheme="minorEastAsia" w:hAnsiTheme="minorEastAsia" w:hint="eastAsia"/>
          <w:kern w:val="0"/>
          <w:sz w:val="18"/>
          <w:szCs w:val="18"/>
        </w:rPr>
        <w:t>——无屏蔽材料时的电场强度，单位为伏特每米（V/m）；</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E</w:t>
      </w:r>
      <w:r>
        <w:rPr>
          <w:rFonts w:asciiTheme="minorEastAsia" w:eastAsiaTheme="minorEastAsia" w:hAnsiTheme="minorEastAsia" w:hint="eastAsia"/>
          <w:i/>
          <w:kern w:val="0"/>
          <w:sz w:val="18"/>
          <w:szCs w:val="18"/>
          <w:vertAlign w:val="subscript"/>
        </w:rPr>
        <w:t>2</w:t>
      </w:r>
      <w:r>
        <w:rPr>
          <w:rFonts w:asciiTheme="minorEastAsia" w:eastAsiaTheme="minorEastAsia" w:hAnsiTheme="minorEastAsia" w:hint="eastAsia"/>
          <w:kern w:val="0"/>
          <w:sz w:val="18"/>
          <w:szCs w:val="18"/>
        </w:rPr>
        <w:t>——有屏蔽材料时的电场强度，单位为伏特每米（V/m）；</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H</w:t>
      </w:r>
      <w:r>
        <w:rPr>
          <w:rFonts w:asciiTheme="minorEastAsia" w:eastAsiaTheme="minorEastAsia" w:hAnsiTheme="minorEastAsia" w:hint="eastAsia"/>
          <w:i/>
          <w:kern w:val="0"/>
          <w:sz w:val="18"/>
          <w:szCs w:val="18"/>
          <w:vertAlign w:val="subscript"/>
        </w:rPr>
        <w:t>1</w:t>
      </w:r>
      <w:r>
        <w:rPr>
          <w:rFonts w:asciiTheme="minorEastAsia" w:eastAsiaTheme="minorEastAsia" w:hAnsiTheme="minorEastAsia" w:hint="eastAsia"/>
          <w:kern w:val="0"/>
          <w:sz w:val="18"/>
          <w:szCs w:val="18"/>
        </w:rPr>
        <w:t>——无屏蔽材料时的磁场强度，单位为安培每米（A/m）；</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H</w:t>
      </w:r>
      <w:r>
        <w:rPr>
          <w:rFonts w:asciiTheme="minorEastAsia" w:eastAsiaTheme="minorEastAsia" w:hAnsiTheme="minorEastAsia" w:hint="eastAsia"/>
          <w:i/>
          <w:kern w:val="0"/>
          <w:sz w:val="18"/>
          <w:szCs w:val="18"/>
          <w:vertAlign w:val="subscript"/>
        </w:rPr>
        <w:t>2</w:t>
      </w:r>
      <w:r>
        <w:rPr>
          <w:rFonts w:asciiTheme="minorEastAsia" w:eastAsiaTheme="minorEastAsia" w:hAnsiTheme="minorEastAsia" w:hint="eastAsia"/>
          <w:kern w:val="0"/>
          <w:sz w:val="18"/>
          <w:szCs w:val="18"/>
        </w:rPr>
        <w:t>——无屏蔽材料时的磁场强度，单位为安培每米（A/m）；</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注：屏蔽效能通常为负值，但习惯用其绝对值。</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[来源：GB/T 26667-2021，3.1.7]</w:t>
      </w:r>
    </w:p>
    <w:p>
      <w:pPr>
        <w:autoSpaceDE w:val="0"/>
        <w:autoSpaceDN w:val="0"/>
        <w:adjustRightInd w:val="0"/>
        <w:spacing w:beforeLines="50" w:before="156" w:afterLines="50" w:after="156" w:line="340" w:lineRule="exact"/>
        <w:rPr>
          <w:rFonts w:ascii="黑体" w:eastAsia="黑体" w:hAnsi="黑体"/>
          <w:kern w:val="0"/>
          <w:szCs w:val="46"/>
        </w:rPr>
      </w:pPr>
      <w:r>
        <w:rPr>
          <w:rFonts w:ascii="黑体" w:eastAsia="黑体" w:hAnsi="黑体" w:hint="eastAsia"/>
          <w:kern w:val="0"/>
          <w:szCs w:val="46"/>
        </w:rPr>
        <w:t>3.3</w:t>
      </w:r>
    </w:p>
    <w:p>
      <w:pPr>
        <w:autoSpaceDE w:val="0"/>
        <w:autoSpaceDN w:val="0"/>
        <w:adjustRightInd w:val="0"/>
        <w:spacing w:line="340" w:lineRule="exact"/>
        <w:ind w:firstLineChars="200" w:firstLine="420"/>
        <w:rPr>
          <w:rFonts w:ascii="黑体" w:eastAsia="黑体"/>
          <w:kern w:val="0"/>
          <w:szCs w:val="20"/>
        </w:rPr>
      </w:pPr>
      <w:r>
        <w:rPr>
          <w:rFonts w:ascii="黑体" w:eastAsia="黑体" w:hint="eastAsia"/>
          <w:kern w:val="0"/>
          <w:szCs w:val="20"/>
        </w:rPr>
        <w:t xml:space="preserve">电磁屏蔽织物  </w:t>
      </w:r>
      <w:r>
        <w:rPr>
          <w:rFonts w:ascii="黑体" w:eastAsia="黑体"/>
          <w:kern w:val="0"/>
          <w:szCs w:val="20"/>
        </w:rPr>
        <w:t>electromagnetic shieldin</w:t>
      </w:r>
      <w:r>
        <w:rPr>
          <w:rFonts w:ascii="黑体" w:eastAsia="黑体" w:hint="eastAsia"/>
          <w:kern w:val="0"/>
          <w:szCs w:val="20"/>
        </w:rPr>
        <w:t>g fabric</w:t>
      </w:r>
    </w:p>
    <w:p>
      <w:pPr>
        <w:autoSpaceDE w:val="0"/>
        <w:autoSpaceDN w:val="0"/>
        <w:adjustRightInd w:val="0"/>
        <w:spacing w:line="34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由导电、电磁性能的铜线（纤维）制成的具有电磁屏蔽作用的织物。</w:t>
      </w:r>
    </w:p>
    <w:p>
      <w:pPr>
        <w:autoSpaceDE w:val="0"/>
        <w:autoSpaceDN w:val="0"/>
        <w:adjustRightInd w:val="0"/>
        <w:spacing w:line="340" w:lineRule="exact"/>
        <w:ind w:firstLine="36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[来源：GB/T 26667-2021，3.2.7，有修改]</w:t>
      </w:r>
    </w:p>
    <w:bookmarkEnd w:id="3"/>
    <w:p>
      <w:pPr>
        <w:pStyle w:val="a9"/>
        <w:spacing w:beforeLines="100" w:before="312" w:afterLines="100" w:after="312"/>
        <w:ind w:left="0"/>
      </w:pPr>
      <w:r>
        <w:rPr>
          <w:rFonts w:hint="eastAsia"/>
        </w:rPr>
        <w:t>分类和标记</w:t>
      </w:r>
    </w:p>
    <w:p>
      <w:pPr>
        <w:pStyle w:val="aa"/>
        <w:spacing w:beforeLines="50" w:before="156" w:afterLines="50" w:after="156"/>
      </w:pPr>
      <w:r>
        <w:rPr>
          <w:rFonts w:hint="eastAsia"/>
        </w:rPr>
        <w:t>产品分类</w:t>
      </w:r>
    </w:p>
    <w:p>
      <w:pPr>
        <w:pStyle w:val="affe"/>
        <w:spacing w:line="340" w:lineRule="exact"/>
        <w:ind w:firstLine="420"/>
      </w:pPr>
      <w:r>
        <w:rPr>
          <w:rFonts w:hint="eastAsia"/>
        </w:rPr>
        <w:t>棒线材的牌号、状态和规格应符合表1的规定。</w:t>
      </w:r>
    </w:p>
    <w:p>
      <w:pPr>
        <w:pStyle w:val="a6"/>
        <w:spacing w:beforeLines="50" w:before="156" w:afterLines="50" w:after="156"/>
        <w:ind w:left="0"/>
        <w:rPr>
          <w:szCs w:val="21"/>
        </w:rPr>
      </w:pPr>
      <w:r>
        <w:rPr>
          <w:rFonts w:hint="eastAsia"/>
          <w:szCs w:val="21"/>
        </w:rPr>
        <w:t>牌号、状态、规格</w:t>
      </w:r>
    </w:p>
    <w:tbl>
      <w:tblPr>
        <w:tblW w:w="8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8"/>
        <w:gridCol w:w="1843"/>
        <w:gridCol w:w="1701"/>
        <w:gridCol w:w="1281"/>
        <w:gridCol w:w="1264"/>
      </w:tblGrid>
      <w:tr>
        <w:trPr>
          <w:trHeight w:val="397"/>
          <w:jc w:val="center"/>
        </w:trPr>
        <w:tc>
          <w:tcPr>
            <w:tcW w:w="2688" w:type="dxa"/>
            <w:vMerge w:val="restart"/>
            <w:tcBorders>
              <w:top w:val="single" w:sz="8" w:space="0" w:color="auto"/>
              <w:left w:val="single" w:sz="8" w:space="0" w:color="auto"/>
              <w:right w:val="single" w:sz="4" w:space="0" w:color="auto"/>
            </w:tcBorders>
            <w:vAlign w:val="center"/>
          </w:tcPr>
          <w:p>
            <w:pPr>
              <w:jc w:val="center"/>
              <w:rPr>
                <w:rFonts w:ascii="黑体" w:eastAsia="黑体"/>
                <w:kern w:val="0"/>
                <w:szCs w:val="20"/>
              </w:rPr>
            </w:pPr>
            <w:r>
              <w:rPr>
                <w:rFonts w:ascii="宋体" w:hAnsi="宋体" w:hint="eastAsia"/>
                <w:bCs/>
                <w:sz w:val="18"/>
                <w:szCs w:val="20"/>
              </w:rPr>
              <w:t>牌号</w:t>
            </w:r>
          </w:p>
        </w:tc>
        <w:tc>
          <w:tcPr>
            <w:tcW w:w="1843" w:type="dxa"/>
            <w:vMerge w:val="restart"/>
            <w:tcBorders>
              <w:top w:val="single" w:sz="8" w:space="0" w:color="auto"/>
              <w:right w:val="single" w:sz="4" w:space="0" w:color="auto"/>
            </w:tcBorders>
            <w:vAlign w:val="center"/>
          </w:tcPr>
          <w:p>
            <w:pPr>
              <w:jc w:val="center"/>
              <w:rPr>
                <w:rFonts w:ascii="黑体" w:eastAsia="黑体"/>
                <w:kern w:val="0"/>
                <w:szCs w:val="20"/>
              </w:rPr>
            </w:pPr>
            <w:r>
              <w:rPr>
                <w:rFonts w:ascii="宋体" w:hAnsi="宋体" w:hint="eastAsia"/>
                <w:bCs/>
                <w:sz w:val="18"/>
                <w:szCs w:val="20"/>
              </w:rPr>
              <w:t>状态</w:t>
            </w:r>
          </w:p>
        </w:tc>
        <w:tc>
          <w:tcPr>
            <w:tcW w:w="1701" w:type="dxa"/>
            <w:vMerge w:val="restart"/>
            <w:tcBorders>
              <w:top w:val="single" w:sz="8" w:space="0" w:color="auto"/>
              <w:left w:val="single" w:sz="4" w:space="0" w:color="auto"/>
            </w:tcBorders>
            <w:vAlign w:val="center"/>
          </w:tcPr>
          <w:p>
            <w:pPr>
              <w:jc w:val="center"/>
              <w:rPr>
                <w:rFonts w:ascii="宋体" w:hAnsi="宋体"/>
                <w:bCs/>
                <w:sz w:val="18"/>
                <w:szCs w:val="20"/>
              </w:rPr>
            </w:pPr>
            <w:r>
              <w:rPr>
                <w:rFonts w:ascii="宋体" w:hAnsi="宋体" w:hint="eastAsia"/>
                <w:bCs/>
                <w:sz w:val="18"/>
                <w:szCs w:val="20"/>
              </w:rPr>
              <w:t>直径</w:t>
            </w:r>
          </w:p>
          <w:p>
            <w:pPr>
              <w:jc w:val="center"/>
              <w:rPr>
                <w:rFonts w:ascii="黑体" w:eastAsia="黑体"/>
                <w:kern w:val="0"/>
                <w:szCs w:val="20"/>
              </w:rPr>
            </w:pPr>
            <w:r>
              <w:rPr>
                <w:rFonts w:ascii="宋体" w:hAnsi="宋体" w:hint="eastAsia"/>
                <w:bCs/>
                <w:sz w:val="18"/>
                <w:szCs w:val="20"/>
              </w:rPr>
              <w:t>mm</w:t>
            </w:r>
          </w:p>
        </w:tc>
        <w:tc>
          <w:tcPr>
            <w:tcW w:w="2545" w:type="dxa"/>
            <w:gridSpan w:val="2"/>
            <w:tcBorders>
              <w:top w:val="single" w:sz="8" w:space="0" w:color="auto"/>
              <w:bottom w:val="single" w:sz="4" w:space="0" w:color="auto"/>
              <w:right w:val="single" w:sz="8" w:space="0" w:color="auto"/>
            </w:tcBorders>
            <w:vAlign w:val="center"/>
          </w:tcPr>
          <w:p>
            <w:pPr>
              <w:widowControl/>
              <w:jc w:val="center"/>
              <w:rPr>
                <w:rFonts w:ascii="宋体" w:hAnsi="宋体"/>
                <w:bCs/>
                <w:sz w:val="18"/>
                <w:szCs w:val="20"/>
              </w:rPr>
            </w:pPr>
            <w:r>
              <w:rPr>
                <w:rFonts w:ascii="宋体" w:hAnsi="宋体" w:hint="eastAsia"/>
                <w:bCs/>
                <w:sz w:val="18"/>
                <w:szCs w:val="20"/>
              </w:rPr>
              <w:t>长度</w:t>
            </w:r>
          </w:p>
          <w:p>
            <w:pPr>
              <w:widowControl/>
              <w:jc w:val="center"/>
              <w:rPr>
                <w:rFonts w:ascii="宋体" w:hAnsi="宋体"/>
                <w:bCs/>
                <w:sz w:val="18"/>
                <w:szCs w:val="20"/>
              </w:rPr>
            </w:pPr>
            <w:r>
              <w:rPr>
                <w:rFonts w:ascii="宋体" w:hAnsi="宋体" w:hint="eastAsia"/>
                <w:bCs/>
                <w:sz w:val="18"/>
                <w:szCs w:val="20"/>
              </w:rPr>
              <w:t>mm</w:t>
            </w:r>
          </w:p>
        </w:tc>
      </w:tr>
      <w:tr>
        <w:trPr>
          <w:trHeight w:val="397"/>
          <w:jc w:val="center"/>
        </w:trPr>
        <w:tc>
          <w:tcPr>
            <w:tcW w:w="2688" w:type="dxa"/>
            <w:vMerge/>
            <w:tcBorders>
              <w:left w:val="single" w:sz="8" w:space="0" w:color="auto"/>
              <w:right w:val="single" w:sz="4" w:space="0" w:color="auto"/>
            </w:tcBorders>
            <w:vAlign w:val="center"/>
          </w:tcPr>
          <w:p>
            <w:pPr>
              <w:jc w:val="center"/>
              <w:rPr>
                <w:rFonts w:ascii="宋体" w:hAnsi="宋体"/>
                <w:bCs/>
                <w:sz w:val="18"/>
                <w:szCs w:val="20"/>
              </w:rPr>
            </w:pPr>
          </w:p>
        </w:tc>
        <w:tc>
          <w:tcPr>
            <w:tcW w:w="1843" w:type="dxa"/>
            <w:vMerge/>
            <w:tcBorders>
              <w:right w:val="single" w:sz="4" w:space="0" w:color="auto"/>
            </w:tcBorders>
            <w:vAlign w:val="center"/>
          </w:tcPr>
          <w:p>
            <w:pPr>
              <w:jc w:val="center"/>
              <w:rPr>
                <w:rFonts w:ascii="宋体" w:hAnsi="宋体"/>
                <w:bCs/>
                <w:sz w:val="18"/>
                <w:szCs w:val="20"/>
              </w:rPr>
            </w:pPr>
          </w:p>
        </w:tc>
        <w:tc>
          <w:tcPr>
            <w:tcW w:w="1701" w:type="dxa"/>
            <w:vMerge/>
            <w:tcBorders>
              <w:left w:val="single" w:sz="4" w:space="0" w:color="auto"/>
            </w:tcBorders>
            <w:vAlign w:val="center"/>
          </w:tcPr>
          <w:p>
            <w:pPr>
              <w:jc w:val="center"/>
              <w:rPr>
                <w:rFonts w:ascii="宋体" w:hAnsi="宋体"/>
                <w:bCs/>
                <w:sz w:val="18"/>
                <w:szCs w:val="20"/>
              </w:rPr>
            </w:pPr>
          </w:p>
        </w:tc>
        <w:tc>
          <w:tcPr>
            <w:tcW w:w="1281" w:type="dxa"/>
            <w:tcBorders>
              <w:top w:val="single" w:sz="4" w:space="0" w:color="auto"/>
              <w:bottom w:val="single" w:sz="4" w:space="0" w:color="auto"/>
              <w:right w:val="single" w:sz="4" w:space="0" w:color="auto"/>
            </w:tcBorders>
            <w:vAlign w:val="center"/>
          </w:tcPr>
          <w:p>
            <w:pPr>
              <w:jc w:val="center"/>
              <w:rPr>
                <w:rFonts w:ascii="宋体" w:hAnsi="宋体"/>
                <w:bCs/>
                <w:sz w:val="18"/>
                <w:szCs w:val="20"/>
              </w:rPr>
            </w:pPr>
            <w:r>
              <w:rPr>
                <w:rFonts w:ascii="宋体" w:hAnsi="宋体" w:hint="eastAsia"/>
                <w:bCs/>
                <w:sz w:val="18"/>
                <w:szCs w:val="20"/>
              </w:rPr>
              <w:t>卷状</w:t>
            </w:r>
          </w:p>
        </w:tc>
        <w:tc>
          <w:tcPr>
            <w:tcW w:w="1264" w:type="dxa"/>
            <w:tcBorders>
              <w:top w:val="single" w:sz="4" w:space="0" w:color="auto"/>
              <w:left w:val="single" w:sz="4" w:space="0" w:color="auto"/>
              <w:bottom w:val="single" w:sz="4" w:space="0" w:color="auto"/>
              <w:right w:val="single" w:sz="8" w:space="0" w:color="auto"/>
            </w:tcBorders>
            <w:vAlign w:val="center"/>
          </w:tcPr>
          <w:p>
            <w:pPr>
              <w:jc w:val="center"/>
              <w:rPr>
                <w:rFonts w:ascii="宋体" w:hAnsi="宋体"/>
                <w:bCs/>
                <w:sz w:val="18"/>
                <w:szCs w:val="20"/>
              </w:rPr>
            </w:pPr>
            <w:r>
              <w:rPr>
                <w:rFonts w:ascii="宋体" w:hAnsi="宋体" w:hint="eastAsia"/>
                <w:bCs/>
                <w:sz w:val="18"/>
                <w:szCs w:val="20"/>
              </w:rPr>
              <w:t>直条状</w:t>
            </w:r>
          </w:p>
        </w:tc>
      </w:tr>
      <w:tr>
        <w:trPr>
          <w:trHeight w:val="397"/>
          <w:jc w:val="center"/>
        </w:trPr>
        <w:tc>
          <w:tcPr>
            <w:tcW w:w="2688" w:type="dxa"/>
            <w:tcBorders>
              <w:left w:val="single" w:sz="8" w:space="0" w:color="auto"/>
              <w:right w:val="single" w:sz="4" w:space="0" w:color="auto"/>
            </w:tcBorders>
            <w:vAlign w:val="center"/>
          </w:tcPr>
          <w:p>
            <w:pPr>
              <w:jc w:val="center"/>
              <w:rPr>
                <w:rFonts w:ascii="宋体" w:hAnsi="宋体"/>
                <w:bCs/>
                <w:sz w:val="18"/>
                <w:szCs w:val="20"/>
              </w:rPr>
            </w:pPr>
            <w:r>
              <w:rPr>
                <w:rFonts w:ascii="宋体" w:hAnsi="宋体"/>
                <w:bCs/>
                <w:sz w:val="18"/>
                <w:szCs w:val="20"/>
              </w:rPr>
              <w:t>CuFe5</w:t>
            </w:r>
          </w:p>
        </w:tc>
        <w:tc>
          <w:tcPr>
            <w:tcW w:w="1843" w:type="dxa"/>
            <w:vMerge w:val="restart"/>
            <w:tcBorders>
              <w:right w:val="single" w:sz="4" w:space="0" w:color="auto"/>
            </w:tcBorders>
            <w:vAlign w:val="center"/>
          </w:tcPr>
          <w:p>
            <w:pPr>
              <w:widowControl/>
              <w:jc w:val="center"/>
              <w:rPr>
                <w:rFonts w:ascii="宋体" w:hAnsi="宋体"/>
                <w:bCs/>
                <w:sz w:val="18"/>
                <w:szCs w:val="20"/>
              </w:rPr>
            </w:pPr>
            <w:r>
              <w:rPr>
                <w:rFonts w:ascii="Calibri" w:eastAsia="微软雅黑" w:hAnsi="Calibri"/>
                <w:bCs/>
                <w:sz w:val="18"/>
                <w:szCs w:val="20"/>
              </w:rPr>
              <w:t>O</w:t>
            </w:r>
            <w:r>
              <w:rPr>
                <w:rFonts w:ascii="宋体" w:hAnsi="宋体" w:hint="eastAsia"/>
                <w:bCs/>
                <w:sz w:val="18"/>
                <w:szCs w:val="20"/>
              </w:rPr>
              <w:t>60、H02、H04、H06</w:t>
            </w:r>
          </w:p>
        </w:tc>
        <w:tc>
          <w:tcPr>
            <w:tcW w:w="1701" w:type="dxa"/>
            <w:vMerge w:val="restart"/>
            <w:tcBorders>
              <w:left w:val="single" w:sz="4" w:space="0" w:color="auto"/>
            </w:tcBorders>
            <w:vAlign w:val="center"/>
          </w:tcPr>
          <w:p>
            <w:pPr>
              <w:widowControl/>
              <w:jc w:val="center"/>
              <w:rPr>
                <w:rFonts w:ascii="宋体" w:hAnsi="宋体"/>
                <w:bCs/>
                <w:sz w:val="18"/>
                <w:szCs w:val="20"/>
              </w:rPr>
            </w:pPr>
            <w:r>
              <w:rPr>
                <w:rFonts w:ascii="宋体" w:hAnsi="宋体" w:hint="eastAsia"/>
                <w:bCs/>
                <w:sz w:val="18"/>
                <w:szCs w:val="20"/>
              </w:rPr>
              <w:t>0.07</w:t>
            </w:r>
            <w:r>
              <w:rPr>
                <w:bCs/>
                <w:sz w:val="18"/>
                <w:szCs w:val="20"/>
              </w:rPr>
              <w:t>~</w:t>
            </w:r>
            <w:r>
              <w:rPr>
                <w:rFonts w:ascii="宋体" w:hAnsi="宋体" w:hint="eastAsia"/>
                <w:bCs/>
                <w:sz w:val="18"/>
                <w:szCs w:val="20"/>
              </w:rPr>
              <w:t>14</w:t>
            </w:r>
          </w:p>
        </w:tc>
        <w:tc>
          <w:tcPr>
            <w:tcW w:w="1281" w:type="dxa"/>
            <w:vMerge w:val="restart"/>
            <w:tcBorders>
              <w:right w:val="single" w:sz="4" w:space="0" w:color="auto"/>
            </w:tcBorders>
            <w:vAlign w:val="center"/>
          </w:tcPr>
          <w:p>
            <w:pPr>
              <w:widowControl/>
              <w:jc w:val="center"/>
              <w:rPr>
                <w:rFonts w:ascii="宋体" w:hAnsi="宋体"/>
                <w:bCs/>
                <w:sz w:val="18"/>
                <w:szCs w:val="20"/>
              </w:rPr>
            </w:pPr>
            <w:r>
              <w:rPr>
                <w:rFonts w:ascii="宋体" w:hAnsi="宋体" w:hint="eastAsia"/>
                <w:bCs/>
                <w:sz w:val="18"/>
                <w:szCs w:val="20"/>
              </w:rPr>
              <w:t>-</w:t>
            </w:r>
          </w:p>
        </w:tc>
        <w:tc>
          <w:tcPr>
            <w:tcW w:w="1264" w:type="dxa"/>
            <w:vMerge w:val="restart"/>
            <w:tcBorders>
              <w:left w:val="single" w:sz="4" w:space="0" w:color="auto"/>
              <w:right w:val="single" w:sz="8" w:space="0" w:color="auto"/>
            </w:tcBorders>
            <w:vAlign w:val="center"/>
          </w:tcPr>
          <w:p>
            <w:pPr>
              <w:widowControl/>
              <w:jc w:val="center"/>
              <w:rPr>
                <w:rFonts w:ascii="宋体" w:hAnsi="宋体"/>
                <w:bCs/>
                <w:sz w:val="18"/>
                <w:szCs w:val="20"/>
              </w:rPr>
            </w:pPr>
            <w:r>
              <w:rPr>
                <w:rFonts w:ascii="宋体" w:hAnsi="宋体" w:hint="eastAsia"/>
                <w:bCs/>
                <w:sz w:val="18"/>
                <w:szCs w:val="20"/>
              </w:rPr>
              <w:t>1000～3000</w:t>
            </w:r>
          </w:p>
        </w:tc>
      </w:tr>
      <w:tr>
        <w:trPr>
          <w:trHeight w:val="397"/>
          <w:jc w:val="center"/>
        </w:trPr>
        <w:tc>
          <w:tcPr>
            <w:tcW w:w="2688" w:type="dxa"/>
            <w:tcBorders>
              <w:left w:val="single" w:sz="8" w:space="0" w:color="auto"/>
              <w:right w:val="single" w:sz="4" w:space="0" w:color="auto"/>
            </w:tcBorders>
            <w:vAlign w:val="center"/>
          </w:tcPr>
          <w:p>
            <w:pPr>
              <w:jc w:val="center"/>
              <w:rPr>
                <w:rFonts w:ascii="宋体" w:hAnsi="宋体"/>
                <w:bCs/>
                <w:sz w:val="18"/>
                <w:szCs w:val="20"/>
              </w:rPr>
            </w:pPr>
            <w:r>
              <w:rPr>
                <w:rFonts w:ascii="宋体" w:hAnsi="宋体" w:hint="eastAsia"/>
                <w:bCs/>
                <w:sz w:val="18"/>
                <w:szCs w:val="20"/>
              </w:rPr>
              <w:t>CuFe10</w:t>
            </w:r>
          </w:p>
        </w:tc>
        <w:tc>
          <w:tcPr>
            <w:tcW w:w="1843" w:type="dxa"/>
            <w:vMerge/>
            <w:tcBorders>
              <w:bottom w:val="single" w:sz="4" w:space="0" w:color="auto"/>
              <w:right w:val="single" w:sz="4" w:space="0" w:color="auto"/>
            </w:tcBorders>
            <w:vAlign w:val="center"/>
          </w:tcPr>
          <w:p>
            <w:pPr>
              <w:widowControl/>
              <w:rPr>
                <w:rFonts w:ascii="宋体" w:hAnsi="宋体"/>
                <w:bCs/>
                <w:sz w:val="18"/>
                <w:szCs w:val="20"/>
              </w:rPr>
            </w:pPr>
          </w:p>
        </w:tc>
        <w:tc>
          <w:tcPr>
            <w:tcW w:w="1701" w:type="dxa"/>
            <w:vMerge/>
            <w:tcBorders>
              <w:left w:val="single" w:sz="4" w:space="0" w:color="auto"/>
            </w:tcBorders>
            <w:vAlign w:val="center"/>
          </w:tcPr>
          <w:p>
            <w:pPr>
              <w:widowControl/>
              <w:rPr>
                <w:rFonts w:ascii="宋体" w:hAnsi="宋体"/>
                <w:bCs/>
                <w:sz w:val="18"/>
                <w:szCs w:val="20"/>
              </w:rPr>
            </w:pPr>
          </w:p>
        </w:tc>
        <w:tc>
          <w:tcPr>
            <w:tcW w:w="1281" w:type="dxa"/>
            <w:vMerge/>
            <w:tcBorders>
              <w:right w:val="single" w:sz="4" w:space="0" w:color="auto"/>
            </w:tcBorders>
            <w:vAlign w:val="center"/>
          </w:tcPr>
          <w:p>
            <w:pPr>
              <w:widowControl/>
              <w:jc w:val="center"/>
              <w:rPr>
                <w:rFonts w:ascii="宋体" w:hAnsi="宋体"/>
                <w:bCs/>
                <w:sz w:val="18"/>
                <w:szCs w:val="20"/>
              </w:rPr>
            </w:pPr>
          </w:p>
        </w:tc>
        <w:tc>
          <w:tcPr>
            <w:tcW w:w="1264" w:type="dxa"/>
            <w:vMerge/>
            <w:tcBorders>
              <w:left w:val="single" w:sz="4" w:space="0" w:color="auto"/>
              <w:right w:val="single" w:sz="8" w:space="0" w:color="auto"/>
            </w:tcBorders>
            <w:vAlign w:val="center"/>
          </w:tcPr>
          <w:p>
            <w:pPr>
              <w:widowControl/>
              <w:jc w:val="center"/>
              <w:rPr>
                <w:rFonts w:ascii="宋体" w:hAnsi="宋体"/>
                <w:bCs/>
                <w:sz w:val="18"/>
                <w:szCs w:val="20"/>
              </w:rPr>
            </w:pPr>
          </w:p>
        </w:tc>
      </w:tr>
      <w:tr>
        <w:trPr>
          <w:trHeight w:val="397"/>
          <w:jc w:val="center"/>
        </w:trPr>
        <w:tc>
          <w:tcPr>
            <w:tcW w:w="2688" w:type="dxa"/>
            <w:tcBorders>
              <w:left w:val="single" w:sz="8" w:space="0" w:color="auto"/>
              <w:right w:val="single" w:sz="4" w:space="0" w:color="auto"/>
            </w:tcBorders>
            <w:vAlign w:val="center"/>
          </w:tcPr>
          <w:p>
            <w:pPr>
              <w:jc w:val="center"/>
              <w:rPr>
                <w:rFonts w:ascii="宋体" w:hAnsi="宋体"/>
                <w:bCs/>
                <w:sz w:val="18"/>
                <w:szCs w:val="20"/>
              </w:rPr>
            </w:pPr>
            <w:r>
              <w:rPr>
                <w:rFonts w:ascii="宋体" w:hAnsi="宋体"/>
                <w:bCs/>
                <w:sz w:val="18"/>
                <w:szCs w:val="20"/>
              </w:rPr>
              <w:t>CuFe</w:t>
            </w:r>
            <w:r>
              <w:rPr>
                <w:rFonts w:ascii="宋体" w:hAnsi="宋体" w:hint="eastAsia"/>
                <w:bCs/>
                <w:sz w:val="18"/>
                <w:szCs w:val="20"/>
              </w:rPr>
              <w:t>20</w:t>
            </w:r>
          </w:p>
        </w:tc>
        <w:tc>
          <w:tcPr>
            <w:tcW w:w="1843" w:type="dxa"/>
            <w:tcBorders>
              <w:top w:val="single" w:sz="4" w:space="0" w:color="auto"/>
              <w:right w:val="single" w:sz="4" w:space="0" w:color="auto"/>
            </w:tcBorders>
            <w:vAlign w:val="center"/>
          </w:tcPr>
          <w:p>
            <w:pPr>
              <w:rPr>
                <w:rFonts w:ascii="宋体" w:hAnsi="宋体"/>
                <w:bCs/>
                <w:sz w:val="18"/>
                <w:szCs w:val="20"/>
              </w:rPr>
            </w:pPr>
            <w:r>
              <w:rPr>
                <w:rFonts w:ascii="Calibri" w:eastAsia="微软雅黑" w:hAnsi="Calibri"/>
                <w:bCs/>
                <w:sz w:val="18"/>
                <w:szCs w:val="20"/>
              </w:rPr>
              <w:t>O</w:t>
            </w:r>
            <w:r>
              <w:rPr>
                <w:rFonts w:ascii="宋体" w:hAnsi="宋体" w:hint="eastAsia"/>
                <w:bCs/>
                <w:sz w:val="18"/>
                <w:szCs w:val="20"/>
              </w:rPr>
              <w:t>60、</w:t>
            </w:r>
            <w:r>
              <w:rPr>
                <w:rFonts w:ascii="宋体" w:hAnsi="宋体"/>
                <w:bCs/>
                <w:sz w:val="18"/>
                <w:szCs w:val="20"/>
              </w:rPr>
              <w:t>H06</w:t>
            </w:r>
          </w:p>
        </w:tc>
        <w:tc>
          <w:tcPr>
            <w:tcW w:w="1701" w:type="dxa"/>
            <w:vMerge/>
            <w:tcBorders>
              <w:left w:val="single" w:sz="4" w:space="0" w:color="auto"/>
            </w:tcBorders>
            <w:vAlign w:val="center"/>
          </w:tcPr>
          <w:p>
            <w:pPr>
              <w:widowControl/>
              <w:rPr>
                <w:rFonts w:ascii="宋体" w:hAnsi="宋体"/>
                <w:bCs/>
                <w:sz w:val="18"/>
                <w:szCs w:val="20"/>
              </w:rPr>
            </w:pPr>
          </w:p>
        </w:tc>
        <w:tc>
          <w:tcPr>
            <w:tcW w:w="1281" w:type="dxa"/>
            <w:vMerge/>
            <w:tcBorders>
              <w:right w:val="single" w:sz="4" w:space="0" w:color="auto"/>
            </w:tcBorders>
            <w:vAlign w:val="center"/>
          </w:tcPr>
          <w:p>
            <w:pPr>
              <w:widowControl/>
              <w:jc w:val="center"/>
              <w:rPr>
                <w:rFonts w:ascii="宋体" w:hAnsi="宋体"/>
                <w:bCs/>
                <w:sz w:val="18"/>
                <w:szCs w:val="20"/>
              </w:rPr>
            </w:pPr>
          </w:p>
        </w:tc>
        <w:tc>
          <w:tcPr>
            <w:tcW w:w="1264" w:type="dxa"/>
            <w:vMerge/>
            <w:tcBorders>
              <w:left w:val="single" w:sz="4" w:space="0" w:color="auto"/>
              <w:right w:val="single" w:sz="8" w:space="0" w:color="auto"/>
            </w:tcBorders>
            <w:vAlign w:val="center"/>
          </w:tcPr>
          <w:p>
            <w:pPr>
              <w:widowControl/>
              <w:jc w:val="center"/>
              <w:rPr>
                <w:rFonts w:ascii="宋体" w:hAnsi="宋体"/>
                <w:bCs/>
                <w:sz w:val="18"/>
                <w:szCs w:val="20"/>
              </w:rPr>
            </w:pPr>
          </w:p>
        </w:tc>
      </w:tr>
      <w:tr>
        <w:trPr>
          <w:trHeight w:val="397"/>
          <w:jc w:val="center"/>
        </w:trPr>
        <w:tc>
          <w:tcPr>
            <w:tcW w:w="2688" w:type="dxa"/>
            <w:tcBorders>
              <w:left w:val="single" w:sz="8" w:space="0" w:color="auto"/>
              <w:right w:val="single" w:sz="4" w:space="0" w:color="auto"/>
            </w:tcBorders>
            <w:vAlign w:val="center"/>
          </w:tcPr>
          <w:p>
            <w:pPr>
              <w:jc w:val="center"/>
              <w:rPr>
                <w:rFonts w:ascii="宋体" w:hAnsi="宋体"/>
                <w:bCs/>
                <w:sz w:val="18"/>
                <w:szCs w:val="20"/>
              </w:rPr>
            </w:pPr>
            <w:r>
              <w:rPr>
                <w:rFonts w:ascii="宋体" w:hAnsi="宋体"/>
                <w:bCs/>
                <w:sz w:val="18"/>
                <w:szCs w:val="20"/>
              </w:rPr>
              <w:t>CuFe</w:t>
            </w:r>
            <w:r>
              <w:rPr>
                <w:rFonts w:ascii="宋体" w:hAnsi="宋体" w:hint="eastAsia"/>
                <w:bCs/>
                <w:sz w:val="18"/>
                <w:szCs w:val="20"/>
              </w:rPr>
              <w:t>40</w:t>
            </w:r>
          </w:p>
        </w:tc>
        <w:tc>
          <w:tcPr>
            <w:tcW w:w="1843" w:type="dxa"/>
            <w:tcBorders>
              <w:top w:val="single" w:sz="4" w:space="0" w:color="auto"/>
              <w:right w:val="single" w:sz="4" w:space="0" w:color="auto"/>
            </w:tcBorders>
            <w:vAlign w:val="center"/>
          </w:tcPr>
          <w:p>
            <w:pPr>
              <w:rPr>
                <w:rFonts w:ascii="微软雅黑" w:eastAsia="微软雅黑" w:hAnsi="微软雅黑"/>
                <w:bCs/>
                <w:sz w:val="18"/>
                <w:szCs w:val="20"/>
              </w:rPr>
            </w:pPr>
            <w:r>
              <w:rPr>
                <w:rFonts w:ascii="Calibri" w:eastAsia="微软雅黑" w:hAnsi="Calibri"/>
                <w:bCs/>
                <w:sz w:val="18"/>
                <w:szCs w:val="20"/>
              </w:rPr>
              <w:t>O</w:t>
            </w:r>
            <w:r>
              <w:rPr>
                <w:rFonts w:ascii="宋体" w:hAnsi="宋体" w:hint="eastAsia"/>
                <w:bCs/>
                <w:sz w:val="18"/>
                <w:szCs w:val="20"/>
              </w:rPr>
              <w:t>60、</w:t>
            </w:r>
            <w:r>
              <w:rPr>
                <w:rFonts w:ascii="宋体" w:hAnsi="宋体"/>
                <w:bCs/>
                <w:sz w:val="18"/>
                <w:szCs w:val="20"/>
              </w:rPr>
              <w:t>H06</w:t>
            </w:r>
          </w:p>
        </w:tc>
        <w:tc>
          <w:tcPr>
            <w:tcW w:w="1701" w:type="dxa"/>
            <w:vMerge/>
            <w:tcBorders>
              <w:left w:val="single" w:sz="4" w:space="0" w:color="auto"/>
            </w:tcBorders>
            <w:vAlign w:val="center"/>
          </w:tcPr>
          <w:p>
            <w:pPr>
              <w:widowControl/>
              <w:rPr>
                <w:rFonts w:ascii="宋体" w:hAnsi="宋体"/>
                <w:bCs/>
                <w:sz w:val="18"/>
                <w:szCs w:val="20"/>
              </w:rPr>
            </w:pPr>
          </w:p>
        </w:tc>
        <w:tc>
          <w:tcPr>
            <w:tcW w:w="1281" w:type="dxa"/>
            <w:vMerge/>
            <w:tcBorders>
              <w:right w:val="single" w:sz="4" w:space="0" w:color="auto"/>
            </w:tcBorders>
            <w:vAlign w:val="center"/>
          </w:tcPr>
          <w:p>
            <w:pPr>
              <w:widowControl/>
              <w:jc w:val="center"/>
              <w:rPr>
                <w:rFonts w:ascii="宋体" w:hAnsi="宋体"/>
                <w:bCs/>
                <w:sz w:val="18"/>
                <w:szCs w:val="20"/>
              </w:rPr>
            </w:pPr>
          </w:p>
        </w:tc>
        <w:tc>
          <w:tcPr>
            <w:tcW w:w="1264" w:type="dxa"/>
            <w:vMerge/>
            <w:tcBorders>
              <w:left w:val="single" w:sz="4" w:space="0" w:color="auto"/>
              <w:right w:val="single" w:sz="8" w:space="0" w:color="auto"/>
            </w:tcBorders>
            <w:vAlign w:val="center"/>
          </w:tcPr>
          <w:p>
            <w:pPr>
              <w:widowControl/>
              <w:jc w:val="center"/>
              <w:rPr>
                <w:rFonts w:ascii="宋体" w:hAnsi="宋体"/>
                <w:bCs/>
                <w:sz w:val="18"/>
                <w:szCs w:val="20"/>
              </w:rPr>
            </w:pPr>
          </w:p>
        </w:tc>
      </w:tr>
      <w:tr>
        <w:trPr>
          <w:trHeight w:val="397"/>
          <w:jc w:val="center"/>
        </w:trPr>
        <w:tc>
          <w:tcPr>
            <w:tcW w:w="8777" w:type="dxa"/>
            <w:gridSpan w:val="5"/>
            <w:tcBorders>
              <w:left w:val="single" w:sz="8" w:space="0" w:color="auto"/>
              <w:bottom w:val="single" w:sz="8" w:space="0" w:color="auto"/>
              <w:right w:val="single" w:sz="8" w:space="0" w:color="auto"/>
            </w:tcBorders>
            <w:vAlign w:val="center"/>
          </w:tcPr>
          <w:p>
            <w:pPr>
              <w:widowControl/>
              <w:jc w:val="left"/>
              <w:rPr>
                <w:rFonts w:ascii="宋体" w:hAnsi="宋体"/>
                <w:bCs/>
                <w:sz w:val="18"/>
                <w:szCs w:val="20"/>
              </w:rPr>
            </w:pPr>
            <w:r>
              <w:rPr>
                <w:rFonts w:ascii="宋体" w:hAnsi="宋体" w:hint="eastAsia"/>
                <w:bCs/>
                <w:sz w:val="18"/>
                <w:szCs w:val="20"/>
              </w:rPr>
              <w:t>注：由双方协商，可供应其他牌号和规格的棒线材，具体要求宜在合同中注明。</w:t>
            </w:r>
          </w:p>
        </w:tc>
      </w:tr>
    </w:tbl>
    <w:p>
      <w:pPr>
        <w:pStyle w:val="aa"/>
        <w:spacing w:beforeLines="50" w:before="156" w:afterLines="50" w:after="156"/>
      </w:pPr>
      <w:r>
        <w:rPr>
          <w:rFonts w:hint="eastAsia"/>
        </w:rPr>
        <w:t>标记示例</w:t>
      </w:r>
    </w:p>
    <w:p>
      <w:pPr>
        <w:pStyle w:val="affe"/>
        <w:ind w:firstLine="360"/>
        <w:rPr>
          <w:rFonts w:ascii="黑体" w:eastAsia="黑体" w:hAnsi="黑体"/>
          <w:sz w:val="18"/>
          <w:szCs w:val="18"/>
        </w:rPr>
      </w:pPr>
      <w:r>
        <w:rPr>
          <w:rFonts w:ascii="黑体" w:eastAsia="黑体" w:hAnsi="黑体" w:hint="eastAsia"/>
          <w:sz w:val="18"/>
          <w:szCs w:val="18"/>
        </w:rPr>
        <w:t>示例1：</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trPr>
          <w:trHeight w:val="756"/>
        </w:trPr>
        <w:tc>
          <w:tcPr>
            <w:tcW w:w="8678" w:type="dxa"/>
            <w:vAlign w:val="center"/>
          </w:tcPr>
          <w:p>
            <w:pPr>
              <w:pStyle w:val="affe"/>
              <w:spacing w:line="360" w:lineRule="exact"/>
              <w:ind w:firstLine="360"/>
              <w:rPr>
                <w:sz w:val="18"/>
                <w:szCs w:val="18"/>
              </w:rPr>
            </w:pPr>
            <w:r>
              <w:rPr>
                <w:rFonts w:hint="eastAsia"/>
                <w:sz w:val="18"/>
                <w:szCs w:val="18"/>
              </w:rPr>
              <w:t>用CuFe5制造状态为H06、普通级、长度2000mm、直径为5mm的直条状棒材标记为：</w:t>
            </w:r>
          </w:p>
          <w:p>
            <w:pPr>
              <w:pStyle w:val="affe"/>
              <w:spacing w:line="360" w:lineRule="exact"/>
              <w:ind w:firstLine="360"/>
            </w:pPr>
            <w:r>
              <w:rPr>
                <w:rFonts w:hint="eastAsia"/>
                <w:sz w:val="18"/>
                <w:szCs w:val="18"/>
              </w:rPr>
              <w:t>直条状棒材 YS/T</w:t>
            </w:r>
            <w:r>
              <w:rPr>
                <w:rFonts w:hAnsi="宋体" w:hint="eastAsia"/>
                <w:sz w:val="18"/>
                <w:szCs w:val="18"/>
              </w:rPr>
              <w:t>××××</w:t>
            </w:r>
            <w:r>
              <w:rPr>
                <w:rFonts w:hint="eastAsia"/>
                <w:sz w:val="18"/>
                <w:szCs w:val="18"/>
              </w:rPr>
              <w:t>-CuFe5H06-5×2000</w:t>
            </w:r>
          </w:p>
        </w:tc>
      </w:tr>
    </w:tbl>
    <w:p>
      <w:pPr>
        <w:pStyle w:val="affe"/>
        <w:spacing w:line="360" w:lineRule="exact"/>
        <w:ind w:firstLine="360"/>
        <w:rPr>
          <w:rFonts w:ascii="黑体" w:eastAsia="黑体" w:hAnsi="黑体"/>
          <w:sz w:val="18"/>
          <w:szCs w:val="18"/>
        </w:rPr>
      </w:pPr>
      <w:r>
        <w:rPr>
          <w:rFonts w:ascii="黑体" w:eastAsia="黑体" w:hAnsi="黑体" w:hint="eastAsia"/>
          <w:sz w:val="18"/>
          <w:szCs w:val="18"/>
        </w:rPr>
        <w:t>示例2：</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trPr>
          <w:trHeight w:val="756"/>
        </w:trPr>
        <w:tc>
          <w:tcPr>
            <w:tcW w:w="8678" w:type="dxa"/>
            <w:vAlign w:val="center"/>
          </w:tcPr>
          <w:p>
            <w:pPr>
              <w:pStyle w:val="affe"/>
              <w:spacing w:line="360" w:lineRule="exact"/>
              <w:ind w:firstLine="360"/>
              <w:rPr>
                <w:sz w:val="18"/>
                <w:szCs w:val="18"/>
              </w:rPr>
            </w:pPr>
            <w:r>
              <w:rPr>
                <w:rFonts w:hint="eastAsia"/>
                <w:sz w:val="18"/>
                <w:szCs w:val="18"/>
              </w:rPr>
              <w:t>用CuFe10制造状态为</w:t>
            </w:r>
            <w:r>
              <w:rPr>
                <w:rFonts w:ascii="Calibri" w:hAnsi="Calibri"/>
                <w:sz w:val="18"/>
                <w:szCs w:val="18"/>
              </w:rPr>
              <w:t>O</w:t>
            </w:r>
            <w:r>
              <w:rPr>
                <w:rFonts w:hint="eastAsia"/>
                <w:sz w:val="18"/>
                <w:szCs w:val="18"/>
              </w:rPr>
              <w:t>60、高精级、直径为3mm、卷状的圆形线材标记为：</w:t>
            </w:r>
          </w:p>
          <w:p>
            <w:pPr>
              <w:pStyle w:val="affe"/>
              <w:spacing w:line="360" w:lineRule="exact"/>
              <w:ind w:firstLine="360"/>
            </w:pPr>
            <w:r>
              <w:rPr>
                <w:rFonts w:hint="eastAsia"/>
                <w:sz w:val="18"/>
                <w:szCs w:val="18"/>
              </w:rPr>
              <w:t>卷状圆形线 YS /T××××</w:t>
            </w:r>
            <w:r>
              <w:rPr>
                <w:sz w:val="18"/>
                <w:szCs w:val="18"/>
              </w:rPr>
              <w:t>-</w:t>
            </w:r>
            <w:r>
              <w:rPr>
                <w:rFonts w:hint="eastAsia"/>
                <w:sz w:val="18"/>
                <w:szCs w:val="18"/>
              </w:rPr>
              <w:t>CuFe10</w:t>
            </w:r>
            <w:r>
              <w:rPr>
                <w:rFonts w:ascii="Calibri" w:hAnsi="Calibri"/>
                <w:sz w:val="18"/>
                <w:szCs w:val="18"/>
              </w:rPr>
              <w:t>O</w:t>
            </w:r>
            <w:r>
              <w:rPr>
                <w:sz w:val="18"/>
                <w:szCs w:val="18"/>
              </w:rPr>
              <w:t>6</w:t>
            </w:r>
            <w:r>
              <w:rPr>
                <w:rFonts w:hint="eastAsia"/>
                <w:sz w:val="18"/>
                <w:szCs w:val="18"/>
              </w:rPr>
              <w:t>0-3 高</w:t>
            </w:r>
          </w:p>
        </w:tc>
      </w:tr>
    </w:tbl>
    <w:p>
      <w:pPr>
        <w:pStyle w:val="a9"/>
        <w:spacing w:beforeLines="100" w:before="312" w:afterLines="100" w:after="312"/>
        <w:ind w:left="0"/>
      </w:pPr>
      <w:r>
        <w:rPr>
          <w:rFonts w:hint="eastAsia"/>
        </w:rPr>
        <w:lastRenderedPageBreak/>
        <w:t>技术要求</w:t>
      </w:r>
    </w:p>
    <w:p>
      <w:pPr>
        <w:pStyle w:val="aa"/>
        <w:spacing w:beforeLines="50" w:before="156" w:afterLines="50" w:after="156"/>
      </w:pPr>
      <w:r>
        <w:rPr>
          <w:rFonts w:hint="eastAsia"/>
        </w:rPr>
        <w:t>化学成分</w:t>
      </w:r>
    </w:p>
    <w:p>
      <w:pPr>
        <w:pStyle w:val="affe"/>
        <w:ind w:firstLine="420"/>
      </w:pPr>
      <w:r>
        <w:rPr>
          <w:rFonts w:hint="eastAsia"/>
        </w:rPr>
        <w:t>棒线材</w:t>
      </w:r>
      <w:r>
        <w:t>CuFe</w:t>
      </w:r>
      <w:r>
        <w:rPr>
          <w:rFonts w:hint="eastAsia"/>
        </w:rPr>
        <w:t>5</w:t>
      </w:r>
      <w:r>
        <w:rPr>
          <w:rFonts w:hAnsi="宋体" w:hint="eastAsia"/>
          <w:bCs/>
          <w:sz w:val="18"/>
        </w:rPr>
        <w:t>的</w:t>
      </w:r>
      <w:r>
        <w:rPr>
          <w:rFonts w:hint="eastAsia"/>
        </w:rPr>
        <w:t>化学成分应符合GB/T 5231的规定，其余牌号的化学成分应符合表2的规定。</w:t>
      </w:r>
    </w:p>
    <w:p>
      <w:pPr>
        <w:pStyle w:val="a6"/>
        <w:spacing w:beforeLines="50" w:before="156" w:afterLines="50" w:after="156"/>
        <w:ind w:left="0"/>
      </w:pPr>
      <w:r>
        <w:t>CuFe10</w:t>
      </w:r>
      <w:r>
        <w:rPr>
          <w:rFonts w:hint="eastAsia"/>
        </w:rPr>
        <w:t>、</w:t>
      </w:r>
      <w:r>
        <w:rPr>
          <w:szCs w:val="21"/>
        </w:rPr>
        <w:t>CuFe20</w:t>
      </w:r>
      <w:r>
        <w:rPr>
          <w:rFonts w:hint="eastAsia"/>
          <w:szCs w:val="21"/>
        </w:rPr>
        <w:t>、</w:t>
      </w:r>
      <w:r>
        <w:rPr>
          <w:szCs w:val="21"/>
        </w:rPr>
        <w:t>CuFe</w:t>
      </w:r>
      <w:r>
        <w:rPr>
          <w:rFonts w:hint="eastAsia"/>
          <w:szCs w:val="21"/>
        </w:rPr>
        <w:t>40</w:t>
      </w:r>
      <w:r>
        <w:rPr>
          <w:rFonts w:hint="eastAsia"/>
        </w:rPr>
        <w:t>的化学成分</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168"/>
        <w:gridCol w:w="1168"/>
        <w:gridCol w:w="1023"/>
        <w:gridCol w:w="1022"/>
        <w:gridCol w:w="875"/>
        <w:gridCol w:w="929"/>
        <w:gridCol w:w="1350"/>
      </w:tblGrid>
      <w:tr>
        <w:trPr>
          <w:cantSplit/>
          <w:trHeight w:val="340"/>
          <w:jc w:val="center"/>
        </w:trPr>
        <w:tc>
          <w:tcPr>
            <w:tcW w:w="1405" w:type="dxa"/>
            <w:vMerge w:val="restart"/>
            <w:tcBorders>
              <w:top w:val="single" w:sz="8" w:space="0" w:color="auto"/>
              <w:left w:val="single" w:sz="8" w:space="0" w:color="auto"/>
            </w:tcBorders>
            <w:vAlign w:val="center"/>
          </w:tcPr>
          <w:p>
            <w:pPr>
              <w:jc w:val="center"/>
              <w:rPr>
                <w:rFonts w:ascii="宋体" w:hAnsi="宋体"/>
                <w:bCs/>
                <w:sz w:val="18"/>
                <w:szCs w:val="18"/>
              </w:rPr>
            </w:pPr>
            <w:r>
              <w:rPr>
                <w:rFonts w:ascii="宋体" w:hAnsi="宋体" w:hint="eastAsia"/>
                <w:bCs/>
                <w:sz w:val="18"/>
                <w:szCs w:val="18"/>
              </w:rPr>
              <w:t>牌号</w:t>
            </w:r>
          </w:p>
        </w:tc>
        <w:tc>
          <w:tcPr>
            <w:tcW w:w="7535" w:type="dxa"/>
            <w:gridSpan w:val="7"/>
            <w:tcBorders>
              <w:top w:val="single" w:sz="8"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化学成分（质量分数）％</w:t>
            </w:r>
          </w:p>
        </w:tc>
      </w:tr>
      <w:tr>
        <w:trPr>
          <w:cantSplit/>
          <w:trHeight w:val="340"/>
          <w:jc w:val="center"/>
        </w:trPr>
        <w:tc>
          <w:tcPr>
            <w:tcW w:w="1405" w:type="dxa"/>
            <w:vMerge/>
            <w:tcBorders>
              <w:left w:val="single" w:sz="8" w:space="0" w:color="auto"/>
            </w:tcBorders>
            <w:vAlign w:val="center"/>
          </w:tcPr>
          <w:p>
            <w:pPr>
              <w:jc w:val="center"/>
              <w:rPr>
                <w:rFonts w:ascii="宋体" w:hAnsi="宋体"/>
                <w:bCs/>
                <w:sz w:val="18"/>
                <w:szCs w:val="18"/>
              </w:rPr>
            </w:pPr>
          </w:p>
        </w:tc>
        <w:tc>
          <w:tcPr>
            <w:tcW w:w="1168" w:type="dxa"/>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Cu</w:t>
            </w:r>
          </w:p>
        </w:tc>
        <w:tc>
          <w:tcPr>
            <w:tcW w:w="1168" w:type="dxa"/>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Fe</w:t>
            </w:r>
          </w:p>
        </w:tc>
        <w:tc>
          <w:tcPr>
            <w:tcW w:w="1023" w:type="dxa"/>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Cr</w:t>
            </w:r>
          </w:p>
        </w:tc>
        <w:tc>
          <w:tcPr>
            <w:tcW w:w="1022" w:type="dxa"/>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Si</w:t>
            </w:r>
          </w:p>
        </w:tc>
        <w:tc>
          <w:tcPr>
            <w:tcW w:w="875" w:type="dxa"/>
            <w:tcBorders>
              <w:right w:val="single" w:sz="4" w:space="0" w:color="auto"/>
            </w:tcBorders>
            <w:vAlign w:val="center"/>
          </w:tcPr>
          <w:p>
            <w:pPr>
              <w:tabs>
                <w:tab w:val="left" w:pos="7230"/>
              </w:tabs>
              <w:autoSpaceDE w:val="0"/>
              <w:autoSpaceDN w:val="0"/>
              <w:jc w:val="center"/>
              <w:rPr>
                <w:rFonts w:ascii="宋体" w:hAnsi="宋体"/>
                <w:bCs/>
                <w:sz w:val="18"/>
                <w:szCs w:val="18"/>
              </w:rPr>
            </w:pPr>
            <w:proofErr w:type="spellStart"/>
            <w:r>
              <w:rPr>
                <w:rFonts w:ascii="宋体" w:hAnsi="宋体" w:hint="eastAsia"/>
                <w:bCs/>
                <w:sz w:val="18"/>
                <w:szCs w:val="18"/>
              </w:rPr>
              <w:t>Mn</w:t>
            </w:r>
            <w:proofErr w:type="spellEnd"/>
          </w:p>
        </w:tc>
        <w:tc>
          <w:tcPr>
            <w:tcW w:w="929" w:type="dxa"/>
            <w:tcBorders>
              <w:left w:val="single" w:sz="4" w:space="0" w:color="auto"/>
              <w:right w:val="single" w:sz="4" w:space="0" w:color="auto"/>
            </w:tcBorders>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O</w:t>
            </w:r>
          </w:p>
        </w:tc>
        <w:tc>
          <w:tcPr>
            <w:tcW w:w="1350" w:type="dxa"/>
            <w:tcBorders>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Cu+所列元素总和</w:t>
            </w:r>
          </w:p>
        </w:tc>
      </w:tr>
      <w:tr>
        <w:trPr>
          <w:cantSplit/>
          <w:trHeight w:val="340"/>
          <w:jc w:val="center"/>
        </w:trPr>
        <w:tc>
          <w:tcPr>
            <w:tcW w:w="1405" w:type="dxa"/>
            <w:tcBorders>
              <w:left w:val="single" w:sz="8" w:space="0" w:color="auto"/>
            </w:tcBorders>
            <w:vAlign w:val="center"/>
          </w:tcPr>
          <w:p>
            <w:pPr>
              <w:jc w:val="center"/>
              <w:rPr>
                <w:rFonts w:ascii="宋体" w:hAnsi="宋体"/>
                <w:bCs/>
                <w:sz w:val="18"/>
                <w:szCs w:val="18"/>
              </w:rPr>
            </w:pPr>
            <w:r>
              <w:rPr>
                <w:rFonts w:ascii="宋体" w:hAnsi="宋体" w:hint="eastAsia"/>
                <w:bCs/>
                <w:sz w:val="18"/>
                <w:szCs w:val="18"/>
              </w:rPr>
              <w:t>CuFe10</w:t>
            </w:r>
          </w:p>
        </w:tc>
        <w:tc>
          <w:tcPr>
            <w:tcW w:w="1168" w:type="dxa"/>
            <w:vAlign w:val="center"/>
          </w:tcPr>
          <w:p>
            <w:pPr>
              <w:jc w:val="center"/>
              <w:rPr>
                <w:rFonts w:ascii="宋体" w:hAnsi="宋体"/>
                <w:bCs/>
                <w:sz w:val="18"/>
                <w:szCs w:val="18"/>
              </w:rPr>
            </w:pPr>
            <w:r>
              <w:rPr>
                <w:rFonts w:ascii="宋体" w:hAnsi="宋体" w:hint="eastAsia"/>
                <w:bCs/>
                <w:sz w:val="18"/>
                <w:szCs w:val="18"/>
              </w:rPr>
              <w:t>余量</w:t>
            </w:r>
          </w:p>
        </w:tc>
        <w:tc>
          <w:tcPr>
            <w:tcW w:w="1168" w:type="dxa"/>
            <w:vAlign w:val="center"/>
          </w:tcPr>
          <w:p>
            <w:pPr>
              <w:jc w:val="center"/>
              <w:rPr>
                <w:rFonts w:ascii="宋体" w:hAnsi="宋体"/>
                <w:bCs/>
                <w:sz w:val="18"/>
                <w:szCs w:val="18"/>
              </w:rPr>
            </w:pPr>
            <w:r>
              <w:rPr>
                <w:rFonts w:ascii="宋体" w:hAnsi="宋体" w:hint="eastAsia"/>
                <w:bCs/>
                <w:sz w:val="18"/>
                <w:szCs w:val="18"/>
              </w:rPr>
              <w:t>9.5～10.5</w:t>
            </w:r>
          </w:p>
        </w:tc>
        <w:tc>
          <w:tcPr>
            <w:tcW w:w="1023" w:type="dxa"/>
          </w:tcPr>
          <w:p>
            <w:pPr>
              <w:jc w:val="center"/>
              <w:rPr>
                <w:rFonts w:ascii="宋体" w:hAnsi="宋体"/>
                <w:bCs/>
                <w:sz w:val="18"/>
                <w:szCs w:val="18"/>
              </w:rPr>
            </w:pPr>
            <w:r>
              <w:rPr>
                <w:rFonts w:ascii="宋体" w:hAnsi="宋体" w:hint="eastAsia"/>
                <w:bCs/>
                <w:sz w:val="18"/>
                <w:szCs w:val="18"/>
              </w:rPr>
              <w:t>0.01</w:t>
            </w:r>
          </w:p>
        </w:tc>
        <w:tc>
          <w:tcPr>
            <w:tcW w:w="1022" w:type="dxa"/>
          </w:tcPr>
          <w:p>
            <w:pPr>
              <w:jc w:val="center"/>
              <w:rPr>
                <w:rFonts w:ascii="宋体" w:hAnsi="宋体"/>
                <w:bCs/>
                <w:sz w:val="18"/>
                <w:szCs w:val="18"/>
              </w:rPr>
            </w:pPr>
            <w:r>
              <w:rPr>
                <w:rFonts w:ascii="宋体" w:hAnsi="宋体" w:hint="eastAsia"/>
                <w:bCs/>
                <w:sz w:val="18"/>
                <w:szCs w:val="18"/>
              </w:rPr>
              <w:t>0.01</w:t>
            </w:r>
          </w:p>
        </w:tc>
        <w:tc>
          <w:tcPr>
            <w:tcW w:w="875" w:type="dxa"/>
            <w:tcBorders>
              <w:right w:val="single" w:sz="4" w:space="0" w:color="auto"/>
            </w:tcBorders>
            <w:vAlign w:val="center"/>
          </w:tcPr>
          <w:p>
            <w:pPr>
              <w:jc w:val="center"/>
              <w:rPr>
                <w:rFonts w:ascii="宋体" w:hAnsi="宋体"/>
                <w:bCs/>
                <w:sz w:val="18"/>
                <w:szCs w:val="18"/>
              </w:rPr>
            </w:pPr>
            <w:r>
              <w:rPr>
                <w:rFonts w:ascii="宋体" w:hAnsi="宋体" w:hint="eastAsia"/>
                <w:bCs/>
                <w:sz w:val="18"/>
                <w:szCs w:val="18"/>
              </w:rPr>
              <w:t>0.03</w:t>
            </w:r>
          </w:p>
        </w:tc>
        <w:tc>
          <w:tcPr>
            <w:tcW w:w="929" w:type="dxa"/>
            <w:tcBorders>
              <w:left w:val="single" w:sz="4" w:space="0" w:color="auto"/>
              <w:right w:val="single" w:sz="4" w:space="0" w:color="auto"/>
            </w:tcBorders>
            <w:vAlign w:val="center"/>
          </w:tcPr>
          <w:p>
            <w:pPr>
              <w:jc w:val="center"/>
              <w:rPr>
                <w:rFonts w:ascii="宋体" w:hAnsi="宋体"/>
                <w:bCs/>
                <w:sz w:val="18"/>
                <w:szCs w:val="18"/>
              </w:rPr>
            </w:pPr>
            <w:r>
              <w:rPr>
                <w:rFonts w:ascii="宋体" w:hAnsi="宋体" w:hint="eastAsia"/>
                <w:bCs/>
                <w:sz w:val="18"/>
                <w:szCs w:val="18"/>
              </w:rPr>
              <w:t>0.01</w:t>
            </w:r>
          </w:p>
        </w:tc>
        <w:tc>
          <w:tcPr>
            <w:tcW w:w="1350" w:type="dxa"/>
            <w:tcBorders>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99.8</w:t>
            </w:r>
          </w:p>
        </w:tc>
      </w:tr>
      <w:tr>
        <w:trPr>
          <w:cantSplit/>
          <w:trHeight w:val="340"/>
          <w:jc w:val="center"/>
        </w:trPr>
        <w:tc>
          <w:tcPr>
            <w:tcW w:w="1405" w:type="dxa"/>
            <w:tcBorders>
              <w:left w:val="single" w:sz="8" w:space="0" w:color="auto"/>
            </w:tcBorders>
            <w:vAlign w:val="center"/>
          </w:tcPr>
          <w:p>
            <w:pPr>
              <w:jc w:val="center"/>
              <w:rPr>
                <w:rFonts w:ascii="宋体" w:hAnsi="宋体"/>
                <w:bCs/>
                <w:sz w:val="18"/>
                <w:szCs w:val="18"/>
              </w:rPr>
            </w:pPr>
            <w:r>
              <w:rPr>
                <w:rFonts w:ascii="宋体" w:hAnsi="宋体"/>
                <w:bCs/>
                <w:sz w:val="18"/>
                <w:szCs w:val="18"/>
              </w:rPr>
              <w:t>CuFe</w:t>
            </w:r>
            <w:r>
              <w:rPr>
                <w:rFonts w:ascii="宋体" w:hAnsi="宋体" w:hint="eastAsia"/>
                <w:bCs/>
                <w:sz w:val="18"/>
                <w:szCs w:val="18"/>
              </w:rPr>
              <w:t>20</w:t>
            </w:r>
          </w:p>
        </w:tc>
        <w:tc>
          <w:tcPr>
            <w:tcW w:w="1168" w:type="dxa"/>
            <w:vAlign w:val="center"/>
          </w:tcPr>
          <w:p>
            <w:pPr>
              <w:jc w:val="center"/>
              <w:rPr>
                <w:rFonts w:ascii="宋体" w:hAnsi="宋体"/>
                <w:bCs/>
                <w:sz w:val="18"/>
                <w:szCs w:val="18"/>
              </w:rPr>
            </w:pPr>
            <w:r>
              <w:rPr>
                <w:rFonts w:ascii="宋体" w:hAnsi="宋体" w:hint="eastAsia"/>
                <w:bCs/>
                <w:sz w:val="18"/>
                <w:szCs w:val="18"/>
              </w:rPr>
              <w:t>余量</w:t>
            </w:r>
          </w:p>
        </w:tc>
        <w:tc>
          <w:tcPr>
            <w:tcW w:w="1168" w:type="dxa"/>
            <w:vAlign w:val="center"/>
          </w:tcPr>
          <w:p>
            <w:pPr>
              <w:jc w:val="center"/>
              <w:rPr>
                <w:rFonts w:ascii="宋体" w:hAnsi="宋体"/>
                <w:bCs/>
                <w:sz w:val="18"/>
                <w:szCs w:val="18"/>
              </w:rPr>
            </w:pPr>
            <w:r>
              <w:rPr>
                <w:rFonts w:ascii="宋体" w:hAnsi="宋体" w:hint="eastAsia"/>
                <w:bCs/>
                <w:sz w:val="18"/>
                <w:szCs w:val="18"/>
              </w:rPr>
              <w:t>18.0～21.0</w:t>
            </w:r>
          </w:p>
        </w:tc>
        <w:tc>
          <w:tcPr>
            <w:tcW w:w="1023" w:type="dxa"/>
          </w:tcPr>
          <w:p>
            <w:pPr>
              <w:jc w:val="center"/>
              <w:rPr>
                <w:rFonts w:ascii="宋体" w:hAnsi="宋体"/>
                <w:bCs/>
                <w:sz w:val="18"/>
                <w:szCs w:val="18"/>
              </w:rPr>
            </w:pPr>
            <w:r>
              <w:rPr>
                <w:rFonts w:ascii="宋体" w:hAnsi="宋体" w:hint="eastAsia"/>
                <w:bCs/>
                <w:sz w:val="18"/>
                <w:szCs w:val="18"/>
              </w:rPr>
              <w:t>0.03</w:t>
            </w:r>
          </w:p>
        </w:tc>
        <w:tc>
          <w:tcPr>
            <w:tcW w:w="1022" w:type="dxa"/>
          </w:tcPr>
          <w:p>
            <w:pPr>
              <w:jc w:val="center"/>
              <w:rPr>
                <w:rFonts w:ascii="宋体" w:hAnsi="宋体"/>
                <w:bCs/>
                <w:sz w:val="18"/>
                <w:szCs w:val="18"/>
              </w:rPr>
            </w:pPr>
            <w:r>
              <w:rPr>
                <w:rFonts w:ascii="宋体" w:hAnsi="宋体" w:hint="eastAsia"/>
                <w:bCs/>
                <w:sz w:val="18"/>
                <w:szCs w:val="18"/>
              </w:rPr>
              <w:t>0.02</w:t>
            </w:r>
          </w:p>
        </w:tc>
        <w:tc>
          <w:tcPr>
            <w:tcW w:w="875" w:type="dxa"/>
            <w:tcBorders>
              <w:right w:val="single" w:sz="4" w:space="0" w:color="auto"/>
            </w:tcBorders>
            <w:vAlign w:val="center"/>
          </w:tcPr>
          <w:p>
            <w:pPr>
              <w:jc w:val="center"/>
              <w:rPr>
                <w:rFonts w:ascii="宋体" w:hAnsi="宋体"/>
                <w:bCs/>
                <w:sz w:val="18"/>
                <w:szCs w:val="18"/>
              </w:rPr>
            </w:pPr>
            <w:r>
              <w:rPr>
                <w:rFonts w:ascii="宋体" w:hAnsi="宋体" w:hint="eastAsia"/>
                <w:bCs/>
                <w:sz w:val="18"/>
                <w:szCs w:val="18"/>
              </w:rPr>
              <w:t>0.05</w:t>
            </w:r>
          </w:p>
        </w:tc>
        <w:tc>
          <w:tcPr>
            <w:tcW w:w="929" w:type="dxa"/>
            <w:tcBorders>
              <w:left w:val="single" w:sz="4" w:space="0" w:color="auto"/>
              <w:right w:val="single" w:sz="4" w:space="0" w:color="auto"/>
            </w:tcBorders>
            <w:vAlign w:val="center"/>
          </w:tcPr>
          <w:p>
            <w:pPr>
              <w:jc w:val="center"/>
              <w:rPr>
                <w:rFonts w:ascii="宋体" w:hAnsi="宋体"/>
                <w:bCs/>
                <w:sz w:val="18"/>
                <w:szCs w:val="18"/>
              </w:rPr>
            </w:pPr>
            <w:r>
              <w:rPr>
                <w:rFonts w:ascii="宋体" w:hAnsi="宋体" w:hint="eastAsia"/>
                <w:bCs/>
                <w:sz w:val="18"/>
                <w:szCs w:val="18"/>
              </w:rPr>
              <w:t>0.015</w:t>
            </w:r>
          </w:p>
        </w:tc>
        <w:tc>
          <w:tcPr>
            <w:tcW w:w="1350" w:type="dxa"/>
            <w:tcBorders>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99.8</w:t>
            </w:r>
          </w:p>
        </w:tc>
      </w:tr>
      <w:tr>
        <w:trPr>
          <w:cantSplit/>
          <w:trHeight w:val="340"/>
          <w:jc w:val="center"/>
        </w:trPr>
        <w:tc>
          <w:tcPr>
            <w:tcW w:w="1405" w:type="dxa"/>
            <w:tcBorders>
              <w:left w:val="single" w:sz="8" w:space="0" w:color="auto"/>
              <w:bottom w:val="single" w:sz="8" w:space="0" w:color="auto"/>
            </w:tcBorders>
            <w:vAlign w:val="center"/>
          </w:tcPr>
          <w:p>
            <w:pPr>
              <w:jc w:val="center"/>
              <w:rPr>
                <w:rFonts w:ascii="宋体" w:hAnsi="宋体"/>
                <w:bCs/>
                <w:sz w:val="18"/>
                <w:szCs w:val="18"/>
              </w:rPr>
            </w:pPr>
            <w:r>
              <w:rPr>
                <w:rFonts w:ascii="宋体" w:hAnsi="宋体"/>
                <w:bCs/>
                <w:sz w:val="18"/>
                <w:szCs w:val="18"/>
              </w:rPr>
              <w:t>CuFe</w:t>
            </w:r>
            <w:r>
              <w:rPr>
                <w:rFonts w:ascii="宋体" w:hAnsi="宋体" w:hint="eastAsia"/>
                <w:bCs/>
                <w:sz w:val="18"/>
                <w:szCs w:val="18"/>
              </w:rPr>
              <w:t>40</w:t>
            </w:r>
          </w:p>
        </w:tc>
        <w:tc>
          <w:tcPr>
            <w:tcW w:w="1168" w:type="dxa"/>
            <w:tcBorders>
              <w:bottom w:val="single" w:sz="8" w:space="0" w:color="auto"/>
            </w:tcBorders>
            <w:vAlign w:val="center"/>
          </w:tcPr>
          <w:p>
            <w:pPr>
              <w:jc w:val="center"/>
              <w:rPr>
                <w:rFonts w:ascii="宋体" w:hAnsi="宋体"/>
                <w:bCs/>
                <w:sz w:val="18"/>
                <w:szCs w:val="18"/>
              </w:rPr>
            </w:pPr>
            <w:r>
              <w:rPr>
                <w:rFonts w:ascii="宋体" w:hAnsi="宋体" w:hint="eastAsia"/>
                <w:bCs/>
                <w:sz w:val="18"/>
                <w:szCs w:val="18"/>
              </w:rPr>
              <w:t>余量</w:t>
            </w:r>
          </w:p>
        </w:tc>
        <w:tc>
          <w:tcPr>
            <w:tcW w:w="1168" w:type="dxa"/>
            <w:tcBorders>
              <w:bottom w:val="single" w:sz="8" w:space="0" w:color="auto"/>
            </w:tcBorders>
            <w:vAlign w:val="center"/>
          </w:tcPr>
          <w:p>
            <w:pPr>
              <w:jc w:val="center"/>
              <w:rPr>
                <w:rFonts w:ascii="宋体" w:hAnsi="宋体"/>
                <w:bCs/>
                <w:sz w:val="18"/>
                <w:szCs w:val="18"/>
              </w:rPr>
            </w:pPr>
            <w:r>
              <w:rPr>
                <w:rFonts w:ascii="宋体" w:hAnsi="宋体" w:hint="eastAsia"/>
                <w:bCs/>
                <w:sz w:val="18"/>
                <w:szCs w:val="18"/>
              </w:rPr>
              <w:t>38.0～42.0</w:t>
            </w:r>
          </w:p>
        </w:tc>
        <w:tc>
          <w:tcPr>
            <w:tcW w:w="1023" w:type="dxa"/>
            <w:tcBorders>
              <w:bottom w:val="single" w:sz="8" w:space="0" w:color="auto"/>
            </w:tcBorders>
          </w:tcPr>
          <w:p>
            <w:pPr>
              <w:jc w:val="center"/>
              <w:rPr>
                <w:rFonts w:ascii="宋体" w:hAnsi="宋体"/>
                <w:bCs/>
                <w:sz w:val="18"/>
                <w:szCs w:val="18"/>
              </w:rPr>
            </w:pPr>
            <w:r>
              <w:rPr>
                <w:rFonts w:ascii="宋体" w:hAnsi="宋体" w:hint="eastAsia"/>
                <w:bCs/>
                <w:sz w:val="18"/>
                <w:szCs w:val="18"/>
              </w:rPr>
              <w:t>0.03</w:t>
            </w:r>
          </w:p>
        </w:tc>
        <w:tc>
          <w:tcPr>
            <w:tcW w:w="1022" w:type="dxa"/>
            <w:tcBorders>
              <w:bottom w:val="single" w:sz="8" w:space="0" w:color="auto"/>
            </w:tcBorders>
          </w:tcPr>
          <w:p>
            <w:pPr>
              <w:jc w:val="center"/>
              <w:rPr>
                <w:rFonts w:ascii="宋体" w:hAnsi="宋体"/>
                <w:bCs/>
                <w:sz w:val="18"/>
                <w:szCs w:val="18"/>
              </w:rPr>
            </w:pPr>
            <w:r>
              <w:rPr>
                <w:rFonts w:ascii="宋体" w:hAnsi="宋体" w:hint="eastAsia"/>
                <w:bCs/>
                <w:sz w:val="18"/>
                <w:szCs w:val="18"/>
              </w:rPr>
              <w:t>0.02</w:t>
            </w:r>
          </w:p>
        </w:tc>
        <w:tc>
          <w:tcPr>
            <w:tcW w:w="875" w:type="dxa"/>
            <w:tcBorders>
              <w:bottom w:val="single" w:sz="8" w:space="0" w:color="auto"/>
              <w:right w:val="single" w:sz="4" w:space="0" w:color="auto"/>
            </w:tcBorders>
            <w:vAlign w:val="center"/>
          </w:tcPr>
          <w:p>
            <w:pPr>
              <w:jc w:val="center"/>
              <w:rPr>
                <w:rFonts w:ascii="宋体" w:hAnsi="宋体"/>
                <w:bCs/>
                <w:sz w:val="18"/>
                <w:szCs w:val="18"/>
              </w:rPr>
            </w:pPr>
            <w:r>
              <w:rPr>
                <w:rFonts w:ascii="宋体" w:hAnsi="宋体" w:hint="eastAsia"/>
                <w:bCs/>
                <w:sz w:val="18"/>
                <w:szCs w:val="18"/>
              </w:rPr>
              <w:t>0.05</w:t>
            </w:r>
          </w:p>
        </w:tc>
        <w:tc>
          <w:tcPr>
            <w:tcW w:w="929" w:type="dxa"/>
            <w:tcBorders>
              <w:left w:val="single" w:sz="4" w:space="0" w:color="auto"/>
              <w:bottom w:val="single" w:sz="8" w:space="0" w:color="auto"/>
              <w:right w:val="single" w:sz="4" w:space="0" w:color="auto"/>
            </w:tcBorders>
            <w:vAlign w:val="center"/>
          </w:tcPr>
          <w:p>
            <w:pPr>
              <w:jc w:val="center"/>
              <w:rPr>
                <w:rFonts w:ascii="宋体" w:hAnsi="宋体"/>
                <w:bCs/>
                <w:sz w:val="18"/>
                <w:szCs w:val="18"/>
              </w:rPr>
            </w:pPr>
            <w:r>
              <w:rPr>
                <w:rFonts w:ascii="宋体" w:hAnsi="宋体" w:hint="eastAsia"/>
                <w:bCs/>
                <w:sz w:val="18"/>
                <w:szCs w:val="18"/>
              </w:rPr>
              <w:t>0.02</w:t>
            </w:r>
          </w:p>
        </w:tc>
        <w:tc>
          <w:tcPr>
            <w:tcW w:w="1350" w:type="dxa"/>
            <w:tcBorders>
              <w:left w:val="single" w:sz="4" w:space="0" w:color="auto"/>
              <w:bottom w:val="single" w:sz="8"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99.8</w:t>
            </w:r>
          </w:p>
        </w:tc>
      </w:tr>
    </w:tbl>
    <w:p>
      <w:pPr>
        <w:pStyle w:val="affe"/>
        <w:ind w:firstLine="420"/>
      </w:pPr>
    </w:p>
    <w:p>
      <w:pPr>
        <w:pStyle w:val="aa"/>
        <w:spacing w:beforeLines="50" w:before="156" w:afterLines="50" w:after="156"/>
      </w:pPr>
      <w:r>
        <w:rPr>
          <w:rFonts w:hint="eastAsia"/>
        </w:rPr>
        <w:t>外形尺寸及尺寸允许偏差</w:t>
      </w:r>
    </w:p>
    <w:p>
      <w:pPr>
        <w:pStyle w:val="affe"/>
        <w:ind w:firstLineChars="0" w:firstLine="0"/>
      </w:pPr>
      <w:r>
        <w:rPr>
          <w:rFonts w:hint="eastAsia"/>
        </w:rPr>
        <w:t>5.2.1 棒线外径尺寸及尺寸允许偏差应符合表3的规定。</w:t>
      </w:r>
    </w:p>
    <w:p>
      <w:pPr>
        <w:pStyle w:val="a6"/>
        <w:spacing w:beforeLines="50" w:before="156" w:afterLines="50" w:after="156"/>
        <w:ind w:left="0"/>
        <w:jc w:val="right"/>
      </w:pPr>
      <w:r>
        <w:rPr>
          <w:rFonts w:hint="eastAsia"/>
        </w:rPr>
        <w:t xml:space="preserve">棒线材的外径尺寸及尺寸允许偏差                    </w:t>
      </w:r>
      <w:r>
        <w:rPr>
          <w:rFonts w:asciiTheme="majorEastAsia" w:eastAsiaTheme="majorEastAsia" w:hAnsiTheme="majorEastAsia" w:hint="eastAsia"/>
          <w:sz w:val="20"/>
        </w:rPr>
        <w:t xml:space="preserve"> </w:t>
      </w:r>
      <w:r>
        <w:rPr>
          <w:rFonts w:hAnsi="黑体" w:hint="eastAsia"/>
          <w:szCs w:val="21"/>
        </w:rPr>
        <w:t>单位为毫米</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770"/>
        <w:gridCol w:w="3130"/>
        <w:gridCol w:w="3118"/>
      </w:tblGrid>
      <w:tr>
        <w:trPr>
          <w:cantSplit/>
          <w:trHeight w:val="340"/>
          <w:jc w:val="center"/>
        </w:trPr>
        <w:tc>
          <w:tcPr>
            <w:tcW w:w="951" w:type="dxa"/>
            <w:vMerge w:val="restart"/>
            <w:tcBorders>
              <w:top w:val="single" w:sz="8" w:space="0" w:color="auto"/>
              <w:left w:val="single" w:sz="8" w:space="0" w:color="auto"/>
              <w:righ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形状</w:t>
            </w:r>
          </w:p>
        </w:tc>
        <w:tc>
          <w:tcPr>
            <w:tcW w:w="1770" w:type="dxa"/>
            <w:vMerge w:val="restart"/>
            <w:tcBorders>
              <w:top w:val="single" w:sz="8" w:space="0" w:color="auto"/>
              <w:lef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直径</w:t>
            </w:r>
          </w:p>
        </w:tc>
        <w:tc>
          <w:tcPr>
            <w:tcW w:w="6248" w:type="dxa"/>
            <w:gridSpan w:val="2"/>
            <w:tcBorders>
              <w:top w:val="single" w:sz="8"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允许偏差</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vMerge/>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普通级</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高精级</w:t>
            </w:r>
          </w:p>
        </w:tc>
      </w:tr>
      <w:tr>
        <w:trPr>
          <w:cantSplit/>
          <w:trHeight w:val="340"/>
          <w:jc w:val="center"/>
        </w:trPr>
        <w:tc>
          <w:tcPr>
            <w:tcW w:w="951" w:type="dxa"/>
            <w:vMerge w:val="restart"/>
            <w:tcBorders>
              <w:left w:val="single" w:sz="8" w:space="0" w:color="auto"/>
              <w:righ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棒、线材</w:t>
            </w: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0.07～0.1</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04</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0.003</w:t>
            </w:r>
          </w:p>
        </w:tc>
      </w:tr>
      <w:tr>
        <w:trPr>
          <w:cantSplit/>
          <w:trHeight w:val="340"/>
          <w:jc w:val="center"/>
        </w:trPr>
        <w:tc>
          <w:tcPr>
            <w:tcW w:w="951" w:type="dxa"/>
            <w:vMerge/>
            <w:tcBorders>
              <w:left w:val="single" w:sz="8" w:space="0" w:color="auto"/>
              <w:righ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＞0.1～0.2</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5</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4</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＞0.2～0.5</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8</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6</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＞0.5～1.0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10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8</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＞1.0～3.0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30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20</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＞3.0～10.0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±0.040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w:t>
            </w:r>
            <w:r>
              <w:rPr>
                <w:rFonts w:ascii="宋体" w:hAnsi="宋体" w:hint="eastAsia"/>
                <w:kern w:val="0"/>
                <w:sz w:val="18"/>
                <w:szCs w:val="20"/>
              </w:rPr>
              <w:t>030</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＞10.0～14.0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w:t>
            </w:r>
            <w:r>
              <w:rPr>
                <w:rFonts w:ascii="宋体" w:hAnsi="宋体" w:hint="eastAsia"/>
                <w:kern w:val="0"/>
                <w:sz w:val="18"/>
                <w:szCs w:val="20"/>
              </w:rPr>
              <w:t>060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w:t>
            </w:r>
            <w:r>
              <w:rPr>
                <w:rFonts w:ascii="宋体" w:hAnsi="宋体" w:hint="eastAsia"/>
                <w:kern w:val="0"/>
                <w:sz w:val="18"/>
                <w:szCs w:val="20"/>
              </w:rPr>
              <w:t>040</w:t>
            </w:r>
          </w:p>
        </w:tc>
      </w:tr>
      <w:tr>
        <w:trPr>
          <w:cantSplit/>
          <w:trHeight w:val="340"/>
          <w:jc w:val="center"/>
        </w:trPr>
        <w:tc>
          <w:tcPr>
            <w:tcW w:w="8969" w:type="dxa"/>
            <w:gridSpan w:val="4"/>
            <w:tcBorders>
              <w:left w:val="single" w:sz="8" w:space="0" w:color="auto"/>
              <w:bottom w:val="single" w:sz="8" w:space="0" w:color="auto"/>
              <w:right w:val="single" w:sz="8" w:space="0" w:color="auto"/>
            </w:tcBorders>
            <w:vAlign w:val="center"/>
          </w:tcPr>
          <w:p>
            <w:pPr>
              <w:widowControl/>
              <w:tabs>
                <w:tab w:val="center" w:pos="4201"/>
                <w:tab w:val="right" w:leader="dot" w:pos="9298"/>
              </w:tabs>
              <w:autoSpaceDE w:val="0"/>
              <w:autoSpaceDN w:val="0"/>
              <w:jc w:val="left"/>
              <w:rPr>
                <w:rFonts w:ascii="宋体" w:hAnsi="宋体"/>
                <w:kern w:val="0"/>
                <w:sz w:val="18"/>
                <w:szCs w:val="20"/>
              </w:rPr>
            </w:pPr>
            <w:r>
              <w:rPr>
                <w:rFonts w:ascii="宋体" w:hAnsi="宋体" w:hint="eastAsia"/>
                <w:kern w:val="0"/>
                <w:sz w:val="18"/>
                <w:szCs w:val="20"/>
              </w:rPr>
              <w:t>注：当要求允许偏差全为（+）或全为（-）单向偏差时，其值为表中相应值的2倍。</w:t>
            </w:r>
          </w:p>
        </w:tc>
      </w:tr>
    </w:tbl>
    <w:p>
      <w:pPr>
        <w:pStyle w:val="affe"/>
        <w:spacing w:beforeLines="50" w:before="156" w:afterLines="50" w:after="156" w:line="360" w:lineRule="exact"/>
        <w:ind w:firstLineChars="0" w:firstLine="0"/>
        <w:rPr>
          <w:rFonts w:ascii="黑体" w:eastAsia="黑体" w:hAnsi="黑体"/>
        </w:rPr>
      </w:pPr>
      <w:r>
        <w:rPr>
          <w:rFonts w:ascii="黑体" w:eastAsia="黑体" w:hAnsi="黑体" w:hint="eastAsia"/>
        </w:rPr>
        <w:t>5.2.2 圆度</w:t>
      </w:r>
    </w:p>
    <w:p>
      <w:pPr>
        <w:pStyle w:val="affe"/>
        <w:ind w:firstLine="420"/>
      </w:pPr>
      <w:r>
        <w:rPr>
          <w:rFonts w:hAnsi="宋体" w:hint="eastAsia"/>
          <w:szCs w:val="21"/>
          <w:lang w:val="zh-CN"/>
        </w:rPr>
        <w:t>棒线材的圆度不应大于直径允许偏差之半。</w:t>
      </w:r>
    </w:p>
    <w:p>
      <w:pPr>
        <w:widowControl/>
        <w:spacing w:beforeLines="50" w:before="156" w:afterLines="50" w:after="156" w:line="360" w:lineRule="exact"/>
        <w:outlineLvl w:val="3"/>
        <w:rPr>
          <w:rFonts w:ascii="黑体" w:eastAsia="黑体" w:hAnsi="黑体"/>
          <w:kern w:val="0"/>
          <w:szCs w:val="21"/>
          <w:lang w:val="zh-CN"/>
        </w:rPr>
      </w:pPr>
      <w:r>
        <w:rPr>
          <w:rFonts w:ascii="黑体" w:eastAsia="黑体" w:hAnsi="黑体" w:hint="eastAsia"/>
          <w:kern w:val="0"/>
          <w:szCs w:val="21"/>
          <w:lang w:val="zh-CN"/>
        </w:rPr>
        <w:t>5.2.3定尺及倍尺长度允许偏差</w:t>
      </w:r>
    </w:p>
    <w:p>
      <w:pPr>
        <w:widowControl/>
        <w:ind w:firstLineChars="200" w:firstLine="420"/>
        <w:outlineLvl w:val="3"/>
        <w:rPr>
          <w:rFonts w:ascii="宋体" w:hAnsi="宋体"/>
          <w:kern w:val="0"/>
          <w:szCs w:val="21"/>
          <w:lang w:val="zh-CN"/>
        </w:rPr>
      </w:pPr>
      <w:r>
        <w:rPr>
          <w:rFonts w:ascii="宋体" w:hAnsi="宋体" w:hint="eastAsia"/>
          <w:kern w:val="0"/>
          <w:szCs w:val="21"/>
          <w:lang w:val="zh-CN"/>
        </w:rPr>
        <w:t>棒材定尺或倍尺长度允许偏差为+15mm，倍尺长度应加入锯切分段时的锯切量，每一锯切量为5mm。定尺或倍尺长度应在不定尺长度范围内，并在合同中注明，否则按不定尺长度供货。</w:t>
      </w:r>
    </w:p>
    <w:p>
      <w:pPr>
        <w:pStyle w:val="affe"/>
        <w:spacing w:beforeLines="50" w:before="156" w:afterLines="50" w:after="156" w:line="360" w:lineRule="exact"/>
        <w:ind w:firstLineChars="0" w:firstLine="0"/>
        <w:rPr>
          <w:rFonts w:ascii="黑体" w:eastAsia="黑体" w:hAnsi="黑体"/>
        </w:rPr>
      </w:pPr>
      <w:r>
        <w:rPr>
          <w:rFonts w:ascii="黑体" w:eastAsia="黑体" w:hAnsi="黑体" w:hint="eastAsia"/>
        </w:rPr>
        <w:t>5.2.4 直度</w:t>
      </w:r>
    </w:p>
    <w:p>
      <w:pPr>
        <w:pStyle w:val="affe"/>
        <w:ind w:firstLineChars="250" w:firstLine="525"/>
        <w:rPr>
          <w:lang w:val="zh-CN"/>
        </w:rPr>
      </w:pPr>
      <w:r>
        <w:rPr>
          <w:rFonts w:hint="eastAsia"/>
          <w:lang w:val="zh-CN"/>
        </w:rPr>
        <w:t xml:space="preserve">H06、H04、H02状态棒材直度应符合表4规定。 </w:t>
      </w:r>
    </w:p>
    <w:p>
      <w:pPr>
        <w:pStyle w:val="affe"/>
        <w:ind w:firstLineChars="250" w:firstLine="525"/>
        <w:rPr>
          <w:lang w:val="zh-CN"/>
        </w:rPr>
      </w:pPr>
    </w:p>
    <w:p>
      <w:pPr>
        <w:pStyle w:val="affe"/>
        <w:ind w:firstLineChars="250" w:firstLine="525"/>
        <w:rPr>
          <w:lang w:val="zh-CN"/>
        </w:rPr>
      </w:pPr>
    </w:p>
    <w:p>
      <w:pPr>
        <w:pStyle w:val="affe"/>
        <w:ind w:firstLineChars="250" w:firstLine="525"/>
        <w:rPr>
          <w:lang w:val="zh-CN"/>
        </w:rPr>
      </w:pPr>
    </w:p>
    <w:p>
      <w:pPr>
        <w:pStyle w:val="a6"/>
        <w:wordWrap w:val="0"/>
        <w:spacing w:beforeLines="50" w:before="156" w:afterLines="50" w:after="156"/>
        <w:ind w:left="0"/>
        <w:jc w:val="right"/>
      </w:pPr>
      <w:r>
        <w:rPr>
          <w:rFonts w:hint="eastAsia"/>
        </w:rPr>
        <w:lastRenderedPageBreak/>
        <w:t>棒材的直度                                单位为毫米</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ook w:val="04A0" w:firstRow="1" w:lastRow="0" w:firstColumn="1" w:lastColumn="0" w:noHBand="0" w:noVBand="1"/>
      </w:tblPr>
      <w:tblGrid>
        <w:gridCol w:w="2794"/>
        <w:gridCol w:w="1884"/>
        <w:gridCol w:w="1418"/>
        <w:gridCol w:w="1701"/>
        <w:gridCol w:w="1423"/>
      </w:tblGrid>
      <w:tr>
        <w:trPr>
          <w:trHeight w:val="340"/>
        </w:trPr>
        <w:tc>
          <w:tcPr>
            <w:tcW w:w="2794" w:type="dxa"/>
            <w:vMerge w:val="restart"/>
            <w:tcBorders>
              <w:top w:val="single" w:sz="8" w:space="0" w:color="auto"/>
              <w:lef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长度</w:t>
            </w:r>
          </w:p>
        </w:tc>
        <w:tc>
          <w:tcPr>
            <w:tcW w:w="6426" w:type="dxa"/>
            <w:gridSpan w:val="4"/>
            <w:tcBorders>
              <w:top w:val="single" w:sz="8" w:space="0" w:color="auto"/>
              <w:bottom w:val="single" w:sz="4"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圆棒直径</w:t>
            </w:r>
          </w:p>
        </w:tc>
      </w:tr>
      <w:tr>
        <w:trPr>
          <w:trHeight w:val="340"/>
        </w:trPr>
        <w:tc>
          <w:tcPr>
            <w:tcW w:w="2794" w:type="dxa"/>
            <w:vMerge/>
            <w:tcBorders>
              <w:left w:val="single" w:sz="8" w:space="0" w:color="auto"/>
            </w:tcBorders>
            <w:vAlign w:val="center"/>
          </w:tcPr>
          <w:p>
            <w:pPr>
              <w:widowControl/>
              <w:autoSpaceDE w:val="0"/>
              <w:autoSpaceDN w:val="0"/>
              <w:jc w:val="center"/>
              <w:rPr>
                <w:rFonts w:ascii="宋体"/>
                <w:kern w:val="0"/>
                <w:sz w:val="18"/>
                <w:szCs w:val="20"/>
              </w:rPr>
            </w:pPr>
          </w:p>
        </w:tc>
        <w:tc>
          <w:tcPr>
            <w:tcW w:w="3302" w:type="dxa"/>
            <w:gridSpan w:val="2"/>
            <w:tcBorders>
              <w:top w:val="single" w:sz="4" w:space="0" w:color="auto"/>
              <w:bottom w:val="single" w:sz="4" w:space="0" w:color="auto"/>
            </w:tcBorders>
            <w:vAlign w:val="center"/>
          </w:tcPr>
          <w:p>
            <w:pPr>
              <w:widowControl/>
              <w:autoSpaceDE w:val="0"/>
              <w:autoSpaceDN w:val="0"/>
              <w:ind w:firstLineChars="200" w:firstLine="360"/>
              <w:jc w:val="center"/>
              <w:rPr>
                <w:rFonts w:ascii="宋体"/>
                <w:kern w:val="0"/>
                <w:sz w:val="18"/>
                <w:szCs w:val="20"/>
              </w:rPr>
            </w:pPr>
            <w:r>
              <w:rPr>
                <w:rFonts w:ascii="宋体" w:hint="eastAsia"/>
                <w:kern w:val="0"/>
                <w:sz w:val="18"/>
                <w:szCs w:val="20"/>
              </w:rPr>
              <w:t>10～14</w:t>
            </w:r>
          </w:p>
        </w:tc>
        <w:tc>
          <w:tcPr>
            <w:tcW w:w="3124" w:type="dxa"/>
            <w:gridSpan w:val="2"/>
            <w:tcBorders>
              <w:top w:val="single" w:sz="4" w:space="0" w:color="auto"/>
              <w:bottom w:val="single" w:sz="4" w:space="0" w:color="auto"/>
              <w:right w:val="single" w:sz="8" w:space="0" w:color="auto"/>
            </w:tcBorders>
            <w:vAlign w:val="center"/>
          </w:tcPr>
          <w:p>
            <w:pPr>
              <w:widowControl/>
              <w:autoSpaceDE w:val="0"/>
              <w:autoSpaceDN w:val="0"/>
              <w:ind w:firstLineChars="200" w:firstLine="360"/>
              <w:jc w:val="center"/>
              <w:rPr>
                <w:rFonts w:ascii="宋体"/>
                <w:kern w:val="0"/>
                <w:sz w:val="18"/>
                <w:szCs w:val="20"/>
              </w:rPr>
            </w:pPr>
            <w:r>
              <w:rPr>
                <w:rFonts w:ascii="宋体" w:hAnsi="宋体" w:hint="eastAsia"/>
                <w:kern w:val="0"/>
                <w:sz w:val="18"/>
                <w:szCs w:val="20"/>
              </w:rPr>
              <w:t>＜</w:t>
            </w:r>
            <w:r>
              <w:rPr>
                <w:rFonts w:ascii="宋体" w:hint="eastAsia"/>
                <w:kern w:val="0"/>
                <w:sz w:val="18"/>
                <w:szCs w:val="20"/>
              </w:rPr>
              <w:t>10</w:t>
            </w:r>
          </w:p>
        </w:tc>
      </w:tr>
      <w:tr>
        <w:trPr>
          <w:trHeight w:val="340"/>
        </w:trPr>
        <w:tc>
          <w:tcPr>
            <w:tcW w:w="2794" w:type="dxa"/>
            <w:vMerge/>
            <w:tcBorders>
              <w:left w:val="single" w:sz="8" w:space="0" w:color="auto"/>
              <w:bottom w:val="single" w:sz="4" w:space="0" w:color="auto"/>
            </w:tcBorders>
            <w:vAlign w:val="center"/>
          </w:tcPr>
          <w:p>
            <w:pPr>
              <w:widowControl/>
              <w:autoSpaceDE w:val="0"/>
              <w:autoSpaceDN w:val="0"/>
              <w:jc w:val="center"/>
              <w:rPr>
                <w:rFonts w:ascii="宋体"/>
                <w:kern w:val="0"/>
                <w:sz w:val="18"/>
                <w:szCs w:val="20"/>
              </w:rPr>
            </w:pPr>
          </w:p>
        </w:tc>
        <w:tc>
          <w:tcPr>
            <w:tcW w:w="1884" w:type="dxa"/>
            <w:tcBorders>
              <w:top w:val="single" w:sz="4" w:space="0" w:color="auto"/>
              <w:bottom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全长直度</w:t>
            </w:r>
          </w:p>
        </w:tc>
        <w:tc>
          <w:tcPr>
            <w:tcW w:w="1418" w:type="dxa"/>
            <w:tcBorders>
              <w:top w:val="single" w:sz="4" w:space="0" w:color="auto"/>
              <w:bottom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每米直度</w:t>
            </w:r>
          </w:p>
        </w:tc>
        <w:tc>
          <w:tcPr>
            <w:tcW w:w="1701" w:type="dxa"/>
            <w:tcBorders>
              <w:top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全长直度</w:t>
            </w:r>
          </w:p>
        </w:tc>
        <w:tc>
          <w:tcPr>
            <w:tcW w:w="1423"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每米直度</w:t>
            </w:r>
          </w:p>
        </w:tc>
      </w:tr>
      <w:tr>
        <w:trPr>
          <w:trHeight w:val="340"/>
        </w:trPr>
        <w:tc>
          <w:tcPr>
            <w:tcW w:w="2794" w:type="dxa"/>
            <w:tcBorders>
              <w:top w:val="single" w:sz="4" w:space="0" w:color="auto"/>
              <w:left w:val="single" w:sz="8"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＜1000</w:t>
            </w:r>
          </w:p>
        </w:tc>
        <w:tc>
          <w:tcPr>
            <w:tcW w:w="1884"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≤1.5</w:t>
            </w:r>
          </w:p>
        </w:tc>
        <w:tc>
          <w:tcPr>
            <w:tcW w:w="1423"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w:t>
            </w:r>
          </w:p>
        </w:tc>
      </w:tr>
      <w:tr>
        <w:trPr>
          <w:trHeight w:val="340"/>
        </w:trPr>
        <w:tc>
          <w:tcPr>
            <w:tcW w:w="2794" w:type="dxa"/>
            <w:tcBorders>
              <w:top w:val="single" w:sz="4" w:space="0" w:color="auto"/>
              <w:left w:val="single" w:sz="8"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1000～2000</w:t>
            </w:r>
          </w:p>
        </w:tc>
        <w:tc>
          <w:tcPr>
            <w:tcW w:w="1884"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≤2</w:t>
            </w:r>
          </w:p>
        </w:tc>
        <w:tc>
          <w:tcPr>
            <w:tcW w:w="1423"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w:t>
            </w:r>
          </w:p>
        </w:tc>
      </w:tr>
      <w:tr>
        <w:trPr>
          <w:trHeight w:val="340"/>
        </w:trPr>
        <w:tc>
          <w:tcPr>
            <w:tcW w:w="2794" w:type="dxa"/>
            <w:tcBorders>
              <w:top w:val="single" w:sz="4" w:space="0" w:color="auto"/>
              <w:left w:val="single" w:sz="8" w:space="0" w:color="auto"/>
              <w:bottom w:val="single" w:sz="8"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2000～3000</w:t>
            </w:r>
          </w:p>
        </w:tc>
        <w:tc>
          <w:tcPr>
            <w:tcW w:w="1884"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≤6</w:t>
            </w:r>
          </w:p>
        </w:tc>
        <w:tc>
          <w:tcPr>
            <w:tcW w:w="1418"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≤3</w:t>
            </w:r>
          </w:p>
        </w:tc>
        <w:tc>
          <w:tcPr>
            <w:tcW w:w="1701"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≤4</w:t>
            </w:r>
          </w:p>
        </w:tc>
        <w:tc>
          <w:tcPr>
            <w:tcW w:w="1423" w:type="dxa"/>
            <w:tcBorders>
              <w:top w:val="single" w:sz="4" w:space="0" w:color="auto"/>
              <w:left w:val="single" w:sz="4" w:space="0" w:color="auto"/>
              <w:bottom w:val="single" w:sz="8"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≤3</w:t>
            </w:r>
          </w:p>
        </w:tc>
      </w:tr>
    </w:tbl>
    <w:p>
      <w:pPr>
        <w:widowControl/>
        <w:autoSpaceDE w:val="0"/>
        <w:autoSpaceDN w:val="0"/>
        <w:spacing w:beforeLines="50" w:before="156" w:afterLines="50" w:after="156" w:line="360" w:lineRule="exact"/>
        <w:rPr>
          <w:rFonts w:ascii="黑体" w:eastAsia="黑体" w:hAnsi="黑体"/>
          <w:kern w:val="0"/>
          <w:szCs w:val="20"/>
        </w:rPr>
      </w:pPr>
      <w:r>
        <w:rPr>
          <w:rFonts w:ascii="黑体" w:eastAsia="黑体" w:hAnsi="黑体" w:hint="eastAsia"/>
          <w:kern w:val="0"/>
          <w:szCs w:val="20"/>
        </w:rPr>
        <w:t>5.2.5 倒角</w:t>
      </w:r>
    </w:p>
    <w:p>
      <w:pPr>
        <w:widowControl/>
        <w:spacing w:line="360" w:lineRule="exact"/>
        <w:ind w:firstLineChars="200" w:firstLine="420"/>
        <w:jc w:val="left"/>
        <w:outlineLvl w:val="3"/>
        <w:rPr>
          <w:rFonts w:eastAsia="黑体"/>
          <w:kern w:val="0"/>
          <w:szCs w:val="20"/>
        </w:rPr>
      </w:pPr>
      <w:r>
        <w:rPr>
          <w:rFonts w:ascii="宋体" w:hAnsi="宋体" w:hint="eastAsia"/>
          <w:kern w:val="0"/>
          <w:szCs w:val="20"/>
        </w:rPr>
        <w:t>棒线材端部可倒角，具体要求由供需双方协商确定。</w:t>
      </w:r>
    </w:p>
    <w:p>
      <w:pPr>
        <w:pStyle w:val="aa"/>
        <w:spacing w:beforeLines="50" w:before="156" w:afterLines="50" w:after="156"/>
      </w:pPr>
      <w:r>
        <w:rPr>
          <w:rFonts w:hint="eastAsia"/>
        </w:rPr>
        <w:t>力学性能</w:t>
      </w:r>
    </w:p>
    <w:p>
      <w:pPr>
        <w:pStyle w:val="affe"/>
        <w:ind w:firstLine="420"/>
      </w:pPr>
      <w:r>
        <w:rPr>
          <w:rFonts w:hint="eastAsia"/>
        </w:rPr>
        <w:t>棒线材的室温力学性能应符合表5的规定。</w:t>
      </w:r>
    </w:p>
    <w:p>
      <w:pPr>
        <w:pStyle w:val="a6"/>
        <w:spacing w:beforeLines="50" w:before="156" w:afterLines="50" w:after="156"/>
        <w:ind w:left="0"/>
      </w:pPr>
      <w:r>
        <w:rPr>
          <w:rFonts w:hint="eastAsia"/>
        </w:rPr>
        <w:t>棒线材的力学性能</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078"/>
        <w:gridCol w:w="1575"/>
        <w:gridCol w:w="1821"/>
        <w:gridCol w:w="1823"/>
        <w:gridCol w:w="1683"/>
      </w:tblGrid>
      <w:tr>
        <w:trPr>
          <w:cantSplit/>
          <w:trHeight w:val="340"/>
          <w:jc w:val="center"/>
        </w:trPr>
        <w:tc>
          <w:tcPr>
            <w:tcW w:w="662" w:type="pct"/>
            <w:vMerge w:val="restart"/>
            <w:tcBorders>
              <w:top w:val="single" w:sz="8" w:space="0" w:color="auto"/>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牌号</w:t>
            </w:r>
          </w:p>
        </w:tc>
        <w:tc>
          <w:tcPr>
            <w:tcW w:w="586" w:type="pct"/>
            <w:vMerge w:val="restart"/>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状态</w:t>
            </w:r>
          </w:p>
        </w:tc>
        <w:tc>
          <w:tcPr>
            <w:tcW w:w="856" w:type="pct"/>
            <w:vMerge w:val="restart"/>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直径</w:t>
            </w:r>
          </w:p>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mm</w:t>
            </w:r>
          </w:p>
        </w:tc>
        <w:tc>
          <w:tcPr>
            <w:tcW w:w="1981" w:type="pct"/>
            <w:gridSpan w:val="2"/>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拉伸实验</w:t>
            </w:r>
          </w:p>
        </w:tc>
        <w:tc>
          <w:tcPr>
            <w:tcW w:w="915" w:type="pct"/>
            <w:tcBorders>
              <w:top w:val="single" w:sz="8" w:space="0" w:color="auto"/>
              <w:righ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硬度试验</w:t>
            </w:r>
          </w:p>
        </w:tc>
      </w:tr>
      <w:tr>
        <w:trPr>
          <w:cantSplit/>
          <w:trHeight w:val="340"/>
          <w:jc w:val="center"/>
        </w:trPr>
        <w:tc>
          <w:tcPr>
            <w:tcW w:w="662" w:type="pct"/>
            <w:vMerge/>
            <w:tcBorders>
              <w:top w:val="single" w:sz="8" w:space="0" w:color="auto"/>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856" w:type="pct"/>
            <w:vMerge/>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990" w:type="pct"/>
            <w:tcBorders>
              <w:top w:val="single" w:sz="4"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抗拉强度</w:t>
            </w:r>
            <w:proofErr w:type="spellStart"/>
            <w:r>
              <w:rPr>
                <w:rFonts w:asciiTheme="minorEastAsia" w:eastAsiaTheme="minorEastAsia" w:hAnsiTheme="minorEastAsia"/>
                <w:i/>
                <w:sz w:val="18"/>
                <w:szCs w:val="18"/>
              </w:rPr>
              <w:t>Rm</w:t>
            </w:r>
            <w:proofErr w:type="spellEnd"/>
          </w:p>
          <w:p>
            <w:pPr>
              <w:tabs>
                <w:tab w:val="center" w:pos="4201"/>
                <w:tab w:val="right" w:leader="dot" w:pos="9298"/>
              </w:tabs>
              <w:autoSpaceDE w:val="0"/>
              <w:autoSpaceDN w:val="0"/>
              <w:jc w:val="center"/>
              <w:rPr>
                <w:rFonts w:asciiTheme="minorEastAsia" w:eastAsiaTheme="minorEastAsia" w:hAnsiTheme="minorEastAsia"/>
                <w:i/>
                <w:sz w:val="18"/>
                <w:szCs w:val="18"/>
              </w:rPr>
            </w:pPr>
            <w:proofErr w:type="spellStart"/>
            <w:r>
              <w:rPr>
                <w:rFonts w:asciiTheme="minorEastAsia" w:eastAsiaTheme="minorEastAsia" w:hAnsiTheme="minorEastAsia" w:hint="eastAsia"/>
                <w:i/>
                <w:sz w:val="18"/>
                <w:szCs w:val="18"/>
              </w:rPr>
              <w:t>MPa</w:t>
            </w:r>
            <w:proofErr w:type="spellEnd"/>
          </w:p>
        </w:tc>
        <w:tc>
          <w:tcPr>
            <w:tcW w:w="991" w:type="pct"/>
            <w:tcBorders>
              <w:top w:val="single" w:sz="4"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断后伸长率</w:t>
            </w:r>
            <w:r>
              <w:rPr>
                <w:rFonts w:asciiTheme="minorEastAsia" w:eastAsiaTheme="minorEastAsia" w:hAnsiTheme="minorEastAsia" w:hint="eastAsia"/>
                <w:i/>
                <w:iCs/>
                <w:sz w:val="18"/>
                <w:szCs w:val="18"/>
              </w:rPr>
              <w:t>A</w:t>
            </w:r>
            <w:r>
              <w:rPr>
                <w:rFonts w:asciiTheme="minorEastAsia" w:eastAsiaTheme="minorEastAsia" w:hAnsiTheme="minorEastAsia" w:hint="eastAsia"/>
                <w:i/>
                <w:iCs/>
                <w:sz w:val="18"/>
                <w:szCs w:val="18"/>
                <w:vertAlign w:val="subscript"/>
              </w:rPr>
              <w:t>100</w:t>
            </w:r>
          </w:p>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15" w:type="pct"/>
            <w:vMerge w:val="restart"/>
            <w:tcBorders>
              <w:top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维氏硬度</w:t>
            </w:r>
          </w:p>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HV</w:t>
            </w:r>
          </w:p>
        </w:tc>
      </w:tr>
      <w:tr>
        <w:trPr>
          <w:cantSplit/>
          <w:trHeight w:val="340"/>
          <w:jc w:val="center"/>
        </w:trPr>
        <w:tc>
          <w:tcPr>
            <w:tcW w:w="662"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856" w:type="pct"/>
            <w:vMerge/>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1981" w:type="pct"/>
            <w:gridSpan w:val="2"/>
            <w:tcBorders>
              <w:top w:val="single" w:sz="4"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不小于</w:t>
            </w:r>
          </w:p>
        </w:tc>
        <w:tc>
          <w:tcPr>
            <w:tcW w:w="915" w:type="pct"/>
            <w:vMerge/>
            <w:tcBorders>
              <w:right w:val="single" w:sz="8" w:space="0" w:color="auto"/>
            </w:tcBorders>
            <w:vAlign w:val="center"/>
          </w:tcPr>
          <w:p>
            <w:pPr>
              <w:jc w:val="center"/>
              <w:rPr>
                <w:rFonts w:asciiTheme="minorEastAsia" w:eastAsiaTheme="minorEastAsia" w:hAnsiTheme="minorEastAsia"/>
                <w:sz w:val="18"/>
                <w:szCs w:val="18"/>
              </w:rPr>
            </w:pPr>
          </w:p>
        </w:tc>
      </w:tr>
      <w:tr>
        <w:trPr>
          <w:cantSplit/>
          <w:trHeight w:val="340"/>
          <w:jc w:val="center"/>
        </w:trPr>
        <w:tc>
          <w:tcPr>
            <w:tcW w:w="662" w:type="pct"/>
            <w:vMerge w:val="restart"/>
            <w:tcBorders>
              <w:top w:val="single" w:sz="4" w:space="0" w:color="auto"/>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CuFe</w:t>
            </w:r>
            <w:r>
              <w:rPr>
                <w:rFonts w:asciiTheme="minorEastAsia" w:eastAsiaTheme="minorEastAsia" w:hAnsiTheme="minorEastAsia" w:hint="eastAsia"/>
                <w:sz w:val="18"/>
                <w:szCs w:val="18"/>
              </w:rPr>
              <w:t>5</w:t>
            </w:r>
          </w:p>
        </w:tc>
        <w:tc>
          <w:tcPr>
            <w:tcW w:w="58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18"/>
              </w:rPr>
              <w:t>O</w:t>
            </w:r>
            <w:r>
              <w:rPr>
                <w:rFonts w:asciiTheme="minorEastAsia" w:eastAsiaTheme="minorEastAsia" w:hAnsiTheme="minorEastAsia" w:hint="eastAsia"/>
                <w:bCs/>
                <w:sz w:val="18"/>
                <w:szCs w:val="18"/>
              </w:rPr>
              <w:t>60</w:t>
            </w: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0.07～3.0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25.0</w:t>
            </w:r>
          </w:p>
        </w:tc>
        <w:tc>
          <w:tcPr>
            <w:tcW w:w="915"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≥80</w:t>
            </w:r>
          </w:p>
        </w:tc>
      </w:tr>
      <w:tr>
        <w:trPr>
          <w:cantSplit/>
          <w:trHeight w:val="340"/>
          <w:jc w:val="center"/>
        </w:trPr>
        <w:tc>
          <w:tcPr>
            <w:tcW w:w="662" w:type="pct"/>
            <w:vMerge/>
            <w:tcBorders>
              <w:top w:val="single" w:sz="4" w:space="0" w:color="auto"/>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2</w:t>
            </w: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0.07～3.0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15.0</w:t>
            </w:r>
          </w:p>
        </w:tc>
        <w:tc>
          <w:tcPr>
            <w:tcW w:w="915" w:type="pct"/>
            <w:vMerge w:val="restar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≥120</w:t>
            </w:r>
          </w:p>
        </w:tc>
      </w:tr>
      <w:tr>
        <w:trPr>
          <w:cantSplit/>
          <w:trHeight w:val="340"/>
          <w:jc w:val="center"/>
        </w:trPr>
        <w:tc>
          <w:tcPr>
            <w:tcW w:w="662" w:type="pct"/>
            <w:vMerge/>
            <w:tcBorders>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ign w:val="center"/>
          </w:tcPr>
          <w:p>
            <w:pPr>
              <w:jc w:val="center"/>
              <w:rPr>
                <w:rFonts w:asciiTheme="minorEastAsia" w:eastAsiaTheme="minorEastAsia" w:hAnsiTheme="minorEastAsia"/>
                <w:sz w:val="18"/>
                <w:szCs w:val="18"/>
              </w:rPr>
            </w:pP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＞3.0～8.0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915"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662" w:type="pct"/>
            <w:vMerge/>
            <w:tcBorders>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4</w:t>
            </w: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0.07～3.0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550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915" w:type="pct"/>
            <w:vMerge w:val="restar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≥130</w:t>
            </w:r>
          </w:p>
        </w:tc>
      </w:tr>
      <w:tr>
        <w:trPr>
          <w:cantSplit/>
          <w:trHeight w:val="340"/>
          <w:jc w:val="center"/>
        </w:trPr>
        <w:tc>
          <w:tcPr>
            <w:tcW w:w="662" w:type="pct"/>
            <w:vMerge/>
            <w:tcBorders>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ign w:val="center"/>
          </w:tcPr>
          <w:p>
            <w:pPr>
              <w:jc w:val="center"/>
              <w:rPr>
                <w:rFonts w:asciiTheme="minorEastAsia" w:eastAsiaTheme="minorEastAsia" w:hAnsiTheme="minorEastAsia"/>
                <w:sz w:val="18"/>
                <w:szCs w:val="18"/>
              </w:rPr>
            </w:pP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＞3.0～14.0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915"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662"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0.07～3.0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915"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≥165</w:t>
            </w:r>
          </w:p>
        </w:tc>
      </w:tr>
      <w:tr>
        <w:trPr>
          <w:cantSplit/>
          <w:trHeight w:val="340"/>
          <w:jc w:val="center"/>
        </w:trPr>
        <w:tc>
          <w:tcPr>
            <w:tcW w:w="662" w:type="pct"/>
            <w:vMerge w:val="restart"/>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CuFe10</w:t>
            </w:r>
          </w:p>
        </w:tc>
        <w:tc>
          <w:tcPr>
            <w:tcW w:w="58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18"/>
              </w:rPr>
              <w:t>O</w:t>
            </w:r>
            <w:r>
              <w:rPr>
                <w:rFonts w:asciiTheme="minorEastAsia" w:eastAsiaTheme="minorEastAsia" w:hAnsiTheme="minorEastAsia" w:hint="eastAsia"/>
                <w:bCs/>
                <w:sz w:val="18"/>
                <w:szCs w:val="18"/>
              </w:rPr>
              <w:t>60</w:t>
            </w: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0.07～3.0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w:t>
            </w:r>
          </w:p>
        </w:tc>
        <w:tc>
          <w:tcPr>
            <w:tcW w:w="915"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≥90</w:t>
            </w:r>
          </w:p>
        </w:tc>
      </w:tr>
      <w:tr>
        <w:trPr>
          <w:cantSplit/>
          <w:trHeight w:val="340"/>
          <w:jc w:val="center"/>
        </w:trPr>
        <w:tc>
          <w:tcPr>
            <w:tcW w:w="662"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2</w:t>
            </w: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0.07～3.0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915" w:type="pct"/>
            <w:vMerge w:val="restar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≥130</w:t>
            </w:r>
          </w:p>
        </w:tc>
      </w:tr>
      <w:tr>
        <w:trPr>
          <w:cantSplit/>
          <w:trHeight w:val="340"/>
          <w:jc w:val="center"/>
        </w:trPr>
        <w:tc>
          <w:tcPr>
            <w:tcW w:w="662"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ign w:val="center"/>
          </w:tcPr>
          <w:p>
            <w:pPr>
              <w:jc w:val="center"/>
              <w:rPr>
                <w:rFonts w:asciiTheme="minorEastAsia" w:eastAsiaTheme="minorEastAsia" w:hAnsiTheme="minorEastAsia"/>
                <w:sz w:val="18"/>
                <w:szCs w:val="18"/>
              </w:rPr>
            </w:pP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＞3.0～14.0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15.0</w:t>
            </w:r>
          </w:p>
        </w:tc>
        <w:tc>
          <w:tcPr>
            <w:tcW w:w="915"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662"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4</w:t>
            </w: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0.07～3.0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915" w:type="pct"/>
            <w:vMerge w:val="restar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≥150</w:t>
            </w:r>
          </w:p>
        </w:tc>
      </w:tr>
      <w:tr>
        <w:trPr>
          <w:cantSplit/>
          <w:trHeight w:val="340"/>
          <w:jc w:val="center"/>
        </w:trPr>
        <w:tc>
          <w:tcPr>
            <w:tcW w:w="662"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Merge/>
            <w:vAlign w:val="center"/>
          </w:tcPr>
          <w:p>
            <w:pPr>
              <w:jc w:val="center"/>
              <w:rPr>
                <w:rFonts w:asciiTheme="minorEastAsia" w:eastAsiaTheme="minorEastAsia" w:hAnsiTheme="minorEastAsia"/>
                <w:sz w:val="18"/>
                <w:szCs w:val="18"/>
              </w:rPr>
            </w:pP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＞3.0～14.0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915"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662"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85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0.07～3.0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915"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≥165</w:t>
            </w:r>
          </w:p>
        </w:tc>
      </w:tr>
      <w:tr>
        <w:trPr>
          <w:cantSplit/>
          <w:trHeight w:val="340"/>
          <w:jc w:val="center"/>
        </w:trPr>
        <w:tc>
          <w:tcPr>
            <w:tcW w:w="662" w:type="pct"/>
            <w:vMerge w:val="restart"/>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CuFe</w:t>
            </w:r>
            <w:r>
              <w:rPr>
                <w:rFonts w:asciiTheme="minorEastAsia" w:eastAsiaTheme="minorEastAsia" w:hAnsiTheme="minorEastAsia" w:hint="eastAsia"/>
                <w:sz w:val="18"/>
                <w:szCs w:val="18"/>
              </w:rPr>
              <w:t>20</w:t>
            </w:r>
          </w:p>
        </w:tc>
        <w:tc>
          <w:tcPr>
            <w:tcW w:w="58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18"/>
              </w:rPr>
              <w:t>O</w:t>
            </w:r>
            <w:r>
              <w:rPr>
                <w:rFonts w:asciiTheme="minorEastAsia" w:eastAsiaTheme="minorEastAsia" w:hAnsiTheme="minorEastAsia" w:hint="eastAsia"/>
                <w:bCs/>
                <w:sz w:val="18"/>
                <w:szCs w:val="18"/>
              </w:rPr>
              <w:t>60</w:t>
            </w:r>
          </w:p>
        </w:tc>
        <w:tc>
          <w:tcPr>
            <w:tcW w:w="856" w:type="pct"/>
            <w:vMerge w:val="restar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5</w:t>
            </w:r>
            <w:r>
              <w:rPr>
                <w:rFonts w:asciiTheme="minorEastAsia" w:eastAsiaTheme="minorEastAsia" w:hAnsiTheme="minorEastAsia" w:hint="eastAsia"/>
                <w:sz w:val="18"/>
                <w:szCs w:val="18"/>
              </w:rPr>
              <w:t>～3.0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915"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≥100</w:t>
            </w:r>
          </w:p>
        </w:tc>
      </w:tr>
      <w:tr>
        <w:trPr>
          <w:cantSplit/>
          <w:trHeight w:val="340"/>
          <w:jc w:val="center"/>
        </w:trPr>
        <w:tc>
          <w:tcPr>
            <w:tcW w:w="662" w:type="pct"/>
            <w:vMerge/>
            <w:tcBorders>
              <w:left w:val="single" w:sz="8" w:space="0" w:color="auto"/>
            </w:tcBorders>
            <w:vAlign w:val="center"/>
          </w:tcPr>
          <w:p>
            <w:pPr>
              <w:widowControl/>
              <w:tabs>
                <w:tab w:val="center" w:pos="4201"/>
                <w:tab w:val="right" w:leader="dot" w:pos="9298"/>
              </w:tabs>
              <w:autoSpaceDE w:val="0"/>
              <w:autoSpaceDN w:val="0"/>
              <w:rPr>
                <w:rFonts w:asciiTheme="minorEastAsia" w:eastAsiaTheme="minorEastAsia" w:hAnsiTheme="minorEastAsia"/>
                <w:sz w:val="18"/>
                <w:szCs w:val="18"/>
              </w:rPr>
            </w:pPr>
          </w:p>
        </w:tc>
        <w:tc>
          <w:tcPr>
            <w:tcW w:w="58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856" w:type="pct"/>
            <w:vMerge/>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550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915"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≥170</w:t>
            </w:r>
          </w:p>
        </w:tc>
      </w:tr>
      <w:tr>
        <w:trPr>
          <w:cantSplit/>
          <w:trHeight w:val="340"/>
          <w:jc w:val="center"/>
        </w:trPr>
        <w:tc>
          <w:tcPr>
            <w:tcW w:w="662" w:type="pct"/>
            <w:vMerge w:val="restart"/>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CuFe</w:t>
            </w:r>
            <w:r>
              <w:rPr>
                <w:rFonts w:asciiTheme="minorEastAsia" w:eastAsiaTheme="minorEastAsia" w:hAnsiTheme="minorEastAsia" w:hint="eastAsia"/>
                <w:sz w:val="18"/>
                <w:szCs w:val="18"/>
              </w:rPr>
              <w:t>40</w:t>
            </w:r>
          </w:p>
        </w:tc>
        <w:tc>
          <w:tcPr>
            <w:tcW w:w="586"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18"/>
              </w:rPr>
              <w:t>O</w:t>
            </w:r>
            <w:r>
              <w:rPr>
                <w:rFonts w:asciiTheme="minorEastAsia" w:eastAsiaTheme="minorEastAsia" w:hAnsiTheme="minorEastAsia" w:hint="eastAsia"/>
                <w:bCs/>
                <w:sz w:val="18"/>
                <w:szCs w:val="18"/>
              </w:rPr>
              <w:t>60</w:t>
            </w:r>
          </w:p>
        </w:tc>
        <w:tc>
          <w:tcPr>
            <w:tcW w:w="856" w:type="pct"/>
            <w:vMerge w:val="restar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3.0</w:t>
            </w:r>
          </w:p>
        </w:tc>
        <w:tc>
          <w:tcPr>
            <w:tcW w:w="99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520</w:t>
            </w:r>
          </w:p>
        </w:tc>
        <w:tc>
          <w:tcPr>
            <w:tcW w:w="991"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w:t>
            </w:r>
          </w:p>
        </w:tc>
        <w:tc>
          <w:tcPr>
            <w:tcW w:w="915"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≥140</w:t>
            </w:r>
          </w:p>
        </w:tc>
      </w:tr>
      <w:tr>
        <w:trPr>
          <w:cantSplit/>
          <w:trHeight w:val="340"/>
          <w:jc w:val="center"/>
        </w:trPr>
        <w:tc>
          <w:tcPr>
            <w:tcW w:w="662" w:type="pct"/>
            <w:vMerge/>
            <w:tcBorders>
              <w:left w:val="single" w:sz="8" w:space="0" w:color="auto"/>
              <w:bottom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586" w:type="pct"/>
            <w:tcBorders>
              <w:bottom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856" w:type="pct"/>
            <w:vMerge/>
            <w:tcBorders>
              <w:bottom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990" w:type="pct"/>
            <w:tcBorders>
              <w:bottom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610</w:t>
            </w:r>
          </w:p>
        </w:tc>
        <w:tc>
          <w:tcPr>
            <w:tcW w:w="991" w:type="pct"/>
            <w:tcBorders>
              <w:bottom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915" w:type="pct"/>
            <w:tcBorders>
              <w:bottom w:val="single" w:sz="8" w:space="0" w:color="auto"/>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≥170</w:t>
            </w:r>
          </w:p>
        </w:tc>
      </w:tr>
    </w:tbl>
    <w:p>
      <w:pPr>
        <w:pStyle w:val="aa"/>
        <w:numPr>
          <w:ilvl w:val="0"/>
          <w:numId w:val="0"/>
        </w:numPr>
        <w:spacing w:beforeLines="50" w:before="156" w:afterLines="50" w:after="156"/>
      </w:pPr>
    </w:p>
    <w:p>
      <w:pPr>
        <w:pStyle w:val="aa"/>
        <w:spacing w:beforeLines="50" w:before="156" w:afterLines="50" w:after="156"/>
      </w:pPr>
      <w:r>
        <w:rPr>
          <w:rFonts w:hint="eastAsia"/>
        </w:rPr>
        <w:t>电性能</w:t>
      </w:r>
    </w:p>
    <w:p>
      <w:pPr>
        <w:pStyle w:val="affe"/>
        <w:ind w:firstLine="420"/>
      </w:pPr>
      <w:r>
        <w:rPr>
          <w:rFonts w:hint="eastAsia"/>
        </w:rPr>
        <w:t>棒线材的电性能应符合表6的规定。</w:t>
      </w:r>
    </w:p>
    <w:p>
      <w:pPr>
        <w:pStyle w:val="a6"/>
        <w:spacing w:beforeLines="50" w:before="156" w:afterLines="50" w:after="156"/>
        <w:ind w:left="0"/>
      </w:pPr>
      <w:r>
        <w:rPr>
          <w:rFonts w:hint="eastAsia"/>
        </w:rPr>
        <w:lastRenderedPageBreak/>
        <w:t xml:space="preserve"> 电性能</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2870"/>
        <w:gridCol w:w="2870"/>
      </w:tblGrid>
      <w:tr>
        <w:trPr>
          <w:trHeight w:val="340"/>
          <w:jc w:val="center"/>
        </w:trPr>
        <w:tc>
          <w:tcPr>
            <w:tcW w:w="3273" w:type="dxa"/>
            <w:tcBorders>
              <w:top w:val="single" w:sz="8" w:space="0" w:color="auto"/>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r>
              <w:rPr>
                <w:rFonts w:asciiTheme="minorEastAsia" w:eastAsiaTheme="minorEastAsia" w:hAnsiTheme="minorEastAsia" w:hint="eastAsia"/>
                <w:sz w:val="18"/>
                <w:szCs w:val="18"/>
                <w:lang w:eastAsia="ko-KR"/>
              </w:rPr>
              <w:t>牌号</w:t>
            </w:r>
          </w:p>
        </w:tc>
        <w:tc>
          <w:tcPr>
            <w:tcW w:w="2870" w:type="dxa"/>
            <w:tcBorders>
              <w:top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cs="宋体"/>
                <w:sz w:val="18"/>
                <w:szCs w:val="18"/>
                <w:lang w:eastAsia="ko-KR"/>
              </w:rPr>
            </w:pPr>
            <w:r>
              <w:rPr>
                <w:rFonts w:asciiTheme="minorEastAsia" w:eastAsiaTheme="minorEastAsia" w:hAnsiTheme="minorEastAsia" w:cs="宋体" w:hint="eastAsia"/>
                <w:sz w:val="18"/>
                <w:szCs w:val="18"/>
                <w:lang w:eastAsia="ko-KR"/>
              </w:rPr>
              <w:t>状态</w:t>
            </w:r>
          </w:p>
        </w:tc>
        <w:tc>
          <w:tcPr>
            <w:tcW w:w="2870" w:type="dxa"/>
            <w:tcBorders>
              <w:top w:val="single" w:sz="8" w:space="0" w:color="auto"/>
              <w:right w:val="single" w:sz="8" w:space="0" w:color="auto"/>
            </w:tcBorders>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lang w:eastAsia="ko-KR"/>
              </w:rPr>
              <w:t>导电率</w:t>
            </w:r>
          </w:p>
          <w:p>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lang w:eastAsia="ko-KR"/>
              </w:rPr>
              <w:t>%IACS</w:t>
            </w:r>
            <w:r>
              <w:rPr>
                <w:rFonts w:asciiTheme="minorEastAsia" w:eastAsiaTheme="minorEastAsia" w:hAnsiTheme="minorEastAsia" w:cs="宋体" w:hint="eastAsia"/>
                <w:sz w:val="18"/>
                <w:szCs w:val="18"/>
              </w:rPr>
              <w:t>，不小于</w:t>
            </w:r>
          </w:p>
        </w:tc>
      </w:tr>
      <w:tr>
        <w:trPr>
          <w:trHeight w:val="340"/>
          <w:jc w:val="center"/>
        </w:trPr>
        <w:tc>
          <w:tcPr>
            <w:tcW w:w="327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lang w:eastAsia="ko-KR"/>
              </w:rPr>
              <w:t>CuFe</w:t>
            </w:r>
            <w:r>
              <w:rPr>
                <w:rFonts w:asciiTheme="minorEastAsia" w:eastAsiaTheme="minorEastAsia" w:hAnsiTheme="minorEastAsia" w:hint="eastAsia"/>
                <w:sz w:val="18"/>
                <w:szCs w:val="18"/>
              </w:rPr>
              <w:t>5</w:t>
            </w:r>
          </w:p>
        </w:tc>
        <w:tc>
          <w:tcPr>
            <w:tcW w:w="2870"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20"/>
              </w:rPr>
              <w:t>O</w:t>
            </w:r>
            <w:r>
              <w:rPr>
                <w:rFonts w:asciiTheme="minorEastAsia" w:eastAsiaTheme="minorEastAsia" w:hAnsiTheme="minorEastAsia" w:hint="eastAsia"/>
                <w:bCs/>
                <w:sz w:val="18"/>
                <w:szCs w:val="20"/>
              </w:rPr>
              <w:t>60</w:t>
            </w:r>
          </w:p>
        </w:tc>
        <w:tc>
          <w:tcPr>
            <w:tcW w:w="2870" w:type="dxa"/>
            <w:tcBorders>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65</w:t>
            </w:r>
          </w:p>
        </w:tc>
      </w:tr>
      <w:tr>
        <w:trPr>
          <w:trHeight w:val="340"/>
          <w:jc w:val="center"/>
        </w:trPr>
        <w:tc>
          <w:tcPr>
            <w:tcW w:w="327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870" w:type="dxa"/>
            <w:shd w:val="clear" w:color="auto" w:fill="auto"/>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2</w:t>
            </w:r>
          </w:p>
        </w:tc>
        <w:tc>
          <w:tcPr>
            <w:tcW w:w="2870" w:type="dxa"/>
            <w:tcBorders>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60</w:t>
            </w:r>
          </w:p>
        </w:tc>
      </w:tr>
      <w:tr>
        <w:trPr>
          <w:trHeight w:val="340"/>
          <w:jc w:val="center"/>
        </w:trPr>
        <w:tc>
          <w:tcPr>
            <w:tcW w:w="327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870" w:type="dxa"/>
            <w:shd w:val="clear" w:color="auto" w:fill="auto"/>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4</w:t>
            </w:r>
          </w:p>
        </w:tc>
        <w:tc>
          <w:tcPr>
            <w:tcW w:w="2870" w:type="dxa"/>
            <w:tcBorders>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55</w:t>
            </w:r>
          </w:p>
        </w:tc>
      </w:tr>
      <w:tr>
        <w:trPr>
          <w:trHeight w:val="340"/>
          <w:jc w:val="center"/>
        </w:trPr>
        <w:tc>
          <w:tcPr>
            <w:tcW w:w="327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870"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2870" w:type="dxa"/>
            <w:tcBorders>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50</w:t>
            </w:r>
          </w:p>
        </w:tc>
      </w:tr>
      <w:tr>
        <w:trPr>
          <w:trHeight w:val="340"/>
          <w:jc w:val="center"/>
        </w:trPr>
        <w:tc>
          <w:tcPr>
            <w:tcW w:w="327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lang w:eastAsia="ko-KR"/>
              </w:rPr>
              <w:t>CuFe</w:t>
            </w:r>
            <w:r>
              <w:rPr>
                <w:rFonts w:asciiTheme="minorEastAsia" w:eastAsiaTheme="minorEastAsia" w:hAnsiTheme="minorEastAsia" w:hint="eastAsia"/>
                <w:sz w:val="18"/>
                <w:szCs w:val="18"/>
              </w:rPr>
              <w:t>10</w:t>
            </w:r>
          </w:p>
        </w:tc>
        <w:tc>
          <w:tcPr>
            <w:tcW w:w="2870" w:type="dxa"/>
            <w:tcBorders>
              <w:bottom w:val="single" w:sz="4" w:space="0" w:color="auto"/>
            </w:tcBorders>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20"/>
              </w:rPr>
              <w:t>O</w:t>
            </w:r>
            <w:r>
              <w:rPr>
                <w:rFonts w:asciiTheme="minorEastAsia" w:eastAsiaTheme="minorEastAsia" w:hAnsiTheme="minorEastAsia" w:hint="eastAsia"/>
                <w:bCs/>
                <w:sz w:val="18"/>
                <w:szCs w:val="20"/>
              </w:rPr>
              <w:t>60</w:t>
            </w:r>
          </w:p>
        </w:tc>
        <w:tc>
          <w:tcPr>
            <w:tcW w:w="2870" w:type="dxa"/>
            <w:tcBorders>
              <w:bottom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60</w:t>
            </w:r>
          </w:p>
        </w:tc>
      </w:tr>
      <w:tr>
        <w:trPr>
          <w:trHeight w:val="340"/>
          <w:jc w:val="center"/>
        </w:trPr>
        <w:tc>
          <w:tcPr>
            <w:tcW w:w="327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870" w:type="dxa"/>
            <w:tcBorders>
              <w:bottom w:val="single" w:sz="4" w:space="0" w:color="auto"/>
            </w:tcBorders>
            <w:shd w:val="clear" w:color="auto" w:fill="auto"/>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2</w:t>
            </w:r>
          </w:p>
        </w:tc>
        <w:tc>
          <w:tcPr>
            <w:tcW w:w="2870" w:type="dxa"/>
            <w:tcBorders>
              <w:bottom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55</w:t>
            </w:r>
          </w:p>
        </w:tc>
      </w:tr>
      <w:tr>
        <w:trPr>
          <w:trHeight w:val="340"/>
          <w:jc w:val="center"/>
        </w:trPr>
        <w:tc>
          <w:tcPr>
            <w:tcW w:w="327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870" w:type="dxa"/>
            <w:tcBorders>
              <w:bottom w:val="single" w:sz="4" w:space="0" w:color="auto"/>
            </w:tcBorders>
            <w:shd w:val="clear" w:color="auto" w:fill="auto"/>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4</w:t>
            </w:r>
          </w:p>
        </w:tc>
        <w:tc>
          <w:tcPr>
            <w:tcW w:w="2870" w:type="dxa"/>
            <w:tcBorders>
              <w:bottom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52</w:t>
            </w:r>
          </w:p>
        </w:tc>
      </w:tr>
      <w:tr>
        <w:trPr>
          <w:trHeight w:val="340"/>
          <w:jc w:val="center"/>
        </w:trPr>
        <w:tc>
          <w:tcPr>
            <w:tcW w:w="327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870"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2870" w:type="dxa"/>
            <w:tcBorders>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48</w:t>
            </w:r>
          </w:p>
        </w:tc>
      </w:tr>
      <w:tr>
        <w:trPr>
          <w:trHeight w:val="340"/>
          <w:jc w:val="center"/>
        </w:trPr>
        <w:tc>
          <w:tcPr>
            <w:tcW w:w="327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lang w:eastAsia="ko-KR"/>
              </w:rPr>
              <w:t>CuFe</w:t>
            </w:r>
            <w:r>
              <w:rPr>
                <w:rFonts w:asciiTheme="minorEastAsia" w:eastAsiaTheme="minorEastAsia" w:hAnsiTheme="minorEastAsia" w:hint="eastAsia"/>
                <w:sz w:val="18"/>
                <w:szCs w:val="18"/>
              </w:rPr>
              <w:t>20</w:t>
            </w:r>
          </w:p>
        </w:tc>
        <w:tc>
          <w:tcPr>
            <w:tcW w:w="2870"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20"/>
              </w:rPr>
              <w:t>O</w:t>
            </w:r>
            <w:r>
              <w:rPr>
                <w:rFonts w:asciiTheme="minorEastAsia" w:eastAsiaTheme="minorEastAsia" w:hAnsiTheme="minorEastAsia" w:hint="eastAsia"/>
                <w:bCs/>
                <w:sz w:val="18"/>
                <w:szCs w:val="20"/>
              </w:rPr>
              <w:t>60</w:t>
            </w:r>
          </w:p>
        </w:tc>
        <w:tc>
          <w:tcPr>
            <w:tcW w:w="2870" w:type="dxa"/>
            <w:tcBorders>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52</w:t>
            </w:r>
          </w:p>
        </w:tc>
      </w:tr>
      <w:tr>
        <w:trPr>
          <w:trHeight w:val="340"/>
          <w:jc w:val="center"/>
        </w:trPr>
        <w:tc>
          <w:tcPr>
            <w:tcW w:w="327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870"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2870" w:type="dxa"/>
            <w:tcBorders>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40</w:t>
            </w:r>
          </w:p>
        </w:tc>
      </w:tr>
      <w:tr>
        <w:trPr>
          <w:trHeight w:val="340"/>
          <w:jc w:val="center"/>
        </w:trPr>
        <w:tc>
          <w:tcPr>
            <w:tcW w:w="327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lang w:eastAsia="ko-KR"/>
              </w:rPr>
              <w:t>CuFe</w:t>
            </w:r>
            <w:r>
              <w:rPr>
                <w:rFonts w:asciiTheme="minorEastAsia" w:eastAsiaTheme="minorEastAsia" w:hAnsiTheme="minorEastAsia" w:hint="eastAsia"/>
                <w:sz w:val="18"/>
                <w:szCs w:val="18"/>
              </w:rPr>
              <w:t>40</w:t>
            </w:r>
          </w:p>
        </w:tc>
        <w:tc>
          <w:tcPr>
            <w:tcW w:w="2870"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20"/>
              </w:rPr>
              <w:t>O</w:t>
            </w:r>
            <w:r>
              <w:rPr>
                <w:rFonts w:asciiTheme="minorEastAsia" w:eastAsiaTheme="minorEastAsia" w:hAnsiTheme="minorEastAsia" w:hint="eastAsia"/>
                <w:bCs/>
                <w:sz w:val="18"/>
                <w:szCs w:val="20"/>
              </w:rPr>
              <w:t>60</w:t>
            </w:r>
          </w:p>
        </w:tc>
        <w:tc>
          <w:tcPr>
            <w:tcW w:w="2870" w:type="dxa"/>
            <w:tcBorders>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28</w:t>
            </w:r>
          </w:p>
        </w:tc>
      </w:tr>
      <w:tr>
        <w:trPr>
          <w:trHeight w:val="340"/>
          <w:jc w:val="center"/>
        </w:trPr>
        <w:tc>
          <w:tcPr>
            <w:tcW w:w="3273" w:type="dxa"/>
            <w:vMerge/>
            <w:tcBorders>
              <w:left w:val="single" w:sz="8" w:space="0" w:color="auto"/>
              <w:bottom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color w:val="FF0000"/>
                <w:sz w:val="18"/>
                <w:szCs w:val="18"/>
                <w:lang w:eastAsia="ko-KR"/>
              </w:rPr>
            </w:pPr>
          </w:p>
        </w:tc>
        <w:tc>
          <w:tcPr>
            <w:tcW w:w="2870" w:type="dxa"/>
            <w:tcBorders>
              <w:bottom w:val="single" w:sz="8" w:space="0" w:color="auto"/>
            </w:tcBorders>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2870" w:type="dxa"/>
            <w:tcBorders>
              <w:bottom w:val="single" w:sz="8"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20</w:t>
            </w:r>
          </w:p>
        </w:tc>
      </w:tr>
    </w:tbl>
    <w:p>
      <w:pPr>
        <w:pStyle w:val="aa"/>
        <w:numPr>
          <w:ilvl w:val="0"/>
          <w:numId w:val="0"/>
        </w:numPr>
        <w:spacing w:beforeLines="50" w:before="156" w:afterLines="50" w:after="156"/>
      </w:pPr>
    </w:p>
    <w:p>
      <w:pPr>
        <w:pStyle w:val="aa"/>
        <w:spacing w:beforeLines="50" w:before="156" w:afterLines="50" w:after="156"/>
      </w:pPr>
      <w:r>
        <w:rPr>
          <w:rFonts w:hint="eastAsia"/>
        </w:rPr>
        <w:t>电磁性能</w:t>
      </w:r>
    </w:p>
    <w:p>
      <w:pPr>
        <w:pStyle w:val="affe"/>
        <w:ind w:firstLine="420"/>
      </w:pPr>
      <w:r>
        <w:rPr>
          <w:rFonts w:hint="eastAsia"/>
        </w:rPr>
        <w:t>棒线材的电磁屏蔽性应符合表7的规定。</w:t>
      </w:r>
    </w:p>
    <w:p>
      <w:pPr>
        <w:pStyle w:val="a6"/>
        <w:spacing w:beforeLines="50" w:before="156" w:afterLines="50" w:after="156"/>
        <w:ind w:left="0"/>
      </w:pPr>
      <w:r>
        <w:rPr>
          <w:rFonts w:hint="eastAsia"/>
        </w:rPr>
        <w:t>电磁屏蔽性</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54"/>
        <w:gridCol w:w="3054"/>
      </w:tblGrid>
      <w:tr>
        <w:trPr>
          <w:trHeight w:val="394"/>
          <w:jc w:val="center"/>
        </w:trPr>
        <w:tc>
          <w:tcPr>
            <w:tcW w:w="3053" w:type="dxa"/>
            <w:vMerge w:val="restart"/>
            <w:tcBorders>
              <w:top w:val="single" w:sz="8" w:space="0" w:color="auto"/>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Malgun Gothic"/>
                <w:sz w:val="18"/>
                <w:szCs w:val="18"/>
                <w:lang w:eastAsia="ko-KR"/>
              </w:rPr>
            </w:pPr>
            <w:r>
              <w:rPr>
                <w:rFonts w:ascii="宋体" w:hAnsi="Malgun Gothic" w:hint="eastAsia"/>
                <w:sz w:val="18"/>
                <w:szCs w:val="18"/>
                <w:lang w:eastAsia="ko-KR"/>
              </w:rPr>
              <w:t>牌号</w:t>
            </w:r>
          </w:p>
        </w:tc>
        <w:tc>
          <w:tcPr>
            <w:tcW w:w="3054" w:type="dxa"/>
            <w:vMerge w:val="restart"/>
            <w:tcBorders>
              <w:top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f（频率）</w:t>
            </w:r>
          </w:p>
        </w:tc>
        <w:tc>
          <w:tcPr>
            <w:tcW w:w="3054" w:type="dxa"/>
            <w:tcBorders>
              <w:top w:val="single" w:sz="8" w:space="0" w:color="auto"/>
              <w:right w:val="single" w:sz="8" w:space="0" w:color="auto"/>
            </w:tcBorders>
            <w:shd w:val="clear" w:color="auto" w:fill="auto"/>
            <w:vAlign w:val="center"/>
          </w:tcPr>
          <w:p>
            <w:pPr>
              <w:tabs>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磁场屏蔽效能</w:t>
            </w:r>
          </w:p>
          <w:p>
            <w:pPr>
              <w:tabs>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dB</w:t>
            </w:r>
          </w:p>
        </w:tc>
      </w:tr>
      <w:tr>
        <w:trPr>
          <w:trHeight w:val="394"/>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Malgun Gothic"/>
                <w:sz w:val="18"/>
                <w:szCs w:val="18"/>
                <w:lang w:eastAsia="ko-KR"/>
              </w:rPr>
            </w:pPr>
          </w:p>
        </w:tc>
        <w:tc>
          <w:tcPr>
            <w:tcW w:w="3054" w:type="dxa"/>
            <w:vMerge/>
            <w:shd w:val="clear" w:color="auto" w:fill="auto"/>
            <w:vAlign w:val="center"/>
          </w:tcPr>
          <w:p>
            <w:pPr>
              <w:widowControl/>
              <w:tabs>
                <w:tab w:val="center" w:pos="4201"/>
                <w:tab w:val="right" w:leader="dot" w:pos="9298"/>
              </w:tabs>
              <w:autoSpaceDE w:val="0"/>
              <w:autoSpaceDN w:val="0"/>
              <w:jc w:val="center"/>
              <w:rPr>
                <w:rFonts w:ascii="宋体" w:hAnsi="宋体" w:cs="宋体"/>
                <w:sz w:val="18"/>
                <w:szCs w:val="18"/>
              </w:rPr>
            </w:pPr>
          </w:p>
        </w:tc>
        <w:tc>
          <w:tcPr>
            <w:tcW w:w="3054" w:type="dxa"/>
            <w:tcBorders>
              <w:top w:val="single" w:sz="4" w:space="0" w:color="auto"/>
              <w:right w:val="single" w:sz="8" w:space="0" w:color="auto"/>
            </w:tcBorders>
            <w:shd w:val="clear" w:color="auto" w:fill="auto"/>
            <w:vAlign w:val="center"/>
          </w:tcPr>
          <w:p>
            <w:pPr>
              <w:tabs>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不小于</w:t>
            </w:r>
          </w:p>
        </w:tc>
      </w:tr>
      <w:tr>
        <w:trPr>
          <w:trHeight w:val="394"/>
          <w:jc w:val="center"/>
        </w:trPr>
        <w:tc>
          <w:tcPr>
            <w:tcW w:w="305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Malgun Gothic"/>
                <w:sz w:val="18"/>
                <w:szCs w:val="18"/>
              </w:rPr>
            </w:pPr>
            <w:r>
              <w:rPr>
                <w:rFonts w:ascii="宋体" w:eastAsia="Malgun Gothic" w:hAnsi="Malgun Gothic"/>
                <w:sz w:val="18"/>
                <w:szCs w:val="18"/>
                <w:lang w:eastAsia="ko-KR"/>
              </w:rPr>
              <w:t>CuFe</w:t>
            </w:r>
            <w:r>
              <w:rPr>
                <w:rFonts w:ascii="宋体" w:hAnsi="Malgun Gothic" w:hint="eastAsia"/>
                <w:sz w:val="18"/>
                <w:szCs w:val="18"/>
              </w:rPr>
              <w:t>5</w:t>
            </w: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14KHz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49.5</w:t>
            </w:r>
          </w:p>
        </w:tc>
      </w:tr>
      <w:tr>
        <w:trPr>
          <w:trHeight w:val="394"/>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450MHz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140.5</w:t>
            </w:r>
          </w:p>
        </w:tc>
      </w:tr>
      <w:tr>
        <w:trPr>
          <w:trHeight w:val="394"/>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3GHz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113.0</w:t>
            </w:r>
          </w:p>
        </w:tc>
      </w:tr>
      <w:tr>
        <w:trPr>
          <w:trHeight w:val="394"/>
          <w:jc w:val="center"/>
        </w:trPr>
        <w:tc>
          <w:tcPr>
            <w:tcW w:w="305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Malgun Gothic"/>
                <w:sz w:val="18"/>
                <w:szCs w:val="18"/>
              </w:rPr>
            </w:pPr>
            <w:r>
              <w:rPr>
                <w:rFonts w:ascii="宋体" w:eastAsia="Malgun Gothic" w:hAnsi="Malgun Gothic"/>
                <w:sz w:val="18"/>
                <w:szCs w:val="18"/>
                <w:lang w:eastAsia="ko-KR"/>
              </w:rPr>
              <w:t>CuFe</w:t>
            </w:r>
            <w:r>
              <w:rPr>
                <w:rFonts w:ascii="宋体" w:hAnsi="Malgun Gothic" w:hint="eastAsia"/>
                <w:sz w:val="18"/>
                <w:szCs w:val="18"/>
              </w:rPr>
              <w:t>10</w:t>
            </w:r>
          </w:p>
        </w:tc>
        <w:tc>
          <w:tcPr>
            <w:tcW w:w="3054" w:type="dxa"/>
            <w:tcBorders>
              <w:bottom w:val="single" w:sz="4" w:space="0" w:color="auto"/>
            </w:tcBorders>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14KHz</w:t>
            </w:r>
          </w:p>
        </w:tc>
        <w:tc>
          <w:tcPr>
            <w:tcW w:w="3054" w:type="dxa"/>
            <w:tcBorders>
              <w:bottom w:val="single" w:sz="4" w:space="0" w:color="auto"/>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103.0</w:t>
            </w:r>
          </w:p>
        </w:tc>
      </w:tr>
      <w:tr>
        <w:trPr>
          <w:trHeight w:val="394"/>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300MHz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106.0</w:t>
            </w:r>
          </w:p>
        </w:tc>
      </w:tr>
      <w:tr>
        <w:trPr>
          <w:trHeight w:val="394"/>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3GHz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105.0</w:t>
            </w:r>
          </w:p>
        </w:tc>
      </w:tr>
      <w:tr>
        <w:trPr>
          <w:trHeight w:val="394"/>
          <w:jc w:val="center"/>
        </w:trPr>
        <w:tc>
          <w:tcPr>
            <w:tcW w:w="3053" w:type="dxa"/>
            <w:tcBorders>
              <w:left w:val="single" w:sz="8" w:space="0" w:color="auto"/>
              <w:bottom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r>
              <w:rPr>
                <w:rFonts w:ascii="宋体" w:eastAsia="Malgun Gothic" w:hAnsi="Malgun Gothic"/>
                <w:sz w:val="18"/>
                <w:szCs w:val="18"/>
                <w:lang w:eastAsia="ko-KR"/>
              </w:rPr>
              <w:t>CuFe</w:t>
            </w:r>
            <w:r>
              <w:rPr>
                <w:rFonts w:ascii="宋体" w:eastAsiaTheme="minorEastAsia" w:hAnsi="Malgun Gothic" w:hint="eastAsia"/>
                <w:sz w:val="18"/>
                <w:szCs w:val="18"/>
              </w:rPr>
              <w:t>2</w:t>
            </w:r>
            <w:r>
              <w:rPr>
                <w:rFonts w:ascii="宋体" w:eastAsia="Malgun Gothic" w:hAnsi="Malgun Gothic"/>
                <w:sz w:val="18"/>
                <w:szCs w:val="18"/>
                <w:lang w:eastAsia="ko-KR"/>
              </w:rPr>
              <w:t>0</w:t>
            </w:r>
          </w:p>
        </w:tc>
        <w:tc>
          <w:tcPr>
            <w:tcW w:w="3054" w:type="dxa"/>
            <w:tcBorders>
              <w:bottom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sz w:val="18"/>
                <w:szCs w:val="18"/>
              </w:rPr>
              <w:t>14KHz</w:t>
            </w:r>
          </w:p>
        </w:tc>
        <w:tc>
          <w:tcPr>
            <w:tcW w:w="3054" w:type="dxa"/>
            <w:tcBorders>
              <w:bottom w:val="single" w:sz="8" w:space="0" w:color="auto"/>
              <w:right w:val="single" w:sz="8" w:space="0" w:color="auto"/>
            </w:tcBorders>
            <w:shd w:val="clear" w:color="auto" w:fill="auto"/>
            <w:vAlign w:val="center"/>
          </w:tcPr>
          <w:p>
            <w:pPr>
              <w:jc w:val="center"/>
              <w:rPr>
                <w:rFonts w:ascii="宋体" w:hAnsi="宋体"/>
                <w:bCs/>
                <w:sz w:val="18"/>
                <w:szCs w:val="18"/>
              </w:rPr>
            </w:pPr>
            <w:bookmarkStart w:id="4" w:name="_GoBack"/>
            <w:bookmarkEnd w:id="4"/>
            <w:r>
              <w:rPr>
                <w:rFonts w:ascii="宋体" w:hAnsi="宋体" w:hint="eastAsia"/>
                <w:bCs/>
                <w:sz w:val="18"/>
                <w:szCs w:val="18"/>
              </w:rPr>
              <w:t>33.5</w:t>
            </w:r>
          </w:p>
        </w:tc>
      </w:tr>
    </w:tbl>
    <w:p>
      <w:pPr>
        <w:pStyle w:val="affe"/>
        <w:ind w:firstLineChars="0" w:firstLine="0"/>
        <w:rPr>
          <w:sz w:val="18"/>
          <w:szCs w:val="18"/>
        </w:rPr>
      </w:pPr>
    </w:p>
    <w:p>
      <w:pPr>
        <w:pStyle w:val="aa"/>
        <w:spacing w:beforeLines="50" w:before="156" w:afterLines="50" w:after="156"/>
      </w:pPr>
      <w:r>
        <w:rPr>
          <w:rFonts w:hint="eastAsia"/>
        </w:rPr>
        <w:t>内部质量</w:t>
      </w:r>
    </w:p>
    <w:p>
      <w:pPr>
        <w:pStyle w:val="affe"/>
        <w:ind w:firstLine="420"/>
      </w:pPr>
      <w:r>
        <w:rPr>
          <w:rFonts w:hint="eastAsia"/>
        </w:rPr>
        <w:t>棒线材断口应致密、无缩尾。不应有超出YS/T336中规定的气孔、分层和夹杂等缺陷。</w:t>
      </w:r>
    </w:p>
    <w:p>
      <w:pPr>
        <w:pStyle w:val="aa"/>
        <w:spacing w:beforeLines="50" w:before="156" w:afterLines="50" w:after="156"/>
      </w:pPr>
      <w:r>
        <w:rPr>
          <w:rFonts w:hint="eastAsia"/>
        </w:rPr>
        <w:t>表面质量</w:t>
      </w:r>
    </w:p>
    <w:p>
      <w:pPr>
        <w:pStyle w:val="affe"/>
        <w:ind w:firstLine="420"/>
      </w:pPr>
      <w:r>
        <w:rPr>
          <w:rFonts w:hint="eastAsia"/>
        </w:rPr>
        <w:t>棒线材表面应光亮、清洁，不应有影响使用的缺陷。</w:t>
      </w:r>
    </w:p>
    <w:p>
      <w:pPr>
        <w:pStyle w:val="aa"/>
        <w:spacing w:beforeLines="50" w:before="156" w:afterLines="50" w:after="156"/>
      </w:pPr>
      <w:r>
        <w:rPr>
          <w:rFonts w:hint="eastAsia"/>
        </w:rPr>
        <w:t>卷重量</w:t>
      </w:r>
    </w:p>
    <w:p>
      <w:pPr>
        <w:pStyle w:val="affe"/>
        <w:ind w:firstLine="420"/>
      </w:pPr>
      <w:r>
        <w:rPr>
          <w:rFonts w:hint="eastAsia"/>
        </w:rPr>
        <w:lastRenderedPageBreak/>
        <w:t>线材卷重量应符合表8规定。</w:t>
      </w:r>
    </w:p>
    <w:p>
      <w:pPr>
        <w:pStyle w:val="a6"/>
        <w:spacing w:beforeLines="50" w:before="156" w:afterLines="50" w:after="156"/>
        <w:ind w:left="0"/>
      </w:pPr>
      <w:r>
        <w:rPr>
          <w:rFonts w:hint="eastAsia"/>
        </w:rPr>
        <w:t>线材卷重量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2761"/>
        <w:gridCol w:w="3030"/>
      </w:tblGrid>
      <w:tr>
        <w:trPr>
          <w:trHeight w:val="340"/>
          <w:jc w:val="center"/>
        </w:trPr>
        <w:tc>
          <w:tcPr>
            <w:tcW w:w="3297" w:type="dxa"/>
            <w:vMerge w:val="restart"/>
            <w:tcBorders>
              <w:top w:val="single" w:sz="8" w:space="0" w:color="auto"/>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直径</w:t>
            </w:r>
          </w:p>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mm</w:t>
            </w:r>
          </w:p>
        </w:tc>
        <w:tc>
          <w:tcPr>
            <w:tcW w:w="5791" w:type="dxa"/>
            <w:gridSpan w:val="2"/>
            <w:tcBorders>
              <w:top w:val="single" w:sz="8" w:space="0" w:color="auto"/>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每卷重量</w:t>
            </w:r>
          </w:p>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rPr>
              <w:t>k</w:t>
            </w:r>
            <w:r>
              <w:rPr>
                <w:rFonts w:asciiTheme="minorEastAsia" w:eastAsiaTheme="minorEastAsia" w:hAnsiTheme="minorEastAsia" w:hint="eastAsia"/>
                <w:kern w:val="0"/>
                <w:sz w:val="18"/>
                <w:szCs w:val="18"/>
                <w:lang w:val="zh-CN"/>
              </w:rPr>
              <w:t xml:space="preserve">g </w:t>
            </w:r>
          </w:p>
        </w:tc>
      </w:tr>
      <w:tr>
        <w:trPr>
          <w:trHeight w:val="340"/>
          <w:jc w:val="center"/>
        </w:trPr>
        <w:tc>
          <w:tcPr>
            <w:tcW w:w="3297"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标准卷</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较轻卷</w:t>
            </w:r>
          </w:p>
        </w:tc>
      </w:tr>
      <w:tr>
        <w:trPr>
          <w:trHeight w:val="340"/>
          <w:jc w:val="center"/>
        </w:trPr>
        <w:tc>
          <w:tcPr>
            <w:tcW w:w="3297" w:type="dxa"/>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0.07-0.5</w:t>
            </w: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5±1</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2</w:t>
            </w:r>
            <w:r>
              <w:rPr>
                <w:rFonts w:asciiTheme="minorEastAsia" w:eastAsiaTheme="minorEastAsia" w:hAnsiTheme="minorEastAsia"/>
                <w:kern w:val="0"/>
                <w:sz w:val="18"/>
                <w:szCs w:val="18"/>
                <w:lang w:val="zh-CN"/>
              </w:rPr>
              <w:t>±1</w:t>
            </w:r>
          </w:p>
        </w:tc>
      </w:tr>
      <w:tr>
        <w:trPr>
          <w:trHeight w:val="340"/>
          <w:jc w:val="center"/>
        </w:trPr>
        <w:tc>
          <w:tcPr>
            <w:tcW w:w="3297" w:type="dxa"/>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＞0.5-1.0</w:t>
            </w: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12±1</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8</w:t>
            </w:r>
            <w:r>
              <w:rPr>
                <w:rFonts w:asciiTheme="minorEastAsia" w:eastAsiaTheme="minorEastAsia" w:hAnsiTheme="minorEastAsia"/>
                <w:kern w:val="0"/>
                <w:sz w:val="18"/>
                <w:szCs w:val="18"/>
                <w:lang w:val="zh-CN"/>
              </w:rPr>
              <w:t>±1</w:t>
            </w:r>
          </w:p>
        </w:tc>
      </w:tr>
      <w:tr>
        <w:trPr>
          <w:trHeight w:val="340"/>
          <w:jc w:val="center"/>
        </w:trPr>
        <w:tc>
          <w:tcPr>
            <w:tcW w:w="3297" w:type="dxa"/>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＞1.0-2.0</w:t>
            </w: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25±2</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1</w:t>
            </w:r>
            <w:r>
              <w:rPr>
                <w:rFonts w:asciiTheme="minorEastAsia" w:eastAsiaTheme="minorEastAsia" w:hAnsiTheme="minorEastAsia"/>
                <w:kern w:val="0"/>
                <w:sz w:val="18"/>
                <w:szCs w:val="18"/>
                <w:lang w:val="zh-CN"/>
              </w:rPr>
              <w:t>5±2</w:t>
            </w:r>
          </w:p>
        </w:tc>
      </w:tr>
      <w:tr>
        <w:trPr>
          <w:trHeight w:val="340"/>
          <w:jc w:val="center"/>
        </w:trPr>
        <w:tc>
          <w:tcPr>
            <w:tcW w:w="3297" w:type="dxa"/>
            <w:tcBorders>
              <w:left w:val="single" w:sz="8" w:space="0" w:color="auto"/>
              <w:bottom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＞2.0-4.0</w:t>
            </w:r>
          </w:p>
        </w:tc>
        <w:tc>
          <w:tcPr>
            <w:tcW w:w="2761" w:type="dxa"/>
            <w:tcBorders>
              <w:bottom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30±5</w:t>
            </w:r>
          </w:p>
        </w:tc>
        <w:tc>
          <w:tcPr>
            <w:tcW w:w="3030" w:type="dxa"/>
            <w:tcBorders>
              <w:bottom w:val="single" w:sz="8" w:space="0" w:color="auto"/>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kern w:val="0"/>
                <w:sz w:val="18"/>
                <w:szCs w:val="18"/>
                <w:lang w:val="zh-CN"/>
              </w:rPr>
              <w:t>2</w:t>
            </w:r>
            <w:r>
              <w:rPr>
                <w:rFonts w:asciiTheme="minorEastAsia" w:eastAsiaTheme="minorEastAsia" w:hAnsiTheme="minorEastAsia" w:hint="eastAsia"/>
                <w:kern w:val="0"/>
                <w:sz w:val="18"/>
                <w:szCs w:val="18"/>
                <w:lang w:val="zh-CN"/>
              </w:rPr>
              <w:t>0</w:t>
            </w:r>
            <w:r>
              <w:rPr>
                <w:rFonts w:asciiTheme="minorEastAsia" w:eastAsiaTheme="minorEastAsia" w:hAnsiTheme="minorEastAsia"/>
                <w:kern w:val="0"/>
                <w:sz w:val="18"/>
                <w:szCs w:val="18"/>
                <w:lang w:val="zh-CN"/>
              </w:rPr>
              <w:t>±</w:t>
            </w:r>
            <w:r>
              <w:rPr>
                <w:rFonts w:asciiTheme="minorEastAsia" w:eastAsiaTheme="minorEastAsia" w:hAnsiTheme="minorEastAsia" w:hint="eastAsia"/>
                <w:kern w:val="0"/>
                <w:sz w:val="18"/>
                <w:szCs w:val="18"/>
                <w:lang w:val="zh-CN"/>
              </w:rPr>
              <w:t>5</w:t>
            </w:r>
          </w:p>
        </w:tc>
      </w:tr>
    </w:tbl>
    <w:p>
      <w:pPr>
        <w:pStyle w:val="affe"/>
        <w:ind w:firstLineChars="0" w:firstLine="0"/>
      </w:pPr>
    </w:p>
    <w:p>
      <w:pPr>
        <w:pStyle w:val="a9"/>
        <w:spacing w:beforeLines="100" w:before="312" w:afterLines="100" w:after="312"/>
        <w:ind w:left="0"/>
      </w:pPr>
      <w:r>
        <w:rPr>
          <w:rFonts w:hint="eastAsia"/>
        </w:rPr>
        <w:t>试验方法</w:t>
      </w:r>
    </w:p>
    <w:p>
      <w:pPr>
        <w:pStyle w:val="aa"/>
        <w:spacing w:beforeLines="50" w:before="156" w:afterLines="50" w:after="156"/>
      </w:pPr>
      <w:r>
        <w:rPr>
          <w:rFonts w:hint="eastAsia"/>
        </w:rPr>
        <w:t>化学成分</w:t>
      </w:r>
    </w:p>
    <w:p>
      <w:pPr>
        <w:adjustRightInd w:val="0"/>
        <w:spacing w:line="360" w:lineRule="exact"/>
        <w:ind w:firstLineChars="200" w:firstLine="420"/>
        <w:rPr>
          <w:rFonts w:asciiTheme="minorEastAsia" w:eastAsiaTheme="minorEastAsia" w:hAnsiTheme="minorEastAsia"/>
        </w:rPr>
      </w:pPr>
      <w:r>
        <w:rPr>
          <w:rFonts w:asciiTheme="minorEastAsia" w:eastAsiaTheme="minorEastAsia" w:hAnsiTheme="minorEastAsia"/>
        </w:rPr>
        <w:t>CuFe10、CuFe20</w:t>
      </w:r>
      <w:r>
        <w:rPr>
          <w:rFonts w:asciiTheme="minorEastAsia" w:eastAsiaTheme="minorEastAsia" w:hAnsiTheme="minorEastAsia" w:hint="eastAsia"/>
        </w:rPr>
        <w:t>、</w:t>
      </w:r>
      <w:r>
        <w:rPr>
          <w:rFonts w:asciiTheme="minorEastAsia" w:eastAsiaTheme="minorEastAsia" w:hAnsiTheme="minorEastAsia"/>
        </w:rPr>
        <w:t>CuFe40</w:t>
      </w:r>
      <w:r>
        <w:rPr>
          <w:rFonts w:asciiTheme="minorEastAsia" w:eastAsiaTheme="minorEastAsia" w:hAnsiTheme="minorEastAsia" w:hint="eastAsia"/>
        </w:rPr>
        <w:t>中的铁含量检测方法应按附录A规定进行，</w:t>
      </w:r>
      <w:r>
        <w:rPr>
          <w:rFonts w:asciiTheme="minorEastAsia" w:eastAsiaTheme="minorEastAsia" w:hAnsiTheme="minorEastAsia"/>
        </w:rPr>
        <w:t>CuFe</w:t>
      </w:r>
      <w:r>
        <w:rPr>
          <w:rFonts w:asciiTheme="minorEastAsia" w:eastAsiaTheme="minorEastAsia" w:hAnsiTheme="minorEastAsia" w:hint="eastAsia"/>
        </w:rPr>
        <w:t>5及其余元素的化学成分分析方法按GB/T 5121、YS/T482或</w:t>
      </w:r>
      <w:r>
        <w:rPr>
          <w:rFonts w:asciiTheme="minorEastAsia" w:eastAsiaTheme="minorEastAsia" w:hAnsiTheme="minorEastAsia" w:hint="eastAsia"/>
          <w:kern w:val="0"/>
          <w:szCs w:val="20"/>
        </w:rPr>
        <w:t>YS/T 483</w:t>
      </w:r>
      <w:r>
        <w:rPr>
          <w:rFonts w:asciiTheme="minorEastAsia" w:eastAsiaTheme="minorEastAsia" w:hAnsiTheme="minorEastAsia" w:hint="eastAsia"/>
        </w:rPr>
        <w:t>规定的进行。</w:t>
      </w:r>
    </w:p>
    <w:p>
      <w:pPr>
        <w:pStyle w:val="aa"/>
        <w:spacing w:beforeLines="50" w:before="156" w:afterLines="50" w:after="156"/>
      </w:pPr>
      <w:r>
        <w:rPr>
          <w:rFonts w:hint="eastAsia"/>
        </w:rPr>
        <w:t>外形尺寸及其允许偏差测量方法</w:t>
      </w:r>
    </w:p>
    <w:p>
      <w:pPr>
        <w:pStyle w:val="affe"/>
        <w:ind w:firstLine="420"/>
      </w:pPr>
      <w:r>
        <w:rPr>
          <w:rFonts w:hint="eastAsia"/>
        </w:rPr>
        <w:t>棒线材的外形尺寸测量方法按GB/T 26303.2的规定进行。</w:t>
      </w:r>
    </w:p>
    <w:p>
      <w:pPr>
        <w:pStyle w:val="aa"/>
        <w:spacing w:beforeLines="50" w:before="156" w:afterLines="50" w:after="156"/>
      </w:pPr>
      <w:r>
        <w:rPr>
          <w:rFonts w:hint="eastAsia"/>
        </w:rPr>
        <w:t>力学性能</w:t>
      </w:r>
    </w:p>
    <w:p>
      <w:pPr>
        <w:pStyle w:val="affe"/>
        <w:spacing w:line="360" w:lineRule="exact"/>
        <w:ind w:firstLineChars="0" w:firstLine="0"/>
      </w:pPr>
      <w:r>
        <w:rPr>
          <w:rFonts w:hint="eastAsia"/>
        </w:rPr>
        <w:t>6.3.1 棒线材的维氏硬度试验按GB/T 4340.1的规定进行。</w:t>
      </w:r>
    </w:p>
    <w:p>
      <w:pPr>
        <w:pStyle w:val="affe"/>
        <w:spacing w:line="360" w:lineRule="exact"/>
        <w:ind w:firstLineChars="0" w:firstLine="0"/>
      </w:pPr>
      <w:r>
        <w:rPr>
          <w:rFonts w:hint="eastAsia"/>
        </w:rPr>
        <w:t>6.3.2 棒材的室温拉伸试验及其试样制备方法按GB/T 34505-2017的规定进行，线材的室温拉伸试验及其试样制备方法按GB/T10573的规定进行，试样的选取应符合表9的规定。</w:t>
      </w:r>
    </w:p>
    <w:p>
      <w:pPr>
        <w:pStyle w:val="a6"/>
        <w:spacing w:beforeLines="50" w:before="156" w:afterLines="50" w:after="156"/>
        <w:ind w:left="0"/>
      </w:pPr>
      <w:r>
        <w:rPr>
          <w:rFonts w:hint="eastAsia"/>
        </w:rPr>
        <w:t>拉伸试样类型的选取</w:t>
      </w:r>
    </w:p>
    <w:tbl>
      <w:tblPr>
        <w:tblStyle w:val="aff"/>
        <w:tblW w:w="0" w:type="auto"/>
        <w:tblInd w:w="108" w:type="dxa"/>
        <w:tblLook w:val="04A0" w:firstRow="1" w:lastRow="0" w:firstColumn="1" w:lastColumn="0" w:noHBand="0" w:noVBand="1"/>
      </w:tblPr>
      <w:tblGrid>
        <w:gridCol w:w="4677"/>
        <w:gridCol w:w="4537"/>
      </w:tblGrid>
      <w:tr>
        <w:trPr>
          <w:trHeight w:val="397"/>
        </w:trPr>
        <w:tc>
          <w:tcPr>
            <w:tcW w:w="4677" w:type="dxa"/>
            <w:tcBorders>
              <w:top w:val="single" w:sz="8" w:space="0" w:color="auto"/>
              <w:left w:val="single" w:sz="8" w:space="0" w:color="auto"/>
            </w:tcBorders>
            <w:vAlign w:val="center"/>
          </w:tcPr>
          <w:p>
            <w:pPr>
              <w:pStyle w:val="affe"/>
              <w:ind w:firstLineChars="0" w:firstLine="0"/>
              <w:jc w:val="center"/>
              <w:rPr>
                <w:sz w:val="18"/>
                <w:szCs w:val="18"/>
              </w:rPr>
            </w:pPr>
            <w:r>
              <w:rPr>
                <w:rFonts w:hint="eastAsia"/>
                <w:sz w:val="18"/>
                <w:szCs w:val="18"/>
              </w:rPr>
              <w:t>直径/mm</w:t>
            </w:r>
          </w:p>
        </w:tc>
        <w:tc>
          <w:tcPr>
            <w:tcW w:w="4537" w:type="dxa"/>
            <w:tcBorders>
              <w:top w:val="single" w:sz="8" w:space="0" w:color="auto"/>
              <w:right w:val="single" w:sz="8" w:space="0" w:color="auto"/>
            </w:tcBorders>
            <w:vAlign w:val="center"/>
          </w:tcPr>
          <w:p>
            <w:pPr>
              <w:pStyle w:val="affe"/>
              <w:ind w:firstLineChars="0" w:firstLine="0"/>
              <w:jc w:val="center"/>
              <w:rPr>
                <w:sz w:val="18"/>
                <w:szCs w:val="18"/>
              </w:rPr>
            </w:pPr>
            <w:r>
              <w:rPr>
                <w:rFonts w:hint="eastAsia"/>
                <w:sz w:val="18"/>
                <w:szCs w:val="18"/>
              </w:rPr>
              <w:t>试样类型的选取</w:t>
            </w:r>
          </w:p>
        </w:tc>
      </w:tr>
      <w:tr>
        <w:trPr>
          <w:trHeight w:val="397"/>
        </w:trPr>
        <w:tc>
          <w:tcPr>
            <w:tcW w:w="4677" w:type="dxa"/>
            <w:tcBorders>
              <w:left w:val="single" w:sz="8" w:space="0" w:color="auto"/>
            </w:tcBorders>
            <w:vAlign w:val="center"/>
          </w:tcPr>
          <w:p>
            <w:pPr>
              <w:pStyle w:val="affe"/>
              <w:ind w:firstLineChars="0" w:firstLine="0"/>
              <w:jc w:val="center"/>
              <w:rPr>
                <w:sz w:val="18"/>
                <w:szCs w:val="18"/>
              </w:rPr>
            </w:pPr>
            <w:r>
              <w:rPr>
                <w:rFonts w:hAnsi="宋体" w:hint="eastAsia"/>
                <w:sz w:val="18"/>
                <w:szCs w:val="18"/>
              </w:rPr>
              <w:t>≤</w:t>
            </w:r>
            <w:r>
              <w:rPr>
                <w:rFonts w:hint="eastAsia"/>
                <w:sz w:val="18"/>
                <w:szCs w:val="18"/>
              </w:rPr>
              <w:t>0.25</w:t>
            </w:r>
          </w:p>
        </w:tc>
        <w:tc>
          <w:tcPr>
            <w:tcW w:w="4537" w:type="dxa"/>
            <w:tcBorders>
              <w:right w:val="single" w:sz="8" w:space="0" w:color="auto"/>
            </w:tcBorders>
            <w:vAlign w:val="center"/>
          </w:tcPr>
          <w:p>
            <w:pPr>
              <w:pStyle w:val="affe"/>
              <w:ind w:firstLineChars="0" w:firstLine="0"/>
              <w:jc w:val="center"/>
              <w:rPr>
                <w:sz w:val="18"/>
                <w:szCs w:val="18"/>
              </w:rPr>
            </w:pPr>
            <w:r>
              <w:rPr>
                <w:rFonts w:hint="eastAsia"/>
                <w:sz w:val="18"/>
                <w:szCs w:val="18"/>
              </w:rPr>
              <w:t>按YS/T 815规定的线材拉伸试样，取全截面试样。</w:t>
            </w:r>
          </w:p>
        </w:tc>
      </w:tr>
      <w:tr>
        <w:trPr>
          <w:trHeight w:val="397"/>
        </w:trPr>
        <w:tc>
          <w:tcPr>
            <w:tcW w:w="4677" w:type="dxa"/>
            <w:tcBorders>
              <w:left w:val="single" w:sz="8" w:space="0" w:color="auto"/>
            </w:tcBorders>
            <w:vAlign w:val="center"/>
          </w:tcPr>
          <w:p>
            <w:pPr>
              <w:pStyle w:val="affe"/>
              <w:ind w:firstLineChars="0" w:firstLine="0"/>
              <w:jc w:val="center"/>
              <w:rPr>
                <w:sz w:val="18"/>
                <w:szCs w:val="18"/>
              </w:rPr>
            </w:pPr>
            <w:r>
              <w:rPr>
                <w:rFonts w:hAnsi="宋体" w:hint="eastAsia"/>
                <w:sz w:val="18"/>
                <w:szCs w:val="18"/>
              </w:rPr>
              <w:t>＞</w:t>
            </w:r>
            <w:r>
              <w:rPr>
                <w:rFonts w:hint="eastAsia"/>
                <w:sz w:val="18"/>
                <w:szCs w:val="18"/>
              </w:rPr>
              <w:t>0.25～10</w:t>
            </w:r>
          </w:p>
        </w:tc>
        <w:tc>
          <w:tcPr>
            <w:tcW w:w="4537" w:type="dxa"/>
            <w:tcBorders>
              <w:right w:val="single" w:sz="8" w:space="0" w:color="auto"/>
            </w:tcBorders>
            <w:vAlign w:val="center"/>
          </w:tcPr>
          <w:p>
            <w:pPr>
              <w:pStyle w:val="affe"/>
              <w:ind w:firstLineChars="0" w:firstLine="0"/>
              <w:jc w:val="center"/>
              <w:rPr>
                <w:sz w:val="18"/>
                <w:szCs w:val="18"/>
              </w:rPr>
            </w:pPr>
            <w:r>
              <w:rPr>
                <w:rFonts w:hint="eastAsia"/>
                <w:sz w:val="18"/>
                <w:szCs w:val="18"/>
              </w:rPr>
              <w:t>GB/T 34505-2017表11中全截面试样</w:t>
            </w:r>
          </w:p>
        </w:tc>
      </w:tr>
      <w:tr>
        <w:trPr>
          <w:trHeight w:val="397"/>
        </w:trPr>
        <w:tc>
          <w:tcPr>
            <w:tcW w:w="4677" w:type="dxa"/>
            <w:tcBorders>
              <w:left w:val="single" w:sz="8" w:space="0" w:color="auto"/>
              <w:bottom w:val="single" w:sz="8" w:space="0" w:color="auto"/>
            </w:tcBorders>
            <w:vAlign w:val="center"/>
          </w:tcPr>
          <w:p>
            <w:pPr>
              <w:pStyle w:val="affe"/>
              <w:ind w:firstLineChars="0" w:firstLine="0"/>
              <w:jc w:val="center"/>
              <w:rPr>
                <w:sz w:val="18"/>
                <w:szCs w:val="18"/>
              </w:rPr>
            </w:pPr>
            <w:r>
              <w:rPr>
                <w:rFonts w:hint="eastAsia"/>
                <w:sz w:val="18"/>
                <w:szCs w:val="18"/>
              </w:rPr>
              <w:t>≥10～14</w:t>
            </w:r>
          </w:p>
        </w:tc>
        <w:tc>
          <w:tcPr>
            <w:tcW w:w="4537" w:type="dxa"/>
            <w:tcBorders>
              <w:bottom w:val="single" w:sz="8" w:space="0" w:color="auto"/>
              <w:right w:val="single" w:sz="8" w:space="0" w:color="auto"/>
            </w:tcBorders>
            <w:vAlign w:val="center"/>
          </w:tcPr>
          <w:p>
            <w:pPr>
              <w:pStyle w:val="affe"/>
              <w:ind w:firstLineChars="0" w:firstLine="0"/>
              <w:jc w:val="center"/>
              <w:rPr>
                <w:sz w:val="18"/>
                <w:szCs w:val="18"/>
              </w:rPr>
            </w:pPr>
            <w:r>
              <w:rPr>
                <w:rFonts w:hint="eastAsia"/>
                <w:sz w:val="18"/>
                <w:szCs w:val="18"/>
              </w:rPr>
              <w:t>GB/T 34505-2017表11中试样号R2</w:t>
            </w:r>
          </w:p>
        </w:tc>
      </w:tr>
    </w:tbl>
    <w:p>
      <w:pPr>
        <w:pStyle w:val="aa"/>
        <w:spacing w:beforeLines="50" w:before="156" w:afterLines="50" w:after="156"/>
      </w:pPr>
      <w:r>
        <w:rPr>
          <w:rFonts w:hint="eastAsia"/>
        </w:rPr>
        <w:t>电性能</w:t>
      </w:r>
    </w:p>
    <w:p>
      <w:pPr>
        <w:pStyle w:val="affe"/>
        <w:ind w:firstLine="420"/>
      </w:pPr>
      <w:r>
        <w:rPr>
          <w:rFonts w:hint="eastAsia"/>
        </w:rPr>
        <w:t>棒线材的电性能按</w:t>
      </w:r>
      <w:r>
        <w:t>GB/T 351</w:t>
      </w:r>
      <w:r>
        <w:rPr>
          <w:rFonts w:hint="eastAsia"/>
        </w:rPr>
        <w:t>的规定进行。</w:t>
      </w:r>
    </w:p>
    <w:p>
      <w:pPr>
        <w:pStyle w:val="aa"/>
        <w:spacing w:beforeLines="50" w:before="156" w:afterLines="50" w:after="156"/>
      </w:pPr>
      <w:r>
        <w:rPr>
          <w:rFonts w:hint="eastAsia"/>
        </w:rPr>
        <w:t>电磁性能</w:t>
      </w:r>
    </w:p>
    <w:p>
      <w:pPr>
        <w:pStyle w:val="affe"/>
        <w:spacing w:line="340" w:lineRule="exact"/>
        <w:ind w:firstLineChars="0" w:firstLine="0"/>
      </w:pPr>
      <w:r>
        <w:rPr>
          <w:rFonts w:hint="eastAsia"/>
        </w:rPr>
        <w:t>6.5.1 棒线材的电磁性能检测按6.5.2检验。</w:t>
      </w:r>
    </w:p>
    <w:p>
      <w:pPr>
        <w:pStyle w:val="affe"/>
        <w:spacing w:line="340" w:lineRule="exact"/>
        <w:ind w:firstLineChars="0" w:firstLine="0"/>
      </w:pPr>
      <w:r>
        <w:rPr>
          <w:rFonts w:hint="eastAsia"/>
        </w:rPr>
        <w:t>6.5.2 棒线材电磁性能检测流程如下：</w:t>
      </w:r>
    </w:p>
    <w:p>
      <w:pPr>
        <w:pStyle w:val="affe"/>
        <w:spacing w:line="340" w:lineRule="exact"/>
        <w:ind w:firstLine="420"/>
      </w:pPr>
      <w:r>
        <w:rPr>
          <w:rFonts w:hint="eastAsia"/>
        </w:rPr>
        <w:t>a）取样，将棒线材编织成铜金属电磁屏蔽织物。</w:t>
      </w:r>
    </w:p>
    <w:p>
      <w:pPr>
        <w:pStyle w:val="affe"/>
        <w:spacing w:line="340" w:lineRule="exact"/>
        <w:ind w:firstLine="420"/>
      </w:pPr>
      <w:r>
        <w:rPr>
          <w:rFonts w:hint="eastAsia"/>
        </w:rPr>
        <w:t>b) 铜金属电磁屏蔽织物按GB/T 30142的规定检测电磁性能。</w:t>
      </w:r>
    </w:p>
    <w:p>
      <w:pPr>
        <w:pStyle w:val="aa"/>
        <w:spacing w:beforeLines="50" w:before="156" w:afterLines="50" w:after="156"/>
      </w:pPr>
      <w:r>
        <w:rPr>
          <w:rFonts w:hint="eastAsia"/>
        </w:rPr>
        <w:lastRenderedPageBreak/>
        <w:t>内部质量</w:t>
      </w:r>
    </w:p>
    <w:p>
      <w:pPr>
        <w:pStyle w:val="affe"/>
        <w:ind w:firstLine="420"/>
      </w:pPr>
      <w:r>
        <w:rPr>
          <w:rFonts w:hint="eastAsia"/>
        </w:rPr>
        <w:t>棒线材的断口检验按YS/T 336的规定进行。</w:t>
      </w:r>
    </w:p>
    <w:p>
      <w:pPr>
        <w:pStyle w:val="aa"/>
        <w:spacing w:beforeLines="50" w:before="156" w:afterLines="50" w:after="156"/>
      </w:pPr>
      <w:r>
        <w:rPr>
          <w:rFonts w:hint="eastAsia"/>
        </w:rPr>
        <w:t>表面质量</w:t>
      </w:r>
    </w:p>
    <w:p>
      <w:pPr>
        <w:pStyle w:val="affe"/>
        <w:ind w:firstLine="420"/>
      </w:pPr>
      <w:r>
        <w:rPr>
          <w:rFonts w:hint="eastAsia"/>
        </w:rPr>
        <w:t>棒线材的表面质量用目视进行检验。</w:t>
      </w:r>
    </w:p>
    <w:p>
      <w:pPr>
        <w:pStyle w:val="aa"/>
        <w:spacing w:beforeLines="50" w:before="156" w:afterLines="50" w:after="156"/>
      </w:pPr>
      <w:r>
        <w:rPr>
          <w:rFonts w:hint="eastAsia"/>
        </w:rPr>
        <w:t>卷重量</w:t>
      </w:r>
    </w:p>
    <w:p>
      <w:pPr>
        <w:pStyle w:val="affe"/>
        <w:ind w:firstLine="420"/>
      </w:pPr>
      <w:r>
        <w:rPr>
          <w:rFonts w:hint="eastAsia"/>
        </w:rPr>
        <w:t>线材卷重量用相应精度的测量工具检测。</w:t>
      </w:r>
    </w:p>
    <w:p>
      <w:pPr>
        <w:pStyle w:val="a9"/>
        <w:spacing w:beforeLines="100" w:before="312" w:afterLines="100" w:after="312"/>
        <w:ind w:left="0"/>
      </w:pPr>
      <w:r>
        <w:rPr>
          <w:rFonts w:hint="eastAsia"/>
        </w:rPr>
        <w:t>检验规则</w:t>
      </w:r>
    </w:p>
    <w:p>
      <w:pPr>
        <w:pStyle w:val="aa"/>
        <w:spacing w:beforeLines="50" w:before="156" w:afterLines="50" w:after="156"/>
      </w:pPr>
      <w:r>
        <w:rPr>
          <w:rFonts w:hint="eastAsia"/>
        </w:rPr>
        <w:t>检验和验收</w:t>
      </w:r>
    </w:p>
    <w:p>
      <w:pPr>
        <w:autoSpaceDE w:val="0"/>
        <w:autoSpaceDN w:val="0"/>
        <w:adjustRightInd w:val="0"/>
        <w:spacing w:line="340" w:lineRule="exact"/>
        <w:rPr>
          <w:rFonts w:ascii="宋体" w:hAnsi="宋体"/>
          <w:kern w:val="0"/>
          <w:szCs w:val="44"/>
        </w:rPr>
      </w:pPr>
      <w:r>
        <w:rPr>
          <w:rFonts w:ascii="黑体" w:eastAsia="黑体" w:hAnsi="黑体" w:hint="eastAsia"/>
          <w:kern w:val="0"/>
          <w:szCs w:val="44"/>
        </w:rPr>
        <w:t>7</w:t>
      </w:r>
      <w:r>
        <w:rPr>
          <w:rFonts w:ascii="黑体" w:eastAsia="黑体" w:hAnsi="黑体"/>
          <w:kern w:val="0"/>
          <w:szCs w:val="44"/>
        </w:rPr>
        <w:t>.1.1</w:t>
      </w:r>
      <w:r>
        <w:rPr>
          <w:rFonts w:ascii="宋体" w:hAnsi="宋体"/>
          <w:kern w:val="0"/>
          <w:szCs w:val="44"/>
        </w:rPr>
        <w:t xml:space="preserve"> </w:t>
      </w:r>
      <w:r>
        <w:rPr>
          <w:rFonts w:ascii="宋体" w:hAnsi="宋体" w:hint="eastAsia"/>
          <w:kern w:val="0"/>
          <w:szCs w:val="44"/>
        </w:rPr>
        <w:t>棒线材应由供方或第三方进行检验，保证产品质量符合本文件</w:t>
      </w:r>
      <w:r>
        <w:rPr>
          <w:rFonts w:ascii="宋体" w:hAnsi="宋体" w:hint="eastAsia"/>
        </w:rPr>
        <w:t>及订货单</w:t>
      </w:r>
      <w:r>
        <w:rPr>
          <w:rFonts w:ascii="宋体" w:hAnsi="宋体" w:hint="eastAsia"/>
          <w:kern w:val="0"/>
          <w:szCs w:val="44"/>
        </w:rPr>
        <w:t>的规定。</w:t>
      </w:r>
    </w:p>
    <w:p>
      <w:pPr>
        <w:autoSpaceDE w:val="0"/>
        <w:autoSpaceDN w:val="0"/>
        <w:adjustRightInd w:val="0"/>
        <w:spacing w:line="340" w:lineRule="exact"/>
        <w:rPr>
          <w:rFonts w:ascii="宋体" w:hAnsi="宋体"/>
          <w:kern w:val="0"/>
          <w:szCs w:val="42"/>
        </w:rPr>
      </w:pPr>
      <w:r>
        <w:rPr>
          <w:rFonts w:ascii="黑体" w:eastAsia="黑体" w:hAnsi="黑体" w:hint="eastAsia"/>
          <w:kern w:val="0"/>
          <w:szCs w:val="44"/>
        </w:rPr>
        <w:t>7</w:t>
      </w:r>
      <w:r>
        <w:rPr>
          <w:rFonts w:ascii="黑体" w:eastAsia="黑体" w:hAnsi="黑体"/>
          <w:kern w:val="0"/>
          <w:szCs w:val="44"/>
        </w:rPr>
        <w:t>.1.2</w:t>
      </w:r>
      <w:r>
        <w:rPr>
          <w:rFonts w:ascii="宋体" w:hAnsi="宋体"/>
          <w:kern w:val="0"/>
          <w:szCs w:val="44"/>
        </w:rPr>
        <w:t xml:space="preserve"> </w:t>
      </w:r>
      <w:r>
        <w:rPr>
          <w:rFonts w:ascii="宋体" w:hAnsi="宋体" w:hint="eastAsia"/>
          <w:kern w:val="0"/>
          <w:szCs w:val="44"/>
        </w:rPr>
        <w:t>需方可对收到的产品按本文件</w:t>
      </w:r>
      <w:r>
        <w:rPr>
          <w:rFonts w:ascii="宋体" w:hAnsi="宋体" w:hint="eastAsia"/>
        </w:rPr>
        <w:t>及或订货单</w:t>
      </w:r>
      <w:r>
        <w:rPr>
          <w:rFonts w:ascii="宋体" w:hAnsi="宋体" w:hint="eastAsia"/>
          <w:kern w:val="0"/>
          <w:szCs w:val="44"/>
        </w:rPr>
        <w:t>的规定进行检验，如检验结果与本文件</w:t>
      </w:r>
      <w:r>
        <w:rPr>
          <w:rFonts w:ascii="宋体" w:hAnsi="宋体" w:hint="eastAsia"/>
        </w:rPr>
        <w:t>及订货单</w:t>
      </w:r>
      <w:r>
        <w:rPr>
          <w:rFonts w:ascii="宋体" w:hAnsi="宋体" w:hint="eastAsia"/>
          <w:kern w:val="0"/>
          <w:szCs w:val="44"/>
        </w:rPr>
        <w:t>的规定不符时，应在收到</w:t>
      </w:r>
      <w:r>
        <w:rPr>
          <w:rFonts w:ascii="宋体" w:hAnsi="宋体" w:hint="eastAsia"/>
          <w:kern w:val="0"/>
          <w:szCs w:val="42"/>
        </w:rPr>
        <w:t>产品之日起</w:t>
      </w:r>
      <w:r>
        <w:rPr>
          <w:rFonts w:ascii="宋体" w:hAnsi="宋体"/>
          <w:kern w:val="0"/>
          <w:szCs w:val="42"/>
        </w:rPr>
        <w:t>3</w:t>
      </w:r>
      <w:r>
        <w:rPr>
          <w:rFonts w:ascii="宋体" w:hAnsi="宋体" w:hint="eastAsia"/>
          <w:kern w:val="0"/>
          <w:szCs w:val="42"/>
        </w:rPr>
        <w:t>个月内</w:t>
      </w:r>
      <w:r>
        <w:rPr>
          <w:rFonts w:ascii="宋体" w:hAnsi="宋体" w:hint="eastAsia"/>
          <w:kern w:val="0"/>
          <w:szCs w:val="44"/>
        </w:rPr>
        <w:t>以书面形式</w:t>
      </w:r>
      <w:r>
        <w:rPr>
          <w:rFonts w:ascii="宋体" w:hAnsi="宋体" w:hint="eastAsia"/>
          <w:kern w:val="0"/>
          <w:szCs w:val="42"/>
        </w:rPr>
        <w:t>向供方提出。如需仲裁，仲裁取样由供需双方共同进行。</w:t>
      </w:r>
    </w:p>
    <w:p>
      <w:pPr>
        <w:pStyle w:val="aa"/>
        <w:spacing w:beforeLines="50" w:before="156" w:afterLines="50" w:after="156"/>
      </w:pPr>
      <w:r>
        <w:rPr>
          <w:rFonts w:hint="eastAsia"/>
        </w:rPr>
        <w:t>组批</w:t>
      </w:r>
    </w:p>
    <w:p>
      <w:pPr>
        <w:pStyle w:val="affe"/>
        <w:ind w:firstLine="420"/>
      </w:pPr>
      <w:r>
        <w:rPr>
          <w:rFonts w:hint="eastAsia"/>
        </w:rPr>
        <w:t>产品应成批提交检验。每批应由同一牌号、状态、规格的产品组成。</w:t>
      </w:r>
    </w:p>
    <w:p>
      <w:pPr>
        <w:pStyle w:val="aa"/>
        <w:spacing w:beforeLines="50" w:before="156" w:afterLines="50" w:after="156"/>
        <w:rPr>
          <w:rFonts w:ascii="宋体" w:eastAsia="宋体"/>
        </w:rPr>
      </w:pPr>
      <w:r>
        <w:rPr>
          <w:rFonts w:hint="eastAsia"/>
        </w:rPr>
        <w:t>检验项目</w:t>
      </w:r>
    </w:p>
    <w:p>
      <w:pPr>
        <w:spacing w:line="360" w:lineRule="exact"/>
        <w:ind w:firstLineChars="200" w:firstLine="420"/>
        <w:rPr>
          <w:rFonts w:ascii="宋体" w:hAnsi="宋体"/>
        </w:rPr>
      </w:pPr>
      <w:r>
        <w:rPr>
          <w:rFonts w:ascii="宋体" w:hAnsi="宋体" w:hint="eastAsia"/>
        </w:rPr>
        <w:t>产品的检验项目分为出厂检验项目和型式检验项目，见表10。出现下列任一情况时，应进行型式检验；</w:t>
      </w:r>
    </w:p>
    <w:p>
      <w:pPr>
        <w:pStyle w:val="affe"/>
        <w:numPr>
          <w:ilvl w:val="1"/>
          <w:numId w:val="10"/>
        </w:numPr>
        <w:spacing w:line="360" w:lineRule="exact"/>
        <w:ind w:firstLineChars="0"/>
      </w:pPr>
      <w:r>
        <w:rPr>
          <w:rFonts w:hint="eastAsia"/>
        </w:rPr>
        <w:t>新产品或老产品转厂的试制定型鉴定；</w:t>
      </w:r>
    </w:p>
    <w:p>
      <w:pPr>
        <w:pStyle w:val="affe"/>
        <w:numPr>
          <w:ilvl w:val="1"/>
          <w:numId w:val="10"/>
        </w:numPr>
        <w:spacing w:line="360" w:lineRule="exact"/>
        <w:ind w:firstLineChars="0"/>
      </w:pPr>
      <w:r>
        <w:rPr>
          <w:rFonts w:hint="eastAsia"/>
        </w:rPr>
        <w:t>产品的原料、工艺有较大改变，可能影响产品性能时；</w:t>
      </w:r>
    </w:p>
    <w:p>
      <w:pPr>
        <w:pStyle w:val="affe"/>
        <w:numPr>
          <w:ilvl w:val="1"/>
          <w:numId w:val="10"/>
        </w:numPr>
        <w:spacing w:line="360" w:lineRule="exact"/>
        <w:ind w:firstLineChars="0"/>
      </w:pPr>
      <w:r>
        <w:rPr>
          <w:rFonts w:hint="eastAsia"/>
        </w:rPr>
        <w:t>产品停产后，恢复生产时；</w:t>
      </w:r>
    </w:p>
    <w:p>
      <w:pPr>
        <w:pStyle w:val="affe"/>
        <w:numPr>
          <w:ilvl w:val="1"/>
          <w:numId w:val="10"/>
        </w:numPr>
        <w:spacing w:line="360" w:lineRule="exact"/>
        <w:ind w:firstLineChars="0"/>
      </w:pPr>
      <w:r>
        <w:rPr>
          <w:rFonts w:hint="eastAsia"/>
        </w:rPr>
        <w:t>出厂检验结果与上次型式检验有较大差异时；</w:t>
      </w:r>
    </w:p>
    <w:p>
      <w:pPr>
        <w:pStyle w:val="affe"/>
        <w:numPr>
          <w:ilvl w:val="1"/>
          <w:numId w:val="10"/>
        </w:numPr>
        <w:spacing w:line="360" w:lineRule="exact"/>
        <w:ind w:firstLineChars="0"/>
      </w:pPr>
      <w:r>
        <w:rPr>
          <w:rFonts w:hint="eastAsia"/>
        </w:rPr>
        <w:t>连续二年未进行型式检验时；</w:t>
      </w:r>
    </w:p>
    <w:p>
      <w:pPr>
        <w:pStyle w:val="affe"/>
        <w:numPr>
          <w:ilvl w:val="1"/>
          <w:numId w:val="10"/>
        </w:numPr>
        <w:spacing w:line="360" w:lineRule="exact"/>
        <w:ind w:firstLineChars="0"/>
      </w:pPr>
      <w:r>
        <w:rPr>
          <w:rFonts w:hint="eastAsia"/>
        </w:rPr>
        <w:t>需方要求时（在订货单中注明）；</w:t>
      </w:r>
    </w:p>
    <w:p>
      <w:pPr>
        <w:pStyle w:val="affe"/>
        <w:numPr>
          <w:ilvl w:val="1"/>
          <w:numId w:val="10"/>
        </w:numPr>
        <w:spacing w:line="360" w:lineRule="exact"/>
        <w:ind w:firstLineChars="0"/>
      </w:pPr>
      <w:r>
        <w:rPr>
          <w:rFonts w:hint="eastAsia"/>
        </w:rPr>
        <w:t>国家有关监督机构提出进行型式检验的要求时。</w:t>
      </w:r>
    </w:p>
    <w:p>
      <w:pPr>
        <w:pStyle w:val="affe"/>
        <w:numPr>
          <w:ilvl w:val="1"/>
          <w:numId w:val="10"/>
        </w:numPr>
        <w:spacing w:line="360" w:lineRule="exact"/>
        <w:ind w:firstLineChars="0"/>
      </w:pPr>
    </w:p>
    <w:p>
      <w:pPr>
        <w:pStyle w:val="a6"/>
        <w:spacing w:beforeLines="50" w:before="156" w:afterLines="50" w:after="156"/>
        <w:ind w:left="0"/>
        <w:rPr>
          <w:rFonts w:hAnsi="黑体"/>
        </w:rPr>
      </w:pPr>
      <w:r>
        <w:rPr>
          <w:rFonts w:hAnsi="黑体" w:hint="eastAsia"/>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65"/>
        <w:gridCol w:w="2836"/>
        <w:gridCol w:w="2837"/>
      </w:tblGrid>
      <w:tr>
        <w:trPr>
          <w:trHeight w:val="340"/>
          <w:jc w:val="center"/>
        </w:trPr>
        <w:tc>
          <w:tcPr>
            <w:tcW w:w="2849" w:type="dxa"/>
            <w:gridSpan w:val="2"/>
            <w:tcBorders>
              <w:top w:val="single" w:sz="8" w:space="0" w:color="auto"/>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检验项目</w:t>
            </w:r>
          </w:p>
        </w:tc>
        <w:tc>
          <w:tcPr>
            <w:tcW w:w="2836" w:type="dxa"/>
            <w:tcBorders>
              <w:top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出厂检验项目</w:t>
            </w:r>
          </w:p>
        </w:tc>
        <w:tc>
          <w:tcPr>
            <w:tcW w:w="2837" w:type="dxa"/>
            <w:tcBorders>
              <w:top w:val="single" w:sz="8" w:space="0" w:color="auto"/>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型式检验项目</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化学成分</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外形尺寸及其允许偏差</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1384" w:type="dxa"/>
            <w:vMerge w:val="restart"/>
            <w:tcBorders>
              <w:left w:val="single" w:sz="8" w:space="0" w:color="auto"/>
              <w:right w:val="single" w:sz="4" w:space="0" w:color="auto"/>
            </w:tcBorders>
            <w:vAlign w:val="center"/>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力学性能</w:t>
            </w:r>
          </w:p>
        </w:tc>
        <w:tc>
          <w:tcPr>
            <w:tcW w:w="1465" w:type="dxa"/>
            <w:tcBorders>
              <w:left w:val="single" w:sz="4"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抗拉强度</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1384" w:type="dxa"/>
            <w:vMerge/>
            <w:tcBorders>
              <w:left w:val="single" w:sz="8" w:space="0" w:color="auto"/>
              <w:right w:val="single" w:sz="4" w:space="0" w:color="auto"/>
            </w:tcBorders>
            <w:vAlign w:val="center"/>
          </w:tcPr>
          <w:p>
            <w:pPr>
              <w:widowControl/>
              <w:autoSpaceDE w:val="0"/>
              <w:autoSpaceDN w:val="0"/>
              <w:jc w:val="center"/>
              <w:rPr>
                <w:rFonts w:asciiTheme="minorEastAsia" w:eastAsiaTheme="minorEastAsia" w:hAnsiTheme="minorEastAsia"/>
                <w:kern w:val="0"/>
                <w:sz w:val="18"/>
                <w:szCs w:val="18"/>
              </w:rPr>
            </w:pPr>
          </w:p>
        </w:tc>
        <w:tc>
          <w:tcPr>
            <w:tcW w:w="1465" w:type="dxa"/>
            <w:tcBorders>
              <w:left w:val="single" w:sz="4"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延伸率</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1384" w:type="dxa"/>
            <w:vMerge/>
            <w:tcBorders>
              <w:left w:val="single" w:sz="8" w:space="0" w:color="auto"/>
              <w:right w:val="single" w:sz="4" w:space="0" w:color="auto"/>
            </w:tcBorders>
          </w:tcPr>
          <w:p>
            <w:pPr>
              <w:widowControl/>
              <w:autoSpaceDE w:val="0"/>
              <w:autoSpaceDN w:val="0"/>
              <w:jc w:val="center"/>
              <w:rPr>
                <w:rFonts w:asciiTheme="minorEastAsia" w:eastAsiaTheme="minorEastAsia" w:hAnsiTheme="minorEastAsia"/>
                <w:kern w:val="0"/>
                <w:sz w:val="18"/>
                <w:szCs w:val="18"/>
              </w:rPr>
            </w:pPr>
          </w:p>
        </w:tc>
        <w:tc>
          <w:tcPr>
            <w:tcW w:w="1465" w:type="dxa"/>
            <w:tcBorders>
              <w:left w:val="single" w:sz="4"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硬度HV</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电性能</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电磁性能</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内部质量</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表面质量</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8522" w:type="dxa"/>
            <w:gridSpan w:val="4"/>
            <w:tcBorders>
              <w:left w:val="single" w:sz="8" w:space="0" w:color="auto"/>
              <w:bottom w:val="single" w:sz="8" w:space="0" w:color="auto"/>
              <w:right w:val="single" w:sz="8" w:space="0" w:color="auto"/>
            </w:tcBorders>
          </w:tcPr>
          <w:p>
            <w:pPr>
              <w:widowControl/>
              <w:autoSpaceDE w:val="0"/>
              <w:autoSpaceDN w:val="0"/>
              <w:ind w:firstLineChars="200" w:firstLine="360"/>
              <w:jc w:val="left"/>
              <w:rPr>
                <w:rFonts w:asciiTheme="minorEastAsia" w:eastAsiaTheme="minorEastAsia" w:hAnsiTheme="minorEastAsia"/>
                <w:kern w:val="0"/>
                <w:sz w:val="18"/>
                <w:szCs w:val="18"/>
              </w:rPr>
            </w:pPr>
            <w:r>
              <w:rPr>
                <w:rFonts w:asciiTheme="minorEastAsia" w:eastAsiaTheme="minorEastAsia" w:hAnsiTheme="minorEastAsia" w:cs="黑体" w:hint="eastAsia"/>
                <w:kern w:val="0"/>
                <w:sz w:val="18"/>
                <w:szCs w:val="18"/>
              </w:rPr>
              <w:t>注</w:t>
            </w:r>
            <w:r>
              <w:rPr>
                <w:rFonts w:asciiTheme="minorEastAsia" w:eastAsiaTheme="minorEastAsia" w:hAnsiTheme="minorEastAsia" w:hint="eastAsia"/>
                <w:kern w:val="0"/>
                <w:sz w:val="18"/>
                <w:szCs w:val="18"/>
              </w:rPr>
              <w:t>：表中“√”表示必验项目；“△”表示“需方有要求时进行的检验项目”。</w:t>
            </w:r>
          </w:p>
        </w:tc>
      </w:tr>
    </w:tbl>
    <w:p>
      <w:pPr>
        <w:pStyle w:val="affe"/>
        <w:ind w:firstLine="420"/>
      </w:pPr>
    </w:p>
    <w:p>
      <w:pPr>
        <w:pStyle w:val="aa"/>
        <w:spacing w:beforeLines="50" w:before="156" w:afterLines="50" w:after="156"/>
        <w:rPr>
          <w:rFonts w:ascii="黑体"/>
        </w:rPr>
      </w:pPr>
      <w:r>
        <w:rPr>
          <w:rFonts w:ascii="黑体" w:hint="eastAsia"/>
        </w:rPr>
        <w:t>取样</w:t>
      </w:r>
    </w:p>
    <w:p>
      <w:pPr>
        <w:spacing w:line="340" w:lineRule="exact"/>
        <w:ind w:firstLineChars="200" w:firstLine="420"/>
        <w:rPr>
          <w:rFonts w:asciiTheme="minorEastAsia" w:eastAsiaTheme="minorEastAsia" w:hAnsiTheme="minorEastAsia"/>
          <w:kern w:val="0"/>
          <w:szCs w:val="44"/>
        </w:rPr>
      </w:pPr>
      <w:r>
        <w:rPr>
          <w:rFonts w:asciiTheme="minorEastAsia" w:eastAsiaTheme="minorEastAsia" w:hAnsiTheme="minorEastAsia" w:hint="eastAsia"/>
          <w:kern w:val="0"/>
          <w:szCs w:val="44"/>
        </w:rPr>
        <w:t>棒线材取样应符合表11的规定。取样方法按YS/T 668的规定进行。</w:t>
      </w:r>
    </w:p>
    <w:p>
      <w:pPr>
        <w:pStyle w:val="a6"/>
        <w:spacing w:beforeLines="50" w:before="156" w:afterLines="50" w:after="156"/>
        <w:ind w:left="0"/>
        <w:rPr>
          <w:rFonts w:hAnsi="黑体"/>
        </w:rPr>
      </w:pPr>
      <w:r>
        <w:rPr>
          <w:rFonts w:hAnsi="黑体" w:hint="eastAsia"/>
        </w:rPr>
        <w:t>棒线材的取样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855"/>
        <w:gridCol w:w="1398"/>
        <w:gridCol w:w="1686"/>
      </w:tblGrid>
      <w:tr>
        <w:trPr>
          <w:trHeight w:val="340"/>
          <w:jc w:val="center"/>
        </w:trPr>
        <w:tc>
          <w:tcPr>
            <w:tcW w:w="1583" w:type="dxa"/>
            <w:tcBorders>
              <w:top w:val="single" w:sz="8" w:space="0" w:color="auto"/>
              <w:left w:val="single" w:sz="8" w:space="0" w:color="auto"/>
            </w:tcBorders>
            <w:vAlign w:val="center"/>
          </w:tcPr>
          <w:p>
            <w:pPr>
              <w:jc w:val="center"/>
              <w:rPr>
                <w:rFonts w:ascii="宋体" w:hAnsi="宋体"/>
                <w:sz w:val="18"/>
                <w:szCs w:val="18"/>
              </w:rPr>
            </w:pPr>
            <w:r>
              <w:rPr>
                <w:rFonts w:ascii="宋体" w:hAnsi="宋体" w:hint="eastAsia"/>
                <w:sz w:val="18"/>
                <w:szCs w:val="18"/>
              </w:rPr>
              <w:t>检验项目</w:t>
            </w:r>
          </w:p>
        </w:tc>
        <w:tc>
          <w:tcPr>
            <w:tcW w:w="3855" w:type="dxa"/>
            <w:tcBorders>
              <w:top w:val="single" w:sz="8" w:space="0" w:color="auto"/>
            </w:tcBorders>
            <w:vAlign w:val="center"/>
          </w:tcPr>
          <w:p>
            <w:pPr>
              <w:jc w:val="center"/>
              <w:rPr>
                <w:rFonts w:ascii="宋体" w:hAnsi="宋体"/>
                <w:sz w:val="18"/>
                <w:szCs w:val="18"/>
              </w:rPr>
            </w:pPr>
            <w:r>
              <w:rPr>
                <w:rFonts w:ascii="宋体" w:hAnsi="宋体" w:hint="eastAsia"/>
                <w:sz w:val="18"/>
                <w:szCs w:val="18"/>
              </w:rPr>
              <w:t>取样规定</w:t>
            </w:r>
          </w:p>
        </w:tc>
        <w:tc>
          <w:tcPr>
            <w:tcW w:w="1398" w:type="dxa"/>
            <w:tcBorders>
              <w:top w:val="single" w:sz="8" w:space="0" w:color="auto"/>
            </w:tcBorders>
            <w:vAlign w:val="center"/>
          </w:tcPr>
          <w:p>
            <w:pPr>
              <w:jc w:val="center"/>
              <w:rPr>
                <w:rFonts w:ascii="宋体" w:hAnsi="宋体"/>
                <w:sz w:val="18"/>
                <w:szCs w:val="18"/>
              </w:rPr>
            </w:pPr>
            <w:r>
              <w:rPr>
                <w:rFonts w:ascii="宋体" w:hAnsi="宋体" w:hint="eastAsia"/>
                <w:sz w:val="18"/>
                <w:szCs w:val="18"/>
              </w:rPr>
              <w:t>要求的章条号</w:t>
            </w:r>
          </w:p>
        </w:tc>
        <w:tc>
          <w:tcPr>
            <w:tcW w:w="1686" w:type="dxa"/>
            <w:tcBorders>
              <w:top w:val="single" w:sz="8" w:space="0" w:color="auto"/>
              <w:right w:val="single" w:sz="8" w:space="0" w:color="auto"/>
            </w:tcBorders>
            <w:vAlign w:val="center"/>
          </w:tcPr>
          <w:p>
            <w:pPr>
              <w:jc w:val="center"/>
              <w:rPr>
                <w:rFonts w:ascii="宋体" w:hAnsi="宋体"/>
                <w:sz w:val="18"/>
                <w:szCs w:val="18"/>
              </w:rPr>
            </w:pPr>
            <w:r>
              <w:rPr>
                <w:rFonts w:ascii="宋体" w:hAnsi="宋体" w:hint="eastAsia"/>
                <w:sz w:val="18"/>
                <w:szCs w:val="18"/>
              </w:rPr>
              <w:t>试验方法的章条号</w:t>
            </w:r>
          </w:p>
        </w:tc>
      </w:tr>
      <w:tr>
        <w:trPr>
          <w:trHeight w:val="340"/>
          <w:jc w:val="center"/>
        </w:trPr>
        <w:tc>
          <w:tcPr>
            <w:tcW w:w="1583"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化学成分</w:t>
            </w:r>
          </w:p>
        </w:tc>
        <w:tc>
          <w:tcPr>
            <w:tcW w:w="3855" w:type="dxa"/>
            <w:vAlign w:val="center"/>
          </w:tcPr>
          <w:p>
            <w:pPr>
              <w:rPr>
                <w:rFonts w:ascii="宋体" w:hAnsi="宋体"/>
                <w:sz w:val="18"/>
                <w:szCs w:val="18"/>
              </w:rPr>
            </w:pPr>
            <w:r>
              <w:rPr>
                <w:rFonts w:ascii="宋体" w:hAnsi="宋体" w:hint="eastAsia"/>
                <w:sz w:val="18"/>
                <w:szCs w:val="18"/>
              </w:rPr>
              <w:t>供方每炉取1个试样</w:t>
            </w:r>
          </w:p>
        </w:tc>
        <w:tc>
          <w:tcPr>
            <w:tcW w:w="1398" w:type="dxa"/>
            <w:vAlign w:val="center"/>
          </w:tcPr>
          <w:p>
            <w:pPr>
              <w:jc w:val="center"/>
              <w:rPr>
                <w:rFonts w:ascii="宋体" w:hAnsi="宋体"/>
                <w:sz w:val="18"/>
                <w:szCs w:val="18"/>
              </w:rPr>
            </w:pPr>
            <w:r>
              <w:rPr>
                <w:rFonts w:ascii="宋体" w:hAnsi="宋体" w:hint="eastAsia"/>
                <w:sz w:val="18"/>
                <w:szCs w:val="18"/>
              </w:rPr>
              <w:t>5.1</w:t>
            </w:r>
          </w:p>
        </w:tc>
        <w:tc>
          <w:tcPr>
            <w:tcW w:w="1686"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6.1</w:t>
            </w:r>
          </w:p>
        </w:tc>
      </w:tr>
      <w:tr>
        <w:trPr>
          <w:trHeight w:val="340"/>
          <w:jc w:val="center"/>
        </w:trPr>
        <w:tc>
          <w:tcPr>
            <w:tcW w:w="1583"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外形尺寸</w:t>
            </w:r>
            <w:r>
              <w:rPr>
                <w:rFonts w:ascii="黑体" w:hAnsi="黑体" w:hint="eastAsia"/>
                <w:sz w:val="18"/>
                <w:szCs w:val="18"/>
              </w:rPr>
              <w:t>及其</w:t>
            </w:r>
            <w:r>
              <w:rPr>
                <w:rFonts w:ascii="宋体" w:hAnsi="宋体" w:hint="eastAsia"/>
                <w:sz w:val="18"/>
                <w:szCs w:val="18"/>
              </w:rPr>
              <w:t>允许偏差</w:t>
            </w:r>
          </w:p>
        </w:tc>
        <w:tc>
          <w:tcPr>
            <w:tcW w:w="3855" w:type="dxa"/>
            <w:vAlign w:val="center"/>
          </w:tcPr>
          <w:p>
            <w:pPr>
              <w:rPr>
                <w:rFonts w:ascii="宋体" w:hAnsi="宋体"/>
                <w:sz w:val="18"/>
                <w:szCs w:val="18"/>
              </w:rPr>
            </w:pPr>
            <w:r>
              <w:rPr>
                <w:rFonts w:ascii="宋体" w:hAnsi="宋体" w:hint="eastAsia"/>
                <w:sz w:val="18"/>
                <w:szCs w:val="18"/>
              </w:rPr>
              <w:t>按照GB/T 2828.1规定的取样方案要，选择正常检验一次抽样方案，检测水平</w:t>
            </w:r>
            <w:r>
              <w:rPr>
                <w:rFonts w:ascii="宋体" w:hAnsi="宋体" w:cs="宋体" w:hint="eastAsia"/>
                <w:sz w:val="18"/>
                <w:szCs w:val="18"/>
              </w:rPr>
              <w:t>Ⅱ</w:t>
            </w:r>
            <w:r>
              <w:rPr>
                <w:rFonts w:ascii="宋体" w:hAnsi="宋体" w:hint="eastAsia"/>
                <w:sz w:val="18"/>
                <w:szCs w:val="18"/>
              </w:rPr>
              <w:t>，接收质量限AQL=2.5，或供需双方协商</w:t>
            </w:r>
          </w:p>
        </w:tc>
        <w:tc>
          <w:tcPr>
            <w:tcW w:w="1398" w:type="dxa"/>
            <w:vAlign w:val="center"/>
          </w:tcPr>
          <w:p>
            <w:pPr>
              <w:jc w:val="center"/>
              <w:rPr>
                <w:rFonts w:ascii="宋体" w:hAnsi="宋体"/>
                <w:sz w:val="18"/>
                <w:szCs w:val="18"/>
              </w:rPr>
            </w:pPr>
            <w:r>
              <w:rPr>
                <w:rFonts w:ascii="宋体" w:hAnsi="宋体" w:hint="eastAsia"/>
                <w:sz w:val="18"/>
                <w:szCs w:val="18"/>
              </w:rPr>
              <w:t>5.2</w:t>
            </w:r>
          </w:p>
        </w:tc>
        <w:tc>
          <w:tcPr>
            <w:tcW w:w="1686"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6.2</w:t>
            </w:r>
          </w:p>
        </w:tc>
      </w:tr>
      <w:tr>
        <w:trPr>
          <w:trHeight w:val="340"/>
          <w:jc w:val="center"/>
        </w:trPr>
        <w:tc>
          <w:tcPr>
            <w:tcW w:w="1583"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力学性能</w:t>
            </w:r>
          </w:p>
        </w:tc>
        <w:tc>
          <w:tcPr>
            <w:tcW w:w="3855" w:type="dxa"/>
            <w:vAlign w:val="center"/>
          </w:tcPr>
          <w:p>
            <w:pPr>
              <w:rPr>
                <w:rFonts w:ascii="宋体" w:hAnsi="宋体"/>
                <w:sz w:val="18"/>
                <w:szCs w:val="18"/>
              </w:rPr>
            </w:pPr>
            <w:r>
              <w:rPr>
                <w:rFonts w:ascii="宋体" w:hAnsi="宋体" w:hint="eastAsia"/>
                <w:sz w:val="18"/>
                <w:szCs w:val="18"/>
              </w:rPr>
              <w:t>每批任取2根，每根取1个试样</w:t>
            </w:r>
          </w:p>
        </w:tc>
        <w:tc>
          <w:tcPr>
            <w:tcW w:w="1398" w:type="dxa"/>
            <w:vAlign w:val="center"/>
          </w:tcPr>
          <w:p>
            <w:pPr>
              <w:jc w:val="center"/>
              <w:rPr>
                <w:rFonts w:ascii="宋体" w:hAnsi="宋体"/>
                <w:sz w:val="18"/>
                <w:szCs w:val="18"/>
              </w:rPr>
            </w:pPr>
            <w:r>
              <w:rPr>
                <w:rFonts w:ascii="宋体" w:hAnsi="宋体" w:hint="eastAsia"/>
                <w:sz w:val="18"/>
                <w:szCs w:val="18"/>
              </w:rPr>
              <w:t>5.3</w:t>
            </w:r>
          </w:p>
        </w:tc>
        <w:tc>
          <w:tcPr>
            <w:tcW w:w="1686" w:type="dxa"/>
            <w:tcBorders>
              <w:right w:val="single" w:sz="8" w:space="0" w:color="auto"/>
            </w:tcBorders>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6.3</w:t>
            </w:r>
          </w:p>
        </w:tc>
      </w:tr>
      <w:tr>
        <w:trPr>
          <w:trHeight w:val="340"/>
          <w:jc w:val="center"/>
        </w:trPr>
        <w:tc>
          <w:tcPr>
            <w:tcW w:w="1583" w:type="dxa"/>
            <w:tcBorders>
              <w:left w:val="single" w:sz="8" w:space="0" w:color="auto"/>
            </w:tcBorders>
          </w:tcPr>
          <w:p>
            <w:pPr>
              <w:jc w:val="center"/>
              <w:rPr>
                <w:rFonts w:ascii="宋体" w:hAnsi="宋体"/>
                <w:sz w:val="18"/>
                <w:szCs w:val="18"/>
              </w:rPr>
            </w:pPr>
            <w:r>
              <w:rPr>
                <w:rFonts w:ascii="宋体" w:hAnsi="宋体" w:hint="eastAsia"/>
                <w:sz w:val="18"/>
                <w:szCs w:val="18"/>
              </w:rPr>
              <w:t>电性能</w:t>
            </w:r>
          </w:p>
        </w:tc>
        <w:tc>
          <w:tcPr>
            <w:tcW w:w="3855" w:type="dxa"/>
          </w:tcPr>
          <w:p>
            <w:r>
              <w:rPr>
                <w:rFonts w:ascii="宋体" w:hAnsi="宋体" w:hint="eastAsia"/>
                <w:sz w:val="18"/>
                <w:szCs w:val="18"/>
              </w:rPr>
              <w:t>每批任取2根，每根取1个试样</w:t>
            </w:r>
          </w:p>
        </w:tc>
        <w:tc>
          <w:tcPr>
            <w:tcW w:w="1398" w:type="dxa"/>
            <w:vAlign w:val="center"/>
          </w:tcPr>
          <w:p>
            <w:pPr>
              <w:jc w:val="center"/>
              <w:rPr>
                <w:rFonts w:ascii="宋体" w:hAnsi="宋体"/>
                <w:sz w:val="18"/>
                <w:szCs w:val="18"/>
              </w:rPr>
            </w:pPr>
            <w:r>
              <w:rPr>
                <w:rFonts w:ascii="宋体" w:hAnsi="宋体" w:hint="eastAsia"/>
                <w:sz w:val="18"/>
                <w:szCs w:val="18"/>
              </w:rPr>
              <w:t>5.4</w:t>
            </w:r>
          </w:p>
        </w:tc>
        <w:tc>
          <w:tcPr>
            <w:tcW w:w="1686" w:type="dxa"/>
            <w:tcBorders>
              <w:right w:val="single" w:sz="8" w:space="0" w:color="auto"/>
            </w:tcBorders>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6.4</w:t>
            </w:r>
          </w:p>
        </w:tc>
      </w:tr>
      <w:tr>
        <w:trPr>
          <w:trHeight w:val="340"/>
          <w:jc w:val="center"/>
        </w:trPr>
        <w:tc>
          <w:tcPr>
            <w:tcW w:w="1583" w:type="dxa"/>
            <w:tcBorders>
              <w:left w:val="single" w:sz="8" w:space="0" w:color="auto"/>
            </w:tcBorders>
          </w:tcPr>
          <w:p>
            <w:pPr>
              <w:jc w:val="center"/>
              <w:rPr>
                <w:rFonts w:ascii="宋体" w:hAnsi="宋体"/>
                <w:sz w:val="18"/>
                <w:szCs w:val="18"/>
              </w:rPr>
            </w:pPr>
            <w:r>
              <w:rPr>
                <w:rFonts w:ascii="宋体" w:hAnsi="宋体" w:hint="eastAsia"/>
                <w:sz w:val="18"/>
                <w:szCs w:val="18"/>
              </w:rPr>
              <w:t>电磁性能</w:t>
            </w:r>
          </w:p>
        </w:tc>
        <w:tc>
          <w:tcPr>
            <w:tcW w:w="3855" w:type="dxa"/>
          </w:tcPr>
          <w:p>
            <w:r>
              <w:rPr>
                <w:rFonts w:ascii="宋体" w:hAnsi="宋体" w:hint="eastAsia"/>
                <w:sz w:val="18"/>
                <w:szCs w:val="18"/>
              </w:rPr>
              <w:t>每批任取2根，每根取1个试样</w:t>
            </w:r>
          </w:p>
        </w:tc>
        <w:tc>
          <w:tcPr>
            <w:tcW w:w="1398" w:type="dxa"/>
            <w:vAlign w:val="center"/>
          </w:tcPr>
          <w:p>
            <w:pPr>
              <w:jc w:val="center"/>
              <w:rPr>
                <w:rFonts w:ascii="宋体" w:hAnsi="宋体"/>
                <w:sz w:val="18"/>
                <w:szCs w:val="18"/>
              </w:rPr>
            </w:pPr>
            <w:r>
              <w:rPr>
                <w:rFonts w:ascii="宋体" w:hAnsi="宋体" w:hint="eastAsia"/>
                <w:sz w:val="18"/>
                <w:szCs w:val="18"/>
              </w:rPr>
              <w:t>5.5</w:t>
            </w:r>
          </w:p>
        </w:tc>
        <w:tc>
          <w:tcPr>
            <w:tcW w:w="1686" w:type="dxa"/>
            <w:tcBorders>
              <w:right w:val="single" w:sz="8" w:space="0" w:color="auto"/>
            </w:tcBorders>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6.5</w:t>
            </w:r>
          </w:p>
        </w:tc>
      </w:tr>
      <w:tr>
        <w:trPr>
          <w:trHeight w:val="340"/>
          <w:jc w:val="center"/>
        </w:trPr>
        <w:tc>
          <w:tcPr>
            <w:tcW w:w="1583"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内部质量</w:t>
            </w:r>
          </w:p>
        </w:tc>
        <w:tc>
          <w:tcPr>
            <w:tcW w:w="3855" w:type="dxa"/>
            <w:vAlign w:val="center"/>
          </w:tcPr>
          <w:p>
            <w:pPr>
              <w:rPr>
                <w:rFonts w:ascii="宋体" w:hAnsi="宋体"/>
                <w:sz w:val="18"/>
                <w:szCs w:val="18"/>
              </w:rPr>
            </w:pPr>
            <w:r>
              <w:rPr>
                <w:rFonts w:ascii="宋体" w:hAnsi="宋体" w:hint="eastAsia"/>
                <w:sz w:val="18"/>
                <w:szCs w:val="18"/>
              </w:rPr>
              <w:t>每批任取2根，每根取1个试样</w:t>
            </w:r>
          </w:p>
        </w:tc>
        <w:tc>
          <w:tcPr>
            <w:tcW w:w="1398" w:type="dxa"/>
            <w:vAlign w:val="center"/>
          </w:tcPr>
          <w:p>
            <w:pPr>
              <w:jc w:val="center"/>
              <w:rPr>
                <w:rFonts w:ascii="宋体" w:hAnsi="宋体"/>
                <w:sz w:val="18"/>
                <w:szCs w:val="18"/>
              </w:rPr>
            </w:pPr>
            <w:r>
              <w:rPr>
                <w:rFonts w:ascii="宋体" w:hAnsi="宋体" w:hint="eastAsia"/>
                <w:sz w:val="18"/>
                <w:szCs w:val="18"/>
              </w:rPr>
              <w:t>5.6</w:t>
            </w:r>
          </w:p>
        </w:tc>
        <w:tc>
          <w:tcPr>
            <w:tcW w:w="1686" w:type="dxa"/>
            <w:tcBorders>
              <w:right w:val="single" w:sz="8" w:space="0" w:color="auto"/>
            </w:tcBorders>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6.6</w:t>
            </w:r>
          </w:p>
        </w:tc>
      </w:tr>
      <w:tr>
        <w:trPr>
          <w:trHeight w:val="805"/>
          <w:jc w:val="center"/>
        </w:trPr>
        <w:tc>
          <w:tcPr>
            <w:tcW w:w="1583" w:type="dxa"/>
            <w:tcBorders>
              <w:left w:val="single" w:sz="8" w:space="0" w:color="auto"/>
              <w:bottom w:val="single" w:sz="8" w:space="0" w:color="auto"/>
            </w:tcBorders>
            <w:vAlign w:val="center"/>
          </w:tcPr>
          <w:p>
            <w:pPr>
              <w:jc w:val="center"/>
              <w:rPr>
                <w:rFonts w:ascii="宋体" w:hAnsi="宋体"/>
                <w:sz w:val="18"/>
                <w:szCs w:val="18"/>
              </w:rPr>
            </w:pPr>
            <w:r>
              <w:rPr>
                <w:rFonts w:ascii="宋体" w:hAnsi="宋体" w:hint="eastAsia"/>
                <w:sz w:val="18"/>
                <w:szCs w:val="18"/>
              </w:rPr>
              <w:t>表面质量</w:t>
            </w:r>
          </w:p>
        </w:tc>
        <w:tc>
          <w:tcPr>
            <w:tcW w:w="3855" w:type="dxa"/>
            <w:tcBorders>
              <w:bottom w:val="single" w:sz="8" w:space="0" w:color="auto"/>
            </w:tcBorders>
            <w:vAlign w:val="center"/>
          </w:tcPr>
          <w:p>
            <w:pPr>
              <w:rPr>
                <w:rFonts w:ascii="宋体" w:hAnsi="宋体"/>
                <w:sz w:val="18"/>
                <w:szCs w:val="18"/>
              </w:rPr>
            </w:pPr>
            <w:r>
              <w:rPr>
                <w:rFonts w:ascii="宋体" w:hAnsi="宋体" w:hint="eastAsia"/>
                <w:sz w:val="18"/>
                <w:szCs w:val="18"/>
              </w:rPr>
              <w:t>按照GB/T 2828.1规定的取样方案要，选择正常检验一次抽样方案，检测水平</w:t>
            </w:r>
            <w:r>
              <w:rPr>
                <w:rFonts w:ascii="宋体" w:hAnsi="宋体" w:cs="宋体" w:hint="eastAsia"/>
                <w:sz w:val="18"/>
                <w:szCs w:val="18"/>
              </w:rPr>
              <w:t>Ⅱ</w:t>
            </w:r>
            <w:r>
              <w:rPr>
                <w:rFonts w:ascii="宋体" w:hAnsi="宋体" w:hint="eastAsia"/>
                <w:sz w:val="18"/>
                <w:szCs w:val="18"/>
              </w:rPr>
              <w:t>，接收质量限AQL=2.5，或供需双方协商</w:t>
            </w:r>
          </w:p>
        </w:tc>
        <w:tc>
          <w:tcPr>
            <w:tcW w:w="1398" w:type="dxa"/>
            <w:tcBorders>
              <w:bottom w:val="single" w:sz="8" w:space="0" w:color="auto"/>
            </w:tcBorders>
            <w:vAlign w:val="center"/>
          </w:tcPr>
          <w:p>
            <w:pPr>
              <w:jc w:val="center"/>
              <w:rPr>
                <w:rFonts w:ascii="宋体" w:hAnsi="宋体"/>
                <w:sz w:val="18"/>
                <w:szCs w:val="18"/>
              </w:rPr>
            </w:pPr>
            <w:r>
              <w:rPr>
                <w:rFonts w:ascii="宋体" w:hAnsi="宋体" w:hint="eastAsia"/>
                <w:sz w:val="18"/>
                <w:szCs w:val="18"/>
              </w:rPr>
              <w:t>5.7</w:t>
            </w:r>
          </w:p>
        </w:tc>
        <w:tc>
          <w:tcPr>
            <w:tcW w:w="1686" w:type="dxa"/>
            <w:tcBorders>
              <w:bottom w:val="single" w:sz="8" w:space="0" w:color="auto"/>
              <w:right w:val="single" w:sz="8" w:space="0" w:color="auto"/>
            </w:tcBorders>
            <w:vAlign w:val="center"/>
          </w:tcPr>
          <w:p>
            <w:pPr>
              <w:jc w:val="center"/>
              <w:rPr>
                <w:rFonts w:ascii="宋体" w:hAnsi="宋体"/>
                <w:sz w:val="18"/>
                <w:szCs w:val="18"/>
              </w:rPr>
            </w:pPr>
            <w:r>
              <w:rPr>
                <w:rFonts w:ascii="宋体" w:hAnsi="宋体" w:hint="eastAsia"/>
                <w:sz w:val="18"/>
                <w:szCs w:val="18"/>
              </w:rPr>
              <w:t>6.7</w:t>
            </w:r>
          </w:p>
        </w:tc>
      </w:tr>
    </w:tbl>
    <w:p>
      <w:pPr>
        <w:pStyle w:val="aa"/>
        <w:numPr>
          <w:ilvl w:val="0"/>
          <w:numId w:val="0"/>
        </w:numPr>
        <w:spacing w:beforeLines="50" w:before="156" w:afterLines="50" w:after="156"/>
        <w:rPr>
          <w:rFonts w:ascii="黑体"/>
        </w:rPr>
      </w:pPr>
    </w:p>
    <w:p>
      <w:pPr>
        <w:pStyle w:val="aa"/>
        <w:spacing w:beforeLines="50" w:before="156" w:afterLines="50" w:after="156"/>
        <w:rPr>
          <w:rFonts w:ascii="黑体"/>
        </w:rPr>
      </w:pPr>
      <w:r>
        <w:rPr>
          <w:rFonts w:ascii="黑体" w:hint="eastAsia"/>
        </w:rPr>
        <w:t>检验结果判定</w:t>
      </w:r>
    </w:p>
    <w:p>
      <w:pPr>
        <w:pStyle w:val="ab"/>
        <w:autoSpaceDE w:val="0"/>
        <w:autoSpaceDN w:val="0"/>
        <w:adjustRightInd w:val="0"/>
        <w:spacing w:line="360" w:lineRule="exact"/>
        <w:jc w:val="both"/>
        <w:rPr>
          <w:rFonts w:ascii="宋体" w:eastAsia="宋体" w:hAnsi="宋体"/>
        </w:rPr>
      </w:pPr>
      <w:r>
        <w:rPr>
          <w:rFonts w:ascii="宋体" w:eastAsia="宋体" w:hAnsi="宋体" w:hint="eastAsia"/>
        </w:rPr>
        <w:t>检验结果的数值按</w:t>
      </w:r>
      <w:r>
        <w:rPr>
          <w:rFonts w:ascii="宋体" w:eastAsia="宋体" w:hAnsi="宋体"/>
        </w:rPr>
        <w:t>GB/T 8170的规定进行修约，并采用修约值比较法进行判定。</w:t>
      </w:r>
    </w:p>
    <w:p>
      <w:pPr>
        <w:pStyle w:val="ab"/>
        <w:spacing w:line="360" w:lineRule="exact"/>
        <w:jc w:val="both"/>
        <w:rPr>
          <w:rFonts w:ascii="宋体" w:eastAsia="宋体" w:hAnsi="宋体"/>
        </w:rPr>
      </w:pPr>
      <w:r>
        <w:rPr>
          <w:rFonts w:ascii="宋体" w:eastAsia="宋体" w:hAnsi="宋体" w:hint="eastAsia"/>
        </w:rPr>
        <w:t>化学成分不合格时，判该批型材不合格。</w:t>
      </w:r>
    </w:p>
    <w:p>
      <w:pPr>
        <w:pStyle w:val="ab"/>
        <w:spacing w:line="360" w:lineRule="exact"/>
        <w:jc w:val="both"/>
        <w:rPr>
          <w:rFonts w:ascii="宋体" w:eastAsia="宋体" w:hAnsi="宋体"/>
        </w:rPr>
      </w:pPr>
      <w:r>
        <w:rPr>
          <w:rFonts w:ascii="宋体" w:eastAsia="宋体" w:hAnsi="宋体" w:hint="eastAsia"/>
        </w:rPr>
        <w:t>棒线材的外形尺寸及其允许偏差和表面质量不合格时，按根判不合格。每批中不合格件数超出接收质量限时判整批不合格，或由供方逐根检验，逐根判定。</w:t>
      </w:r>
    </w:p>
    <w:p>
      <w:pPr>
        <w:pStyle w:val="ab"/>
        <w:spacing w:line="360" w:lineRule="exact"/>
        <w:rPr>
          <w:rFonts w:ascii="宋体" w:eastAsia="宋体" w:hAnsi="宋体"/>
        </w:rPr>
      </w:pPr>
      <w:r>
        <w:rPr>
          <w:rFonts w:ascii="宋体" w:eastAsia="宋体" w:hAnsi="宋体" w:hint="eastAsia"/>
        </w:rPr>
        <w:t>当力学性能、电性能、电磁性能、内部质量的试验结果中有试样不合格时，应从该批型材中另取双倍数量的试样（其中一个试样必须取自原检验不合格的那根）进行重复试验，重复试验结果全部合格，则判整批棒线材合格。若重复试验结果仍有试样不合格，则判该批棒线材不合格。</w:t>
      </w:r>
    </w:p>
    <w:p>
      <w:pPr>
        <w:pStyle w:val="a9"/>
        <w:spacing w:beforeLines="100" w:before="312" w:afterLines="100" w:after="312"/>
        <w:ind w:left="0"/>
        <w:rPr>
          <w:rFonts w:ascii="宋体" w:eastAsia="宋体" w:hAnsi="宋体"/>
        </w:rPr>
      </w:pPr>
      <w:r>
        <w:rPr>
          <w:rFonts w:hint="eastAsia"/>
        </w:rPr>
        <w:t>标志、包装、运输和贮存及随行文件</w:t>
      </w:r>
    </w:p>
    <w:p>
      <w:pPr>
        <w:pStyle w:val="aa"/>
        <w:spacing w:beforeLines="50" w:before="156" w:afterLines="50" w:after="156"/>
      </w:pPr>
      <w:r>
        <w:rPr>
          <w:rFonts w:hint="eastAsia"/>
        </w:rPr>
        <w:t>标志、包装、运输、贮存</w:t>
      </w:r>
    </w:p>
    <w:p>
      <w:pPr>
        <w:pStyle w:val="aa"/>
        <w:spacing w:beforeLines="50" w:before="156" w:afterLines="50" w:after="156"/>
      </w:pPr>
      <w:r>
        <w:rPr>
          <w:rFonts w:hint="eastAsia"/>
        </w:rPr>
        <w:t>随行文件</w:t>
      </w:r>
    </w:p>
    <w:p>
      <w:pPr>
        <w:widowControl/>
        <w:autoSpaceDE w:val="0"/>
        <w:autoSpaceDN w:val="0"/>
        <w:spacing w:line="360" w:lineRule="exact"/>
        <w:ind w:firstLineChars="200" w:firstLine="420"/>
        <w:rPr>
          <w:rFonts w:ascii="宋体"/>
          <w:kern w:val="0"/>
          <w:szCs w:val="20"/>
        </w:rPr>
      </w:pPr>
      <w:r>
        <w:rPr>
          <w:rFonts w:ascii="宋体" w:hint="eastAsia"/>
          <w:kern w:val="0"/>
          <w:szCs w:val="20"/>
        </w:rPr>
        <w:t>每批产品应附有随行文件，其中除应包括供方信息、产品信息、本文件编号、出厂日期或包装日期外，还宜包括：</w:t>
      </w:r>
    </w:p>
    <w:p>
      <w:pPr>
        <w:widowControl/>
        <w:autoSpaceDE w:val="0"/>
        <w:autoSpaceDN w:val="0"/>
        <w:spacing w:line="360" w:lineRule="exact"/>
        <w:ind w:firstLineChars="200" w:firstLine="420"/>
        <w:rPr>
          <w:rFonts w:ascii="宋体" w:hAnsi="宋体"/>
          <w:kern w:val="0"/>
          <w:szCs w:val="46"/>
        </w:rPr>
      </w:pPr>
      <w:r>
        <w:rPr>
          <w:rFonts w:ascii="宋体"/>
          <w:kern w:val="0"/>
          <w:szCs w:val="20"/>
        </w:rPr>
        <w:t>a</w:t>
      </w:r>
      <w:r>
        <w:rPr>
          <w:rFonts w:ascii="宋体" w:hAnsi="宋体" w:hint="eastAsia"/>
          <w:kern w:val="0"/>
          <w:szCs w:val="46"/>
        </w:rPr>
        <w:t>）产品质量保证书，内容如下：</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lastRenderedPageBreak/>
        <w:t>产品的主要性能及技术参数</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产品特点（包括制造工艺及原材料的特点）；</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对产品质量所负的责任；</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对产品获得的质量认证及带供方技术监督部门检印的各项分析检验结果。</w:t>
      </w:r>
    </w:p>
    <w:p>
      <w:pPr>
        <w:widowControl/>
        <w:autoSpaceDE w:val="0"/>
        <w:autoSpaceDN w:val="0"/>
        <w:spacing w:line="360" w:lineRule="exact"/>
        <w:ind w:firstLineChars="200" w:firstLine="420"/>
        <w:rPr>
          <w:rFonts w:ascii="宋体" w:hAnsi="宋体"/>
          <w:kern w:val="0"/>
          <w:szCs w:val="46"/>
        </w:rPr>
      </w:pPr>
      <w:r>
        <w:rPr>
          <w:rFonts w:ascii="宋体" w:hAnsi="宋体" w:hint="eastAsia"/>
          <w:kern w:val="0"/>
          <w:szCs w:val="46"/>
        </w:rPr>
        <w:t>b）产品合格证，内容如下：</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检验项目及其结果或检验结论；</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批量或批号；</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检验日期；</w:t>
      </w:r>
    </w:p>
    <w:p>
      <w:pPr>
        <w:widowControl/>
        <w:numPr>
          <w:ilvl w:val="255"/>
          <w:numId w:val="0"/>
        </w:numPr>
        <w:autoSpaceDE w:val="0"/>
        <w:autoSpaceDN w:val="0"/>
        <w:spacing w:line="360" w:lineRule="exact"/>
        <w:rPr>
          <w:rFonts w:ascii="宋体" w:hAnsi="宋体"/>
          <w:kern w:val="0"/>
          <w:szCs w:val="46"/>
        </w:rPr>
      </w:pPr>
      <w:r>
        <w:rPr>
          <w:rFonts w:ascii="宋体" w:hAnsi="宋体" w:hint="eastAsia"/>
          <w:kern w:val="0"/>
          <w:szCs w:val="46"/>
        </w:rPr>
        <w:t>9 订货单内容</w:t>
      </w:r>
    </w:p>
    <w:p>
      <w:pPr>
        <w:tabs>
          <w:tab w:val="left" w:pos="2400"/>
        </w:tabs>
        <w:adjustRightInd w:val="0"/>
        <w:spacing w:line="360" w:lineRule="exact"/>
        <w:ind w:firstLineChars="200" w:firstLine="420"/>
        <w:rPr>
          <w:rFonts w:ascii="宋体" w:hAnsi="宋体"/>
          <w:kern w:val="0"/>
          <w:szCs w:val="21"/>
        </w:rPr>
      </w:pPr>
      <w:r>
        <w:rPr>
          <w:rFonts w:ascii="宋体" w:hAnsi="宋体" w:hint="eastAsia"/>
          <w:kern w:val="0"/>
          <w:szCs w:val="21"/>
        </w:rPr>
        <w:t>本文件所列产品的订货单应包括下列内容：</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a)  </w:t>
      </w:r>
      <w:r>
        <w:rPr>
          <w:rFonts w:ascii="宋体" w:hAnsi="宋体" w:hint="eastAsia"/>
          <w:kern w:val="0"/>
          <w:szCs w:val="21"/>
        </w:rPr>
        <w:t>产品名称；</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b)  </w:t>
      </w:r>
      <w:r>
        <w:rPr>
          <w:rFonts w:ascii="宋体" w:hAnsi="宋体" w:hint="eastAsia"/>
          <w:kern w:val="0"/>
          <w:szCs w:val="21"/>
        </w:rPr>
        <w:t>牌号；</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c)  </w:t>
      </w:r>
      <w:r>
        <w:rPr>
          <w:rFonts w:ascii="宋体" w:hAnsi="宋体" w:hint="eastAsia"/>
          <w:kern w:val="0"/>
          <w:szCs w:val="21"/>
        </w:rPr>
        <w:t>状态；</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d)  </w:t>
      </w:r>
      <w:r>
        <w:rPr>
          <w:rFonts w:hint="eastAsia"/>
          <w:kern w:val="0"/>
          <w:szCs w:val="21"/>
        </w:rPr>
        <w:t>规格；</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e)  </w:t>
      </w:r>
      <w:r>
        <w:rPr>
          <w:rFonts w:ascii="宋体" w:hAnsi="宋体" w:hint="eastAsia"/>
          <w:kern w:val="0"/>
          <w:szCs w:val="21"/>
        </w:rPr>
        <w:t>重量或根数；</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f)</w:t>
      </w:r>
      <w:r>
        <w:rPr>
          <w:rFonts w:ascii="宋体" w:hAnsi="宋体" w:hint="eastAsia"/>
          <w:kern w:val="0"/>
          <w:szCs w:val="21"/>
        </w:rPr>
        <w:t xml:space="preserve">  拉伸试验和硬度试验</w:t>
      </w:r>
    </w:p>
    <w:p>
      <w:pPr>
        <w:tabs>
          <w:tab w:val="left" w:pos="2400"/>
        </w:tabs>
        <w:adjustRightInd w:val="0"/>
        <w:spacing w:line="360" w:lineRule="exact"/>
        <w:ind w:firstLineChars="200" w:firstLine="420"/>
        <w:rPr>
          <w:rFonts w:ascii="宋体" w:hAnsi="宋体"/>
          <w:kern w:val="0"/>
          <w:szCs w:val="21"/>
        </w:rPr>
      </w:pPr>
      <w:r>
        <w:rPr>
          <w:rFonts w:ascii="宋体" w:hAnsi="宋体" w:hint="eastAsia"/>
          <w:kern w:val="0"/>
          <w:szCs w:val="21"/>
        </w:rPr>
        <w:t>g</w:t>
      </w:r>
      <w:r>
        <w:rPr>
          <w:rFonts w:ascii="宋体" w:hAnsi="宋体"/>
          <w:kern w:val="0"/>
          <w:szCs w:val="21"/>
        </w:rPr>
        <w:t xml:space="preserve">) </w:t>
      </w:r>
      <w:r>
        <w:rPr>
          <w:rFonts w:ascii="宋体" w:hAnsi="宋体" w:hint="eastAsia"/>
          <w:kern w:val="0"/>
          <w:szCs w:val="21"/>
        </w:rPr>
        <w:t>电性能；</w:t>
      </w:r>
    </w:p>
    <w:p>
      <w:pPr>
        <w:tabs>
          <w:tab w:val="left" w:pos="2400"/>
        </w:tabs>
        <w:adjustRightInd w:val="0"/>
        <w:spacing w:line="360" w:lineRule="exact"/>
        <w:ind w:firstLineChars="200" w:firstLine="420"/>
        <w:rPr>
          <w:rFonts w:ascii="宋体" w:hAnsi="宋体"/>
          <w:kern w:val="0"/>
          <w:szCs w:val="21"/>
        </w:rPr>
      </w:pPr>
      <w:r>
        <w:rPr>
          <w:rFonts w:ascii="宋体" w:hAnsi="宋体" w:hint="eastAsia"/>
        </w:rPr>
        <w:t>h</w:t>
      </w:r>
      <w:r>
        <w:rPr>
          <w:rFonts w:ascii="宋体" w:hAnsi="宋体"/>
        </w:rPr>
        <w:t>)</w:t>
      </w:r>
      <w:r>
        <w:rPr>
          <w:rFonts w:ascii="宋体" w:hAnsi="宋体" w:hint="eastAsia"/>
          <w:kern w:val="0"/>
          <w:szCs w:val="21"/>
        </w:rPr>
        <w:t xml:space="preserve"> 残余应力(有需要时）；</w:t>
      </w:r>
    </w:p>
    <w:p>
      <w:pPr>
        <w:tabs>
          <w:tab w:val="left" w:pos="2400"/>
        </w:tabs>
        <w:adjustRightInd w:val="0"/>
        <w:spacing w:line="360" w:lineRule="exact"/>
        <w:ind w:firstLineChars="200" w:firstLine="420"/>
        <w:rPr>
          <w:rFonts w:ascii="宋体" w:hAnsi="宋体"/>
          <w:kern w:val="0"/>
          <w:szCs w:val="21"/>
        </w:rPr>
      </w:pPr>
      <w:r>
        <w:rPr>
          <w:rFonts w:ascii="宋体" w:hAnsi="宋体" w:hint="eastAsia"/>
          <w:kern w:val="0"/>
          <w:szCs w:val="21"/>
        </w:rPr>
        <w:t>i）本文件编号；</w:t>
      </w:r>
    </w:p>
    <w:p>
      <w:pPr>
        <w:spacing w:line="360" w:lineRule="exact"/>
        <w:ind w:firstLineChars="200" w:firstLine="420"/>
        <w:rPr>
          <w:rFonts w:ascii="宋体" w:hAnsi="宋体"/>
        </w:rPr>
      </w:pPr>
      <w:r>
        <w:rPr>
          <w:rFonts w:ascii="宋体" w:hAnsi="宋体" w:hint="eastAsia"/>
        </w:rPr>
        <w:t>j）其他。</w:t>
      </w:r>
    </w:p>
    <w:p>
      <w:pPr>
        <w:tabs>
          <w:tab w:val="left" w:pos="987"/>
        </w:tabs>
        <w:adjustRightInd w:val="0"/>
        <w:jc w:val="left"/>
        <w:textAlignment w:val="baseline"/>
        <w:rPr>
          <w:rFonts w:ascii="宋体" w:hAnsi="宋体"/>
          <w:kern w:val="0"/>
          <w:szCs w:val="46"/>
        </w:rPr>
      </w:pPr>
      <w:r>
        <w:rPr>
          <w:rFonts w:ascii="宋体" w:hAnsi="宋体"/>
          <w:noProof/>
          <w:kern w:val="0"/>
          <w:szCs w:val="46"/>
        </w:rPr>
        <mc:AlternateContent>
          <mc:Choice Requires="wps">
            <w:drawing>
              <wp:anchor distT="0" distB="0" distL="114300" distR="114300" simplePos="0" relativeHeight="251662848" behindDoc="0" locked="0" layoutInCell="1" allowOverlap="1">
                <wp:simplePos x="0" y="0"/>
                <wp:positionH relativeFrom="column">
                  <wp:posOffset>2266950</wp:posOffset>
                </wp:positionH>
                <wp:positionV relativeFrom="paragraph">
                  <wp:posOffset>170180</wp:posOffset>
                </wp:positionV>
                <wp:extent cx="1533525" cy="0"/>
                <wp:effectExtent l="0" t="0" r="952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Line 13" o:spid="_x0000_s1026" o:spt="20" style="position:absolute;left:0pt;margin-left:178.5pt;margin-top:13.4pt;height:0pt;width:120.75pt;z-index:251668480;mso-width-relative:page;mso-height-relative:page;" filled="f" stroked="t" coordsize="21600,21600" o:gfxdata="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kKJK2AAAAAkBAAAPAAAAAAAAAAEAIAAAACIAAABkcnMv&#10;ZG93bnJldi54bWxQSwECFAAUAAAACACHTuJAVZ86ssoBAAChAwAADgAAAAAAAAABACAAAAAnAQAA&#10;ZHJzL2Uyb0RvYy54bWxQSwUGAAAAAAYABgBZAQAAYwUAAAAA&#10;">
                <v:fill on="f" focussize="0,0"/>
                <v:stroke weight="1pt" color="#000000" joinstyle="round"/>
                <v:imagedata o:title=""/>
                <o:lock v:ext="edit" aspectratio="f"/>
              </v:line>
            </w:pict>
          </mc:Fallback>
        </mc:AlternateContent>
      </w: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hint="eastAsia"/>
        </w:rPr>
      </w:pPr>
    </w:p>
    <w:p>
      <w:pPr>
        <w:spacing w:line="360" w:lineRule="exact"/>
        <w:jc w:val="center"/>
        <w:rPr>
          <w:rFonts w:asciiTheme="minorHAnsi" w:eastAsia="黑体" w:hAnsiTheme="minorHAnsi" w:hint="eastAsia"/>
        </w:rPr>
      </w:pPr>
    </w:p>
    <w:p>
      <w:pPr>
        <w:spacing w:line="360" w:lineRule="exact"/>
        <w:jc w:val="center"/>
        <w:rPr>
          <w:rFonts w:asciiTheme="minorHAnsi" w:eastAsia="黑体" w:hAnsiTheme="minorHAnsi" w:hint="eastAsia"/>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r>
        <w:rPr>
          <w:rFonts w:asciiTheme="minorHAnsi" w:eastAsia="黑体" w:hAnsiTheme="minorHAnsi" w:hint="eastAsia"/>
        </w:rPr>
        <w:lastRenderedPageBreak/>
        <w:t>附</w:t>
      </w:r>
      <w:r>
        <w:rPr>
          <w:rFonts w:asciiTheme="minorHAnsi" w:eastAsia="黑体" w:hAnsiTheme="minorHAnsi" w:hint="eastAsia"/>
        </w:rPr>
        <w:t xml:space="preserve"> </w:t>
      </w:r>
      <w:r>
        <w:rPr>
          <w:rFonts w:asciiTheme="minorHAnsi" w:eastAsia="黑体" w:hAnsiTheme="minorHAnsi" w:hint="eastAsia"/>
        </w:rPr>
        <w:t>录</w:t>
      </w:r>
      <w:r>
        <w:rPr>
          <w:rFonts w:asciiTheme="minorHAnsi" w:eastAsia="黑体" w:hAnsiTheme="minorHAnsi" w:hint="eastAsia"/>
        </w:rPr>
        <w:t xml:space="preserve"> A</w:t>
      </w:r>
    </w:p>
    <w:p>
      <w:pPr>
        <w:spacing w:line="360" w:lineRule="exact"/>
        <w:jc w:val="center"/>
        <w:rPr>
          <w:rFonts w:asciiTheme="minorHAnsi" w:eastAsia="黑体" w:hAnsiTheme="minorHAnsi"/>
        </w:rPr>
      </w:pPr>
      <w:r>
        <w:rPr>
          <w:rFonts w:asciiTheme="minorHAnsi" w:eastAsia="黑体" w:hAnsiTheme="minorHAnsi" w:hint="eastAsia"/>
        </w:rPr>
        <w:t>（规范性）</w:t>
      </w:r>
    </w:p>
    <w:p>
      <w:pPr>
        <w:spacing w:line="360" w:lineRule="exact"/>
        <w:jc w:val="center"/>
        <w:rPr>
          <w:rFonts w:asciiTheme="minorHAnsi" w:eastAsia="黑体" w:hAnsiTheme="minorHAnsi"/>
        </w:rPr>
      </w:pPr>
      <w:r>
        <w:rPr>
          <w:rFonts w:ascii="黑体" w:eastAsia="黑体" w:hAnsi="黑体" w:cs="黑体" w:hint="eastAsia"/>
          <w:szCs w:val="46"/>
        </w:rPr>
        <w:t>铜铁合金中铁含量</w:t>
      </w:r>
      <w:r>
        <w:rPr>
          <w:rFonts w:ascii="黑体" w:eastAsia="黑体" w:hAnsi="黑体" w:cs="黑体" w:hint="eastAsia"/>
        </w:rPr>
        <w:t>的测定方</w:t>
      </w:r>
      <w:r>
        <w:rPr>
          <w:rFonts w:asciiTheme="minorHAnsi" w:eastAsia="黑体" w:hAnsiTheme="minorHAnsi" w:hint="eastAsia"/>
        </w:rPr>
        <w:t>法</w:t>
      </w:r>
    </w:p>
    <w:p>
      <w:pPr>
        <w:rPr>
          <w:rFonts w:ascii="宋体" w:hAnsi="宋体"/>
          <w:szCs w:val="46"/>
        </w:rPr>
      </w:pPr>
    </w:p>
    <w:p>
      <w:pPr>
        <w:spacing w:beforeLines="50" w:before="156" w:afterLines="50" w:after="156" w:line="340" w:lineRule="exact"/>
        <w:rPr>
          <w:rFonts w:ascii="黑体" w:eastAsia="黑体" w:hAnsi="黑体" w:cstheme="minorBidi"/>
          <w:szCs w:val="21"/>
        </w:rPr>
      </w:pPr>
      <w:r>
        <w:rPr>
          <w:rFonts w:ascii="黑体" w:eastAsia="黑体" w:hAnsi="黑体" w:cstheme="minorBidi" w:hint="eastAsia"/>
          <w:szCs w:val="21"/>
        </w:rPr>
        <w:t>A.1 方法原理</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试样用盐酸和硝酸溶解，在氯化铵与氨水介质中沉淀铁，过滤去除铜氨络合物，将沉淀溶于盐酸后，用氯化亚锡还原铁（Ⅲ）为铁（Ⅱ），用二氯化汞除去过量的氯化亚锡后，以二苯胺磺酸钠作指示剂，用重铬酸钾标准溶液滴定。</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测定范围5%-80%。</w:t>
      </w:r>
    </w:p>
    <w:p>
      <w:pPr>
        <w:spacing w:beforeLines="50" w:before="156" w:afterLines="50" w:after="156" w:line="340" w:lineRule="exact"/>
        <w:rPr>
          <w:rFonts w:ascii="黑体" w:eastAsia="黑体" w:hAnsi="黑体" w:cstheme="minorBidi"/>
          <w:szCs w:val="21"/>
        </w:rPr>
      </w:pPr>
      <w:r>
        <w:rPr>
          <w:rFonts w:ascii="黑体" w:eastAsia="黑体" w:hAnsi="黑体" w:cstheme="minorBidi" w:hint="eastAsia"/>
          <w:szCs w:val="21"/>
        </w:rPr>
        <w:t>A.2 试剂</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除非另有说明，在分析中仅使用确认为分析纯的试剂和蒸馏水或去离子水或相当纯度的水。</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A.2.1盐酸(ρ1.19g/mL)。</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A.2.2硝酸(1+1)。</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A.2.3氯化铵。</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A.2.4二氯化汞饱和溶液。</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A.2.5氯化亚锡溶液10%:称取10克氯化亚锡溶于20毫升盐酸中，加热溶解后，用水稀释至100毫升。</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A.2.6硫磷混酸:硫酸：磷酸：水=150毫升：150毫升：700毫升。</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A.2.7二苯胺磺酸钠溶液:0.08%。</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A.2.8洗液:2%氨水+2%氯化铵。</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A.2.9重铬酸钾标准溶液（0.1000mol/L）:称取重铬酸钾4.903g预先经140℃～150℃烘至恒重、置于干燥器中冷却至室温的基准重铬酸钾，置于250mL烧杯中，以水溶解。移入1000mL容量瓶中，用水稀释至刻度，混匀。</w:t>
      </w:r>
    </w:p>
    <w:p>
      <w:pPr>
        <w:spacing w:beforeLines="50" w:before="156" w:afterLines="50" w:after="156" w:line="340" w:lineRule="exact"/>
        <w:rPr>
          <w:rFonts w:ascii="黑体" w:eastAsia="黑体" w:hAnsi="黑体" w:cstheme="minorBidi"/>
          <w:szCs w:val="21"/>
        </w:rPr>
      </w:pPr>
      <w:r>
        <w:rPr>
          <w:rFonts w:ascii="黑体" w:eastAsia="黑体" w:hAnsi="黑体" w:cstheme="minorBidi" w:hint="eastAsia"/>
          <w:szCs w:val="21"/>
        </w:rPr>
        <w:t>A.3 仪器</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A.3.1 电子天平。</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A.3.2 滴定管。</w:t>
      </w:r>
    </w:p>
    <w:p>
      <w:pPr>
        <w:spacing w:beforeLines="50" w:before="156" w:afterLines="50" w:after="156" w:line="340" w:lineRule="exact"/>
        <w:rPr>
          <w:rFonts w:ascii="黑体" w:eastAsia="黑体" w:hAnsi="黑体" w:cstheme="minorBidi"/>
          <w:szCs w:val="21"/>
        </w:rPr>
      </w:pPr>
      <w:r>
        <w:rPr>
          <w:rFonts w:ascii="黑体" w:eastAsia="黑体" w:hAnsi="黑体" w:cstheme="minorBidi" w:hint="eastAsia"/>
          <w:szCs w:val="21"/>
        </w:rPr>
        <w:t>A.4 取样测定</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A.4.1 取样</w:t>
      </w:r>
    </w:p>
    <w:p>
      <w:pPr>
        <w:spacing w:line="34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按表A.1称取样，精确至0.0001g。</w:t>
      </w:r>
    </w:p>
    <w:p>
      <w:pPr>
        <w:spacing w:line="360" w:lineRule="auto"/>
        <w:ind w:firstLineChars="100" w:firstLine="210"/>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表A.1 取样质量</w:t>
      </w:r>
    </w:p>
    <w:tbl>
      <w:tblPr>
        <w:tblStyle w:val="12"/>
        <w:tblW w:w="0" w:type="auto"/>
        <w:jc w:val="center"/>
        <w:tblLook w:val="04A0" w:firstRow="1" w:lastRow="0" w:firstColumn="1" w:lastColumn="0" w:noHBand="0" w:noVBand="1"/>
      </w:tblPr>
      <w:tblGrid>
        <w:gridCol w:w="3890"/>
        <w:gridCol w:w="3890"/>
      </w:tblGrid>
      <w:tr>
        <w:trPr>
          <w:trHeight w:val="340"/>
          <w:jc w:val="center"/>
        </w:trPr>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铁质量分数/%</w:t>
            </w:r>
          </w:p>
        </w:tc>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取样质量/g</w:t>
            </w:r>
          </w:p>
        </w:tc>
      </w:tr>
      <w:tr>
        <w:trPr>
          <w:trHeight w:val="340"/>
          <w:jc w:val="center"/>
        </w:trPr>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5.00～15.00</w:t>
            </w:r>
          </w:p>
        </w:tc>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1.00</w:t>
            </w:r>
          </w:p>
        </w:tc>
      </w:tr>
      <w:tr>
        <w:trPr>
          <w:trHeight w:val="340"/>
          <w:jc w:val="center"/>
        </w:trPr>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＞15.00～35.00</w:t>
            </w:r>
          </w:p>
        </w:tc>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0.50</w:t>
            </w:r>
          </w:p>
        </w:tc>
      </w:tr>
      <w:tr>
        <w:trPr>
          <w:trHeight w:val="340"/>
          <w:jc w:val="center"/>
        </w:trPr>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＞35.00～60.00</w:t>
            </w:r>
          </w:p>
        </w:tc>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0.30</w:t>
            </w:r>
          </w:p>
        </w:tc>
      </w:tr>
      <w:tr>
        <w:trPr>
          <w:trHeight w:val="340"/>
          <w:jc w:val="center"/>
        </w:trPr>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＞60.00～80.00</w:t>
            </w:r>
          </w:p>
        </w:tc>
        <w:tc>
          <w:tcPr>
            <w:tcW w:w="3890" w:type="dxa"/>
            <w:vAlign w:val="center"/>
          </w:tcPr>
          <w:p>
            <w:pPr>
              <w:jc w:val="center"/>
              <w:rPr>
                <w:rFonts w:asciiTheme="minorEastAsia" w:hAnsiTheme="minorEastAsia"/>
                <w:sz w:val="18"/>
                <w:szCs w:val="18"/>
              </w:rPr>
            </w:pPr>
            <w:r>
              <w:rPr>
                <w:rFonts w:asciiTheme="minorEastAsia" w:hAnsiTheme="minorEastAsia" w:hint="eastAsia"/>
                <w:sz w:val="18"/>
                <w:szCs w:val="18"/>
              </w:rPr>
              <w:t>0.20</w:t>
            </w:r>
          </w:p>
        </w:tc>
      </w:tr>
    </w:tbl>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A.4.2 测定</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szCs w:val="21"/>
        </w:rPr>
        <w:t>A.4.2</w:t>
      </w:r>
      <w:r>
        <w:rPr>
          <w:rFonts w:asciiTheme="minorEastAsia" w:eastAsiaTheme="minorEastAsia" w:hAnsiTheme="minorEastAsia" w:cstheme="minorBidi" w:hint="eastAsia"/>
          <w:szCs w:val="21"/>
        </w:rPr>
        <w:t>.1将试样（A.4.1）置于250mL三角烧瓶中，用少量水润湿，加盐酸15mL（A.2.1</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，加热溶解，</w:t>
      </w:r>
      <w:r>
        <w:rPr>
          <w:rFonts w:asciiTheme="minorEastAsia" w:eastAsiaTheme="minorEastAsia" w:hAnsiTheme="minorEastAsia" w:cstheme="minorBidi" w:hint="eastAsia"/>
          <w:szCs w:val="21"/>
        </w:rPr>
        <w:lastRenderedPageBreak/>
        <w:t>待大部分试样溶解后，加硝酸15mL(A.2.2)，加热溶解完后，取下，用水吹洗表皿及杯壁。</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szCs w:val="21"/>
        </w:rPr>
        <w:t>A.4.2</w:t>
      </w:r>
      <w:r>
        <w:rPr>
          <w:rFonts w:asciiTheme="minorEastAsia" w:eastAsiaTheme="minorEastAsia" w:hAnsiTheme="minorEastAsia" w:cstheme="minorBidi" w:hint="eastAsia"/>
          <w:szCs w:val="21"/>
        </w:rPr>
        <w:t>.2稀释至100mL左右，加入氯化铵2-5克</w:t>
      </w:r>
      <w:r>
        <w:rPr>
          <w:rFonts w:asciiTheme="minorEastAsia" w:eastAsiaTheme="minorEastAsia" w:hAnsiTheme="minorEastAsia" w:cstheme="minorBidi"/>
          <w:szCs w:val="21"/>
        </w:rPr>
        <w:t>(A.2.</w:t>
      </w:r>
      <w:r>
        <w:rPr>
          <w:rFonts w:asciiTheme="minorEastAsia" w:eastAsiaTheme="minorEastAsia" w:hAnsiTheme="minorEastAsia" w:cstheme="minorBidi" w:hint="eastAsia"/>
          <w:szCs w:val="21"/>
        </w:rPr>
        <w:t>3</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，用氨水中和至氢氧化铁完全沉淀后，在过量5毫升，加热煮沸，用快速滤纸过滤，用洗液洗涤烧杯8-10次。</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szCs w:val="21"/>
        </w:rPr>
        <w:t>A.4.2</w:t>
      </w:r>
      <w:r>
        <w:rPr>
          <w:rFonts w:asciiTheme="minorEastAsia" w:eastAsiaTheme="minorEastAsia" w:hAnsiTheme="minorEastAsia" w:cstheme="minorBidi" w:hint="eastAsia"/>
          <w:szCs w:val="21"/>
        </w:rPr>
        <w:t>.3将沉淀用热的盐酸（1+1）溶解于原烧瓶中，滤纸用热水和盐酸（1+1）交替洗涤至滤纸上无黄色为止（保持50毫升左右）。</w:t>
      </w:r>
    </w:p>
    <w:p>
      <w:pPr>
        <w:spacing w:line="340" w:lineRule="exact"/>
        <w:rPr>
          <w:rFonts w:asciiTheme="minorEastAsia" w:eastAsiaTheme="minorEastAsia" w:hAnsiTheme="minorEastAsia" w:cstheme="minorBidi"/>
          <w:szCs w:val="21"/>
        </w:rPr>
      </w:pPr>
      <w:r>
        <w:rPr>
          <w:rFonts w:asciiTheme="minorEastAsia" w:eastAsiaTheme="minorEastAsia" w:hAnsiTheme="minorEastAsia" w:cstheme="minorBidi"/>
          <w:szCs w:val="21"/>
        </w:rPr>
        <w:t>A.4.2</w:t>
      </w:r>
      <w:r>
        <w:rPr>
          <w:rFonts w:asciiTheme="minorEastAsia" w:eastAsiaTheme="minorEastAsia" w:hAnsiTheme="minorEastAsia" w:cstheme="minorBidi" w:hint="eastAsia"/>
          <w:szCs w:val="21"/>
        </w:rPr>
        <w:t>.4加热至近沸，趁热滴加10%氯化亚锡溶液</w:t>
      </w:r>
      <w:r>
        <w:rPr>
          <w:rFonts w:asciiTheme="minorEastAsia" w:eastAsiaTheme="minorEastAsia" w:hAnsiTheme="minorEastAsia" w:cstheme="minorBidi"/>
          <w:szCs w:val="21"/>
        </w:rPr>
        <w:t>(A.2.</w:t>
      </w:r>
      <w:r>
        <w:rPr>
          <w:rFonts w:asciiTheme="minorEastAsia" w:eastAsiaTheme="minorEastAsia" w:hAnsiTheme="minorEastAsia" w:cstheme="minorBidi" w:hint="eastAsia"/>
          <w:szCs w:val="21"/>
        </w:rPr>
        <w:t>5</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至黄色消失后再过量1-2滴，迅速冷却，加入二氯化汞饱和溶液10mL</w:t>
      </w:r>
      <w:r>
        <w:rPr>
          <w:rFonts w:asciiTheme="minorEastAsia" w:eastAsiaTheme="minorEastAsia" w:hAnsiTheme="minorEastAsia" w:cstheme="minorBidi"/>
          <w:szCs w:val="21"/>
        </w:rPr>
        <w:t>(A.2.</w:t>
      </w:r>
      <w:r>
        <w:rPr>
          <w:rFonts w:asciiTheme="minorEastAsia" w:eastAsiaTheme="minorEastAsia" w:hAnsiTheme="minorEastAsia" w:cstheme="minorBidi" w:hint="eastAsia"/>
          <w:szCs w:val="21"/>
        </w:rPr>
        <w:t>4</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，混匀，静置2min后，加硫磷混酸10mL</w:t>
      </w:r>
      <w:r>
        <w:rPr>
          <w:rFonts w:asciiTheme="minorEastAsia" w:eastAsiaTheme="minorEastAsia" w:hAnsiTheme="minorEastAsia" w:cstheme="minorBidi"/>
          <w:szCs w:val="21"/>
        </w:rPr>
        <w:t>(A.2.</w:t>
      </w:r>
      <w:r>
        <w:rPr>
          <w:rFonts w:asciiTheme="minorEastAsia" w:eastAsiaTheme="minorEastAsia" w:hAnsiTheme="minorEastAsia" w:cstheme="minorBidi" w:hint="eastAsia"/>
          <w:szCs w:val="21"/>
        </w:rPr>
        <w:t>6</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，0.08%二苯胺磺酸钠溶液5滴</w:t>
      </w:r>
      <w:r>
        <w:rPr>
          <w:rFonts w:asciiTheme="minorEastAsia" w:eastAsiaTheme="minorEastAsia" w:hAnsiTheme="minorEastAsia" w:cstheme="minorBidi"/>
          <w:szCs w:val="21"/>
        </w:rPr>
        <w:t>(A.2.</w:t>
      </w:r>
      <w:r>
        <w:rPr>
          <w:rFonts w:asciiTheme="minorEastAsia" w:eastAsiaTheme="minorEastAsia" w:hAnsiTheme="minorEastAsia" w:cstheme="minorBidi" w:hint="eastAsia"/>
          <w:szCs w:val="21"/>
        </w:rPr>
        <w:t>7</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，用重铬酸钾标准溶液</w:t>
      </w:r>
      <w:r>
        <w:rPr>
          <w:rFonts w:asciiTheme="minorEastAsia" w:eastAsiaTheme="minorEastAsia" w:hAnsiTheme="minorEastAsia" w:cstheme="minorBidi"/>
          <w:szCs w:val="21"/>
        </w:rPr>
        <w:t>(A.2.</w:t>
      </w:r>
      <w:r>
        <w:rPr>
          <w:rFonts w:asciiTheme="minorEastAsia" w:eastAsiaTheme="minorEastAsia" w:hAnsiTheme="minorEastAsia" w:cstheme="minorBidi" w:hint="eastAsia"/>
          <w:szCs w:val="21"/>
        </w:rPr>
        <w:t>9</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滴定至溶液由绿色转变为紫色为终点。</w:t>
      </w:r>
    </w:p>
    <w:p>
      <w:pPr>
        <w:spacing w:beforeLines="50" w:before="156" w:afterLines="50" w:after="156" w:line="340" w:lineRule="exact"/>
        <w:rPr>
          <w:rFonts w:ascii="黑体" w:eastAsia="黑体" w:hAnsi="黑体" w:cstheme="minorBidi"/>
          <w:szCs w:val="21"/>
        </w:rPr>
      </w:pPr>
      <w:r>
        <w:rPr>
          <w:rFonts w:ascii="黑体" w:eastAsia="黑体" w:hAnsi="黑体" w:cstheme="minorBidi" w:hint="eastAsia"/>
          <w:szCs w:val="21"/>
        </w:rPr>
        <w:t>A.5 试验数据的处理</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按式(1)计算铁的质量分数w（Fe），数值以%表示：</w:t>
      </w:r>
    </w:p>
    <w:p>
      <w:pPr>
        <w:spacing w:line="360" w:lineRule="auto"/>
        <w:ind w:firstLineChars="650" w:firstLine="1365"/>
        <w:rPr>
          <w:rFonts w:asciiTheme="minorEastAsia" w:eastAsiaTheme="minorEastAsia" w:hAnsiTheme="minorEastAsia" w:cstheme="minorBidi"/>
          <w:szCs w:val="21"/>
        </w:rPr>
      </w:pPr>
      <m:oMath>
        <m:r>
          <w:rPr>
            <w:rFonts w:ascii="Cambria Math" w:eastAsiaTheme="minorEastAsia" w:hAnsi="Cambria Math" w:cs="Cambria Math"/>
            <w:szCs w:val="21"/>
          </w:rPr>
          <m:t>w(Fe)</m:t>
        </m:r>
        <m:r>
          <m:rPr>
            <m:sty m:val="p"/>
          </m:rPr>
          <w:rPr>
            <w:rFonts w:ascii="Cambria Math" w:eastAsiaTheme="minorEastAsia" w:hAnsi="Cambria Math" w:cs="Cambria Math"/>
            <w:szCs w:val="21"/>
          </w:rPr>
          <m:t>=</m:t>
        </m:r>
        <m:f>
          <m:fPr>
            <m:ctrlPr>
              <w:rPr>
                <w:rFonts w:ascii="Cambria Math" w:eastAsiaTheme="minorEastAsia" w:hAnsi="Cambria Math" w:cstheme="minorBidi"/>
                <w:szCs w:val="21"/>
              </w:rPr>
            </m:ctrlPr>
          </m:fPr>
          <m:num>
            <m:r>
              <m:rPr>
                <m:sty m:val="p"/>
              </m:rPr>
              <w:rPr>
                <w:rFonts w:ascii="Cambria Math" w:eastAsiaTheme="minorEastAsia" w:hAnsi="Cambria Math" w:cs="Cambria Math"/>
                <w:szCs w:val="21"/>
              </w:rPr>
              <m:t>c×V×55.85</m:t>
            </m:r>
            <m:sSup>
              <m:sSupPr>
                <m:ctrlPr>
                  <w:rPr>
                    <w:rFonts w:ascii="Cambria Math" w:eastAsiaTheme="minorEastAsia" w:hAnsi="Cambria Math" w:cs="Cambria Math"/>
                    <w:szCs w:val="21"/>
                  </w:rPr>
                </m:ctrlPr>
              </m:sSupPr>
              <m:e>
                <m:r>
                  <m:rPr>
                    <m:sty m:val="p"/>
                  </m:rPr>
                  <w:rPr>
                    <w:rFonts w:ascii="Cambria Math" w:eastAsiaTheme="minorEastAsia" w:hAnsi="Cambria Math" w:cs="Cambria Math"/>
                    <w:szCs w:val="21"/>
                  </w:rPr>
                  <m:t>×</m:t>
                </m:r>
                <m:r>
                  <w:rPr>
                    <w:rFonts w:ascii="Cambria Math" w:eastAsiaTheme="minorEastAsia" w:hAnsi="Cambria Math" w:cs="Cambria Math"/>
                    <w:szCs w:val="21"/>
                  </w:rPr>
                  <m:t>10</m:t>
                </m:r>
              </m:e>
              <m:sup>
                <m:r>
                  <w:rPr>
                    <w:rFonts w:ascii="Cambria Math" w:eastAsiaTheme="minorEastAsia" w:hAnsi="Cambria Math" w:cs="Cambria Math"/>
                    <w:szCs w:val="21"/>
                  </w:rPr>
                  <m:t>-3</m:t>
                </m:r>
              </m:sup>
            </m:sSup>
          </m:num>
          <m:den>
            <m:r>
              <m:rPr>
                <m:sty m:val="p"/>
              </m:rPr>
              <w:rPr>
                <w:rFonts w:ascii="Cambria Math" w:eastAsiaTheme="minorEastAsia" w:hAnsi="Cambria Math" w:cs="Cambria Math"/>
                <w:szCs w:val="21"/>
              </w:rPr>
              <m:t>m</m:t>
            </m:r>
          </m:den>
        </m:f>
        <m:r>
          <m:rPr>
            <m:sty m:val="p"/>
          </m:rPr>
          <w:rPr>
            <w:rFonts w:ascii="Cambria Math" w:eastAsiaTheme="minorEastAsia" w:hAnsi="Cambria Math" w:cs="Cambria Math"/>
            <w:szCs w:val="21"/>
          </w:rPr>
          <m:t>×100</m:t>
        </m:r>
      </m:oMath>
      <w:r>
        <w:rPr>
          <w:rFonts w:asciiTheme="minorEastAsia" w:eastAsiaTheme="minorEastAsia" w:hAnsiTheme="minorEastAsia" w:cstheme="minorBidi" w:hint="eastAsia"/>
          <w:szCs w:val="21"/>
        </w:rPr>
        <w:t>………………………………（1）</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式中：</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i/>
          <w:szCs w:val="21"/>
        </w:rPr>
        <w:t>c</w:t>
      </w:r>
      <w:r>
        <w:rPr>
          <w:rFonts w:asciiTheme="minorEastAsia" w:eastAsiaTheme="minorEastAsia" w:hAnsiTheme="minorEastAsia" w:cstheme="minorBidi" w:hint="eastAsia"/>
          <w:szCs w:val="21"/>
        </w:rPr>
        <w:t>——重铬酸钾标准溶液的实际浓度，单位为摩尔每升（</w:t>
      </w:r>
      <w:proofErr w:type="spellStart"/>
      <w:r>
        <w:rPr>
          <w:rFonts w:asciiTheme="minorEastAsia" w:eastAsiaTheme="minorEastAsia" w:hAnsiTheme="minorEastAsia" w:cstheme="minorBidi" w:hint="eastAsia"/>
          <w:szCs w:val="21"/>
        </w:rPr>
        <w:t>mol</w:t>
      </w:r>
      <w:proofErr w:type="spellEnd"/>
      <w:r>
        <w:rPr>
          <w:rFonts w:asciiTheme="minorEastAsia" w:eastAsiaTheme="minorEastAsia" w:hAnsiTheme="minorEastAsia" w:cstheme="minorBidi" w:hint="eastAsia"/>
          <w:szCs w:val="21"/>
        </w:rPr>
        <w:t>/L）</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i/>
          <w:szCs w:val="21"/>
        </w:rPr>
        <w:t>m</w:t>
      </w:r>
      <w:r>
        <w:rPr>
          <w:rFonts w:asciiTheme="minorEastAsia" w:eastAsiaTheme="minorEastAsia" w:hAnsiTheme="minorEastAsia" w:cstheme="minorBidi" w:hint="eastAsia"/>
          <w:szCs w:val="21"/>
        </w:rPr>
        <w:t>——试样的质量，单位为克（g）</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i/>
          <w:szCs w:val="21"/>
        </w:rPr>
        <w:t>V</w:t>
      </w:r>
      <w:r>
        <w:rPr>
          <w:rFonts w:asciiTheme="minorEastAsia" w:eastAsiaTheme="minorEastAsia" w:hAnsiTheme="minorEastAsia" w:cstheme="minorBidi" w:hint="eastAsia"/>
          <w:szCs w:val="21"/>
        </w:rPr>
        <w:t>——试液总体积，单位为毫升（mL）</w:t>
      </w:r>
    </w:p>
    <w:p>
      <w:pPr>
        <w:spacing w:line="34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55.85——铁的摩尔质量，单位为克每摩尔（g/</w:t>
      </w:r>
      <w:proofErr w:type="spellStart"/>
      <w:r>
        <w:rPr>
          <w:rFonts w:asciiTheme="minorEastAsia" w:eastAsiaTheme="minorEastAsia" w:hAnsiTheme="minorEastAsia" w:cstheme="minorBidi" w:hint="eastAsia"/>
          <w:szCs w:val="21"/>
        </w:rPr>
        <w:t>mol</w:t>
      </w:r>
      <w:proofErr w:type="spellEnd"/>
      <w:r>
        <w:rPr>
          <w:rFonts w:asciiTheme="minorEastAsia" w:eastAsiaTheme="minorEastAsia" w:hAnsiTheme="minorEastAsia" w:cstheme="minorBidi" w:hint="eastAsia"/>
          <w:szCs w:val="21"/>
        </w:rPr>
        <w:t>）</w:t>
      </w:r>
    </w:p>
    <w:p>
      <w:pPr>
        <w:spacing w:line="340" w:lineRule="exact"/>
        <w:ind w:firstLineChars="200" w:firstLine="420"/>
        <w:rPr>
          <w:rFonts w:asciiTheme="minorEastAsia" w:eastAsiaTheme="minorEastAsia" w:hAnsiTheme="minorEastAsia" w:cstheme="minorBidi"/>
          <w:szCs w:val="21"/>
        </w:rPr>
      </w:pPr>
      <w:r>
        <w:rPr>
          <w:rFonts w:ascii="宋体" w:hAnsi="宋体" w:hint="eastAsia"/>
          <w:szCs w:val="46"/>
        </w:rPr>
        <w:t>铁的质量分数以2份样品检测结果的平均值为最终结果，</w:t>
      </w:r>
      <w:r>
        <w:rPr>
          <w:rFonts w:asciiTheme="minorEastAsia" w:eastAsiaTheme="minorEastAsia" w:hAnsiTheme="minorEastAsia" w:cstheme="minorBidi" w:hint="eastAsia"/>
          <w:szCs w:val="21"/>
        </w:rPr>
        <w:t>所得结果误差±0.3%，精确至小数点后两位。</w:t>
      </w:r>
    </w:p>
    <w:p>
      <w:pPr>
        <w:rPr>
          <w:rFonts w:ascii="宋体" w:hAnsi="宋体"/>
          <w:szCs w:val="46"/>
        </w:rPr>
      </w:pPr>
    </w:p>
    <w:p>
      <w:pPr>
        <w:rPr>
          <w:rFonts w:ascii="宋体" w:hAnsi="宋体"/>
          <w:szCs w:val="46"/>
        </w:rPr>
      </w:pPr>
    </w:p>
    <w:sectPr>
      <w:footerReference w:type="default" r:id="rId14"/>
      <w:pgSz w:w="11907" w:h="16839"/>
      <w:pgMar w:top="1418" w:right="1134" w:bottom="1134" w:left="1418" w:header="1418" w:footer="851" w:gutter="0"/>
      <w:pgNumType w:start="1"/>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F222EB" w15:done="0"/>
  <w15:commentEx w15:paraId="4D587F68" w15:done="0"/>
  <w15:commentEx w15:paraId="09580EBF" w15:done="0"/>
  <w15:commentEx w15:paraId="619B5BCE" w15:done="0"/>
  <w15:commentEx w15:paraId="78B04C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a"/>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2</w:t>
    </w:r>
    <w:r>
      <w:rPr>
        <w:rStyle w:val="aff1"/>
      </w:rPr>
      <w:fldChar w:fldCharType="end"/>
    </w:r>
  </w:p>
  <w:p>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9"/>
      <w:rPr>
        <w:rStyle w:val="aff1"/>
      </w:rPr>
    </w:pPr>
    <w:r>
      <w:rPr>
        <w:rStyle w:val="aff1"/>
      </w:rPr>
      <w:fldChar w:fldCharType="begin"/>
    </w:r>
    <w:r>
      <w:rPr>
        <w:rStyle w:val="aff1"/>
      </w:rPr>
      <w:instrText xml:space="preserve">PAGE  </w:instrText>
    </w:r>
    <w:r>
      <w:rPr>
        <w:rStyle w:val="aff1"/>
      </w:rPr>
      <w:fldChar w:fldCharType="separate"/>
    </w:r>
    <w:r>
      <w:rPr>
        <w:rStyle w:val="aff1"/>
      </w:rPr>
      <w:t>1</w:t>
    </w:r>
    <w:r>
      <w:rPr>
        <w:rStyle w:val="af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9"/>
      <w:jc w:val="center"/>
      <w:rPr>
        <w:rStyle w:val="aff1"/>
      </w:rPr>
    </w:pPr>
    <w:r>
      <w:rPr>
        <w:rStyle w:val="aff1"/>
      </w:rPr>
      <w:fldChar w:fldCharType="begin"/>
    </w:r>
    <w:r>
      <w:rPr>
        <w:rStyle w:val="aff1"/>
      </w:rPr>
      <w:instrText xml:space="preserve">PAGE  </w:instrText>
    </w:r>
    <w:r>
      <w:rPr>
        <w:rStyle w:val="aff1"/>
      </w:rPr>
      <w:fldChar w:fldCharType="separate"/>
    </w:r>
    <w:r>
      <w:rPr>
        <w:rStyle w:val="aff1"/>
        <w:noProof/>
      </w:rPr>
      <w:t>11</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a"/>
    </w:pPr>
    <w:r>
      <w:t>YS/T</w:t>
    </w:r>
    <w:r>
      <w:rPr>
        <w:rFonts w:hint="eastAsia"/>
      </w:rPr>
      <w:t xml:space="preserve"> </w:t>
    </w:r>
    <w:r>
      <w:rPr>
        <w:rFonts w:ascii="宋体" w:hAnsi="宋体" w:hint="eastAsia"/>
      </w:rPr>
      <w:t>××</w:t>
    </w:r>
    <w:r>
      <w:t>—</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start w:val="1"/>
      <w:numFmt w:val="none"/>
      <w:pStyle w:val="a"/>
      <w:lvlText w:val="%1示例"/>
      <w:lvlJc w:val="left"/>
      <w:pPr>
        <w:tabs>
          <w:tab w:val="left" w:pos="4806"/>
        </w:tabs>
        <w:ind w:left="3686" w:firstLine="400"/>
      </w:pPr>
      <w:rPr>
        <w:rFonts w:ascii="宋体" w:eastAsia="宋体" w:hint="eastAsia"/>
        <w:b w:val="0"/>
        <w:i w:val="0"/>
        <w:sz w:val="18"/>
      </w:rPr>
    </w:lvl>
    <w:lvl w:ilvl="1">
      <w:start w:val="1"/>
      <w:numFmt w:val="lowerLetter"/>
      <w:lvlText w:val="%2)"/>
      <w:lvlJc w:val="left"/>
      <w:pPr>
        <w:tabs>
          <w:tab w:val="left" w:pos="4526"/>
        </w:tabs>
        <w:ind w:left="4526" w:hanging="420"/>
      </w:pPr>
    </w:lvl>
    <w:lvl w:ilvl="2">
      <w:start w:val="1"/>
      <w:numFmt w:val="lowerRoman"/>
      <w:lvlText w:val="%3."/>
      <w:lvlJc w:val="right"/>
      <w:pPr>
        <w:tabs>
          <w:tab w:val="left" w:pos="4946"/>
        </w:tabs>
        <w:ind w:left="4946" w:hanging="420"/>
      </w:pPr>
    </w:lvl>
    <w:lvl w:ilvl="3">
      <w:start w:val="1"/>
      <w:numFmt w:val="decimal"/>
      <w:lvlText w:val="%4."/>
      <w:lvlJc w:val="left"/>
      <w:pPr>
        <w:tabs>
          <w:tab w:val="left" w:pos="5366"/>
        </w:tabs>
        <w:ind w:left="5366" w:hanging="420"/>
      </w:pPr>
    </w:lvl>
    <w:lvl w:ilvl="4">
      <w:start w:val="1"/>
      <w:numFmt w:val="lowerLetter"/>
      <w:lvlText w:val="%5)"/>
      <w:lvlJc w:val="left"/>
      <w:pPr>
        <w:tabs>
          <w:tab w:val="left" w:pos="5786"/>
        </w:tabs>
        <w:ind w:left="5786" w:hanging="420"/>
      </w:pPr>
    </w:lvl>
    <w:lvl w:ilvl="5">
      <w:start w:val="1"/>
      <w:numFmt w:val="lowerRoman"/>
      <w:lvlText w:val="%6."/>
      <w:lvlJc w:val="right"/>
      <w:pPr>
        <w:tabs>
          <w:tab w:val="left" w:pos="6206"/>
        </w:tabs>
        <w:ind w:left="6206" w:hanging="420"/>
      </w:pPr>
    </w:lvl>
    <w:lvl w:ilvl="6">
      <w:start w:val="1"/>
      <w:numFmt w:val="decimal"/>
      <w:lvlText w:val="%7."/>
      <w:lvlJc w:val="left"/>
      <w:pPr>
        <w:tabs>
          <w:tab w:val="left" w:pos="6626"/>
        </w:tabs>
        <w:ind w:left="6626" w:hanging="420"/>
      </w:pPr>
    </w:lvl>
    <w:lvl w:ilvl="7">
      <w:start w:val="1"/>
      <w:numFmt w:val="lowerLetter"/>
      <w:lvlText w:val="%8)"/>
      <w:lvlJc w:val="left"/>
      <w:pPr>
        <w:tabs>
          <w:tab w:val="left" w:pos="7046"/>
        </w:tabs>
        <w:ind w:left="7046" w:hanging="420"/>
      </w:pPr>
    </w:lvl>
    <w:lvl w:ilvl="8">
      <w:start w:val="1"/>
      <w:numFmt w:val="lowerRoman"/>
      <w:lvlText w:val="%9."/>
      <w:lvlJc w:val="right"/>
      <w:pPr>
        <w:tabs>
          <w:tab w:val="left" w:pos="7466"/>
        </w:tabs>
        <w:ind w:left="7466" w:hanging="420"/>
      </w:pPr>
    </w:lvl>
  </w:abstractNum>
  <w:abstractNum w:abstractNumId="1">
    <w:nsid w:val="2B2E319A"/>
    <w:multiLevelType w:val="multilevel"/>
    <w:tmpl w:val="2B2E319A"/>
    <w:lvl w:ilvl="0">
      <w:start w:val="1"/>
      <w:numFmt w:val="bullet"/>
      <w:lvlText w:val=""/>
      <w:lvlJc w:val="left"/>
      <w:pPr>
        <w:ind w:left="1260" w:hanging="420"/>
      </w:pPr>
      <w:rPr>
        <w:rFonts w:ascii="Wingdings" w:hAnsi="Wingdings" w:hint="default"/>
        <w:sz w:val="13"/>
        <w:szCs w:val="13"/>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46260FA"/>
    <w:multiLevelType w:val="multilevel"/>
    <w:tmpl w:val="646260FA"/>
    <w:lvl w:ilvl="0">
      <w:start w:val="1"/>
      <w:numFmt w:val="decimal"/>
      <w:pStyle w:val="a6"/>
      <w:suff w:val="nothing"/>
      <w:lvlText w:val="表%1　"/>
      <w:lvlJc w:val="left"/>
      <w:pPr>
        <w:ind w:left="3686" w:firstLine="0"/>
      </w:pPr>
      <w:rPr>
        <w:rFonts w:ascii="黑体" w:eastAsia="黑体" w:hAnsi="Times New Roman" w:hint="eastAsia"/>
        <w:b w:val="0"/>
        <w:i w:val="0"/>
        <w:sz w:val="21"/>
      </w:rPr>
    </w:lvl>
    <w:lvl w:ilvl="1">
      <w:start w:val="1"/>
      <w:numFmt w:val="decimal"/>
      <w:lvlText w:val="%1.%2"/>
      <w:lvlJc w:val="left"/>
      <w:pPr>
        <w:tabs>
          <w:tab w:val="left" w:pos="2127"/>
        </w:tabs>
        <w:ind w:left="2127" w:hanging="567"/>
      </w:pPr>
      <w:rPr>
        <w:rFonts w:hint="eastAsia"/>
      </w:rPr>
    </w:lvl>
    <w:lvl w:ilvl="2">
      <w:start w:val="1"/>
      <w:numFmt w:val="decimal"/>
      <w:lvlText w:val="%1.%2.%3"/>
      <w:lvlJc w:val="left"/>
      <w:pPr>
        <w:tabs>
          <w:tab w:val="left" w:pos="2553"/>
        </w:tabs>
        <w:ind w:left="2553" w:hanging="567"/>
      </w:pPr>
      <w:rPr>
        <w:rFonts w:hint="eastAsia"/>
      </w:rPr>
    </w:lvl>
    <w:lvl w:ilvl="3">
      <w:start w:val="1"/>
      <w:numFmt w:val="decimal"/>
      <w:lvlText w:val="%1.%2.%3.%4"/>
      <w:lvlJc w:val="left"/>
      <w:pPr>
        <w:tabs>
          <w:tab w:val="left" w:pos="3119"/>
        </w:tabs>
        <w:ind w:left="3119" w:hanging="708"/>
      </w:pPr>
      <w:rPr>
        <w:rFonts w:hint="eastAsia"/>
      </w:rPr>
    </w:lvl>
    <w:lvl w:ilvl="4">
      <w:start w:val="1"/>
      <w:numFmt w:val="decimal"/>
      <w:lvlText w:val="%1.%2.%3.%4.%5"/>
      <w:lvlJc w:val="left"/>
      <w:pPr>
        <w:tabs>
          <w:tab w:val="left" w:pos="3686"/>
        </w:tabs>
        <w:ind w:left="3686" w:hanging="850"/>
      </w:pPr>
      <w:rPr>
        <w:rFonts w:hint="eastAsia"/>
      </w:rPr>
    </w:lvl>
    <w:lvl w:ilvl="5">
      <w:start w:val="1"/>
      <w:numFmt w:val="decimal"/>
      <w:lvlText w:val="%1.%2.%3.%4.%5.%6"/>
      <w:lvlJc w:val="left"/>
      <w:pPr>
        <w:tabs>
          <w:tab w:val="left" w:pos="4395"/>
        </w:tabs>
        <w:ind w:left="4395" w:hanging="1134"/>
      </w:pPr>
      <w:rPr>
        <w:rFonts w:hint="eastAsia"/>
      </w:rPr>
    </w:lvl>
    <w:lvl w:ilvl="6">
      <w:start w:val="1"/>
      <w:numFmt w:val="decimal"/>
      <w:lvlText w:val="%1.%2.%3.%4.%5.%6.%7"/>
      <w:lvlJc w:val="left"/>
      <w:pPr>
        <w:tabs>
          <w:tab w:val="left" w:pos="4962"/>
        </w:tabs>
        <w:ind w:left="4962" w:hanging="1276"/>
      </w:pPr>
      <w:rPr>
        <w:rFonts w:hint="eastAsia"/>
      </w:rPr>
    </w:lvl>
    <w:lvl w:ilvl="7">
      <w:start w:val="1"/>
      <w:numFmt w:val="decimal"/>
      <w:lvlText w:val="%1.%2.%3.%4.%5.%6.%7.%8"/>
      <w:lvlJc w:val="left"/>
      <w:pPr>
        <w:tabs>
          <w:tab w:val="left" w:pos="5529"/>
        </w:tabs>
        <w:ind w:left="5529" w:hanging="1418"/>
      </w:pPr>
      <w:rPr>
        <w:rFonts w:hint="eastAsia"/>
      </w:rPr>
    </w:lvl>
    <w:lvl w:ilvl="8">
      <w:start w:val="1"/>
      <w:numFmt w:val="decimal"/>
      <w:lvlText w:val="%1.%2.%3.%4.%5.%6.%7.%8.%9"/>
      <w:lvlJc w:val="left"/>
      <w:pPr>
        <w:tabs>
          <w:tab w:val="left" w:pos="6237"/>
        </w:tabs>
        <w:ind w:left="6237" w:hanging="1700"/>
      </w:pPr>
      <w:rPr>
        <w:rFonts w:hint="eastAsia"/>
      </w:rPr>
    </w:lvl>
  </w:abstractNum>
  <w:abstractNum w:abstractNumId="9">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start w:val="1"/>
      <w:numFmt w:val="none"/>
      <w:pStyle w:val="a8"/>
      <w:suff w:val="nothing"/>
      <w:lvlText w:val="%1"/>
      <w:lvlJc w:val="left"/>
      <w:pPr>
        <w:ind w:left="0" w:firstLine="0"/>
      </w:pPr>
      <w:rPr>
        <w:rFonts w:ascii="Times New Roman" w:hAnsi="Times New Roman" w:hint="default"/>
        <w:b/>
        <w:i w:val="0"/>
        <w:sz w:val="21"/>
      </w:rPr>
    </w:lvl>
    <w:lvl w:ilvl="1">
      <w:start w:val="1"/>
      <w:numFmt w:val="decimal"/>
      <w:pStyle w:val="a9"/>
      <w:suff w:val="nothing"/>
      <w:lvlText w:val="%1%2　"/>
      <w:lvlJc w:val="left"/>
      <w:pPr>
        <w:ind w:left="709" w:firstLine="0"/>
      </w:pPr>
      <w:rPr>
        <w:rFonts w:ascii="黑体" w:eastAsia="黑体" w:hAnsi="Times New Roman" w:hint="eastAsia"/>
        <w:b w:val="0"/>
        <w:i w:val="0"/>
        <w:sz w:val="21"/>
      </w:rPr>
    </w:lvl>
    <w:lvl w:ilvl="2">
      <w:start w:val="1"/>
      <w:numFmt w:val="decimal"/>
      <w:pStyle w:val="aa"/>
      <w:suff w:val="nothing"/>
      <w:lvlText w:val="%1%2.%3　"/>
      <w:lvlJc w:val="left"/>
      <w:pPr>
        <w:ind w:left="0" w:firstLine="0"/>
      </w:pPr>
      <w:rPr>
        <w:rFonts w:ascii="黑体" w:eastAsia="黑体" w:hAnsi="Times New Roman" w:hint="eastAsia"/>
        <w:b w:val="0"/>
        <w:i w:val="0"/>
        <w:color w:val="auto"/>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start w:val="1"/>
      <w:numFmt w:val="none"/>
      <w:pStyle w:val="af"/>
      <w:lvlText w:val="%1注："/>
      <w:lvlJc w:val="left"/>
      <w:pPr>
        <w:tabs>
          <w:tab w:val="left" w:pos="1287"/>
        </w:tabs>
        <w:ind w:left="987" w:hanging="420"/>
      </w:pPr>
      <w:rPr>
        <w:rFonts w:ascii="黑体" w:eastAsia="黑体" w:hAnsi="黑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6933334"/>
    <w:multiLevelType w:val="multilevel"/>
    <w:tmpl w:val="76933334"/>
    <w:lvl w:ilvl="0">
      <w:start w:val="1"/>
      <w:numFmt w:val="none"/>
      <w:pStyle w:val="af0"/>
      <w:lvlText w:val="%1——"/>
      <w:lvlJc w:val="left"/>
      <w:pPr>
        <w:tabs>
          <w:tab w:val="left" w:pos="1146"/>
        </w:tabs>
        <w:ind w:left="846" w:hanging="420"/>
      </w:pPr>
      <w:rPr>
        <w:rFonts w:hint="eastAsia"/>
        <w:color w:val="000000" w:themeColor="text1"/>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9"/>
  </w:num>
  <w:num w:numId="3">
    <w:abstractNumId w:val="5"/>
  </w:num>
  <w:num w:numId="4">
    <w:abstractNumId w:val="2"/>
  </w:num>
  <w:num w:numId="5">
    <w:abstractNumId w:val="12"/>
  </w:num>
  <w:num w:numId="6">
    <w:abstractNumId w:val="7"/>
  </w:num>
  <w:num w:numId="7">
    <w:abstractNumId w:val="0"/>
  </w:num>
  <w:num w:numId="8">
    <w:abstractNumId w:val="8"/>
  </w:num>
  <w:num w:numId="9">
    <w:abstractNumId w:val="6"/>
  </w:num>
  <w:num w:numId="10">
    <w:abstractNumId w:val="11"/>
  </w:num>
  <w:num w:numId="11">
    <w:abstractNumId w:val="4"/>
  </w:num>
  <w:num w:numId="12">
    <w:abstractNumId w:val="3"/>
  </w:num>
  <w:num w:numId="13">
    <w:abstractNumId w:val="1"/>
  </w:num>
  <w:num w:numId="14">
    <w:abstractNumId w:val="8"/>
  </w:num>
  <w:num w:numId="15">
    <w:abstractNumId w:val="10"/>
  </w:num>
  <w:num w:numId="16">
    <w:abstractNumId w:val="10"/>
  </w:num>
  <w:num w:numId="17">
    <w:abstractNumId w:val="10"/>
  </w:num>
  <w:num w:numId="18">
    <w:abstractNumId w:val="8"/>
  </w:num>
  <w:num w:numId="19">
    <w:abstractNumId w:val="8"/>
  </w:num>
  <w:num w:numId="20">
    <w:abstractNumId w:val="8"/>
  </w:num>
  <w:num w:numId="21">
    <w:abstractNumId w:val="10"/>
  </w:num>
  <w:num w:numId="22">
    <w:abstractNumId w:val="10"/>
  </w:num>
  <w:num w:numId="23">
    <w:abstractNumId w:val="10"/>
  </w:num>
  <w:num w:numId="24">
    <w:abstractNumId w:val="10"/>
  </w:num>
  <w:num w:numId="25">
    <w:abstractNumId w:val="10"/>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linkStyl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ZGZhM2IyYWRkMzA0MDQ5MWUwYzQwZDY5MmE4ZWE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1">
    <w:name w:val="Normal"/>
    <w:qFormat/>
    <w:pPr>
      <w:widowControl w:val="0"/>
      <w:jc w:val="both"/>
    </w:pPr>
    <w:rPr>
      <w:rFonts w:ascii="Times New Roman" w:hAnsi="Times New Roman"/>
      <w:kern w:val="2"/>
      <w:sz w:val="21"/>
      <w:szCs w:val="24"/>
    </w:rPr>
  </w:style>
  <w:style w:type="paragraph" w:styleId="1">
    <w:name w:val="heading 1"/>
    <w:basedOn w:val="af1"/>
    <w:next w:val="af1"/>
    <w:qFormat/>
    <w:pPr>
      <w:keepNext/>
      <w:keepLines/>
      <w:spacing w:before="340" w:after="330" w:line="578" w:lineRule="auto"/>
      <w:outlineLvl w:val="0"/>
    </w:pPr>
    <w:rPr>
      <w:b/>
      <w:bCs/>
      <w:kern w:val="44"/>
      <w:sz w:val="44"/>
      <w:szCs w:val="44"/>
    </w:rPr>
  </w:style>
  <w:style w:type="paragraph" w:styleId="2">
    <w:name w:val="heading 2"/>
    <w:basedOn w:val="af1"/>
    <w:next w:val="af1"/>
    <w:qFormat/>
    <w:pPr>
      <w:keepNext/>
      <w:keepLines/>
      <w:spacing w:before="260" w:after="260" w:line="416" w:lineRule="auto"/>
      <w:outlineLvl w:val="1"/>
    </w:pPr>
    <w:rPr>
      <w:rFonts w:ascii="Arial" w:eastAsia="黑体" w:hAnsi="Arial"/>
      <w:b/>
      <w:bCs/>
      <w:sz w:val="32"/>
      <w:szCs w:val="32"/>
    </w:rPr>
  </w:style>
  <w:style w:type="paragraph" w:styleId="3">
    <w:name w:val="heading 3"/>
    <w:basedOn w:val="af1"/>
    <w:next w:val="af1"/>
    <w:qFormat/>
    <w:pPr>
      <w:keepNext/>
      <w:keepLines/>
      <w:spacing w:before="260" w:after="260" w:line="416" w:lineRule="auto"/>
      <w:outlineLvl w:val="2"/>
    </w:pPr>
    <w:rPr>
      <w:b/>
      <w:bCs/>
      <w:sz w:val="32"/>
      <w:szCs w:val="32"/>
    </w:rPr>
  </w:style>
  <w:style w:type="paragraph" w:styleId="4">
    <w:name w:val="heading 4"/>
    <w:basedOn w:val="af1"/>
    <w:next w:val="af1"/>
    <w:qFormat/>
    <w:pPr>
      <w:keepNext/>
      <w:keepLines/>
      <w:spacing w:before="280" w:after="290" w:line="376" w:lineRule="auto"/>
      <w:outlineLvl w:val="3"/>
    </w:pPr>
    <w:rPr>
      <w:rFonts w:ascii="Arial" w:eastAsia="黑体" w:hAnsi="Arial"/>
      <w:b/>
      <w:bCs/>
      <w:sz w:val="28"/>
      <w:szCs w:val="28"/>
    </w:rPr>
  </w:style>
  <w:style w:type="paragraph" w:styleId="5">
    <w:name w:val="heading 5"/>
    <w:basedOn w:val="af1"/>
    <w:next w:val="af1"/>
    <w:qFormat/>
    <w:pPr>
      <w:keepNext/>
      <w:keepLines/>
      <w:spacing w:before="280" w:after="290" w:line="376" w:lineRule="auto"/>
      <w:outlineLvl w:val="4"/>
    </w:pPr>
    <w:rPr>
      <w:b/>
      <w:bCs/>
      <w:sz w:val="28"/>
      <w:szCs w:val="28"/>
    </w:rPr>
  </w:style>
  <w:style w:type="paragraph" w:styleId="6">
    <w:name w:val="heading 6"/>
    <w:basedOn w:val="af1"/>
    <w:next w:val="af1"/>
    <w:qFormat/>
    <w:pPr>
      <w:keepNext/>
      <w:keepLines/>
      <w:spacing w:before="240" w:after="64" w:line="320" w:lineRule="auto"/>
      <w:outlineLvl w:val="5"/>
    </w:pPr>
    <w:rPr>
      <w:rFonts w:ascii="Arial" w:eastAsia="黑体" w:hAnsi="Arial"/>
      <w:b/>
      <w:bCs/>
      <w:sz w:val="24"/>
    </w:rPr>
  </w:style>
  <w:style w:type="paragraph" w:styleId="7">
    <w:name w:val="heading 7"/>
    <w:basedOn w:val="af1"/>
    <w:next w:val="af1"/>
    <w:qFormat/>
    <w:pPr>
      <w:keepNext/>
      <w:keepLines/>
      <w:spacing w:before="240" w:after="64" w:line="320" w:lineRule="auto"/>
      <w:outlineLvl w:val="6"/>
    </w:pPr>
    <w:rPr>
      <w:b/>
      <w:bCs/>
      <w:sz w:val="24"/>
    </w:rPr>
  </w:style>
  <w:style w:type="paragraph" w:styleId="8">
    <w:name w:val="heading 8"/>
    <w:basedOn w:val="af1"/>
    <w:next w:val="af1"/>
    <w:qFormat/>
    <w:pPr>
      <w:keepNext/>
      <w:keepLines/>
      <w:spacing w:before="240" w:after="64" w:line="320" w:lineRule="auto"/>
      <w:outlineLvl w:val="7"/>
    </w:pPr>
    <w:rPr>
      <w:rFonts w:ascii="Arial" w:eastAsia="黑体" w:hAnsi="Arial"/>
      <w:sz w:val="24"/>
    </w:rPr>
  </w:style>
  <w:style w:type="paragraph" w:styleId="9">
    <w:name w:val="heading 9"/>
    <w:basedOn w:val="af1"/>
    <w:next w:val="af1"/>
    <w:qFormat/>
    <w:pPr>
      <w:keepNext/>
      <w:keepLines/>
      <w:spacing w:before="240" w:after="64" w:line="320"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70">
    <w:name w:val="toc 7"/>
    <w:basedOn w:val="60"/>
    <w:next w:val="af1"/>
    <w:semiHidden/>
    <w:qFormat/>
  </w:style>
  <w:style w:type="paragraph" w:styleId="60">
    <w:name w:val="toc 6"/>
    <w:basedOn w:val="50"/>
    <w:next w:val="af1"/>
    <w:semiHidden/>
    <w:qFormat/>
  </w:style>
  <w:style w:type="paragraph" w:styleId="50">
    <w:name w:val="toc 5"/>
    <w:basedOn w:val="40"/>
    <w:next w:val="af1"/>
    <w:semiHidden/>
    <w:qFormat/>
  </w:style>
  <w:style w:type="paragraph" w:styleId="40">
    <w:name w:val="toc 4"/>
    <w:basedOn w:val="30"/>
    <w:next w:val="af1"/>
    <w:semiHidden/>
    <w:qFormat/>
  </w:style>
  <w:style w:type="paragraph" w:styleId="30">
    <w:name w:val="toc 3"/>
    <w:basedOn w:val="20"/>
    <w:next w:val="af1"/>
    <w:semiHidden/>
    <w:qFormat/>
  </w:style>
  <w:style w:type="paragraph" w:styleId="20">
    <w:name w:val="toc 2"/>
    <w:basedOn w:val="10"/>
    <w:next w:val="af1"/>
    <w:semiHidden/>
    <w:qFormat/>
  </w:style>
  <w:style w:type="paragraph" w:styleId="10">
    <w:name w:val="toc 1"/>
    <w:next w:val="af1"/>
    <w:semiHidden/>
    <w:qFormat/>
    <w:pPr>
      <w:jc w:val="both"/>
    </w:pPr>
    <w:rPr>
      <w:rFonts w:ascii="宋体" w:hAnsi="Times New Roman"/>
      <w:sz w:val="21"/>
    </w:rPr>
  </w:style>
  <w:style w:type="paragraph" w:styleId="af5">
    <w:name w:val="Normal Indent"/>
    <w:basedOn w:val="af1"/>
    <w:qFormat/>
    <w:pPr>
      <w:adjustRightInd w:val="0"/>
      <w:spacing w:line="360" w:lineRule="atLeast"/>
      <w:ind w:firstLine="420"/>
      <w:jc w:val="left"/>
    </w:pPr>
    <w:rPr>
      <w:kern w:val="0"/>
      <w:szCs w:val="20"/>
    </w:rPr>
  </w:style>
  <w:style w:type="paragraph" w:styleId="af6">
    <w:name w:val="annotation text"/>
    <w:basedOn w:val="af1"/>
    <w:link w:val="Char"/>
    <w:qFormat/>
    <w:pPr>
      <w:jc w:val="left"/>
    </w:pPr>
  </w:style>
  <w:style w:type="paragraph" w:styleId="HTML">
    <w:name w:val="HTML Address"/>
    <w:basedOn w:val="af1"/>
    <w:qFormat/>
    <w:rPr>
      <w:i/>
      <w:iCs/>
    </w:rPr>
  </w:style>
  <w:style w:type="paragraph" w:styleId="80">
    <w:name w:val="toc 8"/>
    <w:basedOn w:val="70"/>
    <w:next w:val="af1"/>
    <w:semiHidden/>
    <w:qFormat/>
  </w:style>
  <w:style w:type="paragraph" w:styleId="af7">
    <w:name w:val="Date"/>
    <w:basedOn w:val="af1"/>
    <w:next w:val="af1"/>
    <w:link w:val="Char0"/>
    <w:qFormat/>
    <w:pPr>
      <w:ind w:leftChars="2500" w:left="100"/>
    </w:pPr>
  </w:style>
  <w:style w:type="paragraph" w:styleId="af8">
    <w:name w:val="endnote text"/>
    <w:basedOn w:val="af1"/>
    <w:link w:val="Char1"/>
    <w:qFormat/>
    <w:pPr>
      <w:snapToGrid w:val="0"/>
      <w:jc w:val="left"/>
    </w:pPr>
  </w:style>
  <w:style w:type="paragraph" w:styleId="af9">
    <w:name w:val="Balloon Text"/>
    <w:basedOn w:val="af1"/>
    <w:link w:val="Char2"/>
    <w:qFormat/>
    <w:rPr>
      <w:sz w:val="18"/>
      <w:szCs w:val="18"/>
    </w:rPr>
  </w:style>
  <w:style w:type="paragraph" w:styleId="afa">
    <w:name w:val="footer"/>
    <w:basedOn w:val="af1"/>
    <w:qFormat/>
    <w:pPr>
      <w:tabs>
        <w:tab w:val="center" w:pos="4153"/>
        <w:tab w:val="right" w:pos="8306"/>
      </w:tabs>
      <w:snapToGrid w:val="0"/>
      <w:ind w:rightChars="100" w:right="210"/>
      <w:jc w:val="right"/>
    </w:pPr>
    <w:rPr>
      <w:sz w:val="18"/>
      <w:szCs w:val="18"/>
    </w:rPr>
  </w:style>
  <w:style w:type="paragraph" w:styleId="afb">
    <w:name w:val="header"/>
    <w:basedOn w:val="af1"/>
    <w:qFormat/>
    <w:pPr>
      <w:pBdr>
        <w:bottom w:val="single" w:sz="6" w:space="1" w:color="auto"/>
      </w:pBdr>
      <w:tabs>
        <w:tab w:val="center" w:pos="4153"/>
        <w:tab w:val="right" w:pos="8306"/>
      </w:tabs>
      <w:snapToGrid w:val="0"/>
      <w:jc w:val="center"/>
    </w:pPr>
    <w:rPr>
      <w:sz w:val="18"/>
      <w:szCs w:val="18"/>
    </w:rPr>
  </w:style>
  <w:style w:type="paragraph" w:styleId="afc">
    <w:name w:val="footnote text"/>
    <w:basedOn w:val="af1"/>
    <w:semiHidden/>
    <w:qFormat/>
    <w:pPr>
      <w:snapToGrid w:val="0"/>
      <w:jc w:val="left"/>
    </w:pPr>
    <w:rPr>
      <w:sz w:val="18"/>
      <w:szCs w:val="18"/>
    </w:rPr>
  </w:style>
  <w:style w:type="paragraph" w:styleId="90">
    <w:name w:val="toc 9"/>
    <w:basedOn w:val="80"/>
    <w:next w:val="af1"/>
    <w:semiHidden/>
    <w:qFormat/>
  </w:style>
  <w:style w:type="paragraph" w:styleId="HTML0">
    <w:name w:val="HTML Preformatted"/>
    <w:basedOn w:val="af1"/>
    <w:qFormat/>
    <w:rPr>
      <w:rFonts w:ascii="Courier New" w:hAnsi="Courier New" w:cs="Courier New"/>
      <w:sz w:val="20"/>
      <w:szCs w:val="20"/>
    </w:rPr>
  </w:style>
  <w:style w:type="paragraph" w:styleId="afd">
    <w:name w:val="Title"/>
    <w:basedOn w:val="af1"/>
    <w:qFormat/>
    <w:pPr>
      <w:spacing w:before="240" w:after="60"/>
      <w:jc w:val="center"/>
      <w:outlineLvl w:val="0"/>
    </w:pPr>
    <w:rPr>
      <w:rFonts w:ascii="Arial" w:hAnsi="Arial" w:cs="Arial"/>
      <w:b/>
      <w:bCs/>
      <w:sz w:val="32"/>
      <w:szCs w:val="32"/>
    </w:rPr>
  </w:style>
  <w:style w:type="paragraph" w:styleId="afe">
    <w:name w:val="annotation subject"/>
    <w:basedOn w:val="af6"/>
    <w:next w:val="af6"/>
    <w:link w:val="Char3"/>
    <w:qFormat/>
    <w:rPr>
      <w:b/>
      <w:bCs/>
    </w:rPr>
  </w:style>
  <w:style w:type="table" w:styleId="aff">
    <w:name w:val="Table Grid"/>
    <w:basedOn w:val="af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ndnote reference"/>
    <w:basedOn w:val="af2"/>
    <w:qFormat/>
    <w:rPr>
      <w:vertAlign w:val="superscript"/>
    </w:rPr>
  </w:style>
  <w:style w:type="character" w:styleId="aff1">
    <w:name w:val="page number"/>
    <w:basedOn w:val="af2"/>
    <w:qFormat/>
    <w:rPr>
      <w:rFonts w:ascii="Times New Roman" w:eastAsia="宋体" w:hAnsi="Times New Roman"/>
      <w:sz w:val="18"/>
    </w:rPr>
  </w:style>
  <w:style w:type="character" w:styleId="aff2">
    <w:name w:val="FollowedHyperlink"/>
    <w:basedOn w:val="af2"/>
    <w:qFormat/>
    <w:rPr>
      <w:color w:val="800080"/>
      <w:u w:val="single"/>
    </w:rPr>
  </w:style>
  <w:style w:type="character" w:styleId="HTML1">
    <w:name w:val="HTML Definition"/>
    <w:basedOn w:val="af2"/>
    <w:qFormat/>
    <w:rPr>
      <w:i/>
      <w:iCs/>
    </w:rPr>
  </w:style>
  <w:style w:type="character" w:styleId="HTML2">
    <w:name w:val="HTML Typewriter"/>
    <w:basedOn w:val="af2"/>
    <w:qFormat/>
    <w:rPr>
      <w:rFonts w:ascii="Courier New" w:hAnsi="Courier New"/>
      <w:sz w:val="20"/>
      <w:szCs w:val="20"/>
    </w:rPr>
  </w:style>
  <w:style w:type="character" w:styleId="HTML3">
    <w:name w:val="HTML Acronym"/>
    <w:basedOn w:val="af2"/>
    <w:qFormat/>
  </w:style>
  <w:style w:type="character" w:styleId="HTML4">
    <w:name w:val="HTML Variable"/>
    <w:basedOn w:val="af2"/>
    <w:qFormat/>
    <w:rPr>
      <w:i/>
      <w:iCs/>
    </w:rPr>
  </w:style>
  <w:style w:type="character" w:styleId="aff3">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2"/>
    <w:qFormat/>
    <w:rPr>
      <w:rFonts w:ascii="Courier New" w:hAnsi="Courier New"/>
      <w:sz w:val="20"/>
      <w:szCs w:val="20"/>
    </w:rPr>
  </w:style>
  <w:style w:type="character" w:styleId="aff4">
    <w:name w:val="annotation reference"/>
    <w:basedOn w:val="af2"/>
    <w:qFormat/>
    <w:rPr>
      <w:sz w:val="21"/>
      <w:szCs w:val="21"/>
    </w:rPr>
  </w:style>
  <w:style w:type="character" w:styleId="HTML6">
    <w:name w:val="HTML Cite"/>
    <w:basedOn w:val="af2"/>
    <w:qFormat/>
    <w:rPr>
      <w:i/>
      <w:iCs/>
    </w:rPr>
  </w:style>
  <w:style w:type="character" w:styleId="aff5">
    <w:name w:val="footnote reference"/>
    <w:basedOn w:val="af2"/>
    <w:semiHidden/>
    <w:qFormat/>
    <w:rPr>
      <w:vertAlign w:val="superscript"/>
    </w:rPr>
  </w:style>
  <w:style w:type="character" w:styleId="HTML7">
    <w:name w:val="HTML Keyboard"/>
    <w:basedOn w:val="af2"/>
    <w:qFormat/>
    <w:rPr>
      <w:rFonts w:ascii="Courier New" w:hAnsi="Courier New"/>
      <w:sz w:val="20"/>
      <w:szCs w:val="20"/>
    </w:rPr>
  </w:style>
  <w:style w:type="character" w:styleId="HTML8">
    <w:name w:val="HTML Sample"/>
    <w:basedOn w:val="af2"/>
    <w:qFormat/>
    <w:rPr>
      <w:rFonts w:ascii="Courier New" w:hAnsi="Courier New"/>
    </w:rPr>
  </w:style>
  <w:style w:type="paragraph" w:customStyle="1" w:styleId="aff6">
    <w:name w:val="标准标志"/>
    <w:next w:val="af1"/>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7">
    <w:name w:val="标准称谓"/>
    <w:next w:val="af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8">
    <w:name w:val="标准书脚_偶数页"/>
    <w:qFormat/>
    <w:pPr>
      <w:spacing w:before="120"/>
    </w:pPr>
    <w:rPr>
      <w:rFonts w:ascii="Times New Roman" w:hAnsi="Times New Roman"/>
      <w:sz w:val="18"/>
    </w:rPr>
  </w:style>
  <w:style w:type="paragraph" w:customStyle="1" w:styleId="aff9">
    <w:name w:val="标准书脚_奇数页"/>
    <w:qFormat/>
    <w:pPr>
      <w:spacing w:before="120"/>
      <w:jc w:val="right"/>
    </w:pPr>
    <w:rPr>
      <w:rFonts w:ascii="Times New Roman" w:hAnsi="Times New Roman"/>
      <w:sz w:val="18"/>
    </w:rPr>
  </w:style>
  <w:style w:type="paragraph" w:customStyle="1" w:styleId="affa">
    <w:name w:val="标准书眉_奇数页"/>
    <w:next w:val="af1"/>
    <w:qFormat/>
    <w:pPr>
      <w:tabs>
        <w:tab w:val="center" w:pos="4154"/>
        <w:tab w:val="right" w:pos="8306"/>
      </w:tabs>
      <w:spacing w:after="120"/>
      <w:jc w:val="right"/>
    </w:pPr>
    <w:rPr>
      <w:rFonts w:ascii="Times New Roman" w:hAnsi="Times New Roman"/>
      <w:sz w:val="21"/>
    </w:rPr>
  </w:style>
  <w:style w:type="paragraph" w:customStyle="1" w:styleId="affb">
    <w:name w:val="标准书眉_偶数页"/>
    <w:basedOn w:val="affa"/>
    <w:next w:val="af1"/>
    <w:qFormat/>
    <w:pPr>
      <w:jc w:val="left"/>
    </w:pPr>
  </w:style>
  <w:style w:type="paragraph" w:customStyle="1" w:styleId="affc">
    <w:name w:val="标准书眉一"/>
    <w:qFormat/>
    <w:pPr>
      <w:jc w:val="both"/>
    </w:pPr>
    <w:rPr>
      <w:rFonts w:ascii="Times New Roman" w:hAnsi="Times New Roman"/>
    </w:rPr>
  </w:style>
  <w:style w:type="paragraph" w:customStyle="1" w:styleId="a8">
    <w:name w:val="前言、引言标题"/>
    <w:next w:val="af1"/>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d">
    <w:name w:val="参考文献、索引标题"/>
    <w:basedOn w:val="a8"/>
    <w:next w:val="af1"/>
    <w:qFormat/>
    <w:pPr>
      <w:numPr>
        <w:numId w:val="0"/>
      </w:numPr>
      <w:spacing w:after="200"/>
    </w:pPr>
    <w:rPr>
      <w:sz w:val="21"/>
    </w:rPr>
  </w:style>
  <w:style w:type="paragraph" w:customStyle="1" w:styleId="affe">
    <w:name w:val="段"/>
    <w:qFormat/>
    <w:pPr>
      <w:autoSpaceDE w:val="0"/>
      <w:autoSpaceDN w:val="0"/>
      <w:ind w:firstLineChars="200" w:firstLine="200"/>
      <w:jc w:val="both"/>
    </w:pPr>
    <w:rPr>
      <w:rFonts w:ascii="宋体" w:hAnsi="Times New Roman"/>
      <w:sz w:val="21"/>
    </w:rPr>
  </w:style>
  <w:style w:type="paragraph" w:customStyle="1" w:styleId="a9">
    <w:name w:val="章标题"/>
    <w:next w:val="affe"/>
    <w:qFormat/>
    <w:pPr>
      <w:numPr>
        <w:ilvl w:val="1"/>
        <w:numId w:val="1"/>
      </w:numPr>
      <w:spacing w:beforeLines="50" w:afterLines="50"/>
      <w:jc w:val="both"/>
      <w:outlineLvl w:val="1"/>
    </w:pPr>
    <w:rPr>
      <w:rFonts w:ascii="黑体" w:eastAsia="黑体" w:hAnsi="Times New Roman"/>
      <w:sz w:val="21"/>
    </w:rPr>
  </w:style>
  <w:style w:type="paragraph" w:customStyle="1" w:styleId="aa">
    <w:name w:val="一级条标题"/>
    <w:next w:val="affe"/>
    <w:qFormat/>
    <w:pPr>
      <w:numPr>
        <w:ilvl w:val="2"/>
        <w:numId w:val="1"/>
      </w:numPr>
      <w:outlineLvl w:val="2"/>
    </w:pPr>
    <w:rPr>
      <w:rFonts w:ascii="Times New Roman" w:eastAsia="黑体" w:hAnsi="Times New Roman"/>
      <w:sz w:val="21"/>
    </w:rPr>
  </w:style>
  <w:style w:type="paragraph" w:customStyle="1" w:styleId="ab">
    <w:name w:val="二级条标题"/>
    <w:basedOn w:val="aa"/>
    <w:next w:val="affe"/>
    <w:qFormat/>
    <w:pPr>
      <w:numPr>
        <w:ilvl w:val="3"/>
      </w:numPr>
      <w:outlineLvl w:val="3"/>
    </w:pPr>
  </w:style>
  <w:style w:type="character" w:customStyle="1" w:styleId="afff">
    <w:name w:val="发布"/>
    <w:basedOn w:val="af2"/>
    <w:qFormat/>
    <w:rPr>
      <w:rFonts w:ascii="黑体" w:eastAsia="黑体"/>
      <w:spacing w:val="22"/>
      <w:w w:val="100"/>
      <w:position w:val="3"/>
      <w:sz w:val="28"/>
    </w:rPr>
  </w:style>
  <w:style w:type="paragraph" w:customStyle="1" w:styleId="afff0">
    <w:name w:val="发布部门"/>
    <w:next w:val="affe"/>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2">
    <w:name w:val="封面标准代替信息"/>
    <w:basedOn w:val="21"/>
    <w:qFormat/>
    <w:pPr>
      <w:framePr w:wrap="around"/>
      <w:spacing w:before="57"/>
    </w:pPr>
    <w:rPr>
      <w:rFonts w:ascii="宋体"/>
      <w:sz w:val="21"/>
    </w:rPr>
  </w:style>
  <w:style w:type="paragraph" w:customStyle="1" w:styleId="a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4">
    <w:name w:val="封面标准文稿编辑信息"/>
    <w:qFormat/>
    <w:pPr>
      <w:spacing w:before="180" w:line="180" w:lineRule="exact"/>
      <w:jc w:val="center"/>
    </w:pPr>
    <w:rPr>
      <w:rFonts w:ascii="宋体" w:hAnsi="Times New Roman"/>
      <w:sz w:val="21"/>
    </w:rPr>
  </w:style>
  <w:style w:type="paragraph" w:customStyle="1" w:styleId="afff5">
    <w:name w:val="封面标准文稿类别"/>
    <w:qFormat/>
    <w:pPr>
      <w:spacing w:before="440" w:line="400" w:lineRule="exact"/>
      <w:jc w:val="center"/>
    </w:pPr>
    <w:rPr>
      <w:rFonts w:ascii="宋体" w:hAnsi="Times New Roman"/>
      <w:sz w:val="24"/>
    </w:rPr>
  </w:style>
  <w:style w:type="paragraph" w:customStyle="1" w:styleId="afff6">
    <w:name w:val="封面标准英文名称"/>
    <w:qFormat/>
    <w:pPr>
      <w:widowControl w:val="0"/>
      <w:spacing w:before="370" w:line="400" w:lineRule="exact"/>
      <w:jc w:val="center"/>
    </w:pPr>
    <w:rPr>
      <w:rFonts w:ascii="Times New Roman" w:hAnsi="Times New Roman"/>
      <w:sz w:val="28"/>
    </w:rPr>
  </w:style>
  <w:style w:type="paragraph" w:customStyle="1" w:styleId="afff7">
    <w:name w:val="封面一致性程度标识"/>
    <w:qFormat/>
    <w:pPr>
      <w:spacing w:before="440" w:line="400" w:lineRule="exact"/>
      <w:jc w:val="center"/>
    </w:pPr>
    <w:rPr>
      <w:rFonts w:ascii="宋体" w:hAnsi="Times New Roman"/>
      <w:sz w:val="28"/>
    </w:rPr>
  </w:style>
  <w:style w:type="paragraph" w:customStyle="1" w:styleId="afff8">
    <w:name w:val="封面正文"/>
    <w:qFormat/>
    <w:pPr>
      <w:jc w:val="both"/>
    </w:pPr>
    <w:rPr>
      <w:rFonts w:ascii="Times New Roman" w:hAnsi="Times New Roman"/>
    </w:rPr>
  </w:style>
  <w:style w:type="paragraph" w:customStyle="1" w:styleId="a7">
    <w:name w:val="附录标识"/>
    <w:basedOn w:val="a8"/>
    <w:qFormat/>
    <w:pPr>
      <w:numPr>
        <w:numId w:val="2"/>
      </w:numPr>
      <w:tabs>
        <w:tab w:val="left" w:pos="6405"/>
      </w:tabs>
      <w:spacing w:after="200"/>
    </w:pPr>
    <w:rPr>
      <w:sz w:val="21"/>
    </w:rPr>
  </w:style>
  <w:style w:type="paragraph" w:customStyle="1" w:styleId="a3">
    <w:name w:val="附录表标题"/>
    <w:next w:val="affe"/>
    <w:qFormat/>
    <w:pPr>
      <w:numPr>
        <w:numId w:val="3"/>
      </w:numPr>
      <w:jc w:val="center"/>
      <w:textAlignment w:val="baseline"/>
    </w:pPr>
    <w:rPr>
      <w:rFonts w:ascii="黑体" w:eastAsia="黑体" w:hAnsi="Times New Roman"/>
      <w:kern w:val="21"/>
      <w:sz w:val="21"/>
    </w:rPr>
  </w:style>
  <w:style w:type="paragraph" w:customStyle="1" w:styleId="afff9">
    <w:name w:val="附录章标题"/>
    <w:next w:val="affe"/>
    <w:link w:val="Char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a">
    <w:name w:val="附录一级条标题"/>
    <w:basedOn w:val="afff9"/>
    <w:next w:val="affe"/>
    <w:qFormat/>
    <w:pPr>
      <w:autoSpaceDN w:val="0"/>
      <w:spacing w:beforeLines="0" w:afterLines="0"/>
      <w:outlineLvl w:val="2"/>
    </w:pPr>
  </w:style>
  <w:style w:type="paragraph" w:customStyle="1" w:styleId="afffb">
    <w:name w:val="附录二级条标题"/>
    <w:basedOn w:val="afffa"/>
    <w:next w:val="affe"/>
    <w:qFormat/>
    <w:pPr>
      <w:outlineLvl w:val="3"/>
    </w:pPr>
  </w:style>
  <w:style w:type="paragraph" w:customStyle="1" w:styleId="afffc">
    <w:name w:val="附录三级条标题"/>
    <w:basedOn w:val="afffb"/>
    <w:next w:val="affe"/>
    <w:qFormat/>
    <w:pPr>
      <w:outlineLvl w:val="4"/>
    </w:pPr>
  </w:style>
  <w:style w:type="paragraph" w:customStyle="1" w:styleId="afffd">
    <w:name w:val="附录四级条标题"/>
    <w:basedOn w:val="afffc"/>
    <w:next w:val="affe"/>
    <w:qFormat/>
    <w:pPr>
      <w:outlineLvl w:val="5"/>
    </w:pPr>
  </w:style>
  <w:style w:type="paragraph" w:customStyle="1" w:styleId="a0">
    <w:name w:val="附录图标题"/>
    <w:next w:val="affe"/>
    <w:qFormat/>
    <w:pPr>
      <w:numPr>
        <w:numId w:val="4"/>
      </w:numPr>
      <w:jc w:val="center"/>
    </w:pPr>
    <w:rPr>
      <w:rFonts w:ascii="黑体" w:eastAsia="黑体" w:hAnsi="Times New Roman"/>
      <w:sz w:val="21"/>
    </w:rPr>
  </w:style>
  <w:style w:type="paragraph" w:customStyle="1" w:styleId="afffe">
    <w:name w:val="附录五级条标题"/>
    <w:basedOn w:val="afffd"/>
    <w:next w:val="affe"/>
    <w:qFormat/>
    <w:pPr>
      <w:outlineLvl w:val="6"/>
    </w:pPr>
  </w:style>
  <w:style w:type="character" w:customStyle="1" w:styleId="affff">
    <w:name w:val="个人答复风格"/>
    <w:basedOn w:val="af2"/>
    <w:qFormat/>
    <w:rPr>
      <w:rFonts w:ascii="Arial" w:eastAsia="宋体" w:hAnsi="Arial" w:cs="Arial"/>
      <w:color w:val="auto"/>
      <w:sz w:val="20"/>
    </w:rPr>
  </w:style>
  <w:style w:type="character" w:customStyle="1" w:styleId="affff0">
    <w:name w:val="个人撰写风格"/>
    <w:basedOn w:val="af2"/>
    <w:qFormat/>
    <w:rPr>
      <w:rFonts w:ascii="Arial" w:eastAsia="宋体" w:hAnsi="Arial" w:cs="Arial"/>
      <w:color w:val="auto"/>
      <w:sz w:val="20"/>
    </w:rPr>
  </w:style>
  <w:style w:type="paragraph" w:customStyle="1" w:styleId="af0">
    <w:name w:val="列项——（一级）"/>
    <w:qFormat/>
    <w:pPr>
      <w:widowControl w:val="0"/>
      <w:numPr>
        <w:numId w:val="5"/>
      </w:numPr>
      <w:tabs>
        <w:tab w:val="clear" w:pos="1146"/>
        <w:tab w:val="left" w:pos="854"/>
      </w:tabs>
      <w:ind w:leftChars="200" w:left="200" w:hangingChars="200" w:hanging="200"/>
      <w:jc w:val="both"/>
    </w:pPr>
    <w:rPr>
      <w:rFonts w:ascii="宋体" w:hAnsi="Times New Roman"/>
      <w:sz w:val="21"/>
    </w:rPr>
  </w:style>
  <w:style w:type="paragraph" w:customStyle="1" w:styleId="a5">
    <w:name w:val="列项●（二级）"/>
    <w:qFormat/>
    <w:pPr>
      <w:numPr>
        <w:numId w:val="6"/>
      </w:numPr>
      <w:tabs>
        <w:tab w:val="left" w:pos="840"/>
      </w:tabs>
      <w:ind w:leftChars="400" w:left="600" w:hangingChars="200" w:hanging="200"/>
      <w:jc w:val="both"/>
    </w:pPr>
    <w:rPr>
      <w:rFonts w:ascii="宋体" w:hAnsi="Times New Roman"/>
      <w:sz w:val="21"/>
    </w:rPr>
  </w:style>
  <w:style w:type="paragraph" w:customStyle="1" w:styleId="affff1">
    <w:name w:val="目次、标准名称标题"/>
    <w:basedOn w:val="a8"/>
    <w:next w:val="affe"/>
    <w:qFormat/>
    <w:pPr>
      <w:spacing w:line="460" w:lineRule="exact"/>
    </w:pPr>
  </w:style>
  <w:style w:type="paragraph" w:customStyle="1" w:styleId="affff2">
    <w:name w:val="目次、索引正文"/>
    <w:qFormat/>
    <w:pPr>
      <w:spacing w:line="320" w:lineRule="exact"/>
      <w:jc w:val="both"/>
    </w:pPr>
    <w:rPr>
      <w:rFonts w:ascii="宋体" w:hAnsi="Times New Roman"/>
      <w:sz w:val="21"/>
    </w:rPr>
  </w:style>
  <w:style w:type="paragraph" w:customStyle="1" w:styleId="affff3">
    <w:name w:val="其他标准称谓"/>
    <w:qFormat/>
    <w:pPr>
      <w:spacing w:line="0" w:lineRule="atLeast"/>
      <w:jc w:val="distribute"/>
    </w:pPr>
    <w:rPr>
      <w:rFonts w:ascii="黑体" w:eastAsia="黑体" w:hAnsi="宋体"/>
      <w:sz w:val="52"/>
    </w:rPr>
  </w:style>
  <w:style w:type="paragraph" w:customStyle="1" w:styleId="affff4">
    <w:name w:val="其他发布部门"/>
    <w:basedOn w:val="afff0"/>
    <w:qFormat/>
    <w:pPr>
      <w:framePr w:wrap="around"/>
      <w:spacing w:line="0" w:lineRule="atLeast"/>
    </w:pPr>
    <w:rPr>
      <w:rFonts w:ascii="黑体" w:eastAsia="黑体"/>
      <w:b w:val="0"/>
    </w:rPr>
  </w:style>
  <w:style w:type="paragraph" w:customStyle="1" w:styleId="ac">
    <w:name w:val="三级条标题"/>
    <w:basedOn w:val="ab"/>
    <w:next w:val="affe"/>
    <w:qFormat/>
    <w:pPr>
      <w:numPr>
        <w:ilvl w:val="4"/>
      </w:numPr>
      <w:outlineLvl w:val="4"/>
    </w:pPr>
  </w:style>
  <w:style w:type="paragraph" w:customStyle="1" w:styleId="affff5">
    <w:name w:val="实施日期"/>
    <w:basedOn w:val="afff1"/>
    <w:qFormat/>
    <w:pPr>
      <w:framePr w:hSpace="0" w:wrap="around" w:xAlign="right"/>
      <w:jc w:val="right"/>
    </w:pPr>
  </w:style>
  <w:style w:type="paragraph" w:customStyle="1" w:styleId="a">
    <w:name w:val="示例"/>
    <w:next w:val="affe"/>
    <w:qFormat/>
    <w:pPr>
      <w:numPr>
        <w:numId w:val="7"/>
      </w:numPr>
      <w:tabs>
        <w:tab w:val="left" w:pos="816"/>
      </w:tabs>
      <w:ind w:firstLineChars="233" w:firstLine="419"/>
      <w:jc w:val="both"/>
    </w:pPr>
    <w:rPr>
      <w:rFonts w:ascii="宋体" w:hAnsi="Times New Roman"/>
      <w:sz w:val="18"/>
    </w:rPr>
  </w:style>
  <w:style w:type="paragraph" w:customStyle="1" w:styleId="affff6">
    <w:name w:val="数字编号列项（二级）"/>
    <w:qFormat/>
    <w:pPr>
      <w:ind w:leftChars="400" w:left="1260" w:hangingChars="200" w:hanging="420"/>
      <w:jc w:val="both"/>
    </w:pPr>
    <w:rPr>
      <w:rFonts w:ascii="宋体" w:hAnsi="Times New Roman"/>
      <w:sz w:val="21"/>
    </w:rPr>
  </w:style>
  <w:style w:type="paragraph" w:customStyle="1" w:styleId="ad">
    <w:name w:val="四级条标题"/>
    <w:basedOn w:val="ac"/>
    <w:next w:val="affe"/>
    <w:qFormat/>
    <w:pPr>
      <w:numPr>
        <w:ilvl w:val="5"/>
      </w:numPr>
      <w:outlineLvl w:val="5"/>
    </w:pPr>
  </w:style>
  <w:style w:type="paragraph" w:customStyle="1" w:styleId="affff7">
    <w:name w:val="条文脚注"/>
    <w:basedOn w:val="afc"/>
    <w:qFormat/>
    <w:pPr>
      <w:ind w:leftChars="200" w:left="780" w:hangingChars="200" w:hanging="360"/>
      <w:jc w:val="both"/>
    </w:pPr>
    <w:rPr>
      <w:rFonts w:ascii="宋体"/>
    </w:rPr>
  </w:style>
  <w:style w:type="paragraph" w:customStyle="1" w:styleId="affff8">
    <w:name w:val="图表脚注"/>
    <w:next w:val="affe"/>
    <w:qFormat/>
    <w:pPr>
      <w:ind w:leftChars="200" w:left="300" w:hangingChars="100" w:hanging="100"/>
      <w:jc w:val="both"/>
    </w:pPr>
    <w:rPr>
      <w:rFonts w:ascii="宋体" w:hAnsi="Times New Roman"/>
      <w:sz w:val="18"/>
    </w:rPr>
  </w:style>
  <w:style w:type="paragraph" w:customStyle="1" w:styleId="a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e">
    <w:name w:val="五级条标题"/>
    <w:basedOn w:val="ad"/>
    <w:next w:val="affe"/>
    <w:qFormat/>
    <w:pPr>
      <w:numPr>
        <w:ilvl w:val="6"/>
      </w:numPr>
      <w:outlineLvl w:val="6"/>
    </w:pPr>
  </w:style>
  <w:style w:type="paragraph" w:customStyle="1" w:styleId="a6">
    <w:name w:val="正文表标题"/>
    <w:next w:val="affe"/>
    <w:qFormat/>
    <w:pPr>
      <w:numPr>
        <w:numId w:val="8"/>
      </w:numPr>
      <w:jc w:val="center"/>
    </w:pPr>
    <w:rPr>
      <w:rFonts w:ascii="黑体" w:eastAsia="黑体" w:hAnsi="Times New Roman"/>
      <w:sz w:val="21"/>
    </w:rPr>
  </w:style>
  <w:style w:type="paragraph" w:customStyle="1" w:styleId="a4">
    <w:name w:val="正文图标题"/>
    <w:next w:val="affe"/>
    <w:qFormat/>
    <w:pPr>
      <w:numPr>
        <w:numId w:val="9"/>
      </w:numPr>
      <w:jc w:val="center"/>
    </w:pPr>
    <w:rPr>
      <w:rFonts w:ascii="黑体" w:eastAsia="黑体" w:hAnsi="Times New Roman"/>
      <w:sz w:val="21"/>
    </w:rPr>
  </w:style>
  <w:style w:type="paragraph" w:customStyle="1" w:styleId="af">
    <w:name w:val="注："/>
    <w:next w:val="affe"/>
    <w:qFormat/>
    <w:pPr>
      <w:widowControl w:val="0"/>
      <w:numPr>
        <w:numId w:val="10"/>
      </w:numPr>
      <w:tabs>
        <w:tab w:val="clear" w:pos="1287"/>
      </w:tabs>
      <w:autoSpaceDE w:val="0"/>
      <w:autoSpaceDN w:val="0"/>
      <w:ind w:left="840"/>
      <w:jc w:val="both"/>
    </w:pPr>
    <w:rPr>
      <w:rFonts w:ascii="宋体" w:hAnsi="Times New Roman"/>
      <w:sz w:val="18"/>
    </w:rPr>
  </w:style>
  <w:style w:type="paragraph" w:customStyle="1" w:styleId="a2">
    <w:name w:val="注×："/>
    <w:qFormat/>
    <w:pPr>
      <w:widowControl w:val="0"/>
      <w:numPr>
        <w:numId w:val="11"/>
      </w:numPr>
      <w:tabs>
        <w:tab w:val="left" w:pos="630"/>
      </w:tabs>
      <w:autoSpaceDE w:val="0"/>
      <w:autoSpaceDN w:val="0"/>
      <w:jc w:val="both"/>
    </w:pPr>
    <w:rPr>
      <w:rFonts w:ascii="宋体" w:hAnsi="Times New Roman"/>
      <w:sz w:val="18"/>
    </w:rPr>
  </w:style>
  <w:style w:type="paragraph" w:customStyle="1" w:styleId="affffa">
    <w:name w:val="字母编号列项（一级）"/>
    <w:qFormat/>
    <w:pPr>
      <w:ind w:leftChars="200" w:left="840" w:hangingChars="200" w:hanging="420"/>
      <w:jc w:val="both"/>
    </w:pPr>
    <w:rPr>
      <w:rFonts w:ascii="宋体" w:hAnsi="Times New Roman"/>
      <w:sz w:val="21"/>
    </w:rPr>
  </w:style>
  <w:style w:type="paragraph" w:customStyle="1" w:styleId="a1">
    <w:name w:val="列项◆（三级）"/>
    <w:qFormat/>
    <w:pPr>
      <w:numPr>
        <w:numId w:val="12"/>
      </w:numPr>
      <w:ind w:leftChars="600" w:left="800" w:hangingChars="200" w:hanging="200"/>
    </w:pPr>
    <w:rPr>
      <w:rFonts w:ascii="宋体" w:hAnsi="Times New Roman"/>
      <w:sz w:val="21"/>
    </w:rPr>
  </w:style>
  <w:style w:type="paragraph" w:customStyle="1" w:styleId="affffb">
    <w:name w:val="编号列项（三级）"/>
    <w:qFormat/>
    <w:pPr>
      <w:ind w:leftChars="600" w:left="800" w:hangingChars="200" w:hanging="200"/>
    </w:pPr>
    <w:rPr>
      <w:rFonts w:ascii="宋体" w:hAnsi="Times New Roman"/>
      <w:sz w:val="21"/>
    </w:rPr>
  </w:style>
  <w:style w:type="paragraph" w:customStyle="1" w:styleId="Char5">
    <w:name w:val="Char"/>
    <w:basedOn w:val="af1"/>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f1"/>
    <w:qFormat/>
    <w:pPr>
      <w:widowControl/>
      <w:spacing w:after="160" w:line="240" w:lineRule="exact"/>
      <w:jc w:val="left"/>
    </w:pPr>
    <w:rPr>
      <w:rFonts w:ascii="Verdana" w:hAnsi="Verdana"/>
      <w:kern w:val="0"/>
      <w:sz w:val="20"/>
      <w:szCs w:val="20"/>
      <w:lang w:eastAsia="en-US"/>
    </w:rPr>
  </w:style>
  <w:style w:type="character" w:customStyle="1" w:styleId="Char0">
    <w:name w:val="日期 Char"/>
    <w:basedOn w:val="af2"/>
    <w:link w:val="af7"/>
    <w:qFormat/>
    <w:rPr>
      <w:kern w:val="2"/>
      <w:sz w:val="21"/>
      <w:szCs w:val="24"/>
    </w:rPr>
  </w:style>
  <w:style w:type="character" w:customStyle="1" w:styleId="Char2">
    <w:name w:val="批注框文本 Char"/>
    <w:basedOn w:val="af2"/>
    <w:link w:val="af9"/>
    <w:qFormat/>
    <w:rPr>
      <w:kern w:val="2"/>
      <w:sz w:val="18"/>
      <w:szCs w:val="18"/>
    </w:rPr>
  </w:style>
  <w:style w:type="paragraph" w:styleId="affffc">
    <w:name w:val="List Paragraph"/>
    <w:basedOn w:val="af1"/>
    <w:uiPriority w:val="34"/>
    <w:qFormat/>
    <w:pPr>
      <w:ind w:firstLineChars="200" w:firstLine="420"/>
    </w:pPr>
  </w:style>
  <w:style w:type="character" w:customStyle="1" w:styleId="Char1">
    <w:name w:val="尾注文本 Char"/>
    <w:basedOn w:val="af2"/>
    <w:link w:val="af8"/>
    <w:qFormat/>
    <w:rPr>
      <w:kern w:val="2"/>
      <w:sz w:val="21"/>
      <w:szCs w:val="24"/>
    </w:rPr>
  </w:style>
  <w:style w:type="character" w:customStyle="1" w:styleId="Char">
    <w:name w:val="批注文字 Char"/>
    <w:basedOn w:val="af2"/>
    <w:link w:val="af6"/>
    <w:rPr>
      <w:kern w:val="2"/>
      <w:sz w:val="21"/>
      <w:szCs w:val="24"/>
    </w:rPr>
  </w:style>
  <w:style w:type="character" w:customStyle="1" w:styleId="Char3">
    <w:name w:val="批注主题 Char"/>
    <w:basedOn w:val="Char"/>
    <w:link w:val="afe"/>
    <w:qFormat/>
    <w:rPr>
      <w:b/>
      <w:bCs/>
      <w:kern w:val="2"/>
      <w:sz w:val="21"/>
      <w:szCs w:val="24"/>
    </w:rPr>
  </w:style>
  <w:style w:type="character" w:customStyle="1" w:styleId="Char4">
    <w:name w:val="附录章标题 Char"/>
    <w:link w:val="afff9"/>
    <w:qFormat/>
    <w:rPr>
      <w:rFonts w:ascii="黑体" w:eastAsia="黑体" w:hAnsi="Times New Roman"/>
      <w:kern w:val="21"/>
      <w:sz w:val="21"/>
    </w:rPr>
  </w:style>
  <w:style w:type="character" w:styleId="affffd">
    <w:name w:val="Placeholder Text"/>
    <w:basedOn w:val="af2"/>
    <w:uiPriority w:val="99"/>
    <w:unhideWhenUsed/>
    <w:rPr>
      <w:color w:val="808080"/>
    </w:rPr>
  </w:style>
  <w:style w:type="table" w:customStyle="1" w:styleId="12">
    <w:name w:val="网格型1"/>
    <w:basedOn w:val="af3"/>
    <w:next w:val="aff"/>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1">
    <w:name w:val="Normal"/>
    <w:qFormat/>
    <w:pPr>
      <w:widowControl w:val="0"/>
      <w:jc w:val="both"/>
    </w:pPr>
    <w:rPr>
      <w:rFonts w:ascii="Times New Roman" w:hAnsi="Times New Roman"/>
      <w:kern w:val="2"/>
      <w:sz w:val="21"/>
      <w:szCs w:val="24"/>
    </w:rPr>
  </w:style>
  <w:style w:type="paragraph" w:styleId="1">
    <w:name w:val="heading 1"/>
    <w:basedOn w:val="af1"/>
    <w:next w:val="af1"/>
    <w:qFormat/>
    <w:pPr>
      <w:keepNext/>
      <w:keepLines/>
      <w:spacing w:before="340" w:after="330" w:line="578" w:lineRule="auto"/>
      <w:outlineLvl w:val="0"/>
    </w:pPr>
    <w:rPr>
      <w:b/>
      <w:bCs/>
      <w:kern w:val="44"/>
      <w:sz w:val="44"/>
      <w:szCs w:val="44"/>
    </w:rPr>
  </w:style>
  <w:style w:type="paragraph" w:styleId="2">
    <w:name w:val="heading 2"/>
    <w:basedOn w:val="af1"/>
    <w:next w:val="af1"/>
    <w:qFormat/>
    <w:pPr>
      <w:keepNext/>
      <w:keepLines/>
      <w:spacing w:before="260" w:after="260" w:line="416" w:lineRule="auto"/>
      <w:outlineLvl w:val="1"/>
    </w:pPr>
    <w:rPr>
      <w:rFonts w:ascii="Arial" w:eastAsia="黑体" w:hAnsi="Arial"/>
      <w:b/>
      <w:bCs/>
      <w:sz w:val="32"/>
      <w:szCs w:val="32"/>
    </w:rPr>
  </w:style>
  <w:style w:type="paragraph" w:styleId="3">
    <w:name w:val="heading 3"/>
    <w:basedOn w:val="af1"/>
    <w:next w:val="af1"/>
    <w:qFormat/>
    <w:pPr>
      <w:keepNext/>
      <w:keepLines/>
      <w:spacing w:before="260" w:after="260" w:line="416" w:lineRule="auto"/>
      <w:outlineLvl w:val="2"/>
    </w:pPr>
    <w:rPr>
      <w:b/>
      <w:bCs/>
      <w:sz w:val="32"/>
      <w:szCs w:val="32"/>
    </w:rPr>
  </w:style>
  <w:style w:type="paragraph" w:styleId="4">
    <w:name w:val="heading 4"/>
    <w:basedOn w:val="af1"/>
    <w:next w:val="af1"/>
    <w:qFormat/>
    <w:pPr>
      <w:keepNext/>
      <w:keepLines/>
      <w:spacing w:before="280" w:after="290" w:line="376" w:lineRule="auto"/>
      <w:outlineLvl w:val="3"/>
    </w:pPr>
    <w:rPr>
      <w:rFonts w:ascii="Arial" w:eastAsia="黑体" w:hAnsi="Arial"/>
      <w:b/>
      <w:bCs/>
      <w:sz w:val="28"/>
      <w:szCs w:val="28"/>
    </w:rPr>
  </w:style>
  <w:style w:type="paragraph" w:styleId="5">
    <w:name w:val="heading 5"/>
    <w:basedOn w:val="af1"/>
    <w:next w:val="af1"/>
    <w:qFormat/>
    <w:pPr>
      <w:keepNext/>
      <w:keepLines/>
      <w:spacing w:before="280" w:after="290" w:line="376" w:lineRule="auto"/>
      <w:outlineLvl w:val="4"/>
    </w:pPr>
    <w:rPr>
      <w:b/>
      <w:bCs/>
      <w:sz w:val="28"/>
      <w:szCs w:val="28"/>
    </w:rPr>
  </w:style>
  <w:style w:type="paragraph" w:styleId="6">
    <w:name w:val="heading 6"/>
    <w:basedOn w:val="af1"/>
    <w:next w:val="af1"/>
    <w:qFormat/>
    <w:pPr>
      <w:keepNext/>
      <w:keepLines/>
      <w:spacing w:before="240" w:after="64" w:line="320" w:lineRule="auto"/>
      <w:outlineLvl w:val="5"/>
    </w:pPr>
    <w:rPr>
      <w:rFonts w:ascii="Arial" w:eastAsia="黑体" w:hAnsi="Arial"/>
      <w:b/>
      <w:bCs/>
      <w:sz w:val="24"/>
    </w:rPr>
  </w:style>
  <w:style w:type="paragraph" w:styleId="7">
    <w:name w:val="heading 7"/>
    <w:basedOn w:val="af1"/>
    <w:next w:val="af1"/>
    <w:qFormat/>
    <w:pPr>
      <w:keepNext/>
      <w:keepLines/>
      <w:spacing w:before="240" w:after="64" w:line="320" w:lineRule="auto"/>
      <w:outlineLvl w:val="6"/>
    </w:pPr>
    <w:rPr>
      <w:b/>
      <w:bCs/>
      <w:sz w:val="24"/>
    </w:rPr>
  </w:style>
  <w:style w:type="paragraph" w:styleId="8">
    <w:name w:val="heading 8"/>
    <w:basedOn w:val="af1"/>
    <w:next w:val="af1"/>
    <w:qFormat/>
    <w:pPr>
      <w:keepNext/>
      <w:keepLines/>
      <w:spacing w:before="240" w:after="64" w:line="320" w:lineRule="auto"/>
      <w:outlineLvl w:val="7"/>
    </w:pPr>
    <w:rPr>
      <w:rFonts w:ascii="Arial" w:eastAsia="黑体" w:hAnsi="Arial"/>
      <w:sz w:val="24"/>
    </w:rPr>
  </w:style>
  <w:style w:type="paragraph" w:styleId="9">
    <w:name w:val="heading 9"/>
    <w:basedOn w:val="af1"/>
    <w:next w:val="af1"/>
    <w:qFormat/>
    <w:pPr>
      <w:keepNext/>
      <w:keepLines/>
      <w:spacing w:before="240" w:after="64" w:line="320"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70">
    <w:name w:val="toc 7"/>
    <w:basedOn w:val="60"/>
    <w:next w:val="af1"/>
    <w:semiHidden/>
    <w:qFormat/>
  </w:style>
  <w:style w:type="paragraph" w:styleId="60">
    <w:name w:val="toc 6"/>
    <w:basedOn w:val="50"/>
    <w:next w:val="af1"/>
    <w:semiHidden/>
    <w:qFormat/>
  </w:style>
  <w:style w:type="paragraph" w:styleId="50">
    <w:name w:val="toc 5"/>
    <w:basedOn w:val="40"/>
    <w:next w:val="af1"/>
    <w:semiHidden/>
    <w:qFormat/>
  </w:style>
  <w:style w:type="paragraph" w:styleId="40">
    <w:name w:val="toc 4"/>
    <w:basedOn w:val="30"/>
    <w:next w:val="af1"/>
    <w:semiHidden/>
    <w:qFormat/>
  </w:style>
  <w:style w:type="paragraph" w:styleId="30">
    <w:name w:val="toc 3"/>
    <w:basedOn w:val="20"/>
    <w:next w:val="af1"/>
    <w:semiHidden/>
    <w:qFormat/>
  </w:style>
  <w:style w:type="paragraph" w:styleId="20">
    <w:name w:val="toc 2"/>
    <w:basedOn w:val="10"/>
    <w:next w:val="af1"/>
    <w:semiHidden/>
    <w:qFormat/>
  </w:style>
  <w:style w:type="paragraph" w:styleId="10">
    <w:name w:val="toc 1"/>
    <w:next w:val="af1"/>
    <w:semiHidden/>
    <w:qFormat/>
    <w:pPr>
      <w:jc w:val="both"/>
    </w:pPr>
    <w:rPr>
      <w:rFonts w:ascii="宋体" w:hAnsi="Times New Roman"/>
      <w:sz w:val="21"/>
    </w:rPr>
  </w:style>
  <w:style w:type="paragraph" w:styleId="af5">
    <w:name w:val="Normal Indent"/>
    <w:basedOn w:val="af1"/>
    <w:qFormat/>
    <w:pPr>
      <w:adjustRightInd w:val="0"/>
      <w:spacing w:line="360" w:lineRule="atLeast"/>
      <w:ind w:firstLine="420"/>
      <w:jc w:val="left"/>
    </w:pPr>
    <w:rPr>
      <w:kern w:val="0"/>
      <w:szCs w:val="20"/>
    </w:rPr>
  </w:style>
  <w:style w:type="paragraph" w:styleId="af6">
    <w:name w:val="annotation text"/>
    <w:basedOn w:val="af1"/>
    <w:link w:val="Char"/>
    <w:qFormat/>
    <w:pPr>
      <w:jc w:val="left"/>
    </w:pPr>
  </w:style>
  <w:style w:type="paragraph" w:styleId="HTML">
    <w:name w:val="HTML Address"/>
    <w:basedOn w:val="af1"/>
    <w:qFormat/>
    <w:rPr>
      <w:i/>
      <w:iCs/>
    </w:rPr>
  </w:style>
  <w:style w:type="paragraph" w:styleId="80">
    <w:name w:val="toc 8"/>
    <w:basedOn w:val="70"/>
    <w:next w:val="af1"/>
    <w:semiHidden/>
    <w:qFormat/>
  </w:style>
  <w:style w:type="paragraph" w:styleId="af7">
    <w:name w:val="Date"/>
    <w:basedOn w:val="af1"/>
    <w:next w:val="af1"/>
    <w:link w:val="Char0"/>
    <w:qFormat/>
    <w:pPr>
      <w:ind w:leftChars="2500" w:left="100"/>
    </w:pPr>
  </w:style>
  <w:style w:type="paragraph" w:styleId="af8">
    <w:name w:val="endnote text"/>
    <w:basedOn w:val="af1"/>
    <w:link w:val="Char1"/>
    <w:qFormat/>
    <w:pPr>
      <w:snapToGrid w:val="0"/>
      <w:jc w:val="left"/>
    </w:pPr>
  </w:style>
  <w:style w:type="paragraph" w:styleId="af9">
    <w:name w:val="Balloon Text"/>
    <w:basedOn w:val="af1"/>
    <w:link w:val="Char2"/>
    <w:qFormat/>
    <w:rPr>
      <w:sz w:val="18"/>
      <w:szCs w:val="18"/>
    </w:rPr>
  </w:style>
  <w:style w:type="paragraph" w:styleId="afa">
    <w:name w:val="footer"/>
    <w:basedOn w:val="af1"/>
    <w:qFormat/>
    <w:pPr>
      <w:tabs>
        <w:tab w:val="center" w:pos="4153"/>
        <w:tab w:val="right" w:pos="8306"/>
      </w:tabs>
      <w:snapToGrid w:val="0"/>
      <w:ind w:rightChars="100" w:right="210"/>
      <w:jc w:val="right"/>
    </w:pPr>
    <w:rPr>
      <w:sz w:val="18"/>
      <w:szCs w:val="18"/>
    </w:rPr>
  </w:style>
  <w:style w:type="paragraph" w:styleId="afb">
    <w:name w:val="header"/>
    <w:basedOn w:val="af1"/>
    <w:qFormat/>
    <w:pPr>
      <w:pBdr>
        <w:bottom w:val="single" w:sz="6" w:space="1" w:color="auto"/>
      </w:pBdr>
      <w:tabs>
        <w:tab w:val="center" w:pos="4153"/>
        <w:tab w:val="right" w:pos="8306"/>
      </w:tabs>
      <w:snapToGrid w:val="0"/>
      <w:jc w:val="center"/>
    </w:pPr>
    <w:rPr>
      <w:sz w:val="18"/>
      <w:szCs w:val="18"/>
    </w:rPr>
  </w:style>
  <w:style w:type="paragraph" w:styleId="afc">
    <w:name w:val="footnote text"/>
    <w:basedOn w:val="af1"/>
    <w:semiHidden/>
    <w:qFormat/>
    <w:pPr>
      <w:snapToGrid w:val="0"/>
      <w:jc w:val="left"/>
    </w:pPr>
    <w:rPr>
      <w:sz w:val="18"/>
      <w:szCs w:val="18"/>
    </w:rPr>
  </w:style>
  <w:style w:type="paragraph" w:styleId="90">
    <w:name w:val="toc 9"/>
    <w:basedOn w:val="80"/>
    <w:next w:val="af1"/>
    <w:semiHidden/>
    <w:qFormat/>
  </w:style>
  <w:style w:type="paragraph" w:styleId="HTML0">
    <w:name w:val="HTML Preformatted"/>
    <w:basedOn w:val="af1"/>
    <w:qFormat/>
    <w:rPr>
      <w:rFonts w:ascii="Courier New" w:hAnsi="Courier New" w:cs="Courier New"/>
      <w:sz w:val="20"/>
      <w:szCs w:val="20"/>
    </w:rPr>
  </w:style>
  <w:style w:type="paragraph" w:styleId="afd">
    <w:name w:val="Title"/>
    <w:basedOn w:val="af1"/>
    <w:qFormat/>
    <w:pPr>
      <w:spacing w:before="240" w:after="60"/>
      <w:jc w:val="center"/>
      <w:outlineLvl w:val="0"/>
    </w:pPr>
    <w:rPr>
      <w:rFonts w:ascii="Arial" w:hAnsi="Arial" w:cs="Arial"/>
      <w:b/>
      <w:bCs/>
      <w:sz w:val="32"/>
      <w:szCs w:val="32"/>
    </w:rPr>
  </w:style>
  <w:style w:type="paragraph" w:styleId="afe">
    <w:name w:val="annotation subject"/>
    <w:basedOn w:val="af6"/>
    <w:next w:val="af6"/>
    <w:link w:val="Char3"/>
    <w:qFormat/>
    <w:rPr>
      <w:b/>
      <w:bCs/>
    </w:rPr>
  </w:style>
  <w:style w:type="table" w:styleId="aff">
    <w:name w:val="Table Grid"/>
    <w:basedOn w:val="af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ndnote reference"/>
    <w:basedOn w:val="af2"/>
    <w:qFormat/>
    <w:rPr>
      <w:vertAlign w:val="superscript"/>
    </w:rPr>
  </w:style>
  <w:style w:type="character" w:styleId="aff1">
    <w:name w:val="page number"/>
    <w:basedOn w:val="af2"/>
    <w:qFormat/>
    <w:rPr>
      <w:rFonts w:ascii="Times New Roman" w:eastAsia="宋体" w:hAnsi="Times New Roman"/>
      <w:sz w:val="18"/>
    </w:rPr>
  </w:style>
  <w:style w:type="character" w:styleId="aff2">
    <w:name w:val="FollowedHyperlink"/>
    <w:basedOn w:val="af2"/>
    <w:qFormat/>
    <w:rPr>
      <w:color w:val="800080"/>
      <w:u w:val="single"/>
    </w:rPr>
  </w:style>
  <w:style w:type="character" w:styleId="HTML1">
    <w:name w:val="HTML Definition"/>
    <w:basedOn w:val="af2"/>
    <w:qFormat/>
    <w:rPr>
      <w:i/>
      <w:iCs/>
    </w:rPr>
  </w:style>
  <w:style w:type="character" w:styleId="HTML2">
    <w:name w:val="HTML Typewriter"/>
    <w:basedOn w:val="af2"/>
    <w:qFormat/>
    <w:rPr>
      <w:rFonts w:ascii="Courier New" w:hAnsi="Courier New"/>
      <w:sz w:val="20"/>
      <w:szCs w:val="20"/>
    </w:rPr>
  </w:style>
  <w:style w:type="character" w:styleId="HTML3">
    <w:name w:val="HTML Acronym"/>
    <w:basedOn w:val="af2"/>
    <w:qFormat/>
  </w:style>
  <w:style w:type="character" w:styleId="HTML4">
    <w:name w:val="HTML Variable"/>
    <w:basedOn w:val="af2"/>
    <w:qFormat/>
    <w:rPr>
      <w:i/>
      <w:iCs/>
    </w:rPr>
  </w:style>
  <w:style w:type="character" w:styleId="aff3">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2"/>
    <w:qFormat/>
    <w:rPr>
      <w:rFonts w:ascii="Courier New" w:hAnsi="Courier New"/>
      <w:sz w:val="20"/>
      <w:szCs w:val="20"/>
    </w:rPr>
  </w:style>
  <w:style w:type="character" w:styleId="aff4">
    <w:name w:val="annotation reference"/>
    <w:basedOn w:val="af2"/>
    <w:qFormat/>
    <w:rPr>
      <w:sz w:val="21"/>
      <w:szCs w:val="21"/>
    </w:rPr>
  </w:style>
  <w:style w:type="character" w:styleId="HTML6">
    <w:name w:val="HTML Cite"/>
    <w:basedOn w:val="af2"/>
    <w:qFormat/>
    <w:rPr>
      <w:i/>
      <w:iCs/>
    </w:rPr>
  </w:style>
  <w:style w:type="character" w:styleId="aff5">
    <w:name w:val="footnote reference"/>
    <w:basedOn w:val="af2"/>
    <w:semiHidden/>
    <w:qFormat/>
    <w:rPr>
      <w:vertAlign w:val="superscript"/>
    </w:rPr>
  </w:style>
  <w:style w:type="character" w:styleId="HTML7">
    <w:name w:val="HTML Keyboard"/>
    <w:basedOn w:val="af2"/>
    <w:qFormat/>
    <w:rPr>
      <w:rFonts w:ascii="Courier New" w:hAnsi="Courier New"/>
      <w:sz w:val="20"/>
      <w:szCs w:val="20"/>
    </w:rPr>
  </w:style>
  <w:style w:type="character" w:styleId="HTML8">
    <w:name w:val="HTML Sample"/>
    <w:basedOn w:val="af2"/>
    <w:qFormat/>
    <w:rPr>
      <w:rFonts w:ascii="Courier New" w:hAnsi="Courier New"/>
    </w:rPr>
  </w:style>
  <w:style w:type="paragraph" w:customStyle="1" w:styleId="aff6">
    <w:name w:val="标准标志"/>
    <w:next w:val="af1"/>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7">
    <w:name w:val="标准称谓"/>
    <w:next w:val="af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8">
    <w:name w:val="标准书脚_偶数页"/>
    <w:qFormat/>
    <w:pPr>
      <w:spacing w:before="120"/>
    </w:pPr>
    <w:rPr>
      <w:rFonts w:ascii="Times New Roman" w:hAnsi="Times New Roman"/>
      <w:sz w:val="18"/>
    </w:rPr>
  </w:style>
  <w:style w:type="paragraph" w:customStyle="1" w:styleId="aff9">
    <w:name w:val="标准书脚_奇数页"/>
    <w:qFormat/>
    <w:pPr>
      <w:spacing w:before="120"/>
      <w:jc w:val="right"/>
    </w:pPr>
    <w:rPr>
      <w:rFonts w:ascii="Times New Roman" w:hAnsi="Times New Roman"/>
      <w:sz w:val="18"/>
    </w:rPr>
  </w:style>
  <w:style w:type="paragraph" w:customStyle="1" w:styleId="affa">
    <w:name w:val="标准书眉_奇数页"/>
    <w:next w:val="af1"/>
    <w:qFormat/>
    <w:pPr>
      <w:tabs>
        <w:tab w:val="center" w:pos="4154"/>
        <w:tab w:val="right" w:pos="8306"/>
      </w:tabs>
      <w:spacing w:after="120"/>
      <w:jc w:val="right"/>
    </w:pPr>
    <w:rPr>
      <w:rFonts w:ascii="Times New Roman" w:hAnsi="Times New Roman"/>
      <w:sz w:val="21"/>
    </w:rPr>
  </w:style>
  <w:style w:type="paragraph" w:customStyle="1" w:styleId="affb">
    <w:name w:val="标准书眉_偶数页"/>
    <w:basedOn w:val="affa"/>
    <w:next w:val="af1"/>
    <w:qFormat/>
    <w:pPr>
      <w:jc w:val="left"/>
    </w:pPr>
  </w:style>
  <w:style w:type="paragraph" w:customStyle="1" w:styleId="affc">
    <w:name w:val="标准书眉一"/>
    <w:qFormat/>
    <w:pPr>
      <w:jc w:val="both"/>
    </w:pPr>
    <w:rPr>
      <w:rFonts w:ascii="Times New Roman" w:hAnsi="Times New Roman"/>
    </w:rPr>
  </w:style>
  <w:style w:type="paragraph" w:customStyle="1" w:styleId="a8">
    <w:name w:val="前言、引言标题"/>
    <w:next w:val="af1"/>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d">
    <w:name w:val="参考文献、索引标题"/>
    <w:basedOn w:val="a8"/>
    <w:next w:val="af1"/>
    <w:qFormat/>
    <w:pPr>
      <w:numPr>
        <w:numId w:val="0"/>
      </w:numPr>
      <w:spacing w:after="200"/>
    </w:pPr>
    <w:rPr>
      <w:sz w:val="21"/>
    </w:rPr>
  </w:style>
  <w:style w:type="paragraph" w:customStyle="1" w:styleId="affe">
    <w:name w:val="段"/>
    <w:qFormat/>
    <w:pPr>
      <w:autoSpaceDE w:val="0"/>
      <w:autoSpaceDN w:val="0"/>
      <w:ind w:firstLineChars="200" w:firstLine="200"/>
      <w:jc w:val="both"/>
    </w:pPr>
    <w:rPr>
      <w:rFonts w:ascii="宋体" w:hAnsi="Times New Roman"/>
      <w:sz w:val="21"/>
    </w:rPr>
  </w:style>
  <w:style w:type="paragraph" w:customStyle="1" w:styleId="a9">
    <w:name w:val="章标题"/>
    <w:next w:val="affe"/>
    <w:qFormat/>
    <w:pPr>
      <w:numPr>
        <w:ilvl w:val="1"/>
        <w:numId w:val="1"/>
      </w:numPr>
      <w:spacing w:beforeLines="50" w:afterLines="50"/>
      <w:jc w:val="both"/>
      <w:outlineLvl w:val="1"/>
    </w:pPr>
    <w:rPr>
      <w:rFonts w:ascii="黑体" w:eastAsia="黑体" w:hAnsi="Times New Roman"/>
      <w:sz w:val="21"/>
    </w:rPr>
  </w:style>
  <w:style w:type="paragraph" w:customStyle="1" w:styleId="aa">
    <w:name w:val="一级条标题"/>
    <w:next w:val="affe"/>
    <w:qFormat/>
    <w:pPr>
      <w:numPr>
        <w:ilvl w:val="2"/>
        <w:numId w:val="1"/>
      </w:numPr>
      <w:outlineLvl w:val="2"/>
    </w:pPr>
    <w:rPr>
      <w:rFonts w:ascii="Times New Roman" w:eastAsia="黑体" w:hAnsi="Times New Roman"/>
      <w:sz w:val="21"/>
    </w:rPr>
  </w:style>
  <w:style w:type="paragraph" w:customStyle="1" w:styleId="ab">
    <w:name w:val="二级条标题"/>
    <w:basedOn w:val="aa"/>
    <w:next w:val="affe"/>
    <w:qFormat/>
    <w:pPr>
      <w:numPr>
        <w:ilvl w:val="3"/>
      </w:numPr>
      <w:outlineLvl w:val="3"/>
    </w:pPr>
  </w:style>
  <w:style w:type="character" w:customStyle="1" w:styleId="afff">
    <w:name w:val="发布"/>
    <w:basedOn w:val="af2"/>
    <w:qFormat/>
    <w:rPr>
      <w:rFonts w:ascii="黑体" w:eastAsia="黑体"/>
      <w:spacing w:val="22"/>
      <w:w w:val="100"/>
      <w:position w:val="3"/>
      <w:sz w:val="28"/>
    </w:rPr>
  </w:style>
  <w:style w:type="paragraph" w:customStyle="1" w:styleId="afff0">
    <w:name w:val="发布部门"/>
    <w:next w:val="affe"/>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2">
    <w:name w:val="封面标准代替信息"/>
    <w:basedOn w:val="21"/>
    <w:qFormat/>
    <w:pPr>
      <w:framePr w:wrap="around"/>
      <w:spacing w:before="57"/>
    </w:pPr>
    <w:rPr>
      <w:rFonts w:ascii="宋体"/>
      <w:sz w:val="21"/>
    </w:rPr>
  </w:style>
  <w:style w:type="paragraph" w:customStyle="1" w:styleId="a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4">
    <w:name w:val="封面标准文稿编辑信息"/>
    <w:qFormat/>
    <w:pPr>
      <w:spacing w:before="180" w:line="180" w:lineRule="exact"/>
      <w:jc w:val="center"/>
    </w:pPr>
    <w:rPr>
      <w:rFonts w:ascii="宋体" w:hAnsi="Times New Roman"/>
      <w:sz w:val="21"/>
    </w:rPr>
  </w:style>
  <w:style w:type="paragraph" w:customStyle="1" w:styleId="afff5">
    <w:name w:val="封面标准文稿类别"/>
    <w:qFormat/>
    <w:pPr>
      <w:spacing w:before="440" w:line="400" w:lineRule="exact"/>
      <w:jc w:val="center"/>
    </w:pPr>
    <w:rPr>
      <w:rFonts w:ascii="宋体" w:hAnsi="Times New Roman"/>
      <w:sz w:val="24"/>
    </w:rPr>
  </w:style>
  <w:style w:type="paragraph" w:customStyle="1" w:styleId="afff6">
    <w:name w:val="封面标准英文名称"/>
    <w:qFormat/>
    <w:pPr>
      <w:widowControl w:val="0"/>
      <w:spacing w:before="370" w:line="400" w:lineRule="exact"/>
      <w:jc w:val="center"/>
    </w:pPr>
    <w:rPr>
      <w:rFonts w:ascii="Times New Roman" w:hAnsi="Times New Roman"/>
      <w:sz w:val="28"/>
    </w:rPr>
  </w:style>
  <w:style w:type="paragraph" w:customStyle="1" w:styleId="afff7">
    <w:name w:val="封面一致性程度标识"/>
    <w:qFormat/>
    <w:pPr>
      <w:spacing w:before="440" w:line="400" w:lineRule="exact"/>
      <w:jc w:val="center"/>
    </w:pPr>
    <w:rPr>
      <w:rFonts w:ascii="宋体" w:hAnsi="Times New Roman"/>
      <w:sz w:val="28"/>
    </w:rPr>
  </w:style>
  <w:style w:type="paragraph" w:customStyle="1" w:styleId="afff8">
    <w:name w:val="封面正文"/>
    <w:qFormat/>
    <w:pPr>
      <w:jc w:val="both"/>
    </w:pPr>
    <w:rPr>
      <w:rFonts w:ascii="Times New Roman" w:hAnsi="Times New Roman"/>
    </w:rPr>
  </w:style>
  <w:style w:type="paragraph" w:customStyle="1" w:styleId="a7">
    <w:name w:val="附录标识"/>
    <w:basedOn w:val="a8"/>
    <w:qFormat/>
    <w:pPr>
      <w:numPr>
        <w:numId w:val="2"/>
      </w:numPr>
      <w:tabs>
        <w:tab w:val="left" w:pos="6405"/>
      </w:tabs>
      <w:spacing w:after="200"/>
    </w:pPr>
    <w:rPr>
      <w:sz w:val="21"/>
    </w:rPr>
  </w:style>
  <w:style w:type="paragraph" w:customStyle="1" w:styleId="a3">
    <w:name w:val="附录表标题"/>
    <w:next w:val="affe"/>
    <w:qFormat/>
    <w:pPr>
      <w:numPr>
        <w:numId w:val="3"/>
      </w:numPr>
      <w:jc w:val="center"/>
      <w:textAlignment w:val="baseline"/>
    </w:pPr>
    <w:rPr>
      <w:rFonts w:ascii="黑体" w:eastAsia="黑体" w:hAnsi="Times New Roman"/>
      <w:kern w:val="21"/>
      <w:sz w:val="21"/>
    </w:rPr>
  </w:style>
  <w:style w:type="paragraph" w:customStyle="1" w:styleId="afff9">
    <w:name w:val="附录章标题"/>
    <w:next w:val="affe"/>
    <w:link w:val="Char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a">
    <w:name w:val="附录一级条标题"/>
    <w:basedOn w:val="afff9"/>
    <w:next w:val="affe"/>
    <w:qFormat/>
    <w:pPr>
      <w:autoSpaceDN w:val="0"/>
      <w:spacing w:beforeLines="0" w:afterLines="0"/>
      <w:outlineLvl w:val="2"/>
    </w:pPr>
  </w:style>
  <w:style w:type="paragraph" w:customStyle="1" w:styleId="afffb">
    <w:name w:val="附录二级条标题"/>
    <w:basedOn w:val="afffa"/>
    <w:next w:val="affe"/>
    <w:qFormat/>
    <w:pPr>
      <w:outlineLvl w:val="3"/>
    </w:pPr>
  </w:style>
  <w:style w:type="paragraph" w:customStyle="1" w:styleId="afffc">
    <w:name w:val="附录三级条标题"/>
    <w:basedOn w:val="afffb"/>
    <w:next w:val="affe"/>
    <w:qFormat/>
    <w:pPr>
      <w:outlineLvl w:val="4"/>
    </w:pPr>
  </w:style>
  <w:style w:type="paragraph" w:customStyle="1" w:styleId="afffd">
    <w:name w:val="附录四级条标题"/>
    <w:basedOn w:val="afffc"/>
    <w:next w:val="affe"/>
    <w:qFormat/>
    <w:pPr>
      <w:outlineLvl w:val="5"/>
    </w:pPr>
  </w:style>
  <w:style w:type="paragraph" w:customStyle="1" w:styleId="a0">
    <w:name w:val="附录图标题"/>
    <w:next w:val="affe"/>
    <w:qFormat/>
    <w:pPr>
      <w:numPr>
        <w:numId w:val="4"/>
      </w:numPr>
      <w:jc w:val="center"/>
    </w:pPr>
    <w:rPr>
      <w:rFonts w:ascii="黑体" w:eastAsia="黑体" w:hAnsi="Times New Roman"/>
      <w:sz w:val="21"/>
    </w:rPr>
  </w:style>
  <w:style w:type="paragraph" w:customStyle="1" w:styleId="afffe">
    <w:name w:val="附录五级条标题"/>
    <w:basedOn w:val="afffd"/>
    <w:next w:val="affe"/>
    <w:qFormat/>
    <w:pPr>
      <w:outlineLvl w:val="6"/>
    </w:pPr>
  </w:style>
  <w:style w:type="character" w:customStyle="1" w:styleId="affff">
    <w:name w:val="个人答复风格"/>
    <w:basedOn w:val="af2"/>
    <w:qFormat/>
    <w:rPr>
      <w:rFonts w:ascii="Arial" w:eastAsia="宋体" w:hAnsi="Arial" w:cs="Arial"/>
      <w:color w:val="auto"/>
      <w:sz w:val="20"/>
    </w:rPr>
  </w:style>
  <w:style w:type="character" w:customStyle="1" w:styleId="affff0">
    <w:name w:val="个人撰写风格"/>
    <w:basedOn w:val="af2"/>
    <w:qFormat/>
    <w:rPr>
      <w:rFonts w:ascii="Arial" w:eastAsia="宋体" w:hAnsi="Arial" w:cs="Arial"/>
      <w:color w:val="auto"/>
      <w:sz w:val="20"/>
    </w:rPr>
  </w:style>
  <w:style w:type="paragraph" w:customStyle="1" w:styleId="af0">
    <w:name w:val="列项——（一级）"/>
    <w:qFormat/>
    <w:pPr>
      <w:widowControl w:val="0"/>
      <w:numPr>
        <w:numId w:val="5"/>
      </w:numPr>
      <w:tabs>
        <w:tab w:val="clear" w:pos="1146"/>
        <w:tab w:val="left" w:pos="854"/>
      </w:tabs>
      <w:ind w:leftChars="200" w:left="200" w:hangingChars="200" w:hanging="200"/>
      <w:jc w:val="both"/>
    </w:pPr>
    <w:rPr>
      <w:rFonts w:ascii="宋体" w:hAnsi="Times New Roman"/>
      <w:sz w:val="21"/>
    </w:rPr>
  </w:style>
  <w:style w:type="paragraph" w:customStyle="1" w:styleId="a5">
    <w:name w:val="列项●（二级）"/>
    <w:qFormat/>
    <w:pPr>
      <w:numPr>
        <w:numId w:val="6"/>
      </w:numPr>
      <w:tabs>
        <w:tab w:val="left" w:pos="840"/>
      </w:tabs>
      <w:ind w:leftChars="400" w:left="600" w:hangingChars="200" w:hanging="200"/>
      <w:jc w:val="both"/>
    </w:pPr>
    <w:rPr>
      <w:rFonts w:ascii="宋体" w:hAnsi="Times New Roman"/>
      <w:sz w:val="21"/>
    </w:rPr>
  </w:style>
  <w:style w:type="paragraph" w:customStyle="1" w:styleId="affff1">
    <w:name w:val="目次、标准名称标题"/>
    <w:basedOn w:val="a8"/>
    <w:next w:val="affe"/>
    <w:qFormat/>
    <w:pPr>
      <w:spacing w:line="460" w:lineRule="exact"/>
    </w:pPr>
  </w:style>
  <w:style w:type="paragraph" w:customStyle="1" w:styleId="affff2">
    <w:name w:val="目次、索引正文"/>
    <w:qFormat/>
    <w:pPr>
      <w:spacing w:line="320" w:lineRule="exact"/>
      <w:jc w:val="both"/>
    </w:pPr>
    <w:rPr>
      <w:rFonts w:ascii="宋体" w:hAnsi="Times New Roman"/>
      <w:sz w:val="21"/>
    </w:rPr>
  </w:style>
  <w:style w:type="paragraph" w:customStyle="1" w:styleId="affff3">
    <w:name w:val="其他标准称谓"/>
    <w:qFormat/>
    <w:pPr>
      <w:spacing w:line="0" w:lineRule="atLeast"/>
      <w:jc w:val="distribute"/>
    </w:pPr>
    <w:rPr>
      <w:rFonts w:ascii="黑体" w:eastAsia="黑体" w:hAnsi="宋体"/>
      <w:sz w:val="52"/>
    </w:rPr>
  </w:style>
  <w:style w:type="paragraph" w:customStyle="1" w:styleId="affff4">
    <w:name w:val="其他发布部门"/>
    <w:basedOn w:val="afff0"/>
    <w:qFormat/>
    <w:pPr>
      <w:framePr w:wrap="around"/>
      <w:spacing w:line="0" w:lineRule="atLeast"/>
    </w:pPr>
    <w:rPr>
      <w:rFonts w:ascii="黑体" w:eastAsia="黑体"/>
      <w:b w:val="0"/>
    </w:rPr>
  </w:style>
  <w:style w:type="paragraph" w:customStyle="1" w:styleId="ac">
    <w:name w:val="三级条标题"/>
    <w:basedOn w:val="ab"/>
    <w:next w:val="affe"/>
    <w:qFormat/>
    <w:pPr>
      <w:numPr>
        <w:ilvl w:val="4"/>
      </w:numPr>
      <w:outlineLvl w:val="4"/>
    </w:pPr>
  </w:style>
  <w:style w:type="paragraph" w:customStyle="1" w:styleId="affff5">
    <w:name w:val="实施日期"/>
    <w:basedOn w:val="afff1"/>
    <w:qFormat/>
    <w:pPr>
      <w:framePr w:hSpace="0" w:wrap="around" w:xAlign="right"/>
      <w:jc w:val="right"/>
    </w:pPr>
  </w:style>
  <w:style w:type="paragraph" w:customStyle="1" w:styleId="a">
    <w:name w:val="示例"/>
    <w:next w:val="affe"/>
    <w:qFormat/>
    <w:pPr>
      <w:numPr>
        <w:numId w:val="7"/>
      </w:numPr>
      <w:tabs>
        <w:tab w:val="left" w:pos="816"/>
      </w:tabs>
      <w:ind w:firstLineChars="233" w:firstLine="419"/>
      <w:jc w:val="both"/>
    </w:pPr>
    <w:rPr>
      <w:rFonts w:ascii="宋体" w:hAnsi="Times New Roman"/>
      <w:sz w:val="18"/>
    </w:rPr>
  </w:style>
  <w:style w:type="paragraph" w:customStyle="1" w:styleId="affff6">
    <w:name w:val="数字编号列项（二级）"/>
    <w:qFormat/>
    <w:pPr>
      <w:ind w:leftChars="400" w:left="1260" w:hangingChars="200" w:hanging="420"/>
      <w:jc w:val="both"/>
    </w:pPr>
    <w:rPr>
      <w:rFonts w:ascii="宋体" w:hAnsi="Times New Roman"/>
      <w:sz w:val="21"/>
    </w:rPr>
  </w:style>
  <w:style w:type="paragraph" w:customStyle="1" w:styleId="ad">
    <w:name w:val="四级条标题"/>
    <w:basedOn w:val="ac"/>
    <w:next w:val="affe"/>
    <w:qFormat/>
    <w:pPr>
      <w:numPr>
        <w:ilvl w:val="5"/>
      </w:numPr>
      <w:outlineLvl w:val="5"/>
    </w:pPr>
  </w:style>
  <w:style w:type="paragraph" w:customStyle="1" w:styleId="affff7">
    <w:name w:val="条文脚注"/>
    <w:basedOn w:val="afc"/>
    <w:qFormat/>
    <w:pPr>
      <w:ind w:leftChars="200" w:left="780" w:hangingChars="200" w:hanging="360"/>
      <w:jc w:val="both"/>
    </w:pPr>
    <w:rPr>
      <w:rFonts w:ascii="宋体"/>
    </w:rPr>
  </w:style>
  <w:style w:type="paragraph" w:customStyle="1" w:styleId="affff8">
    <w:name w:val="图表脚注"/>
    <w:next w:val="affe"/>
    <w:qFormat/>
    <w:pPr>
      <w:ind w:leftChars="200" w:left="300" w:hangingChars="100" w:hanging="100"/>
      <w:jc w:val="both"/>
    </w:pPr>
    <w:rPr>
      <w:rFonts w:ascii="宋体" w:hAnsi="Times New Roman"/>
      <w:sz w:val="18"/>
    </w:rPr>
  </w:style>
  <w:style w:type="paragraph" w:customStyle="1" w:styleId="a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e">
    <w:name w:val="五级条标题"/>
    <w:basedOn w:val="ad"/>
    <w:next w:val="affe"/>
    <w:qFormat/>
    <w:pPr>
      <w:numPr>
        <w:ilvl w:val="6"/>
      </w:numPr>
      <w:outlineLvl w:val="6"/>
    </w:pPr>
  </w:style>
  <w:style w:type="paragraph" w:customStyle="1" w:styleId="a6">
    <w:name w:val="正文表标题"/>
    <w:next w:val="affe"/>
    <w:qFormat/>
    <w:pPr>
      <w:numPr>
        <w:numId w:val="8"/>
      </w:numPr>
      <w:jc w:val="center"/>
    </w:pPr>
    <w:rPr>
      <w:rFonts w:ascii="黑体" w:eastAsia="黑体" w:hAnsi="Times New Roman"/>
      <w:sz w:val="21"/>
    </w:rPr>
  </w:style>
  <w:style w:type="paragraph" w:customStyle="1" w:styleId="a4">
    <w:name w:val="正文图标题"/>
    <w:next w:val="affe"/>
    <w:qFormat/>
    <w:pPr>
      <w:numPr>
        <w:numId w:val="9"/>
      </w:numPr>
      <w:jc w:val="center"/>
    </w:pPr>
    <w:rPr>
      <w:rFonts w:ascii="黑体" w:eastAsia="黑体" w:hAnsi="Times New Roman"/>
      <w:sz w:val="21"/>
    </w:rPr>
  </w:style>
  <w:style w:type="paragraph" w:customStyle="1" w:styleId="af">
    <w:name w:val="注："/>
    <w:next w:val="affe"/>
    <w:qFormat/>
    <w:pPr>
      <w:widowControl w:val="0"/>
      <w:numPr>
        <w:numId w:val="10"/>
      </w:numPr>
      <w:tabs>
        <w:tab w:val="clear" w:pos="1287"/>
      </w:tabs>
      <w:autoSpaceDE w:val="0"/>
      <w:autoSpaceDN w:val="0"/>
      <w:ind w:left="840"/>
      <w:jc w:val="both"/>
    </w:pPr>
    <w:rPr>
      <w:rFonts w:ascii="宋体" w:hAnsi="Times New Roman"/>
      <w:sz w:val="18"/>
    </w:rPr>
  </w:style>
  <w:style w:type="paragraph" w:customStyle="1" w:styleId="a2">
    <w:name w:val="注×："/>
    <w:qFormat/>
    <w:pPr>
      <w:widowControl w:val="0"/>
      <w:numPr>
        <w:numId w:val="11"/>
      </w:numPr>
      <w:tabs>
        <w:tab w:val="left" w:pos="630"/>
      </w:tabs>
      <w:autoSpaceDE w:val="0"/>
      <w:autoSpaceDN w:val="0"/>
      <w:jc w:val="both"/>
    </w:pPr>
    <w:rPr>
      <w:rFonts w:ascii="宋体" w:hAnsi="Times New Roman"/>
      <w:sz w:val="18"/>
    </w:rPr>
  </w:style>
  <w:style w:type="paragraph" w:customStyle="1" w:styleId="affffa">
    <w:name w:val="字母编号列项（一级）"/>
    <w:qFormat/>
    <w:pPr>
      <w:ind w:leftChars="200" w:left="840" w:hangingChars="200" w:hanging="420"/>
      <w:jc w:val="both"/>
    </w:pPr>
    <w:rPr>
      <w:rFonts w:ascii="宋体" w:hAnsi="Times New Roman"/>
      <w:sz w:val="21"/>
    </w:rPr>
  </w:style>
  <w:style w:type="paragraph" w:customStyle="1" w:styleId="a1">
    <w:name w:val="列项◆（三级）"/>
    <w:qFormat/>
    <w:pPr>
      <w:numPr>
        <w:numId w:val="12"/>
      </w:numPr>
      <w:ind w:leftChars="600" w:left="800" w:hangingChars="200" w:hanging="200"/>
    </w:pPr>
    <w:rPr>
      <w:rFonts w:ascii="宋体" w:hAnsi="Times New Roman"/>
      <w:sz w:val="21"/>
    </w:rPr>
  </w:style>
  <w:style w:type="paragraph" w:customStyle="1" w:styleId="affffb">
    <w:name w:val="编号列项（三级）"/>
    <w:qFormat/>
    <w:pPr>
      <w:ind w:leftChars="600" w:left="800" w:hangingChars="200" w:hanging="200"/>
    </w:pPr>
    <w:rPr>
      <w:rFonts w:ascii="宋体" w:hAnsi="Times New Roman"/>
      <w:sz w:val="21"/>
    </w:rPr>
  </w:style>
  <w:style w:type="paragraph" w:customStyle="1" w:styleId="Char5">
    <w:name w:val="Char"/>
    <w:basedOn w:val="af1"/>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f1"/>
    <w:qFormat/>
    <w:pPr>
      <w:widowControl/>
      <w:spacing w:after="160" w:line="240" w:lineRule="exact"/>
      <w:jc w:val="left"/>
    </w:pPr>
    <w:rPr>
      <w:rFonts w:ascii="Verdana" w:hAnsi="Verdana"/>
      <w:kern w:val="0"/>
      <w:sz w:val="20"/>
      <w:szCs w:val="20"/>
      <w:lang w:eastAsia="en-US"/>
    </w:rPr>
  </w:style>
  <w:style w:type="character" w:customStyle="1" w:styleId="Char0">
    <w:name w:val="日期 Char"/>
    <w:basedOn w:val="af2"/>
    <w:link w:val="af7"/>
    <w:qFormat/>
    <w:rPr>
      <w:kern w:val="2"/>
      <w:sz w:val="21"/>
      <w:szCs w:val="24"/>
    </w:rPr>
  </w:style>
  <w:style w:type="character" w:customStyle="1" w:styleId="Char2">
    <w:name w:val="批注框文本 Char"/>
    <w:basedOn w:val="af2"/>
    <w:link w:val="af9"/>
    <w:qFormat/>
    <w:rPr>
      <w:kern w:val="2"/>
      <w:sz w:val="18"/>
      <w:szCs w:val="18"/>
    </w:rPr>
  </w:style>
  <w:style w:type="paragraph" w:styleId="affffc">
    <w:name w:val="List Paragraph"/>
    <w:basedOn w:val="af1"/>
    <w:uiPriority w:val="34"/>
    <w:qFormat/>
    <w:pPr>
      <w:ind w:firstLineChars="200" w:firstLine="420"/>
    </w:pPr>
  </w:style>
  <w:style w:type="character" w:customStyle="1" w:styleId="Char1">
    <w:name w:val="尾注文本 Char"/>
    <w:basedOn w:val="af2"/>
    <w:link w:val="af8"/>
    <w:qFormat/>
    <w:rPr>
      <w:kern w:val="2"/>
      <w:sz w:val="21"/>
      <w:szCs w:val="24"/>
    </w:rPr>
  </w:style>
  <w:style w:type="character" w:customStyle="1" w:styleId="Char">
    <w:name w:val="批注文字 Char"/>
    <w:basedOn w:val="af2"/>
    <w:link w:val="af6"/>
    <w:rPr>
      <w:kern w:val="2"/>
      <w:sz w:val="21"/>
      <w:szCs w:val="24"/>
    </w:rPr>
  </w:style>
  <w:style w:type="character" w:customStyle="1" w:styleId="Char3">
    <w:name w:val="批注主题 Char"/>
    <w:basedOn w:val="Char"/>
    <w:link w:val="afe"/>
    <w:qFormat/>
    <w:rPr>
      <w:b/>
      <w:bCs/>
      <w:kern w:val="2"/>
      <w:sz w:val="21"/>
      <w:szCs w:val="24"/>
    </w:rPr>
  </w:style>
  <w:style w:type="character" w:customStyle="1" w:styleId="Char4">
    <w:name w:val="附录章标题 Char"/>
    <w:link w:val="afff9"/>
    <w:qFormat/>
    <w:rPr>
      <w:rFonts w:ascii="黑体" w:eastAsia="黑体" w:hAnsi="Times New Roman"/>
      <w:kern w:val="21"/>
      <w:sz w:val="21"/>
    </w:rPr>
  </w:style>
  <w:style w:type="character" w:styleId="affffd">
    <w:name w:val="Placeholder Text"/>
    <w:basedOn w:val="af2"/>
    <w:uiPriority w:val="99"/>
    <w:unhideWhenUsed/>
    <w:rPr>
      <w:color w:val="808080"/>
    </w:rPr>
  </w:style>
  <w:style w:type="table" w:customStyle="1" w:styleId="12">
    <w:name w:val="网格型1"/>
    <w:basedOn w:val="af3"/>
    <w:next w:val="aff"/>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6F035-F436-4447-8E29-112FF762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tds2.dot</Template>
  <TotalTime>3096</TotalTime>
  <Pages>1</Pages>
  <Words>1089</Words>
  <Characters>6210</Characters>
  <Application>Microsoft Office Word</Application>
  <DocSecurity>0</DocSecurity>
  <Lines>51</Lines>
  <Paragraphs>14</Paragraphs>
  <ScaleCrop>false</ScaleCrop>
  <Company>CNIS</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liufk</dc:creator>
  <cp:lastModifiedBy>裘桂群</cp:lastModifiedBy>
  <cp:revision>429</cp:revision>
  <cp:lastPrinted>2022-11-14T05:02:00Z</cp:lastPrinted>
  <dcterms:created xsi:type="dcterms:W3CDTF">2022-07-06T06:09:00Z</dcterms:created>
  <dcterms:modified xsi:type="dcterms:W3CDTF">2023-05-17T02:54:00Z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2052-11.1.0.12763</vt:lpwstr>
  </property>
  <property fmtid="{D5CDD505-2E9C-101B-9397-08002B2CF9AE}" pid="4" name="ICV">
    <vt:lpwstr>9FEDFF893C544B368EA3B6B3D83797D6</vt:lpwstr>
  </property>
</Properties>
</file>