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hd w:val="clear" w:color="auto" w:fill="FFFFFF"/>
        <w:ind w:firstLine="2720" w:firstLineChars="850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《电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  <w:t>子元器件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用镉铜棒》</w:t>
      </w:r>
    </w:p>
    <w:p>
      <w:pPr>
        <w:pStyle w:val="8"/>
        <w:widowControl/>
        <w:shd w:val="clear" w:color="auto" w:fill="FFFFFF"/>
        <w:ind w:firstLine="3360" w:firstLineChars="1200"/>
        <w:rPr>
          <w:rFonts w:hint="eastAsia" w:ascii="黑体" w:eastAsia="黑体"/>
          <w:bCs/>
          <w:sz w:val="28"/>
          <w:szCs w:val="21"/>
        </w:rPr>
      </w:pPr>
      <w:r>
        <w:rPr>
          <w:rFonts w:hint="eastAsia" w:ascii="黑体" w:eastAsia="黑体"/>
          <w:bCs/>
          <w:sz w:val="28"/>
          <w:szCs w:val="21"/>
        </w:rPr>
        <w:t>预审稿编制说明</w:t>
      </w:r>
    </w:p>
    <w:p>
      <w:pPr>
        <w:numPr>
          <w:ilvl w:val="0"/>
          <w:numId w:val="1"/>
        </w:numPr>
        <w:spacing w:line="440" w:lineRule="exact"/>
        <w:rPr>
          <w:rFonts w:ascii="黑体" w:eastAsia="黑体" w:cs="Arial"/>
          <w:szCs w:val="21"/>
        </w:rPr>
      </w:pPr>
      <w:r>
        <w:rPr>
          <w:rFonts w:hint="eastAsia"/>
          <w:b/>
          <w:bCs/>
          <w:szCs w:val="21"/>
        </w:rPr>
        <w:t>工作简况</w:t>
      </w:r>
    </w:p>
    <w:p>
      <w:pPr>
        <w:spacing w:line="440" w:lineRule="exact"/>
        <w:rPr>
          <w:szCs w:val="21"/>
        </w:rPr>
      </w:pPr>
      <w:r>
        <w:rPr>
          <w:rFonts w:hint="eastAsia" w:ascii="黑体" w:eastAsia="黑体" w:cs="Arial"/>
          <w:szCs w:val="21"/>
        </w:rPr>
        <w:t>1.1 任务来源</w:t>
      </w:r>
    </w:p>
    <w:p>
      <w:pPr>
        <w:pStyle w:val="8"/>
        <w:widowControl/>
        <w:shd w:val="clear" w:color="auto" w:fill="FFFFFF"/>
        <w:spacing w:line="400" w:lineRule="atLeast"/>
        <w:ind w:firstLine="42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根据</w:t>
      </w:r>
      <w:r>
        <w:rPr>
          <w:rFonts w:hint="eastAsia" w:ascii="宋体" w:hAnsi="宋体" w:eastAsia="宋体" w:cs="宋体"/>
          <w:sz w:val="21"/>
          <w:szCs w:val="21"/>
        </w:rPr>
        <w:t>有</w:t>
      </w:r>
      <w:r>
        <w:rPr>
          <w:rFonts w:hint="default" w:ascii="Times New Roman" w:hAnsi="Times New Roman" w:eastAsia="宋体" w:cs="Times New Roman"/>
          <w:sz w:val="21"/>
          <w:szCs w:val="21"/>
        </w:rPr>
        <w:t>色标委（2022）102号，《关于转发2022年第一批有色金属国家、行业、协会标准制（修）订项目计划的通知》，由沈阳有色金属研究所有限公司负责起草修订行业标准《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电子元器件</w:t>
      </w:r>
      <w:r>
        <w:rPr>
          <w:rFonts w:hint="default" w:ascii="Times New Roman" w:hAnsi="Times New Roman" w:eastAsia="宋体" w:cs="Times New Roman"/>
          <w:sz w:val="21"/>
          <w:szCs w:val="21"/>
        </w:rPr>
        <w:t>用镉铜棒》，项目计划编号2022-0210T-YS，完成年限为2023年。</w:t>
      </w:r>
    </w:p>
    <w:p>
      <w:pPr>
        <w:pStyle w:val="8"/>
        <w:widowControl/>
        <w:shd w:val="clear" w:color="auto" w:fill="FFFFFF"/>
        <w:spacing w:line="400" w:lineRule="exact"/>
        <w:rPr>
          <w:rFonts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1.2立项的目的和意义</w:t>
      </w:r>
    </w:p>
    <w:p>
      <w:pPr>
        <w:pStyle w:val="8"/>
        <w:widowControl/>
        <w:shd w:val="clear" w:color="auto" w:fill="FFFFFF"/>
        <w:spacing w:line="400" w:lineRule="exact"/>
        <w:ind w:firstLine="420" w:firstLineChars="200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镉铜具有高导电性和导热性，良好的耐磨性、减磨性、耐蚀性和加工性，广泛用于制造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电子元器件</w:t>
      </w:r>
      <w:r>
        <w:rPr>
          <w:rFonts w:hint="eastAsia" w:ascii="宋体" w:hAnsi="宋体" w:eastAsia="宋体" w:cs="宋体"/>
          <w:sz w:val="21"/>
          <w:szCs w:val="21"/>
        </w:rPr>
        <w:t>装置的导电、耐热、耐磨零件，常用于制作常温或高温下工作的高导电、耐磨的零件。主要</w:t>
      </w:r>
      <w:r>
        <w:rPr>
          <w:rFonts w:hint="default" w:ascii="Times New Roman" w:hAnsi="Times New Roman" w:eastAsia="宋体" w:cs="Times New Roman"/>
          <w:sz w:val="21"/>
          <w:szCs w:val="21"/>
        </w:rPr>
        <w:t>用途有：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 xml:space="preserve">电机整流子、开关元件，较高强度的传输线、接头，接触焊机电极和滚轮等。是国防军工部门需用的重要有色金属材料之一。 </w:t>
      </w:r>
    </w:p>
    <w:p>
      <w:pPr>
        <w:pStyle w:val="8"/>
        <w:widowControl/>
        <w:shd w:val="clear" w:color="auto" w:fill="FFFFFF"/>
        <w:spacing w:line="400" w:lineRule="exact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镉铜棒是含有0.7%~1.2%镉质量分数的高铜合金。高温时镉与铜形成a固溶体，随温度的降低，镉在铜中的固溶度急剧下降。由于镉的含量低，析出相质点强化效果很弱，因此，合金不能通过热处理时效硬化，只能采用冷变形加工获得强化。</w:t>
      </w:r>
    </w:p>
    <w:p>
      <w:pPr>
        <w:pStyle w:val="8"/>
        <w:widowControl/>
        <w:shd w:val="clear" w:color="auto" w:fill="FFFFFF"/>
        <w:spacing w:line="400" w:lineRule="exact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镉的加入，使铜的导电率略有下降，但其强度，再结晶温度和抗高温软化能力明显提高，合金具有良好的冷、热加工性能。能承受热挤、热轧、热弯、热锻和多种形式的冷变形加工，变形率可达90%以上。根据不同应用的需要，可供应锻制大规格棒材、挤制棒材和高精度拉制棒材产品。</w:t>
      </w:r>
    </w:p>
    <w:p>
      <w:pPr>
        <w:pStyle w:val="8"/>
        <w:widowControl/>
        <w:shd w:val="clear" w:color="auto" w:fill="FFFFFF"/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随着电力、装备制造领域的科技进步，主要装备向高可靠、长寿命、高性能、高功效、节能环保方向迅速发展，对材料的导电、导热、强度、抗软化等综合性能要求越来越高。镉铜棒材是目前综合性能较好的高强、高导铜基合金材料，具有其他合金不具备的特殊性能，广泛用于制造大功率、大电流、高温等恶劣工况下的重要导电、导热器件。其应用正不断被开发，产品正在被不同行业所重视。</w:t>
      </w:r>
    </w:p>
    <w:p>
      <w:pPr>
        <w:pStyle w:val="8"/>
        <w:widowControl/>
        <w:shd w:val="clear" w:color="auto" w:fill="FFFFFF"/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沈阳有色金属研究所有限公司，利用真空熔炼方式生产镉铜棒材，有效避免了熔炼过程中镉对环境的污染，产品质量稳定，占有较大的市场份额。</w:t>
      </w:r>
    </w:p>
    <w:p>
      <w:pPr>
        <w:spacing w:line="440" w:lineRule="exac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1.3 主要参加单位和工作成员所作的工作</w:t>
      </w:r>
    </w:p>
    <w:p>
      <w:pPr>
        <w:spacing w:line="440" w:lineRule="exact"/>
        <w:ind w:firstLine="420" w:firstLineChars="200"/>
      </w:pPr>
      <w:r>
        <w:rPr>
          <w:rFonts w:hint="eastAsia"/>
        </w:rPr>
        <w:t>沈阳有色金属研究所有限公司承担了该标准的主要编制工作，编制过程中收集了国内外相关标准及相关企业实际产生的技术数据，以用户需求为主，了解用户的使用情况，参考公司多年来为用户提供本标准产品的技术参数，对标准的技术数据及文本进行了认真修改，完成了本标准的编制工作。</w:t>
      </w:r>
    </w:p>
    <w:p>
      <w:pPr>
        <w:widowControl/>
        <w:spacing w:line="40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Times New Roman" w:eastAsia="宋体"/>
          <w:szCs w:val="21"/>
        </w:rPr>
        <w:t>标准中主要起草人的工作职责：孙海忠负责技术指导及技术指标的确认核对工作；张桂敏负责产品调研、标准资料的收集和使用情况的调研工作；李婷婷负责标准方案的制定及标准条款编写工作；林子凯负责相应国外标准资料的查找与内容对照工作；赵军等负责标准文本核对及校正工作。</w:t>
      </w:r>
    </w:p>
    <w:p>
      <w:pPr>
        <w:widowControl/>
        <w:spacing w:line="400" w:lineRule="exact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1.4 主要工作过程</w:t>
      </w:r>
    </w:p>
    <w:p>
      <w:pPr>
        <w:pStyle w:val="17"/>
        <w:spacing w:line="440" w:lineRule="exact"/>
        <w:ind w:firstLine="480"/>
        <w:rPr>
          <w:rFonts w:ascii="黑体" w:eastAsia="黑体" w:cs="Arial"/>
        </w:rPr>
      </w:pPr>
      <w:r>
        <w:rPr>
          <w:rFonts w:hint="eastAsia" w:hAnsi="宋体"/>
        </w:rPr>
        <w:t>沈阳有色金属研究所有限公司</w:t>
      </w:r>
      <w:r>
        <w:rPr>
          <w:szCs w:val="20"/>
        </w:rPr>
        <w:t>自接受</w:t>
      </w:r>
      <w:r>
        <w:rPr>
          <w:rFonts w:hint="eastAsia"/>
          <w:szCs w:val="20"/>
        </w:rPr>
        <w:t>标准修订</w:t>
      </w:r>
      <w:r>
        <w:rPr>
          <w:szCs w:val="20"/>
        </w:rPr>
        <w:t>任务后，成立了标准编制工作组</w:t>
      </w:r>
      <w:r>
        <w:rPr>
          <w:rFonts w:hint="eastAsia"/>
          <w:szCs w:val="24"/>
        </w:rPr>
        <w:t>，明确了各工作职能和任务，我们即着手整理、收集、查阅有关</w:t>
      </w:r>
      <w:r>
        <w:rPr>
          <w:rFonts w:hint="eastAsia"/>
          <w:lang w:eastAsia="zh-CN"/>
        </w:rPr>
        <w:t>电子元器件</w:t>
      </w:r>
      <w:r>
        <w:rPr>
          <w:rFonts w:hint="eastAsia"/>
        </w:rPr>
        <w:t>用镉铜棒</w:t>
      </w:r>
      <w:r>
        <w:rPr>
          <w:rFonts w:hint="eastAsia"/>
          <w:szCs w:val="24"/>
        </w:rPr>
        <w:t>的技术资料。</w:t>
      </w:r>
      <w:r>
        <w:t>首先整理收集公司</w:t>
      </w:r>
      <w:r>
        <w:rPr>
          <w:rFonts w:hint="eastAsia"/>
        </w:rPr>
        <w:t>镉铜</w:t>
      </w:r>
      <w:r>
        <w:t>棒材产品多年来生产实际积累的技术数据，进行整理组合分析，将数据分析结果与原标准比对，确定原标准中部分技术指标已不适合现在用户的使用要求，因此</w:t>
      </w:r>
      <w:r>
        <w:rPr>
          <w:rFonts w:hint="eastAsia"/>
        </w:rPr>
        <w:t>确定</w:t>
      </w:r>
      <w:r>
        <w:t>更改部分技术指标值，以满足用户的需求。</w:t>
      </w:r>
      <w:r>
        <w:rPr>
          <w:rFonts w:hint="eastAsia"/>
          <w:szCs w:val="24"/>
        </w:rPr>
        <w:t>走访部分生产企业和用户，结合我国的实际生产现状和用户的需要，同时按照GB</w:t>
      </w:r>
      <w:r>
        <w:rPr>
          <w:rFonts w:hint="eastAsia"/>
          <w:szCs w:val="24"/>
          <w:lang w:val="en-US" w:eastAsia="zh-CN"/>
        </w:rPr>
        <w:t>/</w:t>
      </w:r>
      <w:r>
        <w:rPr>
          <w:rFonts w:hint="eastAsia"/>
          <w:szCs w:val="24"/>
        </w:rPr>
        <w:t>T1.1-2020《标准化工作导则 第1部分：标准的结构和编写规则》的要求对标准进行修订，通过多次讨论，广泛征求各方意见之后，形成了标准的讨论稿及编制说明。</w:t>
      </w:r>
    </w:p>
    <w:p>
      <w:pPr>
        <w:widowControl/>
        <w:spacing w:line="400" w:lineRule="exact"/>
        <w:ind w:firstLine="420" w:firstLineChars="2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2022年11月16至19日，在安徽池洲召开了标准的讨论会，与会专家们提出了宝贵的意见和建议，编制小组根据这些意见和见意对标准的讨论稿相关内容进行了修改，形成了标准的预审稿及编制说明。</w:t>
      </w:r>
    </w:p>
    <w:p>
      <w:pPr>
        <w:pStyle w:val="8"/>
        <w:spacing w:line="440" w:lineRule="exact"/>
        <w:rPr>
          <w:rFonts w:ascii="黑体" w:hAnsi="黑体" w:eastAsia="黑体" w:cs="黑体"/>
          <w:sz w:val="21"/>
          <w:szCs w:val="21"/>
        </w:rPr>
      </w:pPr>
      <w:r>
        <w:rPr>
          <w:rFonts w:hint="eastAsia" w:ascii="黑体" w:eastAsia="黑体" w:cs="Arial"/>
          <w:sz w:val="21"/>
          <w:szCs w:val="21"/>
        </w:rPr>
        <w:t>三、标准主要技术内容的确定依据及主要试验和验证情况分析</w:t>
      </w:r>
    </w:p>
    <w:p>
      <w:pPr>
        <w:pStyle w:val="8"/>
        <w:widowControl/>
        <w:shd w:val="clear" w:color="auto" w:fill="FFFFFF"/>
        <w:spacing w:line="400" w:lineRule="exact"/>
        <w:jc w:val="left"/>
        <w:rPr>
          <w:rFonts w:ascii="黑体" w:hAnsi="黑体" w:eastAsia="黑体" w:cs="黑体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shd w:val="clear" w:color="auto" w:fill="FFFFFF"/>
        </w:rPr>
        <w:t>3.1 牌号、状态、规格</w:t>
      </w:r>
    </w:p>
    <w:p>
      <w:pPr>
        <w:pStyle w:val="8"/>
        <w:widowControl/>
        <w:shd w:val="clear" w:color="auto" w:fill="FFFFFF"/>
        <w:spacing w:line="400" w:lineRule="exact"/>
        <w:ind w:firstLine="4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根据多年来棒材生产的数据积累、用户需求及市场调研，确定产品牌号、状态不变，更改了软化退火及硬态棒材长度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。</w:t>
      </w:r>
    </w:p>
    <w:p>
      <w:pPr>
        <w:pStyle w:val="8"/>
        <w:widowControl/>
        <w:shd w:val="clear" w:color="auto" w:fill="FFFFFF"/>
        <w:spacing w:line="400" w:lineRule="exact"/>
        <w:rPr>
          <w:rFonts w:ascii="黑体" w:hAnsi="黑体" w:eastAsia="黑体" w:cs="黑体"/>
          <w:color w:val="000000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shd w:val="clear" w:color="auto" w:fill="FFFFFF"/>
        </w:rPr>
        <w:t>3.2 化学成分</w:t>
      </w:r>
    </w:p>
    <w:p>
      <w:pPr>
        <w:pStyle w:val="8"/>
        <w:widowControl/>
        <w:shd w:val="clear" w:color="auto" w:fill="FFFFFF"/>
        <w:spacing w:line="400" w:lineRule="exact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根据多年来棒材的生产及用户需求，化学成分仍采用原标准的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国标规定执行。</w:t>
      </w:r>
    </w:p>
    <w:p>
      <w:pPr>
        <w:pStyle w:val="8"/>
        <w:widowControl/>
        <w:shd w:val="clear" w:color="auto" w:fill="FFFFFF"/>
        <w:spacing w:line="400" w:lineRule="exact"/>
        <w:rPr>
          <w:rFonts w:ascii="黑体" w:hAnsi="黑体" w:eastAsia="黑体" w:cs="黑体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shd w:val="clear" w:color="auto" w:fill="FFFFFF"/>
        </w:rPr>
        <w:t>3.3 尺寸及允许偏差</w:t>
      </w:r>
    </w:p>
    <w:p>
      <w:pPr>
        <w:pStyle w:val="8"/>
        <w:widowControl/>
        <w:shd w:val="clear" w:color="auto" w:fill="FFFFFF"/>
        <w:spacing w:line="400" w:lineRule="exact"/>
        <w:ind w:firstLine="420" w:firstLineChars="200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本标准热加工棒材直径允许偏差分挤制和锻制两种，挤制棒材直径允许偏差与行标《铜及铜合金挤制棒》公差水平基本相当；根据当前行业锻制工艺及装备发展水平确定了锻制棒材的允许偏差；拉制棒材直径（或对边距）及其允许偏差略严于国家《铜及铜合金拉制棒》标准公差水平，这与当前行业发展水平相适应。</w:t>
      </w:r>
    </w:p>
    <w:p>
      <w:pPr>
        <w:pStyle w:val="8"/>
        <w:widowControl/>
        <w:shd w:val="clear" w:color="auto" w:fill="FFFFFF"/>
        <w:spacing w:line="400" w:lineRule="exact"/>
        <w:ind w:firstLine="420" w:firstLineChars="200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本标准对棒材长度、扭拧度、圆角半径、直度等外形尺寸指标进行了相应的规定，指标水平与当前行业发展水平及应用领域的需求相适应。</w:t>
      </w:r>
    </w:p>
    <w:p>
      <w:pPr>
        <w:pStyle w:val="4"/>
        <w:spacing w:line="440" w:lineRule="exact"/>
        <w:ind w:firstLine="420"/>
        <w:rPr>
          <w:rFonts w:hint="default" w:ascii="Times New Roman" w:hAnsi="Times New Roman" w:cs="Times New Roman"/>
        </w:rPr>
      </w:pPr>
      <w:r>
        <w:rPr>
          <w:rFonts w:hint="eastAsia" w:hAnsi="宋体"/>
        </w:rPr>
        <w:t>根据生产实际情况，</w:t>
      </w:r>
      <w:r>
        <w:rPr>
          <w:rFonts w:hint="eastAsia" w:ascii="Times New Roman"/>
          <w:szCs w:val="22"/>
        </w:rPr>
        <w:t>更改了热锻后车光棒材直径允许偏差，比原标准要求更加严格。同时根据讨论上专家的建议，该允许偏差</w:t>
      </w:r>
      <w:r>
        <w:rPr>
          <w:rFonts w:hint="default" w:ascii="Times New Roman" w:hAnsi="Times New Roman" w:cs="Times New Roman"/>
          <w:szCs w:val="22"/>
        </w:rPr>
        <w:t>并入</w:t>
      </w:r>
      <w:r>
        <w:rPr>
          <w:rFonts w:hint="default" w:ascii="Times New Roman" w:hAnsi="Times New Roman" w:cs="Times New Roman"/>
        </w:rPr>
        <w:t>“</w:t>
      </w:r>
      <w:r>
        <w:rPr>
          <w:rFonts w:hint="default" w:ascii="Times New Roman" w:hAnsi="Times New Roman" w:cs="Times New Roman"/>
          <w:kern w:val="0"/>
        </w:rPr>
        <w:t>热锻后车光圆棒</w:t>
      </w:r>
      <w:r>
        <w:rPr>
          <w:rFonts w:hint="default" w:ascii="Times New Roman" w:hAnsi="Times New Roman" w:cs="Times New Roman"/>
        </w:rPr>
        <w:t>允许偏差”表中（见表1）。</w:t>
      </w:r>
    </w:p>
    <w:p>
      <w:pPr>
        <w:pStyle w:val="8"/>
        <w:widowControl/>
        <w:shd w:val="clear" w:color="auto" w:fill="FFFFFF"/>
        <w:spacing w:line="400" w:lineRule="exact"/>
        <w:ind w:firstLine="420" w:firstLineChars="200"/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根据多年生产实际情况和用户需求，确定对硬态和软化退火棒材的直径或对边距离允许偏差进行了更改，其更改后的数据见表2。</w:t>
      </w:r>
    </w:p>
    <w:p>
      <w:pPr>
        <w:ind w:right="420" w:firstLine="1260" w:firstLineChars="600"/>
        <w:rPr>
          <w:rFonts w:hint="eastAsia" w:eastAsia="黑体"/>
          <w:kern w:val="0"/>
          <w:szCs w:val="22"/>
        </w:rPr>
      </w:pPr>
    </w:p>
    <w:p>
      <w:pPr>
        <w:ind w:right="420" w:firstLine="1260" w:firstLineChars="600"/>
        <w:rPr>
          <w:rFonts w:hint="eastAsia" w:eastAsia="黑体"/>
          <w:kern w:val="0"/>
          <w:szCs w:val="22"/>
        </w:rPr>
      </w:pPr>
    </w:p>
    <w:p>
      <w:pPr>
        <w:ind w:right="420" w:firstLine="1260" w:firstLineChars="600"/>
        <w:rPr>
          <w:rFonts w:hint="eastAsia" w:eastAsia="黑体"/>
          <w:kern w:val="0"/>
          <w:szCs w:val="22"/>
        </w:rPr>
      </w:pPr>
    </w:p>
    <w:p>
      <w:pPr>
        <w:ind w:right="420" w:firstLine="1260" w:firstLineChars="600"/>
        <w:rPr>
          <w:rFonts w:eastAsia="黑体"/>
          <w:kern w:val="0"/>
          <w:szCs w:val="22"/>
        </w:rPr>
      </w:pPr>
      <w:r>
        <w:rPr>
          <w:rFonts w:hint="eastAsia" w:eastAsia="黑体"/>
          <w:kern w:val="0"/>
          <w:szCs w:val="22"/>
        </w:rPr>
        <w:t xml:space="preserve">表1  热锻棒材直径（或对边距）、热锻后车光圆棒材允许偏差         </w:t>
      </w:r>
    </w:p>
    <w:p>
      <w:pPr>
        <w:ind w:right="420" w:firstLine="6660" w:firstLineChars="3700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单</w:t>
      </w:r>
      <w:r>
        <w:rPr>
          <w:rFonts w:hint="eastAsia" w:ascii="宋体" w:hAnsi="宋体"/>
          <w:color w:val="000000"/>
          <w:sz w:val="18"/>
          <w:szCs w:val="18"/>
        </w:rPr>
        <w:t>位为毫米</w:t>
      </w:r>
    </w:p>
    <w:tbl>
      <w:tblPr>
        <w:tblStyle w:val="10"/>
        <w:tblpPr w:leftFromText="180" w:rightFromText="180" w:vertAnchor="text" w:horzAnchor="page" w:tblpX="1852" w:tblpY="171"/>
        <w:tblOverlap w:val="never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07"/>
        <w:gridCol w:w="2329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26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规格 </w:t>
            </w:r>
          </w:p>
        </w:tc>
        <w:tc>
          <w:tcPr>
            <w:tcW w:w="4536" w:type="dxa"/>
            <w:gridSpan w:val="2"/>
            <w:tcBorders>
              <w:top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直径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或</w:t>
            </w:r>
            <w:r>
              <w:rPr>
                <w:rFonts w:hint="eastAsia"/>
                <w:sz w:val="18"/>
                <w:szCs w:val="18"/>
              </w:rPr>
              <w:t>对边距）</w:t>
            </w:r>
            <w:r>
              <w:rPr>
                <w:sz w:val="18"/>
                <w:szCs w:val="18"/>
              </w:rPr>
              <w:t>允许偏差</w:t>
            </w:r>
            <w:r>
              <w:rPr>
                <w:rFonts w:hint="eastAsia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410" w:type="dxa"/>
            <w:vMerge w:val="restart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热锻后车光圆棒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允许偏差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26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普通级</w:t>
            </w:r>
          </w:p>
        </w:tc>
        <w:tc>
          <w:tcPr>
            <w:tcW w:w="2329" w:type="dxa"/>
            <w:tcBorders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高精级</w:t>
            </w:r>
          </w:p>
        </w:tc>
        <w:tc>
          <w:tcPr>
            <w:tcW w:w="2410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～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7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±</w:t>
            </w:r>
            <w:r>
              <w:rPr>
                <w:rFonts w:hint="eastAsia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2329" w:type="dxa"/>
            <w:tcBorders>
              <w:top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±</w:t>
            </w:r>
            <w:r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410" w:type="dxa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±0.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26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&gt;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0～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7" w:type="dxa"/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±</w:t>
            </w:r>
            <w:r>
              <w:rPr>
                <w:rFonts w:hint="eastAsia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232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±</w:t>
            </w:r>
            <w:r>
              <w:rPr>
                <w:rFonts w:hint="eastAsia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2410" w:type="dxa"/>
            <w:tcBorders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±0.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26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&gt;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0～12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07" w:type="dxa"/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±</w:t>
            </w:r>
            <w:r>
              <w:rPr>
                <w:rFonts w:hint="eastAsia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232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±</w:t>
            </w:r>
            <w:r>
              <w:rPr>
                <w:rFonts w:hint="eastAsia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2410" w:type="dxa"/>
            <w:tcBorders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±</w:t>
            </w:r>
            <w:r>
              <w:rPr>
                <w:rFonts w:hint="eastAsia"/>
                <w:color w:val="000000"/>
                <w:sz w:val="18"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26" w:type="dxa"/>
            <w:tcBorders>
              <w:left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&gt;</w:t>
            </w:r>
            <w:r>
              <w:rPr>
                <w:rFonts w:hint="eastAsia"/>
                <w:color w:val="000000"/>
                <w:sz w:val="18"/>
                <w:szCs w:val="18"/>
              </w:rPr>
              <w:t>125</w:t>
            </w:r>
            <w:r>
              <w:rPr>
                <w:color w:val="000000"/>
                <w:sz w:val="18"/>
                <w:szCs w:val="18"/>
              </w:rPr>
              <w:t>～</w:t>
            </w: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07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±</w:t>
            </w:r>
            <w:r>
              <w:rPr>
                <w:rFonts w:hint="eastAsia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2329" w:type="dxa"/>
            <w:tcBorders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±</w:t>
            </w:r>
            <w:r>
              <w:rPr>
                <w:rFonts w:hint="eastAsia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2410" w:type="dxa"/>
            <w:tcBorders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±1.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7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ind w:firstLine="360" w:firstLineChars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vertAlign w:val="superscript"/>
              </w:rPr>
              <w:t xml:space="preserve">a  </w:t>
            </w:r>
            <w:r>
              <w:rPr>
                <w:color w:val="000000"/>
                <w:sz w:val="18"/>
                <w:szCs w:val="18"/>
              </w:rPr>
              <w:t>需方要求允许偏差全为（</w:t>
            </w:r>
            <w:r>
              <w:rPr>
                <w:rFonts w:hint="eastAsia"/>
                <w:color w:val="000000"/>
                <w:sz w:val="18"/>
                <w:szCs w:val="18"/>
              </w:rPr>
              <w:t>+</w:t>
            </w:r>
            <w:r>
              <w:rPr>
                <w:color w:val="000000"/>
                <w:sz w:val="18"/>
                <w:szCs w:val="18"/>
              </w:rPr>
              <w:t>）或（</w:t>
            </w: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  <w:r>
              <w:rPr>
                <w:color w:val="000000"/>
                <w:sz w:val="18"/>
                <w:szCs w:val="18"/>
              </w:rPr>
              <w:t>）单向偏差时，其值为表中数值的2倍。</w:t>
            </w:r>
          </w:p>
        </w:tc>
      </w:tr>
    </w:tbl>
    <w:p>
      <w:pPr>
        <w:spacing w:line="320" w:lineRule="exact"/>
        <w:ind w:right="420"/>
        <w:jc w:val="center"/>
        <w:rPr>
          <w:rFonts w:ascii="Times New Roman" w:hAnsi="Times New Roman" w:eastAsia="黑体" w:cs="Times New Roman"/>
          <w:kern w:val="0"/>
          <w:szCs w:val="22"/>
        </w:rPr>
      </w:pPr>
    </w:p>
    <w:p>
      <w:pPr>
        <w:spacing w:line="320" w:lineRule="exact"/>
        <w:ind w:right="420"/>
        <w:jc w:val="center"/>
        <w:rPr>
          <w:rFonts w:hAnsi="宋体"/>
          <w:color w:val="000000"/>
          <w:sz w:val="18"/>
          <w:szCs w:val="18"/>
        </w:rPr>
      </w:pPr>
      <w:r>
        <w:rPr>
          <w:rFonts w:hint="eastAsia" w:ascii="Times New Roman" w:hAnsi="Times New Roman" w:eastAsia="黑体" w:cs="Times New Roman"/>
          <w:kern w:val="0"/>
          <w:szCs w:val="22"/>
        </w:rPr>
        <w:t xml:space="preserve">表2   </w:t>
      </w:r>
      <w:r>
        <w:rPr>
          <w:rFonts w:hint="eastAsia" w:eastAsia="黑体" w:cs="Times New Roman"/>
          <w:kern w:val="0"/>
          <w:szCs w:val="22"/>
        </w:rPr>
        <w:t>硬态和软化退火态棒材</w:t>
      </w:r>
      <w:r>
        <w:rPr>
          <w:rFonts w:hint="eastAsia" w:ascii="Times New Roman" w:hAnsi="Times New Roman" w:eastAsia="黑体" w:cs="Times New Roman"/>
          <w:kern w:val="0"/>
          <w:szCs w:val="22"/>
        </w:rPr>
        <w:t>直径或对边距</w:t>
      </w:r>
      <w:r>
        <w:rPr>
          <w:rFonts w:hint="eastAsia" w:eastAsia="黑体" w:cs="Times New Roman"/>
          <w:kern w:val="0"/>
          <w:szCs w:val="22"/>
        </w:rPr>
        <w:t>离</w:t>
      </w:r>
      <w:r>
        <w:rPr>
          <w:rFonts w:hint="eastAsia" w:ascii="Times New Roman" w:hAnsi="Times New Roman" w:eastAsia="黑体" w:cs="Times New Roman"/>
          <w:kern w:val="0"/>
          <w:szCs w:val="22"/>
        </w:rPr>
        <w:t xml:space="preserve">允许偏差        </w:t>
      </w:r>
      <w:r>
        <w:rPr>
          <w:rFonts w:hint="eastAsia" w:hAnsi="宋体"/>
          <w:color w:val="000000"/>
          <w:sz w:val="18"/>
          <w:szCs w:val="18"/>
        </w:rPr>
        <w:t xml:space="preserve"> </w:t>
      </w:r>
    </w:p>
    <w:p>
      <w:pPr>
        <w:spacing w:line="320" w:lineRule="exact"/>
        <w:ind w:right="420"/>
        <w:jc w:val="center"/>
        <w:rPr>
          <w:szCs w:val="22"/>
        </w:rPr>
      </w:pPr>
      <w:r>
        <w:rPr>
          <w:rFonts w:hint="eastAsia" w:hAnsi="宋体"/>
          <w:color w:val="000000"/>
          <w:sz w:val="18"/>
          <w:szCs w:val="18"/>
        </w:rPr>
        <w:t xml:space="preserve">                                                                             </w:t>
      </w:r>
      <w:r>
        <w:rPr>
          <w:rFonts w:hint="eastAsia" w:ascii="宋体" w:hAnsi="宋体"/>
          <w:color w:val="000000"/>
          <w:sz w:val="18"/>
          <w:szCs w:val="18"/>
        </w:rPr>
        <w:t>单位为毫米</w:t>
      </w:r>
    </w:p>
    <w:tbl>
      <w:tblPr>
        <w:tblStyle w:val="10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506"/>
        <w:gridCol w:w="1644"/>
        <w:gridCol w:w="1758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724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直径或对边距</w:t>
            </w:r>
            <w:r>
              <w:rPr>
                <w:rFonts w:hint="eastAsia"/>
                <w:color w:val="000000"/>
                <w:sz w:val="18"/>
                <w:szCs w:val="18"/>
              </w:rPr>
              <w:t>离</w:t>
            </w:r>
          </w:p>
        </w:tc>
        <w:tc>
          <w:tcPr>
            <w:tcW w:w="6804" w:type="dxa"/>
            <w:gridSpan w:val="4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允许偏差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724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圆形</w:t>
            </w:r>
          </w:p>
        </w:tc>
        <w:tc>
          <w:tcPr>
            <w:tcW w:w="3654" w:type="dxa"/>
            <w:gridSpan w:val="2"/>
            <w:tcBorders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六角形、正方形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24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普通级</w:t>
            </w:r>
          </w:p>
        </w:tc>
        <w:tc>
          <w:tcPr>
            <w:tcW w:w="1644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高精级</w:t>
            </w:r>
          </w:p>
        </w:tc>
        <w:tc>
          <w:tcPr>
            <w:tcW w:w="1758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普通级</w:t>
            </w:r>
          </w:p>
        </w:tc>
        <w:tc>
          <w:tcPr>
            <w:tcW w:w="1896" w:type="dxa"/>
            <w:tcBorders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高精级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724" w:type="dxa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5～10</w:t>
            </w:r>
          </w:p>
        </w:tc>
        <w:tc>
          <w:tcPr>
            <w:tcW w:w="1506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±0.06</w:t>
            </w:r>
          </w:p>
        </w:tc>
        <w:tc>
          <w:tcPr>
            <w:tcW w:w="1644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±0.04</w:t>
            </w:r>
          </w:p>
        </w:tc>
        <w:tc>
          <w:tcPr>
            <w:tcW w:w="1758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±0.11</w:t>
            </w:r>
          </w:p>
        </w:tc>
        <w:tc>
          <w:tcPr>
            <w:tcW w:w="1896" w:type="dxa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±0.08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724" w:type="dxa"/>
            <w:tcBorders>
              <w:left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&gt;10～18</w:t>
            </w:r>
          </w:p>
        </w:tc>
        <w:tc>
          <w:tcPr>
            <w:tcW w:w="150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±0.08</w:t>
            </w:r>
          </w:p>
        </w:tc>
        <w:tc>
          <w:tcPr>
            <w:tcW w:w="164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±0.05</w:t>
            </w:r>
          </w:p>
        </w:tc>
        <w:tc>
          <w:tcPr>
            <w:tcW w:w="175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±0.13</w:t>
            </w:r>
          </w:p>
        </w:tc>
        <w:tc>
          <w:tcPr>
            <w:tcW w:w="1896" w:type="dxa"/>
            <w:tcBorders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±0.10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&gt;18～30</w:t>
            </w:r>
          </w:p>
        </w:tc>
        <w:tc>
          <w:tcPr>
            <w:tcW w:w="150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±0.10</w:t>
            </w:r>
          </w:p>
        </w:tc>
        <w:tc>
          <w:tcPr>
            <w:tcW w:w="164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±0.06</w:t>
            </w:r>
          </w:p>
        </w:tc>
        <w:tc>
          <w:tcPr>
            <w:tcW w:w="1758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±0.15</w:t>
            </w:r>
          </w:p>
        </w:tc>
        <w:tc>
          <w:tcPr>
            <w:tcW w:w="1896" w:type="dxa"/>
            <w:tcBorders>
              <w:top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±0.10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24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&gt;30～45</w:t>
            </w:r>
          </w:p>
        </w:tc>
        <w:tc>
          <w:tcPr>
            <w:tcW w:w="150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±0.10</w:t>
            </w:r>
          </w:p>
        </w:tc>
        <w:tc>
          <w:tcPr>
            <w:tcW w:w="164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±0.09</w:t>
            </w:r>
          </w:p>
        </w:tc>
        <w:tc>
          <w:tcPr>
            <w:tcW w:w="175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±0.16</w:t>
            </w:r>
          </w:p>
        </w:tc>
        <w:tc>
          <w:tcPr>
            <w:tcW w:w="1896" w:type="dxa"/>
            <w:tcBorders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±0.13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724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&gt;45～55</w:t>
            </w:r>
          </w:p>
        </w:tc>
        <w:tc>
          <w:tcPr>
            <w:tcW w:w="150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±0.12</w:t>
            </w:r>
          </w:p>
        </w:tc>
        <w:tc>
          <w:tcPr>
            <w:tcW w:w="164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±0.10</w:t>
            </w:r>
          </w:p>
        </w:tc>
        <w:tc>
          <w:tcPr>
            <w:tcW w:w="175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±0.18</w:t>
            </w:r>
          </w:p>
        </w:tc>
        <w:tc>
          <w:tcPr>
            <w:tcW w:w="1896" w:type="dxa"/>
            <w:tcBorders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±0.15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724" w:type="dxa"/>
            <w:tcBorders>
              <w:left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&gt;55～80</w:t>
            </w:r>
          </w:p>
        </w:tc>
        <w:tc>
          <w:tcPr>
            <w:tcW w:w="1506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±0.15</w:t>
            </w:r>
          </w:p>
        </w:tc>
        <w:tc>
          <w:tcPr>
            <w:tcW w:w="1644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±0.12</w:t>
            </w:r>
          </w:p>
        </w:tc>
        <w:tc>
          <w:tcPr>
            <w:tcW w:w="1758" w:type="dxa"/>
            <w:tcBorders>
              <w:bottom w:val="single" w:color="auto" w:sz="12" w:space="0"/>
            </w:tcBorders>
            <w:noWrap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1896" w:type="dxa"/>
            <w:tcBorders>
              <w:bottom w:val="single" w:color="auto" w:sz="12" w:space="0"/>
              <w:right w:val="single" w:color="auto" w:sz="12" w:space="0"/>
            </w:tcBorders>
            <w:noWrap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2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ind w:firstLine="360" w:firstLineChars="200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a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需方要求允许偏差全为（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）或（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）单向偏差时，其值为表中数值的2倍。</w:t>
            </w:r>
          </w:p>
        </w:tc>
      </w:tr>
    </w:tbl>
    <w:p>
      <w:pPr>
        <w:pStyle w:val="8"/>
        <w:widowControl/>
        <w:shd w:val="clear" w:color="auto" w:fill="FFFFFF"/>
        <w:spacing w:line="400" w:lineRule="exact"/>
        <w:rPr>
          <w:rFonts w:hint="eastAsia" w:ascii="黑体" w:hAnsi="黑体" w:eastAsia="黑体" w:cs="黑体"/>
          <w:color w:val="000000"/>
          <w:sz w:val="21"/>
          <w:szCs w:val="21"/>
          <w:shd w:val="clear" w:color="auto" w:fill="FFFFFF"/>
        </w:rPr>
      </w:pPr>
    </w:p>
    <w:p>
      <w:pPr>
        <w:pStyle w:val="8"/>
        <w:widowControl/>
        <w:shd w:val="clear" w:color="auto" w:fill="FFFFFF"/>
        <w:spacing w:line="400" w:lineRule="exact"/>
        <w:rPr>
          <w:rFonts w:ascii="黑体" w:hAnsi="黑体" w:eastAsia="黑体" w:cs="黑体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shd w:val="clear" w:color="auto" w:fill="FFFFFF"/>
        </w:rPr>
        <w:t>3.4 力学性能</w:t>
      </w:r>
    </w:p>
    <w:p>
      <w:pPr>
        <w:spacing w:line="400" w:lineRule="exact"/>
        <w:ind w:firstLine="435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室温</w:t>
      </w:r>
      <w:r>
        <w:rPr>
          <w:rFonts w:ascii="Times New Roman" w:hAnsi="Times New Roman" w:cs="Times New Roman"/>
          <w:szCs w:val="21"/>
        </w:rPr>
        <w:t>力学性能是</w:t>
      </w:r>
      <w:r>
        <w:rPr>
          <w:rFonts w:hint="eastAsia" w:ascii="Times New Roman" w:hAnsi="Times New Roman" w:cs="Times New Roman"/>
          <w:szCs w:val="21"/>
          <w:lang w:eastAsia="zh-CN"/>
        </w:rPr>
        <w:t>电子元器件</w:t>
      </w:r>
      <w:r>
        <w:rPr>
          <w:rFonts w:hint="eastAsia" w:ascii="Times New Roman" w:hAnsi="Times New Roman" w:cs="Times New Roman"/>
          <w:szCs w:val="21"/>
        </w:rPr>
        <w:t>用隔铜棒</w:t>
      </w:r>
      <w:r>
        <w:rPr>
          <w:rFonts w:ascii="Times New Roman" w:hAnsi="Times New Roman" w:cs="Times New Roman"/>
          <w:szCs w:val="21"/>
        </w:rPr>
        <w:t>材的重要技术指标，</w:t>
      </w:r>
      <w:r>
        <w:rPr>
          <w:rFonts w:hint="eastAsia" w:cs="Times New Roman"/>
          <w:szCs w:val="21"/>
        </w:rPr>
        <w:t>既</w:t>
      </w:r>
      <w:r>
        <w:rPr>
          <w:rFonts w:ascii="Times New Roman" w:hAnsi="Times New Roman" w:cs="Times New Roman"/>
          <w:szCs w:val="21"/>
        </w:rPr>
        <w:t>符合实际的使用要求，又便于供需双方的验收，</w:t>
      </w:r>
      <w:r>
        <w:rPr>
          <w:rFonts w:hint="eastAsia" w:ascii="Times New Roman" w:hAnsi="Times New Roman" w:cs="Times New Roman"/>
          <w:szCs w:val="21"/>
        </w:rPr>
        <w:t>室温</w:t>
      </w:r>
      <w:r>
        <w:rPr>
          <w:rFonts w:ascii="Times New Roman" w:hAnsi="Times New Roman" w:cs="Times New Roman"/>
          <w:szCs w:val="21"/>
        </w:rPr>
        <w:t>力学性能包含抗拉强度、断后伸长率及</w:t>
      </w:r>
      <w:r>
        <w:rPr>
          <w:rFonts w:hint="eastAsia" w:ascii="Times New Roman" w:hAnsi="Times New Roman" w:cs="Times New Roman"/>
          <w:szCs w:val="21"/>
        </w:rPr>
        <w:t>布</w:t>
      </w:r>
      <w:r>
        <w:rPr>
          <w:rFonts w:ascii="Times New Roman" w:hAnsi="Times New Roman" w:cs="Times New Roman"/>
          <w:szCs w:val="21"/>
        </w:rPr>
        <w:t>氏硬度</w:t>
      </w:r>
      <w:r>
        <w:rPr>
          <w:rFonts w:hint="eastAsia" w:ascii="Times New Roman" w:hAnsi="Times New Roman" w:cs="Times New Roman"/>
          <w:szCs w:val="21"/>
        </w:rPr>
        <w:t>。本次修订参考多年实际生产数据，将标准的部分棒</w:t>
      </w:r>
      <w:r>
        <w:rPr>
          <w:rFonts w:ascii="Times New Roman" w:hAnsi="Times New Roman" w:cs="Times New Roman"/>
          <w:szCs w:val="21"/>
        </w:rPr>
        <w:t>材</w:t>
      </w:r>
      <w:r>
        <w:rPr>
          <w:rFonts w:hint="eastAsia" w:ascii="Times New Roman" w:hAnsi="Times New Roman" w:cs="Times New Roman"/>
          <w:szCs w:val="21"/>
        </w:rPr>
        <w:t>室温</w:t>
      </w:r>
      <w:r>
        <w:rPr>
          <w:rFonts w:ascii="Times New Roman" w:hAnsi="Times New Roman" w:cs="Times New Roman"/>
          <w:szCs w:val="21"/>
        </w:rPr>
        <w:t>力学性能</w:t>
      </w:r>
      <w:r>
        <w:rPr>
          <w:rFonts w:hint="eastAsia" w:ascii="Times New Roman" w:hAnsi="Times New Roman" w:cs="Times New Roman"/>
          <w:szCs w:val="21"/>
        </w:rPr>
        <w:t>指标进行了更改，标准的室温力学性能具体指标值见</w:t>
      </w:r>
      <w:r>
        <w:rPr>
          <w:rFonts w:ascii="Times New Roman" w:hAnsi="Times New Roman" w:cs="Times New Roman"/>
          <w:szCs w:val="21"/>
        </w:rPr>
        <w:t>表</w:t>
      </w:r>
      <w:r>
        <w:rPr>
          <w:rFonts w:hint="eastAsia"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szCs w:val="21"/>
        </w:rPr>
        <w:t>更改的棒</w:t>
      </w:r>
      <w:r>
        <w:rPr>
          <w:rFonts w:ascii="Times New Roman" w:hAnsi="Times New Roman" w:cs="Times New Roman"/>
          <w:szCs w:val="21"/>
        </w:rPr>
        <w:t>材产品</w:t>
      </w:r>
      <w:r>
        <w:rPr>
          <w:rFonts w:hint="eastAsia" w:ascii="Times New Roman" w:hAnsi="Times New Roman" w:cs="Times New Roman"/>
          <w:szCs w:val="21"/>
        </w:rPr>
        <w:t>室温</w:t>
      </w:r>
      <w:r>
        <w:rPr>
          <w:rFonts w:ascii="Times New Roman" w:hAnsi="Times New Roman" w:cs="Times New Roman"/>
          <w:szCs w:val="21"/>
        </w:rPr>
        <w:t>力学性能实际检测统计数据列于表</w:t>
      </w:r>
      <w:r>
        <w:rPr>
          <w:rFonts w:hint="eastAsia"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>、表</w:t>
      </w:r>
      <w:r>
        <w:rPr>
          <w:rFonts w:hint="eastAsia" w:ascii="Times New Roman" w:hAnsi="Times New Roman" w:cs="Times New Roman"/>
          <w:szCs w:val="21"/>
        </w:rPr>
        <w:t>5</w:t>
      </w:r>
      <w:r>
        <w:rPr>
          <w:rFonts w:ascii="Times New Roman" w:hAnsi="Times New Roman" w:cs="Times New Roman"/>
          <w:szCs w:val="21"/>
        </w:rPr>
        <w:t>，图1是抗拉强度直方图列举图，图2是断后伸长率直方图列举图。</w:t>
      </w:r>
    </w:p>
    <w:p>
      <w:pPr>
        <w:pStyle w:val="8"/>
        <w:widowControl/>
        <w:shd w:val="clear" w:color="auto" w:fill="FFFFFF"/>
        <w:ind w:firstLine="2310" w:firstLineChars="1100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p>
      <w:pPr>
        <w:pStyle w:val="14"/>
        <w:spacing w:line="264" w:lineRule="auto"/>
        <w:ind w:firstLine="0" w:firstLineChars="0"/>
        <w:jc w:val="center"/>
        <w:rPr>
          <w:rFonts w:ascii="黑体" w:hAnsi="黑体" w:eastAsia="黑体" w:cs="黑体"/>
          <w:szCs w:val="22"/>
        </w:rPr>
      </w:pPr>
      <w:r>
        <w:rPr>
          <w:rFonts w:hint="eastAsia" w:ascii="Times New Roman" w:eastAsia="黑体"/>
          <w:szCs w:val="22"/>
        </w:rPr>
        <w:t xml:space="preserve">      </w:t>
      </w:r>
      <w:r>
        <w:rPr>
          <w:rFonts w:hint="eastAsia" w:ascii="黑体" w:hAnsi="黑体" w:eastAsia="黑体" w:cs="黑体"/>
          <w:szCs w:val="22"/>
        </w:rPr>
        <w:t xml:space="preserve"> 表3  棒材的室温力学性能</w:t>
      </w:r>
    </w:p>
    <w:tbl>
      <w:tblPr>
        <w:tblStyle w:val="10"/>
        <w:tblW w:w="8729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035"/>
        <w:gridCol w:w="2025"/>
        <w:gridCol w:w="1677"/>
        <w:gridCol w:w="1515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pStyle w:val="9"/>
              <w:adjustRightInd/>
              <w:ind w:firstLine="0" w:firstLine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牌号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pStyle w:val="9"/>
              <w:adjustRightInd/>
              <w:ind w:firstLine="0" w:firstLineChars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状态</w:t>
            </w:r>
          </w:p>
        </w:tc>
        <w:tc>
          <w:tcPr>
            <w:tcW w:w="2025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直径或对边距/mm</w:t>
            </w:r>
          </w:p>
        </w:tc>
        <w:tc>
          <w:tcPr>
            <w:tcW w:w="1677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pStyle w:val="9"/>
              <w:adjustRightInd/>
              <w:ind w:firstLine="0" w:firstLineChars="0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抗拉强度R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/MPa</w:t>
            </w:r>
          </w:p>
        </w:tc>
        <w:tc>
          <w:tcPr>
            <w:tcW w:w="1515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pStyle w:val="9"/>
              <w:adjustRightInd/>
              <w:ind w:firstLine="0" w:firstLineChars="0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断后伸长率A/%</w:t>
            </w:r>
          </w:p>
        </w:tc>
        <w:tc>
          <w:tcPr>
            <w:tcW w:w="1650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pStyle w:val="9"/>
              <w:adjustRightInd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布氏硬度/HB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W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7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TCd1</w:t>
            </w:r>
          </w:p>
        </w:tc>
        <w:tc>
          <w:tcPr>
            <w:tcW w:w="1035" w:type="dxa"/>
            <w:vMerge w:val="restart"/>
            <w:tcBorders>
              <w:top w:val="single" w:color="auto" w:sz="12" w:space="0"/>
            </w:tcBorders>
            <w:noWrap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热挤压</w:t>
            </w: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热锻</w:t>
            </w:r>
          </w:p>
        </w:tc>
        <w:tc>
          <w:tcPr>
            <w:tcW w:w="2025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8～120</w:t>
            </w:r>
          </w:p>
        </w:tc>
        <w:tc>
          <w:tcPr>
            <w:tcW w:w="1677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515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650" w:type="dxa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≤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7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>
            <w:pPr>
              <w:pStyle w:val="9"/>
              <w:ind w:firstLine="3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＞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120～200</w:t>
            </w:r>
          </w:p>
        </w:tc>
        <w:tc>
          <w:tcPr>
            <w:tcW w:w="1677" w:type="dxa"/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515" w:type="dxa"/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650" w:type="dxa"/>
            <w:tcBorders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≤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827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>
            <w:pPr>
              <w:pStyle w:val="9"/>
              <w:ind w:firstLine="3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noWrap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硬</w:t>
            </w:r>
          </w:p>
        </w:tc>
        <w:tc>
          <w:tcPr>
            <w:tcW w:w="2025" w:type="dxa"/>
            <w:noWrap/>
            <w:vAlign w:val="center"/>
          </w:tcPr>
          <w:p>
            <w:pPr>
              <w:pStyle w:val="9"/>
              <w:adjustRightInd/>
              <w:ind w:firstLine="180" w:firstLineChars="10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≤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7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151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50" w:type="dxa"/>
            <w:tcBorders>
              <w:right w:val="single" w:color="auto" w:sz="12" w:space="0"/>
            </w:tcBorders>
            <w:noWrap/>
            <w:vAlign w:val="center"/>
          </w:tcPr>
          <w:p>
            <w:pPr>
              <w:pStyle w:val="9"/>
              <w:adjustRightIn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827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>
            <w:pPr>
              <w:pStyle w:val="9"/>
              <w:ind w:firstLine="3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noWrap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noWrap/>
            <w:vAlign w:val="center"/>
          </w:tcPr>
          <w:p>
            <w:pPr>
              <w:pStyle w:val="9"/>
              <w:adjustRightInd/>
              <w:ind w:firstLine="180" w:firstLineChars="10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＞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8～30</w:t>
            </w:r>
          </w:p>
        </w:tc>
        <w:tc>
          <w:tcPr>
            <w:tcW w:w="167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1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50" w:type="dxa"/>
            <w:tcBorders>
              <w:right w:val="single" w:color="auto" w:sz="12" w:space="0"/>
            </w:tcBorders>
            <w:noWrap/>
            <w:vAlign w:val="center"/>
          </w:tcPr>
          <w:p>
            <w:pPr>
              <w:pStyle w:val="9"/>
              <w:adjustRightIn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7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>
            <w:pPr>
              <w:pStyle w:val="9"/>
              <w:ind w:firstLine="3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noWrap/>
            <w:vAlign w:val="center"/>
          </w:tcPr>
          <w:p>
            <w:pPr>
              <w:pStyle w:val="9"/>
              <w:ind w:firstLine="3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noWrap/>
            <w:vAlign w:val="center"/>
          </w:tcPr>
          <w:p>
            <w:pPr>
              <w:pStyle w:val="9"/>
              <w:adjustRightInd/>
              <w:ind w:firstLine="180" w:firstLineChars="10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＞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7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151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50" w:type="dxa"/>
            <w:tcBorders>
              <w:right w:val="single" w:color="auto" w:sz="12" w:space="0"/>
            </w:tcBorders>
            <w:noWrap/>
            <w:vAlign w:val="center"/>
          </w:tcPr>
          <w:p>
            <w:pPr>
              <w:pStyle w:val="9"/>
              <w:adjustRightIn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7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>
            <w:pPr>
              <w:pStyle w:val="9"/>
              <w:ind w:firstLine="3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noWrap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软化退火</w:t>
            </w:r>
          </w:p>
        </w:tc>
        <w:tc>
          <w:tcPr>
            <w:tcW w:w="2025" w:type="dxa"/>
            <w:noWrap/>
            <w:vAlign w:val="center"/>
          </w:tcPr>
          <w:p>
            <w:pPr>
              <w:pStyle w:val="9"/>
              <w:adjustRightInd/>
              <w:ind w:firstLine="180" w:firstLineChars="10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≤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7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51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0" w:type="dxa"/>
            <w:tcBorders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7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pStyle w:val="9"/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bottom w:val="single" w:color="auto" w:sz="12" w:space="0"/>
            </w:tcBorders>
            <w:noWrap/>
            <w:vAlign w:val="center"/>
          </w:tcPr>
          <w:p>
            <w:pPr>
              <w:pStyle w:val="9"/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pStyle w:val="9"/>
              <w:adjustRightInd/>
              <w:ind w:firstLine="180" w:firstLineChars="10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＞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8～80</w:t>
            </w:r>
          </w:p>
        </w:tc>
        <w:tc>
          <w:tcPr>
            <w:tcW w:w="1677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515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0" w:type="dxa"/>
            <w:tcBorders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≤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</w:tr>
    </w:tbl>
    <w:p>
      <w:pPr>
        <w:pStyle w:val="8"/>
        <w:widowControl/>
        <w:shd w:val="clear" w:color="auto" w:fill="FFFFFF"/>
        <w:ind w:firstLine="420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p>
      <w:pPr>
        <w:spacing w:line="360" w:lineRule="auto"/>
        <w:ind w:firstLine="435"/>
        <w:jc w:val="center"/>
        <w:rPr>
          <w:rFonts w:ascii="黑体" w:hAnsi="黑体" w:eastAsia="黑体" w:cs="黑体"/>
          <w:kern w:val="0"/>
          <w:szCs w:val="22"/>
        </w:rPr>
      </w:pPr>
      <w:r>
        <w:rPr>
          <w:rFonts w:hint="eastAsia" w:ascii="黑体" w:hAnsi="黑体" w:eastAsia="黑体" w:cs="黑体"/>
          <w:kern w:val="0"/>
          <w:szCs w:val="22"/>
        </w:rPr>
        <w:t>表4  TCd1棒材的室温力学性能检测统计表（抗拉强度）</w:t>
      </w:r>
    </w:p>
    <w:tbl>
      <w:tblPr>
        <w:tblStyle w:val="10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546"/>
        <w:gridCol w:w="910"/>
        <w:gridCol w:w="728"/>
        <w:gridCol w:w="975"/>
        <w:gridCol w:w="809"/>
        <w:gridCol w:w="713"/>
        <w:gridCol w:w="696"/>
        <w:gridCol w:w="793"/>
        <w:gridCol w:w="697"/>
        <w:gridCol w:w="707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牌号</w:t>
            </w:r>
          </w:p>
        </w:tc>
        <w:tc>
          <w:tcPr>
            <w:tcW w:w="54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状态</w:t>
            </w:r>
          </w:p>
        </w:tc>
        <w:tc>
          <w:tcPr>
            <w:tcW w:w="91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直径或对边距/mm</w:t>
            </w:r>
          </w:p>
        </w:tc>
        <w:tc>
          <w:tcPr>
            <w:tcW w:w="72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样品数量（个）</w:t>
            </w:r>
          </w:p>
        </w:tc>
        <w:tc>
          <w:tcPr>
            <w:tcW w:w="97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抗拉强度检测范围MPa</w:t>
            </w:r>
          </w:p>
        </w:tc>
        <w:tc>
          <w:tcPr>
            <w:tcW w:w="80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抗拉强度下限值U</w:t>
            </w:r>
          </w:p>
        </w:tc>
        <w:tc>
          <w:tcPr>
            <w:tcW w:w="71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平均值</w:t>
            </w:r>
            <w:r>
              <w:rPr>
                <w:rFonts w:hint="eastAsia" w:ascii="宋体" w:hAnsi="宋体" w:eastAsia="宋体" w:cs="宋体"/>
                <w:position w:val="-10"/>
                <w:sz w:val="18"/>
                <w:szCs w:val="18"/>
              </w:rPr>
              <w:object>
                <v:shape id="_x0000_i1025" o:spt="75" type="#_x0000_t75" style="height:12.75pt;width:12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69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标准偏差</w:t>
            </w:r>
            <w:r>
              <w:rPr>
                <w:rFonts w:hint="eastAsia" w:ascii="宋体" w:hAnsi="宋体" w:eastAsia="宋体" w:cs="宋体"/>
                <w:position w:val="-6"/>
                <w:sz w:val="18"/>
                <w:szCs w:val="18"/>
              </w:rPr>
              <w:object>
                <v:shape id="_x0000_i1026" o:spt="75" type="#_x0000_t75" style="height:11.25pt;width:12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</w:p>
        </w:tc>
        <w:tc>
          <w:tcPr>
            <w:tcW w:w="79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正态分布曲线左边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接受概率%</w:t>
            </w:r>
          </w:p>
        </w:tc>
        <w:tc>
          <w:tcPr>
            <w:tcW w:w="140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正态分布曲线右边接收概率%</w:t>
            </w:r>
          </w:p>
        </w:tc>
        <w:tc>
          <w:tcPr>
            <w:tcW w:w="78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标准指标接收概率%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3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3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7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标准指标系数u1</w:t>
            </w:r>
          </w:p>
        </w:tc>
        <w:tc>
          <w:tcPr>
            <w:tcW w:w="707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接受概率%</w:t>
            </w:r>
          </w:p>
        </w:tc>
        <w:tc>
          <w:tcPr>
            <w:tcW w:w="782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4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TCd1</w:t>
            </w:r>
          </w:p>
        </w:tc>
        <w:tc>
          <w:tcPr>
            <w:tcW w:w="546" w:type="dxa"/>
            <w:vMerge w:val="restart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O60</w:t>
            </w:r>
          </w:p>
        </w:tc>
        <w:tc>
          <w:tcPr>
            <w:tcW w:w="910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widowControl/>
              <w:spacing w:line="18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≤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728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widowControl/>
              <w:spacing w:line="18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100</w:t>
            </w:r>
          </w:p>
        </w:tc>
        <w:tc>
          <w:tcPr>
            <w:tcW w:w="975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217~272</w:t>
            </w:r>
          </w:p>
        </w:tc>
        <w:tc>
          <w:tcPr>
            <w:tcW w:w="809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217</w:t>
            </w:r>
          </w:p>
        </w:tc>
        <w:tc>
          <w:tcPr>
            <w:tcW w:w="713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244.5</w:t>
            </w:r>
          </w:p>
        </w:tc>
        <w:tc>
          <w:tcPr>
            <w:tcW w:w="696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4.89</w:t>
            </w:r>
          </w:p>
        </w:tc>
        <w:tc>
          <w:tcPr>
            <w:tcW w:w="793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50.00</w:t>
            </w:r>
          </w:p>
        </w:tc>
        <w:tc>
          <w:tcPr>
            <w:tcW w:w="697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2.71</w:t>
            </w:r>
          </w:p>
        </w:tc>
        <w:tc>
          <w:tcPr>
            <w:tcW w:w="707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49.66</w:t>
            </w:r>
          </w:p>
        </w:tc>
        <w:tc>
          <w:tcPr>
            <w:tcW w:w="782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99.66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42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pStyle w:val="8"/>
              <w:widowControl/>
              <w:spacing w:line="18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＞8～80</w:t>
            </w:r>
          </w:p>
        </w:tc>
        <w:tc>
          <w:tcPr>
            <w:tcW w:w="728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pStyle w:val="8"/>
              <w:widowControl/>
              <w:spacing w:line="18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100</w:t>
            </w:r>
          </w:p>
        </w:tc>
        <w:tc>
          <w:tcPr>
            <w:tcW w:w="975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217~272</w:t>
            </w:r>
          </w:p>
        </w:tc>
        <w:tc>
          <w:tcPr>
            <w:tcW w:w="809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217</w:t>
            </w:r>
          </w:p>
        </w:tc>
        <w:tc>
          <w:tcPr>
            <w:tcW w:w="713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244.5</w:t>
            </w:r>
          </w:p>
        </w:tc>
        <w:tc>
          <w:tcPr>
            <w:tcW w:w="696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5.57</w:t>
            </w:r>
          </w:p>
        </w:tc>
        <w:tc>
          <w:tcPr>
            <w:tcW w:w="793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50.00</w:t>
            </w:r>
          </w:p>
        </w:tc>
        <w:tc>
          <w:tcPr>
            <w:tcW w:w="697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3.28</w:t>
            </w:r>
          </w:p>
        </w:tc>
        <w:tc>
          <w:tcPr>
            <w:tcW w:w="707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49.95</w:t>
            </w:r>
          </w:p>
        </w:tc>
        <w:tc>
          <w:tcPr>
            <w:tcW w:w="782" w:type="dxa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99.95</w:t>
            </w:r>
          </w:p>
        </w:tc>
      </w:tr>
    </w:tbl>
    <w:p>
      <w:pPr>
        <w:pStyle w:val="8"/>
        <w:widowControl/>
        <w:shd w:val="clear" w:color="auto" w:fill="FFFFFF"/>
        <w:ind w:firstLine="420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p>
      <w:pPr>
        <w:spacing w:line="360" w:lineRule="auto"/>
        <w:ind w:firstLine="435"/>
        <w:jc w:val="center"/>
        <w:rPr>
          <w:rFonts w:ascii="Times New Roman" w:hAnsi="Times New Roman" w:eastAsia="黑体" w:cs="Times New Roman"/>
          <w:kern w:val="0"/>
          <w:szCs w:val="22"/>
        </w:rPr>
      </w:pPr>
      <w:r>
        <w:rPr>
          <w:rFonts w:hint="eastAsia" w:ascii="黑体" w:hAnsi="黑体" w:eastAsia="黑体" w:cs="黑体"/>
          <w:kern w:val="0"/>
          <w:szCs w:val="22"/>
        </w:rPr>
        <w:t>表5  TCd1棒材的室温力学性能检测统计表（断后伸长率%）</w:t>
      </w:r>
    </w:p>
    <w:tbl>
      <w:tblPr>
        <w:tblStyle w:val="10"/>
        <w:tblW w:w="9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573"/>
        <w:gridCol w:w="894"/>
        <w:gridCol w:w="696"/>
        <w:gridCol w:w="996"/>
        <w:gridCol w:w="825"/>
        <w:gridCol w:w="622"/>
        <w:gridCol w:w="675"/>
        <w:gridCol w:w="878"/>
        <w:gridCol w:w="686"/>
        <w:gridCol w:w="8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牌号</w:t>
            </w:r>
          </w:p>
        </w:tc>
        <w:tc>
          <w:tcPr>
            <w:tcW w:w="57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状态</w:t>
            </w:r>
          </w:p>
        </w:tc>
        <w:tc>
          <w:tcPr>
            <w:tcW w:w="89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直径或对边距/mm</w:t>
            </w:r>
          </w:p>
        </w:tc>
        <w:tc>
          <w:tcPr>
            <w:tcW w:w="69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样品数量（个）</w:t>
            </w:r>
          </w:p>
        </w:tc>
        <w:tc>
          <w:tcPr>
            <w:tcW w:w="99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断后伸长率检测范围%</w:t>
            </w:r>
          </w:p>
        </w:tc>
        <w:tc>
          <w:tcPr>
            <w:tcW w:w="82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断后伸长率下限值U</w:t>
            </w:r>
          </w:p>
        </w:tc>
        <w:tc>
          <w:tcPr>
            <w:tcW w:w="62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平均值</w:t>
            </w:r>
            <w:r>
              <w:rPr>
                <w:rFonts w:hint="eastAsia" w:ascii="宋体" w:hAnsi="宋体" w:eastAsia="宋体" w:cs="宋体"/>
                <w:position w:val="-10"/>
                <w:sz w:val="18"/>
                <w:szCs w:val="18"/>
              </w:rPr>
              <w:object>
                <v:shape id="_x0000_i1027" o:spt="75" type="#_x0000_t75" style="height:12.75pt;width:12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</w:tc>
        <w:tc>
          <w:tcPr>
            <w:tcW w:w="67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标准偏差</w:t>
            </w:r>
            <w:r>
              <w:rPr>
                <w:rFonts w:hint="eastAsia" w:ascii="宋体" w:hAnsi="宋体" w:eastAsia="宋体" w:cs="宋体"/>
                <w:position w:val="-6"/>
                <w:sz w:val="18"/>
                <w:szCs w:val="18"/>
              </w:rPr>
              <w:object>
                <v:shape id="_x0000_i1028" o:spt="75" type="#_x0000_t75" style="height:11.25pt;width:12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9">
                  <o:LockedField>false</o:LockedField>
                </o:OLEObject>
              </w:object>
            </w:r>
          </w:p>
        </w:tc>
        <w:tc>
          <w:tcPr>
            <w:tcW w:w="156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正态分布曲线左边接收概率%</w:t>
            </w:r>
          </w:p>
        </w:tc>
        <w:tc>
          <w:tcPr>
            <w:tcW w:w="83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正态分布曲线右边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接受概率%</w:t>
            </w:r>
          </w:p>
        </w:tc>
        <w:tc>
          <w:tcPr>
            <w:tcW w:w="803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标准指标接收概率%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59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3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4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6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8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标准指标系数u1</w:t>
            </w:r>
          </w:p>
        </w:tc>
        <w:tc>
          <w:tcPr>
            <w:tcW w:w="686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接受概率%</w:t>
            </w:r>
          </w:p>
        </w:tc>
        <w:tc>
          <w:tcPr>
            <w:tcW w:w="836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3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TCd1</w:t>
            </w:r>
          </w:p>
        </w:tc>
        <w:tc>
          <w:tcPr>
            <w:tcW w:w="573" w:type="dxa"/>
            <w:vMerge w:val="restart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O60</w:t>
            </w:r>
          </w:p>
        </w:tc>
        <w:tc>
          <w:tcPr>
            <w:tcW w:w="894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widowControl/>
              <w:spacing w:line="18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≤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696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widowControl/>
              <w:spacing w:line="18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100</w:t>
            </w:r>
          </w:p>
        </w:tc>
        <w:tc>
          <w:tcPr>
            <w:tcW w:w="996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48~73</w:t>
            </w:r>
          </w:p>
        </w:tc>
        <w:tc>
          <w:tcPr>
            <w:tcW w:w="825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622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60.5</w:t>
            </w:r>
          </w:p>
        </w:tc>
        <w:tc>
          <w:tcPr>
            <w:tcW w:w="675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0.557</w:t>
            </w:r>
          </w:p>
        </w:tc>
        <w:tc>
          <w:tcPr>
            <w:tcW w:w="878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3.27</w:t>
            </w:r>
          </w:p>
        </w:tc>
        <w:tc>
          <w:tcPr>
            <w:tcW w:w="686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49.95</w:t>
            </w:r>
          </w:p>
        </w:tc>
        <w:tc>
          <w:tcPr>
            <w:tcW w:w="836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50.00</w:t>
            </w:r>
          </w:p>
        </w:tc>
        <w:tc>
          <w:tcPr>
            <w:tcW w:w="803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99.95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5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pStyle w:val="8"/>
              <w:widowControl/>
              <w:spacing w:line="18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＞8～80</w:t>
            </w:r>
          </w:p>
        </w:tc>
        <w:tc>
          <w:tcPr>
            <w:tcW w:w="696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pStyle w:val="8"/>
              <w:widowControl/>
              <w:spacing w:line="18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100</w:t>
            </w:r>
          </w:p>
        </w:tc>
        <w:tc>
          <w:tcPr>
            <w:tcW w:w="996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46~71</w:t>
            </w:r>
          </w:p>
        </w:tc>
        <w:tc>
          <w:tcPr>
            <w:tcW w:w="825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46</w:t>
            </w:r>
          </w:p>
        </w:tc>
        <w:tc>
          <w:tcPr>
            <w:tcW w:w="622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58.5</w:t>
            </w:r>
          </w:p>
        </w:tc>
        <w:tc>
          <w:tcPr>
            <w:tcW w:w="675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0.29</w:t>
            </w:r>
          </w:p>
        </w:tc>
        <w:tc>
          <w:tcPr>
            <w:tcW w:w="878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3.72</w:t>
            </w:r>
          </w:p>
        </w:tc>
        <w:tc>
          <w:tcPr>
            <w:tcW w:w="686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49.99</w:t>
            </w:r>
          </w:p>
        </w:tc>
        <w:tc>
          <w:tcPr>
            <w:tcW w:w="836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50.00</w:t>
            </w:r>
          </w:p>
        </w:tc>
        <w:tc>
          <w:tcPr>
            <w:tcW w:w="803" w:type="dxa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99.99</w:t>
            </w:r>
          </w:p>
        </w:tc>
      </w:tr>
    </w:tbl>
    <w:p>
      <w:pPr>
        <w:pStyle w:val="8"/>
        <w:widowControl/>
        <w:shd w:val="clear" w:color="auto" w:fill="FFFFFF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p>
      <w:pPr>
        <w:pStyle w:val="8"/>
        <w:widowControl/>
        <w:shd w:val="clear" w:color="auto" w:fill="FFFFFF"/>
        <w:ind w:firstLine="420"/>
        <w:rPr>
          <w:rFonts w:ascii="Times New Roman" w:hAnsi="Times New Roman" w:cs="Times New Roman"/>
        </w:rPr>
      </w:pPr>
      <w:r>
        <w:drawing>
          <wp:inline distT="0" distB="0" distL="114300" distR="114300">
            <wp:extent cx="4761230" cy="3122930"/>
            <wp:effectExtent l="4445" t="5080" r="15875" b="15240"/>
            <wp:docPr id="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spacing w:line="360" w:lineRule="auto"/>
        <w:ind w:firstLine="435"/>
        <w:jc w:val="center"/>
        <w:rPr>
          <w:rFonts w:ascii="Times New Roman" w:hAnsi="Times New Roman" w:eastAsia="黑体" w:cs="Times New Roman"/>
          <w:kern w:val="0"/>
          <w:szCs w:val="22"/>
        </w:rPr>
      </w:pPr>
      <w:r>
        <w:rPr>
          <w:rFonts w:hint="eastAsia" w:ascii="Times New Roman" w:hAnsi="Times New Roman" w:eastAsia="黑体" w:cs="Times New Roman"/>
          <w:kern w:val="0"/>
          <w:szCs w:val="22"/>
        </w:rPr>
        <w:t xml:space="preserve">图1 </w:t>
      </w:r>
      <w:r>
        <w:rPr>
          <w:rFonts w:ascii="Times New Roman" w:hAnsi="Times New Roman" w:cs="Times New Roman"/>
          <w:szCs w:val="21"/>
        </w:rPr>
        <w:t>抗拉强度直方图列举图</w:t>
      </w:r>
    </w:p>
    <w:p>
      <w:pPr>
        <w:pStyle w:val="8"/>
        <w:widowControl/>
        <w:shd w:val="clear" w:color="auto" w:fill="FFFFFF"/>
        <w:ind w:firstLine="420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p>
      <w:pPr>
        <w:pStyle w:val="8"/>
        <w:widowControl/>
        <w:shd w:val="clear" w:color="auto" w:fill="FFFFFF"/>
        <w:ind w:firstLine="420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p>
      <w:pPr>
        <w:pStyle w:val="8"/>
        <w:widowControl/>
        <w:shd w:val="clear" w:color="auto" w:fill="FFFFFF"/>
        <w:ind w:firstLine="420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p>
      <w:pPr>
        <w:pStyle w:val="8"/>
        <w:widowControl/>
        <w:shd w:val="clear" w:color="auto" w:fill="FFFFFF"/>
        <w:ind w:firstLine="420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p>
      <w:pPr>
        <w:pStyle w:val="8"/>
        <w:widowControl/>
        <w:shd w:val="clear" w:color="auto" w:fill="FFFFFF"/>
        <w:ind w:firstLine="420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drawing>
          <wp:inline distT="0" distB="0" distL="114300" distR="114300">
            <wp:extent cx="5046980" cy="2923540"/>
            <wp:effectExtent l="4445" t="4445" r="15875" b="5715"/>
            <wp:docPr id="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spacing w:line="360" w:lineRule="auto"/>
        <w:ind w:firstLine="435"/>
        <w:jc w:val="center"/>
        <w:rPr>
          <w:rFonts w:ascii="宋体" w:hAnsi="宋体" w:eastAsia="宋体" w:cs="宋体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黑体" w:cs="Times New Roman"/>
          <w:kern w:val="0"/>
          <w:szCs w:val="22"/>
        </w:rPr>
        <w:t xml:space="preserve">图2 </w:t>
      </w:r>
      <w:r>
        <w:rPr>
          <w:rFonts w:ascii="Times New Roman" w:hAnsi="Times New Roman" w:cs="Times New Roman"/>
          <w:szCs w:val="21"/>
        </w:rPr>
        <w:t>断后伸长率直方图列举图</w:t>
      </w:r>
    </w:p>
    <w:p>
      <w:pPr>
        <w:pStyle w:val="8"/>
        <w:widowControl/>
        <w:shd w:val="clear" w:color="auto" w:fill="FFFFFF"/>
        <w:ind w:firstLine="3465" w:firstLineChars="1650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p>
      <w:pPr>
        <w:spacing w:line="440" w:lineRule="exact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3.5 电性能</w:t>
      </w:r>
    </w:p>
    <w:p>
      <w:pPr>
        <w:spacing w:line="440" w:lineRule="exact"/>
        <w:ind w:firstLine="435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本标准棒材主要应用于导电、导热应用领域，对电性能有较高的要求，本标准根据用户需求及生产中的检测数据对电性能规定如下：</w:t>
      </w:r>
    </w:p>
    <w:p>
      <w:pPr>
        <w:spacing w:line="440" w:lineRule="exact"/>
        <w:ind w:firstLine="435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经供需双方协商，并在合同中注明，棒材可做电性能检验。2</w:t>
      </w:r>
      <w:r>
        <w:rPr>
          <w:rFonts w:ascii="Times New Roman" w:hAnsi="Times New Roman" w:cs="Times New Roman"/>
          <w:szCs w:val="21"/>
        </w:rPr>
        <w:t>0℃</w:t>
      </w:r>
      <w:r>
        <w:rPr>
          <w:rFonts w:hint="eastAsia" w:ascii="Times New Roman" w:hAnsi="Times New Roman" w:cs="Times New Roman"/>
          <w:szCs w:val="21"/>
        </w:rPr>
        <w:t>±5</w:t>
      </w:r>
      <w:r>
        <w:rPr>
          <w:rFonts w:ascii="Times New Roman" w:hAnsi="Times New Roman" w:cs="Times New Roman"/>
          <w:szCs w:val="21"/>
        </w:rPr>
        <w:t>℃</w:t>
      </w:r>
      <w:r>
        <w:rPr>
          <w:rFonts w:hint="eastAsia" w:ascii="Times New Roman" w:hAnsi="Times New Roman" w:cs="Times New Roman"/>
          <w:szCs w:val="21"/>
        </w:rPr>
        <w:t>时的导电率应不小于75%IACS(或电阻系数不大于0.022988Ω·mm</w:t>
      </w:r>
      <w:r>
        <w:rPr>
          <w:rFonts w:hint="eastAsia" w:ascii="Times New Roman" w:hAnsi="Times New Roman" w:cs="Times New Roman"/>
          <w:szCs w:val="21"/>
          <w:vertAlign w:val="superscript"/>
        </w:rPr>
        <w:t>2</w:t>
      </w:r>
      <w:r>
        <w:rPr>
          <w:rFonts w:hint="eastAsia" w:ascii="Times New Roman" w:hAnsi="Times New Roman" w:cs="Times New Roman"/>
          <w:szCs w:val="21"/>
        </w:rPr>
        <w:t>/m)，较高要求时，可供应导电率不小于80%IACS（或电阻系数不大于0.0215513Ω·mm</w:t>
      </w:r>
      <w:r>
        <w:rPr>
          <w:rFonts w:hint="eastAsia" w:ascii="Times New Roman" w:hAnsi="Times New Roman" w:cs="Times New Roman"/>
          <w:szCs w:val="21"/>
          <w:vertAlign w:val="superscript"/>
        </w:rPr>
        <w:t>2</w:t>
      </w:r>
      <w:r>
        <w:rPr>
          <w:rFonts w:hint="eastAsia" w:ascii="Times New Roman" w:hAnsi="Times New Roman" w:cs="Times New Roman"/>
          <w:szCs w:val="21"/>
        </w:rPr>
        <w:t>/m）的棒材。</w:t>
      </w:r>
    </w:p>
    <w:p>
      <w:pPr>
        <w:spacing w:line="400" w:lineRule="exact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3.6 内部质量</w:t>
      </w:r>
    </w:p>
    <w:p>
      <w:pPr>
        <w:spacing w:line="440" w:lineRule="exact"/>
        <w:ind w:firstLine="437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金属镉在溶炼过程中易吸气，镉铜产品在生产过程中其组织易产生“微裂纹”和“皮下夹层”缺陷，在生产加工工艺上必须进行严格控制。产品需进行超声波探伤检测和低倍检查，合格后才能供货，需方有要求时也可作断口检查。</w:t>
      </w:r>
      <w:r>
        <w:rPr>
          <w:rFonts w:hint="eastAsia" w:ascii="Times New Roman" w:hAnsi="Times New Roman" w:cs="Times New Roman"/>
          <w:color w:val="000000"/>
          <w:szCs w:val="21"/>
        </w:rPr>
        <w:t>仲裁时以低倍组织检验方式为准。标准</w:t>
      </w:r>
      <w:r>
        <w:rPr>
          <w:rFonts w:hint="eastAsia" w:ascii="Times New Roman" w:hAnsi="Times New Roman" w:cs="Times New Roman"/>
          <w:szCs w:val="21"/>
        </w:rPr>
        <w:t xml:space="preserve">内容如下： </w:t>
      </w:r>
    </w:p>
    <w:p>
      <w:pPr>
        <w:pStyle w:val="14"/>
        <w:spacing w:line="360" w:lineRule="auto"/>
        <w:ind w:firstLine="420"/>
        <w:rPr>
          <w:rFonts w:ascii="Times New Roman"/>
          <w:color w:val="000000"/>
          <w:szCs w:val="21"/>
        </w:rPr>
      </w:pPr>
      <w:r>
        <w:rPr>
          <w:rFonts w:ascii="Times New Roman"/>
          <w:color w:val="000000"/>
          <w:szCs w:val="21"/>
        </w:rPr>
        <w:t>棒材应进行超声波探伤，不允许有超出GB/T</w:t>
      </w:r>
      <w:r>
        <w:rPr>
          <w:rFonts w:hint="eastAsia" w:ascii="Times New Roman"/>
          <w:color w:val="000000"/>
          <w:szCs w:val="21"/>
        </w:rPr>
        <w:t xml:space="preserve"> </w:t>
      </w:r>
      <w:r>
        <w:rPr>
          <w:rFonts w:ascii="Times New Roman"/>
          <w:color w:val="000000"/>
          <w:szCs w:val="21"/>
        </w:rPr>
        <w:t>3310规定的缺陷。</w:t>
      </w:r>
    </w:p>
    <w:p>
      <w:pPr>
        <w:pStyle w:val="14"/>
        <w:spacing w:line="360" w:lineRule="auto"/>
        <w:ind w:firstLine="420"/>
        <w:rPr>
          <w:rFonts w:ascii="Times New Roman"/>
          <w:szCs w:val="21"/>
        </w:rPr>
      </w:pPr>
      <w:r>
        <w:rPr>
          <w:rFonts w:hint="eastAsia" w:hAnsi="宋体"/>
          <w:color w:val="000000"/>
          <w:szCs w:val="21"/>
        </w:rPr>
        <w:t>棒材的低倍组织应无肉眼可见的组织离断，如气孔、缩孔、裂纹、缩尾与夹杂等缺陷。</w:t>
      </w:r>
    </w:p>
    <w:p>
      <w:pPr>
        <w:spacing w:line="440" w:lineRule="exact"/>
        <w:ind w:firstLine="437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棒材断口应致密，无缩尾。不允许有超出YS/T 336 中规定的气孔、夹杂和分层等缺陷。</w:t>
      </w:r>
    </w:p>
    <w:p>
      <w:pPr>
        <w:numPr>
          <w:ilvl w:val="0"/>
          <w:numId w:val="2"/>
        </w:numPr>
        <w:spacing w:line="440" w:lineRule="exact"/>
        <w:rPr>
          <w:rFonts w:ascii="黑体" w:hAnsi="宋体" w:eastAsia="黑体" w:cs="宋体"/>
          <w:bCs/>
          <w:szCs w:val="21"/>
        </w:rPr>
      </w:pPr>
      <w:r>
        <w:rPr>
          <w:rFonts w:hint="eastAsia" w:ascii="黑体" w:hAnsi="宋体" w:eastAsia="黑体" w:cs="宋体"/>
          <w:bCs/>
          <w:szCs w:val="21"/>
        </w:rPr>
        <w:t>标准中涉及专利的情况</w:t>
      </w:r>
    </w:p>
    <w:p>
      <w:pPr>
        <w:pStyle w:val="2"/>
        <w:spacing w:after="0" w:line="440" w:lineRule="exact"/>
        <w:rPr>
          <w:rFonts w:ascii="宋体" w:hAnsi="宋体"/>
        </w:rPr>
      </w:pPr>
      <w:r>
        <w:rPr>
          <w:rFonts w:hint="eastAsia"/>
        </w:rPr>
        <w:t xml:space="preserve">    </w:t>
      </w:r>
      <w:r>
        <w:rPr>
          <w:rFonts w:hint="eastAsia" w:ascii="宋体" w:hAnsi="宋体" w:cs="黑体"/>
          <w:szCs w:val="21"/>
        </w:rPr>
        <w:t>无。</w:t>
      </w:r>
    </w:p>
    <w:p>
      <w:pPr>
        <w:numPr>
          <w:ilvl w:val="0"/>
          <w:numId w:val="2"/>
        </w:numPr>
        <w:spacing w:line="440" w:lineRule="exact"/>
        <w:rPr>
          <w:rFonts w:ascii="黑体" w:hAnsi="宋体" w:eastAsia="黑体" w:cs="宋体"/>
          <w:bCs/>
          <w:szCs w:val="21"/>
        </w:rPr>
      </w:pPr>
      <w:r>
        <w:rPr>
          <w:rFonts w:hint="eastAsia" w:ascii="黑体" w:hAnsi="宋体" w:eastAsia="黑体" w:cs="宋体"/>
          <w:bCs/>
          <w:szCs w:val="21"/>
        </w:rPr>
        <w:t>预期达到的社会效益等情况</w:t>
      </w:r>
    </w:p>
    <w:p>
      <w:pPr>
        <w:pStyle w:val="14"/>
        <w:spacing w:line="440" w:lineRule="exact"/>
        <w:ind w:firstLine="420"/>
        <w:rPr>
          <w:rFonts w:ascii="Times New Roman"/>
          <w:kern w:val="2"/>
          <w:szCs w:val="21"/>
        </w:rPr>
      </w:pPr>
      <w:r>
        <w:rPr>
          <w:rFonts w:hint="eastAsia" w:ascii="Times New Roman"/>
          <w:kern w:val="2"/>
          <w:szCs w:val="21"/>
        </w:rPr>
        <w:t>由于镉铜棒产品广泛应用于制造</w:t>
      </w:r>
      <w:r>
        <w:rPr>
          <w:rFonts w:hint="eastAsia" w:ascii="Times New Roman"/>
          <w:kern w:val="2"/>
          <w:szCs w:val="21"/>
          <w:lang w:eastAsia="zh-CN"/>
        </w:rPr>
        <w:t>电子元器件</w:t>
      </w:r>
      <w:r>
        <w:rPr>
          <w:rFonts w:hint="eastAsia" w:ascii="Times New Roman"/>
          <w:kern w:val="2"/>
          <w:szCs w:val="21"/>
        </w:rPr>
        <w:t>装置的导电，耐热，耐磨零件，及常用于制作常温或高温下工作的高导电、耐磨的零件，我国近年来对该材料及产品的研发有了长足的进展，应用领域不断扩大，生产制造水平在不断研发和创新的基础上持续提高。因而，其产品制造水平和技术指标还有很大的提升空间，相信随着标准的实施和技术不断创新发展，本产品的质量和制造水平会有较大的提升。</w:t>
      </w:r>
    </w:p>
    <w:p>
      <w:pPr>
        <w:pStyle w:val="14"/>
        <w:spacing w:line="440" w:lineRule="exact"/>
        <w:ind w:firstLine="420"/>
        <w:rPr>
          <w:rFonts w:ascii="Times New Roman"/>
          <w:kern w:val="2"/>
          <w:szCs w:val="21"/>
        </w:rPr>
      </w:pPr>
      <w:r>
        <w:rPr>
          <w:rFonts w:hint="eastAsia" w:ascii="Times New Roman"/>
          <w:kern w:val="2"/>
          <w:szCs w:val="21"/>
        </w:rPr>
        <w:t>本标准是在结合生产企业及需求的基础上制定的，技术指标先进，具有普遍性、广泛性、适用性、科学性和先进性。本标准发布后，将规范我</w:t>
      </w:r>
      <w:r>
        <w:rPr>
          <w:rFonts w:ascii="Times New Roman"/>
          <w:kern w:val="2"/>
          <w:szCs w:val="21"/>
        </w:rPr>
        <w:t>国TCd1棒材</w:t>
      </w:r>
      <w:r>
        <w:rPr>
          <w:rFonts w:hint="eastAsia" w:ascii="Times New Roman"/>
          <w:kern w:val="2"/>
          <w:szCs w:val="21"/>
        </w:rPr>
        <w:t>的各项技术要求及性能指标，提高产品在国内市场的竞争力，给生产和使用企业带来巨大的经济效益。</w:t>
      </w:r>
    </w:p>
    <w:p>
      <w:pPr>
        <w:numPr>
          <w:ilvl w:val="0"/>
          <w:numId w:val="2"/>
        </w:numPr>
        <w:spacing w:line="440" w:lineRule="exact"/>
        <w:rPr>
          <w:rFonts w:ascii="黑体" w:hAnsi="宋体" w:eastAsia="黑体" w:cs="宋体"/>
          <w:bCs/>
          <w:szCs w:val="21"/>
        </w:rPr>
      </w:pPr>
      <w:r>
        <w:rPr>
          <w:rFonts w:hint="eastAsia" w:ascii="黑体" w:hAnsi="宋体" w:eastAsia="黑体" w:cs="宋体"/>
          <w:bCs/>
          <w:szCs w:val="21"/>
        </w:rPr>
        <w:t>与现行法律、法规、强制性国家标准及相关标准协调配套情况</w:t>
      </w:r>
    </w:p>
    <w:p>
      <w:pPr>
        <w:spacing w:line="440" w:lineRule="exact"/>
        <w:ind w:firstLine="435"/>
        <w:jc w:val="left"/>
        <w:rPr>
          <w:szCs w:val="21"/>
        </w:rPr>
      </w:pPr>
      <w:bookmarkStart w:id="0" w:name="_Toc32100"/>
      <w:r>
        <w:rPr>
          <w:szCs w:val="21"/>
        </w:rPr>
        <w:t>本标准的制定符合相关的法律、法规和相关规定，与现有的标准不冲突</w:t>
      </w:r>
      <w:r>
        <w:rPr>
          <w:rFonts w:hint="eastAsia"/>
          <w:szCs w:val="21"/>
        </w:rPr>
        <w:t>。</w:t>
      </w:r>
    </w:p>
    <w:p>
      <w:pPr>
        <w:numPr>
          <w:ilvl w:val="0"/>
          <w:numId w:val="2"/>
        </w:numPr>
        <w:spacing w:line="440" w:lineRule="exact"/>
        <w:rPr>
          <w:rFonts w:ascii="黑体" w:hAnsi="宋体" w:eastAsia="黑体" w:cs="宋体"/>
          <w:bCs/>
          <w:szCs w:val="21"/>
        </w:rPr>
      </w:pPr>
      <w:r>
        <w:rPr>
          <w:rFonts w:hint="eastAsia" w:ascii="黑体" w:hAnsi="宋体" w:eastAsia="黑体" w:cs="宋体"/>
          <w:bCs/>
          <w:szCs w:val="21"/>
        </w:rPr>
        <w:t>重大分歧意见的处理经过和依据</w:t>
      </w:r>
      <w:bookmarkEnd w:id="0"/>
    </w:p>
    <w:p>
      <w:pPr>
        <w:spacing w:line="4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无。</w:t>
      </w:r>
    </w:p>
    <w:p>
      <w:pPr>
        <w:spacing w:line="440" w:lineRule="exact"/>
        <w:rPr>
          <w:rFonts w:ascii="黑体" w:hAnsi="宋体" w:eastAsia="黑体" w:cs="宋体"/>
          <w:bCs/>
          <w:szCs w:val="21"/>
        </w:rPr>
      </w:pPr>
      <w:bookmarkStart w:id="1" w:name="_Toc15989"/>
      <w:r>
        <w:rPr>
          <w:rFonts w:hint="eastAsia" w:ascii="黑体" w:hAnsi="宋体" w:eastAsia="黑体" w:cs="宋体"/>
          <w:bCs/>
          <w:szCs w:val="21"/>
        </w:rPr>
        <w:t>八、作为强制性或推荐性国家标准的建议</w:t>
      </w:r>
      <w:bookmarkEnd w:id="1"/>
    </w:p>
    <w:p>
      <w:pPr>
        <w:spacing w:line="4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本标准建议作为推荐性行业标准发布。</w:t>
      </w:r>
    </w:p>
    <w:p>
      <w:pPr>
        <w:spacing w:line="440" w:lineRule="exact"/>
        <w:rPr>
          <w:rFonts w:ascii="黑体" w:hAnsi="宋体" w:eastAsia="黑体" w:cs="宋体"/>
          <w:bCs/>
          <w:szCs w:val="21"/>
        </w:rPr>
      </w:pPr>
      <w:bookmarkStart w:id="2" w:name="_Toc15588"/>
      <w:r>
        <w:rPr>
          <w:rFonts w:hint="eastAsia" w:ascii="黑体" w:hAnsi="宋体" w:eastAsia="黑体" w:cs="宋体"/>
          <w:bCs/>
          <w:szCs w:val="21"/>
        </w:rPr>
        <w:t>九、贯彻标准的要求和措施建议</w:t>
      </w:r>
      <w:bookmarkEnd w:id="2"/>
    </w:p>
    <w:p>
      <w:pPr>
        <w:pStyle w:val="14"/>
        <w:spacing w:line="440" w:lineRule="exact"/>
        <w:ind w:firstLine="420"/>
        <w:rPr>
          <w:rFonts w:ascii="Times New Roman"/>
          <w:kern w:val="2"/>
          <w:szCs w:val="21"/>
        </w:rPr>
      </w:pPr>
      <w:r>
        <w:rPr>
          <w:rFonts w:hint="eastAsia" w:ascii="Times New Roman"/>
          <w:kern w:val="2"/>
          <w:szCs w:val="21"/>
        </w:rPr>
        <w:t>本标准是以</w:t>
      </w:r>
      <w:r>
        <w:rPr>
          <w:rFonts w:ascii="Times New Roman"/>
          <w:kern w:val="2"/>
          <w:szCs w:val="21"/>
        </w:rPr>
        <w:t>我国</w:t>
      </w:r>
      <w:r>
        <w:rPr>
          <w:rFonts w:ascii="Times New Roman"/>
          <w:szCs w:val="21"/>
        </w:rPr>
        <w:t>TCd1棒材</w:t>
      </w:r>
      <w:r>
        <w:rPr>
          <w:rFonts w:ascii="Times New Roman"/>
          <w:color w:val="000000"/>
          <w:szCs w:val="21"/>
          <w:shd w:val="clear" w:color="auto" w:fill="FFFFFF"/>
        </w:rPr>
        <w:t>产品</w:t>
      </w:r>
      <w:r>
        <w:rPr>
          <w:rFonts w:ascii="Times New Roman"/>
          <w:kern w:val="2"/>
          <w:szCs w:val="21"/>
        </w:rPr>
        <w:t>的实际生产现状为基础，结合订货合同要求进行制定的，标准全面覆盖了</w:t>
      </w:r>
      <w:r>
        <w:rPr>
          <w:rFonts w:ascii="Times New Roman"/>
          <w:szCs w:val="21"/>
        </w:rPr>
        <w:t>TCd1棒材</w:t>
      </w:r>
      <w:r>
        <w:rPr>
          <w:rFonts w:ascii="Times New Roman"/>
          <w:kern w:val="2"/>
          <w:szCs w:val="21"/>
        </w:rPr>
        <w:t>产品的一般要求，建议相关单位组织专项标准宣贯会，进行系统学习。杜绝或减少因无标可循给企业生产与经营造成的麻烦。本标准发布后，各企业应积极宣传和贯彻，并立即采用本标准订</w:t>
      </w:r>
      <w:r>
        <w:rPr>
          <w:rFonts w:hint="eastAsia" w:ascii="Times New Roman"/>
          <w:kern w:val="2"/>
          <w:szCs w:val="21"/>
        </w:rPr>
        <w:t>货，以使产品质量得到充分保证，满足国内、外市场及用户的需要。</w:t>
      </w:r>
    </w:p>
    <w:p>
      <w:pPr>
        <w:spacing w:line="440" w:lineRule="exact"/>
        <w:rPr>
          <w:rFonts w:ascii="黑体" w:hAnsi="宋体" w:eastAsia="黑体" w:cs="宋体"/>
          <w:bCs/>
          <w:szCs w:val="21"/>
        </w:rPr>
      </w:pPr>
      <w:bookmarkStart w:id="3" w:name="_Toc7802"/>
      <w:r>
        <w:rPr>
          <w:rFonts w:hint="eastAsia" w:ascii="黑体" w:hAnsi="宋体" w:eastAsia="黑体" w:cs="宋体"/>
          <w:bCs/>
          <w:szCs w:val="21"/>
        </w:rPr>
        <w:t>十、废止现行有关标准的建议</w:t>
      </w:r>
      <w:bookmarkEnd w:id="3"/>
    </w:p>
    <w:p>
      <w:pPr>
        <w:spacing w:line="4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本标准发布实施之日</w:t>
      </w:r>
      <w:r>
        <w:rPr>
          <w:szCs w:val="21"/>
        </w:rPr>
        <w:t xml:space="preserve">起，代替YS/T </w:t>
      </w:r>
      <w:r>
        <w:rPr>
          <w:rFonts w:hint="eastAsia"/>
          <w:szCs w:val="21"/>
        </w:rPr>
        <w:t>1096-2016</w:t>
      </w:r>
      <w:r>
        <w:rPr>
          <w:rFonts w:hint="eastAsia" w:ascii="Times New Roman"/>
          <w:szCs w:val="21"/>
        </w:rPr>
        <w:t>《</w:t>
      </w:r>
      <w:r>
        <w:rPr>
          <w:rFonts w:hint="eastAsia" w:ascii="Times New Roman" w:hAnsi="Times New Roman" w:cs="Times New Roman"/>
          <w:szCs w:val="21"/>
          <w:lang w:eastAsia="zh-CN"/>
        </w:rPr>
        <w:t>电</w:t>
      </w:r>
      <w:r>
        <w:rPr>
          <w:rFonts w:hint="eastAsia" w:ascii="Times New Roman" w:hAnsi="Times New Roman" w:cs="Times New Roman"/>
          <w:szCs w:val="21"/>
          <w:lang w:val="en-US" w:eastAsia="zh-CN"/>
        </w:rPr>
        <w:t>工</w:t>
      </w:r>
      <w:r>
        <w:rPr>
          <w:rFonts w:ascii="Times New Roman" w:hAnsi="Times New Roman" w:cs="Times New Roman"/>
          <w:szCs w:val="21"/>
        </w:rPr>
        <w:t>用镉铜棒</w:t>
      </w:r>
      <w:r>
        <w:rPr>
          <w:rFonts w:hint="eastAsia" w:ascii="Times New Roman"/>
          <w:szCs w:val="21"/>
        </w:rPr>
        <w:t>》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440" w:lineRule="exact"/>
        <w:rPr>
          <w:rFonts w:ascii="黑体" w:hAnsi="宋体" w:eastAsia="黑体" w:cs="宋体"/>
          <w:bCs/>
          <w:szCs w:val="21"/>
        </w:rPr>
      </w:pPr>
      <w:bookmarkStart w:id="4" w:name="_Toc22451"/>
      <w:r>
        <w:rPr>
          <w:rFonts w:hint="eastAsia" w:ascii="黑体" w:hAnsi="宋体" w:eastAsia="黑体" w:cs="宋体"/>
          <w:bCs/>
          <w:szCs w:val="21"/>
        </w:rPr>
        <w:t>十一、其他主要内容的解释和其他需要说明的事项。</w:t>
      </w:r>
      <w:bookmarkEnd w:id="4"/>
    </w:p>
    <w:p>
      <w:pPr>
        <w:spacing w:line="440" w:lineRule="exact"/>
        <w:ind w:firstLine="437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本标准根据目前国内TCd1棒材的实际生产现状和订货合同情况确定采用的牌号、规格和性能，考虑随着新材料的开发、使用和新的生产装备的更新，如果以后生产或订货合同中有其他牌号、规格及性能等需求可在下一版中进行补充修订。</w:t>
      </w:r>
    </w:p>
    <w:p>
      <w:pPr>
        <w:rPr>
          <w:rFonts w:ascii="宋体" w:hAnsi="宋体"/>
          <w:szCs w:val="21"/>
        </w:rPr>
      </w:pPr>
    </w:p>
    <w:p>
      <w:pPr>
        <w:pStyle w:val="3"/>
        <w:ind w:firstLine="420" w:firstLineChars="200"/>
        <w:rPr>
          <w:szCs w:val="21"/>
        </w:rPr>
      </w:pPr>
    </w:p>
    <w:p>
      <w:pPr>
        <w:pStyle w:val="3"/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                                         </w:t>
      </w:r>
    </w:p>
    <w:p>
      <w:pPr>
        <w:pStyle w:val="14"/>
        <w:spacing w:line="360" w:lineRule="auto"/>
        <w:ind w:firstLine="420"/>
        <w:jc w:val="right"/>
        <w:rPr>
          <w:rFonts w:ascii="Times New Roman"/>
          <w:kern w:val="2"/>
          <w:szCs w:val="21"/>
        </w:rPr>
      </w:pPr>
      <w:r>
        <w:rPr>
          <w:rFonts w:hint="eastAsia" w:ascii="Times New Roman"/>
          <w:kern w:val="2"/>
          <w:szCs w:val="21"/>
        </w:rPr>
        <w:t xml:space="preserve">               《</w:t>
      </w:r>
      <w:r>
        <w:rPr>
          <w:rFonts w:hint="eastAsia" w:ascii="Times New Roman"/>
          <w:kern w:val="2"/>
          <w:szCs w:val="21"/>
          <w:lang w:eastAsia="zh-CN"/>
        </w:rPr>
        <w:t>电子元器件</w:t>
      </w:r>
      <w:r>
        <w:rPr>
          <w:rFonts w:ascii="Times New Roman"/>
          <w:kern w:val="2"/>
          <w:szCs w:val="21"/>
        </w:rPr>
        <w:t>用镉铜棒</w:t>
      </w:r>
      <w:r>
        <w:rPr>
          <w:rFonts w:hint="eastAsia" w:ascii="Times New Roman"/>
          <w:kern w:val="2"/>
          <w:szCs w:val="21"/>
        </w:rPr>
        <w:t>》标准编制组</w:t>
      </w:r>
    </w:p>
    <w:p>
      <w:pPr>
        <w:pStyle w:val="14"/>
        <w:spacing w:line="360" w:lineRule="auto"/>
        <w:ind w:firstLine="420"/>
        <w:jc w:val="right"/>
      </w:pPr>
      <w:r>
        <w:rPr>
          <w:rFonts w:hint="eastAsia" w:ascii="Times New Roman"/>
          <w:kern w:val="2"/>
          <w:szCs w:val="21"/>
        </w:rPr>
        <w:t xml:space="preserve">               </w:t>
      </w:r>
      <w:r>
        <w:rPr>
          <w:rFonts w:ascii="Times New Roman"/>
          <w:kern w:val="2"/>
          <w:szCs w:val="21"/>
        </w:rPr>
        <w:t xml:space="preserve"> 202</w:t>
      </w:r>
      <w:r>
        <w:rPr>
          <w:rFonts w:hint="eastAsia" w:ascii="Times New Roman"/>
          <w:kern w:val="2"/>
          <w:szCs w:val="21"/>
        </w:rPr>
        <w:t>3</w:t>
      </w:r>
      <w:r>
        <w:rPr>
          <w:rFonts w:ascii="Times New Roman"/>
          <w:kern w:val="2"/>
          <w:szCs w:val="21"/>
        </w:rPr>
        <w:t>年</w:t>
      </w:r>
      <w:r>
        <w:rPr>
          <w:rFonts w:hint="eastAsia" w:ascii="Times New Roman"/>
          <w:kern w:val="2"/>
          <w:szCs w:val="21"/>
        </w:rPr>
        <w:t>4</w:t>
      </w:r>
      <w:r>
        <w:rPr>
          <w:rFonts w:ascii="Times New Roman"/>
          <w:kern w:val="2"/>
          <w:szCs w:val="21"/>
        </w:rPr>
        <w:t>月</w:t>
      </w:r>
      <w:r>
        <w:rPr>
          <w:rFonts w:hint="eastAsia" w:ascii="Times New Roman"/>
          <w:kern w:val="2"/>
          <w:szCs w:val="21"/>
        </w:rPr>
        <w:t>1</w:t>
      </w:r>
      <w:r>
        <w:rPr>
          <w:rFonts w:ascii="Times New Roman"/>
          <w:kern w:val="2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274CBC"/>
    <w:multiLevelType w:val="singleLevel"/>
    <w:tmpl w:val="BD274CB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8"/>
    <w:multiLevelType w:val="multilevel"/>
    <w:tmpl w:val="00000008"/>
    <w:lvl w:ilvl="0" w:tentative="0">
      <w:start w:val="1"/>
      <w:numFmt w:val="japaneseCounting"/>
      <w:lvlText w:val="%1、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JmYzcwZmU0MWQxMDJmOGQ0MGUwZjcxMjAxNmFhNjkifQ=="/>
  </w:docVars>
  <w:rsids>
    <w:rsidRoot w:val="67CE45C5"/>
    <w:rsid w:val="00030E0C"/>
    <w:rsid w:val="000E3DC4"/>
    <w:rsid w:val="00272E9F"/>
    <w:rsid w:val="002D1346"/>
    <w:rsid w:val="0037660A"/>
    <w:rsid w:val="003E4CBE"/>
    <w:rsid w:val="00423CF8"/>
    <w:rsid w:val="004C2D21"/>
    <w:rsid w:val="004E0C6F"/>
    <w:rsid w:val="00554441"/>
    <w:rsid w:val="006B65B4"/>
    <w:rsid w:val="006D0784"/>
    <w:rsid w:val="007A799E"/>
    <w:rsid w:val="00871A92"/>
    <w:rsid w:val="00921913"/>
    <w:rsid w:val="009224F8"/>
    <w:rsid w:val="0096785C"/>
    <w:rsid w:val="009A46B1"/>
    <w:rsid w:val="00AD0831"/>
    <w:rsid w:val="00AD1AA4"/>
    <w:rsid w:val="00B32BA7"/>
    <w:rsid w:val="00C744F9"/>
    <w:rsid w:val="00C95030"/>
    <w:rsid w:val="00CA1F19"/>
    <w:rsid w:val="00EE0B91"/>
    <w:rsid w:val="01C62387"/>
    <w:rsid w:val="020225EC"/>
    <w:rsid w:val="03190CB5"/>
    <w:rsid w:val="039D60AC"/>
    <w:rsid w:val="088B150F"/>
    <w:rsid w:val="09344196"/>
    <w:rsid w:val="0ABD1919"/>
    <w:rsid w:val="0B755297"/>
    <w:rsid w:val="0F184317"/>
    <w:rsid w:val="11122AD3"/>
    <w:rsid w:val="111404F5"/>
    <w:rsid w:val="15453815"/>
    <w:rsid w:val="15B73581"/>
    <w:rsid w:val="16460B73"/>
    <w:rsid w:val="16494A93"/>
    <w:rsid w:val="17A0586A"/>
    <w:rsid w:val="186C1C55"/>
    <w:rsid w:val="194E034E"/>
    <w:rsid w:val="1C242ED2"/>
    <w:rsid w:val="1D444119"/>
    <w:rsid w:val="1E765041"/>
    <w:rsid w:val="20294224"/>
    <w:rsid w:val="20A15975"/>
    <w:rsid w:val="21DC21B5"/>
    <w:rsid w:val="23A40304"/>
    <w:rsid w:val="248A06DA"/>
    <w:rsid w:val="24DB4284"/>
    <w:rsid w:val="268D2FF6"/>
    <w:rsid w:val="2A7C17D7"/>
    <w:rsid w:val="2C4E7942"/>
    <w:rsid w:val="2C6B7B8F"/>
    <w:rsid w:val="2EBA2574"/>
    <w:rsid w:val="2F6F21D3"/>
    <w:rsid w:val="30453E2B"/>
    <w:rsid w:val="31DD0906"/>
    <w:rsid w:val="3378281C"/>
    <w:rsid w:val="33853D54"/>
    <w:rsid w:val="34EE4AB6"/>
    <w:rsid w:val="357A0B4E"/>
    <w:rsid w:val="37980E89"/>
    <w:rsid w:val="3A983C42"/>
    <w:rsid w:val="3BC41577"/>
    <w:rsid w:val="3C2B4409"/>
    <w:rsid w:val="3C5E0246"/>
    <w:rsid w:val="3D2D153C"/>
    <w:rsid w:val="3E7A65FF"/>
    <w:rsid w:val="3EC579CF"/>
    <w:rsid w:val="407E2AA7"/>
    <w:rsid w:val="426113AB"/>
    <w:rsid w:val="45ED1595"/>
    <w:rsid w:val="47641BD7"/>
    <w:rsid w:val="487B1097"/>
    <w:rsid w:val="4B496DF1"/>
    <w:rsid w:val="4C1B17EE"/>
    <w:rsid w:val="4C495E30"/>
    <w:rsid w:val="4D700148"/>
    <w:rsid w:val="50BF3D08"/>
    <w:rsid w:val="52573F71"/>
    <w:rsid w:val="52C00EDE"/>
    <w:rsid w:val="54BA447E"/>
    <w:rsid w:val="551C27A7"/>
    <w:rsid w:val="5552558E"/>
    <w:rsid w:val="55D0147D"/>
    <w:rsid w:val="57333FC2"/>
    <w:rsid w:val="574F1D5A"/>
    <w:rsid w:val="577606F8"/>
    <w:rsid w:val="583E450D"/>
    <w:rsid w:val="58E9778D"/>
    <w:rsid w:val="593D2FA0"/>
    <w:rsid w:val="5A9E010A"/>
    <w:rsid w:val="5F533C7C"/>
    <w:rsid w:val="6094441D"/>
    <w:rsid w:val="63D24A17"/>
    <w:rsid w:val="644229D4"/>
    <w:rsid w:val="65A453E7"/>
    <w:rsid w:val="67702263"/>
    <w:rsid w:val="67CE45C5"/>
    <w:rsid w:val="6B4F5D3F"/>
    <w:rsid w:val="6BA11928"/>
    <w:rsid w:val="715875F4"/>
    <w:rsid w:val="739F2F55"/>
    <w:rsid w:val="74291D88"/>
    <w:rsid w:val="74C54F54"/>
    <w:rsid w:val="75432D04"/>
    <w:rsid w:val="76364A67"/>
    <w:rsid w:val="7805518F"/>
    <w:rsid w:val="7A6E24A2"/>
    <w:rsid w:val="7BAD4584"/>
    <w:rsid w:val="7C082A21"/>
    <w:rsid w:val="7C1659E2"/>
    <w:rsid w:val="7F4939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link w:val="2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link w:val="22"/>
    <w:qFormat/>
    <w:uiPriority w:val="0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Body Text First Indent"/>
    <w:basedOn w:val="2"/>
    <w:qFormat/>
    <w:uiPriority w:val="0"/>
    <w:pPr>
      <w:tabs>
        <w:tab w:val="left" w:pos="2400"/>
      </w:tabs>
      <w:adjustRightInd w:val="0"/>
      <w:spacing w:after="0"/>
      <w:ind w:firstLine="420" w:firstLineChars="200"/>
      <w:textAlignment w:val="baseline"/>
    </w:pPr>
    <w:rPr>
      <w:kern w:val="0"/>
      <w:szCs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5">
    <w:name w:val="页眉 Char"/>
    <w:basedOn w:val="12"/>
    <w:link w:val="7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8">
    <w:name w:val="章标题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19">
    <w:name w:val="批注框文本 Char"/>
    <w:basedOn w:val="12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正文文本缩进 Char"/>
    <w:basedOn w:val="12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纯文本 Char"/>
    <w:basedOn w:val="12"/>
    <w:link w:val="4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4.bin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hart" Target="charts/chart2.xml"/><Relationship Id="rId10" Type="http://schemas.openxmlformats.org/officeDocument/2006/relationships/chart" Target="charts/chart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\Desktop\&#24037;&#20316;&#31807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\Desktop\&#24037;&#20316;&#31807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1550106818761"/>
          <c:y val="0.0530092592592593"/>
          <c:w val="0.849222222222222"/>
          <c:h val="0.69939814814814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 w="19050" cmpd="sng">
              <a:solidFill>
                <a:schemeClr val="bg2"/>
              </a:solidFill>
              <a:prstDash val="solid"/>
            </a:ln>
            <a:effectLst/>
            <a:sp3d contourW="19050"/>
          </c:spPr>
          <c:invertIfNegative val="0"/>
          <c:dLbls>
            <c:delete val="1"/>
          </c:dLbls>
          <c:cat>
            <c:numRef>
              <c:extLst>
                <c:ext xmlns:c15="http://schemas.microsoft.com/office/drawing/2012/chart" uri="{02D57815-91ED-43cb-92C2-25804820EDAC}">
                  <c15:fullRef>
                    <c15:sqref>[工作簿1.xlsx]Sheet1!$F$9:$M$9</c15:sqref>
                  </c15:fullRef>
                </c:ext>
              </c:extLst>
              <c:f>[工作簿1]Sheet1!$F$9:$L$9</c:f>
              <c:numCache>
                <c:formatCode>General</c:formatCode>
                <c:ptCount val="7"/>
                <c:pt idx="0">
                  <c:v>206</c:v>
                </c:pt>
                <c:pt idx="1">
                  <c:v>217</c:v>
                </c:pt>
                <c:pt idx="2">
                  <c:v>228</c:v>
                </c:pt>
                <c:pt idx="3">
                  <c:v>239</c:v>
                </c:pt>
                <c:pt idx="4">
                  <c:v>250</c:v>
                </c:pt>
                <c:pt idx="5">
                  <c:v>261</c:v>
                </c:pt>
                <c:pt idx="6">
                  <c:v>272</c:v>
                </c:pt>
              </c:numCache>
            </c:num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Sheet1!$F$10:$M$10</c15:sqref>
                  </c15:fullRef>
                </c:ext>
              </c:extLst>
              <c:f>[工作簿1]Sheet1!$F$10:$L$10</c:f>
              <c:numCache>
                <c:formatCode>General</c:formatCode>
                <c:ptCount val="7"/>
                <c:pt idx="0">
                  <c:v>0</c:v>
                </c:pt>
                <c:pt idx="1">
                  <c:v>3</c:v>
                </c:pt>
                <c:pt idx="2">
                  <c:v>8</c:v>
                </c:pt>
                <c:pt idx="3">
                  <c:v>56</c:v>
                </c:pt>
                <c:pt idx="4">
                  <c:v>18</c:v>
                </c:pt>
                <c:pt idx="5">
                  <c:v>12</c:v>
                </c:pt>
                <c:pt idx="6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96845184"/>
        <c:axId val="281671168"/>
      </c:barChart>
      <c:catAx>
        <c:axId val="96845184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TCd1</a:t>
                </a:r>
                <a:r>
                  <a:rPr lang="en-US" altLang="zh-CN"/>
                  <a:t>  O60 </a:t>
                </a:r>
                <a:r>
                  <a:rPr altLang="en-US"/>
                  <a:t>＞</a:t>
                </a:r>
                <a:r>
                  <a:rPr lang="en-US" altLang="zh-CN"/>
                  <a:t>8-80mm</a:t>
                </a:r>
                <a:endParaRPr lang="en-US" altLang="zh-CN"/>
              </a:p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altLang="en-US"/>
                  <a:t>抗拉强度（</a:t>
                </a:r>
                <a:r>
                  <a:rPr lang="en-US" altLang="zh-CN"/>
                  <a:t>MPa</a:t>
                </a:r>
                <a:r>
                  <a:rPr altLang="en-US"/>
                  <a:t>）</a:t>
                </a:r>
                <a:endParaRPr altLang="en-US"/>
              </a:p>
            </c:rich>
          </c:tx>
          <c:layout>
            <c:manualLayout>
              <c:xMode val="edge"/>
              <c:yMode val="edge"/>
              <c:x val="0.403027777777778"/>
              <c:y val="0.828009259259259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81671168"/>
        <c:crosses val="autoZero"/>
        <c:auto val="1"/>
        <c:lblAlgn val="ctr"/>
        <c:lblOffset val="0"/>
        <c:noMultiLvlLbl val="0"/>
      </c:catAx>
      <c:valAx>
        <c:axId val="281671168"/>
        <c:scaling>
          <c:orientation val="minMax"/>
        </c:scaling>
        <c:delete val="0"/>
        <c:axPos val="l"/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频次（</a:t>
                </a:r>
                <a:r>
                  <a:rPr lang="en-US" altLang="zh-CN"/>
                  <a:t>N</a:t>
                </a:r>
                <a:r>
                  <a:rPr altLang="en-US"/>
                  <a:t>）</a:t>
                </a:r>
                <a:endParaRPr lang="en-US" altLang="zh-CN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#,##0;[Red]\-#,##0" sourceLinked="0"/>
        <c:majorTickMark val="cross"/>
        <c:minorTickMark val="none"/>
        <c:tickLblPos val="nextTo"/>
        <c:spPr>
          <a:noFill/>
          <a:ln w="0" cap="flat" cmpd="sng" algn="ctr">
            <a:solidFill>
              <a:schemeClr val="bg2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6845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[工作簿1.xlsx]Sheet1!$D$53</c:f>
              <c:strCache>
                <c:ptCount val="1"/>
                <c:pt idx="0">
                  <c:v>频次</c:v>
                </c:pt>
              </c:strCache>
            </c:strRef>
          </c:tx>
          <c:spPr>
            <a:solidFill>
              <a:schemeClr val="accent1"/>
            </a:solidFill>
            <a:ln w="19050" cmpd="sng">
              <a:solidFill>
                <a:schemeClr val="bg2"/>
              </a:solidFill>
              <a:prstDash val="solid"/>
            </a:ln>
            <a:effectLst/>
            <a:sp3d contourW="19050"/>
          </c:spPr>
          <c:invertIfNegative val="0"/>
          <c:dLbls>
            <c:delete val="1"/>
          </c:dLbls>
          <c:cat>
            <c:numRef>
              <c:f>[工作簿1]Sheet1!$E$52:$K$52</c:f>
              <c:numCache>
                <c:formatCode>General</c:formatCode>
                <c:ptCount val="7"/>
                <c:pt idx="0">
                  <c:v>41</c:v>
                </c:pt>
                <c:pt idx="1">
                  <c:v>46</c:v>
                </c:pt>
                <c:pt idx="2">
                  <c:v>51</c:v>
                </c:pt>
                <c:pt idx="3">
                  <c:v>56</c:v>
                </c:pt>
                <c:pt idx="4">
                  <c:v>61</c:v>
                </c:pt>
                <c:pt idx="5">
                  <c:v>66</c:v>
                </c:pt>
                <c:pt idx="6">
                  <c:v>71</c:v>
                </c:pt>
              </c:numCache>
            </c:numRef>
          </c:cat>
          <c:val>
            <c:numRef>
              <c:f>[工作簿1]Sheet1!$E$53:$K$53</c:f>
              <c:numCache>
                <c:formatCode>General</c:formatCode>
                <c:ptCount val="7"/>
                <c:pt idx="0">
                  <c:v>0</c:v>
                </c:pt>
                <c:pt idx="1">
                  <c:v>4</c:v>
                </c:pt>
                <c:pt idx="2">
                  <c:v>9</c:v>
                </c:pt>
                <c:pt idx="3">
                  <c:v>59</c:v>
                </c:pt>
                <c:pt idx="4">
                  <c:v>14</c:v>
                </c:pt>
                <c:pt idx="5">
                  <c:v>10</c:v>
                </c:pt>
                <c:pt idx="6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-27"/>
        <c:axId val="314837632"/>
        <c:axId val="317743872"/>
      </c:barChart>
      <c:catAx>
        <c:axId val="314837632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TCd1  O60 ＞8-80mm</a:t>
                </a:r>
              </a:p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断后伸长率（%）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17743872"/>
        <c:crosses val="autoZero"/>
        <c:auto val="1"/>
        <c:lblAlgn val="ctr"/>
        <c:lblOffset val="100"/>
        <c:noMultiLvlLbl val="0"/>
      </c:catAx>
      <c:valAx>
        <c:axId val="317743872"/>
        <c:scaling>
          <c:orientation val="minMax"/>
        </c:scaling>
        <c:delete val="0"/>
        <c:axPos val="l"/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频次（</a:t>
                </a:r>
                <a:r>
                  <a:rPr lang="en-US" altLang="zh-CN"/>
                  <a:t>N</a:t>
                </a:r>
                <a:r>
                  <a:rPr altLang="en-US"/>
                  <a:t>）</a:t>
                </a:r>
                <a:endParaRPr lang="en-US" altLang="zh-CN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cross"/>
        <c:minorTickMark val="none"/>
        <c:tickLblPos val="nextTo"/>
        <c:spPr>
          <a:noFill/>
          <a:ln w="6350" cap="flat" cmpd="sng" algn="ctr">
            <a:solidFill>
              <a:schemeClr val="bg2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14837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3880</Words>
  <Characters>4378</Characters>
  <Lines>35</Lines>
  <Paragraphs>9</Paragraphs>
  <TotalTime>1</TotalTime>
  <ScaleCrop>false</ScaleCrop>
  <LinksUpToDate>false</LinksUpToDate>
  <CharactersWithSpaces>4591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2021-03-26T05:07:00Z</dcterms:created>
  <dc:creator>Administrator</dc:creator>
  <cp:lastModifiedBy>i</cp:lastModifiedBy>
  <cp:lastPrinted>2022-11-09T01:44:00Z</cp:lastPrinted>
  <dcterms:modified xsi:type="dcterms:W3CDTF">2023-05-10T01:25:06Z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2621D2C6CD3E4EBEBA4AA9B5D0BC5222</vt:lpwstr>
  </property>
</Properties>
</file>