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wrap="around"/>
        <w:pBdr>
          <w:top w:val="none" w:color="auto" w:sz="0" w:space="0"/>
          <w:left w:val="none" w:color="auto" w:sz="0" w:space="0"/>
          <w:bottom w:val="none" w:color="auto" w:sz="0" w:space="0"/>
          <w:right w:val="none" w:color="auto" w:sz="0" w:space="0"/>
        </w:pBdr>
        <w:rPr>
          <w:highlight w:val="none"/>
        </w:rPr>
      </w:pPr>
      <w:r>
        <w:rPr>
          <w:rFonts w:ascii="Times New Roman"/>
          <w:highlight w:val="none"/>
        </w:rPr>
        <w:t>ICS</w:t>
      </w:r>
      <w:r>
        <w:rPr>
          <w:rFonts w:hAnsi="黑体"/>
          <w:highlight w:val="none"/>
        </w:rPr>
        <w:t xml:space="preserve"> </w:t>
      </w:r>
      <w:r>
        <w:rPr>
          <w:highlight w:val="none"/>
        </w:rPr>
        <w:t>77.120.99</w:t>
      </w:r>
    </w:p>
    <w:p>
      <w:pPr>
        <w:pStyle w:val="124"/>
        <w:framePr w:wrap="around"/>
        <w:pBdr>
          <w:top w:val="none" w:color="auto" w:sz="0" w:space="0"/>
          <w:left w:val="none" w:color="auto" w:sz="0" w:space="0"/>
          <w:bottom w:val="none" w:color="auto" w:sz="0" w:space="0"/>
          <w:right w:val="none" w:color="auto" w:sz="0" w:space="0"/>
        </w:pBdr>
        <w:rPr>
          <w:highlight w:val="none"/>
        </w:rPr>
      </w:pPr>
      <w:r>
        <w:rPr>
          <w:highlight w:val="none"/>
        </w:rPr>
        <w:t>CCS H 66</w:t>
      </w:r>
    </w:p>
    <w:p>
      <w:pPr>
        <w:pStyle w:val="67"/>
        <w:framePr w:wrap="around"/>
        <w:pBdr>
          <w:top w:val="none" w:color="auto" w:sz="0" w:space="0"/>
          <w:left w:val="none" w:color="auto" w:sz="0" w:space="0"/>
          <w:bottom w:val="none" w:color="auto" w:sz="0" w:space="0"/>
          <w:right w:val="none" w:color="auto" w:sz="0" w:space="0"/>
        </w:pBdr>
        <w:rPr>
          <w:highlight w:val="none"/>
        </w:rPr>
      </w:pPr>
      <w:r>
        <w:rPr>
          <w:rFonts w:hint="eastAsia"/>
          <w:highlight w:val="none"/>
        </w:rPr>
        <w:t>YS</w:t>
      </w:r>
    </w:p>
    <w:p>
      <w:pPr>
        <w:pStyle w:val="67"/>
        <w:framePr w:wrap="around"/>
        <w:rPr>
          <w:highlight w:val="none"/>
        </w:rPr>
      </w:pPr>
    </w:p>
    <w:p>
      <w:pPr>
        <w:pStyle w:val="68"/>
        <w:framePr w:wrap="around"/>
        <w:ind w:leftChars="100"/>
        <w:jc w:val="distribute"/>
        <w:rPr>
          <w:w w:val="100"/>
          <w:highlight w:val="none"/>
        </w:rPr>
      </w:pPr>
      <w:r>
        <w:rPr>
          <w:rStyle w:val="151"/>
          <w:rFonts w:hint="eastAsia"/>
          <w:b w:val="0"/>
          <w:bCs w:val="0"/>
          <w:w w:val="100"/>
          <w:highlight w:val="none"/>
        </w:rPr>
        <w:t>中华人民共和国</w:t>
      </w:r>
      <w:r>
        <w:rPr>
          <w:rStyle w:val="151"/>
          <w:rFonts w:hint="eastAsia"/>
          <w:b w:val="0"/>
          <w:bCs w:val="0"/>
          <w:w w:val="100"/>
          <w:highlight w:val="none"/>
        </w:rPr>
        <w:fldChar w:fldCharType="begin">
          <w:ffData>
            <w:name w:val="c2"/>
            <w:enabled/>
            <w:calcOnExit w:val="0"/>
            <w:textInput/>
          </w:ffData>
        </w:fldChar>
      </w:r>
      <w:bookmarkStart w:id="0" w:name="c2"/>
      <w:r>
        <w:rPr>
          <w:rStyle w:val="151"/>
          <w:rFonts w:hint="eastAsia"/>
          <w:b w:val="0"/>
          <w:bCs w:val="0"/>
          <w:w w:val="100"/>
          <w:highlight w:val="none"/>
        </w:rPr>
        <w:instrText xml:space="preserve"> FORMTEXT </w:instrText>
      </w:r>
      <w:r>
        <w:rPr>
          <w:rStyle w:val="151"/>
          <w:rFonts w:hint="eastAsia"/>
          <w:b w:val="0"/>
          <w:bCs w:val="0"/>
          <w:w w:val="100"/>
          <w:highlight w:val="none"/>
        </w:rPr>
        <w:fldChar w:fldCharType="separate"/>
      </w:r>
      <w:r>
        <w:rPr>
          <w:rStyle w:val="151"/>
          <w:rFonts w:hint="eastAsia"/>
          <w:b w:val="0"/>
          <w:bCs w:val="0"/>
          <w:w w:val="100"/>
          <w:highlight w:val="none"/>
        </w:rPr>
        <w:t>有色金属</w:t>
      </w:r>
      <w:r>
        <w:rPr>
          <w:rStyle w:val="151"/>
          <w:rFonts w:hint="eastAsia"/>
          <w:b w:val="0"/>
          <w:bCs w:val="0"/>
          <w:w w:val="100"/>
          <w:highlight w:val="none"/>
        </w:rPr>
        <w:fldChar w:fldCharType="end"/>
      </w:r>
      <w:bookmarkEnd w:id="0"/>
      <w:r>
        <w:rPr>
          <w:rStyle w:val="151"/>
          <w:rFonts w:hint="eastAsia"/>
          <w:b w:val="0"/>
          <w:bCs w:val="0"/>
          <w:w w:val="100"/>
          <w:highlight w:val="none"/>
        </w:rPr>
        <w:t>行业标</w:t>
      </w:r>
      <w:r>
        <w:rPr>
          <w:rFonts w:hint="eastAsia" w:ascii="黑体" w:hAnsi="黑体" w:eastAsia="黑体" w:cs="黑体"/>
          <w:b w:val="0"/>
          <w:bCs w:val="0"/>
          <w:w w:val="100"/>
          <w:highlight w:val="none"/>
        </w:rPr>
        <w:t>准</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8"/>
              <w:framePr w:wrap="around"/>
              <w:rPr>
                <w:rFonts w:ascii="Times New Roman"/>
                <w:highlight w:val="none"/>
              </w:rPr>
            </w:pPr>
          </w:p>
          <w:p>
            <w:pPr>
              <w:pStyle w:val="48"/>
              <w:framePr w:wrap="around"/>
              <w:rPr>
                <w:highlight w:val="none"/>
              </w:rPr>
            </w:pPr>
            <w:r>
              <w:rPr>
                <w:rFonts w:ascii="Times New Roman"/>
                <w:highlight w:val="none"/>
              </w:rPr>
              <w:fldChar w:fldCharType="begin">
                <w:ffData>
                  <w:name w:val="StdNo0"/>
                  <w:enabled/>
                  <w:calcOnExit w:val="0"/>
                  <w:textInput>
                    <w:default w:val="XX"/>
                    <w:maxLength w:val="2"/>
                  </w:textInput>
                </w:ffData>
              </w:fldChar>
            </w:r>
            <w:bookmarkStart w:id="1" w:name="StdNo0"/>
            <w:r>
              <w:rPr>
                <w:rFonts w:ascii="Times New Roman"/>
                <w:highlight w:val="none"/>
              </w:rPr>
              <w:instrText xml:space="preserve"> FORMTEXT </w:instrText>
            </w:r>
            <w:r>
              <w:rPr>
                <w:rFonts w:ascii="Times New Roman"/>
                <w:highlight w:val="none"/>
              </w:rPr>
              <w:fldChar w:fldCharType="separate"/>
            </w:r>
            <w:r>
              <w:rPr>
                <w:rFonts w:hint="eastAsia" w:ascii="Times New Roman"/>
                <w:highlight w:val="none"/>
              </w:rPr>
              <w:t>YS</w:t>
            </w:r>
            <w:r>
              <w:rPr>
                <w:rFonts w:ascii="Times New Roman"/>
                <w:highlight w:val="none"/>
              </w:rPr>
              <w:fldChar w:fldCharType="end"/>
            </w:r>
            <w:bookmarkEnd w:id="1"/>
            <w:r>
              <w:rPr>
                <w:rFonts w:ascii="Times New Roman"/>
                <w:highlight w:val="none"/>
              </w:rPr>
              <w:t>/T</w:t>
            </w:r>
            <w:r>
              <w:rPr>
                <w:rFonts w:hint="eastAsia"/>
                <w:highlight w:val="none"/>
                <w:lang w:val="en-US" w:eastAsia="zh-CN"/>
              </w:rPr>
              <w:t>xxxx</w:t>
            </w:r>
            <w:r>
              <w:rPr>
                <w:highlight w:val="none"/>
              </w:rPr>
              <w:t>—</w:t>
            </w:r>
            <w:bookmarkStart w:id="2" w:name="StdNo2"/>
            <w:r>
              <w:rPr>
                <w:highlight w:val="none"/>
              </w:rPr>
              <w:fldChar w:fldCharType="begin">
                <w:ffData>
                  <w:name w:val="StdNo2"/>
                  <w:enabled/>
                  <w:calcOnExit w:val="0"/>
                  <w:textInput>
                    <w:default w:val="XXXX"/>
                    <w:maxLength w:val="4"/>
                  </w:textInput>
                </w:ffData>
              </w:fldChar>
            </w:r>
            <w:r>
              <w:rPr>
                <w:highlight w:val="none"/>
              </w:rPr>
              <w:instrText xml:space="preserve"> FORMTEXT </w:instrText>
            </w:r>
            <w:r>
              <w:rPr>
                <w:highlight w:val="none"/>
              </w:rPr>
              <w:fldChar w:fldCharType="separate"/>
            </w:r>
            <w:r>
              <w:rPr>
                <w:highlight w:val="none"/>
              </w:rPr>
              <w:t>XXXX</w:t>
            </w:r>
            <w:r>
              <w:rPr>
                <w:highlight w:val="none"/>
              </w:rPr>
              <w:fldChar w:fldCharType="end"/>
            </w:r>
            <w:bookmarkEnd w:id="2"/>
            <w:bookmarkStart w:id="3" w:name="DT"/>
            <w:r>
              <w:rPr>
                <w:highlight w:val="none"/>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bookmarkEnd w:id="3"/>
          </w:p>
        </w:tc>
      </w:tr>
    </w:tbl>
    <w:p>
      <w:pPr>
        <w:pStyle w:val="48"/>
        <w:framePr w:wrap="around"/>
        <w:rPr>
          <w:highlight w:val="none"/>
        </w:rPr>
      </w:pPr>
    </w:p>
    <w:p>
      <w:pPr>
        <w:pStyle w:val="48"/>
        <w:framePr w:wrap="around"/>
        <w:rPr>
          <w:highlight w:val="none"/>
        </w:rPr>
      </w:pPr>
    </w:p>
    <w:p>
      <w:pPr>
        <w:pStyle w:val="79"/>
        <w:framePr w:wrap="around"/>
        <w:rPr>
          <w:highlight w:val="none"/>
        </w:rPr>
      </w:pPr>
      <w:bookmarkStart w:id="4" w:name="StdName"/>
      <w:r>
        <w:rPr>
          <w:rFonts w:hint="eastAsia" w:ascii="黑体" w:hAnsi="黑体" w:eastAsia="黑体" w:cs="黑体"/>
          <w:sz w:val="52"/>
          <w:szCs w:val="52"/>
          <w:highlight w:val="none"/>
        </w:rPr>
        <w:fldChar w:fldCharType="begin">
          <w:ffData>
            <w:name w:val="StdName"/>
            <w:enabled/>
            <w:calcOnExit w:val="0"/>
            <w:textInput>
              <w:default w:val="点击此处添加标准名称"/>
            </w:textInput>
          </w:ffData>
        </w:fldChar>
      </w:r>
      <w:r>
        <w:rPr>
          <w:rFonts w:hint="eastAsia" w:ascii="黑体" w:hAnsi="黑体" w:eastAsia="黑体" w:cs="黑体"/>
          <w:sz w:val="52"/>
          <w:szCs w:val="52"/>
          <w:highlight w:val="none"/>
        </w:rPr>
        <w:instrText xml:space="preserve"> FORMTEXT </w:instrText>
      </w:r>
      <w:r>
        <w:rPr>
          <w:rFonts w:hint="eastAsia" w:ascii="黑体" w:hAnsi="黑体" w:eastAsia="黑体" w:cs="黑体"/>
          <w:sz w:val="52"/>
          <w:szCs w:val="52"/>
          <w:highlight w:val="none"/>
        </w:rPr>
        <w:fldChar w:fldCharType="separate"/>
      </w:r>
      <w:r>
        <w:rPr>
          <w:rFonts w:hint="eastAsia" w:hAnsi="黑体" w:cs="黑体"/>
          <w:color w:val="000000"/>
          <w:kern w:val="0"/>
          <w:sz w:val="52"/>
          <w:szCs w:val="52"/>
          <w:highlight w:val="none"/>
          <w:lang w:val="en-US" w:eastAsia="zh-CN"/>
        </w:rPr>
        <w:t>硅多晶</w:t>
      </w:r>
      <w:r>
        <w:rPr>
          <w:rFonts w:hint="eastAsia" w:ascii="黑体" w:hAnsi="黑体" w:eastAsia="黑体" w:cs="黑体"/>
          <w:color w:val="000000"/>
          <w:kern w:val="0"/>
          <w:sz w:val="52"/>
          <w:szCs w:val="52"/>
          <w:highlight w:val="none"/>
          <w:lang w:val="en-US" w:eastAsia="zh-CN"/>
        </w:rPr>
        <w:t>行业能源管理体系实施指南</w:t>
      </w:r>
      <w:r>
        <w:rPr>
          <w:rFonts w:hint="eastAsia" w:ascii="黑体" w:hAnsi="黑体" w:eastAsia="黑体" w:cs="黑体"/>
          <w:sz w:val="52"/>
          <w:szCs w:val="52"/>
          <w:highlight w:val="none"/>
        </w:rPr>
        <w:fldChar w:fldCharType="end"/>
      </w:r>
      <w:bookmarkEnd w:id="4"/>
    </w:p>
    <w:p>
      <w:pPr>
        <w:pStyle w:val="80"/>
        <w:framePr w:wrap="around"/>
        <w:rPr>
          <w:highlight w:val="none"/>
        </w:rPr>
      </w:pPr>
      <w:bookmarkStart w:id="5" w:name="StdEnglishName"/>
      <w:r>
        <w:rPr>
          <w:highlight w:val="none"/>
        </w:rPr>
        <w:fldChar w:fldCharType="begin">
          <w:ffData>
            <w:name w:val="StdEnglishName"/>
            <w:enabled/>
            <w:calcOnExit w:val="0"/>
            <w:textInput>
              <w:default w:val="点击此处添加标准英文译名"/>
            </w:textInput>
          </w:ffData>
        </w:fldChar>
      </w:r>
      <w:r>
        <w:rPr>
          <w:highlight w:val="none"/>
        </w:rPr>
        <w:instrText xml:space="preserve"> FORMTEXT </w:instrText>
      </w:r>
      <w:r>
        <w:rPr>
          <w:highlight w:val="none"/>
        </w:rPr>
        <w:fldChar w:fldCharType="separate"/>
      </w:r>
      <w:r>
        <w:rPr>
          <w:rFonts w:hint="eastAsia"/>
          <w:highlight w:val="none"/>
        </w:rPr>
        <w:t>Implementation guidance for energy management</w:t>
      </w:r>
      <w:r>
        <w:rPr>
          <w:rFonts w:hint="eastAsia"/>
          <w:highlight w:val="none"/>
          <w:lang w:val="en-US" w:eastAsia="zh-CN"/>
        </w:rPr>
        <w:t xml:space="preserve"> in polysilicon industry</w:t>
      </w:r>
      <w:r>
        <w:rPr>
          <w:highlight w:val="none"/>
        </w:rPr>
        <w:t xml:space="preserve"> </w:t>
      </w:r>
      <w:r>
        <w:rPr>
          <w:highlight w:val="none"/>
        </w:rPr>
        <w:fldChar w:fldCharType="end"/>
      </w:r>
      <w:bookmarkEnd w:id="5"/>
    </w:p>
    <w:p>
      <w:pPr>
        <w:pStyle w:val="81"/>
        <w:framePr w:wrap="around"/>
        <w:rPr>
          <w:highlight w:val="none"/>
        </w:rPr>
      </w:pPr>
      <w:bookmarkStart w:id="6" w:name="YZBS"/>
      <w:r>
        <w:rPr>
          <w:highlight w:val="none"/>
        </w:rPr>
        <w:fldChar w:fldCharType="begin">
          <w:ffData>
            <w:name w:val="YZBS"/>
            <w:enabled/>
            <w:calcOnExit w:val="0"/>
            <w:textInput>
              <w:default w:val="点击此处添加与国际标准一致性程度的标识"/>
            </w:textInput>
          </w:ffData>
        </w:fldChar>
      </w:r>
      <w:r>
        <w:rPr>
          <w:highlight w:val="none"/>
        </w:rPr>
        <w:instrText xml:space="preserve"> FORMTEXT </w:instrText>
      </w:r>
      <w:r>
        <w:rPr>
          <w:highlight w:val="none"/>
        </w:rPr>
        <w:fldChar w:fldCharType="separate"/>
      </w:r>
      <w:r>
        <w:rPr>
          <w:rFonts w:hint="eastAsia"/>
          <w:highlight w:val="none"/>
        </w:rPr>
        <w:t>点击此处添加与国际标准一致性程度的标识</w:t>
      </w:r>
      <w:r>
        <w:rPr>
          <w:highlight w:val="none"/>
        </w:rPr>
        <w:fldChar w:fldCharType="end"/>
      </w:r>
      <w:bookmarkEnd w:id="6"/>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wrap="around"/>
              <w:rPr>
                <w:highlight w:val="none"/>
              </w:rPr>
            </w:pPr>
            <w:r>
              <w:rPr>
                <w:highlight w:val="none"/>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w:rPr>
                <w:highlight w:val="none"/>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Ob0x9oJAgAAIAQAAA4AAAAAAAAAAQAgAAAA&#10;JQEAAGRycy9lMm9Eb2MueG1sUEsFBgAAAAAGAAYAWQEAAKAFAAAAAA==&#10;">
                      <v:fill on="t" focussize="0,0"/>
                      <v:stroke on="f"/>
                      <v:imagedata o:title=""/>
                      <o:lock v:ext="edit" aspectratio="f"/>
                    </v:rect>
                  </w:pict>
                </mc:Fallback>
              </mc:AlternateContent>
            </w:r>
            <w:r>
              <w:rPr>
                <w:highlight w:val="none"/>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7" w:name="LB"/>
            <w:r>
              <w:rPr>
                <w:highlight w:val="none"/>
              </w:rPr>
              <w:instrText xml:space="preserve"> FORMDROPDOWN </w:instrText>
            </w:r>
            <w:r>
              <w:rPr>
                <w:highlight w:val="none"/>
              </w:rPr>
              <w:fldChar w:fldCharType="separate"/>
            </w:r>
            <w:r>
              <w:rPr>
                <w:highlight w:val="none"/>
              </w:rPr>
              <w:fldChar w:fldCharType="end"/>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rPr>
                <w:highlight w:val="none"/>
              </w:rPr>
            </w:pPr>
            <w:r>
              <w:rPr>
                <w:rFonts w:hint="eastAsia"/>
                <w:highlight w:val="none"/>
                <w:lang w:val="en-US" w:eastAsia="zh-CN"/>
              </w:rPr>
              <w:t>征求意见</w:t>
            </w:r>
            <w:r>
              <w:rPr>
                <w:rFonts w:hint="eastAsia"/>
                <w:highlight w:val="none"/>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rPr>
                <w:rFonts w:hint="eastAsia"/>
                <w:highlight w:val="none"/>
              </w:rPr>
            </w:pPr>
            <w:bookmarkStart w:id="8" w:name="SY"/>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rPr>
                <w:rFonts w:hint="eastAsia"/>
                <w:highlight w:val="none"/>
              </w:rPr>
            </w:pPr>
          </w:p>
        </w:tc>
      </w:tr>
    </w:tbl>
    <w:p>
      <w:pPr>
        <w:pStyle w:val="131"/>
        <w:framePr w:w="3793" w:wrap="around" w:hAnchor="page" w:x="1345" w:y="14077"/>
        <w:rPr>
          <w:highlight w:val="none"/>
        </w:rPr>
      </w:pPr>
      <w:r>
        <w:rPr>
          <w:rFonts w:ascii="黑体"/>
          <w:highlight w:val="none"/>
        </w:rPr>
        <w:fldChar w:fldCharType="begin">
          <w:ffData>
            <w:name w:val="FY"/>
            <w:enabled/>
            <w:calcOnExit w:val="0"/>
            <w:textInput>
              <w:default w:val="XXXX"/>
              <w:maxLength w:val="4"/>
            </w:textInput>
          </w:ffData>
        </w:fldChar>
      </w:r>
      <w:bookmarkStart w:id="9" w:name="F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9"/>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textInput>
              <w:default w:val="XX"/>
              <w:maxLength w:val="2"/>
            </w:textInput>
          </w:ffData>
        </w:fldChar>
      </w:r>
      <w:bookmarkStart w:id="10" w:name="F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0"/>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D"/>
            <w:enabled/>
            <w:calcOnExit w:val="0"/>
            <w:textInput>
              <w:default w:val="XX"/>
              <w:maxLength w:val="2"/>
            </w:textInput>
          </w:ffData>
        </w:fldChar>
      </w:r>
      <w:bookmarkStart w:id="11" w:name="F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1"/>
      <w:r>
        <w:rPr>
          <w:rFonts w:hint="eastAsia"/>
          <w:highlight w:val="none"/>
        </w:rPr>
        <w:t>发布</w:t>
      </w:r>
      <w:r>
        <w:rPr>
          <w:highlight w:val="none"/>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3IFdxuQB&#10;AACsAwAADgAAAAAAAAABACAAAAAlAQAAZHJzL2Uyb0RvYy54bWxQSwUGAAAAAAYABgBZAQAAewUA&#10;AAAA&#10;">
                <v:fill on="f" focussize="0,0"/>
                <v:stroke color="#000000" joinstyle="round"/>
                <v:imagedata o:title=""/>
                <o:lock v:ext="edit" aspectratio="f"/>
                <w10:anchorlock/>
              </v:line>
            </w:pict>
          </mc:Fallback>
        </mc:AlternateContent>
      </w:r>
    </w:p>
    <w:p>
      <w:pPr>
        <w:pStyle w:val="132"/>
        <w:framePr w:w="2265" w:wrap="around"/>
        <w:ind w:left="-1" w:leftChars="-607" w:hanging="1274" w:hangingChars="455"/>
        <w:rPr>
          <w:highlight w:val="none"/>
        </w:rPr>
      </w:pPr>
      <w:r>
        <w:rPr>
          <w:rFonts w:ascii="黑体"/>
          <w:highlight w:val="none"/>
        </w:rPr>
        <w:fldChar w:fldCharType="begin">
          <w:ffData>
            <w:name w:val="SY"/>
            <w:enabled/>
            <w:calcOnExit w:val="0"/>
            <w:entryMacro w:val="ShowHelp9"/>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8"/>
      <w:r>
        <w:rPr>
          <w:rFonts w:ascii="黑体"/>
          <w:highlight w:val="none"/>
        </w:rPr>
        <w:t>-</w:t>
      </w:r>
      <w:bookmarkStart w:id="12" w:name="SM"/>
      <w:r>
        <w:rPr>
          <w:rFonts w:ascii="黑体"/>
          <w:highlight w:val="none"/>
        </w:rPr>
        <w:fldChar w:fldCharType="begin">
          <w:ffData>
            <w:name w:val="SM"/>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2"/>
      <w:r>
        <w:rPr>
          <w:rFonts w:ascii="黑体"/>
          <w:highlight w:val="none"/>
        </w:rPr>
        <w:t>-</w:t>
      </w:r>
      <w:bookmarkStart w:id="13" w:name="SD"/>
      <w:r>
        <w:rPr>
          <w:rFonts w:ascii="黑体"/>
          <w:highlight w:val="none"/>
        </w:rPr>
        <w:fldChar w:fldCharType="begin">
          <w:ffData>
            <w:name w:val="SD"/>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3"/>
      <w:r>
        <w:rPr>
          <w:rFonts w:hint="eastAsia"/>
          <w:highlight w:val="none"/>
        </w:rPr>
        <w:t>实施</w:t>
      </w:r>
    </w:p>
    <w:p>
      <w:pPr>
        <w:pStyle w:val="112"/>
        <w:framePr w:wrap="around"/>
        <w:pBdr>
          <w:top w:val="none" w:color="auto" w:sz="0" w:space="0"/>
          <w:left w:val="none" w:color="auto" w:sz="0" w:space="0"/>
          <w:bottom w:val="none" w:color="auto" w:sz="0" w:space="0"/>
          <w:right w:val="none" w:color="auto" w:sz="0" w:space="0"/>
        </w:pBdr>
        <w:rPr>
          <w:highlight w:val="none"/>
        </w:rPr>
      </w:pPr>
      <w:r>
        <w:rPr>
          <w:highlight w:val="none"/>
        </w:rPr>
        <w:t xml:space="preserve">  </w:t>
      </w:r>
      <w:r>
        <w:rPr>
          <w:highlight w:val="none"/>
        </w:rPr>
        <w:fldChar w:fldCharType="begin">
          <w:ffData>
            <w:name w:val="fm"/>
            <w:enabled/>
            <w:calcOnExit w:val="0"/>
            <w:textInput/>
          </w:ffData>
        </w:fldChar>
      </w:r>
      <w:r>
        <w:rPr>
          <w:highlight w:val="none"/>
        </w:rPr>
        <w:instrText xml:space="preserve"> FORMTEXT </w:instrText>
      </w:r>
      <w:r>
        <w:rPr>
          <w:highlight w:val="none"/>
        </w:rPr>
        <w:fldChar w:fldCharType="separate"/>
      </w:r>
      <w:r>
        <w:rPr>
          <w:rFonts w:hint="eastAsia"/>
          <w:highlight w:val="none"/>
        </w:rPr>
        <w:t>中华人民共和国工业和信息化部</w:t>
      </w:r>
      <w:r>
        <w:rPr>
          <w:highlight w:val="none"/>
        </w:rPr>
        <w:fldChar w:fldCharType="end"/>
      </w:r>
      <w:r>
        <w:rPr>
          <w:highlight w:val="none"/>
        </w:rPr>
        <w:t>   </w:t>
      </w:r>
      <w:r>
        <w:rPr>
          <w:rStyle w:val="74"/>
          <w:rFonts w:hint="eastAsia"/>
          <w:highlight w:val="none"/>
        </w:rPr>
        <w:t>发布</w:t>
      </w:r>
    </w:p>
    <w:p>
      <w:pPr>
        <w:pStyle w:val="75"/>
        <w:framePr w:wrap="around"/>
        <w:adjustRightInd w:val="0"/>
        <w:snapToGrid w:val="0"/>
        <w:ind w:right="760" w:firstLine="465" w:firstLineChars="111"/>
        <w:jc w:val="both"/>
        <w:rPr>
          <w:highlight w:val="none"/>
        </w:rPr>
      </w:pPr>
    </w:p>
    <w:p>
      <w:pPr>
        <w:pStyle w:val="75"/>
        <w:framePr w:wrap="around"/>
        <w:ind w:firstLine="1408" w:firstLineChars="336"/>
        <w:rPr>
          <w:highlight w:val="none"/>
        </w:rPr>
      </w:pPr>
    </w:p>
    <w:p>
      <w:pPr>
        <w:pStyle w:val="24"/>
        <w:ind w:firstLine="0" w:firstLineChars="0"/>
        <w:rPr>
          <w:highlight w:val="none"/>
        </w:rPr>
        <w:sectPr>
          <w:pgSz w:w="11906" w:h="16838"/>
          <w:pgMar w:top="567" w:right="850" w:bottom="1134" w:left="1418" w:header="0" w:footer="0" w:gutter="0"/>
          <w:pgNumType w:start="1"/>
          <w:cols w:space="425" w:num="1"/>
          <w:docGrid w:type="lines" w:linePitch="312" w:charSpace="0"/>
        </w:sectPr>
      </w:pPr>
      <w:r>
        <w:rPr>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9JP+zsgBAACgAwAADgAAAAAAAAABACAAAAAmAQAAZHJz&#10;L2Uyb0RvYy54bWxQSwUGAAAAAAYABgBZAQAAYAUAAAAA&#10;">
                <v:fill on="f" focussize="0,0"/>
                <v:stroke color="#000000" joinstyle="round"/>
                <v:imagedata o:title=""/>
                <o:lock v:ext="edit" aspectratio="f"/>
              </v:line>
            </w:pict>
          </mc:Fallback>
        </mc:AlternateContent>
      </w:r>
    </w:p>
    <w:p>
      <w:pPr>
        <w:tabs>
          <w:tab w:val="left" w:pos="4520"/>
        </w:tabs>
        <w:spacing w:after="0" w:line="362" w:lineRule="exact"/>
        <w:ind w:left="3630" w:right="3610"/>
        <w:jc w:val="center"/>
        <w:rPr>
          <w:rFonts w:ascii="宋体" w:hAnsi="宋体" w:eastAsia="宋体" w:cs="宋体"/>
          <w:position w:val="-3"/>
          <w:sz w:val="30"/>
          <w:szCs w:val="30"/>
          <w:highlight w:val="none"/>
          <w:lang w:eastAsia="zh-CN"/>
        </w:rPr>
      </w:pPr>
    </w:p>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20"/>
        <w:tabs>
          <w:tab w:val="right" w:leader="dot" w:pos="8760"/>
          <w:tab w:val="clear" w:pos="9241"/>
        </w:tabs>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_Toc31356 </w:instrText>
      </w:r>
      <w:r>
        <w:rPr>
          <w:highlight w:val="none"/>
        </w:rPr>
        <w:fldChar w:fldCharType="separate"/>
      </w:r>
      <w:r>
        <w:rPr>
          <w:szCs w:val="28"/>
          <w:highlight w:val="none"/>
          <w:lang w:eastAsia="zh-CN"/>
        </w:rPr>
        <w:t>前</w:t>
      </w:r>
      <w:r>
        <w:rPr>
          <w:rFonts w:hint="eastAsia"/>
          <w:szCs w:val="28"/>
          <w:highlight w:val="none"/>
          <w:lang w:eastAsia="zh-CN"/>
        </w:rPr>
        <w:t xml:space="preserve"> </w:t>
      </w:r>
      <w:r>
        <w:rPr>
          <w:szCs w:val="28"/>
          <w:highlight w:val="none"/>
          <w:lang w:eastAsia="zh-CN"/>
        </w:rPr>
        <w:t xml:space="preserve">   言</w:t>
      </w:r>
      <w:r>
        <w:tab/>
      </w:r>
      <w:r>
        <w:fldChar w:fldCharType="begin"/>
      </w:r>
      <w:r>
        <w:instrText xml:space="preserve"> PAGEREF _Toc31356 \h </w:instrText>
      </w:r>
      <w:r>
        <w:fldChar w:fldCharType="separate"/>
      </w:r>
      <w:r>
        <w:t>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_Toc23208 </w:instrText>
      </w:r>
      <w:r>
        <w:rPr>
          <w:highlight w:val="none"/>
        </w:rPr>
        <w:fldChar w:fldCharType="separate"/>
      </w:r>
      <w:r>
        <w:rPr>
          <w:rFonts w:hint="eastAsia"/>
          <w:szCs w:val="28"/>
          <w:highlight w:val="none"/>
          <w:lang w:eastAsia="zh-CN"/>
        </w:rPr>
        <w:t>引   言</w:t>
      </w:r>
      <w:r>
        <w:tab/>
      </w:r>
      <w:r>
        <w:fldChar w:fldCharType="begin"/>
      </w:r>
      <w:r>
        <w:instrText xml:space="preserve"> PAGEREF _Toc23208 \h </w:instrText>
      </w:r>
      <w:r>
        <w:fldChar w:fldCharType="separate"/>
      </w:r>
      <w:r>
        <w:t>1</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_Toc31034 </w:instrText>
      </w:r>
      <w:r>
        <w:rPr>
          <w:highlight w:val="none"/>
        </w:rPr>
        <w:fldChar w:fldCharType="separate"/>
      </w:r>
      <w:r>
        <w:rPr>
          <w:rFonts w:hint="eastAsia" w:ascii="宋体" w:hAnsi="宋体" w:eastAsia="宋体" w:cs="宋体"/>
          <w:kern w:val="0"/>
          <w:szCs w:val="20"/>
          <w:highlight w:val="none"/>
          <w:lang w:val="en-US" w:eastAsia="zh-CN" w:bidi="ar-SA"/>
        </w:rPr>
        <w:t>硅多晶行业能源管理体系 实施指南</w:t>
      </w:r>
      <w:r>
        <w:tab/>
      </w:r>
      <w:r>
        <w:fldChar w:fldCharType="begin"/>
      </w:r>
      <w:r>
        <w:instrText xml:space="preserve"> PAGEREF _Toc31034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_Toc10358 </w:instrText>
      </w:r>
      <w:r>
        <w:rPr>
          <w:highlight w:val="none"/>
        </w:rPr>
        <w:fldChar w:fldCharType="separate"/>
      </w:r>
      <w:r>
        <w:rPr>
          <w:rFonts w:hint="eastAsia" w:ascii="黑体" w:hAnsi="Times New Roman" w:eastAsia="黑体"/>
          <w:i w:val="0"/>
          <w:szCs w:val="21"/>
        </w:rPr>
        <w:t xml:space="preserve">1 </w:t>
      </w:r>
      <w:r>
        <w:rPr>
          <w:rFonts w:hint="eastAsia"/>
          <w:highlight w:val="none"/>
        </w:rPr>
        <w:t>范围</w:t>
      </w:r>
      <w:r>
        <w:tab/>
      </w:r>
      <w:r>
        <w:fldChar w:fldCharType="begin"/>
      </w:r>
      <w:r>
        <w:instrText xml:space="preserve"> PAGEREF _Toc10358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_Toc24922 </w:instrText>
      </w:r>
      <w:r>
        <w:rPr>
          <w:highlight w:val="none"/>
        </w:rPr>
        <w:fldChar w:fldCharType="separate"/>
      </w:r>
      <w:r>
        <w:rPr>
          <w:rFonts w:hint="eastAsia" w:ascii="黑体" w:hAnsi="Times New Roman" w:eastAsia="黑体"/>
          <w:i w:val="0"/>
          <w:szCs w:val="21"/>
        </w:rPr>
        <w:t xml:space="preserve">2 </w:t>
      </w:r>
      <w:r>
        <w:rPr>
          <w:rFonts w:hint="eastAsia"/>
          <w:highlight w:val="none"/>
        </w:rPr>
        <w:t>规范性引用文件</w:t>
      </w:r>
      <w:r>
        <w:tab/>
      </w:r>
      <w:r>
        <w:fldChar w:fldCharType="begin"/>
      </w:r>
      <w:r>
        <w:instrText xml:space="preserve"> PAGEREF _Toc24922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_Toc27801 </w:instrText>
      </w:r>
      <w:r>
        <w:rPr>
          <w:highlight w:val="none"/>
        </w:rPr>
        <w:fldChar w:fldCharType="separate"/>
      </w:r>
      <w:r>
        <w:rPr>
          <w:rFonts w:hint="eastAsia" w:ascii="黑体" w:hAnsi="Times New Roman" w:eastAsia="黑体"/>
          <w:i w:val="0"/>
          <w:szCs w:val="21"/>
        </w:rPr>
        <w:t xml:space="preserve">3 </w:t>
      </w:r>
      <w:r>
        <w:rPr>
          <w:rFonts w:hint="eastAsia"/>
          <w:highlight w:val="none"/>
        </w:rPr>
        <w:t>术语与定义</w:t>
      </w:r>
      <w:r>
        <w:tab/>
      </w:r>
      <w:r>
        <w:fldChar w:fldCharType="begin"/>
      </w:r>
      <w:r>
        <w:instrText xml:space="preserve"> PAGEREF _Toc27801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_Toc19463 </w:instrText>
      </w:r>
      <w:r>
        <w:rPr>
          <w:highlight w:val="none"/>
        </w:rPr>
        <w:fldChar w:fldCharType="separate"/>
      </w:r>
      <w:r>
        <w:rPr>
          <w:rFonts w:hint="eastAsia" w:ascii="黑体" w:hAnsi="Times New Roman" w:eastAsia="黑体"/>
          <w:i w:val="0"/>
          <w:szCs w:val="21"/>
        </w:rPr>
        <w:t xml:space="preserve">4 </w:t>
      </w:r>
      <w:r>
        <w:rPr>
          <w:rFonts w:hint="eastAsia"/>
          <w:highlight w:val="none"/>
        </w:rPr>
        <w:t>能源管理体系要求</w:t>
      </w:r>
      <w:r>
        <w:tab/>
      </w:r>
      <w:r>
        <w:fldChar w:fldCharType="begin"/>
      </w:r>
      <w:r>
        <w:instrText xml:space="preserve"> PAGEREF _Toc19463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_Toc361 </w:instrText>
      </w:r>
      <w:r>
        <w:rPr>
          <w:highlight w:val="none"/>
        </w:rPr>
        <w:fldChar w:fldCharType="separate"/>
      </w:r>
      <w:r>
        <w:rPr>
          <w:rFonts w:hint="eastAsia"/>
          <w:highlight w:val="none"/>
          <w:lang w:val="en-US" w:eastAsia="zh-CN"/>
        </w:rPr>
        <w:t>5  领导</w:t>
      </w:r>
      <w:r>
        <w:rPr>
          <w:rFonts w:hint="eastAsia"/>
          <w:highlight w:val="none"/>
        </w:rPr>
        <w:t>职责</w:t>
      </w:r>
      <w:r>
        <w:tab/>
      </w:r>
      <w:r>
        <w:fldChar w:fldCharType="begin"/>
      </w:r>
      <w:r>
        <w:instrText xml:space="preserve"> PAGEREF _Toc361 \h </w:instrText>
      </w:r>
      <w:r>
        <w:fldChar w:fldCharType="separate"/>
      </w:r>
      <w:r>
        <w:t>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_Toc8367 </w:instrText>
      </w:r>
      <w:r>
        <w:rPr>
          <w:highlight w:val="none"/>
        </w:rPr>
        <w:fldChar w:fldCharType="separate"/>
      </w:r>
      <w:r>
        <w:rPr>
          <w:rFonts w:hint="eastAsia"/>
          <w:highlight w:val="none"/>
          <w:lang w:val="en-US" w:eastAsia="zh-CN"/>
        </w:rPr>
        <w:t xml:space="preserve">6  </w:t>
      </w:r>
      <w:r>
        <w:rPr>
          <w:rFonts w:hint="eastAsia"/>
          <w:highlight w:val="none"/>
        </w:rPr>
        <w:t>策划</w:t>
      </w:r>
      <w:r>
        <w:tab/>
      </w:r>
      <w:r>
        <w:fldChar w:fldCharType="begin"/>
      </w:r>
      <w:r>
        <w:instrText xml:space="preserve"> PAGEREF _Toc8367 \h </w:instrText>
      </w:r>
      <w:r>
        <w:fldChar w:fldCharType="separate"/>
      </w:r>
      <w:r>
        <w:t>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_Toc5449 </w:instrText>
      </w:r>
      <w:r>
        <w:rPr>
          <w:highlight w:val="none"/>
        </w:rPr>
        <w:fldChar w:fldCharType="separate"/>
      </w:r>
      <w:r>
        <w:rPr>
          <w:rFonts w:hint="eastAsia"/>
          <w:szCs w:val="21"/>
          <w:highlight w:val="none"/>
        </w:rPr>
        <w:t>附录A</w:t>
      </w:r>
      <w:r>
        <w:tab/>
      </w:r>
      <w:r>
        <w:fldChar w:fldCharType="begin"/>
      </w:r>
      <w:r>
        <w:instrText xml:space="preserve"> PAGEREF _Toc5449 \h </w:instrText>
      </w:r>
      <w:r>
        <w:fldChar w:fldCharType="separate"/>
      </w:r>
      <w:r>
        <w:t>13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_Toc20012 </w:instrText>
      </w:r>
      <w:r>
        <w:rPr>
          <w:highlight w:val="none"/>
        </w:rPr>
        <w:fldChar w:fldCharType="separate"/>
      </w:r>
      <w:r>
        <w:rPr>
          <w:rFonts w:hint="eastAsia"/>
          <w:szCs w:val="21"/>
          <w:highlight w:val="none"/>
        </w:rPr>
        <w:t>(资料性附录)</w:t>
      </w:r>
      <w:r>
        <w:tab/>
      </w:r>
      <w:r>
        <w:fldChar w:fldCharType="begin"/>
      </w:r>
      <w:r>
        <w:instrText xml:space="preserve"> PAGEREF _Toc20012 \h </w:instrText>
      </w:r>
      <w:r>
        <w:fldChar w:fldCharType="separate"/>
      </w:r>
      <w:r>
        <w:t>13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_Toc30114 </w:instrText>
      </w:r>
      <w:r>
        <w:rPr>
          <w:highlight w:val="none"/>
        </w:rPr>
        <w:fldChar w:fldCharType="separate"/>
      </w:r>
      <w:r>
        <w:rPr>
          <w:rFonts w:hint="eastAsia"/>
          <w:szCs w:val="21"/>
          <w:highlight w:val="none"/>
          <w:lang w:val="en-US" w:eastAsia="zh-CN"/>
        </w:rPr>
        <w:t>某硅多晶</w:t>
      </w:r>
      <w:r>
        <w:rPr>
          <w:rFonts w:hint="eastAsia"/>
          <w:szCs w:val="21"/>
          <w:highlight w:val="none"/>
        </w:rPr>
        <w:t>生产企业能源管理评审应用示例</w:t>
      </w:r>
      <w:r>
        <w:tab/>
      </w:r>
      <w:r>
        <w:fldChar w:fldCharType="begin"/>
      </w:r>
      <w:r>
        <w:instrText xml:space="preserve"> PAGEREF _Toc30114 \h </w:instrText>
      </w:r>
      <w:r>
        <w:fldChar w:fldCharType="separate"/>
      </w:r>
      <w:r>
        <w:t>13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_Toc1614 </w:instrText>
      </w:r>
      <w:r>
        <w:rPr>
          <w:highlight w:val="none"/>
        </w:rPr>
        <w:fldChar w:fldCharType="separate"/>
      </w:r>
      <w:r>
        <w:rPr>
          <w:rFonts w:hint="eastAsia"/>
          <w:szCs w:val="21"/>
          <w:highlight w:val="none"/>
        </w:rPr>
        <w:t>表 A.</w:t>
      </w:r>
      <w:r>
        <w:rPr>
          <w:rFonts w:hint="eastAsia"/>
          <w:szCs w:val="21"/>
          <w:highlight w:val="none"/>
          <w:lang w:val="en-US" w:eastAsia="zh-CN"/>
        </w:rPr>
        <w:t>1</w:t>
      </w:r>
      <w:r>
        <w:rPr>
          <w:rFonts w:hint="eastAsia"/>
          <w:szCs w:val="21"/>
          <w:highlight w:val="none"/>
        </w:rPr>
        <w:t xml:space="preserve"> 主要工艺设备统计表</w:t>
      </w:r>
      <w:r>
        <w:tab/>
      </w:r>
      <w:r>
        <w:fldChar w:fldCharType="begin"/>
      </w:r>
      <w:r>
        <w:instrText xml:space="preserve"> PAGEREF _Toc1614 \h </w:instrText>
      </w:r>
      <w:r>
        <w:fldChar w:fldCharType="separate"/>
      </w:r>
      <w:r>
        <w:t>14</w:t>
      </w:r>
      <w:r>
        <w:fldChar w:fldCharType="end"/>
      </w:r>
      <w:r>
        <w:rPr>
          <w:highlight w:val="none"/>
        </w:rPr>
        <w:fldChar w:fldCharType="end"/>
      </w:r>
    </w:p>
    <w:p>
      <w:pPr>
        <w:rPr>
          <w:highlight w:val="none"/>
        </w:rPr>
      </w:pPr>
      <w:r>
        <w:rPr>
          <w:highlight w:val="none"/>
        </w:rPr>
        <w:fldChar w:fldCharType="end"/>
      </w:r>
    </w:p>
    <w:p>
      <w:pPr>
        <w:spacing w:before="7" w:after="0" w:line="170" w:lineRule="exact"/>
        <w:rPr>
          <w:sz w:val="17"/>
          <w:szCs w:val="17"/>
          <w:highlight w:val="none"/>
          <w:lang w:eastAsia="zh-CN"/>
        </w:rPr>
      </w:pPr>
    </w:p>
    <w:p>
      <w:pPr>
        <w:spacing w:after="0" w:line="200" w:lineRule="exact"/>
        <w:rPr>
          <w:sz w:val="20"/>
          <w:szCs w:val="20"/>
          <w:highlight w:val="none"/>
          <w:lang w:eastAsia="zh-CN"/>
        </w:rPr>
      </w:pPr>
    </w:p>
    <w:p>
      <w:pPr>
        <w:jc w:val="center"/>
        <w:rPr>
          <w:b/>
          <w:sz w:val="28"/>
          <w:szCs w:val="28"/>
          <w:highlight w:val="none"/>
          <w:lang w:eastAsia="zh-CN"/>
        </w:rPr>
        <w:sectPr>
          <w:headerReference r:id="rId3" w:type="default"/>
          <w:footerReference r:id="rId5" w:type="default"/>
          <w:headerReference r:id="rId4" w:type="even"/>
          <w:footerReference r:id="rId6" w:type="even"/>
          <w:pgSz w:w="11920" w:h="16860"/>
          <w:pgMar w:top="1040" w:right="1480" w:bottom="1620" w:left="1680" w:header="844" w:footer="1421" w:gutter="0"/>
          <w:pgNumType w:start="3"/>
          <w:cols w:space="720" w:num="1"/>
        </w:sectPr>
      </w:pPr>
      <w:bookmarkStart w:id="74" w:name="_GoBack"/>
      <w:bookmarkEnd w:id="74"/>
    </w:p>
    <w:p>
      <w:pPr>
        <w:jc w:val="center"/>
        <w:outlineLvl w:val="0"/>
        <w:rPr>
          <w:b/>
          <w:sz w:val="28"/>
          <w:szCs w:val="28"/>
          <w:highlight w:val="none"/>
          <w:lang w:eastAsia="zh-CN"/>
        </w:rPr>
      </w:pPr>
      <w:bookmarkStart w:id="14" w:name="_Toc31356"/>
      <w:r>
        <w:rPr>
          <w:b/>
          <w:sz w:val="28"/>
          <w:szCs w:val="28"/>
          <w:highlight w:val="none"/>
          <w:lang w:eastAsia="zh-CN"/>
        </w:rPr>
        <w:t>前</w:t>
      </w:r>
      <w:r>
        <w:rPr>
          <w:rFonts w:hint="eastAsia"/>
          <w:b/>
          <w:sz w:val="28"/>
          <w:szCs w:val="28"/>
          <w:highlight w:val="none"/>
          <w:lang w:eastAsia="zh-CN"/>
        </w:rPr>
        <w:t xml:space="preserve"> </w:t>
      </w:r>
      <w:r>
        <w:rPr>
          <w:b/>
          <w:sz w:val="28"/>
          <w:szCs w:val="28"/>
          <w:highlight w:val="none"/>
          <w:lang w:eastAsia="zh-CN"/>
        </w:rPr>
        <w:t xml:space="preserve">   言</w:t>
      </w:r>
      <w:bookmarkEnd w:id="14"/>
    </w:p>
    <w:p>
      <w:pPr>
        <w:spacing w:before="6" w:after="0" w:line="110" w:lineRule="exact"/>
        <w:rPr>
          <w:sz w:val="11"/>
          <w:szCs w:val="11"/>
          <w:highlight w:val="none"/>
          <w:lang w:eastAsia="zh-CN"/>
        </w:rPr>
      </w:pPr>
    </w:p>
    <w:p>
      <w:pPr>
        <w:spacing w:after="0" w:line="200" w:lineRule="exact"/>
        <w:rPr>
          <w:sz w:val="20"/>
          <w:szCs w:val="20"/>
          <w:highlight w:val="none"/>
          <w:lang w:eastAsia="zh-CN"/>
        </w:rPr>
      </w:pPr>
    </w:p>
    <w:p>
      <w:pPr>
        <w:spacing w:after="0" w:line="200" w:lineRule="exact"/>
        <w:rPr>
          <w:sz w:val="20"/>
          <w:szCs w:val="20"/>
          <w:highlight w:val="none"/>
          <w:lang w:eastAsia="zh-CN"/>
        </w:rPr>
      </w:pPr>
    </w:p>
    <w:p>
      <w:pPr>
        <w:pStyle w:val="24"/>
        <w:rPr>
          <w:rFonts w:ascii="宋体" w:hAnsi="宋体" w:eastAsia="宋体" w:cs="宋体"/>
          <w:spacing w:val="-26"/>
          <w:sz w:val="21"/>
          <w:szCs w:val="21"/>
          <w:highlight w:val="none"/>
          <w:lang w:eastAsia="zh-CN"/>
        </w:rPr>
      </w:pPr>
      <w:r>
        <w:rPr>
          <w:rFonts w:hint="eastAsia" w:hAnsi="宋体"/>
          <w:color w:val="000000" w:themeColor="text1"/>
          <w:szCs w:val="21"/>
          <w:highlight w:val="none"/>
          <w14:textFill>
            <w14:solidFill>
              <w14:schemeClr w14:val="tx1"/>
            </w14:solidFill>
          </w14:textFill>
        </w:rPr>
        <w:t>本文件按照GB/T 1.1-20</w:t>
      </w:r>
      <w:r>
        <w:rPr>
          <w:rFonts w:hAnsi="宋体"/>
          <w:color w:val="000000" w:themeColor="text1"/>
          <w:szCs w:val="21"/>
          <w:highlight w:val="none"/>
          <w14:textFill>
            <w14:solidFill>
              <w14:schemeClr w14:val="tx1"/>
            </w14:solidFill>
          </w14:textFill>
        </w:rPr>
        <w:t>20</w:t>
      </w:r>
      <w:r>
        <w:rPr>
          <w:rFonts w:hint="eastAsia" w:hAnsi="宋体"/>
          <w:color w:val="000000" w:themeColor="text1"/>
          <w:szCs w:val="21"/>
          <w:highlight w:val="none"/>
          <w14:textFill>
            <w14:solidFill>
              <w14:schemeClr w14:val="tx1"/>
            </w14:solidFill>
          </w14:textFill>
        </w:rPr>
        <w:t xml:space="preserve">《标准化工作导则 </w:t>
      </w:r>
      <w:r>
        <w:rPr>
          <w:rFonts w:hAnsi="宋体"/>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第1部分：标准化文件的结构和起草规则》的规定起草。</w:t>
      </w:r>
      <w:r>
        <w:rPr>
          <w:rFonts w:ascii="宋体" w:hAnsi="宋体" w:eastAsia="宋体" w:cs="宋体"/>
          <w:spacing w:val="-26"/>
          <w:sz w:val="21"/>
          <w:szCs w:val="21"/>
          <w:highlight w:val="none"/>
          <w:lang w:eastAsia="zh-CN"/>
        </w:rPr>
        <w:t xml:space="preserve"> </w:t>
      </w:r>
    </w:p>
    <w:p>
      <w:pPr>
        <w:spacing w:after="0" w:line="242" w:lineRule="auto"/>
        <w:ind w:right="39"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本文件是GB/T 23331和GB/T 29456在</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硅多晶</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 xml:space="preserve">行业的实施指南。 </w:t>
      </w:r>
    </w:p>
    <w:p>
      <w:pPr>
        <w:spacing w:after="0" w:line="242" w:lineRule="auto"/>
        <w:ind w:right="39" w:firstLine="420" w:firstLineChars="200"/>
        <w:jc w:val="both"/>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本</w:t>
      </w:r>
      <w:r>
        <w:rPr>
          <w:rFonts w:hint="eastAsia" w:hAnsi="宋体"/>
          <w:color w:val="000000" w:themeColor="text1"/>
          <w:szCs w:val="21"/>
          <w:highlight w:val="none"/>
          <w14:textFill>
            <w14:solidFill>
              <w14:schemeClr w14:val="tx1"/>
            </w14:solidFill>
          </w14:textFill>
        </w:rPr>
        <w:t>文件</w:t>
      </w:r>
      <w:r>
        <w:rPr>
          <w:rFonts w:ascii="宋体" w:hAnsi="宋体" w:eastAsia="宋体" w:cs="宋体"/>
          <w:sz w:val="21"/>
          <w:szCs w:val="21"/>
          <w:highlight w:val="none"/>
          <w:lang w:eastAsia="zh-CN"/>
        </w:rPr>
        <w:t>由全国能源</w:t>
      </w:r>
      <w:r>
        <w:rPr>
          <w:rFonts w:ascii="宋体" w:hAnsi="宋体" w:eastAsia="宋体" w:cs="宋体"/>
          <w:spacing w:val="7"/>
          <w:sz w:val="21"/>
          <w:szCs w:val="21"/>
          <w:highlight w:val="none"/>
          <w:lang w:eastAsia="zh-CN"/>
        </w:rPr>
        <w:t>基</w:t>
      </w:r>
      <w:r>
        <w:rPr>
          <w:rFonts w:ascii="宋体" w:hAnsi="宋体" w:eastAsia="宋体" w:cs="宋体"/>
          <w:sz w:val="21"/>
          <w:szCs w:val="21"/>
          <w:highlight w:val="none"/>
          <w:lang w:eastAsia="zh-CN"/>
        </w:rPr>
        <w:t>础与管理标</w:t>
      </w:r>
      <w:r>
        <w:rPr>
          <w:rFonts w:ascii="宋体" w:hAnsi="宋体" w:eastAsia="宋体" w:cs="宋体"/>
          <w:spacing w:val="7"/>
          <w:sz w:val="21"/>
          <w:szCs w:val="21"/>
          <w:highlight w:val="none"/>
          <w:lang w:eastAsia="zh-CN"/>
        </w:rPr>
        <w:t>准</w:t>
      </w:r>
      <w:r>
        <w:rPr>
          <w:rFonts w:ascii="宋体" w:hAnsi="宋体" w:eastAsia="宋体" w:cs="宋体"/>
          <w:sz w:val="21"/>
          <w:szCs w:val="21"/>
          <w:highlight w:val="none"/>
          <w:lang w:eastAsia="zh-CN"/>
        </w:rPr>
        <w:t>化技术委员</w:t>
      </w:r>
      <w:r>
        <w:rPr>
          <w:rFonts w:ascii="宋体" w:hAnsi="宋体" w:eastAsia="宋体" w:cs="宋体"/>
          <w:spacing w:val="10"/>
          <w:sz w:val="21"/>
          <w:szCs w:val="21"/>
          <w:highlight w:val="none"/>
          <w:lang w:eastAsia="zh-CN"/>
        </w:rPr>
        <w:t>会</w:t>
      </w:r>
      <w:r>
        <w:rPr>
          <w:rFonts w:ascii="宋体" w:hAnsi="宋体" w:eastAsia="宋体" w:cs="宋体"/>
          <w:sz w:val="21"/>
          <w:szCs w:val="21"/>
          <w:highlight w:val="none"/>
          <w:lang w:eastAsia="zh-CN"/>
        </w:rPr>
        <w:t>能</w:t>
      </w:r>
      <w:r>
        <w:rPr>
          <w:rFonts w:ascii="宋体" w:hAnsi="宋体" w:eastAsia="宋体" w:cs="宋体"/>
          <w:spacing w:val="1"/>
          <w:sz w:val="21"/>
          <w:szCs w:val="21"/>
          <w:highlight w:val="none"/>
          <w:lang w:eastAsia="zh-CN"/>
        </w:rPr>
        <w:t>源</w:t>
      </w:r>
      <w:r>
        <w:rPr>
          <w:rFonts w:ascii="宋体" w:hAnsi="宋体" w:eastAsia="宋体" w:cs="宋体"/>
          <w:sz w:val="21"/>
          <w:szCs w:val="21"/>
          <w:highlight w:val="none"/>
          <w:lang w:eastAsia="zh-CN"/>
        </w:rPr>
        <w:t>管理分</w:t>
      </w:r>
      <w:r>
        <w:rPr>
          <w:rFonts w:ascii="宋体" w:hAnsi="宋体" w:eastAsia="宋体" w:cs="宋体"/>
          <w:spacing w:val="7"/>
          <w:sz w:val="21"/>
          <w:szCs w:val="21"/>
          <w:highlight w:val="none"/>
          <w:lang w:eastAsia="zh-CN"/>
        </w:rPr>
        <w:t>技</w:t>
      </w:r>
      <w:r>
        <w:rPr>
          <w:rFonts w:ascii="宋体" w:hAnsi="宋体" w:eastAsia="宋体" w:cs="宋体"/>
          <w:sz w:val="21"/>
          <w:szCs w:val="21"/>
          <w:highlight w:val="none"/>
          <w:lang w:eastAsia="zh-CN"/>
        </w:rPr>
        <w:t>术委员</w:t>
      </w:r>
      <w:r>
        <w:rPr>
          <w:rFonts w:ascii="宋体" w:hAnsi="宋体" w:eastAsia="宋体" w:cs="宋体"/>
          <w:spacing w:val="-43"/>
          <w:sz w:val="21"/>
          <w:szCs w:val="21"/>
          <w:highlight w:val="none"/>
          <w:lang w:eastAsia="zh-CN"/>
        </w:rPr>
        <w:t>会</w:t>
      </w:r>
      <w:r>
        <w:rPr>
          <w:rFonts w:ascii="宋体" w:hAnsi="宋体" w:eastAsia="宋体" w:cs="宋体"/>
          <w:sz w:val="21"/>
          <w:szCs w:val="21"/>
          <w:highlight w:val="none"/>
          <w:lang w:eastAsia="zh-CN"/>
        </w:rPr>
        <w:t>（</w:t>
      </w:r>
      <w:r>
        <w:rPr>
          <w:rFonts w:ascii="宋体" w:hAnsi="宋体" w:eastAsia="宋体" w:cs="宋体"/>
          <w:spacing w:val="3"/>
          <w:sz w:val="21"/>
          <w:szCs w:val="21"/>
          <w:highlight w:val="none"/>
          <w:lang w:eastAsia="zh-CN"/>
        </w:rPr>
        <w:t>SAC/T</w:t>
      </w:r>
      <w:r>
        <w:rPr>
          <w:rFonts w:ascii="宋体" w:hAnsi="宋体" w:eastAsia="宋体" w:cs="宋体"/>
          <w:sz w:val="21"/>
          <w:szCs w:val="21"/>
          <w:highlight w:val="none"/>
          <w:lang w:eastAsia="zh-CN"/>
        </w:rPr>
        <w:t>C</w:t>
      </w:r>
      <w:r>
        <w:rPr>
          <w:rFonts w:ascii="宋体" w:hAnsi="宋体" w:eastAsia="宋体" w:cs="宋体"/>
          <w:spacing w:val="-58"/>
          <w:sz w:val="21"/>
          <w:szCs w:val="21"/>
          <w:highlight w:val="none"/>
          <w:lang w:eastAsia="zh-CN"/>
        </w:rPr>
        <w:t xml:space="preserve"> </w:t>
      </w:r>
      <w:r>
        <w:rPr>
          <w:rFonts w:ascii="宋体" w:hAnsi="宋体" w:eastAsia="宋体" w:cs="宋体"/>
          <w:spacing w:val="3"/>
          <w:sz w:val="21"/>
          <w:szCs w:val="21"/>
          <w:highlight w:val="none"/>
          <w:lang w:eastAsia="zh-CN"/>
        </w:rPr>
        <w:t>2</w:t>
      </w:r>
      <w:r>
        <w:rPr>
          <w:rFonts w:ascii="宋体" w:hAnsi="宋体" w:eastAsia="宋体" w:cs="宋体"/>
          <w:spacing w:val="6"/>
          <w:sz w:val="21"/>
          <w:szCs w:val="21"/>
          <w:highlight w:val="none"/>
          <w:lang w:eastAsia="zh-CN"/>
        </w:rPr>
        <w:t>0</w:t>
      </w:r>
      <w:r>
        <w:rPr>
          <w:rFonts w:ascii="宋体" w:hAnsi="宋体" w:eastAsia="宋体" w:cs="宋体"/>
          <w:spacing w:val="-4"/>
          <w:sz w:val="21"/>
          <w:szCs w:val="21"/>
          <w:highlight w:val="none"/>
          <w:lang w:eastAsia="zh-CN"/>
        </w:rPr>
        <w:t>S</w:t>
      </w:r>
      <w:r>
        <w:rPr>
          <w:rFonts w:ascii="宋体" w:hAnsi="宋体" w:eastAsia="宋体" w:cs="宋体"/>
          <w:spacing w:val="3"/>
          <w:sz w:val="21"/>
          <w:szCs w:val="21"/>
          <w:highlight w:val="none"/>
          <w:lang w:eastAsia="zh-CN"/>
        </w:rPr>
        <w:t>C</w:t>
      </w:r>
      <w:r>
        <w:rPr>
          <w:rFonts w:ascii="宋体" w:hAnsi="宋体" w:eastAsia="宋体" w:cs="宋体"/>
          <w:spacing w:val="4"/>
          <w:sz w:val="21"/>
          <w:szCs w:val="21"/>
          <w:highlight w:val="none"/>
          <w:lang w:eastAsia="zh-CN"/>
        </w:rPr>
        <w:t>3</w:t>
      </w:r>
      <w:r>
        <w:rPr>
          <w:rFonts w:ascii="宋体" w:hAnsi="宋体" w:eastAsia="宋体" w:cs="宋体"/>
          <w:sz w:val="21"/>
          <w:szCs w:val="21"/>
          <w:highlight w:val="none"/>
          <w:lang w:eastAsia="zh-CN"/>
        </w:rPr>
        <w:t xml:space="preserve">）提出并归口。 </w:t>
      </w:r>
    </w:p>
    <w:p>
      <w:pPr>
        <w:spacing w:after="0" w:line="242" w:lineRule="auto"/>
        <w:ind w:right="39" w:firstLine="420" w:firstLineChars="200"/>
        <w:jc w:val="both"/>
        <w:rPr>
          <w:rFonts w:hint="default" w:ascii="宋体" w:hAnsi="宋体" w:eastAsia="宋体" w:cs="宋体"/>
          <w:sz w:val="21"/>
          <w:szCs w:val="21"/>
          <w:highlight w:val="none"/>
          <w:lang w:val="en-US" w:eastAsia="zh-CN"/>
        </w:rPr>
      </w:pPr>
      <w:r>
        <w:rPr>
          <w:rFonts w:ascii="宋体" w:hAnsi="宋体" w:eastAsia="宋体" w:cs="宋体"/>
          <w:sz w:val="21"/>
          <w:szCs w:val="21"/>
          <w:highlight w:val="none"/>
          <w:lang w:eastAsia="zh-CN"/>
        </w:rPr>
        <w:t>本</w:t>
      </w:r>
      <w:r>
        <w:rPr>
          <w:rFonts w:hint="eastAsia" w:hAnsi="宋体"/>
          <w:color w:val="000000" w:themeColor="text1"/>
          <w:szCs w:val="21"/>
          <w:highlight w:val="none"/>
          <w14:textFill>
            <w14:solidFill>
              <w14:schemeClr w14:val="tx1"/>
            </w14:solidFill>
          </w14:textFill>
        </w:rPr>
        <w:t>文件</w:t>
      </w:r>
      <w:r>
        <w:rPr>
          <w:rFonts w:ascii="宋体" w:hAnsi="宋体" w:eastAsia="宋体" w:cs="宋体"/>
          <w:sz w:val="21"/>
          <w:szCs w:val="21"/>
          <w:highlight w:val="none"/>
          <w:lang w:eastAsia="zh-CN"/>
        </w:rPr>
        <w:t>起草单位：</w:t>
      </w:r>
      <w:r>
        <w:rPr>
          <w:rFonts w:hint="eastAsia" w:ascii="宋体" w:hAnsi="宋体" w:eastAsia="宋体" w:cs="宋体"/>
          <w:sz w:val="21"/>
          <w:szCs w:val="21"/>
          <w:highlight w:val="none"/>
          <w:lang w:eastAsia="zh-CN"/>
        </w:rPr>
        <w:t>新特能源股份有限公司</w:t>
      </w:r>
      <w:r>
        <w:rPr>
          <w:rFonts w:hint="eastAsia" w:ascii="宋体" w:hAnsi="宋体" w:cs="宋体"/>
          <w:sz w:val="21"/>
          <w:szCs w:val="21"/>
          <w:highlight w:val="none"/>
          <w:lang w:val="en-US" w:eastAsia="zh-CN"/>
        </w:rPr>
        <w:t>等。</w:t>
      </w:r>
    </w:p>
    <w:p>
      <w:pPr>
        <w:spacing w:after="0" w:line="285" w:lineRule="exact"/>
        <w:ind w:right="-20" w:firstLine="420" w:firstLineChars="200"/>
        <w:jc w:val="both"/>
        <w:rPr>
          <w:rFonts w:hint="default" w:ascii="宋体" w:hAnsi="宋体" w:eastAsia="宋体" w:cs="宋体"/>
          <w:sz w:val="21"/>
          <w:szCs w:val="21"/>
          <w:highlight w:val="none"/>
          <w:lang w:val="en-US" w:eastAsia="zh-CN"/>
        </w:rPr>
      </w:pPr>
      <w:r>
        <w:rPr>
          <w:rFonts w:ascii="宋体" w:hAnsi="宋体" w:eastAsia="宋体" w:cs="宋体"/>
          <w:position w:val="-3"/>
          <w:sz w:val="21"/>
          <w:szCs w:val="21"/>
          <w:highlight w:val="none"/>
          <w:lang w:eastAsia="zh-CN"/>
        </w:rPr>
        <w:t>本</w:t>
      </w:r>
      <w:r>
        <w:rPr>
          <w:rFonts w:hint="eastAsia" w:hAnsi="宋体"/>
          <w:color w:val="000000" w:themeColor="text1"/>
          <w:szCs w:val="21"/>
          <w:highlight w:val="none"/>
          <w14:textFill>
            <w14:solidFill>
              <w14:schemeClr w14:val="tx1"/>
            </w14:solidFill>
          </w14:textFill>
        </w:rPr>
        <w:t>文件</w:t>
      </w:r>
      <w:r>
        <w:rPr>
          <w:rFonts w:ascii="宋体" w:hAnsi="宋体" w:eastAsia="宋体" w:cs="宋体"/>
          <w:position w:val="-3"/>
          <w:sz w:val="21"/>
          <w:szCs w:val="21"/>
          <w:highlight w:val="none"/>
          <w:lang w:eastAsia="zh-CN"/>
        </w:rPr>
        <w:t>主要起草人：</w:t>
      </w:r>
      <w:r>
        <w:rPr>
          <w:rFonts w:hint="eastAsia" w:ascii="宋体" w:hAnsi="宋体" w:cs="宋体"/>
          <w:position w:val="-3"/>
          <w:sz w:val="21"/>
          <w:szCs w:val="21"/>
          <w:highlight w:val="none"/>
          <w:lang w:val="en-US" w:eastAsia="zh-CN"/>
        </w:rPr>
        <w:t>邱艳梅等。</w:t>
      </w:r>
    </w:p>
    <w:p>
      <w:pPr>
        <w:pStyle w:val="24"/>
        <w:ind w:firstLine="420"/>
        <w:rPr>
          <w:highlight w:val="none"/>
        </w:rPr>
      </w:pPr>
    </w:p>
    <w:p>
      <w:pPr>
        <w:spacing w:after="0"/>
        <w:rPr>
          <w:highlight w:val="none"/>
          <w:lang w:eastAsia="zh-CN"/>
        </w:rPr>
        <w:sectPr>
          <w:pgSz w:w="11920" w:h="16860"/>
          <w:pgMar w:top="1040" w:right="1480" w:bottom="1620" w:left="1680" w:header="844" w:footer="1421" w:gutter="0"/>
          <w:pgNumType w:start="3"/>
          <w:cols w:space="720" w:num="1"/>
        </w:sectPr>
      </w:pPr>
    </w:p>
    <w:p>
      <w:pPr>
        <w:jc w:val="center"/>
        <w:outlineLvl w:val="0"/>
        <w:rPr>
          <w:b/>
          <w:sz w:val="28"/>
          <w:szCs w:val="28"/>
          <w:highlight w:val="none"/>
          <w:lang w:eastAsia="zh-CN"/>
        </w:rPr>
      </w:pPr>
      <w:bookmarkStart w:id="15" w:name="_Toc334521346"/>
      <w:bookmarkStart w:id="16" w:name="_Toc23208"/>
      <w:bookmarkStart w:id="17" w:name="_Toc312077642"/>
      <w:r>
        <w:rPr>
          <w:rFonts w:hint="eastAsia"/>
          <w:b/>
          <w:sz w:val="28"/>
          <w:szCs w:val="28"/>
          <w:highlight w:val="none"/>
          <w:lang w:eastAsia="zh-CN"/>
        </w:rPr>
        <w:t>引   言</w:t>
      </w:r>
      <w:bookmarkEnd w:id="15"/>
      <w:bookmarkEnd w:id="16"/>
      <w:bookmarkEnd w:id="17"/>
    </w:p>
    <w:p>
      <w:pPr>
        <w:pStyle w:val="24"/>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jc w:val="left"/>
        <w:textAlignment w:val="auto"/>
        <w:rPr>
          <w:rFonts w:hint="eastAsia" w:ascii="宋体" w:hAnsi="Times New Roman" w:eastAsia="宋体" w:cs="Times New Roman"/>
          <w:kern w:val="0"/>
          <w:sz w:val="21"/>
          <w:szCs w:val="20"/>
          <w:highlight w:val="none"/>
          <w:lang w:val="en-US" w:eastAsia="zh-CN" w:bidi="ar-SA"/>
        </w:rPr>
      </w:pPr>
      <w:r>
        <w:rPr>
          <w:rFonts w:hint="eastAsia"/>
          <w:highlight w:val="none"/>
        </w:rPr>
        <w:t>本</w:t>
      </w:r>
      <w:r>
        <w:rPr>
          <w:rFonts w:hint="eastAsia" w:hAnsi="宋体"/>
          <w:color w:val="000000" w:themeColor="text1"/>
          <w:szCs w:val="21"/>
          <w:highlight w:val="none"/>
          <w14:textFill>
            <w14:solidFill>
              <w14:schemeClr w14:val="tx1"/>
            </w14:solidFill>
          </w14:textFill>
        </w:rPr>
        <w:t>文件</w:t>
      </w:r>
      <w:r>
        <w:rPr>
          <w:rFonts w:hint="eastAsia"/>
          <w:highlight w:val="none"/>
        </w:rPr>
        <w:t>的目的是指导</w:t>
      </w:r>
      <w:r>
        <w:rPr>
          <w:rFonts w:hint="eastAsia"/>
          <w:highlight w:val="none"/>
          <w:lang w:val="en-US" w:eastAsia="zh-CN"/>
        </w:rPr>
        <w:t>硅多晶企业</w:t>
      </w:r>
      <w:r>
        <w:rPr>
          <w:rFonts w:hint="eastAsia"/>
          <w:highlight w:val="none"/>
        </w:rPr>
        <w:t>组织建立能源管理体系或其他必要的过程，</w:t>
      </w:r>
      <w:r>
        <w:rPr>
          <w:rFonts w:hint="eastAsia" w:ascii="宋体" w:hAnsi="Times New Roman" w:eastAsia="宋体" w:cs="Times New Roman"/>
          <w:kern w:val="0"/>
          <w:sz w:val="21"/>
          <w:szCs w:val="20"/>
          <w:highlight w:val="none"/>
          <w:lang w:val="en-US" w:eastAsia="zh-CN" w:bidi="ar-SA"/>
        </w:rPr>
        <w:t>通过分析</w:t>
      </w:r>
      <w:r>
        <w:rPr>
          <w:rFonts w:hint="eastAsia"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企业能源管理、能源使用及能源消耗现状，提出系统指导性建议，</w:t>
      </w:r>
      <w:r>
        <w:rPr>
          <w:rFonts w:hint="eastAsia" w:ascii="Times New Roman" w:hAnsi="Times New Roman" w:eastAsia="宋体" w:cs="Times New Roman"/>
          <w:color w:val="000000"/>
          <w:kern w:val="2"/>
          <w:sz w:val="21"/>
          <w:szCs w:val="24"/>
          <w:highlight w:val="none"/>
          <w:lang w:val="en-US" w:eastAsia="zh-CN" w:bidi="ar"/>
        </w:rPr>
        <w:t>引导</w:t>
      </w:r>
      <w:r>
        <w:rPr>
          <w:rFonts w:hint="eastAsia" w:cs="Times New Roman"/>
          <w:kern w:val="2"/>
          <w:sz w:val="21"/>
          <w:szCs w:val="24"/>
          <w:highlight w:val="none"/>
          <w:lang w:val="en-US" w:eastAsia="zh-CN" w:bidi="ar"/>
        </w:rPr>
        <w:t>硅多晶</w:t>
      </w:r>
      <w:r>
        <w:rPr>
          <w:rFonts w:hint="eastAsia" w:ascii="Times New Roman" w:hAnsi="Times New Roman" w:eastAsia="宋体" w:cs="Times New Roman"/>
          <w:color w:val="000000"/>
          <w:kern w:val="2"/>
          <w:sz w:val="21"/>
          <w:szCs w:val="24"/>
          <w:highlight w:val="none"/>
          <w:lang w:val="en-US" w:eastAsia="zh-CN" w:bidi="ar"/>
        </w:rPr>
        <w:t>企业合理建立能源管理体系，提高其能源管理绩效，包括提高能源效率，降低能源消耗</w:t>
      </w:r>
      <w:r>
        <w:rPr>
          <w:rFonts w:hint="eastAsia" w:ascii="Times New Roman" w:cs="Times New Roman"/>
          <w:kern w:val="2"/>
          <w:sz w:val="21"/>
          <w:szCs w:val="24"/>
          <w:highlight w:val="none"/>
          <w:lang w:val="en-US" w:eastAsia="zh-CN" w:bidi="ar"/>
        </w:rPr>
        <w:t>，</w:t>
      </w:r>
      <w:r>
        <w:rPr>
          <w:rFonts w:hint="eastAsia"/>
          <w:highlight w:val="none"/>
        </w:rPr>
        <w:t>提高能源利用效率，促进可持续发展。</w:t>
      </w:r>
    </w:p>
    <w:p>
      <w:pPr>
        <w:pStyle w:val="24"/>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jc w:val="left"/>
        <w:textAlignment w:val="auto"/>
        <w:rPr>
          <w:rFonts w:hint="eastAsia" w:ascii="宋体" w:hAnsi="Times New Roman" w:eastAsia="宋体" w:cs="Times New Roman"/>
          <w:color w:val="000000"/>
          <w:kern w:val="0"/>
          <w:sz w:val="21"/>
          <w:szCs w:val="20"/>
          <w:highlight w:val="none"/>
          <w:lang w:val="en-US" w:eastAsia="zh-CN" w:bidi="ar-SA"/>
        </w:rPr>
      </w:pPr>
      <w:r>
        <w:rPr>
          <w:rFonts w:hint="eastAsia" w:ascii="宋体" w:hAnsi="Times New Roman" w:eastAsia="宋体" w:cs="Times New Roman"/>
          <w:color w:val="000000"/>
          <w:kern w:val="0"/>
          <w:sz w:val="21"/>
          <w:szCs w:val="20"/>
          <w:highlight w:val="none"/>
          <w:lang w:val="en-US" w:eastAsia="zh-CN" w:bidi="ar-SA"/>
        </w:rPr>
        <w:t>本标准依据</w:t>
      </w:r>
      <w:r>
        <w:rPr>
          <w:rFonts w:hint="eastAsia" w:ascii="宋体" w:hAnsi="宋体" w:cs="宋体"/>
          <w:highlight w:val="none"/>
        </w:rPr>
        <w:t>GB/T 23331</w:t>
      </w:r>
      <w:r>
        <w:rPr>
          <w:rFonts w:hint="default" w:ascii="宋体" w:hAnsi="Times New Roman" w:eastAsia="宋体" w:cs="Times New Roman"/>
          <w:color w:val="000000"/>
          <w:kern w:val="0"/>
          <w:sz w:val="21"/>
          <w:szCs w:val="20"/>
          <w:highlight w:val="none"/>
          <w:lang w:val="en-US" w:eastAsia="zh-CN" w:bidi="ar-SA"/>
        </w:rPr>
        <w:t>和</w:t>
      </w:r>
      <w:r>
        <w:rPr>
          <w:rFonts w:hint="eastAsia" w:ascii="宋体" w:hAnsi="宋体" w:cs="宋体"/>
          <w:highlight w:val="none"/>
        </w:rPr>
        <w:t xml:space="preserve">GB/T </w:t>
      </w:r>
      <w:r>
        <w:rPr>
          <w:rFonts w:hint="eastAsia" w:ascii="宋体" w:hAnsi="宋体" w:cs="宋体"/>
          <w:highlight w:val="none"/>
          <w:lang w:val="en-US" w:eastAsia="zh-CN"/>
        </w:rPr>
        <w:t>29456</w:t>
      </w:r>
      <w:r>
        <w:rPr>
          <w:rFonts w:hint="eastAsia" w:ascii="宋体" w:hAnsi="Times New Roman" w:eastAsia="宋体" w:cs="Times New Roman"/>
          <w:color w:val="000000"/>
          <w:kern w:val="0"/>
          <w:sz w:val="21"/>
          <w:szCs w:val="20"/>
          <w:highlight w:val="none"/>
          <w:lang w:val="en-US" w:eastAsia="zh-CN" w:bidi="ar-SA"/>
        </w:rPr>
        <w:t>，结合</w:t>
      </w:r>
      <w:r>
        <w:rPr>
          <w:rFonts w:hint="eastAsia" w:cs="Times New Roman"/>
          <w:kern w:val="2"/>
          <w:sz w:val="21"/>
          <w:szCs w:val="24"/>
          <w:highlight w:val="none"/>
          <w:lang w:val="en-US" w:eastAsia="zh-CN" w:bidi="ar"/>
        </w:rPr>
        <w:t>硅多晶</w:t>
      </w:r>
      <w:r>
        <w:rPr>
          <w:rFonts w:hint="eastAsia" w:ascii="宋体" w:hAnsi="Times New Roman" w:eastAsia="宋体" w:cs="Times New Roman"/>
          <w:color w:val="000000"/>
          <w:kern w:val="0"/>
          <w:sz w:val="21"/>
          <w:szCs w:val="20"/>
          <w:highlight w:val="none"/>
          <w:lang w:val="en-US" w:eastAsia="zh-CN" w:bidi="ar-SA"/>
        </w:rPr>
        <w:t>企业特点，指导</w:t>
      </w:r>
      <w:r>
        <w:rPr>
          <w:rFonts w:hint="eastAsia" w:cs="Times New Roman"/>
          <w:kern w:val="2"/>
          <w:sz w:val="21"/>
          <w:szCs w:val="24"/>
          <w:highlight w:val="none"/>
          <w:lang w:val="en-US" w:eastAsia="zh-CN" w:bidi="ar"/>
        </w:rPr>
        <w:t>硅多晶</w:t>
      </w:r>
      <w:r>
        <w:rPr>
          <w:rFonts w:hint="eastAsia" w:ascii="宋体" w:hAnsi="Times New Roman" w:eastAsia="宋体" w:cs="Times New Roman"/>
          <w:color w:val="000000"/>
          <w:kern w:val="0"/>
          <w:sz w:val="21"/>
          <w:szCs w:val="20"/>
          <w:highlight w:val="none"/>
          <w:lang w:val="en-US" w:eastAsia="zh-CN" w:bidi="ar-SA"/>
        </w:rPr>
        <w:t>企业在开展能源管理时充分考虑能源消耗的差异性以及同一企业不同条件下能耗的变化特性。</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rPr>
        <w:t>通过该标准的实施，</w:t>
      </w:r>
      <w:r>
        <w:rPr>
          <w:rFonts w:hint="eastAsia"/>
          <w:highlight w:val="none"/>
          <w:lang w:eastAsia="zh-CN"/>
        </w:rPr>
        <w:t>企业</w:t>
      </w:r>
      <w:r>
        <w:rPr>
          <w:rFonts w:hint="eastAsia"/>
          <w:highlight w:val="none"/>
        </w:rPr>
        <w:t>能够：建立节能遵法贯标机制，主动获取并自觉落实节能法律法规、政策、标准和其他要求；建立全过程的能源管理控制机制，促进能量系统优化匹配，使能源管理活动规范有效并不断得到改进；建立节能技术进步机制，主动收集、识别并合理采用先进、成熟的节能管理方法和节能先进技术，实现节能技术进步常态化；建立节能文化建设机制，使全体员工节能意识不断增强，节能制度不断完善，节能行为不断规范。</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lang w:val="en-US" w:eastAsia="zh-CN"/>
        </w:rPr>
        <w:t>硅多晶企业</w:t>
      </w:r>
      <w:r>
        <w:rPr>
          <w:rFonts w:hint="eastAsia"/>
          <w:highlight w:val="none"/>
        </w:rPr>
        <w:t>能源管理体系是</w:t>
      </w:r>
      <w:r>
        <w:rPr>
          <w:rFonts w:hint="eastAsia"/>
          <w:highlight w:val="none"/>
          <w:lang w:eastAsia="zh-CN"/>
        </w:rPr>
        <w:t>企业</w:t>
      </w:r>
      <w:r>
        <w:rPr>
          <w:rFonts w:hint="eastAsia"/>
          <w:highlight w:val="none"/>
        </w:rPr>
        <w:t>管理体系的一部分。按本标准建立实施能源管理体系时，应与其他管理体系相融合，如质量、环境或职业健康安全等管理体系要求，最终实现本</w:t>
      </w:r>
      <w:r>
        <w:rPr>
          <w:rFonts w:hint="eastAsia"/>
          <w:highlight w:val="none"/>
          <w:lang w:eastAsia="zh-CN"/>
        </w:rPr>
        <w:t>企业</w:t>
      </w:r>
      <w:r>
        <w:rPr>
          <w:rFonts w:hint="eastAsia"/>
          <w:highlight w:val="none"/>
        </w:rPr>
        <w:t>整体管理体系的融合。能源管理体系与其他管理体系整合的关键是本标准各项要求在</w:t>
      </w:r>
      <w:r>
        <w:rPr>
          <w:rFonts w:hint="eastAsia"/>
          <w:highlight w:val="none"/>
          <w:lang w:eastAsia="zh-CN"/>
        </w:rPr>
        <w:t>企业</w:t>
      </w:r>
      <w:r>
        <w:rPr>
          <w:rFonts w:hint="eastAsia"/>
          <w:highlight w:val="none"/>
        </w:rPr>
        <w:t>管理体系中得到落实。</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rPr>
        <w:t>本</w:t>
      </w:r>
      <w:r>
        <w:rPr>
          <w:rFonts w:hint="eastAsia" w:hAnsi="宋体"/>
          <w:color w:val="000000" w:themeColor="text1"/>
          <w:szCs w:val="21"/>
          <w:highlight w:val="none"/>
          <w14:textFill>
            <w14:solidFill>
              <w14:schemeClr w14:val="tx1"/>
            </w14:solidFill>
          </w14:textFill>
        </w:rPr>
        <w:t>文件</w:t>
      </w:r>
      <w:r>
        <w:rPr>
          <w:rFonts w:hint="eastAsia"/>
          <w:highlight w:val="none"/>
        </w:rPr>
        <w:t>适用于</w:t>
      </w:r>
      <w:r>
        <w:rPr>
          <w:rFonts w:hint="eastAsia" w:cs="Times New Roman"/>
          <w:kern w:val="2"/>
          <w:sz w:val="21"/>
          <w:szCs w:val="24"/>
          <w:highlight w:val="none"/>
          <w:lang w:val="en-US" w:eastAsia="zh-CN" w:bidi="ar"/>
        </w:rPr>
        <w:t>硅多晶</w:t>
      </w:r>
      <w:r>
        <w:rPr>
          <w:rFonts w:hint="eastAsia"/>
          <w:highlight w:val="none"/>
        </w:rPr>
        <w:t>行业</w:t>
      </w:r>
      <w:r>
        <w:rPr>
          <w:rFonts w:hint="eastAsia"/>
          <w:highlight w:val="none"/>
          <w:lang w:eastAsia="zh-CN"/>
        </w:rPr>
        <w:t>企业</w:t>
      </w:r>
      <w:r>
        <w:rPr>
          <w:rFonts w:hint="eastAsia"/>
          <w:highlight w:val="none"/>
        </w:rPr>
        <w:t>控制下的各项活动，能源管理体系的详略和复杂程度、体系文件数量、所投入资源等，取决于</w:t>
      </w:r>
      <w:r>
        <w:rPr>
          <w:rFonts w:hint="eastAsia"/>
          <w:highlight w:val="none"/>
          <w:lang w:eastAsia="zh-CN"/>
        </w:rPr>
        <w:t>企业</w:t>
      </w:r>
      <w:r>
        <w:rPr>
          <w:rFonts w:hint="eastAsia"/>
          <w:highlight w:val="none"/>
        </w:rPr>
        <w:t>的规模、体系覆盖的范围、能源利用和消费的类型及数量、能源利用过程及其相互作用的复杂程度等多方面因素。</w:t>
      </w:r>
    </w:p>
    <w:p>
      <w:pPr>
        <w:adjustRightInd w:val="0"/>
        <w:snapToGrid w:val="0"/>
        <w:ind w:firstLine="420" w:firstLineChars="200"/>
        <w:rPr>
          <w:highlight w:val="none"/>
          <w:lang w:eastAsia="zh-CN"/>
        </w:rPr>
      </w:pPr>
    </w:p>
    <w:p>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outlineLvl w:val="0"/>
        <w:rPr>
          <w:b/>
          <w:sz w:val="32"/>
          <w:szCs w:val="32"/>
          <w:highlight w:val="none"/>
          <w:lang w:eastAsia="zh-CN"/>
        </w:rPr>
      </w:pPr>
      <w:r>
        <w:rPr>
          <w:b/>
          <w:sz w:val="32"/>
          <w:szCs w:val="32"/>
          <w:highlight w:val="none"/>
          <w:lang w:eastAsia="zh-CN"/>
        </w:rPr>
        <w:br w:type="page"/>
      </w:r>
      <w:bookmarkStart w:id="18" w:name="_Toc19559"/>
      <w:bookmarkStart w:id="19" w:name="_Toc31034"/>
      <w:r>
        <w:rPr>
          <w:rFonts w:hint="eastAsia" w:ascii="黑体" w:eastAsia="黑体" w:cs="Times New Roman"/>
          <w:kern w:val="0"/>
          <w:sz w:val="32"/>
          <w:szCs w:val="20"/>
          <w:highlight w:val="none"/>
          <w:lang w:val="en-US" w:eastAsia="zh-CN" w:bidi="ar-SA"/>
        </w:rPr>
        <w:t>硅多晶</w:t>
      </w:r>
      <w:r>
        <w:rPr>
          <w:rFonts w:hint="eastAsia" w:ascii="黑体" w:hAnsi="Times New Roman" w:eastAsia="黑体" w:cs="Times New Roman"/>
          <w:kern w:val="0"/>
          <w:sz w:val="32"/>
          <w:szCs w:val="20"/>
          <w:highlight w:val="none"/>
          <w:lang w:val="en-US" w:eastAsia="zh-CN" w:bidi="ar-SA"/>
        </w:rPr>
        <w:t>行业能源管理体系 实施指南</w:t>
      </w:r>
      <w:bookmarkEnd w:id="18"/>
      <w:bookmarkEnd w:id="19"/>
    </w:p>
    <w:p>
      <w:pPr>
        <w:pStyle w:val="46"/>
        <w:spacing w:before="312" w:after="312"/>
        <w:outlineLvl w:val="0"/>
        <w:rPr>
          <w:rFonts w:hint="eastAsia"/>
          <w:highlight w:val="none"/>
        </w:rPr>
      </w:pPr>
      <w:bookmarkStart w:id="20" w:name="_Toc334521347"/>
      <w:bookmarkStart w:id="21" w:name="_Toc270929331"/>
      <w:bookmarkStart w:id="22" w:name="_Toc312077643"/>
      <w:bookmarkStart w:id="23" w:name="_Toc10358"/>
      <w:r>
        <w:rPr>
          <w:rFonts w:hint="eastAsia"/>
          <w:highlight w:val="none"/>
        </w:rPr>
        <w:t>范围</w:t>
      </w:r>
      <w:bookmarkEnd w:id="20"/>
      <w:bookmarkEnd w:id="21"/>
      <w:bookmarkEnd w:id="22"/>
      <w:bookmarkEnd w:id="23"/>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rPr>
        <w:t>本标准规定了</w:t>
      </w:r>
      <w:r>
        <w:rPr>
          <w:rFonts w:hint="eastAsia" w:cs="Times New Roman"/>
          <w:kern w:val="2"/>
          <w:sz w:val="21"/>
          <w:szCs w:val="24"/>
          <w:highlight w:val="none"/>
          <w:lang w:val="en-US" w:eastAsia="zh-CN" w:bidi="ar"/>
        </w:rPr>
        <w:t>硅多晶</w:t>
      </w:r>
      <w:r>
        <w:rPr>
          <w:rFonts w:hint="eastAsia"/>
          <w:highlight w:val="none"/>
        </w:rPr>
        <w:t>行业落实能源管理体系各项要求的通用指南及指导性方法和实施建议，旨在使</w:t>
      </w:r>
      <w:r>
        <w:rPr>
          <w:rFonts w:hint="eastAsia" w:cs="Times New Roman"/>
          <w:kern w:val="2"/>
          <w:sz w:val="21"/>
          <w:szCs w:val="24"/>
          <w:highlight w:val="none"/>
          <w:lang w:val="en-US" w:eastAsia="zh-CN" w:bidi="ar"/>
        </w:rPr>
        <w:t>硅多晶</w:t>
      </w:r>
      <w:r>
        <w:rPr>
          <w:rFonts w:hint="eastAsia"/>
          <w:highlight w:val="none"/>
        </w:rPr>
        <w:t>行业能够科学、有效地建立、实施、保持和改进能源管理体系，确保其能源绩效目标的实现。</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rPr>
        <w:t>本标准适用于</w:t>
      </w:r>
      <w:r>
        <w:rPr>
          <w:rFonts w:hint="eastAsia" w:cs="Times New Roman"/>
          <w:kern w:val="2"/>
          <w:sz w:val="21"/>
          <w:szCs w:val="24"/>
          <w:highlight w:val="none"/>
          <w:lang w:val="en-US" w:eastAsia="zh-CN" w:bidi="ar"/>
        </w:rPr>
        <w:t>硅多晶</w:t>
      </w:r>
      <w:r>
        <w:rPr>
          <w:rFonts w:hint="eastAsia"/>
          <w:highlight w:val="none"/>
        </w:rPr>
        <w:t>行业，不论其规模、类型、位置和成熟程度。</w:t>
      </w:r>
    </w:p>
    <w:p>
      <w:pPr>
        <w:pStyle w:val="46"/>
        <w:spacing w:before="312" w:after="312"/>
        <w:outlineLvl w:val="0"/>
        <w:rPr>
          <w:rFonts w:hint="eastAsia"/>
          <w:highlight w:val="none"/>
        </w:rPr>
      </w:pPr>
      <w:bookmarkStart w:id="24" w:name="_Toc270929332"/>
      <w:bookmarkStart w:id="25" w:name="_Toc312077644"/>
      <w:bookmarkStart w:id="26" w:name="_Toc334521348"/>
      <w:bookmarkStart w:id="27" w:name="_Toc24922"/>
      <w:r>
        <w:rPr>
          <w:rFonts w:hint="eastAsia"/>
          <w:highlight w:val="none"/>
        </w:rPr>
        <w:t>规范性引用文件</w:t>
      </w:r>
      <w:bookmarkEnd w:id="24"/>
      <w:bookmarkEnd w:id="25"/>
      <w:bookmarkEnd w:id="26"/>
      <w:bookmarkEnd w:id="27"/>
    </w:p>
    <w:p>
      <w:pPr>
        <w:pStyle w:val="24"/>
        <w:ind w:firstLine="420"/>
        <w:rPr>
          <w:highlight w:val="none"/>
        </w:rPr>
      </w:pPr>
      <w:r>
        <w:rPr>
          <w:rFonts w:hint="eastAsia"/>
          <w:highlight w:val="none"/>
        </w:rPr>
        <w:t>下列文件对于本文件的应用是必不可少的。凡是注明日期的引用文件，仅注日期的版本适用于本文件。凡是不注日期的引用文件，其最新版本（包括所有的修改单）适用于本文件。</w:t>
      </w:r>
    </w:p>
    <w:p>
      <w:pPr>
        <w:pStyle w:val="24"/>
        <w:ind w:firstLine="420"/>
        <w:rPr>
          <w:highlight w:val="none"/>
        </w:rPr>
      </w:pPr>
      <w:r>
        <w:rPr>
          <w:rFonts w:hint="eastAsia"/>
          <w:highlight w:val="none"/>
        </w:rPr>
        <w:t>GB/T 2589  综合能耗计算通则</w:t>
      </w:r>
    </w:p>
    <w:p>
      <w:pPr>
        <w:pStyle w:val="24"/>
        <w:ind w:firstLine="420"/>
        <w:rPr>
          <w:highlight w:val="none"/>
        </w:rPr>
      </w:pPr>
      <w:r>
        <w:rPr>
          <w:rFonts w:hint="eastAsia"/>
          <w:highlight w:val="none"/>
        </w:rPr>
        <w:t>GB/T 13234  用能单位节能量计算方法</w:t>
      </w:r>
    </w:p>
    <w:p>
      <w:pPr>
        <w:pStyle w:val="24"/>
        <w:ind w:firstLine="420"/>
        <w:rPr>
          <w:highlight w:val="none"/>
        </w:rPr>
      </w:pPr>
      <w:r>
        <w:rPr>
          <w:rFonts w:hint="eastAsia"/>
          <w:highlight w:val="none"/>
        </w:rPr>
        <w:t>GB/T 19011  管理体系审核指南</w:t>
      </w:r>
    </w:p>
    <w:p>
      <w:pPr>
        <w:ind w:firstLine="420" w:firstLineChars="200"/>
        <w:rPr>
          <w:rFonts w:hint="eastAsia"/>
          <w:highlight w:val="none"/>
        </w:rPr>
      </w:pPr>
      <w:r>
        <w:rPr>
          <w:rFonts w:hint="eastAsia" w:ascii="宋体" w:hAnsi="宋体" w:cs="宋体"/>
          <w:highlight w:val="none"/>
        </w:rPr>
        <w:t>GB/T 23331</w:t>
      </w:r>
      <w:r>
        <w:rPr>
          <w:rFonts w:hint="eastAsia"/>
          <w:highlight w:val="none"/>
        </w:rPr>
        <w:t xml:space="preserve">  能源管理体系 要求</w:t>
      </w:r>
    </w:p>
    <w:p>
      <w:pPr>
        <w:ind w:firstLine="420" w:firstLineChars="200"/>
        <w:rPr>
          <w:rFonts w:hint="eastAsia"/>
          <w:highlight w:val="none"/>
        </w:rPr>
      </w:pPr>
      <w:r>
        <w:rPr>
          <w:rFonts w:hint="eastAsia" w:ascii="宋体" w:hAnsi="宋体" w:cs="宋体"/>
          <w:highlight w:val="none"/>
        </w:rPr>
        <w:t xml:space="preserve">GB/T </w:t>
      </w:r>
      <w:r>
        <w:rPr>
          <w:rFonts w:hint="eastAsia" w:ascii="宋体" w:hAnsi="宋体" w:cs="宋体"/>
          <w:highlight w:val="none"/>
          <w:lang w:val="en-US" w:eastAsia="zh-CN"/>
        </w:rPr>
        <w:t>29456</w:t>
      </w:r>
      <w:r>
        <w:rPr>
          <w:rFonts w:hint="eastAsia"/>
          <w:highlight w:val="none"/>
        </w:rPr>
        <w:t xml:space="preserve">  能源管理体系</w:t>
      </w:r>
      <w:r>
        <w:rPr>
          <w:rFonts w:hint="eastAsia"/>
          <w:highlight w:val="none"/>
          <w:lang w:val="en-US" w:eastAsia="zh-CN"/>
        </w:rPr>
        <w:t xml:space="preserve"> 实施指南</w:t>
      </w:r>
    </w:p>
    <w:p>
      <w:pPr>
        <w:ind w:firstLine="420" w:firstLineChars="200"/>
        <w:rPr>
          <w:rFonts w:hint="eastAsia"/>
          <w:highlight w:val="none"/>
        </w:rPr>
      </w:pPr>
    </w:p>
    <w:p>
      <w:pPr>
        <w:pStyle w:val="46"/>
        <w:spacing w:before="312" w:after="312"/>
        <w:outlineLvl w:val="0"/>
        <w:rPr>
          <w:highlight w:val="none"/>
        </w:rPr>
      </w:pPr>
      <w:bookmarkStart w:id="28" w:name="_Toc312077645"/>
      <w:bookmarkStart w:id="29" w:name="_Toc334521349"/>
      <w:bookmarkStart w:id="30" w:name="_Toc270929333"/>
      <w:r>
        <w:rPr>
          <w:rFonts w:hint="eastAsia"/>
          <w:highlight w:val="none"/>
        </w:rPr>
        <w:t xml:space="preserve"> </w:t>
      </w:r>
      <w:bookmarkStart w:id="31" w:name="_Toc27801"/>
      <w:r>
        <w:rPr>
          <w:rFonts w:hint="eastAsia"/>
          <w:highlight w:val="none"/>
        </w:rPr>
        <w:t>术语与定义</w:t>
      </w:r>
      <w:bookmarkEnd w:id="28"/>
      <w:bookmarkEnd w:id="29"/>
      <w:bookmarkEnd w:id="30"/>
      <w:bookmarkEnd w:id="31"/>
    </w:p>
    <w:p>
      <w:pPr>
        <w:pStyle w:val="46"/>
        <w:numPr>
          <w:ilvl w:val="0"/>
          <w:numId w:val="0"/>
        </w:numPr>
        <w:spacing w:before="312" w:after="312"/>
        <w:ind w:leftChars="0"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GB/T 23331界定的术语和定义适用于本文件。</w:t>
      </w:r>
    </w:p>
    <w:p>
      <w:pPr>
        <w:pStyle w:val="46"/>
        <w:spacing w:before="312" w:after="312"/>
        <w:outlineLvl w:val="0"/>
        <w:rPr>
          <w:rFonts w:hint="eastAsia"/>
          <w:highlight w:val="none"/>
        </w:rPr>
      </w:pPr>
      <w:bookmarkStart w:id="32" w:name="_Toc312077649"/>
      <w:bookmarkStart w:id="33" w:name="_Toc270929334"/>
      <w:bookmarkStart w:id="34" w:name="_Toc334521350"/>
      <w:bookmarkStart w:id="35" w:name="_Toc19463"/>
      <w:r>
        <w:rPr>
          <w:rFonts w:hint="eastAsia"/>
          <w:highlight w:val="none"/>
        </w:rPr>
        <w:t>能源管理体系</w:t>
      </w:r>
      <w:bookmarkEnd w:id="32"/>
      <w:bookmarkEnd w:id="33"/>
      <w:r>
        <w:rPr>
          <w:rFonts w:hint="eastAsia"/>
          <w:highlight w:val="none"/>
        </w:rPr>
        <w:t>要求</w:t>
      </w:r>
      <w:bookmarkEnd w:id="34"/>
      <w:bookmarkEnd w:id="35"/>
    </w:p>
    <w:p>
      <w:pPr>
        <w:pStyle w:val="43"/>
        <w:spacing w:before="156" w:after="156"/>
        <w:ind w:left="0"/>
        <w:rPr>
          <w:rFonts w:hint="eastAsia"/>
          <w:highlight w:val="none"/>
        </w:rPr>
      </w:pPr>
      <w:bookmarkStart w:id="36" w:name="_Toc334521351"/>
      <w:bookmarkStart w:id="37" w:name="_Toc312077650"/>
      <w:bookmarkStart w:id="38" w:name="_Toc270929335"/>
      <w:r>
        <w:rPr>
          <w:rFonts w:hint="eastAsia"/>
          <w:highlight w:val="none"/>
        </w:rPr>
        <w:t>总要求</w:t>
      </w:r>
      <w:bookmarkEnd w:id="36"/>
      <w:bookmarkEnd w:id="37"/>
      <w:bookmarkEnd w:id="38"/>
    </w:p>
    <w:p>
      <w:pPr>
        <w:pStyle w:val="24"/>
        <w:ind w:firstLine="420"/>
        <w:rPr>
          <w:highlight w:val="none"/>
        </w:rPr>
      </w:pPr>
      <w:bookmarkStart w:id="39" w:name="_Toc214260947"/>
      <w:bookmarkStart w:id="40" w:name="_Toc214163050"/>
      <w:bookmarkStart w:id="41" w:name="_Toc206491722"/>
      <w:bookmarkStart w:id="42" w:name="_Toc205714900"/>
      <w:bookmarkStart w:id="43" w:name="_Toc205714471"/>
      <w:r>
        <w:rPr>
          <w:rFonts w:hint="eastAsia"/>
          <w:highlight w:val="none"/>
          <w:lang w:val="en-US" w:eastAsia="zh-CN"/>
        </w:rPr>
        <w:t>硅多晶企业</w:t>
      </w:r>
      <w:r>
        <w:rPr>
          <w:rFonts w:hint="eastAsia"/>
          <w:highlight w:val="none"/>
        </w:rPr>
        <w:t>应：</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highlight w:val="none"/>
          <w:lang w:val="en-US" w:eastAsia="zh-CN"/>
        </w:rPr>
        <w:t>按照</w:t>
      </w:r>
      <w:r>
        <w:rPr>
          <w:rFonts w:hint="eastAsia" w:ascii="宋体" w:hAnsi="宋体" w:cs="宋体"/>
          <w:highlight w:val="none"/>
        </w:rPr>
        <w:t>GB/T 23331</w:t>
      </w:r>
      <w:r>
        <w:rPr>
          <w:rFonts w:hint="eastAsia" w:hAnsi="宋体" w:cs="宋体"/>
          <w:highlight w:val="none"/>
          <w:lang w:val="en-US" w:eastAsia="zh-CN"/>
        </w:rPr>
        <w:t>和</w:t>
      </w:r>
      <w:r>
        <w:rPr>
          <w:rFonts w:hint="eastAsia" w:ascii="宋体" w:hAnsi="宋体" w:cs="宋体"/>
          <w:highlight w:val="none"/>
        </w:rPr>
        <w:t xml:space="preserve">GB/T </w:t>
      </w:r>
      <w:r>
        <w:rPr>
          <w:rFonts w:hint="eastAsia" w:ascii="宋体" w:hAnsi="宋体" w:cs="宋体"/>
          <w:highlight w:val="none"/>
          <w:lang w:val="en-US" w:eastAsia="zh-CN"/>
        </w:rPr>
        <w:t>29456</w:t>
      </w:r>
      <w:r>
        <w:rPr>
          <w:rFonts w:hint="eastAsia"/>
          <w:highlight w:val="none"/>
        </w:rPr>
        <w:t>建立、实施、保持和改进能源管理体系</w:t>
      </w:r>
      <w:r>
        <w:rPr>
          <w:rFonts w:hint="eastAsia"/>
          <w:highlight w:val="none"/>
          <w:lang w:eastAsia="zh-CN"/>
        </w:rPr>
        <w:t>，</w:t>
      </w:r>
      <w:r>
        <w:rPr>
          <w:rFonts w:hint="eastAsia"/>
          <w:highlight w:val="none"/>
          <w:lang w:val="en-US" w:eastAsia="zh-CN"/>
        </w:rPr>
        <w:t>并通过能源管理体系实施落实企业的需求及期望。</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kern w:val="0"/>
          <w:szCs w:val="20"/>
          <w:highlight w:val="none"/>
          <w:lang w:val="en-US" w:eastAsia="zh-CN"/>
        </w:rPr>
        <w:t>确定与企业宗旨相关并影响其能源管理体系预期结果和改进能源绩效的能力的内部和外部因素。</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kern w:val="0"/>
          <w:szCs w:val="20"/>
          <w:highlight w:val="none"/>
          <w:lang w:val="en-US" w:eastAsia="zh-CN"/>
        </w:rPr>
        <w:t>根据影响因素确定</w:t>
      </w:r>
      <w:r>
        <w:rPr>
          <w:rFonts w:hint="eastAsia"/>
          <w:highlight w:val="none"/>
          <w:lang w:val="en-US" w:eastAsia="zh-CN"/>
        </w:rPr>
        <w:t>能源管理体系建立后的外部和内部相关方（外部如能源供给单位，内部如车间）</w:t>
      </w:r>
      <w:r>
        <w:rPr>
          <w:rFonts w:hint="eastAsia"/>
          <w:kern w:val="0"/>
          <w:szCs w:val="20"/>
          <w:highlight w:val="none"/>
          <w:lang w:val="en-US" w:eastAsia="zh-CN"/>
        </w:rPr>
        <w:t>，并确定其要求。</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highlight w:val="none"/>
          <w:lang w:val="en-US" w:eastAsia="zh-CN"/>
        </w:rPr>
        <w:t>制定获取</w:t>
      </w:r>
      <w:r>
        <w:rPr>
          <w:rFonts w:hint="eastAsia"/>
          <w:highlight w:val="none"/>
        </w:rPr>
        <w:t>相关法律法规、政策、标准和其他要求</w:t>
      </w:r>
      <w:r>
        <w:rPr>
          <w:rFonts w:hint="eastAsia"/>
          <w:highlight w:val="none"/>
          <w:lang w:val="en-US" w:eastAsia="zh-CN"/>
        </w:rPr>
        <w:t>的办法并形成文件;</w:t>
      </w:r>
      <w:r>
        <w:rPr>
          <w:rFonts w:hint="eastAsia" w:ascii="宋体" w:hAnsi="Times New Roman" w:eastAsia="宋体" w:cs="Times New Roman"/>
          <w:color w:val="000000"/>
          <w:kern w:val="0"/>
          <w:sz w:val="21"/>
          <w:szCs w:val="20"/>
          <w:highlight w:val="none"/>
          <w:lang w:val="en-US" w:eastAsia="zh-CN" w:bidi="ar"/>
        </w:rPr>
        <w:t>生产工艺、设备装置、生产规模应满足国家产业政策、行业准入条件及国家、行业和地方法律法规要求</w:t>
      </w:r>
      <w:r>
        <w:rPr>
          <w:rFonts w:hint="eastAsia" w:cs="Times New Roman"/>
          <w:kern w:val="0"/>
          <w:sz w:val="21"/>
          <w:szCs w:val="20"/>
          <w:highlight w:val="none"/>
          <w:lang w:val="en-US" w:eastAsia="zh-CN" w:bidi="ar"/>
        </w:rPr>
        <w:t>。</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cs="Times New Roman"/>
          <w:kern w:val="0"/>
          <w:sz w:val="21"/>
          <w:szCs w:val="20"/>
          <w:highlight w:val="none"/>
          <w:lang w:val="en-US" w:eastAsia="zh-CN" w:bidi="ar-SA"/>
        </w:rPr>
        <w:t>根据</w:t>
      </w:r>
      <w:r>
        <w:rPr>
          <w:rFonts w:hint="eastAsia" w:ascii="宋体" w:hAnsi="Times New Roman" w:eastAsia="宋体" w:cs="Times New Roman"/>
          <w:color w:val="000000"/>
          <w:kern w:val="0"/>
          <w:sz w:val="21"/>
          <w:szCs w:val="20"/>
          <w:highlight w:val="none"/>
          <w:lang w:val="en-US" w:eastAsia="zh-CN" w:bidi="ar-SA"/>
        </w:rPr>
        <w:t xml:space="preserve">企业的结构、场所、地理范围等界定能源管理体系的管理范围和边界，确定能源使用、 </w:t>
      </w:r>
    </w:p>
    <w:p>
      <w:pPr>
        <w:keepNext w:val="0"/>
        <w:keepLines w:val="0"/>
        <w:widowControl/>
        <w:suppressLineNumbers w:val="0"/>
        <w:jc w:val="left"/>
        <w:rPr>
          <w:highlight w:val="none"/>
        </w:rPr>
      </w:pPr>
      <w:r>
        <w:rPr>
          <w:rFonts w:hint="eastAsia" w:ascii="宋体" w:hAnsi="Times New Roman" w:eastAsia="宋体" w:cs="Times New Roman"/>
          <w:color w:val="000000"/>
          <w:kern w:val="0"/>
          <w:sz w:val="21"/>
          <w:szCs w:val="20"/>
          <w:highlight w:val="none"/>
          <w:lang w:val="en-US" w:eastAsia="zh-CN" w:bidi="ar-SA"/>
        </w:rPr>
        <w:t>能源消耗的基本核算单元（如</w:t>
      </w:r>
      <w:r>
        <w:rPr>
          <w:rFonts w:hint="eastAsia" w:ascii="宋体" w:cs="Times New Roman"/>
          <w:kern w:val="0"/>
          <w:sz w:val="21"/>
          <w:szCs w:val="20"/>
          <w:highlight w:val="none"/>
          <w:lang w:val="en-US" w:eastAsia="zh-CN" w:bidi="ar-SA"/>
        </w:rPr>
        <w:t>还原车间</w:t>
      </w:r>
      <w:r>
        <w:rPr>
          <w:rFonts w:hint="eastAsia" w:ascii="宋体" w:hAnsi="Times New Roman" w:eastAsia="宋体" w:cs="Times New Roman"/>
          <w:color w:val="000000"/>
          <w:kern w:val="0"/>
          <w:sz w:val="21"/>
          <w:szCs w:val="20"/>
          <w:highlight w:val="none"/>
          <w:lang w:val="en-US" w:eastAsia="zh-CN" w:bidi="ar-SA"/>
        </w:rPr>
        <w:t>、</w:t>
      </w:r>
      <w:r>
        <w:rPr>
          <w:rFonts w:hint="eastAsia" w:ascii="宋体" w:cs="Times New Roman"/>
          <w:kern w:val="0"/>
          <w:sz w:val="21"/>
          <w:szCs w:val="20"/>
          <w:highlight w:val="none"/>
          <w:lang w:val="en-US" w:eastAsia="zh-CN" w:bidi="ar-SA"/>
        </w:rPr>
        <w:t>原料车间、</w:t>
      </w:r>
      <w:r>
        <w:rPr>
          <w:rFonts w:hint="eastAsia" w:ascii="宋体" w:hAnsi="Times New Roman" w:eastAsia="宋体" w:cs="Times New Roman"/>
          <w:color w:val="000000"/>
          <w:kern w:val="0"/>
          <w:sz w:val="21"/>
          <w:szCs w:val="20"/>
          <w:highlight w:val="none"/>
          <w:lang w:val="en-US" w:eastAsia="zh-CN" w:bidi="ar-SA"/>
        </w:rPr>
        <w:t>主要耗能设备等），并以文件形式进行明确；能源管理体系的管理范围和边界覆盖企业主要产品等生产区域的生产系统、辅助生产系统和附属生产系统的能源利用全过程，包括能源购入、储存、加工转换、输送分配和最终使用各环节</w:t>
      </w:r>
      <w:r>
        <w:rPr>
          <w:rFonts w:hint="eastAsia" w:ascii="宋体" w:cs="Times New Roman"/>
          <w:kern w:val="0"/>
          <w:sz w:val="21"/>
          <w:szCs w:val="20"/>
          <w:highlight w:val="none"/>
          <w:lang w:val="en-US" w:eastAsia="zh-CN" w:bidi="ar-SA"/>
        </w:rPr>
        <w:t>。</w:t>
      </w:r>
    </w:p>
    <w:p>
      <w:pPr>
        <w:pStyle w:val="24"/>
        <w:numPr>
          <w:ilvl w:val="-1"/>
          <w:numId w:val="0"/>
        </w:numPr>
        <w:ind w:firstLine="0" w:firstLineChars="0"/>
        <w:rPr>
          <w:highlight w:val="none"/>
        </w:rPr>
      </w:pPr>
    </w:p>
    <w:p>
      <w:pPr>
        <w:pStyle w:val="24"/>
        <w:numPr>
          <w:ilvl w:val="0"/>
          <w:numId w:val="11"/>
        </w:numPr>
        <w:ind w:firstLine="420"/>
        <w:rPr>
          <w:highlight w:val="none"/>
        </w:rPr>
      </w:pPr>
      <w:r>
        <w:rPr>
          <w:rFonts w:hint="eastAsia"/>
          <w:highlight w:val="none"/>
        </w:rPr>
        <w:t>在满足本标准要求的前提下，注重节约的同时合理利用能源、提高能源效率，达到持续改进能源绩效和能源管理体系的目的。</w:t>
      </w:r>
    </w:p>
    <w:p>
      <w:pPr>
        <w:pStyle w:val="43"/>
        <w:numPr>
          <w:ilvl w:val="-1"/>
          <w:numId w:val="0"/>
        </w:numPr>
        <w:spacing w:before="156" w:after="156"/>
        <w:ind w:left="0"/>
        <w:outlineLvl w:val="0"/>
        <w:rPr>
          <w:highlight w:val="none"/>
        </w:rPr>
      </w:pPr>
      <w:bookmarkStart w:id="44" w:name="_Toc361"/>
      <w:bookmarkStart w:id="45" w:name="_Toc270929336"/>
      <w:bookmarkStart w:id="46" w:name="_Toc312077651"/>
      <w:bookmarkStart w:id="47" w:name="_Toc334521352"/>
      <w:r>
        <w:rPr>
          <w:rFonts w:hint="eastAsia"/>
          <w:highlight w:val="none"/>
          <w:lang w:val="en-US" w:eastAsia="zh-CN"/>
        </w:rPr>
        <w:t>5  领导</w:t>
      </w:r>
      <w:r>
        <w:rPr>
          <w:rFonts w:hint="eastAsia"/>
          <w:highlight w:val="none"/>
        </w:rPr>
        <w:t>职责</w:t>
      </w:r>
      <w:bookmarkEnd w:id="39"/>
      <w:bookmarkEnd w:id="40"/>
      <w:bookmarkEnd w:id="41"/>
      <w:bookmarkEnd w:id="42"/>
      <w:bookmarkEnd w:id="43"/>
      <w:bookmarkEnd w:id="44"/>
      <w:bookmarkEnd w:id="45"/>
      <w:bookmarkEnd w:id="46"/>
      <w:bookmarkEnd w:id="47"/>
    </w:p>
    <w:p>
      <w:pPr>
        <w:pStyle w:val="43"/>
        <w:numPr>
          <w:ilvl w:val="-1"/>
          <w:numId w:val="0"/>
        </w:numPr>
        <w:spacing w:before="156" w:after="156"/>
        <w:ind w:left="0"/>
        <w:rPr>
          <w:rFonts w:hint="eastAsia"/>
          <w:highlight w:val="none"/>
          <w:lang w:val="en-US" w:eastAsia="zh-CN"/>
        </w:rPr>
      </w:pPr>
      <w:bookmarkStart w:id="48" w:name="_Toc334521353"/>
      <w:bookmarkStart w:id="49" w:name="_Toc205714902"/>
      <w:bookmarkStart w:id="50" w:name="_Toc214260949"/>
      <w:bookmarkStart w:id="51" w:name="_Toc205714473"/>
      <w:bookmarkStart w:id="52" w:name="_Toc214163052"/>
      <w:bookmarkStart w:id="53" w:name="_Toc206491724"/>
      <w:r>
        <w:rPr>
          <w:rFonts w:hint="eastAsia"/>
          <w:highlight w:val="none"/>
          <w:lang w:val="en-US" w:eastAsia="zh-CN"/>
        </w:rPr>
        <w:t>5.1  最高管理者</w:t>
      </w:r>
      <w:bookmarkEnd w:id="48"/>
    </w:p>
    <w:p>
      <w:pPr>
        <w:keepNext w:val="0"/>
        <w:keepLines w:val="0"/>
        <w:widowControl/>
        <w:suppressLineNumbers w:val="0"/>
        <w:ind w:firstLine="420" w:firstLineChars="200"/>
        <w:jc w:val="left"/>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color w:val="000000"/>
          <w:kern w:val="0"/>
          <w:sz w:val="21"/>
          <w:szCs w:val="20"/>
          <w:highlight w:val="none"/>
          <w:lang w:val="en-US" w:eastAsia="zh-CN" w:bidi="ar-SA"/>
        </w:rPr>
        <w:t>最高管理者作为指挥和控制企业的最高决策者或决策层，在企业建立、实施、保持和改进能源管理时，需承诺支持并确保持续改进能源管理体系。管理承诺宜形成文件，并确保被全员获知。</w:t>
      </w:r>
      <w:r>
        <w:rPr>
          <w:rFonts w:hint="eastAsia" w:ascii="宋体" w:cs="Times New Roman"/>
          <w:kern w:val="0"/>
          <w:sz w:val="21"/>
          <w:szCs w:val="20"/>
          <w:highlight w:val="none"/>
          <w:lang w:val="en-US" w:eastAsia="zh-CN" w:bidi="ar-SA"/>
        </w:rPr>
        <w:t>最高管理者应：</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确定能源管理体系的边界和范围；</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确保能源方针、目标和能源指标，并与企业的战略方向一致；</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确保将能源体系融入企业的业务过程；</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确保组建能源管理团队并支持能源管理体系实现所需资源，</w:t>
      </w:r>
      <w:r>
        <w:rPr>
          <w:rFonts w:hint="eastAsia" w:ascii="宋体" w:hAnsi="Times New Roman" w:eastAsia="宋体" w:cs="Times New Roman"/>
          <w:highlight w:val="none"/>
        </w:rPr>
        <w:t>如：人力资源、设备设施、资金、节能技术方法、信息等；</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保持沟通，支持和指导能源管理团队为能源管理体系有效及能源绩效改进做出贡献；</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确定中</w:t>
      </w:r>
      <w:r>
        <w:rPr>
          <w:rFonts w:hint="eastAsia" w:ascii="宋体" w:hAnsi="Times New Roman" w:eastAsia="宋体" w:cs="Times New Roman"/>
          <w:highlight w:val="none"/>
        </w:rPr>
        <w:t>长期规划中考虑能源绩效，确保持续改进能源管理体系绩效</w:t>
      </w:r>
      <w:r>
        <w:rPr>
          <w:rFonts w:hint="eastAsia" w:ascii="宋体" w:hAnsi="Times New Roman" w:eastAsia="宋体" w:cs="Times New Roman"/>
          <w:highlight w:val="none"/>
          <w:lang w:eastAsia="zh-CN"/>
        </w:rPr>
        <w:t>，</w:t>
      </w:r>
      <w:r>
        <w:rPr>
          <w:rFonts w:hint="eastAsia" w:ascii="宋体" w:hAnsi="Times New Roman" w:eastAsia="宋体" w:cs="Times New Roman"/>
          <w:highlight w:val="none"/>
          <w:lang w:val="en-US" w:eastAsia="zh-CN"/>
        </w:rPr>
        <w:t>促进能源管理体系和能源绩效持续改进，确保能源管理体系实现预期目标。</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5.2  能源管理团队</w:t>
      </w:r>
    </w:p>
    <w:p>
      <w:pPr>
        <w:keepNext w:val="0"/>
        <w:keepLines w:val="0"/>
        <w:widowControl/>
        <w:suppressLineNumbers w:val="0"/>
        <w:ind w:firstLine="420" w:firstLineChars="200"/>
        <w:jc w:val="left"/>
        <w:rPr>
          <w:rFonts w:hint="default"/>
          <w:highlight w:val="none"/>
          <w:lang w:val="en-US" w:eastAsia="zh-CN"/>
        </w:rPr>
      </w:pPr>
      <w:r>
        <w:rPr>
          <w:rFonts w:hint="eastAsia"/>
          <w:highlight w:val="none"/>
          <w:lang w:val="en-US" w:eastAsia="zh-CN"/>
        </w:rPr>
        <w:t>能源管理团队是最高管理者为确保能源管理体系建立、实施、保持和改进得以有效进行，分配了相应职责和权限的企业内部管理机构。能源管理团队应：</w:t>
      </w:r>
    </w:p>
    <w:p>
      <w:pPr>
        <w:pStyle w:val="24"/>
        <w:keepNext w:val="0"/>
        <w:keepLines w:val="0"/>
        <w:widowControl/>
        <w:numPr>
          <w:ilvl w:val="0"/>
          <w:numId w:val="13"/>
        </w:numPr>
        <w:suppressLineNumbers w:val="0"/>
        <w:ind w:firstLine="420" w:firstLineChars="200"/>
        <w:jc w:val="left"/>
        <w:rPr>
          <w:rFonts w:hint="eastAsia"/>
          <w:highlight w:val="none"/>
          <w:lang w:val="en-US" w:eastAsia="zh-CN"/>
        </w:rPr>
      </w:pPr>
      <w:r>
        <w:rPr>
          <w:rFonts w:hint="eastAsia"/>
          <w:highlight w:val="none"/>
          <w:lang w:val="en-US" w:eastAsia="zh-CN"/>
        </w:rPr>
        <w:t>根据最高管理者分配的权限实施能源管理体系，确保能源管理体系符合标准要求。并定期汇报能源管理体系的绩效和能源绩效的改进；</w:t>
      </w:r>
    </w:p>
    <w:p>
      <w:pPr>
        <w:pStyle w:val="24"/>
        <w:keepNext w:val="0"/>
        <w:keepLines w:val="0"/>
        <w:widowControl/>
        <w:numPr>
          <w:ilvl w:val="0"/>
          <w:numId w:val="13"/>
        </w:numPr>
        <w:suppressLineNumbers w:val="0"/>
        <w:ind w:firstLine="420" w:firstLineChars="200"/>
        <w:jc w:val="left"/>
        <w:rPr>
          <w:rFonts w:hint="default"/>
          <w:highlight w:val="none"/>
          <w:lang w:val="en-US" w:eastAsia="zh-CN"/>
        </w:rPr>
      </w:pPr>
      <w:r>
        <w:rPr>
          <w:rFonts w:hint="eastAsia"/>
          <w:highlight w:val="none"/>
          <w:lang w:val="en-US" w:eastAsia="zh-CN"/>
        </w:rPr>
        <w:t>根据相关方要求合理制定短期能源绩效目标、指标及绩效参数，并组织相关方制定措施计划；</w:t>
      </w:r>
    </w:p>
    <w:p>
      <w:pPr>
        <w:pStyle w:val="24"/>
        <w:keepNext w:val="0"/>
        <w:keepLines w:val="0"/>
        <w:widowControl/>
        <w:numPr>
          <w:ilvl w:val="0"/>
          <w:numId w:val="13"/>
        </w:numPr>
        <w:suppressLineNumbers w:val="0"/>
        <w:ind w:firstLine="420" w:firstLineChars="200"/>
        <w:jc w:val="left"/>
        <w:rPr>
          <w:rFonts w:hint="default"/>
          <w:highlight w:val="none"/>
        </w:rPr>
      </w:pPr>
      <w:r>
        <w:rPr>
          <w:rFonts w:hint="eastAsia"/>
          <w:highlight w:val="none"/>
          <w:lang w:val="en-US" w:eastAsia="zh-CN"/>
        </w:rPr>
        <w:t>确保措施计划实施，并持续改进能源绩效；</w:t>
      </w:r>
    </w:p>
    <w:p>
      <w:pPr>
        <w:pStyle w:val="24"/>
        <w:keepNext w:val="0"/>
        <w:keepLines w:val="0"/>
        <w:widowControl/>
        <w:numPr>
          <w:ilvl w:val="0"/>
          <w:numId w:val="13"/>
        </w:numPr>
        <w:suppressLineNumbers w:val="0"/>
        <w:ind w:firstLine="420" w:firstLineChars="200"/>
        <w:jc w:val="left"/>
        <w:rPr>
          <w:rFonts w:hint="default"/>
          <w:highlight w:val="none"/>
        </w:rPr>
      </w:pPr>
      <w:r>
        <w:rPr>
          <w:rFonts w:hint="eastAsia"/>
          <w:highlight w:val="none"/>
          <w:lang w:val="en-US" w:eastAsia="zh-CN"/>
        </w:rPr>
        <w:t>确保能源绩效参数恰当反映能源绩效。</w:t>
      </w:r>
    </w:p>
    <w:p>
      <w:pPr>
        <w:pStyle w:val="43"/>
        <w:numPr>
          <w:ilvl w:val="-1"/>
          <w:numId w:val="0"/>
        </w:numPr>
        <w:spacing w:before="156" w:after="156"/>
        <w:ind w:left="0"/>
        <w:rPr>
          <w:highlight w:val="none"/>
        </w:rPr>
      </w:pPr>
      <w:bookmarkStart w:id="54" w:name="_Toc334521355"/>
      <w:bookmarkStart w:id="55" w:name="_Toc270929338"/>
      <w:bookmarkStart w:id="56" w:name="_Toc312077653"/>
      <w:r>
        <w:rPr>
          <w:rFonts w:hint="eastAsia"/>
          <w:highlight w:val="none"/>
          <w:lang w:val="en-US" w:eastAsia="zh-CN"/>
        </w:rPr>
        <w:t xml:space="preserve">5.3  </w:t>
      </w:r>
      <w:r>
        <w:rPr>
          <w:rFonts w:hint="eastAsia"/>
          <w:highlight w:val="none"/>
        </w:rPr>
        <w:t>能源方针</w:t>
      </w:r>
      <w:bookmarkEnd w:id="49"/>
      <w:bookmarkEnd w:id="50"/>
      <w:bookmarkEnd w:id="51"/>
      <w:bookmarkEnd w:id="52"/>
      <w:bookmarkEnd w:id="53"/>
      <w:bookmarkEnd w:id="54"/>
      <w:bookmarkEnd w:id="55"/>
      <w:bookmarkEnd w:id="56"/>
      <w:bookmarkStart w:id="57" w:name="_Toc214260950"/>
      <w:bookmarkStart w:id="58" w:name="_Toc206491725"/>
      <w:bookmarkStart w:id="59" w:name="_Toc205714903"/>
      <w:bookmarkStart w:id="60" w:name="_Toc214163053"/>
    </w:p>
    <w:p>
      <w:pPr>
        <w:pStyle w:val="24"/>
        <w:ind w:firstLine="420"/>
        <w:rPr>
          <w:highlight w:val="none"/>
        </w:rPr>
      </w:pPr>
      <w:r>
        <w:rPr>
          <w:rFonts w:hint="eastAsia"/>
          <w:highlight w:val="none"/>
        </w:rPr>
        <w:t>能源方针确定了</w:t>
      </w:r>
      <w:r>
        <w:rPr>
          <w:rFonts w:hint="eastAsia"/>
          <w:highlight w:val="none"/>
          <w:lang w:val="en-US" w:eastAsia="zh-CN"/>
        </w:rPr>
        <w:t>企业</w:t>
      </w:r>
      <w:r>
        <w:rPr>
          <w:rFonts w:hint="eastAsia"/>
          <w:highlight w:val="none"/>
        </w:rPr>
        <w:t>在能源管理方面的行动纲领、履行的责任和对社会及相关方做出的承诺。能源方针是</w:t>
      </w:r>
      <w:r>
        <w:rPr>
          <w:rFonts w:hint="eastAsia"/>
          <w:highlight w:val="none"/>
          <w:lang w:eastAsia="zh-CN"/>
        </w:rPr>
        <w:t>企业</w:t>
      </w:r>
      <w:r>
        <w:rPr>
          <w:rFonts w:hint="eastAsia"/>
          <w:highlight w:val="none"/>
        </w:rPr>
        <w:t>整体方针的一部分。</w:t>
      </w:r>
    </w:p>
    <w:p>
      <w:pPr>
        <w:pStyle w:val="24"/>
        <w:keepNext w:val="0"/>
        <w:keepLines w:val="0"/>
        <w:widowControl/>
        <w:numPr>
          <w:ilvl w:val="0"/>
          <w:numId w:val="14"/>
        </w:numPr>
        <w:suppressLineNumbers w:val="0"/>
        <w:jc w:val="left"/>
        <w:rPr>
          <w:rFonts w:hint="eastAsia" w:ascii="宋体"/>
          <w:kern w:val="0"/>
          <w:szCs w:val="20"/>
          <w:highlight w:val="none"/>
        </w:rPr>
      </w:pPr>
      <w:r>
        <w:rPr>
          <w:rFonts w:hint="eastAsia"/>
          <w:highlight w:val="none"/>
          <w:lang w:val="en-US" w:eastAsia="zh-CN"/>
        </w:rPr>
        <w:t>企业</w:t>
      </w:r>
      <w:r>
        <w:rPr>
          <w:rFonts w:hint="eastAsia"/>
          <w:highlight w:val="none"/>
        </w:rPr>
        <w:t>应当根据</w:t>
      </w:r>
      <w:r>
        <w:rPr>
          <w:rFonts w:hint="eastAsia"/>
          <w:highlight w:val="none"/>
          <w:lang w:val="en-US" w:eastAsia="zh-CN"/>
        </w:rPr>
        <w:t>国家、</w:t>
      </w:r>
      <w:r>
        <w:rPr>
          <w:rFonts w:hint="eastAsia"/>
          <w:highlight w:val="none"/>
        </w:rPr>
        <w:t>政府、行业的能源发展战略、规划、政策等，制定出适合自身特点的能源方针</w:t>
      </w:r>
      <w:r>
        <w:rPr>
          <w:rFonts w:hint="eastAsia"/>
          <w:highlight w:val="none"/>
          <w:lang w:eastAsia="zh-CN"/>
        </w:rPr>
        <w:t>；</w:t>
      </w:r>
    </w:p>
    <w:p>
      <w:pPr>
        <w:pStyle w:val="24"/>
        <w:keepNext w:val="0"/>
        <w:keepLines w:val="0"/>
        <w:widowControl/>
        <w:numPr>
          <w:ilvl w:val="0"/>
          <w:numId w:val="14"/>
        </w:numPr>
        <w:suppressLineNumbers w:val="0"/>
        <w:jc w:val="left"/>
        <w:rPr>
          <w:rFonts w:hint="eastAsia" w:ascii="宋体"/>
          <w:kern w:val="0"/>
          <w:szCs w:val="20"/>
          <w:highlight w:val="none"/>
        </w:rPr>
      </w:pPr>
      <w:r>
        <w:rPr>
          <w:rFonts w:hint="eastAsia"/>
          <w:highlight w:val="none"/>
        </w:rPr>
        <w:t>能源方针</w:t>
      </w:r>
      <w:r>
        <w:rPr>
          <w:rFonts w:hint="eastAsia"/>
          <w:highlight w:val="none"/>
          <w:lang w:val="en-US" w:eastAsia="zh-CN"/>
        </w:rPr>
        <w:t>应</w:t>
      </w:r>
      <w:r>
        <w:rPr>
          <w:rFonts w:hint="eastAsia" w:ascii="宋体" w:hAnsi="Times New Roman" w:eastAsia="宋体" w:cs="Times New Roman"/>
          <w:color w:val="000000"/>
          <w:kern w:val="0"/>
          <w:sz w:val="21"/>
          <w:szCs w:val="20"/>
          <w:highlight w:val="none"/>
          <w:lang w:val="en-US" w:eastAsia="zh-CN" w:bidi="ar-SA"/>
        </w:rPr>
        <w:t>遵守能源相关的法律法规、政策、标准及其他要求的承诺</w:t>
      </w:r>
    </w:p>
    <w:p>
      <w:pPr>
        <w:pStyle w:val="24"/>
        <w:numPr>
          <w:ilvl w:val="0"/>
          <w:numId w:val="14"/>
        </w:numPr>
        <w:ind w:firstLine="0"/>
        <w:rPr>
          <w:highlight w:val="none"/>
        </w:rPr>
      </w:pPr>
      <w:r>
        <w:rPr>
          <w:rFonts w:hint="eastAsia"/>
          <w:highlight w:val="none"/>
          <w:lang w:val="en-US" w:eastAsia="zh-CN"/>
        </w:rPr>
        <w:t>应适用于</w:t>
      </w:r>
      <w:r>
        <w:rPr>
          <w:rFonts w:hint="eastAsia"/>
          <w:kern w:val="0"/>
          <w:szCs w:val="20"/>
          <w:highlight w:val="none"/>
          <w:lang w:val="en-US" w:eastAsia="zh-CN"/>
        </w:rPr>
        <w:t>企业宗旨，</w:t>
      </w:r>
      <w:r>
        <w:rPr>
          <w:rFonts w:hint="eastAsia" w:ascii="宋体" w:hAnsi="Times New Roman" w:eastAsia="宋体" w:cs="Times New Roman"/>
          <w:color w:val="000000"/>
          <w:kern w:val="0"/>
          <w:sz w:val="21"/>
          <w:szCs w:val="20"/>
          <w:highlight w:val="none"/>
          <w:lang w:val="en-US" w:eastAsia="zh-CN" w:bidi="ar-SA"/>
        </w:rPr>
        <w:t>符合自身能源使用和能源消耗的性质、特点与规模；</w:t>
      </w:r>
    </w:p>
    <w:p>
      <w:pPr>
        <w:pStyle w:val="24"/>
        <w:numPr>
          <w:ilvl w:val="0"/>
          <w:numId w:val="14"/>
        </w:numPr>
        <w:ind w:firstLine="0"/>
        <w:rPr>
          <w:highlight w:val="none"/>
        </w:rPr>
      </w:pPr>
      <w:r>
        <w:rPr>
          <w:rFonts w:hint="eastAsia"/>
          <w:highlight w:val="none"/>
        </w:rPr>
        <w:t>能源方针的表述应当具体，能够为能源目标和指标的制定提供框架。</w:t>
      </w:r>
    </w:p>
    <w:p>
      <w:pPr>
        <w:pStyle w:val="24"/>
        <w:numPr>
          <w:ilvl w:val="0"/>
          <w:numId w:val="14"/>
        </w:numPr>
        <w:ind w:firstLine="0"/>
        <w:rPr>
          <w:highlight w:val="none"/>
        </w:rPr>
      </w:pPr>
      <w:r>
        <w:rPr>
          <w:rFonts w:hint="eastAsia"/>
          <w:highlight w:val="none"/>
        </w:rPr>
        <w:t>能源方针应当传达给所有为</w:t>
      </w:r>
      <w:r>
        <w:rPr>
          <w:rFonts w:hint="eastAsia"/>
          <w:highlight w:val="none"/>
          <w:lang w:eastAsia="zh-CN"/>
        </w:rPr>
        <w:t>企业</w:t>
      </w:r>
      <w:r>
        <w:rPr>
          <w:rFonts w:hint="eastAsia"/>
          <w:highlight w:val="none"/>
        </w:rPr>
        <w:t>或代表</w:t>
      </w:r>
      <w:r>
        <w:rPr>
          <w:rFonts w:hint="eastAsia"/>
          <w:highlight w:val="none"/>
          <w:lang w:eastAsia="zh-CN"/>
        </w:rPr>
        <w:t>企业</w:t>
      </w:r>
      <w:r>
        <w:rPr>
          <w:rFonts w:hint="eastAsia"/>
          <w:highlight w:val="none"/>
        </w:rPr>
        <w:t>工作的人员，且能为公众所获取。</w:t>
      </w:r>
    </w:p>
    <w:bookmarkEnd w:id="57"/>
    <w:bookmarkEnd w:id="58"/>
    <w:bookmarkEnd w:id="59"/>
    <w:bookmarkEnd w:id="60"/>
    <w:p>
      <w:pPr>
        <w:pStyle w:val="43"/>
        <w:numPr>
          <w:ilvl w:val="-1"/>
          <w:numId w:val="0"/>
        </w:numPr>
        <w:spacing w:before="156" w:after="156"/>
        <w:ind w:left="0"/>
        <w:outlineLvl w:val="0"/>
        <w:rPr>
          <w:highlight w:val="none"/>
        </w:rPr>
      </w:pPr>
      <w:bookmarkStart w:id="61" w:name="_Toc8367"/>
      <w:bookmarkStart w:id="62" w:name="_Toc334521356"/>
      <w:bookmarkStart w:id="63" w:name="_Toc270929340"/>
      <w:bookmarkStart w:id="64" w:name="_Toc214260951"/>
      <w:bookmarkStart w:id="65" w:name="_Toc206491726"/>
      <w:bookmarkStart w:id="66" w:name="_Toc214163054"/>
      <w:bookmarkStart w:id="67" w:name="_Toc205714474"/>
      <w:bookmarkStart w:id="68" w:name="_Toc312077655"/>
      <w:bookmarkStart w:id="69" w:name="_Toc205714904"/>
      <w:r>
        <w:rPr>
          <w:rFonts w:hint="eastAsia"/>
          <w:highlight w:val="none"/>
          <w:lang w:val="en-US" w:eastAsia="zh-CN"/>
        </w:rPr>
        <w:t xml:space="preserve">6  </w:t>
      </w:r>
      <w:r>
        <w:rPr>
          <w:rFonts w:hint="eastAsia"/>
          <w:highlight w:val="none"/>
        </w:rPr>
        <w:t>策划</w:t>
      </w:r>
      <w:bookmarkEnd w:id="61"/>
      <w:bookmarkEnd w:id="62"/>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策划是保障能源管理体系有效性的关键环节。策划是在全面调研、分析企业用能状况的基础上，识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别主要能源使用和能源消耗，寻求改进能源绩效的机会，以达到提高能源效率的目的。</w:t>
      </w:r>
    </w:p>
    <w:p>
      <w:pPr>
        <w:pStyle w:val="43"/>
        <w:numPr>
          <w:ilvl w:val="-1"/>
          <w:numId w:val="0"/>
        </w:numPr>
        <w:spacing w:before="156" w:after="156"/>
        <w:ind w:left="0"/>
        <w:rPr>
          <w:rFonts w:hint="default"/>
          <w:highlight w:val="none"/>
          <w:lang w:val="en-US" w:eastAsia="zh-CN"/>
        </w:rPr>
      </w:pPr>
      <w:r>
        <w:rPr>
          <w:rFonts w:hint="eastAsia"/>
          <w:highlight w:val="none"/>
          <w:lang w:val="en-US" w:eastAsia="zh-CN"/>
        </w:rPr>
        <w:t>6.1  应对风险和机遇的措施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策划能源管理体系时,企业应考虑相关方的要求，并对影响能源绩效的活动和过程进行评审。策划应与能源方针保持一致、并应采取能够实现能源绩效持续改进的措施。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企业应定期评价内外部的风险和机遇，并制定措施实现能源管理体系及能源绩效的改进，对相应措施定期进行评价并优化改进。</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黑体" w:hAnsi="Times New Roman" w:eastAsia="黑体" w:cs="Times New Roman"/>
          <w:kern w:val="0"/>
          <w:sz w:val="21"/>
          <w:szCs w:val="21"/>
          <w:highlight w:val="none"/>
          <w:lang w:val="en-US" w:eastAsia="zh-CN" w:bidi="ar-SA"/>
        </w:rPr>
      </w:pPr>
      <w:r>
        <w:rPr>
          <w:rFonts w:hint="eastAsia" w:ascii="黑体" w:hAnsi="Times New Roman" w:eastAsia="黑体" w:cs="Times New Roman"/>
          <w:kern w:val="0"/>
          <w:sz w:val="21"/>
          <w:szCs w:val="21"/>
          <w:highlight w:val="none"/>
          <w:lang w:val="en-US" w:eastAsia="zh-CN" w:bidi="ar-SA"/>
        </w:rPr>
        <w:t>6.2  目标、指标的策划</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针对目标、指标的策划，应与方针保持一致。制定符合企业需求的目标及指标，同时按照要做什么、需要什么、谁开展、什么时间完成及完成结果如何制定措施。</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6.3  能源评审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应开展和实施能源评审</w:t>
      </w:r>
      <w:r>
        <w:rPr>
          <w:rFonts w:hint="eastAsia" w:ascii="宋体" w:hAnsi="Times New Roman" w:eastAsia="宋体" w:cs="Times New Roman"/>
          <w:kern w:val="0"/>
          <w:sz w:val="21"/>
          <w:szCs w:val="20"/>
          <w:highlight w:val="none"/>
          <w:lang w:val="en-US" w:eastAsia="zh-CN" w:bidi="ar-SA"/>
        </w:rPr>
        <w:t xml:space="preserve">,需考虑以下方面：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ａ）</w:t>
      </w:r>
      <w:r>
        <w:rPr>
          <w:rFonts w:hint="default" w:ascii="宋体" w:hAnsi="Times New Roman" w:eastAsia="宋体" w:cs="Times New Roman"/>
          <w:kern w:val="0"/>
          <w:sz w:val="21"/>
          <w:szCs w:val="20"/>
          <w:highlight w:val="none"/>
          <w:lang w:val="en-US" w:eastAsia="zh-CN" w:bidi="ar-SA"/>
        </w:rPr>
        <w:t>识别当前的能源种类</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ｂ）</w:t>
      </w:r>
      <w:r>
        <w:rPr>
          <w:rFonts w:hint="default" w:ascii="宋体" w:hAnsi="Times New Roman" w:eastAsia="宋体" w:cs="Times New Roman"/>
          <w:kern w:val="0"/>
          <w:sz w:val="21"/>
          <w:szCs w:val="20"/>
          <w:highlight w:val="none"/>
          <w:lang w:val="en-US" w:eastAsia="zh-CN" w:bidi="ar-SA"/>
        </w:rPr>
        <w:t>评价过去和现在的能源使用和能源消耗</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ｃ）</w:t>
      </w:r>
      <w:r>
        <w:rPr>
          <w:rFonts w:hint="default" w:ascii="宋体" w:hAnsi="Times New Roman" w:eastAsia="宋体" w:cs="Times New Roman"/>
          <w:kern w:val="0"/>
          <w:sz w:val="21"/>
          <w:szCs w:val="20"/>
          <w:highlight w:val="none"/>
          <w:lang w:val="en-US" w:eastAsia="zh-CN" w:bidi="ar-SA"/>
        </w:rPr>
        <w:t>识别主要能源使用</w:t>
      </w:r>
      <w:r>
        <w:rPr>
          <w:rFonts w:hint="eastAsia" w:ascii="宋体" w:hAnsi="Times New Roman" w:eastAsia="宋体" w:cs="Times New Roman"/>
          <w:kern w:val="0"/>
          <w:sz w:val="21"/>
          <w:szCs w:val="20"/>
          <w:highlight w:val="none"/>
          <w:lang w:val="en-US" w:eastAsia="zh-CN" w:bidi="ar-SA"/>
        </w:rPr>
        <w:t>的</w:t>
      </w:r>
      <w:r>
        <w:rPr>
          <w:rFonts w:hint="default" w:ascii="宋体" w:hAnsi="Times New Roman" w:eastAsia="宋体" w:cs="Times New Roman"/>
          <w:kern w:val="0"/>
          <w:sz w:val="21"/>
          <w:szCs w:val="20"/>
          <w:highlight w:val="none"/>
          <w:lang w:val="en-US" w:eastAsia="zh-CN" w:bidi="ar-SA"/>
        </w:rPr>
        <w:t>相关变量</w:t>
      </w:r>
      <w:r>
        <w:rPr>
          <w:rFonts w:hint="eastAsia" w:ascii="宋体" w:hAnsi="Times New Roman" w:eastAsia="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当前能源绩效</w:t>
      </w:r>
      <w:r>
        <w:rPr>
          <w:rFonts w:hint="eastAsia" w:ascii="宋体" w:hAnsi="Times New Roman" w:eastAsia="宋体" w:cs="Times New Roman"/>
          <w:kern w:val="0"/>
          <w:sz w:val="21"/>
          <w:szCs w:val="20"/>
          <w:highlight w:val="none"/>
          <w:lang w:val="en-US" w:eastAsia="zh-CN" w:bidi="ar-SA"/>
        </w:rPr>
        <w:t>及</w:t>
      </w:r>
      <w:r>
        <w:rPr>
          <w:rFonts w:hint="default" w:ascii="宋体" w:hAnsi="Times New Roman" w:eastAsia="宋体" w:cs="Times New Roman"/>
          <w:kern w:val="0"/>
          <w:sz w:val="21"/>
          <w:szCs w:val="20"/>
          <w:highlight w:val="none"/>
          <w:lang w:val="en-US" w:eastAsia="zh-CN" w:bidi="ar-SA"/>
        </w:rPr>
        <w:t>直接或间接影响的工作人员</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ｄ）</w:t>
      </w:r>
      <w:r>
        <w:rPr>
          <w:rFonts w:hint="default" w:ascii="宋体" w:hAnsi="Times New Roman" w:eastAsia="宋体" w:cs="Times New Roman"/>
          <w:kern w:val="0"/>
          <w:sz w:val="21"/>
          <w:szCs w:val="20"/>
          <w:highlight w:val="none"/>
          <w:lang w:val="en-US" w:eastAsia="zh-CN" w:bidi="ar-SA"/>
        </w:rPr>
        <w:t>确定改进能源绩效的机会</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ｅ）</w:t>
      </w:r>
      <w:r>
        <w:rPr>
          <w:rFonts w:hint="default" w:ascii="宋体" w:hAnsi="Times New Roman" w:eastAsia="宋体" w:cs="Times New Roman"/>
          <w:kern w:val="0"/>
          <w:sz w:val="21"/>
          <w:szCs w:val="20"/>
          <w:highlight w:val="none"/>
          <w:lang w:val="en-US" w:eastAsia="zh-CN" w:bidi="ar-SA"/>
        </w:rPr>
        <w:t>评估未来的能源使用和能源消耗</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能源评审应按照规定的时间间隔更新。当设施、设备、系统或用能过程发生重大变化时。能源评审应更新，</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应保持用于开展能源评审的方法和准则的文件化信息，还应保留能源评审结果的文件化信息</w:t>
      </w:r>
      <w:r>
        <w:rPr>
          <w:rFonts w:hint="eastAsia" w:ascii="宋体" w:cs="Times New Roman"/>
          <w:kern w:val="0"/>
          <w:sz w:val="21"/>
          <w:szCs w:val="20"/>
          <w:highlight w:val="none"/>
          <w:lang w:val="en-US" w:eastAsia="zh-CN" w:bidi="ar-SA"/>
        </w:rPr>
        <w:t>。</w:t>
      </w:r>
    </w:p>
    <w:p>
      <w:pPr>
        <w:pStyle w:val="43"/>
        <w:numPr>
          <w:ilvl w:val="-1"/>
          <w:numId w:val="0"/>
        </w:numPr>
        <w:spacing w:before="156" w:after="156"/>
        <w:ind w:left="0"/>
        <w:rPr>
          <w:rFonts w:hint="default"/>
          <w:highlight w:val="none"/>
          <w:lang w:val="en-US" w:eastAsia="zh-CN"/>
        </w:rPr>
      </w:pPr>
      <w:r>
        <w:rPr>
          <w:rFonts w:hint="default"/>
          <w:highlight w:val="none"/>
          <w:lang w:val="en-US" w:eastAsia="zh-CN"/>
        </w:rPr>
        <w:t>6.4</w:t>
      </w:r>
      <w:r>
        <w:rPr>
          <w:rFonts w:hint="eastAsia"/>
          <w:highlight w:val="none"/>
          <w:lang w:val="en-US" w:eastAsia="zh-CN"/>
        </w:rPr>
        <w:t xml:space="preserve"> </w:t>
      </w:r>
      <w:r>
        <w:rPr>
          <w:rFonts w:hint="default"/>
          <w:highlight w:val="none"/>
          <w:lang w:val="en-US" w:eastAsia="zh-CN"/>
        </w:rPr>
        <w:t>能源绩效参数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应确定能源绩效参数</w:t>
      </w:r>
      <w:r>
        <w:rPr>
          <w:rFonts w:hint="eastAsia" w:ascii="宋体" w:hAnsi="Times New Roman" w:eastAsia="宋体" w:cs="Times New Roman"/>
          <w:kern w:val="0"/>
          <w:sz w:val="21"/>
          <w:szCs w:val="20"/>
          <w:highlight w:val="none"/>
          <w:lang w:val="en-US" w:eastAsia="zh-CN" w:bidi="ar-SA"/>
        </w:rPr>
        <w:t>应考虑：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a)适合于测量和监视其能源绩效;</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b)能使</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证实其能源绩效改进</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企业的能源绩效参数可包括:</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产值能耗指标,如万元产值综合能耗、万元工业增加值综合能耗等;</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产品能耗指标，如单位</w:t>
      </w: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产品综合能耗、单位</w:t>
      </w: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产品综合电耗、单位</w:t>
      </w: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产品蒸汽单耗等;</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工序或设备能耗指标,如还原电耗、冷氢化电耗、辅助工序电耗、原料工序蒸汽单耗等;</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生产效率的指标,如还原一次转化率、冷氢化转化率、电力系统的功率因数等;</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能源成本指标,如能源消费成本比例等;</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原辅料及中间产品质量参数,如还原尾气四氯化硅含量、粗分（冷氢化出口）三氯氢硅各类杂质含量、精制三氯氢硅（原料采出末端）各类杂质含量等、还原产品表观质量（致密料、单晶料占比）</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生产过程中影响主要能源使用的工艺参数、环境参数及其他相关参数，如管网蒸汽压力、还原尾气温度等。</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用于确定和更新能源绩效参数的方法应保持为文件化信息。如果</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有数据表明,相关变量对能源绩效有显著影响，</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应考虑这些数据以建立适当的能源绩效参数。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适当时，</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应对能源绩效参数值进行评审,并与相应的能源基准进行比较。</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应保留能源绩效参数值的文件化信息。</w:t>
      </w:r>
    </w:p>
    <w:p>
      <w:pPr>
        <w:pStyle w:val="43"/>
        <w:numPr>
          <w:ilvl w:val="-1"/>
          <w:numId w:val="0"/>
        </w:numPr>
        <w:spacing w:before="156" w:after="156"/>
        <w:ind w:left="0"/>
        <w:rPr>
          <w:rFonts w:hint="default"/>
          <w:highlight w:val="none"/>
          <w:lang w:val="en-US" w:eastAsia="zh-CN"/>
        </w:rPr>
      </w:pPr>
      <w:r>
        <w:rPr>
          <w:rFonts w:hint="eastAsia"/>
          <w:highlight w:val="none"/>
          <w:lang w:val="en-US" w:eastAsia="zh-CN"/>
        </w:rPr>
        <w:t xml:space="preserve">6.5 </w:t>
      </w:r>
      <w:r>
        <w:rPr>
          <w:rFonts w:hint="default"/>
          <w:highlight w:val="none"/>
          <w:lang w:val="en-US" w:eastAsia="zh-CN"/>
        </w:rPr>
        <w:t>能源基准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6.5.1 </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必须考虑合适的时段建立能源基准</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企业宜基于一个适宜的时间段的能源消耗和能源效率相关数据统计、分析的基础上,建立能源基准。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能源基准的确定应与能源消耗、能源效率计量、统计、分析、系统相匹配。能源基准确定应考虑: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a) 统计期内的能源统计数据真实可靠</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b）</w:t>
      </w:r>
      <w:r>
        <w:rPr>
          <w:rFonts w:hint="default" w:ascii="宋体" w:hAnsi="Times New Roman" w:eastAsia="宋体" w:cs="Times New Roman"/>
          <w:kern w:val="0"/>
          <w:sz w:val="21"/>
          <w:szCs w:val="20"/>
          <w:highlight w:val="none"/>
          <w:lang w:val="en-US" w:eastAsia="zh-CN" w:bidi="ar-SA"/>
        </w:rPr>
        <w:t>考虑统计期和目前能源结构、产品结构和工艺路线的差异</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c）</w:t>
      </w:r>
      <w:r>
        <w:rPr>
          <w:rFonts w:hint="default" w:ascii="宋体" w:hAnsi="Times New Roman" w:eastAsia="宋体" w:cs="Times New Roman"/>
          <w:kern w:val="0"/>
          <w:sz w:val="21"/>
          <w:szCs w:val="20"/>
          <w:highlight w:val="none"/>
          <w:lang w:val="en-US" w:eastAsia="zh-CN" w:bidi="ar-SA"/>
        </w:rPr>
        <w:t>考虑同行业的能耗水平与企业的经营规模、设施设备的差异</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d) 考虑行业准入条件和国家产业政策要求,如:单位产品能耗不应低于能耗限额</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e) 考虑技术改造效果,如扩能改造、系统改造、余热余压利用等。</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如果有数据表明相关变量对能源绩效有显著影响，</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应对能源绩效参数值和相应的能源基准进行归一化。</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6.5.2 </w:t>
      </w:r>
      <w:r>
        <w:rPr>
          <w:rFonts w:hint="default" w:ascii="宋体" w:hAnsi="Times New Roman" w:eastAsia="宋体" w:cs="Times New Roman"/>
          <w:kern w:val="0"/>
          <w:sz w:val="21"/>
          <w:szCs w:val="20"/>
          <w:highlight w:val="none"/>
          <w:lang w:val="en-US" w:eastAsia="zh-CN" w:bidi="ar-SA"/>
        </w:rPr>
        <w:t>当出现以下</w:t>
      </w:r>
      <w:r>
        <w:rPr>
          <w:rFonts w:hint="eastAsia" w:ascii="宋体" w:hAnsi="Times New Roman" w:eastAsia="宋体" w:cs="Times New Roman"/>
          <w:kern w:val="0"/>
          <w:sz w:val="21"/>
          <w:szCs w:val="20"/>
          <w:highlight w:val="none"/>
          <w:lang w:val="en-US" w:eastAsia="zh-CN" w:bidi="ar-SA"/>
        </w:rPr>
        <w:t>一</w:t>
      </w:r>
      <w:r>
        <w:rPr>
          <w:rFonts w:hint="default" w:ascii="宋体" w:hAnsi="Times New Roman" w:eastAsia="宋体" w:cs="Times New Roman"/>
          <w:kern w:val="0"/>
          <w:sz w:val="21"/>
          <w:szCs w:val="20"/>
          <w:highlight w:val="none"/>
          <w:lang w:val="en-US" w:eastAsia="zh-CN" w:bidi="ar-SA"/>
        </w:rPr>
        <w:t>种或多种情况时，应对能源基准进行调整:</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a） </w:t>
      </w:r>
      <w:r>
        <w:rPr>
          <w:rFonts w:hint="default" w:ascii="宋体" w:hAnsi="Times New Roman" w:eastAsia="宋体" w:cs="Times New Roman"/>
          <w:kern w:val="0"/>
          <w:sz w:val="21"/>
          <w:szCs w:val="20"/>
          <w:highlight w:val="none"/>
          <w:lang w:val="en-US" w:eastAsia="zh-CN" w:bidi="ar-SA"/>
        </w:rPr>
        <w:t>能源绩效参数不再反映</w:t>
      </w:r>
      <w:r>
        <w:rPr>
          <w:rFonts w:hint="eastAsia" w:ascii="宋体" w:hAnsi="Times New Roman" w:eastAsia="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的能源绩效</w:t>
      </w:r>
      <w:r>
        <w:rPr>
          <w:rFonts w:hint="default"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 xml:space="preserve"> </w:t>
      </w:r>
      <w:r>
        <w:rPr>
          <w:rFonts w:hint="default" w:ascii="宋体" w:hAnsi="Times New Roman" w:eastAsia="宋体" w:cs="Times New Roman"/>
          <w:kern w:val="0"/>
          <w:sz w:val="21"/>
          <w:szCs w:val="20"/>
          <w:highlight w:val="none"/>
          <w:lang w:val="en-US" w:eastAsia="zh-CN" w:bidi="ar-SA"/>
        </w:rPr>
        <w:t xml:space="preserve"> 静态因素发生了重大变化</w:t>
      </w:r>
      <w:r>
        <w:rPr>
          <w:rFonts w:hint="default"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 xml:space="preserve">c) </w:t>
      </w:r>
      <w:r>
        <w:rPr>
          <w:rFonts w:hint="eastAsia" w:ascii="宋体" w:hAnsi="Times New Roman" w:eastAsia="宋体" w:cs="Times New Roman"/>
          <w:kern w:val="0"/>
          <w:sz w:val="21"/>
          <w:szCs w:val="20"/>
          <w:highlight w:val="none"/>
          <w:lang w:val="en-US" w:eastAsia="zh-CN" w:bidi="ar-SA"/>
        </w:rPr>
        <w:t xml:space="preserve"> </w:t>
      </w:r>
      <w:r>
        <w:rPr>
          <w:rFonts w:hint="default" w:ascii="宋体" w:hAnsi="Times New Roman" w:eastAsia="宋体" w:cs="Times New Roman"/>
          <w:kern w:val="0"/>
          <w:sz w:val="21"/>
          <w:szCs w:val="20"/>
          <w:highlight w:val="none"/>
          <w:lang w:val="en-US" w:eastAsia="zh-CN" w:bidi="ar-SA"/>
        </w:rPr>
        <w:t>依据预先确定的方法。</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应保留能源基准、相关变量数据和对能源基准调整的文件化信息</w:t>
      </w:r>
      <w:r>
        <w:rPr>
          <w:rFonts w:hint="eastAsia" w:ascii="宋体" w:cs="Times New Roman"/>
          <w:kern w:val="0"/>
          <w:sz w:val="21"/>
          <w:szCs w:val="20"/>
          <w:highlight w:val="none"/>
          <w:lang w:val="en-US" w:eastAsia="zh-CN" w:bidi="ar-SA"/>
        </w:rPr>
        <w:t>。</w:t>
      </w:r>
    </w:p>
    <w:p>
      <w:pPr>
        <w:pStyle w:val="43"/>
        <w:numPr>
          <w:ilvl w:val="-1"/>
          <w:numId w:val="0"/>
        </w:numPr>
        <w:spacing w:before="156" w:after="156"/>
        <w:ind w:left="0"/>
        <w:rPr>
          <w:rFonts w:hint="default"/>
          <w:highlight w:val="none"/>
          <w:lang w:val="en-US" w:eastAsia="zh-CN"/>
        </w:rPr>
      </w:pPr>
      <w:r>
        <w:rPr>
          <w:rFonts w:hint="default"/>
          <w:highlight w:val="none"/>
          <w:lang w:val="en-US" w:eastAsia="zh-CN"/>
        </w:rPr>
        <w:t>6.6</w:t>
      </w:r>
      <w:r>
        <w:rPr>
          <w:rFonts w:hint="eastAsia"/>
          <w:highlight w:val="none"/>
          <w:lang w:val="en-US" w:eastAsia="zh-CN"/>
        </w:rPr>
        <w:t xml:space="preserve"> </w:t>
      </w:r>
      <w:r>
        <w:rPr>
          <w:rFonts w:hint="default"/>
          <w:highlight w:val="none"/>
          <w:lang w:val="en-US" w:eastAsia="zh-CN"/>
        </w:rPr>
        <w:t>能源数据收集的策划</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对运行中影响能源绩效的关键特性.</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应确保按规定的时间间隔对其进行识别、测量、监视和分析</w:t>
      </w:r>
      <w:r>
        <w:rPr>
          <w:rFonts w:hint="eastAsia" w:ascii="宋体" w:hAnsi="Times New Roman" w:eastAsia="宋体" w:cs="Times New Roman"/>
          <w:kern w:val="0"/>
          <w:sz w:val="21"/>
          <w:szCs w:val="20"/>
          <w:highlight w:val="none"/>
          <w:lang w:val="en-US" w:eastAsia="zh-CN" w:bidi="ar-SA"/>
        </w:rPr>
        <w:t>。</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应制定并实施能源数据收集计划。计划要适合其规模、复杂程度、资源及其测量和监测设备。该计划应规定监测其关键特性所需的数据.并说明收集、保留这些数据的方式和频次</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计划收集的(或适用时通过测量获取的)和保留为文件化信息的数据应包括:</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主要能源使用的相关变量;</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与主要能源使用以及</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相关的能源消耗;</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与主要能源使用相关的运行准则;</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静态因素(如适用);</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措施计划中规定的数据。</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应按照规定的时间间隔评审能源数据收集计划，适当时更新</w:t>
      </w:r>
      <w:r>
        <w:rPr>
          <w:rFonts w:hint="eastAsia" w:ascii="宋体" w:hAnsi="Times New Roman" w:eastAsia="宋体" w:cs="Times New Roman"/>
          <w:kern w:val="0"/>
          <w:sz w:val="21"/>
          <w:szCs w:val="20"/>
          <w:highlight w:val="none"/>
          <w:lang w:val="en-US" w:eastAsia="zh-CN" w:bidi="ar-SA"/>
        </w:rPr>
        <w:t>。</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应确保用于测量关键特性的设备所提供的数据准确、可重现。</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应保留有关测量、监视和其他确定准确度和可重现性方法的文件化信息</w:t>
      </w:r>
      <w:r>
        <w:rPr>
          <w:rFonts w:hint="eastAsia" w:ascii="宋体" w:hAnsi="Times New Roman" w:eastAsia="宋体" w:cs="Times New Roman"/>
          <w:kern w:val="0"/>
          <w:sz w:val="21"/>
          <w:szCs w:val="20"/>
          <w:highlight w:val="none"/>
          <w:lang w:val="en-US" w:eastAsia="zh-CN" w:bidi="ar-SA"/>
        </w:rPr>
        <w:t>。</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7  支持</w:t>
      </w:r>
    </w:p>
    <w:p>
      <w:pPr>
        <w:pStyle w:val="43"/>
        <w:numPr>
          <w:ilvl w:val="-1"/>
          <w:numId w:val="0"/>
        </w:numPr>
        <w:spacing w:before="156" w:after="156"/>
        <w:ind w:left="0" w:firstLine="0" w:firstLineChars="0"/>
        <w:rPr>
          <w:rFonts w:hint="default"/>
          <w:highlight w:val="none"/>
          <w:lang w:val="en-US" w:eastAsia="zh-CN"/>
        </w:rPr>
      </w:pPr>
      <w:r>
        <w:rPr>
          <w:rFonts w:hint="eastAsia"/>
          <w:highlight w:val="none"/>
          <w:lang w:val="en-US" w:eastAsia="zh-CN"/>
        </w:rPr>
        <w:t>7.1  资源</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应确定并提供建立、实施、保持和持续改进能源绩效和能源管理体系所需的资源。最高管理者应保障能源管理体系运行给与相应的支持。</w:t>
      </w:r>
    </w:p>
    <w:p>
      <w:pPr>
        <w:pStyle w:val="43"/>
        <w:numPr>
          <w:ilvl w:val="-1"/>
          <w:numId w:val="0"/>
        </w:numPr>
        <w:spacing w:before="156" w:after="156"/>
        <w:ind w:left="0" w:firstLine="0" w:firstLineChars="0"/>
        <w:rPr>
          <w:rFonts w:hint="eastAsia"/>
          <w:highlight w:val="none"/>
          <w:lang w:val="en-US" w:eastAsia="zh-CN"/>
        </w:rPr>
      </w:pPr>
      <w:r>
        <w:rPr>
          <w:rFonts w:hint="eastAsia"/>
          <w:highlight w:val="none"/>
          <w:lang w:val="en-US" w:eastAsia="zh-CN"/>
        </w:rPr>
        <w:t>7.2  能力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企业需根据自身需求明确与主要用能有关人员（含企业自有和代表其工作人员）的能力、培训和意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识的要求，并通过选择、评价、聘用、培训等方法确保其具有所要求的能力。能力证实可从教育经历、培训经历、技能和经验等方面得到。企业应保存相关记录。可行时，对特别重要的能源岗位要求资格认可。</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7.3  意识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企业通过强化为其或代表其工作人员的节能意识来确保能源管理体系运行的有效性和适宜性。企业可采取以下措施提高员工节能意识和能力:</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加强宣传教育,内容可包括:节能形势、节能政策、能源方针、能源目标和能源指标,节约能源所带来的社会和经济效益等;</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开展节能活动，内容可包括:节能技术交流、节能知识竞赛、节能小组活动、合理化建议征集、节能先进评选等;</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完善规章制度，内容可包括:节能目标责任制、绩效考核制度及继续教育制度等。</w:t>
      </w:r>
    </w:p>
    <w:p>
      <w:pPr>
        <w:pStyle w:val="43"/>
        <w:numPr>
          <w:ilvl w:val="-1"/>
          <w:numId w:val="0"/>
        </w:numPr>
        <w:spacing w:before="156" w:after="156"/>
        <w:ind w:left="0"/>
        <w:rPr>
          <w:rFonts w:hint="default"/>
          <w:highlight w:val="none"/>
          <w:lang w:val="en-US" w:eastAsia="zh-CN"/>
        </w:rPr>
      </w:pPr>
      <w:r>
        <w:rPr>
          <w:rFonts w:hint="eastAsia"/>
          <w:highlight w:val="none"/>
          <w:lang w:val="en-US" w:eastAsia="zh-CN"/>
        </w:rPr>
        <w:t>7.4  信息交流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7.4.1  </w:t>
      </w:r>
      <w:r>
        <w:rPr>
          <w:rFonts w:hint="default" w:ascii="宋体" w:hAnsi="Times New Roman" w:eastAsia="宋体" w:cs="Times New Roman"/>
          <w:kern w:val="0"/>
          <w:sz w:val="21"/>
          <w:szCs w:val="20"/>
          <w:highlight w:val="none"/>
          <w:lang w:val="en-US" w:eastAsia="zh-CN" w:bidi="ar-SA"/>
        </w:rPr>
        <w:t>内部信息交流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企业应在内部各层次和职能间建立与自身规模相适应的内部沟通程序文件,并明确沟通方式、内容、对象和时机。</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内部信息交流可采取</w:t>
      </w:r>
      <w:r>
        <w:rPr>
          <w:rFonts w:hint="eastAsia" w:ascii="宋体" w:hAnsi="Times New Roman" w:eastAsia="宋体" w:cs="Times New Roman"/>
          <w:kern w:val="0"/>
          <w:sz w:val="21"/>
          <w:szCs w:val="20"/>
          <w:highlight w:val="none"/>
          <w:lang w:val="en-US" w:eastAsia="zh-CN" w:bidi="ar-SA"/>
        </w:rPr>
        <w:t>企业沟通软件、</w:t>
      </w:r>
      <w:r>
        <w:rPr>
          <w:rFonts w:hint="default" w:ascii="宋体" w:hAnsi="Times New Roman" w:eastAsia="宋体" w:cs="Times New Roman"/>
          <w:kern w:val="0"/>
          <w:sz w:val="21"/>
          <w:szCs w:val="20"/>
          <w:highlight w:val="none"/>
          <w:lang w:val="en-US" w:eastAsia="zh-CN" w:bidi="ar-SA"/>
        </w:rPr>
        <w:t>会议、公告栏、论坛、简报、意见箱等方式。企业内部信息交流可以在不同部门和层次间进行,内部沟通的方向可以是单向,也可以是双向或者多向，企业应保证信息沟通渠道的畅通及接口信息传递的正确性和及时性,并鼓励员工或为企业工作的人员对能源绩效和能源管理体系的改进提出意见和建议。</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如适宜,企业应当积极引人能源数据管理中心监控系统与企业资源管理或数据采集系统整合,通过信息化的手段,实现能源目标、指标、能源绩效参数实际值的分析和评价,实现能源数据的在线采集和实时监控。</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7.4.2  </w:t>
      </w:r>
      <w:r>
        <w:rPr>
          <w:rFonts w:hint="default" w:ascii="宋体" w:hAnsi="Times New Roman" w:eastAsia="宋体" w:cs="Times New Roman"/>
          <w:kern w:val="0"/>
          <w:sz w:val="21"/>
          <w:szCs w:val="20"/>
          <w:highlight w:val="none"/>
          <w:lang w:val="en-US" w:eastAsia="zh-CN" w:bidi="ar-SA"/>
        </w:rPr>
        <w:t>外部信息交流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应确定是否就能源管理体系和能源绩效与外部相关方进行信息交流。外部信息交流分为主动交流和被动交流。主动交流,如通过节能网站、参加会议等方式与外部相关方进行信息交流,通过电子邮件、电话等方式向各级节能主管部门、行业协会、其他企业寻求节能信息、节能技术等。被动交流,如接受并及时处理节能监察部门的节能执法监察、社会监督等反馈信息,定期向各级政府部门报送企业能源消耗报表和能源利用状况报告等。</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外部信息交流方式包括</w:t>
      </w:r>
      <w:r>
        <w:rPr>
          <w:rFonts w:hint="eastAsia" w:ascii="宋体" w:hAnsi="Times New Roman" w:eastAsia="宋体" w:cs="Times New Roman"/>
          <w:kern w:val="0"/>
          <w:sz w:val="21"/>
          <w:szCs w:val="20"/>
          <w:highlight w:val="none"/>
          <w:lang w:val="en-US" w:eastAsia="zh-CN" w:bidi="ar-SA"/>
        </w:rPr>
        <w:t>对标</w:t>
      </w:r>
      <w:r>
        <w:rPr>
          <w:rFonts w:hint="default" w:ascii="宋体" w:hAnsi="Times New Roman" w:eastAsia="宋体" w:cs="Times New Roman"/>
          <w:kern w:val="0"/>
          <w:sz w:val="21"/>
          <w:szCs w:val="20"/>
          <w:highlight w:val="none"/>
          <w:lang w:val="en-US" w:eastAsia="zh-CN" w:bidi="ar-SA"/>
        </w:rPr>
        <w:t>、论坛、</w:t>
      </w:r>
      <w:r>
        <w:rPr>
          <w:rFonts w:hint="eastAsia" w:ascii="宋体" w:hAnsi="Times New Roman" w:eastAsia="宋体" w:cs="Times New Roman"/>
          <w:kern w:val="0"/>
          <w:sz w:val="21"/>
          <w:szCs w:val="20"/>
          <w:highlight w:val="none"/>
          <w:lang w:val="en-US" w:eastAsia="zh-CN" w:bidi="ar-SA"/>
        </w:rPr>
        <w:t>邀请</w:t>
      </w:r>
      <w:r>
        <w:rPr>
          <w:rFonts w:hint="default" w:ascii="宋体" w:hAnsi="Times New Roman" w:eastAsia="宋体" w:cs="Times New Roman"/>
          <w:kern w:val="0"/>
          <w:sz w:val="21"/>
          <w:szCs w:val="20"/>
          <w:highlight w:val="none"/>
          <w:lang w:val="en-US" w:eastAsia="zh-CN" w:bidi="ar-SA"/>
        </w:rPr>
        <w:t>、网站、电子邮件、新闻发布会、广告、通讯简报、年度报告、热线电话等。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企业如决定与外部相关方就其能源管理体系运行情况进行信息交流时,应当将其决定形成文件,规定交流方式并予以实施。</w:t>
      </w:r>
    </w:p>
    <w:p>
      <w:pPr>
        <w:pStyle w:val="43"/>
        <w:numPr>
          <w:ilvl w:val="-1"/>
          <w:numId w:val="0"/>
        </w:numPr>
        <w:spacing w:before="156" w:after="156"/>
        <w:ind w:left="0"/>
        <w:rPr>
          <w:rFonts w:hint="default"/>
          <w:highlight w:val="none"/>
          <w:lang w:val="en-US" w:eastAsia="zh-CN"/>
        </w:rPr>
      </w:pPr>
      <w:r>
        <w:rPr>
          <w:rFonts w:hint="eastAsia"/>
          <w:highlight w:val="none"/>
          <w:lang w:val="en-US" w:eastAsia="zh-CN"/>
        </w:rPr>
        <w:t>7.5  文件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企业应建立、实施并保持能源管理体系文件,以确保能源管理体系的有效实施和持续改进。文件的形式可以是纸质文件、电子媒体或其他形式体现。</w:t>
      </w:r>
    </w:p>
    <w:p>
      <w:pPr>
        <w:pStyle w:val="24"/>
        <w:keepNext w:val="0"/>
        <w:keepLines w:val="0"/>
        <w:pageBreakBefore w:val="0"/>
        <w:widowControl/>
        <w:numPr>
          <w:ilvl w:val="-1"/>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能源管理体系文件可包括:</w:t>
      </w:r>
    </w:p>
    <w:p>
      <w:pPr>
        <w:pStyle w:val="24"/>
        <w:keepNext w:val="0"/>
        <w:keepLines w:val="0"/>
        <w:pageBreakBefore w:val="0"/>
        <w:widowControl/>
        <w:numPr>
          <w:ilvl w:val="0"/>
          <w:numId w:val="18"/>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管理手册；</w:t>
      </w:r>
    </w:p>
    <w:p>
      <w:pPr>
        <w:pStyle w:val="24"/>
        <w:keepNext w:val="0"/>
        <w:keepLines w:val="0"/>
        <w:pageBreakBefore w:val="0"/>
        <w:widowControl/>
        <w:numPr>
          <w:ilvl w:val="0"/>
          <w:numId w:val="18"/>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能源目标、能源指标和能源管理实施方案</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18"/>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保证能源管理体系有效实施和运行的作业文件</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18"/>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企业适用的外来文件。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体系文件之间需相互联系、相互印证。文件的详尽程度,具有明确的标识（标题、日期、标号等），明确适用范围、时间，应足以描述能源管理体系及其各部分协同运作的情况,并指出获取能源管理体系某一部分运行得更详细的信息的途径。</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企业可将能源管理体系文件纳入所实施的其他体系的文件中。能源管理体系文件应与原有的能源管理措施充分结合,以有效性和满足能源管理体系相关要求为原则,尽量减少新编文件、清单的种类和数量。</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8  运行控制</w:t>
      </w:r>
    </w:p>
    <w:p>
      <w:pPr>
        <w:pStyle w:val="43"/>
        <w:numPr>
          <w:ilvl w:val="-1"/>
          <w:numId w:val="0"/>
        </w:numPr>
        <w:spacing w:before="156" w:after="156"/>
        <w:ind w:left="0"/>
        <w:rPr>
          <w:rFonts w:hint="default"/>
          <w:highlight w:val="none"/>
          <w:lang w:val="en-US" w:eastAsia="zh-CN"/>
        </w:rPr>
      </w:pPr>
      <w:r>
        <w:rPr>
          <w:rFonts w:hint="eastAsia"/>
          <w:highlight w:val="none"/>
          <w:lang w:val="en-US" w:eastAsia="zh-CN"/>
        </w:rPr>
        <w:t>8.1 运行策划和控制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为实现能源目标,企业应策划与主要能源使用相关的运行和维护活动,使之与能源方针、能源目标、指标和能源管理实施方案一致。</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的能源购人储存、加工转换、输送分配、最终使用、余热余能回收利用等环节可通过实施能源计划管理、能源管控与调度、用能过程管理、能源管理实施方案的运行与控制等活动确保能源目标和能源指标的实现。</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需策划与主要能源使用相关的运行过程,规定在运行条件下,建立与能源方针、能源绩效参数、能源目标、指标相一致的运行准则,将运行控制准则传达给为企业或代表企业工作的人员。主要能源使用的运行控制应包括:</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8.1.1</w:t>
      </w:r>
      <w:r>
        <w:rPr>
          <w:rFonts w:hint="eastAsia" w:ascii="宋体" w:hAnsi="Times New Roman" w:eastAsia="宋体" w:cs="Times New Roman"/>
          <w:kern w:val="0"/>
          <w:sz w:val="21"/>
          <w:szCs w:val="20"/>
          <w:highlight w:val="none"/>
          <w:lang w:val="en-US" w:eastAsia="zh-CN" w:bidi="ar-SA"/>
        </w:rPr>
        <w:t>主要用能设备、设施、系统、过程的配置及控制维护:</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主要用能设备、设施、系统、过程需合理匹配;</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建立并实施主要生产系统、辅助生产系统、附属生产系统中主要用能设备(系统)的运行准20则,确定运行控制方式并实施,包括合理的设备及管道管线的维修、保养、更新和抢修,确保主要用能设备达到经济运行状态;</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高耗能设备需建立台账,其使用严格执行有关法律、法规、特种设备安全技术规范和标准的要求,确保设备及其相关系统安全、经济运行，逐步淘汰或改造落后的生产工艺和耗能设备。</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8.1.2</w:t>
      </w:r>
      <w:r>
        <w:rPr>
          <w:rFonts w:hint="eastAsia" w:ascii="宋体" w:hAnsi="Times New Roman" w:eastAsia="宋体" w:cs="Times New Roman"/>
          <w:kern w:val="0"/>
          <w:sz w:val="21"/>
          <w:szCs w:val="20"/>
          <w:highlight w:val="none"/>
          <w:lang w:val="en-US" w:eastAsia="zh-CN" w:bidi="ar-SA"/>
        </w:rPr>
        <w:t xml:space="preserve"> 生产计划调度的管理: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生产计划需关注生产安排的均衡性、季节性;</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 生产调度应关注不同产品、不同工序及辅助生产系统的用能综合协调,进行合理调度;</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 企业应建立非正常开/停机应急方案，并关注节能措施。</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8.1.3 </w:t>
      </w:r>
      <w:r>
        <w:rPr>
          <w:rFonts w:hint="eastAsia" w:ascii="宋体" w:hAnsi="Times New Roman" w:eastAsia="宋体" w:cs="Times New Roman"/>
          <w:kern w:val="0"/>
          <w:sz w:val="21"/>
          <w:szCs w:val="20"/>
          <w:highlight w:val="none"/>
          <w:lang w:val="en-US" w:eastAsia="zh-CN" w:bidi="ar-SA"/>
        </w:rPr>
        <w:t>生产过程的管理: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企业应制定有利于节能生产的操作规程,配备具备相应能力的人员,按照操作规程对生产中的能源绩效参数及相关变量进行控制;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企业应定期对能源使用和能源消耗状况进行评价,优化工艺流程和工艺参数,不断识别最佳可行技术和操作规范并予以实施。</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8.1.4 </w:t>
      </w:r>
      <w:r>
        <w:rPr>
          <w:rFonts w:hint="eastAsia" w:ascii="宋体" w:hAnsi="Times New Roman" w:eastAsia="宋体" w:cs="Times New Roman"/>
          <w:kern w:val="0"/>
          <w:sz w:val="21"/>
          <w:szCs w:val="20"/>
          <w:highlight w:val="none"/>
          <w:lang w:val="en-US" w:eastAsia="zh-CN" w:bidi="ar-SA"/>
        </w:rPr>
        <w:t>能源储运、能源转换管理: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建立能源储运、加工转换、输送分配和最终使用管理制度,提高能源利用效率。企业需实施能源系统各环节、各用能单元能源量(如电、汽等)平衡方案,合理安排如还原闪蒸汽、尾气、废水、废料等梯级利用能源。</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8.1.5 </w:t>
      </w:r>
      <w:r>
        <w:rPr>
          <w:rFonts w:hint="eastAsia" w:ascii="宋体" w:hAnsi="Times New Roman" w:eastAsia="宋体" w:cs="Times New Roman"/>
          <w:kern w:val="0"/>
          <w:sz w:val="21"/>
          <w:szCs w:val="20"/>
          <w:highlight w:val="none"/>
          <w:lang w:val="en-US" w:eastAsia="zh-CN" w:bidi="ar-SA"/>
        </w:rPr>
        <w:t>电气运行节能管理:</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企业应进行全厂电平衡分析,统计分析各主要设备耗电量变化情况,积极采用管理和技术措施降低设备耗电量;</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企业应加强重点工序及用电设备用电监控，对如还原炉、电解氢等电耗进行定期分析优化;</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企业应淘汰更新国家明令楼止/限制使用的落后电动机,采用高效节能电动机。</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8.1.6</w:t>
      </w:r>
      <w:r>
        <w:rPr>
          <w:rFonts w:hint="eastAsia" w:ascii="宋体" w:hAnsi="Times New Roman" w:eastAsia="宋体" w:cs="Times New Roman"/>
          <w:kern w:val="0"/>
          <w:sz w:val="21"/>
          <w:szCs w:val="20"/>
          <w:highlight w:val="none"/>
          <w:lang w:val="en-US" w:eastAsia="zh-CN" w:bidi="ar-SA"/>
        </w:rPr>
        <w:t>设备检修节能管理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企业应建立主要耗能设备设施的巡查制度，消除生产设备的“跑、冒、滴、漏”现象,解决设</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备磨损，减少能源损失，提高设备健康水平;</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企业应在检修前科学制定检修目标、方案措施、作业指导书、检修标准,并严格检修工艺,认真组织实施,确保修后达到预期效果。</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8.1.6</w:t>
      </w:r>
      <w:r>
        <w:rPr>
          <w:rFonts w:hint="eastAsia" w:ascii="宋体" w:hAnsi="Times New Roman" w:eastAsia="宋体" w:cs="Times New Roman"/>
          <w:kern w:val="0"/>
          <w:sz w:val="21"/>
          <w:szCs w:val="20"/>
          <w:highlight w:val="none"/>
          <w:lang w:val="en-US" w:eastAsia="zh-CN" w:bidi="ar-SA"/>
        </w:rPr>
        <w:t>保温节能管理: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企业应确保热力设备、管道及其附件的保温结构外表面温度合格</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8.1.7</w:t>
      </w:r>
      <w:r>
        <w:rPr>
          <w:rFonts w:hint="eastAsia" w:ascii="宋体" w:hAnsi="Times New Roman" w:eastAsia="宋体" w:cs="Times New Roman"/>
          <w:kern w:val="0"/>
          <w:sz w:val="21"/>
          <w:szCs w:val="20"/>
          <w:highlight w:val="none"/>
          <w:lang w:val="en-US" w:eastAsia="zh-CN" w:bidi="ar-SA"/>
        </w:rPr>
        <w:t>事故应急措施:</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企业应建立事故应急管理制度,针对可能发生的事故,制定应急预案、配备应急物资,委派事故处理责任人,在发生能源事故时以保证人员生金财产安全为前提,最大限度地减少能源和资源的浪费。</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8.2 设计</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在对设施、设备、系统和用能过程进行新建、改造和翻新设计时，如果该设计在计划的或预期的运行期内可能对能源绩效产生显著影响。</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应考虑能源绩效改进机会和运行控制。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适用时,应将上述考虑能源绩效的结果纳入规范、设计和采购活动中。</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应保留与能源绩效相关的设计活动的文件化信息。</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8.3 采购</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在采购预期对</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的能源绩效产生显著影响的用能产品、设备和服务时，</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应建立并实施准则。以评价在计划的或预期的运行期内的能源绩效。</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在采购对主要能源使用产生或可能产生影响的用能产品、设备和服务时，</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应告知供应商能源绩效是采购评价准则之一。</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适用时,</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应确定和沟通规范，用于:</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8.3.1</w:t>
      </w:r>
      <w:r>
        <w:rPr>
          <w:rFonts w:hint="eastAsia" w:ascii="宋体" w:hAnsi="Times New Roman" w:eastAsia="宋体" w:cs="Times New Roman"/>
          <w:kern w:val="0"/>
          <w:sz w:val="21"/>
          <w:szCs w:val="20"/>
          <w:highlight w:val="none"/>
          <w:lang w:val="en-US" w:eastAsia="zh-CN" w:bidi="ar-SA"/>
        </w:rPr>
        <w:t>确保采购的设备和服务的能源绩效</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设备采购时应优先选择节能型设备设施。</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企业应识别对能源使用和能源消耗有较大影响的产品及质量参数,明确相关采购要求，并进行进货检验或验证。</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default"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能源服务采购包括单不限于能源系统和主要耗能设备设施的清洗、检测、维修维护、合同能源管理、能源测试、能源诊断、能源规划等。企业应建立选择、评价能源服务相关方的控制准则及要求。</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8.3.2 </w:t>
      </w:r>
      <w:r>
        <w:rPr>
          <w:rFonts w:hint="eastAsia" w:ascii="宋体" w:hAnsi="Times New Roman" w:eastAsia="宋体" w:cs="Times New Roman"/>
          <w:kern w:val="0"/>
          <w:sz w:val="21"/>
          <w:szCs w:val="20"/>
          <w:highlight w:val="none"/>
          <w:lang w:val="en-US" w:eastAsia="zh-CN" w:bidi="ar-SA"/>
        </w:rPr>
        <w:t>采购能源</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企业应制定并执行能源采购制度,选择能源供方并实施控制;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采购合同需明确能源质量的要求(如蒸汽压力、温度);</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能源入库时进行能源质量检验和计量。</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9 绩效评价</w:t>
      </w:r>
    </w:p>
    <w:p>
      <w:pPr>
        <w:pStyle w:val="43"/>
        <w:keepNext w:val="0"/>
        <w:keepLines w:val="0"/>
        <w:pageBreakBefore w:val="0"/>
        <w:widowControl/>
        <w:numPr>
          <w:ilvl w:val="1"/>
          <w:numId w:val="0"/>
        </w:numPr>
        <w:kinsoku/>
        <w:wordWrap/>
        <w:overflowPunct/>
        <w:topLinePunct w:val="0"/>
        <w:autoSpaceDE w:val="0"/>
        <w:autoSpaceDN w:val="0"/>
        <w:bidi w:val="0"/>
        <w:adjustRightInd/>
        <w:snapToGrid/>
        <w:spacing w:before="156" w:after="156" w:line="440" w:lineRule="exact"/>
        <w:ind w:firstLine="420"/>
        <w:textAlignment w:val="auto"/>
        <w:rPr>
          <w:rFonts w:hint="eastAsia" w:ascii="黑体" w:hAnsi="Times New Roman" w:eastAsia="黑体" w:cs="Times New Roman"/>
          <w:kern w:val="0"/>
          <w:sz w:val="21"/>
          <w:szCs w:val="21"/>
          <w:highlight w:val="none"/>
          <w:lang w:val="en-US" w:eastAsia="zh-CN" w:bidi="ar-SA"/>
        </w:rPr>
      </w:pPr>
      <w:r>
        <w:rPr>
          <w:rFonts w:hint="eastAsia" w:ascii="黑体" w:hAnsi="Times New Roman" w:eastAsia="黑体" w:cs="Times New Roman"/>
          <w:kern w:val="0"/>
          <w:sz w:val="21"/>
          <w:szCs w:val="21"/>
          <w:highlight w:val="none"/>
          <w:lang w:val="en-US" w:eastAsia="zh-CN" w:bidi="ar-SA"/>
        </w:rPr>
        <w:t>9.1能源绩效和能源管理体系的监视、测量、分析和评价</w:t>
      </w:r>
    </w:p>
    <w:p>
      <w:pPr>
        <w:keepNext w:val="0"/>
        <w:keepLines w:val="0"/>
        <w:widowControl/>
        <w:suppressLineNumbers w:val="0"/>
        <w:ind w:firstLine="420" w:firstLineChars="200"/>
        <w:jc w:val="left"/>
        <w:rPr>
          <w:rFonts w:hint="eastAsia" w:ascii="宋体" w:hAnsi="Times New Roman" w:eastAsia="宋体" w:cs="Times New Roman"/>
          <w:kern w:val="0"/>
          <w:szCs w:val="20"/>
          <w:highlight w:val="none"/>
        </w:rPr>
      </w:pPr>
      <w:r>
        <w:rPr>
          <w:rFonts w:hint="eastAsia" w:ascii="宋体" w:hAnsi="Times New Roman" w:eastAsia="宋体" w:cs="Times New Roman"/>
          <w:b w:val="0"/>
          <w:bCs w:val="0"/>
          <w:kern w:val="0"/>
          <w:sz w:val="21"/>
          <w:szCs w:val="20"/>
          <w:highlight w:val="none"/>
          <w:lang w:val="en-US" w:eastAsia="zh-CN" w:bidi="ar-SA"/>
        </w:rPr>
        <w:t>9.1.1 总则</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企业应针对能源绩效和能源管理体系确定:</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9.1.1.1 </w:t>
      </w:r>
      <w:r>
        <w:rPr>
          <w:rFonts w:hint="eastAsia" w:ascii="宋体" w:hAnsi="Times New Roman" w:eastAsia="宋体" w:cs="Times New Roman"/>
          <w:kern w:val="0"/>
          <w:sz w:val="21"/>
          <w:szCs w:val="20"/>
          <w:highlight w:val="none"/>
          <w:lang w:val="en-US" w:eastAsia="zh-CN" w:bidi="ar-SA"/>
        </w:rPr>
        <w:t>需要监视和测量的内容，至少应包括以下关键特性:</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实现目标和能源指标的措施计划的有效性</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能源绩效参数</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主要能源使用的运行</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d)</w:t>
      </w:r>
      <w:r>
        <w:rPr>
          <w:rFonts w:hint="eastAsia" w:ascii="宋体" w:hAnsi="Times New Roman" w:eastAsia="宋体" w:cs="Times New Roman"/>
          <w:kern w:val="0"/>
          <w:sz w:val="21"/>
          <w:szCs w:val="20"/>
          <w:highlight w:val="none"/>
          <w:lang w:val="en-US" w:eastAsia="zh-CN" w:bidi="ar-SA"/>
        </w:rPr>
        <w:t>实际能源消耗与预期能源消耗的对比</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9.1.1.2 </w:t>
      </w:r>
      <w:r>
        <w:rPr>
          <w:rFonts w:hint="eastAsia" w:ascii="宋体" w:hAnsi="Times New Roman" w:eastAsia="宋体" w:cs="Times New Roman"/>
          <w:kern w:val="0"/>
          <w:sz w:val="21"/>
          <w:szCs w:val="20"/>
          <w:highlight w:val="none"/>
          <w:lang w:val="en-US" w:eastAsia="zh-CN" w:bidi="ar-SA"/>
        </w:rPr>
        <w:t>适用的监视、测量、分析和评价的方法，以确保有效的结果</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何时应进行监视和测量。</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何时应分析、评价监视和测量的结果。</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default"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 参照GB/T2589 计算公司综合能耗。</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企业应对其能源绩效和能源管理体系的有效性进行评价。企业应通过能源绩效参数值与相应的能源基准对比评价能源绩效的改进</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应对能源绩效的严重偏离进行调查和响应</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应保留这些调查和响应结果的文件化信息</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保留适当的有关监视和测量结果的文件化信息。</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9.1.2 与法律法规及其他要求合规性的评价</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企业应按计划的时间间隔,评价与其能源效率、能源使用、能源消耗和能源管理体系相关的法律法规及其他要求的合规性，</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应保留合规性评价的结果和所采取任何措施的文件化信息。</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9.2 内部审核</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w:t>
      </w:r>
      <w:r>
        <w:rPr>
          <w:rFonts w:hint="eastAsia" w:cs="Times New Roman"/>
          <w:kern w:val="0"/>
          <w:sz w:val="21"/>
          <w:szCs w:val="20"/>
          <w:highlight w:val="none"/>
          <w:lang w:val="en-US" w:eastAsia="zh-CN" w:bidi="ar-SA"/>
        </w:rPr>
        <w:t>参照GB/T19011</w:t>
      </w:r>
      <w:r>
        <w:rPr>
          <w:rFonts w:hint="eastAsia" w:ascii="宋体" w:hAnsi="Times New Roman" w:eastAsia="宋体" w:cs="Times New Roman"/>
          <w:kern w:val="0"/>
          <w:sz w:val="21"/>
          <w:szCs w:val="20"/>
          <w:highlight w:val="none"/>
          <w:lang w:val="en-US" w:eastAsia="zh-CN" w:bidi="ar-SA"/>
        </w:rPr>
        <w:t>按计划的时间间隔对能源管理体系实施内部审核，以提供能源管理体系下列信息：</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a) 是否改进能源绩效。</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b）是否符合:</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1)</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自身对能源管理体系的要求</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2)</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制定的能源方针、目标和能源指标</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3)本标准的要求</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c)是否得到了有效实施和保持</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9.2.2 </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a） 策划、建立、实施和保持一个或多个审核方案,包括频次、方法、职责、策划要求和报告。该审核方案必须考虑到相关过程的重要性和以往审核的结果</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b) 确定每次审核的审核准则和范围</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c) 选择审核员并实施审核，确保审核过程的客观性和公正性</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d）确保向相关管理者报告审核结果</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e）保留文件化信息,作为实施审核方案以及审核结果的证据</w:t>
      </w:r>
      <w:r>
        <w:rPr>
          <w:rFonts w:hint="eastAsia" w:cs="Times New Roman"/>
          <w:kern w:val="0"/>
          <w:sz w:val="21"/>
          <w:szCs w:val="20"/>
          <w:highlight w:val="none"/>
          <w:lang w:val="en-US" w:eastAsia="zh-CN" w:bidi="ar-SA"/>
        </w:rPr>
        <w:t>。</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9.3  管理评审</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9.3.1 最高管理者应按照计划的时间间隔对</w:t>
      </w:r>
      <w:r>
        <w:rPr>
          <w:rFonts w:hint="eastAsia"/>
          <w:highlight w:val="none"/>
          <w:lang w:val="en-US" w:eastAsia="zh-CN"/>
        </w:rPr>
        <w:t>企业</w:t>
      </w:r>
      <w:r>
        <w:rPr>
          <w:rFonts w:hint="eastAsia"/>
          <w:highlight w:val="none"/>
        </w:rPr>
        <w:t>的能源管理体系进行评审，以确保其持续的适宜性</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eastAsia="宋体"/>
          <w:highlight w:val="none"/>
          <w:lang w:eastAsia="zh-CN"/>
        </w:rPr>
      </w:pPr>
      <w:r>
        <w:rPr>
          <w:rFonts w:hint="eastAsia"/>
          <w:highlight w:val="none"/>
        </w:rPr>
        <w:t>充分性和有效性，并与</w:t>
      </w:r>
      <w:r>
        <w:rPr>
          <w:rFonts w:hint="eastAsia"/>
          <w:highlight w:val="none"/>
          <w:lang w:eastAsia="zh-CN"/>
        </w:rPr>
        <w:t>企业</w:t>
      </w:r>
      <w:r>
        <w:rPr>
          <w:rFonts w:hint="eastAsia"/>
          <w:highlight w:val="none"/>
        </w:rPr>
        <w:t>的战略方向保持一致</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9.3.2 管理评审应包括对下列事项的考虑:</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a</w:t>
      </w:r>
      <w:r>
        <w:rPr>
          <w:rFonts w:hint="eastAsia"/>
          <w:highlight w:val="none"/>
          <w:lang w:eastAsia="zh-CN"/>
        </w:rPr>
        <w:t>）</w:t>
      </w:r>
      <w:r>
        <w:rPr>
          <w:rFonts w:hint="eastAsia"/>
          <w:highlight w:val="none"/>
          <w:lang w:val="en-US" w:eastAsia="zh-CN"/>
        </w:rPr>
        <w:t xml:space="preserve"> </w:t>
      </w:r>
      <w:r>
        <w:rPr>
          <w:rFonts w:hint="eastAsia"/>
          <w:highlight w:val="none"/>
        </w:rPr>
        <w:t>以往管理评审所采取措施的状况</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lang w:eastAsia="zh-CN"/>
        </w:rPr>
      </w:pPr>
      <w:r>
        <w:rPr>
          <w:rFonts w:hint="eastAsia"/>
          <w:highlight w:val="none"/>
          <w:lang w:val="en-US" w:eastAsia="zh-CN"/>
        </w:rPr>
        <w:t xml:space="preserve">b） </w:t>
      </w:r>
      <w:r>
        <w:rPr>
          <w:rFonts w:hint="eastAsia"/>
          <w:highlight w:val="none"/>
        </w:rPr>
        <w:t>与能源管理体系相关的外部和内部因素</w:t>
      </w:r>
      <w:r>
        <w:rPr>
          <w:rFonts w:hint="eastAsia"/>
          <w:highlight w:val="none"/>
          <w:lang w:eastAsia="zh-CN"/>
        </w:rPr>
        <w:t>，</w:t>
      </w:r>
      <w:r>
        <w:rPr>
          <w:rFonts w:hint="eastAsia"/>
          <w:highlight w:val="none"/>
        </w:rPr>
        <w:t>以及相关的风险和机遇的变化</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lang w:eastAsia="zh-CN"/>
        </w:rPr>
      </w:pPr>
      <w:r>
        <w:rPr>
          <w:rFonts w:hint="eastAsia"/>
          <w:highlight w:val="none"/>
          <w:lang w:val="en-US" w:eastAsia="zh-CN"/>
        </w:rPr>
        <w:t xml:space="preserve">c)  </w:t>
      </w:r>
      <w:r>
        <w:rPr>
          <w:rFonts w:hint="eastAsia"/>
          <w:highlight w:val="none"/>
        </w:rPr>
        <w:t>能源管理体系绩效方面的信息,包括</w:t>
      </w:r>
      <w:r>
        <w:rPr>
          <w:rFonts w:hint="eastAsia"/>
          <w:highlight w:val="none"/>
          <w:lang w:val="en-US" w:eastAsia="zh-CN"/>
        </w:rPr>
        <w:t>：</w:t>
      </w:r>
      <w:r>
        <w:rPr>
          <w:rFonts w:hint="eastAsia"/>
          <w:highlight w:val="none"/>
        </w:rPr>
        <w:t>不符合和纠正措施</w:t>
      </w:r>
      <w:r>
        <w:rPr>
          <w:rFonts w:hint="eastAsia"/>
          <w:highlight w:val="none"/>
          <w:lang w:eastAsia="zh-CN"/>
        </w:rPr>
        <w:t>、</w:t>
      </w:r>
      <w:r>
        <w:rPr>
          <w:rFonts w:hint="eastAsia"/>
          <w:highlight w:val="none"/>
        </w:rPr>
        <w:t>监视和测量结果</w:t>
      </w:r>
      <w:r>
        <w:rPr>
          <w:rFonts w:hint="eastAsia"/>
          <w:highlight w:val="none"/>
          <w:lang w:eastAsia="zh-CN"/>
        </w:rPr>
        <w:t>、</w:t>
      </w:r>
      <w:r>
        <w:rPr>
          <w:rFonts w:hint="eastAsia"/>
          <w:highlight w:val="none"/>
        </w:rPr>
        <w:t xml:space="preserve"> 审核结果</w:t>
      </w:r>
      <w:r>
        <w:rPr>
          <w:rFonts w:hint="eastAsia"/>
          <w:highlight w:val="none"/>
          <w:lang w:val="en-US" w:eastAsia="zh-CN"/>
        </w:rPr>
        <w:t>和</w:t>
      </w:r>
      <w:r>
        <w:rPr>
          <w:rFonts w:hint="eastAsia"/>
          <w:highlight w:val="none"/>
        </w:rPr>
        <w:t>法律法规及其他要求的合规性评价结果</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lang w:val="en-US" w:eastAsia="zh-CN"/>
        </w:rPr>
        <w:t xml:space="preserve">d) </w:t>
      </w:r>
      <w:r>
        <w:rPr>
          <w:rFonts w:hint="eastAsia"/>
          <w:highlight w:val="none"/>
        </w:rPr>
        <w:t>持续改进的机会</w:t>
      </w:r>
      <w:r>
        <w:rPr>
          <w:rFonts w:hint="eastAsia"/>
          <w:highlight w:val="none"/>
          <w:lang w:eastAsia="zh-CN"/>
        </w:rPr>
        <w:t>，</w:t>
      </w:r>
      <w:r>
        <w:rPr>
          <w:rFonts w:hint="eastAsia"/>
          <w:highlight w:val="none"/>
        </w:rPr>
        <w:t>包括人员能力。</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e)能源方针。</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9.3.3 作为管理评审输人的能源绩效信息应包括</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a) 目</w:t>
      </w:r>
      <w:r>
        <w:rPr>
          <w:rFonts w:hint="eastAsia"/>
          <w:highlight w:val="none"/>
        </w:rPr>
        <w:t>标和能源指标的实现程度</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b）</w:t>
      </w:r>
      <w:r>
        <w:rPr>
          <w:rFonts w:hint="eastAsia"/>
          <w:highlight w:val="none"/>
        </w:rPr>
        <w:t>基于监视和测量结果(包括能源绩效参数)的能源绩效和能源绩效改进</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lang w:val="en-US" w:eastAsia="zh-CN"/>
        </w:rPr>
        <w:t>c）</w:t>
      </w:r>
      <w:r>
        <w:rPr>
          <w:rFonts w:hint="eastAsia"/>
          <w:highlight w:val="none"/>
        </w:rPr>
        <w:t>措施计划的状况。</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9.3.4 管理评审的输出应包括与持续改进机会相关的决策,以及与能源管理体系变更的任何需求相关的决策,具体包括:</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a)</w:t>
      </w:r>
      <w:r>
        <w:rPr>
          <w:rFonts w:hint="eastAsia"/>
          <w:highlight w:val="none"/>
          <w:lang w:val="en-US" w:eastAsia="zh-CN"/>
        </w:rPr>
        <w:t xml:space="preserve">  </w:t>
      </w:r>
      <w:r>
        <w:rPr>
          <w:rFonts w:hint="eastAsia"/>
          <w:highlight w:val="none"/>
        </w:rPr>
        <w:t>改进能源绩效的机会</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 xml:space="preserve">b） </w:t>
      </w:r>
      <w:r>
        <w:rPr>
          <w:rFonts w:hint="eastAsia"/>
          <w:highlight w:val="none"/>
        </w:rPr>
        <w:t>能源方针</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 xml:space="preserve">c） </w:t>
      </w:r>
      <w:r>
        <w:rPr>
          <w:rFonts w:hint="eastAsia"/>
          <w:highlight w:val="none"/>
        </w:rPr>
        <w:t>能源绩效参数或能源基准</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lang w:eastAsia="zh-CN"/>
        </w:rPr>
      </w:pPr>
      <w:r>
        <w:rPr>
          <w:rFonts w:hint="eastAsia"/>
          <w:highlight w:val="none"/>
          <w:lang w:val="en-US" w:eastAsia="zh-CN"/>
        </w:rPr>
        <w:t xml:space="preserve">d） </w:t>
      </w:r>
      <w:r>
        <w:rPr>
          <w:rFonts w:hint="eastAsia"/>
          <w:highlight w:val="none"/>
        </w:rPr>
        <w:t>目标、能源指标、措施计划或能源管理体系的其他要素，及其未实现时将采取的措施</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default"/>
          <w:highlight w:val="none"/>
          <w:lang w:val="en-US" w:eastAsia="zh-CN"/>
        </w:rPr>
      </w:pPr>
      <w:r>
        <w:rPr>
          <w:rFonts w:hint="eastAsia"/>
          <w:highlight w:val="none"/>
          <w:lang w:val="en-US" w:eastAsia="zh-CN"/>
        </w:rPr>
        <w:t>e）参照GB/T13234的方法计算年度节能量</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f</w:t>
      </w:r>
      <w:r>
        <w:rPr>
          <w:rFonts w:hint="eastAsia"/>
          <w:highlight w:val="none"/>
          <w:lang w:eastAsia="zh-CN"/>
        </w:rPr>
        <w:t>）</w:t>
      </w:r>
      <w:r>
        <w:rPr>
          <w:rFonts w:hint="eastAsia"/>
          <w:highlight w:val="none"/>
          <w:lang w:val="en-US" w:eastAsia="zh-CN"/>
        </w:rPr>
        <w:t xml:space="preserve"> </w:t>
      </w:r>
      <w:r>
        <w:rPr>
          <w:rFonts w:hint="eastAsia"/>
          <w:highlight w:val="none"/>
        </w:rPr>
        <w:t>改进融人业务过程的机会</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g</w:t>
      </w:r>
      <w:r>
        <w:rPr>
          <w:rFonts w:hint="eastAsia"/>
          <w:highlight w:val="none"/>
          <w:lang w:eastAsia="zh-CN"/>
        </w:rPr>
        <w:t>）</w:t>
      </w:r>
      <w:r>
        <w:rPr>
          <w:rFonts w:hint="eastAsia"/>
          <w:highlight w:val="none"/>
          <w:lang w:val="en-US" w:eastAsia="zh-CN"/>
        </w:rPr>
        <w:t xml:space="preserve"> </w:t>
      </w:r>
      <w:r>
        <w:rPr>
          <w:rFonts w:hint="eastAsia"/>
          <w:highlight w:val="none"/>
        </w:rPr>
        <w:t>资源分配</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h</w:t>
      </w:r>
      <w:r>
        <w:rPr>
          <w:rFonts w:hint="eastAsia"/>
          <w:highlight w:val="none"/>
        </w:rPr>
        <w:t>)</w:t>
      </w:r>
      <w:r>
        <w:rPr>
          <w:rFonts w:hint="eastAsia"/>
          <w:highlight w:val="none"/>
          <w:lang w:val="en-US" w:eastAsia="zh-CN"/>
        </w:rPr>
        <w:t xml:space="preserve">  </w:t>
      </w:r>
      <w:r>
        <w:rPr>
          <w:rFonts w:hint="eastAsia"/>
          <w:highlight w:val="none"/>
        </w:rPr>
        <w:t>能力、意识和沟通的改</w:t>
      </w:r>
      <w:r>
        <w:rPr>
          <w:rFonts w:hint="eastAsia"/>
          <w:highlight w:val="none"/>
          <w:lang w:val="en-US" w:eastAsia="zh-CN"/>
        </w:rPr>
        <w:t>进</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eastAsia="zh-CN"/>
        </w:rPr>
        <w:t>企业</w:t>
      </w:r>
      <w:r>
        <w:rPr>
          <w:rFonts w:hint="eastAsia"/>
          <w:highlight w:val="none"/>
        </w:rPr>
        <w:t>应保留文件化信息，作为管理评审结果的证据</w:t>
      </w:r>
      <w:r>
        <w:rPr>
          <w:rFonts w:hint="eastAsia"/>
          <w:highlight w:val="none"/>
          <w:lang w:eastAsia="zh-CN"/>
        </w:rPr>
        <w:t>。</w:t>
      </w:r>
    </w:p>
    <w:p>
      <w:pPr>
        <w:pStyle w:val="43"/>
        <w:numPr>
          <w:ilvl w:val="-1"/>
          <w:numId w:val="0"/>
        </w:numPr>
        <w:spacing w:before="156" w:after="156"/>
        <w:ind w:left="0"/>
        <w:rPr>
          <w:rFonts w:hint="default"/>
          <w:highlight w:val="none"/>
          <w:lang w:val="en-US" w:eastAsia="zh-CN"/>
        </w:rPr>
      </w:pPr>
      <w:r>
        <w:rPr>
          <w:rFonts w:hint="eastAsia"/>
          <w:highlight w:val="none"/>
          <w:lang w:val="en-US" w:eastAsia="zh-CN"/>
        </w:rPr>
        <w:t>10  改进</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10.1 不符合和纠正措施</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发现不符合时，</w:t>
      </w:r>
      <w:r>
        <w:rPr>
          <w:rFonts w:hint="eastAsia"/>
          <w:highlight w:val="none"/>
          <w:lang w:eastAsia="zh-CN"/>
        </w:rPr>
        <w:t>企业</w:t>
      </w:r>
      <w:r>
        <w:rPr>
          <w:rFonts w:hint="eastAsia"/>
          <w:highlight w:val="none"/>
        </w:rPr>
        <w:t>应:</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a) 对不符合做出响应.适用时采取措施控制并纠正不符合</w:t>
      </w:r>
      <w:r>
        <w:rPr>
          <w:rFonts w:hint="eastAsia"/>
          <w:highlight w:val="none"/>
          <w:lang w:val="en-US" w:eastAsia="zh-CN"/>
        </w:rPr>
        <w:t>和</w:t>
      </w:r>
      <w:r>
        <w:rPr>
          <w:rFonts w:hint="eastAsia"/>
          <w:highlight w:val="none"/>
        </w:rPr>
        <w:t>处理后果。</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b)通过评审不符合</w:t>
      </w:r>
      <w:r>
        <w:rPr>
          <w:rFonts w:hint="eastAsia"/>
          <w:highlight w:val="none"/>
          <w:lang w:eastAsia="zh-CN"/>
        </w:rPr>
        <w:t>、</w:t>
      </w:r>
      <w:r>
        <w:rPr>
          <w:rFonts w:hint="eastAsia"/>
          <w:highlight w:val="none"/>
        </w:rPr>
        <w:t>确定不符合的原因</w:t>
      </w:r>
      <w:r>
        <w:rPr>
          <w:rFonts w:hint="eastAsia"/>
          <w:highlight w:val="none"/>
          <w:lang w:eastAsia="zh-CN"/>
        </w:rPr>
        <w:t>、</w:t>
      </w:r>
      <w:r>
        <w:rPr>
          <w:rFonts w:hint="eastAsia"/>
          <w:highlight w:val="none"/>
        </w:rPr>
        <w:t>确定是否存在或可能发生类似的不符合实施任何所需的措施</w:t>
      </w:r>
      <w:r>
        <w:rPr>
          <w:rFonts w:hint="eastAsia"/>
          <w:highlight w:val="none"/>
          <w:lang w:val="en-US" w:eastAsia="zh-CN"/>
        </w:rPr>
        <w:t>等</w:t>
      </w:r>
      <w:r>
        <w:rPr>
          <w:rFonts w:hint="eastAsia"/>
          <w:highlight w:val="none"/>
        </w:rPr>
        <w:t>活动评价消除不符合原因的措施需求，以防止不符合再次发生或在其他地方发生</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c)必要时，对能源管理体系进行变更。</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d) 评审所采取的任何纠正措施的有效性</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纠正措施应与所发生的不符合的影响相适应</w:t>
      </w:r>
      <w:r>
        <w:rPr>
          <w:rFonts w:hint="eastAsia"/>
          <w:highlight w:val="none"/>
          <w:lang w:eastAsia="zh-CN"/>
        </w:rPr>
        <w:t>企业</w:t>
      </w:r>
      <w:r>
        <w:rPr>
          <w:rFonts w:hint="eastAsia"/>
          <w:highlight w:val="none"/>
        </w:rPr>
        <w:t>应保留以下文件化信息</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不符合的性质和所采取的任何后续措施;任何纠正措施的结果。</w:t>
      </w:r>
    </w:p>
    <w:p>
      <w:pPr>
        <w:pStyle w:val="43"/>
        <w:numPr>
          <w:ilvl w:val="-1"/>
          <w:numId w:val="0"/>
        </w:numPr>
        <w:spacing w:before="156" w:after="156"/>
        <w:ind w:left="0"/>
        <w:rPr>
          <w:rFonts w:hint="eastAsia"/>
          <w:highlight w:val="none"/>
          <w:lang w:val="en-US" w:eastAsia="zh-CN"/>
        </w:rPr>
      </w:pPr>
      <w:r>
        <w:rPr>
          <w:rFonts w:hint="eastAsia"/>
          <w:highlight w:val="none"/>
          <w:lang w:val="en-US" w:eastAsia="zh-CN"/>
        </w:rPr>
        <w:t>10.2持续改进</w:t>
      </w:r>
    </w:p>
    <w:p>
      <w:pPr>
        <w:pStyle w:val="24"/>
        <w:ind w:firstLine="420"/>
        <w:rPr>
          <w:rFonts w:hint="eastAsia" w:eastAsia="宋体"/>
          <w:highlight w:val="none"/>
          <w:lang w:eastAsia="zh-CN"/>
        </w:rPr>
      </w:pPr>
      <w:r>
        <w:rPr>
          <w:rFonts w:hint="eastAsia"/>
          <w:highlight w:val="none"/>
          <w:lang w:eastAsia="zh-CN"/>
        </w:rPr>
        <w:t>企业</w:t>
      </w:r>
      <w:r>
        <w:rPr>
          <w:rFonts w:hint="eastAsia"/>
          <w:highlight w:val="none"/>
        </w:rPr>
        <w:t>应持续改进能源管理体系的适宜性、充分性和有效性，</w:t>
      </w:r>
      <w:r>
        <w:rPr>
          <w:rFonts w:hint="eastAsia"/>
          <w:highlight w:val="none"/>
          <w:lang w:eastAsia="zh-CN"/>
        </w:rPr>
        <w:t>企业</w:t>
      </w:r>
      <w:r>
        <w:rPr>
          <w:rFonts w:hint="eastAsia"/>
          <w:highlight w:val="none"/>
        </w:rPr>
        <w:t>应证实能源绩效的持续改进</w:t>
      </w:r>
      <w:r>
        <w:rPr>
          <w:rFonts w:hint="eastAsia"/>
          <w:highlight w:val="none"/>
          <w:lang w:eastAsia="zh-CN"/>
        </w:rPr>
        <w:t>。</w:t>
      </w:r>
    </w:p>
    <w:p>
      <w:pPr>
        <w:ind w:firstLine="420"/>
        <w:rPr>
          <w:rFonts w:hint="eastAsia"/>
          <w:highlight w:val="none"/>
        </w:rPr>
      </w:pPr>
      <w:r>
        <w:rPr>
          <w:rFonts w:hint="eastAsia"/>
          <w:highlight w:val="none"/>
        </w:rPr>
        <w:br w:type="page"/>
      </w:r>
    </w:p>
    <w:bookmarkEnd w:id="63"/>
    <w:bookmarkEnd w:id="64"/>
    <w:bookmarkEnd w:id="65"/>
    <w:bookmarkEnd w:id="66"/>
    <w:bookmarkEnd w:id="67"/>
    <w:bookmarkEnd w:id="68"/>
    <w:bookmarkEnd w:id="69"/>
    <w:p>
      <w:pPr>
        <w:pStyle w:val="24"/>
        <w:ind w:left="707" w:leftChars="202" w:hanging="283" w:hangingChars="135"/>
        <w:jc w:val="center"/>
        <w:outlineLvl w:val="0"/>
        <w:rPr>
          <w:rFonts w:hint="eastAsia"/>
          <w:szCs w:val="21"/>
          <w:highlight w:val="none"/>
        </w:rPr>
      </w:pPr>
      <w:bookmarkStart w:id="70" w:name="_Toc5449"/>
      <w:r>
        <w:rPr>
          <w:rFonts w:hint="eastAsia"/>
          <w:szCs w:val="21"/>
          <w:highlight w:val="none"/>
        </w:rPr>
        <w:t>附录A</w:t>
      </w:r>
      <w:bookmarkEnd w:id="70"/>
    </w:p>
    <w:p>
      <w:pPr>
        <w:pStyle w:val="24"/>
        <w:ind w:left="707" w:leftChars="202" w:hanging="283" w:hangingChars="135"/>
        <w:jc w:val="center"/>
        <w:outlineLvl w:val="0"/>
        <w:rPr>
          <w:rFonts w:hint="eastAsia"/>
          <w:szCs w:val="21"/>
          <w:highlight w:val="none"/>
        </w:rPr>
      </w:pPr>
      <w:bookmarkStart w:id="71" w:name="_Toc20012"/>
      <w:r>
        <w:rPr>
          <w:rFonts w:hint="eastAsia"/>
          <w:szCs w:val="21"/>
          <w:highlight w:val="none"/>
        </w:rPr>
        <w:t>(资料性附录)</w:t>
      </w:r>
      <w:bookmarkEnd w:id="71"/>
    </w:p>
    <w:p>
      <w:pPr>
        <w:pStyle w:val="24"/>
        <w:ind w:left="707" w:leftChars="202" w:hanging="283" w:hangingChars="135"/>
        <w:jc w:val="center"/>
        <w:outlineLvl w:val="0"/>
        <w:rPr>
          <w:rFonts w:hint="eastAsia"/>
          <w:szCs w:val="21"/>
          <w:highlight w:val="none"/>
        </w:rPr>
      </w:pPr>
      <w:bookmarkStart w:id="72" w:name="_Toc30114"/>
      <w:r>
        <w:rPr>
          <w:rFonts w:hint="eastAsia"/>
          <w:szCs w:val="21"/>
          <w:highlight w:val="none"/>
          <w:lang w:val="en-US" w:eastAsia="zh-CN"/>
        </w:rPr>
        <w:t>某硅多晶</w:t>
      </w:r>
      <w:r>
        <w:rPr>
          <w:rFonts w:hint="eastAsia"/>
          <w:szCs w:val="21"/>
          <w:highlight w:val="none"/>
        </w:rPr>
        <w:t>生产企业能源管理评审应用示例</w:t>
      </w:r>
      <w:bookmarkEnd w:id="72"/>
    </w:p>
    <w:p>
      <w:pPr>
        <w:pStyle w:val="24"/>
        <w:ind w:left="707" w:leftChars="202" w:hanging="283" w:hangingChars="135"/>
        <w:rPr>
          <w:rFonts w:hint="eastAsia"/>
          <w:szCs w:val="21"/>
          <w:highlight w:val="none"/>
        </w:rPr>
      </w:pPr>
    </w:p>
    <w:p>
      <w:pPr>
        <w:pStyle w:val="24"/>
        <w:keepNext w:val="0"/>
        <w:keepLines w:val="0"/>
        <w:pageBreakBefore w:val="0"/>
        <w:widowControl/>
        <w:kinsoku/>
        <w:wordWrap/>
        <w:overflowPunct/>
        <w:topLinePunct w:val="0"/>
        <w:autoSpaceDE w:val="0"/>
        <w:autoSpaceDN w:val="0"/>
        <w:bidi w:val="0"/>
        <w:adjustRightInd/>
        <w:snapToGrid/>
        <w:spacing w:line="440" w:lineRule="exact"/>
        <w:ind w:left="707" w:leftChars="202" w:hanging="283" w:hangingChars="135"/>
        <w:textAlignment w:val="auto"/>
        <w:rPr>
          <w:rFonts w:hint="eastAsia"/>
          <w:szCs w:val="21"/>
          <w:highlight w:val="none"/>
        </w:rPr>
      </w:pPr>
      <w:r>
        <w:rPr>
          <w:rFonts w:hint="eastAsia"/>
          <w:szCs w:val="21"/>
          <w:highlight w:val="none"/>
        </w:rPr>
        <w:t>A.1 能源管理体系策划与能源评审示例</w:t>
      </w:r>
    </w:p>
    <w:p>
      <w:pPr>
        <w:pStyle w:val="24"/>
        <w:keepNext w:val="0"/>
        <w:keepLines w:val="0"/>
        <w:pageBreakBefore w:val="0"/>
        <w:widowControl/>
        <w:kinsoku/>
        <w:wordWrap/>
        <w:overflowPunct/>
        <w:topLinePunct w:val="0"/>
        <w:autoSpaceDE w:val="0"/>
        <w:autoSpaceDN w:val="0"/>
        <w:bidi w:val="0"/>
        <w:adjustRightInd/>
        <w:snapToGrid/>
        <w:spacing w:line="440" w:lineRule="exact"/>
        <w:ind w:left="707" w:leftChars="202" w:hanging="283" w:hangingChars="135"/>
        <w:textAlignment w:val="auto"/>
        <w:rPr>
          <w:rFonts w:hint="eastAsia"/>
          <w:szCs w:val="21"/>
          <w:highlight w:val="none"/>
        </w:rPr>
      </w:pPr>
      <w:r>
        <w:rPr>
          <w:rFonts w:hint="eastAsia"/>
          <w:szCs w:val="21"/>
          <w:highlight w:val="none"/>
        </w:rPr>
        <w:t>A.1.1 能源评审输入信息</w:t>
      </w:r>
    </w:p>
    <w:p>
      <w:pPr>
        <w:pStyle w:val="24"/>
        <w:keepNext w:val="0"/>
        <w:keepLines w:val="0"/>
        <w:pageBreakBefore w:val="0"/>
        <w:widowControl/>
        <w:kinsoku/>
        <w:wordWrap/>
        <w:overflowPunct/>
        <w:topLinePunct w:val="0"/>
        <w:autoSpaceDE w:val="0"/>
        <w:autoSpaceDN w:val="0"/>
        <w:bidi w:val="0"/>
        <w:adjustRightInd/>
        <w:snapToGrid/>
        <w:spacing w:line="440" w:lineRule="exact"/>
        <w:ind w:left="707" w:leftChars="202" w:hanging="283" w:hangingChars="135"/>
        <w:textAlignment w:val="auto"/>
        <w:rPr>
          <w:rFonts w:hint="eastAsia"/>
          <w:szCs w:val="21"/>
          <w:highlight w:val="none"/>
        </w:rPr>
      </w:pPr>
      <w:r>
        <w:rPr>
          <w:rFonts w:hint="eastAsia"/>
          <w:szCs w:val="21"/>
          <w:highlight w:val="none"/>
        </w:rPr>
        <w:t>A.1.1.1 工艺流程</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企业主要生产</w:t>
      </w:r>
      <w:r>
        <w:rPr>
          <w:rFonts w:hint="eastAsia"/>
          <w:szCs w:val="21"/>
          <w:highlight w:val="none"/>
          <w:lang w:val="en-US" w:eastAsia="zh-CN"/>
        </w:rPr>
        <w:t>硅多晶</w:t>
      </w:r>
      <w:r>
        <w:rPr>
          <w:rFonts w:hint="eastAsia"/>
          <w:szCs w:val="21"/>
          <w:highlight w:val="none"/>
        </w:rPr>
        <w:t>产品,主要工艺过程包括</w:t>
      </w:r>
      <w:r>
        <w:rPr>
          <w:rFonts w:hint="eastAsia"/>
          <w:szCs w:val="21"/>
          <w:highlight w:val="none"/>
          <w:lang w:val="en-US" w:eastAsia="zh-CN"/>
        </w:rPr>
        <w:t>还原</w:t>
      </w:r>
      <w:r>
        <w:rPr>
          <w:rFonts w:hint="eastAsia"/>
          <w:szCs w:val="21"/>
          <w:highlight w:val="none"/>
        </w:rPr>
        <w:t>、</w:t>
      </w:r>
      <w:r>
        <w:rPr>
          <w:rFonts w:hint="eastAsia"/>
          <w:szCs w:val="21"/>
          <w:highlight w:val="none"/>
          <w:lang w:val="en-US" w:eastAsia="zh-CN"/>
        </w:rPr>
        <w:t>还原尾气干法回收（CDI）、</w:t>
      </w:r>
      <w:r>
        <w:rPr>
          <w:rFonts w:hint="eastAsia"/>
          <w:szCs w:val="21"/>
          <w:highlight w:val="none"/>
        </w:rPr>
        <w:t>电解</w:t>
      </w:r>
      <w:r>
        <w:rPr>
          <w:rFonts w:hint="eastAsia"/>
          <w:szCs w:val="21"/>
          <w:highlight w:val="none"/>
          <w:lang w:val="en-US" w:eastAsia="zh-CN"/>
        </w:rPr>
        <w:t>制氢</w:t>
      </w:r>
      <w:r>
        <w:rPr>
          <w:rFonts w:hint="eastAsia"/>
          <w:szCs w:val="21"/>
          <w:highlight w:val="none"/>
        </w:rPr>
        <w:t>、</w:t>
      </w:r>
      <w:r>
        <w:rPr>
          <w:rFonts w:hint="eastAsia"/>
          <w:szCs w:val="21"/>
          <w:highlight w:val="none"/>
          <w:lang w:val="en-US" w:eastAsia="zh-CN"/>
        </w:rPr>
        <w:t>原料工序</w:t>
      </w:r>
      <w:r>
        <w:rPr>
          <w:rFonts w:hint="eastAsia"/>
          <w:szCs w:val="21"/>
          <w:highlight w:val="none"/>
        </w:rPr>
        <w:t>、</w:t>
      </w:r>
      <w:r>
        <w:rPr>
          <w:rFonts w:hint="eastAsia"/>
          <w:szCs w:val="21"/>
          <w:highlight w:val="none"/>
          <w:lang w:val="en-US" w:eastAsia="zh-CN"/>
        </w:rPr>
        <w:t>冷氢化工序</w:t>
      </w:r>
      <w:r>
        <w:rPr>
          <w:rFonts w:hint="eastAsia"/>
          <w:szCs w:val="21"/>
          <w:highlight w:val="none"/>
        </w:rPr>
        <w:t>、</w:t>
      </w:r>
      <w:r>
        <w:rPr>
          <w:rFonts w:hint="eastAsia"/>
          <w:szCs w:val="21"/>
          <w:highlight w:val="none"/>
          <w:lang w:val="en-US" w:eastAsia="zh-CN"/>
        </w:rPr>
        <w:t>成品处理工序、合成工序等，见流程图</w:t>
      </w:r>
      <w:r>
        <w:rPr>
          <w:rFonts w:hint="eastAsia"/>
          <w:szCs w:val="21"/>
          <w:highlight w:val="none"/>
        </w:rPr>
        <w:t>A.1。</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center"/>
        <w:textAlignment w:val="auto"/>
        <w:rPr>
          <w:rFonts w:hint="eastAsia"/>
          <w:szCs w:val="21"/>
          <w:highlight w:val="none"/>
        </w:rPr>
      </w:pPr>
      <w:r>
        <w:rPr>
          <w:rFonts w:hint="eastAsia" w:eastAsia="宋体"/>
          <w:szCs w:val="21"/>
          <w:highlight w:val="none"/>
          <w:lang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64770</wp:posOffset>
            </wp:positionV>
            <wp:extent cx="5939155" cy="4100195"/>
            <wp:effectExtent l="0" t="0" r="4445" b="14605"/>
            <wp:wrapTopAndBottom/>
            <wp:docPr id="3" name="图片 3" descr="4790e57458bb670879d5a872aab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90e57458bb670879d5a872aab8186"/>
                    <pic:cNvPicPr>
                      <a:picLocks noChangeAspect="1"/>
                    </pic:cNvPicPr>
                  </pic:nvPicPr>
                  <pic:blipFill>
                    <a:blip r:embed="rId10"/>
                    <a:stretch>
                      <a:fillRect/>
                    </a:stretch>
                  </pic:blipFill>
                  <pic:spPr>
                    <a:xfrm>
                      <a:off x="0" y="0"/>
                      <a:ext cx="5939155" cy="4100195"/>
                    </a:xfrm>
                    <a:prstGeom prst="rect">
                      <a:avLst/>
                    </a:prstGeom>
                  </pic:spPr>
                </pic:pic>
              </a:graphicData>
            </a:graphic>
          </wp:anchor>
        </w:drawing>
      </w:r>
      <w:r>
        <w:rPr>
          <w:rFonts w:hint="eastAsia"/>
          <w:szCs w:val="21"/>
          <w:highlight w:val="none"/>
        </w:rPr>
        <w:t xml:space="preserve">图 A.1 </w:t>
      </w:r>
      <w:r>
        <w:rPr>
          <w:rFonts w:hint="eastAsia"/>
          <w:szCs w:val="21"/>
          <w:highlight w:val="none"/>
          <w:lang w:val="en-US" w:eastAsia="zh-CN"/>
        </w:rPr>
        <w:t>硅多晶</w:t>
      </w:r>
      <w:r>
        <w:rPr>
          <w:rFonts w:hint="eastAsia"/>
          <w:szCs w:val="21"/>
          <w:highlight w:val="none"/>
        </w:rPr>
        <w:t>产品工艺流程图</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A.1.1.2 分析能源数据和主要能源使用</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eastAsia="宋体"/>
          <w:szCs w:val="21"/>
          <w:highlight w:val="none"/>
          <w:lang w:val="en-US" w:eastAsia="zh-CN"/>
        </w:rPr>
      </w:pPr>
      <w:r>
        <w:rPr>
          <w:rFonts w:hint="eastAsia"/>
          <w:szCs w:val="21"/>
          <w:highlight w:val="none"/>
        </w:rPr>
        <w:t>公司使用的主要能源为电、蒸汽,其中电使用比例最大,约占能源消耗总量的</w:t>
      </w:r>
      <w:r>
        <w:rPr>
          <w:rFonts w:hint="eastAsia"/>
          <w:szCs w:val="21"/>
          <w:highlight w:val="none"/>
          <w:lang w:val="en-US" w:eastAsia="zh-CN"/>
        </w:rPr>
        <w:t>80</w:t>
      </w:r>
      <w:r>
        <w:rPr>
          <w:rFonts w:hint="eastAsia"/>
          <w:szCs w:val="21"/>
          <w:highlight w:val="none"/>
        </w:rPr>
        <w:t>%</w:t>
      </w:r>
      <w:r>
        <w:rPr>
          <w:rFonts w:hint="eastAsia"/>
          <w:szCs w:val="21"/>
          <w:highlight w:val="none"/>
          <w:lang w:val="en-US" w:eastAsia="zh-CN"/>
        </w:rPr>
        <w:t>-9</w:t>
      </w:r>
      <w:r>
        <w:rPr>
          <w:rFonts w:hint="eastAsia"/>
          <w:szCs w:val="21"/>
          <w:highlight w:val="none"/>
        </w:rPr>
        <w:t>0%</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A.1.2 能源评审的实施</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A.1.2.1 能源管理机制</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企业为</w:t>
      </w:r>
      <w:r>
        <w:rPr>
          <w:rFonts w:hint="eastAsia"/>
          <w:szCs w:val="21"/>
          <w:highlight w:val="none"/>
          <w:lang w:val="en-US" w:eastAsia="zh-CN"/>
        </w:rPr>
        <w:t>硅多晶</w:t>
      </w:r>
      <w:r>
        <w:rPr>
          <w:rFonts w:hint="eastAsia"/>
          <w:szCs w:val="21"/>
          <w:highlight w:val="none"/>
        </w:rPr>
        <w:t>产品生产企业，建立了文件化的能源管理体系，企业领导对能源管理工作高度重视,明确了能源管理的相关职责划分,主要生产工艺车间员工节能意识比较强。</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为保证节能降耗工作的落实,企业建立健全了比较完善的能耗计量和考核机制。制定了《节能责任制</w:t>
      </w:r>
      <w:r>
        <w:rPr>
          <w:rFonts w:hint="eastAsia"/>
          <w:szCs w:val="21"/>
          <w:highlight w:val="none"/>
          <w:lang w:eastAsia="zh-CN"/>
        </w:rPr>
        <w:t>》《</w:t>
      </w:r>
      <w:r>
        <w:rPr>
          <w:rFonts w:hint="eastAsia"/>
          <w:szCs w:val="21"/>
          <w:highlight w:val="none"/>
        </w:rPr>
        <w:t>能源管理办法</w:t>
      </w:r>
      <w:r>
        <w:rPr>
          <w:rFonts w:hint="eastAsia"/>
          <w:szCs w:val="21"/>
          <w:highlight w:val="none"/>
          <w:lang w:eastAsia="zh-CN"/>
        </w:rPr>
        <w:t>》《</w:t>
      </w:r>
      <w:r>
        <w:rPr>
          <w:rFonts w:hint="eastAsia"/>
          <w:szCs w:val="21"/>
          <w:highlight w:val="none"/>
        </w:rPr>
        <w:t>用能统计分析管理办法X测量设备管理办法》</w:t>
      </w:r>
      <w:r>
        <w:rPr>
          <w:rFonts w:hint="eastAsia"/>
          <w:szCs w:val="21"/>
          <w:highlight w:val="none"/>
          <w:lang w:eastAsia="zh-CN"/>
        </w:rPr>
        <w:t>《</w:t>
      </w:r>
      <w:r>
        <w:rPr>
          <w:rFonts w:hint="eastAsia"/>
          <w:szCs w:val="21"/>
          <w:highlight w:val="none"/>
        </w:rPr>
        <w:t>能源消耗指标管理办法》等,每月对企业的耗能情况进行统计分析。与此同时,为了提高相关人员节能降耗的积极性,企业制定了奖惩措施,对节能降耗有突出贡献的人员进行奖励,对浪费能源的行为进行处罚。</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A.1.2.2 用能状况分析</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A.1.2.2.1 主要用能设备情况</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企业主要用能设备共计</w:t>
      </w:r>
      <w:r>
        <w:rPr>
          <w:rFonts w:hint="eastAsia"/>
          <w:szCs w:val="21"/>
          <w:highlight w:val="none"/>
          <w:lang w:val="en-US" w:eastAsia="zh-CN"/>
        </w:rPr>
        <w:t>180</w:t>
      </w:r>
      <w:r>
        <w:rPr>
          <w:rFonts w:hint="eastAsia"/>
          <w:szCs w:val="21"/>
          <w:highlight w:val="none"/>
        </w:rPr>
        <w:t>台,已经在逐步开展设备能耗的监测工作。主要用能设备按耗能种类分为耗汽设备、耗电设备等类,主要包括</w:t>
      </w:r>
      <w:r>
        <w:rPr>
          <w:rFonts w:hint="eastAsia"/>
          <w:szCs w:val="21"/>
          <w:highlight w:val="none"/>
          <w:lang w:val="en-US" w:eastAsia="zh-CN"/>
        </w:rPr>
        <w:t>还原炉（变压器）</w:t>
      </w:r>
      <w:r>
        <w:rPr>
          <w:rFonts w:hint="eastAsia"/>
          <w:szCs w:val="21"/>
          <w:highlight w:val="none"/>
        </w:rPr>
        <w:t>、</w:t>
      </w:r>
      <w:r>
        <w:rPr>
          <w:rFonts w:hint="eastAsia"/>
          <w:szCs w:val="21"/>
          <w:highlight w:val="none"/>
          <w:lang w:val="en-US" w:eastAsia="zh-CN"/>
        </w:rPr>
        <w:t>电解槽</w:t>
      </w:r>
      <w:r>
        <w:rPr>
          <w:rFonts w:hint="eastAsia"/>
          <w:szCs w:val="21"/>
          <w:highlight w:val="none"/>
        </w:rPr>
        <w:t>、循环水泵、空压机、</w:t>
      </w:r>
      <w:r>
        <w:rPr>
          <w:rFonts w:hint="eastAsia"/>
          <w:szCs w:val="21"/>
          <w:highlight w:val="none"/>
          <w:lang w:val="en-US" w:eastAsia="zh-CN"/>
        </w:rPr>
        <w:t>氢压机、冷冻机</w:t>
      </w:r>
      <w:r>
        <w:rPr>
          <w:rFonts w:hint="eastAsia"/>
          <w:szCs w:val="21"/>
          <w:highlight w:val="none"/>
        </w:rPr>
        <w:t>等。主要工艺设备统计表见表 A.</w:t>
      </w:r>
      <w:r>
        <w:rPr>
          <w:rFonts w:hint="eastAsia"/>
          <w:szCs w:val="21"/>
          <w:highlight w:val="none"/>
          <w:lang w:val="en-US" w:eastAsia="zh-CN"/>
        </w:rPr>
        <w:t>1</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center"/>
        <w:textAlignment w:val="auto"/>
        <w:outlineLvl w:val="0"/>
        <w:rPr>
          <w:rFonts w:hint="eastAsia"/>
          <w:szCs w:val="21"/>
          <w:highlight w:val="none"/>
        </w:rPr>
      </w:pPr>
      <w:bookmarkStart w:id="73" w:name="_Toc1614"/>
      <w:r>
        <w:rPr>
          <w:rFonts w:hint="eastAsia"/>
          <w:szCs w:val="21"/>
          <w:highlight w:val="none"/>
        </w:rPr>
        <w:t>表 A.</w:t>
      </w:r>
      <w:r>
        <w:rPr>
          <w:rFonts w:hint="eastAsia"/>
          <w:szCs w:val="21"/>
          <w:highlight w:val="none"/>
          <w:lang w:val="en-US" w:eastAsia="zh-CN"/>
        </w:rPr>
        <w:t>1</w:t>
      </w:r>
      <w:r>
        <w:rPr>
          <w:rFonts w:hint="eastAsia"/>
          <w:szCs w:val="21"/>
          <w:highlight w:val="none"/>
        </w:rPr>
        <w:t xml:space="preserve"> 主要工艺设备统计表</w:t>
      </w:r>
      <w:bookmarkEnd w:id="73"/>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1"/>
        <w:gridCol w:w="2330"/>
        <w:gridCol w:w="1704"/>
        <w:gridCol w:w="2053"/>
        <w:gridCol w:w="1284"/>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blHeader/>
        </w:trPr>
        <w:tc>
          <w:tcPr>
            <w:tcW w:w="377"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1218"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设备名称</w:t>
            </w:r>
          </w:p>
        </w:tc>
        <w:tc>
          <w:tcPr>
            <w:tcW w:w="89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073"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安装地点</w:t>
            </w:r>
          </w:p>
        </w:tc>
        <w:tc>
          <w:tcPr>
            <w:tcW w:w="67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技术参数</w:t>
            </w:r>
          </w:p>
        </w:tc>
        <w:tc>
          <w:tcPr>
            <w:tcW w:w="767"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377" w:type="pct"/>
            <w:vMerge w:val="continue"/>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218" w:type="pct"/>
            <w:vMerge w:val="continue"/>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891" w:type="pct"/>
            <w:vMerge w:val="continue"/>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73" w:type="pct"/>
            <w:vMerge w:val="continue"/>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671" w:type="pct"/>
            <w:vMerge w:val="continue"/>
            <w:shd w:val="clear" w:color="auto" w:fill="auto"/>
            <w:vAlign w:val="center"/>
          </w:tcPr>
          <w:p>
            <w:pPr>
              <w:jc w:val="both"/>
              <w:rPr>
                <w:rFonts w:hint="eastAsia" w:ascii="宋体" w:hAnsi="宋体" w:eastAsia="宋体" w:cs="宋体"/>
                <w:b/>
                <w:bCs/>
                <w:i w:val="0"/>
                <w:iCs w:val="0"/>
                <w:color w:val="auto"/>
                <w:sz w:val="18"/>
                <w:szCs w:val="18"/>
                <w:highlight w:val="none"/>
                <w:u w:val="none"/>
              </w:rPr>
            </w:pPr>
          </w:p>
        </w:tc>
        <w:tc>
          <w:tcPr>
            <w:tcW w:w="767" w:type="pct"/>
            <w:vMerge w:val="continue"/>
            <w:shd w:val="clear" w:color="auto" w:fill="auto"/>
            <w:vAlign w:val="center"/>
          </w:tcPr>
          <w:p>
            <w:pPr>
              <w:jc w:val="both"/>
              <w:rPr>
                <w:rFonts w:hint="eastAsia" w:ascii="宋体" w:hAnsi="宋体" w:eastAsia="宋体" w:cs="宋体"/>
                <w:b/>
                <w:bCs/>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一期配电室-1变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一期配电室-2变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一期配电室-3变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一期配电室-4变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公用配电室-1变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公用配电室-2变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产品配电室-1变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产品配电室-2变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工艺配电室-1变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工艺配电室-2变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2#配电室-1变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2#配电室-2变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3#配电室-1变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3#配电室-2变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3#配电室-3变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3#配电室-4变</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10#还原炉</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7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8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7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bl>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A.1.2.2.2</w:t>
      </w:r>
      <w:r>
        <w:rPr>
          <w:rFonts w:hint="eastAsia"/>
          <w:szCs w:val="21"/>
          <w:highlight w:val="none"/>
          <w:lang w:val="en-US" w:eastAsia="zh-CN"/>
        </w:rPr>
        <w:t xml:space="preserve"> </w:t>
      </w:r>
      <w:r>
        <w:rPr>
          <w:rFonts w:hint="eastAsia"/>
          <w:szCs w:val="21"/>
          <w:highlight w:val="none"/>
        </w:rPr>
        <w:t>能源输入、输送分配及使用管理</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企业主要涉及的能源消耗和耗能工质有电力、蒸汽、压缩空气</w:t>
      </w:r>
      <w:r>
        <w:rPr>
          <w:rFonts w:hint="eastAsia"/>
          <w:szCs w:val="21"/>
          <w:highlight w:val="none"/>
          <w:lang w:eastAsia="zh-CN"/>
        </w:rPr>
        <w:t>、</w:t>
      </w:r>
      <w:r>
        <w:rPr>
          <w:rFonts w:hint="eastAsia"/>
          <w:szCs w:val="21"/>
          <w:highlight w:val="none"/>
          <w:lang w:val="en-US" w:eastAsia="zh-CN"/>
        </w:rPr>
        <w:t>循环水</w:t>
      </w:r>
      <w:r>
        <w:rPr>
          <w:rFonts w:hint="eastAsia"/>
          <w:szCs w:val="21"/>
          <w:highlight w:val="none"/>
        </w:rPr>
        <w:t>等。购</w:t>
      </w:r>
      <w:r>
        <w:rPr>
          <w:rFonts w:hint="eastAsia"/>
          <w:szCs w:val="21"/>
          <w:highlight w:val="none"/>
          <w:lang w:val="en-US" w:eastAsia="zh-CN"/>
        </w:rPr>
        <w:t>入</w:t>
      </w:r>
      <w:r>
        <w:rPr>
          <w:rFonts w:hint="eastAsia"/>
          <w:szCs w:val="21"/>
          <w:highlight w:val="none"/>
        </w:rPr>
        <w:t>的能源种类包括电力、</w:t>
      </w:r>
      <w:r>
        <w:rPr>
          <w:rFonts w:hint="eastAsia"/>
          <w:szCs w:val="21"/>
          <w:highlight w:val="none"/>
          <w:lang w:val="en-US" w:eastAsia="zh-CN"/>
        </w:rPr>
        <w:t>蒸汽、工业水</w:t>
      </w:r>
      <w:r>
        <w:rPr>
          <w:rFonts w:hint="eastAsia"/>
          <w:szCs w:val="21"/>
          <w:highlight w:val="none"/>
        </w:rPr>
        <w:t>。电力全部由</w:t>
      </w:r>
      <w:r>
        <w:rPr>
          <w:rFonts w:hint="eastAsia"/>
          <w:szCs w:val="21"/>
          <w:highlight w:val="none"/>
          <w:lang w:val="en-US" w:eastAsia="zh-CN"/>
        </w:rPr>
        <w:t>国家</w:t>
      </w:r>
      <w:r>
        <w:rPr>
          <w:rFonts w:hint="eastAsia"/>
          <w:szCs w:val="21"/>
          <w:highlight w:val="none"/>
        </w:rPr>
        <w:t>电网购得</w:t>
      </w:r>
      <w:r>
        <w:rPr>
          <w:rFonts w:hint="eastAsia"/>
          <w:szCs w:val="21"/>
          <w:highlight w:val="none"/>
          <w:lang w:eastAsia="zh-CN"/>
        </w:rPr>
        <w:t>，</w:t>
      </w:r>
      <w:r>
        <w:rPr>
          <w:rFonts w:hint="eastAsia"/>
          <w:szCs w:val="21"/>
          <w:highlight w:val="none"/>
          <w:lang w:val="en-US" w:eastAsia="zh-CN"/>
        </w:rPr>
        <w:t>蒸汽由周边电厂采购，通过蒸汽管道输送到企业</w:t>
      </w:r>
      <w:r>
        <w:rPr>
          <w:rFonts w:hint="eastAsia"/>
          <w:szCs w:val="21"/>
          <w:highlight w:val="none"/>
        </w:rPr>
        <w:t>。企业建立了电计量网络图、</w:t>
      </w:r>
      <w:r>
        <w:rPr>
          <w:rFonts w:hint="eastAsia"/>
          <w:szCs w:val="21"/>
          <w:highlight w:val="none"/>
          <w:lang w:val="en-US" w:eastAsia="zh-CN"/>
        </w:rPr>
        <w:t>蒸汽</w:t>
      </w:r>
      <w:r>
        <w:rPr>
          <w:rFonts w:hint="eastAsia"/>
          <w:szCs w:val="21"/>
          <w:highlight w:val="none"/>
        </w:rPr>
        <w:t>流向图、</w:t>
      </w:r>
      <w:r>
        <w:rPr>
          <w:rFonts w:hint="eastAsia"/>
          <w:szCs w:val="21"/>
          <w:highlight w:val="none"/>
          <w:lang w:val="en-US" w:eastAsia="zh-CN"/>
        </w:rPr>
        <w:t>循环水</w:t>
      </w:r>
      <w:r>
        <w:rPr>
          <w:rFonts w:hint="eastAsia"/>
          <w:szCs w:val="21"/>
          <w:highlight w:val="none"/>
        </w:rPr>
        <w:t>流向图、</w:t>
      </w:r>
      <w:r>
        <w:rPr>
          <w:rFonts w:hint="eastAsia"/>
          <w:szCs w:val="21"/>
          <w:highlight w:val="none"/>
          <w:lang w:val="en-US" w:eastAsia="zh-CN"/>
        </w:rPr>
        <w:t>工业水流向图、</w:t>
      </w:r>
      <w:r>
        <w:rPr>
          <w:rFonts w:hint="eastAsia"/>
          <w:szCs w:val="21"/>
          <w:highlight w:val="none"/>
        </w:rPr>
        <w:t>压缩空气能流图</w:t>
      </w:r>
      <w:r>
        <w:rPr>
          <w:rFonts w:hint="eastAsia"/>
          <w:szCs w:val="21"/>
          <w:highlight w:val="none"/>
          <w:lang w:val="en-US" w:eastAsia="zh-CN"/>
        </w:rPr>
        <w:t>等</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企业的能源分配传输管线布局较为合理,蒸汽及供水管线的日常维护由各维修车间维护,供电线路由电仪车间进行维护。</w:t>
      </w:r>
      <w:r>
        <w:rPr>
          <w:rFonts w:hint="eastAsia"/>
          <w:szCs w:val="21"/>
          <w:highlight w:val="none"/>
          <w:lang w:val="en-US" w:eastAsia="zh-CN"/>
        </w:rPr>
        <w:t>车间巡检人员</w:t>
      </w:r>
      <w:r>
        <w:rPr>
          <w:rFonts w:hint="eastAsia"/>
          <w:szCs w:val="21"/>
          <w:highlight w:val="none"/>
        </w:rPr>
        <w:t>负责对企业全部管网进行维护，定期巡检，形成书面的管线巡检制度。</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企业各车间充分实现了蒸汽、电的合理性利用,生产及冷却用水循环使用,配备了能源计量器具,计量各车间的能源消耗总量。</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A</w:t>
      </w:r>
      <w:r>
        <w:rPr>
          <w:rFonts w:hint="eastAsia"/>
          <w:szCs w:val="21"/>
          <w:highlight w:val="none"/>
        </w:rPr>
        <w:t>.2.2.3</w:t>
      </w:r>
      <w:r>
        <w:rPr>
          <w:rFonts w:hint="eastAsia"/>
          <w:szCs w:val="21"/>
          <w:highlight w:val="none"/>
          <w:lang w:val="en-US" w:eastAsia="zh-CN"/>
        </w:rPr>
        <w:t xml:space="preserve"> </w:t>
      </w:r>
      <w:r>
        <w:rPr>
          <w:rFonts w:hint="eastAsia"/>
          <w:szCs w:val="21"/>
          <w:highlight w:val="none"/>
        </w:rPr>
        <w:t>能源计量状况</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国家电网</w:t>
      </w:r>
      <w:r>
        <w:rPr>
          <w:rFonts w:hint="eastAsia"/>
          <w:szCs w:val="21"/>
          <w:highlight w:val="none"/>
        </w:rPr>
        <w:t>在企业进厂母线安装电能表计量购电量,共安装电能表</w:t>
      </w:r>
      <w:r>
        <w:rPr>
          <w:rFonts w:hint="eastAsia"/>
          <w:szCs w:val="21"/>
          <w:highlight w:val="none"/>
          <w:lang w:val="en-US" w:eastAsia="zh-CN"/>
        </w:rPr>
        <w:t>7</w:t>
      </w:r>
      <w:r>
        <w:rPr>
          <w:rFonts w:hint="eastAsia"/>
          <w:szCs w:val="21"/>
          <w:highlight w:val="none"/>
        </w:rPr>
        <w:t>块,</w:t>
      </w:r>
      <w:r>
        <w:rPr>
          <w:rFonts w:hint="eastAsia"/>
          <w:szCs w:val="21"/>
          <w:highlight w:val="none"/>
          <w:lang w:val="en-US" w:eastAsia="zh-CN"/>
        </w:rPr>
        <w:t>企业内部安装电量表1044台，</w:t>
      </w:r>
      <w:r>
        <w:rPr>
          <w:rFonts w:hint="eastAsia"/>
          <w:szCs w:val="21"/>
          <w:highlight w:val="none"/>
        </w:rPr>
        <w:t>用于计量各主要用能工段和主要用能设备的用电量,电力部门计量企业用电量后增加一定的线损和变损后作为企业总购电量</w:t>
      </w:r>
      <w:r>
        <w:rPr>
          <w:rFonts w:hint="eastAsia"/>
          <w:szCs w:val="21"/>
          <w:highlight w:val="none"/>
          <w:lang w:eastAsia="zh-CN"/>
        </w:rPr>
        <w:t>。</w:t>
      </w:r>
      <w:r>
        <w:rPr>
          <w:rFonts w:hint="eastAsia"/>
          <w:szCs w:val="21"/>
          <w:highlight w:val="none"/>
          <w:lang w:val="en-US" w:eastAsia="zh-CN"/>
        </w:rPr>
        <w:t>蒸汽</w:t>
      </w:r>
      <w:r>
        <w:rPr>
          <w:rFonts w:hint="eastAsia"/>
          <w:szCs w:val="21"/>
          <w:highlight w:val="none"/>
        </w:rPr>
        <w:t>从</w:t>
      </w:r>
      <w:r>
        <w:rPr>
          <w:rFonts w:hint="eastAsia"/>
          <w:szCs w:val="21"/>
          <w:highlight w:val="none"/>
          <w:lang w:val="en-US" w:eastAsia="zh-CN"/>
        </w:rPr>
        <w:t>周边电厂</w:t>
      </w:r>
      <w:r>
        <w:rPr>
          <w:rFonts w:hint="eastAsia"/>
          <w:szCs w:val="21"/>
          <w:highlight w:val="none"/>
        </w:rPr>
        <w:t>外购,在进厂主管道安装流量计计量</w:t>
      </w:r>
      <w:r>
        <w:rPr>
          <w:rFonts w:hint="eastAsia"/>
          <w:szCs w:val="21"/>
          <w:highlight w:val="none"/>
          <w:lang w:val="en-US" w:eastAsia="zh-CN"/>
        </w:rPr>
        <w:t>蒸汽</w:t>
      </w:r>
      <w:r>
        <w:rPr>
          <w:rFonts w:hint="eastAsia"/>
          <w:szCs w:val="21"/>
          <w:highlight w:val="none"/>
        </w:rPr>
        <w:t>用量。自来水从</w:t>
      </w:r>
      <w:r>
        <w:rPr>
          <w:rFonts w:hint="eastAsia"/>
          <w:szCs w:val="21"/>
          <w:highlight w:val="none"/>
          <w:lang w:val="en-US" w:eastAsia="zh-CN"/>
        </w:rPr>
        <w:t>周边水处理</w:t>
      </w:r>
      <w:r>
        <w:rPr>
          <w:rFonts w:hint="eastAsia"/>
          <w:szCs w:val="21"/>
          <w:highlight w:val="none"/>
        </w:rPr>
        <w:t>企业</w:t>
      </w:r>
      <w:r>
        <w:rPr>
          <w:rFonts w:hint="eastAsia"/>
          <w:szCs w:val="21"/>
          <w:highlight w:val="none"/>
          <w:lang w:val="en-US" w:eastAsia="zh-CN"/>
        </w:rPr>
        <w:t>及市政管网</w:t>
      </w:r>
      <w:r>
        <w:rPr>
          <w:rFonts w:hint="eastAsia"/>
          <w:szCs w:val="21"/>
          <w:highlight w:val="none"/>
        </w:rPr>
        <w:t>购得,在进厂主管道和主要用水工段安装水表,计量自来水用量。为准确可靠的对能源进行计量,并为能源管理提供了有效的测量数据。</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企业计量管理实现三级管理,其中企业</w:t>
      </w:r>
      <w:r>
        <w:rPr>
          <w:rFonts w:hint="eastAsia"/>
          <w:szCs w:val="21"/>
          <w:highlight w:val="none"/>
          <w:lang w:val="en-US" w:eastAsia="zh-CN"/>
        </w:rPr>
        <w:t>企管部负责能源结算，</w:t>
      </w:r>
      <w:r>
        <w:rPr>
          <w:rFonts w:hint="eastAsia"/>
          <w:szCs w:val="21"/>
          <w:highlight w:val="none"/>
        </w:rPr>
        <w:t>设备部有计量管理人员,各分厂机动处设有计量管理人员(不包括检定、维护人员),各车间分别设有1名计量管理人员,负责计量全厂的蒸汽、电、水、压缩空气等所用能源计量器具的管理工作,以及将相关文件的编制整理工作。企业建立有专门的计量检定站,负责计量器具的检定、维修等。企业对计量器具的采购、验收、保管、使用、检定、维修、报废处理等方面的工作有相应的管理制度，并按照文件严格执行。</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电力计量:企业总进线电压为</w:t>
      </w:r>
      <w:r>
        <w:rPr>
          <w:rFonts w:hint="eastAsia"/>
          <w:szCs w:val="21"/>
          <w:highlight w:val="none"/>
          <w:lang w:eastAsia="zh-CN"/>
        </w:rPr>
        <w:t>2</w:t>
      </w:r>
      <w:r>
        <w:rPr>
          <w:rFonts w:hint="eastAsia"/>
          <w:szCs w:val="21"/>
          <w:highlight w:val="none"/>
          <w:lang w:val="en-US" w:eastAsia="zh-CN"/>
        </w:rPr>
        <w:t>20</w:t>
      </w:r>
      <w:r>
        <w:rPr>
          <w:rFonts w:hint="eastAsia"/>
          <w:szCs w:val="21"/>
          <w:highlight w:val="none"/>
        </w:rPr>
        <w:t>kV,进入</w:t>
      </w:r>
      <w:r>
        <w:rPr>
          <w:rFonts w:hint="eastAsia"/>
          <w:szCs w:val="21"/>
          <w:highlight w:val="none"/>
          <w:lang w:val="en-US" w:eastAsia="zh-CN"/>
        </w:rPr>
        <w:t>110KV</w:t>
      </w:r>
      <w:r>
        <w:rPr>
          <w:rFonts w:hint="eastAsia"/>
          <w:szCs w:val="21"/>
          <w:highlight w:val="none"/>
        </w:rPr>
        <w:t>变电站,经总变压器降压为</w:t>
      </w:r>
      <w:r>
        <w:rPr>
          <w:rFonts w:hint="eastAsia"/>
          <w:szCs w:val="21"/>
          <w:highlight w:val="none"/>
          <w:lang w:val="en-US" w:eastAsia="zh-CN"/>
        </w:rPr>
        <w:t>10</w:t>
      </w:r>
      <w:r>
        <w:rPr>
          <w:rFonts w:hint="eastAsia"/>
          <w:szCs w:val="21"/>
          <w:highlight w:val="none"/>
        </w:rPr>
        <w:t>V,经过二次变压为380 V后供给</w:t>
      </w:r>
      <w:r>
        <w:rPr>
          <w:rFonts w:hint="eastAsia"/>
          <w:szCs w:val="21"/>
          <w:highlight w:val="none"/>
          <w:lang w:val="en-US" w:eastAsia="zh-CN"/>
        </w:rPr>
        <w:t>还原</w:t>
      </w:r>
      <w:r>
        <w:rPr>
          <w:rFonts w:hint="eastAsia"/>
          <w:szCs w:val="21"/>
          <w:highlight w:val="none"/>
        </w:rPr>
        <w:t>配电站、</w:t>
      </w:r>
      <w:r>
        <w:rPr>
          <w:rFonts w:hint="eastAsia"/>
          <w:szCs w:val="21"/>
          <w:highlight w:val="none"/>
          <w:lang w:val="en-US" w:eastAsia="zh-CN"/>
        </w:rPr>
        <w:t>冷氢化</w:t>
      </w:r>
      <w:r>
        <w:rPr>
          <w:rFonts w:hint="eastAsia"/>
          <w:szCs w:val="21"/>
          <w:highlight w:val="none"/>
        </w:rPr>
        <w:t>变配电站、</w:t>
      </w:r>
      <w:r>
        <w:rPr>
          <w:rFonts w:hint="eastAsia"/>
          <w:szCs w:val="21"/>
          <w:highlight w:val="none"/>
          <w:lang w:val="en-US" w:eastAsia="zh-CN"/>
        </w:rPr>
        <w:t>辅助</w:t>
      </w:r>
      <w:r>
        <w:rPr>
          <w:rFonts w:hint="eastAsia"/>
          <w:szCs w:val="21"/>
          <w:highlight w:val="none"/>
        </w:rPr>
        <w:t>配电站、机修配电室等各用电设备。企业的</w:t>
      </w:r>
      <w:r>
        <w:rPr>
          <w:rFonts w:hint="eastAsia"/>
          <w:szCs w:val="21"/>
          <w:highlight w:val="none"/>
          <w:lang w:eastAsia="zh-CN"/>
        </w:rPr>
        <w:t>2</w:t>
      </w:r>
      <w:r>
        <w:rPr>
          <w:rFonts w:hint="eastAsia"/>
          <w:szCs w:val="21"/>
          <w:highlight w:val="none"/>
          <w:lang w:val="en-US" w:eastAsia="zh-CN"/>
        </w:rPr>
        <w:t>20KV</w:t>
      </w:r>
      <w:r>
        <w:rPr>
          <w:rFonts w:hint="eastAsia"/>
          <w:szCs w:val="21"/>
          <w:highlight w:val="none"/>
        </w:rPr>
        <w:t>总进线侧设有计量一级计量仪表计量用电总量,在</w:t>
      </w:r>
      <w:r>
        <w:rPr>
          <w:rFonts w:hint="eastAsia"/>
          <w:szCs w:val="21"/>
          <w:highlight w:val="none"/>
          <w:lang w:eastAsia="zh-CN"/>
        </w:rPr>
        <w:t>1</w:t>
      </w:r>
      <w:r>
        <w:rPr>
          <w:rFonts w:hint="eastAsia"/>
          <w:szCs w:val="21"/>
          <w:highlight w:val="none"/>
          <w:lang w:val="en-US" w:eastAsia="zh-CN"/>
        </w:rPr>
        <w:t>0KV</w:t>
      </w:r>
      <w:r>
        <w:rPr>
          <w:rFonts w:hint="eastAsia"/>
          <w:szCs w:val="21"/>
          <w:highlight w:val="none"/>
        </w:rPr>
        <w:t>变电站前端设在二级计量,各车间配电室设有三级计量。</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蒸汽计量:企业有一条蒸汽主管线,从</w:t>
      </w:r>
      <w:r>
        <w:rPr>
          <w:rFonts w:hint="eastAsia"/>
          <w:szCs w:val="21"/>
          <w:highlight w:val="none"/>
          <w:lang w:val="en-US" w:eastAsia="zh-CN"/>
        </w:rPr>
        <w:t>周边</w:t>
      </w:r>
      <w:r>
        <w:rPr>
          <w:rFonts w:hint="eastAsia"/>
          <w:szCs w:val="21"/>
          <w:highlight w:val="none"/>
        </w:rPr>
        <w:t>电厂</w:t>
      </w:r>
      <w:r>
        <w:rPr>
          <w:rFonts w:hint="eastAsia"/>
          <w:szCs w:val="21"/>
          <w:highlight w:val="none"/>
          <w:lang w:val="en-US" w:eastAsia="zh-CN"/>
        </w:rPr>
        <w:t>通过管线送入，蒸汽供出压力1.2Mpa，温度280℃。</w:t>
      </w:r>
      <w:r>
        <w:rPr>
          <w:rFonts w:hint="eastAsia"/>
          <w:szCs w:val="21"/>
          <w:highlight w:val="none"/>
        </w:rPr>
        <w:t>支线后进</w:t>
      </w:r>
      <w:r>
        <w:rPr>
          <w:rFonts w:hint="eastAsia"/>
          <w:szCs w:val="21"/>
          <w:highlight w:val="none"/>
          <w:lang w:val="en-US" w:eastAsia="zh-CN"/>
        </w:rPr>
        <w:t>入CDI</w:t>
      </w:r>
      <w:r>
        <w:rPr>
          <w:rFonts w:hint="eastAsia"/>
          <w:szCs w:val="21"/>
          <w:highlight w:val="none"/>
        </w:rPr>
        <w:t>车间、</w:t>
      </w:r>
      <w:r>
        <w:rPr>
          <w:rFonts w:hint="eastAsia"/>
          <w:szCs w:val="21"/>
          <w:highlight w:val="none"/>
          <w:lang w:val="en-US" w:eastAsia="zh-CN"/>
        </w:rPr>
        <w:t>冷氢化</w:t>
      </w:r>
      <w:r>
        <w:rPr>
          <w:rFonts w:hint="eastAsia"/>
          <w:szCs w:val="21"/>
          <w:highlight w:val="none"/>
        </w:rPr>
        <w:t>车间以及</w:t>
      </w:r>
      <w:r>
        <w:rPr>
          <w:rFonts w:hint="eastAsia"/>
          <w:szCs w:val="21"/>
          <w:highlight w:val="none"/>
          <w:lang w:val="en-US" w:eastAsia="zh-CN"/>
        </w:rPr>
        <w:t>原料</w:t>
      </w:r>
      <w:r>
        <w:rPr>
          <w:rFonts w:hint="eastAsia"/>
          <w:szCs w:val="21"/>
          <w:highlight w:val="none"/>
        </w:rPr>
        <w:t>等部分。企业主管路和各车间、主要用能装置线上设有蒸汽计量。</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企业严格按照 GB 17167 要求,配备了相应的能源计量器具,截至目前已经配备各类能源计量器具总计1</w:t>
      </w:r>
      <w:r>
        <w:rPr>
          <w:rFonts w:hint="eastAsia"/>
          <w:szCs w:val="21"/>
          <w:highlight w:val="none"/>
          <w:lang w:val="en-US" w:eastAsia="zh-CN"/>
        </w:rPr>
        <w:t>459</w:t>
      </w:r>
      <w:r>
        <w:rPr>
          <w:rFonts w:hint="eastAsia"/>
          <w:szCs w:val="21"/>
          <w:highlight w:val="none"/>
        </w:rPr>
        <w:t>块,配备率达9</w:t>
      </w:r>
      <w:r>
        <w:rPr>
          <w:rFonts w:hint="eastAsia"/>
          <w:szCs w:val="21"/>
          <w:highlight w:val="none"/>
          <w:lang w:val="en-US" w:eastAsia="zh-CN"/>
        </w:rPr>
        <w:t>7.07</w:t>
      </w:r>
      <w:r>
        <w:rPr>
          <w:rFonts w:hint="eastAsia"/>
          <w:szCs w:val="21"/>
          <w:highlight w:val="none"/>
        </w:rPr>
        <w:t>%。其中进出用能设备配备率标准要求达到100%,实际 100%。能源计量器具汇总见表 A.2。</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center"/>
        <w:textAlignment w:val="auto"/>
        <w:rPr>
          <w:rFonts w:hint="eastAsia"/>
          <w:szCs w:val="21"/>
          <w:highlight w:val="none"/>
        </w:rPr>
      </w:pPr>
      <w:r>
        <w:rPr>
          <w:rFonts w:hint="eastAsia"/>
          <w:szCs w:val="21"/>
          <w:highlight w:val="none"/>
        </w:rPr>
        <w:t>表 A.2 能源计量器具汇总表</w:t>
      </w:r>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81"/>
        <w:gridCol w:w="923"/>
        <w:gridCol w:w="928"/>
        <w:gridCol w:w="937"/>
        <w:gridCol w:w="930"/>
        <w:gridCol w:w="928"/>
        <w:gridCol w:w="931"/>
        <w:gridCol w:w="930"/>
        <w:gridCol w:w="93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blHeader/>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器具类型</w:t>
            </w:r>
          </w:p>
        </w:tc>
        <w:tc>
          <w:tcPr>
            <w:tcW w:w="1458" w:type="pct"/>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b/>
                <w:bCs/>
                <w:color w:val="auto"/>
                <w:kern w:val="0"/>
                <w:sz w:val="18"/>
                <w:szCs w:val="18"/>
                <w:highlight w:val="none"/>
                <w:u w:val="none"/>
                <w:lang w:val="en-US" w:eastAsia="zh-CN" w:bidi="ar"/>
              </w:rPr>
            </w:pPr>
            <w:r>
              <w:rPr>
                <w:rFonts w:hint="eastAsia" w:ascii="仿宋" w:hAnsi="仿宋" w:eastAsia="仿宋" w:cs="仿宋"/>
                <w:b/>
                <w:bCs/>
                <w:color w:val="auto"/>
                <w:kern w:val="0"/>
                <w:sz w:val="18"/>
                <w:szCs w:val="18"/>
                <w:highlight w:val="none"/>
                <w:u w:val="none"/>
                <w:lang w:val="en-US" w:eastAsia="zh-CN" w:bidi="ar"/>
              </w:rPr>
              <w:t>一级</w:t>
            </w:r>
          </w:p>
        </w:tc>
        <w:tc>
          <w:tcPr>
            <w:tcW w:w="1458" w:type="pct"/>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b/>
                <w:bCs/>
                <w:color w:val="auto"/>
                <w:kern w:val="0"/>
                <w:sz w:val="18"/>
                <w:szCs w:val="18"/>
                <w:highlight w:val="none"/>
                <w:u w:val="none"/>
                <w:lang w:val="en-US" w:eastAsia="zh-CN" w:bidi="ar"/>
              </w:rPr>
            </w:pPr>
            <w:r>
              <w:rPr>
                <w:rFonts w:hint="eastAsia" w:ascii="仿宋" w:hAnsi="仿宋" w:eastAsia="仿宋" w:cs="仿宋"/>
                <w:b/>
                <w:bCs/>
                <w:color w:val="auto"/>
                <w:kern w:val="0"/>
                <w:sz w:val="18"/>
                <w:szCs w:val="18"/>
                <w:highlight w:val="none"/>
                <w:u w:val="none"/>
                <w:lang w:val="en-US" w:eastAsia="zh-CN" w:bidi="ar"/>
              </w:rPr>
              <w:t>二级</w:t>
            </w:r>
          </w:p>
        </w:tc>
        <w:tc>
          <w:tcPr>
            <w:tcW w:w="1464" w:type="pct"/>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highlight w:val="none"/>
                <w:u w:val="none"/>
                <w:lang w:val="en-US" w:bidi="ar"/>
              </w:rPr>
            </w:pPr>
            <w:r>
              <w:rPr>
                <w:rFonts w:hint="eastAsia" w:ascii="仿宋" w:hAnsi="仿宋" w:eastAsia="仿宋" w:cs="仿宋"/>
                <w:b/>
                <w:bCs/>
                <w:color w:val="auto"/>
                <w:kern w:val="0"/>
                <w:sz w:val="18"/>
                <w:szCs w:val="18"/>
                <w:highlight w:val="none"/>
                <w:u w:val="none"/>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bidi="ar"/>
              </w:rPr>
            </w:pPr>
            <w:r>
              <w:rPr>
                <w:rFonts w:hint="eastAsia" w:ascii="仿宋" w:hAnsi="仿宋" w:eastAsia="仿宋" w:cs="仿宋"/>
                <w:color w:val="auto"/>
                <w:kern w:val="0"/>
                <w:sz w:val="18"/>
                <w:szCs w:val="18"/>
                <w:highlight w:val="none"/>
                <w:u w:val="none"/>
                <w:lang w:val="en-US" w:eastAsia="zh-CN" w:bidi="ar"/>
              </w:rPr>
              <w:t>衡器</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4</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4</w:t>
            </w:r>
          </w:p>
        </w:tc>
        <w:tc>
          <w:tcPr>
            <w:tcW w:w="93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0</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0</w:t>
            </w:r>
          </w:p>
        </w:tc>
        <w:tc>
          <w:tcPr>
            <w:tcW w:w="93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0</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0</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bidi="ar"/>
              </w:rPr>
            </w:pPr>
            <w:r>
              <w:rPr>
                <w:rFonts w:hint="eastAsia" w:ascii="仿宋" w:hAnsi="仿宋" w:eastAsia="仿宋" w:cs="仿宋"/>
                <w:color w:val="auto"/>
                <w:kern w:val="0"/>
                <w:sz w:val="18"/>
                <w:szCs w:val="18"/>
                <w:highlight w:val="none"/>
                <w:u w:val="none"/>
                <w:lang w:val="en-US" w:eastAsia="zh-CN" w:bidi="ar"/>
              </w:rPr>
              <w:t>电能表</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6</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6</w:t>
            </w:r>
          </w:p>
        </w:tc>
        <w:tc>
          <w:tcPr>
            <w:tcW w:w="93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63</w:t>
            </w:r>
          </w:p>
        </w:tc>
        <w:tc>
          <w:tcPr>
            <w:tcW w:w="92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63</w:t>
            </w:r>
          </w:p>
        </w:tc>
        <w:tc>
          <w:tcPr>
            <w:tcW w:w="931"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1232</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1208</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bidi="ar"/>
              </w:rPr>
            </w:pPr>
            <w:r>
              <w:rPr>
                <w:rFonts w:hint="eastAsia" w:ascii="仿宋" w:hAnsi="仿宋" w:eastAsia="仿宋" w:cs="仿宋"/>
                <w:color w:val="auto"/>
                <w:kern w:val="0"/>
                <w:sz w:val="18"/>
                <w:szCs w:val="18"/>
                <w:highlight w:val="none"/>
                <w:u w:val="none"/>
                <w:lang w:val="en-US" w:eastAsia="zh-CN" w:bidi="ar"/>
              </w:rPr>
              <w:t>蒸汽流量计</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4</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4</w:t>
            </w:r>
          </w:p>
        </w:tc>
        <w:tc>
          <w:tcPr>
            <w:tcW w:w="93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17</w:t>
            </w:r>
          </w:p>
        </w:tc>
        <w:tc>
          <w:tcPr>
            <w:tcW w:w="92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17</w:t>
            </w:r>
          </w:p>
        </w:tc>
        <w:tc>
          <w:tcPr>
            <w:tcW w:w="931"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117</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103</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bidi="ar"/>
              </w:rPr>
            </w:pPr>
            <w:r>
              <w:rPr>
                <w:rFonts w:hint="eastAsia" w:ascii="仿宋" w:hAnsi="仿宋" w:eastAsia="仿宋" w:cs="仿宋"/>
                <w:color w:val="auto"/>
                <w:kern w:val="0"/>
                <w:sz w:val="18"/>
                <w:szCs w:val="18"/>
                <w:highlight w:val="none"/>
                <w:u w:val="none"/>
                <w:lang w:val="en-US" w:eastAsia="zh-CN" w:bidi="ar"/>
              </w:rPr>
              <w:t>水流量表</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3</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3</w:t>
            </w:r>
          </w:p>
        </w:tc>
        <w:tc>
          <w:tcPr>
            <w:tcW w:w="93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22</w:t>
            </w:r>
          </w:p>
        </w:tc>
        <w:tc>
          <w:tcPr>
            <w:tcW w:w="92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22</w:t>
            </w:r>
          </w:p>
        </w:tc>
        <w:tc>
          <w:tcPr>
            <w:tcW w:w="931"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35</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29</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合计</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9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100.00%</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102</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102</w:t>
            </w:r>
          </w:p>
        </w:tc>
        <w:tc>
          <w:tcPr>
            <w:tcW w:w="93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100.00%</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1384</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1340</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96.82%</w:t>
            </w:r>
          </w:p>
        </w:tc>
      </w:tr>
    </w:tbl>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A</w:t>
      </w:r>
      <w:r>
        <w:rPr>
          <w:rFonts w:hint="eastAsia"/>
          <w:szCs w:val="21"/>
          <w:highlight w:val="none"/>
        </w:rPr>
        <w:t>.1.2.2.4</w:t>
      </w:r>
      <w:r>
        <w:rPr>
          <w:rFonts w:hint="eastAsia"/>
          <w:szCs w:val="21"/>
          <w:highlight w:val="none"/>
          <w:lang w:val="en-US" w:eastAsia="zh-CN"/>
        </w:rPr>
        <w:t xml:space="preserve"> </w:t>
      </w:r>
      <w:r>
        <w:rPr>
          <w:rFonts w:hint="eastAsia"/>
          <w:szCs w:val="21"/>
          <w:highlight w:val="none"/>
        </w:rPr>
        <w:t>能源消耗定额管理</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根据企的实际能耗情况,并参照同行业的先进能耗指标开展对标管理工作,制定能源消耗定额标准,编制管理办法,并定期分析实际消耗情况,分析消耗指标降低和升高的原因。企业制定了产品综合能耗数据的计算方法及依据,明确了企业主要产品能耗数据统计范围及计算标准,</w:t>
      </w:r>
      <w:r>
        <w:rPr>
          <w:rFonts w:hint="eastAsia"/>
          <w:szCs w:val="21"/>
          <w:highlight w:val="none"/>
          <w:lang w:val="en-US" w:eastAsia="zh-CN"/>
        </w:rPr>
        <w:t>硅多晶</w:t>
      </w:r>
      <w:r>
        <w:rPr>
          <w:rFonts w:hint="eastAsia"/>
          <w:szCs w:val="21"/>
          <w:highlight w:val="none"/>
        </w:rPr>
        <w:t xml:space="preserve">产品依据 GB </w:t>
      </w:r>
      <w:r>
        <w:rPr>
          <w:rFonts w:hint="eastAsia"/>
          <w:szCs w:val="21"/>
          <w:highlight w:val="none"/>
          <w:lang w:eastAsia="zh-CN"/>
        </w:rPr>
        <w:t>2</w:t>
      </w:r>
      <w:r>
        <w:rPr>
          <w:rFonts w:hint="eastAsia"/>
          <w:szCs w:val="21"/>
          <w:highlight w:val="none"/>
          <w:lang w:val="en-US" w:eastAsia="zh-CN"/>
        </w:rPr>
        <w:t>9447</w:t>
      </w:r>
      <w:r>
        <w:rPr>
          <w:rFonts w:hint="eastAsia"/>
          <w:szCs w:val="21"/>
          <w:highlight w:val="none"/>
        </w:rPr>
        <w:t>,《</w:t>
      </w:r>
      <w:r>
        <w:rPr>
          <w:rFonts w:hint="eastAsia"/>
          <w:szCs w:val="21"/>
          <w:highlight w:val="none"/>
          <w:lang w:val="en-US" w:eastAsia="zh-CN"/>
        </w:rPr>
        <w:t>硅多晶产品能耗限额</w:t>
      </w:r>
      <w:r>
        <w:rPr>
          <w:rFonts w:hint="eastAsia"/>
          <w:szCs w:val="21"/>
          <w:highlight w:val="none"/>
        </w:rPr>
        <w:t>》。企业通过每月能耗统计、目标指标考核、绩效考核、每日的运行检查及不定期的综合大检查,确保能源管理体系的有效运行。</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A</w:t>
      </w:r>
      <w:r>
        <w:rPr>
          <w:rFonts w:hint="eastAsia"/>
          <w:szCs w:val="21"/>
          <w:highlight w:val="none"/>
        </w:rPr>
        <w:t>.1.2.2.5</w:t>
      </w:r>
      <w:r>
        <w:rPr>
          <w:rFonts w:hint="eastAsia"/>
          <w:szCs w:val="21"/>
          <w:highlight w:val="none"/>
          <w:lang w:val="en-US" w:eastAsia="zh-CN"/>
        </w:rPr>
        <w:t xml:space="preserve"> </w:t>
      </w:r>
      <w:r>
        <w:rPr>
          <w:rFonts w:hint="eastAsia"/>
          <w:szCs w:val="21"/>
          <w:highlight w:val="none"/>
        </w:rPr>
        <w:t>能量平衡分析</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企业主要涉及的能源计量种类有电力、蒸汽等。消耗方式分为工业生产消费和非工业生产消费,其中工业生产消费为生产线、厂区照明耗能,非工业生产消费为办公楼、食堂等耗能。能量平衡分析如下:</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 xml:space="preserve">a) </w:t>
      </w:r>
      <w:r>
        <w:rPr>
          <w:rFonts w:hint="eastAsia"/>
          <w:szCs w:val="21"/>
          <w:highlight w:val="none"/>
          <w:lang w:val="en-US" w:eastAsia="zh-CN"/>
        </w:rPr>
        <w:t>电力</w:t>
      </w:r>
      <w:r>
        <w:rPr>
          <w:rFonts w:hint="eastAsia"/>
          <w:szCs w:val="21"/>
          <w:highlight w:val="none"/>
        </w:rPr>
        <w:t>平衡分析:</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电力完全由网上购电获得,主要消耗为生产车间,以及辅助生产系统及办公用电等。电网购入电量由企业和</w:t>
      </w:r>
      <w:r>
        <w:rPr>
          <w:rFonts w:hint="eastAsia"/>
          <w:szCs w:val="21"/>
          <w:highlight w:val="none"/>
          <w:lang w:val="en-US" w:eastAsia="zh-CN"/>
        </w:rPr>
        <w:t>国家电网</w:t>
      </w:r>
      <w:r>
        <w:rPr>
          <w:rFonts w:hint="eastAsia"/>
          <w:szCs w:val="21"/>
          <w:highlight w:val="none"/>
        </w:rPr>
        <w:t>共同统计,支出的数据由</w:t>
      </w:r>
      <w:r>
        <w:rPr>
          <w:rFonts w:hint="eastAsia"/>
          <w:szCs w:val="21"/>
          <w:highlight w:val="none"/>
          <w:lang w:val="en-US" w:eastAsia="zh-CN"/>
        </w:rPr>
        <w:t>220</w:t>
      </w:r>
      <w:r>
        <w:rPr>
          <w:rFonts w:hint="eastAsia"/>
          <w:szCs w:val="21"/>
          <w:highlight w:val="none"/>
        </w:rPr>
        <w:t>kV、10 kV开闭所高压总计量处获得。经分析进出可实现平衡。</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 xml:space="preserve">b） </w:t>
      </w:r>
      <w:r>
        <w:rPr>
          <w:rFonts w:hint="eastAsia"/>
          <w:szCs w:val="21"/>
          <w:highlight w:val="none"/>
        </w:rPr>
        <w:t>用蒸汽平衡分析:</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蒸汽主要是从</w:t>
      </w:r>
      <w:r>
        <w:rPr>
          <w:rFonts w:hint="eastAsia"/>
          <w:szCs w:val="21"/>
          <w:highlight w:val="none"/>
          <w:lang w:val="en-US" w:eastAsia="zh-CN"/>
        </w:rPr>
        <w:t>周边</w:t>
      </w:r>
      <w:r>
        <w:rPr>
          <w:rFonts w:hint="eastAsia"/>
          <w:szCs w:val="21"/>
          <w:highlight w:val="none"/>
        </w:rPr>
        <w:t>电厂获得,主要供给生产用蒸汽和采暖使用。经分析进出可实现平衡。</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c）</w:t>
      </w:r>
      <w:r>
        <w:rPr>
          <w:rFonts w:hint="eastAsia"/>
          <w:szCs w:val="21"/>
          <w:highlight w:val="none"/>
        </w:rPr>
        <w:t>用水平衡分析:</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left"/>
        <w:textAlignment w:val="auto"/>
        <w:rPr>
          <w:rFonts w:hint="default" w:ascii="宋体" w:hAnsi="Times New Roman" w:eastAsia="宋体" w:cs="Times New Roman"/>
          <w:b w:val="0"/>
          <w:bCs w:val="0"/>
          <w:kern w:val="0"/>
          <w:sz w:val="21"/>
          <w:szCs w:val="21"/>
          <w:highlight w:val="none"/>
          <w:lang w:val="en-US" w:eastAsia="zh-CN" w:bidi="ar-SA"/>
        </w:rPr>
      </w:pPr>
      <w:r>
        <w:rPr>
          <w:rFonts w:hint="eastAsia"/>
          <w:szCs w:val="21"/>
          <w:highlight w:val="none"/>
        </w:rPr>
        <w:t>水主要是从自来水企业获得</w:t>
      </w:r>
      <w:r>
        <w:rPr>
          <w:rFonts w:hint="eastAsia"/>
          <w:szCs w:val="21"/>
          <w:highlight w:val="none"/>
          <w:lang w:eastAsia="zh-CN"/>
        </w:rPr>
        <w:t>（</w:t>
      </w:r>
      <w:r>
        <w:rPr>
          <w:rFonts w:hint="eastAsia"/>
          <w:szCs w:val="21"/>
          <w:highlight w:val="none"/>
          <w:lang w:val="en-US" w:eastAsia="zh-CN"/>
        </w:rPr>
        <w:t>少量取自市政管网</w:t>
      </w:r>
      <w:r>
        <w:rPr>
          <w:rFonts w:hint="eastAsia"/>
          <w:szCs w:val="21"/>
          <w:highlight w:val="none"/>
          <w:lang w:eastAsia="zh-CN"/>
        </w:rPr>
        <w:t>）</w:t>
      </w:r>
      <w:r>
        <w:rPr>
          <w:rFonts w:hint="eastAsia"/>
          <w:szCs w:val="21"/>
          <w:highlight w:val="none"/>
        </w:rPr>
        <w:t>,主要供给生产用水和生活用水使用,各界区均设有水表。经分析进出可实现平衡。</w:t>
      </w:r>
      <w:r>
        <w:rPr>
          <w:rFonts w:hint="eastAsia" w:ascii="宋体" w:hAnsi="Times New Roman" w:eastAsia="宋体" w:cs="Times New Roman"/>
          <w:b w:val="0"/>
          <w:bCs w:val="0"/>
          <w:kern w:val="0"/>
          <w:sz w:val="21"/>
          <w:szCs w:val="21"/>
          <w:highlight w:val="none"/>
          <w:lang w:val="en-US" w:eastAsia="zh-CN" w:bidi="ar-SA"/>
        </w:rPr>
        <w:t>能耗指标核算:在各项报表逐一核对的基础上,将统计期内生产的</w:t>
      </w:r>
      <w:r>
        <w:rPr>
          <w:rFonts w:hint="eastAsia" w:cs="Times New Roman"/>
          <w:b w:val="0"/>
          <w:bCs w:val="0"/>
          <w:kern w:val="0"/>
          <w:sz w:val="21"/>
          <w:szCs w:val="21"/>
          <w:highlight w:val="none"/>
          <w:lang w:val="en-US" w:eastAsia="zh-CN" w:bidi="ar-SA"/>
        </w:rPr>
        <w:t>硅多晶</w:t>
      </w:r>
      <w:r>
        <w:rPr>
          <w:rFonts w:hint="eastAsia" w:ascii="宋体" w:hAnsi="Times New Roman" w:eastAsia="宋体" w:cs="Times New Roman"/>
          <w:b w:val="0"/>
          <w:bCs w:val="0"/>
          <w:kern w:val="0"/>
          <w:sz w:val="21"/>
          <w:szCs w:val="21"/>
          <w:highlight w:val="none"/>
          <w:lang w:val="en-US" w:eastAsia="zh-CN" w:bidi="ar-SA"/>
        </w:rPr>
        <w:t>产量、主要能源消耗量(电、蒸汽)进行了统计,其中蒸汽占10%,电耗占90%。（按GB 29447《</w:t>
      </w:r>
      <w:r>
        <w:rPr>
          <w:rFonts w:hint="eastAsia" w:cs="Times New Roman"/>
          <w:b w:val="0"/>
          <w:bCs w:val="0"/>
          <w:kern w:val="0"/>
          <w:sz w:val="21"/>
          <w:szCs w:val="21"/>
          <w:highlight w:val="none"/>
          <w:lang w:val="en-US" w:eastAsia="zh-CN" w:bidi="ar-SA"/>
        </w:rPr>
        <w:t>硅多晶</w:t>
      </w:r>
      <w:r>
        <w:rPr>
          <w:rFonts w:hint="eastAsia" w:ascii="宋体" w:hAnsi="Times New Roman" w:eastAsia="宋体" w:cs="Times New Roman"/>
          <w:b w:val="0"/>
          <w:bCs w:val="0"/>
          <w:kern w:val="0"/>
          <w:sz w:val="21"/>
          <w:szCs w:val="21"/>
          <w:highlight w:val="none"/>
          <w:lang w:val="en-US" w:eastAsia="zh-CN" w:bidi="ar-SA"/>
        </w:rPr>
        <w:t>和锗单位产品能源消耗限额》，工业水不纳入消耗）</w:t>
      </w:r>
      <w:r>
        <w:rPr>
          <w:rFonts w:hint="eastAsia" w:cs="Times New Roman"/>
          <w:b w:val="0"/>
          <w:bCs w:val="0"/>
          <w:kern w:val="0"/>
          <w:sz w:val="21"/>
          <w:szCs w:val="21"/>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ascii="宋体" w:hAnsi="Times New Roman" w:eastAsia="宋体" w:cs="Times New Roman"/>
          <w:b w:val="0"/>
          <w:bCs w:val="0"/>
          <w:kern w:val="0"/>
          <w:sz w:val="21"/>
          <w:szCs w:val="21"/>
          <w:highlight w:val="none"/>
          <w:lang w:val="en-US" w:eastAsia="zh-CN" w:bidi="ar-SA"/>
        </w:rPr>
        <w:t>A.1.2.3 识别出影响主要能源使用的相关</w:t>
      </w:r>
      <w:r>
        <w:rPr>
          <w:rFonts w:hint="eastAsia"/>
          <w:szCs w:val="21"/>
          <w:highlight w:val="none"/>
        </w:rPr>
        <w:t>变量</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lang w:val="en-US" w:eastAsia="zh-CN"/>
        </w:rPr>
      </w:pPr>
      <w:r>
        <w:rPr>
          <w:rFonts w:hint="eastAsia"/>
          <w:szCs w:val="21"/>
          <w:highlight w:val="none"/>
          <w:lang w:val="en-US" w:eastAsia="zh-CN"/>
        </w:rPr>
        <w:t>硅多晶</w:t>
      </w:r>
      <w:r>
        <w:rPr>
          <w:rFonts w:hint="eastAsia"/>
          <w:szCs w:val="21"/>
          <w:highlight w:val="none"/>
        </w:rPr>
        <w:t>生产主要耗能工序有:</w:t>
      </w:r>
      <w:r>
        <w:rPr>
          <w:rFonts w:hint="eastAsia"/>
          <w:szCs w:val="21"/>
          <w:highlight w:val="none"/>
          <w:lang w:val="en-US" w:eastAsia="zh-CN"/>
        </w:rPr>
        <w:t>还原</w:t>
      </w:r>
      <w:r>
        <w:rPr>
          <w:rFonts w:hint="eastAsia"/>
          <w:szCs w:val="21"/>
          <w:highlight w:val="none"/>
        </w:rPr>
        <w:t>、</w:t>
      </w:r>
      <w:r>
        <w:rPr>
          <w:rFonts w:hint="eastAsia"/>
          <w:szCs w:val="21"/>
          <w:highlight w:val="none"/>
          <w:lang w:val="en-US" w:eastAsia="zh-CN"/>
        </w:rPr>
        <w:t>还原尾气干法回收（CDI）、</w:t>
      </w:r>
      <w:r>
        <w:rPr>
          <w:rFonts w:hint="eastAsia"/>
          <w:szCs w:val="21"/>
          <w:highlight w:val="none"/>
        </w:rPr>
        <w:t>电解</w:t>
      </w:r>
      <w:r>
        <w:rPr>
          <w:rFonts w:hint="eastAsia"/>
          <w:szCs w:val="21"/>
          <w:highlight w:val="none"/>
          <w:lang w:val="en-US" w:eastAsia="zh-CN"/>
        </w:rPr>
        <w:t>制氢</w:t>
      </w:r>
      <w:r>
        <w:rPr>
          <w:rFonts w:hint="eastAsia"/>
          <w:szCs w:val="21"/>
          <w:highlight w:val="none"/>
        </w:rPr>
        <w:t>、</w:t>
      </w:r>
      <w:r>
        <w:rPr>
          <w:rFonts w:hint="eastAsia"/>
          <w:szCs w:val="21"/>
          <w:highlight w:val="none"/>
          <w:lang w:val="en-US" w:eastAsia="zh-CN"/>
        </w:rPr>
        <w:t>原料工序</w:t>
      </w:r>
      <w:r>
        <w:rPr>
          <w:rFonts w:hint="eastAsia"/>
          <w:szCs w:val="21"/>
          <w:highlight w:val="none"/>
        </w:rPr>
        <w:t>、</w:t>
      </w:r>
      <w:r>
        <w:rPr>
          <w:rFonts w:hint="eastAsia"/>
          <w:szCs w:val="21"/>
          <w:highlight w:val="none"/>
          <w:lang w:val="en-US" w:eastAsia="zh-CN"/>
        </w:rPr>
        <w:t>冷氢化工序</w:t>
      </w:r>
      <w:r>
        <w:rPr>
          <w:rFonts w:hint="eastAsia"/>
          <w:szCs w:val="21"/>
          <w:highlight w:val="none"/>
        </w:rPr>
        <w:t>、</w:t>
      </w:r>
      <w:r>
        <w:rPr>
          <w:rFonts w:hint="eastAsia"/>
          <w:szCs w:val="21"/>
          <w:highlight w:val="none"/>
          <w:lang w:val="en-US" w:eastAsia="zh-CN"/>
        </w:rPr>
        <w:t>成品处理工序、合成工序</w:t>
      </w:r>
      <w:r>
        <w:rPr>
          <w:rFonts w:hint="eastAsia"/>
          <w:szCs w:val="21"/>
          <w:highlight w:val="none"/>
        </w:rPr>
        <w:t>等。企业从能源、原辅材料及中间产品质量参数,生产过程中影响能源使用的工艺参数、环境参数及其相关因素</w:t>
      </w:r>
      <w:r>
        <w:rPr>
          <w:rFonts w:hint="eastAsia"/>
          <w:szCs w:val="21"/>
          <w:highlight w:val="none"/>
          <w:lang w:val="en-US" w:eastAsia="zh-CN"/>
        </w:rPr>
        <w:t>等</w:t>
      </w:r>
      <w:r>
        <w:rPr>
          <w:rFonts w:hint="eastAsia"/>
          <w:szCs w:val="21"/>
          <w:highlight w:val="none"/>
        </w:rPr>
        <w:t>;</w:t>
      </w:r>
      <w:r>
        <w:rPr>
          <w:rFonts w:hint="eastAsia"/>
          <w:szCs w:val="21"/>
          <w:highlight w:val="none"/>
          <w:lang w:val="en-US" w:eastAsia="zh-CN"/>
        </w:rPr>
        <w:t>如单位硅多晶产品综合能耗、单位硅多晶产品综合电耗、单位硅多晶产品蒸汽单耗等、还原电耗、冷氢化电耗、辅助工序电耗、原料工序蒸汽单耗、还原一次转化率、冷氢化转化率、电力系统的功率因数、还原尾气四氯化硅含量、粗分（冷氢化出口）三氯氢硅各类杂质含量、精制三氯氢硅（原料采出末端）各类杂质含量等、还原产品表观质量（致密料、单晶料占比）;外管网蒸汽压力、还原尾气温度等。</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A.1.3 识别改进的机会</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企业在采用先进的节能技术,合理的工艺布局进行</w:t>
      </w:r>
      <w:r>
        <w:rPr>
          <w:rFonts w:hint="eastAsia"/>
          <w:szCs w:val="21"/>
          <w:highlight w:val="none"/>
          <w:lang w:val="en-US" w:eastAsia="zh-CN"/>
        </w:rPr>
        <w:t>硅多晶</w:t>
      </w:r>
      <w:r>
        <w:rPr>
          <w:rFonts w:hint="eastAsia"/>
          <w:szCs w:val="21"/>
          <w:highlight w:val="none"/>
        </w:rPr>
        <w:t>生产,按照 GB/T 2</w:t>
      </w:r>
      <w:r>
        <w:rPr>
          <w:rFonts w:hint="eastAsia"/>
          <w:szCs w:val="21"/>
          <w:highlight w:val="none"/>
          <w:lang w:val="en-US" w:eastAsia="zh-CN"/>
        </w:rPr>
        <w:t>9447</w:t>
      </w:r>
      <w:r>
        <w:rPr>
          <w:rFonts w:hint="eastAsia"/>
          <w:szCs w:val="21"/>
          <w:highlight w:val="none"/>
        </w:rPr>
        <w:t>中各要素的要求,提高了节能意识,建立了较为完善的能耗计量和考核机制,通过持续改进使企业的能源管理水亚逐步提高。</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在以下几个方面加强管理:进一步完善能源管理体系职责的划分;分析能源使用和能源消耗的现状,识别改进能源绩效的机会,加强人员能力评价确认、培训有效性评价:严格执行企业岗位操作规程;按照能源管理法律法规中的相关要求,进一步建立和完善能源管理规程、管理标准等制度,并切实得到贯彻实施;加强能源使用监视和测量工作,完善计量检测手段,实现不易拆检的计量器具的定期校验;完善用能设备的能效分析,合理匹配生产负荷;完善余热余压的回收利用。</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A.1.4 能源评审的输出</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A.1.4.1 能源绩效参数、能源基准、目标、指标</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企业确定了</w:t>
      </w:r>
      <w:r>
        <w:rPr>
          <w:rFonts w:hint="eastAsia"/>
          <w:szCs w:val="21"/>
          <w:highlight w:val="none"/>
          <w:lang w:val="en-US" w:eastAsia="zh-CN"/>
        </w:rPr>
        <w:t>硅多晶</w:t>
      </w:r>
      <w:r>
        <w:rPr>
          <w:rFonts w:hint="eastAsia"/>
          <w:szCs w:val="21"/>
          <w:highlight w:val="none"/>
        </w:rPr>
        <w:t>的能源绩效参数,并</w:t>
      </w:r>
      <w:r>
        <w:rPr>
          <w:rFonts w:hint="eastAsia"/>
          <w:szCs w:val="21"/>
          <w:highlight w:val="none"/>
          <w:lang w:val="en-US" w:eastAsia="zh-CN"/>
        </w:rPr>
        <w:t>利用归一法测算前三年能绩效参数耗</w:t>
      </w:r>
      <w:r>
        <w:rPr>
          <w:rFonts w:hint="eastAsia"/>
          <w:szCs w:val="21"/>
          <w:highlight w:val="none"/>
        </w:rPr>
        <w:t>作为能源基准,同时参考行业标杆值,建立了企业的</w:t>
      </w:r>
      <w:r>
        <w:rPr>
          <w:rFonts w:hint="eastAsia"/>
          <w:szCs w:val="21"/>
          <w:highlight w:val="none"/>
          <w:lang w:val="en-US" w:eastAsia="zh-CN"/>
        </w:rPr>
        <w:t>硅多晶</w:t>
      </w:r>
      <w:r>
        <w:rPr>
          <w:rFonts w:hint="eastAsia"/>
          <w:szCs w:val="21"/>
          <w:highlight w:val="none"/>
        </w:rPr>
        <w:t>单位产品综合能耗。</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在日常的能源管理过程中,企业将能源目标、指标分解至各生产车间,每月进行监测、考核。</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A.2 企业重点能耗设备相关规定要求</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A</w:t>
      </w:r>
      <w:r>
        <w:rPr>
          <w:rFonts w:hint="eastAsia"/>
          <w:szCs w:val="21"/>
          <w:highlight w:val="none"/>
        </w:rPr>
        <w:t>.2.1相关通用用能设备的运行</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相关通用用能设备的运行要求见表 A.</w:t>
      </w:r>
      <w:r>
        <w:rPr>
          <w:rFonts w:hint="eastAsia"/>
          <w:szCs w:val="21"/>
          <w:highlight w:val="none"/>
          <w:lang w:val="en-US" w:eastAsia="zh-CN"/>
        </w:rPr>
        <w:t>3</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center"/>
        <w:textAlignment w:val="auto"/>
        <w:rPr>
          <w:rFonts w:hint="default" w:eastAsia="宋体"/>
          <w:szCs w:val="21"/>
          <w:highlight w:val="none"/>
          <w:lang w:val="en-US" w:eastAsia="zh-CN"/>
        </w:rPr>
      </w:pPr>
      <w:r>
        <w:rPr>
          <w:rFonts w:hint="eastAsia"/>
          <w:szCs w:val="21"/>
          <w:highlight w:val="none"/>
          <w:lang w:val="en-US" w:eastAsia="zh-CN"/>
        </w:rPr>
        <w:t>表A.3 相关通用用能设备的运行要求</w:t>
      </w:r>
    </w:p>
    <w:tbl>
      <w:tblPr>
        <w:tblStyle w:val="33"/>
        <w:tblW w:w="500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17"/>
        <w:gridCol w:w="2332"/>
        <w:gridCol w:w="61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488" w:type="pct"/>
            <w:tcBorders>
              <w:right w:val="single" w:color="000000" w:sz="4" w:space="0"/>
            </w:tcBorders>
          </w:tcPr>
          <w:p>
            <w:pPr>
              <w:pStyle w:val="153"/>
              <w:spacing w:line="280" w:lineRule="exact"/>
              <w:ind w:left="222" w:right="214"/>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序号</w:t>
            </w:r>
          </w:p>
        </w:tc>
        <w:tc>
          <w:tcPr>
            <w:tcW w:w="1241" w:type="pct"/>
            <w:tcBorders>
              <w:left w:val="single" w:color="000000" w:sz="4" w:space="0"/>
              <w:right w:val="single" w:color="000000" w:sz="4" w:space="0"/>
            </w:tcBorders>
          </w:tcPr>
          <w:p>
            <w:pPr>
              <w:pStyle w:val="153"/>
              <w:spacing w:line="280" w:lineRule="exact"/>
              <w:ind w:left="260" w:right="244"/>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标准编号</w:t>
            </w:r>
          </w:p>
        </w:tc>
        <w:tc>
          <w:tcPr>
            <w:tcW w:w="3269" w:type="pct"/>
            <w:tcBorders>
              <w:left w:val="single" w:color="000000" w:sz="4" w:space="0"/>
            </w:tcBorders>
          </w:tcPr>
          <w:p>
            <w:pPr>
              <w:pStyle w:val="153"/>
              <w:spacing w:line="280" w:lineRule="exact"/>
              <w:ind w:left="0" w:right="2811"/>
              <w:rPr>
                <w:rFonts w:hint="default" w:ascii="仿宋" w:hAnsi="仿宋" w:eastAsia="仿宋" w:cs="仿宋"/>
                <w:color w:val="auto"/>
                <w:kern w:val="0"/>
                <w:sz w:val="18"/>
                <w:szCs w:val="18"/>
                <w:highlight w:val="none"/>
                <w:u w:val="none"/>
                <w:lang w:val="en-US" w:bidi="ar"/>
              </w:rPr>
            </w:pPr>
            <w:r>
              <w:rPr>
                <w:rFonts w:hint="eastAsia" w:ascii="仿宋" w:hAnsi="仿宋" w:eastAsia="仿宋" w:cs="仿宋"/>
                <w:color w:val="auto"/>
                <w:kern w:val="0"/>
                <w:sz w:val="18"/>
                <w:szCs w:val="18"/>
                <w:highlight w:val="none"/>
                <w:u w:val="none"/>
                <w:lang w:val="en-US" w:eastAsia="zh-CN" w:bidi="ar"/>
              </w:rPr>
              <w:t>标准名称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488" w:type="pct"/>
            <w:tcBorders>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1</w:t>
            </w:r>
          </w:p>
        </w:tc>
        <w:tc>
          <w:tcPr>
            <w:tcW w:w="1241" w:type="pct"/>
            <w:tcBorders>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GB/T 12497</w:t>
            </w:r>
          </w:p>
        </w:tc>
        <w:tc>
          <w:tcPr>
            <w:tcW w:w="3269" w:type="pct"/>
            <w:tcBorders>
              <w:left w:val="single" w:color="000000" w:sz="4" w:space="0"/>
              <w:bottom w:val="single" w:color="000000" w:sz="4" w:space="0"/>
            </w:tcBorders>
          </w:tcPr>
          <w:p>
            <w:pPr>
              <w:pStyle w:val="153"/>
              <w:spacing w:line="285"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三相异步电动机经济运行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2</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GB/T 1346</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spacing w:val="0"/>
                <w:w w:val="100"/>
                <w:kern w:val="0"/>
                <w:sz w:val="18"/>
                <w:szCs w:val="18"/>
                <w:highlight w:val="none"/>
                <w:u w:val="none"/>
                <w:lang w:val="en-US" w:bidi="ar"/>
              </w:rPr>
              <w:t>交流电气传动风机（泵类、空气压缩机）系统经济运行通则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3</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GB/T 13462</w:t>
            </w:r>
          </w:p>
        </w:tc>
        <w:tc>
          <w:tcPr>
            <w:tcW w:w="3269" w:type="pct"/>
            <w:tcBorders>
              <w:top w:val="single" w:color="000000" w:sz="4" w:space="0"/>
              <w:left w:val="single" w:color="000000" w:sz="4" w:space="0"/>
              <w:bottom w:val="single" w:color="000000" w:sz="4" w:space="0"/>
            </w:tcBorders>
          </w:tcPr>
          <w:p>
            <w:pPr>
              <w:pStyle w:val="153"/>
              <w:spacing w:line="292"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电力变压器经济运行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4</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GB/T 14549</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电能质量公用电网谐波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5</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17167</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用能单位能源计量器具配备和管理通则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6</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18613</w:t>
            </w:r>
          </w:p>
        </w:tc>
        <w:tc>
          <w:tcPr>
            <w:tcW w:w="3269" w:type="pct"/>
            <w:tcBorders>
              <w:top w:val="single" w:color="000000" w:sz="4" w:space="0"/>
              <w:left w:val="single" w:color="000000" w:sz="4" w:space="0"/>
              <w:bottom w:val="single" w:color="000000" w:sz="4" w:space="0"/>
            </w:tcBorders>
          </w:tcPr>
          <w:p>
            <w:pPr>
              <w:pStyle w:val="153"/>
              <w:spacing w:line="292"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中小型三相异步电动机能效限定值及能效等级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7</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19762</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清水离心泵能效限定值及节能评价值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8</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19153</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容积式空气压缩机能效限定值及能效等级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9</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19761</w:t>
            </w:r>
          </w:p>
        </w:tc>
        <w:tc>
          <w:tcPr>
            <w:tcW w:w="3269" w:type="pct"/>
            <w:tcBorders>
              <w:top w:val="single" w:color="000000" w:sz="4" w:space="0"/>
              <w:left w:val="single" w:color="000000" w:sz="4" w:space="0"/>
              <w:bottom w:val="single" w:color="000000" w:sz="4" w:space="0"/>
            </w:tcBorders>
          </w:tcPr>
          <w:p>
            <w:pPr>
              <w:pStyle w:val="153"/>
              <w:spacing w:line="292"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通风机能效限定值及能效等级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default"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10</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2052</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三相配电变压器能效限定值及能效等级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488" w:type="pct"/>
            <w:tcBorders>
              <w:top w:val="single" w:color="000000" w:sz="4" w:space="0"/>
              <w:right w:val="single" w:color="000000" w:sz="4" w:space="0"/>
            </w:tcBorders>
          </w:tcPr>
          <w:p>
            <w:pPr>
              <w:pStyle w:val="153"/>
              <w:spacing w:line="285" w:lineRule="exact"/>
              <w:ind w:right="76"/>
              <w:jc w:val="center"/>
              <w:rPr>
                <w:rFonts w:hint="default" w:ascii="仿宋" w:hAnsi="仿宋" w:eastAsia="仿宋" w:cs="仿宋"/>
                <w:color w:val="auto"/>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 xml:space="preserve">  11</w:t>
            </w:r>
          </w:p>
        </w:tc>
        <w:tc>
          <w:tcPr>
            <w:tcW w:w="1241" w:type="pct"/>
            <w:tcBorders>
              <w:top w:val="single" w:color="000000" w:sz="4" w:space="0"/>
              <w:left w:val="single" w:color="000000" w:sz="4" w:space="0"/>
              <w:right w:val="single" w:color="000000" w:sz="4" w:space="0"/>
            </w:tcBorders>
          </w:tcPr>
          <w:p>
            <w:pPr>
              <w:jc w:val="center"/>
              <w:rPr>
                <w:rFonts w:hint="eastAsia" w:ascii="宋体" w:hAnsi="宋体" w:eastAsia="宋体" w:cs="宋体"/>
                <w:lang w:val="en-US"/>
              </w:rPr>
            </w:pPr>
            <w:r>
              <w:rPr>
                <w:rFonts w:hint="eastAsia" w:ascii="宋体" w:hAnsi="宋体" w:eastAsia="宋体" w:cs="宋体"/>
                <w:lang w:val="en-US" w:eastAsia="zh-CN"/>
              </w:rPr>
              <w:t>...</w:t>
            </w:r>
          </w:p>
        </w:tc>
        <w:tc>
          <w:tcPr>
            <w:tcW w:w="3269" w:type="pct"/>
            <w:tcBorders>
              <w:top w:val="single" w:color="000000" w:sz="4" w:space="0"/>
              <w:left w:val="single" w:color="000000" w:sz="4" w:space="0"/>
            </w:tcBorders>
          </w:tcPr>
          <w:p>
            <w:pPr>
              <w:pStyle w:val="153"/>
              <w:spacing w:line="285" w:lineRule="exact"/>
              <w:ind w:left="116"/>
              <w:jc w:val="center"/>
              <w:rPr>
                <w:rFonts w:hint="default" w:ascii="仿宋" w:hAnsi="仿宋" w:eastAsia="仿宋" w:cs="仿宋"/>
                <w:color w:val="auto"/>
                <w:kern w:val="0"/>
                <w:sz w:val="18"/>
                <w:szCs w:val="18"/>
                <w:highlight w:val="none"/>
                <w:u w:val="none"/>
                <w:lang w:val="en-US" w:bidi="ar"/>
              </w:rPr>
            </w:pPr>
            <w:r>
              <w:rPr>
                <w:rFonts w:hint="eastAsia" w:ascii="仿宋" w:hAnsi="仿宋" w:eastAsia="仿宋" w:cs="仿宋"/>
                <w:color w:val="auto"/>
                <w:kern w:val="0"/>
                <w:sz w:val="18"/>
                <w:szCs w:val="18"/>
                <w:highlight w:val="none"/>
                <w:u w:val="none"/>
                <w:lang w:val="en-US" w:eastAsia="zh-CN" w:bidi="ar"/>
              </w:rPr>
              <w:t>...</w:t>
            </w:r>
          </w:p>
        </w:tc>
      </w:tr>
    </w:tbl>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A.2.2 企业应对影响能耗的主要因素进行分析和监视测量,并进行有效控制</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A.2.2.1</w:t>
      </w:r>
      <w:r>
        <w:rPr>
          <w:rFonts w:hint="eastAsia"/>
          <w:szCs w:val="21"/>
          <w:highlight w:val="none"/>
          <w:lang w:val="en-US" w:eastAsia="zh-CN"/>
        </w:rPr>
        <w:t xml:space="preserve"> 硅多晶</w:t>
      </w:r>
      <w:r>
        <w:rPr>
          <w:rFonts w:hint="eastAsia"/>
          <w:szCs w:val="21"/>
          <w:highlight w:val="none"/>
        </w:rPr>
        <w:t>产品影响能耗的主要因素及控制和改进措施</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硅多晶</w:t>
      </w:r>
      <w:r>
        <w:rPr>
          <w:rFonts w:hint="eastAsia"/>
          <w:szCs w:val="21"/>
          <w:highlight w:val="none"/>
        </w:rPr>
        <w:t>产品影响能耗的主要原因有:</w:t>
      </w:r>
      <w:r>
        <w:rPr>
          <w:rFonts w:hint="eastAsia"/>
          <w:szCs w:val="21"/>
          <w:highlight w:val="none"/>
          <w:lang w:val="en-US" w:eastAsia="zh-CN"/>
        </w:rPr>
        <w:t>生产运行是否稳定，硅多晶还原炉选型及电耗，是否选用冷氢化工序替代热氢化工艺，</w:t>
      </w:r>
      <w:r>
        <w:rPr>
          <w:rFonts w:hint="eastAsia"/>
          <w:szCs w:val="21"/>
          <w:highlight w:val="none"/>
        </w:rPr>
        <w:t>电</w:t>
      </w:r>
      <w:r>
        <w:rPr>
          <w:rFonts w:hint="eastAsia"/>
          <w:szCs w:val="21"/>
          <w:highlight w:val="none"/>
          <w:lang w:val="en-US" w:eastAsia="zh-CN"/>
        </w:rPr>
        <w:t>解</w:t>
      </w:r>
      <w:r>
        <w:rPr>
          <w:rFonts w:hint="eastAsia"/>
          <w:szCs w:val="21"/>
          <w:highlight w:val="none"/>
        </w:rPr>
        <w:t>槽</w:t>
      </w:r>
      <w:r>
        <w:rPr>
          <w:rFonts w:hint="eastAsia"/>
          <w:szCs w:val="21"/>
          <w:highlight w:val="none"/>
          <w:lang w:eastAsia="zh-CN"/>
        </w:rPr>
        <w:t>、</w:t>
      </w:r>
      <w:r>
        <w:rPr>
          <w:rFonts w:hint="eastAsia"/>
          <w:szCs w:val="21"/>
          <w:highlight w:val="none"/>
          <w:lang w:val="en-US" w:eastAsia="zh-CN"/>
        </w:rPr>
        <w:t>压缩机、冷冻机操作</w:t>
      </w:r>
      <w:r>
        <w:rPr>
          <w:rFonts w:hint="eastAsia"/>
          <w:szCs w:val="21"/>
          <w:highlight w:val="none"/>
        </w:rPr>
        <w:t>是否正常</w:t>
      </w:r>
      <w:r>
        <w:rPr>
          <w:rFonts w:hint="eastAsia"/>
          <w:szCs w:val="21"/>
          <w:highlight w:val="none"/>
          <w:lang w:eastAsia="zh-CN"/>
        </w:rPr>
        <w:t>，</w:t>
      </w:r>
      <w:r>
        <w:rPr>
          <w:rFonts w:hint="eastAsia"/>
          <w:szCs w:val="21"/>
          <w:highlight w:val="none"/>
          <w:lang w:val="en-US" w:eastAsia="zh-CN"/>
        </w:rPr>
        <w:t>电机是否选用节能型</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控制以及改进措施:</w:t>
      </w:r>
      <w:r>
        <w:rPr>
          <w:rFonts w:hint="eastAsia"/>
          <w:szCs w:val="21"/>
          <w:highlight w:val="none"/>
          <w:lang w:val="en-US" w:eastAsia="zh-CN"/>
        </w:rPr>
        <w:t>选择高效还原炉，选择使用冷氢化工艺生产原料，</w:t>
      </w:r>
      <w:r>
        <w:rPr>
          <w:rFonts w:hint="eastAsia"/>
          <w:szCs w:val="21"/>
          <w:highlight w:val="none"/>
        </w:rPr>
        <w:t>采用先进节能压缩机</w:t>
      </w:r>
      <w:r>
        <w:rPr>
          <w:rFonts w:hint="eastAsia"/>
          <w:szCs w:val="21"/>
          <w:highlight w:val="none"/>
          <w:lang w:eastAsia="zh-CN"/>
        </w:rPr>
        <w:t>，</w:t>
      </w:r>
      <w:r>
        <w:rPr>
          <w:rFonts w:hint="eastAsia"/>
          <w:szCs w:val="21"/>
          <w:highlight w:val="none"/>
          <w:lang w:val="en-US" w:eastAsia="zh-CN"/>
        </w:rPr>
        <w:t>冷冻机和高效电机，制定操作规程、明确细化操作参数，采用先进自控技术，减少人工操作降低异常出现</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eastAsia="宋体"/>
          <w:szCs w:val="21"/>
          <w:highlight w:val="none"/>
          <w:lang w:eastAsia="zh-CN"/>
        </w:rPr>
      </w:pPr>
      <w:r>
        <w:rPr>
          <w:rFonts w:hint="eastAsia"/>
          <w:szCs w:val="21"/>
          <w:highlight w:val="none"/>
        </w:rPr>
        <w:t>企业在新改扩建项目时应考虑应用先进节能设备</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default"/>
          <w:szCs w:val="21"/>
          <w:highlight w:val="none"/>
        </w:rPr>
      </w:pPr>
      <w:r>
        <w:rPr>
          <w:rFonts w:hint="eastAsia"/>
          <w:szCs w:val="21"/>
          <w:highlight w:val="none"/>
          <w:lang w:val="en-US" w:eastAsia="zh-CN"/>
        </w:rPr>
        <w:t>精馏耦合技术、还原闪蒸压力提升、大型冷氢化装置、高效还原炉等降低单位产品硅多晶能耗需求。</w:t>
      </w:r>
    </w:p>
    <w:sectPr>
      <w:headerReference r:id="rId7" w:type="default"/>
      <w:footerReference r:id="rId8"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3730625</wp:posOffset>
              </wp:positionH>
              <wp:positionV relativeFrom="page">
                <wp:posOffset>9651365</wp:posOffset>
              </wp:positionV>
              <wp:extent cx="10795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75pt;margin-top:759.95pt;height:11pt;width:8.5pt;mso-position-horizontal-relative:page;mso-position-vertical-relative:page;z-index:-251652096;mso-width-relative:page;mso-height-relative:page;" filled="f" stroked="f" coordsize="21600,21600" o:gfxdata="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erFMtoAAAANAQAADwAAAAAAAAABACAAAAAiAAAAZHJzL2Rvd25yZXYueG1sUEsB&#10;AhQAFAAAAAgAh07iQITJNJK6AQAAcwMAAA4AAAAAAAAAAQAgAAAAKQEAAGRycy9lMm9Eb2MueG1s&#10;UEsFBgAAAAAGAAYAWQEAAFUFAAAAAA==&#10;">
              <v:fill on="f" focussize="0,0"/>
              <v:stroke on="f"/>
              <v:imagedata o:title=""/>
              <o:lock v:ext="edit" aspectratio="f"/>
              <v:textbox inset="0mm,0mm,0mm,0mm">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3698240</wp:posOffset>
              </wp:positionH>
              <wp:positionV relativeFrom="page">
                <wp:posOffset>9651365</wp:posOffset>
              </wp:positionV>
              <wp:extent cx="160655" cy="1397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60655" cy="139700"/>
                      </a:xfrm>
                      <a:prstGeom prst="rect">
                        <a:avLst/>
                      </a:prstGeom>
                      <a:noFill/>
                      <a:ln>
                        <a:noFill/>
                      </a:ln>
                    </wps:spPr>
                    <wps:txbx>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59.95pt;height:11pt;width:12.65pt;mso-position-horizontal-relative:page;mso-position-vertical-relative:page;z-index:-251652096;mso-width-relative:page;mso-height-relative:page;" filled="f" stroked="f" coordsize="21600,21600" o:gfxdata="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UIcVLbAAAADQEAAA8AAAAAAAAAAQAgAAAAIgAAAGRycy9kb3ducmV2LnhtbFBL&#10;AQIUABQAAAAIAIdO4kDLNUbuugEAAHMDAAAOAAAAAAAAAAEAIAAAACoBAABkcnMvZTJvRG9jLnht&#10;bFBLBQYAAAAABgAGAFkBAABWBQAAAAA=&#10;">
              <v:fill on="f" focussize="0,0"/>
              <v:stroke on="f"/>
              <v:imagedata o:title=""/>
              <o:lock v:ext="edit" aspectratio="f"/>
              <v:textbox inset="0mm,0mm,0mm,0mm">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lang w:val="en-US" w:eastAsia="zh-CN"/>
      </w:rPr>
      <w:t>YS</w:t>
    </w:r>
    <w:r>
      <w:t>/T XXXXX—XXXX</w:t>
    </w:r>
  </w:p>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5591175</wp:posOffset>
              </wp:positionH>
              <wp:positionV relativeFrom="page">
                <wp:posOffset>535940</wp:posOffset>
              </wp:positionV>
              <wp:extent cx="809625"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9625" cy="139700"/>
                      </a:xfrm>
                      <a:prstGeom prst="rect">
                        <a:avLst/>
                      </a:prstGeom>
                      <a:noFill/>
                      <a:ln>
                        <a:noFill/>
                      </a:ln>
                    </wps:spPr>
                    <wps:txbx>
                      <w:txbxContent>
                        <w:p>
                          <w:pPr>
                            <w:rPr>
                              <w:szCs w:val="18"/>
                            </w:rPr>
                          </w:pPr>
                        </w:p>
                      </w:txbxContent>
                    </wps:txbx>
                    <wps:bodyPr lIns="0" tIns="0" rIns="0" bIns="0" upright="1"/>
                  </wps:wsp>
                </a:graphicData>
              </a:graphic>
            </wp:anchor>
          </w:drawing>
        </mc:Choice>
        <mc:Fallback>
          <w:pict>
            <v:shape id="_x0000_s1026" o:spid="_x0000_s1026" o:spt="202" type="#_x0000_t202" style="position:absolute;left:0pt;margin-left:440.25pt;margin-top:42.2pt;height:11pt;width:63.75pt;mso-position-horizontal-relative:page;mso-position-vertical-relative:page;z-index:-251652096;mso-width-relative:page;mso-height-relative:page;" filled="f" stroked="f" coordsize="21600,21600" o:gfxdata="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4QQsc1wAAAAsBAAAPAAAAAAAAAAEAIAAAACIAAABkcnMvZG93bnJldi54bWxQSwEC&#10;FAAUAAAACACHTuJAyxDlLbwBAABzAwAADgAAAAAAAAABACAAAAAmAQAAZHJzL2Uyb0RvYy54bWxQ&#10;SwUGAAAAAAYABgBZAQAAVAUAAAAA&#10;">
              <v:fill on="f" focussize="0,0"/>
              <v:stroke on="f"/>
              <v:imagedata o:title=""/>
              <o:lock v:ext="edit" aspectratio="f"/>
              <v:textbox inset="0mm,0mm,0mm,0mm">
                <w:txbxContent>
                  <w:p>
                    <w:pPr>
                      <w:rPr>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lang w:eastAsia="zh-CN"/>
      </w:rPr>
    </w:pPr>
    <w:r>
      <w:rPr>
        <w:rFonts w:hint="eastAsia"/>
        <w:sz w:val="20"/>
        <w:szCs w:val="20"/>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lang w:val="en-US" w:eastAsia="zh-CN"/>
      </w:rPr>
      <w:t>YS</w:t>
    </w:r>
    <w: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64AC0"/>
    <w:multiLevelType w:val="singleLevel"/>
    <w:tmpl w:val="89C64AC0"/>
    <w:lvl w:ilvl="0" w:tentative="0">
      <w:start w:val="1"/>
      <w:numFmt w:val="lowerLetter"/>
      <w:suff w:val="space"/>
      <w:lvlText w:val="%1)"/>
      <w:lvlJc w:val="left"/>
    </w:lvl>
  </w:abstractNum>
  <w:abstractNum w:abstractNumId="1">
    <w:nsid w:val="E9DB5670"/>
    <w:multiLevelType w:val="singleLevel"/>
    <w:tmpl w:val="E9DB5670"/>
    <w:lvl w:ilvl="0" w:tentative="0">
      <w:start w:val="1"/>
      <w:numFmt w:val="lowerLetter"/>
      <w:suff w:val="space"/>
      <w:lvlText w:val="%1）"/>
      <w:lvlJc w:val="left"/>
    </w:lvl>
  </w:abstractNum>
  <w:abstractNum w:abstractNumId="2">
    <w:nsid w:val="00000004"/>
    <w:multiLevelType w:val="singleLevel"/>
    <w:tmpl w:val="00000004"/>
    <w:lvl w:ilvl="0" w:tentative="0">
      <w:start w:val="1"/>
      <w:numFmt w:val="lowerLetter"/>
      <w:suff w:val="space"/>
      <w:lvlText w:val="%1)"/>
      <w:lvlJc w:val="left"/>
    </w:lvl>
  </w:abstractNum>
  <w:abstractNum w:abstractNumId="3">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3"/>
      <w:suff w:val="nothing"/>
      <w:lvlText w:val="%1%2.%3　"/>
      <w:lvlJc w:val="left"/>
      <w:pPr>
        <w:ind w:left="0" w:firstLine="0"/>
      </w:pPr>
      <w:rPr>
        <w:rFonts w:hint="eastAsia" w:ascii="黑体" w:hAnsi="Times New Roman" w:eastAsia="黑体"/>
        <w:b w:val="0"/>
        <w:i w:val="0"/>
        <w:sz w:val="21"/>
      </w:rPr>
    </w:lvl>
    <w:lvl w:ilvl="3" w:tentative="0">
      <w:start w:val="1"/>
      <w:numFmt w:val="decimal"/>
      <w:pStyle w:val="139"/>
      <w:suff w:val="nothing"/>
      <w:lvlText w:val="%1%2.%3.%4　"/>
      <w:lvlJc w:val="left"/>
      <w:pPr>
        <w:ind w:left="0" w:firstLine="0"/>
      </w:pPr>
      <w:rPr>
        <w:rFonts w:hint="eastAsia" w:ascii="黑体" w:hAnsi="Times New Roman" w:eastAsia="黑体"/>
        <w:b w:val="0"/>
        <w:i w:val="0"/>
        <w:sz w:val="21"/>
      </w:rPr>
    </w:lvl>
    <w:lvl w:ilvl="4" w:tentative="0">
      <w:start w:val="1"/>
      <w:numFmt w:val="decimal"/>
      <w:pStyle w:val="140"/>
      <w:suff w:val="nothing"/>
      <w:lvlText w:val="%1%2.%3.%4.%5　"/>
      <w:lvlJc w:val="left"/>
      <w:pPr>
        <w:ind w:left="0" w:firstLine="0"/>
      </w:pPr>
      <w:rPr>
        <w:rFonts w:hint="eastAsia" w:ascii="黑体" w:hAnsi="Times New Roman" w:eastAsia="黑体"/>
        <w:b w:val="0"/>
        <w:i w:val="0"/>
        <w:sz w:val="21"/>
      </w:rPr>
    </w:lvl>
    <w:lvl w:ilvl="5" w:tentative="0">
      <w:start w:val="1"/>
      <w:numFmt w:val="decimal"/>
      <w:pStyle w:val="141"/>
      <w:suff w:val="nothing"/>
      <w:lvlText w:val="%1%2.%3.%4.%5.%6　"/>
      <w:lvlJc w:val="left"/>
      <w:pPr>
        <w:ind w:left="0" w:firstLine="0"/>
      </w:pPr>
      <w:rPr>
        <w:rFonts w:hint="eastAsia" w:ascii="黑体" w:hAnsi="Times New Roman" w:eastAsia="黑体"/>
        <w:b w:val="0"/>
        <w:i w:val="0"/>
        <w:sz w:val="21"/>
      </w:rPr>
    </w:lvl>
    <w:lvl w:ilvl="6" w:tentative="0">
      <w:start w:val="1"/>
      <w:numFmt w:val="decimal"/>
      <w:pStyle w:val="1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7"/>
      <w:suff w:val="nothing"/>
      <w:lvlText w:val="%1.%2.%3　"/>
      <w:lvlJc w:val="left"/>
      <w:pPr>
        <w:ind w:left="426"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6BF952A"/>
    <w:multiLevelType w:val="singleLevel"/>
    <w:tmpl w:val="26BF952A"/>
    <w:lvl w:ilvl="0" w:tentative="0">
      <w:start w:val="1"/>
      <w:numFmt w:val="lowerLetter"/>
      <w:suff w:val="space"/>
      <w:lvlText w:val="%1）"/>
      <w:lvlJc w:val="left"/>
    </w:lvl>
  </w:abstractNum>
  <w:abstractNum w:abstractNumId="7">
    <w:nsid w:val="28F533A0"/>
    <w:multiLevelType w:val="singleLevel"/>
    <w:tmpl w:val="28F533A0"/>
    <w:lvl w:ilvl="0" w:tentative="0">
      <w:start w:val="1"/>
      <w:numFmt w:val="lowerLetter"/>
      <w:suff w:val="space"/>
      <w:lvlText w:val="%1)"/>
      <w:lvlJc w:val="left"/>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869EC37"/>
    <w:multiLevelType w:val="singleLevel"/>
    <w:tmpl w:val="3869EC37"/>
    <w:lvl w:ilvl="0" w:tentative="0">
      <w:start w:val="1"/>
      <w:numFmt w:val="lowerLetter"/>
      <w:suff w:val="space"/>
      <w:lvlText w:val="%1)"/>
      <w:lvlJc w:val="left"/>
    </w:lvl>
  </w:abstractNum>
  <w:abstractNum w:abstractNumId="11">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52C8F127"/>
    <w:multiLevelType w:val="singleLevel"/>
    <w:tmpl w:val="52C8F127"/>
    <w:lvl w:ilvl="0" w:tentative="0">
      <w:start w:val="1"/>
      <w:numFmt w:val="lowerLetter"/>
      <w:suff w:val="space"/>
      <w:lvlText w:val="%1）"/>
      <w:lvlJc w:val="left"/>
    </w:lvl>
  </w:abstractNum>
  <w:abstractNum w:abstractNumId="14">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739A3142"/>
    <w:multiLevelType w:val="singleLevel"/>
    <w:tmpl w:val="739A3142"/>
    <w:lvl w:ilvl="0" w:tentative="0">
      <w:start w:val="1"/>
      <w:numFmt w:val="lowerLetter"/>
      <w:suff w:val="space"/>
      <w:lvlText w:val="%1）"/>
      <w:lvlJc w:val="left"/>
    </w:lvl>
  </w:abstractNum>
  <w:num w:numId="1">
    <w:abstractNumId w:val="11"/>
  </w:num>
  <w:num w:numId="2">
    <w:abstractNumId w:val="5"/>
  </w:num>
  <w:num w:numId="3">
    <w:abstractNumId w:val="9"/>
  </w:num>
  <w:num w:numId="4">
    <w:abstractNumId w:val="12"/>
  </w:num>
  <w:num w:numId="5">
    <w:abstractNumId w:val="4"/>
  </w:num>
  <w:num w:numId="6">
    <w:abstractNumId w:val="15"/>
  </w:num>
  <w:num w:numId="7">
    <w:abstractNumId w:val="14"/>
  </w:num>
  <w:num w:numId="8">
    <w:abstractNumId w:val="16"/>
  </w:num>
  <w:num w:numId="9">
    <w:abstractNumId w:val="8"/>
  </w:num>
  <w:num w:numId="10">
    <w:abstractNumId w:val="3"/>
  </w:num>
  <w:num w:numId="11">
    <w:abstractNumId w:val="2"/>
  </w:num>
  <w:num w:numId="12">
    <w:abstractNumId w:val="7"/>
  </w:num>
  <w:num w:numId="13">
    <w:abstractNumId w:val="0"/>
  </w:num>
  <w:num w:numId="14">
    <w:abstractNumId w:val="1"/>
  </w:num>
  <w:num w:numId="15">
    <w:abstractNumId w:val="10"/>
  </w:num>
  <w:num w:numId="16">
    <w:abstractNumId w:val="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586F"/>
    <w:rsid w:val="00005A15"/>
    <w:rsid w:val="00006E5C"/>
    <w:rsid w:val="00013D86"/>
    <w:rsid w:val="00013E02"/>
    <w:rsid w:val="0002143C"/>
    <w:rsid w:val="00025A65"/>
    <w:rsid w:val="00026034"/>
    <w:rsid w:val="00026C31"/>
    <w:rsid w:val="00027280"/>
    <w:rsid w:val="000320A7"/>
    <w:rsid w:val="00035925"/>
    <w:rsid w:val="00036B73"/>
    <w:rsid w:val="000511C3"/>
    <w:rsid w:val="0005303A"/>
    <w:rsid w:val="00053ADB"/>
    <w:rsid w:val="00063138"/>
    <w:rsid w:val="00063E97"/>
    <w:rsid w:val="00064121"/>
    <w:rsid w:val="00067CDF"/>
    <w:rsid w:val="000700EE"/>
    <w:rsid w:val="000716E1"/>
    <w:rsid w:val="0007336C"/>
    <w:rsid w:val="00074FBE"/>
    <w:rsid w:val="00083A09"/>
    <w:rsid w:val="000841EE"/>
    <w:rsid w:val="0009005E"/>
    <w:rsid w:val="00092857"/>
    <w:rsid w:val="000A20A9"/>
    <w:rsid w:val="000A48B1"/>
    <w:rsid w:val="000B3143"/>
    <w:rsid w:val="000C51FC"/>
    <w:rsid w:val="000C6B05"/>
    <w:rsid w:val="000C6DD6"/>
    <w:rsid w:val="000C73D4"/>
    <w:rsid w:val="000C7BB4"/>
    <w:rsid w:val="000D3D4C"/>
    <w:rsid w:val="000D4F51"/>
    <w:rsid w:val="000D718B"/>
    <w:rsid w:val="000E0C46"/>
    <w:rsid w:val="000E398F"/>
    <w:rsid w:val="000E6074"/>
    <w:rsid w:val="000E7F53"/>
    <w:rsid w:val="000F030C"/>
    <w:rsid w:val="000F129C"/>
    <w:rsid w:val="001056DE"/>
    <w:rsid w:val="001124C0"/>
    <w:rsid w:val="00120EDF"/>
    <w:rsid w:val="00122897"/>
    <w:rsid w:val="0013175F"/>
    <w:rsid w:val="001512B4"/>
    <w:rsid w:val="001519D8"/>
    <w:rsid w:val="00157ED8"/>
    <w:rsid w:val="001620A5"/>
    <w:rsid w:val="00164E53"/>
    <w:rsid w:val="0016699D"/>
    <w:rsid w:val="00173224"/>
    <w:rsid w:val="00175159"/>
    <w:rsid w:val="00176208"/>
    <w:rsid w:val="001804B1"/>
    <w:rsid w:val="0018211B"/>
    <w:rsid w:val="001837AE"/>
    <w:rsid w:val="001840D3"/>
    <w:rsid w:val="001900F8"/>
    <w:rsid w:val="00191258"/>
    <w:rsid w:val="00192680"/>
    <w:rsid w:val="00193037"/>
    <w:rsid w:val="00193A2C"/>
    <w:rsid w:val="001A288E"/>
    <w:rsid w:val="001A7661"/>
    <w:rsid w:val="001B6BE0"/>
    <w:rsid w:val="001B6DC2"/>
    <w:rsid w:val="001C149C"/>
    <w:rsid w:val="001C1CE7"/>
    <w:rsid w:val="001C21AC"/>
    <w:rsid w:val="001C47BA"/>
    <w:rsid w:val="001C59EA"/>
    <w:rsid w:val="001D406C"/>
    <w:rsid w:val="001D41EE"/>
    <w:rsid w:val="001E0380"/>
    <w:rsid w:val="001E13B1"/>
    <w:rsid w:val="001F0221"/>
    <w:rsid w:val="001F3A19"/>
    <w:rsid w:val="00215920"/>
    <w:rsid w:val="002177B7"/>
    <w:rsid w:val="00217C9E"/>
    <w:rsid w:val="00221A69"/>
    <w:rsid w:val="002331C2"/>
    <w:rsid w:val="00234467"/>
    <w:rsid w:val="00235BFF"/>
    <w:rsid w:val="00237D8D"/>
    <w:rsid w:val="00241DA2"/>
    <w:rsid w:val="00247FEE"/>
    <w:rsid w:val="00250E7D"/>
    <w:rsid w:val="002565D5"/>
    <w:rsid w:val="002622C0"/>
    <w:rsid w:val="002778AE"/>
    <w:rsid w:val="00280B20"/>
    <w:rsid w:val="0028269A"/>
    <w:rsid w:val="00283590"/>
    <w:rsid w:val="00284AFB"/>
    <w:rsid w:val="00286973"/>
    <w:rsid w:val="00287920"/>
    <w:rsid w:val="00294C17"/>
    <w:rsid w:val="00294E70"/>
    <w:rsid w:val="00297240"/>
    <w:rsid w:val="002A1924"/>
    <w:rsid w:val="002A6AE1"/>
    <w:rsid w:val="002A7420"/>
    <w:rsid w:val="002B0E8A"/>
    <w:rsid w:val="002B0F12"/>
    <w:rsid w:val="002B1308"/>
    <w:rsid w:val="002B24C5"/>
    <w:rsid w:val="002B4554"/>
    <w:rsid w:val="002B5CA4"/>
    <w:rsid w:val="002C72D8"/>
    <w:rsid w:val="002C7EE0"/>
    <w:rsid w:val="002D0C8D"/>
    <w:rsid w:val="002D11FA"/>
    <w:rsid w:val="002D5E9B"/>
    <w:rsid w:val="002E0DDF"/>
    <w:rsid w:val="002E2906"/>
    <w:rsid w:val="002E5635"/>
    <w:rsid w:val="002E64C3"/>
    <w:rsid w:val="002E6A2C"/>
    <w:rsid w:val="002E6B9D"/>
    <w:rsid w:val="002E7180"/>
    <w:rsid w:val="002F07F2"/>
    <w:rsid w:val="002F1D8C"/>
    <w:rsid w:val="002F21DA"/>
    <w:rsid w:val="002F39D9"/>
    <w:rsid w:val="00300567"/>
    <w:rsid w:val="00301F39"/>
    <w:rsid w:val="00302C4F"/>
    <w:rsid w:val="003058E4"/>
    <w:rsid w:val="00325926"/>
    <w:rsid w:val="0032768C"/>
    <w:rsid w:val="00327A8A"/>
    <w:rsid w:val="00336610"/>
    <w:rsid w:val="00336D4C"/>
    <w:rsid w:val="00343F73"/>
    <w:rsid w:val="00345060"/>
    <w:rsid w:val="0035323B"/>
    <w:rsid w:val="00354573"/>
    <w:rsid w:val="003609D2"/>
    <w:rsid w:val="00363F22"/>
    <w:rsid w:val="00365F62"/>
    <w:rsid w:val="00375564"/>
    <w:rsid w:val="00383191"/>
    <w:rsid w:val="003867DF"/>
    <w:rsid w:val="00386DED"/>
    <w:rsid w:val="003912E7"/>
    <w:rsid w:val="00393947"/>
    <w:rsid w:val="003A2275"/>
    <w:rsid w:val="003A5B13"/>
    <w:rsid w:val="003A6A4F"/>
    <w:rsid w:val="003A7088"/>
    <w:rsid w:val="003B00DF"/>
    <w:rsid w:val="003B1275"/>
    <w:rsid w:val="003B1778"/>
    <w:rsid w:val="003C11CB"/>
    <w:rsid w:val="003C348F"/>
    <w:rsid w:val="003C75F3"/>
    <w:rsid w:val="003C78A3"/>
    <w:rsid w:val="003C7992"/>
    <w:rsid w:val="003D052A"/>
    <w:rsid w:val="003E1867"/>
    <w:rsid w:val="003E5729"/>
    <w:rsid w:val="003F4EE0"/>
    <w:rsid w:val="00402153"/>
    <w:rsid w:val="00402FC1"/>
    <w:rsid w:val="00410282"/>
    <w:rsid w:val="00425082"/>
    <w:rsid w:val="0043032E"/>
    <w:rsid w:val="00431DEB"/>
    <w:rsid w:val="0043659F"/>
    <w:rsid w:val="00437006"/>
    <w:rsid w:val="00444D83"/>
    <w:rsid w:val="00446B29"/>
    <w:rsid w:val="0045338E"/>
    <w:rsid w:val="00453F9A"/>
    <w:rsid w:val="0046287E"/>
    <w:rsid w:val="00471E91"/>
    <w:rsid w:val="00474675"/>
    <w:rsid w:val="0047470C"/>
    <w:rsid w:val="00474F8E"/>
    <w:rsid w:val="00475CF0"/>
    <w:rsid w:val="00477A21"/>
    <w:rsid w:val="00482172"/>
    <w:rsid w:val="0049715A"/>
    <w:rsid w:val="004A2D81"/>
    <w:rsid w:val="004A35F9"/>
    <w:rsid w:val="004A797E"/>
    <w:rsid w:val="004B2159"/>
    <w:rsid w:val="004B24C1"/>
    <w:rsid w:val="004C292F"/>
    <w:rsid w:val="004C52D9"/>
    <w:rsid w:val="004D1B05"/>
    <w:rsid w:val="004E4F47"/>
    <w:rsid w:val="00510280"/>
    <w:rsid w:val="00513D73"/>
    <w:rsid w:val="00514A43"/>
    <w:rsid w:val="005174E5"/>
    <w:rsid w:val="00522393"/>
    <w:rsid w:val="005223FF"/>
    <w:rsid w:val="00522620"/>
    <w:rsid w:val="00525656"/>
    <w:rsid w:val="0052670B"/>
    <w:rsid w:val="00534C02"/>
    <w:rsid w:val="00535E20"/>
    <w:rsid w:val="0054264B"/>
    <w:rsid w:val="00543786"/>
    <w:rsid w:val="00544E32"/>
    <w:rsid w:val="005533D7"/>
    <w:rsid w:val="00553E2C"/>
    <w:rsid w:val="00554446"/>
    <w:rsid w:val="0056691F"/>
    <w:rsid w:val="00566E43"/>
    <w:rsid w:val="005703DE"/>
    <w:rsid w:val="00574213"/>
    <w:rsid w:val="005751DA"/>
    <w:rsid w:val="0058464E"/>
    <w:rsid w:val="0058751E"/>
    <w:rsid w:val="00592076"/>
    <w:rsid w:val="00593005"/>
    <w:rsid w:val="005A01CB"/>
    <w:rsid w:val="005A1C9F"/>
    <w:rsid w:val="005A58FF"/>
    <w:rsid w:val="005A5EAF"/>
    <w:rsid w:val="005A64C0"/>
    <w:rsid w:val="005B3C11"/>
    <w:rsid w:val="005C1A74"/>
    <w:rsid w:val="005C1C28"/>
    <w:rsid w:val="005C6DB5"/>
    <w:rsid w:val="005E19E7"/>
    <w:rsid w:val="005F18CF"/>
    <w:rsid w:val="0061716C"/>
    <w:rsid w:val="00623573"/>
    <w:rsid w:val="006243A1"/>
    <w:rsid w:val="00624D43"/>
    <w:rsid w:val="00632E56"/>
    <w:rsid w:val="00635CBA"/>
    <w:rsid w:val="006373D2"/>
    <w:rsid w:val="006427E6"/>
    <w:rsid w:val="0064338B"/>
    <w:rsid w:val="00646542"/>
    <w:rsid w:val="006504F4"/>
    <w:rsid w:val="00654BC9"/>
    <w:rsid w:val="006552FD"/>
    <w:rsid w:val="00661B08"/>
    <w:rsid w:val="006632AF"/>
    <w:rsid w:val="00663AF3"/>
    <w:rsid w:val="00666B6C"/>
    <w:rsid w:val="00682682"/>
    <w:rsid w:val="00682702"/>
    <w:rsid w:val="00692368"/>
    <w:rsid w:val="006A2EBC"/>
    <w:rsid w:val="006A5EA0"/>
    <w:rsid w:val="006A783B"/>
    <w:rsid w:val="006A7B33"/>
    <w:rsid w:val="006B4618"/>
    <w:rsid w:val="006B4E13"/>
    <w:rsid w:val="006B75DD"/>
    <w:rsid w:val="006C452F"/>
    <w:rsid w:val="006C67E0"/>
    <w:rsid w:val="006C7ABA"/>
    <w:rsid w:val="006D0D60"/>
    <w:rsid w:val="006D1122"/>
    <w:rsid w:val="006D3C00"/>
    <w:rsid w:val="006E072B"/>
    <w:rsid w:val="006E3675"/>
    <w:rsid w:val="006E4A7F"/>
    <w:rsid w:val="006E7EFC"/>
    <w:rsid w:val="006F29A4"/>
    <w:rsid w:val="006F412A"/>
    <w:rsid w:val="006F6BA3"/>
    <w:rsid w:val="00704DF6"/>
    <w:rsid w:val="0070651C"/>
    <w:rsid w:val="007132A3"/>
    <w:rsid w:val="00716421"/>
    <w:rsid w:val="00720172"/>
    <w:rsid w:val="00724EFB"/>
    <w:rsid w:val="00730B67"/>
    <w:rsid w:val="007419C3"/>
    <w:rsid w:val="00745173"/>
    <w:rsid w:val="007467A7"/>
    <w:rsid w:val="007469DD"/>
    <w:rsid w:val="0074741B"/>
    <w:rsid w:val="0074759E"/>
    <w:rsid w:val="007478EA"/>
    <w:rsid w:val="0075415C"/>
    <w:rsid w:val="00763502"/>
    <w:rsid w:val="007700AC"/>
    <w:rsid w:val="007913AB"/>
    <w:rsid w:val="007914F7"/>
    <w:rsid w:val="007A1DA0"/>
    <w:rsid w:val="007B1625"/>
    <w:rsid w:val="007B706E"/>
    <w:rsid w:val="007B71EB"/>
    <w:rsid w:val="007C3EA5"/>
    <w:rsid w:val="007C6205"/>
    <w:rsid w:val="007C686A"/>
    <w:rsid w:val="007C728E"/>
    <w:rsid w:val="007D2C53"/>
    <w:rsid w:val="007D3D60"/>
    <w:rsid w:val="007D55E9"/>
    <w:rsid w:val="007E1980"/>
    <w:rsid w:val="007E1DAD"/>
    <w:rsid w:val="007E4B76"/>
    <w:rsid w:val="007E5EA8"/>
    <w:rsid w:val="007F0CF1"/>
    <w:rsid w:val="007F12A5"/>
    <w:rsid w:val="007F315A"/>
    <w:rsid w:val="007F4CF1"/>
    <w:rsid w:val="007F758D"/>
    <w:rsid w:val="007F7D52"/>
    <w:rsid w:val="0080654C"/>
    <w:rsid w:val="008071C6"/>
    <w:rsid w:val="008110D0"/>
    <w:rsid w:val="008170F6"/>
    <w:rsid w:val="00817A00"/>
    <w:rsid w:val="0083395C"/>
    <w:rsid w:val="00835DB3"/>
    <w:rsid w:val="0083617B"/>
    <w:rsid w:val="008371BD"/>
    <w:rsid w:val="008460D0"/>
    <w:rsid w:val="008504A8"/>
    <w:rsid w:val="0085282E"/>
    <w:rsid w:val="0086407F"/>
    <w:rsid w:val="008646E6"/>
    <w:rsid w:val="0087198C"/>
    <w:rsid w:val="00872C1F"/>
    <w:rsid w:val="00873B42"/>
    <w:rsid w:val="00873CA4"/>
    <w:rsid w:val="0087748B"/>
    <w:rsid w:val="008856D8"/>
    <w:rsid w:val="00890ACB"/>
    <w:rsid w:val="00892E82"/>
    <w:rsid w:val="008A782D"/>
    <w:rsid w:val="008C1B58"/>
    <w:rsid w:val="008C39AE"/>
    <w:rsid w:val="008C3BB5"/>
    <w:rsid w:val="008C3BCA"/>
    <w:rsid w:val="008C590D"/>
    <w:rsid w:val="008E031B"/>
    <w:rsid w:val="008E30E9"/>
    <w:rsid w:val="008E7029"/>
    <w:rsid w:val="008E7EF6"/>
    <w:rsid w:val="008F1F98"/>
    <w:rsid w:val="008F6758"/>
    <w:rsid w:val="00902A43"/>
    <w:rsid w:val="009040DD"/>
    <w:rsid w:val="00905B47"/>
    <w:rsid w:val="0091331C"/>
    <w:rsid w:val="009279DE"/>
    <w:rsid w:val="00927E30"/>
    <w:rsid w:val="00930116"/>
    <w:rsid w:val="0094212C"/>
    <w:rsid w:val="00950798"/>
    <w:rsid w:val="00954689"/>
    <w:rsid w:val="009617C9"/>
    <w:rsid w:val="00961C93"/>
    <w:rsid w:val="00965324"/>
    <w:rsid w:val="0097091E"/>
    <w:rsid w:val="009760D3"/>
    <w:rsid w:val="00977132"/>
    <w:rsid w:val="00977653"/>
    <w:rsid w:val="00981A4B"/>
    <w:rsid w:val="00982501"/>
    <w:rsid w:val="00982575"/>
    <w:rsid w:val="009877D3"/>
    <w:rsid w:val="00994E8F"/>
    <w:rsid w:val="009951DC"/>
    <w:rsid w:val="009959BB"/>
    <w:rsid w:val="00997158"/>
    <w:rsid w:val="009975DC"/>
    <w:rsid w:val="009A054C"/>
    <w:rsid w:val="009A3A7C"/>
    <w:rsid w:val="009B2ADB"/>
    <w:rsid w:val="009B3126"/>
    <w:rsid w:val="009B603A"/>
    <w:rsid w:val="009B79F3"/>
    <w:rsid w:val="009C2D0E"/>
    <w:rsid w:val="009C3ABB"/>
    <w:rsid w:val="009C3DAC"/>
    <w:rsid w:val="009C42E0"/>
    <w:rsid w:val="009D5362"/>
    <w:rsid w:val="009E0569"/>
    <w:rsid w:val="009E1415"/>
    <w:rsid w:val="009E6116"/>
    <w:rsid w:val="009F2FF2"/>
    <w:rsid w:val="00A02E43"/>
    <w:rsid w:val="00A065F9"/>
    <w:rsid w:val="00A07F34"/>
    <w:rsid w:val="00A22154"/>
    <w:rsid w:val="00A242E3"/>
    <w:rsid w:val="00A25C38"/>
    <w:rsid w:val="00A273C8"/>
    <w:rsid w:val="00A33FC4"/>
    <w:rsid w:val="00A36BBE"/>
    <w:rsid w:val="00A4307A"/>
    <w:rsid w:val="00A43A02"/>
    <w:rsid w:val="00A4461C"/>
    <w:rsid w:val="00A47EBB"/>
    <w:rsid w:val="00A51CDD"/>
    <w:rsid w:val="00A6730D"/>
    <w:rsid w:val="00A71625"/>
    <w:rsid w:val="00A71B9B"/>
    <w:rsid w:val="00A751C7"/>
    <w:rsid w:val="00A8144A"/>
    <w:rsid w:val="00A87844"/>
    <w:rsid w:val="00AA038C"/>
    <w:rsid w:val="00AA7A09"/>
    <w:rsid w:val="00AB0CCF"/>
    <w:rsid w:val="00AB12B1"/>
    <w:rsid w:val="00AB3B50"/>
    <w:rsid w:val="00AB69CA"/>
    <w:rsid w:val="00AC05B1"/>
    <w:rsid w:val="00AC7C86"/>
    <w:rsid w:val="00AD356C"/>
    <w:rsid w:val="00AE2914"/>
    <w:rsid w:val="00AE3778"/>
    <w:rsid w:val="00AE6D15"/>
    <w:rsid w:val="00B04182"/>
    <w:rsid w:val="00B058C1"/>
    <w:rsid w:val="00B074AC"/>
    <w:rsid w:val="00B07AE3"/>
    <w:rsid w:val="00B11430"/>
    <w:rsid w:val="00B30F36"/>
    <w:rsid w:val="00B353EB"/>
    <w:rsid w:val="00B4072D"/>
    <w:rsid w:val="00B439C4"/>
    <w:rsid w:val="00B4535E"/>
    <w:rsid w:val="00B52A8C"/>
    <w:rsid w:val="00B636A8"/>
    <w:rsid w:val="00B665C6"/>
    <w:rsid w:val="00B75D6D"/>
    <w:rsid w:val="00B805AF"/>
    <w:rsid w:val="00B850FC"/>
    <w:rsid w:val="00B859A6"/>
    <w:rsid w:val="00B869EC"/>
    <w:rsid w:val="00B9397A"/>
    <w:rsid w:val="00B9633D"/>
    <w:rsid w:val="00BA2EBE"/>
    <w:rsid w:val="00BA34B4"/>
    <w:rsid w:val="00BB0F28"/>
    <w:rsid w:val="00BB2C87"/>
    <w:rsid w:val="00BB458A"/>
    <w:rsid w:val="00BB7717"/>
    <w:rsid w:val="00BD00D3"/>
    <w:rsid w:val="00BD1659"/>
    <w:rsid w:val="00BD3AA9"/>
    <w:rsid w:val="00BD4A18"/>
    <w:rsid w:val="00BD6DB2"/>
    <w:rsid w:val="00BE11CF"/>
    <w:rsid w:val="00BE21AB"/>
    <w:rsid w:val="00BE55CB"/>
    <w:rsid w:val="00BF1217"/>
    <w:rsid w:val="00BF5074"/>
    <w:rsid w:val="00BF617A"/>
    <w:rsid w:val="00C0379D"/>
    <w:rsid w:val="00C03931"/>
    <w:rsid w:val="00C05FE3"/>
    <w:rsid w:val="00C13C40"/>
    <w:rsid w:val="00C2136D"/>
    <w:rsid w:val="00C214EE"/>
    <w:rsid w:val="00C2314B"/>
    <w:rsid w:val="00C24971"/>
    <w:rsid w:val="00C26BE5"/>
    <w:rsid w:val="00C26E4D"/>
    <w:rsid w:val="00C27909"/>
    <w:rsid w:val="00C27B03"/>
    <w:rsid w:val="00C314E1"/>
    <w:rsid w:val="00C34397"/>
    <w:rsid w:val="00C377A1"/>
    <w:rsid w:val="00C4095D"/>
    <w:rsid w:val="00C42003"/>
    <w:rsid w:val="00C54FCC"/>
    <w:rsid w:val="00C601D2"/>
    <w:rsid w:val="00C65BCC"/>
    <w:rsid w:val="00C66970"/>
    <w:rsid w:val="00C675AF"/>
    <w:rsid w:val="00C8691C"/>
    <w:rsid w:val="00CA168A"/>
    <w:rsid w:val="00CA357E"/>
    <w:rsid w:val="00CA44F9"/>
    <w:rsid w:val="00CA4A69"/>
    <w:rsid w:val="00CA4F58"/>
    <w:rsid w:val="00CB7738"/>
    <w:rsid w:val="00CC35C8"/>
    <w:rsid w:val="00CC3E0C"/>
    <w:rsid w:val="00CC58D3"/>
    <w:rsid w:val="00CC784D"/>
    <w:rsid w:val="00D00864"/>
    <w:rsid w:val="00D0337B"/>
    <w:rsid w:val="00D079B2"/>
    <w:rsid w:val="00D114E9"/>
    <w:rsid w:val="00D36ADE"/>
    <w:rsid w:val="00D37561"/>
    <w:rsid w:val="00D429C6"/>
    <w:rsid w:val="00D464D9"/>
    <w:rsid w:val="00D47748"/>
    <w:rsid w:val="00D54CC3"/>
    <w:rsid w:val="00D6041A"/>
    <w:rsid w:val="00D633EB"/>
    <w:rsid w:val="00D735F7"/>
    <w:rsid w:val="00D73725"/>
    <w:rsid w:val="00D8152B"/>
    <w:rsid w:val="00D82FF7"/>
    <w:rsid w:val="00D847FE"/>
    <w:rsid w:val="00D964EA"/>
    <w:rsid w:val="00D966D0"/>
    <w:rsid w:val="00DA0C59"/>
    <w:rsid w:val="00DA3991"/>
    <w:rsid w:val="00DB3C69"/>
    <w:rsid w:val="00DB5837"/>
    <w:rsid w:val="00DB7E6C"/>
    <w:rsid w:val="00DD0430"/>
    <w:rsid w:val="00DD04DA"/>
    <w:rsid w:val="00DD193C"/>
    <w:rsid w:val="00DD5A29"/>
    <w:rsid w:val="00DD5D9D"/>
    <w:rsid w:val="00DE231F"/>
    <w:rsid w:val="00DE35CB"/>
    <w:rsid w:val="00DE62CB"/>
    <w:rsid w:val="00DE71D6"/>
    <w:rsid w:val="00DF21E9"/>
    <w:rsid w:val="00DF4387"/>
    <w:rsid w:val="00DF649D"/>
    <w:rsid w:val="00E00F14"/>
    <w:rsid w:val="00E06386"/>
    <w:rsid w:val="00E24EB4"/>
    <w:rsid w:val="00E27BE7"/>
    <w:rsid w:val="00E320ED"/>
    <w:rsid w:val="00E33AFB"/>
    <w:rsid w:val="00E34218"/>
    <w:rsid w:val="00E35F00"/>
    <w:rsid w:val="00E447EB"/>
    <w:rsid w:val="00E46282"/>
    <w:rsid w:val="00E5216E"/>
    <w:rsid w:val="00E55250"/>
    <w:rsid w:val="00E55C4C"/>
    <w:rsid w:val="00E62EBC"/>
    <w:rsid w:val="00E715C4"/>
    <w:rsid w:val="00E82344"/>
    <w:rsid w:val="00E83C06"/>
    <w:rsid w:val="00E84C82"/>
    <w:rsid w:val="00E84D64"/>
    <w:rsid w:val="00E87408"/>
    <w:rsid w:val="00E914C4"/>
    <w:rsid w:val="00E91FF1"/>
    <w:rsid w:val="00E934F5"/>
    <w:rsid w:val="00E96881"/>
    <w:rsid w:val="00E96961"/>
    <w:rsid w:val="00EA42C5"/>
    <w:rsid w:val="00EA5A48"/>
    <w:rsid w:val="00EA61B7"/>
    <w:rsid w:val="00EA72EC"/>
    <w:rsid w:val="00EB11CB"/>
    <w:rsid w:val="00EB275A"/>
    <w:rsid w:val="00EB786A"/>
    <w:rsid w:val="00EC1578"/>
    <w:rsid w:val="00EC1C72"/>
    <w:rsid w:val="00EC3CC9"/>
    <w:rsid w:val="00EC680A"/>
    <w:rsid w:val="00EE2BED"/>
    <w:rsid w:val="00EE374B"/>
    <w:rsid w:val="00F10C21"/>
    <w:rsid w:val="00F11BB5"/>
    <w:rsid w:val="00F1417B"/>
    <w:rsid w:val="00F17CF7"/>
    <w:rsid w:val="00F272D2"/>
    <w:rsid w:val="00F27A5C"/>
    <w:rsid w:val="00F325EE"/>
    <w:rsid w:val="00F34B99"/>
    <w:rsid w:val="00F37D15"/>
    <w:rsid w:val="00F45F77"/>
    <w:rsid w:val="00F52DAB"/>
    <w:rsid w:val="00F53429"/>
    <w:rsid w:val="00F543F0"/>
    <w:rsid w:val="00F66E58"/>
    <w:rsid w:val="00F81D29"/>
    <w:rsid w:val="00F838AB"/>
    <w:rsid w:val="00F91C4D"/>
    <w:rsid w:val="00F929DC"/>
    <w:rsid w:val="00F92FD9"/>
    <w:rsid w:val="00F942B5"/>
    <w:rsid w:val="00FA3440"/>
    <w:rsid w:val="00FA6684"/>
    <w:rsid w:val="00FA71AC"/>
    <w:rsid w:val="00FA731E"/>
    <w:rsid w:val="00FB2B38"/>
    <w:rsid w:val="00FB4945"/>
    <w:rsid w:val="00FC439B"/>
    <w:rsid w:val="00FC6358"/>
    <w:rsid w:val="00FD0B6C"/>
    <w:rsid w:val="00FD320D"/>
    <w:rsid w:val="00FE071F"/>
    <w:rsid w:val="00FE23DE"/>
    <w:rsid w:val="00FF64B6"/>
    <w:rsid w:val="027F4D04"/>
    <w:rsid w:val="04012DA6"/>
    <w:rsid w:val="04AB3B8E"/>
    <w:rsid w:val="04AD0BA0"/>
    <w:rsid w:val="085E56CF"/>
    <w:rsid w:val="087840FA"/>
    <w:rsid w:val="090360BD"/>
    <w:rsid w:val="097B09EF"/>
    <w:rsid w:val="098137BD"/>
    <w:rsid w:val="0A3A567E"/>
    <w:rsid w:val="0A6058C3"/>
    <w:rsid w:val="0A841814"/>
    <w:rsid w:val="0D6B4803"/>
    <w:rsid w:val="0D73080A"/>
    <w:rsid w:val="0F700731"/>
    <w:rsid w:val="16E318AE"/>
    <w:rsid w:val="1780534F"/>
    <w:rsid w:val="1A06106E"/>
    <w:rsid w:val="1A7C004F"/>
    <w:rsid w:val="1A9F3D3E"/>
    <w:rsid w:val="1C1C76E2"/>
    <w:rsid w:val="1DDF12CD"/>
    <w:rsid w:val="1EA336D1"/>
    <w:rsid w:val="1EDE5E1B"/>
    <w:rsid w:val="1F2A482C"/>
    <w:rsid w:val="21CD19EF"/>
    <w:rsid w:val="22D80203"/>
    <w:rsid w:val="23C21B52"/>
    <w:rsid w:val="24566EFA"/>
    <w:rsid w:val="25BE0C16"/>
    <w:rsid w:val="264713E8"/>
    <w:rsid w:val="26C87352"/>
    <w:rsid w:val="28E5124F"/>
    <w:rsid w:val="29103379"/>
    <w:rsid w:val="2A2D13A1"/>
    <w:rsid w:val="2B801021"/>
    <w:rsid w:val="2D5F3031"/>
    <w:rsid w:val="302457BB"/>
    <w:rsid w:val="35B7379E"/>
    <w:rsid w:val="35CC20E9"/>
    <w:rsid w:val="36084690"/>
    <w:rsid w:val="37FC516A"/>
    <w:rsid w:val="38121E6A"/>
    <w:rsid w:val="38F350E9"/>
    <w:rsid w:val="391536F1"/>
    <w:rsid w:val="39924D42"/>
    <w:rsid w:val="3A257E11"/>
    <w:rsid w:val="3B0B23F3"/>
    <w:rsid w:val="3C2D1E43"/>
    <w:rsid w:val="3C577A5B"/>
    <w:rsid w:val="3D255ECD"/>
    <w:rsid w:val="3DF62519"/>
    <w:rsid w:val="3E27238F"/>
    <w:rsid w:val="3F744EE9"/>
    <w:rsid w:val="40BA423A"/>
    <w:rsid w:val="493A4AAE"/>
    <w:rsid w:val="49993EC0"/>
    <w:rsid w:val="4A1946C3"/>
    <w:rsid w:val="4C940979"/>
    <w:rsid w:val="4D42558C"/>
    <w:rsid w:val="4D654C86"/>
    <w:rsid w:val="4FE90FDC"/>
    <w:rsid w:val="50FA5952"/>
    <w:rsid w:val="51346287"/>
    <w:rsid w:val="55D24C09"/>
    <w:rsid w:val="5AAE1FD5"/>
    <w:rsid w:val="5B026AB0"/>
    <w:rsid w:val="5BC1511E"/>
    <w:rsid w:val="5D093B73"/>
    <w:rsid w:val="5DED228C"/>
    <w:rsid w:val="5F62181D"/>
    <w:rsid w:val="60223923"/>
    <w:rsid w:val="604C7149"/>
    <w:rsid w:val="61130B55"/>
    <w:rsid w:val="63A55618"/>
    <w:rsid w:val="63EC6150"/>
    <w:rsid w:val="663C7C5F"/>
    <w:rsid w:val="693B5FAC"/>
    <w:rsid w:val="6ACA49B3"/>
    <w:rsid w:val="6FE57F3D"/>
    <w:rsid w:val="75F1708C"/>
    <w:rsid w:val="7A291779"/>
    <w:rsid w:val="7AE069B4"/>
    <w:rsid w:val="7B086EBB"/>
    <w:rsid w:val="7EE71C35"/>
    <w:rsid w:val="7F366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4"/>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8"/>
    <w:semiHidden/>
    <w:unhideWhenUsed/>
    <w:qFormat/>
    <w:uiPriority w:val="0"/>
    <w:pPr>
      <w:spacing w:after="120"/>
    </w:p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38"/>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Body Text First Indent"/>
    <w:basedOn w:val="10"/>
    <w:link w:val="149"/>
    <w:semiHidden/>
    <w:unhideWhenUsed/>
    <w:qFormat/>
    <w:uiPriority w:val="0"/>
    <w:pPr>
      <w:spacing w:after="0"/>
      <w:ind w:firstLine="360"/>
    </w:p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semiHidden/>
    <w:qFormat/>
    <w:uiPriority w:val="0"/>
    <w:rPr>
      <w:vertAlign w:val="superscript"/>
    </w:rPr>
  </w:style>
  <w:style w:type="character" w:styleId="37">
    <w:name w:val="page number"/>
    <w:basedOn w:val="35"/>
    <w:qFormat/>
    <w:uiPriority w:val="0"/>
    <w:rPr>
      <w:rFonts w:ascii="Times New Roman" w:hAnsi="Times New Roman" w:eastAsia="宋体"/>
      <w:sz w:val="18"/>
    </w:rPr>
  </w:style>
  <w:style w:type="character" w:styleId="38">
    <w:name w:val="FollowedHyperlink"/>
    <w:basedOn w:val="35"/>
    <w:qFormat/>
    <w:uiPriority w:val="0"/>
    <w:rPr>
      <w:color w:val="800080"/>
      <w:u w:val="single"/>
    </w:rPr>
  </w:style>
  <w:style w:type="character" w:styleId="39">
    <w:name w:val="Hyperlink"/>
    <w:basedOn w:val="35"/>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basedOn w:val="35"/>
    <w:semiHidden/>
    <w:qFormat/>
    <w:uiPriority w:val="0"/>
    <w:rPr>
      <w:vertAlign w:val="superscript"/>
    </w:rPr>
  </w:style>
  <w:style w:type="character" w:customStyle="1" w:styleId="42">
    <w:name w:val="段 Char"/>
    <w:basedOn w:val="35"/>
    <w:link w:val="24"/>
    <w:qFormat/>
    <w:uiPriority w:val="0"/>
    <w:rPr>
      <w:rFonts w:ascii="宋体"/>
      <w:sz w:val="21"/>
      <w:lang w:val="en-US" w:eastAsia="zh-CN" w:bidi="ar-SA"/>
    </w:rPr>
  </w:style>
  <w:style w:type="paragraph" w:customStyle="1" w:styleId="43">
    <w:name w:val="一级条标题"/>
    <w:next w:val="24"/>
    <w:qFormat/>
    <w:uiPriority w:val="0"/>
    <w:pPr>
      <w:numPr>
        <w:ilvl w:val="1"/>
        <w:numId w:val="2"/>
      </w:numPr>
      <w:spacing w:beforeLines="50" w:afterLines="50"/>
      <w:ind w:left="71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4"/>
    <w:qFormat/>
    <w:uiPriority w:val="0"/>
    <w:pPr>
      <w:numPr>
        <w:ilvl w:val="2"/>
      </w:numPr>
      <w:spacing w:before="50" w:after="50"/>
      <w:ind w:left="1277"/>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4"/>
    <w:qFormat/>
    <w:uiPriority w:val="0"/>
    <w:pPr>
      <w:numPr>
        <w:ilvl w:val="3"/>
      </w:numPr>
      <w:outlineLvl w:val="4"/>
    </w:pPr>
  </w:style>
  <w:style w:type="paragraph" w:customStyle="1" w:styleId="53">
    <w:name w:val="示例"/>
    <w:next w:val="5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6">
    <w:name w:val="四级条标题"/>
    <w:basedOn w:val="52"/>
    <w:next w:val="24"/>
    <w:qFormat/>
    <w:uiPriority w:val="0"/>
    <w:pPr>
      <w:numPr>
        <w:ilvl w:val="4"/>
      </w:numPr>
      <w:outlineLvl w:val="5"/>
    </w:pPr>
  </w:style>
  <w:style w:type="paragraph" w:customStyle="1" w:styleId="57">
    <w:name w:val="五级条标题"/>
    <w:basedOn w:val="56"/>
    <w:next w:val="24"/>
    <w:qFormat/>
    <w:uiPriority w:val="0"/>
    <w:pPr>
      <w:numPr>
        <w:ilvl w:val="5"/>
      </w:numPr>
      <w:outlineLvl w:val="6"/>
    </w:pPr>
  </w:style>
  <w:style w:type="paragraph" w:customStyle="1" w:styleId="58">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0"/>
      </w:numPr>
      <w:spacing w:beforeLines="0" w:afterLines="0"/>
      <w:ind w:firstLine="363"/>
      <w:outlineLvl w:val="9"/>
    </w:pPr>
    <w:rPr>
      <w:rFonts w:ascii="宋体" w:eastAsia="宋体"/>
      <w:sz w:val="18"/>
      <w:szCs w:val="18"/>
    </w:rPr>
  </w:style>
  <w:style w:type="paragraph" w:customStyle="1" w:styleId="64">
    <w:name w:val="二级无"/>
    <w:basedOn w:val="47"/>
    <w:qFormat/>
    <w:uiPriority w:val="0"/>
    <w:pPr>
      <w:spacing w:beforeLines="0" w:afterLines="0"/>
      <w:ind w:left="0"/>
    </w:pPr>
    <w:rPr>
      <w:rFonts w:ascii="宋体" w:eastAsia="宋体"/>
    </w:rPr>
  </w:style>
  <w:style w:type="paragraph" w:customStyle="1" w:styleId="65">
    <w:name w:val="注：（正文）"/>
    <w:basedOn w:val="58"/>
    <w:next w:val="24"/>
    <w:qFormat/>
    <w:uiPriority w:val="0"/>
  </w:style>
  <w:style w:type="paragraph" w:customStyle="1" w:styleId="66">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5"/>
    <w:qFormat/>
    <w:uiPriority w:val="0"/>
    <w:rPr>
      <w:rFonts w:ascii="黑体" w:eastAsia="黑体"/>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link w:val="150"/>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0">
    <w:name w:val="附录图标题"/>
    <w:basedOn w:val="1"/>
    <w:next w:val="24"/>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4"/>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link w:val="15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tabs>
        <w:tab w:val="left" w:pos="360"/>
      </w:tabs>
    </w:pPr>
    <w:rPr>
      <w:rFonts w:ascii="宋体" w:hAnsi="宋体" w:eastAsia="宋体" w:cs="Times New Roman"/>
      <w:kern w:val="2"/>
      <w:sz w:val="18"/>
      <w:szCs w:val="18"/>
      <w:lang w:val="en-US" w:eastAsia="zh-CN" w:bidi="ar-SA"/>
    </w:rPr>
  </w:style>
  <w:style w:type="character" w:customStyle="1" w:styleId="118">
    <w:name w:val="首示例 Char"/>
    <w:basedOn w:val="35"/>
    <w:link w:val="117"/>
    <w:qFormat/>
    <w:uiPriority w:val="0"/>
    <w:rPr>
      <w:rFonts w:ascii="宋体" w:hAnsi="宋体"/>
      <w:kern w:val="2"/>
      <w:sz w:val="18"/>
      <w:szCs w:val="18"/>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5"/>
    <w:qFormat/>
    <w:uiPriority w:val="0"/>
    <w:pPr>
      <w:numPr>
        <w:numId w:val="0"/>
      </w:numPr>
      <w:jc w:val="both"/>
    </w:p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qFormat/>
    <w:uiPriority w:val="0"/>
    <w:pPr>
      <w:ind w:left="544" w:hanging="181"/>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ind w:left="993"/>
    </w:pPr>
    <w:rPr>
      <w:rFonts w:ascii="宋体" w:eastAsia="宋体"/>
    </w:rPr>
  </w:style>
  <w:style w:type="paragraph" w:customStyle="1" w:styleId="127">
    <w:name w:val="正文表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4"/>
    <w:next w:val="24"/>
    <w:qFormat/>
    <w:uiPriority w:val="0"/>
    <w:pPr>
      <w:ind w:firstLine="0" w:firstLineChars="0"/>
    </w:pPr>
  </w:style>
  <w:style w:type="paragraph" w:customStyle="1" w:styleId="129">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character" w:customStyle="1" w:styleId="138">
    <w:name w:val="批注框文本 字符"/>
    <w:basedOn w:val="35"/>
    <w:link w:val="17"/>
    <w:qFormat/>
    <w:uiPriority w:val="0"/>
    <w:rPr>
      <w:kern w:val="2"/>
      <w:sz w:val="18"/>
      <w:szCs w:val="18"/>
    </w:rPr>
  </w:style>
  <w:style w:type="paragraph" w:customStyle="1" w:styleId="139">
    <w:name w:val="二级无标题条"/>
    <w:basedOn w:val="1"/>
    <w:qFormat/>
    <w:uiPriority w:val="0"/>
    <w:pPr>
      <w:numPr>
        <w:ilvl w:val="3"/>
        <w:numId w:val="10"/>
      </w:numPr>
    </w:pPr>
  </w:style>
  <w:style w:type="paragraph" w:customStyle="1" w:styleId="140">
    <w:name w:val="三级无标题条"/>
    <w:basedOn w:val="1"/>
    <w:qFormat/>
    <w:uiPriority w:val="0"/>
    <w:pPr>
      <w:numPr>
        <w:ilvl w:val="4"/>
        <w:numId w:val="10"/>
      </w:numPr>
    </w:pPr>
  </w:style>
  <w:style w:type="paragraph" w:customStyle="1" w:styleId="141">
    <w:name w:val="四级无标题条"/>
    <w:basedOn w:val="1"/>
    <w:qFormat/>
    <w:uiPriority w:val="0"/>
    <w:pPr>
      <w:numPr>
        <w:ilvl w:val="5"/>
        <w:numId w:val="10"/>
      </w:numPr>
    </w:pPr>
  </w:style>
  <w:style w:type="paragraph" w:customStyle="1" w:styleId="142">
    <w:name w:val="五级无标题条"/>
    <w:basedOn w:val="1"/>
    <w:qFormat/>
    <w:uiPriority w:val="0"/>
    <w:pPr>
      <w:numPr>
        <w:ilvl w:val="6"/>
        <w:numId w:val="10"/>
      </w:numPr>
    </w:pPr>
  </w:style>
  <w:style w:type="paragraph" w:customStyle="1" w:styleId="143">
    <w:name w:val="一级无标题条"/>
    <w:basedOn w:val="1"/>
    <w:qFormat/>
    <w:uiPriority w:val="0"/>
    <w:pPr>
      <w:numPr>
        <w:ilvl w:val="2"/>
        <w:numId w:val="10"/>
      </w:numPr>
    </w:pPr>
  </w:style>
  <w:style w:type="character" w:customStyle="1" w:styleId="144">
    <w:name w:val="批注文字 字符"/>
    <w:basedOn w:val="35"/>
    <w:link w:val="8"/>
    <w:qFormat/>
    <w:uiPriority w:val="0"/>
    <w:rPr>
      <w:kern w:val="2"/>
      <w:sz w:val="21"/>
      <w:szCs w:val="24"/>
    </w:rPr>
  </w:style>
  <w:style w:type="character" w:customStyle="1" w:styleId="145">
    <w:name w:val="medium_text1"/>
    <w:qFormat/>
    <w:uiPriority w:val="0"/>
    <w:rPr>
      <w:sz w:val="24"/>
      <w:szCs w:val="24"/>
    </w:rPr>
  </w:style>
  <w:style w:type="paragraph" w:styleId="146">
    <w:name w:val="List Paragraph"/>
    <w:basedOn w:val="1"/>
    <w:qFormat/>
    <w:uiPriority w:val="34"/>
    <w:pPr>
      <w:ind w:firstLine="420" w:firstLineChars="200"/>
    </w:pPr>
  </w:style>
  <w:style w:type="character" w:styleId="147">
    <w:name w:val="Placeholder Text"/>
    <w:basedOn w:val="35"/>
    <w:semiHidden/>
    <w:qFormat/>
    <w:uiPriority w:val="99"/>
    <w:rPr>
      <w:color w:val="808080"/>
    </w:rPr>
  </w:style>
  <w:style w:type="character" w:customStyle="1" w:styleId="148">
    <w:name w:val="正文文本 字符"/>
    <w:basedOn w:val="35"/>
    <w:link w:val="10"/>
    <w:semiHidden/>
    <w:qFormat/>
    <w:uiPriority w:val="0"/>
    <w:rPr>
      <w:kern w:val="2"/>
      <w:sz w:val="21"/>
      <w:szCs w:val="24"/>
    </w:rPr>
  </w:style>
  <w:style w:type="character" w:customStyle="1" w:styleId="149">
    <w:name w:val="正文文本首行缩进 字符"/>
    <w:basedOn w:val="148"/>
    <w:link w:val="32"/>
    <w:semiHidden/>
    <w:qFormat/>
    <w:uiPriority w:val="0"/>
    <w:rPr>
      <w:kern w:val="2"/>
      <w:sz w:val="21"/>
      <w:szCs w:val="24"/>
    </w:rPr>
  </w:style>
  <w:style w:type="character" w:customStyle="1" w:styleId="150">
    <w:name w:val="封面标准名称 Char"/>
    <w:link w:val="79"/>
    <w:qFormat/>
    <w:uiPriority w:val="0"/>
    <w:rPr>
      <w:rFonts w:ascii="黑体" w:hAnsi="Times New Roman" w:eastAsia="黑体" w:cs="Times New Roman"/>
      <w:sz w:val="52"/>
      <w:lang w:val="en-US" w:eastAsia="zh-CN" w:bidi="ar-SA"/>
    </w:rPr>
  </w:style>
  <w:style w:type="character" w:customStyle="1" w:styleId="151">
    <w:name w:val="其他标准称谓 Char"/>
    <w:link w:val="111"/>
    <w:qFormat/>
    <w:uiPriority w:val="0"/>
    <w:rPr>
      <w:rFonts w:ascii="黑体" w:hAnsi="宋体" w:eastAsia="黑体" w:cs="Times New Roman"/>
      <w:spacing w:val="-40"/>
      <w:sz w:val="48"/>
      <w:szCs w:val="52"/>
      <w:lang w:val="en-US" w:eastAsia="zh-CN" w:bidi="ar-SA"/>
    </w:rPr>
  </w:style>
  <w:style w:type="paragraph" w:customStyle="1" w:styleId="152">
    <w:name w:val="WPSOffice手动目录 1"/>
    <w:qFormat/>
    <w:uiPriority w:val="0"/>
    <w:pPr>
      <w:ind w:leftChars="0"/>
    </w:pPr>
    <w:rPr>
      <w:rFonts w:ascii="Times New Roman" w:hAnsi="Times New Roman" w:eastAsia="宋体" w:cs="Times New Roman"/>
      <w:sz w:val="20"/>
      <w:szCs w:val="20"/>
    </w:rPr>
  </w:style>
  <w:style w:type="paragraph" w:customStyle="1" w:styleId="153">
    <w:name w:val="Table Paragraph"/>
    <w:basedOn w:val="1"/>
    <w:qFormat/>
    <w:uiPriority w:val="1"/>
    <w:pPr>
      <w:jc w:val="center"/>
    </w:pPr>
    <w:rPr>
      <w:rFonts w:ascii="宋体" w:hAnsi="宋体" w:eastAsia="宋体" w:cs="宋体"/>
      <w:lang w:val="zh-CN" w:eastAsia="zh-CN" w:bidi="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16DF6-ABF9-4749-A877-78A533659864}">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21</Pages>
  <Words>12557</Words>
  <Characters>13396</Characters>
  <Lines>69</Lines>
  <Paragraphs>19</Paragraphs>
  <TotalTime>8</TotalTime>
  <ScaleCrop>false</ScaleCrop>
  <LinksUpToDate>false</LinksUpToDate>
  <CharactersWithSpaces>13654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2021-05-23T02:25:00Z</dcterms:created>
  <dc:creator>CNIS</dc:creator>
  <cp:lastModifiedBy>素素</cp:lastModifiedBy>
  <cp:lastPrinted>2021-03-21T07:58:00Z</cp:lastPrinted>
  <dcterms:modified xsi:type="dcterms:W3CDTF">2023-04-23T02:20:45Z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30FC2C99AD984083AFA7F4BB43EC4C07_13</vt:lpwstr>
  </property>
</Properties>
</file>