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0"/>
        <w:tblpPr w:leftFromText="180" w:rightFromText="180" w:vertAnchor="text" w:tblpY="1"/>
        <w:tblOverlap w:val="never"/>
        <w:tblW w:w="15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39"/>
        <w:gridCol w:w="2573"/>
        <w:gridCol w:w="3877"/>
        <w:gridCol w:w="6796"/>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tblHeader/>
        </w:trPr>
        <w:tc>
          <w:tcPr>
            <w:tcW w:w="539" w:type="dxa"/>
            <w:noWrap/>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573" w:type="dxa"/>
            <w:noWrap/>
            <w:vAlign w:val="center"/>
          </w:tcPr>
          <w:p>
            <w:pPr>
              <w:ind w:hanging="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标准章条编号</w:t>
            </w:r>
          </w:p>
        </w:tc>
        <w:tc>
          <w:tcPr>
            <w:tcW w:w="387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意见内容</w:t>
            </w:r>
          </w:p>
        </w:tc>
        <w:tc>
          <w:tcPr>
            <w:tcW w:w="6796" w:type="dxa"/>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处理意见</w:t>
            </w:r>
            <w:r>
              <w:rPr>
                <w:rFonts w:hint="default" w:ascii="Times New Roman" w:hAnsi="Times New Roman" w:eastAsia="宋体" w:cs="Times New Roman"/>
                <w:sz w:val="21"/>
                <w:szCs w:val="21"/>
                <w:lang w:val="en-US" w:eastAsia="zh-CN"/>
              </w:rPr>
              <w:t>及理由</w:t>
            </w:r>
          </w:p>
        </w:tc>
        <w:tc>
          <w:tcPr>
            <w:tcW w:w="1477" w:type="dxa"/>
            <w:noWrap/>
            <w:vAlign w:val="center"/>
          </w:tcPr>
          <w:p>
            <w:pPr>
              <w:ind w:firstLine="29" w:firstLineChars="1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trPr>
        <w:tc>
          <w:tcPr>
            <w:tcW w:w="539" w:type="dxa"/>
            <w:noWrap/>
            <w:vAlign w:val="center"/>
          </w:tcPr>
          <w:p>
            <w:pPr>
              <w:pStyle w:val="38"/>
              <w:numPr>
                <w:ilvl w:val="0"/>
                <w:numId w:val="0"/>
              </w:numPr>
              <w:ind w:left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eastAsia" w:ascii="Times New Roman" w:hAnsi="Times New Roman" w:eastAsia="宋体" w:cs="Times New Roman"/>
                <w:b w:val="0"/>
                <w:bCs w:val="0"/>
                <w:kern w:val="0"/>
                <w:sz w:val="21"/>
                <w:szCs w:val="22"/>
                <w:lang w:val="en-US" w:eastAsia="zh-CN" w:bidi="ar-SA"/>
              </w:rPr>
            </w:pPr>
            <w:r>
              <w:rPr>
                <w:rFonts w:hint="default" w:ascii="Times New Roman" w:hAnsi="Times New Roman" w:cs="Times New Roman"/>
                <w:b w:val="0"/>
                <w:bCs w:val="0"/>
                <w:sz w:val="21"/>
                <w:szCs w:val="22"/>
                <w:lang w:val="en-US" w:eastAsia="zh-CN"/>
              </w:rPr>
              <w:t>5.2.3.2 通用设备</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eastAsia="宋体" w:cs="Times New Roman"/>
                <w:b w:val="0"/>
                <w:bCs w:val="0"/>
                <w:kern w:val="0"/>
                <w:sz w:val="21"/>
                <w:szCs w:val="22"/>
                <w:lang w:val="en-US" w:eastAsia="zh-CN" w:bidi="ar-SA"/>
              </w:rPr>
            </w:pPr>
            <w:r>
              <w:rPr>
                <w:rFonts w:hint="default" w:ascii="Times New Roman" w:hAnsi="Times New Roman" w:cs="Times New Roman"/>
                <w:b w:val="0"/>
                <w:bCs w:val="0"/>
                <w:sz w:val="21"/>
                <w:szCs w:val="22"/>
                <w:lang w:val="en-US" w:eastAsia="zh-CN"/>
              </w:rPr>
              <w:t>建议提及的设备和参考标准一一对应</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p>
            <w:pPr>
              <w:pStyle w:val="4"/>
              <w:tabs>
                <w:tab w:val="left" w:pos="0"/>
              </w:tabs>
              <w:adjustRightInd w:val="0"/>
              <w:spacing w:before="156" w:beforeLines="50"/>
              <w:ind w:firstLine="420" w:firstLineChars="200"/>
              <w:contextualSpacing/>
              <w:jc w:val="both"/>
              <w:textAlignment w:val="baseline"/>
              <w:outlineLvl w:val="2"/>
              <w:rPr>
                <w:rFonts w:hint="eastAsia" w:ascii="Times New Roman" w:hAnsi="Times New Roman" w:eastAsia="宋体" w:cs="Times New Roman"/>
                <w:b w:val="0"/>
                <w:bCs w:val="0"/>
                <w:kern w:val="0"/>
                <w:sz w:val="21"/>
                <w:szCs w:val="22"/>
                <w:lang w:val="en-US" w:eastAsia="zh-CN" w:bidi="ar-SA"/>
              </w:rPr>
            </w:pPr>
            <w:r>
              <w:rPr>
                <w:rFonts w:hint="eastAsia" w:ascii="Times New Roman" w:hAnsi="Times New Roman" w:cs="Times New Roman"/>
                <w:b w:val="0"/>
                <w:bCs w:val="0"/>
                <w:sz w:val="21"/>
                <w:szCs w:val="22"/>
                <w:lang w:val="en-US" w:eastAsia="zh-CN"/>
              </w:rPr>
              <w:t>修改5.2.3.2中设备和标准的对应情况，同时考虑稀土荧光粉行业适用的通用设备，删去不涉及的“工业锅炉”，新增“电炉、烘箱SJ 21318-2018、JB/T 20033、混料机JB/T 20106-2022、破碎机JB/T 10245”等通用设备。</w:t>
            </w:r>
          </w:p>
        </w:tc>
        <w:tc>
          <w:tcPr>
            <w:tcW w:w="1477" w:type="dxa"/>
            <w:noWrap/>
            <w:vAlign w:val="center"/>
          </w:tcPr>
          <w:p>
            <w:pPr>
              <w:ind w:firstLine="29" w:firstLineChars="14"/>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trPr>
        <w:tc>
          <w:tcPr>
            <w:tcW w:w="539" w:type="dxa"/>
            <w:noWrap/>
            <w:vAlign w:val="center"/>
          </w:tcPr>
          <w:p>
            <w:pPr>
              <w:pStyle w:val="38"/>
              <w:numPr>
                <w:ilvl w:val="0"/>
                <w:numId w:val="0"/>
              </w:numPr>
              <w:ind w:left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eastAsia" w:ascii="Times New Roman" w:hAnsi="Times New Roman" w:eastAsia="宋体" w:cs="Times New Roman"/>
                <w:b w:val="0"/>
                <w:bCs w:val="0"/>
                <w:kern w:val="0"/>
                <w:sz w:val="21"/>
                <w:szCs w:val="22"/>
                <w:lang w:val="en-US" w:eastAsia="zh-CN" w:bidi="ar-SA"/>
              </w:rPr>
            </w:pPr>
            <w:r>
              <w:rPr>
                <w:rFonts w:hint="eastAsia" w:ascii="Times New Roman" w:hAnsi="Times New Roman" w:cs="Times New Roman"/>
                <w:b w:val="0"/>
                <w:bCs w:val="0"/>
                <w:sz w:val="21"/>
                <w:szCs w:val="22"/>
                <w:lang w:val="en-US" w:eastAsia="zh-CN"/>
              </w:rPr>
              <w:t>5.2.3.3 计量设备</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eastAsia="宋体" w:cs="Times New Roman"/>
                <w:b w:val="0"/>
                <w:bCs w:val="0"/>
                <w:kern w:val="0"/>
                <w:sz w:val="21"/>
                <w:szCs w:val="22"/>
                <w:lang w:val="en-US" w:eastAsia="zh-CN" w:bidi="ar-SA"/>
              </w:rPr>
            </w:pPr>
            <w:r>
              <w:rPr>
                <w:rFonts w:hint="default" w:ascii="Times New Roman" w:hAnsi="Times New Roman" w:cs="Times New Roman"/>
                <w:b w:val="0"/>
                <w:bCs w:val="0"/>
                <w:sz w:val="21"/>
                <w:szCs w:val="22"/>
                <w:lang w:val="en-US" w:eastAsia="zh-CN"/>
              </w:rPr>
              <w:t>5）锅炉 建议改为窑炉。</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p>
            <w:pPr>
              <w:pStyle w:val="4"/>
              <w:tabs>
                <w:tab w:val="left" w:pos="0"/>
              </w:tabs>
              <w:adjustRightInd w:val="0"/>
              <w:spacing w:before="156" w:beforeLines="50"/>
              <w:contextualSpacing/>
              <w:jc w:val="both"/>
              <w:textAlignment w:val="baseline"/>
              <w:outlineLvl w:val="2"/>
              <w:rPr>
                <w:rFonts w:hint="eastAsia" w:ascii="Times New Roman" w:hAnsi="Times New Roman" w:eastAsia="宋体" w:cs="Times New Roman"/>
                <w:b w:val="0"/>
                <w:bCs w:val="0"/>
                <w:kern w:val="0"/>
                <w:sz w:val="21"/>
                <w:szCs w:val="22"/>
                <w:lang w:val="en-US" w:eastAsia="zh-CN" w:bidi="ar-SA"/>
              </w:rPr>
            </w:pPr>
            <w:r>
              <w:rPr>
                <w:rFonts w:hint="eastAsia" w:ascii="Times New Roman" w:hAnsi="Times New Roman" w:cs="Times New Roman"/>
                <w:b w:val="0"/>
                <w:bCs w:val="0"/>
                <w:sz w:val="21"/>
                <w:szCs w:val="22"/>
                <w:lang w:val="en-US" w:eastAsia="zh-CN"/>
              </w:rPr>
              <w:t xml:space="preserve">    稀土荧光法计量设备不涉及锅炉，主要计量设备为窑炉，同时新增激光粒度仪；分光分色检测系统；高温高湿箱；电子天平等荧光粉行业通用计量设备。</w:t>
            </w:r>
          </w:p>
        </w:tc>
        <w:tc>
          <w:tcPr>
            <w:tcW w:w="1477" w:type="dxa"/>
            <w:noWrap/>
            <w:vAlign w:val="center"/>
          </w:tcPr>
          <w:p>
            <w:pPr>
              <w:ind w:firstLine="29" w:firstLineChars="14"/>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trPr>
        <w:tc>
          <w:tcPr>
            <w:tcW w:w="539" w:type="dxa"/>
            <w:noWrap/>
            <w:vAlign w:val="center"/>
          </w:tcPr>
          <w:p>
            <w:pPr>
              <w:pStyle w:val="38"/>
              <w:numPr>
                <w:ilvl w:val="0"/>
                <w:numId w:val="0"/>
              </w:numPr>
              <w:ind w:left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eastAsia" w:ascii="Times New Roman" w:hAnsi="Times New Roman" w:eastAsia="宋体" w:cs="Times New Roman"/>
                <w:b w:val="0"/>
                <w:bCs w:val="0"/>
                <w:kern w:val="0"/>
                <w:sz w:val="21"/>
                <w:szCs w:val="22"/>
                <w:lang w:val="en-US" w:eastAsia="zh-CN" w:bidi="ar-SA"/>
              </w:rPr>
            </w:pPr>
            <w:r>
              <w:rPr>
                <w:rFonts w:hint="eastAsia" w:ascii="Times New Roman" w:hAnsi="Times New Roman" w:cs="Times New Roman"/>
                <w:b w:val="0"/>
                <w:bCs w:val="0"/>
                <w:sz w:val="21"/>
                <w:szCs w:val="22"/>
                <w:lang w:val="en-US" w:eastAsia="zh-CN"/>
              </w:rPr>
              <w:t xml:space="preserve">5.3.5 </w:t>
            </w:r>
            <w:r>
              <w:rPr>
                <w:rFonts w:hint="default" w:ascii="Times New Roman" w:hAnsi="Times New Roman" w:cs="Times New Roman"/>
                <w:b w:val="0"/>
                <w:bCs w:val="0"/>
                <w:sz w:val="21"/>
                <w:szCs w:val="22"/>
                <w:lang w:val="en-US" w:eastAsia="zh-CN"/>
              </w:rPr>
              <w:t>责任商业联盟行为准则</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eastAsia="宋体" w:cs="Times New Roman"/>
                <w:b w:val="0"/>
                <w:bCs w:val="0"/>
                <w:kern w:val="0"/>
                <w:sz w:val="21"/>
                <w:szCs w:val="22"/>
                <w:lang w:val="en-US" w:eastAsia="zh-CN" w:bidi="ar-SA"/>
              </w:rPr>
            </w:pPr>
            <w:r>
              <w:rPr>
                <w:rFonts w:hint="default" w:ascii="Times New Roman" w:hAnsi="Times New Roman" w:cs="Times New Roman"/>
                <w:b w:val="0"/>
                <w:bCs w:val="0"/>
                <w:sz w:val="21"/>
                <w:szCs w:val="22"/>
                <w:lang w:val="en-US" w:eastAsia="zh-CN"/>
              </w:rPr>
              <w:t>5.3.5.2“工厂的知识产权管理体系宜满足RBA的要求”提及的知识产权管理体系与责任商业联盟行为准则的关系是否为包含关系？</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RBA（Responsible Business Alliance）是责任商业联盟行为准则，是原EICC电子行业公民联盟的行为准则，旨在建立各种标准，以确保电子行业或以电子产品为关键要素的行业及其供应链的工作环境安全。</w:t>
            </w:r>
          </w:p>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该准则所指电子行业包含为生产电子产品而设计、营销、制造或提供商品和服务的所有组织。电子行业的任何一家企业都可以自愿采用本准则，并应用到其供应链和转包商中，包括合同劳工的提供商。由于稀土荧光粉行业所属国民经济行业分类C3985电子专用材料制造中的“指用于电子元器件、组件及系统制备的专用电子功能材料、互联与封装材料、工艺及辅助材料的制造，包括半导体材料、光电子材料、磁性材料、锂电池材料、电子陶瓷材料、覆铜板及铜箔材料、电子化工材料等”，因此</w:t>
            </w:r>
            <w:r>
              <w:rPr>
                <w:rFonts w:hint="eastAsia" w:ascii="Times New Roman" w:hAnsi="Times New Roman" w:cs="Times New Roman"/>
                <w:b w:val="0"/>
                <w:bCs w:val="0"/>
                <w:sz w:val="21"/>
                <w:szCs w:val="22"/>
                <w:lang w:val="en-US" w:eastAsia="zh-CN"/>
              </w:rPr>
              <w:t>宜</w:t>
            </w:r>
            <w:r>
              <w:rPr>
                <w:rFonts w:hint="default" w:ascii="Times New Roman" w:hAnsi="Times New Roman" w:cs="Times New Roman"/>
                <w:b w:val="0"/>
                <w:bCs w:val="0"/>
                <w:sz w:val="21"/>
                <w:szCs w:val="22"/>
                <w:lang w:val="en-US" w:eastAsia="zh-CN"/>
              </w:rPr>
              <w:t>符合责任联盟商业准则要求。</w:t>
            </w:r>
          </w:p>
          <w:p>
            <w:pPr>
              <w:pStyle w:val="4"/>
              <w:tabs>
                <w:tab w:val="left" w:pos="0"/>
              </w:tabs>
              <w:adjustRightInd w:val="0"/>
              <w:spacing w:before="156" w:beforeLines="50"/>
              <w:ind w:firstLine="420" w:firstLineChars="200"/>
              <w:contextualSpacing/>
              <w:jc w:val="both"/>
              <w:textAlignment w:val="baseline"/>
              <w:outlineLvl w:val="2"/>
              <w:rPr>
                <w:rFonts w:hint="eastAsia" w:ascii="Times New Roman" w:hAnsi="Times New Roman" w:eastAsia="宋体" w:cs="Times New Roman"/>
                <w:b w:val="0"/>
                <w:bCs w:val="0"/>
                <w:kern w:val="0"/>
                <w:sz w:val="21"/>
                <w:szCs w:val="22"/>
                <w:lang w:val="en-US" w:eastAsia="zh-CN" w:bidi="ar-SA"/>
              </w:rPr>
            </w:pPr>
            <w:r>
              <w:rPr>
                <w:rFonts w:hint="default" w:ascii="Times New Roman" w:hAnsi="Times New Roman" w:cs="Times New Roman"/>
                <w:b w:val="0"/>
                <w:bCs w:val="0"/>
                <w:sz w:val="21"/>
                <w:szCs w:val="22"/>
                <w:lang w:val="en-US" w:eastAsia="zh-CN"/>
              </w:rPr>
              <w:t>责任商业联盟行为准则中对知识产权进行了约束，但对于知识产权管理体系符合的要求并未做明确规范，因此新增5.3.</w:t>
            </w:r>
            <w:r>
              <w:rPr>
                <w:rFonts w:hint="eastAsia" w:ascii="Times New Roman" w:hAnsi="Times New Roman" w:cs="Times New Roman"/>
                <w:b w:val="0"/>
                <w:bCs w:val="0"/>
                <w:sz w:val="21"/>
                <w:szCs w:val="22"/>
                <w:lang w:val="en-US" w:eastAsia="zh-CN"/>
              </w:rPr>
              <w:t>6</w:t>
            </w:r>
            <w:r>
              <w:rPr>
                <w:rFonts w:hint="default" w:ascii="Times New Roman" w:hAnsi="Times New Roman" w:cs="Times New Roman"/>
                <w:b w:val="0"/>
                <w:bCs w:val="0"/>
                <w:sz w:val="21"/>
                <w:szCs w:val="22"/>
                <w:lang w:val="en-US" w:eastAsia="zh-CN"/>
              </w:rPr>
              <w:t xml:space="preserve"> 知识产权管理体系取值型要求：“工厂知识产权管理体系宜贯彻GB/T 29490-2013的要求”</w:t>
            </w:r>
            <w:r>
              <w:rPr>
                <w:rFonts w:hint="eastAsia" w:ascii="Times New Roman" w:hAnsi="Times New Roman" w:cs="Times New Roman"/>
                <w:b w:val="0"/>
                <w:bCs w:val="0"/>
                <w:sz w:val="21"/>
                <w:szCs w:val="22"/>
                <w:lang w:val="en-US" w:eastAsia="zh-CN"/>
              </w:rPr>
              <w:t>。</w:t>
            </w:r>
          </w:p>
        </w:tc>
        <w:tc>
          <w:tcPr>
            <w:tcW w:w="1477" w:type="dxa"/>
            <w:noWrap/>
            <w:vAlign w:val="center"/>
          </w:tcPr>
          <w:p>
            <w:pPr>
              <w:ind w:firstLine="29" w:firstLineChars="14"/>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03" w:hRule="atLeast"/>
        </w:trPr>
        <w:tc>
          <w:tcPr>
            <w:tcW w:w="539" w:type="dxa"/>
            <w:noWrap/>
            <w:vAlign w:val="center"/>
          </w:tcPr>
          <w:p>
            <w:pPr>
              <w:pStyle w:val="38"/>
              <w:numPr>
                <w:ilvl w:val="0"/>
                <w:numId w:val="0"/>
              </w:numPr>
              <w:ind w:left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eastAsia" w:ascii="Times New Roman" w:hAnsi="Times New Roman" w:cs="Times New Roman"/>
                <w:b w:val="0"/>
                <w:bCs w:val="0"/>
                <w:sz w:val="21"/>
                <w:szCs w:val="22"/>
                <w:lang w:val="en-US" w:eastAsia="zh-CN"/>
              </w:rPr>
              <w:t>5.5 产品要求</w:t>
            </w:r>
          </w:p>
        </w:tc>
        <w:tc>
          <w:tcPr>
            <w:tcW w:w="3877" w:type="dxa"/>
            <w:noWrap/>
            <w:vAlign w:val="center"/>
          </w:tcPr>
          <w:p>
            <w:pPr>
              <w:numPr>
                <w:ilvl w:val="0"/>
                <w:numId w:val="0"/>
              </w:numPr>
              <w:spacing w:line="240" w:lineRule="auto"/>
              <w:jc w:val="both"/>
              <w:rPr>
                <w:rFonts w:hint="default" w:ascii="Times New Roman" w:hAnsi="Times New Roman" w:eastAsia="宋体" w:cs="Times New Roman"/>
                <w:b w:val="0"/>
                <w:bCs/>
                <w:color w:val="auto"/>
                <w:kern w:val="0"/>
                <w:sz w:val="21"/>
                <w:szCs w:val="21"/>
                <w:lang w:val="en-US" w:eastAsia="zh-CN" w:bidi="ar-SA"/>
              </w:rPr>
            </w:pPr>
            <w:r>
              <w:rPr>
                <w:rFonts w:hint="eastAsia" w:ascii="Times New Roman" w:hAnsi="Times New Roman" w:cs="Times New Roman"/>
                <w:sz w:val="21"/>
                <w:szCs w:val="16"/>
                <w:lang w:val="en-US" w:eastAsia="zh-CN"/>
              </w:rPr>
              <w:t>关于参考标准GB/T 36132 绿色工厂评价通则 中8.4 节能的要求：“工厂生产的产品若为用能产品或在使用过程中对最终产品/构造的能耗有影响的产品，适用时，应满足相关标准的限定值要求，并努力达到更高能效等级”，建议将该条加入本标准5.5 产品要求中，</w:t>
            </w:r>
            <w:r>
              <w:rPr>
                <w:rFonts w:hint="eastAsia" w:ascii="Times New Roman" w:hAnsi="Times New Roman" w:cs="Times New Roman"/>
                <w:sz w:val="21"/>
                <w:szCs w:val="16"/>
                <w:highlight w:val="none"/>
                <w:lang w:val="en-US" w:eastAsia="zh-CN"/>
              </w:rPr>
              <w:t>并考虑稀土荧光粉行业特性</w:t>
            </w:r>
            <w:r>
              <w:rPr>
                <w:rFonts w:hint="eastAsia" w:ascii="Times New Roman" w:hAnsi="Times New Roman" w:cs="Times New Roman"/>
                <w:sz w:val="21"/>
                <w:szCs w:val="16"/>
                <w:lang w:val="en-US" w:eastAsia="zh-CN"/>
              </w:rPr>
              <w:t>。</w:t>
            </w:r>
          </w:p>
        </w:tc>
        <w:tc>
          <w:tcPr>
            <w:tcW w:w="6796" w:type="dxa"/>
            <w:noWrap/>
            <w:vAlign w:val="center"/>
          </w:tcPr>
          <w:p>
            <w:pPr>
              <w:ind w:firstLine="420" w:firstLineChars="200"/>
              <w:jc w:val="both"/>
              <w:rPr>
                <w:rFonts w:hint="eastAsia" w:cs="Times New Roman"/>
                <w:sz w:val="21"/>
                <w:szCs w:val="16"/>
                <w:lang w:val="en-US" w:eastAsia="zh-CN"/>
              </w:rPr>
            </w:pPr>
            <w:r>
              <w:rPr>
                <w:rFonts w:hint="eastAsia" w:cs="Times New Roman"/>
                <w:sz w:val="21"/>
                <w:szCs w:val="16"/>
                <w:lang w:val="en-US" w:eastAsia="zh-CN"/>
              </w:rPr>
              <w:t>采纳。</w:t>
            </w:r>
          </w:p>
          <w:p>
            <w:pPr>
              <w:ind w:firstLine="420" w:firstLineChars="200"/>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16"/>
                <w:lang w:val="en-US" w:eastAsia="zh-CN"/>
              </w:rPr>
              <w:t>稀土荧光粉绿色工厂生产的产品为LED用稀土荧光粉，本产品为LED照明及显示器件的关键基础材料，最终用于LED灯珠、背光显示等功率电子器件，该器件为用能产品，使用过程中，荧光粉的发光效率等性能指标对器件的能耗有着重要的影响，荧光粉的发光效率越高，单位时间能耗越低。工厂生产的荧光粉应符合GB/T 24980、GB/T 24982等荧光粉性能指标相关标准。</w:t>
            </w:r>
          </w:p>
        </w:tc>
        <w:tc>
          <w:tcPr>
            <w:tcW w:w="1477" w:type="dxa"/>
            <w:noWrap/>
            <w:vAlign w:val="center"/>
          </w:tcPr>
          <w:p>
            <w:pPr>
              <w:ind w:firstLine="29" w:firstLineChars="14"/>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84" w:hRule="atLeast"/>
        </w:trPr>
        <w:tc>
          <w:tcPr>
            <w:tcW w:w="539" w:type="dxa"/>
            <w:noWrap/>
            <w:vAlign w:val="center"/>
          </w:tcPr>
          <w:p>
            <w:pPr>
              <w:pStyle w:val="38"/>
              <w:numPr>
                <w:ilvl w:val="0"/>
                <w:numId w:val="0"/>
              </w:numPr>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5.5.2生态(绿色)设计</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建议确认是属于生态设计还是绿色设计，斟酌用词。</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根据GB/T 24256 3.7要求：产品生态设计又称“环境意识设计”、“绿色设计”或“环境化设计”，指为提高产品生命周期内的环境绩效，优化产品的环境影响而将环境因素引入产品的设计和开发的活动。从该要求中，生态设计和绿色设计为同一层意思。稀土荧光粉生产中，可以在降能耗，降污染，降排放方面引入产品</w:t>
            </w:r>
            <w:r>
              <w:rPr>
                <w:rFonts w:hint="eastAsia" w:ascii="Times New Roman" w:hAnsi="Times New Roman" w:cs="Times New Roman"/>
                <w:b w:val="0"/>
                <w:bCs w:val="0"/>
                <w:sz w:val="21"/>
                <w:szCs w:val="22"/>
                <w:lang w:val="en-US" w:eastAsia="zh-CN"/>
              </w:rPr>
              <w:t>配方</w:t>
            </w:r>
            <w:r>
              <w:rPr>
                <w:rFonts w:hint="default" w:ascii="Times New Roman" w:hAnsi="Times New Roman" w:cs="Times New Roman"/>
                <w:b w:val="0"/>
                <w:bCs w:val="0"/>
                <w:sz w:val="21"/>
                <w:szCs w:val="22"/>
                <w:lang w:val="en-US" w:eastAsia="zh-CN"/>
              </w:rPr>
              <w:t>设计和工艺开发。此外，在GB/T36132-2018 8.2中，采用的产品相关表述也为生态设计。为适应本标准上下文本，此处用词改为生态设计。</w:t>
            </w:r>
          </w:p>
        </w:tc>
        <w:tc>
          <w:tcPr>
            <w:tcW w:w="1477"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trPr>
        <w:tc>
          <w:tcPr>
            <w:tcW w:w="539" w:type="dxa"/>
            <w:noWrap/>
            <w:vAlign w:val="center"/>
          </w:tcPr>
          <w:p>
            <w:pPr>
              <w:pStyle w:val="38"/>
              <w:numPr>
                <w:ilvl w:val="0"/>
                <w:numId w:val="0"/>
              </w:numPr>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val="0"/>
                <w:kern w:val="0"/>
                <w:sz w:val="21"/>
                <w:szCs w:val="22"/>
                <w:lang w:val="en-US" w:eastAsia="zh-CN" w:bidi="ar-SA"/>
              </w:rPr>
            </w:pPr>
            <w:r>
              <w:rPr>
                <w:rFonts w:hint="default" w:ascii="Times New Roman" w:hAnsi="Times New Roman" w:cs="Times New Roman"/>
                <w:b w:val="0"/>
                <w:bCs w:val="0"/>
                <w:sz w:val="21"/>
                <w:szCs w:val="22"/>
                <w:lang w:val="en-US" w:eastAsia="zh-CN"/>
              </w:rPr>
              <w:t>5.5.3-有毒有害物质</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eastAsia="宋体" w:cs="Times New Roman"/>
                <w:b w:val="0"/>
                <w:bCs w:val="0"/>
                <w:kern w:val="0"/>
                <w:sz w:val="21"/>
                <w:szCs w:val="22"/>
                <w:lang w:val="en-US" w:eastAsia="zh-CN" w:bidi="ar-SA"/>
              </w:rPr>
            </w:pPr>
            <w:r>
              <w:rPr>
                <w:rFonts w:hint="default" w:ascii="Times New Roman" w:hAnsi="Times New Roman" w:cs="Times New Roman"/>
                <w:b w:val="0"/>
                <w:bCs w:val="0"/>
                <w:sz w:val="21"/>
                <w:szCs w:val="22"/>
                <w:lang w:val="en-US" w:eastAsia="zh-CN"/>
              </w:rPr>
              <w:t>建议修正为“危险化学品的使用”，以及对应内容5.5.3内容修改为：“5.5.3.1危险化学品的的贮存、输送、生产和使用场所，应设置环境风险防范和应急处置设施，并配置相应的应急物资，应在醒目位置张贴《安全须知卡》。”“5.5.3.2应减少危险化学品的使用，避免直接接触及泄露，并做好危险化学品的使用记录及相关物存放记录。宜实现危险化学品替代。”</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eastAsia="宋体" w:cs="Times New Roman"/>
                <w:b w:val="0"/>
                <w:bCs w:val="0"/>
                <w:kern w:val="0"/>
                <w:sz w:val="21"/>
                <w:szCs w:val="22"/>
                <w:lang w:val="en-US" w:eastAsia="zh-CN" w:bidi="ar-SA"/>
              </w:rPr>
            </w:pPr>
            <w:r>
              <w:rPr>
                <w:rFonts w:hint="eastAsia" w:ascii="Times New Roman" w:hAnsi="Times New Roman" w:cs="Times New Roman"/>
                <w:b w:val="0"/>
                <w:bCs w:val="0"/>
                <w:sz w:val="21"/>
                <w:szCs w:val="22"/>
                <w:lang w:val="en-US" w:eastAsia="zh-CN"/>
              </w:rPr>
              <w:t>采纳。</w:t>
            </w:r>
          </w:p>
        </w:tc>
        <w:tc>
          <w:tcPr>
            <w:tcW w:w="1477"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val="0"/>
                <w:kern w:val="0"/>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49" w:hRule="atLeast"/>
        </w:trPr>
        <w:tc>
          <w:tcPr>
            <w:tcW w:w="539" w:type="dxa"/>
            <w:noWrap/>
            <w:vAlign w:val="center"/>
          </w:tcPr>
          <w:p>
            <w:pPr>
              <w:pStyle w:val="38"/>
              <w:numPr>
                <w:ilvl w:val="0"/>
                <w:numId w:val="0"/>
              </w:numPr>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5.6.2 固体废物</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关于放射性固废的相关标准是否适用；同时考虑增加危废处理。</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稀土荧光粉行业生产中并不涉及放射性固体废物的产生和处理，因此关于放射性固体废物的标准不适用。另外，关于危废的处理，文本中已说明需要根据危险废物鉴别标准通则 GB 5085.7和固体废物鉴别标准通则 GB 34330以及现行的国家危险废物名录进行属性鉴别。其中，稀土荧光粉行业涉及的危废主要为废试剂空瓶/空桶</w:t>
            </w:r>
            <w:r>
              <w:rPr>
                <w:rFonts w:hint="eastAsia" w:ascii="Times New Roman" w:hAnsi="Times New Roman" w:cs="Times New Roman"/>
                <w:b w:val="0"/>
                <w:bCs w:val="0"/>
                <w:sz w:val="21"/>
                <w:szCs w:val="22"/>
                <w:lang w:val="en-US" w:eastAsia="zh-CN"/>
              </w:rPr>
              <w:t>、</w:t>
            </w:r>
            <w:r>
              <w:rPr>
                <w:rFonts w:hint="default" w:ascii="Times New Roman" w:hAnsi="Times New Roman" w:cs="Times New Roman"/>
                <w:b w:val="0"/>
                <w:bCs w:val="0"/>
                <w:sz w:val="21"/>
                <w:szCs w:val="22"/>
                <w:lang w:val="en-US" w:eastAsia="zh-CN"/>
              </w:rPr>
              <w:t>含水乙醇废液</w:t>
            </w:r>
            <w:r>
              <w:rPr>
                <w:rFonts w:hint="eastAsia" w:ascii="Times New Roman" w:hAnsi="Times New Roman" w:cs="Times New Roman"/>
                <w:b w:val="0"/>
                <w:bCs w:val="0"/>
                <w:sz w:val="21"/>
                <w:szCs w:val="22"/>
                <w:lang w:val="en-US" w:eastAsia="zh-CN"/>
              </w:rPr>
              <w:t>、</w:t>
            </w:r>
            <w:r>
              <w:rPr>
                <w:rFonts w:hint="default" w:ascii="Times New Roman" w:hAnsi="Times New Roman" w:cs="Times New Roman"/>
                <w:b w:val="0"/>
                <w:bCs w:val="0"/>
                <w:sz w:val="21"/>
                <w:szCs w:val="22"/>
                <w:lang w:val="en-US" w:eastAsia="zh-CN"/>
              </w:rPr>
              <w:t>无机氟化物废液等，工厂无法自行处理的，需将固体废物和危险废物转交给具备相应能力和资质的处理单位进行处理。</w:t>
            </w:r>
          </w:p>
        </w:tc>
        <w:tc>
          <w:tcPr>
            <w:tcW w:w="1477"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19" w:hRule="atLeast"/>
        </w:trPr>
        <w:tc>
          <w:tcPr>
            <w:tcW w:w="539" w:type="dxa"/>
            <w:noWrap/>
            <w:vAlign w:val="center"/>
          </w:tcPr>
          <w:p>
            <w:pPr>
              <w:pStyle w:val="38"/>
              <w:numPr>
                <w:ilvl w:val="0"/>
                <w:numId w:val="0"/>
              </w:numPr>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4.2.2 权重系数</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权重系数和附录A指标分值合理性，建议体现出行业特色倾向性</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本标准评价总体结构与GB/T 36132提出的相关评价指标体系和要求保持一致，同时以稀土荧光粉行业绿色工厂评价的节能、减碳、安全为导向性为根本性原则，对于4.2.2 权重系数分配，以及各部分对应的二级指标的具体内容和要求进行了重新评估分配</w:t>
            </w:r>
            <w:r>
              <w:rPr>
                <w:rFonts w:hint="eastAsia" w:ascii="Times New Roman" w:hAnsi="Times New Roman" w:cs="Times New Roman"/>
                <w:b w:val="0"/>
                <w:bCs w:val="0"/>
                <w:sz w:val="21"/>
                <w:szCs w:val="22"/>
                <w:lang w:val="en-US" w:eastAsia="zh-CN"/>
              </w:rPr>
              <w:t>。</w:t>
            </w:r>
            <w:r>
              <w:rPr>
                <w:rFonts w:hint="default" w:ascii="Times New Roman" w:hAnsi="Times New Roman" w:cs="Times New Roman"/>
                <w:b w:val="0"/>
                <w:bCs w:val="0"/>
                <w:sz w:val="21"/>
                <w:szCs w:val="22"/>
                <w:lang w:val="en-US" w:eastAsia="zh-CN"/>
              </w:rPr>
              <w:t>对于原不适用或者需要新增的要求细则，对应的分值依照同一类型下项目，或同一级指标下同一类型的其他评价要求优先的原则，对绩效、产品的部分进行了倾向性增加，对二级指标具体要求依照行业特性进行了优化。</w:t>
            </w:r>
          </w:p>
        </w:tc>
        <w:tc>
          <w:tcPr>
            <w:tcW w:w="1477"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61" w:hRule="atLeast"/>
        </w:trPr>
        <w:tc>
          <w:tcPr>
            <w:tcW w:w="539" w:type="dxa"/>
            <w:noWrap/>
            <w:vAlign w:val="center"/>
          </w:tcPr>
          <w:p>
            <w:pPr>
              <w:pStyle w:val="38"/>
              <w:numPr>
                <w:ilvl w:val="0"/>
                <w:numId w:val="0"/>
              </w:numPr>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附录A-2 管理体系</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管理体系要求中能源管理的必要性，以及内容和分值是否调整。</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稀土荧光粉企业生产属于能源消耗较高的企业，加强企业的能源管理体系建设，有助于帮助企业监控和管理企业能源生产、输配和消耗各个环节，从而改进生产技术、优化能源平衡，实现系统性节能降耗，实现低碳、安全、绿色生产。稀土荧光粉企业属于有色金属行业稀土金属及其合金材料，在进行能源管理体系建设和第三方管理认证时，宜应按照RB/T 117能源管理体系 有色金属企业认证要求</w:t>
            </w:r>
            <w:r>
              <w:rPr>
                <w:rFonts w:hint="eastAsia" w:ascii="Times New Roman" w:hAnsi="Times New Roman" w:cs="Times New Roman"/>
                <w:b w:val="0"/>
                <w:bCs w:val="0"/>
                <w:sz w:val="21"/>
                <w:szCs w:val="22"/>
                <w:lang w:val="en-US" w:eastAsia="zh-CN"/>
              </w:rPr>
              <w:t xml:space="preserve"> </w:t>
            </w:r>
            <w:r>
              <w:rPr>
                <w:rFonts w:hint="default" w:ascii="Times New Roman" w:hAnsi="Times New Roman" w:cs="Times New Roman"/>
                <w:b w:val="0"/>
                <w:bCs w:val="0"/>
                <w:sz w:val="21"/>
                <w:szCs w:val="22"/>
                <w:lang w:val="en-US" w:eastAsia="zh-CN"/>
              </w:rPr>
              <w:t>进行。因此，采纳该意见，调整附录A-能源管理体系第1-3条要求原分值“7,7,6”调整为“9,9,8”。</w:t>
            </w:r>
          </w:p>
        </w:tc>
        <w:tc>
          <w:tcPr>
            <w:tcW w:w="1477"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7" w:hRule="atLeast"/>
        </w:trPr>
        <w:tc>
          <w:tcPr>
            <w:tcW w:w="539" w:type="dxa"/>
            <w:noWrap/>
            <w:vAlign w:val="center"/>
          </w:tcPr>
          <w:p>
            <w:pPr>
              <w:pStyle w:val="38"/>
              <w:numPr>
                <w:ilvl w:val="0"/>
                <w:numId w:val="0"/>
              </w:numPr>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附录A-0 合规性与相关方要求</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第1条及第3条语法修正</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eastAsia"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tc>
        <w:tc>
          <w:tcPr>
            <w:tcW w:w="1477"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74" w:hRule="atLeast"/>
        </w:trPr>
        <w:tc>
          <w:tcPr>
            <w:tcW w:w="539" w:type="dxa"/>
            <w:noWrap/>
            <w:vAlign w:val="center"/>
          </w:tcPr>
          <w:p>
            <w:pPr>
              <w:pStyle w:val="38"/>
              <w:numPr>
                <w:ilvl w:val="0"/>
                <w:numId w:val="0"/>
              </w:numPr>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附录A-1 基础设施-建筑</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第</w:t>
            </w:r>
            <w:r>
              <w:rPr>
                <w:rFonts w:hint="eastAsia" w:ascii="Times New Roman" w:hAnsi="Times New Roman" w:cs="Times New Roman"/>
                <w:b w:val="0"/>
                <w:bCs w:val="0"/>
                <w:sz w:val="21"/>
                <w:szCs w:val="22"/>
                <w:lang w:val="en-US" w:eastAsia="zh-CN"/>
              </w:rPr>
              <w:t>2</w:t>
            </w:r>
            <w:r>
              <w:rPr>
                <w:rFonts w:hint="default" w:ascii="Times New Roman" w:hAnsi="Times New Roman" w:cs="Times New Roman"/>
                <w:b w:val="0"/>
                <w:bCs w:val="0"/>
                <w:sz w:val="21"/>
                <w:szCs w:val="22"/>
                <w:lang w:val="en-US" w:eastAsia="zh-CN"/>
              </w:rPr>
              <w:t>条</w:t>
            </w:r>
            <w:r>
              <w:rPr>
                <w:rFonts w:hint="eastAsia" w:ascii="Times New Roman" w:hAnsi="Times New Roman" w:cs="Times New Roman"/>
                <w:b w:val="0"/>
                <w:bCs w:val="0"/>
                <w:sz w:val="21"/>
                <w:szCs w:val="22"/>
                <w:lang w:val="en-US" w:eastAsia="zh-CN"/>
              </w:rPr>
              <w:t xml:space="preserve"> </w:t>
            </w:r>
            <w:r>
              <w:rPr>
                <w:rFonts w:hint="default" w:ascii="Times New Roman" w:hAnsi="Times New Roman" w:cs="Times New Roman"/>
                <w:b w:val="0"/>
                <w:bCs w:val="0"/>
                <w:sz w:val="21"/>
                <w:szCs w:val="22"/>
                <w:lang w:val="en-US" w:eastAsia="zh-CN"/>
              </w:rPr>
              <w:t>提及的相关产业政策需要引用作为参考文献</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eastAsia"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tc>
        <w:tc>
          <w:tcPr>
            <w:tcW w:w="1477"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6" w:hRule="atLeast"/>
        </w:trPr>
        <w:tc>
          <w:tcPr>
            <w:tcW w:w="539" w:type="dxa"/>
            <w:noWrap/>
            <w:vAlign w:val="center"/>
          </w:tcPr>
          <w:p>
            <w:pPr>
              <w:pStyle w:val="38"/>
              <w:numPr>
                <w:ilvl w:val="0"/>
                <w:numId w:val="0"/>
              </w:numPr>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附录A-1 基础设施-建筑</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第3条 参考标准要一一罗列</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eastAsia"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tc>
        <w:tc>
          <w:tcPr>
            <w:tcW w:w="1477"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4" w:hRule="atLeast"/>
        </w:trPr>
        <w:tc>
          <w:tcPr>
            <w:tcW w:w="539" w:type="dxa"/>
            <w:noWrap/>
            <w:vAlign w:val="center"/>
          </w:tcPr>
          <w:p>
            <w:pPr>
              <w:pStyle w:val="38"/>
              <w:numPr>
                <w:ilvl w:val="0"/>
                <w:numId w:val="0"/>
              </w:numPr>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附录</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建议新增附录C稀土荧光粉典型工艺图，同时在 3 术语定义 结尾新增 注：稀土荧光粉典型工艺图（附录C）</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eastAsia"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tc>
        <w:tc>
          <w:tcPr>
            <w:tcW w:w="1477"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cs="Times New Roman"/>
                <w:b w:val="0"/>
                <w:bCs w:val="0"/>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86" w:hRule="atLeast"/>
        </w:trPr>
        <w:tc>
          <w:tcPr>
            <w:tcW w:w="539" w:type="dxa"/>
            <w:noWrap/>
            <w:vAlign w:val="center"/>
          </w:tcPr>
          <w:p>
            <w:pPr>
              <w:pStyle w:val="38"/>
              <w:numPr>
                <w:ilvl w:val="0"/>
                <w:numId w:val="0"/>
              </w:numPr>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14</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val="0"/>
                <w:kern w:val="0"/>
                <w:sz w:val="21"/>
                <w:szCs w:val="22"/>
                <w:lang w:val="en-US" w:eastAsia="zh-CN" w:bidi="ar-SA"/>
              </w:rPr>
            </w:pPr>
            <w:r>
              <w:rPr>
                <w:rFonts w:hint="default" w:ascii="Times New Roman" w:hAnsi="Times New Roman" w:cs="Times New Roman"/>
                <w:b w:val="0"/>
                <w:bCs w:val="0"/>
                <w:sz w:val="21"/>
                <w:szCs w:val="22"/>
                <w:lang w:val="en-US" w:eastAsia="zh-CN"/>
              </w:rPr>
              <w:t>附录A-6-绩效-原料无害化</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eastAsia="宋体" w:cs="Times New Roman"/>
                <w:b w:val="0"/>
                <w:bCs w:val="0"/>
                <w:kern w:val="0"/>
                <w:sz w:val="21"/>
                <w:szCs w:val="22"/>
                <w:lang w:val="en-US" w:eastAsia="zh-CN" w:bidi="ar-SA"/>
              </w:rPr>
            </w:pPr>
            <w:r>
              <w:rPr>
                <w:rFonts w:hint="default" w:ascii="Times New Roman" w:hAnsi="Times New Roman" w:cs="Times New Roman"/>
                <w:b w:val="0"/>
                <w:bCs w:val="0"/>
                <w:sz w:val="21"/>
                <w:szCs w:val="22"/>
                <w:lang w:val="en-US" w:eastAsia="zh-CN"/>
              </w:rPr>
              <w:t>可考虑增加二次资源利用作为原料无害化范畴。同时关于提及的主要材料，提出界定标准（原料占比标准）；明确绿色物料界定；同时体现出分支特色。</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部分采纳。</w:t>
            </w:r>
          </w:p>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cs="Times New Roman"/>
                <w:b w:val="0"/>
                <w:bCs w:val="0"/>
                <w:sz w:val="21"/>
                <w:szCs w:val="22"/>
                <w:lang w:val="en-US" w:eastAsia="zh-CN"/>
              </w:rPr>
            </w:pPr>
            <w:r>
              <w:rPr>
                <w:rFonts w:hint="default" w:ascii="Times New Roman" w:hAnsi="Times New Roman" w:cs="Times New Roman"/>
                <w:b w:val="0"/>
                <w:bCs w:val="0"/>
                <w:sz w:val="21"/>
                <w:szCs w:val="22"/>
                <w:lang w:val="en-US" w:eastAsia="zh-CN"/>
              </w:rPr>
              <w:t>原料无害化指标是指绿色物料使用率不低于行业平均水平。这里的绿色物料是指“应选自省级以上政府相关部门发布的资源综合利用产品目录、有毒有害原料（产品）替代目录等，或利用再生资源及产业废弃物等作为原料。”因此已经把二次资源的利用纳入原料无害化的范畴。</w:t>
            </w:r>
          </w:p>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eastAsia="宋体" w:cs="Times New Roman"/>
                <w:b w:val="0"/>
                <w:bCs w:val="0"/>
                <w:kern w:val="0"/>
                <w:sz w:val="21"/>
                <w:szCs w:val="22"/>
                <w:lang w:val="en-US" w:eastAsia="zh-CN" w:bidi="ar-SA"/>
              </w:rPr>
            </w:pPr>
            <w:r>
              <w:rPr>
                <w:rFonts w:hint="default" w:ascii="Times New Roman" w:hAnsi="Times New Roman" w:cs="Times New Roman"/>
                <w:b w:val="0"/>
                <w:bCs w:val="0"/>
                <w:sz w:val="21"/>
                <w:szCs w:val="22"/>
                <w:lang w:val="en-US" w:eastAsia="zh-CN"/>
              </w:rPr>
              <w:t>对于稀土荧光粉的生产制造，其使用的原料为生料（如氧化铝、氧化钇、氧化镓等纯净物）、坩埚、酸、酒精，并不在绿色物料的原定义范畴。但本着绿色导向，以及原料无害化的本质，认为可以新增绿色物料的定义范围：“不在相关法律规定对环境和健康可能造成危害的化学物质之外的产品/材料”。这里经过实际测算，以博睿光电为例，根据物料台账记录的物料总使用量，与其中对环境和健康不会造成危害的绿色物料总使用量进行计算，得出绿色物料的使用率为94.69%</w:t>
            </w:r>
            <w:r>
              <w:rPr>
                <w:rFonts w:hint="eastAsia" w:ascii="Times New Roman" w:hAnsi="Times New Roman" w:cs="Times New Roman"/>
                <w:b w:val="0"/>
                <w:bCs w:val="0"/>
                <w:sz w:val="21"/>
                <w:szCs w:val="22"/>
                <w:lang w:val="en-US" w:eastAsia="zh-CN"/>
              </w:rPr>
              <w:t>，因此指标不变。</w:t>
            </w:r>
          </w:p>
        </w:tc>
        <w:tc>
          <w:tcPr>
            <w:tcW w:w="1477" w:type="dxa"/>
            <w:noWrap/>
            <w:vAlign w:val="center"/>
          </w:tcPr>
          <w:p>
            <w:pPr>
              <w:ind w:firstLine="29" w:firstLineChars="14"/>
              <w:jc w:val="center"/>
              <w:rPr>
                <w:rFonts w:hint="default" w:ascii="Times New Roman" w:hAnsi="Times New Roman" w:eastAsia="宋体" w:cs="Times New Roman"/>
                <w:b w:val="0"/>
                <w:bCs w:val="0"/>
                <w:kern w:val="0"/>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89" w:hRule="atLeast"/>
        </w:trPr>
        <w:tc>
          <w:tcPr>
            <w:tcW w:w="539" w:type="dxa"/>
            <w:noWrap/>
            <w:vAlign w:val="center"/>
          </w:tcPr>
          <w:p>
            <w:pPr>
              <w:pStyle w:val="38"/>
              <w:numPr>
                <w:ilvl w:val="0"/>
                <w:numId w:val="0"/>
              </w:numPr>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15</w:t>
            </w:r>
          </w:p>
        </w:tc>
        <w:tc>
          <w:tcPr>
            <w:tcW w:w="2573" w:type="dxa"/>
            <w:noWrap/>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sz w:val="21"/>
                <w:szCs w:val="21"/>
                <w:lang w:val="en-US" w:eastAsia="zh-CN"/>
              </w:rPr>
            </w:pPr>
            <w:r>
              <w:rPr>
                <w:rFonts w:hint="eastAsia" w:ascii="Times New Roman" w:hAnsi="Times New Roman" w:cs="Times New Roman"/>
                <w:b w:val="0"/>
                <w:bCs w:val="0"/>
                <w:sz w:val="21"/>
                <w:szCs w:val="22"/>
                <w:lang w:val="en-US" w:eastAsia="zh-CN"/>
              </w:rPr>
              <w:t>附录A-6.绩效-容积率</w:t>
            </w:r>
          </w:p>
        </w:tc>
        <w:tc>
          <w:tcPr>
            <w:tcW w:w="3877" w:type="dxa"/>
            <w:noWrap/>
            <w:vAlign w:val="center"/>
          </w:tcPr>
          <w:p>
            <w:pPr>
              <w:pStyle w:val="4"/>
              <w:tabs>
                <w:tab w:val="left" w:pos="0"/>
              </w:tabs>
              <w:adjustRightInd w:val="0"/>
              <w:spacing w:before="156" w:beforeLines="50"/>
              <w:contextualSpacing/>
              <w:jc w:val="both"/>
              <w:textAlignment w:val="baseline"/>
              <w:outlineLvl w:val="2"/>
              <w:rPr>
                <w:rFonts w:hint="default" w:ascii="Times New Roman" w:hAnsi="Times New Roman" w:eastAsia="宋体" w:cs="Times New Roman"/>
                <w:bCs/>
                <w:sz w:val="21"/>
                <w:szCs w:val="21"/>
              </w:rPr>
            </w:pPr>
            <w:r>
              <w:rPr>
                <w:rFonts w:hint="default" w:ascii="Times New Roman" w:hAnsi="Times New Roman" w:cs="Times New Roman"/>
                <w:b w:val="0"/>
                <w:bCs w:val="0"/>
                <w:sz w:val="21"/>
                <w:szCs w:val="22"/>
                <w:lang w:val="en-US" w:eastAsia="zh-CN"/>
              </w:rPr>
              <w:t>征集意见中对于容积率的指标要求斟酌考虑，结合行业特殊性要求以及考虑工业园区的要求，评估容积率指标。</w:t>
            </w:r>
          </w:p>
        </w:tc>
        <w:tc>
          <w:tcPr>
            <w:tcW w:w="6796" w:type="dxa"/>
            <w:noWrap/>
            <w:vAlign w:val="center"/>
          </w:tcPr>
          <w:p>
            <w:pPr>
              <w:pStyle w:val="4"/>
              <w:tabs>
                <w:tab w:val="left" w:pos="0"/>
              </w:tabs>
              <w:adjustRightInd w:val="0"/>
              <w:spacing w:before="156" w:beforeLines="50"/>
              <w:ind w:firstLine="420" w:firstLineChars="200"/>
              <w:contextualSpacing/>
              <w:jc w:val="both"/>
              <w:textAlignment w:val="baseline"/>
              <w:outlineLvl w:val="2"/>
              <w:rPr>
                <w:rFonts w:hint="eastAsia"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采纳。</w:t>
            </w:r>
          </w:p>
          <w:p>
            <w:pPr>
              <w:pStyle w:val="4"/>
              <w:tabs>
                <w:tab w:val="left" w:pos="0"/>
              </w:tabs>
              <w:adjustRightInd w:val="0"/>
              <w:spacing w:before="156" w:beforeLines="50"/>
              <w:ind w:firstLine="420" w:firstLineChars="200"/>
              <w:contextualSpacing/>
              <w:jc w:val="both"/>
              <w:textAlignment w:val="baseline"/>
              <w:outlineLvl w:val="2"/>
              <w:rPr>
                <w:rFonts w:hint="eastAsia"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稀土荧光粉行业的厂房建设要求应符合国家现行有关建设项目用地的规定，容积率计算依据附录B的计算方法，其中建筑面积计算依据《建筑工程建筑面积计算规范》GB/T 50353的规定执行。</w:t>
            </w:r>
          </w:p>
          <w:p>
            <w:pPr>
              <w:pStyle w:val="4"/>
              <w:tabs>
                <w:tab w:val="left" w:pos="0"/>
              </w:tabs>
              <w:adjustRightInd w:val="0"/>
              <w:spacing w:before="156" w:beforeLines="50"/>
              <w:ind w:firstLine="420" w:firstLineChars="200"/>
              <w:contextualSpacing/>
              <w:jc w:val="both"/>
              <w:textAlignment w:val="baseline"/>
              <w:outlineLvl w:val="2"/>
              <w:rPr>
                <w:rFonts w:hint="eastAsia"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现行的工业项目建设用地控制指标依据行业分类对工业项目容积率控制指标有明确的要求，稀土荧光粉的生产属于国民经济行业分类C3971电器机械及器材制造业-电光源制造，对应的容积率指标下限应不低于0.7。</w:t>
            </w:r>
          </w:p>
          <w:p>
            <w:pPr>
              <w:pStyle w:val="4"/>
              <w:tabs>
                <w:tab w:val="left" w:pos="0"/>
              </w:tabs>
              <w:adjustRightInd w:val="0"/>
              <w:spacing w:before="156" w:beforeLines="50"/>
              <w:ind w:firstLine="420" w:firstLineChars="200"/>
              <w:contextualSpacing/>
              <w:jc w:val="both"/>
              <w:textAlignment w:val="baseline"/>
              <w:outlineLvl w:val="2"/>
              <w:rPr>
                <w:rFonts w:hint="eastAsia"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另一方面，项目属地土地机构会基于项目本身以及工业要求划定投资强度和容积率下限。因此容积率指标在符合国家现行工业用地的要求下，同时应满足项目属地土地机构对工业项目控制指标和相关规划的要求。</w:t>
            </w:r>
          </w:p>
          <w:p>
            <w:pPr>
              <w:pStyle w:val="4"/>
              <w:tabs>
                <w:tab w:val="left" w:pos="0"/>
              </w:tabs>
              <w:adjustRightInd w:val="0"/>
              <w:spacing w:before="156" w:beforeLines="50"/>
              <w:ind w:firstLine="420" w:firstLineChars="200"/>
              <w:contextualSpacing/>
              <w:jc w:val="both"/>
              <w:textAlignment w:val="baseline"/>
              <w:outlineLvl w:val="2"/>
              <w:rPr>
                <w:rFonts w:hint="default" w:ascii="Times New Roman" w:hAnsi="Times New Roman" w:eastAsia="宋体" w:cs="Times New Roman"/>
                <w:sz w:val="21"/>
                <w:szCs w:val="21"/>
              </w:rPr>
            </w:pPr>
            <w:r>
              <w:rPr>
                <w:rFonts w:hint="eastAsia" w:ascii="Times New Roman" w:hAnsi="Times New Roman" w:cs="Times New Roman"/>
                <w:b w:val="0"/>
                <w:bCs w:val="0"/>
                <w:sz w:val="21"/>
                <w:szCs w:val="22"/>
                <w:lang w:val="en-US" w:eastAsia="zh-CN"/>
              </w:rPr>
              <w:t>综合考虑，修正容积率绩效指标为“按照附录B计算工厂容积率，建设项目用地应符合国家现行有关建设项目用地控制指标</w:t>
            </w:r>
            <w:bookmarkStart w:id="0" w:name="_GoBack"/>
            <w:bookmarkEnd w:id="0"/>
            <w:r>
              <w:rPr>
                <w:rFonts w:hint="eastAsia" w:ascii="Times New Roman" w:hAnsi="Times New Roman" w:cs="Times New Roman"/>
                <w:b w:val="0"/>
                <w:bCs w:val="0"/>
                <w:sz w:val="21"/>
                <w:szCs w:val="22"/>
                <w:lang w:val="en-US" w:eastAsia="zh-CN"/>
              </w:rPr>
              <w:t>的规定，容积率应符合项目属地工业项目控制指标和相关规划中的要求，容积率≥0.7。”</w:t>
            </w:r>
          </w:p>
        </w:tc>
        <w:tc>
          <w:tcPr>
            <w:tcW w:w="1477" w:type="dxa"/>
            <w:noWrap/>
            <w:vAlign w:val="center"/>
          </w:tcPr>
          <w:p>
            <w:pPr>
              <w:ind w:firstLine="29" w:firstLineChars="14"/>
              <w:jc w:val="center"/>
              <w:rPr>
                <w:rFonts w:hint="default" w:ascii="Times New Roman" w:hAnsi="Times New Roman" w:eastAsia="宋体" w:cs="Times New Roman"/>
                <w:sz w:val="21"/>
                <w:szCs w:val="21"/>
              </w:rPr>
            </w:pPr>
          </w:p>
        </w:tc>
      </w:tr>
    </w:tbl>
    <w:p>
      <w:pPr>
        <w:rPr>
          <w:rFonts w:hint="default" w:eastAsia="宋体"/>
          <w:szCs w:val="21"/>
          <w:lang w:val="en-US" w:eastAsia="zh-CN"/>
        </w:rPr>
      </w:pPr>
      <w:r>
        <w:rPr>
          <w:szCs w:val="21"/>
        </w:rPr>
        <w:br w:type="textWrapping" w:clear="all"/>
      </w:r>
      <w:r>
        <w:rPr>
          <w:szCs w:val="21"/>
        </w:rPr>
        <w:t>说明</w:t>
      </w:r>
      <w:r>
        <w:rPr>
          <w:rFonts w:hint="eastAsia"/>
          <w:szCs w:val="21"/>
        </w:rPr>
        <w:t>（</w:t>
      </w:r>
      <w:r>
        <w:rPr>
          <w:szCs w:val="21"/>
        </w:rPr>
        <w:t>1</w:t>
      </w:r>
      <w:r>
        <w:rPr>
          <w:rFonts w:hint="eastAsia"/>
          <w:szCs w:val="21"/>
        </w:rPr>
        <w:t>）</w:t>
      </w:r>
      <w:r>
        <w:rPr>
          <w:rFonts w:hint="eastAsia"/>
          <w:szCs w:val="21"/>
          <w:lang w:val="en-US" w:eastAsia="zh-CN"/>
        </w:rPr>
        <w:t>预审会收到专家</w:t>
      </w:r>
      <w:r>
        <w:rPr>
          <w:rFonts w:hint="eastAsia"/>
          <w:szCs w:val="21"/>
        </w:rPr>
        <w:t>建议或意见</w:t>
      </w:r>
      <w:r>
        <w:rPr>
          <w:rFonts w:hint="eastAsia"/>
          <w:szCs w:val="21"/>
          <w:lang w:eastAsia="zh-CN"/>
        </w:rPr>
        <w:t>：</w:t>
      </w:r>
      <w:r>
        <w:rPr>
          <w:rFonts w:hint="eastAsia"/>
          <w:szCs w:val="21"/>
          <w:lang w:val="en-US" w:eastAsia="zh-CN"/>
        </w:rPr>
        <w:t>15条；</w:t>
      </w:r>
    </w:p>
    <w:p>
      <w:pPr>
        <w:rPr>
          <w:szCs w:val="21"/>
        </w:rPr>
      </w:pPr>
      <w:r>
        <w:rPr>
          <w:szCs w:val="21"/>
        </w:rPr>
        <w:t xml:space="preserve">    </w:t>
      </w:r>
      <w:r>
        <w:rPr>
          <w:rFonts w:hint="eastAsia"/>
          <w:szCs w:val="21"/>
        </w:rPr>
        <w:t>（</w:t>
      </w:r>
      <w:r>
        <w:rPr>
          <w:szCs w:val="21"/>
        </w:rPr>
        <w:t>2</w:t>
      </w:r>
      <w:r>
        <w:rPr>
          <w:rFonts w:hint="eastAsia"/>
          <w:szCs w:val="21"/>
        </w:rPr>
        <w:t>）</w:t>
      </w:r>
      <w:r>
        <w:rPr>
          <w:rFonts w:hint="eastAsia"/>
          <w:szCs w:val="21"/>
          <w:lang w:val="en-US" w:eastAsia="zh-CN"/>
        </w:rPr>
        <w:t>意见采纳并处理：15条。</w:t>
      </w:r>
    </w:p>
    <w:p>
      <w:pPr>
        <w:rPr>
          <w:rFonts w:ascii="宋体" w:hAnsi="宋体" w:cs="Arial"/>
          <w:szCs w:val="21"/>
        </w:rPr>
      </w:pPr>
    </w:p>
    <w:p>
      <w:pPr>
        <w:rPr>
          <w:rFonts w:ascii="宋体" w:hAnsi="宋体" w:cs="Arial"/>
          <w:szCs w:val="21"/>
        </w:rPr>
      </w:pPr>
    </w:p>
    <w:sectPr>
      <w:headerReference r:id="rId3" w:type="default"/>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ageBreakBefore/>
      <w:spacing w:before="240" w:beforeLines="100" w:after="120" w:afterLines="50"/>
      <w:jc w:val="center"/>
      <w:rPr>
        <w:rFonts w:eastAsia="黑体"/>
        <w:sz w:val="28"/>
      </w:rPr>
    </w:pPr>
    <w:r>
      <w:rPr>
        <w:rFonts w:hint="eastAsia" w:eastAsia="黑体"/>
        <w:sz w:val="28"/>
      </w:rPr>
      <w:t>标准</w:t>
    </w:r>
    <w:r>
      <w:rPr>
        <w:rFonts w:hint="eastAsia" w:eastAsia="黑体"/>
        <w:sz w:val="28"/>
        <w:lang w:val="en-US" w:eastAsia="zh-CN"/>
      </w:rPr>
      <w:t>预审</w:t>
    </w:r>
    <w:r>
      <w:rPr>
        <w:rFonts w:hint="eastAsia" w:eastAsia="黑体"/>
        <w:sz w:val="28"/>
      </w:rPr>
      <w:t>稿意见汇总处理表</w:t>
    </w:r>
  </w:p>
  <w:p>
    <w:pPr>
      <w:jc w:val="left"/>
      <w:rPr>
        <w:szCs w:val="21"/>
      </w:rPr>
    </w:pPr>
    <w:r>
      <w:rPr>
        <w:szCs w:val="21"/>
      </w:rPr>
      <w:t>标准项目名称：</w:t>
    </w:r>
    <w:r>
      <w:rPr>
        <w:rFonts w:ascii="宋体" w:hAnsi="宋体" w:cs="Arial"/>
        <w:szCs w:val="21"/>
      </w:rPr>
      <w:t>稀土</w:t>
    </w:r>
    <w:r>
      <w:rPr>
        <w:rFonts w:hint="eastAsia" w:ascii="宋体" w:hAnsi="宋体" w:cs="Arial"/>
        <w:szCs w:val="21"/>
        <w:lang w:val="en-US" w:eastAsia="zh-CN"/>
      </w:rPr>
      <w:t>荧光粉</w:t>
    </w:r>
    <w:r>
      <w:rPr>
        <w:rFonts w:ascii="宋体" w:hAnsi="宋体" w:cs="Arial"/>
        <w:szCs w:val="21"/>
      </w:rPr>
      <w:t>绿色工厂评价</w:t>
    </w:r>
    <w:r>
      <w:rPr>
        <w:rFonts w:hint="eastAsia" w:ascii="宋体" w:hAnsi="宋体" w:cs="Arial"/>
        <w:szCs w:val="21"/>
        <w:lang w:val="en-US" w:eastAsia="zh-CN"/>
      </w:rPr>
      <w:t>要求</w:t>
    </w:r>
    <w:r>
      <w:rPr>
        <w:rFonts w:hint="eastAsia"/>
        <w:szCs w:val="21"/>
      </w:rPr>
      <w:t xml:space="preserve"> </w:t>
    </w:r>
    <w:r>
      <w:rPr>
        <w:szCs w:val="21"/>
      </w:rPr>
      <w:t xml:space="preserve">                                                                           </w:t>
    </w:r>
    <w:r>
      <w:tab/>
    </w:r>
    <w:r>
      <w:rPr>
        <w:highlight w:val="none"/>
      </w:rPr>
      <w:tab/>
    </w:r>
    <w:r>
      <w:rPr>
        <w:szCs w:val="21"/>
        <w:highlight w:val="none"/>
      </w:rPr>
      <w:t>共</w:t>
    </w:r>
    <w:r>
      <w:rPr>
        <w:rFonts w:hint="eastAsia"/>
        <w:szCs w:val="21"/>
        <w:highlight w:val="none"/>
        <w:lang w:val="en-US" w:eastAsia="zh-CN"/>
      </w:rPr>
      <w:t>6</w:t>
    </w:r>
    <w:r>
      <w:rPr>
        <w:szCs w:val="21"/>
        <w:highlight w:val="none"/>
      </w:rPr>
      <w:t>页 第</w:t>
    </w:r>
    <w:r>
      <w:rPr>
        <w:szCs w:val="21"/>
        <w:highlight w:val="none"/>
      </w:rPr>
      <w:fldChar w:fldCharType="begin"/>
    </w:r>
    <w:r>
      <w:rPr>
        <w:szCs w:val="21"/>
        <w:highlight w:val="none"/>
      </w:rPr>
      <w:instrText xml:space="preserve"> PAGE   \* MERGEFORMAT </w:instrText>
    </w:r>
    <w:r>
      <w:rPr>
        <w:szCs w:val="21"/>
        <w:highlight w:val="none"/>
      </w:rPr>
      <w:fldChar w:fldCharType="separate"/>
    </w:r>
    <w:r>
      <w:rPr>
        <w:szCs w:val="21"/>
        <w:highlight w:val="none"/>
      </w:rPr>
      <w:t>1</w:t>
    </w:r>
    <w:r>
      <w:rPr>
        <w:szCs w:val="21"/>
        <w:highlight w:val="none"/>
      </w:rPr>
      <w:fldChar w:fldCharType="end"/>
    </w:r>
    <w:r>
      <w:rPr>
        <w:szCs w:val="21"/>
        <w:highlight w:val="none"/>
      </w:rPr>
      <w:t>页</w:t>
    </w:r>
  </w:p>
  <w:p>
    <w:r>
      <w:rPr>
        <w:szCs w:val="21"/>
      </w:rPr>
      <w:t>标准项目负责起草单位：</w:t>
    </w:r>
    <w:r>
      <w:rPr>
        <w:rFonts w:hint="eastAsia" w:ascii="宋体" w:hAnsi="宋体" w:cs="Arial"/>
        <w:szCs w:val="21"/>
        <w:lang w:val="en-US" w:eastAsia="zh-CN"/>
      </w:rPr>
      <w:t>江苏博睿光电</w:t>
    </w:r>
    <w:r>
      <w:rPr>
        <w:rFonts w:ascii="宋体" w:hAnsi="宋体" w:cs="Arial"/>
        <w:szCs w:val="21"/>
      </w:rPr>
      <w:t>股份有限公司</w:t>
    </w:r>
    <w:r>
      <w:rPr>
        <w:szCs w:val="21"/>
      </w:rPr>
      <w:tab/>
    </w:r>
    <w:r>
      <w:rPr>
        <w:szCs w:val="21"/>
      </w:rPr>
      <w:tab/>
    </w:r>
    <w:r>
      <w:rPr>
        <w:szCs w:val="21"/>
      </w:rPr>
      <w:tab/>
    </w:r>
    <w:r>
      <w:rPr>
        <w:szCs w:val="21"/>
      </w:rPr>
      <w:tab/>
    </w:r>
    <w:r>
      <w:rPr>
        <w:szCs w:val="21"/>
      </w:rPr>
      <w:tab/>
    </w:r>
    <w:r>
      <w:rPr>
        <w:szCs w:val="21"/>
      </w:rPr>
      <w:t xml:space="preserve">                                                              </w:t>
    </w:r>
    <w:r>
      <w:rPr>
        <w:rFonts w:ascii="宋体" w:hAnsi="宋体" w:cs="Arial"/>
        <w:szCs w:val="21"/>
      </w:rPr>
      <w:t>承办人：</w:t>
    </w:r>
    <w:r>
      <w:rPr>
        <w:rFonts w:hint="eastAsia" w:ascii="宋体" w:hAnsi="宋体" w:cs="Arial"/>
        <w:szCs w:val="21"/>
        <w:lang w:val="en-US" w:eastAsia="zh-CN"/>
      </w:rPr>
      <w:t>吴梅</w:t>
    </w:r>
    <w:r>
      <w:t xml:space="preserve"> </w:t>
    </w:r>
  </w:p>
  <w:p>
    <w:pPr>
      <w:rPr>
        <w:szCs w:val="21"/>
      </w:rPr>
    </w:pPr>
    <w:r>
      <w:rPr>
        <w:szCs w:val="21"/>
      </w:rPr>
      <w:t>电  话：</w:t>
    </w:r>
    <w:r>
      <w:rPr>
        <w:rFonts w:hint="eastAsia" w:ascii="宋体" w:hAnsi="宋体" w:cs="Arial"/>
        <w:szCs w:val="21"/>
        <w:lang w:val="en-US" w:eastAsia="zh-CN"/>
      </w:rPr>
      <w:t>梁超 13951086127</w:t>
    </w:r>
    <w:r>
      <w:rPr>
        <w:rFonts w:ascii="宋体" w:hAnsi="宋体" w:cs="Arial"/>
        <w:szCs w:val="21"/>
      </w:rPr>
      <w:t xml:space="preserve"> </w:t>
    </w:r>
    <w:r>
      <w:rPr>
        <w:rFonts w:hint="eastAsia" w:ascii="宋体" w:hAnsi="宋体" w:cs="Arial"/>
        <w:szCs w:val="21"/>
        <w:lang w:val="en-US" w:eastAsia="zh-CN"/>
      </w:rPr>
      <w:t>吴梅 13776574751</w:t>
    </w:r>
    <w:r>
      <w:rPr>
        <w:szCs w:val="21"/>
      </w:rPr>
      <w:t xml:space="preserve"> </w:t>
    </w:r>
    <w:r>
      <w:rPr>
        <w:szCs w:val="21"/>
      </w:rPr>
      <w:tab/>
    </w:r>
    <w:r>
      <w:rPr>
        <w:szCs w:val="21"/>
      </w:rPr>
      <w:tab/>
    </w:r>
    <w:r>
      <w:rPr>
        <w:szCs w:val="21"/>
      </w:rPr>
      <w:tab/>
    </w:r>
    <w:r>
      <w:rPr>
        <w:szCs w:val="21"/>
      </w:rPr>
      <w:tab/>
    </w:r>
    <w:r>
      <w:rPr>
        <w:szCs w:val="21"/>
      </w:rPr>
      <w:tab/>
    </w:r>
    <w:r>
      <w:rPr>
        <w:szCs w:val="21"/>
      </w:rPr>
      <w:t xml:space="preserve">                                                         202</w:t>
    </w:r>
    <w:r>
      <w:rPr>
        <w:rFonts w:hint="eastAsia"/>
        <w:szCs w:val="21"/>
        <w:lang w:val="en-US" w:eastAsia="zh-CN"/>
      </w:rPr>
      <w:t>3</w:t>
    </w:r>
    <w:r>
      <w:rPr>
        <w:szCs w:val="21"/>
      </w:rPr>
      <w:t xml:space="preserve">年 </w:t>
    </w:r>
    <w:r>
      <w:rPr>
        <w:rFonts w:hint="eastAsia"/>
        <w:szCs w:val="21"/>
        <w:lang w:val="en-US" w:eastAsia="zh-CN"/>
      </w:rPr>
      <w:t>4</w:t>
    </w:r>
    <w:r>
      <w:rPr>
        <w:szCs w:val="21"/>
      </w:rPr>
      <w:t>月</w:t>
    </w:r>
    <w:r>
      <w:rPr>
        <w:rFonts w:hint="eastAsia"/>
        <w:szCs w:val="21"/>
        <w:lang w:val="en-US" w:eastAsia="zh-CN"/>
      </w:rPr>
      <w:t>10</w:t>
    </w:r>
    <w:r>
      <w:rPr>
        <w:szCs w:val="21"/>
      </w:rPr>
      <w:t>日填写</w:t>
    </w:r>
  </w:p>
  <w:p>
    <w:pPr>
      <w:rPr>
        <w:szCs w:val="21"/>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0"/>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xODNkMjM3YmUyNmUxOTQwODhjN2NmMjg5YThhODcifQ=="/>
  </w:docVars>
  <w:rsids>
    <w:rsidRoot w:val="00172A27"/>
    <w:rsid w:val="00020224"/>
    <w:rsid w:val="00047173"/>
    <w:rsid w:val="00067736"/>
    <w:rsid w:val="0008158F"/>
    <w:rsid w:val="00084796"/>
    <w:rsid w:val="000939C9"/>
    <w:rsid w:val="000979E3"/>
    <w:rsid w:val="000B4D55"/>
    <w:rsid w:val="000B6A5A"/>
    <w:rsid w:val="000C3EFA"/>
    <w:rsid w:val="000E0D64"/>
    <w:rsid w:val="000E3FAB"/>
    <w:rsid w:val="000F2106"/>
    <w:rsid w:val="000F228E"/>
    <w:rsid w:val="0010451B"/>
    <w:rsid w:val="001105B5"/>
    <w:rsid w:val="00113A07"/>
    <w:rsid w:val="00117BC7"/>
    <w:rsid w:val="001278D9"/>
    <w:rsid w:val="00150ED9"/>
    <w:rsid w:val="0017097A"/>
    <w:rsid w:val="00171ABB"/>
    <w:rsid w:val="00172A27"/>
    <w:rsid w:val="00180238"/>
    <w:rsid w:val="001B1666"/>
    <w:rsid w:val="001B5FD8"/>
    <w:rsid w:val="001B7DE1"/>
    <w:rsid w:val="001C2188"/>
    <w:rsid w:val="001F18CB"/>
    <w:rsid w:val="0021489E"/>
    <w:rsid w:val="00216202"/>
    <w:rsid w:val="00226C75"/>
    <w:rsid w:val="00260D4D"/>
    <w:rsid w:val="00261080"/>
    <w:rsid w:val="0026693A"/>
    <w:rsid w:val="0027312F"/>
    <w:rsid w:val="0027413D"/>
    <w:rsid w:val="0029611E"/>
    <w:rsid w:val="002A22B7"/>
    <w:rsid w:val="002D507E"/>
    <w:rsid w:val="002D5108"/>
    <w:rsid w:val="002E013E"/>
    <w:rsid w:val="003448CD"/>
    <w:rsid w:val="00347B03"/>
    <w:rsid w:val="00352C88"/>
    <w:rsid w:val="00354B3F"/>
    <w:rsid w:val="00361131"/>
    <w:rsid w:val="00365413"/>
    <w:rsid w:val="003840CF"/>
    <w:rsid w:val="003A6237"/>
    <w:rsid w:val="003B4C53"/>
    <w:rsid w:val="003B4E2C"/>
    <w:rsid w:val="003C1174"/>
    <w:rsid w:val="003E1CE7"/>
    <w:rsid w:val="003E6697"/>
    <w:rsid w:val="003E6FB4"/>
    <w:rsid w:val="004010EC"/>
    <w:rsid w:val="00404F28"/>
    <w:rsid w:val="00411287"/>
    <w:rsid w:val="004133E0"/>
    <w:rsid w:val="00420E9F"/>
    <w:rsid w:val="00430D16"/>
    <w:rsid w:val="00432A2C"/>
    <w:rsid w:val="00432C1B"/>
    <w:rsid w:val="0043403A"/>
    <w:rsid w:val="00456E4D"/>
    <w:rsid w:val="00471F89"/>
    <w:rsid w:val="0048398F"/>
    <w:rsid w:val="00495B05"/>
    <w:rsid w:val="004A4D7C"/>
    <w:rsid w:val="004B02E8"/>
    <w:rsid w:val="004C1473"/>
    <w:rsid w:val="00503D69"/>
    <w:rsid w:val="00511D6E"/>
    <w:rsid w:val="005134DB"/>
    <w:rsid w:val="00535966"/>
    <w:rsid w:val="005372FC"/>
    <w:rsid w:val="00555A76"/>
    <w:rsid w:val="0055750D"/>
    <w:rsid w:val="005755B7"/>
    <w:rsid w:val="00576CF2"/>
    <w:rsid w:val="00592240"/>
    <w:rsid w:val="005E78BF"/>
    <w:rsid w:val="005F6A5D"/>
    <w:rsid w:val="00601C80"/>
    <w:rsid w:val="00603C0A"/>
    <w:rsid w:val="0061565D"/>
    <w:rsid w:val="00621DF2"/>
    <w:rsid w:val="006240CF"/>
    <w:rsid w:val="0064497F"/>
    <w:rsid w:val="006543FB"/>
    <w:rsid w:val="0066218A"/>
    <w:rsid w:val="006623FC"/>
    <w:rsid w:val="006636C4"/>
    <w:rsid w:val="00670F1F"/>
    <w:rsid w:val="00680F97"/>
    <w:rsid w:val="006819AA"/>
    <w:rsid w:val="006928F9"/>
    <w:rsid w:val="006929A6"/>
    <w:rsid w:val="006959CB"/>
    <w:rsid w:val="006A6266"/>
    <w:rsid w:val="006B51FA"/>
    <w:rsid w:val="006C772F"/>
    <w:rsid w:val="006D0B3A"/>
    <w:rsid w:val="006E0141"/>
    <w:rsid w:val="006E12DE"/>
    <w:rsid w:val="006E2222"/>
    <w:rsid w:val="006E2F41"/>
    <w:rsid w:val="006E3DF1"/>
    <w:rsid w:val="00702454"/>
    <w:rsid w:val="00721803"/>
    <w:rsid w:val="007227A2"/>
    <w:rsid w:val="00722DD4"/>
    <w:rsid w:val="0073413F"/>
    <w:rsid w:val="007375A8"/>
    <w:rsid w:val="007732AC"/>
    <w:rsid w:val="007A6D79"/>
    <w:rsid w:val="007B0B04"/>
    <w:rsid w:val="007C06DA"/>
    <w:rsid w:val="007C15AF"/>
    <w:rsid w:val="007D1CC6"/>
    <w:rsid w:val="007D57B5"/>
    <w:rsid w:val="007D59B5"/>
    <w:rsid w:val="007E049F"/>
    <w:rsid w:val="007E215B"/>
    <w:rsid w:val="007F1083"/>
    <w:rsid w:val="00803B5B"/>
    <w:rsid w:val="00824D50"/>
    <w:rsid w:val="0083601C"/>
    <w:rsid w:val="00837356"/>
    <w:rsid w:val="008476AD"/>
    <w:rsid w:val="008558D7"/>
    <w:rsid w:val="00884DFA"/>
    <w:rsid w:val="00894CB7"/>
    <w:rsid w:val="00895AC2"/>
    <w:rsid w:val="008D40FA"/>
    <w:rsid w:val="008D7C70"/>
    <w:rsid w:val="008E30AA"/>
    <w:rsid w:val="008E3FC2"/>
    <w:rsid w:val="008E48F5"/>
    <w:rsid w:val="008F5042"/>
    <w:rsid w:val="00905EEE"/>
    <w:rsid w:val="00906A72"/>
    <w:rsid w:val="00913118"/>
    <w:rsid w:val="00921330"/>
    <w:rsid w:val="009226DB"/>
    <w:rsid w:val="00922EB4"/>
    <w:rsid w:val="009364F0"/>
    <w:rsid w:val="00944CDC"/>
    <w:rsid w:val="00966640"/>
    <w:rsid w:val="00982656"/>
    <w:rsid w:val="0099137D"/>
    <w:rsid w:val="009A7B61"/>
    <w:rsid w:val="009C1092"/>
    <w:rsid w:val="009D2E5F"/>
    <w:rsid w:val="009D3331"/>
    <w:rsid w:val="009D3406"/>
    <w:rsid w:val="009E3830"/>
    <w:rsid w:val="00A21F73"/>
    <w:rsid w:val="00A309EC"/>
    <w:rsid w:val="00A4035E"/>
    <w:rsid w:val="00A40FF7"/>
    <w:rsid w:val="00A5321A"/>
    <w:rsid w:val="00A837F8"/>
    <w:rsid w:val="00AA1E1A"/>
    <w:rsid w:val="00AA2463"/>
    <w:rsid w:val="00AB0AB0"/>
    <w:rsid w:val="00AB0E11"/>
    <w:rsid w:val="00AB4E7E"/>
    <w:rsid w:val="00AE3EA9"/>
    <w:rsid w:val="00AE5E73"/>
    <w:rsid w:val="00AF1A26"/>
    <w:rsid w:val="00B14550"/>
    <w:rsid w:val="00B2234D"/>
    <w:rsid w:val="00B2288F"/>
    <w:rsid w:val="00B41925"/>
    <w:rsid w:val="00B503D0"/>
    <w:rsid w:val="00B642D4"/>
    <w:rsid w:val="00B925CF"/>
    <w:rsid w:val="00B941DF"/>
    <w:rsid w:val="00BA678D"/>
    <w:rsid w:val="00BD373D"/>
    <w:rsid w:val="00BF7655"/>
    <w:rsid w:val="00C02D93"/>
    <w:rsid w:val="00C04EA9"/>
    <w:rsid w:val="00C0553E"/>
    <w:rsid w:val="00C2342C"/>
    <w:rsid w:val="00C26C6D"/>
    <w:rsid w:val="00C334D9"/>
    <w:rsid w:val="00C34903"/>
    <w:rsid w:val="00C47514"/>
    <w:rsid w:val="00C5544F"/>
    <w:rsid w:val="00C62C11"/>
    <w:rsid w:val="00C71351"/>
    <w:rsid w:val="00C87949"/>
    <w:rsid w:val="00C91BB8"/>
    <w:rsid w:val="00CA0312"/>
    <w:rsid w:val="00CA0417"/>
    <w:rsid w:val="00D21BBB"/>
    <w:rsid w:val="00D32D92"/>
    <w:rsid w:val="00D9050E"/>
    <w:rsid w:val="00DB70DA"/>
    <w:rsid w:val="00DD1EBC"/>
    <w:rsid w:val="00E005AB"/>
    <w:rsid w:val="00E02937"/>
    <w:rsid w:val="00E1005E"/>
    <w:rsid w:val="00E1469E"/>
    <w:rsid w:val="00E2492C"/>
    <w:rsid w:val="00E24C65"/>
    <w:rsid w:val="00E275C1"/>
    <w:rsid w:val="00E45200"/>
    <w:rsid w:val="00E50B04"/>
    <w:rsid w:val="00E5121C"/>
    <w:rsid w:val="00E61BD1"/>
    <w:rsid w:val="00E75C1B"/>
    <w:rsid w:val="00E91F72"/>
    <w:rsid w:val="00E93239"/>
    <w:rsid w:val="00EA2C5B"/>
    <w:rsid w:val="00EB771E"/>
    <w:rsid w:val="00EC65C0"/>
    <w:rsid w:val="00F01863"/>
    <w:rsid w:val="00F14BF9"/>
    <w:rsid w:val="00F40C00"/>
    <w:rsid w:val="00F42849"/>
    <w:rsid w:val="00F4385C"/>
    <w:rsid w:val="00F448D3"/>
    <w:rsid w:val="00F5237D"/>
    <w:rsid w:val="00FA1DFD"/>
    <w:rsid w:val="00FB1B21"/>
    <w:rsid w:val="00FB6976"/>
    <w:rsid w:val="00FC6EFE"/>
    <w:rsid w:val="00FD75B2"/>
    <w:rsid w:val="00FE2F7C"/>
    <w:rsid w:val="00FE6F63"/>
    <w:rsid w:val="00FF1C30"/>
    <w:rsid w:val="03D46DF9"/>
    <w:rsid w:val="055E7589"/>
    <w:rsid w:val="05B07B95"/>
    <w:rsid w:val="05ED2993"/>
    <w:rsid w:val="06EE6E01"/>
    <w:rsid w:val="07E67AA9"/>
    <w:rsid w:val="07FA24DA"/>
    <w:rsid w:val="0A123FF2"/>
    <w:rsid w:val="0A2C3F5D"/>
    <w:rsid w:val="0A96100B"/>
    <w:rsid w:val="0BED65BB"/>
    <w:rsid w:val="0F446BCD"/>
    <w:rsid w:val="11303223"/>
    <w:rsid w:val="11F32FD4"/>
    <w:rsid w:val="137144B2"/>
    <w:rsid w:val="1919458B"/>
    <w:rsid w:val="1A0379A9"/>
    <w:rsid w:val="1A2A6CF9"/>
    <w:rsid w:val="202E154D"/>
    <w:rsid w:val="211B1576"/>
    <w:rsid w:val="25692709"/>
    <w:rsid w:val="2CE45BF4"/>
    <w:rsid w:val="2E830BDD"/>
    <w:rsid w:val="2F65708C"/>
    <w:rsid w:val="2F815DA9"/>
    <w:rsid w:val="30CC363B"/>
    <w:rsid w:val="30EE428B"/>
    <w:rsid w:val="31C01662"/>
    <w:rsid w:val="31C04FAC"/>
    <w:rsid w:val="31EF569E"/>
    <w:rsid w:val="337309AD"/>
    <w:rsid w:val="339F3453"/>
    <w:rsid w:val="33AF5B15"/>
    <w:rsid w:val="33D657DB"/>
    <w:rsid w:val="35AE1066"/>
    <w:rsid w:val="38813CD8"/>
    <w:rsid w:val="38834137"/>
    <w:rsid w:val="39C8663B"/>
    <w:rsid w:val="3A7D4A18"/>
    <w:rsid w:val="3AA96340"/>
    <w:rsid w:val="3CD17143"/>
    <w:rsid w:val="3E634484"/>
    <w:rsid w:val="3E9E2C26"/>
    <w:rsid w:val="40E56CEB"/>
    <w:rsid w:val="412E347A"/>
    <w:rsid w:val="424C1392"/>
    <w:rsid w:val="43FD7118"/>
    <w:rsid w:val="457C06A6"/>
    <w:rsid w:val="45AA3EA6"/>
    <w:rsid w:val="465C0AFD"/>
    <w:rsid w:val="46DC3AA0"/>
    <w:rsid w:val="4787561A"/>
    <w:rsid w:val="483D0FD7"/>
    <w:rsid w:val="4CA54E2E"/>
    <w:rsid w:val="4CC138D1"/>
    <w:rsid w:val="4CD93730"/>
    <w:rsid w:val="4DBA2817"/>
    <w:rsid w:val="50837049"/>
    <w:rsid w:val="51096FA1"/>
    <w:rsid w:val="511850B7"/>
    <w:rsid w:val="5243779A"/>
    <w:rsid w:val="52833F94"/>
    <w:rsid w:val="5353149B"/>
    <w:rsid w:val="559B3DFE"/>
    <w:rsid w:val="56443B98"/>
    <w:rsid w:val="566969BB"/>
    <w:rsid w:val="56C400C8"/>
    <w:rsid w:val="57BE419E"/>
    <w:rsid w:val="57EA25CF"/>
    <w:rsid w:val="5BA15183"/>
    <w:rsid w:val="5BAD49DB"/>
    <w:rsid w:val="5BFF605B"/>
    <w:rsid w:val="5D550B29"/>
    <w:rsid w:val="608A1258"/>
    <w:rsid w:val="60CC5038"/>
    <w:rsid w:val="61CB38B2"/>
    <w:rsid w:val="625B3AA3"/>
    <w:rsid w:val="626969C7"/>
    <w:rsid w:val="62DB43B7"/>
    <w:rsid w:val="63502F65"/>
    <w:rsid w:val="643E4B6F"/>
    <w:rsid w:val="65154E9D"/>
    <w:rsid w:val="657A684D"/>
    <w:rsid w:val="69AC5706"/>
    <w:rsid w:val="6A0E5DD2"/>
    <w:rsid w:val="6DDA25B0"/>
    <w:rsid w:val="6DDA2BE7"/>
    <w:rsid w:val="72966949"/>
    <w:rsid w:val="738E20E0"/>
    <w:rsid w:val="738E253C"/>
    <w:rsid w:val="73E36B72"/>
    <w:rsid w:val="74A44C37"/>
    <w:rsid w:val="74B3375D"/>
    <w:rsid w:val="771B7123"/>
    <w:rsid w:val="77F15DA9"/>
    <w:rsid w:val="78621F25"/>
    <w:rsid w:val="7E07426F"/>
    <w:rsid w:val="7F805F1A"/>
    <w:rsid w:val="7FC917C1"/>
    <w:rsid w:val="7FCF2FC5"/>
    <w:rsid w:val="D7DF9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7"/>
    <w:qFormat/>
    <w:uiPriority w:val="9"/>
    <w:pPr>
      <w:keepNext/>
      <w:keepLines/>
      <w:spacing w:beforeLines="100" w:afterLines="100"/>
      <w:outlineLvl w:val="0"/>
    </w:pPr>
    <w:rPr>
      <w:rFonts w:ascii="黑体" w:hAnsi="Calibri" w:eastAsia="黑体"/>
      <w:bCs/>
      <w:kern w:val="44"/>
      <w:sz w:val="20"/>
      <w:szCs w:val="44"/>
    </w:rPr>
  </w:style>
  <w:style w:type="paragraph" w:styleId="4">
    <w:name w:val="heading 3"/>
    <w:basedOn w:val="1"/>
    <w:next w:val="1"/>
    <w:link w:val="31"/>
    <w:qFormat/>
    <w:uiPriority w:val="99"/>
    <w:pPr>
      <w:widowControl/>
      <w:spacing w:before="100" w:beforeAutospacing="1" w:after="100" w:afterAutospacing="1"/>
      <w:jc w:val="left"/>
      <w:outlineLvl w:val="2"/>
    </w:pPr>
    <w:rPr>
      <w:rFonts w:ascii="宋体" w:hAnsi="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style>
  <w:style w:type="paragraph" w:styleId="5">
    <w:name w:val="annotation text"/>
    <w:basedOn w:val="1"/>
    <w:link w:val="33"/>
    <w:unhideWhenUsed/>
    <w:qFormat/>
    <w:uiPriority w:val="99"/>
    <w:pPr>
      <w:spacing w:line="360" w:lineRule="auto"/>
      <w:jc w:val="left"/>
    </w:pPr>
    <w:rPr>
      <w:rFonts w:ascii="宋体" w:hAnsi="宋体"/>
      <w:szCs w:val="24"/>
    </w:rPr>
  </w:style>
  <w:style w:type="paragraph" w:styleId="6">
    <w:name w:val="Balloon Text"/>
    <w:basedOn w:val="1"/>
    <w:link w:val="36"/>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link w:val="35"/>
    <w:qFormat/>
    <w:uiPriority w:val="0"/>
    <w:pPr>
      <w:spacing w:line="360" w:lineRule="auto"/>
      <w:ind w:firstLine="480" w:firstLineChars="200"/>
    </w:pPr>
    <w:rPr>
      <w:rFonts w:ascii="宋体" w:hAnsi="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semiHidden/>
    <w:unhideWhenUsed/>
    <w:qFormat/>
    <w:uiPriority w:val="99"/>
    <w:rPr>
      <w:color w:val="0000FF"/>
      <w:u w:val="single"/>
    </w:rPr>
  </w:style>
  <w:style w:type="character" w:styleId="15">
    <w:name w:val="annotation reference"/>
    <w:unhideWhenUsed/>
    <w:qFormat/>
    <w:uiPriority w:val="99"/>
    <w:rPr>
      <w:sz w:val="21"/>
      <w:szCs w:val="21"/>
    </w:rPr>
  </w:style>
  <w:style w:type="paragraph" w:customStyle="1" w:styleId="16">
    <w:name w:val="章标题"/>
    <w:next w:val="1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7">
    <w:name w:val="段"/>
    <w:link w:val="30"/>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8">
    <w:name w:val="一级条标题"/>
    <w:next w:val="1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p17"/>
    <w:basedOn w:val="1"/>
    <w:qFormat/>
    <w:uiPriority w:val="0"/>
    <w:pPr>
      <w:widowControl/>
      <w:ind w:firstLine="420"/>
    </w:pPr>
    <w:rPr>
      <w:rFonts w:ascii="宋体" w:hAnsi="宋体" w:cs="宋体"/>
      <w:kern w:val="0"/>
      <w:szCs w:val="21"/>
    </w:rPr>
  </w:style>
  <w:style w:type="paragraph" w:customStyle="1" w:styleId="20">
    <w:name w:val="三级条标题"/>
    <w:basedOn w:val="21"/>
    <w:next w:val="17"/>
    <w:qFormat/>
    <w:uiPriority w:val="0"/>
    <w:pPr>
      <w:numPr>
        <w:ilvl w:val="3"/>
      </w:numPr>
      <w:outlineLvl w:val="4"/>
    </w:pPr>
  </w:style>
  <w:style w:type="paragraph" w:customStyle="1" w:styleId="21">
    <w:name w:val="二级条标题"/>
    <w:basedOn w:val="18"/>
    <w:next w:val="17"/>
    <w:qFormat/>
    <w:uiPriority w:val="0"/>
    <w:pPr>
      <w:numPr>
        <w:ilvl w:val="2"/>
      </w:numPr>
      <w:spacing w:before="50" w:after="50"/>
      <w:outlineLvl w:val="3"/>
    </w:pPr>
  </w:style>
  <w:style w:type="paragraph" w:customStyle="1" w:styleId="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2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5">
    <w:name w:val="四级条标题"/>
    <w:basedOn w:val="20"/>
    <w:next w:val="17"/>
    <w:qFormat/>
    <w:uiPriority w:val="0"/>
    <w:pPr>
      <w:numPr>
        <w:ilvl w:val="4"/>
      </w:numPr>
      <w:outlineLvl w:val="5"/>
    </w:pPr>
  </w:style>
  <w:style w:type="paragraph" w:customStyle="1" w:styleId="26">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正文表标题"/>
    <w:next w:val="17"/>
    <w:qFormat/>
    <w:uiPriority w:val="0"/>
    <w:pPr>
      <w:jc w:val="center"/>
    </w:pPr>
    <w:rPr>
      <w:rFonts w:ascii="黑体" w:hAnsi="Times New Roman" w:eastAsia="黑体" w:cs="Times New Roman"/>
      <w:lang w:val="en-US" w:eastAsia="zh-CN" w:bidi="ar-SA"/>
    </w:rPr>
  </w:style>
  <w:style w:type="paragraph" w:customStyle="1" w:styleId="28">
    <w:name w:val="五级条标题"/>
    <w:basedOn w:val="25"/>
    <w:next w:val="17"/>
    <w:qFormat/>
    <w:uiPriority w:val="0"/>
    <w:pPr>
      <w:numPr>
        <w:ilvl w:val="5"/>
      </w:numPr>
      <w:outlineLvl w:val="6"/>
    </w:pPr>
  </w:style>
  <w:style w:type="paragraph" w:customStyle="1" w:styleId="29">
    <w:name w:val="p0"/>
    <w:basedOn w:val="1"/>
    <w:qFormat/>
    <w:uiPriority w:val="0"/>
    <w:pPr>
      <w:widowControl/>
    </w:pPr>
    <w:rPr>
      <w:kern w:val="0"/>
      <w:szCs w:val="21"/>
    </w:rPr>
  </w:style>
  <w:style w:type="character" w:customStyle="1" w:styleId="30">
    <w:name w:val="段 Char"/>
    <w:link w:val="17"/>
    <w:qFormat/>
    <w:uiPriority w:val="0"/>
    <w:rPr>
      <w:rFonts w:ascii="宋体"/>
      <w:lang w:val="en-US" w:eastAsia="zh-CN" w:bidi="ar-SA"/>
    </w:rPr>
  </w:style>
  <w:style w:type="character" w:customStyle="1" w:styleId="31">
    <w:name w:val="标题 3 字符"/>
    <w:link w:val="4"/>
    <w:qFormat/>
    <w:uiPriority w:val="99"/>
    <w:rPr>
      <w:rFonts w:ascii="宋体" w:hAnsi="宋体" w:cs="宋体"/>
      <w:b/>
      <w:bCs/>
      <w:sz w:val="27"/>
      <w:szCs w:val="27"/>
    </w:rPr>
  </w:style>
  <w:style w:type="character" w:customStyle="1" w:styleId="32">
    <w:name w:val="批注文字 Char"/>
    <w:qFormat/>
    <w:uiPriority w:val="99"/>
    <w:rPr>
      <w:kern w:val="2"/>
      <w:sz w:val="21"/>
    </w:rPr>
  </w:style>
  <w:style w:type="character" w:customStyle="1" w:styleId="33">
    <w:name w:val="批注文字 字符"/>
    <w:link w:val="5"/>
    <w:qFormat/>
    <w:uiPriority w:val="99"/>
    <w:rPr>
      <w:rFonts w:ascii="宋体" w:hAnsi="宋体"/>
      <w:kern w:val="2"/>
      <w:sz w:val="21"/>
      <w:szCs w:val="24"/>
    </w:rPr>
  </w:style>
  <w:style w:type="character" w:customStyle="1" w:styleId="34">
    <w:name w:val="正文文本缩进 3 Char"/>
    <w:semiHidden/>
    <w:qFormat/>
    <w:uiPriority w:val="99"/>
    <w:rPr>
      <w:kern w:val="2"/>
      <w:sz w:val="16"/>
      <w:szCs w:val="16"/>
    </w:rPr>
  </w:style>
  <w:style w:type="character" w:customStyle="1" w:styleId="35">
    <w:name w:val="正文文本缩进 3 字符"/>
    <w:link w:val="9"/>
    <w:qFormat/>
    <w:uiPriority w:val="0"/>
    <w:rPr>
      <w:rFonts w:ascii="宋体" w:hAnsi="宋体"/>
      <w:kern w:val="2"/>
      <w:sz w:val="24"/>
      <w:szCs w:val="24"/>
    </w:rPr>
  </w:style>
  <w:style w:type="character" w:customStyle="1" w:styleId="36">
    <w:name w:val="批注框文本 字符"/>
    <w:link w:val="6"/>
    <w:semiHidden/>
    <w:qFormat/>
    <w:uiPriority w:val="99"/>
    <w:rPr>
      <w:kern w:val="2"/>
      <w:sz w:val="18"/>
      <w:szCs w:val="18"/>
    </w:rPr>
  </w:style>
  <w:style w:type="character" w:customStyle="1" w:styleId="37">
    <w:name w:val="标题 1 字符"/>
    <w:link w:val="3"/>
    <w:qFormat/>
    <w:uiPriority w:val="9"/>
    <w:rPr>
      <w:rFonts w:ascii="黑体" w:hAnsi="Calibri" w:eastAsia="黑体"/>
      <w:bCs/>
      <w:kern w:val="44"/>
      <w:szCs w:val="44"/>
    </w:rPr>
  </w:style>
  <w:style w:type="paragraph" w:styleId="38">
    <w:name w:val="List Paragraph"/>
    <w:basedOn w:val="1"/>
    <w:qFormat/>
    <w:uiPriority w:val="99"/>
    <w:pPr>
      <w:ind w:firstLine="420" w:firstLineChars="200"/>
    </w:pPr>
  </w:style>
  <w:style w:type="character" w:customStyle="1" w:styleId="39">
    <w:name w:val="15"/>
    <w:basedOn w:val="12"/>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3088</Words>
  <Characters>3381</Characters>
  <Lines>75</Lines>
  <Paragraphs>21</Paragraphs>
  <TotalTime>19</TotalTime>
  <ScaleCrop>false</ScaleCrop>
  <LinksUpToDate>false</LinksUpToDate>
  <CharactersWithSpaces>3434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2020-05-23T08:49:00Z</dcterms:created>
  <dc:creator>虔东</dc:creator>
  <cp:lastModifiedBy>頔</cp:lastModifiedBy>
  <cp:lastPrinted>2014-07-10T03:42:00Z</cp:lastPrinted>
  <dcterms:modified xsi:type="dcterms:W3CDTF">2023-04-17T01:33:05Z</dcterms:modified>
  <dc:title>标准征求意见稿意见汇总处理表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2F82E2EE860747FCB9BCFB3145771BBB</vt:lpwstr>
  </property>
</Properties>
</file>