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0" w:firstLineChars="500"/>
        <w:jc w:val="both"/>
        <w:rPr>
          <w:rFonts w:hint="eastAsia"/>
          <w:sz w:val="32"/>
          <w:szCs w:val="32"/>
          <w:lang w:val="en-US" w:eastAsia="zh-CN"/>
        </w:rPr>
      </w:pPr>
      <w:r>
        <w:rPr>
          <w:rFonts w:hint="eastAsia"/>
          <w:sz w:val="32"/>
          <w:szCs w:val="32"/>
          <w:lang w:eastAsia="zh-CN"/>
        </w:rPr>
        <w:t>《</w:t>
      </w:r>
      <w:r>
        <w:rPr>
          <w:rFonts w:hint="eastAsia"/>
          <w:sz w:val="32"/>
          <w:szCs w:val="32"/>
          <w:lang w:val="en-US" w:eastAsia="zh-CN"/>
        </w:rPr>
        <w:t>半导体封装用键合铜丝》行业标准</w:t>
      </w:r>
    </w:p>
    <w:p>
      <w:pPr>
        <w:ind w:firstLine="2560" w:firstLineChars="800"/>
        <w:jc w:val="both"/>
        <w:rPr>
          <w:rFonts w:hint="eastAsia"/>
          <w:sz w:val="32"/>
          <w:szCs w:val="32"/>
          <w:lang w:val="en-US" w:eastAsia="zh-CN"/>
        </w:rPr>
      </w:pPr>
      <w:r>
        <w:rPr>
          <w:rFonts w:hint="eastAsia"/>
          <w:sz w:val="32"/>
          <w:szCs w:val="32"/>
          <w:lang w:val="en-US" w:eastAsia="zh-CN"/>
        </w:rPr>
        <w:t>编制说明（征求意见稿）</w:t>
      </w:r>
    </w:p>
    <w:p>
      <w:pPr>
        <w:keepNext w:val="0"/>
        <w:keepLines w:val="0"/>
        <w:pageBreakBefore w:val="0"/>
        <w:widowControl w:val="0"/>
        <w:numPr>
          <w:ilvl w:val="0"/>
          <w:numId w:val="1"/>
        </w:numPr>
        <w:kinsoku/>
        <w:wordWrap/>
        <w:overflowPunct/>
        <w:topLinePunct w:val="0"/>
        <w:autoSpaceDE/>
        <w:autoSpaceDN/>
        <w:bidi w:val="0"/>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工作简况</w:t>
      </w:r>
    </w:p>
    <w:p>
      <w:pPr>
        <w:keepNext w:val="0"/>
        <w:keepLines w:val="0"/>
        <w:pageBreakBefore w:val="0"/>
        <w:widowControl w:val="0"/>
        <w:numPr>
          <w:ilvl w:val="0"/>
          <w:numId w:val="2"/>
        </w:numPr>
        <w:kinsoku/>
        <w:wordWrap/>
        <w:overflowPunct/>
        <w:topLinePunct w:val="0"/>
        <w:autoSpaceDE/>
        <w:autoSpaceDN/>
        <w:bidi w:val="0"/>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任务来源</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1.基本信息</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b w:val="0"/>
          <w:bCs w:val="0"/>
          <w:sz w:val="24"/>
          <w:szCs w:val="24"/>
          <w:lang w:val="en-US" w:eastAsia="zh-CN"/>
        </w:rPr>
        <w:t>根据</w:t>
      </w:r>
      <w:r>
        <w:rPr>
          <w:rFonts w:hint="eastAsia" w:asciiTheme="majorEastAsia" w:hAnsiTheme="majorEastAsia" w:eastAsiaTheme="majorEastAsia" w:cstheme="majorEastAsia"/>
          <w:b w:val="0"/>
          <w:bCs w:val="0"/>
          <w:i w:val="0"/>
          <w:iCs w:val="0"/>
          <w:caps w:val="0"/>
          <w:color w:val="000000"/>
          <w:spacing w:val="0"/>
          <w:sz w:val="24"/>
          <w:szCs w:val="24"/>
        </w:rPr>
        <w:t>工业和信息化部办公厅</w:t>
      </w:r>
      <w:r>
        <w:rPr>
          <w:rFonts w:hint="eastAsia" w:asciiTheme="majorEastAsia" w:hAnsiTheme="majorEastAsia" w:eastAsiaTheme="majorEastAsia" w:cstheme="majorEastAsia"/>
          <w:b w:val="0"/>
          <w:bCs w:val="0"/>
          <w:sz w:val="24"/>
          <w:szCs w:val="24"/>
          <w:lang w:val="en-US" w:eastAsia="zh-CN"/>
        </w:rPr>
        <w:t>发[2022]94号文《</w:t>
      </w:r>
      <w:r>
        <w:rPr>
          <w:rFonts w:hint="eastAsia" w:asciiTheme="majorEastAsia" w:hAnsiTheme="majorEastAsia" w:eastAsiaTheme="majorEastAsia" w:cstheme="majorEastAsia"/>
          <w:b w:val="0"/>
          <w:bCs w:val="0"/>
          <w:i w:val="0"/>
          <w:iCs w:val="0"/>
          <w:caps w:val="0"/>
          <w:color w:val="000000"/>
          <w:spacing w:val="0"/>
          <w:sz w:val="24"/>
          <w:szCs w:val="24"/>
        </w:rPr>
        <w:t>2022年第一批行业标准制修订和外文版项目计划的通知</w:t>
      </w:r>
      <w:r>
        <w:rPr>
          <w:rFonts w:hint="eastAsia" w:asciiTheme="majorEastAsia" w:hAnsiTheme="majorEastAsia" w:eastAsiaTheme="majorEastAsia" w:cstheme="majorEastAsia"/>
          <w:b w:val="0"/>
          <w:bCs w:val="0"/>
          <w:i w:val="0"/>
          <w:iCs w:val="0"/>
          <w:caps w:val="0"/>
          <w:color w:val="000000"/>
          <w:spacing w:val="0"/>
          <w:sz w:val="24"/>
          <w:szCs w:val="24"/>
          <w:lang w:eastAsia="zh-CN"/>
        </w:rPr>
        <w:t>》</w:t>
      </w:r>
      <w:r>
        <w:rPr>
          <w:rFonts w:hint="eastAsia" w:asciiTheme="majorEastAsia" w:hAnsiTheme="majorEastAsia" w:eastAsiaTheme="majorEastAsia" w:cstheme="majorEastAsia"/>
          <w:sz w:val="24"/>
          <w:szCs w:val="24"/>
          <w:lang w:val="en-US" w:eastAsia="zh-CN"/>
        </w:rPr>
        <w:t>的要求，于2022年5月至2023年11月完成YS/T678-2008</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半导体器件键合用铜丝》推荐性行业标准的修订工作。计划编号2022-0103T-YS，标准起草单位为烟台一诺电子材料有限公司，本标准由全国有色金属标准化技术委员会（SAC/TC243）提出并归口。</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（二）协助单位：</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1.主要起草单位：烟台一诺电子材料有限公司、贺利氏（招远）贵金属材料有限公司。</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①起草工作组</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烟台一诺电子材料有限公司、贺利氏（招远）贵金属材料有限公司</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②分工情况</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烟台一诺电子材料有限公司负责标准制修订工作总体协调及资料收集、编写文献小结、实验数据统计对比、编写标准各阶段草案、编制说明及相关附件工作。有色金属技术经济研究院有限责任公司负责会议的召开工作。</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其他单位主要负责提供试验方案、征集试验样品、开展试验方法验证和数据统计、参加工作会议讨论、对标准过程稿件提出修改意见等。</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（三）主要工作过程</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1.起草阶段（2022.5~2023.3）</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w:t>
      </w:r>
      <w:bookmarkStart w:id="0" w:name="_GoBack"/>
      <w:bookmarkEnd w:id="0"/>
      <w:r>
        <w:rPr>
          <w:rFonts w:hint="eastAsia" w:asciiTheme="majorEastAsia" w:hAnsiTheme="majorEastAsia" w:eastAsiaTheme="majorEastAsia" w:cstheme="majorEastAsia"/>
          <w:sz w:val="24"/>
          <w:szCs w:val="24"/>
          <w:lang w:val="en-US" w:eastAsia="zh-CN"/>
        </w:rPr>
        <w:t>调查研究过程</w:t>
      </w:r>
    </w:p>
    <w:p>
      <w:pPr>
        <w:keepNext w:val="0"/>
        <w:keepLines w:val="0"/>
        <w:pageBreakBefore w:val="0"/>
        <w:widowControl w:val="0"/>
        <w:numPr>
          <w:ilvl w:val="0"/>
          <w:numId w:val="0"/>
        </w:numPr>
        <w:kinsoku/>
        <w:wordWrap/>
        <w:overflowPunct/>
        <w:topLinePunct w:val="0"/>
        <w:autoSpaceDE/>
        <w:autoSpaceDN/>
        <w:bidi w:val="0"/>
        <w:spacing w:line="360" w:lineRule="auto"/>
        <w:ind w:firstLine="42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烟台一诺电子材料有限公司接到上级部门下达的YS/T 678-2008</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半导体器件键合用铜丝》行业标准的修订计划，首先查阅了国内外有关技术资料，组织有关技术人员及相关单位商讨</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半导体器件键合用铜丝》标准的修订相关工作，结合实际生产及应用，深入了解及分析键合铜丝和新产品的现状，提出修订意见，最后由相关人员整理编辑形成标准讨论稿。</w:t>
      </w:r>
    </w:p>
    <w:p>
      <w:pPr>
        <w:keepNext w:val="0"/>
        <w:keepLines w:val="0"/>
        <w:pageBreakBefore w:val="0"/>
        <w:widowControl w:val="0"/>
        <w:numPr>
          <w:ilvl w:val="0"/>
          <w:numId w:val="0"/>
        </w:numPr>
        <w:kinsoku/>
        <w:wordWrap/>
        <w:overflowPunct/>
        <w:topLinePunct w:val="0"/>
        <w:autoSpaceDE/>
        <w:autoSpaceDN/>
        <w:bidi w:val="0"/>
        <w:spacing w:line="360" w:lineRule="auto"/>
        <w:ind w:firstLine="42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2.立项阶段</w:t>
      </w:r>
    </w:p>
    <w:p>
      <w:pPr>
        <w:keepNext w:val="0"/>
        <w:keepLines w:val="0"/>
        <w:pageBreakBefore w:val="0"/>
        <w:widowControl w:val="0"/>
        <w:numPr>
          <w:ilvl w:val="0"/>
          <w:numId w:val="0"/>
        </w:numPr>
        <w:kinsoku/>
        <w:wordWrap/>
        <w:overflowPunct/>
        <w:topLinePunct w:val="0"/>
        <w:autoSpaceDE/>
        <w:autoSpaceDN/>
        <w:bidi w:val="0"/>
        <w:spacing w:line="360" w:lineRule="auto"/>
        <w:ind w:firstLine="42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2020年10月烟台一诺电子材料有限公司提交了</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半导体器件键合用铜丝》标准项目修订建议书、标准修订草案及标准修订立项说明等材料，全体委员会议论证结论同意</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lang w:val="en-US" w:eastAsia="zh-CN"/>
        </w:rPr>
        <w:t>半导体器件键合用铜丝》行业标准修订立项。</w:t>
      </w:r>
    </w:p>
    <w:p>
      <w:pPr>
        <w:keepNext w:val="0"/>
        <w:keepLines w:val="0"/>
        <w:pageBreakBefore w:val="0"/>
        <w:widowControl w:val="0"/>
        <w:numPr>
          <w:ilvl w:val="0"/>
          <w:numId w:val="0"/>
        </w:numPr>
        <w:kinsoku/>
        <w:wordWrap/>
        <w:overflowPunct/>
        <w:topLinePunct w:val="0"/>
        <w:autoSpaceDE/>
        <w:autoSpaceDN/>
        <w:bidi w:val="0"/>
        <w:spacing w:line="360" w:lineRule="auto"/>
        <w:ind w:firstLine="42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3.起草阶段</w:t>
      </w:r>
    </w:p>
    <w:p>
      <w:pPr>
        <w:keepNext w:val="0"/>
        <w:keepLines w:val="0"/>
        <w:pageBreakBefore w:val="0"/>
        <w:widowControl w:val="0"/>
        <w:numPr>
          <w:ilvl w:val="0"/>
          <w:numId w:val="0"/>
        </w:numPr>
        <w:kinsoku/>
        <w:wordWrap/>
        <w:overflowPunct/>
        <w:topLinePunct w:val="0"/>
        <w:autoSpaceDE/>
        <w:autoSpaceDN/>
        <w:bidi w:val="0"/>
        <w:spacing w:line="360" w:lineRule="auto"/>
        <w:ind w:firstLine="42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2022年3月烟台一诺电子材料有限公司组织有关技术人员及相关单位对修改后的草案稿进行细节处的重新研讨、审改，确定了征求意见草案稿。</w:t>
      </w:r>
    </w:p>
    <w:p>
      <w:pPr>
        <w:keepNext w:val="0"/>
        <w:keepLines w:val="0"/>
        <w:pageBreakBefore w:val="0"/>
        <w:widowControl w:val="0"/>
        <w:numPr>
          <w:ilvl w:val="0"/>
          <w:numId w:val="0"/>
        </w:numPr>
        <w:kinsoku/>
        <w:wordWrap/>
        <w:overflowPunct/>
        <w:topLinePunct w:val="0"/>
        <w:autoSpaceDE/>
        <w:autoSpaceDN/>
        <w:bidi w:val="0"/>
        <w:spacing w:line="360" w:lineRule="auto"/>
        <w:ind w:firstLine="42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标准编写原则</w:t>
      </w:r>
    </w:p>
    <w:p>
      <w:pPr>
        <w:keepNext w:val="0"/>
        <w:keepLines w:val="0"/>
        <w:pageBreakBefore w:val="0"/>
        <w:widowControl w:val="0"/>
        <w:numPr>
          <w:ilvl w:val="0"/>
          <w:numId w:val="0"/>
        </w:numPr>
        <w:kinsoku/>
        <w:wordWrap/>
        <w:overflowPunct/>
        <w:topLinePunct w:val="0"/>
        <w:autoSpaceDE/>
        <w:autoSpaceDN/>
        <w:bidi w:val="0"/>
        <w:spacing w:line="360" w:lineRule="auto"/>
        <w:ind w:firstLine="42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梳理产品结构，增加产品类型，补充需求空缺</w:t>
      </w:r>
    </w:p>
    <w:p>
      <w:pPr>
        <w:keepNext w:val="0"/>
        <w:keepLines w:val="0"/>
        <w:pageBreakBefore w:val="0"/>
        <w:widowControl w:val="0"/>
        <w:numPr>
          <w:ilvl w:val="0"/>
          <w:numId w:val="0"/>
        </w:numPr>
        <w:kinsoku/>
        <w:wordWrap/>
        <w:overflowPunct/>
        <w:topLinePunct w:val="0"/>
        <w:autoSpaceDE/>
        <w:autoSpaceDN/>
        <w:bidi w:val="0"/>
        <w:spacing w:line="360" w:lineRule="auto"/>
        <w:ind w:firstLine="420"/>
        <w:textAlignment w:val="auto"/>
        <w:rPr>
          <w:rFonts w:hint="default"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①修订标准文件的名称。</w:t>
      </w:r>
    </w:p>
    <w:p>
      <w:pPr>
        <w:keepNext w:val="0"/>
        <w:keepLines w:val="0"/>
        <w:pageBreakBefore w:val="0"/>
        <w:widowControl w:val="0"/>
        <w:numPr>
          <w:ilvl w:val="0"/>
          <w:numId w:val="0"/>
        </w:numPr>
        <w:kinsoku/>
        <w:wordWrap/>
        <w:overflowPunct/>
        <w:topLinePunct w:val="0"/>
        <w:autoSpaceDE/>
        <w:autoSpaceDN/>
        <w:bidi w:val="0"/>
        <w:spacing w:line="360" w:lineRule="auto"/>
        <w:ind w:firstLine="420"/>
        <w:textAlignment w:val="auto"/>
        <w:rPr>
          <w:rFonts w:hint="default"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②将键合铜丝分类增加合金铜丝。</w:t>
      </w:r>
    </w:p>
    <w:p>
      <w:pPr>
        <w:keepNext w:val="0"/>
        <w:keepLines w:val="0"/>
        <w:pageBreakBefore w:val="0"/>
        <w:widowControl w:val="0"/>
        <w:numPr>
          <w:ilvl w:val="0"/>
          <w:numId w:val="0"/>
        </w:numPr>
        <w:kinsoku/>
        <w:wordWrap/>
        <w:overflowPunct/>
        <w:topLinePunct w:val="0"/>
        <w:autoSpaceDE/>
        <w:autoSpaceDN/>
        <w:bidi w:val="0"/>
        <w:spacing w:line="360" w:lineRule="auto"/>
        <w:ind w:firstLine="42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规范键合铜丝技术指标，指导其生产和应用。</w:t>
      </w:r>
    </w:p>
    <w:p>
      <w:pPr>
        <w:keepNext w:val="0"/>
        <w:keepLines w:val="0"/>
        <w:pageBreakBefore w:val="0"/>
        <w:widowControl w:val="0"/>
        <w:numPr>
          <w:ilvl w:val="0"/>
          <w:numId w:val="0"/>
        </w:numPr>
        <w:kinsoku/>
        <w:wordWrap/>
        <w:overflowPunct/>
        <w:topLinePunct w:val="0"/>
        <w:autoSpaceDE/>
        <w:autoSpaceDN/>
        <w:bidi w:val="0"/>
        <w:spacing w:line="360" w:lineRule="auto"/>
        <w:ind w:firstLine="42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①规定了键合铜丝化学成分、尺寸及其允许的偏差、力学性能、表面质量、长度偏差、绕线要求、放线性能和线轴规定。</w:t>
      </w:r>
    </w:p>
    <w:p>
      <w:pPr>
        <w:keepNext w:val="0"/>
        <w:keepLines w:val="0"/>
        <w:pageBreakBefore w:val="0"/>
        <w:widowControl w:val="0"/>
        <w:numPr>
          <w:ilvl w:val="0"/>
          <w:numId w:val="0"/>
        </w:numPr>
        <w:kinsoku/>
        <w:wordWrap/>
        <w:overflowPunct/>
        <w:topLinePunct w:val="0"/>
        <w:autoSpaceDE/>
        <w:autoSpaceDN/>
        <w:bidi w:val="0"/>
        <w:spacing w:line="360" w:lineRule="auto"/>
        <w:ind w:firstLine="42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②规定了键合铜丝化学成分分析方法、表面质量检验方法、放线性能检测方法、丝材应力检验方法。</w:t>
      </w:r>
    </w:p>
    <w:p>
      <w:pPr>
        <w:keepNext w:val="0"/>
        <w:keepLines w:val="0"/>
        <w:pageBreakBefore w:val="0"/>
        <w:widowControl w:val="0"/>
        <w:numPr>
          <w:ilvl w:val="0"/>
          <w:numId w:val="0"/>
        </w:numPr>
        <w:kinsoku/>
        <w:wordWrap/>
        <w:overflowPunct/>
        <w:topLinePunct w:val="0"/>
        <w:autoSpaceDE/>
        <w:autoSpaceDN/>
        <w:bidi w:val="0"/>
        <w:spacing w:line="360" w:lineRule="auto"/>
        <w:ind w:firstLine="42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③规定了键合铜丝的检查与验收、组批、检验项目、取样和检验结果判定。</w:t>
      </w:r>
    </w:p>
    <w:p>
      <w:pPr>
        <w:keepNext w:val="0"/>
        <w:keepLines w:val="0"/>
        <w:pageBreakBefore w:val="0"/>
        <w:widowControl w:val="0"/>
        <w:numPr>
          <w:ilvl w:val="0"/>
          <w:numId w:val="0"/>
        </w:numPr>
        <w:kinsoku/>
        <w:wordWrap/>
        <w:overflowPunct/>
        <w:topLinePunct w:val="0"/>
        <w:autoSpaceDE/>
        <w:autoSpaceDN/>
        <w:bidi w:val="0"/>
        <w:spacing w:line="360" w:lineRule="auto"/>
        <w:ind w:firstLine="42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④规定了键合铜丝的标志、包装、运输、贮存和随行文件及合同内容。</w:t>
      </w:r>
    </w:p>
    <w:p>
      <w:pPr>
        <w:keepNext w:val="0"/>
        <w:keepLines w:val="0"/>
        <w:pageBreakBefore w:val="0"/>
        <w:widowControl w:val="0"/>
        <w:numPr>
          <w:ilvl w:val="0"/>
          <w:numId w:val="3"/>
        </w:numPr>
        <w:kinsoku/>
        <w:wordWrap/>
        <w:overflowPunct/>
        <w:topLinePunct w:val="0"/>
        <w:autoSpaceDE/>
        <w:autoSpaceDN/>
        <w:bidi w:val="0"/>
        <w:spacing w:line="360" w:lineRule="auto"/>
        <w:ind w:left="-210" w:leftChars="0" w:firstLine="420" w:firstLineChars="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标准主要内容的确定依据及主要实验及验证情况</w:t>
      </w:r>
    </w:p>
    <w:p>
      <w:pPr>
        <w:keepNext w:val="0"/>
        <w:keepLines w:val="0"/>
        <w:pageBreakBefore w:val="0"/>
        <w:widowControl w:val="0"/>
        <w:numPr>
          <w:ilvl w:val="0"/>
          <w:numId w:val="4"/>
        </w:numPr>
        <w:kinsoku/>
        <w:wordWrap/>
        <w:overflowPunct/>
        <w:topLinePunct w:val="0"/>
        <w:autoSpaceDE/>
        <w:autoSpaceDN/>
        <w:bidi w:val="0"/>
        <w:spacing w:line="360" w:lineRule="auto"/>
        <w:ind w:left="-60" w:leftChars="0" w:firstLine="480" w:firstLineChars="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键合铜丝分类</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 xml:space="preserve">    依据键合铜丝目前市场存在的类别修改后的标准中键合铜丝分为普通铜丝和合金铜丝两类，以牌号定义键合铜丝的分类，牌号分别为普通铜丝（</w:t>
      </w:r>
      <w:r>
        <w:rPr>
          <w:rFonts w:hint="eastAsia" w:eastAsia="宋体"/>
          <w:lang w:val="en-US" w:eastAsia="zh-CN"/>
        </w:rPr>
        <w:t>CG</w:t>
      </w:r>
      <w:r>
        <w:rPr>
          <w:rFonts w:hint="eastAsia" w:asciiTheme="majorEastAsia" w:hAnsiTheme="majorEastAsia" w:eastAsiaTheme="majorEastAsia" w:cstheme="majorEastAsia"/>
          <w:sz w:val="24"/>
          <w:szCs w:val="24"/>
          <w:highlight w:val="none"/>
          <w:lang w:val="en-US" w:eastAsia="zh-CN"/>
        </w:rPr>
        <w:t>)、合金铜丝（</w:t>
      </w:r>
      <w:r>
        <w:rPr>
          <w:rFonts w:hint="eastAsia" w:eastAsia="宋体"/>
          <w:highlight w:val="none"/>
          <w:lang w:val="en-US" w:eastAsia="zh-CN"/>
        </w:rPr>
        <w:t>CA</w:t>
      </w:r>
      <w:r>
        <w:rPr>
          <w:rFonts w:hint="eastAsia" w:asciiTheme="majorEastAsia" w:hAnsiTheme="majorEastAsia" w:eastAsiaTheme="majorEastAsia" w:cstheme="majorEastAsia"/>
          <w:sz w:val="24"/>
          <w:szCs w:val="24"/>
          <w:highlight w:val="none"/>
          <w:lang w:val="en-US" w:eastAsia="zh-CN"/>
        </w:rPr>
        <w:t>)，根据主成分分类更系统更便于区分。</w:t>
      </w:r>
    </w:p>
    <w:p>
      <w:pPr>
        <w:keepNext w:val="0"/>
        <w:keepLines w:val="0"/>
        <w:pageBreakBefore w:val="0"/>
        <w:widowControl w:val="0"/>
        <w:numPr>
          <w:ilvl w:val="0"/>
          <w:numId w:val="0"/>
        </w:numPr>
        <w:kinsoku/>
        <w:wordWrap/>
        <w:overflowPunct/>
        <w:topLinePunct w:val="0"/>
        <w:autoSpaceDE/>
        <w:autoSpaceDN/>
        <w:bidi w:val="0"/>
        <w:spacing w:line="360" w:lineRule="auto"/>
        <w:ind w:firstLine="3360" w:firstLineChars="140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表1  现有标准：</w:t>
      </w:r>
    </w:p>
    <w:tbl>
      <w:tblPr>
        <w:tblStyle w:val="5"/>
        <w:tblW w:w="8851" w:type="dxa"/>
        <w:jc w:val="center"/>
        <w:tblLayout w:type="fixed"/>
        <w:tblCellMar>
          <w:top w:w="0" w:type="dxa"/>
          <w:left w:w="10" w:type="dxa"/>
          <w:bottom w:w="0" w:type="dxa"/>
          <w:right w:w="10" w:type="dxa"/>
        </w:tblCellMar>
      </w:tblPr>
      <w:tblGrid>
        <w:gridCol w:w="2952"/>
        <w:gridCol w:w="2933"/>
        <w:gridCol w:w="2966"/>
      </w:tblGrid>
      <w:tr>
        <w:tblPrEx>
          <w:tblCellMar>
            <w:top w:w="0" w:type="dxa"/>
            <w:left w:w="10" w:type="dxa"/>
            <w:bottom w:w="0" w:type="dxa"/>
            <w:right w:w="10" w:type="dxa"/>
          </w:tblCellMar>
        </w:tblPrEx>
        <w:trPr>
          <w:trHeight w:val="365" w:hRule="exact"/>
          <w:jc w:val="center"/>
        </w:trPr>
        <w:tc>
          <w:tcPr>
            <w:tcW w:w="2952" w:type="dxa"/>
            <w:tcBorders>
              <w:top w:val="single" w:color="auto" w:sz="4" w:space="0"/>
              <w:left w:val="single" w:color="auto" w:sz="4" w:space="0"/>
            </w:tcBorders>
            <w:shd w:val="clear" w:color="auto" w:fill="FFFFFF"/>
            <w:vAlign w:val="center"/>
          </w:tcPr>
          <w:p>
            <w:pPr>
              <w:bidi w:val="0"/>
              <w:jc w:val="center"/>
              <w:rPr>
                <w:rFonts w:hint="eastAsia"/>
                <w:highlight w:val="none"/>
              </w:rPr>
            </w:pPr>
            <w:r>
              <w:rPr>
                <w:rFonts w:hint="eastAsia"/>
                <w:highlight w:val="none"/>
              </w:rPr>
              <w:t>名 称</w:t>
            </w:r>
          </w:p>
        </w:tc>
        <w:tc>
          <w:tcPr>
            <w:tcW w:w="2933" w:type="dxa"/>
            <w:tcBorders>
              <w:top w:val="single" w:color="auto" w:sz="4" w:space="0"/>
              <w:left w:val="single" w:color="auto" w:sz="4" w:space="0"/>
            </w:tcBorders>
            <w:shd w:val="clear" w:color="auto" w:fill="FFFFFF"/>
            <w:vAlign w:val="center"/>
          </w:tcPr>
          <w:p>
            <w:pPr>
              <w:bidi w:val="0"/>
              <w:jc w:val="center"/>
              <w:rPr>
                <w:rFonts w:hint="eastAsia"/>
                <w:highlight w:val="none"/>
                <w:lang w:val="en-US" w:eastAsia="zh-CN"/>
              </w:rPr>
            </w:pPr>
            <w:r>
              <w:rPr>
                <w:rFonts w:hint="eastAsia"/>
                <w:highlight w:val="none"/>
                <w:lang w:val="en-US" w:eastAsia="zh-CN"/>
              </w:rPr>
              <w:t>牌号</w:t>
            </w:r>
          </w:p>
        </w:tc>
        <w:tc>
          <w:tcPr>
            <w:tcW w:w="2966" w:type="dxa"/>
            <w:tcBorders>
              <w:top w:val="single" w:color="auto" w:sz="4" w:space="0"/>
              <w:left w:val="single" w:color="auto" w:sz="4" w:space="0"/>
              <w:right w:val="single" w:color="auto" w:sz="4" w:space="0"/>
            </w:tcBorders>
            <w:shd w:val="clear" w:color="auto" w:fill="FFFFFF"/>
            <w:vAlign w:val="center"/>
          </w:tcPr>
          <w:p>
            <w:pPr>
              <w:bidi w:val="0"/>
              <w:jc w:val="center"/>
              <w:rPr>
                <w:rFonts w:hint="eastAsia"/>
                <w:highlight w:val="none"/>
              </w:rPr>
            </w:pPr>
            <w:r>
              <w:rPr>
                <w:rFonts w:hint="eastAsia"/>
                <w:highlight w:val="none"/>
              </w:rPr>
              <w:t>直径</w:t>
            </w:r>
            <w:r>
              <w:rPr>
                <w:rFonts w:hint="eastAsia"/>
                <w:highlight w:val="none"/>
                <w:lang w:val="en-US" w:eastAsia="en-US"/>
              </w:rPr>
              <w:t>/</w:t>
            </w:r>
            <w:r>
              <w:rPr>
                <w:rFonts w:hint="eastAsia"/>
                <w:highlight w:val="none"/>
                <w:lang w:eastAsia="zh-CN"/>
              </w:rPr>
              <w:t>μ</w:t>
            </w:r>
            <w:r>
              <w:rPr>
                <w:rFonts w:hint="eastAsia"/>
                <w:highlight w:val="none"/>
                <w:lang w:val="en-US" w:eastAsia="en-US"/>
              </w:rPr>
              <w:t>m</w:t>
            </w:r>
          </w:p>
        </w:tc>
      </w:tr>
      <w:tr>
        <w:tblPrEx>
          <w:tblCellMar>
            <w:top w:w="0" w:type="dxa"/>
            <w:left w:w="10" w:type="dxa"/>
            <w:bottom w:w="0" w:type="dxa"/>
            <w:right w:w="10" w:type="dxa"/>
          </w:tblCellMar>
        </w:tblPrEx>
        <w:trPr>
          <w:trHeight w:val="341" w:hRule="exact"/>
          <w:jc w:val="center"/>
        </w:trPr>
        <w:tc>
          <w:tcPr>
            <w:tcW w:w="2952" w:type="dxa"/>
            <w:tcBorders>
              <w:top w:val="single" w:color="auto" w:sz="4" w:space="0"/>
              <w:left w:val="single" w:color="auto" w:sz="4" w:space="0"/>
            </w:tcBorders>
            <w:shd w:val="clear" w:color="auto" w:fill="FFFFFF"/>
            <w:vAlign w:val="center"/>
          </w:tcPr>
          <w:p>
            <w:pPr>
              <w:bidi w:val="0"/>
              <w:ind w:firstLine="840" w:firstLineChars="400"/>
              <w:jc w:val="both"/>
              <w:rPr>
                <w:rFonts w:hint="eastAsia"/>
                <w:highlight w:val="none"/>
              </w:rPr>
            </w:pPr>
            <w:r>
              <w:rPr>
                <w:rFonts w:hint="eastAsia"/>
                <w:highlight w:val="none"/>
                <w:lang w:val="en-US" w:eastAsia="zh-CN"/>
              </w:rPr>
              <w:t>普通</w:t>
            </w:r>
            <w:r>
              <w:rPr>
                <w:rFonts w:hint="eastAsia"/>
                <w:highlight w:val="none"/>
                <w:lang w:eastAsia="zh-CN"/>
              </w:rPr>
              <w:t>铜</w:t>
            </w:r>
            <w:r>
              <w:rPr>
                <w:rFonts w:hint="eastAsia"/>
                <w:highlight w:val="none"/>
              </w:rPr>
              <w:t>丝</w:t>
            </w:r>
          </w:p>
        </w:tc>
        <w:tc>
          <w:tcPr>
            <w:tcW w:w="2933" w:type="dxa"/>
            <w:tcBorders>
              <w:top w:val="single" w:color="auto" w:sz="4" w:space="0"/>
              <w:left w:val="single" w:color="auto" w:sz="4" w:space="0"/>
            </w:tcBorders>
            <w:shd w:val="clear" w:color="auto" w:fill="FFFFFF"/>
            <w:vAlign w:val="center"/>
          </w:tcPr>
          <w:p>
            <w:pPr>
              <w:bidi w:val="0"/>
              <w:jc w:val="center"/>
              <w:rPr>
                <w:rFonts w:hint="eastAsia"/>
                <w:highlight w:val="none"/>
              </w:rPr>
            </w:pPr>
            <w:r>
              <w:rPr>
                <w:rFonts w:hint="eastAsia"/>
                <w:highlight w:val="none"/>
                <w:lang w:val="en-US" w:eastAsia="en-US"/>
              </w:rPr>
              <w:t>HC</w:t>
            </w:r>
          </w:p>
        </w:tc>
        <w:tc>
          <w:tcPr>
            <w:tcW w:w="2966" w:type="dxa"/>
            <w:tcBorders>
              <w:top w:val="single" w:color="auto" w:sz="4" w:space="0"/>
              <w:left w:val="single" w:color="auto" w:sz="4" w:space="0"/>
              <w:right w:val="single" w:color="auto" w:sz="4" w:space="0"/>
            </w:tcBorders>
            <w:shd w:val="clear" w:color="auto" w:fill="FFFFFF"/>
            <w:vAlign w:val="center"/>
          </w:tcPr>
          <w:p>
            <w:pPr>
              <w:bidi w:val="0"/>
              <w:jc w:val="center"/>
              <w:rPr>
                <w:rFonts w:hint="eastAsia"/>
                <w:highlight w:val="none"/>
                <w:lang w:val="en-US" w:eastAsia="zh-CN"/>
              </w:rPr>
            </w:pPr>
            <w:r>
              <w:rPr>
                <w:rFonts w:hint="eastAsia" w:eastAsia="宋体"/>
                <w:highlight w:val="none"/>
                <w:lang w:val="en-US" w:eastAsia="zh-CN"/>
              </w:rPr>
              <w:t>18</w:t>
            </w:r>
            <w:r>
              <w:rPr>
                <w:rFonts w:hint="eastAsia"/>
                <w:highlight w:val="none"/>
              </w:rPr>
              <w:t xml:space="preserve"> 〜</w:t>
            </w:r>
            <w:r>
              <w:rPr>
                <w:rFonts w:hint="eastAsia"/>
                <w:highlight w:val="none"/>
                <w:lang w:val="en-US" w:eastAsia="zh-CN"/>
              </w:rPr>
              <w:t>75</w:t>
            </w:r>
          </w:p>
        </w:tc>
      </w:tr>
      <w:tr>
        <w:tblPrEx>
          <w:tblCellMar>
            <w:top w:w="0" w:type="dxa"/>
            <w:left w:w="10" w:type="dxa"/>
            <w:bottom w:w="0" w:type="dxa"/>
            <w:right w:w="10" w:type="dxa"/>
          </w:tblCellMar>
        </w:tblPrEx>
        <w:trPr>
          <w:trHeight w:val="720" w:hRule="exact"/>
          <w:jc w:val="center"/>
        </w:trPr>
        <w:tc>
          <w:tcPr>
            <w:tcW w:w="885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bidi w:val="0"/>
              <w:ind w:firstLine="210" w:firstLineChars="100"/>
              <w:jc w:val="left"/>
              <w:rPr>
                <w:rFonts w:hint="eastAsia"/>
                <w:highlight w:val="none"/>
                <w:lang w:val="en-US"/>
              </w:rPr>
            </w:pPr>
            <w:r>
              <w:rPr>
                <w:rFonts w:hint="eastAsia"/>
                <w:highlight w:val="none"/>
                <w:lang w:eastAsia="zh-CN"/>
              </w:rPr>
              <w:t>注</w:t>
            </w:r>
            <w:r>
              <w:rPr>
                <w:rFonts w:hint="eastAsia"/>
                <w:highlight w:val="none"/>
                <w:lang w:val="en-US" w:eastAsia="zh-CN"/>
              </w:rPr>
              <w:t>1</w:t>
            </w:r>
            <w:r>
              <w:rPr>
                <w:rFonts w:hint="eastAsia"/>
                <w:highlight w:val="none"/>
                <w:lang w:eastAsia="zh-CN"/>
              </w:rPr>
              <w:t>：根据需方的要求可增加其他直径</w:t>
            </w:r>
            <w:r>
              <w:rPr>
                <w:rFonts w:hint="eastAsia"/>
                <w:highlight w:val="none"/>
                <w:lang w:val="en-US" w:eastAsia="zh-CN"/>
              </w:rPr>
              <w:t>.</w:t>
            </w:r>
          </w:p>
          <w:p>
            <w:pPr>
              <w:bidi w:val="0"/>
              <w:ind w:firstLine="210" w:firstLineChars="100"/>
              <w:jc w:val="left"/>
              <w:rPr>
                <w:rFonts w:hint="eastAsia"/>
                <w:highlight w:val="none"/>
                <w:lang w:val="en-US" w:eastAsia="zh-CN"/>
              </w:rPr>
            </w:pPr>
            <w:r>
              <w:rPr>
                <w:rFonts w:hint="eastAsia"/>
                <w:highlight w:val="none"/>
              </w:rPr>
              <w:t xml:space="preserve">注2： </w:t>
            </w:r>
            <w:r>
              <w:rPr>
                <w:rFonts w:hint="eastAsia"/>
                <w:highlight w:val="none"/>
                <w:lang w:val="en-US" w:eastAsia="en-US"/>
              </w:rPr>
              <w:t>HC</w:t>
            </w:r>
            <w:r>
              <w:rPr>
                <w:rFonts w:hint="eastAsia"/>
                <w:highlight w:val="none"/>
              </w:rPr>
              <w:t>为高纯铜的含义</w:t>
            </w:r>
          </w:p>
        </w:tc>
      </w:tr>
    </w:tbl>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eastAsia" w:asciiTheme="majorEastAsia" w:hAnsiTheme="majorEastAsia" w:eastAsiaTheme="majorEastAsia" w:cstheme="majorEastAsia"/>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firstLine="3120" w:firstLineChars="1300"/>
        <w:textAlignment w:val="auto"/>
        <w:rPr>
          <w:rFonts w:hint="eastAsia" w:asciiTheme="majorEastAsia" w:hAnsiTheme="majorEastAsia" w:eastAsiaTheme="majorEastAsia" w:cstheme="majorEastAsia"/>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firstLine="3120" w:firstLineChars="130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表2   修改后标准：</w:t>
      </w:r>
    </w:p>
    <w:tbl>
      <w:tblPr>
        <w:tblStyle w:val="5"/>
        <w:tblpPr w:leftFromText="180" w:rightFromText="180" w:vertAnchor="text" w:horzAnchor="page" w:tblpX="1506" w:tblpY="297"/>
        <w:tblOverlap w:val="never"/>
        <w:tblW w:w="0" w:type="auto"/>
        <w:tblInd w:w="0" w:type="dxa"/>
        <w:tblLayout w:type="fixed"/>
        <w:tblCellMar>
          <w:top w:w="0" w:type="dxa"/>
          <w:left w:w="10" w:type="dxa"/>
          <w:bottom w:w="0" w:type="dxa"/>
          <w:right w:w="10" w:type="dxa"/>
        </w:tblCellMar>
      </w:tblPr>
      <w:tblGrid>
        <w:gridCol w:w="2952"/>
        <w:gridCol w:w="2933"/>
        <w:gridCol w:w="2966"/>
      </w:tblGrid>
      <w:tr>
        <w:tblPrEx>
          <w:tblCellMar>
            <w:top w:w="0" w:type="dxa"/>
            <w:left w:w="10" w:type="dxa"/>
            <w:bottom w:w="0" w:type="dxa"/>
            <w:right w:w="10" w:type="dxa"/>
          </w:tblCellMar>
        </w:tblPrEx>
        <w:trPr>
          <w:trHeight w:val="365" w:hRule="exact"/>
        </w:trPr>
        <w:tc>
          <w:tcPr>
            <w:tcW w:w="2952" w:type="dxa"/>
            <w:tcBorders>
              <w:top w:val="single" w:color="auto" w:sz="4" w:space="0"/>
              <w:left w:val="single" w:color="auto" w:sz="4" w:space="0"/>
            </w:tcBorders>
            <w:shd w:val="clear" w:color="auto" w:fill="FFFFFF"/>
            <w:vAlign w:val="center"/>
          </w:tcPr>
          <w:p>
            <w:pPr>
              <w:jc w:val="center"/>
            </w:pPr>
            <w:r>
              <w:rPr>
                <w:rFonts w:hint="eastAsia"/>
              </w:rPr>
              <w:t>名 称</w:t>
            </w:r>
          </w:p>
        </w:tc>
        <w:tc>
          <w:tcPr>
            <w:tcW w:w="2933" w:type="dxa"/>
            <w:tcBorders>
              <w:top w:val="single" w:color="auto" w:sz="4" w:space="0"/>
              <w:left w:val="single" w:color="auto" w:sz="4" w:space="0"/>
            </w:tcBorders>
            <w:shd w:val="clear" w:color="auto" w:fill="FFFFFF"/>
            <w:vAlign w:val="center"/>
          </w:tcPr>
          <w:p>
            <w:pPr>
              <w:jc w:val="center"/>
              <w:rPr>
                <w:lang w:eastAsia="zh-CN"/>
              </w:rPr>
            </w:pPr>
            <w:r>
              <w:rPr>
                <w:rFonts w:hint="eastAsia"/>
                <w:lang w:eastAsia="zh-CN"/>
              </w:rPr>
              <w:t>牌号</w:t>
            </w:r>
          </w:p>
        </w:tc>
        <w:tc>
          <w:tcPr>
            <w:tcW w:w="2966" w:type="dxa"/>
            <w:tcBorders>
              <w:top w:val="single" w:color="auto" w:sz="4" w:space="0"/>
              <w:left w:val="single" w:color="auto" w:sz="4" w:space="0"/>
              <w:right w:val="single" w:color="auto" w:sz="4" w:space="0"/>
            </w:tcBorders>
            <w:shd w:val="clear" w:color="auto" w:fill="FFFFFF"/>
            <w:vAlign w:val="center"/>
          </w:tcPr>
          <w:p>
            <w:pPr>
              <w:jc w:val="center"/>
            </w:pPr>
            <w:r>
              <w:rPr>
                <w:rFonts w:hint="eastAsia"/>
              </w:rPr>
              <w:t>直径/</w:t>
            </w:r>
            <w:r>
              <w:rPr>
                <w:rFonts w:hint="eastAsia"/>
                <w:lang w:eastAsia="zh-CN"/>
              </w:rPr>
              <w:t>μ</w:t>
            </w:r>
            <w:r>
              <w:rPr>
                <w:rFonts w:hint="eastAsia"/>
              </w:rPr>
              <w:t>m</w:t>
            </w:r>
          </w:p>
        </w:tc>
      </w:tr>
      <w:tr>
        <w:tblPrEx>
          <w:tblCellMar>
            <w:top w:w="0" w:type="dxa"/>
            <w:left w:w="10" w:type="dxa"/>
            <w:bottom w:w="0" w:type="dxa"/>
            <w:right w:w="10" w:type="dxa"/>
          </w:tblCellMar>
        </w:tblPrEx>
        <w:trPr>
          <w:trHeight w:val="341" w:hRule="exact"/>
        </w:trPr>
        <w:tc>
          <w:tcPr>
            <w:tcW w:w="2952" w:type="dxa"/>
            <w:tcBorders>
              <w:top w:val="single" w:color="auto" w:sz="4" w:space="0"/>
              <w:left w:val="single" w:color="auto" w:sz="4" w:space="0"/>
            </w:tcBorders>
            <w:shd w:val="clear" w:color="auto" w:fill="FFFFFF"/>
            <w:vAlign w:val="center"/>
          </w:tcPr>
          <w:p>
            <w:pPr>
              <w:jc w:val="center"/>
              <w:rPr>
                <w:lang w:eastAsia="zh-CN"/>
              </w:rPr>
            </w:pPr>
            <w:r>
              <w:rPr>
                <w:rFonts w:hint="eastAsia"/>
                <w:lang w:val="en-US" w:eastAsia="zh-CN"/>
              </w:rPr>
              <w:t>普通铜丝</w:t>
            </w:r>
          </w:p>
        </w:tc>
        <w:tc>
          <w:tcPr>
            <w:tcW w:w="2933" w:type="dxa"/>
            <w:tcBorders>
              <w:top w:val="single" w:color="auto" w:sz="4" w:space="0"/>
              <w:left w:val="single" w:color="auto" w:sz="4" w:space="0"/>
            </w:tcBorders>
            <w:shd w:val="clear" w:color="auto" w:fill="FFFFFF"/>
            <w:vAlign w:val="center"/>
          </w:tcPr>
          <w:p>
            <w:pPr>
              <w:jc w:val="center"/>
              <w:rPr>
                <w:rFonts w:hint="default"/>
                <w:lang w:val="en-US" w:eastAsia="zh-CN"/>
              </w:rPr>
            </w:pPr>
            <w:r>
              <w:rPr>
                <w:rFonts w:hint="eastAsia" w:eastAsia="宋体"/>
                <w:lang w:val="en-US" w:eastAsia="zh-CN"/>
              </w:rPr>
              <w:t xml:space="preserve"> CG（</w:t>
            </w:r>
            <w:r>
              <w:rPr>
                <w:rFonts w:hint="eastAsia"/>
              </w:rPr>
              <w:t>C</w:t>
            </w:r>
            <w:r>
              <w:rPr>
                <w:rFonts w:hint="eastAsia" w:eastAsia="宋体"/>
                <w:lang w:val="en-US" w:eastAsia="zh-CN"/>
              </w:rPr>
              <w:t>u 99.99）</w:t>
            </w:r>
          </w:p>
        </w:tc>
        <w:tc>
          <w:tcPr>
            <w:tcW w:w="2966" w:type="dxa"/>
            <w:tcBorders>
              <w:top w:val="single" w:color="auto" w:sz="4" w:space="0"/>
              <w:left w:val="single" w:color="auto" w:sz="4" w:space="0"/>
              <w:right w:val="single" w:color="auto" w:sz="4" w:space="0"/>
            </w:tcBorders>
            <w:shd w:val="clear" w:color="auto" w:fill="FFFFFF"/>
            <w:vAlign w:val="center"/>
          </w:tcPr>
          <w:p>
            <w:pPr>
              <w:ind w:firstLine="1050" w:firstLineChars="500"/>
              <w:jc w:val="both"/>
              <w:rPr>
                <w:lang w:eastAsia="zh-CN"/>
              </w:rPr>
            </w:pPr>
            <w:r>
              <w:rPr>
                <w:rFonts w:hint="eastAsia"/>
              </w:rPr>
              <w:t>1</w:t>
            </w:r>
            <w:r>
              <w:rPr>
                <w:rFonts w:hint="eastAsia" w:eastAsia="宋体"/>
                <w:lang w:eastAsia="zh-CN"/>
              </w:rPr>
              <w:t>8</w:t>
            </w:r>
            <w:r>
              <w:rPr>
                <w:rFonts w:hint="eastAsia"/>
              </w:rPr>
              <w:t>〜</w:t>
            </w:r>
            <w:r>
              <w:rPr>
                <w:rFonts w:hint="eastAsia"/>
                <w:lang w:eastAsia="zh-CN"/>
              </w:rPr>
              <w:t>75</w:t>
            </w:r>
          </w:p>
        </w:tc>
      </w:tr>
      <w:tr>
        <w:tblPrEx>
          <w:tblCellMar>
            <w:top w:w="0" w:type="dxa"/>
            <w:left w:w="10" w:type="dxa"/>
            <w:bottom w:w="0" w:type="dxa"/>
            <w:right w:w="10" w:type="dxa"/>
          </w:tblCellMar>
        </w:tblPrEx>
        <w:trPr>
          <w:trHeight w:val="341" w:hRule="exact"/>
        </w:trPr>
        <w:tc>
          <w:tcPr>
            <w:tcW w:w="2952" w:type="dxa"/>
            <w:tcBorders>
              <w:top w:val="single" w:color="auto" w:sz="4" w:space="0"/>
              <w:left w:val="single" w:color="auto" w:sz="4" w:space="0"/>
            </w:tcBorders>
            <w:shd w:val="clear" w:color="auto" w:fill="FFFFFF"/>
            <w:vAlign w:val="center"/>
          </w:tcPr>
          <w:p>
            <w:pPr>
              <w:jc w:val="center"/>
              <w:rPr>
                <w:rFonts w:hint="default"/>
                <w:highlight w:val="none"/>
                <w:lang w:val="en-US" w:eastAsia="zh-CN"/>
              </w:rPr>
            </w:pPr>
            <w:r>
              <w:rPr>
                <w:rFonts w:hint="eastAsia"/>
                <w:highlight w:val="none"/>
                <w:lang w:val="en-US" w:eastAsia="zh-CN"/>
              </w:rPr>
              <w:t>合金铜丝</w:t>
            </w:r>
          </w:p>
        </w:tc>
        <w:tc>
          <w:tcPr>
            <w:tcW w:w="2933" w:type="dxa"/>
            <w:tcBorders>
              <w:top w:val="single" w:color="auto" w:sz="4" w:space="0"/>
              <w:left w:val="single" w:color="auto" w:sz="4" w:space="0"/>
            </w:tcBorders>
            <w:shd w:val="clear" w:color="auto" w:fill="FFFFFF"/>
            <w:vAlign w:val="center"/>
          </w:tcPr>
          <w:p>
            <w:pPr>
              <w:jc w:val="center"/>
              <w:rPr>
                <w:rFonts w:hint="default"/>
                <w:highlight w:val="none"/>
                <w:lang w:val="en-US" w:eastAsia="zh-CN"/>
              </w:rPr>
            </w:pPr>
            <w:r>
              <w:rPr>
                <w:rFonts w:hint="eastAsia" w:eastAsia="宋体"/>
                <w:highlight w:val="none"/>
                <w:lang w:val="en-US" w:eastAsia="zh-CN"/>
              </w:rPr>
              <w:t>CA</w:t>
            </w:r>
            <w:r>
              <w:rPr>
                <w:rFonts w:hint="eastAsia" w:eastAsia="宋体"/>
                <w:highlight w:val="none"/>
                <w:lang w:eastAsia="zh-CN"/>
              </w:rPr>
              <w:t>（</w:t>
            </w:r>
            <w:r>
              <w:rPr>
                <w:rFonts w:hint="eastAsia"/>
                <w:highlight w:val="none"/>
              </w:rPr>
              <w:t>C</w:t>
            </w:r>
            <w:r>
              <w:rPr>
                <w:rFonts w:hint="eastAsia" w:eastAsia="宋体"/>
                <w:highlight w:val="none"/>
                <w:lang w:val="en-US" w:eastAsia="zh-CN"/>
              </w:rPr>
              <w:t>u 99.00</w:t>
            </w:r>
            <w:r>
              <w:rPr>
                <w:rFonts w:hint="eastAsia" w:eastAsia="宋体"/>
                <w:highlight w:val="none"/>
                <w:lang w:eastAsia="zh-CN"/>
              </w:rPr>
              <w:t>）</w:t>
            </w:r>
          </w:p>
        </w:tc>
        <w:tc>
          <w:tcPr>
            <w:tcW w:w="2966" w:type="dxa"/>
            <w:tcBorders>
              <w:top w:val="single" w:color="auto" w:sz="4" w:space="0"/>
              <w:left w:val="single" w:color="auto" w:sz="4" w:space="0"/>
              <w:right w:val="single" w:color="auto" w:sz="4" w:space="0"/>
            </w:tcBorders>
            <w:shd w:val="clear" w:color="auto" w:fill="FFFFFF"/>
            <w:vAlign w:val="center"/>
          </w:tcPr>
          <w:p>
            <w:pPr>
              <w:ind w:firstLine="1050" w:firstLineChars="500"/>
              <w:jc w:val="both"/>
              <w:rPr>
                <w:rFonts w:hint="eastAsia"/>
                <w:highlight w:val="none"/>
              </w:rPr>
            </w:pPr>
            <w:r>
              <w:rPr>
                <w:rFonts w:hint="eastAsia"/>
                <w:highlight w:val="none"/>
              </w:rPr>
              <w:t>1</w:t>
            </w:r>
            <w:r>
              <w:rPr>
                <w:rFonts w:hint="eastAsia" w:eastAsia="宋体"/>
                <w:highlight w:val="none"/>
                <w:lang w:eastAsia="zh-CN"/>
              </w:rPr>
              <w:t>8</w:t>
            </w:r>
            <w:r>
              <w:rPr>
                <w:rFonts w:hint="eastAsia"/>
                <w:highlight w:val="none"/>
              </w:rPr>
              <w:t>〜</w:t>
            </w:r>
            <w:r>
              <w:rPr>
                <w:rFonts w:hint="eastAsia"/>
                <w:highlight w:val="none"/>
                <w:lang w:eastAsia="zh-CN"/>
              </w:rPr>
              <w:t>75</w:t>
            </w:r>
          </w:p>
        </w:tc>
      </w:tr>
      <w:tr>
        <w:tblPrEx>
          <w:tblCellMar>
            <w:top w:w="0" w:type="dxa"/>
            <w:left w:w="10" w:type="dxa"/>
            <w:bottom w:w="0" w:type="dxa"/>
            <w:right w:w="10" w:type="dxa"/>
          </w:tblCellMar>
        </w:tblPrEx>
        <w:trPr>
          <w:trHeight w:val="798" w:hRule="exact"/>
        </w:trPr>
        <w:tc>
          <w:tcPr>
            <w:tcW w:w="885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ind w:firstLine="210" w:firstLineChars="100"/>
              <w:jc w:val="left"/>
              <w:rPr>
                <w:rFonts w:hint="eastAsia"/>
                <w:highlight w:val="none"/>
                <w:lang w:eastAsia="zh-CN"/>
              </w:rPr>
            </w:pPr>
            <w:r>
              <w:rPr>
                <w:rFonts w:hint="eastAsia"/>
                <w:highlight w:val="none"/>
                <w:lang w:eastAsia="zh-CN"/>
              </w:rPr>
              <w:t>注</w:t>
            </w:r>
            <w:r>
              <w:rPr>
                <w:rFonts w:hint="eastAsia"/>
                <w:highlight w:val="none"/>
                <w:lang w:val="en-US" w:eastAsia="zh-CN"/>
              </w:rPr>
              <w:t>1</w:t>
            </w:r>
            <w:r>
              <w:rPr>
                <w:rFonts w:hint="eastAsia"/>
                <w:highlight w:val="none"/>
                <w:lang w:eastAsia="zh-CN"/>
              </w:rPr>
              <w:t>：根据需方的要求可增加其他直径。</w:t>
            </w:r>
          </w:p>
          <w:p>
            <w:pPr>
              <w:ind w:firstLine="210" w:firstLineChars="100"/>
              <w:jc w:val="left"/>
              <w:rPr>
                <w:rFonts w:hint="default" w:eastAsia="宋体"/>
                <w:highlight w:val="none"/>
                <w:lang w:val="en-US" w:eastAsia="zh-CN"/>
              </w:rPr>
            </w:pPr>
            <w:r>
              <w:rPr>
                <w:rFonts w:hint="eastAsia"/>
                <w:highlight w:val="none"/>
                <w:u w:val="none"/>
                <w:lang w:val="en-US" w:eastAsia="zh-CN"/>
              </w:rPr>
              <w:t>注2：</w:t>
            </w:r>
            <w:r>
              <w:rPr>
                <w:rFonts w:hint="eastAsia"/>
                <w:highlight w:val="none"/>
                <w:u w:val="none"/>
              </w:rPr>
              <w:t>C</w:t>
            </w:r>
            <w:r>
              <w:rPr>
                <w:rFonts w:hint="eastAsia" w:eastAsia="宋体"/>
                <w:highlight w:val="none"/>
                <w:u w:val="none"/>
                <w:lang w:val="en-US" w:eastAsia="zh-CN"/>
              </w:rPr>
              <w:t>u 99.99为铜含量≥99.99%，</w:t>
            </w:r>
            <w:r>
              <w:rPr>
                <w:rFonts w:hint="eastAsia"/>
                <w:highlight w:val="none"/>
                <w:u w:val="none"/>
              </w:rPr>
              <w:t>C</w:t>
            </w:r>
            <w:r>
              <w:rPr>
                <w:rFonts w:hint="eastAsia" w:eastAsia="宋体"/>
                <w:highlight w:val="none"/>
                <w:u w:val="none"/>
                <w:lang w:val="en-US" w:eastAsia="zh-CN"/>
              </w:rPr>
              <w:t>u 99.00为铜含量99.00%</w:t>
            </w:r>
            <w:r>
              <w:rPr>
                <w:rFonts w:hint="eastAsia"/>
                <w:highlight w:val="none"/>
                <w:u w:val="none"/>
              </w:rPr>
              <w:t>〜</w:t>
            </w:r>
            <w:r>
              <w:rPr>
                <w:rFonts w:hint="eastAsia" w:eastAsia="宋体"/>
                <w:highlight w:val="none"/>
                <w:u w:val="none"/>
                <w:lang w:val="en-US" w:eastAsia="zh-CN"/>
              </w:rPr>
              <w:t>99.99%</w:t>
            </w:r>
          </w:p>
        </w:tc>
      </w:tr>
    </w:tbl>
    <w:p>
      <w:pPr>
        <w:keepNext w:val="0"/>
        <w:keepLines w:val="0"/>
        <w:pageBreakBefore w:val="0"/>
        <w:widowControl w:val="0"/>
        <w:numPr>
          <w:ilvl w:val="0"/>
          <w:numId w:val="0"/>
        </w:numPr>
        <w:kinsoku/>
        <w:wordWrap/>
        <w:overflowPunct/>
        <w:topLinePunct w:val="0"/>
        <w:autoSpaceDE/>
        <w:autoSpaceDN/>
        <w:bidi w:val="0"/>
        <w:spacing w:line="360" w:lineRule="auto"/>
        <w:ind w:leftChars="20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2.键合铜丝化学成分</w:t>
      </w:r>
    </w:p>
    <w:p>
      <w:pPr>
        <w:bidi w:val="0"/>
        <w:ind w:firstLine="480" w:firstLineChars="200"/>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修订后的标准中不体现单个杂质元素含量的要求，仅对杂质总量进行要求，增加合金铜丝主要成分含量、其他含量、杂质元素含量。</w:t>
      </w:r>
    </w:p>
    <w:p>
      <w:pPr>
        <w:bidi w:val="0"/>
        <w:ind w:firstLine="480" w:firstLineChars="200"/>
        <w:rPr>
          <w:rFonts w:hint="eastAsia" w:asciiTheme="majorEastAsia" w:hAnsiTheme="majorEastAsia" w:eastAsiaTheme="majorEastAsia" w:cstheme="majorEastAsia"/>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firstLine="3360" w:firstLineChars="140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表3  现有标准：</w:t>
      </w:r>
    </w:p>
    <w:tbl>
      <w:tblPr>
        <w:tblStyle w:val="5"/>
        <w:tblpPr w:leftFromText="180" w:rightFromText="180" w:vertAnchor="text" w:horzAnchor="page" w:tblpX="1715" w:tblpY="295"/>
        <w:tblOverlap w:val="never"/>
        <w:tblW w:w="8500" w:type="dxa"/>
        <w:tblInd w:w="0" w:type="dxa"/>
        <w:tblLayout w:type="fixed"/>
        <w:tblCellMar>
          <w:top w:w="0" w:type="dxa"/>
          <w:left w:w="10" w:type="dxa"/>
          <w:bottom w:w="0" w:type="dxa"/>
          <w:right w:w="10" w:type="dxa"/>
        </w:tblCellMar>
      </w:tblPr>
      <w:tblGrid>
        <w:gridCol w:w="1399"/>
        <w:gridCol w:w="1000"/>
        <w:gridCol w:w="990"/>
        <w:gridCol w:w="980"/>
        <w:gridCol w:w="970"/>
        <w:gridCol w:w="960"/>
        <w:gridCol w:w="940"/>
        <w:gridCol w:w="1261"/>
      </w:tblGrid>
      <w:tr>
        <w:tblPrEx>
          <w:tblCellMar>
            <w:top w:w="0" w:type="dxa"/>
            <w:left w:w="10" w:type="dxa"/>
            <w:bottom w:w="0" w:type="dxa"/>
            <w:right w:w="10" w:type="dxa"/>
          </w:tblCellMar>
        </w:tblPrEx>
        <w:trPr>
          <w:trHeight w:val="674" w:hRule="exact"/>
        </w:trPr>
        <w:tc>
          <w:tcPr>
            <w:tcW w:w="1399" w:type="dxa"/>
            <w:vMerge w:val="restart"/>
            <w:tcBorders>
              <w:top w:val="single" w:color="auto" w:sz="4" w:space="0"/>
              <w:left w:val="single" w:color="auto" w:sz="4" w:space="0"/>
            </w:tcBorders>
            <w:shd w:val="clear" w:color="auto" w:fill="FFFFFF"/>
            <w:vAlign w:val="center"/>
          </w:tcPr>
          <w:p>
            <w:pPr>
              <w:pStyle w:val="8"/>
              <w:keepNext w:val="0"/>
              <w:keepLines w:val="0"/>
              <w:pageBreakBefore w:val="0"/>
              <w:widowControl w:val="0"/>
              <w:shd w:val="clear" w:color="auto" w:fill="auto"/>
              <w:kinsoku/>
              <w:wordWrap/>
              <w:overflowPunct/>
              <w:topLinePunct w:val="0"/>
              <w:autoSpaceDE/>
              <w:autoSpaceDN/>
              <w:bidi w:val="0"/>
              <w:spacing w:before="0" w:after="0" w:line="360" w:lineRule="auto"/>
              <w:ind w:left="0" w:right="0" w:firstLine="0"/>
              <w:jc w:val="center"/>
              <w:textAlignment w:val="auto"/>
              <w:rPr>
                <w:rFonts w:hint="default"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Cu含量不少于/%</w:t>
            </w:r>
          </w:p>
        </w:tc>
        <w:tc>
          <w:tcPr>
            <w:tcW w:w="7101" w:type="dxa"/>
            <w:gridSpan w:val="7"/>
            <w:tcBorders>
              <w:top w:val="single" w:color="auto" w:sz="4" w:space="0"/>
              <w:left w:val="single" w:color="auto" w:sz="4" w:space="0"/>
              <w:right w:val="single" w:color="auto" w:sz="4" w:space="0"/>
            </w:tcBorders>
            <w:shd w:val="clear" w:color="auto" w:fill="FFFFFF"/>
            <w:vAlign w:val="center"/>
          </w:tcPr>
          <w:p>
            <w:pPr>
              <w:pStyle w:val="8"/>
              <w:keepNext w:val="0"/>
              <w:keepLines w:val="0"/>
              <w:pageBreakBefore w:val="0"/>
              <w:widowControl w:val="0"/>
              <w:shd w:val="clear" w:color="auto" w:fill="auto"/>
              <w:kinsoku/>
              <w:wordWrap/>
              <w:overflowPunct/>
              <w:topLinePunct w:val="0"/>
              <w:autoSpaceDE/>
              <w:autoSpaceDN/>
              <w:bidi w:val="0"/>
              <w:spacing w:before="0" w:after="0" w:line="360" w:lineRule="auto"/>
              <w:ind w:left="0" w:right="0" w:firstLine="0"/>
              <w:jc w:val="center"/>
              <w:textAlignment w:val="auto"/>
              <w:rPr>
                <w:rFonts w:hint="default" w:asciiTheme="majorEastAsia" w:hAnsiTheme="majorEastAsia" w:eastAsiaTheme="majorEastAsia" w:cstheme="majorEastAsia"/>
                <w:color w:val="4C4C4C"/>
                <w:spacing w:val="0"/>
                <w:w w:val="100"/>
                <w:position w:val="0"/>
                <w:sz w:val="24"/>
                <w:szCs w:val="24"/>
                <w:highlight w:val="none"/>
                <w:lang w:val="en-US" w:eastAsia="zh-CN" w:bidi="zh-TW"/>
              </w:rPr>
            </w:pPr>
            <w:r>
              <w:rPr>
                <w:rFonts w:hint="eastAsia" w:asciiTheme="majorEastAsia" w:hAnsiTheme="majorEastAsia" w:eastAsiaTheme="majorEastAsia" w:cstheme="majorEastAsia"/>
                <w:color w:val="4C4C4C"/>
                <w:spacing w:val="0"/>
                <w:w w:val="100"/>
                <w:position w:val="0"/>
                <w:sz w:val="24"/>
                <w:szCs w:val="24"/>
                <w:highlight w:val="none"/>
                <w:lang w:val="en-US" w:eastAsia="zh-CN" w:bidi="zh-TW"/>
              </w:rPr>
              <w:t>质量分数（</w:t>
            </w:r>
            <w:r>
              <w:rPr>
                <w:rFonts w:hint="eastAsia" w:ascii="微软雅黑" w:hAnsi="微软雅黑" w:eastAsia="微软雅黑" w:cs="微软雅黑"/>
                <w:color w:val="4C4C4C"/>
                <w:spacing w:val="0"/>
                <w:w w:val="100"/>
                <w:position w:val="0"/>
                <w:sz w:val="24"/>
                <w:szCs w:val="24"/>
                <w:highlight w:val="none"/>
                <w:lang w:val="en-US" w:eastAsia="zh-CN" w:bidi="zh-TW"/>
              </w:rPr>
              <w:t>×</w:t>
            </w:r>
            <w:r>
              <w:rPr>
                <w:rFonts w:hint="eastAsia" w:asciiTheme="majorEastAsia" w:hAnsiTheme="majorEastAsia" w:eastAsiaTheme="majorEastAsia" w:cstheme="majorEastAsia"/>
                <w:color w:val="4C4C4C"/>
                <w:spacing w:val="0"/>
                <w:w w:val="100"/>
                <w:position w:val="0"/>
                <w:sz w:val="24"/>
                <w:szCs w:val="24"/>
                <w:highlight w:val="none"/>
                <w:lang w:val="en-US" w:eastAsia="zh-CN" w:bidi="zh-TW"/>
              </w:rPr>
              <w:t>10</w:t>
            </w:r>
            <w:r>
              <w:rPr>
                <w:rFonts w:hint="eastAsia" w:ascii="微软雅黑" w:hAnsi="微软雅黑" w:eastAsia="微软雅黑" w:cs="微软雅黑"/>
                <w:color w:val="4C4C4C"/>
                <w:spacing w:val="0"/>
                <w:w w:val="100"/>
                <w:position w:val="0"/>
                <w:sz w:val="24"/>
                <w:szCs w:val="24"/>
                <w:highlight w:val="none"/>
                <w:lang w:val="en-US" w:eastAsia="zh-CN" w:bidi="zh-TW"/>
              </w:rPr>
              <w:t>-⁶</w:t>
            </w:r>
          </w:p>
          <w:p>
            <w:pPr>
              <w:pStyle w:val="8"/>
              <w:keepNext w:val="0"/>
              <w:keepLines w:val="0"/>
              <w:pageBreakBefore w:val="0"/>
              <w:widowControl w:val="0"/>
              <w:shd w:val="clear" w:color="auto" w:fill="auto"/>
              <w:kinsoku/>
              <w:wordWrap/>
              <w:overflowPunct/>
              <w:topLinePunct w:val="0"/>
              <w:autoSpaceDE/>
              <w:autoSpaceDN/>
              <w:bidi w:val="0"/>
              <w:spacing w:before="0" w:after="0" w:line="360" w:lineRule="auto"/>
              <w:ind w:left="0" w:right="0" w:firstLine="0"/>
              <w:jc w:val="center"/>
              <w:textAlignment w:val="auto"/>
              <w:rPr>
                <w:rFonts w:hint="eastAsia" w:asciiTheme="majorEastAsia" w:hAnsiTheme="majorEastAsia" w:eastAsiaTheme="majorEastAsia" w:cstheme="majorEastAsia"/>
                <w:sz w:val="24"/>
                <w:szCs w:val="24"/>
                <w:highlight w:val="none"/>
              </w:rPr>
            </w:pPr>
          </w:p>
        </w:tc>
      </w:tr>
      <w:tr>
        <w:tblPrEx>
          <w:tblCellMar>
            <w:top w:w="0" w:type="dxa"/>
            <w:left w:w="10" w:type="dxa"/>
            <w:bottom w:w="0" w:type="dxa"/>
            <w:right w:w="10" w:type="dxa"/>
          </w:tblCellMar>
        </w:tblPrEx>
        <w:trPr>
          <w:trHeight w:val="359" w:hRule="exact"/>
        </w:trPr>
        <w:tc>
          <w:tcPr>
            <w:tcW w:w="1399" w:type="dxa"/>
            <w:vMerge w:val="continue"/>
            <w:tcBorders>
              <w:left w:val="single" w:color="auto" w:sz="4" w:space="0"/>
            </w:tcBorders>
            <w:shd w:val="clear" w:color="auto" w:fill="FFFFFF"/>
            <w:vAlign w:val="center"/>
          </w:tcPr>
          <w:p>
            <w:pPr>
              <w:pStyle w:val="8"/>
              <w:keepNext w:val="0"/>
              <w:keepLines w:val="0"/>
              <w:pageBreakBefore w:val="0"/>
              <w:widowControl w:val="0"/>
              <w:shd w:val="clear" w:color="auto" w:fill="auto"/>
              <w:kinsoku/>
              <w:wordWrap/>
              <w:overflowPunct/>
              <w:topLinePunct w:val="0"/>
              <w:autoSpaceDE/>
              <w:autoSpaceDN/>
              <w:bidi w:val="0"/>
              <w:spacing w:before="0" w:after="0" w:line="360" w:lineRule="auto"/>
              <w:ind w:left="0" w:right="0" w:firstLine="0"/>
              <w:jc w:val="center"/>
              <w:textAlignment w:val="auto"/>
              <w:rPr>
                <w:rFonts w:hint="eastAsia" w:asciiTheme="majorEastAsia" w:hAnsiTheme="majorEastAsia" w:eastAsiaTheme="majorEastAsia" w:cstheme="majorEastAsia"/>
                <w:sz w:val="24"/>
                <w:szCs w:val="24"/>
                <w:highlight w:val="none"/>
              </w:rPr>
            </w:pPr>
          </w:p>
        </w:tc>
        <w:tc>
          <w:tcPr>
            <w:tcW w:w="1000" w:type="dxa"/>
            <w:tcBorders>
              <w:top w:val="single" w:color="auto" w:sz="4" w:space="0"/>
              <w:left w:val="single" w:color="auto" w:sz="4" w:space="0"/>
            </w:tcBorders>
            <w:shd w:val="clear" w:color="auto" w:fill="FFFFFF"/>
            <w:vAlign w:val="center"/>
          </w:tcPr>
          <w:p>
            <w:pPr>
              <w:pStyle w:val="8"/>
              <w:keepNext w:val="0"/>
              <w:keepLines w:val="0"/>
              <w:pageBreakBefore w:val="0"/>
              <w:widowControl w:val="0"/>
              <w:shd w:val="clear" w:color="auto" w:fill="auto"/>
              <w:kinsoku/>
              <w:wordWrap/>
              <w:overflowPunct/>
              <w:topLinePunct w:val="0"/>
              <w:autoSpaceDE/>
              <w:autoSpaceDN/>
              <w:bidi w:val="0"/>
              <w:spacing w:before="0" w:after="0" w:line="360" w:lineRule="auto"/>
              <w:ind w:left="0" w:right="0" w:firstLine="0"/>
              <w:jc w:val="center"/>
              <w:textAlignment w:val="auto"/>
              <w:rPr>
                <w:rFonts w:hint="default"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Ag</w:t>
            </w:r>
          </w:p>
        </w:tc>
        <w:tc>
          <w:tcPr>
            <w:tcW w:w="990" w:type="dxa"/>
            <w:tcBorders>
              <w:top w:val="single" w:color="auto" w:sz="4" w:space="0"/>
              <w:left w:val="single" w:color="auto" w:sz="4" w:space="0"/>
            </w:tcBorders>
            <w:shd w:val="clear" w:color="auto" w:fill="FFFFFF"/>
            <w:vAlign w:val="center"/>
          </w:tcPr>
          <w:p>
            <w:pPr>
              <w:pStyle w:val="8"/>
              <w:keepNext w:val="0"/>
              <w:keepLines w:val="0"/>
              <w:pageBreakBefore w:val="0"/>
              <w:widowControl w:val="0"/>
              <w:shd w:val="clear" w:color="auto" w:fill="auto"/>
              <w:kinsoku/>
              <w:wordWrap/>
              <w:overflowPunct/>
              <w:topLinePunct w:val="0"/>
              <w:autoSpaceDE/>
              <w:autoSpaceDN/>
              <w:bidi w:val="0"/>
              <w:spacing w:before="0" w:after="0" w:line="360" w:lineRule="auto"/>
              <w:ind w:left="0" w:leftChars="0" w:right="0" w:firstLine="240" w:firstLineChars="100"/>
              <w:jc w:val="both"/>
              <w:textAlignment w:val="auto"/>
              <w:rPr>
                <w:rFonts w:hint="default"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Fe</w:t>
            </w:r>
          </w:p>
        </w:tc>
        <w:tc>
          <w:tcPr>
            <w:tcW w:w="980" w:type="dxa"/>
            <w:tcBorders>
              <w:top w:val="single" w:color="auto" w:sz="4" w:space="0"/>
              <w:left w:val="single" w:color="auto" w:sz="4" w:space="0"/>
            </w:tcBorders>
            <w:shd w:val="clear" w:color="auto" w:fill="FFFFFF"/>
            <w:vAlign w:val="center"/>
          </w:tcPr>
          <w:p>
            <w:pPr>
              <w:pStyle w:val="8"/>
              <w:keepNext w:val="0"/>
              <w:keepLines w:val="0"/>
              <w:pageBreakBefore w:val="0"/>
              <w:widowControl w:val="0"/>
              <w:shd w:val="clear" w:color="auto" w:fill="auto"/>
              <w:kinsoku/>
              <w:wordWrap/>
              <w:overflowPunct/>
              <w:topLinePunct w:val="0"/>
              <w:autoSpaceDE/>
              <w:autoSpaceDN/>
              <w:bidi w:val="0"/>
              <w:spacing w:before="0" w:after="0" w:line="360" w:lineRule="auto"/>
              <w:ind w:left="0" w:right="0" w:firstLine="0"/>
              <w:jc w:val="center"/>
              <w:textAlignment w:val="auto"/>
              <w:rPr>
                <w:rFonts w:hint="default"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Pb</w:t>
            </w:r>
          </w:p>
        </w:tc>
        <w:tc>
          <w:tcPr>
            <w:tcW w:w="97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pageBreakBefore w:val="0"/>
              <w:widowControl w:val="0"/>
              <w:shd w:val="clear" w:color="auto" w:fill="auto"/>
              <w:kinsoku/>
              <w:wordWrap/>
              <w:overflowPunct/>
              <w:topLinePunct w:val="0"/>
              <w:autoSpaceDE/>
              <w:autoSpaceDN/>
              <w:bidi w:val="0"/>
              <w:spacing w:before="0" w:after="0" w:line="360" w:lineRule="auto"/>
              <w:ind w:left="0" w:right="0" w:firstLine="0"/>
              <w:jc w:val="center"/>
              <w:textAlignment w:val="auto"/>
              <w:rPr>
                <w:rFonts w:hint="default"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Ni</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pageBreakBefore w:val="0"/>
              <w:widowControl w:val="0"/>
              <w:shd w:val="clear" w:color="auto" w:fill="auto"/>
              <w:kinsoku/>
              <w:wordWrap/>
              <w:overflowPunct/>
              <w:topLinePunct w:val="0"/>
              <w:autoSpaceDE/>
              <w:autoSpaceDN/>
              <w:bidi w:val="0"/>
              <w:spacing w:before="0" w:after="0" w:line="360" w:lineRule="auto"/>
              <w:ind w:left="0" w:right="0" w:firstLine="0"/>
              <w:jc w:val="center"/>
              <w:textAlignment w:val="auto"/>
              <w:rPr>
                <w:rFonts w:hint="default"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Mg</w:t>
            </w: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pageBreakBefore w:val="0"/>
              <w:widowControl w:val="0"/>
              <w:shd w:val="clear" w:color="auto" w:fill="auto"/>
              <w:kinsoku/>
              <w:wordWrap/>
              <w:overflowPunct/>
              <w:topLinePunct w:val="0"/>
              <w:autoSpaceDE/>
              <w:autoSpaceDN/>
              <w:bidi w:val="0"/>
              <w:spacing w:before="0" w:after="0" w:line="360" w:lineRule="auto"/>
              <w:ind w:left="0" w:right="0" w:firstLine="0"/>
              <w:jc w:val="center"/>
              <w:textAlignment w:val="auto"/>
              <w:rPr>
                <w:rFonts w:hint="default" w:asciiTheme="majorEastAsia" w:hAnsiTheme="majorEastAsia" w:eastAsiaTheme="majorEastAsia" w:cstheme="majorEastAsia"/>
                <w:spacing w:val="0"/>
                <w:w w:val="100"/>
                <w:position w:val="0"/>
                <w:sz w:val="24"/>
                <w:szCs w:val="24"/>
                <w:highlight w:val="none"/>
                <w:lang w:val="en-US" w:eastAsia="zh-CN" w:bidi="en-US"/>
              </w:rPr>
            </w:pPr>
            <w:r>
              <w:rPr>
                <w:rFonts w:hint="eastAsia" w:asciiTheme="majorEastAsia" w:hAnsiTheme="majorEastAsia" w:eastAsiaTheme="majorEastAsia" w:cstheme="majorEastAsia"/>
                <w:spacing w:val="0"/>
                <w:w w:val="100"/>
                <w:position w:val="0"/>
                <w:sz w:val="24"/>
                <w:szCs w:val="24"/>
                <w:highlight w:val="none"/>
                <w:lang w:val="en-US" w:eastAsia="zh-CN" w:bidi="en-US"/>
              </w:rPr>
              <w:t>Si</w:t>
            </w:r>
          </w:p>
        </w:tc>
        <w:tc>
          <w:tcPr>
            <w:tcW w:w="126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pageBreakBefore w:val="0"/>
              <w:widowControl w:val="0"/>
              <w:shd w:val="clear" w:color="auto" w:fill="auto"/>
              <w:kinsoku/>
              <w:wordWrap/>
              <w:overflowPunct/>
              <w:topLinePunct w:val="0"/>
              <w:autoSpaceDE/>
              <w:autoSpaceDN/>
              <w:bidi w:val="0"/>
              <w:spacing w:before="0" w:after="0" w:line="360" w:lineRule="auto"/>
              <w:ind w:left="0" w:right="0" w:firstLine="0"/>
              <w:jc w:val="center"/>
              <w:textAlignment w:val="auto"/>
              <w:rPr>
                <w:rFonts w:hint="default" w:asciiTheme="majorEastAsia" w:hAnsiTheme="majorEastAsia" w:eastAsiaTheme="majorEastAsia" w:cstheme="majorEastAsia"/>
                <w:spacing w:val="0"/>
                <w:w w:val="100"/>
                <w:position w:val="0"/>
                <w:sz w:val="24"/>
                <w:szCs w:val="24"/>
                <w:highlight w:val="none"/>
                <w:lang w:val="en-US" w:eastAsia="zh-CN" w:bidi="en-US"/>
              </w:rPr>
            </w:pPr>
            <w:r>
              <w:rPr>
                <w:rFonts w:hint="eastAsia" w:asciiTheme="majorEastAsia" w:hAnsiTheme="majorEastAsia" w:eastAsiaTheme="majorEastAsia" w:cstheme="majorEastAsia"/>
                <w:spacing w:val="0"/>
                <w:w w:val="100"/>
                <w:position w:val="0"/>
                <w:sz w:val="24"/>
                <w:szCs w:val="24"/>
                <w:highlight w:val="none"/>
                <w:lang w:val="en-US" w:eastAsia="zh-CN" w:bidi="en-US"/>
              </w:rPr>
              <w:t>杂质总量</w:t>
            </w:r>
          </w:p>
        </w:tc>
      </w:tr>
      <w:tr>
        <w:tblPrEx>
          <w:tblCellMar>
            <w:top w:w="0" w:type="dxa"/>
            <w:left w:w="10" w:type="dxa"/>
            <w:bottom w:w="0" w:type="dxa"/>
            <w:right w:w="10" w:type="dxa"/>
          </w:tblCellMar>
        </w:tblPrEx>
        <w:trPr>
          <w:trHeight w:val="420" w:hRule="exact"/>
        </w:trPr>
        <w:tc>
          <w:tcPr>
            <w:tcW w:w="1399" w:type="dxa"/>
            <w:tcBorders>
              <w:top w:val="single" w:color="auto" w:sz="4" w:space="0"/>
              <w:left w:val="single" w:color="auto" w:sz="4" w:space="0"/>
              <w:bottom w:val="single" w:color="auto" w:sz="4" w:space="0"/>
            </w:tcBorders>
            <w:shd w:val="clear" w:color="auto" w:fill="FFFFFF"/>
            <w:vAlign w:val="center"/>
          </w:tcPr>
          <w:p>
            <w:pPr>
              <w:pStyle w:val="8"/>
              <w:keepNext w:val="0"/>
              <w:keepLines w:val="0"/>
              <w:pageBreakBefore w:val="0"/>
              <w:widowControl w:val="0"/>
              <w:shd w:val="clear" w:color="auto" w:fill="auto"/>
              <w:kinsoku/>
              <w:wordWrap/>
              <w:overflowPunct/>
              <w:topLinePunct w:val="0"/>
              <w:autoSpaceDE/>
              <w:autoSpaceDN/>
              <w:bidi w:val="0"/>
              <w:spacing w:before="0" w:after="0" w:line="360" w:lineRule="auto"/>
              <w:ind w:left="0" w:right="0" w:firstLine="0"/>
              <w:jc w:val="center"/>
              <w:textAlignment w:val="auto"/>
              <w:rPr>
                <w:rFonts w:hint="default"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99.99</w:t>
            </w:r>
          </w:p>
        </w:tc>
        <w:tc>
          <w:tcPr>
            <w:tcW w:w="1000" w:type="dxa"/>
            <w:tcBorders>
              <w:top w:val="single" w:color="auto" w:sz="4" w:space="0"/>
              <w:left w:val="single" w:color="auto" w:sz="4" w:space="0"/>
              <w:bottom w:val="single" w:color="auto" w:sz="4" w:space="0"/>
            </w:tcBorders>
            <w:shd w:val="clear" w:color="auto" w:fill="FFFFFF"/>
            <w:vAlign w:val="center"/>
          </w:tcPr>
          <w:p>
            <w:pPr>
              <w:pStyle w:val="8"/>
              <w:keepNext w:val="0"/>
              <w:keepLines w:val="0"/>
              <w:pageBreakBefore w:val="0"/>
              <w:widowControl w:val="0"/>
              <w:shd w:val="clear" w:color="auto" w:fill="auto"/>
              <w:kinsoku/>
              <w:wordWrap/>
              <w:overflowPunct/>
              <w:topLinePunct w:val="0"/>
              <w:autoSpaceDE/>
              <w:autoSpaceDN/>
              <w:bidi w:val="0"/>
              <w:spacing w:before="0" w:after="0" w:line="360" w:lineRule="auto"/>
              <w:ind w:left="0" w:right="0" w:firstLine="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≦20</w:t>
            </w:r>
          </w:p>
        </w:tc>
        <w:tc>
          <w:tcPr>
            <w:tcW w:w="990" w:type="dxa"/>
            <w:tcBorders>
              <w:top w:val="single" w:color="auto" w:sz="4" w:space="0"/>
              <w:left w:val="single" w:color="auto" w:sz="4" w:space="0"/>
              <w:bottom w:val="single" w:color="auto" w:sz="4" w:space="0"/>
            </w:tcBorders>
            <w:shd w:val="clear" w:color="auto" w:fill="FFFFFF"/>
            <w:vAlign w:val="center"/>
          </w:tcPr>
          <w:p>
            <w:pPr>
              <w:pStyle w:val="8"/>
              <w:keepNext w:val="0"/>
              <w:keepLines w:val="0"/>
              <w:pageBreakBefore w:val="0"/>
              <w:widowControl w:val="0"/>
              <w:shd w:val="clear" w:color="auto" w:fill="auto"/>
              <w:kinsoku/>
              <w:wordWrap/>
              <w:overflowPunct/>
              <w:topLinePunct w:val="0"/>
              <w:autoSpaceDE/>
              <w:autoSpaceDN/>
              <w:bidi w:val="0"/>
              <w:spacing w:before="0" w:after="0" w:line="360" w:lineRule="auto"/>
              <w:ind w:left="0" w:right="0" w:firstLine="0"/>
              <w:jc w:val="center"/>
              <w:textAlignment w:val="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≦10</w:t>
            </w:r>
          </w:p>
        </w:tc>
        <w:tc>
          <w:tcPr>
            <w:tcW w:w="980" w:type="dxa"/>
            <w:tcBorders>
              <w:top w:val="single" w:color="auto" w:sz="4" w:space="0"/>
              <w:left w:val="single" w:color="auto" w:sz="4" w:space="0"/>
              <w:bottom w:val="single" w:color="auto" w:sz="4" w:space="0"/>
            </w:tcBorders>
            <w:shd w:val="clear" w:color="auto" w:fill="FFFFFF"/>
            <w:vAlign w:val="center"/>
          </w:tcPr>
          <w:p>
            <w:pPr>
              <w:pStyle w:val="8"/>
              <w:keepNext w:val="0"/>
              <w:keepLines w:val="0"/>
              <w:pageBreakBefore w:val="0"/>
              <w:widowControl w:val="0"/>
              <w:shd w:val="clear" w:color="auto" w:fill="auto"/>
              <w:kinsoku/>
              <w:wordWrap/>
              <w:overflowPunct/>
              <w:topLinePunct w:val="0"/>
              <w:autoSpaceDE/>
              <w:autoSpaceDN/>
              <w:bidi w:val="0"/>
              <w:spacing w:before="0" w:after="0" w:line="360" w:lineRule="auto"/>
              <w:ind w:left="0" w:right="0" w:firstLine="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9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spacing w:before="0" w:after="0" w:line="360" w:lineRule="auto"/>
              <w:ind w:left="0" w:right="0" w:firstLine="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p>
        </w:tc>
        <w:tc>
          <w:tcPr>
            <w:tcW w:w="9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w:t>
            </w:r>
          </w:p>
        </w:tc>
        <w:tc>
          <w:tcPr>
            <w:tcW w:w="126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＜100</w:t>
            </w:r>
          </w:p>
        </w:tc>
      </w:tr>
    </w:tbl>
    <w:p>
      <w:pPr>
        <w:keepNext w:val="0"/>
        <w:keepLines w:val="0"/>
        <w:pageBreakBefore w:val="0"/>
        <w:widowControl w:val="0"/>
        <w:numPr>
          <w:ilvl w:val="0"/>
          <w:numId w:val="0"/>
        </w:numPr>
        <w:kinsoku/>
        <w:wordWrap/>
        <w:overflowPunct/>
        <w:topLinePunct w:val="0"/>
        <w:autoSpaceDE/>
        <w:autoSpaceDN/>
        <w:bidi w:val="0"/>
        <w:spacing w:line="360" w:lineRule="auto"/>
        <w:ind w:firstLine="4080" w:firstLineChars="1700"/>
        <w:textAlignment w:val="auto"/>
        <w:rPr>
          <w:rFonts w:hint="eastAsia" w:asciiTheme="majorEastAsia" w:hAnsiTheme="majorEastAsia" w:eastAsiaTheme="majorEastAsia" w:cstheme="majorEastAsia"/>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ind w:firstLine="3360" w:firstLineChars="140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表4   修改后标准：</w:t>
      </w:r>
    </w:p>
    <w:tbl>
      <w:tblPr>
        <w:tblStyle w:val="5"/>
        <w:tblpPr w:leftFromText="180" w:rightFromText="180" w:vertAnchor="text" w:horzAnchor="page" w:tblpX="1374" w:tblpY="179"/>
        <w:tblOverlap w:val="never"/>
        <w:tblW w:w="9135" w:type="dxa"/>
        <w:tblInd w:w="0" w:type="dxa"/>
        <w:tblLayout w:type="fixed"/>
        <w:tblCellMar>
          <w:top w:w="0" w:type="dxa"/>
          <w:left w:w="10" w:type="dxa"/>
          <w:bottom w:w="0" w:type="dxa"/>
          <w:right w:w="10" w:type="dxa"/>
        </w:tblCellMar>
      </w:tblPr>
      <w:tblGrid>
        <w:gridCol w:w="870"/>
        <w:gridCol w:w="1650"/>
        <w:gridCol w:w="1594"/>
        <w:gridCol w:w="761"/>
        <w:gridCol w:w="31"/>
        <w:gridCol w:w="854"/>
        <w:gridCol w:w="870"/>
        <w:gridCol w:w="780"/>
        <w:gridCol w:w="870"/>
        <w:gridCol w:w="855"/>
      </w:tblGrid>
      <w:tr>
        <w:tblPrEx>
          <w:tblCellMar>
            <w:top w:w="0" w:type="dxa"/>
            <w:left w:w="10" w:type="dxa"/>
            <w:bottom w:w="0" w:type="dxa"/>
            <w:right w:w="10" w:type="dxa"/>
          </w:tblCellMar>
        </w:tblPrEx>
        <w:trPr>
          <w:trHeight w:val="341" w:hRule="exact"/>
        </w:trPr>
        <w:tc>
          <w:tcPr>
            <w:tcW w:w="870" w:type="dxa"/>
            <w:vMerge w:val="restart"/>
            <w:tcBorders>
              <w:top w:val="single" w:color="auto" w:sz="4" w:space="0"/>
              <w:left w:val="single" w:color="auto" w:sz="4" w:space="0"/>
            </w:tcBorders>
            <w:shd w:val="clear" w:color="auto" w:fill="FFFFFF"/>
            <w:vAlign w:val="center"/>
          </w:tcPr>
          <w:p>
            <w:pPr>
              <w:jc w:val="center"/>
              <w:rPr>
                <w:lang w:eastAsia="zh-CN"/>
              </w:rPr>
            </w:pPr>
            <w:r>
              <w:rPr>
                <w:rFonts w:hint="eastAsia"/>
                <w:lang w:eastAsia="zh-CN"/>
              </w:rPr>
              <w:t>牌号</w:t>
            </w:r>
          </w:p>
        </w:tc>
        <w:tc>
          <w:tcPr>
            <w:tcW w:w="1650" w:type="dxa"/>
            <w:vMerge w:val="restart"/>
            <w:tcBorders>
              <w:top w:val="single" w:color="auto" w:sz="4" w:space="0"/>
              <w:left w:val="single" w:color="auto" w:sz="4" w:space="0"/>
            </w:tcBorders>
            <w:shd w:val="clear" w:color="auto" w:fill="FFFFFF"/>
            <w:vAlign w:val="center"/>
          </w:tcPr>
          <w:p>
            <w:pPr>
              <w:jc w:val="center"/>
              <w:rPr>
                <w:lang w:eastAsia="zh-CN"/>
              </w:rPr>
            </w:pPr>
            <w:r>
              <w:rPr>
                <w:rFonts w:hint="eastAsia"/>
                <w:lang w:eastAsia="zh-CN"/>
              </w:rPr>
              <w:t>主要成分/%</w:t>
            </w:r>
          </w:p>
        </w:tc>
        <w:tc>
          <w:tcPr>
            <w:tcW w:w="1594" w:type="dxa"/>
            <w:vMerge w:val="restart"/>
            <w:tcBorders>
              <w:top w:val="single" w:color="auto" w:sz="4" w:space="0"/>
              <w:left w:val="single" w:color="auto" w:sz="4" w:space="0"/>
              <w:right w:val="single" w:color="auto" w:sz="4" w:space="0"/>
            </w:tcBorders>
            <w:shd w:val="clear" w:color="auto" w:fill="FFFFFF"/>
            <w:vAlign w:val="center"/>
          </w:tcPr>
          <w:p>
            <w:pPr>
              <w:jc w:val="center"/>
              <w:rPr>
                <w:lang w:eastAsia="zh-CN"/>
              </w:rPr>
            </w:pPr>
            <w:r>
              <w:rPr>
                <w:rFonts w:hint="eastAsia"/>
                <w:lang w:eastAsia="zh-CN"/>
              </w:rPr>
              <w:t>其他含量/%</w:t>
            </w:r>
          </w:p>
        </w:tc>
        <w:tc>
          <w:tcPr>
            <w:tcW w:w="5021"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lang w:eastAsia="zh-CN"/>
              </w:rPr>
            </w:pPr>
            <w:r>
              <w:rPr>
                <w:rFonts w:hint="eastAsia"/>
                <w:lang w:eastAsia="zh-CN"/>
              </w:rPr>
              <w:t>杂质元素不大于/%</w:t>
            </w:r>
          </w:p>
        </w:tc>
      </w:tr>
      <w:tr>
        <w:tblPrEx>
          <w:tblCellMar>
            <w:top w:w="0" w:type="dxa"/>
            <w:left w:w="10" w:type="dxa"/>
            <w:bottom w:w="0" w:type="dxa"/>
            <w:right w:w="10" w:type="dxa"/>
          </w:tblCellMar>
        </w:tblPrEx>
        <w:trPr>
          <w:trHeight w:val="377" w:hRule="exact"/>
        </w:trPr>
        <w:tc>
          <w:tcPr>
            <w:tcW w:w="870" w:type="dxa"/>
            <w:vMerge w:val="continue"/>
            <w:tcBorders>
              <w:left w:val="single" w:color="auto" w:sz="4" w:space="0"/>
              <w:bottom w:val="single" w:color="auto" w:sz="4" w:space="0"/>
            </w:tcBorders>
            <w:shd w:val="clear" w:color="auto" w:fill="FFFFFF"/>
            <w:vAlign w:val="center"/>
          </w:tcPr>
          <w:p>
            <w:pPr>
              <w:jc w:val="center"/>
              <w:rPr>
                <w:lang w:eastAsia="zh-CN"/>
              </w:rPr>
            </w:pPr>
          </w:p>
        </w:tc>
        <w:tc>
          <w:tcPr>
            <w:tcW w:w="1650" w:type="dxa"/>
            <w:vMerge w:val="continue"/>
            <w:tcBorders>
              <w:left w:val="single" w:color="auto" w:sz="4" w:space="0"/>
              <w:bottom w:val="single" w:color="auto" w:sz="4" w:space="0"/>
            </w:tcBorders>
            <w:shd w:val="clear" w:color="auto" w:fill="FFFFFF"/>
            <w:vAlign w:val="center"/>
          </w:tcPr>
          <w:p>
            <w:pPr>
              <w:jc w:val="center"/>
              <w:rPr>
                <w:lang w:eastAsia="zh-CN"/>
              </w:rPr>
            </w:pPr>
          </w:p>
        </w:tc>
        <w:tc>
          <w:tcPr>
            <w:tcW w:w="1594" w:type="dxa"/>
            <w:vMerge w:val="continue"/>
            <w:tcBorders>
              <w:left w:val="single" w:color="auto" w:sz="4" w:space="0"/>
              <w:bottom w:val="single" w:color="auto" w:sz="4" w:space="0"/>
              <w:right w:val="single" w:color="auto" w:sz="4" w:space="0"/>
            </w:tcBorders>
            <w:shd w:val="clear" w:color="auto" w:fill="FFFFFF"/>
            <w:vAlign w:val="center"/>
          </w:tcPr>
          <w:p>
            <w:pPr>
              <w:jc w:val="center"/>
              <w:rPr>
                <w:lang w:eastAsia="zh-CN"/>
              </w:rPr>
            </w:pPr>
          </w:p>
        </w:tc>
        <w:tc>
          <w:tcPr>
            <w:tcW w:w="76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lang w:eastAsia="zh-CN"/>
              </w:rPr>
            </w:pPr>
            <w:r>
              <w:rPr>
                <w:rFonts w:hint="eastAsia"/>
                <w:lang w:eastAsia="zh-CN"/>
              </w:rPr>
              <w:t>Ag</w:t>
            </w:r>
          </w:p>
        </w:tc>
        <w:tc>
          <w:tcPr>
            <w:tcW w:w="88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lang w:eastAsia="zh-CN"/>
              </w:rPr>
            </w:pPr>
            <w:r>
              <w:rPr>
                <w:rFonts w:hint="eastAsia"/>
                <w:lang w:eastAsia="zh-CN"/>
              </w:rPr>
              <w:t>Fe</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lang w:eastAsia="zh-CN"/>
              </w:rPr>
            </w:pPr>
            <w:r>
              <w:rPr>
                <w:rFonts w:hint="eastAsia"/>
                <w:lang w:eastAsia="zh-CN"/>
              </w:rPr>
              <w:t>Pb</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lang w:eastAsia="zh-CN"/>
              </w:rPr>
            </w:pPr>
            <w:r>
              <w:rPr>
                <w:rFonts w:hint="eastAsia"/>
                <w:lang w:eastAsia="zh-CN"/>
              </w:rPr>
              <w:t>Ni</w:t>
            </w:r>
          </w:p>
        </w:tc>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lang w:eastAsia="zh-CN"/>
              </w:rPr>
            </w:pPr>
            <w:r>
              <w:rPr>
                <w:rFonts w:hint="eastAsia"/>
                <w:lang w:eastAsia="zh-CN"/>
              </w:rPr>
              <w:t>Mg</w:t>
            </w: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lang w:eastAsia="zh-CN"/>
              </w:rPr>
            </w:pPr>
            <w:r>
              <w:rPr>
                <w:rFonts w:hint="eastAsia"/>
                <w:lang w:eastAsia="zh-CN"/>
              </w:rPr>
              <w:t>Si</w:t>
            </w:r>
          </w:p>
        </w:tc>
      </w:tr>
      <w:tr>
        <w:tblPrEx>
          <w:tblCellMar>
            <w:top w:w="0" w:type="dxa"/>
            <w:left w:w="10" w:type="dxa"/>
            <w:bottom w:w="0" w:type="dxa"/>
            <w:right w:w="10" w:type="dxa"/>
          </w:tblCellMar>
        </w:tblPrEx>
        <w:trPr>
          <w:trHeight w:val="449" w:hRule="exact"/>
        </w:trPr>
        <w:tc>
          <w:tcPr>
            <w:tcW w:w="870" w:type="dxa"/>
            <w:tcBorders>
              <w:top w:val="single" w:color="auto" w:sz="4" w:space="0"/>
              <w:left w:val="single" w:color="auto" w:sz="4" w:space="0"/>
              <w:bottom w:val="single" w:color="auto" w:sz="4" w:space="0"/>
            </w:tcBorders>
            <w:shd w:val="clear" w:color="auto" w:fill="FFFFFF"/>
            <w:vAlign w:val="center"/>
          </w:tcPr>
          <w:p>
            <w:pPr>
              <w:jc w:val="center"/>
              <w:rPr>
                <w:lang w:eastAsia="zh-CN"/>
              </w:rPr>
            </w:pPr>
            <w:r>
              <w:rPr>
                <w:rFonts w:hint="eastAsia" w:eastAsia="宋体"/>
                <w:lang w:val="en-US" w:eastAsia="zh-CN"/>
              </w:rPr>
              <w:t>CG</w:t>
            </w:r>
          </w:p>
        </w:tc>
        <w:tc>
          <w:tcPr>
            <w:tcW w:w="1650" w:type="dxa"/>
            <w:tcBorders>
              <w:top w:val="single" w:color="auto" w:sz="4" w:space="0"/>
              <w:left w:val="single" w:color="auto" w:sz="4" w:space="0"/>
              <w:bottom w:val="single" w:color="auto" w:sz="4" w:space="0"/>
            </w:tcBorders>
            <w:shd w:val="clear" w:color="auto" w:fill="FFFFFF"/>
            <w:vAlign w:val="center"/>
          </w:tcPr>
          <w:p>
            <w:pPr>
              <w:jc w:val="center"/>
            </w:pPr>
            <w:r>
              <w:rPr>
                <w:rFonts w:hint="eastAsia"/>
                <w:lang w:eastAsia="zh-CN"/>
              </w:rPr>
              <w:t>≥99.99</w:t>
            </w:r>
          </w:p>
        </w:tc>
        <w:tc>
          <w:tcPr>
            <w:tcW w:w="159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lang w:eastAsia="zh-CN"/>
              </w:rPr>
            </w:pPr>
            <w:r>
              <w:rPr>
                <w:rFonts w:hint="eastAsia"/>
                <w:lang w:eastAsia="zh-CN"/>
              </w:rPr>
              <w:t>/</w:t>
            </w:r>
          </w:p>
        </w:tc>
        <w:tc>
          <w:tcPr>
            <w:tcW w:w="5021"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lang w:eastAsia="zh-CN"/>
              </w:rPr>
            </w:pPr>
            <w:r>
              <w:rPr>
                <w:rFonts w:hint="eastAsia"/>
                <w:lang w:eastAsia="zh-CN"/>
              </w:rPr>
              <w:t>≤0.01</w:t>
            </w:r>
          </w:p>
        </w:tc>
      </w:tr>
      <w:tr>
        <w:tblPrEx>
          <w:tblCellMar>
            <w:top w:w="0" w:type="dxa"/>
            <w:left w:w="10" w:type="dxa"/>
            <w:bottom w:w="0" w:type="dxa"/>
            <w:right w:w="10" w:type="dxa"/>
          </w:tblCellMar>
        </w:tblPrEx>
        <w:trPr>
          <w:trHeight w:val="399" w:hRule="exact"/>
        </w:trPr>
        <w:tc>
          <w:tcPr>
            <w:tcW w:w="870" w:type="dxa"/>
            <w:tcBorders>
              <w:top w:val="single" w:color="auto" w:sz="4" w:space="0"/>
              <w:left w:val="single" w:color="auto" w:sz="4" w:space="0"/>
              <w:bottom w:val="single" w:color="auto" w:sz="4" w:space="0"/>
            </w:tcBorders>
            <w:shd w:val="clear" w:color="auto" w:fill="FFFFFF"/>
            <w:vAlign w:val="center"/>
          </w:tcPr>
          <w:p>
            <w:pPr>
              <w:jc w:val="center"/>
              <w:rPr>
                <w:highlight w:val="none"/>
                <w:lang w:eastAsia="zh-CN"/>
              </w:rPr>
            </w:pPr>
            <w:r>
              <w:rPr>
                <w:rFonts w:hint="eastAsia" w:eastAsia="宋体"/>
                <w:highlight w:val="none"/>
                <w:lang w:val="en-US" w:eastAsia="zh-CN"/>
              </w:rPr>
              <w:t>CA</w:t>
            </w:r>
          </w:p>
        </w:tc>
        <w:tc>
          <w:tcPr>
            <w:tcW w:w="1650" w:type="dxa"/>
            <w:tcBorders>
              <w:top w:val="single" w:color="auto" w:sz="4" w:space="0"/>
              <w:left w:val="single" w:color="auto" w:sz="4" w:space="0"/>
              <w:bottom w:val="single" w:color="auto" w:sz="4" w:space="0"/>
            </w:tcBorders>
            <w:shd w:val="clear" w:color="auto" w:fill="FFFFFF"/>
            <w:vAlign w:val="center"/>
          </w:tcPr>
          <w:p>
            <w:pPr>
              <w:jc w:val="center"/>
              <w:rPr>
                <w:rFonts w:hint="default"/>
                <w:highlight w:val="none"/>
                <w:lang w:val="en-US"/>
              </w:rPr>
            </w:pPr>
            <w:r>
              <w:rPr>
                <w:rFonts w:hint="eastAsia"/>
                <w:highlight w:val="none"/>
                <w:lang w:eastAsia="zh-CN"/>
              </w:rPr>
              <w:t>≥99.0</w:t>
            </w:r>
            <w:r>
              <w:rPr>
                <w:rFonts w:hint="eastAsia"/>
                <w:highlight w:val="none"/>
                <w:lang w:val="en-US" w:eastAsia="zh-CN"/>
              </w:rPr>
              <w:t>0</w:t>
            </w:r>
          </w:p>
        </w:tc>
        <w:tc>
          <w:tcPr>
            <w:tcW w:w="159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highlight w:val="none"/>
              </w:rPr>
            </w:pPr>
            <w:r>
              <w:rPr>
                <w:rFonts w:hint="eastAsia"/>
                <w:highlight w:val="none"/>
                <w:lang w:eastAsia="zh-CN"/>
              </w:rPr>
              <w:t>≤0.99</w:t>
            </w:r>
          </w:p>
        </w:tc>
        <w:tc>
          <w:tcPr>
            <w:tcW w:w="79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highlight w:val="none"/>
                <w:lang w:val="en-US" w:eastAsia="zh-CN"/>
              </w:rPr>
            </w:pPr>
            <w:r>
              <w:rPr>
                <w:rFonts w:hint="eastAsia"/>
                <w:highlight w:val="none"/>
                <w:lang w:val="en-US" w:eastAsia="zh-CN"/>
              </w:rPr>
              <w:t>/</w:t>
            </w:r>
          </w:p>
        </w:tc>
        <w:tc>
          <w:tcPr>
            <w:tcW w:w="4229"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highlight w:val="none"/>
                <w:lang w:eastAsia="zh-CN"/>
              </w:rPr>
            </w:pPr>
            <w:r>
              <w:rPr>
                <w:rFonts w:hint="eastAsia"/>
                <w:highlight w:val="none"/>
                <w:lang w:eastAsia="zh-CN"/>
              </w:rPr>
              <w:t>≤0.01</w:t>
            </w:r>
          </w:p>
        </w:tc>
      </w:tr>
    </w:tbl>
    <w:p>
      <w:pPr>
        <w:keepNext w:val="0"/>
        <w:keepLines w:val="0"/>
        <w:pageBreakBefore w:val="0"/>
        <w:widowControl w:val="0"/>
        <w:numPr>
          <w:ilvl w:val="0"/>
          <w:numId w:val="0"/>
        </w:numPr>
        <w:kinsoku/>
        <w:wordWrap/>
        <w:overflowPunct/>
        <w:topLinePunct w:val="0"/>
        <w:autoSpaceDE/>
        <w:autoSpaceDN/>
        <w:bidi w:val="0"/>
        <w:spacing w:line="360" w:lineRule="auto"/>
        <w:ind w:left="420" w:leftChars="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3.普通铜丝及合金铜丝的力学性能</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通过生产、试验数据、样品测试、其他生产厂商要求获取普通铜丝及合金铜丝力学性能数据。</w:t>
      </w:r>
    </w:p>
    <w:p>
      <w:pPr>
        <w:keepNext w:val="0"/>
        <w:keepLines w:val="0"/>
        <w:pageBreakBefore w:val="0"/>
        <w:widowControl w:val="0"/>
        <w:numPr>
          <w:ilvl w:val="0"/>
          <w:numId w:val="0"/>
        </w:numPr>
        <w:kinsoku/>
        <w:wordWrap/>
        <w:overflowPunct/>
        <w:topLinePunct w:val="0"/>
        <w:autoSpaceDE/>
        <w:autoSpaceDN/>
        <w:bidi w:val="0"/>
        <w:spacing w:line="360" w:lineRule="auto"/>
        <w:ind w:leftChars="20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普通铜丝力学性能：</w:t>
      </w:r>
    </w:p>
    <w:tbl>
      <w:tblPr>
        <w:tblStyle w:val="6"/>
        <w:tblW w:w="936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880"/>
        <w:gridCol w:w="890"/>
        <w:gridCol w:w="910"/>
        <w:gridCol w:w="840"/>
        <w:gridCol w:w="830"/>
        <w:gridCol w:w="860"/>
        <w:gridCol w:w="810"/>
        <w:gridCol w:w="820"/>
        <w:gridCol w:w="890"/>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3" w:hRule="atLeast"/>
        </w:trPr>
        <w:tc>
          <w:tcPr>
            <w:tcW w:w="830" w:type="dxa"/>
          </w:tcPr>
          <w:p>
            <w:pPr>
              <w:keepNext w:val="0"/>
              <w:keepLines w:val="0"/>
              <w:pageBreakBefore w:val="0"/>
              <w:widowControl w:val="0"/>
              <w:numPr>
                <w:ilvl w:val="0"/>
                <w:numId w:val="0"/>
              </w:numPr>
              <w:kinsoku/>
              <w:wordWrap/>
              <w:overflowPunct/>
              <w:topLinePunct w:val="0"/>
              <w:autoSpaceDE/>
              <w:autoSpaceDN/>
              <w:bidi w:val="0"/>
              <w:spacing w:line="360" w:lineRule="auto"/>
              <w:jc w:val="center"/>
              <w:textAlignment w:val="auto"/>
              <w:rPr>
                <w:rFonts w:hint="default" w:asciiTheme="majorEastAsia" w:hAnsiTheme="majorEastAsia" w:eastAsiaTheme="majorEastAsia" w:cstheme="majorEastAsia"/>
                <w:b/>
                <w:bCs/>
                <w:sz w:val="15"/>
                <w:szCs w:val="15"/>
                <w:highlight w:val="none"/>
                <w:vertAlign w:val="baseline"/>
                <w:lang w:val="en-US" w:eastAsia="zh-CN"/>
              </w:rPr>
            </w:pPr>
            <w:r>
              <w:rPr>
                <w:rFonts w:hint="eastAsia" w:asciiTheme="majorEastAsia" w:hAnsiTheme="majorEastAsia" w:eastAsiaTheme="majorEastAsia" w:cstheme="majorEastAsia"/>
                <w:b/>
                <w:bCs/>
                <w:sz w:val="15"/>
                <w:szCs w:val="15"/>
                <w:highlight w:val="none"/>
                <w:vertAlign w:val="baseline"/>
                <w:lang w:val="en-US" w:eastAsia="zh-CN"/>
              </w:rPr>
              <w:t>直径</w:t>
            </w:r>
          </w:p>
        </w:tc>
        <w:tc>
          <w:tcPr>
            <w:tcW w:w="1770" w:type="dxa"/>
            <w:gridSpan w:val="2"/>
          </w:tcPr>
          <w:p>
            <w:pPr>
              <w:keepNext w:val="0"/>
              <w:keepLines w:val="0"/>
              <w:pageBreakBefore w:val="0"/>
              <w:widowControl w:val="0"/>
              <w:numPr>
                <w:ilvl w:val="0"/>
                <w:numId w:val="0"/>
              </w:numPr>
              <w:kinsoku/>
              <w:wordWrap/>
              <w:overflowPunct/>
              <w:topLinePunct w:val="0"/>
              <w:autoSpaceDE/>
              <w:autoSpaceDN/>
              <w:bidi w:val="0"/>
              <w:spacing w:line="360" w:lineRule="auto"/>
              <w:jc w:val="center"/>
              <w:textAlignment w:val="auto"/>
              <w:rPr>
                <w:rFonts w:hint="default" w:asciiTheme="majorEastAsia" w:hAnsiTheme="majorEastAsia" w:eastAsiaTheme="majorEastAsia" w:cstheme="majorEastAsia"/>
                <w:b/>
                <w:bCs/>
                <w:sz w:val="15"/>
                <w:szCs w:val="15"/>
                <w:highlight w:val="none"/>
                <w:vertAlign w:val="baseline"/>
                <w:lang w:val="en-US" w:eastAsia="zh-CN"/>
              </w:rPr>
            </w:pPr>
            <w:r>
              <w:rPr>
                <w:rFonts w:hint="eastAsia" w:asciiTheme="majorEastAsia" w:hAnsiTheme="majorEastAsia" w:eastAsiaTheme="majorEastAsia" w:cstheme="majorEastAsia"/>
                <w:b/>
                <w:bCs/>
                <w:sz w:val="15"/>
                <w:szCs w:val="15"/>
                <w:highlight w:val="none"/>
                <w:vertAlign w:val="baseline"/>
                <w:lang w:val="en-US" w:eastAsia="zh-CN"/>
              </w:rPr>
              <w:t>42</w:t>
            </w:r>
            <w:r>
              <w:rPr>
                <w:rFonts w:hint="eastAsia"/>
                <w:b/>
                <w:bCs/>
                <w:sz w:val="15"/>
                <w:szCs w:val="15"/>
                <w:highlight w:val="none"/>
                <w:lang w:eastAsia="zh-CN"/>
              </w:rPr>
              <w:t>μ</w:t>
            </w:r>
            <w:r>
              <w:rPr>
                <w:rFonts w:hint="eastAsia"/>
                <w:b/>
                <w:bCs/>
                <w:sz w:val="15"/>
                <w:szCs w:val="15"/>
                <w:highlight w:val="none"/>
                <w:lang w:val="en-US" w:eastAsia="en-US"/>
              </w:rPr>
              <w:t>m</w:t>
            </w:r>
          </w:p>
        </w:tc>
        <w:tc>
          <w:tcPr>
            <w:tcW w:w="1750" w:type="dxa"/>
            <w:gridSpan w:val="2"/>
          </w:tcPr>
          <w:p>
            <w:pPr>
              <w:keepNext w:val="0"/>
              <w:keepLines w:val="0"/>
              <w:pageBreakBefore w:val="0"/>
              <w:widowControl w:val="0"/>
              <w:numPr>
                <w:ilvl w:val="0"/>
                <w:numId w:val="0"/>
              </w:numPr>
              <w:kinsoku/>
              <w:wordWrap/>
              <w:overflowPunct/>
              <w:topLinePunct w:val="0"/>
              <w:autoSpaceDE/>
              <w:autoSpaceDN/>
              <w:bidi w:val="0"/>
              <w:spacing w:line="360" w:lineRule="auto"/>
              <w:jc w:val="center"/>
              <w:textAlignment w:val="auto"/>
              <w:rPr>
                <w:rFonts w:hint="default" w:asciiTheme="majorEastAsia" w:hAnsiTheme="majorEastAsia" w:eastAsiaTheme="majorEastAsia" w:cstheme="majorEastAsia"/>
                <w:b/>
                <w:bCs/>
                <w:sz w:val="15"/>
                <w:szCs w:val="15"/>
                <w:highlight w:val="none"/>
                <w:vertAlign w:val="baseline"/>
                <w:lang w:val="en-US" w:eastAsia="zh-CN"/>
              </w:rPr>
            </w:pPr>
            <w:r>
              <w:rPr>
                <w:rFonts w:hint="eastAsia" w:asciiTheme="majorEastAsia" w:hAnsiTheme="majorEastAsia" w:eastAsiaTheme="majorEastAsia" w:cstheme="majorEastAsia"/>
                <w:b/>
                <w:bCs/>
                <w:sz w:val="15"/>
                <w:szCs w:val="15"/>
                <w:highlight w:val="none"/>
                <w:vertAlign w:val="baseline"/>
                <w:lang w:val="en-US" w:eastAsia="zh-CN"/>
              </w:rPr>
              <w:t>45</w:t>
            </w:r>
            <w:r>
              <w:rPr>
                <w:rFonts w:hint="eastAsia"/>
                <w:b/>
                <w:bCs/>
                <w:sz w:val="15"/>
                <w:szCs w:val="15"/>
                <w:highlight w:val="none"/>
                <w:lang w:eastAsia="zh-CN"/>
              </w:rPr>
              <w:t>μ</w:t>
            </w:r>
            <w:r>
              <w:rPr>
                <w:rFonts w:hint="eastAsia"/>
                <w:b/>
                <w:bCs/>
                <w:sz w:val="15"/>
                <w:szCs w:val="15"/>
                <w:highlight w:val="none"/>
                <w:lang w:val="en-US" w:eastAsia="en-US"/>
              </w:rPr>
              <w:t>m</w:t>
            </w:r>
          </w:p>
        </w:tc>
        <w:tc>
          <w:tcPr>
            <w:tcW w:w="1690" w:type="dxa"/>
            <w:gridSpan w:val="2"/>
          </w:tcPr>
          <w:p>
            <w:pPr>
              <w:keepNext w:val="0"/>
              <w:keepLines w:val="0"/>
              <w:pageBreakBefore w:val="0"/>
              <w:widowControl w:val="0"/>
              <w:numPr>
                <w:ilvl w:val="0"/>
                <w:numId w:val="0"/>
              </w:numPr>
              <w:kinsoku/>
              <w:wordWrap/>
              <w:overflowPunct/>
              <w:topLinePunct w:val="0"/>
              <w:autoSpaceDE/>
              <w:autoSpaceDN/>
              <w:bidi w:val="0"/>
              <w:spacing w:line="360" w:lineRule="auto"/>
              <w:jc w:val="center"/>
              <w:textAlignment w:val="auto"/>
              <w:rPr>
                <w:rFonts w:hint="default" w:asciiTheme="majorEastAsia" w:hAnsiTheme="majorEastAsia" w:eastAsiaTheme="majorEastAsia" w:cstheme="majorEastAsia"/>
                <w:b/>
                <w:bCs/>
                <w:sz w:val="15"/>
                <w:szCs w:val="15"/>
                <w:highlight w:val="none"/>
                <w:vertAlign w:val="baseline"/>
                <w:lang w:val="en-US" w:eastAsia="zh-CN"/>
              </w:rPr>
            </w:pPr>
            <w:r>
              <w:rPr>
                <w:rFonts w:hint="eastAsia" w:asciiTheme="majorEastAsia" w:hAnsiTheme="majorEastAsia" w:eastAsiaTheme="majorEastAsia" w:cstheme="majorEastAsia"/>
                <w:b/>
                <w:bCs/>
                <w:sz w:val="15"/>
                <w:szCs w:val="15"/>
                <w:highlight w:val="none"/>
                <w:vertAlign w:val="baseline"/>
                <w:lang w:val="en-US" w:eastAsia="zh-CN"/>
              </w:rPr>
              <w:t>50</w:t>
            </w:r>
            <w:r>
              <w:rPr>
                <w:rFonts w:hint="eastAsia"/>
                <w:b/>
                <w:bCs/>
                <w:sz w:val="15"/>
                <w:szCs w:val="15"/>
                <w:highlight w:val="none"/>
                <w:lang w:eastAsia="zh-CN"/>
              </w:rPr>
              <w:t>μ</w:t>
            </w:r>
            <w:r>
              <w:rPr>
                <w:rFonts w:hint="eastAsia"/>
                <w:b/>
                <w:bCs/>
                <w:sz w:val="15"/>
                <w:szCs w:val="15"/>
                <w:highlight w:val="none"/>
                <w:lang w:val="en-US" w:eastAsia="en-US"/>
              </w:rPr>
              <w:t>m</w:t>
            </w:r>
          </w:p>
        </w:tc>
        <w:tc>
          <w:tcPr>
            <w:tcW w:w="1630" w:type="dxa"/>
            <w:gridSpan w:val="2"/>
          </w:tcPr>
          <w:p>
            <w:pPr>
              <w:keepNext w:val="0"/>
              <w:keepLines w:val="0"/>
              <w:pageBreakBefore w:val="0"/>
              <w:widowControl w:val="0"/>
              <w:numPr>
                <w:ilvl w:val="0"/>
                <w:numId w:val="0"/>
              </w:numPr>
              <w:kinsoku/>
              <w:wordWrap/>
              <w:overflowPunct/>
              <w:topLinePunct w:val="0"/>
              <w:autoSpaceDE/>
              <w:autoSpaceDN/>
              <w:bidi w:val="0"/>
              <w:spacing w:line="360" w:lineRule="auto"/>
              <w:jc w:val="center"/>
              <w:textAlignment w:val="auto"/>
              <w:rPr>
                <w:rFonts w:hint="default" w:asciiTheme="majorEastAsia" w:hAnsiTheme="majorEastAsia" w:eastAsiaTheme="majorEastAsia" w:cstheme="majorEastAsia"/>
                <w:b/>
                <w:bCs/>
                <w:sz w:val="15"/>
                <w:szCs w:val="15"/>
                <w:highlight w:val="none"/>
                <w:vertAlign w:val="baseline"/>
                <w:lang w:val="en-US" w:eastAsia="zh-CN"/>
              </w:rPr>
            </w:pPr>
            <w:r>
              <w:rPr>
                <w:rFonts w:hint="eastAsia" w:asciiTheme="majorEastAsia" w:hAnsiTheme="majorEastAsia" w:eastAsiaTheme="majorEastAsia" w:cstheme="majorEastAsia"/>
                <w:b/>
                <w:bCs/>
                <w:sz w:val="15"/>
                <w:szCs w:val="15"/>
                <w:highlight w:val="none"/>
                <w:vertAlign w:val="baseline"/>
                <w:lang w:val="en-US" w:eastAsia="zh-CN"/>
              </w:rPr>
              <w:t>60</w:t>
            </w:r>
            <w:r>
              <w:rPr>
                <w:rFonts w:hint="eastAsia"/>
                <w:b/>
                <w:bCs/>
                <w:sz w:val="15"/>
                <w:szCs w:val="15"/>
                <w:highlight w:val="none"/>
                <w:lang w:eastAsia="zh-CN"/>
              </w:rPr>
              <w:t>μ</w:t>
            </w:r>
            <w:r>
              <w:rPr>
                <w:rFonts w:hint="eastAsia"/>
                <w:b/>
                <w:bCs/>
                <w:sz w:val="15"/>
                <w:szCs w:val="15"/>
                <w:highlight w:val="none"/>
                <w:lang w:val="en-US" w:eastAsia="en-US"/>
              </w:rPr>
              <w:t>m</w:t>
            </w:r>
          </w:p>
        </w:tc>
        <w:tc>
          <w:tcPr>
            <w:tcW w:w="1690" w:type="dxa"/>
            <w:gridSpan w:val="2"/>
          </w:tcPr>
          <w:p>
            <w:pPr>
              <w:keepNext w:val="0"/>
              <w:keepLines w:val="0"/>
              <w:pageBreakBefore w:val="0"/>
              <w:widowControl w:val="0"/>
              <w:numPr>
                <w:ilvl w:val="0"/>
                <w:numId w:val="0"/>
              </w:numPr>
              <w:kinsoku/>
              <w:wordWrap/>
              <w:overflowPunct/>
              <w:topLinePunct w:val="0"/>
              <w:autoSpaceDE/>
              <w:autoSpaceDN/>
              <w:bidi w:val="0"/>
              <w:spacing w:line="360" w:lineRule="auto"/>
              <w:jc w:val="center"/>
              <w:textAlignment w:val="auto"/>
              <w:rPr>
                <w:rFonts w:hint="default" w:asciiTheme="majorEastAsia" w:hAnsiTheme="majorEastAsia" w:eastAsiaTheme="majorEastAsia" w:cstheme="majorEastAsia"/>
                <w:b/>
                <w:bCs/>
                <w:sz w:val="15"/>
                <w:szCs w:val="15"/>
                <w:highlight w:val="none"/>
                <w:vertAlign w:val="baseline"/>
                <w:lang w:val="en-US" w:eastAsia="zh-CN"/>
              </w:rPr>
            </w:pPr>
            <w:r>
              <w:rPr>
                <w:rFonts w:hint="eastAsia" w:asciiTheme="majorEastAsia" w:hAnsiTheme="majorEastAsia" w:eastAsiaTheme="majorEastAsia" w:cstheme="majorEastAsia"/>
                <w:b/>
                <w:bCs/>
                <w:sz w:val="15"/>
                <w:szCs w:val="15"/>
                <w:highlight w:val="none"/>
                <w:vertAlign w:val="baseline"/>
                <w:lang w:val="en-US" w:eastAsia="zh-CN"/>
              </w:rPr>
              <w:t>75</w:t>
            </w:r>
            <w:r>
              <w:rPr>
                <w:rFonts w:hint="eastAsia"/>
                <w:b/>
                <w:bCs/>
                <w:sz w:val="15"/>
                <w:szCs w:val="15"/>
                <w:highlight w:val="none"/>
                <w:lang w:eastAsia="zh-CN"/>
              </w:rPr>
              <w:t>μ</w:t>
            </w:r>
            <w:r>
              <w:rPr>
                <w:rFonts w:hint="eastAsia"/>
                <w:b/>
                <w:bCs/>
                <w:sz w:val="15"/>
                <w:szCs w:val="15"/>
                <w:highlight w:val="none"/>
                <w:lang w:val="en-US" w:eastAsia="en-US"/>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30" w:type="dxa"/>
          </w:tcPr>
          <w:p>
            <w:pPr>
              <w:keepNext w:val="0"/>
              <w:keepLines w:val="0"/>
              <w:pageBreakBefore w:val="0"/>
              <w:widowControl w:val="0"/>
              <w:numPr>
                <w:ilvl w:val="0"/>
                <w:numId w:val="0"/>
              </w:numPr>
              <w:kinsoku/>
              <w:wordWrap/>
              <w:overflowPunct/>
              <w:topLinePunct w:val="0"/>
              <w:autoSpaceDE/>
              <w:autoSpaceDN/>
              <w:bidi w:val="0"/>
              <w:spacing w:line="360" w:lineRule="auto"/>
              <w:jc w:val="center"/>
              <w:textAlignment w:val="auto"/>
              <w:rPr>
                <w:rFonts w:hint="default" w:asciiTheme="majorEastAsia" w:hAnsiTheme="majorEastAsia" w:eastAsiaTheme="majorEastAsia" w:cstheme="majorEastAsia"/>
                <w:b/>
                <w:bCs/>
                <w:sz w:val="15"/>
                <w:szCs w:val="15"/>
                <w:highlight w:val="none"/>
                <w:vertAlign w:val="baseline"/>
                <w:lang w:val="en-US" w:eastAsia="zh-CN"/>
              </w:rPr>
            </w:pPr>
            <w:r>
              <w:rPr>
                <w:rFonts w:hint="eastAsia" w:asciiTheme="majorEastAsia" w:hAnsiTheme="majorEastAsia" w:eastAsiaTheme="majorEastAsia" w:cstheme="majorEastAsia"/>
                <w:b/>
                <w:bCs/>
                <w:sz w:val="15"/>
                <w:szCs w:val="15"/>
                <w:highlight w:val="none"/>
                <w:vertAlign w:val="baseline"/>
                <w:lang w:val="en-US" w:eastAsia="zh-CN"/>
              </w:rPr>
              <w:t>力学性能</w:t>
            </w:r>
          </w:p>
        </w:tc>
        <w:tc>
          <w:tcPr>
            <w:tcW w:w="880" w:type="dxa"/>
            <w:vAlign w:val="top"/>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rPr>
                <w:rFonts w:hint="default" w:asciiTheme="majorEastAsia" w:hAnsiTheme="majorEastAsia" w:eastAsiaTheme="majorEastAsia" w:cstheme="majorEastAsia"/>
                <w:b/>
                <w:bCs/>
                <w:sz w:val="15"/>
                <w:szCs w:val="15"/>
                <w:highlight w:val="none"/>
                <w:vertAlign w:val="baseline"/>
                <w:lang w:val="en-US" w:eastAsia="zh-CN"/>
              </w:rPr>
            </w:pPr>
            <w:r>
              <w:rPr>
                <w:rFonts w:hint="eastAsia" w:asciiTheme="majorEastAsia" w:hAnsiTheme="majorEastAsia" w:eastAsiaTheme="majorEastAsia" w:cstheme="majorEastAsia"/>
                <w:b/>
                <w:bCs/>
                <w:sz w:val="15"/>
                <w:szCs w:val="15"/>
                <w:highlight w:val="none"/>
                <w:vertAlign w:val="baseline"/>
                <w:lang w:val="en-US" w:eastAsia="zh-CN"/>
              </w:rPr>
              <w:t>拉断力g</w:t>
            </w:r>
          </w:p>
        </w:tc>
        <w:tc>
          <w:tcPr>
            <w:tcW w:w="890" w:type="dxa"/>
            <w:vAlign w:val="top"/>
          </w:tcPr>
          <w:p>
            <w:pPr>
              <w:keepNext w:val="0"/>
              <w:keepLines w:val="0"/>
              <w:pageBreakBefore w:val="0"/>
              <w:widowControl w:val="0"/>
              <w:numPr>
                <w:ilvl w:val="0"/>
                <w:numId w:val="0"/>
              </w:numPr>
              <w:kinsoku/>
              <w:wordWrap/>
              <w:overflowPunct/>
              <w:topLinePunct w:val="0"/>
              <w:autoSpaceDE/>
              <w:autoSpaceDN/>
              <w:bidi w:val="0"/>
              <w:spacing w:line="360" w:lineRule="auto"/>
              <w:jc w:val="center"/>
              <w:textAlignment w:val="auto"/>
              <w:rPr>
                <w:rFonts w:hint="default" w:asciiTheme="majorEastAsia" w:hAnsiTheme="majorEastAsia" w:eastAsiaTheme="majorEastAsia" w:cstheme="majorEastAsia"/>
                <w:b/>
                <w:bCs/>
                <w:sz w:val="15"/>
                <w:szCs w:val="15"/>
                <w:highlight w:val="none"/>
                <w:vertAlign w:val="baseline"/>
                <w:lang w:val="en-US" w:eastAsia="zh-CN"/>
              </w:rPr>
            </w:pPr>
            <w:r>
              <w:rPr>
                <w:rFonts w:hint="eastAsia" w:asciiTheme="majorEastAsia" w:hAnsiTheme="majorEastAsia" w:eastAsiaTheme="majorEastAsia" w:cstheme="majorEastAsia"/>
                <w:b/>
                <w:bCs/>
                <w:sz w:val="15"/>
                <w:szCs w:val="15"/>
                <w:highlight w:val="none"/>
                <w:vertAlign w:val="baseline"/>
                <w:lang w:val="en-US" w:eastAsia="zh-CN"/>
              </w:rPr>
              <w:t>延伸率%</w:t>
            </w:r>
          </w:p>
        </w:tc>
        <w:tc>
          <w:tcPr>
            <w:tcW w:w="910" w:type="dxa"/>
            <w:vAlign w:val="top"/>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rPr>
                <w:rFonts w:hint="default" w:asciiTheme="majorEastAsia" w:hAnsiTheme="majorEastAsia" w:eastAsiaTheme="majorEastAsia" w:cstheme="majorEastAsia"/>
                <w:b/>
                <w:bCs/>
                <w:sz w:val="15"/>
                <w:szCs w:val="15"/>
                <w:highlight w:val="none"/>
                <w:vertAlign w:val="baseline"/>
                <w:lang w:val="en-US" w:eastAsia="zh-CN"/>
              </w:rPr>
            </w:pPr>
            <w:r>
              <w:rPr>
                <w:rFonts w:hint="eastAsia" w:asciiTheme="majorEastAsia" w:hAnsiTheme="majorEastAsia" w:eastAsiaTheme="majorEastAsia" w:cstheme="majorEastAsia"/>
                <w:b/>
                <w:bCs/>
                <w:sz w:val="15"/>
                <w:szCs w:val="15"/>
                <w:highlight w:val="none"/>
                <w:vertAlign w:val="baseline"/>
                <w:lang w:val="en-US" w:eastAsia="zh-CN"/>
              </w:rPr>
              <w:t>拉断力g</w:t>
            </w:r>
          </w:p>
        </w:tc>
        <w:tc>
          <w:tcPr>
            <w:tcW w:w="840" w:type="dxa"/>
            <w:vAlign w:val="top"/>
          </w:tcPr>
          <w:p>
            <w:pPr>
              <w:keepNext w:val="0"/>
              <w:keepLines w:val="0"/>
              <w:pageBreakBefore w:val="0"/>
              <w:widowControl w:val="0"/>
              <w:numPr>
                <w:ilvl w:val="0"/>
                <w:numId w:val="0"/>
              </w:numPr>
              <w:kinsoku/>
              <w:wordWrap/>
              <w:overflowPunct/>
              <w:topLinePunct w:val="0"/>
              <w:autoSpaceDE/>
              <w:autoSpaceDN/>
              <w:bidi w:val="0"/>
              <w:spacing w:line="360" w:lineRule="auto"/>
              <w:jc w:val="center"/>
              <w:textAlignment w:val="auto"/>
              <w:rPr>
                <w:rFonts w:hint="default" w:asciiTheme="majorEastAsia" w:hAnsiTheme="majorEastAsia" w:eastAsiaTheme="majorEastAsia" w:cstheme="majorEastAsia"/>
                <w:b/>
                <w:bCs/>
                <w:sz w:val="15"/>
                <w:szCs w:val="15"/>
                <w:highlight w:val="none"/>
                <w:vertAlign w:val="baseline"/>
                <w:lang w:val="en-US" w:eastAsia="zh-CN"/>
              </w:rPr>
            </w:pPr>
            <w:r>
              <w:rPr>
                <w:rFonts w:hint="eastAsia" w:asciiTheme="majorEastAsia" w:hAnsiTheme="majorEastAsia" w:eastAsiaTheme="majorEastAsia" w:cstheme="majorEastAsia"/>
                <w:b/>
                <w:bCs/>
                <w:sz w:val="15"/>
                <w:szCs w:val="15"/>
                <w:highlight w:val="none"/>
                <w:vertAlign w:val="baseline"/>
                <w:lang w:val="en-US" w:eastAsia="zh-CN"/>
              </w:rPr>
              <w:t>延伸率%</w:t>
            </w:r>
          </w:p>
        </w:tc>
        <w:tc>
          <w:tcPr>
            <w:tcW w:w="830" w:type="dxa"/>
            <w:vAlign w:val="top"/>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rPr>
                <w:rFonts w:hint="default" w:asciiTheme="majorEastAsia" w:hAnsiTheme="majorEastAsia" w:eastAsiaTheme="majorEastAsia" w:cstheme="majorEastAsia"/>
                <w:b/>
                <w:bCs/>
                <w:sz w:val="15"/>
                <w:szCs w:val="15"/>
                <w:highlight w:val="none"/>
                <w:vertAlign w:val="baseline"/>
                <w:lang w:val="en-US" w:eastAsia="zh-CN"/>
              </w:rPr>
            </w:pPr>
            <w:r>
              <w:rPr>
                <w:rFonts w:hint="eastAsia" w:asciiTheme="majorEastAsia" w:hAnsiTheme="majorEastAsia" w:eastAsiaTheme="majorEastAsia" w:cstheme="majorEastAsia"/>
                <w:b/>
                <w:bCs/>
                <w:sz w:val="15"/>
                <w:szCs w:val="15"/>
                <w:highlight w:val="none"/>
                <w:vertAlign w:val="baseline"/>
                <w:lang w:val="en-US" w:eastAsia="zh-CN"/>
              </w:rPr>
              <w:t>拉断力g</w:t>
            </w:r>
          </w:p>
        </w:tc>
        <w:tc>
          <w:tcPr>
            <w:tcW w:w="860" w:type="dxa"/>
            <w:vAlign w:val="top"/>
          </w:tcPr>
          <w:p>
            <w:pPr>
              <w:keepNext w:val="0"/>
              <w:keepLines w:val="0"/>
              <w:pageBreakBefore w:val="0"/>
              <w:widowControl w:val="0"/>
              <w:numPr>
                <w:ilvl w:val="0"/>
                <w:numId w:val="0"/>
              </w:numPr>
              <w:kinsoku/>
              <w:wordWrap/>
              <w:overflowPunct/>
              <w:topLinePunct w:val="0"/>
              <w:autoSpaceDE/>
              <w:autoSpaceDN/>
              <w:bidi w:val="0"/>
              <w:spacing w:line="360" w:lineRule="auto"/>
              <w:jc w:val="center"/>
              <w:textAlignment w:val="auto"/>
              <w:rPr>
                <w:rFonts w:hint="default" w:asciiTheme="majorEastAsia" w:hAnsiTheme="majorEastAsia" w:eastAsiaTheme="majorEastAsia" w:cstheme="majorEastAsia"/>
                <w:b/>
                <w:bCs/>
                <w:sz w:val="15"/>
                <w:szCs w:val="15"/>
                <w:highlight w:val="none"/>
                <w:vertAlign w:val="baseline"/>
                <w:lang w:val="en-US" w:eastAsia="zh-CN"/>
              </w:rPr>
            </w:pPr>
            <w:r>
              <w:rPr>
                <w:rFonts w:hint="eastAsia" w:asciiTheme="majorEastAsia" w:hAnsiTheme="majorEastAsia" w:eastAsiaTheme="majorEastAsia" w:cstheme="majorEastAsia"/>
                <w:b/>
                <w:bCs/>
                <w:sz w:val="15"/>
                <w:szCs w:val="15"/>
                <w:highlight w:val="none"/>
                <w:vertAlign w:val="baseline"/>
                <w:lang w:val="en-US" w:eastAsia="zh-CN"/>
              </w:rPr>
              <w:t>延伸率%</w:t>
            </w:r>
          </w:p>
        </w:tc>
        <w:tc>
          <w:tcPr>
            <w:tcW w:w="810" w:type="dxa"/>
            <w:vAlign w:val="top"/>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rPr>
                <w:rFonts w:hint="default" w:asciiTheme="majorEastAsia" w:hAnsiTheme="majorEastAsia" w:eastAsiaTheme="majorEastAsia" w:cstheme="majorEastAsia"/>
                <w:b/>
                <w:bCs/>
                <w:sz w:val="15"/>
                <w:szCs w:val="15"/>
                <w:highlight w:val="none"/>
                <w:vertAlign w:val="baseline"/>
                <w:lang w:val="en-US" w:eastAsia="zh-CN"/>
              </w:rPr>
            </w:pPr>
            <w:r>
              <w:rPr>
                <w:rFonts w:hint="eastAsia" w:asciiTheme="majorEastAsia" w:hAnsiTheme="majorEastAsia" w:eastAsiaTheme="majorEastAsia" w:cstheme="majorEastAsia"/>
                <w:b/>
                <w:bCs/>
                <w:sz w:val="15"/>
                <w:szCs w:val="15"/>
                <w:highlight w:val="none"/>
                <w:vertAlign w:val="baseline"/>
                <w:lang w:val="en-US" w:eastAsia="zh-CN"/>
              </w:rPr>
              <w:t>拉断力g</w:t>
            </w:r>
          </w:p>
        </w:tc>
        <w:tc>
          <w:tcPr>
            <w:tcW w:w="820" w:type="dxa"/>
            <w:vAlign w:val="top"/>
          </w:tcPr>
          <w:p>
            <w:pPr>
              <w:keepNext w:val="0"/>
              <w:keepLines w:val="0"/>
              <w:pageBreakBefore w:val="0"/>
              <w:widowControl w:val="0"/>
              <w:numPr>
                <w:ilvl w:val="0"/>
                <w:numId w:val="0"/>
              </w:numPr>
              <w:kinsoku/>
              <w:wordWrap/>
              <w:overflowPunct/>
              <w:topLinePunct w:val="0"/>
              <w:autoSpaceDE/>
              <w:autoSpaceDN/>
              <w:bidi w:val="0"/>
              <w:spacing w:line="360" w:lineRule="auto"/>
              <w:jc w:val="center"/>
              <w:textAlignment w:val="auto"/>
              <w:rPr>
                <w:rFonts w:hint="default" w:asciiTheme="majorEastAsia" w:hAnsiTheme="majorEastAsia" w:eastAsiaTheme="majorEastAsia" w:cstheme="majorEastAsia"/>
                <w:b/>
                <w:bCs/>
                <w:sz w:val="15"/>
                <w:szCs w:val="15"/>
                <w:highlight w:val="none"/>
                <w:vertAlign w:val="baseline"/>
                <w:lang w:val="en-US" w:eastAsia="zh-CN"/>
              </w:rPr>
            </w:pPr>
            <w:r>
              <w:rPr>
                <w:rFonts w:hint="eastAsia" w:asciiTheme="majorEastAsia" w:hAnsiTheme="majorEastAsia" w:eastAsiaTheme="majorEastAsia" w:cstheme="majorEastAsia"/>
                <w:b/>
                <w:bCs/>
                <w:sz w:val="15"/>
                <w:szCs w:val="15"/>
                <w:highlight w:val="none"/>
                <w:vertAlign w:val="baseline"/>
                <w:lang w:val="en-US" w:eastAsia="zh-CN"/>
              </w:rPr>
              <w:t>延伸率%</w:t>
            </w:r>
          </w:p>
        </w:tc>
        <w:tc>
          <w:tcPr>
            <w:tcW w:w="890" w:type="dxa"/>
            <w:vAlign w:val="top"/>
          </w:tcPr>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0" w:firstLineChars="0"/>
              <w:jc w:val="center"/>
              <w:textAlignment w:val="auto"/>
              <w:rPr>
                <w:rFonts w:hint="default" w:asciiTheme="majorEastAsia" w:hAnsiTheme="majorEastAsia" w:eastAsiaTheme="majorEastAsia" w:cstheme="majorEastAsia"/>
                <w:b/>
                <w:bCs/>
                <w:sz w:val="15"/>
                <w:szCs w:val="15"/>
                <w:highlight w:val="none"/>
                <w:vertAlign w:val="baseline"/>
                <w:lang w:val="en-US" w:eastAsia="zh-CN"/>
              </w:rPr>
            </w:pPr>
            <w:r>
              <w:rPr>
                <w:rFonts w:hint="eastAsia" w:asciiTheme="majorEastAsia" w:hAnsiTheme="majorEastAsia" w:eastAsiaTheme="majorEastAsia" w:cstheme="majorEastAsia"/>
                <w:b/>
                <w:bCs/>
                <w:sz w:val="15"/>
                <w:szCs w:val="15"/>
                <w:highlight w:val="none"/>
                <w:vertAlign w:val="baseline"/>
                <w:lang w:val="en-US" w:eastAsia="zh-CN"/>
              </w:rPr>
              <w:t>拉断力g</w:t>
            </w:r>
          </w:p>
        </w:tc>
        <w:tc>
          <w:tcPr>
            <w:tcW w:w="800" w:type="dxa"/>
            <w:vAlign w:val="top"/>
          </w:tcPr>
          <w:p>
            <w:pPr>
              <w:keepNext w:val="0"/>
              <w:keepLines w:val="0"/>
              <w:pageBreakBefore w:val="0"/>
              <w:widowControl w:val="0"/>
              <w:numPr>
                <w:ilvl w:val="0"/>
                <w:numId w:val="0"/>
              </w:numPr>
              <w:kinsoku/>
              <w:wordWrap/>
              <w:overflowPunct/>
              <w:topLinePunct w:val="0"/>
              <w:autoSpaceDE/>
              <w:autoSpaceDN/>
              <w:bidi w:val="0"/>
              <w:spacing w:line="360" w:lineRule="auto"/>
              <w:jc w:val="center"/>
              <w:textAlignment w:val="auto"/>
              <w:rPr>
                <w:rFonts w:hint="default" w:asciiTheme="majorEastAsia" w:hAnsiTheme="majorEastAsia" w:eastAsiaTheme="majorEastAsia" w:cstheme="majorEastAsia"/>
                <w:b/>
                <w:bCs/>
                <w:sz w:val="15"/>
                <w:szCs w:val="15"/>
                <w:highlight w:val="none"/>
                <w:vertAlign w:val="baseline"/>
                <w:lang w:val="en-US" w:eastAsia="zh-CN"/>
              </w:rPr>
            </w:pPr>
            <w:r>
              <w:rPr>
                <w:rFonts w:hint="eastAsia" w:asciiTheme="majorEastAsia" w:hAnsiTheme="majorEastAsia" w:eastAsiaTheme="majorEastAsia" w:cstheme="majorEastAsia"/>
                <w:b/>
                <w:bCs/>
                <w:sz w:val="15"/>
                <w:szCs w:val="15"/>
                <w:highlight w:val="none"/>
                <w:vertAlign w:val="baseline"/>
                <w:lang w:val="en-US" w:eastAsia="zh-CN"/>
              </w:rPr>
              <w:t>延伸率%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30" w:type="dxa"/>
            <w:vMerge w:val="restart"/>
          </w:tcPr>
          <w:p>
            <w:pPr>
              <w:keepNext w:val="0"/>
              <w:keepLines w:val="0"/>
              <w:pageBreakBefore w:val="0"/>
              <w:widowControl w:val="0"/>
              <w:numPr>
                <w:ilvl w:val="0"/>
                <w:numId w:val="0"/>
              </w:numPr>
              <w:kinsoku/>
              <w:wordWrap/>
              <w:overflowPunct/>
              <w:topLinePunct w:val="0"/>
              <w:autoSpaceDE/>
              <w:autoSpaceDN/>
              <w:bidi w:val="0"/>
              <w:spacing w:line="360" w:lineRule="auto"/>
              <w:jc w:val="center"/>
              <w:textAlignment w:val="auto"/>
              <w:rPr>
                <w:rFonts w:hint="default" w:asciiTheme="majorEastAsia" w:hAnsiTheme="majorEastAsia" w:eastAsiaTheme="majorEastAsia" w:cstheme="majorEastAsia"/>
                <w:b/>
                <w:bCs/>
                <w:sz w:val="18"/>
                <w:szCs w:val="18"/>
                <w:highlight w:val="none"/>
                <w:vertAlign w:val="baseline"/>
                <w:lang w:val="en-US" w:eastAsia="zh-CN"/>
              </w:rPr>
            </w:pPr>
            <w:r>
              <w:rPr>
                <w:rFonts w:hint="eastAsia" w:asciiTheme="majorEastAsia" w:hAnsiTheme="majorEastAsia" w:eastAsiaTheme="majorEastAsia" w:cstheme="majorEastAsia"/>
                <w:b/>
                <w:bCs/>
                <w:sz w:val="18"/>
                <w:szCs w:val="18"/>
                <w:highlight w:val="none"/>
                <w:vertAlign w:val="baseline"/>
                <w:lang w:val="en-US" w:eastAsia="zh-CN"/>
              </w:rPr>
              <w:t>样品1</w:t>
            </w:r>
          </w:p>
        </w:tc>
        <w:tc>
          <w:tcPr>
            <w:tcW w:w="88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30.029</w:t>
            </w:r>
          </w:p>
        </w:tc>
        <w:tc>
          <w:tcPr>
            <w:tcW w:w="89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15.239</w:t>
            </w:r>
          </w:p>
        </w:tc>
        <w:tc>
          <w:tcPr>
            <w:tcW w:w="910" w:type="dxa"/>
          </w:tcPr>
          <w:p>
            <w:pPr>
              <w:keepNext w:val="0"/>
              <w:keepLines w:val="0"/>
              <w:pageBreakBefore w:val="0"/>
              <w:widowControl w:val="0"/>
              <w:numPr>
                <w:ilvl w:val="0"/>
                <w:numId w:val="0"/>
              </w:numPr>
              <w:kinsoku/>
              <w:wordWrap/>
              <w:overflowPunct/>
              <w:topLinePunct w:val="0"/>
              <w:autoSpaceDE/>
              <w:autoSpaceDN/>
              <w:bidi w:val="0"/>
              <w:spacing w:line="360" w:lineRule="auto"/>
              <w:jc w:val="center"/>
              <w:textAlignment w:val="auto"/>
              <w:rPr>
                <w:rFonts w:hint="default" w:asciiTheme="majorEastAsia" w:hAnsiTheme="majorEastAsia" w:eastAsiaTheme="majorEastAsia" w:cstheme="majorEastAsia"/>
                <w:b/>
                <w:bCs/>
                <w:sz w:val="18"/>
                <w:szCs w:val="18"/>
                <w:highlight w:val="none"/>
                <w:vertAlign w:val="baseline"/>
                <w:lang w:val="en-US" w:eastAsia="zh-CN"/>
              </w:rPr>
            </w:pPr>
            <w:r>
              <w:rPr>
                <w:rFonts w:hint="eastAsia" w:asciiTheme="majorEastAsia" w:hAnsiTheme="majorEastAsia" w:eastAsiaTheme="majorEastAsia" w:cstheme="majorEastAsia"/>
                <w:b/>
                <w:bCs/>
                <w:sz w:val="18"/>
                <w:szCs w:val="18"/>
                <w:highlight w:val="none"/>
                <w:vertAlign w:val="baseline"/>
                <w:lang w:val="en-US" w:eastAsia="zh-CN"/>
              </w:rPr>
              <w:t>35.714</w:t>
            </w:r>
          </w:p>
        </w:tc>
        <w:tc>
          <w:tcPr>
            <w:tcW w:w="84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15.178</w:t>
            </w:r>
          </w:p>
        </w:tc>
        <w:tc>
          <w:tcPr>
            <w:tcW w:w="83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45.104</w:t>
            </w:r>
          </w:p>
        </w:tc>
        <w:tc>
          <w:tcPr>
            <w:tcW w:w="86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18.070</w:t>
            </w:r>
          </w:p>
        </w:tc>
        <w:tc>
          <w:tcPr>
            <w:tcW w:w="81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58.374</w:t>
            </w:r>
          </w:p>
        </w:tc>
        <w:tc>
          <w:tcPr>
            <w:tcW w:w="82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16.571</w:t>
            </w:r>
          </w:p>
        </w:tc>
        <w:tc>
          <w:tcPr>
            <w:tcW w:w="89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104.348</w:t>
            </w:r>
          </w:p>
        </w:tc>
        <w:tc>
          <w:tcPr>
            <w:tcW w:w="80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18.217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30" w:type="dxa"/>
            <w:vMerge w:val="continue"/>
          </w:tcPr>
          <w:p>
            <w:pPr>
              <w:keepNext w:val="0"/>
              <w:keepLines w:val="0"/>
              <w:pageBreakBefore w:val="0"/>
              <w:widowControl w:val="0"/>
              <w:numPr>
                <w:ilvl w:val="0"/>
                <w:numId w:val="0"/>
              </w:numPr>
              <w:kinsoku/>
              <w:wordWrap/>
              <w:overflowPunct/>
              <w:topLinePunct w:val="0"/>
              <w:autoSpaceDE/>
              <w:autoSpaceDN/>
              <w:bidi w:val="0"/>
              <w:spacing w:line="360" w:lineRule="auto"/>
              <w:jc w:val="center"/>
              <w:textAlignment w:val="auto"/>
              <w:rPr>
                <w:rFonts w:hint="default" w:asciiTheme="majorEastAsia" w:hAnsiTheme="majorEastAsia" w:eastAsiaTheme="majorEastAsia" w:cstheme="majorEastAsia"/>
                <w:b/>
                <w:bCs/>
                <w:sz w:val="18"/>
                <w:szCs w:val="18"/>
                <w:highlight w:val="none"/>
                <w:vertAlign w:val="baseline"/>
                <w:lang w:val="en-US" w:eastAsia="zh-CN"/>
              </w:rPr>
            </w:pPr>
          </w:p>
        </w:tc>
        <w:tc>
          <w:tcPr>
            <w:tcW w:w="88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30.245</w:t>
            </w:r>
          </w:p>
        </w:tc>
        <w:tc>
          <w:tcPr>
            <w:tcW w:w="89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15.234</w:t>
            </w:r>
          </w:p>
        </w:tc>
        <w:tc>
          <w:tcPr>
            <w:tcW w:w="910" w:type="dxa"/>
          </w:tcPr>
          <w:p>
            <w:pPr>
              <w:keepNext w:val="0"/>
              <w:keepLines w:val="0"/>
              <w:pageBreakBefore w:val="0"/>
              <w:widowControl w:val="0"/>
              <w:numPr>
                <w:ilvl w:val="0"/>
                <w:numId w:val="0"/>
              </w:numPr>
              <w:kinsoku/>
              <w:wordWrap/>
              <w:overflowPunct/>
              <w:topLinePunct w:val="0"/>
              <w:autoSpaceDE/>
              <w:autoSpaceDN/>
              <w:bidi w:val="0"/>
              <w:spacing w:line="360" w:lineRule="auto"/>
              <w:jc w:val="center"/>
              <w:textAlignment w:val="auto"/>
              <w:rPr>
                <w:rFonts w:hint="default" w:asciiTheme="majorEastAsia" w:hAnsiTheme="majorEastAsia" w:eastAsiaTheme="majorEastAsia" w:cstheme="majorEastAsia"/>
                <w:b/>
                <w:bCs/>
                <w:sz w:val="18"/>
                <w:szCs w:val="18"/>
                <w:highlight w:val="none"/>
                <w:vertAlign w:val="baseline"/>
                <w:lang w:val="en-US" w:eastAsia="zh-CN"/>
              </w:rPr>
            </w:pPr>
            <w:r>
              <w:rPr>
                <w:rFonts w:hint="eastAsia" w:asciiTheme="majorEastAsia" w:hAnsiTheme="majorEastAsia" w:eastAsiaTheme="majorEastAsia" w:cstheme="majorEastAsia"/>
                <w:b/>
                <w:bCs/>
                <w:sz w:val="18"/>
                <w:szCs w:val="18"/>
                <w:highlight w:val="none"/>
                <w:vertAlign w:val="baseline"/>
                <w:lang w:val="en-US" w:eastAsia="zh-CN"/>
              </w:rPr>
              <w:t>36.079</w:t>
            </w:r>
          </w:p>
        </w:tc>
        <w:tc>
          <w:tcPr>
            <w:tcW w:w="84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16.709</w:t>
            </w:r>
          </w:p>
        </w:tc>
        <w:tc>
          <w:tcPr>
            <w:tcW w:w="83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44.327</w:t>
            </w:r>
          </w:p>
        </w:tc>
        <w:tc>
          <w:tcPr>
            <w:tcW w:w="86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21.421</w:t>
            </w:r>
          </w:p>
        </w:tc>
        <w:tc>
          <w:tcPr>
            <w:tcW w:w="81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60.604</w:t>
            </w:r>
          </w:p>
        </w:tc>
        <w:tc>
          <w:tcPr>
            <w:tcW w:w="82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16.431</w:t>
            </w:r>
          </w:p>
        </w:tc>
        <w:tc>
          <w:tcPr>
            <w:tcW w:w="89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104.206</w:t>
            </w:r>
          </w:p>
        </w:tc>
        <w:tc>
          <w:tcPr>
            <w:tcW w:w="80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18.506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30" w:type="dxa"/>
            <w:vMerge w:val="continue"/>
          </w:tcPr>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default" w:asciiTheme="majorEastAsia" w:hAnsiTheme="majorEastAsia" w:eastAsiaTheme="majorEastAsia" w:cstheme="majorEastAsia"/>
                <w:b/>
                <w:bCs/>
                <w:sz w:val="18"/>
                <w:szCs w:val="18"/>
                <w:highlight w:val="none"/>
                <w:vertAlign w:val="baseline"/>
                <w:lang w:val="en-US" w:eastAsia="zh-CN"/>
              </w:rPr>
            </w:pPr>
          </w:p>
        </w:tc>
        <w:tc>
          <w:tcPr>
            <w:tcW w:w="88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30.753</w:t>
            </w:r>
          </w:p>
        </w:tc>
        <w:tc>
          <w:tcPr>
            <w:tcW w:w="89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14.408</w:t>
            </w:r>
          </w:p>
        </w:tc>
        <w:tc>
          <w:tcPr>
            <w:tcW w:w="910" w:type="dxa"/>
          </w:tcPr>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default" w:asciiTheme="majorEastAsia" w:hAnsiTheme="majorEastAsia" w:eastAsiaTheme="majorEastAsia" w:cstheme="majorEastAsia"/>
                <w:b/>
                <w:bCs/>
                <w:sz w:val="18"/>
                <w:szCs w:val="18"/>
                <w:highlight w:val="none"/>
                <w:vertAlign w:val="baseline"/>
                <w:lang w:val="en-US" w:eastAsia="zh-CN"/>
              </w:rPr>
            </w:pPr>
            <w:r>
              <w:rPr>
                <w:rFonts w:hint="eastAsia" w:asciiTheme="majorEastAsia" w:hAnsiTheme="majorEastAsia" w:eastAsiaTheme="majorEastAsia" w:cstheme="majorEastAsia"/>
                <w:b/>
                <w:bCs/>
                <w:sz w:val="18"/>
                <w:szCs w:val="18"/>
                <w:highlight w:val="none"/>
                <w:vertAlign w:val="baseline"/>
                <w:lang w:val="en-US" w:eastAsia="zh-CN"/>
              </w:rPr>
              <w:t>35.678</w:t>
            </w:r>
          </w:p>
        </w:tc>
        <w:tc>
          <w:tcPr>
            <w:tcW w:w="84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16.251</w:t>
            </w:r>
          </w:p>
        </w:tc>
        <w:tc>
          <w:tcPr>
            <w:tcW w:w="83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44.449</w:t>
            </w:r>
          </w:p>
        </w:tc>
        <w:tc>
          <w:tcPr>
            <w:tcW w:w="86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20.034</w:t>
            </w:r>
          </w:p>
        </w:tc>
        <w:tc>
          <w:tcPr>
            <w:tcW w:w="81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57.486</w:t>
            </w:r>
          </w:p>
        </w:tc>
        <w:tc>
          <w:tcPr>
            <w:tcW w:w="82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16.928</w:t>
            </w:r>
          </w:p>
        </w:tc>
        <w:tc>
          <w:tcPr>
            <w:tcW w:w="89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104.109</w:t>
            </w:r>
          </w:p>
        </w:tc>
        <w:tc>
          <w:tcPr>
            <w:tcW w:w="80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18.285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830" w:type="dxa"/>
            <w:vMerge w:val="restart"/>
          </w:tcPr>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default" w:asciiTheme="majorEastAsia" w:hAnsiTheme="majorEastAsia" w:eastAsiaTheme="majorEastAsia" w:cstheme="majorEastAsia"/>
                <w:b/>
                <w:bCs/>
                <w:sz w:val="18"/>
                <w:szCs w:val="18"/>
                <w:highlight w:val="none"/>
                <w:vertAlign w:val="baseline"/>
                <w:lang w:val="en-US" w:eastAsia="zh-CN"/>
              </w:rPr>
            </w:pPr>
            <w:r>
              <w:rPr>
                <w:rFonts w:hint="eastAsia" w:asciiTheme="majorEastAsia" w:hAnsiTheme="majorEastAsia" w:eastAsiaTheme="majorEastAsia" w:cstheme="majorEastAsia"/>
                <w:b/>
                <w:bCs/>
                <w:sz w:val="18"/>
                <w:szCs w:val="18"/>
                <w:highlight w:val="none"/>
                <w:vertAlign w:val="baseline"/>
                <w:lang w:val="en-US" w:eastAsia="zh-CN"/>
              </w:rPr>
              <w:t>样品2</w:t>
            </w:r>
          </w:p>
        </w:tc>
        <w:tc>
          <w:tcPr>
            <w:tcW w:w="88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kern w:val="2"/>
                <w:sz w:val="18"/>
                <w:szCs w:val="18"/>
                <w:highlight w:val="none"/>
                <w:vertAlign w:val="baseline"/>
                <w:lang w:val="en-US" w:eastAsia="zh-CN" w:bidi="ar-SA"/>
              </w:rPr>
            </w:pPr>
            <w:r>
              <w:rPr>
                <w:rFonts w:hint="eastAsia" w:ascii="宋体" w:hAnsi="宋体" w:eastAsia="宋体" w:cs="宋体"/>
                <w:b/>
                <w:bCs/>
                <w:i w:val="0"/>
                <w:iCs w:val="0"/>
                <w:color w:val="000000"/>
                <w:kern w:val="0"/>
                <w:sz w:val="18"/>
                <w:szCs w:val="18"/>
                <w:highlight w:val="none"/>
                <w:u w:val="none"/>
                <w:lang w:val="en-US" w:eastAsia="zh-CN" w:bidi="ar"/>
              </w:rPr>
              <w:t>30.613</w:t>
            </w:r>
          </w:p>
        </w:tc>
        <w:tc>
          <w:tcPr>
            <w:tcW w:w="89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15.604</w:t>
            </w:r>
          </w:p>
        </w:tc>
        <w:tc>
          <w:tcPr>
            <w:tcW w:w="91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36.031</w:t>
            </w:r>
          </w:p>
        </w:tc>
        <w:tc>
          <w:tcPr>
            <w:tcW w:w="84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14.541</w:t>
            </w:r>
          </w:p>
        </w:tc>
        <w:tc>
          <w:tcPr>
            <w:tcW w:w="83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44.486</w:t>
            </w:r>
          </w:p>
        </w:tc>
        <w:tc>
          <w:tcPr>
            <w:tcW w:w="86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19.309</w:t>
            </w:r>
          </w:p>
        </w:tc>
        <w:tc>
          <w:tcPr>
            <w:tcW w:w="81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56.679</w:t>
            </w:r>
          </w:p>
        </w:tc>
        <w:tc>
          <w:tcPr>
            <w:tcW w:w="82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16.187</w:t>
            </w:r>
          </w:p>
        </w:tc>
        <w:tc>
          <w:tcPr>
            <w:tcW w:w="89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103.752</w:t>
            </w:r>
          </w:p>
        </w:tc>
        <w:tc>
          <w:tcPr>
            <w:tcW w:w="80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18.675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Merge w:val="continue"/>
          </w:tcPr>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default" w:asciiTheme="majorEastAsia" w:hAnsiTheme="majorEastAsia" w:eastAsiaTheme="majorEastAsia" w:cstheme="majorEastAsia"/>
                <w:b/>
                <w:bCs/>
                <w:sz w:val="18"/>
                <w:szCs w:val="18"/>
                <w:highlight w:val="none"/>
                <w:vertAlign w:val="baseline"/>
                <w:lang w:val="en-US" w:eastAsia="zh-CN"/>
              </w:rPr>
            </w:pPr>
          </w:p>
        </w:tc>
        <w:tc>
          <w:tcPr>
            <w:tcW w:w="88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kern w:val="2"/>
                <w:sz w:val="18"/>
                <w:szCs w:val="18"/>
                <w:highlight w:val="none"/>
                <w:vertAlign w:val="baseline"/>
                <w:lang w:val="en-US" w:eastAsia="zh-CN" w:bidi="ar-SA"/>
              </w:rPr>
            </w:pPr>
            <w:r>
              <w:rPr>
                <w:rFonts w:hint="eastAsia" w:ascii="宋体" w:hAnsi="宋体" w:eastAsia="宋体" w:cs="宋体"/>
                <w:b/>
                <w:bCs/>
                <w:i w:val="0"/>
                <w:iCs w:val="0"/>
                <w:color w:val="000000"/>
                <w:kern w:val="0"/>
                <w:sz w:val="18"/>
                <w:szCs w:val="18"/>
                <w:highlight w:val="none"/>
                <w:u w:val="none"/>
                <w:lang w:val="en-US" w:eastAsia="zh-CN" w:bidi="ar"/>
              </w:rPr>
              <w:t>30.073</w:t>
            </w:r>
          </w:p>
        </w:tc>
        <w:tc>
          <w:tcPr>
            <w:tcW w:w="89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14.657</w:t>
            </w:r>
          </w:p>
        </w:tc>
        <w:tc>
          <w:tcPr>
            <w:tcW w:w="91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35.738</w:t>
            </w:r>
          </w:p>
        </w:tc>
        <w:tc>
          <w:tcPr>
            <w:tcW w:w="84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16.826</w:t>
            </w:r>
          </w:p>
        </w:tc>
        <w:tc>
          <w:tcPr>
            <w:tcW w:w="83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44.562</w:t>
            </w:r>
          </w:p>
        </w:tc>
        <w:tc>
          <w:tcPr>
            <w:tcW w:w="86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18.882</w:t>
            </w:r>
          </w:p>
        </w:tc>
        <w:tc>
          <w:tcPr>
            <w:tcW w:w="81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56.679</w:t>
            </w:r>
          </w:p>
        </w:tc>
        <w:tc>
          <w:tcPr>
            <w:tcW w:w="82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16.187</w:t>
            </w:r>
          </w:p>
        </w:tc>
        <w:tc>
          <w:tcPr>
            <w:tcW w:w="89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103.772</w:t>
            </w:r>
          </w:p>
        </w:tc>
        <w:tc>
          <w:tcPr>
            <w:tcW w:w="80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Merge w:val="continue"/>
          </w:tcPr>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default" w:asciiTheme="majorEastAsia" w:hAnsiTheme="majorEastAsia" w:eastAsiaTheme="majorEastAsia" w:cstheme="majorEastAsia"/>
                <w:b/>
                <w:bCs/>
                <w:sz w:val="18"/>
                <w:szCs w:val="18"/>
                <w:highlight w:val="none"/>
                <w:vertAlign w:val="baseline"/>
                <w:lang w:val="en-US" w:eastAsia="zh-CN"/>
              </w:rPr>
            </w:pPr>
          </w:p>
        </w:tc>
        <w:tc>
          <w:tcPr>
            <w:tcW w:w="88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kern w:val="2"/>
                <w:sz w:val="18"/>
                <w:szCs w:val="18"/>
                <w:highlight w:val="none"/>
                <w:vertAlign w:val="baseline"/>
                <w:lang w:val="en-US" w:eastAsia="zh-CN" w:bidi="ar-SA"/>
              </w:rPr>
            </w:pPr>
            <w:r>
              <w:rPr>
                <w:rFonts w:hint="eastAsia" w:ascii="宋体" w:hAnsi="宋体" w:eastAsia="宋体" w:cs="宋体"/>
                <w:b/>
                <w:bCs/>
                <w:i w:val="0"/>
                <w:iCs w:val="0"/>
                <w:color w:val="000000"/>
                <w:kern w:val="0"/>
                <w:sz w:val="18"/>
                <w:szCs w:val="18"/>
                <w:highlight w:val="none"/>
                <w:u w:val="none"/>
                <w:lang w:val="en-US" w:eastAsia="zh-CN" w:bidi="ar"/>
              </w:rPr>
              <w:t>30.827</w:t>
            </w:r>
          </w:p>
        </w:tc>
        <w:tc>
          <w:tcPr>
            <w:tcW w:w="89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14.802</w:t>
            </w:r>
          </w:p>
        </w:tc>
        <w:tc>
          <w:tcPr>
            <w:tcW w:w="91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35.933</w:t>
            </w:r>
          </w:p>
        </w:tc>
        <w:tc>
          <w:tcPr>
            <w:tcW w:w="84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16.739</w:t>
            </w:r>
          </w:p>
        </w:tc>
        <w:tc>
          <w:tcPr>
            <w:tcW w:w="83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44.527</w:t>
            </w:r>
          </w:p>
        </w:tc>
        <w:tc>
          <w:tcPr>
            <w:tcW w:w="86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21.142</w:t>
            </w:r>
          </w:p>
        </w:tc>
        <w:tc>
          <w:tcPr>
            <w:tcW w:w="81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56.744</w:t>
            </w:r>
          </w:p>
        </w:tc>
        <w:tc>
          <w:tcPr>
            <w:tcW w:w="82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16.326</w:t>
            </w:r>
          </w:p>
        </w:tc>
        <w:tc>
          <w:tcPr>
            <w:tcW w:w="890" w:type="dxa"/>
            <w:vAlign w:val="center"/>
          </w:tcPr>
          <w:p>
            <w:pPr>
              <w:keepNext w:val="0"/>
              <w:keepLines w:val="0"/>
              <w:widowControl/>
              <w:suppressLineNumbers w:val="0"/>
              <w:jc w:val="center"/>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104.05</w:t>
            </w:r>
          </w:p>
        </w:tc>
        <w:tc>
          <w:tcPr>
            <w:tcW w:w="800" w:type="dxa"/>
            <w:vAlign w:val="center"/>
          </w:tcPr>
          <w:p>
            <w:pPr>
              <w:keepNext w:val="0"/>
              <w:keepLines w:val="0"/>
              <w:widowControl/>
              <w:suppressLineNumbers w:val="0"/>
              <w:jc w:val="center"/>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18.601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30" w:type="dxa"/>
            <w:vMerge w:val="restart"/>
          </w:tcPr>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default" w:asciiTheme="majorEastAsia" w:hAnsiTheme="majorEastAsia" w:eastAsiaTheme="majorEastAsia" w:cstheme="majorEastAsia"/>
                <w:b/>
                <w:bCs/>
                <w:sz w:val="18"/>
                <w:szCs w:val="18"/>
                <w:highlight w:val="none"/>
                <w:vertAlign w:val="baseline"/>
                <w:lang w:val="en-US" w:eastAsia="zh-CN"/>
              </w:rPr>
            </w:pPr>
            <w:r>
              <w:rPr>
                <w:rFonts w:hint="eastAsia" w:asciiTheme="majorEastAsia" w:hAnsiTheme="majorEastAsia" w:eastAsiaTheme="majorEastAsia" w:cstheme="majorEastAsia"/>
                <w:b/>
                <w:bCs/>
                <w:sz w:val="18"/>
                <w:szCs w:val="18"/>
                <w:highlight w:val="none"/>
                <w:vertAlign w:val="baseline"/>
                <w:lang w:val="en-US" w:eastAsia="zh-CN"/>
              </w:rPr>
              <w:t>样品3</w:t>
            </w:r>
          </w:p>
        </w:tc>
        <w:tc>
          <w:tcPr>
            <w:tcW w:w="88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31.653</w:t>
            </w:r>
          </w:p>
        </w:tc>
        <w:tc>
          <w:tcPr>
            <w:tcW w:w="89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13.198</w:t>
            </w:r>
          </w:p>
        </w:tc>
        <w:tc>
          <w:tcPr>
            <w:tcW w:w="91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35.498</w:t>
            </w:r>
          </w:p>
        </w:tc>
        <w:tc>
          <w:tcPr>
            <w:tcW w:w="84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16.094</w:t>
            </w:r>
          </w:p>
        </w:tc>
        <w:tc>
          <w:tcPr>
            <w:tcW w:w="83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44.301</w:t>
            </w:r>
          </w:p>
        </w:tc>
        <w:tc>
          <w:tcPr>
            <w:tcW w:w="860" w:type="dxa"/>
            <w:vAlign w:val="center"/>
          </w:tcPr>
          <w:p>
            <w:pPr>
              <w:keepNext w:val="0"/>
              <w:keepLines w:val="0"/>
              <w:widowControl/>
              <w:suppressLineNumbers w:val="0"/>
              <w:jc w:val="center"/>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 xml:space="preserve"> 19.320</w:t>
            </w:r>
          </w:p>
        </w:tc>
        <w:tc>
          <w:tcPr>
            <w:tcW w:w="81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57.544</w:t>
            </w:r>
          </w:p>
        </w:tc>
        <w:tc>
          <w:tcPr>
            <w:tcW w:w="82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17.387</w:t>
            </w:r>
          </w:p>
        </w:tc>
        <w:tc>
          <w:tcPr>
            <w:tcW w:w="89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104.318</w:t>
            </w:r>
          </w:p>
        </w:tc>
        <w:tc>
          <w:tcPr>
            <w:tcW w:w="80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18.107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Merge w:val="continue"/>
          </w:tcPr>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default" w:asciiTheme="majorEastAsia" w:hAnsiTheme="majorEastAsia" w:eastAsiaTheme="majorEastAsia" w:cstheme="majorEastAsia"/>
                <w:b/>
                <w:bCs/>
                <w:sz w:val="18"/>
                <w:szCs w:val="18"/>
                <w:highlight w:val="none"/>
                <w:vertAlign w:val="baseline"/>
                <w:lang w:val="en-US" w:eastAsia="zh-CN"/>
              </w:rPr>
            </w:pPr>
          </w:p>
        </w:tc>
        <w:tc>
          <w:tcPr>
            <w:tcW w:w="88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32.102</w:t>
            </w:r>
          </w:p>
        </w:tc>
        <w:tc>
          <w:tcPr>
            <w:tcW w:w="89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13.278</w:t>
            </w:r>
          </w:p>
        </w:tc>
        <w:tc>
          <w:tcPr>
            <w:tcW w:w="91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35.941</w:t>
            </w:r>
          </w:p>
        </w:tc>
        <w:tc>
          <w:tcPr>
            <w:tcW w:w="84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15.025</w:t>
            </w:r>
          </w:p>
        </w:tc>
        <w:tc>
          <w:tcPr>
            <w:tcW w:w="83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45.159</w:t>
            </w:r>
          </w:p>
        </w:tc>
        <w:tc>
          <w:tcPr>
            <w:tcW w:w="86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19.195</w:t>
            </w:r>
          </w:p>
        </w:tc>
        <w:tc>
          <w:tcPr>
            <w:tcW w:w="81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56.598</w:t>
            </w:r>
          </w:p>
        </w:tc>
        <w:tc>
          <w:tcPr>
            <w:tcW w:w="82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16.926</w:t>
            </w:r>
          </w:p>
        </w:tc>
        <w:tc>
          <w:tcPr>
            <w:tcW w:w="89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103.906</w:t>
            </w:r>
          </w:p>
        </w:tc>
        <w:tc>
          <w:tcPr>
            <w:tcW w:w="80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18.546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Merge w:val="continue"/>
          </w:tcPr>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default" w:asciiTheme="majorEastAsia" w:hAnsiTheme="majorEastAsia" w:eastAsiaTheme="majorEastAsia" w:cstheme="majorEastAsia"/>
                <w:b/>
                <w:bCs/>
                <w:sz w:val="18"/>
                <w:szCs w:val="18"/>
                <w:highlight w:val="none"/>
                <w:vertAlign w:val="baseline"/>
                <w:lang w:val="en-US" w:eastAsia="zh-CN"/>
              </w:rPr>
            </w:pPr>
          </w:p>
        </w:tc>
        <w:tc>
          <w:tcPr>
            <w:tcW w:w="88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32.094</w:t>
            </w:r>
          </w:p>
        </w:tc>
        <w:tc>
          <w:tcPr>
            <w:tcW w:w="89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14.595</w:t>
            </w:r>
          </w:p>
        </w:tc>
        <w:tc>
          <w:tcPr>
            <w:tcW w:w="91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35.934</w:t>
            </w:r>
          </w:p>
        </w:tc>
        <w:tc>
          <w:tcPr>
            <w:tcW w:w="84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16.732</w:t>
            </w:r>
          </w:p>
        </w:tc>
        <w:tc>
          <w:tcPr>
            <w:tcW w:w="83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46.804</w:t>
            </w:r>
          </w:p>
        </w:tc>
        <w:tc>
          <w:tcPr>
            <w:tcW w:w="86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20.291</w:t>
            </w:r>
          </w:p>
        </w:tc>
        <w:tc>
          <w:tcPr>
            <w:tcW w:w="81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56.883</w:t>
            </w:r>
          </w:p>
        </w:tc>
        <w:tc>
          <w:tcPr>
            <w:tcW w:w="82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15.713</w:t>
            </w:r>
          </w:p>
        </w:tc>
        <w:tc>
          <w:tcPr>
            <w:tcW w:w="89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104.213</w:t>
            </w:r>
          </w:p>
        </w:tc>
        <w:tc>
          <w:tcPr>
            <w:tcW w:w="800" w:type="dxa"/>
            <w:vAlign w:val="center"/>
          </w:tcPr>
          <w:p>
            <w:pPr>
              <w:keepNext w:val="0"/>
              <w:keepLines w:val="0"/>
              <w:widowControl/>
              <w:suppressLineNumbers w:val="0"/>
              <w:jc w:val="right"/>
              <w:textAlignment w:val="center"/>
              <w:rPr>
                <w:rFonts w:hint="default" w:asciiTheme="majorEastAsia" w:hAnsiTheme="majorEastAsia" w:eastAsiaTheme="majorEastAsia" w:cstheme="majorEastAsia"/>
                <w:b/>
                <w:bCs/>
                <w:sz w:val="18"/>
                <w:szCs w:val="18"/>
                <w:highlight w:val="none"/>
                <w:vertAlign w:val="baseline"/>
                <w:lang w:val="en-US" w:eastAsia="zh-CN"/>
              </w:rPr>
            </w:pPr>
            <w:r>
              <w:rPr>
                <w:rFonts w:hint="eastAsia" w:ascii="宋体" w:hAnsi="宋体" w:eastAsia="宋体" w:cs="宋体"/>
                <w:b/>
                <w:bCs/>
                <w:i w:val="0"/>
                <w:iCs w:val="0"/>
                <w:color w:val="000000"/>
                <w:kern w:val="0"/>
                <w:sz w:val="18"/>
                <w:szCs w:val="18"/>
                <w:highlight w:val="none"/>
                <w:u w:val="none"/>
                <w:lang w:val="en-US" w:eastAsia="zh-CN" w:bidi="ar"/>
              </w:rPr>
              <w:t>19.085</w:t>
            </w:r>
          </w:p>
        </w:tc>
      </w:tr>
    </w:tbl>
    <w:p>
      <w:pPr>
        <w:keepNext w:val="0"/>
        <w:keepLines w:val="0"/>
        <w:pageBreakBefore w:val="0"/>
        <w:widowControl w:val="0"/>
        <w:numPr>
          <w:ilvl w:val="0"/>
          <w:numId w:val="0"/>
        </w:numPr>
        <w:kinsoku/>
        <w:wordWrap/>
        <w:overflowPunct/>
        <w:topLinePunct w:val="0"/>
        <w:autoSpaceDE/>
        <w:autoSpaceDN/>
        <w:bidi w:val="0"/>
        <w:spacing w:line="360" w:lineRule="auto"/>
        <w:ind w:leftChars="20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合金铜丝力学性能：</w:t>
      </w:r>
    </w:p>
    <w:tbl>
      <w:tblPr>
        <w:tblStyle w:val="6"/>
        <w:tblW w:w="9165"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755"/>
        <w:gridCol w:w="1025"/>
        <w:gridCol w:w="1015"/>
        <w:gridCol w:w="1695"/>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0" w:type="dxa"/>
            <w:vMerge w:val="restart"/>
            <w:vAlign w:val="center"/>
          </w:tcPr>
          <w:p>
            <w:pPr>
              <w:jc w:val="center"/>
              <w:rPr>
                <w:lang w:eastAsia="zh-CN"/>
              </w:rPr>
            </w:pPr>
            <w:r>
              <w:rPr>
                <w:rFonts w:hint="eastAsia"/>
                <w:lang w:eastAsia="zh-CN"/>
              </w:rPr>
              <w:t>直径/μm</w:t>
            </w:r>
          </w:p>
        </w:tc>
        <w:tc>
          <w:tcPr>
            <w:tcW w:w="1755" w:type="dxa"/>
            <w:vMerge w:val="restart"/>
            <w:vAlign w:val="center"/>
          </w:tcPr>
          <w:p>
            <w:pPr>
              <w:jc w:val="center"/>
              <w:rPr>
                <w:highlight w:val="none"/>
                <w:lang w:eastAsia="zh-CN"/>
              </w:rPr>
            </w:pPr>
            <w:r>
              <w:rPr>
                <w:rFonts w:hint="eastAsia"/>
                <w:highlight w:val="none"/>
                <w:lang w:eastAsia="zh-CN"/>
              </w:rPr>
              <w:t>直径允许偏差</w:t>
            </w:r>
          </w:p>
        </w:tc>
        <w:tc>
          <w:tcPr>
            <w:tcW w:w="2040" w:type="dxa"/>
            <w:gridSpan w:val="2"/>
            <w:vAlign w:val="center"/>
          </w:tcPr>
          <w:p>
            <w:pPr>
              <w:jc w:val="center"/>
              <w:rPr>
                <w:highlight w:val="none"/>
                <w:lang w:eastAsia="zh-CN"/>
              </w:rPr>
            </w:pPr>
            <w:r>
              <w:rPr>
                <w:rFonts w:hint="eastAsia"/>
                <w:highlight w:val="none"/>
                <w:lang w:eastAsia="zh-CN"/>
              </w:rPr>
              <w:t>最小拉断力/gf</w:t>
            </w:r>
          </w:p>
        </w:tc>
        <w:tc>
          <w:tcPr>
            <w:tcW w:w="1695" w:type="dxa"/>
            <w:vAlign w:val="center"/>
          </w:tcPr>
          <w:p>
            <w:pPr>
              <w:jc w:val="center"/>
              <w:rPr>
                <w:highlight w:val="none"/>
                <w:lang w:eastAsia="zh-CN"/>
              </w:rPr>
            </w:pPr>
            <w:r>
              <w:rPr>
                <w:rFonts w:hint="eastAsia"/>
                <w:highlight w:val="none"/>
                <w:lang w:eastAsia="zh-CN"/>
              </w:rPr>
              <w:t>伸长率/%</w:t>
            </w:r>
          </w:p>
        </w:tc>
        <w:tc>
          <w:tcPr>
            <w:tcW w:w="2475" w:type="dxa"/>
            <w:vMerge w:val="restart"/>
            <w:vAlign w:val="center"/>
          </w:tcPr>
          <w:p>
            <w:pPr>
              <w:jc w:val="center"/>
              <w:rPr>
                <w:lang w:eastAsia="zh-CN"/>
              </w:rPr>
            </w:pPr>
            <w:r>
              <w:rPr>
                <w:rFonts w:hint="eastAsia"/>
                <w:lang w:eastAsia="zh-CN"/>
              </w:rPr>
              <w:t>伸长率波动范围/%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00" w:type="dxa"/>
            <w:vMerge w:val="continue"/>
            <w:vAlign w:val="center"/>
          </w:tcPr>
          <w:p>
            <w:pPr>
              <w:jc w:val="center"/>
            </w:pPr>
          </w:p>
        </w:tc>
        <w:tc>
          <w:tcPr>
            <w:tcW w:w="1755" w:type="dxa"/>
            <w:vMerge w:val="continue"/>
            <w:vAlign w:val="center"/>
          </w:tcPr>
          <w:p>
            <w:pPr>
              <w:jc w:val="center"/>
              <w:rPr>
                <w:highlight w:val="none"/>
              </w:rPr>
            </w:pPr>
          </w:p>
        </w:tc>
        <w:tc>
          <w:tcPr>
            <w:tcW w:w="1025" w:type="dxa"/>
            <w:vAlign w:val="center"/>
          </w:tcPr>
          <w:p>
            <w:pPr>
              <w:jc w:val="center"/>
              <w:rPr>
                <w:highlight w:val="none"/>
                <w:lang w:eastAsia="zh-CN"/>
              </w:rPr>
            </w:pPr>
            <w:r>
              <w:rPr>
                <w:rFonts w:hint="eastAsia"/>
                <w:highlight w:val="none"/>
                <w:lang w:val="en-US" w:eastAsia="zh-CN"/>
              </w:rPr>
              <w:t>CG</w:t>
            </w:r>
          </w:p>
        </w:tc>
        <w:tc>
          <w:tcPr>
            <w:tcW w:w="1015" w:type="dxa"/>
            <w:vAlign w:val="center"/>
          </w:tcPr>
          <w:p>
            <w:pPr>
              <w:jc w:val="center"/>
              <w:rPr>
                <w:rFonts w:hint="default" w:ascii="Times New Roman" w:hAnsi="Times New Roman" w:eastAsia="Times New Roman" w:cs="Times New Roman"/>
                <w:color w:val="000000"/>
                <w:sz w:val="24"/>
                <w:szCs w:val="24"/>
                <w:highlight w:val="none"/>
                <w:lang w:val="en-US" w:eastAsia="zh-CN" w:bidi="en-US"/>
              </w:rPr>
            </w:pPr>
            <w:r>
              <w:rPr>
                <w:rFonts w:hint="eastAsia"/>
                <w:highlight w:val="none"/>
                <w:lang w:val="en-US" w:eastAsia="zh-CN"/>
              </w:rPr>
              <w:t>CA</w:t>
            </w:r>
          </w:p>
        </w:tc>
        <w:tc>
          <w:tcPr>
            <w:tcW w:w="1695" w:type="dxa"/>
            <w:vAlign w:val="center"/>
          </w:tcPr>
          <w:p>
            <w:pPr>
              <w:jc w:val="center"/>
              <w:rPr>
                <w:highlight w:val="none"/>
                <w:lang w:eastAsia="zh-CN"/>
              </w:rPr>
            </w:pPr>
            <w:r>
              <w:rPr>
                <w:rFonts w:hint="eastAsia"/>
                <w:highlight w:val="none"/>
                <w:lang w:val="en-US" w:eastAsia="zh-CN"/>
              </w:rPr>
              <w:t>CG/CA</w:t>
            </w:r>
          </w:p>
        </w:tc>
        <w:tc>
          <w:tcPr>
            <w:tcW w:w="247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00" w:type="dxa"/>
            <w:vAlign w:val="center"/>
          </w:tcPr>
          <w:p>
            <w:pPr>
              <w:jc w:val="center"/>
              <w:rPr>
                <w:rFonts w:hint="eastAsia"/>
                <w:lang w:eastAsia="zh-CN"/>
              </w:rPr>
            </w:pPr>
            <w:r>
              <w:rPr>
                <w:rFonts w:hint="eastAsia"/>
                <w:lang w:eastAsia="zh-CN"/>
              </w:rPr>
              <w:t>18</w:t>
            </w:r>
          </w:p>
        </w:tc>
        <w:tc>
          <w:tcPr>
            <w:tcW w:w="1755" w:type="dxa"/>
            <w:vMerge w:val="restart"/>
            <w:vAlign w:val="center"/>
          </w:tcPr>
          <w:p>
            <w:pPr>
              <w:jc w:val="center"/>
              <w:rPr>
                <w:rFonts w:hint="eastAsia"/>
                <w:highlight w:val="none"/>
                <w:lang w:eastAsia="zh-CN"/>
              </w:rPr>
            </w:pPr>
            <w:r>
              <w:rPr>
                <w:rFonts w:hint="eastAsia"/>
                <w:highlight w:val="none"/>
                <w:lang w:eastAsia="zh-CN"/>
              </w:rPr>
              <w:t>±1</w:t>
            </w:r>
          </w:p>
        </w:tc>
        <w:tc>
          <w:tcPr>
            <w:tcW w:w="1025" w:type="dxa"/>
            <w:vAlign w:val="center"/>
          </w:tcPr>
          <w:p>
            <w:pPr>
              <w:jc w:val="center"/>
              <w:rPr>
                <w:rFonts w:hint="eastAsia" w:ascii="Times New Roman" w:hAnsi="Times New Roman" w:eastAsia="Times New Roman" w:cs="Times New Roman"/>
                <w:color w:val="000000"/>
                <w:sz w:val="24"/>
                <w:szCs w:val="24"/>
                <w:highlight w:val="none"/>
                <w:lang w:val="en-US" w:eastAsia="zh-CN" w:bidi="en-US"/>
              </w:rPr>
            </w:pPr>
            <w:r>
              <w:rPr>
                <w:rFonts w:hint="eastAsia"/>
                <w:highlight w:val="none"/>
                <w:lang w:eastAsia="zh-CN"/>
              </w:rPr>
              <w:t>＞3</w:t>
            </w:r>
          </w:p>
        </w:tc>
        <w:tc>
          <w:tcPr>
            <w:tcW w:w="1015" w:type="dxa"/>
            <w:vAlign w:val="center"/>
          </w:tcPr>
          <w:p>
            <w:pPr>
              <w:jc w:val="center"/>
              <w:rPr>
                <w:rFonts w:hint="eastAsia" w:ascii="Times New Roman" w:hAnsi="Times New Roman" w:eastAsia="Times New Roman" w:cs="Times New Roman"/>
                <w:color w:val="000000"/>
                <w:sz w:val="24"/>
                <w:szCs w:val="24"/>
                <w:highlight w:val="none"/>
                <w:lang w:val="en-US" w:eastAsia="zh-CN" w:bidi="en-US"/>
              </w:rPr>
            </w:pPr>
            <w:r>
              <w:rPr>
                <w:rFonts w:hint="eastAsia"/>
                <w:highlight w:val="none"/>
                <w:lang w:eastAsia="zh-CN"/>
              </w:rPr>
              <w:t>＞</w:t>
            </w:r>
            <w:r>
              <w:rPr>
                <w:rFonts w:hint="eastAsia"/>
                <w:highlight w:val="none"/>
                <w:lang w:val="en-US" w:eastAsia="zh-CN"/>
              </w:rPr>
              <w:t>4</w:t>
            </w:r>
          </w:p>
        </w:tc>
        <w:tc>
          <w:tcPr>
            <w:tcW w:w="1695" w:type="dxa"/>
            <w:vAlign w:val="center"/>
          </w:tcPr>
          <w:p>
            <w:pPr>
              <w:jc w:val="center"/>
              <w:rPr>
                <w:rFonts w:hint="eastAsia" w:ascii="Times New Roman" w:hAnsi="Times New Roman" w:eastAsia="Times New Roman" w:cs="Times New Roman"/>
                <w:color w:val="000000"/>
                <w:sz w:val="24"/>
                <w:szCs w:val="24"/>
                <w:highlight w:val="none"/>
                <w:lang w:val="en-US" w:eastAsia="zh-CN" w:bidi="en-US"/>
              </w:rPr>
            </w:pPr>
            <w:r>
              <w:rPr>
                <w:rFonts w:hint="eastAsia"/>
                <w:highlight w:val="none"/>
                <w:lang w:val="en-US" w:eastAsia="zh-CN"/>
              </w:rPr>
              <w:t>4</w:t>
            </w:r>
            <w:r>
              <w:rPr>
                <w:rFonts w:hint="eastAsia"/>
                <w:highlight w:val="none"/>
              </w:rPr>
              <w:t>〜</w:t>
            </w:r>
            <w:r>
              <w:rPr>
                <w:rFonts w:hint="eastAsia"/>
                <w:highlight w:val="none"/>
                <w:lang w:val="en-US" w:eastAsia="zh-CN"/>
              </w:rPr>
              <w:t>14</w:t>
            </w:r>
          </w:p>
        </w:tc>
        <w:tc>
          <w:tcPr>
            <w:tcW w:w="2475" w:type="dxa"/>
            <w:vAlign w:val="center"/>
          </w:tcPr>
          <w:p>
            <w:pPr>
              <w:jc w:val="center"/>
              <w:rPr>
                <w:rFonts w:hint="eastAsia"/>
                <w:lang w:eastAsia="zh-CN"/>
              </w:rPr>
            </w:pPr>
            <w:r>
              <w:rPr>
                <w:rFonts w:hint="eastAsia"/>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200" w:type="dxa"/>
            <w:vAlign w:val="center"/>
          </w:tcPr>
          <w:p>
            <w:pPr>
              <w:jc w:val="center"/>
              <w:rPr>
                <w:lang w:eastAsia="zh-CN"/>
              </w:rPr>
            </w:pPr>
            <w:r>
              <w:rPr>
                <w:rFonts w:hint="eastAsia"/>
                <w:lang w:eastAsia="zh-CN"/>
              </w:rPr>
              <w:t>20</w:t>
            </w:r>
          </w:p>
        </w:tc>
        <w:tc>
          <w:tcPr>
            <w:tcW w:w="1755" w:type="dxa"/>
            <w:vMerge w:val="continue"/>
            <w:vAlign w:val="center"/>
          </w:tcPr>
          <w:p>
            <w:pPr>
              <w:jc w:val="center"/>
              <w:rPr>
                <w:highlight w:val="none"/>
              </w:rPr>
            </w:pPr>
          </w:p>
        </w:tc>
        <w:tc>
          <w:tcPr>
            <w:tcW w:w="1025" w:type="dxa"/>
            <w:vAlign w:val="center"/>
          </w:tcPr>
          <w:p>
            <w:pPr>
              <w:jc w:val="center"/>
              <w:rPr>
                <w:highlight w:val="none"/>
              </w:rPr>
            </w:pPr>
            <w:r>
              <w:rPr>
                <w:rFonts w:hint="eastAsia"/>
                <w:highlight w:val="none"/>
                <w:lang w:eastAsia="zh-CN"/>
              </w:rPr>
              <w:t>＞4</w:t>
            </w:r>
          </w:p>
        </w:tc>
        <w:tc>
          <w:tcPr>
            <w:tcW w:w="1015" w:type="dxa"/>
            <w:vAlign w:val="center"/>
          </w:tcPr>
          <w:p>
            <w:pPr>
              <w:jc w:val="center"/>
              <w:rPr>
                <w:highlight w:val="none"/>
              </w:rPr>
            </w:pPr>
            <w:r>
              <w:rPr>
                <w:rFonts w:hint="eastAsia"/>
                <w:highlight w:val="none"/>
                <w:lang w:eastAsia="zh-CN"/>
              </w:rPr>
              <w:t>＞5</w:t>
            </w:r>
          </w:p>
        </w:tc>
        <w:tc>
          <w:tcPr>
            <w:tcW w:w="1695" w:type="dxa"/>
            <w:vAlign w:val="center"/>
          </w:tcPr>
          <w:p>
            <w:pPr>
              <w:jc w:val="center"/>
              <w:rPr>
                <w:highlight w:val="none"/>
              </w:rPr>
            </w:pPr>
            <w:r>
              <w:rPr>
                <w:rFonts w:hint="eastAsia"/>
                <w:highlight w:val="none"/>
                <w:lang w:eastAsia="zh-CN"/>
              </w:rPr>
              <w:t>6</w:t>
            </w:r>
            <w:r>
              <w:rPr>
                <w:rFonts w:hint="eastAsia"/>
                <w:highlight w:val="none"/>
              </w:rPr>
              <w:t>〜</w:t>
            </w:r>
            <w:r>
              <w:rPr>
                <w:rFonts w:hint="eastAsia"/>
                <w:highlight w:val="none"/>
                <w:lang w:eastAsia="zh-CN"/>
              </w:rPr>
              <w:t>16</w:t>
            </w:r>
          </w:p>
        </w:tc>
        <w:tc>
          <w:tcPr>
            <w:tcW w:w="2475" w:type="dxa"/>
            <w:vAlign w:val="center"/>
          </w:tcPr>
          <w:p>
            <w:pPr>
              <w:jc w:val="center"/>
            </w:pPr>
            <w:r>
              <w:rPr>
                <w:rFonts w:hint="eastAsia"/>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rPr>
                <w:lang w:eastAsia="zh-CN"/>
              </w:rPr>
            </w:pPr>
            <w:r>
              <w:rPr>
                <w:rFonts w:hint="eastAsia"/>
                <w:lang w:eastAsia="zh-CN"/>
              </w:rPr>
              <w:t>23</w:t>
            </w:r>
          </w:p>
        </w:tc>
        <w:tc>
          <w:tcPr>
            <w:tcW w:w="1755" w:type="dxa"/>
            <w:vMerge w:val="continue"/>
            <w:vAlign w:val="center"/>
          </w:tcPr>
          <w:p>
            <w:pPr>
              <w:jc w:val="center"/>
              <w:rPr>
                <w:highlight w:val="none"/>
              </w:rPr>
            </w:pPr>
          </w:p>
        </w:tc>
        <w:tc>
          <w:tcPr>
            <w:tcW w:w="1025" w:type="dxa"/>
            <w:vAlign w:val="center"/>
          </w:tcPr>
          <w:p>
            <w:pPr>
              <w:jc w:val="center"/>
              <w:rPr>
                <w:highlight w:val="none"/>
              </w:rPr>
            </w:pPr>
            <w:r>
              <w:rPr>
                <w:rFonts w:hint="eastAsia"/>
                <w:highlight w:val="none"/>
                <w:lang w:eastAsia="zh-CN"/>
              </w:rPr>
              <w:t>＞5</w:t>
            </w:r>
          </w:p>
        </w:tc>
        <w:tc>
          <w:tcPr>
            <w:tcW w:w="1015" w:type="dxa"/>
            <w:vAlign w:val="center"/>
          </w:tcPr>
          <w:p>
            <w:pPr>
              <w:jc w:val="center"/>
              <w:rPr>
                <w:highlight w:val="none"/>
              </w:rPr>
            </w:pPr>
            <w:r>
              <w:rPr>
                <w:rFonts w:hint="eastAsia"/>
                <w:highlight w:val="none"/>
                <w:lang w:eastAsia="zh-CN"/>
              </w:rPr>
              <w:t>＞7</w:t>
            </w:r>
          </w:p>
        </w:tc>
        <w:tc>
          <w:tcPr>
            <w:tcW w:w="1695" w:type="dxa"/>
            <w:vAlign w:val="center"/>
          </w:tcPr>
          <w:p>
            <w:pPr>
              <w:jc w:val="center"/>
              <w:rPr>
                <w:highlight w:val="none"/>
              </w:rPr>
            </w:pPr>
            <w:r>
              <w:rPr>
                <w:rFonts w:hint="eastAsia"/>
                <w:highlight w:val="none"/>
                <w:lang w:eastAsia="zh-CN"/>
              </w:rPr>
              <w:t>6</w:t>
            </w:r>
            <w:r>
              <w:rPr>
                <w:rFonts w:hint="eastAsia"/>
                <w:highlight w:val="none"/>
              </w:rPr>
              <w:t>〜</w:t>
            </w:r>
            <w:r>
              <w:rPr>
                <w:rFonts w:hint="eastAsia"/>
                <w:highlight w:val="none"/>
                <w:lang w:eastAsia="zh-CN"/>
              </w:rPr>
              <w:t>16</w:t>
            </w:r>
          </w:p>
        </w:tc>
        <w:tc>
          <w:tcPr>
            <w:tcW w:w="2475" w:type="dxa"/>
            <w:vAlign w:val="center"/>
          </w:tcPr>
          <w:p>
            <w:pPr>
              <w:jc w:val="center"/>
            </w:pPr>
            <w:r>
              <w:rPr>
                <w:rFonts w:hint="eastAsia"/>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rPr>
                <w:lang w:eastAsia="zh-CN"/>
              </w:rPr>
            </w:pPr>
            <w:r>
              <w:rPr>
                <w:rFonts w:hint="eastAsia"/>
                <w:lang w:eastAsia="zh-CN"/>
              </w:rPr>
              <w:t>25</w:t>
            </w:r>
          </w:p>
        </w:tc>
        <w:tc>
          <w:tcPr>
            <w:tcW w:w="1755" w:type="dxa"/>
            <w:vMerge w:val="continue"/>
            <w:vAlign w:val="center"/>
          </w:tcPr>
          <w:p>
            <w:pPr>
              <w:jc w:val="center"/>
              <w:rPr>
                <w:highlight w:val="none"/>
              </w:rPr>
            </w:pPr>
          </w:p>
        </w:tc>
        <w:tc>
          <w:tcPr>
            <w:tcW w:w="1025" w:type="dxa"/>
            <w:vAlign w:val="center"/>
          </w:tcPr>
          <w:p>
            <w:pPr>
              <w:jc w:val="center"/>
              <w:rPr>
                <w:highlight w:val="none"/>
              </w:rPr>
            </w:pPr>
            <w:r>
              <w:rPr>
                <w:rFonts w:hint="eastAsia"/>
                <w:highlight w:val="none"/>
                <w:lang w:eastAsia="zh-CN"/>
              </w:rPr>
              <w:t>＞6</w:t>
            </w:r>
          </w:p>
        </w:tc>
        <w:tc>
          <w:tcPr>
            <w:tcW w:w="1015" w:type="dxa"/>
            <w:vAlign w:val="center"/>
          </w:tcPr>
          <w:p>
            <w:pPr>
              <w:jc w:val="center"/>
              <w:rPr>
                <w:highlight w:val="none"/>
              </w:rPr>
            </w:pPr>
            <w:r>
              <w:rPr>
                <w:rFonts w:hint="eastAsia"/>
                <w:highlight w:val="none"/>
                <w:lang w:eastAsia="zh-CN"/>
              </w:rPr>
              <w:t>＞8</w:t>
            </w:r>
          </w:p>
        </w:tc>
        <w:tc>
          <w:tcPr>
            <w:tcW w:w="1695" w:type="dxa"/>
            <w:vAlign w:val="center"/>
          </w:tcPr>
          <w:p>
            <w:pPr>
              <w:jc w:val="center"/>
              <w:rPr>
                <w:highlight w:val="none"/>
              </w:rPr>
            </w:pPr>
            <w:r>
              <w:rPr>
                <w:rFonts w:hint="eastAsia"/>
                <w:highlight w:val="none"/>
                <w:lang w:eastAsia="zh-CN"/>
              </w:rPr>
              <w:t>8</w:t>
            </w:r>
            <w:r>
              <w:rPr>
                <w:rFonts w:hint="eastAsia"/>
                <w:highlight w:val="none"/>
              </w:rPr>
              <w:t>〜</w:t>
            </w:r>
            <w:r>
              <w:rPr>
                <w:rFonts w:hint="eastAsia"/>
                <w:highlight w:val="none"/>
                <w:lang w:eastAsia="zh-CN"/>
              </w:rPr>
              <w:t>16</w:t>
            </w:r>
          </w:p>
        </w:tc>
        <w:tc>
          <w:tcPr>
            <w:tcW w:w="2475" w:type="dxa"/>
            <w:vAlign w:val="center"/>
          </w:tcPr>
          <w:p>
            <w:pPr>
              <w:jc w:val="center"/>
            </w:pPr>
            <w:r>
              <w:rPr>
                <w:rFonts w:hint="eastAsia"/>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rPr>
                <w:lang w:eastAsia="zh-CN"/>
              </w:rPr>
            </w:pPr>
            <w:r>
              <w:rPr>
                <w:rFonts w:hint="eastAsia"/>
                <w:lang w:eastAsia="zh-CN"/>
              </w:rPr>
              <w:t>30</w:t>
            </w:r>
          </w:p>
        </w:tc>
        <w:tc>
          <w:tcPr>
            <w:tcW w:w="1755" w:type="dxa"/>
            <w:vMerge w:val="continue"/>
            <w:vAlign w:val="center"/>
          </w:tcPr>
          <w:p>
            <w:pPr>
              <w:jc w:val="center"/>
              <w:rPr>
                <w:highlight w:val="none"/>
              </w:rPr>
            </w:pPr>
          </w:p>
        </w:tc>
        <w:tc>
          <w:tcPr>
            <w:tcW w:w="1025" w:type="dxa"/>
            <w:vAlign w:val="center"/>
          </w:tcPr>
          <w:p>
            <w:pPr>
              <w:jc w:val="center"/>
              <w:rPr>
                <w:highlight w:val="none"/>
              </w:rPr>
            </w:pPr>
            <w:r>
              <w:rPr>
                <w:rFonts w:hint="eastAsia"/>
                <w:highlight w:val="none"/>
                <w:lang w:eastAsia="zh-CN"/>
              </w:rPr>
              <w:t>＞10</w:t>
            </w:r>
          </w:p>
        </w:tc>
        <w:tc>
          <w:tcPr>
            <w:tcW w:w="1015" w:type="dxa"/>
            <w:vAlign w:val="center"/>
          </w:tcPr>
          <w:p>
            <w:pPr>
              <w:jc w:val="center"/>
              <w:rPr>
                <w:highlight w:val="none"/>
              </w:rPr>
            </w:pPr>
            <w:r>
              <w:rPr>
                <w:rFonts w:hint="eastAsia"/>
                <w:highlight w:val="none"/>
                <w:lang w:eastAsia="zh-CN"/>
              </w:rPr>
              <w:t>＞13</w:t>
            </w:r>
          </w:p>
        </w:tc>
        <w:tc>
          <w:tcPr>
            <w:tcW w:w="1695" w:type="dxa"/>
            <w:vAlign w:val="center"/>
          </w:tcPr>
          <w:p>
            <w:pPr>
              <w:jc w:val="center"/>
              <w:rPr>
                <w:highlight w:val="none"/>
              </w:rPr>
            </w:pPr>
            <w:r>
              <w:rPr>
                <w:rFonts w:hint="eastAsia"/>
                <w:highlight w:val="none"/>
                <w:lang w:eastAsia="zh-CN"/>
              </w:rPr>
              <w:t>8</w:t>
            </w:r>
            <w:r>
              <w:rPr>
                <w:rFonts w:hint="eastAsia"/>
                <w:highlight w:val="none"/>
              </w:rPr>
              <w:t>〜</w:t>
            </w:r>
            <w:r>
              <w:rPr>
                <w:rFonts w:hint="eastAsia"/>
                <w:highlight w:val="none"/>
                <w:lang w:eastAsia="zh-CN"/>
              </w:rPr>
              <w:t>18</w:t>
            </w:r>
          </w:p>
        </w:tc>
        <w:tc>
          <w:tcPr>
            <w:tcW w:w="2475" w:type="dxa"/>
            <w:vAlign w:val="center"/>
          </w:tcPr>
          <w:p>
            <w:pPr>
              <w:jc w:val="center"/>
            </w:pPr>
            <w:r>
              <w:rPr>
                <w:rFonts w:hint="eastAsia"/>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rPr>
                <w:lang w:eastAsia="zh-CN"/>
              </w:rPr>
            </w:pPr>
            <w:r>
              <w:rPr>
                <w:rFonts w:hint="eastAsia"/>
                <w:lang w:eastAsia="zh-CN"/>
              </w:rPr>
              <w:t>32</w:t>
            </w:r>
          </w:p>
        </w:tc>
        <w:tc>
          <w:tcPr>
            <w:tcW w:w="1755" w:type="dxa"/>
            <w:vMerge w:val="continue"/>
            <w:vAlign w:val="center"/>
          </w:tcPr>
          <w:p>
            <w:pPr>
              <w:jc w:val="center"/>
              <w:rPr>
                <w:highlight w:val="none"/>
              </w:rPr>
            </w:pPr>
          </w:p>
        </w:tc>
        <w:tc>
          <w:tcPr>
            <w:tcW w:w="1025" w:type="dxa"/>
            <w:vAlign w:val="center"/>
          </w:tcPr>
          <w:p>
            <w:pPr>
              <w:jc w:val="center"/>
              <w:rPr>
                <w:highlight w:val="none"/>
              </w:rPr>
            </w:pPr>
            <w:r>
              <w:rPr>
                <w:rFonts w:hint="eastAsia"/>
                <w:highlight w:val="none"/>
                <w:lang w:eastAsia="zh-CN"/>
              </w:rPr>
              <w:t>＞12</w:t>
            </w:r>
          </w:p>
        </w:tc>
        <w:tc>
          <w:tcPr>
            <w:tcW w:w="1015" w:type="dxa"/>
            <w:vAlign w:val="center"/>
          </w:tcPr>
          <w:p>
            <w:pPr>
              <w:jc w:val="center"/>
              <w:rPr>
                <w:highlight w:val="none"/>
              </w:rPr>
            </w:pPr>
            <w:r>
              <w:rPr>
                <w:rFonts w:hint="eastAsia"/>
                <w:highlight w:val="none"/>
                <w:lang w:eastAsia="zh-CN"/>
              </w:rPr>
              <w:t>＞15</w:t>
            </w:r>
          </w:p>
        </w:tc>
        <w:tc>
          <w:tcPr>
            <w:tcW w:w="1695" w:type="dxa"/>
            <w:vAlign w:val="center"/>
          </w:tcPr>
          <w:p>
            <w:pPr>
              <w:jc w:val="center"/>
              <w:rPr>
                <w:highlight w:val="none"/>
              </w:rPr>
            </w:pPr>
            <w:r>
              <w:rPr>
                <w:rFonts w:hint="eastAsia"/>
                <w:highlight w:val="none"/>
                <w:lang w:eastAsia="zh-CN"/>
              </w:rPr>
              <w:t>8</w:t>
            </w:r>
            <w:r>
              <w:rPr>
                <w:rFonts w:hint="eastAsia"/>
                <w:highlight w:val="none"/>
              </w:rPr>
              <w:t>〜</w:t>
            </w:r>
            <w:r>
              <w:rPr>
                <w:rFonts w:hint="eastAsia"/>
                <w:highlight w:val="none"/>
                <w:lang w:eastAsia="zh-CN"/>
              </w:rPr>
              <w:t>18</w:t>
            </w:r>
          </w:p>
        </w:tc>
        <w:tc>
          <w:tcPr>
            <w:tcW w:w="2475" w:type="dxa"/>
            <w:vAlign w:val="center"/>
          </w:tcPr>
          <w:p>
            <w:pPr>
              <w:jc w:val="center"/>
            </w:pPr>
            <w:r>
              <w:rPr>
                <w:rFonts w:hint="eastAsia"/>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rPr>
                <w:lang w:eastAsia="zh-CN"/>
              </w:rPr>
            </w:pPr>
            <w:r>
              <w:rPr>
                <w:rFonts w:hint="eastAsia"/>
                <w:lang w:eastAsia="zh-CN"/>
              </w:rPr>
              <w:t>33</w:t>
            </w:r>
          </w:p>
        </w:tc>
        <w:tc>
          <w:tcPr>
            <w:tcW w:w="1755" w:type="dxa"/>
            <w:vMerge w:val="continue"/>
            <w:vAlign w:val="center"/>
          </w:tcPr>
          <w:p>
            <w:pPr>
              <w:jc w:val="center"/>
              <w:rPr>
                <w:highlight w:val="none"/>
              </w:rPr>
            </w:pPr>
          </w:p>
        </w:tc>
        <w:tc>
          <w:tcPr>
            <w:tcW w:w="1025" w:type="dxa"/>
            <w:vAlign w:val="center"/>
          </w:tcPr>
          <w:p>
            <w:pPr>
              <w:jc w:val="center"/>
              <w:rPr>
                <w:highlight w:val="none"/>
              </w:rPr>
            </w:pPr>
            <w:r>
              <w:rPr>
                <w:rFonts w:hint="eastAsia"/>
                <w:highlight w:val="none"/>
                <w:lang w:eastAsia="zh-CN"/>
              </w:rPr>
              <w:t>＞14</w:t>
            </w:r>
          </w:p>
        </w:tc>
        <w:tc>
          <w:tcPr>
            <w:tcW w:w="1015" w:type="dxa"/>
            <w:vAlign w:val="center"/>
          </w:tcPr>
          <w:p>
            <w:pPr>
              <w:jc w:val="center"/>
              <w:rPr>
                <w:highlight w:val="none"/>
              </w:rPr>
            </w:pPr>
            <w:r>
              <w:rPr>
                <w:rFonts w:hint="eastAsia"/>
                <w:highlight w:val="none"/>
                <w:lang w:eastAsia="zh-CN"/>
              </w:rPr>
              <w:t>＞17</w:t>
            </w:r>
          </w:p>
        </w:tc>
        <w:tc>
          <w:tcPr>
            <w:tcW w:w="1695" w:type="dxa"/>
            <w:vAlign w:val="center"/>
          </w:tcPr>
          <w:p>
            <w:pPr>
              <w:jc w:val="center"/>
              <w:rPr>
                <w:highlight w:val="none"/>
              </w:rPr>
            </w:pPr>
            <w:r>
              <w:rPr>
                <w:rFonts w:hint="eastAsia"/>
                <w:highlight w:val="none"/>
                <w:lang w:eastAsia="zh-CN"/>
              </w:rPr>
              <w:t>10</w:t>
            </w:r>
            <w:r>
              <w:rPr>
                <w:rFonts w:hint="eastAsia"/>
                <w:highlight w:val="none"/>
              </w:rPr>
              <w:t>〜</w:t>
            </w:r>
            <w:r>
              <w:rPr>
                <w:rFonts w:hint="eastAsia"/>
                <w:highlight w:val="none"/>
                <w:lang w:val="en-US" w:eastAsia="zh-CN"/>
              </w:rPr>
              <w:t>20</w:t>
            </w:r>
          </w:p>
        </w:tc>
        <w:tc>
          <w:tcPr>
            <w:tcW w:w="2475" w:type="dxa"/>
            <w:vAlign w:val="center"/>
          </w:tcPr>
          <w:p>
            <w:pPr>
              <w:jc w:val="center"/>
            </w:pPr>
            <w:r>
              <w:rPr>
                <w:rFonts w:hint="eastAsia"/>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rPr>
                <w:lang w:eastAsia="zh-CN"/>
              </w:rPr>
            </w:pPr>
            <w:r>
              <w:rPr>
                <w:rFonts w:hint="eastAsia"/>
                <w:lang w:eastAsia="zh-CN"/>
              </w:rPr>
              <w:t>35</w:t>
            </w:r>
          </w:p>
        </w:tc>
        <w:tc>
          <w:tcPr>
            <w:tcW w:w="1755" w:type="dxa"/>
            <w:vMerge w:val="continue"/>
            <w:vAlign w:val="center"/>
          </w:tcPr>
          <w:p>
            <w:pPr>
              <w:jc w:val="center"/>
              <w:rPr>
                <w:highlight w:val="none"/>
              </w:rPr>
            </w:pPr>
          </w:p>
        </w:tc>
        <w:tc>
          <w:tcPr>
            <w:tcW w:w="1025" w:type="dxa"/>
            <w:vAlign w:val="center"/>
          </w:tcPr>
          <w:p>
            <w:pPr>
              <w:jc w:val="center"/>
              <w:rPr>
                <w:highlight w:val="none"/>
              </w:rPr>
            </w:pPr>
            <w:r>
              <w:rPr>
                <w:rFonts w:hint="eastAsia"/>
                <w:highlight w:val="none"/>
                <w:lang w:eastAsia="zh-CN"/>
              </w:rPr>
              <w:t>＞18</w:t>
            </w:r>
          </w:p>
        </w:tc>
        <w:tc>
          <w:tcPr>
            <w:tcW w:w="1015" w:type="dxa"/>
            <w:vAlign w:val="center"/>
          </w:tcPr>
          <w:p>
            <w:pPr>
              <w:jc w:val="center"/>
              <w:rPr>
                <w:highlight w:val="none"/>
              </w:rPr>
            </w:pPr>
            <w:r>
              <w:rPr>
                <w:rFonts w:hint="eastAsia"/>
                <w:highlight w:val="none"/>
                <w:lang w:eastAsia="zh-CN"/>
              </w:rPr>
              <w:t>＞2</w:t>
            </w:r>
            <w:r>
              <w:rPr>
                <w:rFonts w:hint="eastAsia"/>
                <w:highlight w:val="none"/>
                <w:lang w:val="en-US" w:eastAsia="zh-CN"/>
              </w:rPr>
              <w:t>0</w:t>
            </w:r>
          </w:p>
        </w:tc>
        <w:tc>
          <w:tcPr>
            <w:tcW w:w="1695" w:type="dxa"/>
            <w:vAlign w:val="center"/>
          </w:tcPr>
          <w:p>
            <w:pPr>
              <w:jc w:val="center"/>
              <w:rPr>
                <w:highlight w:val="none"/>
              </w:rPr>
            </w:pPr>
            <w:r>
              <w:rPr>
                <w:rFonts w:hint="eastAsia"/>
                <w:highlight w:val="none"/>
                <w:lang w:eastAsia="zh-CN"/>
              </w:rPr>
              <w:t>10</w:t>
            </w:r>
            <w:r>
              <w:rPr>
                <w:rFonts w:hint="eastAsia"/>
                <w:highlight w:val="none"/>
              </w:rPr>
              <w:t>〜</w:t>
            </w:r>
            <w:r>
              <w:rPr>
                <w:rFonts w:hint="eastAsia"/>
                <w:highlight w:val="none"/>
                <w:lang w:val="en-US" w:eastAsia="zh-CN"/>
              </w:rPr>
              <w:t>20</w:t>
            </w:r>
          </w:p>
        </w:tc>
        <w:tc>
          <w:tcPr>
            <w:tcW w:w="2475" w:type="dxa"/>
            <w:vAlign w:val="center"/>
          </w:tcPr>
          <w:p>
            <w:pPr>
              <w:jc w:val="center"/>
            </w:pPr>
            <w:r>
              <w:rPr>
                <w:rFonts w:hint="eastAsia"/>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rPr>
                <w:lang w:eastAsia="zh-CN"/>
              </w:rPr>
            </w:pPr>
            <w:r>
              <w:rPr>
                <w:rFonts w:hint="eastAsia"/>
                <w:lang w:eastAsia="zh-CN"/>
              </w:rPr>
              <w:t>38</w:t>
            </w:r>
          </w:p>
        </w:tc>
        <w:tc>
          <w:tcPr>
            <w:tcW w:w="1755" w:type="dxa"/>
            <w:vMerge w:val="continue"/>
            <w:vAlign w:val="center"/>
          </w:tcPr>
          <w:p>
            <w:pPr>
              <w:jc w:val="center"/>
              <w:rPr>
                <w:highlight w:val="none"/>
              </w:rPr>
            </w:pPr>
          </w:p>
        </w:tc>
        <w:tc>
          <w:tcPr>
            <w:tcW w:w="1025" w:type="dxa"/>
            <w:vAlign w:val="center"/>
          </w:tcPr>
          <w:p>
            <w:pPr>
              <w:jc w:val="center"/>
              <w:rPr>
                <w:highlight w:val="none"/>
              </w:rPr>
            </w:pPr>
            <w:r>
              <w:rPr>
                <w:rFonts w:hint="eastAsia"/>
                <w:highlight w:val="none"/>
                <w:lang w:eastAsia="zh-CN"/>
              </w:rPr>
              <w:t>＞20</w:t>
            </w:r>
          </w:p>
        </w:tc>
        <w:tc>
          <w:tcPr>
            <w:tcW w:w="1015" w:type="dxa"/>
            <w:vAlign w:val="center"/>
          </w:tcPr>
          <w:p>
            <w:pPr>
              <w:jc w:val="center"/>
              <w:rPr>
                <w:highlight w:val="none"/>
              </w:rPr>
            </w:pPr>
            <w:r>
              <w:rPr>
                <w:rFonts w:hint="eastAsia"/>
                <w:highlight w:val="none"/>
                <w:lang w:eastAsia="zh-CN"/>
              </w:rPr>
              <w:t>＞22</w:t>
            </w:r>
          </w:p>
        </w:tc>
        <w:tc>
          <w:tcPr>
            <w:tcW w:w="1695" w:type="dxa"/>
            <w:vAlign w:val="center"/>
          </w:tcPr>
          <w:p>
            <w:pPr>
              <w:jc w:val="center"/>
              <w:rPr>
                <w:highlight w:val="none"/>
                <w:lang w:eastAsia="zh-CN"/>
              </w:rPr>
            </w:pPr>
            <w:r>
              <w:rPr>
                <w:rFonts w:hint="eastAsia"/>
                <w:highlight w:val="none"/>
                <w:lang w:eastAsia="zh-CN"/>
              </w:rPr>
              <w:t>1</w:t>
            </w:r>
            <w:r>
              <w:rPr>
                <w:rFonts w:hint="eastAsia"/>
                <w:highlight w:val="none"/>
                <w:lang w:val="en-US" w:eastAsia="zh-CN"/>
              </w:rPr>
              <w:t>0</w:t>
            </w:r>
            <w:r>
              <w:rPr>
                <w:rFonts w:hint="eastAsia"/>
                <w:highlight w:val="none"/>
              </w:rPr>
              <w:t>〜</w:t>
            </w:r>
            <w:r>
              <w:rPr>
                <w:rFonts w:hint="eastAsia" w:eastAsia="宋体"/>
                <w:highlight w:val="none"/>
                <w:lang w:val="en-US" w:eastAsia="zh-CN"/>
              </w:rPr>
              <w:t>20</w:t>
            </w:r>
          </w:p>
        </w:tc>
        <w:tc>
          <w:tcPr>
            <w:tcW w:w="2475" w:type="dxa"/>
            <w:vAlign w:val="center"/>
          </w:tcPr>
          <w:p>
            <w:pPr>
              <w:jc w:val="center"/>
            </w:pPr>
            <w:r>
              <w:rPr>
                <w:rFonts w:hint="eastAsia"/>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rPr>
                <w:lang w:eastAsia="zh-CN"/>
              </w:rPr>
            </w:pPr>
            <w:r>
              <w:rPr>
                <w:rFonts w:hint="eastAsia"/>
                <w:lang w:eastAsia="zh-CN"/>
              </w:rPr>
              <w:t>42</w:t>
            </w:r>
          </w:p>
        </w:tc>
        <w:tc>
          <w:tcPr>
            <w:tcW w:w="1755" w:type="dxa"/>
            <w:vMerge w:val="continue"/>
            <w:vAlign w:val="center"/>
          </w:tcPr>
          <w:p>
            <w:pPr>
              <w:jc w:val="center"/>
              <w:rPr>
                <w:highlight w:val="none"/>
              </w:rPr>
            </w:pPr>
          </w:p>
        </w:tc>
        <w:tc>
          <w:tcPr>
            <w:tcW w:w="1025" w:type="dxa"/>
            <w:vAlign w:val="center"/>
          </w:tcPr>
          <w:p>
            <w:pPr>
              <w:jc w:val="center"/>
              <w:rPr>
                <w:highlight w:val="none"/>
              </w:rPr>
            </w:pPr>
            <w:r>
              <w:rPr>
                <w:rFonts w:hint="eastAsia"/>
                <w:highlight w:val="none"/>
                <w:lang w:eastAsia="zh-CN"/>
              </w:rPr>
              <w:t>＞25</w:t>
            </w:r>
          </w:p>
        </w:tc>
        <w:tc>
          <w:tcPr>
            <w:tcW w:w="1015" w:type="dxa"/>
            <w:vAlign w:val="center"/>
          </w:tcPr>
          <w:p>
            <w:pPr>
              <w:jc w:val="center"/>
              <w:rPr>
                <w:highlight w:val="none"/>
              </w:rPr>
            </w:pPr>
            <w:r>
              <w:rPr>
                <w:rFonts w:hint="eastAsia"/>
                <w:highlight w:val="none"/>
                <w:lang w:eastAsia="zh-CN"/>
              </w:rPr>
              <w:t>＞28</w:t>
            </w:r>
          </w:p>
        </w:tc>
        <w:tc>
          <w:tcPr>
            <w:tcW w:w="1695" w:type="dxa"/>
            <w:vAlign w:val="center"/>
          </w:tcPr>
          <w:p>
            <w:pPr>
              <w:jc w:val="center"/>
              <w:rPr>
                <w:highlight w:val="none"/>
              </w:rPr>
            </w:pPr>
            <w:r>
              <w:rPr>
                <w:rFonts w:hint="eastAsia"/>
                <w:highlight w:val="none"/>
                <w:lang w:eastAsia="zh-CN"/>
              </w:rPr>
              <w:t>12</w:t>
            </w:r>
            <w:r>
              <w:rPr>
                <w:rFonts w:hint="eastAsia"/>
                <w:highlight w:val="none"/>
              </w:rPr>
              <w:t>〜</w:t>
            </w:r>
            <w:r>
              <w:rPr>
                <w:rFonts w:hint="eastAsia" w:eastAsia="宋体"/>
                <w:highlight w:val="none"/>
                <w:lang w:val="en-US" w:eastAsia="zh-CN"/>
              </w:rPr>
              <w:t>22</w:t>
            </w:r>
          </w:p>
        </w:tc>
        <w:tc>
          <w:tcPr>
            <w:tcW w:w="2475" w:type="dxa"/>
            <w:vAlign w:val="center"/>
          </w:tcPr>
          <w:p>
            <w:pPr>
              <w:jc w:val="center"/>
            </w:pPr>
            <w:r>
              <w:rPr>
                <w:rFonts w:hint="eastAsia"/>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rPr>
                <w:lang w:eastAsia="zh-CN"/>
              </w:rPr>
            </w:pPr>
            <w:r>
              <w:rPr>
                <w:rFonts w:hint="eastAsia"/>
                <w:lang w:eastAsia="zh-CN"/>
              </w:rPr>
              <w:t>45</w:t>
            </w:r>
          </w:p>
        </w:tc>
        <w:tc>
          <w:tcPr>
            <w:tcW w:w="1755" w:type="dxa"/>
            <w:vMerge w:val="continue"/>
            <w:vAlign w:val="center"/>
          </w:tcPr>
          <w:p>
            <w:pPr>
              <w:jc w:val="center"/>
              <w:rPr>
                <w:highlight w:val="none"/>
              </w:rPr>
            </w:pPr>
          </w:p>
        </w:tc>
        <w:tc>
          <w:tcPr>
            <w:tcW w:w="1025" w:type="dxa"/>
            <w:vAlign w:val="center"/>
          </w:tcPr>
          <w:p>
            <w:pPr>
              <w:jc w:val="center"/>
              <w:rPr>
                <w:highlight w:val="none"/>
              </w:rPr>
            </w:pPr>
            <w:r>
              <w:rPr>
                <w:rFonts w:hint="eastAsia"/>
                <w:highlight w:val="none"/>
                <w:lang w:eastAsia="zh-CN"/>
              </w:rPr>
              <w:t>＞30</w:t>
            </w:r>
          </w:p>
        </w:tc>
        <w:tc>
          <w:tcPr>
            <w:tcW w:w="1015" w:type="dxa"/>
            <w:vAlign w:val="center"/>
          </w:tcPr>
          <w:p>
            <w:pPr>
              <w:jc w:val="center"/>
              <w:rPr>
                <w:highlight w:val="none"/>
              </w:rPr>
            </w:pPr>
            <w:r>
              <w:rPr>
                <w:rFonts w:hint="eastAsia"/>
                <w:highlight w:val="none"/>
                <w:lang w:eastAsia="zh-CN"/>
              </w:rPr>
              <w:t>＞32</w:t>
            </w:r>
          </w:p>
        </w:tc>
        <w:tc>
          <w:tcPr>
            <w:tcW w:w="1695" w:type="dxa"/>
            <w:vAlign w:val="center"/>
          </w:tcPr>
          <w:p>
            <w:pPr>
              <w:jc w:val="center"/>
              <w:rPr>
                <w:highlight w:val="none"/>
              </w:rPr>
            </w:pPr>
            <w:r>
              <w:rPr>
                <w:rFonts w:hint="eastAsia"/>
                <w:highlight w:val="none"/>
                <w:lang w:eastAsia="zh-CN"/>
              </w:rPr>
              <w:t>12</w:t>
            </w:r>
            <w:r>
              <w:rPr>
                <w:rFonts w:hint="eastAsia"/>
                <w:highlight w:val="none"/>
              </w:rPr>
              <w:t>〜</w:t>
            </w:r>
            <w:r>
              <w:rPr>
                <w:rFonts w:hint="eastAsia" w:eastAsia="宋体"/>
                <w:highlight w:val="none"/>
                <w:lang w:val="en-US" w:eastAsia="zh-CN"/>
              </w:rPr>
              <w:t>22</w:t>
            </w:r>
          </w:p>
        </w:tc>
        <w:tc>
          <w:tcPr>
            <w:tcW w:w="2475" w:type="dxa"/>
            <w:vAlign w:val="center"/>
          </w:tcPr>
          <w:p>
            <w:pPr>
              <w:jc w:val="center"/>
            </w:pPr>
            <w:r>
              <w:rPr>
                <w:rFonts w:hint="eastAsia"/>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rPr>
                <w:lang w:eastAsia="zh-CN"/>
              </w:rPr>
            </w:pPr>
            <w:r>
              <w:rPr>
                <w:rFonts w:hint="eastAsia"/>
                <w:lang w:eastAsia="zh-CN"/>
              </w:rPr>
              <w:t>50</w:t>
            </w:r>
          </w:p>
        </w:tc>
        <w:tc>
          <w:tcPr>
            <w:tcW w:w="1755" w:type="dxa"/>
            <w:vAlign w:val="center"/>
          </w:tcPr>
          <w:p>
            <w:pPr>
              <w:jc w:val="center"/>
              <w:rPr>
                <w:highlight w:val="none"/>
              </w:rPr>
            </w:pPr>
            <w:r>
              <w:rPr>
                <w:rFonts w:hint="eastAsia"/>
                <w:highlight w:val="none"/>
                <w:lang w:eastAsia="zh-CN"/>
              </w:rPr>
              <w:t>±2</w:t>
            </w:r>
          </w:p>
        </w:tc>
        <w:tc>
          <w:tcPr>
            <w:tcW w:w="1025" w:type="dxa"/>
            <w:vAlign w:val="center"/>
          </w:tcPr>
          <w:p>
            <w:pPr>
              <w:jc w:val="center"/>
              <w:rPr>
                <w:highlight w:val="none"/>
              </w:rPr>
            </w:pPr>
            <w:r>
              <w:rPr>
                <w:rFonts w:hint="eastAsia"/>
                <w:highlight w:val="none"/>
                <w:lang w:eastAsia="zh-CN"/>
              </w:rPr>
              <w:t>＞38</w:t>
            </w:r>
          </w:p>
        </w:tc>
        <w:tc>
          <w:tcPr>
            <w:tcW w:w="1015" w:type="dxa"/>
            <w:vAlign w:val="center"/>
          </w:tcPr>
          <w:p>
            <w:pPr>
              <w:jc w:val="center"/>
              <w:rPr>
                <w:highlight w:val="none"/>
              </w:rPr>
            </w:pPr>
            <w:r>
              <w:rPr>
                <w:rFonts w:hint="eastAsia"/>
                <w:highlight w:val="none"/>
                <w:lang w:eastAsia="zh-CN"/>
              </w:rPr>
              <w:t>＞4</w:t>
            </w:r>
            <w:r>
              <w:rPr>
                <w:rFonts w:hint="eastAsia"/>
                <w:highlight w:val="none"/>
                <w:lang w:val="en-US" w:eastAsia="zh-CN"/>
              </w:rPr>
              <w:t>2</w:t>
            </w:r>
          </w:p>
        </w:tc>
        <w:tc>
          <w:tcPr>
            <w:tcW w:w="1695" w:type="dxa"/>
            <w:vAlign w:val="center"/>
          </w:tcPr>
          <w:p>
            <w:pPr>
              <w:jc w:val="center"/>
              <w:rPr>
                <w:highlight w:val="none"/>
              </w:rPr>
            </w:pPr>
            <w:r>
              <w:rPr>
                <w:rFonts w:hint="eastAsia"/>
                <w:highlight w:val="none"/>
                <w:lang w:eastAsia="zh-CN"/>
              </w:rPr>
              <w:t>12</w:t>
            </w:r>
            <w:r>
              <w:rPr>
                <w:rFonts w:hint="eastAsia"/>
                <w:highlight w:val="none"/>
              </w:rPr>
              <w:t>〜</w:t>
            </w:r>
            <w:r>
              <w:rPr>
                <w:rFonts w:hint="eastAsia" w:eastAsia="宋体"/>
                <w:highlight w:val="none"/>
                <w:lang w:val="en-US" w:eastAsia="zh-CN"/>
              </w:rPr>
              <w:t>22</w:t>
            </w:r>
          </w:p>
        </w:tc>
        <w:tc>
          <w:tcPr>
            <w:tcW w:w="2475" w:type="dxa"/>
            <w:vAlign w:val="center"/>
          </w:tcPr>
          <w:p>
            <w:pPr>
              <w:jc w:val="center"/>
              <w:rPr>
                <w:lang w:eastAsia="zh-CN"/>
              </w:rPr>
            </w:pPr>
            <w:r>
              <w:rPr>
                <w:rFonts w:hint="eastAsia"/>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rPr>
                <w:lang w:eastAsia="zh-CN"/>
              </w:rPr>
            </w:pPr>
            <w:r>
              <w:rPr>
                <w:rFonts w:hint="eastAsia"/>
                <w:lang w:eastAsia="zh-CN"/>
              </w:rPr>
              <w:t>60</w:t>
            </w:r>
          </w:p>
        </w:tc>
        <w:tc>
          <w:tcPr>
            <w:tcW w:w="1755" w:type="dxa"/>
            <w:vMerge w:val="restart"/>
            <w:vAlign w:val="center"/>
          </w:tcPr>
          <w:p>
            <w:pPr>
              <w:jc w:val="center"/>
              <w:rPr>
                <w:highlight w:val="none"/>
              </w:rPr>
            </w:pPr>
            <w:r>
              <w:rPr>
                <w:rFonts w:hint="eastAsia"/>
                <w:highlight w:val="none"/>
                <w:lang w:eastAsia="zh-CN"/>
              </w:rPr>
              <w:t>±3</w:t>
            </w:r>
          </w:p>
        </w:tc>
        <w:tc>
          <w:tcPr>
            <w:tcW w:w="1025" w:type="dxa"/>
            <w:vAlign w:val="center"/>
          </w:tcPr>
          <w:p>
            <w:pPr>
              <w:jc w:val="center"/>
              <w:rPr>
                <w:highlight w:val="none"/>
              </w:rPr>
            </w:pPr>
            <w:r>
              <w:rPr>
                <w:rFonts w:hint="eastAsia"/>
                <w:highlight w:val="none"/>
                <w:lang w:eastAsia="zh-CN"/>
              </w:rPr>
              <w:t>＞45</w:t>
            </w:r>
          </w:p>
        </w:tc>
        <w:tc>
          <w:tcPr>
            <w:tcW w:w="1015" w:type="dxa"/>
            <w:vAlign w:val="center"/>
          </w:tcPr>
          <w:p>
            <w:pPr>
              <w:jc w:val="center"/>
              <w:rPr>
                <w:highlight w:val="none"/>
              </w:rPr>
            </w:pPr>
            <w:r>
              <w:rPr>
                <w:rFonts w:hint="eastAsia"/>
                <w:highlight w:val="none"/>
                <w:lang w:eastAsia="zh-CN"/>
              </w:rPr>
              <w:t>＞5</w:t>
            </w:r>
            <w:r>
              <w:rPr>
                <w:rFonts w:hint="eastAsia"/>
                <w:highlight w:val="none"/>
                <w:lang w:val="en-US" w:eastAsia="zh-CN"/>
              </w:rPr>
              <w:t>0</w:t>
            </w:r>
          </w:p>
        </w:tc>
        <w:tc>
          <w:tcPr>
            <w:tcW w:w="1695" w:type="dxa"/>
            <w:vAlign w:val="center"/>
          </w:tcPr>
          <w:p>
            <w:pPr>
              <w:jc w:val="center"/>
              <w:rPr>
                <w:highlight w:val="none"/>
                <w:lang w:eastAsia="zh-CN"/>
              </w:rPr>
            </w:pPr>
            <w:r>
              <w:rPr>
                <w:rFonts w:hint="eastAsia"/>
                <w:highlight w:val="none"/>
                <w:lang w:eastAsia="zh-CN"/>
              </w:rPr>
              <w:t>12</w:t>
            </w:r>
            <w:r>
              <w:rPr>
                <w:rFonts w:hint="eastAsia"/>
                <w:highlight w:val="none"/>
              </w:rPr>
              <w:t>〜</w:t>
            </w:r>
            <w:r>
              <w:rPr>
                <w:rFonts w:hint="eastAsia" w:eastAsia="宋体"/>
                <w:highlight w:val="none"/>
                <w:lang w:val="en-US" w:eastAsia="zh-CN"/>
              </w:rPr>
              <w:t>25</w:t>
            </w:r>
          </w:p>
        </w:tc>
        <w:tc>
          <w:tcPr>
            <w:tcW w:w="2475" w:type="dxa"/>
            <w:vAlign w:val="center"/>
          </w:tcPr>
          <w:p>
            <w:pPr>
              <w:jc w:val="center"/>
              <w:rPr>
                <w:lang w:eastAsia="zh-CN"/>
              </w:rPr>
            </w:pPr>
            <w:r>
              <w:rPr>
                <w:rFonts w:hint="eastAsia"/>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vAlign w:val="center"/>
          </w:tcPr>
          <w:p>
            <w:pPr>
              <w:jc w:val="center"/>
              <w:rPr>
                <w:lang w:eastAsia="zh-CN"/>
              </w:rPr>
            </w:pPr>
            <w:r>
              <w:rPr>
                <w:rFonts w:hint="eastAsia"/>
                <w:lang w:eastAsia="zh-CN"/>
              </w:rPr>
              <w:t>75</w:t>
            </w:r>
          </w:p>
        </w:tc>
        <w:tc>
          <w:tcPr>
            <w:tcW w:w="1755" w:type="dxa"/>
            <w:vMerge w:val="continue"/>
            <w:vAlign w:val="center"/>
          </w:tcPr>
          <w:p>
            <w:pPr>
              <w:jc w:val="center"/>
              <w:rPr>
                <w:highlight w:val="none"/>
              </w:rPr>
            </w:pPr>
          </w:p>
        </w:tc>
        <w:tc>
          <w:tcPr>
            <w:tcW w:w="1025" w:type="dxa"/>
            <w:vAlign w:val="center"/>
          </w:tcPr>
          <w:p>
            <w:pPr>
              <w:jc w:val="center"/>
              <w:rPr>
                <w:highlight w:val="none"/>
              </w:rPr>
            </w:pPr>
            <w:r>
              <w:rPr>
                <w:rFonts w:hint="eastAsia"/>
                <w:highlight w:val="none"/>
                <w:lang w:eastAsia="zh-CN"/>
              </w:rPr>
              <w:t>＞7</w:t>
            </w:r>
            <w:r>
              <w:rPr>
                <w:rFonts w:hint="eastAsia"/>
                <w:highlight w:val="none"/>
                <w:lang w:val="en-US" w:eastAsia="zh-CN"/>
              </w:rPr>
              <w:t>0</w:t>
            </w:r>
          </w:p>
        </w:tc>
        <w:tc>
          <w:tcPr>
            <w:tcW w:w="1015" w:type="dxa"/>
            <w:vAlign w:val="center"/>
          </w:tcPr>
          <w:p>
            <w:pPr>
              <w:jc w:val="center"/>
              <w:rPr>
                <w:highlight w:val="none"/>
              </w:rPr>
            </w:pPr>
            <w:r>
              <w:rPr>
                <w:rFonts w:hint="eastAsia"/>
                <w:highlight w:val="none"/>
                <w:lang w:eastAsia="zh-CN"/>
              </w:rPr>
              <w:t>＞7</w:t>
            </w:r>
            <w:r>
              <w:rPr>
                <w:rFonts w:hint="eastAsia"/>
                <w:highlight w:val="none"/>
                <w:lang w:val="en-US" w:eastAsia="zh-CN"/>
              </w:rPr>
              <w:t>5</w:t>
            </w:r>
          </w:p>
        </w:tc>
        <w:tc>
          <w:tcPr>
            <w:tcW w:w="1695" w:type="dxa"/>
            <w:vAlign w:val="center"/>
          </w:tcPr>
          <w:p>
            <w:pPr>
              <w:jc w:val="center"/>
              <w:rPr>
                <w:highlight w:val="none"/>
                <w:lang w:eastAsia="zh-CN"/>
              </w:rPr>
            </w:pPr>
            <w:r>
              <w:rPr>
                <w:rFonts w:hint="eastAsia"/>
                <w:highlight w:val="none"/>
                <w:lang w:eastAsia="zh-CN"/>
              </w:rPr>
              <w:t>12</w:t>
            </w:r>
            <w:r>
              <w:rPr>
                <w:rFonts w:hint="eastAsia"/>
                <w:highlight w:val="none"/>
              </w:rPr>
              <w:t>〜</w:t>
            </w:r>
            <w:r>
              <w:rPr>
                <w:rFonts w:hint="eastAsia" w:eastAsia="宋体"/>
                <w:highlight w:val="none"/>
                <w:lang w:val="en-US" w:eastAsia="zh-CN"/>
              </w:rPr>
              <w:t>25</w:t>
            </w:r>
          </w:p>
        </w:tc>
        <w:tc>
          <w:tcPr>
            <w:tcW w:w="2475" w:type="dxa"/>
            <w:vAlign w:val="center"/>
          </w:tcPr>
          <w:p>
            <w:pPr>
              <w:jc w:val="center"/>
              <w:rPr>
                <w:lang w:eastAsia="zh-CN"/>
              </w:rPr>
            </w:pPr>
            <w:r>
              <w:rPr>
                <w:rFonts w:hint="eastAsia"/>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9165" w:type="dxa"/>
            <w:gridSpan w:val="6"/>
            <w:vAlign w:val="center"/>
          </w:tcPr>
          <w:p>
            <w:pPr>
              <w:ind w:firstLine="210" w:firstLineChars="100"/>
              <w:jc w:val="center"/>
              <w:rPr>
                <w:rFonts w:hint="default"/>
                <w:lang w:val="en-US" w:eastAsia="zh-CN"/>
              </w:rPr>
            </w:pPr>
            <w:r>
              <w:rPr>
                <w:rFonts w:hint="eastAsia"/>
                <w:sz w:val="21"/>
                <w:szCs w:val="21"/>
                <w:lang w:val="en-US" w:eastAsia="zh-CN"/>
              </w:rPr>
              <w:t>注：对于需方有特殊要求的产品，由供需双方协商解决。</w:t>
            </w:r>
          </w:p>
        </w:tc>
      </w:tr>
    </w:tbl>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default"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4.其他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sz w:val="24"/>
          <w:szCs w:val="24"/>
          <w:highlight w:val="none"/>
          <w:lang w:eastAsia="zh-CN"/>
        </w:rPr>
      </w:pPr>
      <w:r>
        <w:rPr>
          <w:rFonts w:hint="eastAsia"/>
          <w:sz w:val="24"/>
          <w:szCs w:val="24"/>
          <w:highlight w:val="none"/>
        </w:rPr>
        <w:t>标志、包装、运输和贮存</w:t>
      </w:r>
      <w:r>
        <w:rPr>
          <w:rFonts w:hint="eastAsia"/>
          <w:sz w:val="24"/>
          <w:szCs w:val="24"/>
          <w:highlight w:val="none"/>
          <w:lang w:eastAsia="zh-CN"/>
        </w:rPr>
        <w:t>删除标签“纯度</w:t>
      </w:r>
      <w:r>
        <w:rPr>
          <w:rFonts w:hint="default"/>
          <w:sz w:val="24"/>
          <w:szCs w:val="24"/>
          <w:highlight w:val="none"/>
          <w:lang w:val="en-US" w:eastAsia="zh-CN"/>
        </w:rPr>
        <w:t>”</w:t>
      </w:r>
      <w:r>
        <w:rPr>
          <w:rFonts w:hint="eastAsia"/>
          <w:sz w:val="24"/>
          <w:szCs w:val="24"/>
          <w:highlight w:val="none"/>
          <w:lang w:eastAsia="zh-CN"/>
        </w:rPr>
        <w:t>及“起始端标贴纸颜色”增加“直径”要求。</w:t>
      </w:r>
    </w:p>
    <w:p>
      <w:pPr>
        <w:keepNext w:val="0"/>
        <w:keepLines w:val="0"/>
        <w:pageBreakBefore w:val="0"/>
        <w:widowControl w:val="0"/>
        <w:numPr>
          <w:ilvl w:val="0"/>
          <w:numId w:val="0"/>
        </w:numPr>
        <w:kinsoku/>
        <w:wordWrap/>
        <w:overflowPunct/>
        <w:topLinePunct w:val="0"/>
        <w:autoSpaceDE/>
        <w:autoSpaceDN/>
        <w:bidi w:val="0"/>
        <w:spacing w:line="360" w:lineRule="auto"/>
        <w:ind w:firstLine="240" w:firstLineChars="10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（四）标准中涉及专利的情况</w:t>
      </w:r>
    </w:p>
    <w:p>
      <w:pPr>
        <w:keepNext w:val="0"/>
        <w:keepLines w:val="0"/>
        <w:pageBreakBefore w:val="0"/>
        <w:widowControl w:val="0"/>
        <w:numPr>
          <w:ilvl w:val="0"/>
          <w:numId w:val="0"/>
        </w:numPr>
        <w:kinsoku/>
        <w:wordWrap/>
        <w:overflowPunct/>
        <w:topLinePunct w:val="0"/>
        <w:autoSpaceDE/>
        <w:autoSpaceDN/>
        <w:bidi w:val="0"/>
        <w:spacing w:line="360" w:lineRule="auto"/>
        <w:ind w:left="420" w:leftChars="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本标准不涉及专利问题</w:t>
      </w:r>
    </w:p>
    <w:p>
      <w:pPr>
        <w:keepNext w:val="0"/>
        <w:keepLines w:val="0"/>
        <w:pageBreakBefore w:val="0"/>
        <w:widowControl w:val="0"/>
        <w:numPr>
          <w:ilvl w:val="0"/>
          <w:numId w:val="3"/>
        </w:numPr>
        <w:kinsoku/>
        <w:wordWrap/>
        <w:overflowPunct/>
        <w:topLinePunct w:val="0"/>
        <w:autoSpaceDE/>
        <w:autoSpaceDN/>
        <w:bidi w:val="0"/>
        <w:spacing w:line="360" w:lineRule="auto"/>
        <w:ind w:left="-210" w:leftChars="0" w:firstLine="420" w:firstLineChars="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预期达到的社会效益等情况</w:t>
      </w:r>
    </w:p>
    <w:p>
      <w:pPr>
        <w:keepNext w:val="0"/>
        <w:keepLines w:val="0"/>
        <w:pageBreakBefore w:val="0"/>
        <w:widowControl w:val="0"/>
        <w:numPr>
          <w:ilvl w:val="0"/>
          <w:numId w:val="5"/>
        </w:numPr>
        <w:kinsoku/>
        <w:wordWrap/>
        <w:overflowPunct/>
        <w:topLinePunct w:val="0"/>
        <w:autoSpaceDE/>
        <w:autoSpaceDN/>
        <w:bidi w:val="0"/>
        <w:spacing w:line="360" w:lineRule="auto"/>
        <w:ind w:left="420" w:leftChars="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项目的必要性</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2"/>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由于</w:t>
      </w:r>
      <w:r>
        <w:rPr>
          <w:rFonts w:hint="eastAsia" w:ascii="宋体" w:hAnsi="宋体" w:eastAsia="宋体" w:cs="宋体"/>
          <w:color w:val="auto"/>
          <w:sz w:val="24"/>
          <w:szCs w:val="24"/>
          <w:highlight w:val="none"/>
          <w:lang w:val="en-US" w:eastAsia="zh-CN"/>
        </w:rPr>
        <w:t>不同类型的键合丝产品性能各有差异，但在不同封装领域都有批量使用需求。</w:t>
      </w:r>
      <w:r>
        <w:rPr>
          <w:rFonts w:hint="eastAsia" w:ascii="宋体" w:hAnsi="宋体" w:eastAsia="宋体" w:cs="宋体"/>
          <w:color w:val="auto"/>
          <w:sz w:val="24"/>
          <w:szCs w:val="24"/>
          <w:highlight w:val="none"/>
          <w:shd w:val="clear" w:color="auto" w:fill="auto"/>
        </w:rPr>
        <w:t>键合铜丝</w:t>
      </w:r>
      <w:r>
        <w:rPr>
          <w:rFonts w:hint="eastAsia" w:ascii="宋体" w:hAnsi="宋体" w:eastAsia="宋体" w:cs="宋体"/>
          <w:color w:val="auto"/>
          <w:sz w:val="24"/>
          <w:szCs w:val="24"/>
          <w:highlight w:val="none"/>
          <w:shd w:val="clear" w:color="auto" w:fill="auto"/>
          <w:lang w:val="en-US" w:eastAsia="zh-CN"/>
        </w:rPr>
        <w:t>系列</w:t>
      </w:r>
      <w:r>
        <w:rPr>
          <w:rFonts w:hint="eastAsia" w:ascii="宋体" w:hAnsi="宋体" w:eastAsia="宋体" w:cs="宋体"/>
          <w:color w:val="auto"/>
          <w:sz w:val="24"/>
          <w:szCs w:val="24"/>
          <w:highlight w:val="none"/>
          <w:shd w:val="clear" w:color="auto" w:fill="auto"/>
        </w:rPr>
        <w:t>产品</w:t>
      </w:r>
      <w:r>
        <w:rPr>
          <w:rFonts w:hint="eastAsia" w:ascii="宋体" w:hAnsi="宋体" w:eastAsia="宋体" w:cs="宋体"/>
          <w:color w:val="auto"/>
          <w:sz w:val="24"/>
          <w:szCs w:val="24"/>
          <w:highlight w:val="none"/>
          <w:shd w:val="clear" w:color="auto" w:fill="auto"/>
          <w:lang w:val="en-US" w:eastAsia="zh-CN"/>
        </w:rPr>
        <w:t>在多年前就已经在半导体分立器件封装上完全取代了键合金丝产品，并且在通用集成电路封装上也逐渐成为主流</w:t>
      </w:r>
      <w:r>
        <w:rPr>
          <w:rFonts w:hint="eastAsia" w:ascii="宋体" w:hAnsi="宋体" w:eastAsia="宋体" w:cs="宋体"/>
          <w:color w:val="auto"/>
          <w:sz w:val="24"/>
          <w:szCs w:val="24"/>
          <w:highlight w:val="none"/>
          <w:shd w:val="clear" w:color="auto" w:fill="auto"/>
        </w:rPr>
        <w:t>、LED显示屏用RGB产品</w:t>
      </w:r>
      <w:r>
        <w:rPr>
          <w:rFonts w:hint="eastAsia" w:ascii="宋体" w:hAnsi="宋体" w:eastAsia="宋体" w:cs="宋体"/>
          <w:color w:val="auto"/>
          <w:sz w:val="24"/>
          <w:szCs w:val="24"/>
          <w:highlight w:val="none"/>
          <w:shd w:val="clear" w:color="auto" w:fill="auto"/>
          <w:lang w:val="en-US" w:eastAsia="zh-CN"/>
        </w:rPr>
        <w:t>也开始普及应用</w:t>
      </w:r>
      <w:r>
        <w:rPr>
          <w:rFonts w:hint="eastAsia" w:ascii="宋体" w:hAnsi="宋体" w:eastAsia="宋体" w:cs="宋体"/>
          <w:color w:val="auto"/>
          <w:sz w:val="24"/>
          <w:szCs w:val="24"/>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highlight w:val="none"/>
          <w:lang w:val="en-US" w:eastAsia="zh-CN"/>
        </w:rPr>
      </w:pPr>
      <w:r>
        <w:rPr>
          <w:rFonts w:hint="eastAsia" w:ascii="宋体" w:hAnsi="宋体" w:eastAsia="宋体" w:cs="宋体"/>
          <w:sz w:val="24"/>
          <w:szCs w:val="24"/>
          <w:highlight w:val="none"/>
          <w:lang w:val="en-US" w:eastAsia="zh-CN"/>
        </w:rPr>
        <w:t>YS/T 678-2008</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半导体器件键合用铜丝》行业标准已经发布近15年，</w:t>
      </w:r>
      <w:r>
        <w:rPr>
          <w:rFonts w:hint="eastAsia" w:ascii="宋体" w:hAnsi="宋体" w:eastAsia="宋体" w:cs="宋体"/>
          <w:color w:val="auto"/>
          <w:sz w:val="24"/>
          <w:szCs w:val="24"/>
          <w:highlight w:val="none"/>
          <w:lang w:val="en-US" w:eastAsia="zh-CN"/>
        </w:rPr>
        <w:t>目前国内键合丝厂商在低成本键合铜丝创新提升方面已经突破瓶颈。开发高可靠性合金铜丝产品会成为市场的主流，其他国内键合丝厂家也都在低成本新型键合丝创新提升方面开始纷纷加大投入和市场拓展。</w:t>
      </w:r>
      <w:r>
        <w:rPr>
          <w:rFonts w:hint="eastAsia" w:ascii="宋体" w:hAnsi="宋体" w:eastAsia="宋体" w:cs="宋体"/>
          <w:sz w:val="24"/>
          <w:szCs w:val="24"/>
          <w:highlight w:val="none"/>
          <w:lang w:val="en-US" w:eastAsia="zh-CN"/>
        </w:rPr>
        <w:t>随着行业行业的发展目前标准已经无法满足行业需求。</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firstLine="0" w:firstLineChars="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项目的可行性简述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键合铜丝系列产品在多年前就已经在半导体分立器件封装上取代了键合金丝产品，并且在通用集成电路封装上也逐渐成为主流、LED显示屏用RGB产品也开始普及，键合铜丝已经成为除金丝外成为主要的键合丝，铜丝具有硬度较大，导热率、导电性、延展性更好以及给更高的抗腐蚀性等优良的特性和较低成本，竞争优势明显，随着高级IC封装技术的发展，及2019年度最新统计数据显示铜丝系列产品的市场份额大约占据整个键合丝市场的近29%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本次</w:t>
      </w:r>
      <w:r>
        <w:rPr>
          <w:rFonts w:hint="eastAsia" w:asciiTheme="majorEastAsia" w:hAnsiTheme="majorEastAsia" w:eastAsiaTheme="majorEastAsia" w:cstheme="majorEastAsia"/>
          <w:sz w:val="24"/>
          <w:szCs w:val="24"/>
          <w:highlight w:val="none"/>
          <w:lang w:eastAsia="zh-CN"/>
        </w:rPr>
        <w:t>《</w:t>
      </w:r>
      <w:r>
        <w:rPr>
          <w:rFonts w:hint="eastAsia" w:asciiTheme="majorEastAsia" w:hAnsiTheme="majorEastAsia" w:eastAsiaTheme="majorEastAsia" w:cstheme="majorEastAsia"/>
          <w:sz w:val="24"/>
          <w:szCs w:val="24"/>
          <w:highlight w:val="none"/>
          <w:lang w:val="en-US" w:eastAsia="zh-CN"/>
        </w:rPr>
        <w:t>半导体封装用键合铜丝》行业标准的修订让键合铜丝市场发展越来越规范化，同时也保障了产品质量，提高各企业市场竞争力。其标准的制定有利于行业整体水平的提高及下游稳定的应用。</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firstLine="0" w:firstLineChars="0"/>
        <w:textAlignment w:val="auto"/>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标准的先进性、创新性、标准实施后预期产生的经济效益和社会效益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highlight w:val="none"/>
          <w:lang w:val="en-US" w:eastAsia="zh-CN"/>
        </w:rPr>
        <w:t>半导体产业一直是国家最重要的战略性基础产业。半导体键合丝产品作为核心原材料之一，在整个半导体全产业链中作用特殊，在国家半导体产业推进战略中地位不可忽略。 半导体键合丝是芯片和外部电路之间的电连接引线，是半导体</w:t>
      </w:r>
      <w:r>
        <w:rPr>
          <w:rFonts w:hint="eastAsia" w:asciiTheme="majorEastAsia" w:hAnsiTheme="majorEastAsia" w:eastAsiaTheme="majorEastAsia" w:cstheme="majorEastAsia"/>
          <w:sz w:val="24"/>
          <w:szCs w:val="24"/>
          <w:lang w:val="en-US" w:eastAsia="zh-CN"/>
        </w:rPr>
        <w:t>集成电路、分立器件、传感器、光电子等传统封装工艺制造过程中必不可少的核心基础原材料。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本次标注修订内容增加合金铜丝种类以及合金铜化学成分指标，修改直径范围、机械性能指标按照新的直径划分进行增补。随着芯片尺寸越来越小、终端产品越来越轻薄、工作频率越来越高的情况下，超细线径铜丝产品的应用受到着力推动，但纯铜丝存在易氧化、易腐蚀的问题，而且硬度过高，合金铜丝解决了以上问题。同时合金铜丝键合后的铜-铝化合物生长速度缓慢优于金，更显著的优于银。所以铜及铜合金键合丝是特性优良，更符合客户端键合应用。标准修订推进了键合铜丝产品的规范性，对材料的规格、化学成分、直径、检验、包装运输、贮存条件及质量证书等提出了要求，建立我国键合铜丝的行业标准，解决铜基材料抗氧化、降低硬度，增加韧性，优化二焊焊接性能，提高键合作业性能及效率，首次提出高温高湿实验要求及方法，促进了产品质量的提高，保证了下游客户的应用。确保产品生产、检验和验收的规范及统一。</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210" w:leftChars="0" w:firstLine="420" w:firstLineChars="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采用国际标准和国外先进标准的情况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无采用国际标准和国外先进标准的情况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210" w:leftChars="0" w:firstLine="420" w:firstLineChars="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与现行相关法律、法规、规章及相关标准，特别是强制行标准的协调性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与有关的现行的法律、法规和强制性国家标准没有冲突</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210" w:leftChars="0" w:firstLine="420" w:firstLineChars="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重大分歧意见的处理经过和依据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本标准的修订过程中未发生重大分歧意见</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210" w:leftChars="0" w:firstLine="420" w:firstLineChars="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国家标准作为强制性国家标准或推荐性国家标准的建议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本标准为推荐性行业标准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210" w:leftChars="0" w:firstLine="420" w:firstLineChars="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贯彻国家标准的要求和措施建议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本标准反映了目前国内实际生产技术水平，可积极向国内生产单位、用户、质检机构等相关单位推荐使用本标准，建议尽快发布实施本标准。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210" w:leftChars="0" w:firstLine="420" w:firstLineChars="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废止现行有关标准的建议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本次修订后，该标准发布实施将替代原标准YS/T 678-2008。</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210" w:leftChars="0" w:firstLine="420" w:firstLineChars="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其他应予说明的事项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本标准无其他事项应予说买。</w:t>
      </w:r>
    </w:p>
    <w:p>
      <w:pPr>
        <w:numPr>
          <w:ilvl w:val="0"/>
          <w:numId w:val="0"/>
        </w:numPr>
        <w:spacing w:beforeLines="50" w:line="288" w:lineRule="auto"/>
        <w:ind w:left="420" w:leftChars="0"/>
        <w:rPr>
          <w:rFonts w:hint="default"/>
          <w:sz w:val="24"/>
          <w:szCs w:val="24"/>
          <w:lang w:val="en-US" w:eastAsia="zh-CN"/>
        </w:rPr>
      </w:pPr>
    </w:p>
    <w:p>
      <w:pPr>
        <w:numPr>
          <w:ilvl w:val="0"/>
          <w:numId w:val="0"/>
        </w:numPr>
        <w:spacing w:beforeLines="50" w:line="288" w:lineRule="auto"/>
        <w:ind w:left="420" w:leftChars="0"/>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default"/>
          <w:sz w:val="24"/>
          <w:szCs w:val="24"/>
          <w:lang w:val="en-US" w:eastAsia="zh-CN"/>
        </w:rPr>
      </w:pPr>
      <w:r>
        <w:rPr>
          <w:rFonts w:hint="eastAsia"/>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BD6E40"/>
    <w:multiLevelType w:val="singleLevel"/>
    <w:tmpl w:val="94BD6E40"/>
    <w:lvl w:ilvl="0" w:tentative="0">
      <w:start w:val="1"/>
      <w:numFmt w:val="decimal"/>
      <w:lvlText w:val="%1."/>
      <w:lvlJc w:val="left"/>
      <w:pPr>
        <w:tabs>
          <w:tab w:val="left" w:pos="312"/>
        </w:tabs>
      </w:pPr>
    </w:lvl>
  </w:abstractNum>
  <w:abstractNum w:abstractNumId="1">
    <w:nsid w:val="95EAF571"/>
    <w:multiLevelType w:val="singleLevel"/>
    <w:tmpl w:val="95EAF571"/>
    <w:lvl w:ilvl="0" w:tentative="0">
      <w:start w:val="1"/>
      <w:numFmt w:val="chineseCounting"/>
      <w:suff w:val="nothing"/>
      <w:lvlText w:val="（%1）"/>
      <w:lvlJc w:val="left"/>
      <w:rPr>
        <w:rFonts w:hint="eastAsia"/>
      </w:rPr>
    </w:lvl>
  </w:abstractNum>
  <w:abstractNum w:abstractNumId="2">
    <w:nsid w:val="EB5CC934"/>
    <w:multiLevelType w:val="singleLevel"/>
    <w:tmpl w:val="EB5CC934"/>
    <w:lvl w:ilvl="0" w:tentative="0">
      <w:start w:val="1"/>
      <w:numFmt w:val="chineseCounting"/>
      <w:suff w:val="nothing"/>
      <w:lvlText w:val="%1．"/>
      <w:lvlJc w:val="left"/>
      <w:rPr>
        <w:rFonts w:hint="eastAsia"/>
      </w:rPr>
    </w:lvl>
  </w:abstractNum>
  <w:abstractNum w:abstractNumId="3">
    <w:nsid w:val="28EC04AF"/>
    <w:multiLevelType w:val="singleLevel"/>
    <w:tmpl w:val="28EC04AF"/>
    <w:lvl w:ilvl="0" w:tentative="0">
      <w:start w:val="4"/>
      <w:numFmt w:val="chineseCounting"/>
      <w:suff w:val="nothing"/>
      <w:lvlText w:val="（%1）"/>
      <w:lvlJc w:val="left"/>
      <w:pPr>
        <w:ind w:left="-210"/>
      </w:pPr>
      <w:rPr>
        <w:rFonts w:hint="eastAsia"/>
      </w:rPr>
    </w:lvl>
  </w:abstractNum>
  <w:abstractNum w:abstractNumId="4">
    <w:nsid w:val="2BB15991"/>
    <w:multiLevelType w:val="singleLevel"/>
    <w:tmpl w:val="2BB15991"/>
    <w:lvl w:ilvl="0" w:tentative="0">
      <w:start w:val="1"/>
      <w:numFmt w:val="decimal"/>
      <w:lvlText w:val="%1."/>
      <w:lvlJc w:val="left"/>
      <w:pPr>
        <w:tabs>
          <w:tab w:val="left" w:pos="312"/>
        </w:tabs>
        <w:ind w:left="-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hN2Q3OTVjZjE0NWM3NmVhZjg3MGVkZGJjYjI0N2EifQ=="/>
  </w:docVars>
  <w:rsids>
    <w:rsidRoot w:val="00172A27"/>
    <w:rsid w:val="00675481"/>
    <w:rsid w:val="09151869"/>
    <w:rsid w:val="0DD64618"/>
    <w:rsid w:val="0EFA757A"/>
    <w:rsid w:val="10916D4C"/>
    <w:rsid w:val="13491142"/>
    <w:rsid w:val="14546DD6"/>
    <w:rsid w:val="1A0C374F"/>
    <w:rsid w:val="20914128"/>
    <w:rsid w:val="2557386F"/>
    <w:rsid w:val="278E5847"/>
    <w:rsid w:val="28DA1680"/>
    <w:rsid w:val="2A8E3487"/>
    <w:rsid w:val="2F02221E"/>
    <w:rsid w:val="2FF87D20"/>
    <w:rsid w:val="31335BAF"/>
    <w:rsid w:val="31D2228D"/>
    <w:rsid w:val="32E12CEE"/>
    <w:rsid w:val="3CEE7C38"/>
    <w:rsid w:val="3DFB0A7C"/>
    <w:rsid w:val="47571088"/>
    <w:rsid w:val="5EBC234A"/>
    <w:rsid w:val="5ED80E84"/>
    <w:rsid w:val="5F325840"/>
    <w:rsid w:val="5FAE7BB4"/>
    <w:rsid w:val="61C63033"/>
    <w:rsid w:val="72A35809"/>
    <w:rsid w:val="7F697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Other|1"/>
    <w:basedOn w:val="1"/>
    <w:qFormat/>
    <w:uiPriority w:val="0"/>
    <w:pPr>
      <w:widowControl w:val="0"/>
      <w:shd w:val="clear" w:color="auto" w:fill="auto"/>
      <w:spacing w:after="220" w:line="324" w:lineRule="auto"/>
      <w:ind w:firstLine="400"/>
    </w:pPr>
    <w:rPr>
      <w:rFonts w:ascii="宋体" w:hAnsi="宋体" w:eastAsia="宋体" w:cs="宋体"/>
      <w:color w:val="373737"/>
      <w:sz w:val="38"/>
      <w:szCs w:val="38"/>
      <w:u w:val="none"/>
      <w:shd w:val="clear" w:color="auto" w:fil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3262</Words>
  <Characters>4026</Characters>
  <Lines>0</Lines>
  <Paragraphs>0</Paragraphs>
  <TotalTime>0</TotalTime>
  <ScaleCrop>false</ScaleCrop>
  <LinksUpToDate>false</LinksUpToDate>
  <CharactersWithSpaces>4063</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2023-03-20T07:45:00Z</dcterms:created>
  <dc:creator>刘运平</dc:creator>
  <cp:lastModifiedBy>(๑• . •๑)柠檬不萌。。 </cp:lastModifiedBy>
  <dcterms:modified xsi:type="dcterms:W3CDTF">2023-04-19T11:10:50Z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87941DA7352B41AA8EC263A9A2382AFC</vt:lpwstr>
  </property>
</Properties>
</file>