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rPr>
          <w:rFonts w:cs="Times New Roman"/>
          <w:b/>
          <w:sz w:val="30"/>
          <w:szCs w:val="30"/>
        </w:rPr>
      </w:pPr>
    </w:p>
    <w:p>
      <w:pPr>
        <w:ind w:firstLine="602"/>
        <w:rPr>
          <w:rFonts w:cs="Times New Roman"/>
          <w:b/>
          <w:sz w:val="30"/>
          <w:szCs w:val="30"/>
        </w:rPr>
      </w:pPr>
    </w:p>
    <w:p>
      <w:pPr>
        <w:ind w:firstLine="602"/>
        <w:rPr>
          <w:rFonts w:cs="Times New Roman"/>
          <w:b/>
          <w:sz w:val="30"/>
          <w:szCs w:val="30"/>
        </w:rPr>
      </w:pPr>
    </w:p>
    <w:p>
      <w:pPr>
        <w:ind w:firstLine="602"/>
        <w:rPr>
          <w:rFonts w:cs="Times New Roman"/>
          <w:b/>
          <w:sz w:val="30"/>
          <w:szCs w:val="30"/>
        </w:rPr>
      </w:pPr>
    </w:p>
    <w:p>
      <w:pPr>
        <w:ind w:firstLine="0" w:firstLineChars="0"/>
        <w:jc w:val="center"/>
        <w:rPr>
          <w:rFonts w:cs="Times New Roman"/>
          <w:b/>
          <w:sz w:val="30"/>
          <w:szCs w:val="30"/>
        </w:rPr>
      </w:pPr>
    </w:p>
    <w:p>
      <w:pPr>
        <w:spacing w:line="480" w:lineRule="auto"/>
        <w:ind w:firstLine="0" w:firstLineChars="0"/>
        <w:jc w:val="center"/>
        <w:rPr>
          <w:rFonts w:cs="Times New Roman"/>
          <w:b/>
          <w:sz w:val="48"/>
          <w:szCs w:val="48"/>
        </w:rPr>
      </w:pPr>
      <w:r>
        <w:rPr>
          <w:rFonts w:hint="eastAsia" w:cs="Times New Roman"/>
          <w:b/>
          <w:sz w:val="48"/>
          <w:szCs w:val="48"/>
        </w:rPr>
        <w:t>有色金属行业数字仿真通用技术要求</w:t>
      </w:r>
    </w:p>
    <w:p>
      <w:pPr>
        <w:spacing w:line="480" w:lineRule="auto"/>
        <w:ind w:firstLine="0" w:firstLineChars="0"/>
        <w:jc w:val="center"/>
        <w:rPr>
          <w:rFonts w:cs="Times New Roman"/>
          <w:b/>
          <w:sz w:val="48"/>
          <w:szCs w:val="48"/>
        </w:rPr>
      </w:pPr>
      <w:r>
        <w:rPr>
          <w:rFonts w:cs="Times New Roman"/>
          <w:b/>
          <w:sz w:val="48"/>
          <w:szCs w:val="48"/>
        </w:rPr>
        <w:t>编制说明</w:t>
      </w:r>
    </w:p>
    <w:p>
      <w:pPr>
        <w:spacing w:line="480" w:lineRule="auto"/>
        <w:ind w:firstLine="0" w:firstLineChars="0"/>
        <w:jc w:val="center"/>
        <w:rPr>
          <w:rFonts w:cs="Times New Roman"/>
          <w:b/>
          <w:sz w:val="40"/>
          <w:szCs w:val="48"/>
        </w:rPr>
      </w:pPr>
      <w:r>
        <w:rPr>
          <w:rFonts w:hint="eastAsia" w:cs="Times New Roman"/>
          <w:b/>
          <w:sz w:val="40"/>
          <w:szCs w:val="48"/>
        </w:rPr>
        <w:t>（预审稿）</w:t>
      </w:r>
    </w:p>
    <w:p>
      <w:pPr>
        <w:ind w:firstLine="964"/>
        <w:jc w:val="center"/>
        <w:rPr>
          <w:rFonts w:cs="Times New Roman"/>
          <w:b/>
          <w:sz w:val="48"/>
          <w:szCs w:val="48"/>
        </w:rPr>
      </w:pPr>
    </w:p>
    <w:p>
      <w:pPr>
        <w:ind w:firstLine="964"/>
        <w:jc w:val="center"/>
        <w:rPr>
          <w:rFonts w:cs="Times New Roman"/>
          <w:b/>
          <w:sz w:val="48"/>
          <w:szCs w:val="48"/>
        </w:rPr>
      </w:pPr>
    </w:p>
    <w:p>
      <w:pPr>
        <w:ind w:firstLine="964"/>
        <w:jc w:val="center"/>
        <w:rPr>
          <w:rFonts w:cs="Times New Roman"/>
          <w:b/>
          <w:sz w:val="48"/>
          <w:szCs w:val="48"/>
        </w:rPr>
      </w:pPr>
    </w:p>
    <w:p>
      <w:pPr>
        <w:ind w:firstLine="964"/>
        <w:rPr>
          <w:rFonts w:eastAsia="黑体" w:cs="Times New Roman"/>
          <w:b/>
          <w:sz w:val="48"/>
          <w:szCs w:val="48"/>
        </w:rPr>
      </w:pPr>
    </w:p>
    <w:p>
      <w:pPr>
        <w:ind w:firstLine="964"/>
        <w:rPr>
          <w:rFonts w:eastAsia="黑体" w:cs="Times New Roman"/>
          <w:b/>
          <w:sz w:val="48"/>
          <w:szCs w:val="48"/>
        </w:rPr>
      </w:pPr>
    </w:p>
    <w:p>
      <w:pPr>
        <w:ind w:firstLine="964"/>
        <w:rPr>
          <w:rFonts w:eastAsia="黑体" w:cs="Times New Roman"/>
          <w:b/>
          <w:sz w:val="48"/>
          <w:szCs w:val="48"/>
        </w:rPr>
      </w:pPr>
    </w:p>
    <w:p>
      <w:pPr>
        <w:ind w:firstLine="643"/>
        <w:rPr>
          <w:rFonts w:eastAsia="黑体" w:cs="Times New Roman"/>
          <w:b/>
          <w:sz w:val="32"/>
          <w:szCs w:val="32"/>
        </w:rPr>
      </w:pPr>
    </w:p>
    <w:p>
      <w:pPr>
        <w:ind w:firstLine="0" w:firstLineChars="0"/>
        <w:jc w:val="center"/>
        <w:rPr>
          <w:rFonts w:eastAsia="黑体" w:cs="Times New Roman"/>
          <w:b/>
          <w:sz w:val="32"/>
          <w:szCs w:val="32"/>
        </w:rPr>
      </w:pPr>
      <w:r>
        <w:rPr>
          <w:rFonts w:eastAsia="黑体" w:cs="Times New Roman"/>
          <w:b/>
          <w:sz w:val="32"/>
          <w:szCs w:val="32"/>
        </w:rPr>
        <w:t>《</w:t>
      </w:r>
      <w:r>
        <w:rPr>
          <w:rFonts w:hint="eastAsia" w:eastAsia="黑体" w:cs="Times New Roman"/>
          <w:b/>
          <w:sz w:val="32"/>
          <w:szCs w:val="32"/>
        </w:rPr>
        <w:t>有色金属行业数字仿真通用技术要求</w:t>
      </w:r>
      <w:r>
        <w:rPr>
          <w:rFonts w:eastAsia="黑体" w:cs="Times New Roman"/>
          <w:b/>
          <w:sz w:val="32"/>
          <w:szCs w:val="32"/>
        </w:rPr>
        <w:t>》编制组</w:t>
      </w:r>
    </w:p>
    <w:p>
      <w:pPr>
        <w:ind w:firstLine="0" w:firstLineChars="0"/>
        <w:jc w:val="center"/>
        <w:rPr>
          <w:rFonts w:eastAsia="黑体" w:cs="Times New Roman"/>
          <w:b/>
          <w:sz w:val="32"/>
          <w:szCs w:val="32"/>
        </w:rPr>
      </w:pPr>
      <w:r>
        <w:rPr>
          <w:rFonts w:eastAsia="黑体" w:cs="Times New Roman"/>
          <w:b/>
          <w:sz w:val="32"/>
          <w:szCs w:val="32"/>
        </w:rPr>
        <w:t>202</w:t>
      </w:r>
      <w:r>
        <w:rPr>
          <w:rFonts w:hint="eastAsia" w:eastAsia="黑体" w:cs="Times New Roman"/>
          <w:b/>
          <w:sz w:val="32"/>
          <w:szCs w:val="32"/>
        </w:rPr>
        <w:t>3</w:t>
      </w:r>
      <w:r>
        <w:rPr>
          <w:rFonts w:eastAsia="黑体" w:cs="Times New Roman"/>
          <w:b/>
          <w:sz w:val="32"/>
          <w:szCs w:val="32"/>
        </w:rPr>
        <w:t>年</w:t>
      </w:r>
      <w:r>
        <w:rPr>
          <w:rFonts w:hint="eastAsia" w:eastAsia="黑体" w:cs="Times New Roman"/>
          <w:b/>
          <w:sz w:val="32"/>
          <w:szCs w:val="32"/>
          <w:lang w:val="en-US" w:eastAsia="zh-CN"/>
        </w:rPr>
        <w:t>4</w:t>
      </w:r>
      <w:r>
        <w:rPr>
          <w:rFonts w:eastAsia="黑体" w:cs="Times New Roman"/>
          <w:b/>
          <w:sz w:val="32"/>
          <w:szCs w:val="32"/>
        </w:rPr>
        <w:t>月</w:t>
      </w:r>
    </w:p>
    <w:p>
      <w:pPr>
        <w:ind w:firstLine="964"/>
        <w:rPr>
          <w:rFonts w:eastAsia="黑体" w:cs="Times New Roman"/>
          <w:b/>
          <w:sz w:val="48"/>
          <w:szCs w:val="48"/>
        </w:rPr>
      </w:pPr>
    </w:p>
    <w:p>
      <w:pPr>
        <w:ind w:firstLine="480"/>
        <w:rPr>
          <w:rFonts w:cs="Times New Roman"/>
        </w:rPr>
      </w:pPr>
    </w:p>
    <w:p>
      <w:pPr>
        <w:spacing w:line="240" w:lineRule="auto"/>
        <w:ind w:firstLine="480"/>
        <w:jc w:val="center"/>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cs="Times New Roman" w:eastAsiaTheme="minorEastAsia"/>
        </w:rPr>
        <w:id w:val="147464107"/>
        <w:docPartObj>
          <w:docPartGallery w:val="Table of Contents"/>
          <w:docPartUnique/>
        </w:docPartObj>
      </w:sdtPr>
      <w:sdtEndPr>
        <w:rPr>
          <w:rFonts w:eastAsia="宋体" w:cs="Times New Roman"/>
        </w:rPr>
      </w:sdtEndPr>
      <w:sdtContent>
        <w:p>
          <w:pPr>
            <w:spacing w:line="240" w:lineRule="auto"/>
            <w:ind w:firstLine="0" w:firstLineChars="0"/>
            <w:jc w:val="center"/>
            <w:rPr>
              <w:rFonts w:cs="Times New Roman" w:eastAsiaTheme="minorEastAsia"/>
            </w:rPr>
          </w:pPr>
          <w:r>
            <w:rPr>
              <w:rFonts w:cs="Times New Roman" w:eastAsiaTheme="minorEastAsia"/>
            </w:rPr>
            <w:t>目录</w:t>
          </w:r>
        </w:p>
        <w:p>
          <w:pPr>
            <w:pStyle w:val="16"/>
            <w:tabs>
              <w:tab w:val="right" w:leader="dot" w:pos="8306"/>
            </w:tabs>
          </w:pPr>
          <w:r>
            <w:rPr>
              <w:rFonts w:ascii="Times New Roman" w:hAnsi="Times New Roman" w:cs="Times New Roman" w:eastAsiaTheme="minorEastAsia"/>
              <w:b w:val="0"/>
              <w:caps w:val="0"/>
              <w:sz w:val="24"/>
              <w:szCs w:val="24"/>
            </w:rPr>
            <w:fldChar w:fldCharType="begin"/>
          </w:r>
          <w:r>
            <w:rPr>
              <w:rFonts w:ascii="Times New Roman" w:hAnsi="Times New Roman" w:cs="Times New Roman" w:eastAsiaTheme="minorEastAsia"/>
              <w:b w:val="0"/>
              <w:caps w:val="0"/>
              <w:sz w:val="24"/>
              <w:szCs w:val="24"/>
            </w:rPr>
            <w:instrText xml:space="preserve"> TOC \o "1-2" \h \z \u </w:instrText>
          </w:r>
          <w:r>
            <w:rPr>
              <w:rFonts w:ascii="Times New Roman" w:hAnsi="Times New Roman" w:cs="Times New Roman" w:eastAsiaTheme="minorEastAsia"/>
              <w:b w:val="0"/>
              <w:caps w:val="0"/>
              <w:sz w:val="24"/>
              <w:szCs w:val="24"/>
            </w:rPr>
            <w:fldChar w:fldCharType="separate"/>
          </w:r>
          <w:r>
            <w:rPr>
              <w:rFonts w:ascii="Times New Roman" w:hAnsi="Times New Roman" w:cs="Times New Roman" w:eastAsiaTheme="minorEastAsia"/>
              <w:caps w:val="0"/>
              <w:szCs w:val="24"/>
            </w:rPr>
            <w:fldChar w:fldCharType="begin"/>
          </w:r>
          <w:r>
            <w:rPr>
              <w:rFonts w:ascii="Times New Roman" w:hAnsi="Times New Roman" w:cs="Times New Roman" w:eastAsiaTheme="minorEastAsia"/>
              <w:caps w:val="0"/>
              <w:szCs w:val="24"/>
            </w:rPr>
            <w:instrText xml:space="preserve"> HYPERLINK \l _Toc2128 </w:instrText>
          </w:r>
          <w:r>
            <w:rPr>
              <w:rFonts w:ascii="Times New Roman" w:hAnsi="Times New Roman" w:cs="Times New Roman" w:eastAsiaTheme="minorEastAsia"/>
              <w:caps w:val="0"/>
              <w:szCs w:val="24"/>
            </w:rPr>
            <w:fldChar w:fldCharType="separate"/>
          </w:r>
          <w:r>
            <w:t>一、工作简况</w:t>
          </w:r>
          <w:r>
            <w:tab/>
          </w:r>
          <w:r>
            <w:fldChar w:fldCharType="begin"/>
          </w:r>
          <w:r>
            <w:instrText xml:space="preserve"> PAGEREF _Toc2128 \h </w:instrText>
          </w:r>
          <w:r>
            <w:fldChar w:fldCharType="separate"/>
          </w:r>
          <w:r>
            <w:t>1</w:t>
          </w:r>
          <w:r>
            <w:fldChar w:fldCharType="end"/>
          </w:r>
          <w:r>
            <w:rPr>
              <w:rFonts w:ascii="Times New Roman" w:hAnsi="Times New Roman" w:cs="Times New Roman" w:eastAsiaTheme="minorEastAsia"/>
              <w:caps w:val="0"/>
              <w:szCs w:val="24"/>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_Toc11021 </w:instrText>
          </w:r>
          <w:r>
            <w:rPr>
              <w:rFonts w:cs="Times New Roman" w:eastAsiaTheme="minorEastAsia"/>
              <w:caps/>
            </w:rPr>
            <w:fldChar w:fldCharType="separate"/>
          </w:r>
          <w:r>
            <w:t>1、</w:t>
          </w:r>
          <w:r>
            <w:rPr>
              <w:highlight w:val="none"/>
            </w:rPr>
            <w:t>任务来源</w:t>
          </w:r>
          <w:r>
            <w:tab/>
          </w:r>
          <w:r>
            <w:fldChar w:fldCharType="begin"/>
          </w:r>
          <w:r>
            <w:instrText xml:space="preserve"> PAGEREF _Toc11021 \h </w:instrText>
          </w:r>
          <w:r>
            <w:fldChar w:fldCharType="separate"/>
          </w:r>
          <w:r>
            <w:t>1</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_Toc18109 </w:instrText>
          </w:r>
          <w:r>
            <w:rPr>
              <w:rFonts w:cs="Times New Roman" w:eastAsiaTheme="minorEastAsia"/>
              <w:caps/>
            </w:rPr>
            <w:fldChar w:fldCharType="separate"/>
          </w:r>
          <w:r>
            <w:t>2、标准起草单位</w:t>
          </w:r>
          <w:r>
            <w:rPr>
              <w:rFonts w:hint="eastAsia"/>
            </w:rPr>
            <w:t>、编制成员及其工作职责</w:t>
          </w:r>
          <w:r>
            <w:tab/>
          </w:r>
          <w:r>
            <w:fldChar w:fldCharType="begin"/>
          </w:r>
          <w:r>
            <w:instrText xml:space="preserve"> PAGEREF _Toc18109 \h </w:instrText>
          </w:r>
          <w:r>
            <w:fldChar w:fldCharType="separate"/>
          </w:r>
          <w:r>
            <w:t>3</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_Toc16097 </w:instrText>
          </w:r>
          <w:r>
            <w:rPr>
              <w:rFonts w:cs="Times New Roman" w:eastAsiaTheme="minorEastAsia"/>
              <w:caps/>
            </w:rPr>
            <w:fldChar w:fldCharType="separate"/>
          </w:r>
          <w:r>
            <w:rPr>
              <w:rFonts w:cs="Times New Roman"/>
              <w:bCs w:val="0"/>
              <w:szCs w:val="21"/>
            </w:rPr>
            <w:t>3、主要工作过程</w:t>
          </w:r>
          <w:r>
            <w:tab/>
          </w:r>
          <w:r>
            <w:fldChar w:fldCharType="begin"/>
          </w:r>
          <w:r>
            <w:instrText xml:space="preserve"> PAGEREF _Toc16097 \h </w:instrText>
          </w:r>
          <w:r>
            <w:fldChar w:fldCharType="separate"/>
          </w:r>
          <w:r>
            <w:t>3</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_Toc12294 </w:instrText>
          </w:r>
          <w:r>
            <w:rPr>
              <w:rFonts w:cs="Times New Roman" w:eastAsiaTheme="minorEastAsia"/>
              <w:caps/>
            </w:rPr>
            <w:fldChar w:fldCharType="separate"/>
          </w:r>
          <w:r>
            <w:rPr>
              <w:rFonts w:hint="eastAsia"/>
            </w:rPr>
            <w:t>二、</w:t>
          </w:r>
          <w:r>
            <w:t>标准编制原则和确定标准主要内容</w:t>
          </w:r>
          <w:r>
            <w:tab/>
          </w:r>
          <w:r>
            <w:fldChar w:fldCharType="begin"/>
          </w:r>
          <w:r>
            <w:instrText xml:space="preserve"> PAGEREF _Toc12294 \h </w:instrText>
          </w:r>
          <w:r>
            <w:fldChar w:fldCharType="separate"/>
          </w:r>
          <w:r>
            <w:t>4</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_Toc24150 </w:instrText>
          </w:r>
          <w:r>
            <w:rPr>
              <w:rFonts w:cs="Times New Roman" w:eastAsiaTheme="minorEastAsia"/>
              <w:caps/>
            </w:rPr>
            <w:fldChar w:fldCharType="separate"/>
          </w:r>
          <w:r>
            <w:rPr>
              <w:rFonts w:hint="eastAsia"/>
            </w:rPr>
            <w:t>1、</w:t>
          </w:r>
          <w:r>
            <w:t>编制原则</w:t>
          </w:r>
          <w:r>
            <w:tab/>
          </w:r>
          <w:r>
            <w:fldChar w:fldCharType="begin"/>
          </w:r>
          <w:r>
            <w:instrText xml:space="preserve"> PAGEREF _Toc24150 \h </w:instrText>
          </w:r>
          <w:r>
            <w:fldChar w:fldCharType="separate"/>
          </w:r>
          <w:r>
            <w:t>4</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_Toc25311 </w:instrText>
          </w:r>
          <w:r>
            <w:rPr>
              <w:rFonts w:cs="Times New Roman" w:eastAsiaTheme="minorEastAsia"/>
              <w:caps/>
            </w:rPr>
            <w:fldChar w:fldCharType="separate"/>
          </w:r>
          <w:r>
            <w:rPr>
              <w:rFonts w:hint="eastAsia"/>
            </w:rPr>
            <w:t>2</w:t>
          </w:r>
          <w:r>
            <w:t>、</w:t>
          </w:r>
          <w:r>
            <w:rPr>
              <w:rFonts w:hint="eastAsia"/>
              <w:lang w:val="en-US" w:eastAsia="zh-CN"/>
            </w:rPr>
            <w:t>数字</w:t>
          </w:r>
          <w:r>
            <w:t>仿真分析流程</w:t>
          </w:r>
          <w:r>
            <w:tab/>
          </w:r>
          <w:r>
            <w:fldChar w:fldCharType="begin"/>
          </w:r>
          <w:r>
            <w:instrText xml:space="preserve"> PAGEREF _Toc25311 \h </w:instrText>
          </w:r>
          <w:r>
            <w:fldChar w:fldCharType="separate"/>
          </w:r>
          <w:r>
            <w:t>4</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_Toc10445 </w:instrText>
          </w:r>
          <w:r>
            <w:rPr>
              <w:rFonts w:cs="Times New Roman" w:eastAsiaTheme="minorEastAsia"/>
              <w:caps/>
            </w:rPr>
            <w:fldChar w:fldCharType="separate"/>
          </w:r>
          <w:r>
            <w:rPr>
              <w:rFonts w:hint="eastAsia"/>
            </w:rPr>
            <w:t>3</w:t>
          </w:r>
          <w:r>
            <w:t>、国内外相关标准研究</w:t>
          </w:r>
          <w:r>
            <w:tab/>
          </w:r>
          <w:r>
            <w:fldChar w:fldCharType="begin"/>
          </w:r>
          <w:r>
            <w:instrText xml:space="preserve"> PAGEREF _Toc10445 \h </w:instrText>
          </w:r>
          <w:r>
            <w:fldChar w:fldCharType="separate"/>
          </w:r>
          <w:r>
            <w:t>4</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_Toc5784 </w:instrText>
          </w:r>
          <w:r>
            <w:rPr>
              <w:rFonts w:cs="Times New Roman" w:eastAsiaTheme="minorEastAsia"/>
              <w:caps/>
            </w:rPr>
            <w:fldChar w:fldCharType="separate"/>
          </w:r>
          <w:r>
            <w:rPr>
              <w:rFonts w:hint="eastAsia"/>
            </w:rPr>
            <w:t>4</w:t>
          </w:r>
          <w:r>
            <w:t>、</w:t>
          </w:r>
          <w:r>
            <w:rPr>
              <w:rFonts w:hint="eastAsia"/>
            </w:rPr>
            <w:t>有色金属行业数字化仿真</w:t>
          </w:r>
          <w:r>
            <w:t>现状调研</w:t>
          </w:r>
          <w:r>
            <w:tab/>
          </w:r>
          <w:r>
            <w:fldChar w:fldCharType="begin"/>
          </w:r>
          <w:r>
            <w:instrText xml:space="preserve"> PAGEREF _Toc5784 \h </w:instrText>
          </w:r>
          <w:r>
            <w:fldChar w:fldCharType="separate"/>
          </w:r>
          <w:r>
            <w:t>6</w:t>
          </w:r>
          <w:r>
            <w:fldChar w:fldCharType="end"/>
          </w:r>
          <w:r>
            <w:rPr>
              <w:rFonts w:cs="Times New Roman" w:eastAsiaTheme="minorEastAsia"/>
              <w:caps/>
            </w:rPr>
            <w:fldChar w:fldCharType="end"/>
          </w:r>
        </w:p>
        <w:p>
          <w:pPr>
            <w:pStyle w:val="20"/>
            <w:tabs>
              <w:tab w:val="right" w:leader="dot" w:pos="8306"/>
            </w:tabs>
          </w:pPr>
          <w:r>
            <w:rPr>
              <w:rFonts w:cs="Times New Roman" w:eastAsiaTheme="minorEastAsia"/>
              <w:caps/>
            </w:rPr>
            <w:fldChar w:fldCharType="begin"/>
          </w:r>
          <w:r>
            <w:rPr>
              <w:rFonts w:cs="Times New Roman" w:eastAsiaTheme="minorEastAsia"/>
              <w:caps/>
            </w:rPr>
            <w:instrText xml:space="preserve"> HYPERLINK \l _Toc8167 </w:instrText>
          </w:r>
          <w:r>
            <w:rPr>
              <w:rFonts w:cs="Times New Roman" w:eastAsiaTheme="minorEastAsia"/>
              <w:caps/>
            </w:rPr>
            <w:fldChar w:fldCharType="separate"/>
          </w:r>
          <w:r>
            <w:rPr>
              <w:rFonts w:hint="eastAsia"/>
            </w:rPr>
            <w:t>5、</w:t>
          </w:r>
          <w:r>
            <w:t>标准主要内容</w:t>
          </w:r>
          <w:r>
            <w:tab/>
          </w:r>
          <w:r>
            <w:fldChar w:fldCharType="begin"/>
          </w:r>
          <w:r>
            <w:instrText xml:space="preserve"> PAGEREF _Toc8167 \h </w:instrText>
          </w:r>
          <w:r>
            <w:fldChar w:fldCharType="separate"/>
          </w:r>
          <w:r>
            <w:t>9</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_Toc6044 </w:instrText>
          </w:r>
          <w:r>
            <w:rPr>
              <w:rFonts w:cs="Times New Roman" w:eastAsiaTheme="minorEastAsia"/>
              <w:caps/>
            </w:rPr>
            <w:fldChar w:fldCharType="separate"/>
          </w:r>
          <w:r>
            <w:t>三、标准中如涉及专利，应有明确的知识产权说明。</w:t>
          </w:r>
          <w:r>
            <w:tab/>
          </w:r>
          <w:r>
            <w:fldChar w:fldCharType="begin"/>
          </w:r>
          <w:r>
            <w:instrText xml:space="preserve"> PAGEREF _Toc6044 \h </w:instrText>
          </w:r>
          <w:r>
            <w:fldChar w:fldCharType="separate"/>
          </w:r>
          <w:r>
            <w:t>16</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_Toc4741 </w:instrText>
          </w:r>
          <w:r>
            <w:rPr>
              <w:rFonts w:cs="Times New Roman" w:eastAsiaTheme="minorEastAsia"/>
              <w:caps/>
            </w:rPr>
            <w:fldChar w:fldCharType="separate"/>
          </w:r>
          <w:r>
            <w:t>四、主要试验或验证的分析、综述报告、技术经济论证，预期的经济效果。</w:t>
          </w:r>
          <w:r>
            <w:tab/>
          </w:r>
          <w:r>
            <w:fldChar w:fldCharType="begin"/>
          </w:r>
          <w:r>
            <w:instrText xml:space="preserve"> PAGEREF _Toc4741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_Toc25823 </w:instrText>
          </w:r>
          <w:r>
            <w:rPr>
              <w:rFonts w:cs="Times New Roman" w:eastAsiaTheme="minorEastAsia"/>
              <w:caps/>
            </w:rPr>
            <w:fldChar w:fldCharType="separate"/>
          </w:r>
          <w:r>
            <w:t>五、采用国际标准或国外先进标准的目的、意义和一致性程度；我国标准与被采用标准的主要差异及其原因；以及与国际、国外同类标准水平的对比情况。</w:t>
          </w:r>
          <w:r>
            <w:tab/>
          </w:r>
          <w:r>
            <w:fldChar w:fldCharType="begin"/>
          </w:r>
          <w:r>
            <w:instrText xml:space="preserve"> PAGEREF _Toc25823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_Toc10496 </w:instrText>
          </w:r>
          <w:r>
            <w:rPr>
              <w:rFonts w:cs="Times New Roman" w:eastAsiaTheme="minorEastAsia"/>
              <w:caps/>
            </w:rPr>
            <w:fldChar w:fldCharType="separate"/>
          </w:r>
          <w:r>
            <w:t>六、与现行法律、法规、强制性国家标准及相关标准协调配套情况</w:t>
          </w:r>
          <w:r>
            <w:tab/>
          </w:r>
          <w:r>
            <w:fldChar w:fldCharType="begin"/>
          </w:r>
          <w:r>
            <w:instrText xml:space="preserve"> PAGEREF _Toc10496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_Toc24005 </w:instrText>
          </w:r>
          <w:r>
            <w:rPr>
              <w:rFonts w:cs="Times New Roman" w:eastAsiaTheme="minorEastAsia"/>
              <w:caps/>
            </w:rPr>
            <w:fldChar w:fldCharType="separate"/>
          </w:r>
          <w:r>
            <w:t>七、国外相关法律、法规和标准情况的说明。</w:t>
          </w:r>
          <w:r>
            <w:tab/>
          </w:r>
          <w:r>
            <w:fldChar w:fldCharType="begin"/>
          </w:r>
          <w:r>
            <w:instrText xml:space="preserve"> PAGEREF _Toc24005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_Toc25578 </w:instrText>
          </w:r>
          <w:r>
            <w:rPr>
              <w:rFonts w:cs="Times New Roman" w:eastAsiaTheme="minorEastAsia"/>
              <w:caps/>
            </w:rPr>
            <w:fldChar w:fldCharType="separate"/>
          </w:r>
          <w:r>
            <w:t>八、重大分歧意见的处理经过和依据</w:t>
          </w:r>
          <w:r>
            <w:tab/>
          </w:r>
          <w:r>
            <w:fldChar w:fldCharType="begin"/>
          </w:r>
          <w:r>
            <w:instrText xml:space="preserve"> PAGEREF _Toc25578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_Toc11342 </w:instrText>
          </w:r>
          <w:r>
            <w:rPr>
              <w:rFonts w:cs="Times New Roman" w:eastAsiaTheme="minorEastAsia"/>
              <w:caps/>
            </w:rPr>
            <w:fldChar w:fldCharType="separate"/>
          </w:r>
          <w:r>
            <w:t>九、标准作为强制性或推荐性国家（或行业）标准的建议</w:t>
          </w:r>
          <w:r>
            <w:tab/>
          </w:r>
          <w:r>
            <w:fldChar w:fldCharType="begin"/>
          </w:r>
          <w:r>
            <w:instrText xml:space="preserve"> PAGEREF _Toc11342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_Toc10777 </w:instrText>
          </w:r>
          <w:r>
            <w:rPr>
              <w:rFonts w:cs="Times New Roman" w:eastAsiaTheme="minorEastAsia"/>
              <w:caps/>
            </w:rPr>
            <w:fldChar w:fldCharType="separate"/>
          </w:r>
          <w:r>
            <w:t>十、贯彻标准的要求和措施建议</w:t>
          </w:r>
          <w:r>
            <w:tab/>
          </w:r>
          <w:r>
            <w:fldChar w:fldCharType="begin"/>
          </w:r>
          <w:r>
            <w:instrText xml:space="preserve"> PAGEREF _Toc10777 \h </w:instrText>
          </w:r>
          <w:r>
            <w:fldChar w:fldCharType="separate"/>
          </w:r>
          <w:r>
            <w:t>17</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_Toc13701 </w:instrText>
          </w:r>
          <w:r>
            <w:rPr>
              <w:rFonts w:cs="Times New Roman" w:eastAsiaTheme="minorEastAsia"/>
              <w:caps/>
            </w:rPr>
            <w:fldChar w:fldCharType="separate"/>
          </w:r>
          <w:r>
            <w:t>十一、设立标准实施过渡期的理由：根据国家经济、技术政策需要和该强制性标准涉及的产品的技术改造难度等因素，提出标准的实施日期的建议。（仅适用于强制性标准）</w:t>
          </w:r>
          <w:r>
            <w:tab/>
          </w:r>
          <w:r>
            <w:fldChar w:fldCharType="begin"/>
          </w:r>
          <w:r>
            <w:instrText xml:space="preserve"> PAGEREF _Toc13701 \h </w:instrText>
          </w:r>
          <w:r>
            <w:fldChar w:fldCharType="separate"/>
          </w:r>
          <w:r>
            <w:t>18</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_Toc10187 </w:instrText>
          </w:r>
          <w:r>
            <w:rPr>
              <w:rFonts w:cs="Times New Roman" w:eastAsiaTheme="minorEastAsia"/>
              <w:caps/>
            </w:rPr>
            <w:fldChar w:fldCharType="separate"/>
          </w:r>
          <w:r>
            <w:t>十二、废止现行有关标准的建议</w:t>
          </w:r>
          <w:r>
            <w:tab/>
          </w:r>
          <w:r>
            <w:fldChar w:fldCharType="begin"/>
          </w:r>
          <w:r>
            <w:instrText xml:space="preserve"> PAGEREF _Toc10187 \h </w:instrText>
          </w:r>
          <w:r>
            <w:fldChar w:fldCharType="separate"/>
          </w:r>
          <w:r>
            <w:t>18</w:t>
          </w:r>
          <w:r>
            <w:fldChar w:fldCharType="end"/>
          </w:r>
          <w:r>
            <w:rPr>
              <w:rFonts w:cs="Times New Roman" w:eastAsiaTheme="minorEastAsia"/>
              <w:caps/>
            </w:rPr>
            <w:fldChar w:fldCharType="end"/>
          </w:r>
        </w:p>
        <w:p>
          <w:pPr>
            <w:pStyle w:val="16"/>
            <w:tabs>
              <w:tab w:val="right" w:leader="dot" w:pos="8306"/>
            </w:tabs>
          </w:pPr>
          <w:r>
            <w:rPr>
              <w:rFonts w:cs="Times New Roman" w:eastAsiaTheme="minorEastAsia"/>
              <w:caps/>
            </w:rPr>
            <w:fldChar w:fldCharType="begin"/>
          </w:r>
          <w:r>
            <w:rPr>
              <w:rFonts w:cs="Times New Roman" w:eastAsiaTheme="minorEastAsia"/>
              <w:caps/>
            </w:rPr>
            <w:instrText xml:space="preserve"> HYPERLINK \l _Toc27269 </w:instrText>
          </w:r>
          <w:r>
            <w:rPr>
              <w:rFonts w:cs="Times New Roman" w:eastAsiaTheme="minorEastAsia"/>
              <w:caps/>
            </w:rPr>
            <w:fldChar w:fldCharType="separate"/>
          </w:r>
          <w:r>
            <w:t>十三、其他主要内容的解释和其他需要说明的事项。如系列标准或划分部分制定的标准的编号建议，参考文献目录等。</w:t>
          </w:r>
          <w:r>
            <w:tab/>
          </w:r>
          <w:r>
            <w:fldChar w:fldCharType="begin"/>
          </w:r>
          <w:r>
            <w:instrText xml:space="preserve"> PAGEREF _Toc27269 \h </w:instrText>
          </w:r>
          <w:r>
            <w:fldChar w:fldCharType="separate"/>
          </w:r>
          <w:r>
            <w:t>18</w:t>
          </w:r>
          <w:r>
            <w:fldChar w:fldCharType="end"/>
          </w:r>
          <w:r>
            <w:rPr>
              <w:rFonts w:cs="Times New Roman" w:eastAsiaTheme="minorEastAsia"/>
              <w:caps/>
            </w:rPr>
            <w:fldChar w:fldCharType="end"/>
          </w:r>
        </w:p>
        <w:p>
          <w:pPr>
            <w:ind w:firstLine="0" w:firstLineChars="0"/>
            <w:rPr>
              <w:rFonts w:cs="Times New Roman"/>
            </w:rPr>
          </w:pPr>
          <w:r>
            <w:rPr>
              <w:rFonts w:cs="Times New Roman" w:eastAsiaTheme="minorEastAsia"/>
              <w:caps/>
            </w:rPr>
            <w:fldChar w:fldCharType="end"/>
          </w:r>
        </w:p>
      </w:sdtContent>
    </w:sdt>
    <w:p>
      <w:pPr>
        <w:pStyle w:val="3"/>
        <w:ind w:firstLine="602"/>
        <w:rPr>
          <w:rFonts w:cs="Times New Roman"/>
        </w:rPr>
        <w:sectPr>
          <w:footerReference r:id="rId11" w:type="default"/>
          <w:pgSz w:w="11906" w:h="16838"/>
          <w:pgMar w:top="1440" w:right="1800" w:bottom="1440" w:left="1800" w:header="851" w:footer="992" w:gutter="0"/>
          <w:pgNumType w:fmt="lowerRoman" w:start="1"/>
          <w:cols w:space="425" w:num="1"/>
          <w:docGrid w:type="lines" w:linePitch="312" w:charSpace="0"/>
        </w:sectPr>
      </w:pPr>
    </w:p>
    <w:p>
      <w:pPr>
        <w:pStyle w:val="3"/>
      </w:pPr>
      <w:bookmarkStart w:id="0" w:name="_Toc2128"/>
      <w:r>
        <w:t>一、工作简况</w:t>
      </w:r>
      <w:bookmarkEnd w:id="0"/>
    </w:p>
    <w:p>
      <w:pPr>
        <w:pStyle w:val="4"/>
      </w:pPr>
      <w:bookmarkStart w:id="1" w:name="_Toc11021"/>
      <w:r>
        <w:t>1、</w:t>
      </w:r>
      <w:r>
        <w:rPr>
          <w:highlight w:val="none"/>
        </w:rPr>
        <w:t>任务来源</w:t>
      </w:r>
      <w:bookmarkEnd w:id="1"/>
    </w:p>
    <w:p>
      <w:pPr>
        <w:ind w:firstLine="480"/>
        <w:rPr>
          <w:rFonts w:cs="Times New Roman"/>
          <w:szCs w:val="21"/>
          <w:highlight w:val="none"/>
        </w:rPr>
      </w:pPr>
      <w:r>
        <w:rPr>
          <w:rFonts w:hint="eastAsia" w:ascii="Times New Roman" w:hAnsi="Times New Roman" w:cs="Times New Roman"/>
          <w:szCs w:val="21"/>
          <w:highlight w:val="none"/>
          <w:lang w:val="en-US" w:eastAsia="zh-CN"/>
        </w:rPr>
        <w:t>根据2022年11月22日，工业与信息化部《工业和信息化部办公厅关于印发 2022 年第三批行业标准制修订和外文版项目计划的通知》（工信厅科函[2022]312号）的文件要求，行业标准《有色金属行业数字仿真通用技术要求》制定项目由全国有色金属标准化技术委员会归口，计划编号：2022-1578T-YS，项目周期为24个月，完成年限为2024年。由中国恩菲工程技术</w:t>
      </w:r>
      <w:r>
        <w:rPr>
          <w:rFonts w:hint="eastAsia" w:ascii="Times New Roman" w:hAnsi="Times New Roman" w:cs="Times New Roman"/>
          <w:szCs w:val="21"/>
          <w:highlight w:val="none"/>
        </w:rPr>
        <w:t>有限公司（以下简称</w:t>
      </w:r>
      <w:r>
        <w:rPr>
          <w:rFonts w:hint="eastAsia" w:ascii="Times New Roman" w:hAnsi="Times New Roman" w:cs="Times New Roman"/>
          <w:szCs w:val="21"/>
          <w:highlight w:val="none"/>
          <w:lang w:val="en-US" w:eastAsia="zh-CN"/>
        </w:rPr>
        <w:t>中国恩菲</w:t>
      </w:r>
      <w:r>
        <w:rPr>
          <w:rFonts w:hint="eastAsia" w:ascii="Times New Roman" w:hAnsi="Times New Roman" w:cs="Times New Roman"/>
          <w:szCs w:val="21"/>
          <w:highlight w:val="none"/>
        </w:rPr>
        <w:t>）主编，</w:t>
      </w:r>
      <w:r>
        <w:rPr>
          <w:rFonts w:hint="eastAsia" w:ascii="Times New Roman" w:hAnsi="Times New Roman" w:cs="Times New Roman"/>
          <w:szCs w:val="21"/>
          <w:highlight w:val="none"/>
          <w:lang w:val="en-US" w:eastAsia="zh-CN"/>
        </w:rPr>
        <w:t>中铝智能科技发展有限公司、贵州铝镁设计研究院有限公司、国家超级计算天津中心、北京科技大学、中南大学、天津大学、湖南有色</w:t>
      </w:r>
      <w:r>
        <w:rPr>
          <w:rFonts w:hint="eastAsia" w:cs="Times New Roman"/>
          <w:szCs w:val="21"/>
          <w:highlight w:val="none"/>
          <w:lang w:val="en-US" w:eastAsia="zh-CN"/>
        </w:rPr>
        <w:t>金属有限公司</w:t>
      </w:r>
      <w:r>
        <w:rPr>
          <w:rFonts w:hint="eastAsia" w:ascii="Times New Roman" w:hAnsi="Times New Roman" w:cs="Times New Roman"/>
          <w:szCs w:val="21"/>
          <w:highlight w:val="none"/>
          <w:lang w:val="en-US" w:eastAsia="zh-CN"/>
        </w:rPr>
        <w:t>、大冶有色</w:t>
      </w:r>
      <w:r>
        <w:rPr>
          <w:rFonts w:hint="eastAsia" w:cs="Times New Roman"/>
          <w:szCs w:val="21"/>
          <w:highlight w:val="none"/>
          <w:lang w:val="en-US" w:eastAsia="zh-CN"/>
        </w:rPr>
        <w:t>金属有限责任公司</w:t>
      </w:r>
      <w:r>
        <w:rPr>
          <w:rFonts w:hint="eastAsia" w:ascii="Times New Roman" w:hAnsi="Times New Roman" w:cs="Times New Roman"/>
          <w:szCs w:val="21"/>
          <w:highlight w:val="none"/>
          <w:lang w:val="en-US" w:eastAsia="zh-CN"/>
        </w:rPr>
        <w:t>等参加，共同组成《有色金属行业数字仿真通用技术要求</w:t>
      </w:r>
      <w:r>
        <w:rPr>
          <w:rFonts w:cs="Times New Roman"/>
          <w:szCs w:val="21"/>
          <w:highlight w:val="none"/>
        </w:rPr>
        <w:t>》编制组，</w:t>
      </w:r>
      <w:r>
        <w:rPr>
          <w:rFonts w:hint="eastAsia" w:cs="Times New Roman"/>
          <w:szCs w:val="21"/>
          <w:highlight w:val="none"/>
        </w:rPr>
        <w:t>开展</w:t>
      </w:r>
      <w:r>
        <w:rPr>
          <w:rFonts w:cs="Times New Roman"/>
          <w:szCs w:val="21"/>
          <w:highlight w:val="none"/>
        </w:rPr>
        <w:t>标准编制工作。</w:t>
      </w:r>
    </w:p>
    <w:p>
      <w:pPr>
        <w:ind w:firstLine="480"/>
        <w:rPr>
          <w:rFonts w:hint="default" w:eastAsia="宋体" w:cs="Times New Roman"/>
          <w:szCs w:val="21"/>
          <w:highlight w:val="none"/>
          <w:lang w:val="en-US" w:eastAsia="zh-CN"/>
        </w:rPr>
      </w:pPr>
      <w:r>
        <w:rPr>
          <w:rFonts w:cs="Times New Roman"/>
          <w:szCs w:val="21"/>
          <w:highlight w:val="none"/>
        </w:rPr>
        <w:t>根据《</w:t>
      </w:r>
      <w:r>
        <w:rPr>
          <w:rFonts w:hint="eastAsia" w:cs="Times New Roman"/>
          <w:szCs w:val="21"/>
          <w:highlight w:val="none"/>
          <w:lang w:val="en-US" w:eastAsia="zh-CN"/>
        </w:rPr>
        <w:t>有色金属行业智能制造标准体系</w:t>
      </w:r>
      <w:r>
        <w:rPr>
          <w:rFonts w:cs="Times New Roman"/>
          <w:szCs w:val="21"/>
          <w:highlight w:val="none"/>
        </w:rPr>
        <w:t>建设指南（20</w:t>
      </w:r>
      <w:r>
        <w:rPr>
          <w:rFonts w:hint="eastAsia" w:cs="Times New Roman"/>
          <w:szCs w:val="21"/>
          <w:highlight w:val="none"/>
          <w:lang w:val="en-US" w:eastAsia="zh-CN"/>
        </w:rPr>
        <w:t>23</w:t>
      </w:r>
      <w:r>
        <w:rPr>
          <w:rFonts w:cs="Times New Roman"/>
          <w:szCs w:val="21"/>
          <w:highlight w:val="none"/>
        </w:rPr>
        <w:t>年版）》的规划，《</w:t>
      </w:r>
      <w:r>
        <w:rPr>
          <w:rFonts w:hint="eastAsia" w:cs="Times New Roman"/>
          <w:szCs w:val="21"/>
          <w:highlight w:val="none"/>
        </w:rPr>
        <w:t>有色金属行业数字仿真通用技术要求</w:t>
      </w:r>
      <w:r>
        <w:rPr>
          <w:rFonts w:cs="Times New Roman"/>
          <w:szCs w:val="21"/>
          <w:highlight w:val="none"/>
        </w:rPr>
        <w:t>》属于</w:t>
      </w:r>
      <w:r>
        <w:rPr>
          <w:rFonts w:hint="eastAsia" w:cs="Times New Roman"/>
          <w:szCs w:val="21"/>
          <w:highlight w:val="none"/>
          <w:lang w:val="en-US" w:eastAsia="zh-CN"/>
        </w:rPr>
        <w:t>有色金属行业</w:t>
      </w:r>
      <w:r>
        <w:rPr>
          <w:rFonts w:cs="Times New Roman"/>
          <w:szCs w:val="21"/>
          <w:highlight w:val="none"/>
        </w:rPr>
        <w:t>智能制造标准体系中的“</w:t>
      </w:r>
      <w:r>
        <w:rPr>
          <w:rFonts w:hint="eastAsia" w:cs="Times New Roman"/>
          <w:szCs w:val="21"/>
          <w:highlight w:val="none"/>
          <w:lang w:val="en-US" w:eastAsia="zh-CN"/>
        </w:rPr>
        <w:t>CIC智能工厂</w:t>
      </w:r>
      <w:r>
        <w:rPr>
          <w:rFonts w:cs="Times New Roman"/>
          <w:szCs w:val="21"/>
          <w:highlight w:val="none"/>
        </w:rPr>
        <w:t>-</w:t>
      </w:r>
      <w:r>
        <w:rPr>
          <w:rFonts w:hint="eastAsia" w:cs="Times New Roman"/>
          <w:szCs w:val="21"/>
          <w:highlight w:val="none"/>
          <w:lang w:val="en-US" w:eastAsia="zh-CN"/>
        </w:rPr>
        <w:t>CICC数字化平台-CICCD数字仿真</w:t>
      </w:r>
      <w:r>
        <w:rPr>
          <w:rFonts w:cs="Times New Roman"/>
          <w:szCs w:val="21"/>
          <w:highlight w:val="none"/>
        </w:rPr>
        <w:t>”部分</w:t>
      </w:r>
      <w:r>
        <w:rPr>
          <w:rFonts w:hint="eastAsia" w:cs="Times New Roman"/>
          <w:szCs w:val="21"/>
          <w:highlight w:val="none"/>
        </w:rPr>
        <w:t>，</w:t>
      </w:r>
      <w:r>
        <w:rPr>
          <w:rFonts w:hint="eastAsia" w:cs="Times New Roman"/>
          <w:szCs w:val="21"/>
          <w:highlight w:val="none"/>
          <w:lang w:val="en-US" w:eastAsia="zh-CN"/>
        </w:rPr>
        <w:t>有色金属行业</w:t>
      </w:r>
      <w:r>
        <w:rPr>
          <w:rFonts w:hint="eastAsia" w:cs="Times New Roman"/>
          <w:szCs w:val="21"/>
          <w:highlight w:val="none"/>
        </w:rPr>
        <w:t>智能制造标准体系图</w:t>
      </w:r>
      <w:r>
        <w:rPr>
          <w:rFonts w:cs="Times New Roman"/>
          <w:szCs w:val="21"/>
          <w:highlight w:val="none"/>
        </w:rPr>
        <w:t>如图1所示。</w:t>
      </w:r>
      <w:r>
        <w:rPr>
          <w:rFonts w:hint="eastAsia" w:cs="Times New Roman"/>
          <w:szCs w:val="21"/>
          <w:highlight w:val="none"/>
        </w:rPr>
        <w:t>有色金属行业智能制造标准体系结构向下延伸形成有色金属行业智能制造标准体系框架</w:t>
      </w:r>
      <w:r>
        <w:rPr>
          <w:rFonts w:hint="eastAsia" w:cs="Times New Roman"/>
          <w:szCs w:val="21"/>
          <w:highlight w:val="none"/>
          <w:lang w:eastAsia="zh-CN"/>
        </w:rPr>
        <w:t>，</w:t>
      </w:r>
      <w:r>
        <w:rPr>
          <w:rFonts w:hint="eastAsia" w:cs="Times New Roman"/>
          <w:szCs w:val="21"/>
          <w:highlight w:val="none"/>
          <w:lang w:val="en-US" w:eastAsia="zh-CN"/>
        </w:rPr>
        <w:t>如图2所示。</w:t>
      </w:r>
    </w:p>
    <w:p>
      <w:pPr>
        <w:ind w:firstLine="0" w:firstLineChars="0"/>
        <w:jc w:val="center"/>
        <w:rPr>
          <w:rFonts w:eastAsia="仿宋_GB2312"/>
          <w:i/>
          <w:iCs/>
          <w:kern w:val="0"/>
          <w:sz w:val="30"/>
          <w:szCs w:val="30"/>
          <w:highlight w:val="none"/>
        </w:rPr>
      </w:pPr>
      <w:r>
        <w:rPr>
          <w:highlight w:val="none"/>
        </w:rPr>
        <w:drawing>
          <wp:inline distT="0" distB="0" distL="114300" distR="114300">
            <wp:extent cx="4406900" cy="3498850"/>
            <wp:effectExtent l="0" t="0" r="1270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4406900" cy="3498850"/>
                    </a:xfrm>
                    <a:prstGeom prst="rect">
                      <a:avLst/>
                    </a:prstGeom>
                    <a:noFill/>
                    <a:ln>
                      <a:noFill/>
                    </a:ln>
                  </pic:spPr>
                </pic:pic>
              </a:graphicData>
            </a:graphic>
          </wp:inline>
        </w:drawing>
      </w:r>
    </w:p>
    <w:p>
      <w:pPr>
        <w:ind w:firstLine="480"/>
        <w:jc w:val="center"/>
        <w:rPr>
          <w:rFonts w:ascii="宋体" w:hAnsi="宋体"/>
          <w:kern w:val="0"/>
          <w:szCs w:val="21"/>
          <w:highlight w:val="none"/>
        </w:rPr>
      </w:pPr>
      <w:r>
        <w:rPr>
          <w:rFonts w:ascii="宋体" w:hAnsi="宋体"/>
          <w:kern w:val="0"/>
          <w:szCs w:val="21"/>
          <w:highlight w:val="none"/>
        </w:rPr>
        <w:t xml:space="preserve">图1 </w:t>
      </w:r>
      <w:r>
        <w:rPr>
          <w:rFonts w:hint="eastAsia" w:ascii="宋体" w:hAnsi="宋体"/>
          <w:kern w:val="0"/>
          <w:szCs w:val="21"/>
          <w:highlight w:val="none"/>
          <w:lang w:val="en-US" w:eastAsia="zh-CN"/>
        </w:rPr>
        <w:t>有色金属行业</w:t>
      </w:r>
      <w:r>
        <w:rPr>
          <w:rFonts w:ascii="宋体" w:hAnsi="宋体"/>
          <w:kern w:val="0"/>
          <w:szCs w:val="21"/>
          <w:highlight w:val="none"/>
        </w:rPr>
        <w:t>智能制造标准体系结构图</w:t>
      </w:r>
    </w:p>
    <w:p>
      <w:pPr>
        <w:ind w:firstLine="480"/>
        <w:rPr>
          <w:rFonts w:hint="eastAsia" w:cs="Times New Roman"/>
          <w:szCs w:val="21"/>
        </w:rPr>
      </w:pPr>
    </w:p>
    <w:p>
      <w:r>
        <w:drawing>
          <wp:inline distT="0" distB="0" distL="114300" distR="114300">
            <wp:extent cx="4599305" cy="3420110"/>
            <wp:effectExtent l="0" t="0" r="1079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4599305" cy="3420110"/>
                    </a:xfrm>
                    <a:prstGeom prst="rect">
                      <a:avLst/>
                    </a:prstGeom>
                    <a:noFill/>
                    <a:ln>
                      <a:noFill/>
                    </a:ln>
                  </pic:spPr>
                </pic:pic>
              </a:graphicData>
            </a:graphic>
          </wp:inline>
        </w:drawing>
      </w:r>
    </w:p>
    <w:p>
      <w:pPr>
        <w:ind w:firstLine="480"/>
        <w:jc w:val="center"/>
        <w:rPr>
          <w:highlight w:val="none"/>
        </w:rPr>
      </w:pPr>
      <w:r>
        <w:rPr>
          <w:rFonts w:ascii="宋体" w:hAnsi="宋体"/>
          <w:kern w:val="0"/>
          <w:szCs w:val="21"/>
          <w:highlight w:val="none"/>
        </w:rPr>
        <w:t>图</w:t>
      </w:r>
      <w:r>
        <w:rPr>
          <w:rFonts w:hint="eastAsia" w:ascii="宋体" w:hAnsi="宋体"/>
          <w:kern w:val="0"/>
          <w:szCs w:val="21"/>
          <w:highlight w:val="none"/>
          <w:lang w:val="en-US" w:eastAsia="zh-CN"/>
        </w:rPr>
        <w:t>2</w:t>
      </w:r>
      <w:r>
        <w:rPr>
          <w:rFonts w:ascii="宋体" w:hAnsi="宋体"/>
          <w:kern w:val="0"/>
          <w:szCs w:val="21"/>
          <w:highlight w:val="none"/>
        </w:rPr>
        <w:t xml:space="preserve"> </w:t>
      </w:r>
      <w:r>
        <w:rPr>
          <w:rFonts w:hint="eastAsia" w:ascii="宋体" w:hAnsi="宋体"/>
          <w:kern w:val="0"/>
          <w:szCs w:val="21"/>
          <w:highlight w:val="none"/>
          <w:lang w:val="en-US" w:eastAsia="zh-CN"/>
        </w:rPr>
        <w:t>有色金属行业</w:t>
      </w:r>
      <w:r>
        <w:rPr>
          <w:rFonts w:ascii="宋体" w:hAnsi="宋体"/>
          <w:kern w:val="0"/>
          <w:szCs w:val="21"/>
          <w:highlight w:val="none"/>
        </w:rPr>
        <w:t>智能制造标准体系</w:t>
      </w:r>
      <w:r>
        <w:rPr>
          <w:rFonts w:hint="eastAsia" w:ascii="宋体" w:hAnsi="宋体"/>
          <w:kern w:val="0"/>
          <w:szCs w:val="21"/>
          <w:highlight w:val="none"/>
          <w:lang w:val="en-US" w:eastAsia="zh-CN"/>
        </w:rPr>
        <w:t>框架</w:t>
      </w:r>
      <w:r>
        <w:rPr>
          <w:rFonts w:ascii="宋体" w:hAnsi="宋体"/>
          <w:kern w:val="0"/>
          <w:szCs w:val="21"/>
          <w:highlight w:val="none"/>
        </w:rPr>
        <w:t>图</w:t>
      </w:r>
    </w:p>
    <w:p>
      <w:pPr>
        <w:rPr>
          <w:rFonts w:cs="Times New Roman"/>
          <w:szCs w:val="21"/>
        </w:rPr>
      </w:pPr>
      <w:r>
        <w:rPr>
          <w:rFonts w:hint="eastAsia" w:cs="Times New Roman"/>
          <w:szCs w:val="21"/>
        </w:rPr>
        <w:t>数字仿真技术依靠高性能计算系统，结合有限元、离散元等概念，通过数值计算、图像显示等手段，达到对工程问题和物理问题乃至自然界各类问题研究的目的。近些年随着数字仿真软件、超算系统、云平台计算等技术的迅速发展，数字仿真技术在各行各业的应用范围越来越广，有色金属的采、选、冶等相关行业都有所涉及，与工业试验相比，该技术以较低成本解决了有色金属行业科学研究、设计、生产、管理等方面存在的大量难题，取得了显著成果。在我国有色金属行业目前还没有形成完整数字仿真标准的情况下，不同的仿真工程师对于同一有色金属行业涉及的流体、结构、电磁、颗粒等仿真问题的仿真分析结果有一定差异，这时往往需要对整个计算和分析过程进行反复校核，浪费大量人力物力，这些无增值的重复劳动使工程师陷入了基础性分析的泥潭，更不必说再进一步做深入的分析和技术创新，这一问题极大限制了数字仿真技术在我国有色金属行业的推广应用和创新发展。</w:t>
      </w:r>
    </w:p>
    <w:p>
      <w:pPr>
        <w:ind w:firstLine="480"/>
        <w:rPr>
          <w:rFonts w:cs="Times New Roman"/>
          <w:szCs w:val="21"/>
        </w:rPr>
      </w:pPr>
      <w:r>
        <w:rPr>
          <w:rFonts w:hint="eastAsia" w:cs="Times New Roman"/>
          <w:szCs w:val="21"/>
        </w:rPr>
        <w:t>因此形成统一的有色金属数字仿真技术标准迫在眉睫，尤其在主观性较强的模型建立、网格划分、边界条件处理、计算模型选取等方面亟需形成行业共识，降低仿真工程师由于自身掌握的相关专业知识、软件掌握能力、对产品本身的理解程度等差异对仿真结果的影响，为实现仿真过程的科学管理奠定基础。通过有色金属行业数字仿真技术规范的建立，一是可以用以指导、规范仿真工程师在技术上保持高度的统一和协调，建立稳定的秩序，促进仿真技术全面有序健康发展，使其更加广泛地应用于有色金属行业科学研究、设计、生产和管理；二是可以形成自身的知识积累，便于其他仿真工程师快速进入标准的工作流程中，使仿真工作更加高效、快捷和准确；最后标准化是科研、生产、使用三者之间的桥梁，将有色金属数字仿真技术过程获得的成果标准化，使仿真技术在有色金属行业迅速推广和应用，从而促进整个有色金属行业的科技进步。</w:t>
      </w:r>
    </w:p>
    <w:p>
      <w:pPr>
        <w:ind w:firstLine="480"/>
        <w:rPr>
          <w:rFonts w:cs="Times New Roman"/>
          <w:szCs w:val="21"/>
        </w:rPr>
      </w:pPr>
      <w:r>
        <w:rPr>
          <w:rFonts w:hint="eastAsia" w:cs="Times New Roman"/>
          <w:szCs w:val="21"/>
        </w:rPr>
        <w:t>本标准着眼于解决有色金属数字仿真过程不规范、认识不统一、结果差异等问题，切实推进仿真技术在有色金属行业应用。针对有色金属行业特点，总结以往的仿真分析经验、参照试验数据、借鉴其它行业相关标准，制定出适用于我国的有色金属数字仿真技术标准，其制定能够补充有色金属数字仿真技术标准的缺失，形成完整的有色金属行业标准体系，规范数字仿真技术的开发与应用，使有色金属数字仿真技术有章可循，有法可依，推动数字仿真技术和相关系统规范开发、快速发展。</w:t>
      </w:r>
    </w:p>
    <w:p>
      <w:pPr>
        <w:pStyle w:val="4"/>
        <w:rPr>
          <w:b w:val="0"/>
        </w:rPr>
      </w:pPr>
      <w:bookmarkStart w:id="2" w:name="_Toc18109"/>
      <w:r>
        <w:t>2、标准起草单位</w:t>
      </w:r>
      <w:r>
        <w:rPr>
          <w:rFonts w:hint="eastAsia"/>
        </w:rPr>
        <w:t>、编制成员及其工作职责</w:t>
      </w:r>
      <w:bookmarkEnd w:id="2"/>
    </w:p>
    <w:p>
      <w:pPr>
        <w:ind w:firstLine="480"/>
      </w:pPr>
      <w:r>
        <w:t>本标准由</w:t>
      </w:r>
      <w:r>
        <w:rPr>
          <w:rFonts w:hint="eastAsia"/>
        </w:rPr>
        <w:t>中国恩菲工程技术有限公司</w:t>
      </w:r>
      <w:r>
        <w:t>牵头，</w:t>
      </w:r>
      <w:r>
        <w:rPr>
          <w:rFonts w:hint="eastAsia"/>
        </w:rPr>
        <w:t>中铝智能科技发展有限公司、贵州铝镁设计研究院有限公司、国家超级计算天津中心、北京科技大学、中南大学、天津大学</w:t>
      </w:r>
      <w:r>
        <w:rPr>
          <w:rFonts w:hint="eastAsia"/>
          <w:highlight w:val="none"/>
          <w:lang w:eastAsia="zh-CN"/>
        </w:rPr>
        <w:t>、</w:t>
      </w:r>
      <w:r>
        <w:rPr>
          <w:rFonts w:hint="eastAsia" w:ascii="Times New Roman" w:hAnsi="Times New Roman" w:cs="Times New Roman"/>
          <w:szCs w:val="21"/>
          <w:highlight w:val="none"/>
          <w:lang w:val="en-US" w:eastAsia="zh-CN"/>
        </w:rPr>
        <w:t>湖南有色</w:t>
      </w:r>
      <w:r>
        <w:rPr>
          <w:rFonts w:hint="eastAsia" w:cs="Times New Roman"/>
          <w:szCs w:val="21"/>
          <w:highlight w:val="none"/>
          <w:lang w:val="en-US" w:eastAsia="zh-CN"/>
        </w:rPr>
        <w:t>金属有限公司</w:t>
      </w:r>
      <w:r>
        <w:rPr>
          <w:rFonts w:hint="eastAsia" w:ascii="Times New Roman" w:hAnsi="Times New Roman" w:cs="Times New Roman"/>
          <w:szCs w:val="21"/>
          <w:highlight w:val="none"/>
          <w:lang w:val="en-US" w:eastAsia="zh-CN"/>
        </w:rPr>
        <w:t>、大冶有色</w:t>
      </w:r>
      <w:r>
        <w:rPr>
          <w:rFonts w:hint="eastAsia" w:cs="Times New Roman"/>
          <w:szCs w:val="21"/>
          <w:highlight w:val="none"/>
          <w:lang w:val="en-US" w:eastAsia="zh-CN"/>
        </w:rPr>
        <w:t>金属有限责任公司</w:t>
      </w:r>
      <w:r>
        <w:rPr>
          <w:rFonts w:hint="eastAsia"/>
          <w:highlight w:val="none"/>
        </w:rPr>
        <w:t>等参加</w:t>
      </w:r>
      <w:r>
        <w:rPr>
          <w:rFonts w:hint="eastAsia"/>
        </w:rPr>
        <w:t>编制。</w:t>
      </w:r>
    </w:p>
    <w:p>
      <w:pPr>
        <w:ind w:firstLine="480"/>
        <w:rPr>
          <w:bCs/>
        </w:rPr>
      </w:pPr>
      <w:r>
        <w:rPr>
          <w:rFonts w:hint="eastAsia"/>
          <w:bCs/>
        </w:rPr>
        <w:t>标准主要编制人员及工作职责见下表：</w:t>
      </w:r>
    </w:p>
    <w:p>
      <w:pPr>
        <w:pStyle w:val="42"/>
        <w:spacing w:before="156" w:after="156"/>
        <w:ind w:firstLine="482"/>
        <w:rPr>
          <w:highlight w:val="none"/>
        </w:rPr>
      </w:pPr>
      <w:r>
        <w:rPr>
          <w:rFonts w:hint="eastAsia"/>
          <w:highlight w:val="none"/>
        </w:rPr>
        <w:t>表1</w:t>
      </w:r>
      <w:r>
        <w:rPr>
          <w:highlight w:val="none"/>
        </w:rPr>
        <w:t xml:space="preserve">  </w:t>
      </w:r>
      <w:r>
        <w:rPr>
          <w:rFonts w:hint="eastAsia"/>
          <w:highlight w:val="none"/>
        </w:rPr>
        <w:t>标准主要编制人员及工作职责</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78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pPr>
            <w:r>
              <w:rPr>
                <w:rFonts w:hint="eastAsia"/>
              </w:rPr>
              <w:t>起草人</w:t>
            </w:r>
          </w:p>
        </w:tc>
        <w:tc>
          <w:tcPr>
            <w:tcW w:w="1631" w:type="pct"/>
            <w:vAlign w:val="center"/>
          </w:tcPr>
          <w:p>
            <w:pPr>
              <w:pStyle w:val="44"/>
            </w:pPr>
            <w:r>
              <w:rPr>
                <w:rFonts w:hint="eastAsia"/>
              </w:rPr>
              <w:t>单位</w:t>
            </w:r>
          </w:p>
        </w:tc>
        <w:tc>
          <w:tcPr>
            <w:tcW w:w="2773" w:type="pct"/>
            <w:vAlign w:val="center"/>
          </w:tcPr>
          <w:p>
            <w:pPr>
              <w:pStyle w:val="44"/>
            </w:pPr>
            <w:r>
              <w:rPr>
                <w:rFonts w:hint="eastAsia"/>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bCs/>
              </w:rPr>
            </w:pPr>
            <w:r>
              <w:rPr>
                <w:rFonts w:hint="eastAsia"/>
              </w:rPr>
              <w:t>中国恩菲工程技术有限公司</w:t>
            </w:r>
          </w:p>
        </w:tc>
        <w:tc>
          <w:tcPr>
            <w:tcW w:w="2773" w:type="pct"/>
          </w:tcPr>
          <w:p>
            <w:pPr>
              <w:pStyle w:val="44"/>
              <w:rPr>
                <w:bCs/>
                <w:highlight w:val="none"/>
              </w:rPr>
            </w:pPr>
            <w:r>
              <w:rPr>
                <w:rFonts w:hint="eastAsia"/>
                <w:bCs/>
                <w:highlight w:val="none"/>
              </w:rPr>
              <w:t>负责标准整体结构、</w:t>
            </w:r>
            <w:r>
              <w:rPr>
                <w:rFonts w:hint="eastAsia" w:cs="Times New Roman"/>
                <w:bCs/>
                <w:szCs w:val="21"/>
                <w:highlight w:val="none"/>
              </w:rPr>
              <w:t>资料收集、汇总、执笔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bCs/>
                <w:sz w:val="21"/>
                <w:szCs w:val="21"/>
                <w:lang w:val="en-US" w:eastAsia="zh-CN" w:bidi="ar-SA"/>
              </w:rPr>
            </w:pPr>
            <w:r>
              <w:rPr>
                <w:rFonts w:hint="eastAsia"/>
              </w:rPr>
              <w:t>中铝智能科技发展有限公司</w:t>
            </w:r>
          </w:p>
        </w:tc>
        <w:tc>
          <w:tcPr>
            <w:tcW w:w="2773" w:type="pct"/>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bCs/>
                <w:sz w:val="21"/>
                <w:szCs w:val="21"/>
                <w:lang w:val="en-US" w:eastAsia="zh-CN" w:bidi="ar-SA"/>
              </w:rPr>
            </w:pPr>
            <w:r>
              <w:rPr>
                <w:rFonts w:hint="eastAsia"/>
              </w:rPr>
              <w:t>贵州铝镁设计研究院有限公司</w:t>
            </w:r>
          </w:p>
        </w:tc>
        <w:tc>
          <w:tcPr>
            <w:tcW w:w="2773" w:type="pct"/>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bCs/>
                <w:sz w:val="21"/>
                <w:szCs w:val="21"/>
                <w:lang w:val="en-US" w:eastAsia="zh-CN" w:bidi="ar-SA"/>
              </w:rPr>
            </w:pPr>
            <w:r>
              <w:rPr>
                <w:rFonts w:hint="eastAsia"/>
              </w:rPr>
              <w:t>国家超级计算天津中心</w:t>
            </w:r>
          </w:p>
        </w:tc>
        <w:tc>
          <w:tcPr>
            <w:tcW w:w="2773" w:type="pct"/>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sz w:val="21"/>
                <w:szCs w:val="21"/>
                <w:lang w:val="en-US" w:eastAsia="zh-CN" w:bidi="ar-SA"/>
              </w:rPr>
            </w:pPr>
            <w:r>
              <w:rPr>
                <w:rFonts w:hint="eastAsia"/>
              </w:rPr>
              <w:t>北京科技大学</w:t>
            </w:r>
          </w:p>
        </w:tc>
        <w:tc>
          <w:tcPr>
            <w:tcW w:w="2773" w:type="pct"/>
            <w:vAlign w:val="center"/>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sz w:val="21"/>
                <w:szCs w:val="21"/>
                <w:lang w:val="en-US" w:eastAsia="zh-CN" w:bidi="ar-SA"/>
              </w:rPr>
            </w:pPr>
            <w:r>
              <w:rPr>
                <w:rFonts w:hint="eastAsia"/>
              </w:rPr>
              <w:t>中南大学</w:t>
            </w:r>
          </w:p>
        </w:tc>
        <w:tc>
          <w:tcPr>
            <w:tcW w:w="2773" w:type="pct"/>
            <w:vAlign w:val="center"/>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ascii="Times New Roman" w:hAnsi="Times New Roman" w:eastAsia="宋体" w:cs="Times New Roman"/>
                <w:sz w:val="21"/>
                <w:szCs w:val="21"/>
                <w:lang w:val="en-US" w:eastAsia="zh-CN" w:bidi="ar-SA"/>
              </w:rPr>
            </w:pPr>
            <w:r>
              <w:rPr>
                <w:rFonts w:hint="eastAsia"/>
              </w:rPr>
              <w:t>天津大学</w:t>
            </w:r>
          </w:p>
        </w:tc>
        <w:tc>
          <w:tcPr>
            <w:tcW w:w="2773" w:type="pct"/>
            <w:vAlign w:val="center"/>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highlight w:val="none"/>
              </w:rPr>
            </w:pPr>
            <w:r>
              <w:rPr>
                <w:rFonts w:hint="eastAsia" w:ascii="Times New Roman" w:hAnsi="Times New Roman" w:cs="Times New Roman"/>
                <w:szCs w:val="21"/>
                <w:highlight w:val="none"/>
                <w:lang w:val="en-US" w:eastAsia="zh-CN"/>
              </w:rPr>
              <w:t>湖南有色</w:t>
            </w:r>
            <w:r>
              <w:rPr>
                <w:rFonts w:hint="eastAsia" w:cs="Times New Roman"/>
                <w:szCs w:val="21"/>
                <w:highlight w:val="none"/>
                <w:lang w:val="en-US" w:eastAsia="zh-CN"/>
              </w:rPr>
              <w:t>金属有限公司</w:t>
            </w:r>
          </w:p>
        </w:tc>
        <w:tc>
          <w:tcPr>
            <w:tcW w:w="2773" w:type="pct"/>
            <w:vAlign w:val="center"/>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vAlign w:val="center"/>
          </w:tcPr>
          <w:p>
            <w:pPr>
              <w:pStyle w:val="44"/>
              <w:rPr>
                <w:bCs/>
              </w:rPr>
            </w:pPr>
          </w:p>
        </w:tc>
        <w:tc>
          <w:tcPr>
            <w:tcW w:w="1631" w:type="pct"/>
            <w:vAlign w:val="center"/>
          </w:tcPr>
          <w:p>
            <w:pPr>
              <w:pStyle w:val="44"/>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大冶有色</w:t>
            </w:r>
            <w:r>
              <w:rPr>
                <w:rFonts w:hint="eastAsia" w:cs="Times New Roman"/>
                <w:szCs w:val="21"/>
                <w:highlight w:val="none"/>
                <w:lang w:val="en-US" w:eastAsia="zh-CN"/>
              </w:rPr>
              <w:t>金属有限责任公司</w:t>
            </w:r>
          </w:p>
        </w:tc>
        <w:tc>
          <w:tcPr>
            <w:tcW w:w="2773" w:type="pct"/>
            <w:vAlign w:val="center"/>
          </w:tcPr>
          <w:p>
            <w:pPr>
              <w:pStyle w:val="44"/>
              <w:rPr>
                <w:bCs/>
                <w:highlight w:val="none"/>
              </w:rPr>
            </w:pP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p>
        </w:tc>
      </w:tr>
    </w:tbl>
    <w:p>
      <w:pPr>
        <w:pStyle w:val="4"/>
        <w:rPr>
          <w:rFonts w:ascii="Times New Roman" w:hAnsi="Times New Roman"/>
        </w:rPr>
      </w:pPr>
      <w:bookmarkStart w:id="3" w:name="_Toc16097"/>
      <w:r>
        <w:rPr>
          <w:rFonts w:ascii="Times New Roman" w:hAnsi="Times New Roman"/>
        </w:rPr>
        <w:t>3、主要工作过程</w:t>
      </w:r>
      <w:bookmarkEnd w:id="3"/>
    </w:p>
    <w:p>
      <w:pPr>
        <w:ind w:firstLine="480"/>
        <w:rPr>
          <w:rFonts w:cs="Times New Roman"/>
          <w:bCs/>
          <w:szCs w:val="21"/>
        </w:rPr>
      </w:pPr>
      <w:r>
        <w:rPr>
          <w:rFonts w:hint="eastAsia" w:cs="Times New Roman"/>
          <w:bCs/>
          <w:szCs w:val="21"/>
        </w:rPr>
        <w:t>标准制订计划任务正式下达后，中国恩菲工程技术有限公司、</w:t>
      </w:r>
      <w:r>
        <w:rPr>
          <w:rFonts w:hint="eastAsia"/>
        </w:rPr>
        <w:t>中铝智能科技发展有限公司、贵州铝镁设计研究院有限公司、国家超级计算天津中心、北京科技大学、中南大学、天津大学等</w:t>
      </w:r>
      <w:r>
        <w:rPr>
          <w:rFonts w:hint="eastAsia" w:cs="Times New Roman"/>
          <w:bCs/>
          <w:szCs w:val="21"/>
        </w:rPr>
        <w:t>立即组织召开了碰头会，成立了标准编制组，初步确定了任务分工及进度计划：中国恩菲牵头，负责资料收集、汇总、执笔，</w:t>
      </w:r>
      <w:r>
        <w:rPr>
          <w:rFonts w:hint="eastAsia"/>
          <w:highlight w:val="none"/>
        </w:rPr>
        <w:t>中铝智能科技发展有限公司、贵州铝镁设计研究院有限公司、国家超级计算天津中心、北京科技大学、中南大学、天津大学</w:t>
      </w:r>
      <w:r>
        <w:rPr>
          <w:rFonts w:hint="eastAsia"/>
          <w:highlight w:val="none"/>
          <w:lang w:eastAsia="zh-CN"/>
        </w:rPr>
        <w:t>、</w:t>
      </w:r>
      <w:r>
        <w:rPr>
          <w:rFonts w:hint="eastAsia" w:ascii="Times New Roman" w:hAnsi="Times New Roman" w:cs="Times New Roman"/>
          <w:szCs w:val="21"/>
          <w:highlight w:val="none"/>
          <w:lang w:val="en-US" w:eastAsia="zh-CN"/>
        </w:rPr>
        <w:t>湖南有色</w:t>
      </w:r>
      <w:r>
        <w:rPr>
          <w:rFonts w:hint="eastAsia" w:cs="Times New Roman"/>
          <w:szCs w:val="21"/>
          <w:highlight w:val="none"/>
          <w:lang w:val="en-US" w:eastAsia="zh-CN"/>
        </w:rPr>
        <w:t>金属有限公司</w:t>
      </w:r>
      <w:r>
        <w:rPr>
          <w:rFonts w:hint="eastAsia" w:ascii="Times New Roman" w:hAnsi="Times New Roman" w:cs="Times New Roman"/>
          <w:szCs w:val="21"/>
          <w:highlight w:val="none"/>
          <w:lang w:val="en-US" w:eastAsia="zh-CN"/>
        </w:rPr>
        <w:t>、大冶有色</w:t>
      </w:r>
      <w:r>
        <w:rPr>
          <w:rFonts w:hint="eastAsia" w:cs="Times New Roman"/>
          <w:szCs w:val="21"/>
          <w:highlight w:val="none"/>
          <w:lang w:val="en-US" w:eastAsia="zh-CN"/>
        </w:rPr>
        <w:t>金属有限责任公司</w:t>
      </w:r>
      <w:r>
        <w:rPr>
          <w:rFonts w:hint="eastAsia"/>
          <w:highlight w:val="none"/>
        </w:rPr>
        <w:t>等</w:t>
      </w:r>
      <w:r>
        <w:rPr>
          <w:rFonts w:hint="eastAsia" w:cs="Times New Roman"/>
          <w:bCs/>
          <w:szCs w:val="21"/>
          <w:highlight w:val="none"/>
        </w:rPr>
        <w:t>负责提供标准编制相关资料</w:t>
      </w:r>
      <w:r>
        <w:rPr>
          <w:rFonts w:hint="eastAsia" w:cs="Times New Roman"/>
          <w:bCs/>
          <w:szCs w:val="21"/>
          <w:highlight w:val="none"/>
          <w:lang w:eastAsia="zh-CN"/>
        </w:rPr>
        <w:t>、</w:t>
      </w:r>
      <w:r>
        <w:rPr>
          <w:rFonts w:hint="eastAsia" w:cs="Times New Roman"/>
          <w:bCs/>
          <w:szCs w:val="21"/>
          <w:highlight w:val="none"/>
          <w:lang w:val="en-US" w:eastAsia="zh-CN"/>
        </w:rPr>
        <w:t>技术支持</w:t>
      </w:r>
      <w:r>
        <w:rPr>
          <w:rFonts w:hint="eastAsia" w:cs="Times New Roman"/>
          <w:bCs/>
          <w:szCs w:val="21"/>
          <w:highlight w:val="none"/>
        </w:rPr>
        <w:t>；</w:t>
      </w:r>
      <w:r>
        <w:rPr>
          <w:rFonts w:hint="eastAsia" w:cs="Times New Roman"/>
          <w:bCs/>
          <w:szCs w:val="21"/>
        </w:rPr>
        <w:t>在标准编制过程中，可逐步吸收行业其他生产单位加入标准编制组。</w:t>
      </w:r>
    </w:p>
    <w:p>
      <w:pPr>
        <w:ind w:firstLine="480"/>
        <w:rPr>
          <w:rFonts w:hint="eastAsia" w:cs="Times New Roman"/>
          <w:bCs/>
          <w:color w:val="000000" w:themeColor="text1"/>
          <w:szCs w:val="21"/>
          <w:highlight w:val="none"/>
          <w14:textFill>
            <w14:solidFill>
              <w14:schemeClr w14:val="tx1"/>
            </w14:solidFill>
          </w14:textFill>
        </w:rPr>
      </w:pPr>
      <w:r>
        <w:rPr>
          <w:rFonts w:hint="eastAsia" w:cs="Times New Roman"/>
          <w:bCs/>
          <w:color w:val="000000" w:themeColor="text1"/>
          <w:szCs w:val="21"/>
          <w:highlight w:val="none"/>
          <w14:textFill>
            <w14:solidFill>
              <w14:schemeClr w14:val="tx1"/>
            </w14:solidFill>
          </w14:textFill>
        </w:rPr>
        <w:t>202</w:t>
      </w:r>
      <w:r>
        <w:rPr>
          <w:rFonts w:hint="eastAsia" w:cs="Times New Roman"/>
          <w:bCs/>
          <w:color w:val="000000" w:themeColor="text1"/>
          <w:szCs w:val="21"/>
          <w:highlight w:val="none"/>
          <w:lang w:val="en-US" w:eastAsia="zh-CN"/>
          <w14:textFill>
            <w14:solidFill>
              <w14:schemeClr w14:val="tx1"/>
            </w14:solidFill>
          </w14:textFill>
        </w:rPr>
        <w:t>2</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11</w:t>
      </w:r>
      <w:r>
        <w:rPr>
          <w:rFonts w:hint="eastAsia" w:cs="Times New Roman"/>
          <w:bCs/>
          <w:color w:val="000000" w:themeColor="text1"/>
          <w:szCs w:val="21"/>
          <w:highlight w:val="none"/>
          <w14:textFill>
            <w14:solidFill>
              <w14:schemeClr w14:val="tx1"/>
            </w14:solidFill>
          </w14:textFill>
        </w:rPr>
        <w:t>月到202</w:t>
      </w:r>
      <w:r>
        <w:rPr>
          <w:rFonts w:hint="eastAsia" w:cs="Times New Roman"/>
          <w:bCs/>
          <w:color w:val="000000" w:themeColor="text1"/>
          <w:szCs w:val="21"/>
          <w:highlight w:val="none"/>
          <w:lang w:val="en-US" w:eastAsia="zh-CN"/>
          <w14:textFill>
            <w14:solidFill>
              <w14:schemeClr w14:val="tx1"/>
            </w14:solidFill>
          </w14:textFill>
        </w:rPr>
        <w:t>3</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月：项目的立项、启动和技术准备阶段。</w:t>
      </w:r>
    </w:p>
    <w:p>
      <w:pPr>
        <w:ind w:firstLine="480"/>
        <w:rPr>
          <w:rFonts w:hint="eastAsia" w:cs="Times New Roman"/>
          <w:bCs/>
          <w:color w:val="000000" w:themeColor="text1"/>
          <w:szCs w:val="21"/>
          <w:highlight w:val="none"/>
          <w14:textFill>
            <w14:solidFill>
              <w14:schemeClr w14:val="tx1"/>
            </w14:solidFill>
          </w14:textFill>
        </w:rPr>
      </w:pPr>
      <w:r>
        <w:rPr>
          <w:rFonts w:hint="eastAsia" w:cs="Times New Roman"/>
          <w:bCs/>
          <w:color w:val="000000" w:themeColor="text1"/>
          <w:szCs w:val="21"/>
          <w:highlight w:val="none"/>
          <w14:textFill>
            <w14:solidFill>
              <w14:schemeClr w14:val="tx1"/>
            </w14:solidFill>
          </w14:textFill>
        </w:rPr>
        <w:t>202</w:t>
      </w:r>
      <w:r>
        <w:rPr>
          <w:rFonts w:hint="eastAsia" w:cs="Times New Roman"/>
          <w:bCs/>
          <w:color w:val="000000" w:themeColor="text1"/>
          <w:szCs w:val="21"/>
          <w:highlight w:val="none"/>
          <w:lang w:val="en-US" w:eastAsia="zh-CN"/>
          <w14:textFill>
            <w14:solidFill>
              <w14:schemeClr w14:val="tx1"/>
            </w14:solidFill>
          </w14:textFill>
        </w:rPr>
        <w:t>3</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月到202</w:t>
      </w:r>
      <w:r>
        <w:rPr>
          <w:rFonts w:hint="eastAsia" w:cs="Times New Roman"/>
          <w:bCs/>
          <w:color w:val="000000" w:themeColor="text1"/>
          <w:szCs w:val="21"/>
          <w:highlight w:val="none"/>
          <w:lang w:val="en-US" w:eastAsia="zh-CN"/>
          <w14:textFill>
            <w14:solidFill>
              <w14:schemeClr w14:val="tx1"/>
            </w14:solidFill>
          </w14:textFill>
        </w:rPr>
        <w:t>3</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9</w:t>
      </w:r>
      <w:r>
        <w:rPr>
          <w:rFonts w:hint="eastAsia" w:cs="Times New Roman"/>
          <w:bCs/>
          <w:color w:val="000000" w:themeColor="text1"/>
          <w:szCs w:val="21"/>
          <w:highlight w:val="none"/>
          <w14:textFill>
            <w14:solidFill>
              <w14:schemeClr w14:val="tx1"/>
            </w14:solidFill>
          </w14:textFill>
        </w:rPr>
        <w:t>月：</w:t>
      </w:r>
      <w:r>
        <w:rPr>
          <w:rFonts w:hint="eastAsia" w:cs="Times New Roman"/>
          <w:bCs/>
          <w:color w:val="000000" w:themeColor="text1"/>
          <w:szCs w:val="21"/>
          <w:highlight w:val="none"/>
          <w:lang w:val="en-US" w:eastAsia="zh-CN"/>
          <w14:textFill>
            <w14:solidFill>
              <w14:schemeClr w14:val="tx1"/>
            </w14:solidFill>
          </w14:textFill>
        </w:rPr>
        <w:t>编制并讨论</w:t>
      </w:r>
      <w:r>
        <w:rPr>
          <w:rFonts w:hint="eastAsia" w:cs="Times New Roman"/>
          <w:bCs/>
          <w:color w:val="000000" w:themeColor="text1"/>
          <w:szCs w:val="21"/>
          <w:highlight w:val="none"/>
          <w14:textFill>
            <w14:solidFill>
              <w14:schemeClr w14:val="tx1"/>
            </w14:solidFill>
          </w14:textFill>
        </w:rPr>
        <w:t>标准</w:t>
      </w:r>
      <w:r>
        <w:rPr>
          <w:rFonts w:hint="eastAsia" w:cs="Times New Roman"/>
          <w:bCs/>
          <w:color w:val="000000" w:themeColor="text1"/>
          <w:szCs w:val="21"/>
          <w:highlight w:val="none"/>
          <w:lang w:val="en-US" w:eastAsia="zh-CN"/>
          <w14:textFill>
            <w14:solidFill>
              <w14:schemeClr w14:val="tx1"/>
            </w14:solidFill>
          </w14:textFill>
        </w:rPr>
        <w:t>讨论稿</w:t>
      </w:r>
      <w:r>
        <w:rPr>
          <w:rFonts w:hint="eastAsia" w:cs="Times New Roman"/>
          <w:bCs/>
          <w:color w:val="000000" w:themeColor="text1"/>
          <w:szCs w:val="21"/>
          <w:highlight w:val="none"/>
          <w14:textFill>
            <w14:solidFill>
              <w14:schemeClr w14:val="tx1"/>
            </w14:solidFill>
          </w14:textFill>
        </w:rPr>
        <w:t>。</w:t>
      </w:r>
    </w:p>
    <w:p>
      <w:pPr>
        <w:ind w:firstLine="480"/>
        <w:rPr>
          <w:rFonts w:hint="default"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14:textFill>
            <w14:solidFill>
              <w14:schemeClr w14:val="tx1"/>
            </w14:solidFill>
          </w14:textFill>
        </w:rPr>
        <w:t>202</w:t>
      </w:r>
      <w:r>
        <w:rPr>
          <w:rFonts w:hint="eastAsia" w:cs="Times New Roman"/>
          <w:bCs/>
          <w:color w:val="000000" w:themeColor="text1"/>
          <w:szCs w:val="21"/>
          <w:highlight w:val="none"/>
          <w:lang w:val="en-US" w:eastAsia="zh-CN"/>
          <w14:textFill>
            <w14:solidFill>
              <w14:schemeClr w14:val="tx1"/>
            </w14:solidFill>
          </w14:textFill>
        </w:rPr>
        <w:t>3</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10</w:t>
      </w:r>
      <w:r>
        <w:rPr>
          <w:rFonts w:hint="eastAsia" w:cs="Times New Roman"/>
          <w:bCs/>
          <w:color w:val="000000" w:themeColor="text1"/>
          <w:szCs w:val="21"/>
          <w:highlight w:val="none"/>
          <w14:textFill>
            <w14:solidFill>
              <w14:schemeClr w14:val="tx1"/>
            </w14:solidFill>
          </w14:textFill>
        </w:rPr>
        <w:t>月到202</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月：</w:t>
      </w:r>
      <w:r>
        <w:rPr>
          <w:rFonts w:hint="eastAsia" w:cs="Times New Roman"/>
          <w:bCs/>
          <w:color w:val="000000" w:themeColor="text1"/>
          <w:szCs w:val="21"/>
          <w:highlight w:val="none"/>
          <w:lang w:val="en-US" w:eastAsia="zh-CN"/>
          <w14:textFill>
            <w14:solidFill>
              <w14:schemeClr w14:val="tx1"/>
            </w14:solidFill>
          </w14:textFill>
        </w:rPr>
        <w:t>编制组对标准预审稿进行逐条讨论，形成标准征求意见稿。</w:t>
      </w:r>
    </w:p>
    <w:p>
      <w:pPr>
        <w:ind w:firstLine="480"/>
        <w:rPr>
          <w:rFonts w:hint="default" w:eastAsia="宋体"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14:textFill>
            <w14:solidFill>
              <w14:schemeClr w14:val="tx1"/>
            </w14:solidFill>
          </w14:textFill>
        </w:rPr>
        <w:t>202</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月到2</w:t>
      </w:r>
      <w:r>
        <w:rPr>
          <w:rFonts w:cs="Times New Roman"/>
          <w:bCs/>
          <w:color w:val="000000" w:themeColor="text1"/>
          <w:szCs w:val="21"/>
          <w:highlight w:val="none"/>
          <w14:textFill>
            <w14:solidFill>
              <w14:schemeClr w14:val="tx1"/>
            </w14:solidFill>
          </w14:textFill>
        </w:rPr>
        <w:t>02</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9</w:t>
      </w:r>
      <w:r>
        <w:rPr>
          <w:rFonts w:hint="eastAsia" w:cs="Times New Roman"/>
          <w:bCs/>
          <w:color w:val="000000" w:themeColor="text1"/>
          <w:szCs w:val="21"/>
          <w:highlight w:val="none"/>
          <w14:textFill>
            <w14:solidFill>
              <w14:schemeClr w14:val="tx1"/>
            </w14:solidFill>
          </w14:textFill>
        </w:rPr>
        <w:t>月</w:t>
      </w:r>
      <w:r>
        <w:rPr>
          <w:rFonts w:hint="eastAsia" w:cs="Times New Roman"/>
          <w:bCs/>
          <w:color w:val="000000" w:themeColor="text1"/>
          <w:szCs w:val="21"/>
          <w:highlight w:val="none"/>
          <w:lang w:eastAsia="zh-CN"/>
          <w14:textFill>
            <w14:solidFill>
              <w14:schemeClr w14:val="tx1"/>
            </w14:solidFill>
          </w14:textFill>
        </w:rPr>
        <w:t>：</w:t>
      </w:r>
      <w:r>
        <w:rPr>
          <w:rFonts w:hint="eastAsia" w:cs="Times New Roman"/>
          <w:bCs/>
          <w:color w:val="000000" w:themeColor="text1"/>
          <w:szCs w:val="21"/>
          <w:highlight w:val="none"/>
          <w:lang w:val="en-US" w:eastAsia="zh-CN"/>
          <w14:textFill>
            <w14:solidFill>
              <w14:schemeClr w14:val="tx1"/>
            </w14:solidFill>
          </w14:textFill>
        </w:rPr>
        <w:t>在行业广泛征求意见，并进行意见的汇总处理，形成标准送审稿。</w:t>
      </w:r>
    </w:p>
    <w:p>
      <w:pPr>
        <w:ind w:firstLine="480"/>
        <w:rPr>
          <w:rFonts w:hint="default" w:eastAsia="宋体" w:cs="Times New Roman"/>
          <w:bCs/>
          <w:szCs w:val="21"/>
          <w:highlight w:val="none"/>
          <w:lang w:val="en-US" w:eastAsia="zh-CN"/>
        </w:rPr>
      </w:pPr>
      <w:r>
        <w:rPr>
          <w:rFonts w:hint="eastAsia" w:cs="Times New Roman"/>
          <w:bCs/>
          <w:color w:val="000000" w:themeColor="text1"/>
          <w:szCs w:val="21"/>
          <w:highlight w:val="none"/>
          <w14:textFill>
            <w14:solidFill>
              <w14:schemeClr w14:val="tx1"/>
            </w14:solidFill>
          </w14:textFill>
        </w:rPr>
        <w:t>202</w:t>
      </w:r>
      <w:r>
        <w:rPr>
          <w:rFonts w:hint="eastAsia" w:cs="Times New Roman"/>
          <w:bCs/>
          <w:color w:val="000000" w:themeColor="text1"/>
          <w:szCs w:val="21"/>
          <w:highlight w:val="none"/>
          <w:lang w:val="en-US" w:eastAsia="zh-CN"/>
          <w14:textFill>
            <w14:solidFill>
              <w14:schemeClr w14:val="tx1"/>
            </w14:solidFill>
          </w14:textFill>
        </w:rPr>
        <w:t>4</w:t>
      </w:r>
      <w:r>
        <w:rPr>
          <w:rFonts w:hint="eastAsia" w:cs="Times New Roman"/>
          <w:bCs/>
          <w:color w:val="000000" w:themeColor="text1"/>
          <w:szCs w:val="21"/>
          <w:highlight w:val="none"/>
          <w14:textFill>
            <w14:solidFill>
              <w14:schemeClr w14:val="tx1"/>
            </w14:solidFill>
          </w14:textFill>
        </w:rPr>
        <w:t>年</w:t>
      </w:r>
      <w:r>
        <w:rPr>
          <w:rFonts w:hint="eastAsia" w:cs="Times New Roman"/>
          <w:bCs/>
          <w:color w:val="000000" w:themeColor="text1"/>
          <w:szCs w:val="21"/>
          <w:highlight w:val="none"/>
          <w:lang w:val="en-US" w:eastAsia="zh-CN"/>
          <w14:textFill>
            <w14:solidFill>
              <w14:schemeClr w14:val="tx1"/>
            </w14:solidFill>
          </w14:textFill>
        </w:rPr>
        <w:t>10</w:t>
      </w:r>
      <w:r>
        <w:rPr>
          <w:rFonts w:hint="eastAsia" w:cs="Times New Roman"/>
          <w:bCs/>
          <w:color w:val="000000" w:themeColor="text1"/>
          <w:szCs w:val="21"/>
          <w:highlight w:val="none"/>
          <w14:textFill>
            <w14:solidFill>
              <w14:schemeClr w14:val="tx1"/>
            </w14:solidFill>
          </w14:textFill>
        </w:rPr>
        <w:t>月</w:t>
      </w:r>
      <w:r>
        <w:rPr>
          <w:rFonts w:hint="eastAsia" w:cs="Times New Roman"/>
          <w:bCs/>
          <w:color w:val="000000" w:themeColor="text1"/>
          <w:szCs w:val="21"/>
          <w:highlight w:val="none"/>
          <w:lang w:val="en-US" w:eastAsia="zh-CN"/>
          <w14:textFill>
            <w14:solidFill>
              <w14:schemeClr w14:val="tx1"/>
            </w14:solidFill>
          </w14:textFill>
        </w:rPr>
        <w:t>9</w:t>
      </w:r>
      <w:r>
        <w:rPr>
          <w:rFonts w:hint="eastAsia" w:cs="Times New Roman"/>
          <w:bCs/>
          <w:color w:val="000000" w:themeColor="text1"/>
          <w:szCs w:val="21"/>
          <w:highlight w:val="none"/>
          <w14:textFill>
            <w14:solidFill>
              <w14:schemeClr w14:val="tx1"/>
            </w14:solidFill>
          </w14:textFill>
        </w:rPr>
        <w:t>日</w:t>
      </w:r>
      <w:r>
        <w:rPr>
          <w:rFonts w:hint="eastAsia" w:cs="Times New Roman"/>
          <w:bCs/>
          <w:szCs w:val="21"/>
          <w:highlight w:val="none"/>
        </w:rPr>
        <w:t>，全国有色金属标准委员会组织召开《有色金属行业数字仿真通用技术要求》</w:t>
      </w:r>
      <w:r>
        <w:rPr>
          <w:rFonts w:hint="eastAsia" w:cs="Times New Roman"/>
          <w:bCs/>
          <w:szCs w:val="21"/>
          <w:highlight w:val="none"/>
          <w:lang w:val="en-US" w:eastAsia="zh-CN"/>
        </w:rPr>
        <w:t>审定</w:t>
      </w:r>
      <w:r>
        <w:rPr>
          <w:rFonts w:hint="eastAsia" w:cs="Times New Roman"/>
          <w:bCs/>
          <w:szCs w:val="21"/>
          <w:highlight w:val="none"/>
        </w:rPr>
        <w:t>会</w:t>
      </w:r>
      <w:r>
        <w:rPr>
          <w:rFonts w:hint="eastAsia" w:cs="Times New Roman"/>
          <w:bCs/>
          <w:szCs w:val="21"/>
          <w:highlight w:val="none"/>
          <w:lang w:eastAsia="zh-CN"/>
        </w:rPr>
        <w:t>，</w:t>
      </w:r>
      <w:r>
        <w:rPr>
          <w:rFonts w:hint="eastAsia" w:cs="Times New Roman"/>
          <w:bCs/>
          <w:szCs w:val="21"/>
          <w:highlight w:val="none"/>
          <w:lang w:val="en-US" w:eastAsia="zh-CN"/>
        </w:rPr>
        <w:t>对标准送审稿进行逐条审定，形成标准报批稿。</w:t>
      </w:r>
    </w:p>
    <w:p>
      <w:pPr>
        <w:pStyle w:val="3"/>
      </w:pPr>
      <w:bookmarkStart w:id="4" w:name="_Toc12294"/>
      <w:r>
        <w:rPr>
          <w:rFonts w:hint="eastAsia"/>
        </w:rPr>
        <w:t>二、</w:t>
      </w:r>
      <w:r>
        <w:t>标准编制原则和确定标准主要内容</w:t>
      </w:r>
      <w:bookmarkEnd w:id="4"/>
    </w:p>
    <w:p>
      <w:pPr>
        <w:pStyle w:val="4"/>
      </w:pPr>
      <w:bookmarkStart w:id="5" w:name="_Toc24150"/>
      <w:r>
        <w:rPr>
          <w:rFonts w:hint="eastAsia"/>
        </w:rPr>
        <w:t>1、</w:t>
      </w:r>
      <w:r>
        <w:t>编制原则</w:t>
      </w:r>
      <w:bookmarkEnd w:id="5"/>
    </w:p>
    <w:p>
      <w:pPr>
        <w:ind w:firstLine="480"/>
      </w:pPr>
      <w:r>
        <w:t>编制过程中遵循如下原则：</w:t>
      </w:r>
    </w:p>
    <w:p>
      <w:pPr>
        <w:ind w:firstLine="480"/>
      </w:pPr>
      <w:r>
        <w:t>（1）一致性原则</w:t>
      </w:r>
    </w:p>
    <w:p>
      <w:pPr>
        <w:ind w:firstLine="480"/>
      </w:pPr>
      <w:r>
        <w:t>标准</w:t>
      </w:r>
      <w:r>
        <w:rPr>
          <w:rFonts w:hint="eastAsia"/>
          <w:lang w:val="en-US" w:eastAsia="zh-CN"/>
        </w:rPr>
        <w:t>应该</w:t>
      </w:r>
      <w:r>
        <w:t>与以下内容协调一致：</w:t>
      </w:r>
    </w:p>
    <w:p>
      <w:pPr>
        <w:ind w:firstLine="480"/>
      </w:pPr>
      <w:r>
        <w:t>a）</w:t>
      </w:r>
      <w:r>
        <w:rPr>
          <w:rFonts w:hint="eastAsia"/>
        </w:rPr>
        <w:t>智能制造</w:t>
      </w:r>
      <w:r>
        <w:t>标准体系要求；</w:t>
      </w:r>
    </w:p>
    <w:p>
      <w:pPr>
        <w:ind w:firstLine="480"/>
      </w:pPr>
      <w:r>
        <w:t>b）相关法律、法规、政策、标准、管理办法</w:t>
      </w:r>
      <w:r>
        <w:rPr>
          <w:rFonts w:hint="eastAsia"/>
        </w:rPr>
        <w:t>。</w:t>
      </w:r>
    </w:p>
    <w:p>
      <w:pPr>
        <w:ind w:firstLine="480"/>
      </w:pPr>
      <w:r>
        <w:t>（2）全面系统</w:t>
      </w:r>
    </w:p>
    <w:p>
      <w:pPr>
        <w:ind w:firstLine="480"/>
      </w:pPr>
      <w:r>
        <w:t>a）涵盖</w:t>
      </w:r>
      <w:r>
        <w:rPr>
          <w:rFonts w:hint="eastAsia"/>
        </w:rPr>
        <w:t>有色金属</w:t>
      </w:r>
      <w:r>
        <w:t>行业数字化仿真全过程；</w:t>
      </w:r>
    </w:p>
    <w:p>
      <w:pPr>
        <w:ind w:firstLine="480"/>
      </w:pPr>
      <w:r>
        <w:t>b）全面、系统建立有色金属行业数字仿真技术要求</w:t>
      </w:r>
      <w:r>
        <w:rPr>
          <w:rFonts w:hint="eastAsia"/>
        </w:rPr>
        <w:t>；</w:t>
      </w:r>
    </w:p>
    <w:p>
      <w:pPr>
        <w:ind w:firstLine="480"/>
      </w:pPr>
      <w:r>
        <w:rPr>
          <w:rFonts w:hint="eastAsia"/>
        </w:rPr>
        <w:t>c）本标准可与智能制造标准体系中的其他标准丰富智能制造标准体系。</w:t>
      </w:r>
    </w:p>
    <w:p>
      <w:pPr>
        <w:ind w:firstLine="480"/>
      </w:pPr>
      <w:r>
        <w:t>（3）突出行业特点</w:t>
      </w:r>
    </w:p>
    <w:p>
      <w:pPr>
        <w:ind w:firstLine="480"/>
      </w:pPr>
      <w:r>
        <w:t>标准突出</w:t>
      </w:r>
      <w:r>
        <w:rPr>
          <w:rFonts w:hint="eastAsia"/>
        </w:rPr>
        <w:t>有色金属</w:t>
      </w:r>
      <w:r>
        <w:rPr>
          <w:rFonts w:hint="eastAsia" w:cs="Times New Roman"/>
          <w:bCs/>
          <w:szCs w:val="21"/>
        </w:rPr>
        <w:t>行业</w:t>
      </w:r>
      <w:r>
        <w:t>的特点，重点关注有色金属行业的采矿厂</w:t>
      </w:r>
      <w:r>
        <w:rPr>
          <w:rFonts w:hint="eastAsia"/>
        </w:rPr>
        <w:t>、</w:t>
      </w:r>
      <w:r>
        <w:t>选矿厂</w:t>
      </w:r>
      <w:r>
        <w:rPr>
          <w:rFonts w:hint="eastAsia"/>
        </w:rPr>
        <w:t>、</w:t>
      </w:r>
      <w:r>
        <w:t>冶炼厂等涉及的相关设备</w:t>
      </w:r>
      <w:r>
        <w:rPr>
          <w:rFonts w:hint="eastAsia"/>
        </w:rPr>
        <w:t>、</w:t>
      </w:r>
      <w:r>
        <w:t>部件或工艺流程数字化仿真工作的实施过程</w:t>
      </w:r>
      <w:r>
        <w:rPr>
          <w:rFonts w:hint="eastAsia"/>
        </w:rPr>
        <w:t>。</w:t>
      </w:r>
    </w:p>
    <w:p>
      <w:pPr>
        <w:ind w:firstLine="480"/>
      </w:pPr>
      <w:r>
        <w:t>（4）适用可操作</w:t>
      </w:r>
    </w:p>
    <w:p>
      <w:pPr>
        <w:ind w:firstLine="480"/>
      </w:pPr>
      <w:r>
        <w:t>a）对有色金属行业数字仿真过程全流程进行规范说明</w:t>
      </w:r>
      <w:r>
        <w:rPr>
          <w:rFonts w:hint="eastAsia"/>
        </w:rPr>
        <w:t>，保证标准内容的完整性和适用性</w:t>
      </w:r>
      <w:r>
        <w:t>；</w:t>
      </w:r>
    </w:p>
    <w:p>
      <w:pPr>
        <w:ind w:firstLine="480"/>
      </w:pPr>
      <w:r>
        <w:rPr>
          <w:rFonts w:hint="eastAsia"/>
        </w:rPr>
        <w:t>b</w:t>
      </w:r>
      <w:r>
        <w:t>）立足有色金属行业实际</w:t>
      </w:r>
      <w:r>
        <w:rPr>
          <w:rFonts w:hint="eastAsia"/>
        </w:rPr>
        <w:t>和智能制造标准体系的要求</w:t>
      </w:r>
      <w:r>
        <w:t>，确保标准的可操作性。</w:t>
      </w:r>
    </w:p>
    <w:p>
      <w:pPr>
        <w:pStyle w:val="4"/>
        <w:rPr>
          <w:b w:val="0"/>
        </w:rPr>
      </w:pPr>
      <w:bookmarkStart w:id="6" w:name="_Toc25311"/>
      <w:r>
        <w:rPr>
          <w:rFonts w:hint="eastAsia"/>
        </w:rPr>
        <w:t>2</w:t>
      </w:r>
      <w:r>
        <w:t>、</w:t>
      </w:r>
      <w:r>
        <w:rPr>
          <w:rFonts w:hint="eastAsia"/>
          <w:lang w:val="en-US" w:eastAsia="zh-CN"/>
        </w:rPr>
        <w:t>数字</w:t>
      </w:r>
      <w:r>
        <w:t>仿真分析流程</w:t>
      </w:r>
      <w:bookmarkEnd w:id="6"/>
      <w:r>
        <w:rPr>
          <w:rFonts w:hint="eastAsia"/>
        </w:rPr>
        <w:t xml:space="preserve"> </w:t>
      </w:r>
    </w:p>
    <w:p>
      <w:pPr>
        <w:ind w:firstLine="480"/>
      </w:pPr>
      <w:r>
        <w:rPr>
          <w:rFonts w:hint="eastAsia"/>
        </w:rPr>
        <w:t>规定数字化仿真应建立规范的仿真工作流程，包括</w:t>
      </w:r>
      <w:bookmarkStart w:id="24" w:name="_GoBack"/>
      <w:bookmarkEnd w:id="24"/>
      <w:r>
        <w:rPr>
          <w:rFonts w:hint="default" w:ascii="Times New Roman" w:hAnsi="Times New Roman" w:eastAsia="宋体" w:cs="Times New Roman"/>
        </w:rPr>
        <w:t>仿真建模</w:t>
      </w:r>
      <w:r>
        <w:rPr>
          <w:rFonts w:hint="eastAsia" w:ascii="Times New Roman" w:hAnsi="Times New Roman" w:eastAsia="宋体" w:cs="Times New Roman"/>
          <w:lang w:eastAsia="zh-CN"/>
        </w:rPr>
        <w:t>、</w:t>
      </w:r>
      <w:r>
        <w:rPr>
          <w:rFonts w:hint="eastAsia" w:ascii="Times New Roman"/>
        </w:rPr>
        <w:t>仿真计算</w:t>
      </w:r>
      <w:r>
        <w:rPr>
          <w:rFonts w:hint="eastAsia" w:ascii="Times New Roman"/>
          <w:lang w:eastAsia="zh-CN"/>
        </w:rPr>
        <w:t>、</w:t>
      </w:r>
      <w:r>
        <w:rPr>
          <w:rFonts w:hint="eastAsia" w:ascii="Times New Roman"/>
          <w:highlight w:val="none"/>
        </w:rPr>
        <w:t>仿真分析</w:t>
      </w:r>
      <w:r>
        <w:rPr>
          <w:rFonts w:hint="eastAsia" w:ascii="Times New Roman"/>
          <w:highlight w:val="none"/>
          <w:lang w:eastAsia="zh-CN"/>
        </w:rPr>
        <w:t>、</w:t>
      </w:r>
      <w:r>
        <w:rPr>
          <w:rFonts w:hint="eastAsia" w:ascii="Times New Roman"/>
          <w:szCs w:val="22"/>
          <w:highlight w:val="none"/>
        </w:rPr>
        <w:t>结果评估</w:t>
      </w:r>
      <w:r>
        <w:rPr>
          <w:rFonts w:hint="eastAsia" w:ascii="Times New Roman"/>
          <w:szCs w:val="22"/>
          <w:highlight w:val="none"/>
          <w:lang w:eastAsia="zh-CN"/>
        </w:rPr>
        <w:t>、</w:t>
      </w:r>
      <w:r>
        <w:rPr>
          <w:rFonts w:hint="eastAsia" w:ascii="Times New Roman"/>
          <w:szCs w:val="22"/>
        </w:rPr>
        <w:t>结果输出</w:t>
      </w:r>
      <w:r>
        <w:rPr>
          <w:rFonts w:hint="eastAsia" w:ascii="Times New Roman"/>
        </w:rPr>
        <w:t>等</w:t>
      </w:r>
      <w:r>
        <w:rPr>
          <w:rFonts w:hint="eastAsia"/>
        </w:rPr>
        <w:t>。</w:t>
      </w:r>
    </w:p>
    <w:p>
      <w:pPr>
        <w:pStyle w:val="4"/>
        <w:rPr>
          <w:b w:val="0"/>
        </w:rPr>
      </w:pPr>
      <w:bookmarkStart w:id="7" w:name="_Toc10445"/>
      <w:bookmarkStart w:id="8" w:name="_Toc517111033"/>
      <w:r>
        <w:rPr>
          <w:rFonts w:hint="eastAsia"/>
        </w:rPr>
        <w:t>3</w:t>
      </w:r>
      <w:r>
        <w:t>、国内外相关标准研究</w:t>
      </w:r>
      <w:bookmarkEnd w:id="7"/>
      <w:bookmarkEnd w:id="8"/>
    </w:p>
    <w:p>
      <w:pPr>
        <w:ind w:firstLine="480"/>
        <w:rPr>
          <w:rFonts w:cs="Times New Roman"/>
        </w:rPr>
      </w:pPr>
      <w:r>
        <w:rPr>
          <w:rFonts w:hint="eastAsia" w:cs="Times New Roman"/>
        </w:rPr>
        <w:t>国际上尚未制订专门针对有色金属数字仿真的相关行业标准。国际上现存的与仿真相关的标准大都是针对特定的研究对象而提出的，如美国航空航天学会AIAA G-077-1998(2002)《Guide for the Verification and Validation of Computational Fluid Dynamics Simulations》，美国机械工程师协会ASME V&amp;V 10 2006《Guide for Verification and Validation in Computational Solid Mechanics first issuance》，ASME V&amp;V 20-2009《Standard for Verification and Validation in Computational Fluid Dynamics and Heat Transfer》，以及ASME V&amp;V 10.1-2012《An Illustration of the Concepts of Verification and Validation in Computational Solid Mechanics》，国际标准化组织ISO/TR 16730-3:2013《Fire safety engineering — Assessment, verification and validation of calculation methods Part 3:Example of a CFD model》，ISO/TS 10303-1375:2014《Industrial automation systems and integration — Product data representation and exchange — Part 1375: Application module: Cfd conditions、Part 1376: Application module: Cfd equations、Part 1377: Application module: Cfd model、Part 1378: Application module: Cfd results》，ISO/TS 18166:2016《Numerical Welding Simulation — Execution and Documentation》，ISO/TS 10303-1379:2019《Industrial automation systems and integration — Product data representation and exchange — Part 1379:Application module: Cfd specified general property》，德国标准化学会DIN EN 15026《Hygrothermal performance of building components and building elements — Assessment of moisture transfer by numerical simulation》，这些标准分别针对航空航天、机械工程、消防安全工程、工业自动化等行业的数字仿真过程中涉及到的流体、结构以及传热问题的求解进行了规范，并得到了广泛的认可。截至目前，以美国为首的西方国家在建立了仿真体系的基础上，强化仿真标准规范制定，建设通用化资源模型，支撑了本国仿真体系的迭代发展。</w:t>
      </w:r>
    </w:p>
    <w:p>
      <w:pPr>
        <w:ind w:firstLine="480"/>
        <w:rPr>
          <w:rFonts w:cs="Times New Roman"/>
        </w:rPr>
      </w:pPr>
      <w:r>
        <w:rPr>
          <w:rFonts w:hint="eastAsia" w:cs="Times New Roman"/>
        </w:rPr>
        <w:t>我国在仿真标准方面的工作还很缺失，直到近几年在与国外企业的合作交流中才逐渐意识到仿真标准的重要性，在此基础上逐步开展我国建模与仿真过程的标准化研究，通过各方努力逐渐形成了GB/Z 28283-2012《热加工工艺仿真与模拟技术导则》，GB/T 31054-2014《机械产品计算机辅助工程 有限元数值计算 术语》，GB/T 33582-2017《机械产品结构有限元力学分析通用规则》，GB/T 38918-2020《民用飞机起落架结构设计与仿真》，NB/T 31066-2015《风电机组电气仿真模型建模导则》，NB/T 31075-2016《风电场电气仿真模型建模及验证规程》，TB/T 3503.4-2018《铁路应用 空气动力学 第4部分：列车空气动力学性能数值仿真规范》，SJ 21313-2018《电子装备结构动力学仿真分析通用要求》，QJ 20060-2011《基于ADAMS的机构动力学仿真通用要求》，YY/T 0859-2011《均匀径向载荷下金属血管支架有限元分析方法指南》，YY/T 1714-2020《非组合式金属髋关节股骨柄有限元分析标准方法》等仿真相关的国家或行业标准，此外还有正在批准中的国家标准计划20171020-T-604《高海拔电气设备电场分布有限元计算导则》。以上标准的制定和实施为相关行业仿真人员、测试评估人员、仿真使用人员和机构提供了指导，促进了行业仿真水平和质量的提高，有色金属数字仿真技术标准目前仍暂缺。</w:t>
      </w:r>
    </w:p>
    <w:p>
      <w:pPr>
        <w:ind w:firstLine="480"/>
        <w:rPr>
          <w:rFonts w:cs="Times New Roman"/>
        </w:rPr>
      </w:pPr>
      <w:r>
        <w:rPr>
          <w:rFonts w:hint="eastAsia" w:cs="Times New Roman"/>
        </w:rPr>
        <w:t>由于数字仿真技术具有强烈的行业和企业特点，各行业之下细分专业学科众多，并无一个标准可适用于所有专业学科，即使同一学科，因采用不同仿真分析软件，以及具体的分析对象间存在差别，也不存在同一标准放之四海而皆准的可能。因此，制定出适用于我国的有色金属数字仿真技术标准是十分必要的。《有色金属行业数字仿真通用技术要求》的编制可以借鉴上述标准编制中的先进经验，由于以上标准是综合考虑国内外体制而建立的，加之其具有极强的行业特点，在实际编制过程中还需结合我国有色金属行业的自身特点进行吸纳。</w:t>
      </w:r>
    </w:p>
    <w:p>
      <w:pPr>
        <w:pStyle w:val="4"/>
        <w:rPr>
          <w:b w:val="0"/>
        </w:rPr>
      </w:pPr>
      <w:bookmarkStart w:id="9" w:name="_Toc5784"/>
      <w:r>
        <w:rPr>
          <w:rFonts w:hint="eastAsia"/>
        </w:rPr>
        <w:t>4</w:t>
      </w:r>
      <w:r>
        <w:t>、</w:t>
      </w:r>
      <w:r>
        <w:rPr>
          <w:rFonts w:hint="eastAsia"/>
        </w:rPr>
        <w:t>有色金属行业数字化仿真</w:t>
      </w:r>
      <w:r>
        <w:t>现状调研</w:t>
      </w:r>
      <w:bookmarkEnd w:id="9"/>
    </w:p>
    <w:p>
      <w:pPr>
        <w:ind w:firstLine="480"/>
      </w:pPr>
      <w:r>
        <w:rPr>
          <w:rFonts w:hint="eastAsia"/>
        </w:rPr>
        <w:t>对于有色金属</w:t>
      </w:r>
      <w:r>
        <w:rPr>
          <w:rFonts w:hint="eastAsia"/>
          <w:lang w:val="en-US" w:eastAsia="zh-CN"/>
        </w:rPr>
        <w:t>行业采、</w:t>
      </w:r>
      <w:r>
        <w:rPr>
          <w:rFonts w:hint="eastAsia"/>
        </w:rPr>
        <w:t>选、冶相关设备或工艺的研究，传统研究方法主要为实验室研究和工厂测试。实验室规模的研究由于和实际生产存在巨大差异，同时也受限于测试条件的限制，无法实际指导工厂生产；而工厂的现场生产，一般需要长时间的运行调试，积累测试数据，成本高，时间周期长。在实际的生产过程中，通常需要依靠工人长期积累的经验来调控生产，这种依赖人工经验的调控方式，会带来较大的盲目性和滞后性。随着市场竞争对产能和质量的控制以及数字化、智能化控制日益强烈的需求，传统的研究方法已经难以适应当今日益复杂的采矿、选矿、冶金等专业的工业设备。</w:t>
      </w:r>
    </w:p>
    <w:p>
      <w:pPr>
        <w:ind w:firstLine="480"/>
        <w:rPr>
          <w:rFonts w:hint="eastAsia"/>
        </w:rPr>
      </w:pPr>
      <w:r>
        <w:rPr>
          <w:rFonts w:hint="eastAsia"/>
        </w:rPr>
        <w:t>近些年随着数字仿真软件、超算系统、云平台计算等技术的迅速发展，数字仿真技术在各行各业的应用范围越来越广，有色金属的</w:t>
      </w:r>
      <w:r>
        <w:rPr>
          <w:rFonts w:hint="eastAsia"/>
          <w:lang w:val="en-US" w:eastAsia="zh-CN"/>
        </w:rPr>
        <w:t>采、</w:t>
      </w:r>
      <w:r>
        <w:rPr>
          <w:rFonts w:hint="eastAsia"/>
        </w:rPr>
        <w:t>选、冶等相关行业都有所涉及。</w:t>
      </w:r>
    </w:p>
    <w:p>
      <w:pPr>
        <w:ind w:firstLine="480"/>
        <w:rPr>
          <w:rFonts w:hint="eastAsia"/>
          <w:highlight w:val="none"/>
        </w:rPr>
      </w:pPr>
      <w:r>
        <w:rPr>
          <w:rFonts w:hint="eastAsia"/>
          <w:highlight w:val="none"/>
        </w:rPr>
        <w:t>随着经济发展对矿产资源需求的不断增长，在目前</w:t>
      </w:r>
      <w:r>
        <w:rPr>
          <w:rFonts w:hint="eastAsia"/>
          <w:highlight w:val="none"/>
          <w:lang w:val="en-US" w:eastAsia="zh-CN"/>
        </w:rPr>
        <w:t>采矿矿井通风设计、箕斗提升、</w:t>
      </w:r>
      <w:r>
        <w:rPr>
          <w:rFonts w:hint="eastAsia"/>
          <w:highlight w:val="none"/>
        </w:rPr>
        <w:t>选矿设备大型化研究开发过程中，数字仿真技术已经成为关键的技术手段之一，并且有着举足轻重的作用。</w:t>
      </w:r>
      <w:r>
        <w:rPr>
          <w:rFonts w:hint="eastAsia"/>
          <w:highlight w:val="none"/>
          <w:lang w:val="en-US" w:eastAsia="zh-CN"/>
        </w:rPr>
        <w:t>通过仿真技术对矿井通风、箕斗提升多体动力学进行分析和研究，可以实现矿井通风系统、箕斗提升过程的高度仿真，开发超大规模超深井提升技术及装备。应用仿真系统辅助矿井系统优化改造，确保通风系统的稳定可靠，有效提高了矿井的抗灾能力。</w:t>
      </w:r>
      <w:r>
        <w:rPr>
          <w:rFonts w:hint="eastAsia"/>
          <w:highlight w:val="none"/>
        </w:rPr>
        <w:t>对选矿设备内多相流动过程进行研究，可以更好地了解选矿机制，优化选矿条件，提高选矿效率。针对选矿过程，开展的相关数字仿真工作包括选矿设备的静力学和动力学分析，为设备的改进和优化工作提供指导；针对内部流场和矿物颗粒的运动情况，开展了气-液两相和气-液-固三相流动的仿真分析，实现对选矿过程流场的分析，为操作条件的优化调节提供理论依据。</w:t>
      </w:r>
    </w:p>
    <w:p>
      <w:pPr>
        <w:ind w:firstLine="480"/>
      </w:pPr>
      <w:r>
        <w:rPr>
          <w:rFonts w:hint="eastAsia"/>
          <w:highlight w:val="none"/>
        </w:rPr>
        <w:t>火法冶炼是最古老</w:t>
      </w:r>
      <w:r>
        <w:rPr>
          <w:rFonts w:hint="eastAsia"/>
        </w:rPr>
        <w:t>的冶炼方法，由于受到现场条件和测试技术手段的限制，对冶炼炉内的分析工作十分困难，通常仅有少量的温度、压力测量点，无法对各工况下导致冶金工业炉不良反应情况的特征进行及时判断，继而不能做到提前干预，最终导致生产效率低、产品质量差等，限制了生产效率。目前数字仿真技术在各类冶炼炉中都已经有较为广泛的应用，比较典型的如喷吹炉，包括侧吹炉、底吹炉、顶吹炉，闪速炉等。对于喷吹炉，通过仿真分析喷枪浸入深度、喷枪高度、熔池液面高度、喷枪孔径和气体流量等对喷吹过程的影响，为炉体的设计及操作条件的优化调控提供数据支撑。对于闪速炉，其内部主要为气体-颗粒的非均相反应体系，涉及颗粒-流体-传热-化学反应等过程的耦合，相关的仿真工作主要针对闪速熔炼/闪速吹炼炉内的颗粒运行轨迹、炉内温度分布、速度分布、颗粒停留时间等进行分析研究，同时通过调整不同的加料量、风量等，探索最佳操作条件。</w:t>
      </w:r>
      <w:r>
        <w:rPr>
          <w:rFonts w:hint="eastAsia"/>
          <w:color w:val="000000"/>
          <w:kern w:val="0"/>
          <w:lang w:bidi="ar"/>
        </w:rPr>
        <w:t>开展冶金工业炉的数字仿真研究，可以实现对冶金工业炉内流</w:t>
      </w:r>
      <w:r>
        <w:t>动、</w:t>
      </w:r>
      <w:r>
        <w:rPr>
          <w:rFonts w:hint="eastAsia"/>
        </w:rPr>
        <w:t>传热、</w:t>
      </w:r>
      <w:r>
        <w:t>传质</w:t>
      </w:r>
      <w:r>
        <w:rPr>
          <w:rFonts w:hint="eastAsia"/>
        </w:rPr>
        <w:t>、颗粒相、化学反应</w:t>
      </w:r>
      <w:r>
        <w:rPr>
          <w:rFonts w:hint="eastAsia"/>
          <w:color w:val="000000"/>
          <w:kern w:val="0"/>
          <w:lang w:bidi="ar"/>
        </w:rPr>
        <w:t>问题的分析，为</w:t>
      </w:r>
      <w:r>
        <w:rPr>
          <w:rFonts w:hint="eastAsia"/>
        </w:rPr>
        <w:t>优化设计、新工艺开发、生产过程优化</w:t>
      </w:r>
      <w:r>
        <w:rPr>
          <w:rFonts w:hint="eastAsia"/>
          <w:color w:val="000000"/>
          <w:kern w:val="0"/>
          <w:lang w:bidi="ar"/>
        </w:rPr>
        <w:t>提供一个有效的研究手段。</w:t>
      </w:r>
    </w:p>
    <w:p>
      <w:pPr>
        <w:ind w:firstLine="480"/>
        <w:rPr>
          <w:rFonts w:hint="eastAsia"/>
        </w:rPr>
      </w:pPr>
      <w:r>
        <w:rPr>
          <w:rFonts w:hint="eastAsia"/>
        </w:rPr>
        <w:t>湿法冶炼具有流程简单、过程组合方案多、生产成本低、规模灵活的优点，使其在有色金属冶炼中扮演着越来越重要的作用。目前，约90%的锌和20%的铜是通过湿法冶炼提取。数字仿真是研究和优化湿法冶炼过程的一种成本较低、效率较高的方法，在湿法冶炼的重要设备或工艺过程中有着重要的应用。如浸出设备搅拌反应釜内的液-固两相流动过程的仿真分析，萃取设备内的流体力学行为及混合与分相等情况的仿真分析等，对湿法冶炼设备结构设计和工艺条件优化都具有重要的指导作用，为湿法冶炼开发更为经济有效的生产工艺助力。</w:t>
      </w:r>
    </w:p>
    <w:p>
      <w:pPr>
        <w:ind w:firstLine="480"/>
      </w:pPr>
      <w:r>
        <w:rPr>
          <w:rFonts w:hint="eastAsia"/>
          <w:color w:val="000000"/>
          <w:kern w:val="0"/>
          <w:lang w:bidi="ar"/>
        </w:rPr>
        <w:t>在</w:t>
      </w:r>
      <w:r>
        <w:rPr>
          <w:color w:val="000000"/>
          <w:kern w:val="0"/>
          <w:lang w:bidi="ar"/>
        </w:rPr>
        <w:t>研究</w:t>
      </w:r>
      <w:r>
        <w:rPr>
          <w:rFonts w:hint="eastAsia"/>
          <w:color w:val="000000"/>
          <w:kern w:val="0"/>
          <w:lang w:bidi="ar"/>
        </w:rPr>
        <w:t>和开发中</w:t>
      </w:r>
      <w:r>
        <w:rPr>
          <w:color w:val="000000"/>
          <w:kern w:val="0"/>
          <w:lang w:bidi="ar"/>
        </w:rPr>
        <w:t>引入</w:t>
      </w:r>
      <w:r>
        <w:rPr>
          <w:rFonts w:hint="eastAsia"/>
          <w:color w:val="000000"/>
          <w:kern w:val="0"/>
          <w:lang w:bidi="ar"/>
        </w:rPr>
        <w:t>数字仿真技术，可为传统工业实验节约成本，极大缩短实验及研发周期。</w:t>
      </w:r>
      <w:r>
        <w:rPr>
          <w:rFonts w:hint="eastAsia"/>
        </w:rPr>
        <w:t>与工业试验相比，该技术以较低成本解决了有色金属行业科学研究、设计、生产、管理等方面存在的大量难题，取得了显著成果。在我国有色金属行业目前还没有形成完整数字仿真标准的情况下，不同的仿真工程师对于同一有色金属行业涉及的流体、结构、电磁、颗粒等仿真问题的仿真分析结果有一定差异，这时往往需要对整个计算和分析过程进行反复校核，浪费大量人力物力，这些无增值的重复劳动使工程师陷入了基础性分析的泥潭，更不必说再进一步做深入的分析和技术创新，这一问题极大限制了数字仿真技术在我国有色金属行业的推广应用和创新发展。</w:t>
      </w:r>
    </w:p>
    <w:p>
      <w:pPr>
        <w:ind w:firstLine="480"/>
      </w:pPr>
      <w:r>
        <w:rPr>
          <w:rFonts w:hint="eastAsia"/>
        </w:rPr>
        <w:t>因此形成统一的有色金属数字仿真技术标准迫在眉睫。通过《有色金属行业数字仿真通用技术要求》的建立，一是可以用以指导、规范仿真工程师在技术上保持高度的统一和协调，建立稳定的秩序，促进仿真技术全面有序健康发展，使其更加广泛地应用于有色金属行业科学研究、设计、生产和管理；二是可以形成自身的知识积累，便于其他仿真工程师快速进入标准的工作流程中，使仿真工作更加高效、快捷和准确；最后标准化是科研、生产、使用三者之间的桥梁，将有色金属数字仿真技术过程获得的成果标准化，使仿真技术在有色金属行业迅速推广和应用，从而促进整个有色金属行业的科技进步。</w:t>
      </w:r>
    </w:p>
    <w:p>
      <w:pPr>
        <w:pStyle w:val="4"/>
        <w:rPr>
          <w:rFonts w:hint="eastAsia" w:ascii="Times New Roman" w:hAnsi="Times New Roman"/>
        </w:rPr>
      </w:pPr>
      <w:bookmarkStart w:id="10" w:name="_Toc8167"/>
      <w:r>
        <w:rPr>
          <w:rFonts w:hint="eastAsia" w:ascii="Times New Roman" w:hAnsi="Times New Roman"/>
        </w:rPr>
        <w:t>5、标准主要内容</w:t>
      </w:r>
      <w:bookmarkEnd w:id="10"/>
    </w:p>
    <w:p>
      <w:pPr>
        <w:ind w:firstLine="480"/>
      </w:pPr>
      <w:r>
        <w:t>本标准设置了</w:t>
      </w:r>
      <w:r>
        <w:rPr>
          <w:rFonts w:hint="eastAsia"/>
        </w:rPr>
        <w:t>10</w:t>
      </w:r>
      <w:r>
        <w:t>个章节内容，具体包括：</w:t>
      </w:r>
    </w:p>
    <w:p>
      <w:pPr>
        <w:pStyle w:val="5"/>
        <w:numPr>
          <w:ilvl w:val="0"/>
          <w:numId w:val="0"/>
        </w:numPr>
        <w:rPr>
          <w:bCs/>
        </w:rPr>
      </w:pPr>
      <w:r>
        <w:rPr>
          <w:rFonts w:hint="eastAsia"/>
        </w:rPr>
        <w:t>5</w:t>
      </w:r>
      <w:r>
        <w:t>.1 范围</w:t>
      </w:r>
    </w:p>
    <w:p>
      <w:pPr>
        <w:pStyle w:val="32"/>
        <w:spacing w:line="360" w:lineRule="auto"/>
        <w:ind w:firstLine="420"/>
        <w:rPr>
          <w:rFonts w:hint="eastAsia" w:ascii="Times New Roman" w:hAnsi="Times New Roman" w:eastAsia="宋体" w:cs="Times New Roman"/>
          <w:kern w:val="2"/>
          <w:sz w:val="24"/>
          <w:szCs w:val="21"/>
          <w:highlight w:val="none"/>
          <w:lang w:val="en-US" w:eastAsia="zh-CN" w:bidi="ar-SA"/>
        </w:rPr>
      </w:pPr>
      <w:r>
        <w:rPr>
          <w:rFonts w:hint="eastAsia" w:ascii="Times New Roman" w:hAnsi="Times New Roman" w:eastAsia="宋体" w:cs="Times New Roman"/>
          <w:kern w:val="2"/>
          <w:sz w:val="24"/>
          <w:szCs w:val="21"/>
          <w:highlight w:val="none"/>
          <w:lang w:val="en-US" w:eastAsia="zh-CN" w:bidi="ar-SA"/>
        </w:rPr>
        <w:t>本文件规定了有色金属数字仿真</w:t>
      </w:r>
      <w:r>
        <w:rPr>
          <w:rFonts w:hint="default" w:ascii="Times New Roman" w:hAnsi="Times New Roman" w:eastAsia="宋体" w:cs="Times New Roman"/>
          <w:kern w:val="2"/>
          <w:sz w:val="24"/>
          <w:szCs w:val="21"/>
          <w:highlight w:val="none"/>
          <w:lang w:val="en-US" w:eastAsia="zh-CN" w:bidi="ar-SA"/>
        </w:rPr>
        <w:t>的</w:t>
      </w:r>
      <w:r>
        <w:rPr>
          <w:rFonts w:hint="eastAsia" w:ascii="Times New Roman" w:hAnsi="Times New Roman" w:eastAsia="宋体" w:cs="Times New Roman"/>
          <w:kern w:val="2"/>
          <w:sz w:val="24"/>
          <w:szCs w:val="21"/>
          <w:highlight w:val="none"/>
          <w:lang w:val="en-US" w:eastAsia="zh-CN" w:bidi="ar-SA"/>
        </w:rPr>
        <w:t>术语和定义、总则、</w:t>
      </w:r>
      <w:r>
        <w:rPr>
          <w:rFonts w:hint="default" w:ascii="Times New Roman" w:hAnsi="Times New Roman" w:eastAsia="宋体" w:cs="Times New Roman"/>
          <w:kern w:val="2"/>
          <w:sz w:val="24"/>
          <w:szCs w:val="21"/>
          <w:highlight w:val="none"/>
          <w:lang w:val="en-US" w:eastAsia="zh-CN" w:bidi="ar-SA"/>
        </w:rPr>
        <w:t>仿真建模</w:t>
      </w:r>
      <w:r>
        <w:rPr>
          <w:rFonts w:hint="eastAsia" w:ascii="Times New Roman" w:hAnsi="Times New Roman" w:eastAsia="宋体" w:cs="Times New Roman"/>
          <w:kern w:val="2"/>
          <w:sz w:val="24"/>
          <w:szCs w:val="21"/>
          <w:highlight w:val="none"/>
          <w:lang w:val="en-US" w:eastAsia="zh-CN" w:bidi="ar-SA"/>
        </w:rPr>
        <w:t>、仿真计算、仿真分析、结果评估、结果输出等技术要求。</w:t>
      </w:r>
    </w:p>
    <w:p>
      <w:pPr>
        <w:ind w:firstLine="480"/>
        <w:rPr>
          <w:rFonts w:hint="eastAsia" w:ascii="Times New Roman" w:hAnsi="Times New Roman" w:eastAsia="宋体" w:cs="Times New Roman"/>
          <w:kern w:val="2"/>
          <w:sz w:val="24"/>
          <w:szCs w:val="21"/>
          <w:highlight w:val="none"/>
          <w:lang w:val="en-US" w:eastAsia="zh-CN" w:bidi="ar-SA"/>
        </w:rPr>
      </w:pPr>
      <w:r>
        <w:rPr>
          <w:rFonts w:hint="eastAsia" w:ascii="Times New Roman" w:hAnsi="Times New Roman" w:eastAsia="宋体" w:cs="Times New Roman"/>
          <w:kern w:val="2"/>
          <w:sz w:val="24"/>
          <w:szCs w:val="21"/>
          <w:highlight w:val="none"/>
          <w:lang w:val="en-US" w:eastAsia="zh-CN" w:bidi="ar-SA"/>
        </w:rPr>
        <w:t>本标准适用于有色金属行业采、选、冶等涉及的相关设备、部件或工艺流程数字仿真的实施过程。</w:t>
      </w:r>
    </w:p>
    <w:p>
      <w:pPr>
        <w:pStyle w:val="5"/>
        <w:numPr>
          <w:ilvl w:val="0"/>
          <w:numId w:val="0"/>
        </w:numPr>
        <w:rPr>
          <w:highlight w:val="none"/>
        </w:rPr>
      </w:pPr>
      <w:r>
        <w:rPr>
          <w:rFonts w:hint="eastAsia"/>
          <w:highlight w:val="none"/>
        </w:rPr>
        <w:t>5</w:t>
      </w:r>
      <w:r>
        <w:rPr>
          <w:highlight w:val="none"/>
        </w:rPr>
        <w:t>.2 规范性引用文件</w:t>
      </w:r>
    </w:p>
    <w:p>
      <w:pPr>
        <w:ind w:firstLine="480"/>
        <w:rPr>
          <w:rFonts w:cs="Times New Roman"/>
          <w:szCs w:val="21"/>
          <w:highlight w:val="none"/>
        </w:rPr>
      </w:pPr>
      <w:r>
        <w:rPr>
          <w:rFonts w:hint="eastAsia" w:cs="Times New Roman"/>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cs="Times New Roman"/>
          <w:szCs w:val="21"/>
          <w:highlight w:val="none"/>
        </w:rPr>
        <w:t>。</w:t>
      </w:r>
    </w:p>
    <w:p>
      <w:pPr>
        <w:ind w:firstLine="480"/>
        <w:rPr>
          <w:rFonts w:cs="Times New Roman"/>
          <w:szCs w:val="21"/>
          <w:highlight w:val="none"/>
        </w:rPr>
      </w:pPr>
      <w:r>
        <w:rPr>
          <w:rFonts w:hint="eastAsia" w:cs="Times New Roman"/>
          <w:szCs w:val="21"/>
          <w:highlight w:val="none"/>
        </w:rPr>
        <w:t>GB/T 31054-2014 机械产品计算机辅助工程 有限元数值计算 术语；</w:t>
      </w:r>
    </w:p>
    <w:p>
      <w:pPr>
        <w:ind w:firstLine="480"/>
        <w:rPr>
          <w:rFonts w:cs="Times New Roman"/>
          <w:szCs w:val="21"/>
          <w:highlight w:val="none"/>
        </w:rPr>
      </w:pPr>
      <w:r>
        <w:rPr>
          <w:rFonts w:hint="eastAsia" w:cs="Times New Roman"/>
          <w:szCs w:val="21"/>
          <w:highlight w:val="none"/>
        </w:rPr>
        <w:t>GB/T 33582-2017 机械产品结构有限元力学分析通用规则；</w:t>
      </w:r>
    </w:p>
    <w:p>
      <w:pPr>
        <w:ind w:firstLine="480"/>
        <w:rPr>
          <w:rFonts w:cs="Times New Roman"/>
          <w:szCs w:val="21"/>
          <w:highlight w:val="none"/>
        </w:rPr>
      </w:pPr>
      <w:r>
        <w:rPr>
          <w:rFonts w:cs="Times New Roman"/>
          <w:szCs w:val="21"/>
          <w:highlight w:val="none"/>
        </w:rPr>
        <w:t>GB/T</w:t>
      </w:r>
      <w:r>
        <w:rPr>
          <w:rFonts w:hint="eastAsia" w:cs="Times New Roman"/>
          <w:szCs w:val="21"/>
          <w:highlight w:val="none"/>
        </w:rPr>
        <w:t xml:space="preserve"> </w:t>
      </w:r>
      <w:r>
        <w:rPr>
          <w:rFonts w:cs="Times New Roman"/>
          <w:szCs w:val="21"/>
          <w:highlight w:val="none"/>
        </w:rPr>
        <w:t xml:space="preserve">39334.1-2020 </w:t>
      </w:r>
      <w:r>
        <w:rPr>
          <w:rFonts w:hint="eastAsia" w:cs="Times New Roman"/>
          <w:szCs w:val="21"/>
          <w:highlight w:val="none"/>
        </w:rPr>
        <w:t>机械产品制造过程数字化仿真 第1部分：通用要求；</w:t>
      </w:r>
    </w:p>
    <w:p>
      <w:pPr>
        <w:ind w:firstLine="480"/>
        <w:rPr>
          <w:rFonts w:hint="eastAsia" w:cs="Times New Roman"/>
          <w:szCs w:val="21"/>
          <w:highlight w:val="none"/>
        </w:rPr>
      </w:pPr>
      <w:r>
        <w:rPr>
          <w:rFonts w:hint="eastAsia" w:cs="Times New Roman"/>
          <w:szCs w:val="21"/>
          <w:highlight w:val="none"/>
        </w:rPr>
        <w:t>GB/T 41255-2022 智能工厂 通用技术要求；</w:t>
      </w:r>
    </w:p>
    <w:p>
      <w:pPr>
        <w:ind w:firstLine="480"/>
        <w:rPr>
          <w:rFonts w:hint="default" w:cs="Times New Roman"/>
          <w:szCs w:val="21"/>
          <w:highlight w:val="none"/>
          <w:lang w:val="en-US"/>
        </w:rPr>
      </w:pPr>
      <w:r>
        <w:rPr>
          <w:rFonts w:hint="eastAsia" w:cs="Times New Roman"/>
          <w:szCs w:val="21"/>
          <w:highlight w:val="none"/>
        </w:rPr>
        <w:t>ISO/TS 18166-2016</w:t>
      </w:r>
      <w:r>
        <w:rPr>
          <w:rFonts w:hint="eastAsia" w:cs="Times New Roman"/>
          <w:szCs w:val="21"/>
          <w:highlight w:val="none"/>
          <w:lang w:val="en-US" w:eastAsia="zh-CN"/>
        </w:rPr>
        <w:t xml:space="preserve"> 数值焊接模拟—执行和文件（</w:t>
      </w:r>
      <w:r>
        <w:rPr>
          <w:rFonts w:hint="eastAsia" w:cs="Times New Roman"/>
          <w:szCs w:val="21"/>
          <w:highlight w:val="none"/>
        </w:rPr>
        <w:t>Numerical Welding Simulation — Execution and Documentation</w:t>
      </w:r>
      <w:r>
        <w:rPr>
          <w:rFonts w:hint="eastAsia" w:cs="Times New Roman"/>
          <w:szCs w:val="21"/>
          <w:highlight w:val="none"/>
          <w:lang w:eastAsia="zh-CN"/>
        </w:rPr>
        <w:t>）</w:t>
      </w:r>
    </w:p>
    <w:p>
      <w:pPr>
        <w:pStyle w:val="5"/>
        <w:numPr>
          <w:ilvl w:val="0"/>
          <w:numId w:val="0"/>
        </w:numPr>
        <w:rPr>
          <w:highlight w:val="none"/>
        </w:rPr>
      </w:pPr>
      <w:r>
        <w:rPr>
          <w:rFonts w:hint="eastAsia"/>
          <w:highlight w:val="none"/>
        </w:rPr>
        <w:t>5</w:t>
      </w:r>
      <w:r>
        <w:rPr>
          <w:highlight w:val="none"/>
        </w:rPr>
        <w:t>.3 术语和定义</w:t>
      </w:r>
    </w:p>
    <w:p>
      <w:pPr>
        <w:ind w:firstLine="480"/>
        <w:rPr>
          <w:rFonts w:cs="Times New Roman"/>
          <w:color w:val="auto"/>
          <w:szCs w:val="21"/>
          <w:highlight w:val="none"/>
        </w:rPr>
      </w:pPr>
      <w:r>
        <w:rPr>
          <w:rFonts w:cs="Times New Roman"/>
          <w:color w:val="auto"/>
          <w:szCs w:val="21"/>
          <w:highlight w:val="none"/>
        </w:rPr>
        <w:t>根据</w:t>
      </w:r>
      <w:r>
        <w:rPr>
          <w:rFonts w:hint="eastAsia" w:cs="Times New Roman"/>
          <w:color w:val="auto"/>
          <w:szCs w:val="21"/>
          <w:highlight w:val="none"/>
        </w:rPr>
        <w:t>GB/T 31054-2014、</w:t>
      </w:r>
      <w:r>
        <w:rPr>
          <w:rFonts w:cs="Times New Roman"/>
          <w:color w:val="auto"/>
          <w:szCs w:val="21"/>
          <w:highlight w:val="none"/>
        </w:rPr>
        <w:t>GB/T39334.1-2020对</w:t>
      </w:r>
      <w:r>
        <w:rPr>
          <w:rFonts w:hint="eastAsia" w:cs="Times New Roman"/>
          <w:color w:val="auto"/>
          <w:szCs w:val="21"/>
          <w:highlight w:val="none"/>
        </w:rPr>
        <w:t>有色</w:t>
      </w:r>
      <w:r>
        <w:rPr>
          <w:rFonts w:cs="Times New Roman"/>
          <w:color w:val="auto"/>
          <w:szCs w:val="21"/>
          <w:highlight w:val="none"/>
        </w:rPr>
        <w:t>金属行业</w:t>
      </w:r>
      <w:r>
        <w:rPr>
          <w:rFonts w:hint="eastAsia" w:cs="Times New Roman"/>
          <w:color w:val="auto"/>
          <w:szCs w:val="21"/>
          <w:highlight w:val="none"/>
        </w:rPr>
        <w:t>、</w:t>
      </w:r>
      <w:r>
        <w:rPr>
          <w:rFonts w:cs="Times New Roman"/>
          <w:color w:val="auto"/>
          <w:szCs w:val="21"/>
          <w:highlight w:val="none"/>
        </w:rPr>
        <w:t>数字化仿真相关术语做出规定。</w:t>
      </w:r>
    </w:p>
    <w:p>
      <w:pPr>
        <w:pStyle w:val="5"/>
        <w:numPr>
          <w:ilvl w:val="0"/>
          <w:numId w:val="0"/>
        </w:numPr>
        <w:rPr>
          <w:highlight w:val="none"/>
        </w:rPr>
      </w:pPr>
      <w:r>
        <w:rPr>
          <w:rFonts w:hint="eastAsia"/>
          <w:highlight w:val="none"/>
        </w:rPr>
        <w:t>5</w:t>
      </w:r>
      <w:r>
        <w:rPr>
          <w:highlight w:val="none"/>
        </w:rPr>
        <w:t>.</w:t>
      </w:r>
      <w:r>
        <w:rPr>
          <w:rFonts w:hint="eastAsia"/>
          <w:highlight w:val="none"/>
          <w:lang w:val="en-US" w:eastAsia="zh-CN"/>
        </w:rPr>
        <w:t>4</w:t>
      </w:r>
      <w:r>
        <w:rPr>
          <w:highlight w:val="none"/>
        </w:rPr>
        <w:t xml:space="preserve"> 总则</w:t>
      </w:r>
    </w:p>
    <w:p>
      <w:pPr>
        <w:ind w:firstLine="480"/>
        <w:rPr>
          <w:rFonts w:hint="eastAsia" w:cs="Times New Roman"/>
          <w:szCs w:val="21"/>
          <w:highlight w:val="none"/>
        </w:rPr>
      </w:pPr>
      <w:r>
        <w:rPr>
          <w:rFonts w:cs="Times New Roman"/>
          <w:szCs w:val="21"/>
          <w:highlight w:val="none"/>
        </w:rPr>
        <w:t>对</w:t>
      </w:r>
      <w:r>
        <w:rPr>
          <w:rFonts w:hint="eastAsia" w:cs="Times New Roman"/>
          <w:szCs w:val="21"/>
          <w:highlight w:val="none"/>
        </w:rPr>
        <w:t>有色金属行业数字仿真</w:t>
      </w:r>
      <w:r>
        <w:rPr>
          <w:rFonts w:cs="Times New Roman"/>
          <w:szCs w:val="21"/>
          <w:highlight w:val="none"/>
        </w:rPr>
        <w:t>的总体框架</w:t>
      </w:r>
      <w:r>
        <w:rPr>
          <w:rFonts w:hint="eastAsia" w:cs="Times New Roman"/>
          <w:szCs w:val="21"/>
          <w:highlight w:val="none"/>
        </w:rPr>
        <w:t>、</w:t>
      </w:r>
      <w:r>
        <w:rPr>
          <w:rFonts w:cs="Times New Roman"/>
          <w:szCs w:val="21"/>
          <w:highlight w:val="none"/>
        </w:rPr>
        <w:t>基本流程做出规定。</w:t>
      </w:r>
    </w:p>
    <w:p>
      <w:pPr>
        <w:ind w:firstLine="480"/>
        <w:rPr>
          <w:rFonts w:cs="Times New Roman"/>
          <w:szCs w:val="21"/>
          <w:highlight w:val="none"/>
        </w:rPr>
      </w:pPr>
      <w:r>
        <w:rPr>
          <w:rFonts w:cs="Times New Roman"/>
          <w:szCs w:val="21"/>
          <w:highlight w:val="none"/>
        </w:rPr>
        <w:t>（1）总体框架</w:t>
      </w:r>
    </w:p>
    <w:p>
      <w:pPr>
        <w:ind w:firstLine="480"/>
        <w:rPr>
          <w:rFonts w:hint="eastAsia" w:cs="Times New Roman"/>
          <w:szCs w:val="21"/>
          <w:highlight w:val="none"/>
        </w:rPr>
      </w:pPr>
      <w:r>
        <w:rPr>
          <w:rFonts w:hint="eastAsia" w:cs="Times New Roman"/>
          <w:szCs w:val="21"/>
          <w:highlight w:val="none"/>
        </w:rPr>
        <w:t>本条确定了有色金属行业数字仿真工作的总体框架，涵盖了有色金属行业流体仿真、结构仿真、电磁场仿真、颗粒相仿真、</w:t>
      </w:r>
      <w:r>
        <w:rPr>
          <w:rFonts w:hint="eastAsia"/>
          <w:highlight w:val="none"/>
        </w:rPr>
        <w:t>多物理场耦合仿真</w:t>
      </w:r>
      <w:r>
        <w:rPr>
          <w:rFonts w:hint="eastAsia"/>
          <w:highlight w:val="none"/>
          <w:lang w:eastAsia="zh-CN"/>
        </w:rPr>
        <w:t>、</w:t>
      </w:r>
      <w:r>
        <w:rPr>
          <w:rFonts w:hint="eastAsia" w:cs="Times New Roman"/>
          <w:szCs w:val="21"/>
          <w:highlight w:val="none"/>
        </w:rPr>
        <w:t>系统仿真等数字仿真</w:t>
      </w:r>
      <w:r>
        <w:rPr>
          <w:rFonts w:hint="eastAsia" w:cs="Times New Roman"/>
          <w:szCs w:val="21"/>
          <w:highlight w:val="none"/>
          <w:lang w:val="en-US" w:eastAsia="zh-CN"/>
        </w:rPr>
        <w:t>方向</w:t>
      </w:r>
      <w:r>
        <w:rPr>
          <w:rFonts w:hint="eastAsia" w:cs="Times New Roman"/>
          <w:szCs w:val="21"/>
          <w:highlight w:val="none"/>
        </w:rPr>
        <w:t>。</w:t>
      </w:r>
    </w:p>
    <w:p>
      <w:pPr>
        <w:ind w:left="480" w:firstLine="0" w:firstLineChars="0"/>
        <w:rPr>
          <w:rFonts w:hint="eastAsia" w:cs="Times New Roman"/>
          <w:szCs w:val="21"/>
          <w:highlight w:val="none"/>
        </w:rPr>
      </w:pPr>
      <w:r>
        <w:rPr>
          <w:rFonts w:hint="eastAsia" w:cs="Times New Roman"/>
          <w:szCs w:val="21"/>
          <w:highlight w:val="none"/>
        </w:rPr>
        <w:t>（2）基本流程</w:t>
      </w:r>
    </w:p>
    <w:p>
      <w:pPr>
        <w:ind w:firstLine="480"/>
        <w:rPr>
          <w:rFonts w:cs="Times New Roman"/>
          <w:szCs w:val="21"/>
          <w:highlight w:val="none"/>
        </w:rPr>
      </w:pPr>
      <w:r>
        <w:rPr>
          <w:rFonts w:cs="Times New Roman"/>
          <w:szCs w:val="21"/>
          <w:highlight w:val="none"/>
        </w:rPr>
        <w:t>本条确定了有色金属行业数字仿真的基本流程</w:t>
      </w:r>
      <w:r>
        <w:rPr>
          <w:rFonts w:hint="eastAsia" w:cs="Times New Roman"/>
          <w:szCs w:val="21"/>
          <w:highlight w:val="none"/>
        </w:rPr>
        <w:t>，包括</w:t>
      </w:r>
      <w:r>
        <w:rPr>
          <w:rFonts w:hint="eastAsia"/>
          <w:szCs w:val="22"/>
          <w:highlight w:val="none"/>
        </w:rPr>
        <w:t>仿真建模、仿真计算、仿真分析、结果评估、结果输出</w:t>
      </w:r>
      <w:r>
        <w:rPr>
          <w:rFonts w:hint="eastAsia" w:cs="Times New Roman"/>
          <w:szCs w:val="21"/>
          <w:highlight w:val="none"/>
        </w:rPr>
        <w:t>。</w:t>
      </w:r>
    </w:p>
    <w:p>
      <w:pPr>
        <w:pStyle w:val="5"/>
        <w:numPr>
          <w:ilvl w:val="0"/>
          <w:numId w:val="0"/>
        </w:numPr>
        <w:rPr>
          <w:rFonts w:hint="eastAsia" w:ascii="Times New Roman" w:hAnsi="Times New Roman"/>
          <w:highlight w:val="none"/>
        </w:rPr>
      </w:pPr>
      <w:r>
        <w:rPr>
          <w:rFonts w:hint="eastAsia" w:ascii="Times New Roman" w:hAnsi="Times New Roman"/>
          <w:highlight w:val="none"/>
        </w:rPr>
        <w:t>5.</w:t>
      </w:r>
      <w:r>
        <w:rPr>
          <w:rFonts w:hint="eastAsia" w:ascii="Times New Roman" w:hAnsi="Times New Roman"/>
          <w:highlight w:val="none"/>
          <w:lang w:val="en-US" w:eastAsia="zh-CN"/>
        </w:rPr>
        <w:t>5</w:t>
      </w:r>
      <w:r>
        <w:rPr>
          <w:rFonts w:hint="eastAsia" w:ascii="Times New Roman" w:hAnsi="Times New Roman"/>
          <w:highlight w:val="none"/>
        </w:rPr>
        <w:t xml:space="preserve"> 仿真建模</w:t>
      </w:r>
    </w:p>
    <w:p>
      <w:pPr>
        <w:ind w:firstLine="480"/>
        <w:rPr>
          <w:rFonts w:cs="Times New Roman"/>
          <w:szCs w:val="21"/>
          <w:highlight w:val="none"/>
        </w:rPr>
      </w:pPr>
      <w:r>
        <w:rPr>
          <w:rFonts w:cs="Times New Roman"/>
          <w:szCs w:val="21"/>
          <w:highlight w:val="none"/>
        </w:rPr>
        <w:t>本</w:t>
      </w:r>
      <w:r>
        <w:rPr>
          <w:rFonts w:hint="eastAsia" w:cs="Times New Roman"/>
          <w:szCs w:val="21"/>
          <w:highlight w:val="none"/>
          <w:lang w:val="en-US" w:eastAsia="zh-CN"/>
        </w:rPr>
        <w:t>条</w:t>
      </w:r>
      <w:r>
        <w:rPr>
          <w:rFonts w:cs="Times New Roman"/>
          <w:szCs w:val="21"/>
          <w:highlight w:val="none"/>
        </w:rPr>
        <w:t>内容规定了</w:t>
      </w:r>
      <w:r>
        <w:rPr>
          <w:rFonts w:hint="eastAsia"/>
          <w:highlight w:val="none"/>
        </w:rPr>
        <w:t>有色</w:t>
      </w:r>
      <w:r>
        <w:rPr>
          <w:rFonts w:hint="eastAsia" w:ascii="Times New Roman" w:hAnsi="Times New Roman" w:cs="Times New Roman"/>
          <w:szCs w:val="21"/>
          <w:highlight w:val="none"/>
        </w:rPr>
        <w:t>金属行业</w:t>
      </w:r>
      <w:r>
        <w:rPr>
          <w:rFonts w:hint="eastAsia" w:ascii="Times New Roman" w:hAnsi="Times New Roman" w:cs="Times New Roman"/>
          <w:szCs w:val="21"/>
          <w:highlight w:val="none"/>
          <w:lang w:val="en-US" w:eastAsia="zh-CN"/>
        </w:rPr>
        <w:t>数字</w:t>
      </w:r>
      <w:r>
        <w:rPr>
          <w:rFonts w:ascii="Times New Roman" w:hAnsi="Times New Roman" w:cs="Times New Roman"/>
          <w:szCs w:val="21"/>
          <w:highlight w:val="none"/>
        </w:rPr>
        <w:t>仿真</w:t>
      </w:r>
      <w:r>
        <w:rPr>
          <w:rFonts w:hint="eastAsia" w:ascii="Times New Roman" w:hAnsi="Times New Roman" w:cs="Times New Roman"/>
          <w:szCs w:val="21"/>
          <w:highlight w:val="none"/>
          <w:lang w:val="en-US" w:eastAsia="zh-CN"/>
        </w:rPr>
        <w:t>建模</w:t>
      </w:r>
      <w:r>
        <w:rPr>
          <w:rFonts w:cs="Times New Roman"/>
          <w:szCs w:val="21"/>
          <w:highlight w:val="none"/>
        </w:rPr>
        <w:t>的关键要素和技术要求</w:t>
      </w:r>
      <w:r>
        <w:rPr>
          <w:rFonts w:hint="eastAsia" w:cs="Times New Roman"/>
          <w:szCs w:val="21"/>
          <w:highlight w:val="none"/>
        </w:rPr>
        <w:t>。</w:t>
      </w:r>
    </w:p>
    <w:p>
      <w:pPr>
        <w:ind w:firstLine="480" w:firstLineChars="200"/>
        <w:rPr>
          <w:rFonts w:hint="eastAsia"/>
          <w:highlight w:val="none"/>
        </w:rPr>
      </w:pPr>
      <w:r>
        <w:rPr>
          <w:rFonts w:hint="eastAsia"/>
          <w:highlight w:val="none"/>
        </w:rPr>
        <w:t>仿真建模包括</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highlight w:val="none"/>
        </w:rPr>
        <w:t>所涉及流体仿真、结构仿真、电磁场仿真、颗粒相仿真、多物理场耦合仿真及系统仿真的模型建立。</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5.5.1 关键要素</w:t>
      </w:r>
    </w:p>
    <w:p>
      <w:pPr>
        <w:ind w:firstLine="480"/>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建立可描述仿真目标的物理或数学模型，模型建立的关键要素如下：</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highlight w:val="none"/>
          <w:lang w:val="en-US" w:eastAsia="zh-CN"/>
        </w:rPr>
        <w:t>——几何模型：应根据仿真目标对</w:t>
      </w:r>
      <w:r>
        <w:rPr>
          <w:rFonts w:hint="eastAsia" w:ascii="Times New Roman" w:hAnsi="Times New Roman" w:cs="Times New Roman"/>
          <w:szCs w:val="21"/>
          <w:lang w:val="en-US" w:eastAsia="zh-CN"/>
        </w:rPr>
        <w:t>模型进行简化处理；</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——网格划分：通过空间网格实现空间的离散化，应根据仿真目标调整网格的疏密分布；</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——边界条件：应针对仿真目标设定符合实际情况的边界条件；</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——模型检查：应从网格质量、输入参数、边界条件等方面对所建立模型进行检查；</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——空间结构类型：针对系统仿真中模型所处空间的描述。</w:t>
      </w:r>
    </w:p>
    <w:p>
      <w:pPr>
        <w:pStyle w:val="6"/>
        <w:rPr>
          <w:rFonts w:hint="eastAsia" w:ascii="Times New Roman" w:hAnsi="Times New Roman"/>
          <w:lang w:val="en-US" w:eastAsia="zh-CN"/>
        </w:rPr>
      </w:pPr>
      <w:r>
        <w:rPr>
          <w:rFonts w:hint="eastAsia" w:ascii="Times New Roman" w:hAnsi="Times New Roman"/>
          <w:lang w:val="en-US" w:eastAsia="zh-CN"/>
        </w:rPr>
        <w:t>5.5.2  技术要求</w:t>
      </w:r>
    </w:p>
    <w:p>
      <w:pPr>
        <w:ind w:firstLine="480"/>
        <w:rPr>
          <w:rFonts w:hint="eastAsia" w:ascii="Times New Roman" w:hAnsi="Times New Roman" w:cs="Times New Roman"/>
          <w:szCs w:val="21"/>
          <w:lang w:val="en-US" w:eastAsia="zh-CN"/>
        </w:rPr>
      </w:pPr>
      <w:r>
        <w:rPr>
          <w:rFonts w:cs="Times New Roman"/>
          <w:szCs w:val="21"/>
        </w:rPr>
        <w:t>（1）</w:t>
      </w:r>
      <w:r>
        <w:rPr>
          <w:rFonts w:hint="eastAsia" w:ascii="Times New Roman" w:hAnsi="Times New Roman" w:cs="Times New Roman"/>
          <w:szCs w:val="21"/>
          <w:lang w:val="en-US" w:eastAsia="zh-CN"/>
        </w:rPr>
        <w:t>几何模型</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开始几何模型建立前，应首先对坐标系、单位制进行设定。坐标系由右手定则来确定，宜采用笛卡尔直角坐标系，必要时可选用柱坐标系或球坐标系。分析建模时应定义全局坐标系，当模型载荷、约束或结果显示需求与全局坐标系不一致时，可增加局部坐标系。单位制应统一且简洁，工程上可使用常用单位制。</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几何模型的建立可采用以下两种方法：</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a)几何模型导入法：将 CAD 设计模型导入仿真分析前处理软件进行建模。该方法可以建立复杂三维仿真模型，但导入时需要进行模型简化，部分模型特征可能会有丢失，模型参数化不方便；</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b)直接建模法：在仿真分析前处理软件直接建模。该方法便于模型参数化，适合简单模型建模，但一般软件的建模效率不及专业 CAD 设计工具，对于复杂模型建模比较困难。</w:t>
      </w:r>
    </w:p>
    <w:p>
      <w:pPr>
        <w:ind w:firstLine="480"/>
        <w:rPr>
          <w:rFonts w:hint="eastAsia" w:ascii="Times New Roman" w:hAnsi="Times New Roman" w:cs="Times New Roman"/>
          <w:szCs w:val="21"/>
          <w:lang w:val="en-US" w:eastAsia="zh-CN"/>
        </w:rPr>
      </w:pPr>
      <w:r>
        <w:rPr>
          <w:rFonts w:cs="Times New Roman"/>
          <w:szCs w:val="21"/>
        </w:rPr>
        <w:t>（</w:t>
      </w:r>
      <w:r>
        <w:rPr>
          <w:rFonts w:hint="eastAsia" w:cs="Times New Roman"/>
          <w:szCs w:val="21"/>
          <w:lang w:val="en-US" w:eastAsia="zh-CN"/>
        </w:rPr>
        <w:t>2</w:t>
      </w:r>
      <w:r>
        <w:rPr>
          <w:rFonts w:cs="Times New Roman"/>
          <w:szCs w:val="21"/>
        </w:rPr>
        <w:t>）</w:t>
      </w:r>
      <w:r>
        <w:rPr>
          <w:rFonts w:hint="eastAsia" w:ascii="Times New Roman" w:hAnsi="Times New Roman" w:cs="Times New Roman"/>
          <w:szCs w:val="21"/>
          <w:lang w:val="en-US" w:eastAsia="zh-CN"/>
        </w:rPr>
        <w:t>空间结构类型</w:t>
      </w:r>
    </w:p>
    <w:p>
      <w:pPr>
        <w:ind w:firstLine="480" w:firstLineChars="200"/>
        <w:rPr>
          <w:rFonts w:hint="eastAsia"/>
        </w:rPr>
      </w:pPr>
      <w:r>
        <w:rPr>
          <w:rFonts w:hint="eastAsia"/>
        </w:rPr>
        <w:t>应根据仿真目的选择相应的空间结构类型；</w:t>
      </w:r>
    </w:p>
    <w:p>
      <w:pPr>
        <w:ind w:firstLine="480"/>
        <w:rPr>
          <w:rFonts w:hint="eastAsia" w:ascii="Times New Roman" w:hAnsi="Times New Roman" w:cs="Times New Roman"/>
          <w:szCs w:val="21"/>
          <w:lang w:val="en-US" w:eastAsia="zh-CN"/>
        </w:rPr>
      </w:pPr>
      <w:r>
        <w:rPr>
          <w:rFonts w:hint="eastAsia"/>
        </w:rPr>
        <w:t>a)</w:t>
      </w:r>
      <w:r>
        <w:rPr>
          <w:rFonts w:hint="eastAsia" w:ascii="Times New Roman" w:hAnsi="Times New Roman" w:cs="Times New Roman"/>
          <w:szCs w:val="21"/>
          <w:lang w:val="en-US" w:eastAsia="zh-CN"/>
        </w:rPr>
        <w:t>模型范围较广，设计多个厂区之间时，应采用GIS空间结构；</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b)模型范围有限，存在同个厂区或厂房内，可采用连续空间结构，默认为xyz三维空间；</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c)仅需要描述二维空间时，可采用离散空间结构，只有二维网格空间，通过行和列来标记空间。</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 网格划分</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a) 网格疏密程度：在仿真过程中，空间的离散化通过空间网格来实现，网格疏密分布对计算结果会带来很大的影响。例如在进行冶金炉内流体仿真时，在流场变化平缓的空间区域/位置，可采用较疏的网格，在流场变化剧烈的位置，需采用较密的网格。</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b)网格质量检查：网格生成后，应对网格质量进行检查。网格质量直接影响仿真精度，甚至导致发散，直接决定计算能否取得成功。为避免出现奇异网格，网格尽量大小均匀分布或网格大小/疏密分布逐步平滑过渡，应保证重点关注区域的网格质量高，非关注区域的网格质量可适当降低。</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c)网格无关性验证：对于仿真计算，为保证计算结果的一致性及计算精度，应进行网格无关性验证。网格无关性验证是为了评估或排除网格差异带来的系统误差。网格无关性验证的基本原则是逐渐优化/加密网格，直至经过网格加密迭代之后计算结果稳定收敛。</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 边界条件</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应全面考虑仿真所需的全部边界条件，边界条件应符合实际情况，复杂边界条件可在不过分影响计算结果的前提下进行适当简化。</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（5） 模型检查</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在提交求解前应进行充分的质量检查，确保模型网格质量，输入参数的正确性，边界条件的合理性等，模型质量检查主要包括：</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a)单位制检查，检查模型单位制是否统一，不应存在单位冲突情况；</w:t>
      </w:r>
    </w:p>
    <w:p>
      <w:pPr>
        <w:ind w:firstLine="48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b)网格质量检查，网格质量应满足计算要求，网格模型对计算结果的影响应降到最低；</w:t>
      </w:r>
    </w:p>
    <w:p>
      <w:pPr>
        <w:ind w:firstLine="480" w:firstLineChars="200"/>
        <w:rPr>
          <w:rFonts w:hint="eastAsia"/>
        </w:rPr>
      </w:pPr>
      <w:r>
        <w:rPr>
          <w:rFonts w:hint="eastAsia"/>
        </w:rPr>
        <w:t>c)数学模型检查，确保使用的数学模型能够准确描述模拟的物理过程，数学模型参数应进行校准；</w:t>
      </w:r>
    </w:p>
    <w:p>
      <w:pPr>
        <w:ind w:firstLine="480" w:firstLineChars="200"/>
        <w:rPr>
          <w:rFonts w:hint="eastAsia"/>
        </w:rPr>
      </w:pPr>
      <w:r>
        <w:rPr>
          <w:rFonts w:hint="eastAsia"/>
        </w:rPr>
        <w:t>d)边界条件检查，所有影响仿真结果的边界条件应与实际情况相符；</w:t>
      </w:r>
    </w:p>
    <w:p>
      <w:pPr>
        <w:ind w:firstLine="480" w:firstLineChars="200"/>
        <w:rPr>
          <w:rFonts w:hint="eastAsia"/>
        </w:rPr>
      </w:pPr>
      <w:r>
        <w:rPr>
          <w:rFonts w:hint="eastAsia"/>
        </w:rPr>
        <w:t>e)求解设置检查，求解方法需根据模拟情况进行选择，收敛参数应平衡计算速度和计算收敛性，初始条件应利于计算收敛；</w:t>
      </w:r>
    </w:p>
    <w:p>
      <w:pPr>
        <w:pStyle w:val="2"/>
        <w:rPr>
          <w:rFonts w:hint="eastAsia" w:cs="Times New Roman"/>
          <w:szCs w:val="21"/>
        </w:rPr>
      </w:pPr>
      <w:r>
        <w:rPr>
          <w:rFonts w:hint="eastAsia"/>
        </w:rPr>
        <w:t>其它检查，特殊情况如使用动网格或数据耦合接口等，应进行单独的检查。</w:t>
      </w:r>
    </w:p>
    <w:p>
      <w:pPr>
        <w:pStyle w:val="4"/>
        <w:rPr>
          <w:rFonts w:hint="eastAsia" w:ascii="Times New Roman" w:hAnsi="Times New Roman"/>
          <w:highlight w:val="none"/>
          <w:lang w:val="en-US" w:eastAsia="zh-CN"/>
        </w:rPr>
      </w:pPr>
      <w:r>
        <w:rPr>
          <w:rFonts w:hint="eastAsia" w:ascii="Times New Roman" w:hAnsi="Times New Roman"/>
          <w:lang w:val="en-US" w:eastAsia="zh-CN"/>
        </w:rPr>
        <w:t>5.6</w:t>
      </w:r>
      <w:r>
        <w:rPr>
          <w:rFonts w:hint="eastAsia" w:ascii="Times New Roman" w:hAnsi="Times New Roman"/>
          <w:highlight w:val="none"/>
          <w:lang w:val="en-US" w:eastAsia="zh-CN"/>
        </w:rPr>
        <w:t>仿真计算</w:t>
      </w:r>
    </w:p>
    <w:p>
      <w:pPr>
        <w:ind w:firstLine="480"/>
        <w:rPr>
          <w:rFonts w:hint="default" w:eastAsia="宋体" w:cs="Times New Roman"/>
          <w:szCs w:val="21"/>
          <w:highlight w:val="none"/>
          <w:lang w:val="en-US" w:eastAsia="zh-CN"/>
        </w:rPr>
      </w:pPr>
      <w:r>
        <w:rPr>
          <w:rFonts w:cs="Times New Roman"/>
          <w:szCs w:val="21"/>
          <w:highlight w:val="none"/>
        </w:rPr>
        <w:t>本</w:t>
      </w:r>
      <w:r>
        <w:rPr>
          <w:rFonts w:hint="eastAsia" w:cs="Times New Roman"/>
          <w:szCs w:val="21"/>
          <w:highlight w:val="none"/>
          <w:lang w:val="en-US" w:eastAsia="zh-CN"/>
        </w:rPr>
        <w:t>条</w:t>
      </w:r>
      <w:r>
        <w:rPr>
          <w:rFonts w:cs="Times New Roman"/>
          <w:szCs w:val="21"/>
          <w:highlight w:val="none"/>
        </w:rPr>
        <w:t>内容规定了</w:t>
      </w:r>
      <w:r>
        <w:rPr>
          <w:rFonts w:hint="eastAsia"/>
          <w:highlight w:val="none"/>
        </w:rPr>
        <w:t>有色</w:t>
      </w:r>
      <w:r>
        <w:rPr>
          <w:rFonts w:hint="eastAsia" w:ascii="Times New Roman" w:hAnsi="Times New Roman" w:cs="Times New Roman"/>
          <w:szCs w:val="21"/>
          <w:highlight w:val="none"/>
        </w:rPr>
        <w:t>金属行业</w:t>
      </w:r>
      <w:r>
        <w:rPr>
          <w:rFonts w:hint="eastAsia" w:ascii="Times New Roman" w:hAnsi="Times New Roman" w:cs="Times New Roman"/>
          <w:szCs w:val="21"/>
          <w:highlight w:val="none"/>
          <w:lang w:val="en-US" w:eastAsia="zh-CN"/>
        </w:rPr>
        <w:t>涉及</w:t>
      </w:r>
      <w:r>
        <w:rPr>
          <w:rFonts w:hint="eastAsia" w:cs="Times New Roman"/>
          <w:highlight w:val="none"/>
          <w:lang w:val="en-US" w:eastAsia="zh-CN"/>
        </w:rPr>
        <w:t>的仿真计算方法与计算硬件要求。</w:t>
      </w:r>
    </w:p>
    <w:p>
      <w:pPr>
        <w:pStyle w:val="6"/>
        <w:rPr>
          <w:rFonts w:hint="eastAsia" w:ascii="Times New Roman" w:hAnsi="Times New Roman"/>
          <w:highlight w:val="none"/>
        </w:rPr>
      </w:pPr>
      <w:r>
        <w:rPr>
          <w:rFonts w:hint="eastAsia" w:ascii="Times New Roman" w:hAnsi="Times New Roman"/>
          <w:highlight w:val="none"/>
          <w:lang w:val="en-US" w:eastAsia="zh-CN"/>
        </w:rPr>
        <w:t>5.</w:t>
      </w:r>
      <w:r>
        <w:rPr>
          <w:rFonts w:hint="eastAsia" w:ascii="Times New Roman" w:hAnsi="Times New Roman"/>
          <w:highlight w:val="none"/>
        </w:rPr>
        <w:t>6.1  仿真计算方法</w:t>
      </w:r>
    </w:p>
    <w:p>
      <w:pPr>
        <w:pStyle w:val="2"/>
        <w:rPr>
          <w:rFonts w:hint="eastAsia"/>
          <w:highlight w:val="none"/>
        </w:rPr>
      </w:pPr>
      <w:r>
        <w:rPr>
          <w:rFonts w:hint="eastAsia"/>
          <w:highlight w:val="none"/>
        </w:rPr>
        <w:t>a)</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highlight w:val="none"/>
        </w:rPr>
        <w:t>所涉及的单体设备及工艺过程的流体仿真、结构仿真、电磁场仿真、颗粒相仿真及多物理场耦合仿真分析：应明确求解器类型、</w:t>
      </w:r>
      <w:r>
        <w:rPr>
          <w:rFonts w:hint="eastAsia" w:ascii="Times New Roman" w:hAnsi="Times New Roman"/>
          <w:highlight w:val="none"/>
        </w:rPr>
        <w:t>计算时间步长</w:t>
      </w:r>
      <w:r>
        <w:rPr>
          <w:rFonts w:hint="eastAsia" w:ascii="Times New Roman" w:hAnsi="Times New Roman"/>
          <w:highlight w:val="none"/>
          <w:lang w:eastAsia="zh-CN"/>
        </w:rPr>
        <w:t>、</w:t>
      </w:r>
      <w:r>
        <w:rPr>
          <w:rFonts w:hint="eastAsia"/>
          <w:highlight w:val="none"/>
        </w:rPr>
        <w:t>求解收敛参数、初场定义方式等</w:t>
      </w:r>
      <w:r>
        <w:rPr>
          <w:rFonts w:hint="eastAsia"/>
          <w:highlight w:val="none"/>
          <w:lang w:eastAsia="zh-CN"/>
        </w:rPr>
        <w:t>，</w:t>
      </w:r>
      <w:r>
        <w:rPr>
          <w:rFonts w:hint="eastAsia" w:ascii="Times New Roman" w:hAnsi="Times New Roman"/>
          <w:highlight w:val="none"/>
        </w:rPr>
        <w:t>提交求解之前应对分析类型、输出内容、分析数据管理等进行设置和检查确认，</w:t>
      </w:r>
      <w:r>
        <w:rPr>
          <w:rFonts w:hint="eastAsia"/>
          <w:highlight w:val="none"/>
        </w:rPr>
        <w:t>可以根据残差的量级和关键参数的波动范围来判断收敛，一般情况下，如果关键参数变化小于一定范围，同时残差达到一定量级，可认为收敛。</w:t>
      </w:r>
    </w:p>
    <w:p>
      <w:pPr>
        <w:ind w:firstLine="480" w:firstLineChars="200"/>
        <w:rPr>
          <w:rFonts w:hint="eastAsia" w:ascii="Times New Roman" w:hAnsi="Times New Roman"/>
          <w:highlight w:val="none"/>
        </w:rPr>
      </w:pPr>
      <w:r>
        <w:rPr>
          <w:rFonts w:hint="eastAsia" w:ascii="Times New Roman" w:hAnsi="Times New Roman"/>
          <w:highlight w:val="none"/>
          <w:lang w:val="en-US" w:eastAsia="zh-CN"/>
        </w:rPr>
        <w:t>b</w:t>
      </w:r>
      <w:r>
        <w:rPr>
          <w:rFonts w:hint="eastAsia" w:ascii="Times New Roman" w:hAnsi="Times New Roman"/>
          <w:highlight w:val="none"/>
        </w:rPr>
        <w:t xml:space="preserve">) </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ascii="Times New Roman" w:hAnsi="Times New Roman"/>
          <w:highlight w:val="none"/>
        </w:rPr>
        <w:t>所涉及系统仿真分析：仿真环境中模型标尺应与实际场景保持一致；应明确仿真数据格式约束和时间步长等；应明确仿真终止条件。</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5.6.2  计算硬件要求</w:t>
      </w:r>
    </w:p>
    <w:p>
      <w:pPr>
        <w:jc w:val="center"/>
        <w:rPr>
          <w:rFonts w:hint="default"/>
          <w:szCs w:val="21"/>
          <w:highlight w:val="none"/>
          <w:lang w:val="en-US"/>
        </w:rPr>
      </w:pPr>
      <w:r>
        <w:rPr>
          <w:rFonts w:hint="eastAsia"/>
          <w:szCs w:val="21"/>
          <w:highlight w:val="none"/>
          <w:lang w:val="en-US" w:eastAsia="zh-CN"/>
        </w:rPr>
        <w:t>表1</w:t>
      </w:r>
      <w:r>
        <w:rPr>
          <w:rFonts w:hint="eastAsia"/>
          <w:szCs w:val="21"/>
          <w:highlight w:val="none"/>
        </w:rPr>
        <w:t xml:space="preserve">. </w:t>
      </w:r>
      <w:r>
        <w:rPr>
          <w:rFonts w:hint="eastAsia" w:ascii="Times New Roman"/>
          <w:highlight w:val="none"/>
        </w:rPr>
        <w:t>有色金属</w:t>
      </w:r>
      <w:r>
        <w:rPr>
          <w:rFonts w:hint="eastAsia" w:ascii="Times New Roman"/>
          <w:highlight w:val="none"/>
          <w:lang w:val="en-US" w:eastAsia="zh-CN"/>
        </w:rPr>
        <w:t>行业数字仿真计算硬件要求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1441"/>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rPr>
                <w:rFonts w:hint="eastAsia" w:ascii="Times New Roman" w:hAnsi="Times New Roman" w:eastAsia="宋体" w:cstheme="minorBidi"/>
                <w:kern w:val="2"/>
                <w:sz w:val="24"/>
                <w:szCs w:val="24"/>
                <w:lang w:val="en-US" w:eastAsia="zh-CN" w:bidi="ar-SA"/>
              </w:rPr>
            </w:pP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CPU并行</w:t>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GPU加速</w:t>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内存容量</w:t>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硬盘读写速率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流体仿真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结构仿真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电磁场仿真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颗粒相仿真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多场耦合仿真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系统仿真</w:t>
            </w:r>
          </w:p>
        </w:tc>
        <w:tc>
          <w:tcPr>
            <w:tcW w:w="1559"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441"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c>
          <w:tcPr>
            <w:tcW w:w="1658" w:type="dxa"/>
            <w:noWrap w:val="0"/>
            <w:vAlign w:val="center"/>
          </w:tcPr>
          <w:p>
            <w:pPr>
              <w:pStyle w:val="32"/>
              <w:widowControl/>
              <w:ind w:firstLine="0" w:firstLineChars="0"/>
              <w:jc w:val="center"/>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p>
        </w:tc>
      </w:tr>
    </w:tbl>
    <w:p>
      <w:pPr>
        <w:pStyle w:val="32"/>
        <w:ind w:firstLine="0" w:firstLineChars="0"/>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注：</w:t>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t>代表低、</w:t>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t>代表一般、</w:t>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t>代表较高、</w:t>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sym w:font="Wingdings" w:char="F0AB"/>
      </w:r>
      <w:r>
        <w:rPr>
          <w:rFonts w:hint="eastAsia" w:ascii="Times New Roman" w:hAnsi="Times New Roman" w:eastAsia="宋体" w:cstheme="minorBidi"/>
          <w:kern w:val="2"/>
          <w:sz w:val="24"/>
          <w:szCs w:val="24"/>
          <w:lang w:val="en-US" w:eastAsia="zh-CN" w:bidi="ar-SA"/>
        </w:rPr>
        <w:t>代表高</w:t>
      </w:r>
    </w:p>
    <w:p>
      <w:pPr>
        <w:pStyle w:val="4"/>
        <w:rPr>
          <w:rFonts w:hint="eastAsia" w:ascii="Times New Roman" w:hAnsi="Times New Roman"/>
          <w:lang w:val="en-US" w:eastAsia="zh-CN"/>
        </w:rPr>
      </w:pPr>
    </w:p>
    <w:p>
      <w:pPr>
        <w:pStyle w:val="4"/>
        <w:rPr>
          <w:rFonts w:hint="eastAsia" w:ascii="Times New Roman" w:hAnsi="Times New Roman"/>
          <w:lang w:val="en-US" w:eastAsia="zh-CN"/>
        </w:rPr>
      </w:pPr>
      <w:r>
        <w:rPr>
          <w:rFonts w:hint="eastAsia" w:ascii="Times New Roman" w:hAnsi="Times New Roman"/>
          <w:lang w:val="en-US" w:eastAsia="zh-CN"/>
        </w:rPr>
        <w:t>5.7仿真分析</w:t>
      </w:r>
    </w:p>
    <w:p>
      <w:pPr>
        <w:rPr>
          <w:rFonts w:hint="default"/>
          <w:lang w:val="en-US" w:eastAsia="zh-CN"/>
        </w:rPr>
      </w:pPr>
      <w:r>
        <w:rPr>
          <w:rFonts w:cs="Times New Roman"/>
        </w:rPr>
        <w:t>本条规定了流体仿真</w:t>
      </w:r>
      <w:r>
        <w:rPr>
          <w:rFonts w:hint="eastAsia" w:cs="Times New Roman"/>
        </w:rPr>
        <w:t>、</w:t>
      </w:r>
      <w:r>
        <w:rPr>
          <w:rFonts w:cs="Times New Roman"/>
        </w:rPr>
        <w:t>结构仿真</w:t>
      </w:r>
      <w:r>
        <w:rPr>
          <w:rFonts w:hint="eastAsia" w:cs="Times New Roman"/>
        </w:rPr>
        <w:t>、</w:t>
      </w:r>
      <w:r>
        <w:rPr>
          <w:rFonts w:cs="Times New Roman"/>
        </w:rPr>
        <w:t>电磁场仿真</w:t>
      </w:r>
      <w:r>
        <w:rPr>
          <w:rFonts w:hint="eastAsia" w:cs="Times New Roman"/>
        </w:rPr>
        <w:t>、</w:t>
      </w:r>
      <w:r>
        <w:rPr>
          <w:rFonts w:cs="Times New Roman"/>
        </w:rPr>
        <w:t>颗粒相仿真</w:t>
      </w:r>
      <w:r>
        <w:rPr>
          <w:rFonts w:hint="eastAsia" w:cs="Times New Roman"/>
          <w:lang w:eastAsia="zh-CN"/>
        </w:rPr>
        <w:t>、</w:t>
      </w:r>
      <w:r>
        <w:rPr>
          <w:rFonts w:cs="Times New Roman"/>
        </w:rPr>
        <w:t>系统仿真的分析内容。不同仿真类型的研究对象和分析方法不同</w:t>
      </w:r>
      <w:r>
        <w:rPr>
          <w:rFonts w:hint="eastAsia" w:cs="Times New Roman"/>
        </w:rPr>
        <w:t>，在进行有色金属行业数字仿真时，</w:t>
      </w:r>
      <w:r>
        <w:rPr>
          <w:rFonts w:cs="Times New Roman"/>
        </w:rPr>
        <w:t>需要根据仿真分析的目标确定具体的分析内容</w:t>
      </w:r>
      <w:r>
        <w:rPr>
          <w:rFonts w:hint="eastAsia" w:cs="Times New Roman"/>
        </w:rPr>
        <w:t>。</w:t>
      </w:r>
    </w:p>
    <w:p>
      <w:pPr>
        <w:pStyle w:val="6"/>
        <w:rPr>
          <w:rFonts w:hint="eastAsia" w:ascii="Times New Roman" w:hAnsi="Times New Roman"/>
          <w:lang w:val="en-US" w:eastAsia="zh-CN"/>
        </w:rPr>
      </w:pPr>
      <w:r>
        <w:rPr>
          <w:rFonts w:hint="eastAsia" w:ascii="Times New Roman" w:hAnsi="Times New Roman"/>
          <w:lang w:val="en-US" w:eastAsia="zh-CN"/>
        </w:rPr>
        <w:t>5.7.1  流体仿真</w:t>
      </w:r>
    </w:p>
    <w:p>
      <w:pPr>
        <w:ind w:firstLine="480" w:firstLineChars="200"/>
        <w:rPr>
          <w:rFonts w:hint="eastAsia" w:ascii="Times New Roman" w:hAnsi="Times New Roman"/>
          <w:highlight w:val="none"/>
        </w:rPr>
      </w:pPr>
      <w:r>
        <w:rPr>
          <w:rFonts w:hint="eastAsia" w:ascii="Times New Roman" w:hAnsi="Times New Roman"/>
        </w:rPr>
        <w:t>针对流体的宏观运动与平衡进行研究。</w:t>
      </w:r>
      <w:r>
        <w:rPr>
          <w:rFonts w:hint="eastAsia" w:hAnsi="宋体" w:cs="宋体"/>
          <w:highlight w:val="none"/>
        </w:rPr>
        <w:t>通常</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ascii="Times New Roman" w:hAnsi="Times New Roman"/>
          <w:highlight w:val="none"/>
        </w:rPr>
        <w:t>所涉及</w:t>
      </w:r>
      <w:r>
        <w:rPr>
          <w:rFonts w:hint="eastAsia" w:ascii="Times New Roman" w:hAnsi="Times New Roman"/>
          <w:highlight w:val="none"/>
          <w:lang w:val="en-US" w:eastAsia="zh-CN"/>
        </w:rPr>
        <w:t>的单体</w:t>
      </w:r>
      <w:r>
        <w:rPr>
          <w:rFonts w:hint="eastAsia" w:ascii="Times New Roman" w:hAnsi="Times New Roman"/>
          <w:highlight w:val="none"/>
        </w:rPr>
        <w:t>设备</w:t>
      </w:r>
      <w:r>
        <w:rPr>
          <w:rFonts w:hint="eastAsia" w:ascii="Times New Roman" w:hAnsi="Times New Roman"/>
          <w:highlight w:val="none"/>
          <w:lang w:val="en-US" w:eastAsia="zh-CN"/>
        </w:rPr>
        <w:t>及工艺过程</w:t>
      </w:r>
      <w:r>
        <w:rPr>
          <w:rFonts w:hint="eastAsia" w:ascii="Times New Roman" w:hAnsi="Times New Roman"/>
          <w:highlight w:val="none"/>
        </w:rPr>
        <w:t>的气体、液体、流化固体及多种相态混合的多相流宜采用流体仿真进行。</w:t>
      </w:r>
    </w:p>
    <w:p>
      <w:pPr>
        <w:ind w:firstLine="480" w:firstLineChars="200"/>
        <w:rPr>
          <w:rFonts w:hint="eastAsia" w:ascii="Times New Roman" w:hAnsi="Times New Roman"/>
          <w:highlight w:val="none"/>
        </w:rPr>
      </w:pPr>
      <w:r>
        <w:rPr>
          <w:rFonts w:hint="eastAsia" w:ascii="Times New Roman" w:hAnsi="Times New Roman"/>
          <w:highlight w:val="none"/>
        </w:rPr>
        <w:t>通过流体仿真，可获得流场关键信息，如速度分布、压力分布、流体分布情况及形态等，并可对流体仿真结果进行可视化展示。</w:t>
      </w:r>
    </w:p>
    <w:p>
      <w:pPr>
        <w:ind w:firstLine="480" w:firstLineChars="200"/>
        <w:rPr>
          <w:rFonts w:hint="eastAsia" w:ascii="Times New Roman" w:hAnsi="Times New Roman"/>
          <w:highlight w:val="none"/>
        </w:rPr>
      </w:pPr>
      <w:r>
        <w:rPr>
          <w:rFonts w:hint="eastAsia" w:ascii="Times New Roman" w:hAnsi="Times New Roman"/>
          <w:highlight w:val="none"/>
        </w:rPr>
        <w:t>流体仿真可根据仿真目标</w:t>
      </w:r>
      <w:r>
        <w:rPr>
          <w:rFonts w:hint="eastAsia" w:hAnsi="宋体" w:cs="宋体"/>
          <w:highlight w:val="none"/>
          <w:lang w:val="en-US" w:eastAsia="zh-CN"/>
        </w:rPr>
        <w:t>主要</w:t>
      </w:r>
      <w:r>
        <w:rPr>
          <w:rFonts w:hint="eastAsia" w:ascii="Times New Roman" w:hAnsi="Times New Roman"/>
          <w:highlight w:val="none"/>
        </w:rPr>
        <w:t>进行以下分析：</w:t>
      </w:r>
    </w:p>
    <w:p>
      <w:pPr>
        <w:ind w:firstLine="480" w:firstLineChars="200"/>
        <w:rPr>
          <w:rFonts w:hint="eastAsia" w:ascii="Times New Roman" w:hAnsi="Times New Roman"/>
          <w:highlight w:val="none"/>
        </w:rPr>
      </w:pPr>
      <w:r>
        <w:rPr>
          <w:rFonts w:hint="eastAsia"/>
          <w:highlight w:val="none"/>
          <w:lang w:val="en-US" w:eastAsia="zh-CN"/>
        </w:rPr>
        <w:t>a)</w:t>
      </w:r>
      <w:r>
        <w:rPr>
          <w:rFonts w:hint="eastAsia" w:ascii="Times New Roman" w:hAnsi="Times New Roman"/>
          <w:highlight w:val="none"/>
        </w:rPr>
        <w:t>气-液等多相分布云图分析；</w:t>
      </w:r>
    </w:p>
    <w:p>
      <w:pPr>
        <w:ind w:firstLine="480" w:firstLineChars="200"/>
        <w:rPr>
          <w:rFonts w:hint="eastAsia" w:ascii="Times New Roman" w:hAnsi="Times New Roman"/>
          <w:highlight w:val="none"/>
        </w:rPr>
      </w:pPr>
      <w:r>
        <w:rPr>
          <w:rFonts w:hint="eastAsia"/>
          <w:highlight w:val="none"/>
          <w:lang w:val="en-US" w:eastAsia="zh-CN"/>
        </w:rPr>
        <w:t>b)</w:t>
      </w:r>
      <w:r>
        <w:rPr>
          <w:rFonts w:hint="eastAsia" w:ascii="Times New Roman" w:hAnsi="Times New Roman"/>
          <w:highlight w:val="none"/>
        </w:rPr>
        <w:t>速度云图，速度矢量图分析；</w:t>
      </w:r>
    </w:p>
    <w:p>
      <w:pPr>
        <w:ind w:firstLine="480" w:firstLineChars="200"/>
        <w:rPr>
          <w:rFonts w:hint="eastAsia" w:ascii="Times New Roman" w:hAnsi="Times New Roman"/>
          <w:highlight w:val="none"/>
        </w:rPr>
      </w:pPr>
      <w:r>
        <w:rPr>
          <w:rFonts w:hint="eastAsia" w:ascii="Times New Roman" w:hAnsi="Times New Roman" w:eastAsia="宋体" w:cstheme="minorBidi"/>
          <w:kern w:val="2"/>
          <w:sz w:val="24"/>
          <w:szCs w:val="24"/>
          <w:highlight w:val="none"/>
          <w:lang w:val="en-US" w:eastAsia="zh-CN" w:bidi="ar-SA"/>
        </w:rPr>
        <w:t>c)</w:t>
      </w:r>
      <w:r>
        <w:rPr>
          <w:rFonts w:hint="eastAsia" w:ascii="Times New Roman" w:hAnsi="Times New Roman"/>
          <w:highlight w:val="none"/>
        </w:rPr>
        <w:t>温度分布云图分析。</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5.7.2  结构仿真</w:t>
      </w:r>
    </w:p>
    <w:p>
      <w:pPr>
        <w:ind w:firstLine="480" w:firstLineChars="200"/>
        <w:rPr>
          <w:rFonts w:hint="eastAsia" w:ascii="Times New Roman" w:hAnsi="Times New Roman"/>
          <w:highlight w:val="none"/>
        </w:rPr>
      </w:pPr>
      <w:r>
        <w:rPr>
          <w:rFonts w:hint="eastAsia" w:ascii="Times New Roman" w:hAnsi="Times New Roman"/>
          <w:highlight w:val="none"/>
          <w:lang w:val="en-US" w:eastAsia="zh-CN"/>
        </w:rPr>
        <w:t>一般</w:t>
      </w:r>
      <w:r>
        <w:rPr>
          <w:rFonts w:hint="eastAsia" w:ascii="Times New Roman" w:hAnsi="Times New Roman"/>
          <w:highlight w:val="none"/>
        </w:rPr>
        <w:t>针对结构的弹性、塑性、蠕变、大变形、大应变等结构特性进行结构</w:t>
      </w:r>
      <w:r>
        <w:rPr>
          <w:rFonts w:hint="eastAsia" w:ascii="Times New Roman" w:hAnsi="Times New Roman"/>
          <w:highlight w:val="none"/>
          <w:lang w:val="en-US" w:eastAsia="zh-CN"/>
        </w:rPr>
        <w:t>仿真计算</w:t>
      </w:r>
      <w:r>
        <w:rPr>
          <w:rFonts w:hint="eastAsia" w:ascii="Times New Roman" w:hAnsi="Times New Roman"/>
          <w:highlight w:val="none"/>
        </w:rPr>
        <w:t>。</w:t>
      </w:r>
      <w:r>
        <w:rPr>
          <w:rFonts w:hint="eastAsia" w:hAnsi="宋体" w:cs="宋体"/>
          <w:highlight w:val="none"/>
        </w:rPr>
        <w:t>通常</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ascii="Times New Roman" w:hAnsi="Times New Roman"/>
          <w:highlight w:val="none"/>
        </w:rPr>
        <w:t>所涉及设备设施由外载荷引起的位移、应力和应变以及随时间变化的载荷对结构或部件的影响宜采用结构仿真进行。</w:t>
      </w:r>
    </w:p>
    <w:p>
      <w:pPr>
        <w:ind w:firstLine="480" w:firstLineChars="200"/>
        <w:rPr>
          <w:rFonts w:hint="eastAsia" w:ascii="Times New Roman" w:hAnsi="Times New Roman"/>
          <w:highlight w:val="none"/>
        </w:rPr>
      </w:pPr>
      <w:r>
        <w:rPr>
          <w:rFonts w:hint="eastAsia" w:ascii="Times New Roman" w:hAnsi="Times New Roman"/>
          <w:highlight w:val="none"/>
        </w:rPr>
        <w:t>通过结构仿真，可为设备结构强度校核，设备结构、工艺参数优化提供解决方案。</w:t>
      </w:r>
    </w:p>
    <w:p>
      <w:pPr>
        <w:ind w:firstLine="480" w:firstLineChars="200"/>
        <w:rPr>
          <w:rFonts w:hint="eastAsia" w:ascii="Times New Roman" w:hAnsi="Times New Roman"/>
          <w:highlight w:val="none"/>
        </w:rPr>
      </w:pPr>
      <w:r>
        <w:rPr>
          <w:rFonts w:hint="eastAsia" w:ascii="Times New Roman" w:hAnsi="Times New Roman"/>
          <w:highlight w:val="none"/>
        </w:rPr>
        <w:t>结构仿真可根据仿真目标</w:t>
      </w:r>
      <w:r>
        <w:rPr>
          <w:rFonts w:hint="eastAsia" w:hAnsi="宋体" w:cs="宋体"/>
          <w:highlight w:val="none"/>
          <w:lang w:val="en-US" w:eastAsia="zh-CN"/>
        </w:rPr>
        <w:t>主要</w:t>
      </w:r>
      <w:r>
        <w:rPr>
          <w:rFonts w:hint="eastAsia" w:ascii="Times New Roman" w:hAnsi="Times New Roman"/>
          <w:highlight w:val="none"/>
        </w:rPr>
        <w:t>进行以下分析：</w:t>
      </w:r>
    </w:p>
    <w:p>
      <w:pPr>
        <w:ind w:firstLine="480" w:firstLineChars="200"/>
        <w:rPr>
          <w:rFonts w:hint="eastAsia" w:ascii="Times New Roman" w:hAnsi="Times New Roman"/>
          <w:highlight w:val="none"/>
        </w:rPr>
      </w:pPr>
      <w:r>
        <w:rPr>
          <w:rFonts w:hint="eastAsia"/>
          <w:highlight w:val="none"/>
          <w:lang w:val="en-US" w:eastAsia="zh-CN"/>
        </w:rPr>
        <w:t>a)</w:t>
      </w:r>
      <w:r>
        <w:rPr>
          <w:rFonts w:hint="eastAsia" w:ascii="Times New Roman" w:hAnsi="Times New Roman"/>
          <w:highlight w:val="none"/>
        </w:rPr>
        <w:t>应力、应变云图分析；</w:t>
      </w:r>
    </w:p>
    <w:p>
      <w:pPr>
        <w:ind w:firstLine="480" w:firstLineChars="200"/>
        <w:rPr>
          <w:rFonts w:hint="eastAsia" w:ascii="Times New Roman" w:hAnsi="Times New Roman"/>
          <w:highlight w:val="none"/>
        </w:rPr>
      </w:pPr>
      <w:r>
        <w:rPr>
          <w:rFonts w:hint="eastAsia"/>
          <w:highlight w:val="none"/>
          <w:lang w:val="en-US" w:eastAsia="zh-CN"/>
        </w:rPr>
        <w:t>b)</w:t>
      </w:r>
      <w:r>
        <w:rPr>
          <w:rFonts w:hint="eastAsia" w:ascii="Times New Roman" w:hAnsi="Times New Roman"/>
          <w:highlight w:val="none"/>
        </w:rPr>
        <w:t>线性屈曲、响应谱分析。</w:t>
      </w:r>
    </w:p>
    <w:p>
      <w:pPr>
        <w:pStyle w:val="32"/>
        <w:numPr>
          <w:ilvl w:val="0"/>
          <w:numId w:val="0"/>
        </w:numPr>
        <w:spacing w:after="156" w:afterLines="50"/>
        <w:ind w:firstLine="480" w:firstLineChars="20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c)失效分析。</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5.7.3  电磁场仿真</w:t>
      </w:r>
    </w:p>
    <w:p>
      <w:pPr>
        <w:ind w:firstLine="480" w:firstLineChars="200"/>
        <w:rPr>
          <w:rFonts w:hint="eastAsia" w:ascii="Times New Roman" w:hAnsi="Times New Roman"/>
          <w:highlight w:val="none"/>
        </w:rPr>
      </w:pPr>
      <w:r>
        <w:rPr>
          <w:rFonts w:hint="eastAsia" w:ascii="Times New Roman" w:hAnsi="Times New Roman"/>
          <w:highlight w:val="none"/>
          <w:lang w:val="en-US" w:eastAsia="zh-CN"/>
        </w:rPr>
        <w:t>一般</w:t>
      </w:r>
      <w:r>
        <w:rPr>
          <w:rFonts w:hint="eastAsia" w:ascii="Times New Roman" w:hAnsi="Times New Roman"/>
          <w:highlight w:val="none"/>
        </w:rPr>
        <w:t>针对不同工艺参数和模型结构下熔体内的涡流、电流、电压与电磁力等关键参数分布和变化规律进行电磁场仿真</w:t>
      </w:r>
      <w:r>
        <w:rPr>
          <w:rFonts w:hint="eastAsia" w:ascii="Times New Roman" w:hAnsi="Times New Roman"/>
          <w:highlight w:val="none"/>
          <w:lang w:val="en-US" w:eastAsia="zh-CN"/>
        </w:rPr>
        <w:t>计算</w:t>
      </w:r>
      <w:r>
        <w:rPr>
          <w:rFonts w:hint="eastAsia" w:ascii="Times New Roman" w:hAnsi="Times New Roman"/>
          <w:highlight w:val="none"/>
        </w:rPr>
        <w:t>。通常有色金属行业中的火法电炉、湿法电解槽等多种设备的相关问题宜采用电磁场仿真进行。</w:t>
      </w:r>
    </w:p>
    <w:p>
      <w:pPr>
        <w:ind w:firstLine="480" w:firstLineChars="200"/>
        <w:rPr>
          <w:rFonts w:hint="eastAsia" w:ascii="Times New Roman" w:hAnsi="Times New Roman"/>
          <w:highlight w:val="none"/>
        </w:rPr>
      </w:pPr>
      <w:r>
        <w:rPr>
          <w:rFonts w:hint="eastAsia" w:ascii="Times New Roman" w:hAnsi="Times New Roman"/>
          <w:highlight w:val="none"/>
        </w:rPr>
        <w:t>通过电磁场仿真，可为优化工艺参数、改进设备结构和设备扩大提供理论依据。</w:t>
      </w:r>
    </w:p>
    <w:p>
      <w:pPr>
        <w:ind w:firstLine="480" w:firstLineChars="200"/>
        <w:rPr>
          <w:rFonts w:hint="eastAsia" w:ascii="Times New Roman" w:hAnsi="Times New Roman"/>
          <w:highlight w:val="none"/>
        </w:rPr>
      </w:pPr>
      <w:r>
        <w:rPr>
          <w:rFonts w:hint="eastAsia" w:ascii="Times New Roman" w:hAnsi="Times New Roman"/>
          <w:highlight w:val="none"/>
        </w:rPr>
        <w:t>电磁场仿真可根据仿真目标</w:t>
      </w:r>
      <w:r>
        <w:rPr>
          <w:rFonts w:hint="eastAsia" w:hAnsi="宋体" w:cs="宋体"/>
          <w:highlight w:val="none"/>
          <w:lang w:val="en-US" w:eastAsia="zh-CN"/>
        </w:rPr>
        <w:t>主要</w:t>
      </w:r>
      <w:r>
        <w:rPr>
          <w:rFonts w:hint="eastAsia" w:ascii="Times New Roman" w:hAnsi="Times New Roman"/>
          <w:highlight w:val="none"/>
        </w:rPr>
        <w:t>进行以下分析：</w:t>
      </w:r>
    </w:p>
    <w:p>
      <w:pPr>
        <w:ind w:firstLine="480" w:firstLineChars="200"/>
        <w:rPr>
          <w:rFonts w:hint="eastAsia" w:ascii="Times New Roman" w:hAnsi="Times New Roman"/>
          <w:highlight w:val="none"/>
        </w:rPr>
      </w:pPr>
      <w:r>
        <w:rPr>
          <w:rFonts w:hint="eastAsia"/>
          <w:highlight w:val="none"/>
          <w:lang w:val="en-US" w:eastAsia="zh-CN"/>
        </w:rPr>
        <w:t>a)</w:t>
      </w:r>
      <w:r>
        <w:rPr>
          <w:rFonts w:hint="eastAsia" w:ascii="Times New Roman" w:hAnsi="Times New Roman"/>
          <w:highlight w:val="none"/>
        </w:rPr>
        <w:t>磁感应强度、加热功率密度分布云图分析；</w:t>
      </w:r>
    </w:p>
    <w:p>
      <w:pPr>
        <w:ind w:firstLine="480" w:firstLineChars="200"/>
        <w:rPr>
          <w:rFonts w:hint="eastAsia" w:ascii="Times New Roman" w:hAnsi="Times New Roman"/>
          <w:highlight w:val="none"/>
        </w:rPr>
      </w:pPr>
      <w:r>
        <w:rPr>
          <w:rFonts w:hint="eastAsia"/>
          <w:highlight w:val="none"/>
          <w:lang w:val="en-US" w:eastAsia="zh-CN"/>
        </w:rPr>
        <w:t>b)</w:t>
      </w:r>
      <w:r>
        <w:rPr>
          <w:rFonts w:hint="eastAsia" w:ascii="Times New Roman" w:hAnsi="Times New Roman"/>
          <w:highlight w:val="none"/>
        </w:rPr>
        <w:t>电磁力、电流密度矢量图分布</w:t>
      </w:r>
      <w:r>
        <w:rPr>
          <w:rFonts w:hint="eastAsia" w:ascii="Times New Roman" w:hAnsi="Times New Roman"/>
          <w:highlight w:val="none"/>
          <w:lang w:eastAsia="zh-CN"/>
        </w:rPr>
        <w:t>；</w:t>
      </w:r>
    </w:p>
    <w:p>
      <w:pPr>
        <w:ind w:firstLine="480" w:firstLineChars="200"/>
        <w:rPr>
          <w:rFonts w:hint="eastAsia" w:ascii="Times New Roman" w:hAnsi="Times New Roman"/>
          <w:highlight w:val="none"/>
        </w:rPr>
      </w:pPr>
      <w:r>
        <w:rPr>
          <w:rFonts w:hint="eastAsia"/>
          <w:highlight w:val="none"/>
          <w:lang w:val="en-US" w:eastAsia="zh-CN"/>
        </w:rPr>
        <w:t>c)</w:t>
      </w:r>
      <w:r>
        <w:rPr>
          <w:rFonts w:hint="eastAsia" w:ascii="Times New Roman" w:hAnsi="Times New Roman"/>
          <w:highlight w:val="none"/>
          <w:lang w:val="en-US" w:eastAsia="zh-CN"/>
        </w:rPr>
        <w:t>电感、电容、阻抗分析</w:t>
      </w:r>
      <w:r>
        <w:rPr>
          <w:rFonts w:hint="eastAsia" w:ascii="Times New Roman" w:hAnsi="Times New Roman"/>
          <w:highlight w:val="none"/>
        </w:rPr>
        <w:t>。</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5.7.4  颗粒相仿真</w:t>
      </w:r>
    </w:p>
    <w:p>
      <w:pPr>
        <w:ind w:firstLine="480" w:firstLineChars="200"/>
        <w:rPr>
          <w:rFonts w:hint="eastAsia" w:ascii="Times New Roman" w:hAnsi="Times New Roman"/>
          <w:highlight w:val="none"/>
        </w:rPr>
      </w:pPr>
      <w:r>
        <w:rPr>
          <w:rFonts w:hint="eastAsia" w:ascii="Times New Roman" w:hAnsi="Times New Roman"/>
          <w:highlight w:val="none"/>
          <w:lang w:val="en-US" w:eastAsia="zh-CN"/>
        </w:rPr>
        <w:t>一般</w:t>
      </w:r>
      <w:r>
        <w:rPr>
          <w:rFonts w:hint="eastAsia" w:ascii="Times New Roman" w:hAnsi="Times New Roman"/>
          <w:highlight w:val="none"/>
        </w:rPr>
        <w:t>针对固体颗粒体系的参数化模型进行颗粒相仿真</w:t>
      </w:r>
      <w:r>
        <w:rPr>
          <w:rFonts w:hint="eastAsia" w:ascii="Times New Roman" w:hAnsi="Times New Roman"/>
          <w:highlight w:val="none"/>
          <w:lang w:val="en-US" w:eastAsia="zh-CN"/>
        </w:rPr>
        <w:t>计算</w:t>
      </w:r>
      <w:r>
        <w:rPr>
          <w:rFonts w:hint="eastAsia" w:ascii="Times New Roman" w:hAnsi="Times New Roman"/>
          <w:highlight w:val="none"/>
        </w:rPr>
        <w:t>。通常闪速炉、流化床、颗粒过滤装置内的气、液、固的运动规律与颗粒力学特性宜采用颗粒相仿真。</w:t>
      </w:r>
    </w:p>
    <w:p>
      <w:pPr>
        <w:ind w:firstLine="480" w:firstLineChars="200"/>
        <w:rPr>
          <w:rFonts w:hint="eastAsia" w:ascii="Times New Roman" w:hAnsi="Times New Roman"/>
          <w:highlight w:val="none"/>
        </w:rPr>
      </w:pPr>
      <w:r>
        <w:rPr>
          <w:rFonts w:hint="eastAsia" w:ascii="Times New Roman" w:hAnsi="Times New Roman"/>
          <w:highlight w:val="none"/>
        </w:rPr>
        <w:t>通过颗粒相仿真，可为解决涉及颗粒、流体、结构的复杂综合问题提供解决方案。</w:t>
      </w:r>
    </w:p>
    <w:p>
      <w:pPr>
        <w:ind w:firstLine="480" w:firstLineChars="200"/>
        <w:rPr>
          <w:rFonts w:hint="eastAsia" w:ascii="Times New Roman" w:hAnsi="Times New Roman"/>
          <w:highlight w:val="none"/>
        </w:rPr>
      </w:pPr>
      <w:r>
        <w:rPr>
          <w:rFonts w:hint="eastAsia" w:ascii="Times New Roman" w:hAnsi="Times New Roman"/>
          <w:highlight w:val="none"/>
        </w:rPr>
        <w:t>颗粒相仿真可根据仿真目标</w:t>
      </w:r>
      <w:r>
        <w:rPr>
          <w:rFonts w:hint="eastAsia" w:hAnsi="宋体" w:cs="宋体"/>
          <w:highlight w:val="none"/>
          <w:lang w:val="en-US" w:eastAsia="zh-CN"/>
        </w:rPr>
        <w:t>主要</w:t>
      </w:r>
      <w:r>
        <w:rPr>
          <w:rFonts w:hint="eastAsia" w:ascii="Times New Roman" w:hAnsi="Times New Roman"/>
          <w:highlight w:val="none"/>
        </w:rPr>
        <w:t>进行以下分析：</w:t>
      </w:r>
    </w:p>
    <w:p>
      <w:pPr>
        <w:ind w:firstLine="480" w:firstLineChars="200"/>
        <w:rPr>
          <w:rFonts w:hint="eastAsia" w:ascii="Times New Roman" w:hAnsi="Times New Roman"/>
          <w:highlight w:val="none"/>
        </w:rPr>
      </w:pPr>
      <w:r>
        <w:rPr>
          <w:rFonts w:hint="eastAsia"/>
          <w:highlight w:val="none"/>
          <w:lang w:val="en-US" w:eastAsia="zh-CN"/>
        </w:rPr>
        <w:t>a)</w:t>
      </w:r>
      <w:r>
        <w:rPr>
          <w:rFonts w:hint="eastAsia" w:ascii="Times New Roman" w:hAnsi="Times New Roman"/>
          <w:highlight w:val="none"/>
        </w:rPr>
        <w:t>颗粒运行轨迹分析；</w:t>
      </w:r>
    </w:p>
    <w:p>
      <w:pPr>
        <w:ind w:firstLine="480" w:firstLineChars="200"/>
        <w:rPr>
          <w:rFonts w:hint="eastAsia" w:ascii="Times New Roman" w:hAnsi="Times New Roman"/>
          <w:highlight w:val="none"/>
        </w:rPr>
      </w:pPr>
      <w:r>
        <w:rPr>
          <w:rFonts w:hint="eastAsia"/>
          <w:highlight w:val="none"/>
          <w:lang w:val="en-US" w:eastAsia="zh-CN"/>
        </w:rPr>
        <w:t>b)</w:t>
      </w:r>
      <w:r>
        <w:rPr>
          <w:rFonts w:hint="eastAsia" w:ascii="Times New Roman" w:hAnsi="Times New Roman"/>
          <w:highlight w:val="none"/>
        </w:rPr>
        <w:t>颗粒相空间分布云图分析；</w:t>
      </w:r>
    </w:p>
    <w:p>
      <w:pPr>
        <w:ind w:firstLine="480" w:firstLineChars="200"/>
        <w:rPr>
          <w:rFonts w:hint="eastAsia" w:ascii="Times New Roman" w:hAnsi="Times New Roman"/>
          <w:highlight w:val="none"/>
        </w:rPr>
      </w:pPr>
      <w:r>
        <w:rPr>
          <w:rFonts w:hint="eastAsia"/>
          <w:highlight w:val="none"/>
          <w:lang w:val="en-US" w:eastAsia="zh-CN"/>
        </w:rPr>
        <w:t>c)</w:t>
      </w:r>
      <w:r>
        <w:rPr>
          <w:rFonts w:hint="eastAsia" w:ascii="Times New Roman" w:hAnsi="Times New Roman"/>
          <w:highlight w:val="none"/>
        </w:rPr>
        <w:t>颗粒间及颗粒与流体间相互作用矢量图分析。</w:t>
      </w:r>
    </w:p>
    <w:p>
      <w:pPr>
        <w:pStyle w:val="6"/>
        <w:rPr>
          <w:rFonts w:hint="eastAsia" w:ascii="Times New Roman" w:hAnsi="Times New Roman"/>
          <w:highlight w:val="none"/>
          <w:lang w:val="en-US" w:eastAsia="zh-CN"/>
        </w:rPr>
      </w:pPr>
      <w:r>
        <w:rPr>
          <w:rFonts w:hint="eastAsia" w:ascii="Times New Roman" w:hAnsi="Times New Roman"/>
          <w:highlight w:val="none"/>
          <w:lang w:val="en-US" w:eastAsia="zh-CN"/>
        </w:rPr>
        <w:t>5.7.5  系统仿真</w:t>
      </w:r>
    </w:p>
    <w:p>
      <w:pPr>
        <w:rPr>
          <w:rFonts w:hint="eastAsia"/>
          <w:highlight w:val="none"/>
          <w:lang w:val="en-US" w:eastAsia="zh-CN"/>
        </w:rPr>
      </w:pPr>
      <w:r>
        <w:rPr>
          <w:rFonts w:hint="eastAsia"/>
          <w:highlight w:val="none"/>
          <w:lang w:val="en-US" w:eastAsia="zh-CN"/>
        </w:rPr>
        <w:t>一般针对</w:t>
      </w:r>
      <w:r>
        <w:rPr>
          <w:rFonts w:hint="eastAsia" w:ascii="Times New Roman"/>
          <w:highlight w:val="none"/>
        </w:rPr>
        <w:t>有色金属</w:t>
      </w:r>
      <w:r>
        <w:rPr>
          <w:rFonts w:hint="eastAsia" w:ascii="Times New Roman"/>
          <w:highlight w:val="none"/>
          <w:lang w:val="en-US" w:eastAsia="zh-CN"/>
        </w:rPr>
        <w:t>行业采、</w:t>
      </w:r>
      <w:r>
        <w:rPr>
          <w:rFonts w:hint="eastAsia" w:ascii="Times New Roman"/>
          <w:highlight w:val="none"/>
        </w:rPr>
        <w:t>选、冶</w:t>
      </w:r>
      <w:r>
        <w:rPr>
          <w:rFonts w:hint="eastAsia"/>
          <w:highlight w:val="none"/>
          <w:lang w:val="en-US" w:eastAsia="zh-CN"/>
        </w:rPr>
        <w:t>主要工艺流程的系统性研究，通常湿法冶炼系统作业率仿真等宜采用系统仿真。分析应包含有色生产系统中各要素性质及其相互关系，据此进行试验或定量分析，以获得正确决策所需的各种信息。可根据仿真目标</w:t>
      </w:r>
      <w:r>
        <w:rPr>
          <w:rFonts w:hint="eastAsia" w:hAnsi="宋体" w:cs="宋体"/>
          <w:highlight w:val="none"/>
          <w:lang w:val="en-US" w:eastAsia="zh-CN"/>
        </w:rPr>
        <w:t>主要</w:t>
      </w:r>
      <w:r>
        <w:rPr>
          <w:rFonts w:hint="eastAsia"/>
          <w:highlight w:val="none"/>
          <w:lang w:val="en-US" w:eastAsia="zh-CN"/>
        </w:rPr>
        <w:t>进行以下分析：</w:t>
      </w:r>
    </w:p>
    <w:p>
      <w:pPr>
        <w:ind w:firstLine="480" w:firstLineChars="200"/>
        <w:rPr>
          <w:rFonts w:hint="eastAsia" w:eastAsia="宋体"/>
          <w:highlight w:val="none"/>
          <w:lang w:eastAsia="zh-CN"/>
        </w:rPr>
      </w:pPr>
      <w:r>
        <w:rPr>
          <w:rFonts w:hint="eastAsia"/>
          <w:highlight w:val="none"/>
        </w:rPr>
        <w:t>a)</w:t>
      </w:r>
      <w:r>
        <w:rPr>
          <w:rFonts w:hint="eastAsia"/>
          <w:highlight w:val="none"/>
          <w:lang w:val="en-US" w:eastAsia="zh-CN"/>
        </w:rPr>
        <w:t>设备利用率等</w:t>
      </w:r>
      <w:r>
        <w:rPr>
          <w:rFonts w:hint="eastAsia"/>
          <w:highlight w:val="none"/>
        </w:rPr>
        <w:t>资源配置分析</w:t>
      </w:r>
      <w:r>
        <w:rPr>
          <w:rFonts w:hint="eastAsia"/>
          <w:highlight w:val="none"/>
          <w:lang w:eastAsia="zh-CN"/>
        </w:rPr>
        <w:t>；</w:t>
      </w:r>
    </w:p>
    <w:p>
      <w:pPr>
        <w:ind w:firstLine="480" w:firstLineChars="200"/>
        <w:rPr>
          <w:rFonts w:hint="eastAsia" w:eastAsia="宋体"/>
          <w:highlight w:val="none"/>
          <w:lang w:eastAsia="zh-CN"/>
        </w:rPr>
      </w:pPr>
      <w:r>
        <w:rPr>
          <w:rFonts w:hint="eastAsia"/>
          <w:highlight w:val="none"/>
        </w:rPr>
        <w:t>b)</w:t>
      </w:r>
      <w:r>
        <w:rPr>
          <w:rFonts w:hint="eastAsia"/>
          <w:highlight w:val="none"/>
          <w:lang w:val="en-US" w:eastAsia="zh-CN"/>
        </w:rPr>
        <w:t>作业率、生产瓶颈等</w:t>
      </w:r>
      <w:r>
        <w:rPr>
          <w:rFonts w:hint="eastAsia"/>
          <w:highlight w:val="none"/>
        </w:rPr>
        <w:t>工艺流程分析</w:t>
      </w:r>
      <w:r>
        <w:rPr>
          <w:rFonts w:hint="eastAsia"/>
          <w:highlight w:val="none"/>
          <w:lang w:eastAsia="zh-CN"/>
        </w:rPr>
        <w:t>；</w:t>
      </w:r>
    </w:p>
    <w:p>
      <w:pPr>
        <w:ind w:firstLine="480" w:firstLineChars="200"/>
        <w:rPr>
          <w:rFonts w:hint="eastAsia"/>
          <w:highlight w:val="none"/>
        </w:rPr>
      </w:pPr>
      <w:r>
        <w:rPr>
          <w:rFonts w:hint="eastAsia"/>
          <w:highlight w:val="none"/>
          <w:lang w:val="en-US" w:eastAsia="zh-CN"/>
        </w:rPr>
        <w:t>c</w:t>
      </w:r>
      <w:r>
        <w:rPr>
          <w:rFonts w:hint="eastAsia"/>
          <w:highlight w:val="none"/>
        </w:rPr>
        <w:t>)</w:t>
      </w:r>
      <w:r>
        <w:rPr>
          <w:rFonts w:hint="eastAsia"/>
          <w:highlight w:val="none"/>
          <w:lang w:val="en-US" w:eastAsia="zh-CN"/>
        </w:rPr>
        <w:t>成本、</w:t>
      </w:r>
      <w:r>
        <w:rPr>
          <w:rFonts w:hint="eastAsia"/>
          <w:highlight w:val="none"/>
        </w:rPr>
        <w:t>经济效益</w:t>
      </w:r>
      <w:r>
        <w:rPr>
          <w:rFonts w:hint="eastAsia"/>
          <w:highlight w:val="none"/>
          <w:lang w:val="en-US" w:eastAsia="zh-CN"/>
        </w:rPr>
        <w:t>等经济性分析</w:t>
      </w:r>
      <w:r>
        <w:rPr>
          <w:rFonts w:hint="eastAsia"/>
          <w:highlight w:val="none"/>
        </w:rPr>
        <w:t>。</w:t>
      </w:r>
    </w:p>
    <w:p>
      <w:pPr>
        <w:pStyle w:val="2"/>
        <w:rPr>
          <w:rFonts w:hint="eastAsia"/>
          <w:highlight w:val="none"/>
        </w:rPr>
      </w:pPr>
    </w:p>
    <w:p>
      <w:pPr>
        <w:jc w:val="center"/>
        <w:rPr>
          <w:rFonts w:hint="default"/>
          <w:szCs w:val="21"/>
          <w:highlight w:val="none"/>
          <w:lang w:val="en-US"/>
        </w:rPr>
      </w:pPr>
      <w:r>
        <w:rPr>
          <w:rFonts w:hint="eastAsia"/>
          <w:szCs w:val="21"/>
          <w:highlight w:val="none"/>
          <w:lang w:val="en-US" w:eastAsia="zh-CN"/>
        </w:rPr>
        <w:t>表2</w:t>
      </w:r>
      <w:r>
        <w:rPr>
          <w:rFonts w:hint="eastAsia"/>
          <w:szCs w:val="21"/>
          <w:highlight w:val="none"/>
        </w:rPr>
        <w:t xml:space="preserve">. </w:t>
      </w:r>
      <w:r>
        <w:rPr>
          <w:rFonts w:hint="eastAsia" w:ascii="Times New Roman"/>
          <w:highlight w:val="none"/>
        </w:rPr>
        <w:t>有色金属</w:t>
      </w:r>
      <w:r>
        <w:rPr>
          <w:rFonts w:hint="eastAsia" w:ascii="Times New Roman"/>
          <w:highlight w:val="none"/>
          <w:lang w:val="en-US" w:eastAsia="zh-CN"/>
        </w:rPr>
        <w:t>行业典型设备或工艺过程推荐的仿真分析方向</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52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noWrap w:val="0"/>
            <w:vAlign w:val="center"/>
          </w:tcPr>
          <w:p>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专业</w:t>
            </w:r>
          </w:p>
        </w:tc>
        <w:tc>
          <w:tcPr>
            <w:tcW w:w="2526" w:type="dxa"/>
            <w:noWrap w:val="0"/>
            <w:vAlign w:val="center"/>
          </w:tcPr>
          <w:p>
            <w:pPr>
              <w:pStyle w:val="2"/>
              <w:numPr>
                <w:ilvl w:val="0"/>
                <w:numId w:val="0"/>
              </w:num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典型设备或工艺过程</w:t>
            </w:r>
          </w:p>
        </w:tc>
        <w:tc>
          <w:tcPr>
            <w:tcW w:w="4626" w:type="dxa"/>
            <w:noWrap w:val="0"/>
            <w:vAlign w:val="center"/>
          </w:tcPr>
          <w:p>
            <w:pPr>
              <w:pStyle w:val="2"/>
              <w:numPr>
                <w:ilvl w:val="0"/>
                <w:numId w:val="0"/>
              </w:num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仿真分析方向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ind w:left="0" w:lef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采选</w:t>
            </w: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浮选机</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jc w:val="center"/>
              <w:rPr>
                <w:rFonts w:hint="eastAsia" w:ascii="宋体" w:hAnsi="宋体" w:eastAsia="宋体" w:cs="宋体"/>
                <w:b w:val="0"/>
                <w:bCs w:val="0"/>
                <w:sz w:val="21"/>
                <w:szCs w:val="21"/>
                <w:vertAlign w:val="baseline"/>
                <w:lang w:val="en-US" w:eastAsia="zh-CN"/>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球磨机</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颗粒相仿真、结构仿真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jc w:val="center"/>
              <w:rPr>
                <w:rFonts w:hint="eastAsia" w:ascii="宋体" w:hAnsi="宋体" w:eastAsia="宋体" w:cs="宋体"/>
                <w:b w:val="0"/>
                <w:bCs w:val="0"/>
                <w:sz w:val="21"/>
                <w:szCs w:val="21"/>
                <w:vertAlign w:val="baseline"/>
                <w:lang w:val="en-US" w:eastAsia="zh-CN"/>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矿井通风</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jc w:val="center"/>
              <w:rPr>
                <w:rFonts w:hint="eastAsia" w:ascii="宋体" w:hAnsi="宋体" w:eastAsia="宋体" w:cs="宋体"/>
                <w:b w:val="0"/>
                <w:bCs w:val="0"/>
                <w:sz w:val="21"/>
                <w:szCs w:val="21"/>
                <w:vertAlign w:val="baseline"/>
                <w:lang w:val="en-US" w:eastAsia="zh-CN"/>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lang w:val="en-US" w:eastAsia="zh-CN"/>
              </w:rPr>
              <w:t>箕斗提升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火法</w:t>
            </w:r>
          </w:p>
          <w:p>
            <w:pPr>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冶炼</w:t>
            </w: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熔炼炉</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流体仿真、电磁场仿真、多物理场仿真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jc w:val="center"/>
              <w:rPr>
                <w:rFonts w:hint="eastAsia" w:ascii="宋体" w:hAnsi="宋体" w:eastAsia="宋体" w:cs="宋体"/>
                <w:b w:val="0"/>
                <w:bCs w:val="0"/>
                <w:sz w:val="21"/>
                <w:szCs w:val="21"/>
                <w:vertAlign w:val="baseline"/>
                <w:lang w:val="en-US" w:eastAsia="zh-CN"/>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闪速炉</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流体仿真、颗粒相仿真、多物理场仿真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jc w:val="center"/>
              <w:rPr>
                <w:b w:val="0"/>
                <w:bCs w:val="0"/>
                <w:sz w:val="21"/>
                <w:szCs w:val="21"/>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回转窑</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jc w:val="center"/>
              <w:rPr>
                <w:b w:val="0"/>
                <w:bCs w:val="0"/>
                <w:sz w:val="21"/>
                <w:szCs w:val="21"/>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电炉</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流体仿真、电磁场仿真、多物理场仿真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浇铸设备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收尘设备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颗粒相仿真、电磁场仿真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湿法</w:t>
            </w:r>
          </w:p>
          <w:p>
            <w:pPr>
              <w:ind w:left="0" w:leftChars="0" w:firstLine="0" w:firstLineChars="0"/>
              <w:jc w:val="center"/>
              <w:rPr>
                <w:rFonts w:hint="eastAsia" w:ascii="宋体" w:hAnsi="宋体" w:eastAsia="宋体" w:cs="宋体"/>
                <w:b w:val="0"/>
                <w:bCs w:val="0"/>
                <w:sz w:val="21"/>
                <w:szCs w:val="21"/>
                <w:vertAlign w:val="baseline"/>
                <w:lang w:val="en-US"/>
              </w:rPr>
            </w:pPr>
            <w:r>
              <w:rPr>
                <w:rFonts w:hint="eastAsia" w:ascii="宋体" w:hAnsi="宋体" w:eastAsia="宋体" w:cs="宋体"/>
                <w:b w:val="0"/>
                <w:bCs w:val="0"/>
                <w:sz w:val="21"/>
                <w:szCs w:val="21"/>
                <w:vertAlign w:val="baseline"/>
                <w:lang w:val="en-US" w:eastAsia="zh-CN"/>
              </w:rPr>
              <w:t>冶炼</w:t>
            </w: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高压釜</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流体仿真、结构仿真、电磁场仿真、颗粒相仿真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b w:val="0"/>
                <w:bCs w:val="0"/>
                <w:sz w:val="21"/>
                <w:szCs w:val="21"/>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沸腾炉</w:t>
            </w:r>
          </w:p>
        </w:tc>
        <w:tc>
          <w:tcPr>
            <w:tcW w:w="46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过滤设备</w:t>
            </w:r>
          </w:p>
        </w:tc>
        <w:tc>
          <w:tcPr>
            <w:tcW w:w="46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换热设备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蒸发与结晶设备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萃取设备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流体仿真、结构仿真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萃取系统动态分析</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ind w:left="0" w:leftChars="0" w:firstLine="0" w:firstLineChars="0"/>
              <w:jc w:val="center"/>
              <w:rPr>
                <w:rFonts w:hint="eastAsia" w:ascii="宋体" w:hAnsi="宋体" w:eastAsia="宋体" w:cs="宋体"/>
                <w:b w:val="0"/>
                <w:bCs w:val="0"/>
                <w:sz w:val="21"/>
                <w:szCs w:val="21"/>
                <w:vertAlign w:val="baseline"/>
                <w:lang w:val="en-US"/>
              </w:rPr>
            </w:pPr>
            <w:r>
              <w:rPr>
                <w:rFonts w:hint="eastAsia" w:ascii="宋体" w:hAnsi="宋体" w:eastAsia="宋体" w:cs="宋体"/>
                <w:b w:val="0"/>
                <w:bCs w:val="0"/>
                <w:sz w:val="21"/>
                <w:szCs w:val="21"/>
                <w:vertAlign w:val="baseline"/>
                <w:lang w:val="en-US" w:eastAsia="zh-CN"/>
              </w:rPr>
              <w:t>电解</w:t>
            </w:r>
          </w:p>
        </w:tc>
        <w:tc>
          <w:tcPr>
            <w:tcW w:w="2526" w:type="dxa"/>
            <w:noWrap w:val="0"/>
            <w:vAlign w:val="center"/>
          </w:tcPr>
          <w:p>
            <w:pPr>
              <w:pStyle w:val="2"/>
              <w:numPr>
                <w:ilvl w:val="0"/>
                <w:numId w:val="0"/>
              </w:num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电解极板作业线设备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电磁场仿真、流体仿真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b w:val="0"/>
                <w:bCs w:val="0"/>
                <w:sz w:val="21"/>
                <w:szCs w:val="21"/>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铝电解槽作业机械设备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电磁场仿真、流体仿真、</w:t>
            </w:r>
            <w:r>
              <w:rPr>
                <w:rFonts w:hint="eastAsia" w:ascii="宋体" w:hAnsi="宋体" w:eastAsia="宋体" w:cs="宋体"/>
                <w:b w:val="0"/>
                <w:bCs w:val="0"/>
                <w:sz w:val="21"/>
                <w:szCs w:val="21"/>
                <w:lang w:val="en-US" w:eastAsia="zh-CN"/>
              </w:rPr>
              <w:t>多物理场仿真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电解过程评估优化仿真</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物料输送</w:t>
            </w:r>
          </w:p>
        </w:tc>
        <w:tc>
          <w:tcPr>
            <w:tcW w:w="2526" w:type="dxa"/>
            <w:noWrap w:val="0"/>
            <w:vAlign w:val="center"/>
          </w:tcPr>
          <w:p>
            <w:pPr>
              <w:pStyle w:val="2"/>
              <w:numPr>
                <w:ilvl w:val="0"/>
                <w:numId w:val="0"/>
              </w:numPr>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加料设备</w:t>
            </w:r>
          </w:p>
        </w:tc>
        <w:tc>
          <w:tcPr>
            <w:tcW w:w="4626" w:type="dxa"/>
            <w:noWrap w:val="0"/>
            <w:vAlign w:val="center"/>
          </w:tcPr>
          <w:p>
            <w:pPr>
              <w:pStyle w:val="2"/>
              <w:numPr>
                <w:ilvl w:val="0"/>
                <w:numId w:val="0"/>
              </w:numPr>
              <w:tabs>
                <w:tab w:val="left" w:pos="826"/>
              </w:tabs>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流体仿真、颗粒相仿真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b w:val="0"/>
                <w:bCs w:val="0"/>
                <w:sz w:val="21"/>
                <w:szCs w:val="21"/>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散料输送设备</w:t>
            </w:r>
          </w:p>
        </w:tc>
        <w:tc>
          <w:tcPr>
            <w:tcW w:w="46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颗粒相仿真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noWrap w:val="0"/>
            <w:vAlign w:val="center"/>
          </w:tcPr>
          <w:p>
            <w:pPr>
              <w:pStyle w:val="2"/>
              <w:tabs>
                <w:tab w:val="left" w:pos="312"/>
              </w:tabs>
              <w:ind w:left="0" w:leftChars="0"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冶金生产过程</w:t>
            </w:r>
          </w:p>
        </w:tc>
        <w:tc>
          <w:tcPr>
            <w:tcW w:w="2526" w:type="dxa"/>
            <w:noWrap w:val="0"/>
            <w:vAlign w:val="center"/>
          </w:tcPr>
          <w:p>
            <w:pPr>
              <w:pStyle w:val="2"/>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采、选、冶过程评估优化</w:t>
            </w:r>
          </w:p>
        </w:tc>
        <w:tc>
          <w:tcPr>
            <w:tcW w:w="4626" w:type="dxa"/>
            <w:vMerge w:val="restart"/>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经济性分析</w:t>
            </w:r>
          </w:p>
        </w:tc>
        <w:tc>
          <w:tcPr>
            <w:tcW w:w="4626" w:type="dxa"/>
            <w:vMerge w:val="continue"/>
            <w:noWrap w:val="0"/>
            <w:vAlign w:val="center"/>
          </w:tcPr>
          <w:p>
            <w:pPr>
              <w:pStyle w:val="2"/>
              <w:numPr>
                <w:ilvl w:val="0"/>
                <w:numId w:val="0"/>
              </w:numPr>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车间区域物流</w:t>
            </w:r>
          </w:p>
        </w:tc>
        <w:tc>
          <w:tcPr>
            <w:tcW w:w="4626" w:type="dxa"/>
            <w:vMerge w:val="continue"/>
            <w:noWrap w:val="0"/>
            <w:vAlign w:val="center"/>
          </w:tcPr>
          <w:p>
            <w:pPr>
              <w:pStyle w:val="2"/>
              <w:numPr>
                <w:ilvl w:val="0"/>
                <w:numId w:val="0"/>
              </w:numPr>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Merge w:val="continue"/>
            <w:noWrap w:val="0"/>
            <w:vAlign w:val="center"/>
          </w:tcPr>
          <w:p>
            <w:pPr>
              <w:pStyle w:val="2"/>
              <w:tabs>
                <w:tab w:val="left" w:pos="312"/>
              </w:tabs>
              <w:jc w:val="center"/>
              <w:rPr>
                <w:rFonts w:hint="eastAsia" w:ascii="宋体" w:hAnsi="宋体" w:eastAsia="宋体" w:cs="宋体"/>
                <w:b w:val="0"/>
                <w:bCs w:val="0"/>
                <w:sz w:val="21"/>
                <w:szCs w:val="21"/>
                <w:lang w:val="en-US" w:eastAsia="zh-CN"/>
              </w:rPr>
            </w:pPr>
          </w:p>
        </w:tc>
        <w:tc>
          <w:tcPr>
            <w:tcW w:w="2526" w:type="dxa"/>
            <w:noWrap w:val="0"/>
            <w:vAlign w:val="center"/>
          </w:tcPr>
          <w:p>
            <w:pPr>
              <w:pStyle w:val="2"/>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输送系统物料平衡</w:t>
            </w:r>
          </w:p>
        </w:tc>
        <w:tc>
          <w:tcPr>
            <w:tcW w:w="4626" w:type="dxa"/>
            <w:vMerge w:val="continue"/>
            <w:noWrap w:val="0"/>
            <w:vAlign w:val="center"/>
          </w:tcPr>
          <w:p>
            <w:pPr>
              <w:pStyle w:val="2"/>
              <w:numPr>
                <w:ilvl w:val="0"/>
                <w:numId w:val="0"/>
              </w:numPr>
              <w:jc w:val="center"/>
              <w:rPr>
                <w:rFonts w:hint="eastAsia" w:ascii="宋体" w:hAnsi="宋体" w:eastAsia="宋体" w:cs="宋体"/>
                <w:b w:val="0"/>
                <w:bCs w:val="0"/>
                <w:sz w:val="21"/>
                <w:szCs w:val="21"/>
                <w:lang w:val="en-US" w:eastAsia="zh-CN"/>
              </w:rPr>
            </w:pPr>
          </w:p>
        </w:tc>
      </w:tr>
    </w:tbl>
    <w:p>
      <w:pPr>
        <w:pStyle w:val="2"/>
        <w:rPr>
          <w:rFonts w:hint="eastAsia"/>
        </w:rPr>
      </w:pPr>
    </w:p>
    <w:p>
      <w:pPr>
        <w:pStyle w:val="5"/>
        <w:numPr>
          <w:ilvl w:val="0"/>
          <w:numId w:val="0"/>
        </w:numPr>
      </w:pPr>
      <w:r>
        <w:rPr>
          <w:rFonts w:hint="eastAsia"/>
        </w:rPr>
        <w:t>5</w:t>
      </w:r>
      <w:r>
        <w:t>.</w:t>
      </w:r>
      <w:r>
        <w:rPr>
          <w:rFonts w:hint="eastAsia"/>
        </w:rPr>
        <w:t>8</w:t>
      </w:r>
      <w:r>
        <w:t xml:space="preserve"> </w:t>
      </w:r>
      <w:r>
        <w:rPr>
          <w:rFonts w:hint="eastAsia"/>
        </w:rPr>
        <w:t>结果</w:t>
      </w:r>
      <w:r>
        <w:t>评估</w:t>
      </w:r>
    </w:p>
    <w:p>
      <w:pPr>
        <w:ind w:firstLine="480" w:firstLineChars="200"/>
        <w:rPr>
          <w:rFonts w:hint="eastAsia" w:ascii="Times New Roman" w:hAnsi="Times New Roman"/>
          <w:lang w:eastAsia="zh-CN"/>
        </w:rPr>
      </w:pPr>
      <w:r>
        <w:rPr>
          <w:rFonts w:hint="eastAsia" w:cs="Times New Roman"/>
        </w:rPr>
        <w:t>规定了仿真分析完成后对结果的正确性、求解精度进行评估的方法。结果评估是否满足要求，将决定仿真分析的下一步流程：如果结果评估不满足要求，则需要对模型进行修正并重新进行模型建立和分析过程；如果结果评估满足要求，则可以将分析结果进行输出。</w:t>
      </w:r>
      <w:r>
        <w:rPr>
          <w:rFonts w:hint="eastAsia" w:ascii="Times New Roman" w:hAnsi="Times New Roman"/>
        </w:rPr>
        <w:t>结果评估可参考理论计算结果、实验数据、工业现场数据或经典的文献数据。评估方法一般包括表象评估、数值评估、试验评估、比较运行方案、敏感性分析、蒙特卡洛分析和校准试验</w:t>
      </w:r>
      <w:r>
        <w:rPr>
          <w:rFonts w:hint="eastAsia" w:ascii="Times New Roman" w:hAnsi="Times New Roman"/>
          <w:lang w:eastAsia="zh-CN"/>
        </w:rPr>
        <w:t>。</w:t>
      </w:r>
    </w:p>
    <w:p>
      <w:pPr>
        <w:ind w:firstLine="48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lang w:val="en-US" w:eastAsia="zh-CN"/>
        </w:rPr>
        <w:t xml:space="preserve"> 表象评估</w:t>
      </w:r>
    </w:p>
    <w:p>
      <w:pPr>
        <w:ind w:firstLine="480" w:firstLineChars="200"/>
        <w:rPr>
          <w:rFonts w:hint="eastAsia" w:ascii="Times New Roman" w:hAnsi="Times New Roman"/>
        </w:rPr>
      </w:pPr>
      <w:r>
        <w:rPr>
          <w:rFonts w:hint="eastAsia" w:ascii="Times New Roman" w:hAnsi="Times New Roman"/>
        </w:rPr>
        <w:t>通过结果表象进行定性评估，具体原则如下：</w:t>
      </w:r>
    </w:p>
    <w:p>
      <w:pPr>
        <w:ind w:firstLine="480" w:firstLineChars="200"/>
        <w:rPr>
          <w:rFonts w:hint="eastAsia" w:ascii="Times New Roman" w:hAnsi="Times New Roman"/>
        </w:rPr>
      </w:pPr>
      <w:r>
        <w:rPr>
          <w:rFonts w:hint="eastAsia" w:ascii="Times New Roman" w:hAnsi="Times New Roman"/>
        </w:rPr>
        <w:t>a)检查模型的收敛性，包括求解收敛性和网格收敛性；</w:t>
      </w:r>
    </w:p>
    <w:p>
      <w:pPr>
        <w:ind w:firstLine="480" w:firstLineChars="200"/>
        <w:rPr>
          <w:rFonts w:hint="eastAsia" w:ascii="Times New Roman" w:hAnsi="Times New Roman"/>
        </w:rPr>
      </w:pPr>
      <w:r>
        <w:rPr>
          <w:rFonts w:hint="eastAsia" w:ascii="Times New Roman" w:hAnsi="Times New Roman"/>
          <w:lang w:val="en-US" w:eastAsia="zh-CN"/>
        </w:rPr>
        <w:t>b</w:t>
      </w:r>
      <w:r>
        <w:rPr>
          <w:rFonts w:hint="eastAsia" w:ascii="Times New Roman" w:hAnsi="Times New Roman"/>
        </w:rPr>
        <w:t>)分析关注位置结果的合理性。流场仿真可根据速度、压力等计算结果进行，结构仿真可根据应力、应变等计算结果进行，电磁场仿真可根据电磁力、磁场强度等计算结果进行，颗粒相仿真可根据颗粒轨迹、颗粒密度等计算结果进行；</w:t>
      </w:r>
    </w:p>
    <w:p>
      <w:pPr>
        <w:ind w:firstLine="480"/>
        <w:rPr>
          <w:rFonts w:hint="eastAsia" w:ascii="Times New Roman" w:hAnsi="Times New Roman"/>
        </w:rPr>
      </w:pPr>
      <w:r>
        <w:rPr>
          <w:rFonts w:hint="eastAsia" w:ascii="Times New Roman" w:hAnsi="Times New Roman"/>
          <w:lang w:val="en-US" w:eastAsia="zh-CN"/>
        </w:rPr>
        <w:t>c</w:t>
      </w:r>
      <w:r>
        <w:rPr>
          <w:rFonts w:hint="eastAsia" w:ascii="Times New Roman" w:hAnsi="Times New Roman"/>
        </w:rPr>
        <w:t>)根据云图或曲线的</w:t>
      </w:r>
      <w:r>
        <w:rPr>
          <w:rFonts w:hint="eastAsia" w:ascii="Times New Roman" w:hAnsi="Times New Roman"/>
          <w:lang w:eastAsia="zh-CN"/>
        </w:rPr>
        <w:t>连续性</w:t>
      </w:r>
      <w:r>
        <w:rPr>
          <w:rFonts w:hint="eastAsia" w:ascii="Times New Roman" w:hAnsi="Times New Roman"/>
        </w:rPr>
        <w:t>。</w:t>
      </w:r>
    </w:p>
    <w:p>
      <w:pPr>
        <w:ind w:firstLine="480"/>
        <w:rPr>
          <w:rFonts w:hint="eastAsia" w:ascii="Times New Roman" w:hAnsi="Times New Roman" w:cs="Times New Roman"/>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cs="Times New Roman"/>
          <w:lang w:val="en-US" w:eastAsia="zh-CN"/>
        </w:rPr>
        <w:t>数值评估</w:t>
      </w:r>
    </w:p>
    <w:p>
      <w:pPr>
        <w:ind w:firstLine="480" w:firstLineChars="200"/>
        <w:rPr>
          <w:rFonts w:hint="eastAsia" w:ascii="Times New Roman" w:hAnsi="Times New Roman"/>
        </w:rPr>
      </w:pPr>
      <w:r>
        <w:rPr>
          <w:rFonts w:hint="eastAsia" w:ascii="Times New Roman" w:hAnsi="Times New Roman"/>
        </w:rPr>
        <w:t>多次试算调整模型的边界条件和模型参数，数值评估分析结果的可靠性。</w:t>
      </w:r>
    </w:p>
    <w:p>
      <w:pPr>
        <w:ind w:firstLine="480" w:firstLineChars="20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rPr>
        <w:t>试验评估</w:t>
      </w:r>
    </w:p>
    <w:p>
      <w:pPr>
        <w:ind w:firstLine="480" w:firstLineChars="200"/>
        <w:rPr>
          <w:rFonts w:hint="eastAsia" w:ascii="Times New Roman" w:hAnsi="Times New Roman"/>
        </w:rPr>
      </w:pPr>
      <w:r>
        <w:rPr>
          <w:rFonts w:hint="eastAsia" w:ascii="Times New Roman" w:hAnsi="Times New Roman"/>
        </w:rPr>
        <w:t>通过工业或半工业试验，获得可测量的关键参数，通过对比分析仿真结果的可靠性。</w:t>
      </w:r>
    </w:p>
    <w:p>
      <w:pPr>
        <w:ind w:firstLine="480" w:firstLineChars="20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rPr>
        <w:t>比较运行方案</w:t>
      </w:r>
    </w:p>
    <w:p>
      <w:pPr>
        <w:ind w:firstLine="480" w:firstLineChars="200"/>
        <w:rPr>
          <w:rFonts w:hint="eastAsia" w:ascii="Times New Roman" w:hAnsi="Times New Roman"/>
        </w:rPr>
      </w:pPr>
      <w:r>
        <w:rPr>
          <w:rFonts w:hint="eastAsia" w:ascii="Times New Roman" w:hAnsi="Times New Roman"/>
        </w:rPr>
        <w:t>比较运行方案主要应用于有色生产过程中主要用于对多组类最优数据进行对比研究，选取最优结果。应针选取两组及两组以上的实验参数，就同一检测对象进行检测的组织、实践和评价，并通过最终实验参数结果进行定向评估。</w:t>
      </w:r>
    </w:p>
    <w:p>
      <w:pPr>
        <w:ind w:firstLine="480" w:firstLineChars="20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rPr>
        <w:t>敏感性分析</w:t>
      </w:r>
    </w:p>
    <w:p>
      <w:pPr>
        <w:ind w:firstLine="480" w:firstLineChars="200"/>
        <w:rPr>
          <w:rFonts w:hint="eastAsia" w:ascii="Times New Roman" w:hAnsi="Times New Roman"/>
        </w:rPr>
      </w:pPr>
      <w:r>
        <w:rPr>
          <w:rFonts w:hint="eastAsia" w:ascii="Times New Roman" w:hAnsi="Times New Roman"/>
        </w:rPr>
        <w:t>敏感性分析主要用于从众多不确定性因素中找出对仿真结果有重要影响的敏感性因素。需改变其中一个参数，并显示模拟输出如何依赖于它。</w:t>
      </w:r>
    </w:p>
    <w:p>
      <w:pPr>
        <w:ind w:firstLine="480" w:firstLineChars="20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6）</w:t>
      </w:r>
      <w:r>
        <w:rPr>
          <w:rFonts w:hint="eastAsia" w:ascii="Times New Roman" w:hAnsi="Times New Roman"/>
        </w:rPr>
        <w:t>蒙特卡洛分析</w:t>
      </w:r>
    </w:p>
    <w:p>
      <w:pPr>
        <w:ind w:firstLine="480" w:firstLineChars="200"/>
        <w:rPr>
          <w:rFonts w:hint="eastAsia" w:ascii="Times New Roman" w:hAnsi="Times New Roman"/>
        </w:rPr>
      </w:pPr>
      <w:r>
        <w:rPr>
          <w:rFonts w:hint="eastAsia" w:ascii="Times New Roman" w:hAnsi="Times New Roman"/>
        </w:rPr>
        <w:t>蒙特卡洛分析主要用于模拟项目中因不确定因素过多，影响较大，导致风险发生的概率。分析应多次运行模型，宜采用直方图显示仿真输出。</w:t>
      </w:r>
    </w:p>
    <w:p>
      <w:pPr>
        <w:ind w:firstLine="480" w:firstLineChars="200"/>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7</w:t>
      </w:r>
      <w:r>
        <w:rPr>
          <w:rFonts w:hint="eastAsia" w:ascii="Times New Roman" w:hAnsi="Times New Roman"/>
          <w:lang w:eastAsia="zh-CN"/>
        </w:rPr>
        <w:t>）</w:t>
      </w:r>
      <w:r>
        <w:rPr>
          <w:rFonts w:hint="eastAsia" w:ascii="Times New Roman" w:hAnsi="Times New Roman"/>
        </w:rPr>
        <w:t>校准试验</w:t>
      </w:r>
    </w:p>
    <w:p>
      <w:pPr>
        <w:ind w:firstLine="480" w:firstLineChars="200"/>
        <w:rPr>
          <w:rFonts w:hint="eastAsia" w:ascii="Times New Roman" w:hAnsi="Times New Roman"/>
        </w:rPr>
      </w:pPr>
      <w:r>
        <w:rPr>
          <w:rFonts w:hint="eastAsia" w:ascii="Times New Roman" w:hAnsi="Times New Roman"/>
        </w:rPr>
        <w:t>校准试验用于已知（历史）模式条件下，判断系统行为与已知（历史）模式相匹配的参数。若存在多个参数需要调整，则应搜索最佳组合，使得观察到的模拟输出与历史数据之间的差异最小。</w:t>
      </w:r>
    </w:p>
    <w:p>
      <w:pPr>
        <w:pStyle w:val="5"/>
        <w:numPr>
          <w:ilvl w:val="0"/>
          <w:numId w:val="0"/>
        </w:numPr>
        <w:rPr>
          <w:rFonts w:hint="eastAsia" w:ascii="Times New Roman" w:hAnsi="Times New Roman"/>
        </w:rPr>
      </w:pPr>
      <w:r>
        <w:rPr>
          <w:rFonts w:hint="eastAsia" w:ascii="Times New Roman" w:hAnsi="Times New Roman"/>
        </w:rPr>
        <w:t>5.9 结果输出</w:t>
      </w:r>
    </w:p>
    <w:p>
      <w:pPr>
        <w:ind w:firstLine="480"/>
        <w:rPr>
          <w:rFonts w:hint="eastAsia" w:ascii="Times New Roman" w:hAnsi="Times New Roman" w:cs="Times New Roman"/>
          <w:szCs w:val="21"/>
          <w:highlight w:val="none"/>
        </w:rPr>
      </w:pPr>
      <w:r>
        <w:rPr>
          <w:rFonts w:cs="Times New Roman"/>
          <w:szCs w:val="21"/>
          <w:highlight w:val="none"/>
        </w:rPr>
        <w:t>本</w:t>
      </w:r>
      <w:r>
        <w:rPr>
          <w:rFonts w:hint="eastAsia" w:cs="Times New Roman"/>
          <w:szCs w:val="21"/>
          <w:highlight w:val="none"/>
          <w:lang w:val="en-US" w:eastAsia="zh-CN"/>
        </w:rPr>
        <w:t>条</w:t>
      </w:r>
      <w:r>
        <w:rPr>
          <w:rFonts w:cs="Times New Roman"/>
          <w:szCs w:val="21"/>
          <w:highlight w:val="none"/>
        </w:rPr>
        <w:t>内容规定了</w:t>
      </w:r>
      <w:r>
        <w:rPr>
          <w:rFonts w:hint="eastAsia"/>
          <w:highlight w:val="none"/>
        </w:rPr>
        <w:t>有色</w:t>
      </w:r>
      <w:r>
        <w:rPr>
          <w:rFonts w:hint="eastAsia" w:ascii="Times New Roman" w:hAnsi="Times New Roman" w:cs="Times New Roman"/>
          <w:szCs w:val="21"/>
          <w:highlight w:val="none"/>
        </w:rPr>
        <w:t>金属行业</w:t>
      </w:r>
      <w:r>
        <w:rPr>
          <w:rFonts w:hint="eastAsia" w:ascii="Times New Roman" w:hAnsi="Times New Roman" w:cs="Times New Roman"/>
          <w:szCs w:val="21"/>
          <w:highlight w:val="none"/>
          <w:lang w:val="en-US" w:eastAsia="zh-CN"/>
        </w:rPr>
        <w:t>数字仿真结果应提取及输出的</w:t>
      </w:r>
      <w:r>
        <w:rPr>
          <w:rFonts w:hint="eastAsia" w:ascii="Times New Roman" w:hAnsi="Times New Roman" w:cs="Times New Roman"/>
          <w:szCs w:val="21"/>
          <w:highlight w:val="none"/>
        </w:rPr>
        <w:t>关键内容。</w:t>
      </w:r>
    </w:p>
    <w:p>
      <w:pPr>
        <w:ind w:firstLine="480" w:firstLineChars="200"/>
        <w:rPr>
          <w:rFonts w:hint="eastAsia" w:ascii="Times New Roman" w:hAnsi="Times New Roman"/>
          <w:lang w:val="en-US" w:eastAsia="zh-CN"/>
        </w:rPr>
      </w:pPr>
      <w:r>
        <w:rPr>
          <w:rFonts w:hint="eastAsia" w:ascii="Times New Roman" w:hAnsi="Times New Roman"/>
        </w:rPr>
        <w:t>结</w:t>
      </w:r>
      <w:r>
        <w:rPr>
          <w:rFonts w:hint="eastAsia" w:ascii="Times New Roman" w:hAnsi="Times New Roman"/>
          <w:lang w:val="en-US" w:eastAsia="zh-CN"/>
        </w:rPr>
        <w:t>果输出过程中，应组织相关专家对仿真结果进行评审。</w:t>
      </w:r>
    </w:p>
    <w:p>
      <w:pPr>
        <w:ind w:firstLine="480" w:firstLineChars="200"/>
        <w:rPr>
          <w:rFonts w:hint="eastAsia" w:ascii="Times New Roman" w:hAnsi="Times New Roman"/>
          <w:lang w:val="en-US" w:eastAsia="zh-CN"/>
        </w:rPr>
      </w:pPr>
      <w:r>
        <w:rPr>
          <w:rFonts w:hint="eastAsia" w:ascii="Times New Roman" w:hAnsi="Times New Roman"/>
          <w:lang w:val="en-US" w:eastAsia="zh-CN"/>
        </w:rPr>
        <w:t>结果输出以报告的形式进行，报告内容应全面、完整。</w:t>
      </w:r>
    </w:p>
    <w:p>
      <w:pPr>
        <w:ind w:firstLine="480" w:firstLineChars="200"/>
        <w:rPr>
          <w:rFonts w:hint="eastAsia" w:ascii="Times New Roman" w:hAnsi="Times New Roman"/>
          <w:lang w:val="en-US" w:eastAsia="zh-CN"/>
        </w:rPr>
      </w:pPr>
      <w:r>
        <w:rPr>
          <w:rFonts w:hint="eastAsia" w:ascii="Times New Roman" w:hAnsi="Times New Roman"/>
          <w:lang w:val="en-US" w:eastAsia="zh-CN"/>
        </w:rPr>
        <w:t>报告一般包括以下内容：报告名称、分析对象、分析问题、任务概述、引用文件、符号及公式说明、分析过程、结果分析和讨论、优化及建议、参考文件等。</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lang w:val="en-US" w:eastAsia="zh-CN"/>
        </w:rPr>
        <w:t>任务概述</w:t>
      </w:r>
    </w:p>
    <w:p>
      <w:pPr>
        <w:ind w:firstLine="480" w:firstLineChars="200"/>
        <w:rPr>
          <w:rFonts w:hint="eastAsia" w:ascii="Times New Roman" w:hAnsi="Times New Roman"/>
          <w:lang w:val="en-US" w:eastAsia="zh-CN"/>
        </w:rPr>
      </w:pPr>
      <w:r>
        <w:rPr>
          <w:rFonts w:hint="eastAsia" w:ascii="Times New Roman" w:hAnsi="Times New Roman"/>
          <w:lang w:val="en-US" w:eastAsia="zh-CN"/>
        </w:rPr>
        <w:t>应对分析问题进行一定的背景介绍，并说明本报告所采取的分析类型和分析目的。</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lang w:val="en-US" w:eastAsia="zh-CN"/>
        </w:rPr>
        <w:t>符号说明</w:t>
      </w:r>
    </w:p>
    <w:p>
      <w:pPr>
        <w:ind w:firstLine="480" w:firstLineChars="200"/>
        <w:rPr>
          <w:rFonts w:hint="eastAsia" w:ascii="Times New Roman" w:hAnsi="Times New Roman"/>
          <w:lang w:val="en-US" w:eastAsia="zh-CN"/>
        </w:rPr>
      </w:pPr>
      <w:r>
        <w:rPr>
          <w:rFonts w:hint="eastAsia" w:ascii="Times New Roman" w:hAnsi="Times New Roman"/>
          <w:lang w:val="en-US" w:eastAsia="zh-CN"/>
        </w:rPr>
        <w:t>在报告中以列表的形式集中对报告中所出现的符号意义做必要的解释说明。</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hint="eastAsia" w:ascii="Times New Roman" w:hAnsi="Times New Roman"/>
          <w:lang w:val="en-US" w:eastAsia="zh-CN"/>
        </w:rPr>
        <w:t>分析过程</w:t>
      </w:r>
    </w:p>
    <w:p>
      <w:pPr>
        <w:ind w:firstLine="480" w:firstLineChars="200"/>
        <w:rPr>
          <w:rFonts w:hint="eastAsia" w:ascii="Times New Roman" w:hAnsi="Times New Roman"/>
          <w:lang w:val="en-US" w:eastAsia="zh-CN"/>
        </w:rPr>
      </w:pPr>
      <w:r>
        <w:rPr>
          <w:rFonts w:hint="eastAsia" w:ascii="Times New Roman" w:hAnsi="Times New Roman"/>
          <w:lang w:val="en-US" w:eastAsia="zh-CN"/>
        </w:rPr>
        <w:t>分析过程包括了仿真可行性分析、数据内容分析、仿真简化、仿真数据边界值分析、仿真方法优化、仿真优化方案优化。</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lang w:val="en-US" w:eastAsia="zh-CN"/>
        </w:rPr>
        <w:t>结果分析和讨论</w:t>
      </w:r>
    </w:p>
    <w:p>
      <w:pPr>
        <w:ind w:firstLine="480" w:firstLineChars="200"/>
        <w:rPr>
          <w:rFonts w:hint="eastAsia" w:ascii="Times New Roman" w:hAnsi="Times New Roman"/>
          <w:lang w:val="en-US" w:eastAsia="zh-CN"/>
        </w:rPr>
      </w:pPr>
      <w:r>
        <w:rPr>
          <w:rFonts w:hint="eastAsia" w:ascii="Times New Roman" w:hAnsi="Times New Roman"/>
          <w:lang w:val="en-US" w:eastAsia="zh-CN"/>
        </w:rPr>
        <w:t>根据分析问题的特点，给出相应的图表和云图，对关键参数进行分析。</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5</w:t>
      </w:r>
      <w:r>
        <w:rPr>
          <w:rFonts w:hint="eastAsia" w:ascii="Times New Roman" w:hAnsi="Times New Roman"/>
          <w:lang w:eastAsia="zh-CN"/>
        </w:rPr>
        <w:t>）</w:t>
      </w:r>
      <w:r>
        <w:rPr>
          <w:rFonts w:hint="eastAsia" w:ascii="Times New Roman" w:hAnsi="Times New Roman"/>
          <w:lang w:val="en-US" w:eastAsia="zh-CN"/>
        </w:rPr>
        <w:t>优化及建议</w:t>
      </w:r>
    </w:p>
    <w:p>
      <w:pPr>
        <w:ind w:firstLine="480" w:firstLineChars="200"/>
        <w:rPr>
          <w:rFonts w:hint="eastAsia" w:ascii="Times New Roman" w:hAnsi="Times New Roman"/>
          <w:lang w:val="en-US" w:eastAsia="zh-CN"/>
        </w:rPr>
      </w:pPr>
      <w:r>
        <w:rPr>
          <w:rFonts w:hint="eastAsia" w:ascii="Times New Roman" w:hAnsi="Times New Roman"/>
          <w:lang w:val="en-US" w:eastAsia="zh-CN"/>
        </w:rPr>
        <w:t>报告中应根据分析结果，给出优化建议和设计改良方案。</w:t>
      </w:r>
    </w:p>
    <w:p>
      <w:pPr>
        <w:ind w:firstLine="480" w:firstLineChars="200"/>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6</w:t>
      </w:r>
      <w:r>
        <w:rPr>
          <w:rFonts w:hint="eastAsia" w:ascii="Times New Roman" w:hAnsi="Times New Roman"/>
          <w:lang w:eastAsia="zh-CN"/>
        </w:rPr>
        <w:t>）</w:t>
      </w:r>
      <w:r>
        <w:rPr>
          <w:rFonts w:hint="eastAsia" w:ascii="Times New Roman" w:hAnsi="Times New Roman"/>
          <w:lang w:val="en-US" w:eastAsia="zh-CN"/>
        </w:rPr>
        <w:t>参考文献</w:t>
      </w:r>
    </w:p>
    <w:p>
      <w:pPr>
        <w:ind w:firstLine="480" w:firstLineChars="200"/>
        <w:rPr>
          <w:rFonts w:hint="eastAsia" w:ascii="Times New Roman" w:hAnsi="Times New Roman"/>
          <w:lang w:val="en-US" w:eastAsia="zh-CN"/>
        </w:rPr>
      </w:pPr>
      <w:r>
        <w:rPr>
          <w:rFonts w:hint="eastAsia" w:ascii="Times New Roman" w:hAnsi="Times New Roman"/>
          <w:lang w:val="en-US" w:eastAsia="zh-CN"/>
        </w:rPr>
        <w:t>报告中相关的参考文献、引用数据来源等应以参考文献的形式在报告最后列出。</w:t>
      </w:r>
    </w:p>
    <w:p>
      <w:pPr>
        <w:pStyle w:val="5"/>
        <w:numPr>
          <w:ilvl w:val="0"/>
          <w:numId w:val="0"/>
        </w:numPr>
      </w:pPr>
      <w:r>
        <w:rPr>
          <w:rFonts w:hint="eastAsia"/>
        </w:rPr>
        <w:t>5</w:t>
      </w:r>
      <w:r>
        <w:t>.</w:t>
      </w:r>
      <w:r>
        <w:rPr>
          <w:rFonts w:hint="eastAsia"/>
        </w:rPr>
        <w:t>10</w:t>
      </w:r>
      <w:r>
        <w:t xml:space="preserve"> 参考文献</w:t>
      </w:r>
    </w:p>
    <w:p>
      <w:pPr>
        <w:ind w:firstLine="480"/>
        <w:rPr>
          <w:rFonts w:cs="Times New Roman"/>
          <w:szCs w:val="21"/>
        </w:rPr>
      </w:pPr>
      <w:bookmarkStart w:id="11" w:name="_Hlk57910995"/>
      <w:r>
        <w:rPr>
          <w:rFonts w:hint="eastAsia" w:cs="Times New Roman"/>
          <w:szCs w:val="21"/>
        </w:rPr>
        <w:t>给出了</w:t>
      </w:r>
      <w:r>
        <w:rPr>
          <w:rFonts w:hint="eastAsia" w:cs="Times New Roman"/>
        </w:rPr>
        <w:t>本标准编制过程中的参考文献目录</w:t>
      </w:r>
      <w:r>
        <w:rPr>
          <w:rFonts w:hint="eastAsia" w:cs="Times New Roman"/>
          <w:szCs w:val="21"/>
        </w:rPr>
        <w:t>。</w:t>
      </w:r>
    </w:p>
    <w:bookmarkEnd w:id="11"/>
    <w:p>
      <w:pPr>
        <w:pStyle w:val="3"/>
      </w:pPr>
      <w:bookmarkStart w:id="12" w:name="_Toc6044"/>
      <w:r>
        <w:t>三、标准中如涉及专利，应有明确的知识产权说明。</w:t>
      </w:r>
      <w:bookmarkEnd w:id="12"/>
    </w:p>
    <w:p>
      <w:pPr>
        <w:ind w:firstLine="480"/>
      </w:pPr>
      <w:r>
        <w:t>本标准不涉及专利。</w:t>
      </w:r>
    </w:p>
    <w:p>
      <w:pPr>
        <w:pStyle w:val="3"/>
      </w:pPr>
      <w:bookmarkStart w:id="13" w:name="_Toc4741"/>
      <w:r>
        <w:t>四、主要试验或验证的分析、综述报告、技术经济论证，预期的经济效果。</w:t>
      </w:r>
      <w:bookmarkEnd w:id="13"/>
    </w:p>
    <w:p>
      <w:pPr>
        <w:ind w:firstLine="480"/>
        <w:rPr>
          <w:rFonts w:cs="Times New Roman"/>
          <w:bCs/>
          <w:szCs w:val="21"/>
        </w:rPr>
      </w:pPr>
      <w:r>
        <w:rPr>
          <w:rFonts w:hint="eastAsia" w:cs="Times New Roman"/>
          <w:bCs/>
          <w:szCs w:val="21"/>
        </w:rPr>
        <w:t>待开展</w:t>
      </w:r>
      <w:r>
        <w:rPr>
          <w:rFonts w:cs="Times New Roman"/>
          <w:bCs/>
          <w:szCs w:val="21"/>
        </w:rPr>
        <w:t>。</w:t>
      </w:r>
    </w:p>
    <w:p>
      <w:pPr>
        <w:pStyle w:val="3"/>
      </w:pPr>
      <w:bookmarkStart w:id="14" w:name="_Toc25823"/>
      <w:r>
        <w:t>五、采用国际标准或国外先进标准的目的、意义和一致性程度；我国标准与被采用标准的主要差异及其原因；以及与国际、国外同类标准水平的对比情况。</w:t>
      </w:r>
      <w:bookmarkEnd w:id="14"/>
    </w:p>
    <w:p>
      <w:pPr>
        <w:ind w:firstLine="480"/>
      </w:pPr>
      <w:r>
        <w:t>不适用。</w:t>
      </w:r>
    </w:p>
    <w:p>
      <w:pPr>
        <w:pStyle w:val="3"/>
      </w:pPr>
      <w:bookmarkStart w:id="15" w:name="_Toc10496"/>
      <w:r>
        <w:t>六、与现行法律、法规、强制性国家标准及相关标准协调配套情况</w:t>
      </w:r>
      <w:bookmarkEnd w:id="15"/>
    </w:p>
    <w:p>
      <w:pPr>
        <w:ind w:firstLine="480"/>
      </w:pPr>
      <w:r>
        <w:rPr>
          <w:rFonts w:hint="eastAsia"/>
        </w:rPr>
        <w:t>目前，国内尚未制订有色金属行业数字仿真技术规范相关标准。本申报标准可与智能制造标准体系中的其他标准丰富智能制造标准体系。</w:t>
      </w:r>
    </w:p>
    <w:p>
      <w:pPr>
        <w:pStyle w:val="3"/>
      </w:pPr>
      <w:bookmarkStart w:id="16" w:name="_Toc24005"/>
      <w:r>
        <w:t>七、国外相关法律、法规和标准情况的说明。</w:t>
      </w:r>
      <w:bookmarkEnd w:id="16"/>
    </w:p>
    <w:p>
      <w:pPr>
        <w:ind w:firstLine="480"/>
        <w:rPr>
          <w:rFonts w:cs="Times New Roman"/>
        </w:rPr>
      </w:pPr>
      <w:r>
        <w:rPr>
          <w:rFonts w:cs="Times New Roman"/>
        </w:rPr>
        <w:t>不适用。</w:t>
      </w:r>
    </w:p>
    <w:p>
      <w:pPr>
        <w:pStyle w:val="3"/>
      </w:pPr>
      <w:bookmarkStart w:id="17" w:name="_Toc25578"/>
      <w:r>
        <w:t>八、重大分歧意见的处理经过和依据</w:t>
      </w:r>
      <w:bookmarkEnd w:id="17"/>
    </w:p>
    <w:p>
      <w:pPr>
        <w:ind w:firstLine="480"/>
        <w:rPr>
          <w:rFonts w:cs="Times New Roman"/>
        </w:rPr>
      </w:pPr>
      <w:r>
        <w:rPr>
          <w:rFonts w:hint="eastAsia" w:cs="Times New Roman"/>
        </w:rPr>
        <w:t>暂</w:t>
      </w:r>
      <w:r>
        <w:rPr>
          <w:rFonts w:cs="Times New Roman"/>
        </w:rPr>
        <w:t>无。</w:t>
      </w:r>
    </w:p>
    <w:p>
      <w:pPr>
        <w:pStyle w:val="3"/>
      </w:pPr>
      <w:bookmarkStart w:id="18" w:name="_Toc11342"/>
      <w:r>
        <w:t>九、标准作为强制性或推荐性国家（或行业）标准的建议</w:t>
      </w:r>
      <w:bookmarkEnd w:id="18"/>
    </w:p>
    <w:p>
      <w:pPr>
        <w:ind w:firstLine="480"/>
      </w:pPr>
      <w:r>
        <w:t>本标准建议作为推荐性行业标准发布。目前，国际上</w:t>
      </w:r>
      <w:r>
        <w:rPr>
          <w:rFonts w:hint="eastAsia" w:cs="Times New Roman"/>
        </w:rPr>
        <w:t>尚未制订专门针对</w:t>
      </w:r>
      <w:r>
        <w:rPr>
          <w:rFonts w:cs="Times New Roman"/>
        </w:rPr>
        <w:t>有色金属数字仿真</w:t>
      </w:r>
      <w:r>
        <w:rPr>
          <w:rFonts w:hint="eastAsia" w:cs="Times New Roman"/>
        </w:rPr>
        <w:t>的相关行业标准</w:t>
      </w:r>
      <w:r>
        <w:t>，本标准</w:t>
      </w:r>
      <w:r>
        <w:rPr>
          <w:rFonts w:hint="eastAsia"/>
        </w:rPr>
        <w:t>制定</w:t>
      </w:r>
      <w:r>
        <w:t>发布，</w:t>
      </w:r>
      <w:r>
        <w:rPr>
          <w:rFonts w:hint="eastAsia"/>
        </w:rPr>
        <w:t>能够补充有色金属数字仿真技术标准的缺失，形成完整的有色金属行业标准体系，规范数字仿真技术的开发与应用，使有色金属数字仿真技术有章可循，有法可依，推动数字仿真技术和相关系统规范开发、快速发展。</w:t>
      </w:r>
      <w:r>
        <w:t xml:space="preserve"> </w:t>
      </w:r>
    </w:p>
    <w:p>
      <w:pPr>
        <w:pStyle w:val="3"/>
        <w:rPr>
          <w:szCs w:val="21"/>
        </w:rPr>
      </w:pPr>
      <w:bookmarkStart w:id="19" w:name="_Toc10777"/>
      <w:r>
        <w:t>十、贯彻标准的要求和措施建议</w:t>
      </w:r>
      <w:bookmarkEnd w:id="19"/>
    </w:p>
    <w:p>
      <w:pPr>
        <w:ind w:firstLine="480"/>
      </w:pPr>
      <w:r>
        <w:t>本标准的技术内容是推荐性的，建议标准发布后即可实施，建议本标准由各级人民政府的工业和信息化行政主管部门负责监督实施。</w:t>
      </w:r>
    </w:p>
    <w:p>
      <w:pPr>
        <w:pStyle w:val="3"/>
      </w:pPr>
      <w:bookmarkStart w:id="20" w:name="_Toc13701"/>
      <w:r>
        <w:t>十一、设立标准实施过渡期的理由：根据国家经济、技术政策需要和该强制性标准涉及的产品的技术改造难度等因素，提出标准的实施日期的建议。（仅适用于强制性标准）</w:t>
      </w:r>
      <w:bookmarkEnd w:id="20"/>
    </w:p>
    <w:p>
      <w:pPr>
        <w:ind w:firstLine="480"/>
      </w:pPr>
      <w:r>
        <w:t>不适用。</w:t>
      </w:r>
    </w:p>
    <w:p>
      <w:pPr>
        <w:pStyle w:val="3"/>
      </w:pPr>
      <w:bookmarkStart w:id="21" w:name="_Toc10187"/>
      <w:r>
        <w:t>十二、废止现行有关标准的建议</w:t>
      </w:r>
      <w:bookmarkEnd w:id="21"/>
    </w:p>
    <w:p>
      <w:pPr>
        <w:ind w:firstLine="480"/>
      </w:pPr>
      <w:r>
        <w:t>无。</w:t>
      </w:r>
    </w:p>
    <w:p>
      <w:pPr>
        <w:pStyle w:val="3"/>
      </w:pPr>
      <w:bookmarkStart w:id="22" w:name="_Toc27269"/>
      <w:r>
        <w:t>十三、其他主要内容的解释和其他需要说明的事项。如系列标准或划分部分制定的标准的编号建议，参考文献目录等。</w:t>
      </w:r>
      <w:bookmarkEnd w:id="22"/>
    </w:p>
    <w:p>
      <w:pPr>
        <w:pStyle w:val="32"/>
        <w:numPr>
          <w:ilvl w:val="0"/>
          <w:numId w:val="3"/>
        </w:numPr>
        <w:tabs>
          <w:tab w:val="clear" w:pos="4201"/>
          <w:tab w:val="clear" w:pos="9298"/>
        </w:tabs>
        <w:spacing w:line="360" w:lineRule="auto"/>
        <w:rPr>
          <w:rFonts w:ascii="Times New Roman"/>
          <w:szCs w:val="22"/>
        </w:rPr>
      </w:pPr>
      <w:r>
        <w:rPr>
          <w:rFonts w:hint="eastAsia" w:ascii="黑体" w:hAnsi="黑体"/>
          <w:color w:val="000000"/>
          <w:szCs w:val="21"/>
        </w:rPr>
        <w:t>《仿真分析规范指南-软件应用规范</w:t>
      </w:r>
      <w:r>
        <w:rPr>
          <w:rFonts w:ascii="Times New Roman"/>
          <w:color w:val="000000"/>
          <w:szCs w:val="21"/>
        </w:rPr>
        <w:t>V1.0</w:t>
      </w:r>
      <w:r>
        <w:rPr>
          <w:rFonts w:hint="eastAsia" w:ascii="黑体" w:hAnsi="黑体"/>
          <w:color w:val="000000"/>
          <w:szCs w:val="21"/>
        </w:rPr>
        <w:t>版</w:t>
      </w:r>
      <w:r>
        <w:rPr>
          <w:rFonts w:ascii="Times New Roman"/>
          <w:color w:val="000000"/>
          <w:szCs w:val="21"/>
        </w:rPr>
        <w:t>-2020</w:t>
      </w:r>
      <w:r>
        <w:rPr>
          <w:rFonts w:hint="eastAsia" w:ascii="黑体" w:hAnsi="黑体"/>
          <w:color w:val="000000"/>
          <w:szCs w:val="21"/>
        </w:rPr>
        <w:t>》</w:t>
      </w:r>
    </w:p>
    <w:p>
      <w:pPr>
        <w:pStyle w:val="32"/>
        <w:numPr>
          <w:ilvl w:val="0"/>
          <w:numId w:val="3"/>
        </w:numPr>
        <w:tabs>
          <w:tab w:val="clear" w:pos="4201"/>
          <w:tab w:val="clear" w:pos="9298"/>
        </w:tabs>
        <w:spacing w:line="360" w:lineRule="auto"/>
        <w:ind w:firstLineChars="0"/>
        <w:rPr>
          <w:rFonts w:ascii="Times New Roman"/>
          <w:szCs w:val="22"/>
        </w:rPr>
      </w:pPr>
      <w:r>
        <w:rPr>
          <w:rFonts w:hint="eastAsia" w:ascii="Times New Roman"/>
          <w:szCs w:val="22"/>
        </w:rPr>
        <w:t>《冶金企业和有色金属企业安全生产规定》（国家安全生产监督管理总局令第91号）</w:t>
      </w:r>
    </w:p>
    <w:p>
      <w:pPr>
        <w:pStyle w:val="32"/>
        <w:numPr>
          <w:ilvl w:val="0"/>
          <w:numId w:val="3"/>
        </w:numPr>
        <w:tabs>
          <w:tab w:val="clear" w:pos="4201"/>
          <w:tab w:val="clear" w:pos="9298"/>
        </w:tabs>
        <w:spacing w:line="360" w:lineRule="auto"/>
        <w:rPr>
          <w:rFonts w:ascii="Times New Roman"/>
          <w:szCs w:val="22"/>
        </w:rPr>
      </w:pPr>
      <w:r>
        <w:rPr>
          <w:rFonts w:hint="eastAsia" w:ascii="Times New Roman"/>
          <w:szCs w:val="22"/>
        </w:rPr>
        <w:t>GB/Z 28283-2012 热加工工艺仿真与模拟技术导则（中华人民共和国国家质量监督检验检疫总局和中国国家标准化管理委员会）</w:t>
      </w:r>
    </w:p>
    <w:p>
      <w:pPr>
        <w:pStyle w:val="32"/>
        <w:numPr>
          <w:ilvl w:val="0"/>
          <w:numId w:val="3"/>
        </w:numPr>
        <w:tabs>
          <w:tab w:val="clear" w:pos="4201"/>
          <w:tab w:val="clear" w:pos="9298"/>
        </w:tabs>
        <w:spacing w:line="360" w:lineRule="auto"/>
        <w:rPr>
          <w:rFonts w:ascii="Times New Roman"/>
          <w:szCs w:val="22"/>
        </w:rPr>
      </w:pPr>
      <w:r>
        <w:rPr>
          <w:rFonts w:ascii="Times New Roman"/>
          <w:szCs w:val="22"/>
        </w:rPr>
        <w:t>GB∕T 38918-2020 民用飞机起落架结构设计与仿真</w:t>
      </w:r>
      <w:r>
        <w:rPr>
          <w:rFonts w:hint="eastAsia" w:ascii="Times New Roman"/>
          <w:szCs w:val="22"/>
        </w:rPr>
        <w:t>（国家市场监督管理总局和国家标准化委员会）</w:t>
      </w:r>
    </w:p>
    <w:p>
      <w:pPr>
        <w:pStyle w:val="32"/>
        <w:numPr>
          <w:ilvl w:val="0"/>
          <w:numId w:val="3"/>
        </w:numPr>
        <w:tabs>
          <w:tab w:val="clear" w:pos="4201"/>
          <w:tab w:val="clear" w:pos="9298"/>
        </w:tabs>
        <w:spacing w:line="360" w:lineRule="auto"/>
        <w:rPr>
          <w:rFonts w:ascii="Times New Roman"/>
          <w:szCs w:val="22"/>
        </w:rPr>
      </w:pPr>
      <w:r>
        <w:rPr>
          <w:rFonts w:hint="eastAsia" w:ascii="Times New Roman"/>
          <w:szCs w:val="22"/>
        </w:rPr>
        <w:t>TB/T 3503.4-2018 铁路应用空气动力学 第4部分：列车空气动力学性能数值仿真规范（国家铁路局）</w:t>
      </w:r>
    </w:p>
    <w:p>
      <w:pPr>
        <w:ind w:firstLine="480"/>
        <w:jc w:val="right"/>
        <w:rPr>
          <w:rFonts w:cs="Times New Roman"/>
          <w:szCs w:val="21"/>
        </w:rPr>
      </w:pPr>
    </w:p>
    <w:p>
      <w:pPr>
        <w:ind w:firstLine="480"/>
        <w:jc w:val="right"/>
        <w:rPr>
          <w:rFonts w:cs="Times New Roman"/>
          <w:szCs w:val="21"/>
        </w:rPr>
      </w:pPr>
    </w:p>
    <w:p>
      <w:pPr>
        <w:ind w:firstLine="480"/>
        <w:jc w:val="right"/>
        <w:rPr>
          <w:rFonts w:cs="Times New Roman"/>
          <w:szCs w:val="21"/>
        </w:rPr>
      </w:pPr>
    </w:p>
    <w:p>
      <w:pPr>
        <w:ind w:firstLine="480"/>
        <w:jc w:val="right"/>
        <w:rPr>
          <w:rFonts w:cs="Times New Roman"/>
          <w:szCs w:val="21"/>
        </w:rPr>
      </w:pPr>
    </w:p>
    <w:p>
      <w:pPr>
        <w:ind w:firstLine="480"/>
        <w:jc w:val="right"/>
        <w:rPr>
          <w:rFonts w:cs="Times New Roman"/>
          <w:szCs w:val="21"/>
        </w:rPr>
      </w:pPr>
    </w:p>
    <w:p>
      <w:pPr>
        <w:ind w:firstLine="480"/>
        <w:jc w:val="right"/>
        <w:rPr>
          <w:rFonts w:cs="Times New Roman"/>
          <w:szCs w:val="21"/>
        </w:rPr>
      </w:pPr>
    </w:p>
    <w:p>
      <w:pPr>
        <w:jc w:val="right"/>
        <w:rPr>
          <w:rFonts w:cs="Times New Roman"/>
          <w:szCs w:val="21"/>
        </w:rPr>
      </w:pPr>
      <w:r>
        <w:rPr>
          <w:rFonts w:cs="Times New Roman"/>
          <w:szCs w:val="21"/>
        </w:rPr>
        <w:t>《</w:t>
      </w:r>
      <w:r>
        <w:rPr>
          <w:rFonts w:hint="eastAsia" w:cs="Times New Roman"/>
          <w:szCs w:val="21"/>
        </w:rPr>
        <w:t>有色金属行业数字仿真通用技术要求</w:t>
      </w:r>
      <w:r>
        <w:rPr>
          <w:rFonts w:cs="Times New Roman"/>
          <w:szCs w:val="21"/>
        </w:rPr>
        <w:t>》标准编制组</w:t>
      </w:r>
    </w:p>
    <w:p>
      <w:pPr>
        <w:ind w:firstLine="5102" w:firstLineChars="2126"/>
        <w:jc w:val="right"/>
        <w:rPr>
          <w:rFonts w:cs="Times New Roman"/>
          <w:szCs w:val="21"/>
        </w:rPr>
      </w:pPr>
      <w:bookmarkStart w:id="23" w:name="_Toc5605_WPSOffice_Level1"/>
      <w:r>
        <w:rPr>
          <w:rFonts w:cs="Times New Roman"/>
          <w:szCs w:val="21"/>
        </w:rPr>
        <w:t>202</w:t>
      </w:r>
      <w:r>
        <w:rPr>
          <w:rFonts w:hint="eastAsia" w:cs="Times New Roman"/>
          <w:szCs w:val="21"/>
        </w:rPr>
        <w:t>3</w:t>
      </w:r>
      <w:r>
        <w:rPr>
          <w:rFonts w:cs="Times New Roman"/>
          <w:szCs w:val="21"/>
        </w:rPr>
        <w:t>年</w:t>
      </w:r>
      <w:r>
        <w:rPr>
          <w:rFonts w:hint="eastAsia" w:cs="Times New Roman"/>
          <w:szCs w:val="21"/>
          <w:lang w:val="en-US" w:eastAsia="zh-CN"/>
        </w:rPr>
        <w:t>4</w:t>
      </w:r>
      <w:r>
        <w:rPr>
          <w:rFonts w:cs="Times New Roman"/>
          <w:szCs w:val="21"/>
        </w:rPr>
        <w:t>月</w:t>
      </w:r>
      <w:bookmarkEnd w:id="23"/>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700">
    <w:altName w:val="Calibri"/>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005061"/>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485083"/>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9C3DFA"/>
    <w:multiLevelType w:val="singleLevel"/>
    <w:tmpl w:val="0E9C3DFA"/>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jdlMjBhMjI1YjMzYjRkNWZiMTdmYjRiMTEyNTMifQ=="/>
  </w:docVars>
  <w:rsids>
    <w:rsidRoot w:val="53114ABC"/>
    <w:rsid w:val="000016A3"/>
    <w:rsid w:val="00001C09"/>
    <w:rsid w:val="00001D0E"/>
    <w:rsid w:val="00003877"/>
    <w:rsid w:val="00003B01"/>
    <w:rsid w:val="0001727B"/>
    <w:rsid w:val="00020B57"/>
    <w:rsid w:val="00021D32"/>
    <w:rsid w:val="0003185D"/>
    <w:rsid w:val="0003456A"/>
    <w:rsid w:val="000418C3"/>
    <w:rsid w:val="00050689"/>
    <w:rsid w:val="0005539F"/>
    <w:rsid w:val="000575C8"/>
    <w:rsid w:val="00057F69"/>
    <w:rsid w:val="00064224"/>
    <w:rsid w:val="000702DF"/>
    <w:rsid w:val="0007196A"/>
    <w:rsid w:val="00071DC6"/>
    <w:rsid w:val="0007467C"/>
    <w:rsid w:val="00074FAC"/>
    <w:rsid w:val="000902ED"/>
    <w:rsid w:val="00094799"/>
    <w:rsid w:val="000A0711"/>
    <w:rsid w:val="000A0A6A"/>
    <w:rsid w:val="000A3CAD"/>
    <w:rsid w:val="000A4835"/>
    <w:rsid w:val="000B4394"/>
    <w:rsid w:val="000B719D"/>
    <w:rsid w:val="000C32D0"/>
    <w:rsid w:val="000C34D0"/>
    <w:rsid w:val="000C4DD2"/>
    <w:rsid w:val="000C6973"/>
    <w:rsid w:val="000D017D"/>
    <w:rsid w:val="000E30FB"/>
    <w:rsid w:val="000E3BF6"/>
    <w:rsid w:val="000E3CC7"/>
    <w:rsid w:val="000E42C3"/>
    <w:rsid w:val="000E4445"/>
    <w:rsid w:val="000E4E34"/>
    <w:rsid w:val="000E6231"/>
    <w:rsid w:val="000E741C"/>
    <w:rsid w:val="000F1469"/>
    <w:rsid w:val="000F1EF9"/>
    <w:rsid w:val="00100CEB"/>
    <w:rsid w:val="0010475F"/>
    <w:rsid w:val="001122D8"/>
    <w:rsid w:val="001134F1"/>
    <w:rsid w:val="00114867"/>
    <w:rsid w:val="00115C95"/>
    <w:rsid w:val="00120C23"/>
    <w:rsid w:val="00121B97"/>
    <w:rsid w:val="0012394F"/>
    <w:rsid w:val="00124DCB"/>
    <w:rsid w:val="00132BD7"/>
    <w:rsid w:val="00140733"/>
    <w:rsid w:val="001462B0"/>
    <w:rsid w:val="00163001"/>
    <w:rsid w:val="001640AD"/>
    <w:rsid w:val="00184356"/>
    <w:rsid w:val="00185D83"/>
    <w:rsid w:val="00186FF6"/>
    <w:rsid w:val="0018795E"/>
    <w:rsid w:val="00187B88"/>
    <w:rsid w:val="00194E0D"/>
    <w:rsid w:val="00196706"/>
    <w:rsid w:val="001A329A"/>
    <w:rsid w:val="001A79F4"/>
    <w:rsid w:val="001B65F6"/>
    <w:rsid w:val="001B7F7F"/>
    <w:rsid w:val="001C2983"/>
    <w:rsid w:val="001D0EA8"/>
    <w:rsid w:val="001E1A6D"/>
    <w:rsid w:val="001E3DFC"/>
    <w:rsid w:val="001E4CAB"/>
    <w:rsid w:val="001E6D10"/>
    <w:rsid w:val="001F5559"/>
    <w:rsid w:val="001F67D2"/>
    <w:rsid w:val="001F6C63"/>
    <w:rsid w:val="001F7F48"/>
    <w:rsid w:val="00201369"/>
    <w:rsid w:val="00205230"/>
    <w:rsid w:val="0020756D"/>
    <w:rsid w:val="00207B91"/>
    <w:rsid w:val="00213358"/>
    <w:rsid w:val="00220173"/>
    <w:rsid w:val="00223EF2"/>
    <w:rsid w:val="002271AC"/>
    <w:rsid w:val="002335EC"/>
    <w:rsid w:val="00240518"/>
    <w:rsid w:val="002415AC"/>
    <w:rsid w:val="00243C34"/>
    <w:rsid w:val="002519FD"/>
    <w:rsid w:val="00270BD5"/>
    <w:rsid w:val="00274E33"/>
    <w:rsid w:val="00285131"/>
    <w:rsid w:val="002872F0"/>
    <w:rsid w:val="00290FCE"/>
    <w:rsid w:val="002927D9"/>
    <w:rsid w:val="00293C7C"/>
    <w:rsid w:val="002A1ABF"/>
    <w:rsid w:val="002A326C"/>
    <w:rsid w:val="002A7805"/>
    <w:rsid w:val="002B10CE"/>
    <w:rsid w:val="002B1CFB"/>
    <w:rsid w:val="002B3B9B"/>
    <w:rsid w:val="002B3E44"/>
    <w:rsid w:val="002B7E1B"/>
    <w:rsid w:val="002C77EE"/>
    <w:rsid w:val="002D37C4"/>
    <w:rsid w:val="002D7C37"/>
    <w:rsid w:val="002E397E"/>
    <w:rsid w:val="002E3AAA"/>
    <w:rsid w:val="002E4CBA"/>
    <w:rsid w:val="002E6CC0"/>
    <w:rsid w:val="002F2B9F"/>
    <w:rsid w:val="002F648D"/>
    <w:rsid w:val="0030149F"/>
    <w:rsid w:val="00302E0E"/>
    <w:rsid w:val="0030374E"/>
    <w:rsid w:val="00306FB7"/>
    <w:rsid w:val="0031572F"/>
    <w:rsid w:val="00323DA1"/>
    <w:rsid w:val="0032500E"/>
    <w:rsid w:val="003250CA"/>
    <w:rsid w:val="00334FD8"/>
    <w:rsid w:val="00353A35"/>
    <w:rsid w:val="0035567D"/>
    <w:rsid w:val="00356904"/>
    <w:rsid w:val="0035755F"/>
    <w:rsid w:val="003602CA"/>
    <w:rsid w:val="00365185"/>
    <w:rsid w:val="00366AA9"/>
    <w:rsid w:val="00373A8E"/>
    <w:rsid w:val="0037571F"/>
    <w:rsid w:val="00376AD1"/>
    <w:rsid w:val="00380A57"/>
    <w:rsid w:val="00380DD4"/>
    <w:rsid w:val="003846DA"/>
    <w:rsid w:val="0039012C"/>
    <w:rsid w:val="00392BE9"/>
    <w:rsid w:val="00394AB4"/>
    <w:rsid w:val="003973A1"/>
    <w:rsid w:val="003A5E62"/>
    <w:rsid w:val="003B5EBE"/>
    <w:rsid w:val="003C00BC"/>
    <w:rsid w:val="003C307D"/>
    <w:rsid w:val="003C4FEF"/>
    <w:rsid w:val="003D6E5B"/>
    <w:rsid w:val="003E2C62"/>
    <w:rsid w:val="003E492C"/>
    <w:rsid w:val="003E58A8"/>
    <w:rsid w:val="00401171"/>
    <w:rsid w:val="0041150E"/>
    <w:rsid w:val="00417ABF"/>
    <w:rsid w:val="00422888"/>
    <w:rsid w:val="00426D94"/>
    <w:rsid w:val="00436645"/>
    <w:rsid w:val="00440E06"/>
    <w:rsid w:val="0044106E"/>
    <w:rsid w:val="004457E1"/>
    <w:rsid w:val="00446A63"/>
    <w:rsid w:val="00452033"/>
    <w:rsid w:val="00455A23"/>
    <w:rsid w:val="00460469"/>
    <w:rsid w:val="004631C1"/>
    <w:rsid w:val="00463530"/>
    <w:rsid w:val="0046632E"/>
    <w:rsid w:val="00470DA5"/>
    <w:rsid w:val="00471C59"/>
    <w:rsid w:val="004759C1"/>
    <w:rsid w:val="00481BCE"/>
    <w:rsid w:val="004863B4"/>
    <w:rsid w:val="0048678E"/>
    <w:rsid w:val="00490351"/>
    <w:rsid w:val="0049089B"/>
    <w:rsid w:val="004A37DD"/>
    <w:rsid w:val="004A56F3"/>
    <w:rsid w:val="004B17C4"/>
    <w:rsid w:val="004B6822"/>
    <w:rsid w:val="004C4065"/>
    <w:rsid w:val="004C4736"/>
    <w:rsid w:val="004C55A1"/>
    <w:rsid w:val="004D03A5"/>
    <w:rsid w:val="004D1AF2"/>
    <w:rsid w:val="004D28AB"/>
    <w:rsid w:val="004D4697"/>
    <w:rsid w:val="004D4A91"/>
    <w:rsid w:val="004D69E6"/>
    <w:rsid w:val="004E696D"/>
    <w:rsid w:val="004F3805"/>
    <w:rsid w:val="005055D8"/>
    <w:rsid w:val="00513891"/>
    <w:rsid w:val="00514019"/>
    <w:rsid w:val="0051536C"/>
    <w:rsid w:val="005208F1"/>
    <w:rsid w:val="005223A0"/>
    <w:rsid w:val="00524B35"/>
    <w:rsid w:val="00525BFB"/>
    <w:rsid w:val="0053076C"/>
    <w:rsid w:val="0053434A"/>
    <w:rsid w:val="005345E5"/>
    <w:rsid w:val="00534ECF"/>
    <w:rsid w:val="005378E6"/>
    <w:rsid w:val="00540F47"/>
    <w:rsid w:val="0054711F"/>
    <w:rsid w:val="00553653"/>
    <w:rsid w:val="0055748B"/>
    <w:rsid w:val="00557E1E"/>
    <w:rsid w:val="00561606"/>
    <w:rsid w:val="00561DEC"/>
    <w:rsid w:val="00562635"/>
    <w:rsid w:val="00565B79"/>
    <w:rsid w:val="00567079"/>
    <w:rsid w:val="00570DE3"/>
    <w:rsid w:val="00576859"/>
    <w:rsid w:val="005775B1"/>
    <w:rsid w:val="00582805"/>
    <w:rsid w:val="00590260"/>
    <w:rsid w:val="00591366"/>
    <w:rsid w:val="0059486D"/>
    <w:rsid w:val="00594D85"/>
    <w:rsid w:val="005B0C1C"/>
    <w:rsid w:val="005B106E"/>
    <w:rsid w:val="005B1CA3"/>
    <w:rsid w:val="005B4EE1"/>
    <w:rsid w:val="005C08BF"/>
    <w:rsid w:val="005C2579"/>
    <w:rsid w:val="005C5955"/>
    <w:rsid w:val="005C7AF8"/>
    <w:rsid w:val="005D1B2C"/>
    <w:rsid w:val="005E0B98"/>
    <w:rsid w:val="005E70D7"/>
    <w:rsid w:val="005F0028"/>
    <w:rsid w:val="005F3D4E"/>
    <w:rsid w:val="00610601"/>
    <w:rsid w:val="006123B9"/>
    <w:rsid w:val="00637A1B"/>
    <w:rsid w:val="0064576F"/>
    <w:rsid w:val="00652789"/>
    <w:rsid w:val="006535D2"/>
    <w:rsid w:val="006569F8"/>
    <w:rsid w:val="00657491"/>
    <w:rsid w:val="00657FD0"/>
    <w:rsid w:val="00664E2E"/>
    <w:rsid w:val="00670E56"/>
    <w:rsid w:val="00671104"/>
    <w:rsid w:val="006713E9"/>
    <w:rsid w:val="00677726"/>
    <w:rsid w:val="00682454"/>
    <w:rsid w:val="006A243C"/>
    <w:rsid w:val="006A7126"/>
    <w:rsid w:val="006B4317"/>
    <w:rsid w:val="006C2A10"/>
    <w:rsid w:val="006C5B08"/>
    <w:rsid w:val="006C5CE3"/>
    <w:rsid w:val="006C643A"/>
    <w:rsid w:val="006C7549"/>
    <w:rsid w:val="006D36D3"/>
    <w:rsid w:val="006E3EEA"/>
    <w:rsid w:val="006F1201"/>
    <w:rsid w:val="0070310D"/>
    <w:rsid w:val="0071004F"/>
    <w:rsid w:val="00710FB5"/>
    <w:rsid w:val="00717718"/>
    <w:rsid w:val="00724FA4"/>
    <w:rsid w:val="007250D3"/>
    <w:rsid w:val="007300B1"/>
    <w:rsid w:val="00730613"/>
    <w:rsid w:val="00741076"/>
    <w:rsid w:val="007414FB"/>
    <w:rsid w:val="00743011"/>
    <w:rsid w:val="00745414"/>
    <w:rsid w:val="00747A38"/>
    <w:rsid w:val="00752E8E"/>
    <w:rsid w:val="00754B1B"/>
    <w:rsid w:val="00755F2A"/>
    <w:rsid w:val="00756C8F"/>
    <w:rsid w:val="00771FBD"/>
    <w:rsid w:val="0077454B"/>
    <w:rsid w:val="00780088"/>
    <w:rsid w:val="00783EAA"/>
    <w:rsid w:val="00786E6C"/>
    <w:rsid w:val="00790FAB"/>
    <w:rsid w:val="00797A32"/>
    <w:rsid w:val="007A66F7"/>
    <w:rsid w:val="007B1972"/>
    <w:rsid w:val="007B2627"/>
    <w:rsid w:val="007B2F7D"/>
    <w:rsid w:val="007B57D8"/>
    <w:rsid w:val="007D0852"/>
    <w:rsid w:val="007D2B68"/>
    <w:rsid w:val="007D3B7B"/>
    <w:rsid w:val="007D5A35"/>
    <w:rsid w:val="007D5B52"/>
    <w:rsid w:val="007E1429"/>
    <w:rsid w:val="007E7345"/>
    <w:rsid w:val="007F52D0"/>
    <w:rsid w:val="007F69E5"/>
    <w:rsid w:val="0080299D"/>
    <w:rsid w:val="00806372"/>
    <w:rsid w:val="00806581"/>
    <w:rsid w:val="008074C6"/>
    <w:rsid w:val="00815FF5"/>
    <w:rsid w:val="0081673E"/>
    <w:rsid w:val="0082163F"/>
    <w:rsid w:val="008256F9"/>
    <w:rsid w:val="0083159C"/>
    <w:rsid w:val="008330B3"/>
    <w:rsid w:val="008342BE"/>
    <w:rsid w:val="00835C62"/>
    <w:rsid w:val="00850E2C"/>
    <w:rsid w:val="008571DC"/>
    <w:rsid w:val="00865EE1"/>
    <w:rsid w:val="008706A6"/>
    <w:rsid w:val="00870994"/>
    <w:rsid w:val="00872425"/>
    <w:rsid w:val="008735FC"/>
    <w:rsid w:val="008777D9"/>
    <w:rsid w:val="00880765"/>
    <w:rsid w:val="00886373"/>
    <w:rsid w:val="00894F92"/>
    <w:rsid w:val="008951EE"/>
    <w:rsid w:val="008A6BF5"/>
    <w:rsid w:val="008B2730"/>
    <w:rsid w:val="008B2B18"/>
    <w:rsid w:val="008B3091"/>
    <w:rsid w:val="008C2BAE"/>
    <w:rsid w:val="008C6913"/>
    <w:rsid w:val="008C6BF2"/>
    <w:rsid w:val="008D1C37"/>
    <w:rsid w:val="008D3626"/>
    <w:rsid w:val="008D7980"/>
    <w:rsid w:val="008F27AB"/>
    <w:rsid w:val="008F393D"/>
    <w:rsid w:val="00901903"/>
    <w:rsid w:val="00903087"/>
    <w:rsid w:val="00906A6D"/>
    <w:rsid w:val="00911692"/>
    <w:rsid w:val="00913BAE"/>
    <w:rsid w:val="009240A3"/>
    <w:rsid w:val="009243CC"/>
    <w:rsid w:val="00940C16"/>
    <w:rsid w:val="00944935"/>
    <w:rsid w:val="00945EE8"/>
    <w:rsid w:val="0094683A"/>
    <w:rsid w:val="00947094"/>
    <w:rsid w:val="00950541"/>
    <w:rsid w:val="00953F07"/>
    <w:rsid w:val="00960043"/>
    <w:rsid w:val="00962B28"/>
    <w:rsid w:val="0096624A"/>
    <w:rsid w:val="00966D54"/>
    <w:rsid w:val="00970934"/>
    <w:rsid w:val="0097109C"/>
    <w:rsid w:val="009737C5"/>
    <w:rsid w:val="00975DE1"/>
    <w:rsid w:val="009770F2"/>
    <w:rsid w:val="009817A4"/>
    <w:rsid w:val="009819D5"/>
    <w:rsid w:val="00986CCD"/>
    <w:rsid w:val="00987853"/>
    <w:rsid w:val="0099048F"/>
    <w:rsid w:val="0099147C"/>
    <w:rsid w:val="00992AB4"/>
    <w:rsid w:val="009960DB"/>
    <w:rsid w:val="009968A3"/>
    <w:rsid w:val="00997155"/>
    <w:rsid w:val="009A1B14"/>
    <w:rsid w:val="009A3A39"/>
    <w:rsid w:val="009A5648"/>
    <w:rsid w:val="009A7CFA"/>
    <w:rsid w:val="009B0019"/>
    <w:rsid w:val="009B0A5E"/>
    <w:rsid w:val="009B2B9A"/>
    <w:rsid w:val="009B2CE9"/>
    <w:rsid w:val="009B4222"/>
    <w:rsid w:val="009C1317"/>
    <w:rsid w:val="009C312D"/>
    <w:rsid w:val="009C522A"/>
    <w:rsid w:val="009D28D3"/>
    <w:rsid w:val="009D4A30"/>
    <w:rsid w:val="009D78D7"/>
    <w:rsid w:val="009E16C1"/>
    <w:rsid w:val="009E1777"/>
    <w:rsid w:val="009F11B1"/>
    <w:rsid w:val="009F11EE"/>
    <w:rsid w:val="009F3A1F"/>
    <w:rsid w:val="009F7645"/>
    <w:rsid w:val="00A032E6"/>
    <w:rsid w:val="00A06BBC"/>
    <w:rsid w:val="00A11B3A"/>
    <w:rsid w:val="00A12065"/>
    <w:rsid w:val="00A14C02"/>
    <w:rsid w:val="00A14D78"/>
    <w:rsid w:val="00A243BC"/>
    <w:rsid w:val="00A26265"/>
    <w:rsid w:val="00A267B9"/>
    <w:rsid w:val="00A26EFA"/>
    <w:rsid w:val="00A33D6F"/>
    <w:rsid w:val="00A471E6"/>
    <w:rsid w:val="00A65D83"/>
    <w:rsid w:val="00A67E2B"/>
    <w:rsid w:val="00A7035E"/>
    <w:rsid w:val="00A70F35"/>
    <w:rsid w:val="00A73122"/>
    <w:rsid w:val="00A75B16"/>
    <w:rsid w:val="00A8570E"/>
    <w:rsid w:val="00A85EF9"/>
    <w:rsid w:val="00A8611A"/>
    <w:rsid w:val="00A95CCE"/>
    <w:rsid w:val="00A97452"/>
    <w:rsid w:val="00A97D01"/>
    <w:rsid w:val="00AA055F"/>
    <w:rsid w:val="00AA5B67"/>
    <w:rsid w:val="00AA5D7A"/>
    <w:rsid w:val="00AA6689"/>
    <w:rsid w:val="00AD547C"/>
    <w:rsid w:val="00AE18C8"/>
    <w:rsid w:val="00AE2ABF"/>
    <w:rsid w:val="00AE455F"/>
    <w:rsid w:val="00AE4720"/>
    <w:rsid w:val="00AE6A53"/>
    <w:rsid w:val="00AF1651"/>
    <w:rsid w:val="00AF2E75"/>
    <w:rsid w:val="00AF317B"/>
    <w:rsid w:val="00AF399F"/>
    <w:rsid w:val="00B01DB6"/>
    <w:rsid w:val="00B0472F"/>
    <w:rsid w:val="00B04D69"/>
    <w:rsid w:val="00B04FB4"/>
    <w:rsid w:val="00B14851"/>
    <w:rsid w:val="00B15874"/>
    <w:rsid w:val="00B172E1"/>
    <w:rsid w:val="00B241DB"/>
    <w:rsid w:val="00B24A1E"/>
    <w:rsid w:val="00B26DBD"/>
    <w:rsid w:val="00B27609"/>
    <w:rsid w:val="00B279E5"/>
    <w:rsid w:val="00B31C59"/>
    <w:rsid w:val="00B3382F"/>
    <w:rsid w:val="00B33BFE"/>
    <w:rsid w:val="00B35A20"/>
    <w:rsid w:val="00B41778"/>
    <w:rsid w:val="00B41910"/>
    <w:rsid w:val="00B423B7"/>
    <w:rsid w:val="00B46862"/>
    <w:rsid w:val="00B53451"/>
    <w:rsid w:val="00B56FD8"/>
    <w:rsid w:val="00B61707"/>
    <w:rsid w:val="00B810B9"/>
    <w:rsid w:val="00B8115B"/>
    <w:rsid w:val="00B81329"/>
    <w:rsid w:val="00B861C8"/>
    <w:rsid w:val="00B923E5"/>
    <w:rsid w:val="00B96422"/>
    <w:rsid w:val="00B971F4"/>
    <w:rsid w:val="00BA3999"/>
    <w:rsid w:val="00BA4E35"/>
    <w:rsid w:val="00BA541F"/>
    <w:rsid w:val="00BA634A"/>
    <w:rsid w:val="00BC26A7"/>
    <w:rsid w:val="00BC355F"/>
    <w:rsid w:val="00BC64BE"/>
    <w:rsid w:val="00BD5B9E"/>
    <w:rsid w:val="00BE434B"/>
    <w:rsid w:val="00BF1E9F"/>
    <w:rsid w:val="00BF5240"/>
    <w:rsid w:val="00C0174B"/>
    <w:rsid w:val="00C0269A"/>
    <w:rsid w:val="00C02AF2"/>
    <w:rsid w:val="00C03979"/>
    <w:rsid w:val="00C16457"/>
    <w:rsid w:val="00C23F5A"/>
    <w:rsid w:val="00C24A30"/>
    <w:rsid w:val="00C24AA2"/>
    <w:rsid w:val="00C25319"/>
    <w:rsid w:val="00C32D52"/>
    <w:rsid w:val="00C40E6F"/>
    <w:rsid w:val="00C4208E"/>
    <w:rsid w:val="00C4719C"/>
    <w:rsid w:val="00C478BB"/>
    <w:rsid w:val="00C66BF4"/>
    <w:rsid w:val="00C7206F"/>
    <w:rsid w:val="00C720A4"/>
    <w:rsid w:val="00C744E8"/>
    <w:rsid w:val="00C80100"/>
    <w:rsid w:val="00C823B4"/>
    <w:rsid w:val="00CA1C0E"/>
    <w:rsid w:val="00CA4CD9"/>
    <w:rsid w:val="00CB16D9"/>
    <w:rsid w:val="00CB61FC"/>
    <w:rsid w:val="00CB7AB0"/>
    <w:rsid w:val="00CC0B61"/>
    <w:rsid w:val="00CC219E"/>
    <w:rsid w:val="00CC2A7B"/>
    <w:rsid w:val="00CC46FC"/>
    <w:rsid w:val="00CC6CDC"/>
    <w:rsid w:val="00CC7078"/>
    <w:rsid w:val="00CC71EA"/>
    <w:rsid w:val="00CD2814"/>
    <w:rsid w:val="00CD4594"/>
    <w:rsid w:val="00CD4A9F"/>
    <w:rsid w:val="00CD58EA"/>
    <w:rsid w:val="00CE0B85"/>
    <w:rsid w:val="00CE1BFB"/>
    <w:rsid w:val="00CE2BDB"/>
    <w:rsid w:val="00CE474E"/>
    <w:rsid w:val="00CF3DC9"/>
    <w:rsid w:val="00CF4461"/>
    <w:rsid w:val="00D02FB8"/>
    <w:rsid w:val="00D15FAC"/>
    <w:rsid w:val="00D16EE2"/>
    <w:rsid w:val="00D32600"/>
    <w:rsid w:val="00D34803"/>
    <w:rsid w:val="00D35C00"/>
    <w:rsid w:val="00D40A73"/>
    <w:rsid w:val="00D40F74"/>
    <w:rsid w:val="00D4703F"/>
    <w:rsid w:val="00D55805"/>
    <w:rsid w:val="00D65BB9"/>
    <w:rsid w:val="00D70571"/>
    <w:rsid w:val="00D70FAC"/>
    <w:rsid w:val="00D741E0"/>
    <w:rsid w:val="00D74BDF"/>
    <w:rsid w:val="00D87CA4"/>
    <w:rsid w:val="00D9110D"/>
    <w:rsid w:val="00D91AFE"/>
    <w:rsid w:val="00D91B14"/>
    <w:rsid w:val="00DA5B1C"/>
    <w:rsid w:val="00DB2E50"/>
    <w:rsid w:val="00DB4C09"/>
    <w:rsid w:val="00DB5EAC"/>
    <w:rsid w:val="00DB6AD4"/>
    <w:rsid w:val="00DC20C4"/>
    <w:rsid w:val="00DC7393"/>
    <w:rsid w:val="00DC7B1E"/>
    <w:rsid w:val="00DD0CC3"/>
    <w:rsid w:val="00DD2F84"/>
    <w:rsid w:val="00E011BF"/>
    <w:rsid w:val="00E07840"/>
    <w:rsid w:val="00E16478"/>
    <w:rsid w:val="00E22BB4"/>
    <w:rsid w:val="00E35FF5"/>
    <w:rsid w:val="00E3648B"/>
    <w:rsid w:val="00E44697"/>
    <w:rsid w:val="00E47332"/>
    <w:rsid w:val="00E47AF7"/>
    <w:rsid w:val="00E523E3"/>
    <w:rsid w:val="00E55891"/>
    <w:rsid w:val="00E55D16"/>
    <w:rsid w:val="00E60D01"/>
    <w:rsid w:val="00E61D6B"/>
    <w:rsid w:val="00E640DD"/>
    <w:rsid w:val="00E6539F"/>
    <w:rsid w:val="00E7193B"/>
    <w:rsid w:val="00E74641"/>
    <w:rsid w:val="00E75994"/>
    <w:rsid w:val="00E82FB0"/>
    <w:rsid w:val="00E84A2D"/>
    <w:rsid w:val="00E85CB4"/>
    <w:rsid w:val="00E92C56"/>
    <w:rsid w:val="00E96A75"/>
    <w:rsid w:val="00EA2CF8"/>
    <w:rsid w:val="00EA3134"/>
    <w:rsid w:val="00EA5B4C"/>
    <w:rsid w:val="00EC3861"/>
    <w:rsid w:val="00EC3863"/>
    <w:rsid w:val="00EC779C"/>
    <w:rsid w:val="00ED5105"/>
    <w:rsid w:val="00EE1BEB"/>
    <w:rsid w:val="00EE460E"/>
    <w:rsid w:val="00EE6735"/>
    <w:rsid w:val="00EF12EE"/>
    <w:rsid w:val="00EF73BE"/>
    <w:rsid w:val="00F0058D"/>
    <w:rsid w:val="00F01E83"/>
    <w:rsid w:val="00F03C0B"/>
    <w:rsid w:val="00F06869"/>
    <w:rsid w:val="00F103E1"/>
    <w:rsid w:val="00F124E5"/>
    <w:rsid w:val="00F12E4C"/>
    <w:rsid w:val="00F13A37"/>
    <w:rsid w:val="00F246F5"/>
    <w:rsid w:val="00F316CE"/>
    <w:rsid w:val="00F36FAF"/>
    <w:rsid w:val="00F40A49"/>
    <w:rsid w:val="00F44668"/>
    <w:rsid w:val="00F53615"/>
    <w:rsid w:val="00F539A5"/>
    <w:rsid w:val="00F56AB6"/>
    <w:rsid w:val="00F575DD"/>
    <w:rsid w:val="00F577DB"/>
    <w:rsid w:val="00F60209"/>
    <w:rsid w:val="00F73335"/>
    <w:rsid w:val="00F758B6"/>
    <w:rsid w:val="00F81D84"/>
    <w:rsid w:val="00F842CA"/>
    <w:rsid w:val="00F8487D"/>
    <w:rsid w:val="00F925AA"/>
    <w:rsid w:val="00F9613B"/>
    <w:rsid w:val="00FA0F40"/>
    <w:rsid w:val="00FA198E"/>
    <w:rsid w:val="00FA2190"/>
    <w:rsid w:val="00FB28FE"/>
    <w:rsid w:val="00FB53D7"/>
    <w:rsid w:val="00FB6D73"/>
    <w:rsid w:val="00FC3562"/>
    <w:rsid w:val="00FC5BBC"/>
    <w:rsid w:val="00FC68D0"/>
    <w:rsid w:val="00FD2962"/>
    <w:rsid w:val="00FE6DC1"/>
    <w:rsid w:val="012D5BC1"/>
    <w:rsid w:val="015B7E57"/>
    <w:rsid w:val="01964C1C"/>
    <w:rsid w:val="01E64964"/>
    <w:rsid w:val="0206781B"/>
    <w:rsid w:val="022B544F"/>
    <w:rsid w:val="023C0B9E"/>
    <w:rsid w:val="029801E7"/>
    <w:rsid w:val="02C13066"/>
    <w:rsid w:val="02D850A0"/>
    <w:rsid w:val="02F025C9"/>
    <w:rsid w:val="02FD7E48"/>
    <w:rsid w:val="030E5A2F"/>
    <w:rsid w:val="035F56DF"/>
    <w:rsid w:val="037A518F"/>
    <w:rsid w:val="04173F9D"/>
    <w:rsid w:val="04292B69"/>
    <w:rsid w:val="045F3465"/>
    <w:rsid w:val="0513468E"/>
    <w:rsid w:val="055966EB"/>
    <w:rsid w:val="06A438F6"/>
    <w:rsid w:val="06A96575"/>
    <w:rsid w:val="06E331EE"/>
    <w:rsid w:val="077F1313"/>
    <w:rsid w:val="078540B0"/>
    <w:rsid w:val="07DE7CA5"/>
    <w:rsid w:val="08082511"/>
    <w:rsid w:val="086D3E73"/>
    <w:rsid w:val="08852D0C"/>
    <w:rsid w:val="08F40AD4"/>
    <w:rsid w:val="09720E75"/>
    <w:rsid w:val="09A0742A"/>
    <w:rsid w:val="09A40751"/>
    <w:rsid w:val="09C33753"/>
    <w:rsid w:val="09C53FE8"/>
    <w:rsid w:val="09DA36E1"/>
    <w:rsid w:val="0A3328B0"/>
    <w:rsid w:val="0A4F7F87"/>
    <w:rsid w:val="0A6273E5"/>
    <w:rsid w:val="0AA8516A"/>
    <w:rsid w:val="0ACB6CBD"/>
    <w:rsid w:val="0ADA6FB6"/>
    <w:rsid w:val="0BF71DAF"/>
    <w:rsid w:val="0C0D4B54"/>
    <w:rsid w:val="0C185A2D"/>
    <w:rsid w:val="0C2918D4"/>
    <w:rsid w:val="0D271E8E"/>
    <w:rsid w:val="0D862043"/>
    <w:rsid w:val="0DA11596"/>
    <w:rsid w:val="0DDE6D96"/>
    <w:rsid w:val="0DF260C4"/>
    <w:rsid w:val="0DF84CC6"/>
    <w:rsid w:val="0DFF0F24"/>
    <w:rsid w:val="0EDA0E5E"/>
    <w:rsid w:val="0EE86234"/>
    <w:rsid w:val="0F120820"/>
    <w:rsid w:val="0F3477F7"/>
    <w:rsid w:val="0F8745A9"/>
    <w:rsid w:val="103E3B1A"/>
    <w:rsid w:val="10504E45"/>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3F7128E"/>
    <w:rsid w:val="1480248F"/>
    <w:rsid w:val="1489698D"/>
    <w:rsid w:val="14E87BBC"/>
    <w:rsid w:val="14EC6B03"/>
    <w:rsid w:val="14F567B2"/>
    <w:rsid w:val="15C04A67"/>
    <w:rsid w:val="16020E79"/>
    <w:rsid w:val="16B6361F"/>
    <w:rsid w:val="16EC7881"/>
    <w:rsid w:val="16F058A0"/>
    <w:rsid w:val="17167E38"/>
    <w:rsid w:val="174728A3"/>
    <w:rsid w:val="1759391E"/>
    <w:rsid w:val="177779B0"/>
    <w:rsid w:val="17BD7C87"/>
    <w:rsid w:val="181C3FF9"/>
    <w:rsid w:val="18225BBA"/>
    <w:rsid w:val="182A4ADF"/>
    <w:rsid w:val="18442D45"/>
    <w:rsid w:val="18771F37"/>
    <w:rsid w:val="187841D1"/>
    <w:rsid w:val="18C337DC"/>
    <w:rsid w:val="18E22D82"/>
    <w:rsid w:val="18E4748C"/>
    <w:rsid w:val="18FC17FC"/>
    <w:rsid w:val="190C632D"/>
    <w:rsid w:val="192119E1"/>
    <w:rsid w:val="193075EB"/>
    <w:rsid w:val="193B4181"/>
    <w:rsid w:val="196B1F7D"/>
    <w:rsid w:val="19B5146D"/>
    <w:rsid w:val="19C05A58"/>
    <w:rsid w:val="19E36F8C"/>
    <w:rsid w:val="1A041015"/>
    <w:rsid w:val="1AC942E2"/>
    <w:rsid w:val="1AE55C6F"/>
    <w:rsid w:val="1B0B6E02"/>
    <w:rsid w:val="1B3B3D29"/>
    <w:rsid w:val="1B9A59B3"/>
    <w:rsid w:val="1BC23766"/>
    <w:rsid w:val="1C07014A"/>
    <w:rsid w:val="1C176B2D"/>
    <w:rsid w:val="1C6126F9"/>
    <w:rsid w:val="1CC67938"/>
    <w:rsid w:val="1CD04AA0"/>
    <w:rsid w:val="1CE51CB6"/>
    <w:rsid w:val="1D170A7F"/>
    <w:rsid w:val="1D7761FB"/>
    <w:rsid w:val="1D834466"/>
    <w:rsid w:val="1DA922E2"/>
    <w:rsid w:val="1E0557BF"/>
    <w:rsid w:val="1E0A2193"/>
    <w:rsid w:val="1E270E79"/>
    <w:rsid w:val="1ED47E09"/>
    <w:rsid w:val="1EDF64F5"/>
    <w:rsid w:val="1F9C5FCB"/>
    <w:rsid w:val="1FBA6363"/>
    <w:rsid w:val="1FD962AE"/>
    <w:rsid w:val="20144EE1"/>
    <w:rsid w:val="20882669"/>
    <w:rsid w:val="20A770D1"/>
    <w:rsid w:val="20A77CCD"/>
    <w:rsid w:val="20EF7946"/>
    <w:rsid w:val="2113711A"/>
    <w:rsid w:val="2150112A"/>
    <w:rsid w:val="219A3D96"/>
    <w:rsid w:val="21BE12E8"/>
    <w:rsid w:val="21E93A9D"/>
    <w:rsid w:val="22261F1D"/>
    <w:rsid w:val="22360FA9"/>
    <w:rsid w:val="22AD307A"/>
    <w:rsid w:val="22E87DC4"/>
    <w:rsid w:val="22F31C10"/>
    <w:rsid w:val="23750DB0"/>
    <w:rsid w:val="23896CC5"/>
    <w:rsid w:val="239D680B"/>
    <w:rsid w:val="24010B95"/>
    <w:rsid w:val="2464066D"/>
    <w:rsid w:val="2479609D"/>
    <w:rsid w:val="247D572C"/>
    <w:rsid w:val="24830D85"/>
    <w:rsid w:val="253A4D8F"/>
    <w:rsid w:val="254E5B6C"/>
    <w:rsid w:val="259A016F"/>
    <w:rsid w:val="25AC6DE6"/>
    <w:rsid w:val="25D90BC9"/>
    <w:rsid w:val="260773CD"/>
    <w:rsid w:val="26240D86"/>
    <w:rsid w:val="263216EE"/>
    <w:rsid w:val="267F7CDF"/>
    <w:rsid w:val="26AF5FF1"/>
    <w:rsid w:val="26C00634"/>
    <w:rsid w:val="27C55CE7"/>
    <w:rsid w:val="28070FF8"/>
    <w:rsid w:val="288807C5"/>
    <w:rsid w:val="288923D6"/>
    <w:rsid w:val="288E447B"/>
    <w:rsid w:val="28A62D0D"/>
    <w:rsid w:val="290A5339"/>
    <w:rsid w:val="291E73BB"/>
    <w:rsid w:val="292305B3"/>
    <w:rsid w:val="2951626D"/>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CF442D0"/>
    <w:rsid w:val="2D0E4DD1"/>
    <w:rsid w:val="2D37529C"/>
    <w:rsid w:val="2DCE5491"/>
    <w:rsid w:val="2E283222"/>
    <w:rsid w:val="2E2D4E4A"/>
    <w:rsid w:val="2E305CDE"/>
    <w:rsid w:val="2EBD03FF"/>
    <w:rsid w:val="2EFE026B"/>
    <w:rsid w:val="2F22744A"/>
    <w:rsid w:val="2F4626E6"/>
    <w:rsid w:val="2F822FAB"/>
    <w:rsid w:val="2F9E35F0"/>
    <w:rsid w:val="2FB45A06"/>
    <w:rsid w:val="30116DDD"/>
    <w:rsid w:val="30335796"/>
    <w:rsid w:val="303B3EBD"/>
    <w:rsid w:val="30EB1AD3"/>
    <w:rsid w:val="31133926"/>
    <w:rsid w:val="31347FEE"/>
    <w:rsid w:val="315A50BF"/>
    <w:rsid w:val="31C06E6D"/>
    <w:rsid w:val="31D55565"/>
    <w:rsid w:val="322E16BB"/>
    <w:rsid w:val="32454F38"/>
    <w:rsid w:val="32D35D03"/>
    <w:rsid w:val="32FA21B0"/>
    <w:rsid w:val="33E63480"/>
    <w:rsid w:val="3408708B"/>
    <w:rsid w:val="353702F2"/>
    <w:rsid w:val="35AA402E"/>
    <w:rsid w:val="35DB0F25"/>
    <w:rsid w:val="364D0C95"/>
    <w:rsid w:val="366E4528"/>
    <w:rsid w:val="366F216F"/>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BC52D2D"/>
    <w:rsid w:val="3BE84F5F"/>
    <w:rsid w:val="3C0B624C"/>
    <w:rsid w:val="3C535517"/>
    <w:rsid w:val="3C74420E"/>
    <w:rsid w:val="3C7C659F"/>
    <w:rsid w:val="3CC34684"/>
    <w:rsid w:val="3CDC584D"/>
    <w:rsid w:val="3D7A6218"/>
    <w:rsid w:val="3D927EFD"/>
    <w:rsid w:val="3D931983"/>
    <w:rsid w:val="3D9E4640"/>
    <w:rsid w:val="3DC0126B"/>
    <w:rsid w:val="3DCC302D"/>
    <w:rsid w:val="3E5445E5"/>
    <w:rsid w:val="3E5B1867"/>
    <w:rsid w:val="3E630FEA"/>
    <w:rsid w:val="3EAA357B"/>
    <w:rsid w:val="3EC14CC3"/>
    <w:rsid w:val="3F30287E"/>
    <w:rsid w:val="3F710CE9"/>
    <w:rsid w:val="3FF26CF7"/>
    <w:rsid w:val="3FFA7337"/>
    <w:rsid w:val="40902BDE"/>
    <w:rsid w:val="41186E43"/>
    <w:rsid w:val="411C75E7"/>
    <w:rsid w:val="41336CEF"/>
    <w:rsid w:val="41510083"/>
    <w:rsid w:val="416662A3"/>
    <w:rsid w:val="416C1C89"/>
    <w:rsid w:val="41B85BD7"/>
    <w:rsid w:val="41CF5E1C"/>
    <w:rsid w:val="41E023C2"/>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5C441B3"/>
    <w:rsid w:val="460756BF"/>
    <w:rsid w:val="461B0B6B"/>
    <w:rsid w:val="4672732B"/>
    <w:rsid w:val="46795CA0"/>
    <w:rsid w:val="46A0773F"/>
    <w:rsid w:val="46BD4547"/>
    <w:rsid w:val="46CE41E6"/>
    <w:rsid w:val="46F118D4"/>
    <w:rsid w:val="470C59DD"/>
    <w:rsid w:val="47B37B83"/>
    <w:rsid w:val="47DD2A11"/>
    <w:rsid w:val="48EF3305"/>
    <w:rsid w:val="492E2158"/>
    <w:rsid w:val="499C4A5E"/>
    <w:rsid w:val="49C21E32"/>
    <w:rsid w:val="49CC3041"/>
    <w:rsid w:val="4A0E502C"/>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EFC367A"/>
    <w:rsid w:val="4F47148C"/>
    <w:rsid w:val="4F7D02C6"/>
    <w:rsid w:val="4FC711A2"/>
    <w:rsid w:val="500D3ADF"/>
    <w:rsid w:val="503E77DE"/>
    <w:rsid w:val="50C31E2C"/>
    <w:rsid w:val="510B2C12"/>
    <w:rsid w:val="51115D67"/>
    <w:rsid w:val="513B370A"/>
    <w:rsid w:val="519461A0"/>
    <w:rsid w:val="519C5453"/>
    <w:rsid w:val="51EE1549"/>
    <w:rsid w:val="51EF176D"/>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4646A0"/>
    <w:rsid w:val="557D1775"/>
    <w:rsid w:val="558F69A2"/>
    <w:rsid w:val="55C77FAE"/>
    <w:rsid w:val="55F61C3F"/>
    <w:rsid w:val="565F1EB1"/>
    <w:rsid w:val="56C04AFA"/>
    <w:rsid w:val="56F12540"/>
    <w:rsid w:val="571F5E94"/>
    <w:rsid w:val="579605C9"/>
    <w:rsid w:val="57D56F73"/>
    <w:rsid w:val="57E34CF4"/>
    <w:rsid w:val="581543F7"/>
    <w:rsid w:val="582861C7"/>
    <w:rsid w:val="58662498"/>
    <w:rsid w:val="589674A1"/>
    <w:rsid w:val="58AF4F3F"/>
    <w:rsid w:val="58C309D8"/>
    <w:rsid w:val="59073632"/>
    <w:rsid w:val="59A858D6"/>
    <w:rsid w:val="59F131D0"/>
    <w:rsid w:val="59F84D6B"/>
    <w:rsid w:val="5A593F0D"/>
    <w:rsid w:val="5A863DA1"/>
    <w:rsid w:val="5AA07DB4"/>
    <w:rsid w:val="5AAA55C3"/>
    <w:rsid w:val="5ABF67E2"/>
    <w:rsid w:val="5B403461"/>
    <w:rsid w:val="5BAE0099"/>
    <w:rsid w:val="5BED3DD5"/>
    <w:rsid w:val="5BF45BFD"/>
    <w:rsid w:val="5C5A74E0"/>
    <w:rsid w:val="5C954C39"/>
    <w:rsid w:val="5D6959FE"/>
    <w:rsid w:val="5DB200F7"/>
    <w:rsid w:val="5DB447FB"/>
    <w:rsid w:val="5DDC0A09"/>
    <w:rsid w:val="5E132517"/>
    <w:rsid w:val="5E55069E"/>
    <w:rsid w:val="5E6D4D39"/>
    <w:rsid w:val="5E796D0F"/>
    <w:rsid w:val="5EAD3BC1"/>
    <w:rsid w:val="5F0741ED"/>
    <w:rsid w:val="5F4A0D71"/>
    <w:rsid w:val="5F8F1C6C"/>
    <w:rsid w:val="5FA60DC7"/>
    <w:rsid w:val="5FDB3C49"/>
    <w:rsid w:val="5FEF79CA"/>
    <w:rsid w:val="5FF258A1"/>
    <w:rsid w:val="5FFC02A3"/>
    <w:rsid w:val="60971EF1"/>
    <w:rsid w:val="609D43C9"/>
    <w:rsid w:val="60D04B2B"/>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7C4CC0"/>
    <w:rsid w:val="659F4359"/>
    <w:rsid w:val="65A12981"/>
    <w:rsid w:val="65AF2CE7"/>
    <w:rsid w:val="65CE74E4"/>
    <w:rsid w:val="66070D91"/>
    <w:rsid w:val="664873A5"/>
    <w:rsid w:val="667742E5"/>
    <w:rsid w:val="66796FC1"/>
    <w:rsid w:val="66B261BA"/>
    <w:rsid w:val="66CD113D"/>
    <w:rsid w:val="670924D5"/>
    <w:rsid w:val="677909E8"/>
    <w:rsid w:val="677B0B3D"/>
    <w:rsid w:val="67B3025F"/>
    <w:rsid w:val="67C6671D"/>
    <w:rsid w:val="67C90D63"/>
    <w:rsid w:val="67D21A45"/>
    <w:rsid w:val="67FB7E3A"/>
    <w:rsid w:val="683C7601"/>
    <w:rsid w:val="686B372A"/>
    <w:rsid w:val="68796BE5"/>
    <w:rsid w:val="6905640A"/>
    <w:rsid w:val="693A38E6"/>
    <w:rsid w:val="69967BDA"/>
    <w:rsid w:val="69A20D36"/>
    <w:rsid w:val="69C47282"/>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161E9"/>
    <w:rsid w:val="6F4715AA"/>
    <w:rsid w:val="6F6727CE"/>
    <w:rsid w:val="6F6D0DEC"/>
    <w:rsid w:val="6F8654C7"/>
    <w:rsid w:val="703B2983"/>
    <w:rsid w:val="703D3183"/>
    <w:rsid w:val="70725896"/>
    <w:rsid w:val="70742228"/>
    <w:rsid w:val="70D65555"/>
    <w:rsid w:val="7133260C"/>
    <w:rsid w:val="713F2FE5"/>
    <w:rsid w:val="715A71EC"/>
    <w:rsid w:val="717570AC"/>
    <w:rsid w:val="722532EC"/>
    <w:rsid w:val="726D1AB4"/>
    <w:rsid w:val="728F1E68"/>
    <w:rsid w:val="729F516E"/>
    <w:rsid w:val="72D85A9B"/>
    <w:rsid w:val="72DF74A9"/>
    <w:rsid w:val="73563420"/>
    <w:rsid w:val="73697288"/>
    <w:rsid w:val="738A57F7"/>
    <w:rsid w:val="73AB7B2A"/>
    <w:rsid w:val="73FA6CEB"/>
    <w:rsid w:val="744E1033"/>
    <w:rsid w:val="74664368"/>
    <w:rsid w:val="74E73DE5"/>
    <w:rsid w:val="759370B7"/>
    <w:rsid w:val="75BB46DD"/>
    <w:rsid w:val="75FD4D3A"/>
    <w:rsid w:val="761D2566"/>
    <w:rsid w:val="762B5068"/>
    <w:rsid w:val="772A1E4D"/>
    <w:rsid w:val="777538CA"/>
    <w:rsid w:val="779152B6"/>
    <w:rsid w:val="77B64C0A"/>
    <w:rsid w:val="780163DA"/>
    <w:rsid w:val="784D13CF"/>
    <w:rsid w:val="78562BA6"/>
    <w:rsid w:val="78707AB8"/>
    <w:rsid w:val="78B15A36"/>
    <w:rsid w:val="78D42A69"/>
    <w:rsid w:val="791D122B"/>
    <w:rsid w:val="79223EF5"/>
    <w:rsid w:val="798816E8"/>
    <w:rsid w:val="79955914"/>
    <w:rsid w:val="79C815C4"/>
    <w:rsid w:val="7A0F4C23"/>
    <w:rsid w:val="7A1265B7"/>
    <w:rsid w:val="7A3C593D"/>
    <w:rsid w:val="7A4A0C84"/>
    <w:rsid w:val="7A6F1B1E"/>
    <w:rsid w:val="7A7932DB"/>
    <w:rsid w:val="7AE73725"/>
    <w:rsid w:val="7B131413"/>
    <w:rsid w:val="7B6A5014"/>
    <w:rsid w:val="7BB10350"/>
    <w:rsid w:val="7BDF65F0"/>
    <w:rsid w:val="7C55275C"/>
    <w:rsid w:val="7C9D2E75"/>
    <w:rsid w:val="7CAF066A"/>
    <w:rsid w:val="7CB54AB8"/>
    <w:rsid w:val="7D166822"/>
    <w:rsid w:val="7D2F1C7A"/>
    <w:rsid w:val="7D4A1D6E"/>
    <w:rsid w:val="7DE27E24"/>
    <w:rsid w:val="7E28213E"/>
    <w:rsid w:val="7E3962DE"/>
    <w:rsid w:val="7E667CD8"/>
    <w:rsid w:val="7E8E50EA"/>
    <w:rsid w:val="7EF329A2"/>
    <w:rsid w:val="7FC05006"/>
    <w:rsid w:val="7FC31E8A"/>
    <w:rsid w:val="7FD55F68"/>
    <w:rsid w:val="7FDB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ind w:firstLine="0" w:firstLineChars="0"/>
      <w:outlineLvl w:val="0"/>
    </w:pPr>
    <w:rPr>
      <w:b/>
      <w:kern w:val="44"/>
      <w:sz w:val="30"/>
    </w:rPr>
  </w:style>
  <w:style w:type="paragraph" w:styleId="4">
    <w:name w:val="heading 2"/>
    <w:basedOn w:val="1"/>
    <w:next w:val="1"/>
    <w:unhideWhenUsed/>
    <w:qFormat/>
    <w:uiPriority w:val="0"/>
    <w:pPr>
      <w:keepNext/>
      <w:keepLines/>
      <w:ind w:firstLine="0" w:firstLineChars="0"/>
      <w:outlineLvl w:val="1"/>
    </w:pPr>
    <w:rPr>
      <w:b/>
      <w:bCs/>
      <w:sz w:val="28"/>
      <w:szCs w:val="30"/>
    </w:rPr>
  </w:style>
  <w:style w:type="paragraph" w:styleId="5">
    <w:name w:val="heading 3"/>
    <w:basedOn w:val="1"/>
    <w:next w:val="1"/>
    <w:unhideWhenUsed/>
    <w:qFormat/>
    <w:uiPriority w:val="0"/>
    <w:pPr>
      <w:keepNext/>
      <w:keepLines/>
      <w:numPr>
        <w:ilvl w:val="2"/>
        <w:numId w:val="1"/>
      </w:numPr>
      <w:overflowPunct w:val="0"/>
      <w:autoSpaceDE w:val="0"/>
      <w:autoSpaceDN w:val="0"/>
      <w:ind w:left="0" w:firstLine="0" w:firstLineChars="0"/>
      <w:outlineLvl w:val="2"/>
    </w:pPr>
    <w:rPr>
      <w:b/>
      <w:sz w:val="28"/>
    </w:rPr>
  </w:style>
  <w:style w:type="paragraph" w:styleId="6">
    <w:name w:val="heading 4"/>
    <w:basedOn w:val="1"/>
    <w:next w:val="1"/>
    <w:link w:val="38"/>
    <w:unhideWhenUsed/>
    <w:qFormat/>
    <w:uiPriority w:val="9"/>
    <w:pPr>
      <w:keepNext/>
      <w:keepLines/>
      <w:ind w:firstLine="0" w:firstLineChars="0"/>
      <w:outlineLvl w:val="3"/>
    </w:pPr>
    <w:rPr>
      <w:rFonts w:cstheme="majorBidi"/>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pPr>
  </w:style>
  <w:style w:type="paragraph" w:styleId="7">
    <w:name w:val="toc 7"/>
    <w:basedOn w:val="1"/>
    <w:next w:val="1"/>
    <w:qFormat/>
    <w:uiPriority w:val="0"/>
    <w:pPr>
      <w:ind w:left="1440"/>
      <w:jc w:val="left"/>
    </w:pPr>
    <w:rPr>
      <w:rFonts w:asciiTheme="minorHAnsi" w:hAnsiTheme="minorHAnsi" w:cstheme="minorHAnsi"/>
      <w:sz w:val="18"/>
      <w:szCs w:val="18"/>
    </w:rPr>
  </w:style>
  <w:style w:type="paragraph" w:styleId="8">
    <w:name w:val="annotation text"/>
    <w:basedOn w:val="1"/>
    <w:link w:val="34"/>
    <w:unhideWhenUsed/>
    <w:qFormat/>
    <w:uiPriority w:val="0"/>
    <w:pPr>
      <w:jc w:val="left"/>
    </w:pPr>
  </w:style>
  <w:style w:type="paragraph" w:styleId="9">
    <w:name w:val="toc 5"/>
    <w:basedOn w:val="1"/>
    <w:next w:val="1"/>
    <w:qFormat/>
    <w:uiPriority w:val="0"/>
    <w:pPr>
      <w:ind w:left="960"/>
      <w:jc w:val="left"/>
    </w:pPr>
    <w:rPr>
      <w:rFonts w:asciiTheme="minorHAnsi" w:hAnsiTheme="minorHAnsi" w:cstheme="minorHAnsi"/>
      <w:sz w:val="18"/>
      <w:szCs w:val="18"/>
    </w:rPr>
  </w:style>
  <w:style w:type="paragraph" w:styleId="10">
    <w:name w:val="toc 3"/>
    <w:basedOn w:val="1"/>
    <w:next w:val="1"/>
    <w:qFormat/>
    <w:uiPriority w:val="39"/>
    <w:pPr>
      <w:ind w:left="480"/>
      <w:jc w:val="left"/>
    </w:pPr>
    <w:rPr>
      <w:rFonts w:asciiTheme="minorHAnsi" w:hAnsiTheme="minorHAnsi" w:cstheme="minorHAnsi"/>
      <w:i/>
      <w:iCs/>
      <w:sz w:val="20"/>
      <w:szCs w:val="20"/>
    </w:rPr>
  </w:style>
  <w:style w:type="paragraph" w:styleId="11">
    <w:name w:val="toc 8"/>
    <w:basedOn w:val="1"/>
    <w:next w:val="1"/>
    <w:qFormat/>
    <w:uiPriority w:val="0"/>
    <w:pPr>
      <w:ind w:left="1680"/>
      <w:jc w:val="left"/>
    </w:pPr>
    <w:rPr>
      <w:rFonts w:asciiTheme="minorHAnsi" w:hAnsiTheme="minorHAnsi" w:cstheme="minorHAnsi"/>
      <w:sz w:val="18"/>
      <w:szCs w:val="18"/>
    </w:rPr>
  </w:style>
  <w:style w:type="paragraph" w:styleId="12">
    <w:name w:val="Date"/>
    <w:basedOn w:val="1"/>
    <w:next w:val="1"/>
    <w:link w:val="41"/>
    <w:qFormat/>
    <w:uiPriority w:val="0"/>
    <w:pPr>
      <w:ind w:left="100" w:leftChars="25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7"/>
    <w:qFormat/>
    <w:uiPriority w:val="99"/>
    <w:pPr>
      <w:tabs>
        <w:tab w:val="center" w:pos="4153"/>
        <w:tab w:val="right" w:pos="8306"/>
      </w:tabs>
      <w:snapToGrid w:val="0"/>
      <w:spacing w:line="240" w:lineRule="auto"/>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qFormat/>
    <w:uiPriority w:val="0"/>
    <w:pPr>
      <w:ind w:left="720"/>
      <w:jc w:val="left"/>
    </w:pPr>
    <w:rPr>
      <w:rFonts w:asciiTheme="minorHAnsi" w:hAnsiTheme="minorHAnsi" w:cstheme="minorHAnsi"/>
      <w:sz w:val="18"/>
      <w:szCs w:val="18"/>
    </w:rPr>
  </w:style>
  <w:style w:type="paragraph" w:styleId="18">
    <w:name w:val="toc 6"/>
    <w:basedOn w:val="1"/>
    <w:next w:val="1"/>
    <w:qFormat/>
    <w:uiPriority w:val="0"/>
    <w:pPr>
      <w:ind w:left="1200"/>
      <w:jc w:val="left"/>
    </w:pPr>
    <w:rPr>
      <w:rFonts w:asciiTheme="minorHAnsi" w:hAnsiTheme="minorHAnsi" w:cstheme="minorHAnsi"/>
      <w:sz w:val="18"/>
      <w:szCs w:val="18"/>
    </w:rPr>
  </w:style>
  <w:style w:type="paragraph" w:styleId="19">
    <w:name w:val="Body Text Indent 3"/>
    <w:basedOn w:val="1"/>
    <w:qFormat/>
    <w:uiPriority w:val="0"/>
    <w:pPr>
      <w:ind w:firstLine="480"/>
    </w:pPr>
    <w:rPr>
      <w:rFonts w:ascii="宋体" w:cs="Times New Roman"/>
    </w:rPr>
  </w:style>
  <w:style w:type="paragraph" w:styleId="20">
    <w:name w:val="toc 2"/>
    <w:basedOn w:val="1"/>
    <w:next w:val="1"/>
    <w:qFormat/>
    <w:uiPriority w:val="39"/>
    <w:pPr>
      <w:ind w:left="240"/>
      <w:jc w:val="left"/>
    </w:pPr>
    <w:rPr>
      <w:rFonts w:asciiTheme="minorHAnsi" w:hAnsiTheme="minorHAnsi" w:cstheme="minorHAnsi"/>
      <w:smallCaps/>
      <w:sz w:val="20"/>
      <w:szCs w:val="20"/>
    </w:rPr>
  </w:style>
  <w:style w:type="paragraph" w:styleId="21">
    <w:name w:val="toc 9"/>
    <w:basedOn w:val="1"/>
    <w:next w:val="1"/>
    <w:qFormat/>
    <w:uiPriority w:val="0"/>
    <w:pPr>
      <w:ind w:left="1920"/>
      <w:jc w:val="left"/>
    </w:pPr>
    <w:rPr>
      <w:rFonts w:asciiTheme="minorHAnsi" w:hAnsiTheme="minorHAnsi" w:cstheme="minorHAnsi"/>
      <w:sz w:val="18"/>
      <w:szCs w:val="18"/>
    </w:rPr>
  </w:style>
  <w:style w:type="paragraph" w:styleId="22">
    <w:name w:val="annotation subject"/>
    <w:basedOn w:val="8"/>
    <w:next w:val="8"/>
    <w:link w:val="35"/>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basedOn w:val="25"/>
    <w:qFormat/>
    <w:uiPriority w:val="20"/>
    <w:rPr>
      <w:i/>
      <w:iCs/>
    </w:rPr>
  </w:style>
  <w:style w:type="character" w:styleId="28">
    <w:name w:val="Hyperlink"/>
    <w:basedOn w:val="25"/>
    <w:unhideWhenUsed/>
    <w:qFormat/>
    <w:uiPriority w:val="99"/>
    <w:rPr>
      <w:color w:val="0000CC"/>
      <w:u w:val="single"/>
    </w:rPr>
  </w:style>
  <w:style w:type="character" w:styleId="29">
    <w:name w:val="annotation reference"/>
    <w:basedOn w:val="25"/>
    <w:qFormat/>
    <w:uiPriority w:val="0"/>
    <w:rPr>
      <w:sz w:val="21"/>
      <w:szCs w:val="21"/>
    </w:rPr>
  </w:style>
  <w:style w:type="character" w:customStyle="1" w:styleId="30">
    <w:name w:val="font31"/>
    <w:basedOn w:val="25"/>
    <w:qFormat/>
    <w:uiPriority w:val="0"/>
    <w:rPr>
      <w:rFonts w:hint="default" w:ascii="font-weight : 700" w:hAnsi="font-weight : 700" w:eastAsia="font-weight : 700" w:cs="font-weight : 700"/>
      <w:color w:val="000000"/>
      <w:sz w:val="22"/>
      <w:szCs w:val="22"/>
      <w:u w:val="none"/>
    </w:rPr>
  </w:style>
  <w:style w:type="character" w:customStyle="1" w:styleId="31">
    <w:name w:val="font01"/>
    <w:basedOn w:val="25"/>
    <w:qFormat/>
    <w:uiPriority w:val="0"/>
    <w:rPr>
      <w:rFonts w:hint="default" w:ascii="font-weight : 400" w:hAnsi="font-weight : 400" w:eastAsia="font-weight : 400" w:cs="font-weight : 400"/>
      <w:color w:val="000000"/>
      <w:sz w:val="22"/>
      <w:szCs w:val="22"/>
      <w:u w:val="none"/>
    </w:rPr>
  </w:style>
  <w:style w:type="paragraph" w:customStyle="1" w:styleId="32">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批注框文本 Char"/>
    <w:basedOn w:val="25"/>
    <w:link w:val="13"/>
    <w:qFormat/>
    <w:uiPriority w:val="0"/>
    <w:rPr>
      <w:kern w:val="2"/>
      <w:sz w:val="18"/>
      <w:szCs w:val="18"/>
    </w:rPr>
  </w:style>
  <w:style w:type="character" w:customStyle="1" w:styleId="34">
    <w:name w:val="批注文字 Char"/>
    <w:basedOn w:val="25"/>
    <w:link w:val="8"/>
    <w:qFormat/>
    <w:uiPriority w:val="0"/>
    <w:rPr>
      <w:kern w:val="2"/>
      <w:sz w:val="21"/>
      <w:szCs w:val="24"/>
    </w:rPr>
  </w:style>
  <w:style w:type="character" w:customStyle="1" w:styleId="35">
    <w:name w:val="批注主题 Char"/>
    <w:basedOn w:val="34"/>
    <w:link w:val="22"/>
    <w:qFormat/>
    <w:uiPriority w:val="0"/>
    <w:rPr>
      <w:b/>
      <w:bCs/>
      <w:kern w:val="2"/>
      <w:sz w:val="21"/>
      <w:szCs w:val="24"/>
    </w:rPr>
  </w:style>
  <w:style w:type="character" w:customStyle="1" w:styleId="36">
    <w:name w:val="页眉 Char"/>
    <w:basedOn w:val="25"/>
    <w:link w:val="15"/>
    <w:qFormat/>
    <w:uiPriority w:val="0"/>
    <w:rPr>
      <w:rFonts w:asciiTheme="minorHAnsi" w:hAnsiTheme="minorHAnsi" w:eastAsiaTheme="minorEastAsia" w:cstheme="minorBidi"/>
      <w:kern w:val="2"/>
      <w:sz w:val="18"/>
      <w:szCs w:val="18"/>
    </w:rPr>
  </w:style>
  <w:style w:type="character" w:customStyle="1" w:styleId="37">
    <w:name w:val="页脚 Char"/>
    <w:basedOn w:val="25"/>
    <w:link w:val="14"/>
    <w:qFormat/>
    <w:uiPriority w:val="99"/>
    <w:rPr>
      <w:rFonts w:asciiTheme="minorHAnsi" w:hAnsiTheme="minorHAnsi" w:eastAsiaTheme="minorEastAsia" w:cstheme="minorBidi"/>
      <w:kern w:val="2"/>
      <w:sz w:val="18"/>
      <w:szCs w:val="18"/>
    </w:rPr>
  </w:style>
  <w:style w:type="character" w:customStyle="1" w:styleId="38">
    <w:name w:val="标题 4 Char"/>
    <w:basedOn w:val="25"/>
    <w:link w:val="6"/>
    <w:qFormat/>
    <w:uiPriority w:val="9"/>
    <w:rPr>
      <w:rFonts w:ascii="Times New Roman" w:hAnsi="Times New Roman" w:cstheme="majorBidi"/>
      <w:b/>
      <w:bCs/>
      <w:kern w:val="2"/>
      <w:sz w:val="24"/>
      <w:szCs w:val="2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日期 Char"/>
    <w:basedOn w:val="25"/>
    <w:link w:val="12"/>
    <w:qFormat/>
    <w:uiPriority w:val="0"/>
    <w:rPr>
      <w:rFonts w:asciiTheme="minorHAnsi" w:hAnsiTheme="minorHAnsi" w:eastAsiaTheme="minorEastAsia" w:cstheme="minorBidi"/>
      <w:kern w:val="2"/>
      <w:sz w:val="21"/>
      <w:szCs w:val="24"/>
    </w:rPr>
  </w:style>
  <w:style w:type="paragraph" w:customStyle="1" w:styleId="42">
    <w:name w:val="表格标题"/>
    <w:basedOn w:val="1"/>
    <w:link w:val="43"/>
    <w:qFormat/>
    <w:uiPriority w:val="0"/>
    <w:pPr>
      <w:spacing w:before="50" w:beforeLines="50" w:afterLines="50" w:line="240" w:lineRule="auto"/>
      <w:jc w:val="center"/>
    </w:pPr>
    <w:rPr>
      <w:rFonts w:cs="宋体"/>
      <w:b/>
    </w:rPr>
  </w:style>
  <w:style w:type="character" w:customStyle="1" w:styleId="43">
    <w:name w:val="表格标题 Char"/>
    <w:link w:val="42"/>
    <w:qFormat/>
    <w:uiPriority w:val="0"/>
    <w:rPr>
      <w:rFonts w:ascii="Times New Roman" w:hAnsi="Times New Roman" w:cs="宋体"/>
      <w:b/>
      <w:kern w:val="2"/>
      <w:sz w:val="21"/>
      <w:szCs w:val="24"/>
    </w:rPr>
  </w:style>
  <w:style w:type="paragraph" w:customStyle="1" w:styleId="44">
    <w:name w:val="表格正文"/>
    <w:qFormat/>
    <w:uiPriority w:val="0"/>
    <w:pPr>
      <w:snapToGrid w:val="0"/>
      <w:jc w:val="center"/>
    </w:pPr>
    <w:rPr>
      <w:rFonts w:ascii="Times New Roman" w:hAnsi="Times New Roman" w:eastAsia="宋体" w:cs="Times New Roman"/>
      <w:sz w:val="21"/>
      <w:szCs w:val="21"/>
      <w:lang w:val="en-US" w:eastAsia="zh-CN" w:bidi="ar-SA"/>
    </w:rPr>
  </w:style>
  <w:style w:type="paragraph" w:customStyle="1" w:styleId="45">
    <w:name w:val="样式 表格"/>
    <w:basedOn w:val="1"/>
    <w:qFormat/>
    <w:uiPriority w:val="0"/>
    <w:pPr>
      <w:spacing w:line="240" w:lineRule="auto"/>
    </w:pPr>
    <w:rPr>
      <w:rFonts w:ascii="Calibri" w:hAnsi="Calibri" w:cs="宋体"/>
      <w:kern w:val="0"/>
      <w:szCs w:val="20"/>
    </w:rPr>
  </w:style>
  <w:style w:type="paragraph" w:customStyle="1" w:styleId="46">
    <w:name w:val="正  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7">
    <w:name w:val="Word图"/>
    <w:basedOn w:val="45"/>
    <w:qFormat/>
    <w:uiPriority w:val="0"/>
    <w:pPr>
      <w:jc w:val="center"/>
    </w:pPr>
    <w:rPr>
      <w:rFonts w:ascii="Times New Roman" w:hAnsi="Times New Roman" w:cs="Times New Roman"/>
      <w:u w:val="single"/>
    </w:rPr>
  </w:style>
  <w:style w:type="paragraph" w:customStyle="1" w:styleId="48">
    <w:name w:val="图表头"/>
    <w:basedOn w:val="1"/>
    <w:qFormat/>
    <w:uiPriority w:val="0"/>
    <w:pPr>
      <w:ind w:firstLine="0" w:firstLineChars="0"/>
      <w:jc w:val="center"/>
    </w:pPr>
    <w:rPr>
      <w:rFonts w:eastAsia="黑体" w:cs="宋体"/>
      <w:b/>
      <w:bCs/>
      <w:sz w:val="21"/>
      <w:szCs w:val="20"/>
    </w:rPr>
  </w:style>
  <w:style w:type="character" w:customStyle="1" w:styleId="49">
    <w:name w:val="段 Char"/>
    <w:link w:val="32"/>
    <w:qFormat/>
    <w:uiPriority w:val="0"/>
    <w:rPr>
      <w:rFonts w:ascii="宋体" w:hAnsi="Times New Roman"/>
      <w:sz w:val="21"/>
    </w:rPr>
  </w:style>
  <w:style w:type="paragraph" w:customStyle="1" w:styleId="50">
    <w:name w:val="章标题"/>
    <w:next w:val="32"/>
    <w:qFormat/>
    <w:uiPriority w:val="0"/>
    <w:pPr>
      <w:numPr>
        <w:ilvl w:val="0"/>
        <w:numId w:val="2"/>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690FF-F718-4DCF-BA1B-ACCF8AABA54B}">
  <ds:schemaRefs/>
</ds:datastoreItem>
</file>

<file path=customXml/itemProps3.xml><?xml version="1.0" encoding="utf-8"?>
<ds:datastoreItem xmlns:ds="http://schemas.openxmlformats.org/officeDocument/2006/customXml" ds:itemID="{68735BAE-3426-43EC-8A71-E80FD629D5EE}">
  <ds:schemaRefs/>
</ds:datastoreItem>
</file>

<file path=customXml/itemProps4.xml><?xml version="1.0" encoding="utf-8"?>
<ds:datastoreItem xmlns:ds="http://schemas.openxmlformats.org/officeDocument/2006/customXml" ds:itemID="{3B3E4A64-E7B8-41B3-9410-5A3B999F297E}">
  <ds:schemaRefs/>
</ds:datastoreItem>
</file>

<file path=docProps/app.xml><?xml version="1.0" encoding="utf-8"?>
<Properties xmlns="http://schemas.openxmlformats.org/officeDocument/2006/extended-properties" xmlns:vt="http://schemas.openxmlformats.org/officeDocument/2006/docPropsVTypes">
  <Template>0.docx</Template>
  <Pages>21</Pages>
  <Words>12358</Words>
  <Characters>13868</Characters>
  <Lines>114</Lines>
  <Paragraphs>32</Paragraphs>
  <TotalTime>3</TotalTime>
  <ScaleCrop>false</ScaleCrop>
  <LinksUpToDate>false</LinksUpToDate>
  <CharactersWithSpaces>14163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2018-11-29T05:52:00Z</dcterms:created>
  <dc:creator>Hey Sherry</dc:creator>
  <cp:lastModifiedBy>tianyuGs</cp:lastModifiedBy>
  <cp:lastPrinted>2020-12-04T16:13:00Z</cp:lastPrinted>
  <dcterms:modified xsi:type="dcterms:W3CDTF">2023-04-06T05:55:41Z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516B7051DC9C406E9ADF29DD9C8D12F7</vt:lpwstr>
  </property>
</Properties>
</file>