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F04" w:rsidRDefault="00865F04">
      <w:pPr>
        <w:rPr>
          <w:rFonts w:ascii="Times New Roman" w:hAnsi="Times New Roman" w:hint="eastAsia"/>
          <w:b/>
          <w:sz w:val="30"/>
          <w:szCs w:val="30"/>
        </w:rPr>
      </w:pPr>
    </w:p>
    <w:p w:rsidR="00865F04" w:rsidRDefault="00865F04">
      <w:pPr>
        <w:rPr>
          <w:rFonts w:ascii="Times New Roman" w:hAnsi="Times New Roman"/>
          <w:b/>
          <w:sz w:val="30"/>
          <w:szCs w:val="30"/>
        </w:rPr>
      </w:pPr>
    </w:p>
    <w:p w:rsidR="00865F04" w:rsidRDefault="00865F04">
      <w:pPr>
        <w:rPr>
          <w:rFonts w:ascii="Times New Roman" w:hAnsi="Times New Roman"/>
          <w:b/>
          <w:sz w:val="30"/>
          <w:szCs w:val="30"/>
        </w:rPr>
      </w:pPr>
    </w:p>
    <w:p w:rsidR="00865F04" w:rsidRDefault="00865F04">
      <w:pPr>
        <w:rPr>
          <w:rFonts w:ascii="Times New Roman" w:hAnsi="Times New Roman"/>
          <w:b/>
          <w:sz w:val="30"/>
          <w:szCs w:val="30"/>
        </w:rPr>
      </w:pPr>
    </w:p>
    <w:p w:rsidR="00865F04" w:rsidRDefault="00865F04">
      <w:pPr>
        <w:rPr>
          <w:rFonts w:ascii="Times New Roman" w:hAnsi="Times New Roman"/>
          <w:b/>
          <w:sz w:val="30"/>
          <w:szCs w:val="30"/>
        </w:rPr>
      </w:pPr>
    </w:p>
    <w:p w:rsidR="001823AB" w:rsidRDefault="001823AB">
      <w:pPr>
        <w:ind w:firstLineChars="0" w:firstLine="0"/>
        <w:jc w:val="center"/>
        <w:rPr>
          <w:rFonts w:ascii="Times New Roman" w:eastAsia="微软雅黑" w:hAnsi="Times New Roman"/>
          <w:b/>
          <w:sz w:val="44"/>
          <w:szCs w:val="44"/>
        </w:rPr>
      </w:pPr>
      <w:r>
        <w:rPr>
          <w:rFonts w:ascii="Times New Roman" w:eastAsia="微软雅黑" w:hAnsi="Times New Roman" w:hint="eastAsia"/>
          <w:b/>
          <w:sz w:val="44"/>
          <w:szCs w:val="44"/>
        </w:rPr>
        <w:t>协会</w:t>
      </w:r>
      <w:r>
        <w:rPr>
          <w:rFonts w:ascii="Times New Roman" w:eastAsia="微软雅黑" w:hAnsi="Times New Roman"/>
          <w:b/>
          <w:sz w:val="44"/>
          <w:szCs w:val="44"/>
        </w:rPr>
        <w:t>标准《</w:t>
      </w:r>
      <w:r>
        <w:rPr>
          <w:rFonts w:ascii="Times New Roman" w:eastAsia="微软雅黑" w:hAnsi="Times New Roman" w:hint="eastAsia"/>
          <w:b/>
          <w:sz w:val="44"/>
          <w:szCs w:val="44"/>
        </w:rPr>
        <w:t>有色</w:t>
      </w:r>
      <w:r>
        <w:rPr>
          <w:rFonts w:ascii="Times New Roman" w:eastAsia="微软雅黑" w:hAnsi="Times New Roman"/>
          <w:b/>
          <w:sz w:val="44"/>
          <w:szCs w:val="44"/>
        </w:rPr>
        <w:t>金属矿山高浓度膏体充填</w:t>
      </w:r>
    </w:p>
    <w:p w:rsidR="00865F04" w:rsidRDefault="001823AB">
      <w:pPr>
        <w:ind w:firstLineChars="0" w:firstLine="0"/>
        <w:jc w:val="center"/>
        <w:rPr>
          <w:rFonts w:ascii="Times New Roman" w:eastAsia="微软雅黑" w:hAnsi="Times New Roman"/>
          <w:b/>
          <w:sz w:val="44"/>
          <w:szCs w:val="44"/>
        </w:rPr>
      </w:pPr>
      <w:r>
        <w:rPr>
          <w:rFonts w:ascii="Times New Roman" w:eastAsia="微软雅黑" w:hAnsi="Times New Roman"/>
          <w:b/>
          <w:sz w:val="44"/>
          <w:szCs w:val="44"/>
        </w:rPr>
        <w:t>智能系统</w:t>
      </w:r>
      <w:r>
        <w:rPr>
          <w:rFonts w:ascii="Times New Roman" w:eastAsia="微软雅黑" w:hAnsi="Times New Roman" w:hint="eastAsia"/>
          <w:b/>
          <w:sz w:val="44"/>
          <w:szCs w:val="44"/>
        </w:rPr>
        <w:t>技术规范</w:t>
      </w:r>
      <w:r>
        <w:rPr>
          <w:rFonts w:ascii="Times New Roman" w:eastAsia="微软雅黑" w:hAnsi="Times New Roman"/>
          <w:b/>
          <w:sz w:val="44"/>
          <w:szCs w:val="44"/>
        </w:rPr>
        <w:t>》</w:t>
      </w:r>
    </w:p>
    <w:p w:rsidR="00865F04" w:rsidRDefault="00865F04">
      <w:pPr>
        <w:ind w:firstLineChars="0" w:firstLine="0"/>
        <w:jc w:val="center"/>
        <w:rPr>
          <w:rFonts w:ascii="Times New Roman" w:eastAsia="微软雅黑" w:hAnsi="Times New Roman"/>
          <w:b/>
          <w:sz w:val="44"/>
          <w:szCs w:val="44"/>
        </w:rPr>
      </w:pPr>
    </w:p>
    <w:p w:rsidR="00865F04" w:rsidRDefault="00D6044F">
      <w:pPr>
        <w:ind w:firstLineChars="0" w:firstLine="0"/>
        <w:jc w:val="center"/>
        <w:rPr>
          <w:rFonts w:ascii="Times New Roman" w:eastAsia="微软雅黑" w:hAnsi="Times New Roman"/>
          <w:b/>
          <w:sz w:val="44"/>
          <w:szCs w:val="44"/>
        </w:rPr>
      </w:pPr>
      <w:r>
        <w:rPr>
          <w:rFonts w:ascii="Times New Roman" w:eastAsia="微软雅黑" w:hAnsi="Times New Roman"/>
          <w:b/>
          <w:sz w:val="44"/>
          <w:szCs w:val="44"/>
        </w:rPr>
        <w:t>编制说明</w:t>
      </w:r>
    </w:p>
    <w:p w:rsidR="00865F04" w:rsidRDefault="00865F04">
      <w:pPr>
        <w:ind w:firstLineChars="0" w:firstLine="0"/>
        <w:jc w:val="center"/>
        <w:rPr>
          <w:rFonts w:ascii="Times New Roman" w:eastAsia="微软雅黑" w:hAnsi="Times New Roman"/>
          <w:b/>
          <w:sz w:val="44"/>
          <w:szCs w:val="44"/>
        </w:rPr>
      </w:pPr>
    </w:p>
    <w:p w:rsidR="00865F04" w:rsidRDefault="00865F04">
      <w:pPr>
        <w:ind w:firstLineChars="0" w:firstLine="0"/>
        <w:jc w:val="center"/>
        <w:rPr>
          <w:rFonts w:ascii="Times New Roman" w:eastAsia="微软雅黑" w:hAnsi="Times New Roman"/>
          <w:b/>
          <w:sz w:val="44"/>
          <w:szCs w:val="44"/>
        </w:rPr>
      </w:pPr>
    </w:p>
    <w:p w:rsidR="00865F04" w:rsidRDefault="00865F04">
      <w:pPr>
        <w:ind w:firstLineChars="0" w:firstLine="0"/>
        <w:jc w:val="center"/>
        <w:rPr>
          <w:rFonts w:ascii="Times New Roman" w:eastAsia="微软雅黑" w:hAnsi="Times New Roman"/>
          <w:b/>
          <w:sz w:val="44"/>
          <w:szCs w:val="44"/>
        </w:rPr>
      </w:pPr>
    </w:p>
    <w:p w:rsidR="00865F04" w:rsidRDefault="00865F04">
      <w:pPr>
        <w:ind w:firstLine="964"/>
        <w:rPr>
          <w:rFonts w:ascii="Times New Roman" w:eastAsia="黑体" w:hAnsi="Times New Roman"/>
          <w:b/>
          <w:sz w:val="48"/>
          <w:szCs w:val="48"/>
        </w:rPr>
      </w:pPr>
    </w:p>
    <w:p w:rsidR="00865F04" w:rsidRDefault="00865F04">
      <w:pPr>
        <w:ind w:firstLine="964"/>
        <w:rPr>
          <w:rFonts w:ascii="Times New Roman" w:eastAsia="黑体" w:hAnsi="Times New Roman"/>
          <w:b/>
          <w:sz w:val="48"/>
          <w:szCs w:val="48"/>
        </w:rPr>
      </w:pPr>
    </w:p>
    <w:p w:rsidR="00865F04" w:rsidRDefault="00865F04">
      <w:pPr>
        <w:pStyle w:val="a1"/>
      </w:pPr>
    </w:p>
    <w:p w:rsidR="00865F04" w:rsidRDefault="00865F04">
      <w:pPr>
        <w:pStyle w:val="a1"/>
      </w:pPr>
    </w:p>
    <w:p w:rsidR="00865F04" w:rsidRDefault="00865F04">
      <w:pPr>
        <w:ind w:firstLineChars="0" w:firstLine="0"/>
        <w:rPr>
          <w:rFonts w:ascii="Times New Roman" w:eastAsia="黑体" w:hAnsi="Times New Roman"/>
          <w:b/>
          <w:sz w:val="32"/>
          <w:szCs w:val="32"/>
        </w:rPr>
      </w:pPr>
    </w:p>
    <w:p w:rsidR="00865F04" w:rsidRDefault="00D6044F">
      <w:pPr>
        <w:ind w:firstLineChars="0" w:firstLine="0"/>
        <w:jc w:val="center"/>
        <w:rPr>
          <w:rFonts w:ascii="Times New Roman" w:eastAsia="微软雅黑" w:hAnsi="Times New Roman"/>
          <w:sz w:val="28"/>
          <w:szCs w:val="32"/>
        </w:rPr>
      </w:pPr>
      <w:r>
        <w:rPr>
          <w:rFonts w:ascii="Times New Roman" w:eastAsia="微软雅黑" w:hAnsi="Times New Roman"/>
          <w:sz w:val="28"/>
          <w:szCs w:val="32"/>
        </w:rPr>
        <w:t>《</w:t>
      </w:r>
      <w:r>
        <w:rPr>
          <w:rFonts w:ascii="Times New Roman" w:eastAsia="微软雅黑" w:hAnsi="Times New Roman" w:hint="eastAsia"/>
          <w:sz w:val="28"/>
          <w:szCs w:val="32"/>
        </w:rPr>
        <w:t>有色</w:t>
      </w:r>
      <w:r>
        <w:rPr>
          <w:rFonts w:ascii="Times New Roman" w:eastAsia="微软雅黑" w:hAnsi="Times New Roman"/>
          <w:sz w:val="28"/>
          <w:szCs w:val="32"/>
        </w:rPr>
        <w:t>金属矿山高浓度膏体充填智能系统</w:t>
      </w:r>
      <w:r>
        <w:rPr>
          <w:rFonts w:ascii="Times New Roman" w:eastAsia="微软雅黑" w:hAnsi="Times New Roman" w:hint="eastAsia"/>
          <w:sz w:val="28"/>
          <w:szCs w:val="32"/>
        </w:rPr>
        <w:t>技术规范</w:t>
      </w:r>
      <w:r>
        <w:rPr>
          <w:rFonts w:ascii="Times New Roman" w:eastAsia="微软雅黑" w:hAnsi="Times New Roman"/>
          <w:sz w:val="28"/>
          <w:szCs w:val="32"/>
        </w:rPr>
        <w:t>》编制组</w:t>
      </w:r>
    </w:p>
    <w:p w:rsidR="00865F04" w:rsidRDefault="00D6044F">
      <w:pPr>
        <w:ind w:firstLineChars="0" w:firstLine="0"/>
        <w:jc w:val="center"/>
        <w:rPr>
          <w:rFonts w:ascii="Times New Roman" w:eastAsia="微软雅黑" w:hAnsi="Times New Roman"/>
          <w:sz w:val="28"/>
          <w:szCs w:val="32"/>
        </w:rPr>
      </w:pPr>
      <w:r>
        <w:rPr>
          <w:rFonts w:ascii="Times New Roman" w:eastAsia="微软雅黑" w:hAnsi="Times New Roman"/>
          <w:sz w:val="28"/>
          <w:szCs w:val="32"/>
        </w:rPr>
        <w:t>主编单位：中国恩菲工程技术有限公司</w:t>
      </w:r>
    </w:p>
    <w:p w:rsidR="00865F04" w:rsidRDefault="00D6044F">
      <w:pPr>
        <w:ind w:firstLineChars="0" w:firstLine="0"/>
        <w:jc w:val="center"/>
        <w:rPr>
          <w:rFonts w:ascii="Times New Roman" w:eastAsia="微软雅黑" w:hAnsi="Times New Roman"/>
          <w:sz w:val="28"/>
          <w:szCs w:val="32"/>
        </w:rPr>
      </w:pPr>
      <w:r>
        <w:rPr>
          <w:rFonts w:ascii="Times New Roman" w:eastAsia="微软雅黑" w:hAnsi="Times New Roman"/>
          <w:sz w:val="28"/>
          <w:szCs w:val="32"/>
        </w:rPr>
        <w:t>202</w:t>
      </w:r>
      <w:r w:rsidR="00DB0A9C">
        <w:rPr>
          <w:rFonts w:ascii="Times New Roman" w:eastAsia="微软雅黑" w:hAnsi="Times New Roman" w:hint="eastAsia"/>
          <w:sz w:val="28"/>
          <w:szCs w:val="32"/>
        </w:rPr>
        <w:t>3</w:t>
      </w:r>
      <w:r>
        <w:rPr>
          <w:rFonts w:ascii="Times New Roman" w:eastAsia="微软雅黑" w:hAnsi="Times New Roman"/>
          <w:sz w:val="28"/>
          <w:szCs w:val="32"/>
        </w:rPr>
        <w:t>年</w:t>
      </w:r>
      <w:r w:rsidR="00DB0A9C">
        <w:rPr>
          <w:rFonts w:ascii="Times New Roman" w:eastAsia="微软雅黑" w:hAnsi="Times New Roman" w:hint="eastAsia"/>
          <w:sz w:val="28"/>
          <w:szCs w:val="32"/>
        </w:rPr>
        <w:t>4</w:t>
      </w:r>
      <w:r>
        <w:rPr>
          <w:rFonts w:ascii="Times New Roman" w:eastAsia="微软雅黑" w:hAnsi="Times New Roman"/>
          <w:sz w:val="28"/>
          <w:szCs w:val="32"/>
        </w:rPr>
        <w:t>月</w:t>
      </w:r>
    </w:p>
    <w:p w:rsidR="00865F04" w:rsidRDefault="00865F04">
      <w:pPr>
        <w:ind w:firstLineChars="0" w:firstLine="0"/>
        <w:jc w:val="center"/>
        <w:rPr>
          <w:rFonts w:ascii="Times New Roman" w:hAnsi="Times New Roman"/>
        </w:rPr>
        <w:sectPr w:rsidR="00865F0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fmt="upperRoman"/>
          <w:cols w:space="720"/>
          <w:docGrid w:type="lines" w:linePitch="312"/>
        </w:sectPr>
      </w:pPr>
    </w:p>
    <w:p w:rsidR="00865F04" w:rsidRDefault="00D6044F">
      <w:pPr>
        <w:ind w:firstLineChars="0" w:firstLine="0"/>
        <w:jc w:val="center"/>
        <w:rPr>
          <w:rFonts w:ascii="Times New Roman" w:hAnsi="Times New Roman"/>
        </w:rPr>
      </w:pPr>
      <w:r>
        <w:rPr>
          <w:rFonts w:ascii="Times New Roman" w:hAnsi="Times New Roman"/>
          <w:b/>
          <w:bCs/>
          <w:sz w:val="28"/>
          <w:szCs w:val="28"/>
        </w:rPr>
        <w:lastRenderedPageBreak/>
        <w:t>目录</w:t>
      </w:r>
    </w:p>
    <w:p w:rsidR="00865F04" w:rsidRDefault="00AE340B">
      <w:pPr>
        <w:pStyle w:val="10"/>
        <w:tabs>
          <w:tab w:val="right" w:leader="dot" w:pos="8296"/>
        </w:tabs>
        <w:ind w:firstLine="420"/>
        <w:rPr>
          <w:rFonts w:asciiTheme="minorHAnsi" w:eastAsiaTheme="minorEastAsia" w:hAnsiTheme="minorHAnsi" w:cstheme="minorBidi"/>
          <w:noProof/>
          <w:szCs w:val="22"/>
        </w:rPr>
      </w:pPr>
      <w:r>
        <w:rPr>
          <w:rFonts w:ascii="Times New Roman" w:hAnsi="Times New Roman"/>
        </w:rPr>
        <w:fldChar w:fldCharType="begin"/>
      </w:r>
      <w:r w:rsidR="00D6044F">
        <w:rPr>
          <w:rFonts w:ascii="Times New Roman" w:hAnsi="Times New Roman"/>
        </w:rPr>
        <w:instrText xml:space="preserve">TOC \o "1-3" \h \u </w:instrText>
      </w:r>
      <w:r>
        <w:rPr>
          <w:rFonts w:ascii="Times New Roman" w:hAnsi="Times New Roman"/>
        </w:rPr>
        <w:fldChar w:fldCharType="separate"/>
      </w:r>
      <w:hyperlink w:anchor="_Toc100587282" w:history="1">
        <w:r w:rsidR="00D6044F">
          <w:rPr>
            <w:rStyle w:val="af7"/>
            <w:rFonts w:hint="eastAsia"/>
            <w:noProof/>
          </w:rPr>
          <w:t>一、工作简况</w:t>
        </w:r>
        <w:r w:rsidR="00D6044F">
          <w:rPr>
            <w:noProof/>
          </w:rPr>
          <w:tab/>
        </w:r>
        <w:r>
          <w:rPr>
            <w:noProof/>
          </w:rPr>
          <w:fldChar w:fldCharType="begin"/>
        </w:r>
        <w:r w:rsidR="00D6044F">
          <w:rPr>
            <w:noProof/>
          </w:rPr>
          <w:instrText xml:space="preserve"> PAGEREF _Toc100587282 \h </w:instrText>
        </w:r>
        <w:r>
          <w:rPr>
            <w:noProof/>
          </w:rPr>
        </w:r>
        <w:r>
          <w:rPr>
            <w:noProof/>
          </w:rPr>
          <w:fldChar w:fldCharType="separate"/>
        </w:r>
        <w:r w:rsidR="00AE5813">
          <w:rPr>
            <w:noProof/>
          </w:rPr>
          <w:t>1</w:t>
        </w:r>
        <w:r>
          <w:rPr>
            <w:noProof/>
          </w:rPr>
          <w:fldChar w:fldCharType="end"/>
        </w:r>
      </w:hyperlink>
    </w:p>
    <w:p w:rsidR="00865F04" w:rsidRDefault="00614696">
      <w:pPr>
        <w:pStyle w:val="20"/>
        <w:tabs>
          <w:tab w:val="right" w:leader="dot" w:pos="8296"/>
        </w:tabs>
        <w:ind w:firstLine="420"/>
        <w:rPr>
          <w:rFonts w:asciiTheme="minorHAnsi" w:eastAsiaTheme="minorEastAsia" w:hAnsiTheme="minorHAnsi" w:cstheme="minorBidi"/>
          <w:noProof/>
          <w:szCs w:val="22"/>
        </w:rPr>
      </w:pPr>
      <w:hyperlink w:anchor="_Toc100587283" w:history="1">
        <w:r w:rsidR="00D6044F">
          <w:rPr>
            <w:rStyle w:val="af7"/>
            <w:rFonts w:hint="eastAsia"/>
            <w:noProof/>
          </w:rPr>
          <w:t>（一）任务来源</w:t>
        </w:r>
        <w:r w:rsidR="00D6044F">
          <w:rPr>
            <w:noProof/>
          </w:rPr>
          <w:tab/>
        </w:r>
        <w:r w:rsidR="00AE340B">
          <w:rPr>
            <w:noProof/>
          </w:rPr>
          <w:fldChar w:fldCharType="begin"/>
        </w:r>
        <w:r w:rsidR="00D6044F">
          <w:rPr>
            <w:noProof/>
          </w:rPr>
          <w:instrText xml:space="preserve"> PAGEREF _Toc100587283 \h </w:instrText>
        </w:r>
        <w:r w:rsidR="00AE340B">
          <w:rPr>
            <w:noProof/>
          </w:rPr>
        </w:r>
        <w:r w:rsidR="00AE340B">
          <w:rPr>
            <w:noProof/>
          </w:rPr>
          <w:fldChar w:fldCharType="separate"/>
        </w:r>
        <w:r w:rsidR="00AE5813">
          <w:rPr>
            <w:noProof/>
          </w:rPr>
          <w:t>1</w:t>
        </w:r>
        <w:r w:rsidR="00AE340B">
          <w:rPr>
            <w:noProof/>
          </w:rPr>
          <w:fldChar w:fldCharType="end"/>
        </w:r>
      </w:hyperlink>
    </w:p>
    <w:p w:rsidR="00865F04" w:rsidRDefault="00614696">
      <w:pPr>
        <w:pStyle w:val="20"/>
        <w:tabs>
          <w:tab w:val="right" w:leader="dot" w:pos="8296"/>
        </w:tabs>
        <w:ind w:firstLine="420"/>
        <w:rPr>
          <w:rFonts w:asciiTheme="minorHAnsi" w:eastAsiaTheme="minorEastAsia" w:hAnsiTheme="minorHAnsi" w:cstheme="minorBidi"/>
          <w:noProof/>
          <w:szCs w:val="22"/>
        </w:rPr>
      </w:pPr>
      <w:hyperlink w:anchor="_Toc100587284" w:history="1">
        <w:r w:rsidR="00D6044F">
          <w:rPr>
            <w:rStyle w:val="af7"/>
            <w:rFonts w:hint="eastAsia"/>
            <w:noProof/>
          </w:rPr>
          <w:t>（二）主要参加单位和工作人员及其所作工作</w:t>
        </w:r>
        <w:r w:rsidR="00D6044F">
          <w:rPr>
            <w:noProof/>
          </w:rPr>
          <w:tab/>
        </w:r>
        <w:r w:rsidR="00AE340B">
          <w:rPr>
            <w:noProof/>
          </w:rPr>
          <w:fldChar w:fldCharType="begin"/>
        </w:r>
        <w:r w:rsidR="00D6044F">
          <w:rPr>
            <w:noProof/>
          </w:rPr>
          <w:instrText xml:space="preserve"> PAGEREF _Toc100587284 \h </w:instrText>
        </w:r>
        <w:r w:rsidR="00AE340B">
          <w:rPr>
            <w:noProof/>
          </w:rPr>
        </w:r>
        <w:r w:rsidR="00AE340B">
          <w:rPr>
            <w:noProof/>
          </w:rPr>
          <w:fldChar w:fldCharType="separate"/>
        </w:r>
        <w:r w:rsidR="00AE5813">
          <w:rPr>
            <w:noProof/>
          </w:rPr>
          <w:t>2</w:t>
        </w:r>
        <w:r w:rsidR="00AE340B">
          <w:rPr>
            <w:noProof/>
          </w:rPr>
          <w:fldChar w:fldCharType="end"/>
        </w:r>
      </w:hyperlink>
    </w:p>
    <w:p w:rsidR="00865F04" w:rsidRDefault="00614696">
      <w:pPr>
        <w:pStyle w:val="20"/>
        <w:tabs>
          <w:tab w:val="right" w:leader="dot" w:pos="8296"/>
        </w:tabs>
        <w:ind w:firstLine="420"/>
        <w:rPr>
          <w:rFonts w:asciiTheme="minorHAnsi" w:eastAsiaTheme="minorEastAsia" w:hAnsiTheme="minorHAnsi" w:cstheme="minorBidi"/>
          <w:noProof/>
          <w:szCs w:val="22"/>
        </w:rPr>
      </w:pPr>
      <w:hyperlink w:anchor="_Toc100587285" w:history="1">
        <w:r w:rsidR="00D6044F">
          <w:rPr>
            <w:rStyle w:val="af7"/>
            <w:rFonts w:hint="eastAsia"/>
            <w:noProof/>
          </w:rPr>
          <w:t>（三）主要工作过程</w:t>
        </w:r>
        <w:r w:rsidR="00D6044F">
          <w:rPr>
            <w:noProof/>
          </w:rPr>
          <w:tab/>
        </w:r>
        <w:r w:rsidR="00AE340B">
          <w:rPr>
            <w:noProof/>
          </w:rPr>
          <w:fldChar w:fldCharType="begin"/>
        </w:r>
        <w:r w:rsidR="00D6044F">
          <w:rPr>
            <w:noProof/>
          </w:rPr>
          <w:instrText xml:space="preserve"> PAGEREF _Toc100587285 \h </w:instrText>
        </w:r>
        <w:r w:rsidR="00AE340B">
          <w:rPr>
            <w:noProof/>
          </w:rPr>
        </w:r>
        <w:r w:rsidR="00AE340B">
          <w:rPr>
            <w:noProof/>
          </w:rPr>
          <w:fldChar w:fldCharType="separate"/>
        </w:r>
        <w:r w:rsidR="00AE5813">
          <w:rPr>
            <w:noProof/>
          </w:rPr>
          <w:t>4</w:t>
        </w:r>
        <w:r w:rsidR="00AE340B">
          <w:rPr>
            <w:noProof/>
          </w:rPr>
          <w:fldChar w:fldCharType="end"/>
        </w:r>
      </w:hyperlink>
    </w:p>
    <w:p w:rsidR="00865F04" w:rsidRDefault="00614696">
      <w:pPr>
        <w:pStyle w:val="10"/>
        <w:tabs>
          <w:tab w:val="right" w:leader="dot" w:pos="8296"/>
        </w:tabs>
        <w:ind w:firstLine="420"/>
        <w:rPr>
          <w:rFonts w:asciiTheme="minorHAnsi" w:eastAsiaTheme="minorEastAsia" w:hAnsiTheme="minorHAnsi" w:cstheme="minorBidi"/>
          <w:noProof/>
          <w:szCs w:val="22"/>
        </w:rPr>
      </w:pPr>
      <w:hyperlink w:anchor="_Toc100587286" w:history="1">
        <w:r w:rsidR="00D6044F">
          <w:rPr>
            <w:rStyle w:val="af7"/>
            <w:rFonts w:ascii="Times New Roman" w:hAnsi="Times New Roman" w:hint="eastAsia"/>
            <w:noProof/>
          </w:rPr>
          <w:t>二、标准编制原则</w:t>
        </w:r>
        <w:r w:rsidR="00D6044F">
          <w:rPr>
            <w:noProof/>
          </w:rPr>
          <w:tab/>
        </w:r>
        <w:r w:rsidR="00AE340B">
          <w:rPr>
            <w:noProof/>
          </w:rPr>
          <w:fldChar w:fldCharType="begin"/>
        </w:r>
        <w:r w:rsidR="00D6044F">
          <w:rPr>
            <w:noProof/>
          </w:rPr>
          <w:instrText xml:space="preserve"> PAGEREF _Toc100587286 \h </w:instrText>
        </w:r>
        <w:r w:rsidR="00AE340B">
          <w:rPr>
            <w:noProof/>
          </w:rPr>
        </w:r>
        <w:r w:rsidR="00AE340B">
          <w:rPr>
            <w:noProof/>
          </w:rPr>
          <w:fldChar w:fldCharType="separate"/>
        </w:r>
        <w:r w:rsidR="00AE5813">
          <w:rPr>
            <w:noProof/>
          </w:rPr>
          <w:t>5</w:t>
        </w:r>
        <w:r w:rsidR="00AE340B">
          <w:rPr>
            <w:noProof/>
          </w:rPr>
          <w:fldChar w:fldCharType="end"/>
        </w:r>
      </w:hyperlink>
    </w:p>
    <w:p w:rsidR="00865F04" w:rsidRDefault="00614696">
      <w:pPr>
        <w:pStyle w:val="10"/>
        <w:tabs>
          <w:tab w:val="right" w:leader="dot" w:pos="8296"/>
        </w:tabs>
        <w:ind w:firstLine="420"/>
        <w:rPr>
          <w:rFonts w:asciiTheme="minorHAnsi" w:eastAsiaTheme="minorEastAsia" w:hAnsiTheme="minorHAnsi" w:cstheme="minorBidi"/>
          <w:noProof/>
          <w:szCs w:val="22"/>
        </w:rPr>
      </w:pPr>
      <w:hyperlink w:anchor="_Toc100587287" w:history="1">
        <w:r w:rsidR="00D6044F">
          <w:rPr>
            <w:rStyle w:val="af7"/>
            <w:rFonts w:ascii="Times New Roman" w:hAnsi="Times New Roman" w:hint="eastAsia"/>
            <w:noProof/>
          </w:rPr>
          <w:t>三、主要技术内容</w:t>
        </w:r>
        <w:r w:rsidR="00D6044F">
          <w:rPr>
            <w:noProof/>
          </w:rPr>
          <w:tab/>
        </w:r>
        <w:r w:rsidR="00AE340B">
          <w:rPr>
            <w:noProof/>
          </w:rPr>
          <w:fldChar w:fldCharType="begin"/>
        </w:r>
        <w:r w:rsidR="00D6044F">
          <w:rPr>
            <w:noProof/>
          </w:rPr>
          <w:instrText xml:space="preserve"> PAGEREF _Toc100587287 \h </w:instrText>
        </w:r>
        <w:r w:rsidR="00AE340B">
          <w:rPr>
            <w:noProof/>
          </w:rPr>
        </w:r>
        <w:r w:rsidR="00AE340B">
          <w:rPr>
            <w:noProof/>
          </w:rPr>
          <w:fldChar w:fldCharType="separate"/>
        </w:r>
        <w:r w:rsidR="00AE5813">
          <w:rPr>
            <w:noProof/>
          </w:rPr>
          <w:t>6</w:t>
        </w:r>
        <w:r w:rsidR="00AE340B">
          <w:rPr>
            <w:noProof/>
          </w:rPr>
          <w:fldChar w:fldCharType="end"/>
        </w:r>
      </w:hyperlink>
    </w:p>
    <w:p w:rsidR="00865F04" w:rsidRDefault="00614696">
      <w:pPr>
        <w:pStyle w:val="10"/>
        <w:tabs>
          <w:tab w:val="right" w:leader="dot" w:pos="8296"/>
        </w:tabs>
        <w:ind w:firstLine="420"/>
        <w:rPr>
          <w:rFonts w:asciiTheme="minorHAnsi" w:eastAsiaTheme="minorEastAsia" w:hAnsiTheme="minorHAnsi" w:cstheme="minorBidi"/>
          <w:noProof/>
          <w:szCs w:val="22"/>
        </w:rPr>
      </w:pPr>
      <w:hyperlink w:anchor="_Toc100587288" w:history="1">
        <w:r w:rsidR="00D6044F">
          <w:rPr>
            <w:rStyle w:val="af7"/>
            <w:rFonts w:hint="eastAsia"/>
            <w:noProof/>
          </w:rPr>
          <w:t>四、主要试验（或验证）情况分析</w:t>
        </w:r>
        <w:r w:rsidR="00D6044F">
          <w:rPr>
            <w:noProof/>
          </w:rPr>
          <w:tab/>
        </w:r>
        <w:r w:rsidR="00AE340B">
          <w:rPr>
            <w:noProof/>
          </w:rPr>
          <w:fldChar w:fldCharType="begin"/>
        </w:r>
        <w:r w:rsidR="00D6044F">
          <w:rPr>
            <w:noProof/>
          </w:rPr>
          <w:instrText xml:space="preserve"> PAGEREF _Toc100587288 \h </w:instrText>
        </w:r>
        <w:r w:rsidR="00AE340B">
          <w:rPr>
            <w:noProof/>
          </w:rPr>
        </w:r>
        <w:r w:rsidR="00AE340B">
          <w:rPr>
            <w:noProof/>
          </w:rPr>
          <w:fldChar w:fldCharType="separate"/>
        </w:r>
        <w:r w:rsidR="00AE5813">
          <w:rPr>
            <w:noProof/>
          </w:rPr>
          <w:t>8</w:t>
        </w:r>
        <w:r w:rsidR="00AE340B">
          <w:rPr>
            <w:noProof/>
          </w:rPr>
          <w:fldChar w:fldCharType="end"/>
        </w:r>
      </w:hyperlink>
    </w:p>
    <w:p w:rsidR="00865F04" w:rsidRDefault="00614696">
      <w:pPr>
        <w:pStyle w:val="10"/>
        <w:tabs>
          <w:tab w:val="right" w:leader="dot" w:pos="8296"/>
        </w:tabs>
        <w:ind w:firstLine="420"/>
        <w:rPr>
          <w:rFonts w:asciiTheme="minorHAnsi" w:eastAsiaTheme="minorEastAsia" w:hAnsiTheme="minorHAnsi" w:cstheme="minorBidi"/>
          <w:noProof/>
          <w:szCs w:val="22"/>
        </w:rPr>
      </w:pPr>
      <w:hyperlink w:anchor="_Toc100587289" w:history="1">
        <w:r w:rsidR="00D6044F">
          <w:rPr>
            <w:rStyle w:val="af7"/>
            <w:rFonts w:ascii="Times New Roman" w:hAnsi="Times New Roman" w:hint="eastAsia"/>
            <w:noProof/>
          </w:rPr>
          <w:t>五、标准中如涉及专利，应有明确的知识产权说明</w:t>
        </w:r>
        <w:r w:rsidR="00D6044F">
          <w:rPr>
            <w:noProof/>
          </w:rPr>
          <w:tab/>
        </w:r>
        <w:r w:rsidR="00AE340B">
          <w:rPr>
            <w:noProof/>
          </w:rPr>
          <w:fldChar w:fldCharType="begin"/>
        </w:r>
        <w:r w:rsidR="00D6044F">
          <w:rPr>
            <w:noProof/>
          </w:rPr>
          <w:instrText xml:space="preserve"> PAGEREF _Toc100587289 \h </w:instrText>
        </w:r>
        <w:r w:rsidR="00AE340B">
          <w:rPr>
            <w:noProof/>
          </w:rPr>
        </w:r>
        <w:r w:rsidR="00AE340B">
          <w:rPr>
            <w:noProof/>
          </w:rPr>
          <w:fldChar w:fldCharType="separate"/>
        </w:r>
        <w:r w:rsidR="00AE5813">
          <w:rPr>
            <w:noProof/>
          </w:rPr>
          <w:t>8</w:t>
        </w:r>
        <w:r w:rsidR="00AE340B">
          <w:rPr>
            <w:noProof/>
          </w:rPr>
          <w:fldChar w:fldCharType="end"/>
        </w:r>
      </w:hyperlink>
    </w:p>
    <w:p w:rsidR="00865F04" w:rsidRDefault="00614696">
      <w:pPr>
        <w:pStyle w:val="10"/>
        <w:tabs>
          <w:tab w:val="right" w:leader="dot" w:pos="8296"/>
        </w:tabs>
        <w:ind w:firstLine="420"/>
        <w:rPr>
          <w:rFonts w:asciiTheme="minorHAnsi" w:eastAsiaTheme="minorEastAsia" w:hAnsiTheme="minorHAnsi" w:cstheme="minorBidi"/>
          <w:noProof/>
          <w:szCs w:val="22"/>
        </w:rPr>
      </w:pPr>
      <w:hyperlink w:anchor="_Toc100587290" w:history="1">
        <w:r w:rsidR="00D6044F">
          <w:rPr>
            <w:rStyle w:val="af7"/>
            <w:rFonts w:ascii="Times New Roman" w:hAnsi="Times New Roman" w:hint="eastAsia"/>
            <w:noProof/>
          </w:rPr>
          <w:t>六、预期达到的经济效果</w:t>
        </w:r>
        <w:r w:rsidR="00D6044F">
          <w:rPr>
            <w:noProof/>
          </w:rPr>
          <w:tab/>
        </w:r>
        <w:r w:rsidR="00AE340B">
          <w:rPr>
            <w:noProof/>
          </w:rPr>
          <w:fldChar w:fldCharType="begin"/>
        </w:r>
        <w:r w:rsidR="00D6044F">
          <w:rPr>
            <w:noProof/>
          </w:rPr>
          <w:instrText xml:space="preserve"> PAGEREF _Toc100587290 \h </w:instrText>
        </w:r>
        <w:r w:rsidR="00AE340B">
          <w:rPr>
            <w:noProof/>
          </w:rPr>
        </w:r>
        <w:r w:rsidR="00AE340B">
          <w:rPr>
            <w:noProof/>
          </w:rPr>
          <w:fldChar w:fldCharType="separate"/>
        </w:r>
        <w:r w:rsidR="00AE5813">
          <w:rPr>
            <w:noProof/>
          </w:rPr>
          <w:t>8</w:t>
        </w:r>
        <w:r w:rsidR="00AE340B">
          <w:rPr>
            <w:noProof/>
          </w:rPr>
          <w:fldChar w:fldCharType="end"/>
        </w:r>
      </w:hyperlink>
    </w:p>
    <w:p w:rsidR="00865F04" w:rsidRDefault="00614696">
      <w:pPr>
        <w:pStyle w:val="20"/>
        <w:tabs>
          <w:tab w:val="right" w:leader="dot" w:pos="8296"/>
        </w:tabs>
        <w:ind w:firstLine="420"/>
        <w:rPr>
          <w:rFonts w:asciiTheme="minorHAnsi" w:eastAsiaTheme="minorEastAsia" w:hAnsiTheme="minorHAnsi" w:cstheme="minorBidi"/>
          <w:noProof/>
          <w:szCs w:val="22"/>
        </w:rPr>
      </w:pPr>
      <w:hyperlink w:anchor="_Toc100587291" w:history="1">
        <w:r w:rsidR="00D6044F">
          <w:rPr>
            <w:rStyle w:val="af7"/>
            <w:noProof/>
          </w:rPr>
          <w:t>6.1</w:t>
        </w:r>
        <w:r w:rsidR="00D6044F">
          <w:rPr>
            <w:rStyle w:val="af7"/>
            <w:rFonts w:hint="eastAsia"/>
            <w:noProof/>
          </w:rPr>
          <w:t>项目的必要性</w:t>
        </w:r>
        <w:r w:rsidR="00D6044F">
          <w:rPr>
            <w:noProof/>
          </w:rPr>
          <w:tab/>
        </w:r>
        <w:r w:rsidR="00AE340B">
          <w:rPr>
            <w:noProof/>
          </w:rPr>
          <w:fldChar w:fldCharType="begin"/>
        </w:r>
        <w:r w:rsidR="00D6044F">
          <w:rPr>
            <w:noProof/>
          </w:rPr>
          <w:instrText xml:space="preserve"> PAGEREF _Toc100587291 \h </w:instrText>
        </w:r>
        <w:r w:rsidR="00AE340B">
          <w:rPr>
            <w:noProof/>
          </w:rPr>
        </w:r>
        <w:r w:rsidR="00AE340B">
          <w:rPr>
            <w:noProof/>
          </w:rPr>
          <w:fldChar w:fldCharType="separate"/>
        </w:r>
        <w:r w:rsidR="00AE5813">
          <w:rPr>
            <w:noProof/>
          </w:rPr>
          <w:t>8</w:t>
        </w:r>
        <w:r w:rsidR="00AE340B">
          <w:rPr>
            <w:noProof/>
          </w:rPr>
          <w:fldChar w:fldCharType="end"/>
        </w:r>
      </w:hyperlink>
    </w:p>
    <w:p w:rsidR="00865F04" w:rsidRDefault="00614696">
      <w:pPr>
        <w:pStyle w:val="20"/>
        <w:tabs>
          <w:tab w:val="right" w:leader="dot" w:pos="8296"/>
        </w:tabs>
        <w:ind w:firstLine="420"/>
        <w:rPr>
          <w:rFonts w:asciiTheme="minorHAnsi" w:eastAsiaTheme="minorEastAsia" w:hAnsiTheme="minorHAnsi" w:cstheme="minorBidi"/>
          <w:noProof/>
          <w:szCs w:val="22"/>
        </w:rPr>
      </w:pPr>
      <w:hyperlink w:anchor="_Toc100587292" w:history="1">
        <w:r w:rsidR="00D6044F">
          <w:rPr>
            <w:rStyle w:val="af7"/>
            <w:noProof/>
          </w:rPr>
          <w:t>6.2</w:t>
        </w:r>
        <w:r w:rsidR="00D6044F">
          <w:rPr>
            <w:rStyle w:val="af7"/>
            <w:rFonts w:ascii="宋体" w:hAnsi="宋体" w:hint="eastAsia"/>
            <w:noProof/>
          </w:rPr>
          <w:t>项目的可行性</w:t>
        </w:r>
        <w:r w:rsidR="00D6044F">
          <w:rPr>
            <w:noProof/>
          </w:rPr>
          <w:tab/>
        </w:r>
        <w:r w:rsidR="00AE340B">
          <w:rPr>
            <w:noProof/>
          </w:rPr>
          <w:fldChar w:fldCharType="begin"/>
        </w:r>
        <w:r w:rsidR="00D6044F">
          <w:rPr>
            <w:noProof/>
          </w:rPr>
          <w:instrText xml:space="preserve"> PAGEREF _Toc100587292 \h </w:instrText>
        </w:r>
        <w:r w:rsidR="00AE340B">
          <w:rPr>
            <w:noProof/>
          </w:rPr>
        </w:r>
        <w:r w:rsidR="00AE340B">
          <w:rPr>
            <w:noProof/>
          </w:rPr>
          <w:fldChar w:fldCharType="separate"/>
        </w:r>
        <w:r w:rsidR="00AE5813">
          <w:rPr>
            <w:noProof/>
          </w:rPr>
          <w:t>8</w:t>
        </w:r>
        <w:r w:rsidR="00AE340B">
          <w:rPr>
            <w:noProof/>
          </w:rPr>
          <w:fldChar w:fldCharType="end"/>
        </w:r>
      </w:hyperlink>
    </w:p>
    <w:p w:rsidR="00865F04" w:rsidRDefault="00614696">
      <w:pPr>
        <w:pStyle w:val="20"/>
        <w:tabs>
          <w:tab w:val="right" w:leader="dot" w:pos="8296"/>
        </w:tabs>
        <w:ind w:firstLine="420"/>
        <w:rPr>
          <w:rFonts w:asciiTheme="minorHAnsi" w:eastAsiaTheme="minorEastAsia" w:hAnsiTheme="minorHAnsi" w:cstheme="minorBidi"/>
          <w:noProof/>
          <w:szCs w:val="22"/>
        </w:rPr>
      </w:pPr>
      <w:hyperlink w:anchor="_Toc100587293" w:history="1">
        <w:r w:rsidR="00D6044F">
          <w:rPr>
            <w:rStyle w:val="af7"/>
            <w:noProof/>
          </w:rPr>
          <w:t>6.3</w:t>
        </w:r>
        <w:r w:rsidR="00D6044F">
          <w:rPr>
            <w:rStyle w:val="af7"/>
            <w:rFonts w:ascii="宋体" w:hAnsi="宋体" w:hint="eastAsia"/>
            <w:noProof/>
          </w:rPr>
          <w:t>标准的先进性、创新性、标准实施后预期产生的经济效益和社会效益</w:t>
        </w:r>
        <w:r w:rsidR="00D6044F">
          <w:rPr>
            <w:noProof/>
          </w:rPr>
          <w:tab/>
        </w:r>
        <w:r w:rsidR="00AE340B">
          <w:rPr>
            <w:noProof/>
          </w:rPr>
          <w:fldChar w:fldCharType="begin"/>
        </w:r>
        <w:r w:rsidR="00D6044F">
          <w:rPr>
            <w:noProof/>
          </w:rPr>
          <w:instrText xml:space="preserve"> PAGEREF _Toc100587293 \h </w:instrText>
        </w:r>
        <w:r w:rsidR="00AE340B">
          <w:rPr>
            <w:noProof/>
          </w:rPr>
        </w:r>
        <w:r w:rsidR="00AE340B">
          <w:rPr>
            <w:noProof/>
          </w:rPr>
          <w:fldChar w:fldCharType="separate"/>
        </w:r>
        <w:r w:rsidR="00AE5813">
          <w:rPr>
            <w:noProof/>
          </w:rPr>
          <w:t>9</w:t>
        </w:r>
        <w:r w:rsidR="00AE340B">
          <w:rPr>
            <w:noProof/>
          </w:rPr>
          <w:fldChar w:fldCharType="end"/>
        </w:r>
      </w:hyperlink>
    </w:p>
    <w:p w:rsidR="00865F04" w:rsidRDefault="00614696">
      <w:pPr>
        <w:pStyle w:val="10"/>
        <w:tabs>
          <w:tab w:val="right" w:leader="dot" w:pos="8296"/>
        </w:tabs>
        <w:ind w:firstLine="420"/>
        <w:rPr>
          <w:rFonts w:asciiTheme="minorHAnsi" w:eastAsiaTheme="minorEastAsia" w:hAnsiTheme="minorHAnsi" w:cstheme="minorBidi"/>
          <w:noProof/>
          <w:szCs w:val="22"/>
        </w:rPr>
      </w:pPr>
      <w:hyperlink w:anchor="_Toc100587294" w:history="1">
        <w:r w:rsidR="00D6044F">
          <w:rPr>
            <w:rStyle w:val="af7"/>
            <w:rFonts w:ascii="Times New Roman" w:hAnsi="Times New Roman" w:hint="eastAsia"/>
            <w:noProof/>
          </w:rPr>
          <w:t>七、采用国际标准或国外先进标准的对比情况</w:t>
        </w:r>
        <w:r w:rsidR="00D6044F">
          <w:rPr>
            <w:noProof/>
          </w:rPr>
          <w:tab/>
        </w:r>
        <w:r w:rsidR="00AE340B">
          <w:rPr>
            <w:noProof/>
          </w:rPr>
          <w:fldChar w:fldCharType="begin"/>
        </w:r>
        <w:r w:rsidR="00D6044F">
          <w:rPr>
            <w:noProof/>
          </w:rPr>
          <w:instrText xml:space="preserve"> PAGEREF _Toc100587294 \h </w:instrText>
        </w:r>
        <w:r w:rsidR="00AE340B">
          <w:rPr>
            <w:noProof/>
          </w:rPr>
        </w:r>
        <w:r w:rsidR="00AE340B">
          <w:rPr>
            <w:noProof/>
          </w:rPr>
          <w:fldChar w:fldCharType="separate"/>
        </w:r>
        <w:r w:rsidR="00AE5813">
          <w:rPr>
            <w:noProof/>
          </w:rPr>
          <w:t>9</w:t>
        </w:r>
        <w:r w:rsidR="00AE340B">
          <w:rPr>
            <w:noProof/>
          </w:rPr>
          <w:fldChar w:fldCharType="end"/>
        </w:r>
      </w:hyperlink>
    </w:p>
    <w:p w:rsidR="00865F04" w:rsidRDefault="00614696">
      <w:pPr>
        <w:pStyle w:val="10"/>
        <w:tabs>
          <w:tab w:val="right" w:leader="dot" w:pos="8296"/>
        </w:tabs>
        <w:ind w:firstLine="420"/>
        <w:rPr>
          <w:rFonts w:asciiTheme="minorHAnsi" w:eastAsiaTheme="minorEastAsia" w:hAnsiTheme="minorHAnsi" w:cstheme="minorBidi"/>
          <w:noProof/>
          <w:szCs w:val="22"/>
        </w:rPr>
      </w:pPr>
      <w:hyperlink w:anchor="_Toc100587295" w:history="1">
        <w:r w:rsidR="00D6044F">
          <w:rPr>
            <w:rStyle w:val="af7"/>
            <w:rFonts w:ascii="Times New Roman" w:hAnsi="Times New Roman" w:hint="eastAsia"/>
            <w:noProof/>
          </w:rPr>
          <w:t>八、与现行法律、法规、强制性国家标准及相关标准协调配套情况</w:t>
        </w:r>
        <w:r w:rsidR="00D6044F">
          <w:rPr>
            <w:noProof/>
          </w:rPr>
          <w:tab/>
        </w:r>
        <w:r w:rsidR="00AE340B">
          <w:rPr>
            <w:noProof/>
          </w:rPr>
          <w:fldChar w:fldCharType="begin"/>
        </w:r>
        <w:r w:rsidR="00D6044F">
          <w:rPr>
            <w:noProof/>
          </w:rPr>
          <w:instrText xml:space="preserve"> PAGEREF _Toc100587295 \h </w:instrText>
        </w:r>
        <w:r w:rsidR="00AE340B">
          <w:rPr>
            <w:noProof/>
          </w:rPr>
        </w:r>
        <w:r w:rsidR="00AE340B">
          <w:rPr>
            <w:noProof/>
          </w:rPr>
          <w:fldChar w:fldCharType="separate"/>
        </w:r>
        <w:r w:rsidR="00AE5813">
          <w:rPr>
            <w:noProof/>
          </w:rPr>
          <w:t>9</w:t>
        </w:r>
        <w:r w:rsidR="00AE340B">
          <w:rPr>
            <w:noProof/>
          </w:rPr>
          <w:fldChar w:fldCharType="end"/>
        </w:r>
      </w:hyperlink>
    </w:p>
    <w:p w:rsidR="00865F04" w:rsidRDefault="00614696">
      <w:pPr>
        <w:pStyle w:val="10"/>
        <w:tabs>
          <w:tab w:val="right" w:leader="dot" w:pos="8296"/>
        </w:tabs>
        <w:ind w:firstLine="420"/>
        <w:rPr>
          <w:rFonts w:asciiTheme="minorHAnsi" w:eastAsiaTheme="minorEastAsia" w:hAnsiTheme="minorHAnsi" w:cstheme="minorBidi"/>
          <w:noProof/>
          <w:szCs w:val="22"/>
        </w:rPr>
      </w:pPr>
      <w:hyperlink w:anchor="_Toc100587296" w:history="1">
        <w:r w:rsidR="00D6044F">
          <w:rPr>
            <w:rStyle w:val="af7"/>
            <w:rFonts w:ascii="Times New Roman" w:hAnsi="Times New Roman" w:hint="eastAsia"/>
            <w:noProof/>
          </w:rPr>
          <w:t>九、重大分歧意见的处理经过和依据</w:t>
        </w:r>
        <w:r w:rsidR="00D6044F">
          <w:rPr>
            <w:noProof/>
          </w:rPr>
          <w:tab/>
        </w:r>
        <w:r w:rsidR="00AE340B">
          <w:rPr>
            <w:noProof/>
          </w:rPr>
          <w:fldChar w:fldCharType="begin"/>
        </w:r>
        <w:r w:rsidR="00D6044F">
          <w:rPr>
            <w:noProof/>
          </w:rPr>
          <w:instrText xml:space="preserve"> PAGEREF _Toc100587296 \h </w:instrText>
        </w:r>
        <w:r w:rsidR="00AE340B">
          <w:rPr>
            <w:noProof/>
          </w:rPr>
        </w:r>
        <w:r w:rsidR="00AE340B">
          <w:rPr>
            <w:noProof/>
          </w:rPr>
          <w:fldChar w:fldCharType="separate"/>
        </w:r>
        <w:r w:rsidR="00AE5813">
          <w:rPr>
            <w:noProof/>
          </w:rPr>
          <w:t>9</w:t>
        </w:r>
        <w:r w:rsidR="00AE340B">
          <w:rPr>
            <w:noProof/>
          </w:rPr>
          <w:fldChar w:fldCharType="end"/>
        </w:r>
      </w:hyperlink>
    </w:p>
    <w:p w:rsidR="00865F04" w:rsidRDefault="00614696">
      <w:pPr>
        <w:pStyle w:val="10"/>
        <w:tabs>
          <w:tab w:val="right" w:leader="dot" w:pos="8296"/>
        </w:tabs>
        <w:ind w:firstLine="420"/>
        <w:rPr>
          <w:rFonts w:asciiTheme="minorHAnsi" w:eastAsiaTheme="minorEastAsia" w:hAnsiTheme="minorHAnsi" w:cstheme="minorBidi"/>
          <w:noProof/>
          <w:szCs w:val="22"/>
        </w:rPr>
      </w:pPr>
      <w:hyperlink w:anchor="_Toc100587297" w:history="1">
        <w:r w:rsidR="00D6044F">
          <w:rPr>
            <w:rStyle w:val="af7"/>
            <w:rFonts w:ascii="Times New Roman" w:hAnsi="Times New Roman" w:hint="eastAsia"/>
            <w:noProof/>
          </w:rPr>
          <w:t>十、标准性质的建议说明</w:t>
        </w:r>
        <w:r w:rsidR="00D6044F">
          <w:rPr>
            <w:noProof/>
          </w:rPr>
          <w:tab/>
        </w:r>
        <w:r w:rsidR="00AE340B">
          <w:rPr>
            <w:noProof/>
          </w:rPr>
          <w:fldChar w:fldCharType="begin"/>
        </w:r>
        <w:r w:rsidR="00D6044F">
          <w:rPr>
            <w:noProof/>
          </w:rPr>
          <w:instrText xml:space="preserve"> PAGEREF _Toc100587297 \h </w:instrText>
        </w:r>
        <w:r w:rsidR="00AE340B">
          <w:rPr>
            <w:noProof/>
          </w:rPr>
        </w:r>
        <w:r w:rsidR="00AE340B">
          <w:rPr>
            <w:noProof/>
          </w:rPr>
          <w:fldChar w:fldCharType="separate"/>
        </w:r>
        <w:r w:rsidR="00AE5813">
          <w:rPr>
            <w:noProof/>
          </w:rPr>
          <w:t>9</w:t>
        </w:r>
        <w:r w:rsidR="00AE340B">
          <w:rPr>
            <w:noProof/>
          </w:rPr>
          <w:fldChar w:fldCharType="end"/>
        </w:r>
      </w:hyperlink>
    </w:p>
    <w:p w:rsidR="00865F04" w:rsidRDefault="00614696">
      <w:pPr>
        <w:pStyle w:val="10"/>
        <w:tabs>
          <w:tab w:val="right" w:leader="dot" w:pos="8296"/>
        </w:tabs>
        <w:ind w:firstLine="420"/>
        <w:rPr>
          <w:rFonts w:asciiTheme="minorHAnsi" w:eastAsiaTheme="minorEastAsia" w:hAnsiTheme="minorHAnsi" w:cstheme="minorBidi"/>
          <w:noProof/>
          <w:szCs w:val="22"/>
        </w:rPr>
      </w:pPr>
      <w:hyperlink w:anchor="_Toc100587298" w:history="1">
        <w:r w:rsidR="00D6044F">
          <w:rPr>
            <w:rStyle w:val="af7"/>
            <w:rFonts w:ascii="Times New Roman" w:hAnsi="Times New Roman" w:hint="eastAsia"/>
            <w:noProof/>
          </w:rPr>
          <w:t>十一、贯彻标准的要求和措施建议</w:t>
        </w:r>
        <w:r w:rsidR="00D6044F">
          <w:rPr>
            <w:noProof/>
          </w:rPr>
          <w:tab/>
        </w:r>
        <w:r w:rsidR="00AE340B">
          <w:rPr>
            <w:noProof/>
          </w:rPr>
          <w:fldChar w:fldCharType="begin"/>
        </w:r>
        <w:r w:rsidR="00D6044F">
          <w:rPr>
            <w:noProof/>
          </w:rPr>
          <w:instrText xml:space="preserve"> PAGEREF _Toc100587298 \h </w:instrText>
        </w:r>
        <w:r w:rsidR="00AE340B">
          <w:rPr>
            <w:noProof/>
          </w:rPr>
        </w:r>
        <w:r w:rsidR="00AE340B">
          <w:rPr>
            <w:noProof/>
          </w:rPr>
          <w:fldChar w:fldCharType="separate"/>
        </w:r>
        <w:r w:rsidR="00AE5813">
          <w:rPr>
            <w:noProof/>
          </w:rPr>
          <w:t>10</w:t>
        </w:r>
        <w:r w:rsidR="00AE340B">
          <w:rPr>
            <w:noProof/>
          </w:rPr>
          <w:fldChar w:fldCharType="end"/>
        </w:r>
      </w:hyperlink>
    </w:p>
    <w:p w:rsidR="00865F04" w:rsidRDefault="00614696">
      <w:pPr>
        <w:pStyle w:val="10"/>
        <w:tabs>
          <w:tab w:val="right" w:leader="dot" w:pos="8296"/>
        </w:tabs>
        <w:ind w:firstLine="420"/>
        <w:rPr>
          <w:rFonts w:asciiTheme="minorHAnsi" w:eastAsiaTheme="minorEastAsia" w:hAnsiTheme="minorHAnsi" w:cstheme="minorBidi"/>
          <w:noProof/>
          <w:szCs w:val="22"/>
        </w:rPr>
      </w:pPr>
      <w:hyperlink w:anchor="_Toc100587299" w:history="1">
        <w:r w:rsidR="00D6044F">
          <w:rPr>
            <w:rStyle w:val="af7"/>
            <w:rFonts w:ascii="Times New Roman" w:hAnsi="Times New Roman" w:hint="eastAsia"/>
            <w:noProof/>
          </w:rPr>
          <w:t>十二、废止现行有关标准的建议</w:t>
        </w:r>
        <w:r w:rsidR="00D6044F">
          <w:rPr>
            <w:noProof/>
          </w:rPr>
          <w:tab/>
        </w:r>
        <w:r w:rsidR="00AE340B">
          <w:rPr>
            <w:noProof/>
          </w:rPr>
          <w:fldChar w:fldCharType="begin"/>
        </w:r>
        <w:r w:rsidR="00D6044F">
          <w:rPr>
            <w:noProof/>
          </w:rPr>
          <w:instrText xml:space="preserve"> PAGEREF _Toc100587299 \h </w:instrText>
        </w:r>
        <w:r w:rsidR="00AE340B">
          <w:rPr>
            <w:noProof/>
          </w:rPr>
        </w:r>
        <w:r w:rsidR="00AE340B">
          <w:rPr>
            <w:noProof/>
          </w:rPr>
          <w:fldChar w:fldCharType="separate"/>
        </w:r>
        <w:r w:rsidR="00AE5813">
          <w:rPr>
            <w:noProof/>
          </w:rPr>
          <w:t>10</w:t>
        </w:r>
        <w:r w:rsidR="00AE340B">
          <w:rPr>
            <w:noProof/>
          </w:rPr>
          <w:fldChar w:fldCharType="end"/>
        </w:r>
      </w:hyperlink>
    </w:p>
    <w:p w:rsidR="00865F04" w:rsidRDefault="00614696">
      <w:pPr>
        <w:pStyle w:val="10"/>
        <w:tabs>
          <w:tab w:val="right" w:leader="dot" w:pos="8296"/>
        </w:tabs>
        <w:ind w:firstLine="420"/>
        <w:rPr>
          <w:rFonts w:asciiTheme="minorHAnsi" w:eastAsiaTheme="minorEastAsia" w:hAnsiTheme="minorHAnsi" w:cstheme="minorBidi"/>
          <w:noProof/>
          <w:szCs w:val="22"/>
        </w:rPr>
      </w:pPr>
      <w:hyperlink w:anchor="_Toc100587300" w:history="1">
        <w:r w:rsidR="00D6044F">
          <w:rPr>
            <w:rStyle w:val="af7"/>
            <w:rFonts w:ascii="Times New Roman" w:hAnsi="Times New Roman" w:hint="eastAsia"/>
            <w:noProof/>
          </w:rPr>
          <w:t>十三、其他应予说明的事项</w:t>
        </w:r>
        <w:r w:rsidR="00D6044F">
          <w:rPr>
            <w:noProof/>
          </w:rPr>
          <w:tab/>
        </w:r>
        <w:r w:rsidR="00AE340B">
          <w:rPr>
            <w:noProof/>
          </w:rPr>
          <w:fldChar w:fldCharType="begin"/>
        </w:r>
        <w:r w:rsidR="00D6044F">
          <w:rPr>
            <w:noProof/>
          </w:rPr>
          <w:instrText xml:space="preserve"> PAGEREF _Toc100587300 \h </w:instrText>
        </w:r>
        <w:r w:rsidR="00AE340B">
          <w:rPr>
            <w:noProof/>
          </w:rPr>
        </w:r>
        <w:r w:rsidR="00AE340B">
          <w:rPr>
            <w:noProof/>
          </w:rPr>
          <w:fldChar w:fldCharType="separate"/>
        </w:r>
        <w:r w:rsidR="00AE5813">
          <w:rPr>
            <w:noProof/>
          </w:rPr>
          <w:t>10</w:t>
        </w:r>
        <w:r w:rsidR="00AE340B">
          <w:rPr>
            <w:noProof/>
          </w:rPr>
          <w:fldChar w:fldCharType="end"/>
        </w:r>
      </w:hyperlink>
    </w:p>
    <w:p w:rsidR="00865F04" w:rsidRDefault="00AE340B">
      <w:pPr>
        <w:ind w:firstLine="420"/>
        <w:rPr>
          <w:rFonts w:ascii="Times New Roman" w:hAnsi="Times New Roman"/>
        </w:rPr>
      </w:pPr>
      <w:r>
        <w:rPr>
          <w:rFonts w:ascii="Times New Roman" w:hAnsi="Times New Roman"/>
        </w:rPr>
        <w:fldChar w:fldCharType="end"/>
      </w:r>
    </w:p>
    <w:p w:rsidR="00865F04" w:rsidRDefault="00865F04">
      <w:pPr>
        <w:ind w:firstLine="600"/>
        <w:jc w:val="center"/>
        <w:rPr>
          <w:rFonts w:ascii="Times New Roman" w:eastAsia="黑体" w:hAnsi="Times New Roman"/>
          <w:sz w:val="30"/>
          <w:szCs w:val="30"/>
        </w:rPr>
      </w:pPr>
    </w:p>
    <w:p w:rsidR="00865F04" w:rsidRDefault="00865F04">
      <w:pPr>
        <w:ind w:firstLine="600"/>
        <w:jc w:val="center"/>
        <w:rPr>
          <w:rFonts w:ascii="Times New Roman" w:eastAsia="黑体" w:hAnsi="Times New Roman"/>
          <w:sz w:val="30"/>
          <w:szCs w:val="30"/>
        </w:rPr>
      </w:pPr>
    </w:p>
    <w:p w:rsidR="00865F04" w:rsidRDefault="00865F04">
      <w:pPr>
        <w:ind w:firstLineChars="0" w:firstLine="0"/>
        <w:rPr>
          <w:rFonts w:ascii="Times New Roman" w:eastAsia="黑体" w:hAnsi="Times New Roman"/>
          <w:sz w:val="30"/>
          <w:szCs w:val="30"/>
        </w:rPr>
      </w:pPr>
    </w:p>
    <w:p w:rsidR="00865F04" w:rsidRDefault="00865F04">
      <w:pPr>
        <w:ind w:firstLine="600"/>
        <w:jc w:val="center"/>
        <w:rPr>
          <w:rFonts w:ascii="Times New Roman" w:eastAsia="黑体" w:hAnsi="Times New Roman"/>
          <w:sz w:val="30"/>
          <w:szCs w:val="30"/>
        </w:rPr>
        <w:sectPr w:rsidR="00865F04">
          <w:headerReference w:type="even" r:id="rId14"/>
          <w:headerReference w:type="default" r:id="rId15"/>
          <w:footerReference w:type="even" r:id="rId16"/>
          <w:footerReference w:type="default" r:id="rId17"/>
          <w:pgSz w:w="11906" w:h="16838"/>
          <w:pgMar w:top="1440" w:right="1800" w:bottom="1440" w:left="1800" w:header="851" w:footer="992" w:gutter="0"/>
          <w:pgNumType w:fmt="upperRoman" w:start="1"/>
          <w:cols w:space="720"/>
          <w:docGrid w:type="lines" w:linePitch="312"/>
        </w:sectPr>
      </w:pPr>
    </w:p>
    <w:p w:rsidR="00865F04" w:rsidRDefault="001823AB">
      <w:pPr>
        <w:ind w:firstLineChars="0" w:firstLine="0"/>
        <w:jc w:val="center"/>
        <w:rPr>
          <w:rFonts w:ascii="Times New Roman" w:eastAsia="黑体" w:hAnsi="Times New Roman"/>
          <w:sz w:val="30"/>
          <w:szCs w:val="30"/>
        </w:rPr>
      </w:pPr>
      <w:r>
        <w:rPr>
          <w:rFonts w:ascii="Times New Roman" w:eastAsia="黑体" w:hAnsi="Times New Roman" w:hint="eastAsia"/>
          <w:sz w:val="30"/>
          <w:szCs w:val="30"/>
        </w:rPr>
        <w:lastRenderedPageBreak/>
        <w:t>协会</w:t>
      </w:r>
      <w:r>
        <w:rPr>
          <w:rFonts w:ascii="Times New Roman" w:eastAsia="黑体" w:hAnsi="Times New Roman"/>
          <w:sz w:val="30"/>
          <w:szCs w:val="30"/>
        </w:rPr>
        <w:t>标准</w:t>
      </w:r>
      <w:r w:rsidR="00D6044F">
        <w:rPr>
          <w:rFonts w:ascii="Times New Roman" w:eastAsia="黑体" w:hAnsi="Times New Roman"/>
          <w:sz w:val="30"/>
          <w:szCs w:val="30"/>
        </w:rPr>
        <w:t>《</w:t>
      </w:r>
      <w:r w:rsidR="00D6044F">
        <w:rPr>
          <w:rFonts w:ascii="Times New Roman" w:eastAsia="黑体" w:hAnsi="Times New Roman" w:hint="eastAsia"/>
          <w:sz w:val="30"/>
          <w:szCs w:val="30"/>
        </w:rPr>
        <w:t>有色</w:t>
      </w:r>
      <w:r w:rsidR="00D6044F">
        <w:rPr>
          <w:rFonts w:ascii="Times New Roman" w:eastAsia="黑体" w:hAnsi="Times New Roman"/>
          <w:sz w:val="30"/>
          <w:szCs w:val="30"/>
        </w:rPr>
        <w:t>金属矿山高浓度膏体充填智能系统</w:t>
      </w:r>
      <w:r w:rsidR="00D6044F">
        <w:rPr>
          <w:rFonts w:ascii="Times New Roman" w:eastAsia="黑体" w:hAnsi="Times New Roman" w:hint="eastAsia"/>
          <w:sz w:val="30"/>
          <w:szCs w:val="30"/>
        </w:rPr>
        <w:t>技术规范</w:t>
      </w:r>
      <w:r w:rsidR="00D6044F">
        <w:rPr>
          <w:rFonts w:ascii="Times New Roman" w:eastAsia="黑体" w:hAnsi="Times New Roman"/>
          <w:sz w:val="30"/>
          <w:szCs w:val="30"/>
        </w:rPr>
        <w:t>》</w:t>
      </w:r>
    </w:p>
    <w:p w:rsidR="00865F04" w:rsidRDefault="00D6044F">
      <w:pPr>
        <w:ind w:firstLineChars="0" w:firstLine="0"/>
        <w:jc w:val="center"/>
        <w:rPr>
          <w:rFonts w:ascii="Times New Roman" w:eastAsia="黑体" w:hAnsi="Times New Roman"/>
          <w:sz w:val="30"/>
          <w:szCs w:val="30"/>
        </w:rPr>
      </w:pPr>
      <w:r>
        <w:rPr>
          <w:rFonts w:ascii="Times New Roman" w:eastAsia="黑体" w:hAnsi="Times New Roman"/>
          <w:sz w:val="30"/>
          <w:szCs w:val="30"/>
        </w:rPr>
        <w:t>编制说明</w:t>
      </w:r>
    </w:p>
    <w:p w:rsidR="00865F04" w:rsidRDefault="00D6044F">
      <w:pPr>
        <w:pStyle w:val="1"/>
      </w:pPr>
      <w:bookmarkStart w:id="0" w:name="_Toc100587282"/>
      <w:bookmarkStart w:id="1" w:name="_Toc12751"/>
      <w:r>
        <w:t>一、工作简况</w:t>
      </w:r>
      <w:bookmarkEnd w:id="0"/>
      <w:bookmarkEnd w:id="1"/>
    </w:p>
    <w:p w:rsidR="00865F04" w:rsidRDefault="00D6044F">
      <w:pPr>
        <w:pStyle w:val="2"/>
        <w:spacing w:before="156" w:after="156"/>
      </w:pPr>
      <w:bookmarkStart w:id="2" w:name="_Toc1836"/>
      <w:bookmarkStart w:id="3" w:name="_Toc100587283"/>
      <w:r>
        <w:t>（一）任务来源</w:t>
      </w:r>
      <w:bookmarkEnd w:id="2"/>
      <w:bookmarkEnd w:id="3"/>
    </w:p>
    <w:p w:rsidR="00865F04" w:rsidRDefault="00D6044F">
      <w:pPr>
        <w:pStyle w:val="5"/>
        <w:ind w:firstLine="482"/>
      </w:pPr>
      <w:r>
        <w:rPr>
          <w:rFonts w:hint="eastAsia"/>
        </w:rPr>
        <w:t>1.1</w:t>
      </w:r>
      <w:r>
        <w:rPr>
          <w:rFonts w:hint="eastAsia"/>
        </w:rPr>
        <w:t>计划批准文件名称、文号及项目编号、项目名称、计划完成年限、项目名称更改说明、编制组成员单位</w:t>
      </w:r>
    </w:p>
    <w:p w:rsidR="001A2703" w:rsidRDefault="00D6044F">
      <w:pPr>
        <w:ind w:firstLine="420"/>
      </w:pPr>
      <w:r>
        <w:rPr>
          <w:rFonts w:hint="eastAsia"/>
        </w:rPr>
        <w:t>为规范有色金属矿山高浓度膏体充填智能系统工作，确保矿山充填技术更加快速开展智能化工作，持续提升企业能效水平，推动企业绿色发展，</w:t>
      </w:r>
      <w:r>
        <w:t>根据</w:t>
      </w:r>
      <w:r>
        <w:t>20</w:t>
      </w:r>
      <w:r>
        <w:rPr>
          <w:rFonts w:hint="eastAsia"/>
        </w:rPr>
        <w:t>22</w:t>
      </w:r>
      <w:r>
        <w:t>年</w:t>
      </w:r>
      <w:r>
        <w:rPr>
          <w:rFonts w:hint="eastAsia"/>
        </w:rPr>
        <w:t>2</w:t>
      </w:r>
      <w:r>
        <w:t>月</w:t>
      </w:r>
      <w:r>
        <w:rPr>
          <w:rFonts w:hint="eastAsia"/>
        </w:rPr>
        <w:t>中国有色金属工业协会、中国有色金属学会</w:t>
      </w:r>
      <w:r>
        <w:t>《</w:t>
      </w:r>
      <w:r>
        <w:rPr>
          <w:rFonts w:hint="eastAsia"/>
        </w:rPr>
        <w:t>关于下达</w:t>
      </w:r>
      <w:r>
        <w:rPr>
          <w:rFonts w:hint="eastAsia"/>
        </w:rPr>
        <w:t>2022</w:t>
      </w:r>
      <w:r>
        <w:rPr>
          <w:rFonts w:hint="eastAsia"/>
        </w:rPr>
        <w:t>年第二批协会标准制修订计划的通知</w:t>
      </w:r>
      <w:r>
        <w:t>》的文件要求，行业标准《</w:t>
      </w:r>
      <w:r>
        <w:rPr>
          <w:rFonts w:hint="eastAsia"/>
        </w:rPr>
        <w:t>有色</w:t>
      </w:r>
      <w:r>
        <w:t>金属矿山高浓度膏体充填智能系统</w:t>
      </w:r>
      <w:r>
        <w:rPr>
          <w:rFonts w:hint="eastAsia"/>
        </w:rPr>
        <w:t>技术</w:t>
      </w:r>
      <w:r>
        <w:t>规范》制定项目由全国有色金属标准化技术委员会归口，计划编号：</w:t>
      </w:r>
      <w:r>
        <w:t>20</w:t>
      </w:r>
      <w:r>
        <w:rPr>
          <w:rFonts w:hint="eastAsia"/>
        </w:rPr>
        <w:t>22</w:t>
      </w:r>
      <w:r>
        <w:t>-</w:t>
      </w:r>
      <w:r>
        <w:rPr>
          <w:rFonts w:hint="eastAsia"/>
        </w:rPr>
        <w:t>024-</w:t>
      </w:r>
      <w:r>
        <w:t>T</w:t>
      </w:r>
      <w:r>
        <w:rPr>
          <w:rFonts w:hint="eastAsia"/>
        </w:rPr>
        <w:t>/CNIA</w:t>
      </w:r>
      <w:r>
        <w:t>，</w:t>
      </w:r>
      <w:r>
        <w:rPr>
          <w:rFonts w:hint="eastAsia"/>
        </w:rPr>
        <w:t>计划完成年限</w:t>
      </w:r>
      <w:r>
        <w:rPr>
          <w:rFonts w:hint="eastAsia"/>
        </w:rPr>
        <w:t>2023</w:t>
      </w:r>
      <w:r>
        <w:rPr>
          <w:rFonts w:hint="eastAsia"/>
        </w:rPr>
        <w:t>年</w:t>
      </w:r>
      <w:r>
        <w:t>。</w:t>
      </w:r>
    </w:p>
    <w:p w:rsidR="00865F04" w:rsidRDefault="00D6044F">
      <w:pPr>
        <w:ind w:firstLine="420"/>
      </w:pPr>
      <w:r>
        <w:t>标准起草单位为：</w:t>
      </w:r>
      <w:r w:rsidR="00B9615B">
        <w:rPr>
          <w:rFonts w:hint="eastAsia"/>
        </w:rPr>
        <w:t>中国恩菲工程技术有限公司、云南驰宏锌锗股份有限公司、长沙矿山研究院有限责任公司、矿冶科技集团有限公司、北京科技大学、鞍钢矿业集团有限公司、江西铜业银山矿业有限责任公司、招金集团股份有限公司、北方矿业有限责任公司、铜陵有色金属集团有限公司、北京建龙重工集团有限公司、大冶有色金属集团控股有限公司、江西铜业股份有限公司永平铜矿、香格里拉市云矿红牛矿业有限公司</w:t>
      </w:r>
      <w:r>
        <w:t>。</w:t>
      </w:r>
    </w:p>
    <w:p w:rsidR="00865F04" w:rsidRDefault="00D6044F">
      <w:pPr>
        <w:pStyle w:val="5"/>
        <w:ind w:firstLine="482"/>
      </w:pPr>
      <w:r w:rsidRPr="009254ED">
        <w:t>1.2</w:t>
      </w:r>
      <w:r w:rsidRPr="009254ED">
        <w:t>项目编制组单位变化情况</w:t>
      </w:r>
    </w:p>
    <w:p w:rsidR="00865F04" w:rsidRDefault="00731ED6">
      <w:pPr>
        <w:adjustRightInd w:val="0"/>
        <w:snapToGrid w:val="0"/>
        <w:ind w:firstLine="480"/>
        <w:rPr>
          <w:rFonts w:ascii="Times New Roman" w:hAnsi="Times New Roman"/>
          <w:sz w:val="24"/>
        </w:rPr>
      </w:pPr>
      <w:r>
        <w:rPr>
          <w:rFonts w:ascii="Times New Roman" w:hAnsi="Times New Roman" w:hint="eastAsia"/>
          <w:sz w:val="24"/>
        </w:rPr>
        <w:t>在编制组编制过程中，考虑到各家参编单位在充填制备方面的</w:t>
      </w:r>
      <w:r w:rsidR="002B49BC">
        <w:rPr>
          <w:rFonts w:ascii="Times New Roman" w:hAnsi="Times New Roman" w:hint="eastAsia"/>
          <w:sz w:val="24"/>
        </w:rPr>
        <w:t>设计、</w:t>
      </w:r>
      <w:r>
        <w:rPr>
          <w:rFonts w:ascii="Times New Roman" w:hAnsi="Times New Roman" w:hint="eastAsia"/>
          <w:sz w:val="24"/>
        </w:rPr>
        <w:t>生产、运营经验，调整了部分编制单位，</w:t>
      </w:r>
      <w:r w:rsidR="001A2703">
        <w:rPr>
          <w:rFonts w:ascii="Times New Roman" w:hAnsi="Times New Roman" w:hint="eastAsia"/>
          <w:sz w:val="24"/>
        </w:rPr>
        <w:t>增加了</w:t>
      </w:r>
      <w:r w:rsidR="001A2703" w:rsidRPr="00731ED6">
        <w:rPr>
          <w:rFonts w:hint="eastAsia"/>
        </w:rPr>
        <w:t>宝武资源有限公司、金川集团股份有限公司、云南磷化集团有限公司、国城矿业股份有限公司</w:t>
      </w:r>
      <w:r w:rsidR="001A2703">
        <w:rPr>
          <w:rFonts w:hint="eastAsia"/>
        </w:rPr>
        <w:t>，</w:t>
      </w:r>
      <w:r>
        <w:rPr>
          <w:rFonts w:ascii="Times New Roman" w:hAnsi="Times New Roman" w:hint="eastAsia"/>
          <w:sz w:val="24"/>
        </w:rPr>
        <w:t>调整后的编制单位情况如下：</w:t>
      </w:r>
    </w:p>
    <w:p w:rsidR="00731ED6" w:rsidRPr="00731ED6" w:rsidRDefault="00731ED6" w:rsidP="00731ED6">
      <w:pPr>
        <w:pStyle w:val="a1"/>
      </w:pPr>
      <w:r w:rsidRPr="00731ED6">
        <w:rPr>
          <w:rFonts w:hint="eastAsia"/>
        </w:rPr>
        <w:t>中国恩菲工程技术有限公司、长沙矿山研究院有限责任公司、云南驰宏锌锗股份有限公司、北方矿业有限责任公司、鞍钢矿业集团有限公司、矿冶科技集团有限公司、招金矿业股份有限公司、大冶有色金属集团控股有限公司、北京科技大学、宝武资源有限公司、金川集团股份有限公司、江西铜业集团银山矿业有限责任公司、云南磷化集团有限公司、铜陵有色金属集团股份有限公司冬瓜山铜矿、香格里拉市云矿红牛矿业有限公司、国城矿业股份有限公司</w:t>
      </w:r>
      <w:r>
        <w:rPr>
          <w:rFonts w:hint="eastAsia"/>
        </w:rPr>
        <w:t>。</w:t>
      </w:r>
    </w:p>
    <w:p w:rsidR="00865F04" w:rsidRDefault="00D6044F">
      <w:pPr>
        <w:pStyle w:val="2"/>
        <w:numPr>
          <w:ilvl w:val="0"/>
          <w:numId w:val="1"/>
        </w:numPr>
        <w:spacing w:before="156" w:after="156"/>
        <w:rPr>
          <w:szCs w:val="24"/>
        </w:rPr>
      </w:pPr>
      <w:bookmarkStart w:id="4" w:name="_Toc100587284"/>
      <w:r>
        <w:rPr>
          <w:szCs w:val="24"/>
        </w:rPr>
        <w:lastRenderedPageBreak/>
        <w:t>主要参加单位和工作人员及其所作工作</w:t>
      </w:r>
      <w:bookmarkEnd w:id="4"/>
    </w:p>
    <w:p w:rsidR="00865F04" w:rsidRDefault="00D6044F">
      <w:pPr>
        <w:pStyle w:val="5"/>
        <w:ind w:firstLine="480"/>
        <w:rPr>
          <w:b w:val="0"/>
        </w:rPr>
      </w:pPr>
      <w:r>
        <w:rPr>
          <w:b w:val="0"/>
        </w:rPr>
        <w:t>2.1</w:t>
      </w:r>
      <w:r>
        <w:rPr>
          <w:b w:val="0"/>
        </w:rPr>
        <w:t>主要参加单位情况</w:t>
      </w:r>
    </w:p>
    <w:p w:rsidR="00865F04" w:rsidRDefault="00614696">
      <w:pPr>
        <w:ind w:firstLine="420"/>
      </w:pPr>
      <w:hyperlink r:id="rId18" w:tgtFrame="_blank" w:history="1">
        <w:r w:rsidR="00D6044F">
          <w:t>中国恩菲工程技术有限公司</w:t>
        </w:r>
      </w:hyperlink>
      <w:r w:rsidR="00D6044F">
        <w:t>（简称</w:t>
      </w:r>
      <w:r w:rsidR="00D6044F">
        <w:t>“</w:t>
      </w:r>
      <w:r w:rsidR="00D6044F">
        <w:t>中国恩菲</w:t>
      </w:r>
      <w:r w:rsidR="00D6044F">
        <w:t>”</w:t>
      </w:r>
      <w:r w:rsidR="00D6044F">
        <w:t>，英文简称</w:t>
      </w:r>
      <w:r w:rsidR="00D6044F">
        <w:t>ENFI</w:t>
      </w:r>
      <w:r w:rsidR="00D6044F">
        <w:t>）是中国有色工程设计研究总院（简称</w:t>
      </w:r>
      <w:hyperlink r:id="rId19" w:tgtFrame="_blank" w:history="1">
        <w:r w:rsidR="00D6044F">
          <w:t>恩菲</w:t>
        </w:r>
      </w:hyperlink>
      <w:r w:rsidR="00D6044F">
        <w:t>）按照</w:t>
      </w:r>
      <w:hyperlink r:id="rId20" w:tgtFrame="_blank" w:history="1">
        <w:r w:rsidR="00D6044F">
          <w:t>股权多元化</w:t>
        </w:r>
      </w:hyperlink>
      <w:hyperlink r:id="rId21" w:tgtFrame="_blank" w:history="1">
        <w:r w:rsidR="00D6044F">
          <w:t>现代企业制度</w:t>
        </w:r>
      </w:hyperlink>
      <w:r w:rsidR="00D6044F">
        <w:t>设立的国际化工程公司。</w:t>
      </w:r>
    </w:p>
    <w:p w:rsidR="00865F04" w:rsidRDefault="00D6044F">
      <w:pPr>
        <w:ind w:firstLine="420"/>
      </w:pPr>
      <w:r>
        <w:t>中国有色工程设计研究总院成立于</w:t>
      </w:r>
      <w:r>
        <w:t>1953</w:t>
      </w:r>
      <w:r>
        <w:t>年，是新中国成立后，为恢复和发展我国</w:t>
      </w:r>
      <w:hyperlink r:id="rId22" w:tgtFrame="_blank" w:history="1">
        <w:r>
          <w:t>有色金属工业</w:t>
        </w:r>
      </w:hyperlink>
      <w:r>
        <w:t>而设立的一家专业设计机构，其先后隶属于重工业部、冶金工业部、</w:t>
      </w:r>
      <w:hyperlink r:id="rId23" w:tgtFrame="_blank" w:history="1">
        <w:r>
          <w:t>中国有色金属工业总公司</w:t>
        </w:r>
      </w:hyperlink>
      <w:r>
        <w:t>、国资委等，现为</w:t>
      </w:r>
      <w:hyperlink r:id="rId24" w:tgtFrame="_blank" w:history="1">
        <w:r>
          <w:t>中国冶金科工集团公司</w:t>
        </w:r>
      </w:hyperlink>
      <w:r>
        <w:t>（简称</w:t>
      </w:r>
      <w:r>
        <w:t>“</w:t>
      </w:r>
      <w:hyperlink r:id="rId25" w:tgtFrame="_blank" w:history="1">
        <w:r>
          <w:t>中冶集团</w:t>
        </w:r>
      </w:hyperlink>
      <w:r>
        <w:t>”</w:t>
      </w:r>
      <w:r>
        <w:t>，英文简称</w:t>
      </w:r>
      <w:r>
        <w:t>MCC</w:t>
      </w:r>
      <w:r>
        <w:t>）的全资子公司。</w:t>
      </w:r>
      <w:r>
        <w:rPr>
          <w:rFonts w:hint="eastAsia"/>
        </w:rPr>
        <w:t>中国恩菲是有色行业唯一一家承担国家发改委咨询评估任务的工程咨询机构，拥有有色行业唯一的工程设计综合甲级资质，可承接</w:t>
      </w:r>
      <w:r>
        <w:rPr>
          <w:rFonts w:hint="eastAsia"/>
        </w:rPr>
        <w:t>21</w:t>
      </w:r>
      <w:r>
        <w:rPr>
          <w:rFonts w:hint="eastAsia"/>
        </w:rPr>
        <w:t>个行业所有工程咨询设计业务，承揽施工总承包一级资质证书许可范围内的工程总承包、工程项目管理和相关技术、咨询和管理服务。同时，中国恩菲还拥有工程咨询（甲级）、工程监理（甲级）、环境影响评价（甲级）、招标代理（乙级）等各项资质证书，是我国有色金属行业拥有资质等级最高和资质范围最广的咨询设计企业之一。</w:t>
      </w:r>
    </w:p>
    <w:p w:rsidR="00865F04" w:rsidRDefault="00D6044F">
      <w:pPr>
        <w:ind w:firstLine="420"/>
      </w:pPr>
      <w:r>
        <w:t>中国恩菲</w:t>
      </w:r>
      <w:r>
        <w:rPr>
          <w:rFonts w:hint="eastAsia"/>
        </w:rPr>
        <w:t>先后设计建成国内多个大型充填系统，在充填智能化方面，近年实施的会泽铅锌矿“一键式充填”项目取得了良好的效果。中国恩菲牵头编制《有色金属行业智能冶炼工厂建设指南》、参编《有色金属行业智能矿山建设指南（试行）》、《全尾砂膏体充填技术规范》、入围成为《</w:t>
      </w:r>
      <w:r>
        <w:rPr>
          <w:rFonts w:hint="eastAsia"/>
        </w:rPr>
        <w:t>2020</w:t>
      </w:r>
      <w:r>
        <w:rPr>
          <w:rFonts w:hint="eastAsia"/>
        </w:rPr>
        <w:t>年智能制造系统解决方案供应商》“智能工厂集成</w:t>
      </w:r>
      <w:r>
        <w:rPr>
          <w:rFonts w:hint="eastAsia"/>
        </w:rPr>
        <w:t>-</w:t>
      </w:r>
      <w:r>
        <w:rPr>
          <w:rFonts w:hint="eastAsia"/>
        </w:rPr>
        <w:t>黑色和有色金属”供应商，具备开展充填系统设计、充填装备集成、智能矿山规划、绿色矿山咨询等相关服务能力以及标准编制能力。</w:t>
      </w:r>
      <w:r>
        <w:t>在标准的编制过程中，能积极主动收集国内</w:t>
      </w:r>
      <w:r>
        <w:rPr>
          <w:rFonts w:hint="eastAsia"/>
        </w:rPr>
        <w:t>智能充填</w:t>
      </w:r>
      <w:r>
        <w:t>行业相关标准，找一些有代表性的</w:t>
      </w:r>
      <w:r>
        <w:rPr>
          <w:rFonts w:hint="eastAsia"/>
        </w:rPr>
        <w:t>充填</w:t>
      </w:r>
      <w:r>
        <w:t>企业进行调研并收集相关数据。公司能够带领编制组成员单位认真细致的修改标准文本，征求多家企业的修改意见，最终带领编制组完成标准的编制工作。</w:t>
      </w:r>
    </w:p>
    <w:p w:rsidR="00865F04" w:rsidRDefault="00D6044F">
      <w:pPr>
        <w:ind w:firstLine="420"/>
      </w:pPr>
      <w:r w:rsidRPr="009254ED">
        <w:rPr>
          <w:rFonts w:hint="eastAsia"/>
        </w:rPr>
        <w:t>其他参编单位简介</w:t>
      </w:r>
      <w:r w:rsidR="009254ED">
        <w:rPr>
          <w:rFonts w:hint="eastAsia"/>
        </w:rPr>
        <w:t>：</w:t>
      </w:r>
    </w:p>
    <w:p w:rsidR="00EF71DE" w:rsidRPr="00EF71DE" w:rsidRDefault="00874366" w:rsidP="00EF71DE">
      <w:pPr>
        <w:pStyle w:val="afb"/>
        <w:spacing w:before="0" w:beforeAutospacing="0" w:after="150" w:afterAutospacing="0" w:line="462" w:lineRule="atLeast"/>
        <w:ind w:firstLine="360"/>
        <w:jc w:val="both"/>
        <w:rPr>
          <w:rFonts w:ascii="Arial" w:hAnsi="Arial" w:cs="Times New Roman"/>
          <w:kern w:val="2"/>
          <w:sz w:val="21"/>
        </w:rPr>
      </w:pPr>
      <w:r w:rsidRPr="00EF71DE">
        <w:rPr>
          <w:rFonts w:ascii="Arial" w:hAnsi="Arial" w:cs="Times New Roman" w:hint="eastAsia"/>
          <w:kern w:val="2"/>
          <w:sz w:val="21"/>
        </w:rPr>
        <w:t>长沙矿山研究院有限责任公司</w:t>
      </w:r>
      <w:r w:rsidR="00EC7A13" w:rsidRPr="00EF71DE">
        <w:rPr>
          <w:rFonts w:ascii="Arial" w:hAnsi="Arial" w:cs="Times New Roman" w:hint="eastAsia"/>
          <w:kern w:val="2"/>
          <w:sz w:val="21"/>
        </w:rPr>
        <w:t>（以下简称：长矿院）位于风景秀美的岳麓山下、湘江之畔，占地面积</w:t>
      </w:r>
      <w:r w:rsidR="00EC7A13" w:rsidRPr="00EF71DE">
        <w:rPr>
          <w:rFonts w:ascii="Arial" w:hAnsi="Arial" w:cs="Times New Roman" w:hint="eastAsia"/>
          <w:kern w:val="2"/>
          <w:sz w:val="21"/>
        </w:rPr>
        <w:t>17</w:t>
      </w:r>
      <w:r w:rsidR="00EC7A13" w:rsidRPr="00EF71DE">
        <w:rPr>
          <w:rFonts w:ascii="Arial" w:hAnsi="Arial" w:cs="Times New Roman" w:hint="eastAsia"/>
          <w:kern w:val="2"/>
          <w:sz w:val="21"/>
        </w:rPr>
        <w:t>万平方米。长矿院于</w:t>
      </w:r>
      <w:r w:rsidR="00EC7A13" w:rsidRPr="00EF71DE">
        <w:rPr>
          <w:rFonts w:ascii="Arial" w:hAnsi="Arial" w:cs="Times New Roman" w:hint="eastAsia"/>
          <w:kern w:val="2"/>
          <w:sz w:val="21"/>
        </w:rPr>
        <w:t>1956</w:t>
      </w:r>
      <w:r w:rsidR="00EC7A13" w:rsidRPr="00EF71DE">
        <w:rPr>
          <w:rFonts w:ascii="Arial" w:hAnsi="Arial" w:cs="Times New Roman" w:hint="eastAsia"/>
          <w:kern w:val="2"/>
          <w:sz w:val="21"/>
        </w:rPr>
        <w:t>年按照我国第一个十二年科技发展规划进行组建，隶属于冶金工业部。</w:t>
      </w:r>
      <w:r w:rsidR="00EC7A13" w:rsidRPr="00EF71DE">
        <w:rPr>
          <w:rFonts w:ascii="Arial" w:hAnsi="Arial" w:cs="Times New Roman" w:hint="eastAsia"/>
          <w:kern w:val="2"/>
          <w:sz w:val="21"/>
        </w:rPr>
        <w:t>1983</w:t>
      </w:r>
      <w:r w:rsidR="00EC7A13" w:rsidRPr="00EF71DE">
        <w:rPr>
          <w:rFonts w:ascii="Arial" w:hAnsi="Arial" w:cs="Times New Roman" w:hint="eastAsia"/>
          <w:kern w:val="2"/>
          <w:sz w:val="21"/>
        </w:rPr>
        <w:t>年</w:t>
      </w:r>
      <w:r w:rsidR="00EC7A13" w:rsidRPr="00EF71DE">
        <w:rPr>
          <w:rFonts w:ascii="Arial" w:hAnsi="Arial" w:cs="Times New Roman" w:hint="eastAsia"/>
          <w:kern w:val="2"/>
          <w:sz w:val="21"/>
        </w:rPr>
        <w:t>4</w:t>
      </w:r>
      <w:r w:rsidR="00EC7A13" w:rsidRPr="00EF71DE">
        <w:rPr>
          <w:rFonts w:ascii="Arial" w:hAnsi="Arial" w:cs="Times New Roman" w:hint="eastAsia"/>
          <w:kern w:val="2"/>
          <w:sz w:val="21"/>
        </w:rPr>
        <w:t>月，划归原中国有色金属工业总公司管理。</w:t>
      </w:r>
      <w:r w:rsidR="00EC7A13" w:rsidRPr="00EF71DE">
        <w:rPr>
          <w:rFonts w:ascii="Arial" w:hAnsi="Arial" w:cs="Times New Roman" w:hint="eastAsia"/>
          <w:kern w:val="2"/>
          <w:sz w:val="21"/>
        </w:rPr>
        <w:t>1999</w:t>
      </w:r>
      <w:r w:rsidR="00EC7A13" w:rsidRPr="00EF71DE">
        <w:rPr>
          <w:rFonts w:ascii="Arial" w:hAnsi="Arial" w:cs="Times New Roman" w:hint="eastAsia"/>
          <w:kern w:val="2"/>
          <w:sz w:val="21"/>
        </w:rPr>
        <w:t>年，作为第一批转制科研院所，长矿院转制为科技型企业。</w:t>
      </w:r>
      <w:r w:rsidR="00EC7A13" w:rsidRPr="00EF71DE">
        <w:rPr>
          <w:rFonts w:ascii="Arial" w:hAnsi="Arial" w:cs="Times New Roman" w:hint="eastAsia"/>
          <w:kern w:val="2"/>
          <w:sz w:val="21"/>
        </w:rPr>
        <w:t>2000</w:t>
      </w:r>
      <w:r w:rsidR="00EC7A13" w:rsidRPr="00EF71DE">
        <w:rPr>
          <w:rFonts w:ascii="Arial" w:hAnsi="Arial" w:cs="Times New Roman" w:hint="eastAsia"/>
          <w:kern w:val="2"/>
          <w:sz w:val="21"/>
        </w:rPr>
        <w:t>年</w:t>
      </w:r>
      <w:r w:rsidR="00EC7A13" w:rsidRPr="00EF71DE">
        <w:rPr>
          <w:rFonts w:ascii="Arial" w:hAnsi="Arial" w:cs="Times New Roman" w:hint="eastAsia"/>
          <w:kern w:val="2"/>
          <w:sz w:val="21"/>
        </w:rPr>
        <w:t>7</w:t>
      </w:r>
      <w:r w:rsidR="00EC7A13" w:rsidRPr="00EF71DE">
        <w:rPr>
          <w:rFonts w:ascii="Arial" w:hAnsi="Arial" w:cs="Times New Roman" w:hint="eastAsia"/>
          <w:kern w:val="2"/>
          <w:sz w:val="21"/>
        </w:rPr>
        <w:t>月，下放湖南省管理。</w:t>
      </w:r>
      <w:r w:rsidR="00EC7A13" w:rsidRPr="00EF71DE">
        <w:rPr>
          <w:rFonts w:ascii="Arial" w:hAnsi="Arial" w:cs="Times New Roman" w:hint="eastAsia"/>
          <w:kern w:val="2"/>
          <w:sz w:val="21"/>
        </w:rPr>
        <w:t>2004</w:t>
      </w:r>
      <w:r w:rsidR="00EC7A13" w:rsidRPr="00EF71DE">
        <w:rPr>
          <w:rFonts w:ascii="Arial" w:hAnsi="Arial" w:cs="Times New Roman" w:hint="eastAsia"/>
          <w:kern w:val="2"/>
          <w:sz w:val="21"/>
        </w:rPr>
        <w:t>年</w:t>
      </w:r>
      <w:r w:rsidR="00EC7A13" w:rsidRPr="00EF71DE">
        <w:rPr>
          <w:rFonts w:ascii="Arial" w:hAnsi="Arial" w:cs="Times New Roman" w:hint="eastAsia"/>
          <w:kern w:val="2"/>
          <w:sz w:val="21"/>
        </w:rPr>
        <w:t>9</w:t>
      </w:r>
      <w:r w:rsidR="00EC7A13" w:rsidRPr="00EF71DE">
        <w:rPr>
          <w:rFonts w:ascii="Arial" w:hAnsi="Arial" w:cs="Times New Roman" w:hint="eastAsia"/>
          <w:kern w:val="2"/>
          <w:sz w:val="21"/>
        </w:rPr>
        <w:t>月，进入湖南有色金属控股集团有限公司（以下简称：湖南有色）。</w:t>
      </w:r>
      <w:r w:rsidR="00EC7A13" w:rsidRPr="00EF71DE">
        <w:rPr>
          <w:rFonts w:ascii="Arial" w:hAnsi="Arial" w:cs="Times New Roman" w:hint="eastAsia"/>
          <w:kern w:val="2"/>
          <w:sz w:val="21"/>
        </w:rPr>
        <w:t>2010</w:t>
      </w:r>
      <w:r w:rsidR="00EC7A13" w:rsidRPr="00EF71DE">
        <w:rPr>
          <w:rFonts w:ascii="Arial" w:hAnsi="Arial" w:cs="Times New Roman" w:hint="eastAsia"/>
          <w:kern w:val="2"/>
          <w:sz w:val="21"/>
        </w:rPr>
        <w:t>年，长矿院进入中国五矿集团有限公司（以下简称：中国五矿），</w:t>
      </w:r>
      <w:r w:rsidR="00EC7A13" w:rsidRPr="00EF71DE">
        <w:rPr>
          <w:rFonts w:ascii="Arial" w:hAnsi="Arial" w:cs="Times New Roman" w:hint="eastAsia"/>
          <w:kern w:val="2"/>
          <w:sz w:val="21"/>
        </w:rPr>
        <w:t>2011</w:t>
      </w:r>
      <w:r w:rsidR="00EC7A13" w:rsidRPr="00EF71DE">
        <w:rPr>
          <w:rFonts w:ascii="Arial" w:hAnsi="Arial" w:cs="Times New Roman" w:hint="eastAsia"/>
          <w:kern w:val="2"/>
          <w:sz w:val="21"/>
        </w:rPr>
        <w:t>年</w:t>
      </w:r>
      <w:r w:rsidR="00EC7A13" w:rsidRPr="00EF71DE">
        <w:rPr>
          <w:rFonts w:ascii="Arial" w:hAnsi="Arial" w:cs="Times New Roman" w:hint="eastAsia"/>
          <w:kern w:val="2"/>
          <w:sz w:val="21"/>
        </w:rPr>
        <w:t>10</w:t>
      </w:r>
      <w:r w:rsidR="00EC7A13" w:rsidRPr="00EF71DE">
        <w:rPr>
          <w:rFonts w:ascii="Arial" w:hAnsi="Arial" w:cs="Times New Roman" w:hint="eastAsia"/>
          <w:kern w:val="2"/>
          <w:sz w:val="21"/>
        </w:rPr>
        <w:t>月</w:t>
      </w:r>
      <w:r w:rsidR="00EC7A13" w:rsidRPr="00EF71DE">
        <w:rPr>
          <w:rFonts w:ascii="Arial" w:hAnsi="Arial" w:cs="Times New Roman" w:hint="eastAsia"/>
          <w:kern w:val="2"/>
          <w:sz w:val="21"/>
        </w:rPr>
        <w:t>31</w:t>
      </w:r>
      <w:r w:rsidR="00EC7A13" w:rsidRPr="00EF71DE">
        <w:rPr>
          <w:rFonts w:ascii="Arial" w:hAnsi="Arial" w:cs="Times New Roman" w:hint="eastAsia"/>
          <w:kern w:val="2"/>
          <w:sz w:val="21"/>
        </w:rPr>
        <w:t>日，根据中国五矿的整体部署，更名为长沙矿山研究院有限责任公司。</w:t>
      </w:r>
      <w:r w:rsidR="00EC7A13" w:rsidRPr="00EF71DE">
        <w:rPr>
          <w:rFonts w:ascii="Arial" w:hAnsi="Arial" w:cs="Times New Roman" w:hint="eastAsia"/>
          <w:kern w:val="2"/>
          <w:sz w:val="21"/>
        </w:rPr>
        <w:t>2018</w:t>
      </w:r>
      <w:r w:rsidR="00EC7A13" w:rsidRPr="00EF71DE">
        <w:rPr>
          <w:rFonts w:ascii="Arial" w:hAnsi="Arial" w:cs="Times New Roman" w:hint="eastAsia"/>
          <w:kern w:val="2"/>
          <w:sz w:val="21"/>
        </w:rPr>
        <w:t>年，根据中国五矿的整体部署，</w:t>
      </w:r>
      <w:r w:rsidR="00EC7A13" w:rsidRPr="00EF71DE">
        <w:rPr>
          <w:rFonts w:ascii="Arial" w:hAnsi="Arial" w:cs="Times New Roman" w:hint="eastAsia"/>
          <w:kern w:val="2"/>
          <w:sz w:val="21"/>
        </w:rPr>
        <w:lastRenderedPageBreak/>
        <w:t>长矿院划归中国冶金科工集团所属中国有色工程有限公司管理，为中国五矿一类重要骨干子企业。</w:t>
      </w:r>
      <w:r w:rsidR="00EF71DE" w:rsidRPr="00EF71DE">
        <w:rPr>
          <w:rFonts w:ascii="Arial" w:hAnsi="Arial" w:cs="Times New Roman" w:hint="eastAsia"/>
          <w:kern w:val="2"/>
          <w:sz w:val="21"/>
        </w:rPr>
        <w:t>至今已设计、新建和改造了</w:t>
      </w:r>
      <w:r w:rsidR="00EF71DE" w:rsidRPr="00EF71DE">
        <w:rPr>
          <w:rFonts w:ascii="Arial" w:hAnsi="Arial" w:cs="Times New Roman" w:hint="eastAsia"/>
          <w:kern w:val="2"/>
          <w:sz w:val="21"/>
        </w:rPr>
        <w:t>200</w:t>
      </w:r>
      <w:r w:rsidR="00EF71DE" w:rsidRPr="00EF71DE">
        <w:rPr>
          <w:rFonts w:ascii="Arial" w:hAnsi="Arial" w:cs="Times New Roman" w:hint="eastAsia"/>
          <w:kern w:val="2"/>
          <w:sz w:val="21"/>
        </w:rPr>
        <w:t>余套充填系统，研发并建成了生产能力</w:t>
      </w:r>
      <w:r w:rsidR="00EF71DE" w:rsidRPr="00EF71DE">
        <w:rPr>
          <w:rFonts w:ascii="Arial" w:hAnsi="Arial" w:cs="Times New Roman" w:hint="eastAsia"/>
          <w:kern w:val="2"/>
          <w:sz w:val="21"/>
        </w:rPr>
        <w:t>8~220m</w:t>
      </w:r>
      <w:r w:rsidR="00EF71DE" w:rsidRPr="00EF71DE">
        <w:rPr>
          <w:rFonts w:ascii="Arial" w:hAnsi="Arial" w:cs="Times New Roman" w:hint="eastAsia"/>
          <w:kern w:val="2"/>
          <w:sz w:val="21"/>
        </w:rPr>
        <w:t>³</w:t>
      </w:r>
      <w:r w:rsidR="00EF71DE" w:rsidRPr="00EF71DE">
        <w:rPr>
          <w:rFonts w:ascii="Arial" w:hAnsi="Arial" w:cs="Times New Roman" w:hint="eastAsia"/>
          <w:kern w:val="2"/>
          <w:sz w:val="21"/>
        </w:rPr>
        <w:t>/h</w:t>
      </w:r>
      <w:r w:rsidR="00EF71DE" w:rsidRPr="00EF71DE">
        <w:rPr>
          <w:rFonts w:ascii="Arial" w:hAnsi="Arial" w:cs="Times New Roman" w:hint="eastAsia"/>
          <w:kern w:val="2"/>
          <w:sz w:val="21"/>
        </w:rPr>
        <w:t>流量的系列充填系统，全面满足大、中和小等各型矿山需求。开发了碎石</w:t>
      </w:r>
      <w:r w:rsidR="00EF71DE" w:rsidRPr="00EF71DE">
        <w:rPr>
          <w:rFonts w:ascii="Arial" w:hAnsi="Arial" w:cs="Times New Roman" w:hint="eastAsia"/>
          <w:kern w:val="2"/>
          <w:sz w:val="21"/>
        </w:rPr>
        <w:t>/</w:t>
      </w:r>
      <w:r w:rsidR="00EF71DE" w:rsidRPr="00EF71DE">
        <w:rPr>
          <w:rFonts w:ascii="Arial" w:hAnsi="Arial" w:cs="Times New Roman" w:hint="eastAsia"/>
          <w:kern w:val="2"/>
          <w:sz w:val="21"/>
        </w:rPr>
        <w:t>人造砂</w:t>
      </w:r>
      <w:r w:rsidR="00EF71DE" w:rsidRPr="00EF71DE">
        <w:rPr>
          <w:rFonts w:ascii="Arial" w:hAnsi="Arial" w:cs="Times New Roman" w:hint="eastAsia"/>
          <w:kern w:val="2"/>
          <w:sz w:val="21"/>
        </w:rPr>
        <w:t>/</w:t>
      </w:r>
      <w:r w:rsidR="00EF71DE" w:rsidRPr="00EF71DE">
        <w:rPr>
          <w:rFonts w:ascii="Arial" w:hAnsi="Arial" w:cs="Times New Roman" w:hint="eastAsia"/>
          <w:kern w:val="2"/>
          <w:sz w:val="21"/>
        </w:rPr>
        <w:t>戈壁集料充填、全尾砂稳态结构流体胶结充填、膏体自流</w:t>
      </w:r>
      <w:r w:rsidR="00EF71DE" w:rsidRPr="00EF71DE">
        <w:rPr>
          <w:rFonts w:ascii="Arial" w:hAnsi="Arial" w:cs="Times New Roman" w:hint="eastAsia"/>
          <w:kern w:val="2"/>
          <w:sz w:val="21"/>
        </w:rPr>
        <w:t>/</w:t>
      </w:r>
      <w:r w:rsidR="00EF71DE" w:rsidRPr="00EF71DE">
        <w:rPr>
          <w:rFonts w:ascii="Arial" w:hAnsi="Arial" w:cs="Times New Roman" w:hint="eastAsia"/>
          <w:kern w:val="2"/>
          <w:sz w:val="21"/>
        </w:rPr>
        <w:t>泵送系统充填、赤泥胶结充填、磷石膏无害化胶结充填、无砂仓短流程分级尾砂充填、模块化装配式充填系统等工艺技术及配套充填设备。研发了充填高效胶结剂</w:t>
      </w:r>
      <w:r w:rsidR="00EF71DE" w:rsidRPr="00EF71DE">
        <w:rPr>
          <w:rFonts w:ascii="Arial" w:hAnsi="Arial" w:cs="Times New Roman" w:hint="eastAsia"/>
          <w:kern w:val="2"/>
          <w:sz w:val="21"/>
        </w:rPr>
        <w:t>G</w:t>
      </w:r>
      <w:r w:rsidR="00EF71DE" w:rsidRPr="00EF71DE">
        <w:rPr>
          <w:rFonts w:ascii="Arial" w:hAnsi="Arial" w:cs="Times New Roman" w:hint="eastAsia"/>
          <w:kern w:val="2"/>
          <w:sz w:val="21"/>
        </w:rPr>
        <w:t>料（水泥替代品）、充填强效添加剂等充填专用材料，满足了不同矿山的开采技术和生产需求。有全套自主核心充填装备，包括膏体仓储浓密机，模块集成水泥仓，充填工业泵，高速柔性搅拌机、高速活化搅拌机和双卧轴搅拌机等满足不同充填骨料的搅拌均化设备，风水联动洗管装备、高粘度易结团配料机等全系装备。</w:t>
      </w:r>
    </w:p>
    <w:p w:rsidR="00865F04" w:rsidRPr="00402790" w:rsidRDefault="00874366" w:rsidP="00D93884">
      <w:pPr>
        <w:pStyle w:val="afb"/>
        <w:spacing w:before="0" w:beforeAutospacing="0" w:after="150" w:afterAutospacing="0" w:line="462" w:lineRule="atLeast"/>
        <w:ind w:firstLine="420"/>
        <w:jc w:val="both"/>
        <w:rPr>
          <w:rFonts w:ascii="Arial" w:hAnsi="Arial" w:cs="Times New Roman"/>
          <w:kern w:val="2"/>
          <w:sz w:val="21"/>
        </w:rPr>
      </w:pPr>
      <w:r w:rsidRPr="00402790">
        <w:rPr>
          <w:rFonts w:ascii="Arial" w:hAnsi="Arial" w:cs="Times New Roman" w:hint="eastAsia"/>
          <w:kern w:val="2"/>
          <w:sz w:val="21"/>
        </w:rPr>
        <w:t>云南驰宏锌锗股份有限公司</w:t>
      </w:r>
      <w:r w:rsidR="00D93884" w:rsidRPr="00402790">
        <w:rPr>
          <w:rFonts w:ascii="Arial" w:hAnsi="Arial" w:cs="Times New Roman" w:hint="eastAsia"/>
          <w:kern w:val="2"/>
          <w:sz w:val="21"/>
        </w:rPr>
        <w:t>是一户以铅锌锗产业为主，综合回收稀贵金属，集地质勘探、采矿、选矿、冶炼、化工、深加工、贸易和科研为一体的国有控股上市公司。公司资源品种覆盖铅、锌、锗、银、金等多种有色金属，具有年采选矿石</w:t>
      </w:r>
      <w:r w:rsidR="00D93884" w:rsidRPr="00402790">
        <w:rPr>
          <w:rFonts w:ascii="Arial" w:hAnsi="Arial" w:cs="Times New Roman" w:hint="eastAsia"/>
          <w:kern w:val="2"/>
          <w:sz w:val="21"/>
        </w:rPr>
        <w:t>300</w:t>
      </w:r>
      <w:r w:rsidR="00D93884" w:rsidRPr="00402790">
        <w:rPr>
          <w:rFonts w:ascii="Arial" w:hAnsi="Arial" w:cs="Times New Roman" w:hint="eastAsia"/>
          <w:kern w:val="2"/>
          <w:sz w:val="21"/>
        </w:rPr>
        <w:t>万吨、矿产铅锌金属产能</w:t>
      </w:r>
      <w:r w:rsidR="00D93884" w:rsidRPr="00402790">
        <w:rPr>
          <w:rFonts w:ascii="Arial" w:hAnsi="Arial" w:cs="Times New Roman" w:hint="eastAsia"/>
          <w:kern w:val="2"/>
          <w:sz w:val="21"/>
        </w:rPr>
        <w:t>40</w:t>
      </w:r>
      <w:r w:rsidR="00D93884" w:rsidRPr="00402790">
        <w:rPr>
          <w:rFonts w:ascii="Arial" w:hAnsi="Arial" w:cs="Times New Roman" w:hint="eastAsia"/>
          <w:kern w:val="2"/>
          <w:sz w:val="21"/>
        </w:rPr>
        <w:t>万吨、铅锌冶炼产能</w:t>
      </w:r>
      <w:r w:rsidR="00D93884" w:rsidRPr="00402790">
        <w:rPr>
          <w:rFonts w:ascii="Arial" w:hAnsi="Arial" w:cs="Times New Roman" w:hint="eastAsia"/>
          <w:kern w:val="2"/>
          <w:sz w:val="21"/>
        </w:rPr>
        <w:t>63</w:t>
      </w:r>
      <w:r w:rsidR="00D93884" w:rsidRPr="00402790">
        <w:rPr>
          <w:rFonts w:ascii="Arial" w:hAnsi="Arial" w:cs="Times New Roman" w:hint="eastAsia"/>
          <w:kern w:val="2"/>
          <w:sz w:val="21"/>
        </w:rPr>
        <w:t>万吨、银</w:t>
      </w:r>
      <w:r w:rsidR="00D93884" w:rsidRPr="00402790">
        <w:rPr>
          <w:rFonts w:ascii="Arial" w:hAnsi="Arial" w:cs="Times New Roman" w:hint="eastAsia"/>
          <w:kern w:val="2"/>
          <w:sz w:val="21"/>
        </w:rPr>
        <w:t>150</w:t>
      </w:r>
      <w:r w:rsidR="00D93884" w:rsidRPr="00402790">
        <w:rPr>
          <w:rFonts w:ascii="Arial" w:hAnsi="Arial" w:cs="Times New Roman" w:hint="eastAsia"/>
          <w:kern w:val="2"/>
          <w:sz w:val="21"/>
        </w:rPr>
        <w:t>吨、金</w:t>
      </w:r>
      <w:r w:rsidR="00D93884" w:rsidRPr="00402790">
        <w:rPr>
          <w:rFonts w:ascii="Arial" w:hAnsi="Arial" w:cs="Times New Roman" w:hint="eastAsia"/>
          <w:kern w:val="2"/>
          <w:sz w:val="21"/>
        </w:rPr>
        <w:t>70</w:t>
      </w:r>
      <w:r w:rsidR="00D93884" w:rsidRPr="00402790">
        <w:rPr>
          <w:rFonts w:ascii="Arial" w:hAnsi="Arial" w:cs="Times New Roman" w:hint="eastAsia"/>
          <w:kern w:val="2"/>
          <w:sz w:val="21"/>
        </w:rPr>
        <w:t>千克、锗产品含锗</w:t>
      </w:r>
      <w:r w:rsidR="00D93884" w:rsidRPr="00402790">
        <w:rPr>
          <w:rFonts w:ascii="Arial" w:hAnsi="Arial" w:cs="Times New Roman" w:hint="eastAsia"/>
          <w:kern w:val="2"/>
          <w:sz w:val="21"/>
        </w:rPr>
        <w:t>60</w:t>
      </w:r>
      <w:r w:rsidR="00D93884" w:rsidRPr="00402790">
        <w:rPr>
          <w:rFonts w:ascii="Arial" w:hAnsi="Arial" w:cs="Times New Roman" w:hint="eastAsia"/>
          <w:kern w:val="2"/>
          <w:sz w:val="21"/>
        </w:rPr>
        <w:t>吨，镉、铋、锑等稀贵金属</w:t>
      </w:r>
      <w:r w:rsidR="00D93884" w:rsidRPr="00402790">
        <w:rPr>
          <w:rFonts w:ascii="Arial" w:hAnsi="Arial" w:cs="Times New Roman" w:hint="eastAsia"/>
          <w:kern w:val="2"/>
          <w:sz w:val="21"/>
        </w:rPr>
        <w:t>400</w:t>
      </w:r>
      <w:r w:rsidR="00D93884" w:rsidRPr="00402790">
        <w:rPr>
          <w:rFonts w:ascii="Arial" w:hAnsi="Arial" w:cs="Times New Roman" w:hint="eastAsia"/>
          <w:kern w:val="2"/>
          <w:sz w:val="21"/>
        </w:rPr>
        <w:t>余吨的综合生产能力。</w:t>
      </w:r>
      <w:r w:rsidR="003651F5" w:rsidRPr="00402790">
        <w:rPr>
          <w:rFonts w:ascii="Arial" w:hAnsi="Arial" w:cs="Times New Roman"/>
          <w:kern w:val="2"/>
          <w:sz w:val="21"/>
        </w:rPr>
        <w:t>公司是集探矿、采矿、选矿、冶炼、化工和科研为一体的国家大型企业。拥有矿山厂、麒麟厂两座自备矿山，曲靖和会泽两个生产基地。麒麟厂矿山资源储量大、品位高，富含有价金属，保有工业开采的铅锌金属储量在</w:t>
      </w:r>
      <w:r w:rsidR="003651F5" w:rsidRPr="00402790">
        <w:rPr>
          <w:rFonts w:ascii="Arial" w:hAnsi="Arial" w:cs="Times New Roman"/>
          <w:kern w:val="2"/>
          <w:sz w:val="21"/>
        </w:rPr>
        <w:t>314</w:t>
      </w:r>
      <w:r w:rsidR="003651F5" w:rsidRPr="00402790">
        <w:rPr>
          <w:rFonts w:ascii="Arial" w:hAnsi="Arial" w:cs="Times New Roman"/>
          <w:kern w:val="2"/>
          <w:sz w:val="21"/>
        </w:rPr>
        <w:t>万吨以上，</w:t>
      </w:r>
      <w:hyperlink r:id="rId26" w:tgtFrame="_blank" w:history="1">
        <w:r w:rsidR="003651F5" w:rsidRPr="00402790">
          <w:rPr>
            <w:rFonts w:ascii="Arial" w:hAnsi="Arial" w:cs="Times New Roman"/>
            <w:kern w:val="2"/>
          </w:rPr>
          <w:t>远景储量</w:t>
        </w:r>
      </w:hyperlink>
      <w:r w:rsidR="003651F5" w:rsidRPr="00402790">
        <w:rPr>
          <w:rFonts w:ascii="Arial" w:hAnsi="Arial" w:cs="Times New Roman"/>
          <w:kern w:val="2"/>
          <w:sz w:val="21"/>
        </w:rPr>
        <w:t>预计超过</w:t>
      </w:r>
      <w:r w:rsidR="003651F5" w:rsidRPr="00402790">
        <w:rPr>
          <w:rFonts w:ascii="Arial" w:hAnsi="Arial" w:cs="Times New Roman"/>
          <w:kern w:val="2"/>
          <w:sz w:val="21"/>
        </w:rPr>
        <w:t>600</w:t>
      </w:r>
      <w:r w:rsidR="003651F5" w:rsidRPr="00402790">
        <w:rPr>
          <w:rFonts w:ascii="Arial" w:hAnsi="Arial" w:cs="Times New Roman"/>
          <w:kern w:val="2"/>
          <w:sz w:val="21"/>
        </w:rPr>
        <w:t>万吨。其工艺及装备均采用国内、国际先进、大型化采选及提升运输设备，采用</w:t>
      </w:r>
      <w:r w:rsidR="003651F5" w:rsidRPr="00402790">
        <w:rPr>
          <w:rFonts w:ascii="Arial" w:hAnsi="Arial" w:cs="Times New Roman"/>
          <w:kern w:val="2"/>
          <w:sz w:val="21"/>
        </w:rPr>
        <w:t>DCS</w:t>
      </w:r>
      <w:r w:rsidR="003651F5" w:rsidRPr="00402790">
        <w:rPr>
          <w:rFonts w:ascii="Arial" w:hAnsi="Arial" w:cs="Times New Roman"/>
          <w:kern w:val="2"/>
          <w:sz w:val="21"/>
        </w:rPr>
        <w:t>控制作业，实现了井下、地表三网合一（语音、图像、数据）的矿山智能化信息网和选矿</w:t>
      </w:r>
      <w:hyperlink r:id="rId27" w:tgtFrame="_blank" w:history="1">
        <w:r w:rsidR="003651F5" w:rsidRPr="00402790">
          <w:rPr>
            <w:rFonts w:ascii="Arial" w:hAnsi="Arial" w:cs="Times New Roman"/>
            <w:kern w:val="2"/>
          </w:rPr>
          <w:t>自动化控制</w:t>
        </w:r>
      </w:hyperlink>
      <w:r w:rsidR="003651F5" w:rsidRPr="00402790">
        <w:rPr>
          <w:rFonts w:ascii="Arial" w:hAnsi="Arial" w:cs="Times New Roman"/>
          <w:kern w:val="2"/>
          <w:sz w:val="21"/>
        </w:rPr>
        <w:t>，代表了国内矿山采矿业先进的技术水平。</w:t>
      </w:r>
      <w:r w:rsidR="00402790">
        <w:rPr>
          <w:rFonts w:ascii="Arial" w:hAnsi="Arial" w:cs="Times New Roman" w:hint="eastAsia"/>
          <w:kern w:val="2"/>
          <w:sz w:val="21"/>
        </w:rPr>
        <w:t>会泽分公司充填系统是国内较早实现一键充填先进控制的充填系统</w:t>
      </w:r>
      <w:r w:rsidR="00C3771E">
        <w:rPr>
          <w:rFonts w:ascii="Arial" w:hAnsi="Arial" w:cs="Times New Roman" w:hint="eastAsia"/>
          <w:kern w:val="2"/>
          <w:sz w:val="21"/>
        </w:rPr>
        <w:t>，在充填行业具有代表性意义。</w:t>
      </w:r>
    </w:p>
    <w:p w:rsidR="00865F04" w:rsidRDefault="00D6044F">
      <w:pPr>
        <w:pStyle w:val="5"/>
        <w:ind w:firstLine="480"/>
        <w:rPr>
          <w:b w:val="0"/>
        </w:rPr>
      </w:pPr>
      <w:r>
        <w:rPr>
          <w:b w:val="0"/>
        </w:rPr>
        <w:t>2.2</w:t>
      </w:r>
      <w:r>
        <w:rPr>
          <w:b w:val="0"/>
        </w:rPr>
        <w:t>主要工作人员所负责的工作情况</w:t>
      </w:r>
    </w:p>
    <w:p w:rsidR="00865F04" w:rsidRDefault="00D6044F">
      <w:pPr>
        <w:ind w:firstLine="420"/>
      </w:pPr>
      <w:r w:rsidRPr="00407021">
        <w:t>本标准主要起草人及工作职责见表</w:t>
      </w:r>
      <w:r w:rsidRPr="00407021">
        <w:t>1</w:t>
      </w:r>
      <w:r w:rsidRPr="00407021">
        <w:t>。</w:t>
      </w:r>
    </w:p>
    <w:p w:rsidR="00865F04" w:rsidRDefault="00D6044F">
      <w:pPr>
        <w:pStyle w:val="a1"/>
        <w:ind w:firstLine="422"/>
        <w:jc w:val="center"/>
        <w:rPr>
          <w:rFonts w:ascii="Times New Roman" w:hAnsi="Times New Roman"/>
          <w:szCs w:val="21"/>
        </w:rPr>
      </w:pPr>
      <w:r>
        <w:rPr>
          <w:rFonts w:ascii="Times New Roman" w:hAnsi="Times New Roman"/>
          <w:b/>
          <w:bCs/>
          <w:szCs w:val="21"/>
        </w:rPr>
        <w:t>表</w:t>
      </w:r>
      <w:r>
        <w:rPr>
          <w:rFonts w:ascii="Times New Roman" w:hAnsi="Times New Roman"/>
          <w:b/>
          <w:bCs/>
          <w:szCs w:val="21"/>
        </w:rPr>
        <w:t xml:space="preserve">1 </w:t>
      </w:r>
      <w:r>
        <w:rPr>
          <w:rFonts w:ascii="Times New Roman" w:hAnsi="Times New Roman"/>
          <w:b/>
          <w:bCs/>
          <w:szCs w:val="21"/>
        </w:rPr>
        <w:t>主要起草人及工作职责</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004"/>
      </w:tblGrid>
      <w:tr w:rsidR="00865F04" w:rsidTr="007A08B0">
        <w:tc>
          <w:tcPr>
            <w:tcW w:w="1984" w:type="dxa"/>
            <w:vAlign w:val="center"/>
          </w:tcPr>
          <w:p w:rsidR="00865F04" w:rsidRDefault="00D6044F">
            <w:pPr>
              <w:pStyle w:val="a1"/>
              <w:ind w:firstLineChars="0" w:firstLine="0"/>
              <w:jc w:val="left"/>
              <w:rPr>
                <w:rFonts w:ascii="Times New Roman" w:hAnsi="Times New Roman"/>
                <w:sz w:val="18"/>
                <w:szCs w:val="18"/>
              </w:rPr>
            </w:pPr>
            <w:r>
              <w:rPr>
                <w:rFonts w:ascii="Times New Roman" w:hAnsi="Times New Roman"/>
                <w:sz w:val="18"/>
                <w:szCs w:val="18"/>
              </w:rPr>
              <w:t>起草人</w:t>
            </w:r>
          </w:p>
        </w:tc>
        <w:tc>
          <w:tcPr>
            <w:tcW w:w="6004" w:type="dxa"/>
            <w:vAlign w:val="center"/>
          </w:tcPr>
          <w:p w:rsidR="00865F04" w:rsidRDefault="00D6044F">
            <w:pPr>
              <w:pStyle w:val="a1"/>
              <w:ind w:firstLine="360"/>
              <w:jc w:val="center"/>
              <w:rPr>
                <w:rFonts w:ascii="Times New Roman" w:hAnsi="Times New Roman"/>
                <w:sz w:val="18"/>
                <w:szCs w:val="18"/>
              </w:rPr>
            </w:pPr>
            <w:r>
              <w:rPr>
                <w:rFonts w:ascii="Times New Roman" w:hAnsi="Times New Roman"/>
                <w:sz w:val="18"/>
                <w:szCs w:val="18"/>
              </w:rPr>
              <w:t>工作职责</w:t>
            </w:r>
          </w:p>
        </w:tc>
      </w:tr>
      <w:tr w:rsidR="00865F04" w:rsidTr="007A08B0">
        <w:tc>
          <w:tcPr>
            <w:tcW w:w="1984" w:type="dxa"/>
            <w:vAlign w:val="center"/>
          </w:tcPr>
          <w:p w:rsidR="00865F04" w:rsidRDefault="00D443D7">
            <w:pPr>
              <w:pStyle w:val="a1"/>
              <w:ind w:firstLineChars="0" w:firstLine="0"/>
              <w:jc w:val="left"/>
              <w:rPr>
                <w:rFonts w:ascii="Times New Roman" w:hAnsi="Times New Roman"/>
                <w:sz w:val="18"/>
                <w:szCs w:val="18"/>
              </w:rPr>
            </w:pPr>
            <w:r w:rsidRPr="00D443D7">
              <w:rPr>
                <w:rFonts w:ascii="Times New Roman" w:hAnsi="Times New Roman" w:hint="eastAsia"/>
                <w:sz w:val="18"/>
                <w:szCs w:val="18"/>
              </w:rPr>
              <w:t>施士虎、邵长锋</w:t>
            </w:r>
          </w:p>
        </w:tc>
        <w:tc>
          <w:tcPr>
            <w:tcW w:w="6004" w:type="dxa"/>
            <w:vAlign w:val="center"/>
          </w:tcPr>
          <w:p w:rsidR="00865F04" w:rsidRDefault="00D6044F">
            <w:pPr>
              <w:pStyle w:val="a1"/>
              <w:ind w:firstLineChars="0" w:firstLine="0"/>
              <w:jc w:val="center"/>
              <w:rPr>
                <w:rFonts w:ascii="Times New Roman" w:hAnsi="Times New Roman"/>
                <w:sz w:val="18"/>
                <w:szCs w:val="18"/>
              </w:rPr>
            </w:pPr>
            <w:r>
              <w:rPr>
                <w:rFonts w:ascii="Times New Roman" w:hAnsi="Times New Roman"/>
                <w:sz w:val="18"/>
                <w:szCs w:val="18"/>
              </w:rPr>
              <w:t>负责标准的工作指导、标准的编写及组织协调</w:t>
            </w:r>
          </w:p>
        </w:tc>
      </w:tr>
      <w:tr w:rsidR="00865F04" w:rsidTr="007A08B0">
        <w:trPr>
          <w:trHeight w:val="393"/>
        </w:trPr>
        <w:tc>
          <w:tcPr>
            <w:tcW w:w="1984" w:type="dxa"/>
            <w:vAlign w:val="center"/>
          </w:tcPr>
          <w:p w:rsidR="00865F04" w:rsidRDefault="00D443D7">
            <w:pPr>
              <w:pStyle w:val="a1"/>
              <w:ind w:firstLineChars="0" w:firstLine="0"/>
              <w:jc w:val="left"/>
              <w:rPr>
                <w:rFonts w:ascii="Times New Roman" w:hAnsi="Times New Roman"/>
                <w:sz w:val="18"/>
                <w:szCs w:val="18"/>
              </w:rPr>
            </w:pPr>
            <w:r w:rsidRPr="00D443D7">
              <w:rPr>
                <w:rFonts w:ascii="Times New Roman" w:hAnsi="Times New Roman" w:hint="eastAsia"/>
                <w:sz w:val="18"/>
                <w:szCs w:val="18"/>
              </w:rPr>
              <w:t>寇向宇、茶强华、梁新星、姜桂鹏</w:t>
            </w:r>
          </w:p>
        </w:tc>
        <w:tc>
          <w:tcPr>
            <w:tcW w:w="6004" w:type="dxa"/>
            <w:vAlign w:val="center"/>
          </w:tcPr>
          <w:p w:rsidR="00865F04" w:rsidRDefault="00D6044F">
            <w:pPr>
              <w:pStyle w:val="a1"/>
              <w:ind w:firstLineChars="0" w:firstLine="0"/>
              <w:jc w:val="center"/>
              <w:rPr>
                <w:rFonts w:ascii="Times New Roman" w:hAnsi="Times New Roman"/>
                <w:sz w:val="18"/>
                <w:szCs w:val="18"/>
              </w:rPr>
            </w:pPr>
            <w:r>
              <w:rPr>
                <w:rFonts w:ascii="Times New Roman" w:hAnsi="Times New Roman"/>
                <w:bCs/>
                <w:sz w:val="18"/>
                <w:szCs w:val="18"/>
              </w:rPr>
              <w:t>负责各章节各条款的起草和验证工作</w:t>
            </w:r>
          </w:p>
        </w:tc>
      </w:tr>
      <w:tr w:rsidR="00865F04" w:rsidTr="007A08B0">
        <w:tc>
          <w:tcPr>
            <w:tcW w:w="1984" w:type="dxa"/>
            <w:vAlign w:val="center"/>
          </w:tcPr>
          <w:p w:rsidR="00865F04" w:rsidRDefault="00526E34">
            <w:pPr>
              <w:pStyle w:val="a1"/>
              <w:ind w:firstLineChars="0" w:firstLine="0"/>
              <w:jc w:val="left"/>
              <w:rPr>
                <w:rFonts w:ascii="Times New Roman" w:hAnsi="Times New Roman"/>
                <w:sz w:val="18"/>
                <w:szCs w:val="18"/>
              </w:rPr>
            </w:pPr>
            <w:r w:rsidRPr="00526E34">
              <w:rPr>
                <w:rFonts w:ascii="Times New Roman" w:hAnsi="Times New Roman" w:hint="eastAsia"/>
                <w:sz w:val="18"/>
                <w:szCs w:val="18"/>
              </w:rPr>
              <w:t>石磊、陈亮、张晓龙、赵奕</w:t>
            </w:r>
          </w:p>
        </w:tc>
        <w:tc>
          <w:tcPr>
            <w:tcW w:w="6004" w:type="dxa"/>
            <w:vAlign w:val="center"/>
          </w:tcPr>
          <w:p w:rsidR="00865F04" w:rsidRDefault="00D6044F">
            <w:pPr>
              <w:pStyle w:val="a1"/>
              <w:ind w:firstLineChars="0" w:firstLine="0"/>
              <w:jc w:val="center"/>
              <w:rPr>
                <w:rFonts w:ascii="Times New Roman" w:hAnsi="Times New Roman"/>
                <w:sz w:val="18"/>
                <w:szCs w:val="18"/>
              </w:rPr>
            </w:pPr>
            <w:r>
              <w:rPr>
                <w:rFonts w:ascii="Times New Roman" w:hAnsi="Times New Roman"/>
                <w:bCs/>
                <w:sz w:val="18"/>
                <w:szCs w:val="18"/>
              </w:rPr>
              <w:t>负责标准整体结构及通用技术要求的起草</w:t>
            </w:r>
          </w:p>
        </w:tc>
      </w:tr>
      <w:tr w:rsidR="00865F04" w:rsidTr="007A08B0">
        <w:tc>
          <w:tcPr>
            <w:tcW w:w="1984" w:type="dxa"/>
            <w:vAlign w:val="center"/>
          </w:tcPr>
          <w:p w:rsidR="00865F04" w:rsidRDefault="00D443D7" w:rsidP="00526E34">
            <w:pPr>
              <w:pStyle w:val="a1"/>
              <w:ind w:firstLineChars="0" w:firstLine="0"/>
              <w:jc w:val="left"/>
              <w:rPr>
                <w:rFonts w:ascii="Times New Roman" w:hAnsi="Times New Roman"/>
                <w:sz w:val="18"/>
                <w:szCs w:val="18"/>
              </w:rPr>
            </w:pPr>
            <w:r w:rsidRPr="00D443D7">
              <w:rPr>
                <w:rFonts w:ascii="Times New Roman" w:hAnsi="Times New Roman" w:hint="eastAsia"/>
                <w:sz w:val="18"/>
                <w:szCs w:val="18"/>
              </w:rPr>
              <w:lastRenderedPageBreak/>
              <w:t>丛峰武、张华、胡国斌</w:t>
            </w:r>
          </w:p>
        </w:tc>
        <w:tc>
          <w:tcPr>
            <w:tcW w:w="6004" w:type="dxa"/>
            <w:vAlign w:val="center"/>
          </w:tcPr>
          <w:p w:rsidR="00865F04" w:rsidRDefault="00D6044F">
            <w:pPr>
              <w:pStyle w:val="a1"/>
              <w:ind w:firstLineChars="0" w:firstLine="0"/>
              <w:jc w:val="center"/>
              <w:rPr>
                <w:rFonts w:ascii="Times New Roman" w:hAnsi="Times New Roman"/>
                <w:sz w:val="18"/>
                <w:szCs w:val="18"/>
              </w:rPr>
            </w:pPr>
            <w:r>
              <w:rPr>
                <w:rFonts w:ascii="Times New Roman" w:hAnsi="Times New Roman"/>
                <w:sz w:val="18"/>
                <w:szCs w:val="18"/>
              </w:rPr>
              <w:t>负责提供企业的调研工作和标准部分内容编写</w:t>
            </w:r>
          </w:p>
        </w:tc>
      </w:tr>
      <w:tr w:rsidR="00865F04" w:rsidTr="007A08B0">
        <w:tc>
          <w:tcPr>
            <w:tcW w:w="1984" w:type="dxa"/>
            <w:vAlign w:val="center"/>
          </w:tcPr>
          <w:p w:rsidR="00865F04" w:rsidRDefault="00D443D7" w:rsidP="00526E34">
            <w:pPr>
              <w:pStyle w:val="a1"/>
              <w:ind w:firstLineChars="0" w:firstLine="0"/>
              <w:jc w:val="left"/>
              <w:rPr>
                <w:rFonts w:ascii="Times New Roman" w:hAnsi="Times New Roman"/>
                <w:sz w:val="18"/>
                <w:szCs w:val="18"/>
              </w:rPr>
            </w:pPr>
            <w:r w:rsidRPr="00D443D7">
              <w:rPr>
                <w:rFonts w:ascii="Times New Roman" w:hAnsi="Times New Roman" w:hint="eastAsia"/>
                <w:sz w:val="18"/>
                <w:szCs w:val="18"/>
              </w:rPr>
              <w:t>张建华、吴爱祥、陈轲</w:t>
            </w:r>
          </w:p>
        </w:tc>
        <w:tc>
          <w:tcPr>
            <w:tcW w:w="6004" w:type="dxa"/>
            <w:vAlign w:val="center"/>
          </w:tcPr>
          <w:p w:rsidR="00865F04" w:rsidRDefault="00D6044F">
            <w:pPr>
              <w:pStyle w:val="a1"/>
              <w:ind w:firstLineChars="0" w:firstLine="0"/>
              <w:jc w:val="center"/>
              <w:rPr>
                <w:rFonts w:ascii="Times New Roman" w:hAnsi="Times New Roman"/>
                <w:sz w:val="18"/>
                <w:szCs w:val="18"/>
              </w:rPr>
            </w:pPr>
            <w:r>
              <w:rPr>
                <w:rFonts w:ascii="Times New Roman" w:hAnsi="Times New Roman"/>
                <w:sz w:val="18"/>
                <w:szCs w:val="18"/>
              </w:rPr>
              <w:t>提供理论支持</w:t>
            </w:r>
          </w:p>
        </w:tc>
      </w:tr>
      <w:tr w:rsidR="00865F04" w:rsidTr="007A08B0">
        <w:tc>
          <w:tcPr>
            <w:tcW w:w="1984" w:type="dxa"/>
            <w:vAlign w:val="center"/>
          </w:tcPr>
          <w:p w:rsidR="00865F04" w:rsidRDefault="00D443D7">
            <w:pPr>
              <w:pStyle w:val="a1"/>
              <w:ind w:firstLineChars="0" w:firstLine="0"/>
              <w:jc w:val="left"/>
              <w:rPr>
                <w:rFonts w:ascii="Times New Roman" w:hAnsi="Times New Roman"/>
                <w:sz w:val="18"/>
                <w:szCs w:val="18"/>
              </w:rPr>
            </w:pPr>
            <w:r w:rsidRPr="00D443D7">
              <w:rPr>
                <w:rFonts w:ascii="Times New Roman" w:hAnsi="Times New Roman" w:hint="eastAsia"/>
                <w:sz w:val="18"/>
                <w:szCs w:val="18"/>
              </w:rPr>
              <w:t>苏卫宏、贠二伟、于永纯</w:t>
            </w:r>
          </w:p>
        </w:tc>
        <w:tc>
          <w:tcPr>
            <w:tcW w:w="6004" w:type="dxa"/>
            <w:vAlign w:val="center"/>
          </w:tcPr>
          <w:p w:rsidR="00865F04" w:rsidRDefault="00D6044F">
            <w:pPr>
              <w:pStyle w:val="a1"/>
              <w:ind w:firstLineChars="0" w:firstLine="0"/>
              <w:jc w:val="center"/>
              <w:rPr>
                <w:rFonts w:ascii="Times New Roman" w:hAnsi="Times New Roman"/>
                <w:sz w:val="18"/>
                <w:szCs w:val="18"/>
              </w:rPr>
            </w:pPr>
            <w:r>
              <w:rPr>
                <w:rFonts w:ascii="Times New Roman" w:hAnsi="Times New Roman"/>
                <w:sz w:val="18"/>
                <w:szCs w:val="18"/>
              </w:rPr>
              <w:t>标准编写材料的收集及标准部分内容编写</w:t>
            </w:r>
          </w:p>
        </w:tc>
      </w:tr>
    </w:tbl>
    <w:p w:rsidR="00865F04" w:rsidRDefault="00D6044F">
      <w:pPr>
        <w:pStyle w:val="2"/>
        <w:numPr>
          <w:ilvl w:val="0"/>
          <w:numId w:val="1"/>
        </w:numPr>
        <w:spacing w:before="156" w:after="156"/>
      </w:pPr>
      <w:bookmarkStart w:id="5" w:name="_Toc15134"/>
      <w:bookmarkStart w:id="6" w:name="_Toc100587285"/>
      <w:r>
        <w:t>主要工作过程</w:t>
      </w:r>
      <w:bookmarkEnd w:id="5"/>
      <w:bookmarkEnd w:id="6"/>
    </w:p>
    <w:p w:rsidR="00865F04" w:rsidRDefault="00D6044F">
      <w:pPr>
        <w:pStyle w:val="5"/>
        <w:ind w:firstLine="482"/>
      </w:pPr>
      <w:r>
        <w:t xml:space="preserve">3.1 </w:t>
      </w:r>
      <w:r>
        <w:rPr>
          <w:rFonts w:hint="eastAsia"/>
        </w:rPr>
        <w:t>起草</w:t>
      </w:r>
      <w:r>
        <w:t>阶段</w:t>
      </w:r>
    </w:p>
    <w:p w:rsidR="00865F04" w:rsidRDefault="00D6044F">
      <w:pPr>
        <w:ind w:firstLine="420"/>
      </w:pPr>
      <w:r>
        <w:t>20</w:t>
      </w:r>
      <w:r>
        <w:rPr>
          <w:rFonts w:hint="eastAsia"/>
        </w:rPr>
        <w:t>21</w:t>
      </w:r>
      <w:r>
        <w:t>年</w:t>
      </w:r>
      <w:r>
        <w:rPr>
          <w:rFonts w:hint="eastAsia"/>
        </w:rPr>
        <w:t>9</w:t>
      </w:r>
      <w:r>
        <w:t>月，中国恩菲工程技术有限公司成立了标准编制组，编制组完成前期准备阶段内容，进行了国内有关标准资料调研，完成了标准初步的工作计划以及标准草案。</w:t>
      </w:r>
    </w:p>
    <w:p w:rsidR="00865F04" w:rsidRDefault="00D6044F">
      <w:pPr>
        <w:ind w:firstLine="420"/>
      </w:pPr>
      <w:r>
        <w:t>20</w:t>
      </w:r>
      <w:r>
        <w:rPr>
          <w:rFonts w:hint="eastAsia"/>
        </w:rPr>
        <w:t>21</w:t>
      </w:r>
      <w:r>
        <w:t>年</w:t>
      </w:r>
      <w:r>
        <w:rPr>
          <w:rFonts w:hint="eastAsia"/>
        </w:rPr>
        <w:t>11</w:t>
      </w:r>
      <w:r>
        <w:t>月，中国恩菲工程技术有限公司向全国有色金属标准化委员会提交了《</w:t>
      </w:r>
      <w:r>
        <w:rPr>
          <w:rFonts w:hint="eastAsia"/>
        </w:rPr>
        <w:t>有色</w:t>
      </w:r>
      <w:r>
        <w:t>金属矿山高浓度膏体智能充填系统</w:t>
      </w:r>
      <w:r>
        <w:rPr>
          <w:rFonts w:hint="eastAsia"/>
        </w:rPr>
        <w:t>技术</w:t>
      </w:r>
      <w:r>
        <w:t>规范》标准项目建议书、标准立项论证报告、标准草案等材料。全体委员会议论证结论为同意行业标准立项。</w:t>
      </w:r>
    </w:p>
    <w:p w:rsidR="00865F04" w:rsidRDefault="00D6044F">
      <w:pPr>
        <w:ind w:firstLine="420"/>
      </w:pPr>
      <w:r>
        <w:t>20</w:t>
      </w:r>
      <w:r>
        <w:rPr>
          <w:rFonts w:hint="eastAsia"/>
        </w:rPr>
        <w:t>22</w:t>
      </w:r>
      <w:r>
        <w:t>年</w:t>
      </w:r>
      <w:r>
        <w:rPr>
          <w:rFonts w:hint="eastAsia"/>
        </w:rPr>
        <w:t>2</w:t>
      </w:r>
      <w:r>
        <w:t>月，</w:t>
      </w:r>
      <w:r>
        <w:rPr>
          <w:rFonts w:hint="eastAsia"/>
        </w:rPr>
        <w:t>中国有色金属工业协会、中国有色金属学会</w:t>
      </w:r>
      <w:r>
        <w:t>下达了制定《</w:t>
      </w:r>
      <w:r>
        <w:rPr>
          <w:rFonts w:hint="eastAsia"/>
        </w:rPr>
        <w:t>有色</w:t>
      </w:r>
      <w:r>
        <w:t>金属矿山高浓度膏体智能充填系统</w:t>
      </w:r>
      <w:r>
        <w:rPr>
          <w:rFonts w:hint="eastAsia"/>
        </w:rPr>
        <w:t>技术</w:t>
      </w:r>
      <w:r>
        <w:t>规范》的任务，计划号为</w:t>
      </w:r>
      <w:r>
        <w:t>20</w:t>
      </w:r>
      <w:r>
        <w:rPr>
          <w:rFonts w:hint="eastAsia"/>
        </w:rPr>
        <w:t>22</w:t>
      </w:r>
      <w:r>
        <w:t>-</w:t>
      </w:r>
      <w:r>
        <w:rPr>
          <w:rFonts w:hint="eastAsia"/>
        </w:rPr>
        <w:t>024-</w:t>
      </w:r>
      <w:r>
        <w:t>T</w:t>
      </w:r>
      <w:r>
        <w:rPr>
          <w:rFonts w:hint="eastAsia"/>
        </w:rPr>
        <w:t>/CNIA</w:t>
      </w:r>
      <w:r>
        <w:t>，完成年限为</w:t>
      </w:r>
      <w:r>
        <w:t>202</w:t>
      </w:r>
      <w:r>
        <w:rPr>
          <w:rFonts w:hint="eastAsia"/>
        </w:rPr>
        <w:t>3</w:t>
      </w:r>
      <w:r>
        <w:t>年，技术归口单位为全国有色金属标准化</w:t>
      </w:r>
      <w:r>
        <w:rPr>
          <w:rFonts w:hint="eastAsia"/>
        </w:rPr>
        <w:t>技术</w:t>
      </w:r>
      <w:r>
        <w:t>委员会。</w:t>
      </w:r>
    </w:p>
    <w:p w:rsidR="00865F04" w:rsidRDefault="00D6044F">
      <w:pPr>
        <w:ind w:firstLine="420"/>
      </w:pPr>
      <w:r>
        <w:t>202</w:t>
      </w:r>
      <w:r>
        <w:rPr>
          <w:rFonts w:hint="eastAsia"/>
        </w:rPr>
        <w:t>2</w:t>
      </w:r>
      <w:r>
        <w:t>年</w:t>
      </w:r>
      <w:r>
        <w:rPr>
          <w:rFonts w:hint="eastAsia"/>
        </w:rPr>
        <w:t>4</w:t>
      </w:r>
      <w:r>
        <w:t>月，</w:t>
      </w:r>
      <w:r>
        <w:rPr>
          <w:rFonts w:hint="eastAsia"/>
        </w:rPr>
        <w:t>标准编制工作组确认各成员的工作任务和职责，制定工作计划和进度安排，确定制定原则。</w:t>
      </w:r>
    </w:p>
    <w:p w:rsidR="00865F04" w:rsidRPr="00FF56A2" w:rsidRDefault="00D6044F" w:rsidP="00FF56A2">
      <w:pPr>
        <w:ind w:firstLine="420"/>
      </w:pPr>
      <w:r w:rsidRPr="00FF56A2">
        <w:rPr>
          <w:rFonts w:hint="eastAsia"/>
        </w:rPr>
        <w:t>2022</w:t>
      </w:r>
      <w:r w:rsidRPr="00FF56A2">
        <w:rPr>
          <w:rFonts w:hint="eastAsia"/>
        </w:rPr>
        <w:t>年</w:t>
      </w:r>
      <w:r w:rsidRPr="00FF56A2">
        <w:rPr>
          <w:rFonts w:hint="eastAsia"/>
        </w:rPr>
        <w:t>4</w:t>
      </w:r>
      <w:r w:rsidRPr="00FF56A2">
        <w:rPr>
          <w:rFonts w:hint="eastAsia"/>
        </w:rPr>
        <w:t>月</w:t>
      </w:r>
      <w:r w:rsidRPr="00FF56A2">
        <w:rPr>
          <w:rFonts w:hint="eastAsia"/>
        </w:rPr>
        <w:t>-11</w:t>
      </w:r>
      <w:r w:rsidRPr="00FF56A2">
        <w:rPr>
          <w:rFonts w:hint="eastAsia"/>
        </w:rPr>
        <w:t>月，标准编制工作组开展了标准的编制工作，</w:t>
      </w:r>
      <w:r w:rsidR="000E204A" w:rsidRPr="00FF56A2">
        <w:rPr>
          <w:rFonts w:hint="eastAsia"/>
        </w:rPr>
        <w:t>从文件的的适用范围、规范性文件的引用以及目标与原则、</w:t>
      </w:r>
      <w:r w:rsidR="00FF56A2" w:rsidRPr="00FF56A2">
        <w:rPr>
          <w:rFonts w:hint="eastAsia"/>
        </w:rPr>
        <w:t>生产信息管理等的内容进行了全面的梳理与完善。并对文件的题目进行了微调，由“</w:t>
      </w:r>
      <w:r w:rsidR="00FF56A2">
        <w:rPr>
          <w:rFonts w:hint="eastAsia"/>
        </w:rPr>
        <w:t>有色</w:t>
      </w:r>
      <w:r w:rsidR="00FF56A2">
        <w:t>金属矿山高浓度膏体智能充填系统</w:t>
      </w:r>
      <w:r w:rsidR="00FF56A2">
        <w:rPr>
          <w:rFonts w:hint="eastAsia"/>
        </w:rPr>
        <w:t>技术</w:t>
      </w:r>
      <w:r w:rsidR="00FF56A2">
        <w:t>规范</w:t>
      </w:r>
      <w:r w:rsidR="00FF56A2" w:rsidRPr="00FF56A2">
        <w:rPr>
          <w:rFonts w:hint="eastAsia"/>
        </w:rPr>
        <w:t>”调整为“有色</w:t>
      </w:r>
      <w:r w:rsidR="00FF56A2" w:rsidRPr="00FF56A2">
        <w:t>金属矿山高浓度膏体</w:t>
      </w:r>
      <w:r w:rsidR="00FF56A2" w:rsidRPr="00FF56A2">
        <w:rPr>
          <w:rFonts w:hint="eastAsia"/>
        </w:rPr>
        <w:t>充填智能</w:t>
      </w:r>
      <w:r w:rsidR="00FF56A2" w:rsidRPr="00FF56A2">
        <w:t>系统技术规范</w:t>
      </w:r>
      <w:r w:rsidR="00FF56A2" w:rsidRPr="00FF56A2">
        <w:rPr>
          <w:rFonts w:hint="eastAsia"/>
        </w:rPr>
        <w:t>”</w:t>
      </w:r>
      <w:r w:rsidRPr="00FF56A2">
        <w:rPr>
          <w:rFonts w:hint="eastAsia"/>
        </w:rPr>
        <w:t>并形成了</w:t>
      </w:r>
      <w:r w:rsidR="0072423D" w:rsidRPr="00FF56A2">
        <w:rPr>
          <w:rFonts w:hint="eastAsia"/>
        </w:rPr>
        <w:t>预审</w:t>
      </w:r>
      <w:r w:rsidRPr="00FF56A2">
        <w:rPr>
          <w:rFonts w:hint="eastAsia"/>
        </w:rPr>
        <w:t>稿</w:t>
      </w:r>
      <w:r w:rsidR="00F8628C">
        <w:rPr>
          <w:rFonts w:hint="eastAsia"/>
        </w:rPr>
        <w:t>。</w:t>
      </w:r>
      <w:r w:rsidR="00753B4B" w:rsidRPr="00FF56A2">
        <w:rPr>
          <w:rFonts w:hint="eastAsia"/>
        </w:rPr>
        <w:t>在</w:t>
      </w:r>
      <w:r w:rsidR="00753B4B" w:rsidRPr="00FF56A2">
        <w:rPr>
          <w:rFonts w:hint="eastAsia"/>
        </w:rPr>
        <w:t>2022</w:t>
      </w:r>
      <w:r w:rsidR="00753B4B" w:rsidRPr="00FF56A2">
        <w:rPr>
          <w:rFonts w:hint="eastAsia"/>
        </w:rPr>
        <w:t>年</w:t>
      </w:r>
      <w:r w:rsidR="00753B4B" w:rsidRPr="00FF56A2">
        <w:rPr>
          <w:rFonts w:hint="eastAsia"/>
        </w:rPr>
        <w:t>11</w:t>
      </w:r>
      <w:r w:rsidR="00753B4B" w:rsidRPr="00FF56A2">
        <w:rPr>
          <w:rFonts w:hint="eastAsia"/>
        </w:rPr>
        <w:t>月</w:t>
      </w:r>
      <w:r w:rsidR="00753B4B" w:rsidRPr="00FF56A2">
        <w:rPr>
          <w:rFonts w:hint="eastAsia"/>
        </w:rPr>
        <w:t>15</w:t>
      </w:r>
      <w:r w:rsidR="00753B4B" w:rsidRPr="00FF56A2">
        <w:rPr>
          <w:rFonts w:hint="eastAsia"/>
        </w:rPr>
        <w:t>日在安徽池州开展了预审稿的审查工作</w:t>
      </w:r>
      <w:r w:rsidRPr="00FF56A2">
        <w:rPr>
          <w:rFonts w:hint="eastAsia"/>
        </w:rPr>
        <w:t>。</w:t>
      </w:r>
    </w:p>
    <w:p w:rsidR="00865F04" w:rsidRDefault="00865F04">
      <w:pPr>
        <w:adjustRightInd w:val="0"/>
        <w:snapToGrid w:val="0"/>
        <w:ind w:firstLineChars="0" w:firstLine="0"/>
        <w:rPr>
          <w:rFonts w:ascii="Times New Roman" w:hAnsi="Times New Roman"/>
          <w:sz w:val="24"/>
        </w:rPr>
      </w:pPr>
    </w:p>
    <w:p w:rsidR="00865F04" w:rsidRDefault="00D6044F">
      <w:pPr>
        <w:pStyle w:val="5"/>
        <w:ind w:firstLine="482"/>
      </w:pPr>
      <w:r>
        <w:t>3.</w:t>
      </w:r>
      <w:r>
        <w:rPr>
          <w:rFonts w:hint="eastAsia"/>
        </w:rPr>
        <w:t>2</w:t>
      </w:r>
      <w:r>
        <w:t>征求意见阶段</w:t>
      </w:r>
    </w:p>
    <w:p w:rsidR="00DC6685" w:rsidRPr="000468BD" w:rsidRDefault="00DC6685" w:rsidP="000468BD">
      <w:pPr>
        <w:ind w:firstLine="420"/>
      </w:pPr>
      <w:r w:rsidRPr="000468BD">
        <w:rPr>
          <w:rFonts w:hint="eastAsia"/>
        </w:rPr>
        <w:t>2023</w:t>
      </w:r>
      <w:r w:rsidRPr="000468BD">
        <w:rPr>
          <w:rFonts w:hint="eastAsia"/>
        </w:rPr>
        <w:t>年</w:t>
      </w:r>
      <w:r w:rsidRPr="000468BD">
        <w:rPr>
          <w:rFonts w:hint="eastAsia"/>
        </w:rPr>
        <w:t>2</w:t>
      </w:r>
      <w:r w:rsidRPr="000468BD">
        <w:rPr>
          <w:rFonts w:hint="eastAsia"/>
        </w:rPr>
        <w:t>月，</w:t>
      </w:r>
      <w:r w:rsidR="00AF70A4" w:rsidRPr="000468BD">
        <w:rPr>
          <w:rFonts w:hint="eastAsia"/>
        </w:rPr>
        <w:t>根据预审稿的审查意见，结合编制工作的进一步深入，编制组对文稿的内容又进行了全面的完善</w:t>
      </w:r>
      <w:r w:rsidR="000468BD" w:rsidRPr="000468BD">
        <w:rPr>
          <w:rFonts w:hint="eastAsia"/>
        </w:rPr>
        <w:t>，主要有</w:t>
      </w:r>
      <w:r w:rsidR="00A7179A" w:rsidRPr="000468BD">
        <w:rPr>
          <w:rFonts w:hint="eastAsia"/>
        </w:rPr>
        <w:t>：去掉了文件目录</w:t>
      </w:r>
      <w:r w:rsidR="00A7179A">
        <w:rPr>
          <w:rFonts w:hint="eastAsia"/>
        </w:rPr>
        <w:t>；</w:t>
      </w:r>
      <w:r w:rsidR="00A7179A" w:rsidRPr="000468BD">
        <w:t>规范性引用文件</w:t>
      </w:r>
      <w:r w:rsidR="00A7179A">
        <w:rPr>
          <w:rFonts w:hint="eastAsia"/>
        </w:rPr>
        <w:t>去掉年代号，国标在前，行业标准在后；“</w:t>
      </w:r>
      <w:r w:rsidR="00A7179A" w:rsidRPr="000468BD">
        <w:rPr>
          <w:rFonts w:hint="eastAsia"/>
        </w:rPr>
        <w:t>目标与原则</w:t>
      </w:r>
      <w:r w:rsidR="00A7179A">
        <w:rPr>
          <w:rFonts w:hint="eastAsia"/>
        </w:rPr>
        <w:t>”</w:t>
      </w:r>
      <w:r w:rsidR="00A7179A" w:rsidRPr="000468BD">
        <w:rPr>
          <w:rFonts w:hint="eastAsia"/>
        </w:rPr>
        <w:t>章节放入编制说明；完善了“数据采集要求”章节；调整了“生产信息</w:t>
      </w:r>
      <w:r w:rsidR="00A7179A" w:rsidRPr="000468BD">
        <w:t>管理</w:t>
      </w:r>
      <w:r w:rsidR="00A7179A" w:rsidRPr="000468BD">
        <w:rPr>
          <w:rFonts w:hint="eastAsia"/>
        </w:rPr>
        <w:t>-</w:t>
      </w:r>
      <w:r w:rsidR="00A7179A" w:rsidRPr="000468BD">
        <w:rPr>
          <w:rFonts w:hint="eastAsia"/>
        </w:rPr>
        <w:t>”章节到“智能化应用”之后</w:t>
      </w:r>
      <w:r w:rsidR="000468BD" w:rsidRPr="000468BD">
        <w:rPr>
          <w:rFonts w:hint="eastAsia"/>
        </w:rPr>
        <w:t>；取消了“系统验收”章节</w:t>
      </w:r>
      <w:r w:rsidR="0080310E">
        <w:rPr>
          <w:rFonts w:hint="eastAsia"/>
        </w:rPr>
        <w:t>，</w:t>
      </w:r>
      <w:r w:rsidRPr="000468BD">
        <w:rPr>
          <w:rFonts w:hint="eastAsia"/>
        </w:rPr>
        <w:t>形成征求</w:t>
      </w:r>
      <w:r w:rsidR="00C97210">
        <w:rPr>
          <w:rFonts w:hint="eastAsia"/>
        </w:rPr>
        <w:t>意见稿</w:t>
      </w:r>
      <w:r w:rsidRPr="000468BD">
        <w:rPr>
          <w:rFonts w:hint="eastAsia"/>
        </w:rPr>
        <w:t>征。</w:t>
      </w:r>
    </w:p>
    <w:p w:rsidR="000204CA" w:rsidRDefault="000204CA" w:rsidP="000204CA">
      <w:pPr>
        <w:ind w:firstLine="420"/>
        <w:rPr>
          <w:rFonts w:ascii="Times New Roman" w:hAnsi="Times New Roman"/>
        </w:rPr>
      </w:pPr>
      <w:r>
        <w:rPr>
          <w:rFonts w:ascii="Times New Roman" w:hAnsi="Times New Roman" w:hint="eastAsia"/>
        </w:rPr>
        <w:t>征求意见情况如下：</w:t>
      </w:r>
    </w:p>
    <w:p w:rsidR="000204CA" w:rsidRPr="00BC23CF" w:rsidRDefault="000204CA" w:rsidP="000204CA">
      <w:pPr>
        <w:ind w:firstLine="420"/>
        <w:rPr>
          <w:rFonts w:ascii="Times New Roman" w:hAnsi="Times New Roman"/>
        </w:rPr>
      </w:pPr>
      <w:r w:rsidRPr="00BC23CF">
        <w:rPr>
          <w:rFonts w:ascii="Times New Roman" w:hAnsi="Times New Roman"/>
        </w:rPr>
        <w:lastRenderedPageBreak/>
        <w:t>（</w:t>
      </w:r>
      <w:r w:rsidRPr="00BC23CF">
        <w:rPr>
          <w:rFonts w:ascii="Times New Roman" w:hAnsi="Times New Roman"/>
        </w:rPr>
        <w:t>1</w:t>
      </w:r>
      <w:r w:rsidRPr="00BC23CF">
        <w:rPr>
          <w:rFonts w:ascii="Times New Roman" w:hAnsi="Times New Roman"/>
        </w:rPr>
        <w:t>）发送《征求意见稿》的单位数：</w:t>
      </w:r>
      <w:r w:rsidRPr="00BC23CF">
        <w:rPr>
          <w:rFonts w:ascii="Times New Roman" w:hAnsi="Times New Roman" w:hint="eastAsia"/>
        </w:rPr>
        <w:t>14</w:t>
      </w:r>
      <w:r w:rsidRPr="00BC23CF">
        <w:rPr>
          <w:rFonts w:ascii="Times New Roman" w:hAnsi="Times New Roman"/>
        </w:rPr>
        <w:t>个；</w:t>
      </w:r>
    </w:p>
    <w:p w:rsidR="000204CA" w:rsidRPr="00BC23CF" w:rsidRDefault="000204CA" w:rsidP="000204CA">
      <w:pPr>
        <w:ind w:firstLine="420"/>
        <w:rPr>
          <w:rFonts w:ascii="Times New Roman" w:hAnsi="Times New Roman"/>
        </w:rPr>
      </w:pPr>
      <w:r w:rsidRPr="00BC23CF">
        <w:rPr>
          <w:rFonts w:ascii="Times New Roman" w:hAnsi="Times New Roman"/>
        </w:rPr>
        <w:t>（</w:t>
      </w:r>
      <w:r w:rsidRPr="00BC23CF">
        <w:rPr>
          <w:rFonts w:ascii="Times New Roman" w:hAnsi="Times New Roman"/>
        </w:rPr>
        <w:t>2</w:t>
      </w:r>
      <w:r w:rsidRPr="00BC23CF">
        <w:rPr>
          <w:rFonts w:ascii="Times New Roman" w:hAnsi="Times New Roman"/>
        </w:rPr>
        <w:t>）收到《征求意见稿》后，回函的单位数：</w:t>
      </w:r>
      <w:r w:rsidRPr="00BC23CF">
        <w:rPr>
          <w:rFonts w:ascii="Times New Roman" w:hAnsi="Times New Roman" w:hint="eastAsia"/>
        </w:rPr>
        <w:t>14</w:t>
      </w:r>
      <w:r w:rsidRPr="00BC23CF">
        <w:rPr>
          <w:rFonts w:ascii="Times New Roman" w:hAnsi="Times New Roman"/>
        </w:rPr>
        <w:t>个；</w:t>
      </w:r>
    </w:p>
    <w:p w:rsidR="000204CA" w:rsidRPr="00BC23CF" w:rsidRDefault="000204CA" w:rsidP="000204CA">
      <w:pPr>
        <w:ind w:firstLine="420"/>
        <w:rPr>
          <w:rFonts w:ascii="Times New Roman" w:hAnsi="Times New Roman"/>
        </w:rPr>
      </w:pPr>
      <w:r w:rsidRPr="00BC23CF">
        <w:rPr>
          <w:rFonts w:ascii="Times New Roman" w:hAnsi="Times New Roman"/>
        </w:rPr>
        <w:t>（</w:t>
      </w:r>
      <w:r w:rsidRPr="00BC23CF">
        <w:rPr>
          <w:rFonts w:ascii="Times New Roman" w:hAnsi="Times New Roman"/>
        </w:rPr>
        <w:t>3</w:t>
      </w:r>
      <w:r w:rsidRPr="00BC23CF">
        <w:rPr>
          <w:rFonts w:ascii="Times New Roman" w:hAnsi="Times New Roman"/>
        </w:rPr>
        <w:t>）收到《征求意见稿》后，回函并有建议或意见的单位数：</w:t>
      </w:r>
      <w:r w:rsidRPr="00BC23CF">
        <w:rPr>
          <w:rFonts w:ascii="Times New Roman" w:hAnsi="Times New Roman" w:hint="eastAsia"/>
        </w:rPr>
        <w:t>3</w:t>
      </w:r>
      <w:r w:rsidRPr="00BC23CF">
        <w:rPr>
          <w:rFonts w:ascii="Times New Roman" w:hAnsi="Times New Roman"/>
        </w:rPr>
        <w:t>个；</w:t>
      </w:r>
    </w:p>
    <w:p w:rsidR="000204CA" w:rsidRDefault="000204CA" w:rsidP="000204CA">
      <w:pPr>
        <w:ind w:firstLine="420"/>
        <w:rPr>
          <w:rFonts w:ascii="Times New Roman" w:hAnsi="Times New Roman"/>
        </w:rPr>
      </w:pPr>
      <w:r w:rsidRPr="00BC23CF">
        <w:rPr>
          <w:rFonts w:ascii="Times New Roman" w:hAnsi="Times New Roman"/>
        </w:rPr>
        <w:t>（</w:t>
      </w:r>
      <w:r w:rsidRPr="00BC23CF">
        <w:rPr>
          <w:rFonts w:ascii="Times New Roman" w:hAnsi="Times New Roman"/>
        </w:rPr>
        <w:t>4</w:t>
      </w:r>
      <w:r w:rsidRPr="00BC23CF">
        <w:rPr>
          <w:rFonts w:ascii="Times New Roman" w:hAnsi="Times New Roman"/>
        </w:rPr>
        <w:t>）没有回函的单位数：</w:t>
      </w:r>
      <w:r w:rsidRPr="00BC23CF">
        <w:rPr>
          <w:rFonts w:ascii="Times New Roman" w:hAnsi="Times New Roman" w:hint="eastAsia"/>
        </w:rPr>
        <w:t>0</w:t>
      </w:r>
      <w:r w:rsidRPr="00BC23CF">
        <w:rPr>
          <w:rFonts w:ascii="Times New Roman" w:hAnsi="Times New Roman"/>
        </w:rPr>
        <w:t>个。</w:t>
      </w:r>
    </w:p>
    <w:p w:rsidR="00865F04" w:rsidRPr="00522485" w:rsidRDefault="00522485" w:rsidP="00522485">
      <w:pPr>
        <w:ind w:firstLineChars="250" w:firstLine="525"/>
        <w:rPr>
          <w:rFonts w:ascii="Times New Roman" w:hAnsi="Times New Roman"/>
        </w:rPr>
      </w:pPr>
      <w:r w:rsidRPr="00522485">
        <w:rPr>
          <w:rFonts w:ascii="Times New Roman" w:hAnsi="Times New Roman" w:hint="eastAsia"/>
        </w:rPr>
        <w:t>收到意见或建议</w:t>
      </w:r>
      <w:r w:rsidRPr="00522485">
        <w:rPr>
          <w:rFonts w:ascii="Times New Roman" w:hAnsi="Times New Roman" w:hint="eastAsia"/>
        </w:rPr>
        <w:t>1</w:t>
      </w:r>
      <w:r w:rsidR="00F31042">
        <w:rPr>
          <w:rFonts w:ascii="Times New Roman" w:hAnsi="Times New Roman"/>
        </w:rPr>
        <w:t>4</w:t>
      </w:r>
      <w:r w:rsidRPr="00522485">
        <w:rPr>
          <w:rFonts w:ascii="Times New Roman" w:hAnsi="Times New Roman" w:hint="eastAsia"/>
        </w:rPr>
        <w:t>条</w:t>
      </w:r>
      <w:r>
        <w:rPr>
          <w:rFonts w:ascii="Times New Roman" w:hAnsi="Times New Roman" w:hint="eastAsia"/>
        </w:rPr>
        <w:t>，采纳</w:t>
      </w:r>
      <w:r>
        <w:rPr>
          <w:rFonts w:ascii="Times New Roman" w:hAnsi="Times New Roman" w:hint="eastAsia"/>
        </w:rPr>
        <w:t>14</w:t>
      </w:r>
      <w:r>
        <w:rPr>
          <w:rFonts w:ascii="Times New Roman" w:hAnsi="Times New Roman" w:hint="eastAsia"/>
        </w:rPr>
        <w:t>条。</w:t>
      </w:r>
    </w:p>
    <w:p w:rsidR="00865F04" w:rsidRDefault="00D6044F">
      <w:pPr>
        <w:pStyle w:val="5"/>
        <w:ind w:firstLine="482"/>
      </w:pPr>
      <w:r>
        <w:t>3.</w:t>
      </w:r>
      <w:r>
        <w:rPr>
          <w:rFonts w:hint="eastAsia"/>
        </w:rPr>
        <w:t>3</w:t>
      </w:r>
      <w:r>
        <w:t>审查阶段</w:t>
      </w:r>
    </w:p>
    <w:p w:rsidR="00DC6685" w:rsidRPr="00604C5A" w:rsidRDefault="00DC6685" w:rsidP="00DC6685">
      <w:pPr>
        <w:pStyle w:val="a1"/>
        <w:rPr>
          <w:rFonts w:ascii="Times New Roman"/>
        </w:rPr>
      </w:pPr>
      <w:r w:rsidRPr="00604C5A">
        <w:rPr>
          <w:rFonts w:ascii="Times New Roman" w:hint="eastAsia"/>
        </w:rPr>
        <w:t>2023</w:t>
      </w:r>
      <w:r w:rsidRPr="00604C5A">
        <w:rPr>
          <w:rFonts w:ascii="Times New Roman" w:hint="eastAsia"/>
        </w:rPr>
        <w:t>年</w:t>
      </w:r>
      <w:r w:rsidRPr="00604C5A">
        <w:rPr>
          <w:rFonts w:ascii="Times New Roman" w:hint="eastAsia"/>
        </w:rPr>
        <w:t>4</w:t>
      </w:r>
      <w:r w:rsidRPr="00604C5A">
        <w:rPr>
          <w:rFonts w:ascii="Times New Roman" w:hint="eastAsia"/>
        </w:rPr>
        <w:t>月，根据征求意见，</w:t>
      </w:r>
      <w:r w:rsidR="00476A34">
        <w:rPr>
          <w:rFonts w:ascii="Times New Roman" w:hint="eastAsia"/>
        </w:rPr>
        <w:t>编制组</w:t>
      </w:r>
      <w:r w:rsidR="00B1234A" w:rsidRPr="00604C5A">
        <w:rPr>
          <w:rFonts w:ascii="Times New Roman" w:hint="eastAsia"/>
        </w:rPr>
        <w:t>对“系统构成、数据采集、</w:t>
      </w:r>
      <w:r w:rsidR="00B1234A">
        <w:rPr>
          <w:rFonts w:ascii="Times New Roman" w:hint="eastAsia"/>
        </w:rPr>
        <w:t>自动</w:t>
      </w:r>
      <w:r w:rsidR="00B1234A">
        <w:rPr>
          <w:rFonts w:ascii="Times New Roman"/>
        </w:rPr>
        <w:t>化</w:t>
      </w:r>
      <w:r w:rsidR="00B1234A">
        <w:rPr>
          <w:rFonts w:ascii="Times New Roman" w:hint="eastAsia"/>
        </w:rPr>
        <w:t>及控制优化、智能化及数字化应用</w:t>
      </w:r>
      <w:r w:rsidR="00B1234A" w:rsidRPr="00604C5A">
        <w:rPr>
          <w:rFonts w:ascii="Times New Roman" w:hint="eastAsia"/>
        </w:rPr>
        <w:t>”等进行了补充完善，形成了</w:t>
      </w:r>
      <w:r w:rsidRPr="00604C5A">
        <w:rPr>
          <w:rFonts w:ascii="Times New Roman" w:hint="eastAsia"/>
        </w:rPr>
        <w:t>送审稿。</w:t>
      </w:r>
    </w:p>
    <w:p w:rsidR="00865F04" w:rsidRDefault="00865F04">
      <w:pPr>
        <w:adjustRightInd w:val="0"/>
        <w:snapToGrid w:val="0"/>
        <w:ind w:firstLine="480"/>
        <w:rPr>
          <w:rFonts w:ascii="Times New Roman" w:hAnsi="Times New Roman"/>
          <w:sz w:val="24"/>
        </w:rPr>
      </w:pPr>
    </w:p>
    <w:p w:rsidR="00865F04" w:rsidRDefault="00D6044F">
      <w:pPr>
        <w:pStyle w:val="5"/>
        <w:ind w:firstLine="482"/>
      </w:pPr>
      <w:r>
        <w:t>3.</w:t>
      </w:r>
      <w:r>
        <w:rPr>
          <w:rFonts w:hint="eastAsia"/>
        </w:rPr>
        <w:t>4</w:t>
      </w:r>
      <w:r>
        <w:t>报批阶段</w:t>
      </w:r>
    </w:p>
    <w:p w:rsidR="004B6D10" w:rsidRPr="004B6D10" w:rsidRDefault="004B6D10" w:rsidP="004B6D10">
      <w:pPr>
        <w:ind w:firstLine="420"/>
      </w:pPr>
    </w:p>
    <w:p w:rsidR="00865F04" w:rsidRDefault="00D6044F">
      <w:pPr>
        <w:pStyle w:val="1"/>
        <w:rPr>
          <w:rFonts w:ascii="Times New Roman" w:hAnsi="Times New Roman"/>
        </w:rPr>
      </w:pPr>
      <w:bookmarkStart w:id="7" w:name="_Toc28628"/>
      <w:bookmarkStart w:id="8" w:name="_Toc100587286"/>
      <w:r>
        <w:rPr>
          <w:rFonts w:ascii="Times New Roman" w:hAnsi="Times New Roman"/>
        </w:rPr>
        <w:t>二、标准编制原则</w:t>
      </w:r>
      <w:bookmarkEnd w:id="7"/>
      <w:bookmarkEnd w:id="8"/>
    </w:p>
    <w:p w:rsidR="00865F04" w:rsidRDefault="00D6044F">
      <w:pPr>
        <w:ind w:firstLineChars="250" w:firstLine="600"/>
        <w:rPr>
          <w:rFonts w:asciiTheme="minorEastAsia" w:eastAsiaTheme="minorEastAsia" w:hAnsiTheme="minorEastAsia"/>
          <w:sz w:val="24"/>
        </w:rPr>
      </w:pPr>
      <w:r>
        <w:rPr>
          <w:rFonts w:asciiTheme="minorEastAsia" w:eastAsiaTheme="minorEastAsia" w:hAnsiTheme="minorEastAsia" w:hint="eastAsia"/>
          <w:sz w:val="24"/>
        </w:rPr>
        <w:t>在矿山充填领域的标准及规范主要有：</w:t>
      </w:r>
    </w:p>
    <w:p w:rsidR="00865F04" w:rsidRDefault="00D6044F">
      <w:pPr>
        <w:ind w:firstLineChars="250" w:firstLine="600"/>
        <w:rPr>
          <w:rFonts w:asciiTheme="minorEastAsia" w:eastAsiaTheme="minorEastAsia" w:hAnsiTheme="minorEastAsia"/>
          <w:sz w:val="24"/>
        </w:rPr>
      </w:pPr>
      <w:r>
        <w:rPr>
          <w:rFonts w:asciiTheme="minorEastAsia" w:eastAsiaTheme="minorEastAsia" w:hAnsiTheme="minorEastAsia" w:hint="eastAsia"/>
          <w:sz w:val="24"/>
        </w:rPr>
        <w:t>（1）《金属非金属矿山充填工程技术标准》，目前尚处于公开征求意见的阶段；主要用于规范金属非金属矿山充填工程的设计与施工；</w:t>
      </w:r>
    </w:p>
    <w:p w:rsidR="00865F04" w:rsidRDefault="00D6044F">
      <w:pPr>
        <w:ind w:firstLineChars="250" w:firstLine="600"/>
        <w:rPr>
          <w:rFonts w:asciiTheme="minorEastAsia" w:eastAsiaTheme="minorEastAsia" w:hAnsiTheme="minorEastAsia"/>
          <w:sz w:val="24"/>
        </w:rPr>
      </w:pPr>
      <w:r>
        <w:rPr>
          <w:rFonts w:asciiTheme="minorEastAsia" w:eastAsiaTheme="minorEastAsia" w:hAnsiTheme="minorEastAsia" w:hint="eastAsia"/>
          <w:sz w:val="24"/>
        </w:rPr>
        <w:t>（2）《冶金矿山尾矿胶结充填技术规范》，目前尚处于公开征求意见的阶段，主要规定了尾矿胶结充填的定义与术语，提出充填系统、充填料浆、充填采场、自动化技术要求；</w:t>
      </w:r>
    </w:p>
    <w:p w:rsidR="00865F04" w:rsidRDefault="00D6044F">
      <w:pPr>
        <w:ind w:firstLineChars="250" w:firstLine="600"/>
        <w:rPr>
          <w:rFonts w:asciiTheme="minorEastAsia" w:eastAsiaTheme="minorEastAsia" w:hAnsiTheme="minorEastAsia"/>
          <w:sz w:val="24"/>
        </w:rPr>
      </w:pPr>
      <w:r>
        <w:rPr>
          <w:rFonts w:asciiTheme="minorEastAsia" w:eastAsiaTheme="minorEastAsia" w:hAnsiTheme="minorEastAsia" w:hint="eastAsia"/>
          <w:sz w:val="24"/>
        </w:rPr>
        <w:t>（3）《全尾砂膏体充填技术规范》（GB/T 39489-2020），主要规定了全尾砂膏体材料构成与储存要求、全尾砂膏体充填工艺要求、全尾砂膏体充填技术要求及其检测方法，适用于金属、非金属矿山的全尾砂膏体充填；</w:t>
      </w:r>
    </w:p>
    <w:p w:rsidR="00865F04" w:rsidRDefault="00D6044F">
      <w:pPr>
        <w:ind w:firstLineChars="250" w:firstLine="600"/>
        <w:rPr>
          <w:rFonts w:asciiTheme="minorEastAsia" w:eastAsiaTheme="minorEastAsia" w:hAnsiTheme="minorEastAsia"/>
          <w:sz w:val="24"/>
        </w:rPr>
      </w:pPr>
      <w:r>
        <w:rPr>
          <w:rFonts w:asciiTheme="minorEastAsia" w:eastAsiaTheme="minorEastAsia" w:hAnsiTheme="minorEastAsia" w:hint="eastAsia"/>
          <w:sz w:val="24"/>
        </w:rPr>
        <w:t>（4）《有色金属矿山膏体充填规范》（DB53/T 889-2018），属于云南省地方标准，主要规定了有色金属矿山膏体充填技术要求、运行管理与保障措施等内容。</w:t>
      </w:r>
    </w:p>
    <w:p w:rsidR="00865F04" w:rsidRDefault="00D6044F" w:rsidP="00DB0A9C">
      <w:pPr>
        <w:pStyle w:val="a1"/>
        <w:ind w:firstLine="480"/>
      </w:pPr>
      <w:r>
        <w:rPr>
          <w:rFonts w:asciiTheme="minorEastAsia" w:eastAsiaTheme="minorEastAsia" w:hAnsiTheme="minorEastAsia" w:hint="eastAsia"/>
          <w:sz w:val="24"/>
        </w:rPr>
        <w:t>上述标准规范尚没有关于高浓度膏体智能充填的具体技术规定、要求，因此制定本标准能够填补矿山充填领域智能系统技术标准的空白，规范矿山高浓度膏体智能充填系统工作的一致性，确保矿山充填技术更加正确快速开展智能化升级改造，提升企业能效水平。</w:t>
      </w:r>
    </w:p>
    <w:p w:rsidR="00865F04" w:rsidRDefault="00D6044F">
      <w:pPr>
        <w:ind w:firstLine="480"/>
      </w:pPr>
      <w:r>
        <w:rPr>
          <w:rFonts w:asciiTheme="minorEastAsia" w:eastAsiaTheme="minorEastAsia" w:hAnsiTheme="minorEastAsia" w:hint="eastAsia"/>
          <w:sz w:val="24"/>
        </w:rPr>
        <w:t>在制定本标准时，关于充填术语、充填材料、充填工艺等方面要求，将与上</w:t>
      </w:r>
      <w:r>
        <w:rPr>
          <w:rFonts w:asciiTheme="minorEastAsia" w:eastAsiaTheme="minorEastAsia" w:hAnsiTheme="minorEastAsia" w:hint="eastAsia"/>
          <w:sz w:val="24"/>
        </w:rPr>
        <w:lastRenderedPageBreak/>
        <w:t>述标准有机结合起来开展工作。</w:t>
      </w:r>
    </w:p>
    <w:p w:rsidR="00865F04" w:rsidRPr="009F1FA7" w:rsidRDefault="00D6044F" w:rsidP="009F1FA7">
      <w:pPr>
        <w:ind w:firstLine="480"/>
        <w:rPr>
          <w:rFonts w:asciiTheme="minorEastAsia" w:eastAsiaTheme="minorEastAsia" w:hAnsiTheme="minorEastAsia"/>
          <w:sz w:val="24"/>
        </w:rPr>
      </w:pPr>
      <w:r w:rsidRPr="009F1FA7">
        <w:rPr>
          <w:rFonts w:asciiTheme="minorEastAsia" w:eastAsiaTheme="minorEastAsia" w:hAnsiTheme="minorEastAsia" w:hint="eastAsia"/>
          <w:sz w:val="24"/>
        </w:rPr>
        <w:t>本标准编制过程中，主要体现如下原则:</w:t>
      </w:r>
    </w:p>
    <w:p w:rsidR="00865F04" w:rsidRPr="009F1FA7" w:rsidRDefault="00D6044F" w:rsidP="009F1FA7">
      <w:pPr>
        <w:ind w:firstLineChars="150" w:firstLine="360"/>
        <w:rPr>
          <w:rFonts w:asciiTheme="minorEastAsia" w:eastAsiaTheme="minorEastAsia" w:hAnsiTheme="minorEastAsia"/>
          <w:kern w:val="0"/>
          <w:sz w:val="24"/>
        </w:rPr>
      </w:pPr>
      <w:r w:rsidRPr="009F1FA7">
        <w:rPr>
          <w:rFonts w:asciiTheme="minorEastAsia" w:eastAsiaTheme="minorEastAsia" w:hAnsiTheme="minorEastAsia" w:hint="eastAsia"/>
          <w:kern w:val="0"/>
          <w:sz w:val="24"/>
        </w:rPr>
        <w:t>（1）系统的可靠性原则：采用高容错能力的通信网络、过程控制系统、系统软件和标准的商用软件。</w:t>
      </w:r>
    </w:p>
    <w:p w:rsidR="00865F04" w:rsidRPr="009F1FA7" w:rsidRDefault="00D6044F" w:rsidP="009F1FA7">
      <w:pPr>
        <w:ind w:firstLineChars="150" w:firstLine="360"/>
        <w:rPr>
          <w:rFonts w:asciiTheme="minorEastAsia" w:eastAsiaTheme="minorEastAsia" w:hAnsiTheme="minorEastAsia"/>
          <w:kern w:val="0"/>
          <w:sz w:val="24"/>
        </w:rPr>
      </w:pPr>
      <w:r w:rsidRPr="009F1FA7">
        <w:rPr>
          <w:rFonts w:asciiTheme="minorEastAsia" w:eastAsiaTheme="minorEastAsia" w:hAnsiTheme="minorEastAsia" w:hint="eastAsia"/>
          <w:kern w:val="0"/>
          <w:sz w:val="24"/>
        </w:rPr>
        <w:t>（2）系统的先进性原则：采用目前最先进的产品和成熟的软件版本且在其他现场应用可靠，并考虑到当更先进和成熟的产品和软件版本出现时，能与现在采用的产品和软件保持兼容。</w:t>
      </w:r>
    </w:p>
    <w:p w:rsidR="00865F04" w:rsidRPr="009F1FA7" w:rsidRDefault="00D6044F" w:rsidP="009F1FA7">
      <w:pPr>
        <w:ind w:firstLineChars="150" w:firstLine="360"/>
        <w:rPr>
          <w:rFonts w:asciiTheme="minorEastAsia" w:eastAsiaTheme="minorEastAsia" w:hAnsiTheme="minorEastAsia"/>
          <w:kern w:val="0"/>
          <w:sz w:val="24"/>
        </w:rPr>
      </w:pPr>
      <w:r w:rsidRPr="009F1FA7">
        <w:rPr>
          <w:rFonts w:asciiTheme="minorEastAsia" w:eastAsiaTheme="minorEastAsia" w:hAnsiTheme="minorEastAsia" w:hint="eastAsia"/>
          <w:kern w:val="0"/>
          <w:sz w:val="24"/>
        </w:rPr>
        <w:t>（3）系统的易维护性原则：遵循易于维护，操作简便的原则设计。</w:t>
      </w:r>
    </w:p>
    <w:p w:rsidR="00865F04" w:rsidRPr="009F1FA7" w:rsidRDefault="00D6044F" w:rsidP="009F1FA7">
      <w:pPr>
        <w:ind w:firstLineChars="150" w:firstLine="360"/>
        <w:rPr>
          <w:rFonts w:asciiTheme="minorEastAsia" w:eastAsiaTheme="minorEastAsia" w:hAnsiTheme="minorEastAsia"/>
          <w:kern w:val="0"/>
          <w:sz w:val="24"/>
        </w:rPr>
      </w:pPr>
      <w:r w:rsidRPr="009F1FA7">
        <w:rPr>
          <w:rFonts w:asciiTheme="minorEastAsia" w:eastAsiaTheme="minorEastAsia" w:hAnsiTheme="minorEastAsia" w:hint="eastAsia"/>
          <w:kern w:val="0"/>
          <w:sz w:val="24"/>
        </w:rPr>
        <w:t>（4）系统的可扩展性原则：系统的硬件、系统软件和应用软件均具有灵活的扩展能力及升级能力。</w:t>
      </w:r>
    </w:p>
    <w:p w:rsidR="00865F04" w:rsidRPr="009F1FA7" w:rsidRDefault="00D6044F" w:rsidP="009F1FA7">
      <w:pPr>
        <w:ind w:firstLineChars="150" w:firstLine="360"/>
        <w:rPr>
          <w:rFonts w:asciiTheme="minorEastAsia" w:eastAsiaTheme="minorEastAsia" w:hAnsiTheme="minorEastAsia"/>
          <w:kern w:val="0"/>
          <w:sz w:val="24"/>
        </w:rPr>
      </w:pPr>
      <w:r w:rsidRPr="009F1FA7">
        <w:rPr>
          <w:rFonts w:asciiTheme="minorEastAsia" w:eastAsiaTheme="minorEastAsia" w:hAnsiTheme="minorEastAsia" w:hint="eastAsia"/>
          <w:kern w:val="0"/>
          <w:sz w:val="24"/>
        </w:rPr>
        <w:t>（5）系统的开放性原则：采用开放的网络体系结构并符合ISO的通信标准。与当今计算机技术和信息技术的发展同步。</w:t>
      </w:r>
    </w:p>
    <w:p w:rsidR="00865F04" w:rsidRPr="009F1FA7" w:rsidRDefault="00D6044F" w:rsidP="009F1FA7">
      <w:pPr>
        <w:ind w:firstLineChars="150" w:firstLine="360"/>
        <w:rPr>
          <w:rFonts w:asciiTheme="minorEastAsia" w:eastAsiaTheme="minorEastAsia" w:hAnsiTheme="minorEastAsia"/>
          <w:kern w:val="0"/>
          <w:sz w:val="24"/>
        </w:rPr>
      </w:pPr>
      <w:r w:rsidRPr="009F1FA7">
        <w:rPr>
          <w:rFonts w:asciiTheme="minorEastAsia" w:eastAsiaTheme="minorEastAsia" w:hAnsiTheme="minorEastAsia" w:hint="eastAsia"/>
          <w:kern w:val="0"/>
          <w:sz w:val="24"/>
        </w:rPr>
        <w:t>（6）系统完善性原则：系统具备完整的、可靠的、可工作的、完全满足现场要求，确保系统的硬件、软件的完整性和兼容性。</w:t>
      </w:r>
    </w:p>
    <w:p w:rsidR="00865F04" w:rsidRPr="009F1FA7" w:rsidRDefault="00D6044F" w:rsidP="009F1FA7">
      <w:pPr>
        <w:ind w:firstLine="480"/>
        <w:rPr>
          <w:rFonts w:asciiTheme="minorEastAsia" w:eastAsiaTheme="minorEastAsia" w:hAnsiTheme="minorEastAsia"/>
          <w:sz w:val="24"/>
        </w:rPr>
      </w:pPr>
      <w:r w:rsidRPr="009F1FA7">
        <w:rPr>
          <w:rFonts w:asciiTheme="minorEastAsia" w:eastAsiaTheme="minorEastAsia" w:hAnsiTheme="minorEastAsia" w:hint="eastAsia"/>
          <w:kern w:val="0"/>
          <w:sz w:val="24"/>
        </w:rPr>
        <w:t>（7）负荷原则：整个系统包括现场仪表、一次元器件、控制单元、工程师站、操作站、管理终端、服务器、网关、通讯网络系统等，设计其负荷均不超过其硬件、软件能力的60%</w:t>
      </w:r>
      <w:r w:rsidRPr="009F1FA7">
        <w:rPr>
          <w:rFonts w:asciiTheme="minorEastAsia" w:eastAsiaTheme="minorEastAsia" w:hAnsiTheme="minorEastAsia" w:hint="eastAsia"/>
          <w:sz w:val="24"/>
        </w:rPr>
        <w:t>。</w:t>
      </w:r>
    </w:p>
    <w:p w:rsidR="00865F04" w:rsidRPr="009F1FA7" w:rsidRDefault="00D6044F" w:rsidP="009F1FA7">
      <w:pPr>
        <w:ind w:firstLine="480"/>
        <w:rPr>
          <w:rFonts w:asciiTheme="minorEastAsia" w:eastAsiaTheme="minorEastAsia" w:hAnsiTheme="minorEastAsia"/>
          <w:kern w:val="0"/>
          <w:sz w:val="24"/>
        </w:rPr>
      </w:pPr>
      <w:r w:rsidRPr="009F1FA7">
        <w:rPr>
          <w:rFonts w:asciiTheme="minorEastAsia" w:eastAsiaTheme="minorEastAsia" w:hAnsiTheme="minorEastAsia" w:hint="eastAsia"/>
          <w:kern w:val="0"/>
          <w:sz w:val="24"/>
        </w:rPr>
        <w:t>（8）易操作性原则。</w:t>
      </w:r>
    </w:p>
    <w:p w:rsidR="00865F04" w:rsidRPr="00181774" w:rsidRDefault="00D6044F" w:rsidP="00181774">
      <w:pPr>
        <w:ind w:firstLine="480"/>
        <w:rPr>
          <w:rFonts w:asciiTheme="minorEastAsia" w:eastAsiaTheme="minorEastAsia" w:hAnsiTheme="minorEastAsia"/>
          <w:kern w:val="0"/>
          <w:sz w:val="24"/>
        </w:rPr>
      </w:pPr>
      <w:r w:rsidRPr="009F1FA7">
        <w:rPr>
          <w:rFonts w:asciiTheme="minorEastAsia" w:eastAsiaTheme="minorEastAsia" w:hAnsiTheme="minorEastAsia" w:hint="eastAsia"/>
          <w:kern w:val="0"/>
          <w:sz w:val="24"/>
        </w:rPr>
        <w:t>（9）智能化原则。</w:t>
      </w:r>
    </w:p>
    <w:p w:rsidR="00865F04" w:rsidRDefault="00D6044F">
      <w:pPr>
        <w:pStyle w:val="1"/>
        <w:numPr>
          <w:ilvl w:val="0"/>
          <w:numId w:val="2"/>
        </w:numPr>
        <w:rPr>
          <w:rFonts w:ascii="Times New Roman" w:hAnsi="Times New Roman"/>
          <w:sz w:val="24"/>
        </w:rPr>
      </w:pPr>
      <w:bookmarkStart w:id="9" w:name="_Toc100587287"/>
      <w:bookmarkStart w:id="10" w:name="_Toc10023"/>
      <w:r>
        <w:rPr>
          <w:rFonts w:ascii="Times New Roman" w:hAnsi="Times New Roman"/>
        </w:rPr>
        <w:t>主要</w:t>
      </w:r>
      <w:r>
        <w:rPr>
          <w:rFonts w:ascii="Times New Roman" w:hAnsi="Times New Roman" w:hint="eastAsia"/>
        </w:rPr>
        <w:t>技术</w:t>
      </w:r>
      <w:r>
        <w:rPr>
          <w:rFonts w:ascii="Times New Roman" w:hAnsi="Times New Roman"/>
        </w:rPr>
        <w:t>内容</w:t>
      </w:r>
      <w:bookmarkEnd w:id="9"/>
      <w:bookmarkEnd w:id="10"/>
    </w:p>
    <w:p w:rsidR="00865F04" w:rsidRDefault="00D6044F">
      <w:pPr>
        <w:pStyle w:val="5"/>
        <w:ind w:firstLine="482"/>
      </w:pPr>
      <w:bookmarkStart w:id="11" w:name="_Toc21343"/>
      <w:r>
        <w:rPr>
          <w:rFonts w:hint="eastAsia"/>
        </w:rPr>
        <w:t>3</w:t>
      </w:r>
      <w:r>
        <w:t>.1</w:t>
      </w:r>
      <w:r>
        <w:t>范围</w:t>
      </w:r>
      <w:bookmarkEnd w:id="11"/>
    </w:p>
    <w:p w:rsidR="00565824" w:rsidRDefault="00565824" w:rsidP="00565824">
      <w:pPr>
        <w:ind w:firstLine="420"/>
      </w:pPr>
      <w:r>
        <w:rPr>
          <w:rFonts w:hint="eastAsia"/>
        </w:rPr>
        <w:t>本文件</w:t>
      </w:r>
      <w:r>
        <w:t>规定了</w:t>
      </w:r>
      <w:r>
        <w:rPr>
          <w:rFonts w:hint="eastAsia"/>
        </w:rPr>
        <w:t>有色</w:t>
      </w:r>
      <w:r>
        <w:t>金属矿山高浓度膏体充填智能系统</w:t>
      </w:r>
      <w:r>
        <w:rPr>
          <w:rFonts w:hint="eastAsia"/>
        </w:rPr>
        <w:t>的系统构成、总体架构、功能要求和智能化应用</w:t>
      </w:r>
      <w:r>
        <w:t>。</w:t>
      </w:r>
    </w:p>
    <w:p w:rsidR="00865F04" w:rsidRPr="009F1FA7" w:rsidRDefault="00565824" w:rsidP="00565824">
      <w:pPr>
        <w:pStyle w:val="af9"/>
        <w:rPr>
          <w:rFonts w:ascii="Times New Roman"/>
        </w:rPr>
      </w:pPr>
      <w:r>
        <w:rPr>
          <w:rFonts w:ascii="Times New Roman"/>
        </w:rPr>
        <w:t>本</w:t>
      </w:r>
      <w:r>
        <w:rPr>
          <w:rFonts w:ascii="Times New Roman" w:hint="eastAsia"/>
        </w:rPr>
        <w:t>文件</w:t>
      </w:r>
      <w:r>
        <w:rPr>
          <w:rFonts w:ascii="Times New Roman"/>
        </w:rPr>
        <w:t>适用于新建</w:t>
      </w:r>
      <w:r>
        <w:rPr>
          <w:rFonts w:ascii="Times New Roman" w:hint="eastAsia"/>
        </w:rPr>
        <w:t>、</w:t>
      </w:r>
      <w:r>
        <w:rPr>
          <w:rFonts w:ascii="Times New Roman"/>
        </w:rPr>
        <w:t>改</w:t>
      </w:r>
      <w:r>
        <w:rPr>
          <w:rFonts w:ascii="Times New Roman" w:hint="eastAsia"/>
        </w:rPr>
        <w:t>（</w:t>
      </w:r>
      <w:r>
        <w:rPr>
          <w:rFonts w:ascii="Times New Roman"/>
        </w:rPr>
        <w:t>扩</w:t>
      </w:r>
      <w:r>
        <w:rPr>
          <w:rFonts w:ascii="Times New Roman" w:hint="eastAsia"/>
        </w:rPr>
        <w:t>）</w:t>
      </w:r>
      <w:r>
        <w:rPr>
          <w:rFonts w:ascii="Times New Roman"/>
        </w:rPr>
        <w:t>建</w:t>
      </w:r>
      <w:r>
        <w:rPr>
          <w:rFonts w:ascii="Times New Roman" w:hint="eastAsia"/>
        </w:rPr>
        <w:t>有色</w:t>
      </w:r>
      <w:r>
        <w:rPr>
          <w:rFonts w:ascii="Times New Roman"/>
        </w:rPr>
        <w:t>金属矿山高浓度膏体充填</w:t>
      </w:r>
      <w:r>
        <w:rPr>
          <w:rFonts w:ascii="Times New Roman" w:hint="eastAsia"/>
        </w:rPr>
        <w:t>智能</w:t>
      </w:r>
      <w:r>
        <w:rPr>
          <w:rFonts w:ascii="Times New Roman"/>
        </w:rPr>
        <w:t>系统</w:t>
      </w:r>
      <w:r>
        <w:rPr>
          <w:rFonts w:ascii="Times New Roman" w:hint="eastAsia"/>
        </w:rPr>
        <w:t>的</w:t>
      </w:r>
      <w:r>
        <w:rPr>
          <w:rFonts w:ascii="Times New Roman"/>
        </w:rPr>
        <w:t>设计、建设、实施</w:t>
      </w:r>
      <w:r>
        <w:rPr>
          <w:rFonts w:hint="eastAsia"/>
        </w:rPr>
        <w:t>和技术推广</w:t>
      </w:r>
      <w:r w:rsidR="00D6044F">
        <w:rPr>
          <w:rFonts w:hint="eastAsia"/>
        </w:rPr>
        <w:t>。</w:t>
      </w:r>
    </w:p>
    <w:p w:rsidR="00865F04" w:rsidRPr="00A973BA" w:rsidRDefault="00865F04">
      <w:pPr>
        <w:pStyle w:val="a1"/>
      </w:pPr>
    </w:p>
    <w:p w:rsidR="00865F04" w:rsidRDefault="00D6044F">
      <w:pPr>
        <w:pStyle w:val="5"/>
        <w:ind w:firstLine="482"/>
      </w:pPr>
      <w:bookmarkStart w:id="12" w:name="_Toc5340"/>
      <w:r>
        <w:rPr>
          <w:rFonts w:hint="eastAsia"/>
        </w:rPr>
        <w:t>3</w:t>
      </w:r>
      <w:r>
        <w:t>.2</w:t>
      </w:r>
      <w:r>
        <w:t>规范性引用文件</w:t>
      </w:r>
      <w:bookmarkEnd w:id="12"/>
    </w:p>
    <w:p w:rsidR="00865F04" w:rsidRDefault="00D6044F">
      <w:pPr>
        <w:ind w:firstLine="420"/>
      </w:pPr>
      <w:r>
        <w:rPr>
          <w:rFonts w:hint="eastAsia"/>
        </w:rPr>
        <w:t>给出了本标准引用的有关文件。凡是不注日期的引用文件，其最新版本适用于本标准。</w:t>
      </w:r>
    </w:p>
    <w:p w:rsidR="009F1FA7" w:rsidRDefault="009F1FA7" w:rsidP="009F1FA7">
      <w:pPr>
        <w:pStyle w:val="af9"/>
        <w:rPr>
          <w:rFonts w:ascii="Times New Roman"/>
        </w:rPr>
      </w:pPr>
      <w:r>
        <w:rPr>
          <w:rFonts w:ascii="Times New Roman" w:hint="eastAsia"/>
        </w:rPr>
        <w:t xml:space="preserve">GB/T 39489   </w:t>
      </w:r>
      <w:r>
        <w:rPr>
          <w:rFonts w:ascii="Times New Roman" w:hint="eastAsia"/>
        </w:rPr>
        <w:t>全尾砂膏体充填技术规范</w:t>
      </w:r>
    </w:p>
    <w:p w:rsidR="009F1FA7" w:rsidRDefault="009F1FA7" w:rsidP="009F1FA7">
      <w:pPr>
        <w:pStyle w:val="af9"/>
        <w:ind w:leftChars="200" w:left="2940" w:hangingChars="1200" w:hanging="2520"/>
        <w:rPr>
          <w:rFonts w:ascii="Times New Roman"/>
        </w:rPr>
      </w:pPr>
      <w:r>
        <w:rPr>
          <w:rFonts w:ascii="Times New Roman" w:hint="eastAsia"/>
        </w:rPr>
        <w:t>GB/</w:t>
      </w:r>
      <w:r>
        <w:rPr>
          <w:rFonts w:ascii="Times New Roman"/>
        </w:rPr>
        <w:t>T25928</w:t>
      </w:r>
      <w:r w:rsidR="0080310E">
        <w:rPr>
          <w:rFonts w:ascii="Times New Roman"/>
        </w:rPr>
        <w:t xml:space="preserve">   </w:t>
      </w:r>
      <w:r>
        <w:rPr>
          <w:rFonts w:ascii="Times New Roman" w:hint="eastAsia"/>
        </w:rPr>
        <w:t>过程工业自动化系统出厂验收测试（</w:t>
      </w:r>
      <w:r>
        <w:rPr>
          <w:rFonts w:ascii="Times New Roman" w:hint="eastAsia"/>
        </w:rPr>
        <w:t>FAT</w:t>
      </w:r>
      <w:r>
        <w:rPr>
          <w:rFonts w:ascii="Times New Roman" w:hint="eastAsia"/>
        </w:rPr>
        <w:t>）、现场验收测试（</w:t>
      </w:r>
      <w:r>
        <w:rPr>
          <w:rFonts w:ascii="Times New Roman" w:hint="eastAsia"/>
        </w:rPr>
        <w:t>SAT</w:t>
      </w:r>
      <w:r>
        <w:rPr>
          <w:rFonts w:ascii="Times New Roman" w:hint="eastAsia"/>
        </w:rPr>
        <w:t>）、现场综合测试（</w:t>
      </w:r>
      <w:r>
        <w:rPr>
          <w:rFonts w:ascii="Times New Roman" w:hint="eastAsia"/>
        </w:rPr>
        <w:t>SIT</w:t>
      </w:r>
      <w:r>
        <w:rPr>
          <w:rFonts w:ascii="Times New Roman" w:hint="eastAsia"/>
        </w:rPr>
        <w:t>规范）</w:t>
      </w:r>
    </w:p>
    <w:p w:rsidR="009F1FA7" w:rsidRDefault="009F1FA7" w:rsidP="009F1FA7">
      <w:pPr>
        <w:pStyle w:val="af9"/>
        <w:rPr>
          <w:rFonts w:ascii="Times New Roman"/>
        </w:rPr>
      </w:pPr>
      <w:r>
        <w:rPr>
          <w:rFonts w:ascii="Times New Roman" w:hint="eastAsia"/>
        </w:rPr>
        <w:lastRenderedPageBreak/>
        <w:t>G</w:t>
      </w:r>
      <w:r>
        <w:rPr>
          <w:rFonts w:ascii="Times New Roman"/>
        </w:rPr>
        <w:t>B</w:t>
      </w:r>
      <w:r>
        <w:rPr>
          <w:rFonts w:ascii="Times New Roman" w:hint="eastAsia"/>
        </w:rPr>
        <w:t>/</w:t>
      </w:r>
      <w:r>
        <w:rPr>
          <w:rFonts w:ascii="Times New Roman"/>
        </w:rPr>
        <w:t>T28035</w:t>
      </w:r>
      <w:r w:rsidR="0080310E">
        <w:rPr>
          <w:rFonts w:ascii="Times New Roman"/>
        </w:rPr>
        <w:t xml:space="preserve">   </w:t>
      </w:r>
      <w:r>
        <w:rPr>
          <w:rFonts w:ascii="Times New Roman" w:hint="eastAsia"/>
        </w:rPr>
        <w:t>软件系统验收规范</w:t>
      </w:r>
    </w:p>
    <w:p w:rsidR="009F1FA7" w:rsidRDefault="009F1FA7" w:rsidP="009F1FA7">
      <w:pPr>
        <w:pStyle w:val="af9"/>
        <w:rPr>
          <w:rFonts w:ascii="Times New Roman"/>
        </w:rPr>
      </w:pPr>
      <w:r>
        <w:rPr>
          <w:rFonts w:ascii="Times New Roman"/>
        </w:rPr>
        <w:t>HG/T 20573</w:t>
      </w:r>
      <w:r w:rsidR="0080310E">
        <w:rPr>
          <w:rFonts w:ascii="Times New Roman"/>
        </w:rPr>
        <w:t xml:space="preserve">  </w:t>
      </w:r>
      <w:r>
        <w:rPr>
          <w:rFonts w:ascii="Times New Roman" w:hint="eastAsia"/>
        </w:rPr>
        <w:t>分散型控制系统工程设计规范</w:t>
      </w:r>
    </w:p>
    <w:p w:rsidR="009F1FA7" w:rsidRDefault="009F1FA7" w:rsidP="009F1FA7">
      <w:pPr>
        <w:pStyle w:val="af9"/>
        <w:rPr>
          <w:rFonts w:ascii="Times New Roman"/>
        </w:rPr>
      </w:pPr>
      <w:r>
        <w:rPr>
          <w:rFonts w:ascii="Times New Roman"/>
        </w:rPr>
        <w:t>HG/T20</w:t>
      </w:r>
      <w:r>
        <w:rPr>
          <w:rFonts w:ascii="Times New Roman" w:hint="eastAsia"/>
        </w:rPr>
        <w:t xml:space="preserve">699   </w:t>
      </w:r>
      <w:r>
        <w:rPr>
          <w:rFonts w:ascii="Times New Roman" w:hint="eastAsia"/>
        </w:rPr>
        <w:t>自控设计常用名词术语</w:t>
      </w:r>
    </w:p>
    <w:p w:rsidR="00865F04" w:rsidRDefault="009F1FA7" w:rsidP="004B6D10">
      <w:pPr>
        <w:pStyle w:val="af9"/>
        <w:rPr>
          <w:rFonts w:ascii="Times New Roman"/>
        </w:rPr>
      </w:pPr>
      <w:r>
        <w:rPr>
          <w:rFonts w:ascii="Times New Roman"/>
        </w:rPr>
        <w:t>HG/T20700</w:t>
      </w:r>
      <w:r w:rsidR="0080310E">
        <w:rPr>
          <w:rFonts w:ascii="Times New Roman"/>
        </w:rPr>
        <w:t xml:space="preserve">   </w:t>
      </w:r>
      <w:r>
        <w:rPr>
          <w:rFonts w:ascii="Times New Roman" w:hint="eastAsia"/>
        </w:rPr>
        <w:t>可编程序控制器系统工程设计规范</w:t>
      </w:r>
    </w:p>
    <w:p w:rsidR="004B6D10" w:rsidRPr="004B6D10" w:rsidRDefault="004B6D10" w:rsidP="004B6D10">
      <w:pPr>
        <w:pStyle w:val="af9"/>
        <w:rPr>
          <w:rFonts w:ascii="Times New Roman"/>
        </w:rPr>
      </w:pPr>
    </w:p>
    <w:p w:rsidR="00865F04" w:rsidRDefault="00D6044F">
      <w:pPr>
        <w:pStyle w:val="5"/>
        <w:ind w:firstLine="482"/>
      </w:pPr>
      <w:bookmarkStart w:id="13" w:name="_Toc10950"/>
      <w:r>
        <w:rPr>
          <w:rFonts w:hint="eastAsia"/>
        </w:rPr>
        <w:t>3</w:t>
      </w:r>
      <w:r>
        <w:t>.3</w:t>
      </w:r>
      <w:r>
        <w:t>术语和定义</w:t>
      </w:r>
      <w:bookmarkEnd w:id="13"/>
    </w:p>
    <w:p w:rsidR="00865F04" w:rsidRDefault="00D6044F">
      <w:pPr>
        <w:ind w:firstLine="420"/>
      </w:pPr>
      <w:r>
        <w:rPr>
          <w:rFonts w:hint="eastAsia"/>
        </w:rPr>
        <w:t>给出了高浓度膏体充填</w:t>
      </w:r>
      <w:r>
        <w:rPr>
          <w:rFonts w:ascii="Times New Roman" w:hint="eastAsia"/>
        </w:rPr>
        <w:t>等术语</w:t>
      </w:r>
      <w:r>
        <w:rPr>
          <w:rFonts w:hint="eastAsia"/>
        </w:rPr>
        <w:t>的定义</w:t>
      </w:r>
      <w:r>
        <w:rPr>
          <w:rFonts w:asciiTheme="minorEastAsia" w:eastAsiaTheme="minorEastAsia" w:hAnsiTheme="minorEastAsia" w:hint="eastAsia"/>
          <w:sz w:val="24"/>
        </w:rPr>
        <w:t>。</w:t>
      </w:r>
    </w:p>
    <w:p w:rsidR="00865F04" w:rsidRDefault="00D6044F">
      <w:pPr>
        <w:pStyle w:val="5"/>
        <w:ind w:firstLine="482"/>
      </w:pPr>
      <w:r>
        <w:rPr>
          <w:rFonts w:hint="eastAsia"/>
        </w:rPr>
        <w:t>3.</w:t>
      </w:r>
      <w:r w:rsidR="00F07C3B">
        <w:rPr>
          <w:rFonts w:hint="eastAsia"/>
        </w:rPr>
        <w:t>4</w:t>
      </w:r>
      <w:r w:rsidR="00565824">
        <w:rPr>
          <w:rFonts w:hint="eastAsia"/>
        </w:rPr>
        <w:t>系统构成</w:t>
      </w:r>
    </w:p>
    <w:p w:rsidR="00865F04" w:rsidRDefault="00D6044F">
      <w:pPr>
        <w:ind w:firstLine="420"/>
      </w:pPr>
      <w:r>
        <w:rPr>
          <w:rFonts w:hint="eastAsia"/>
        </w:rPr>
        <w:t>包含系统组成、网络架构。</w:t>
      </w:r>
    </w:p>
    <w:p w:rsidR="00865F04" w:rsidRDefault="00D6044F">
      <w:pPr>
        <w:pStyle w:val="5"/>
        <w:ind w:firstLine="482"/>
      </w:pPr>
      <w:r>
        <w:rPr>
          <w:rFonts w:hint="eastAsia"/>
        </w:rPr>
        <w:t>3.</w:t>
      </w:r>
      <w:r w:rsidR="00F07C3B">
        <w:rPr>
          <w:rFonts w:hint="eastAsia"/>
        </w:rPr>
        <w:t>5</w:t>
      </w:r>
      <w:r w:rsidR="00565824">
        <w:rPr>
          <w:rFonts w:hint="eastAsia"/>
        </w:rPr>
        <w:t>过程监测及数据采集</w:t>
      </w:r>
    </w:p>
    <w:p w:rsidR="00865F04" w:rsidRDefault="00D6044F">
      <w:pPr>
        <w:pStyle w:val="a1"/>
      </w:pPr>
      <w:r>
        <w:rPr>
          <w:rFonts w:hint="eastAsia"/>
        </w:rPr>
        <w:t>当前矿山高浓度</w:t>
      </w:r>
      <w:r>
        <w:rPr>
          <w:rFonts w:hint="eastAsia"/>
        </w:rPr>
        <w:t>/</w:t>
      </w:r>
      <w:r>
        <w:rPr>
          <w:rFonts w:hint="eastAsia"/>
        </w:rPr>
        <w:t>膏体充填普遍存在设备适用性差、充填参数控制不精确，井下充填效果不佳等问题。传统矿山充填自动控制的基本组成单元为单独的控制回路，将系统中多个单独控制回路集成在一起，构成充填系统整个闭路循环控制系统。通过对浓度、液位、砂量、灰量、粗骨料量、水量等被控量的控制，可满足充填系统对料浆质量浓度、灰砂比及搅拌机液位等工艺参数的具体要求。在高浓度</w:t>
      </w:r>
      <w:r>
        <w:rPr>
          <w:rFonts w:hint="eastAsia"/>
        </w:rPr>
        <w:t>/</w:t>
      </w:r>
      <w:r>
        <w:rPr>
          <w:rFonts w:hint="eastAsia"/>
        </w:rPr>
        <w:t>膏体充填工艺中，大部分采用湿式尾砂浆的形式加入。传统的自动化控制技术难以对尾砂料浆浓度进行精确控制，流量波动大，造成干尾砂流量不稳定。同时传统的控制技术对水泥的计量不准确，在线监测仪表精度差，使得连续充填过程中灰砂比、水灰比不易控制，进而无法保证充填质量，增加了充填成本。</w:t>
      </w:r>
    </w:p>
    <w:p w:rsidR="00865F04" w:rsidRDefault="00D6044F">
      <w:pPr>
        <w:pStyle w:val="a1"/>
      </w:pPr>
      <w:r>
        <w:rPr>
          <w:rFonts w:hint="eastAsia"/>
        </w:rPr>
        <w:t>本标准结合以往经验，给出了</w:t>
      </w:r>
      <w:r w:rsidR="00565824">
        <w:rPr>
          <w:rFonts w:ascii="黑体" w:eastAsia="黑体" w:hAnsi="黑体" w:cs="黑体" w:hint="eastAsia"/>
          <w:szCs w:val="22"/>
        </w:rPr>
        <w:t>过程监测</w:t>
      </w:r>
      <w:r>
        <w:rPr>
          <w:rFonts w:hint="eastAsia"/>
        </w:rPr>
        <w:t>要求、</w:t>
      </w:r>
      <w:r w:rsidR="00565824">
        <w:rPr>
          <w:rFonts w:ascii="黑体" w:eastAsia="黑体" w:hAnsi="黑体" w:cs="黑体" w:hint="eastAsia"/>
          <w:szCs w:val="22"/>
        </w:rPr>
        <w:t>数据采集</w:t>
      </w:r>
      <w:r w:rsidR="00565824">
        <w:rPr>
          <w:rFonts w:hint="eastAsia"/>
        </w:rPr>
        <w:t>要求</w:t>
      </w:r>
      <w:r w:rsidR="00565824">
        <w:rPr>
          <w:rFonts w:ascii="黑体" w:eastAsia="黑体" w:hAnsi="黑体" w:cs="黑体" w:hint="eastAsia"/>
          <w:szCs w:val="22"/>
        </w:rPr>
        <w:t>、</w:t>
      </w:r>
      <w:r>
        <w:rPr>
          <w:rFonts w:hint="eastAsia"/>
        </w:rPr>
        <w:t>数据接口和数据存储要求。</w:t>
      </w:r>
    </w:p>
    <w:p w:rsidR="00865F04" w:rsidRDefault="00865F04">
      <w:pPr>
        <w:pStyle w:val="a1"/>
        <w:rPr>
          <w:highlight w:val="yellow"/>
        </w:rPr>
      </w:pPr>
    </w:p>
    <w:p w:rsidR="00865F04" w:rsidRDefault="00D6044F">
      <w:pPr>
        <w:pStyle w:val="5"/>
        <w:ind w:firstLine="482"/>
      </w:pPr>
      <w:r>
        <w:rPr>
          <w:rFonts w:hint="eastAsia"/>
        </w:rPr>
        <w:t>3.</w:t>
      </w:r>
      <w:r w:rsidR="00F07C3B">
        <w:rPr>
          <w:rFonts w:hint="eastAsia"/>
        </w:rPr>
        <w:t>6</w:t>
      </w:r>
      <w:r w:rsidR="00565824">
        <w:rPr>
          <w:rFonts w:hint="eastAsia"/>
        </w:rPr>
        <w:t>自动</w:t>
      </w:r>
      <w:r w:rsidR="00565824">
        <w:t>化</w:t>
      </w:r>
      <w:r w:rsidR="00565824">
        <w:rPr>
          <w:rFonts w:hint="eastAsia"/>
        </w:rPr>
        <w:t>及控制优化</w:t>
      </w:r>
    </w:p>
    <w:p w:rsidR="00865F04" w:rsidRDefault="00D6044F">
      <w:pPr>
        <w:ind w:firstLine="420"/>
      </w:pPr>
      <w:r>
        <w:rPr>
          <w:rFonts w:hint="eastAsia"/>
        </w:rPr>
        <w:t>给出了自动化</w:t>
      </w:r>
      <w:r w:rsidR="00565824">
        <w:rPr>
          <w:rFonts w:ascii="Times New Roman" w:hint="eastAsia"/>
        </w:rPr>
        <w:t>及控制优化</w:t>
      </w:r>
      <w:r>
        <w:rPr>
          <w:rFonts w:hint="eastAsia"/>
        </w:rPr>
        <w:t>应达到的功能要求。</w:t>
      </w:r>
    </w:p>
    <w:p w:rsidR="00565824" w:rsidRDefault="00565824" w:rsidP="00565824">
      <w:pPr>
        <w:ind w:firstLineChars="150" w:firstLine="315"/>
        <w:rPr>
          <w:rFonts w:ascii="宋体"/>
          <w:kern w:val="0"/>
          <w:szCs w:val="20"/>
        </w:rPr>
      </w:pPr>
      <w:r>
        <w:rPr>
          <w:rFonts w:ascii="宋体"/>
          <w:kern w:val="0"/>
          <w:szCs w:val="20"/>
        </w:rPr>
        <w:t>系统应能够满足</w:t>
      </w:r>
      <w:r>
        <w:rPr>
          <w:rFonts w:ascii="宋体" w:hint="eastAsia"/>
          <w:kern w:val="0"/>
          <w:szCs w:val="20"/>
        </w:rPr>
        <w:t>充填</w:t>
      </w:r>
      <w:r>
        <w:rPr>
          <w:rFonts w:ascii="宋体"/>
          <w:kern w:val="0"/>
          <w:szCs w:val="20"/>
        </w:rPr>
        <w:t>工艺的</w:t>
      </w:r>
      <w:r>
        <w:rPr>
          <w:rFonts w:ascii="宋体" w:hint="eastAsia"/>
          <w:kern w:val="0"/>
          <w:szCs w:val="20"/>
        </w:rPr>
        <w:t>自动化</w:t>
      </w:r>
      <w:r>
        <w:rPr>
          <w:rFonts w:ascii="宋体"/>
          <w:kern w:val="0"/>
          <w:szCs w:val="20"/>
        </w:rPr>
        <w:t>控制要求，</w:t>
      </w:r>
      <w:r>
        <w:rPr>
          <w:rFonts w:ascii="宋体" w:hint="eastAsia"/>
          <w:kern w:val="0"/>
          <w:szCs w:val="20"/>
        </w:rPr>
        <w:t>具备过程监测与控制、</w:t>
      </w:r>
      <w:r>
        <w:rPr>
          <w:rFonts w:ascii="宋体"/>
          <w:kern w:val="0"/>
          <w:szCs w:val="20"/>
        </w:rPr>
        <w:t>安全监控和保护等功能，满足</w:t>
      </w:r>
      <w:r>
        <w:rPr>
          <w:rFonts w:ascii="宋体" w:hint="eastAsia"/>
          <w:kern w:val="0"/>
          <w:szCs w:val="20"/>
        </w:rPr>
        <w:t>多</w:t>
      </w:r>
      <w:r>
        <w:rPr>
          <w:rFonts w:ascii="宋体"/>
          <w:kern w:val="0"/>
          <w:szCs w:val="20"/>
        </w:rPr>
        <w:t>种运行工况要求，确保</w:t>
      </w:r>
      <w:r>
        <w:rPr>
          <w:rFonts w:ascii="宋体" w:hint="eastAsia"/>
          <w:kern w:val="0"/>
          <w:szCs w:val="20"/>
        </w:rPr>
        <w:t>设备的</w:t>
      </w:r>
      <w:r>
        <w:rPr>
          <w:rFonts w:ascii="宋体"/>
          <w:kern w:val="0"/>
          <w:szCs w:val="20"/>
        </w:rPr>
        <w:t>安全、高效运行。在规定的操作条件下，</w:t>
      </w:r>
      <w:r>
        <w:rPr>
          <w:rFonts w:ascii="宋体" w:hint="eastAsia"/>
          <w:kern w:val="0"/>
          <w:szCs w:val="20"/>
        </w:rPr>
        <w:t>控制系统可用性应</w:t>
      </w:r>
      <w:r>
        <w:rPr>
          <w:rFonts w:ascii="宋体"/>
          <w:kern w:val="0"/>
          <w:szCs w:val="20"/>
        </w:rPr>
        <w:t>≥</w:t>
      </w:r>
      <w:r>
        <w:rPr>
          <w:rFonts w:ascii="宋体"/>
          <w:kern w:val="0"/>
          <w:szCs w:val="20"/>
        </w:rPr>
        <w:t>99.99%。</w:t>
      </w:r>
    </w:p>
    <w:p w:rsidR="00565824" w:rsidRDefault="00565824" w:rsidP="00565824">
      <w:pPr>
        <w:ind w:firstLineChars="150" w:firstLine="315"/>
        <w:rPr>
          <w:rFonts w:ascii="宋体"/>
          <w:kern w:val="0"/>
          <w:szCs w:val="20"/>
        </w:rPr>
      </w:pPr>
      <w:r>
        <w:rPr>
          <w:rFonts w:ascii="宋体" w:hint="eastAsia"/>
          <w:kern w:val="0"/>
          <w:szCs w:val="20"/>
        </w:rPr>
        <w:t>系统应进行有效的优化控制，以膏体浓度作为最终被控变量实现充填过程的稳定控制，提高充填效率，优化充填效果。</w:t>
      </w:r>
    </w:p>
    <w:p w:rsidR="00565824" w:rsidRDefault="00565824" w:rsidP="00565824">
      <w:pPr>
        <w:ind w:firstLine="420"/>
        <w:rPr>
          <w:rFonts w:ascii="宋体"/>
          <w:kern w:val="0"/>
          <w:szCs w:val="20"/>
        </w:rPr>
      </w:pPr>
      <w:r>
        <w:rPr>
          <w:rFonts w:ascii="宋体" w:hint="eastAsia"/>
          <w:kern w:val="0"/>
          <w:szCs w:val="20"/>
        </w:rPr>
        <w:t>控制优化宜实现以下功能：</w:t>
      </w:r>
    </w:p>
    <w:p w:rsidR="00565824" w:rsidRDefault="00565824" w:rsidP="00565824">
      <w:pPr>
        <w:numPr>
          <w:ilvl w:val="0"/>
          <w:numId w:val="3"/>
        </w:numPr>
        <w:spacing w:line="240" w:lineRule="auto"/>
        <w:ind w:left="0" w:firstLineChars="150" w:firstLine="315"/>
        <w:rPr>
          <w:rFonts w:ascii="宋体"/>
          <w:kern w:val="0"/>
          <w:szCs w:val="20"/>
        </w:rPr>
      </w:pPr>
      <w:r>
        <w:rPr>
          <w:rFonts w:ascii="宋体" w:hint="eastAsia"/>
          <w:kern w:val="0"/>
          <w:szCs w:val="20"/>
        </w:rPr>
        <w:t>实现充填料选择、充填设备联锁启停车、事故联锁停车。</w:t>
      </w:r>
    </w:p>
    <w:p w:rsidR="00565824" w:rsidRDefault="00565824" w:rsidP="00565824">
      <w:pPr>
        <w:pStyle w:val="a9"/>
        <w:numPr>
          <w:ilvl w:val="0"/>
          <w:numId w:val="3"/>
        </w:numPr>
        <w:spacing w:line="240" w:lineRule="auto"/>
        <w:ind w:left="708" w:firstLineChars="0"/>
        <w:rPr>
          <w:rFonts w:ascii="宋体"/>
          <w:kern w:val="0"/>
          <w:szCs w:val="20"/>
        </w:rPr>
      </w:pPr>
      <w:r>
        <w:rPr>
          <w:rFonts w:ascii="宋体" w:hint="eastAsia"/>
          <w:kern w:val="0"/>
          <w:szCs w:val="20"/>
        </w:rPr>
        <w:t xml:space="preserve"> 按照现场实际情况自动进行风、水联动造浆，根据配比控制充填料给料量。</w:t>
      </w:r>
    </w:p>
    <w:p w:rsidR="00565824" w:rsidRDefault="00565824" w:rsidP="00565824">
      <w:pPr>
        <w:numPr>
          <w:ilvl w:val="0"/>
          <w:numId w:val="3"/>
        </w:numPr>
        <w:spacing w:line="240" w:lineRule="auto"/>
        <w:ind w:left="0" w:firstLineChars="150" w:firstLine="315"/>
        <w:rPr>
          <w:rFonts w:ascii="宋体"/>
          <w:kern w:val="0"/>
          <w:szCs w:val="20"/>
        </w:rPr>
      </w:pPr>
      <w:r>
        <w:rPr>
          <w:rFonts w:ascii="宋体" w:hint="eastAsia"/>
          <w:kern w:val="0"/>
          <w:szCs w:val="20"/>
        </w:rPr>
        <w:t>搅拌槽</w:t>
      </w:r>
      <w:r w:rsidRPr="00815448">
        <w:rPr>
          <w:rFonts w:ascii="宋体" w:hint="eastAsia"/>
          <w:kern w:val="0"/>
          <w:szCs w:val="20"/>
        </w:rPr>
        <w:t>添加水管</w:t>
      </w:r>
      <w:r>
        <w:rPr>
          <w:rFonts w:ascii="宋体" w:hint="eastAsia"/>
          <w:kern w:val="0"/>
          <w:szCs w:val="20"/>
        </w:rPr>
        <w:t>根据充填砂浆浓度控制加水量。</w:t>
      </w:r>
    </w:p>
    <w:p w:rsidR="00865F04" w:rsidRDefault="00565824" w:rsidP="00565824">
      <w:pPr>
        <w:numPr>
          <w:ilvl w:val="0"/>
          <w:numId w:val="3"/>
        </w:numPr>
        <w:spacing w:line="240" w:lineRule="auto"/>
        <w:ind w:left="0" w:firstLineChars="150" w:firstLine="315"/>
        <w:rPr>
          <w:rFonts w:ascii="宋体"/>
          <w:kern w:val="0"/>
          <w:szCs w:val="20"/>
        </w:rPr>
      </w:pPr>
      <w:r>
        <w:rPr>
          <w:rFonts w:ascii="宋体" w:hint="eastAsia"/>
          <w:kern w:val="0"/>
          <w:szCs w:val="20"/>
        </w:rPr>
        <w:t>通过充填物料计量设备、输送设备、检测仪表、阀门及自动化控制模块共同协作实</w:t>
      </w:r>
      <w:r>
        <w:rPr>
          <w:rFonts w:ascii="宋体" w:hint="eastAsia"/>
          <w:kern w:val="0"/>
          <w:szCs w:val="20"/>
        </w:rPr>
        <w:lastRenderedPageBreak/>
        <w:t>现对整个充填过程的自动监视、控制与记录，实现“一键充填”</w:t>
      </w:r>
      <w:r w:rsidR="00D6044F" w:rsidRPr="00F07C3B">
        <w:rPr>
          <w:rFonts w:ascii="宋体" w:hint="eastAsia"/>
          <w:kern w:val="0"/>
          <w:szCs w:val="20"/>
        </w:rPr>
        <w:t>。</w:t>
      </w:r>
    </w:p>
    <w:p w:rsidR="00F07C3B" w:rsidRDefault="00F07C3B" w:rsidP="00F07C3B">
      <w:pPr>
        <w:pStyle w:val="5"/>
        <w:ind w:firstLine="482"/>
      </w:pPr>
      <w:r>
        <w:rPr>
          <w:rFonts w:hint="eastAsia"/>
        </w:rPr>
        <w:t>3.7</w:t>
      </w:r>
      <w:r w:rsidR="00A6536B">
        <w:rPr>
          <w:rFonts w:hint="eastAsia"/>
        </w:rPr>
        <w:t>智能化及数字化应用</w:t>
      </w:r>
    </w:p>
    <w:p w:rsidR="00F07C3B" w:rsidRPr="00F07C3B" w:rsidRDefault="00A6536B" w:rsidP="00F07C3B">
      <w:pPr>
        <w:pStyle w:val="af9"/>
        <w:rPr>
          <w:rFonts w:ascii="Times New Roman"/>
        </w:rPr>
      </w:pPr>
      <w:r>
        <w:rPr>
          <w:rFonts w:ascii="Times New Roman" w:hint="eastAsia"/>
        </w:rPr>
        <w:t>系统宜通过装备智能化、智能化巡检、视频智能分析、三维可视化、充填配比模型等成熟的智能化、数字化技术与应用，提高充填系统智能化水平</w:t>
      </w:r>
      <w:r w:rsidR="00F07C3B">
        <w:rPr>
          <w:rFonts w:hint="eastAsia"/>
        </w:rPr>
        <w:t>。</w:t>
      </w:r>
    </w:p>
    <w:p w:rsidR="00865F04" w:rsidRDefault="00D6044F">
      <w:pPr>
        <w:pStyle w:val="5"/>
        <w:ind w:firstLine="482"/>
      </w:pPr>
      <w:r>
        <w:rPr>
          <w:rFonts w:hint="eastAsia"/>
        </w:rPr>
        <w:t>3.8</w:t>
      </w:r>
      <w:r w:rsidR="00CF3E8F">
        <w:rPr>
          <w:rFonts w:hint="eastAsia"/>
        </w:rPr>
        <w:t>信息化</w:t>
      </w:r>
      <w:r w:rsidR="00CF3E8F">
        <w:t>管理</w:t>
      </w:r>
    </w:p>
    <w:p w:rsidR="00865F04" w:rsidRDefault="00D6044F">
      <w:pPr>
        <w:ind w:firstLine="420"/>
      </w:pPr>
      <w:r>
        <w:rPr>
          <w:rFonts w:hint="eastAsia"/>
        </w:rPr>
        <w:t>包含</w:t>
      </w:r>
      <w:r>
        <w:rPr>
          <w:rFonts w:hint="eastAsia"/>
          <w:szCs w:val="22"/>
        </w:rPr>
        <w:t>生产计划、调度管理、设备管理、物料管理、实验室样块记录及辅助分析、充填成本分析、劳动力生产分析、移动端应用等。</w:t>
      </w:r>
    </w:p>
    <w:p w:rsidR="00865F04" w:rsidRDefault="00D6044F">
      <w:pPr>
        <w:pStyle w:val="1"/>
      </w:pPr>
      <w:bookmarkStart w:id="14" w:name="_Toc100587288"/>
      <w:r w:rsidRPr="00564233">
        <w:rPr>
          <w:rFonts w:hint="eastAsia"/>
        </w:rPr>
        <w:t>四、主要试验（或验证）情况分析</w:t>
      </w:r>
      <w:bookmarkEnd w:id="14"/>
    </w:p>
    <w:p w:rsidR="00902F9C" w:rsidRPr="00902F9C" w:rsidRDefault="00814801" w:rsidP="00902F9C">
      <w:pPr>
        <w:ind w:firstLine="420"/>
      </w:pPr>
      <w:r>
        <w:rPr>
          <w:rFonts w:hint="eastAsia"/>
        </w:rPr>
        <w:t>本文件涉及内容均为行业内</w:t>
      </w:r>
      <w:r w:rsidR="001546EB">
        <w:rPr>
          <w:rFonts w:hint="eastAsia"/>
        </w:rPr>
        <w:t>或相关行业</w:t>
      </w:r>
      <w:r>
        <w:rPr>
          <w:rFonts w:hint="eastAsia"/>
        </w:rPr>
        <w:t>成熟技术，</w:t>
      </w:r>
      <w:r w:rsidR="0080310E">
        <w:rPr>
          <w:rFonts w:hint="eastAsia"/>
        </w:rPr>
        <w:t>暂</w:t>
      </w:r>
      <w:r w:rsidR="001546EB">
        <w:rPr>
          <w:rFonts w:hint="eastAsia"/>
        </w:rPr>
        <w:t>不需要开展试验或验证工作。</w:t>
      </w:r>
    </w:p>
    <w:p w:rsidR="00865F04" w:rsidRDefault="00D6044F">
      <w:pPr>
        <w:pStyle w:val="1"/>
        <w:rPr>
          <w:rFonts w:ascii="Times New Roman" w:hAnsi="Times New Roman"/>
        </w:rPr>
      </w:pPr>
      <w:bookmarkStart w:id="15" w:name="_Toc100587289"/>
      <w:bookmarkStart w:id="16" w:name="_Toc29892"/>
      <w:r>
        <w:rPr>
          <w:rFonts w:ascii="Times New Roman" w:hAnsi="Times New Roman" w:hint="eastAsia"/>
        </w:rPr>
        <w:t>五</w:t>
      </w:r>
      <w:r>
        <w:rPr>
          <w:rFonts w:ascii="Times New Roman" w:hAnsi="Times New Roman"/>
        </w:rPr>
        <w:t>、标准中如涉及专利，应有明确的知识产权说明</w:t>
      </w:r>
      <w:bookmarkEnd w:id="15"/>
      <w:bookmarkEnd w:id="16"/>
    </w:p>
    <w:p w:rsidR="00865F04" w:rsidRDefault="00D6044F">
      <w:pPr>
        <w:pStyle w:val="11"/>
      </w:pPr>
      <w:r>
        <w:t>本标准</w:t>
      </w:r>
      <w:r w:rsidR="004B6D10">
        <w:rPr>
          <w:rFonts w:hint="eastAsia"/>
        </w:rPr>
        <w:t>暂</w:t>
      </w:r>
      <w:r>
        <w:t>不涉及专利。</w:t>
      </w:r>
    </w:p>
    <w:p w:rsidR="00865F04" w:rsidRDefault="00D6044F">
      <w:pPr>
        <w:pStyle w:val="1"/>
        <w:rPr>
          <w:rFonts w:ascii="Times New Roman" w:hAnsi="Times New Roman"/>
        </w:rPr>
      </w:pPr>
      <w:bookmarkStart w:id="17" w:name="_Toc25347"/>
      <w:bookmarkStart w:id="18" w:name="_Toc100587290"/>
      <w:r>
        <w:rPr>
          <w:rFonts w:ascii="Times New Roman" w:hAnsi="Times New Roman" w:hint="eastAsia"/>
        </w:rPr>
        <w:t>六</w:t>
      </w:r>
      <w:r>
        <w:rPr>
          <w:rFonts w:ascii="Times New Roman" w:hAnsi="Times New Roman"/>
        </w:rPr>
        <w:t>、预期达到的经济效果</w:t>
      </w:r>
      <w:bookmarkEnd w:id="17"/>
      <w:bookmarkEnd w:id="18"/>
    </w:p>
    <w:p w:rsidR="00865F04" w:rsidRDefault="00D6044F">
      <w:pPr>
        <w:pStyle w:val="2"/>
        <w:spacing w:before="156" w:after="156"/>
      </w:pPr>
      <w:bookmarkStart w:id="19" w:name="_Toc100587291"/>
      <w:r>
        <w:rPr>
          <w:rFonts w:hint="eastAsia"/>
        </w:rPr>
        <w:t>6</w:t>
      </w:r>
      <w:r>
        <w:t>.1</w:t>
      </w:r>
      <w:r>
        <w:t>项目的必要性</w:t>
      </w:r>
      <w:bookmarkEnd w:id="19"/>
    </w:p>
    <w:p w:rsidR="00865F04" w:rsidRDefault="00D6044F" w:rsidP="00687419">
      <w:pPr>
        <w:spacing w:beforeLines="30" w:before="93" w:line="312" w:lineRule="auto"/>
        <w:ind w:firstLine="420"/>
      </w:pPr>
      <w:r>
        <w:rPr>
          <w:rFonts w:hint="eastAsia"/>
        </w:rPr>
        <w:t>有色金属矿山作为节能降耗重点行业，充填智能技术的标准化工作是推动绿色化改造、智能化升级、构建本质安全矿山的重要支撑，也是企业深挖节能潜力、提升能效水平的有效措施。</w:t>
      </w:r>
    </w:p>
    <w:p w:rsidR="00865F04" w:rsidRDefault="00D6044F" w:rsidP="00687419">
      <w:pPr>
        <w:spacing w:beforeLines="30" w:before="93" w:line="312" w:lineRule="auto"/>
        <w:ind w:firstLine="420"/>
      </w:pPr>
      <w:r>
        <w:rPr>
          <w:rFonts w:hint="eastAsia"/>
        </w:rPr>
        <w:t>发展有色金属矿山高浓度膏体智能充填技术是国家推进绿色矿山建设的需要，是有色金属矿山深部开采的安全保障。</w:t>
      </w:r>
    </w:p>
    <w:p w:rsidR="00865F04" w:rsidRDefault="00D6044F">
      <w:pPr>
        <w:ind w:firstLine="420"/>
      </w:pPr>
      <w:r>
        <w:rPr>
          <w:rFonts w:hint="eastAsia"/>
        </w:rPr>
        <w:t>本标准的制定能够填矿山充填领域智能系统技术标准的空白，规范矿山高浓度膏体智能充填系统工作的一致性，确保矿山充填技术更加正确快速开展智能化升级改造，提升企业能效水平，制定《有色金属矿山高浓度膏体充填智能系统技术规范》势在必行。</w:t>
      </w:r>
    </w:p>
    <w:p w:rsidR="00865F04" w:rsidRDefault="00D6044F">
      <w:pPr>
        <w:pStyle w:val="2"/>
        <w:spacing w:before="156" w:after="156"/>
        <w:rPr>
          <w:rFonts w:ascii="宋体" w:hAnsi="宋体"/>
        </w:rPr>
      </w:pPr>
      <w:bookmarkStart w:id="20" w:name="_Toc100587292"/>
      <w:r>
        <w:rPr>
          <w:rFonts w:hint="eastAsia"/>
        </w:rPr>
        <w:t>6.2</w:t>
      </w:r>
      <w:r>
        <w:rPr>
          <w:rFonts w:ascii="宋体" w:hAnsi="宋体"/>
        </w:rPr>
        <w:t>项目的可行性</w:t>
      </w:r>
      <w:bookmarkEnd w:id="20"/>
    </w:p>
    <w:p w:rsidR="00865F04" w:rsidRDefault="00D6044F" w:rsidP="00687419">
      <w:pPr>
        <w:spacing w:beforeLines="30" w:before="93" w:line="312" w:lineRule="auto"/>
        <w:ind w:firstLine="420"/>
      </w:pPr>
      <w:r>
        <w:rPr>
          <w:rFonts w:hint="eastAsia"/>
        </w:rPr>
        <w:t>近年来，国家多部委相继发布《深化“互联网</w:t>
      </w:r>
      <w:r>
        <w:rPr>
          <w:rFonts w:hint="eastAsia"/>
        </w:rPr>
        <w:t>+</w:t>
      </w:r>
      <w:r>
        <w:rPr>
          <w:rFonts w:hint="eastAsia"/>
        </w:rPr>
        <w:t>先进制造业”发展工业互联网的指导意见》、《中国制造</w:t>
      </w:r>
      <w:r>
        <w:rPr>
          <w:rFonts w:hint="eastAsia"/>
        </w:rPr>
        <w:t>2025</w:t>
      </w:r>
      <w:r>
        <w:rPr>
          <w:rFonts w:hint="eastAsia"/>
        </w:rPr>
        <w:t>》蓝皮书、《有色金属行业智能矿山建设指南（试行）》、《有色金属行业智能矿山建设指南（试行）》等，对矿山智能化建设提出了方向，同时提出了建设路径。《“十三五”资源领域科技创新专项规划》提出“为全面提升我国矿山行业的生产技术水平，推动传统行业的转型升级，充分利用现代通信、传感、信息与通讯技术，实现矿山生产过程的自动检测、智能监测、智能控制与智慧调度，有效提高矿山资源综合回收利用率、劳动生产率和经济效益收益率。”《有色金属工业发展规划（</w:t>
      </w:r>
      <w:r>
        <w:rPr>
          <w:rFonts w:hint="eastAsia"/>
        </w:rPr>
        <w:t>2016-2020</w:t>
      </w:r>
      <w:r>
        <w:rPr>
          <w:rFonts w:hint="eastAsia"/>
        </w:rPr>
        <w:t>年）》中要求，以技术创新为驱动力，以高端材料、绿色发展、两化融合、资源保障、国际合作等为重点，加</w:t>
      </w:r>
      <w:r>
        <w:rPr>
          <w:rFonts w:hint="eastAsia"/>
        </w:rPr>
        <w:lastRenderedPageBreak/>
        <w:t>快产业转型升级，拓展行业发展新空间，我国有色金属工业到</w:t>
      </w:r>
      <w:r>
        <w:rPr>
          <w:rFonts w:hint="eastAsia"/>
        </w:rPr>
        <w:t xml:space="preserve"> 2020 </w:t>
      </w:r>
      <w:r>
        <w:rPr>
          <w:rFonts w:hint="eastAsia"/>
        </w:rPr>
        <w:t>年底迈入世界强国行列。《节能环保产业发展规划》要求对节能产业，环保产业和循环利用产业提供技术，产品和服务等支持，促进绿色经济产业链的形成与发展。国家及行业相关政策，引领矿山加速智能化升级改造的步伐，也为金属非金属矿山高浓度</w:t>
      </w:r>
      <w:r>
        <w:rPr>
          <w:rFonts w:hint="eastAsia"/>
        </w:rPr>
        <w:t>/</w:t>
      </w:r>
      <w:r>
        <w:rPr>
          <w:rFonts w:hint="eastAsia"/>
        </w:rPr>
        <w:t>膏体充填技术指明了方向，既打造“安全、高效、智能、绿色”的新型矿山智能充填系统模式，以建设少人、无人矿山为终极目标，围绕矿山行业、物联网、大数据、人工智能等深度融合的关键环节，大力推进充填智能化系统的研发、创新和应用。</w:t>
      </w:r>
    </w:p>
    <w:p w:rsidR="00865F04" w:rsidRDefault="00D6044F">
      <w:pPr>
        <w:pStyle w:val="2"/>
        <w:spacing w:before="156" w:after="156"/>
        <w:rPr>
          <w:rFonts w:ascii="宋体" w:hAnsi="宋体"/>
        </w:rPr>
      </w:pPr>
      <w:bookmarkStart w:id="21" w:name="_Toc100587293"/>
      <w:r>
        <w:rPr>
          <w:rFonts w:hint="eastAsia"/>
        </w:rPr>
        <w:t>6.3</w:t>
      </w:r>
      <w:r>
        <w:rPr>
          <w:rFonts w:ascii="宋体" w:hAnsi="宋体"/>
        </w:rPr>
        <w:t>标准的先进性、创新性、标准实施后预期产生的经济效益和社会效益</w:t>
      </w:r>
      <w:bookmarkEnd w:id="21"/>
    </w:p>
    <w:p w:rsidR="00865F04" w:rsidRDefault="00D6044F">
      <w:pPr>
        <w:ind w:firstLine="420"/>
      </w:pPr>
      <w:r>
        <w:rPr>
          <w:rFonts w:hint="eastAsia"/>
        </w:rPr>
        <w:t>1</w:t>
      </w:r>
      <w:r>
        <w:rPr>
          <w:rFonts w:hint="eastAsia"/>
        </w:rPr>
        <w:t>、标准实施后预期达到的社会效益</w:t>
      </w:r>
    </w:p>
    <w:p w:rsidR="00865F04" w:rsidRDefault="00D6044F">
      <w:pPr>
        <w:ind w:firstLine="420"/>
      </w:pPr>
      <w:r>
        <w:rPr>
          <w:rFonts w:hint="eastAsia"/>
        </w:rPr>
        <w:t>有色金属矿山作为节能降耗重点行业，充填智能系统的标准化工作是推动绿色化改造、智能化升级、构建本质安全矿山的重要支撑，也是企业深挖节能潜力、提升能效水平的有效措施。</w:t>
      </w:r>
    </w:p>
    <w:p w:rsidR="00865F04" w:rsidRDefault="00D6044F">
      <w:pPr>
        <w:ind w:firstLine="420"/>
      </w:pPr>
      <w:r>
        <w:rPr>
          <w:rFonts w:hint="eastAsia"/>
        </w:rPr>
        <w:t>2</w:t>
      </w:r>
      <w:r>
        <w:rPr>
          <w:rFonts w:hint="eastAsia"/>
        </w:rPr>
        <w:t>、标准实施后对产业发展的作用</w:t>
      </w:r>
    </w:p>
    <w:p w:rsidR="00865F04" w:rsidRDefault="00D6044F">
      <w:pPr>
        <w:ind w:firstLine="420"/>
      </w:pPr>
      <w:r>
        <w:rPr>
          <w:rFonts w:hint="eastAsia"/>
        </w:rPr>
        <w:t>本标准的制定能够填矿山充填领域智能系统技术标准的空白，规范矿山高浓度膏体充填智能系统工作的一致性，确保矿山充填技术更加正确快速开展智能化升级改造，提升企业能效水平。</w:t>
      </w:r>
    </w:p>
    <w:p w:rsidR="00865F04" w:rsidRDefault="00D6044F">
      <w:pPr>
        <w:pStyle w:val="1"/>
        <w:rPr>
          <w:rFonts w:ascii="Times New Roman" w:hAnsi="Times New Roman"/>
        </w:rPr>
      </w:pPr>
      <w:bookmarkStart w:id="22" w:name="_Toc11724"/>
      <w:bookmarkStart w:id="23" w:name="_Toc100587294"/>
      <w:r>
        <w:rPr>
          <w:rFonts w:ascii="Times New Roman" w:hAnsi="Times New Roman" w:hint="eastAsia"/>
        </w:rPr>
        <w:t>七</w:t>
      </w:r>
      <w:r>
        <w:rPr>
          <w:rFonts w:ascii="Times New Roman" w:hAnsi="Times New Roman"/>
        </w:rPr>
        <w:t>、采用国际标准或国外先进标准的</w:t>
      </w:r>
      <w:r>
        <w:rPr>
          <w:rFonts w:ascii="Times New Roman" w:hAnsi="Times New Roman" w:hint="eastAsia"/>
        </w:rPr>
        <w:t>对</w:t>
      </w:r>
      <w:r>
        <w:rPr>
          <w:rFonts w:ascii="Times New Roman" w:hAnsi="Times New Roman"/>
        </w:rPr>
        <w:t>比情况</w:t>
      </w:r>
      <w:bookmarkEnd w:id="22"/>
      <w:bookmarkEnd w:id="23"/>
    </w:p>
    <w:p w:rsidR="00865F04" w:rsidRDefault="00D6044F">
      <w:pPr>
        <w:ind w:firstLine="420"/>
      </w:pPr>
      <w:r>
        <w:rPr>
          <w:rFonts w:hint="eastAsia"/>
        </w:rPr>
        <w:t>本标准没有采用国际标准。</w:t>
      </w:r>
    </w:p>
    <w:p w:rsidR="00865F04" w:rsidRDefault="00D6044F">
      <w:pPr>
        <w:ind w:firstLine="420"/>
      </w:pPr>
      <w:r>
        <w:rPr>
          <w:rFonts w:hint="eastAsia"/>
        </w:rPr>
        <w:t>本标准制订过程中未查到同类国际、国外标准。</w:t>
      </w:r>
    </w:p>
    <w:p w:rsidR="00865F04" w:rsidRDefault="00D6044F">
      <w:pPr>
        <w:pStyle w:val="1"/>
        <w:rPr>
          <w:rFonts w:ascii="Times New Roman" w:hAnsi="Times New Roman"/>
        </w:rPr>
      </w:pPr>
      <w:bookmarkStart w:id="24" w:name="_Toc100587295"/>
      <w:bookmarkStart w:id="25" w:name="_Toc2066"/>
      <w:r>
        <w:rPr>
          <w:rFonts w:ascii="Times New Roman" w:hAnsi="Times New Roman" w:hint="eastAsia"/>
        </w:rPr>
        <w:t>八</w:t>
      </w:r>
      <w:r>
        <w:rPr>
          <w:rFonts w:ascii="Times New Roman" w:hAnsi="Times New Roman"/>
        </w:rPr>
        <w:t>、与现行法律、法规、强制性国家标准及相关标准协调配套情况</w:t>
      </w:r>
      <w:bookmarkEnd w:id="24"/>
      <w:bookmarkEnd w:id="25"/>
    </w:p>
    <w:p w:rsidR="00865F04" w:rsidRDefault="00D6044F">
      <w:pPr>
        <w:ind w:firstLine="420"/>
      </w:pPr>
      <w:r>
        <w:t>本标准与现行法律、法规、规章和相关标准协调一致，标准的格式和表达方式等方面完全执行了现行的国家标准和有关法规，符合</w:t>
      </w:r>
      <w:r>
        <w:t>GB/T 1.1</w:t>
      </w:r>
      <w:r>
        <w:t>的有关要求。</w:t>
      </w:r>
    </w:p>
    <w:p w:rsidR="00865F04" w:rsidRDefault="00D6044F">
      <w:pPr>
        <w:pStyle w:val="1"/>
        <w:rPr>
          <w:rFonts w:ascii="Times New Roman" w:hAnsi="Times New Roman"/>
        </w:rPr>
      </w:pPr>
      <w:bookmarkStart w:id="26" w:name="_Toc24992"/>
      <w:bookmarkStart w:id="27" w:name="_Toc100587296"/>
      <w:r>
        <w:rPr>
          <w:rFonts w:ascii="Times New Roman" w:hAnsi="Times New Roman" w:hint="eastAsia"/>
        </w:rPr>
        <w:t>九、</w:t>
      </w:r>
      <w:r>
        <w:rPr>
          <w:rFonts w:ascii="Times New Roman" w:hAnsi="Times New Roman"/>
        </w:rPr>
        <w:t>重大分歧意见的处理经过和依据</w:t>
      </w:r>
      <w:bookmarkEnd w:id="26"/>
      <w:bookmarkEnd w:id="27"/>
    </w:p>
    <w:p w:rsidR="00865F04" w:rsidRDefault="00D6044F">
      <w:pPr>
        <w:ind w:firstLine="420"/>
      </w:pPr>
      <w:r>
        <w:t>本标准未产生重大分歧意见。</w:t>
      </w:r>
    </w:p>
    <w:p w:rsidR="00865F04" w:rsidRDefault="00D6044F">
      <w:pPr>
        <w:pStyle w:val="1"/>
        <w:rPr>
          <w:rFonts w:ascii="Times New Roman" w:hAnsi="Times New Roman"/>
        </w:rPr>
      </w:pPr>
      <w:bookmarkStart w:id="28" w:name="_Toc23301"/>
      <w:bookmarkStart w:id="29" w:name="_Toc100587297"/>
      <w:r>
        <w:rPr>
          <w:rFonts w:ascii="Times New Roman" w:hAnsi="Times New Roman" w:hint="eastAsia"/>
        </w:rPr>
        <w:t>十</w:t>
      </w:r>
      <w:r>
        <w:rPr>
          <w:rFonts w:ascii="Times New Roman" w:hAnsi="Times New Roman"/>
        </w:rPr>
        <w:t>、</w:t>
      </w:r>
      <w:bookmarkEnd w:id="28"/>
      <w:r>
        <w:rPr>
          <w:rFonts w:ascii="Times New Roman" w:hAnsi="Times New Roman"/>
          <w:szCs w:val="21"/>
        </w:rPr>
        <w:t>标准性质的建议说明</w:t>
      </w:r>
      <w:bookmarkEnd w:id="29"/>
    </w:p>
    <w:p w:rsidR="00865F04" w:rsidRDefault="00D6044F">
      <w:pPr>
        <w:ind w:firstLine="420"/>
      </w:pPr>
      <w:r>
        <w:t>根据标准化法和有关规定，</w:t>
      </w:r>
      <w:r w:rsidRPr="00564233">
        <w:t>建议本标准的性质为</w:t>
      </w:r>
      <w:r w:rsidR="004B6D10" w:rsidRPr="00564233">
        <w:rPr>
          <w:rFonts w:hint="eastAsia"/>
        </w:rPr>
        <w:t>推荐性协会</w:t>
      </w:r>
      <w:r w:rsidRPr="00564233">
        <w:t>标准。</w:t>
      </w:r>
    </w:p>
    <w:p w:rsidR="00865F04" w:rsidRDefault="00D6044F">
      <w:pPr>
        <w:pStyle w:val="1"/>
        <w:rPr>
          <w:rFonts w:ascii="Times New Roman" w:hAnsi="Times New Roman"/>
          <w:szCs w:val="21"/>
        </w:rPr>
      </w:pPr>
      <w:bookmarkStart w:id="30" w:name="_Toc100587298"/>
      <w:bookmarkStart w:id="31" w:name="_Toc25724"/>
      <w:r>
        <w:rPr>
          <w:rFonts w:ascii="Times New Roman" w:hAnsi="Times New Roman"/>
        </w:rPr>
        <w:t>十</w:t>
      </w:r>
      <w:r>
        <w:rPr>
          <w:rFonts w:ascii="Times New Roman" w:hAnsi="Times New Roman" w:hint="eastAsia"/>
        </w:rPr>
        <w:t>一</w:t>
      </w:r>
      <w:r>
        <w:rPr>
          <w:rFonts w:ascii="Times New Roman" w:hAnsi="Times New Roman"/>
        </w:rPr>
        <w:t>、贯彻标准的要求和措施建议</w:t>
      </w:r>
      <w:bookmarkEnd w:id="30"/>
      <w:bookmarkEnd w:id="31"/>
    </w:p>
    <w:p w:rsidR="00865F04" w:rsidRDefault="00D6044F">
      <w:pPr>
        <w:ind w:firstLine="420"/>
      </w:pPr>
      <w:r>
        <w:t>本标准的技术内容是推荐性的，建议标准发布后即可实施，建议本标准由各级人民政府</w:t>
      </w:r>
      <w:r>
        <w:lastRenderedPageBreak/>
        <w:t>的工业和信息化行政主管部门负责监督实施。</w:t>
      </w:r>
    </w:p>
    <w:p w:rsidR="00865F04" w:rsidRDefault="00D6044F">
      <w:pPr>
        <w:ind w:firstLine="420"/>
      </w:pPr>
      <w:r>
        <w:t>本次制定的《</w:t>
      </w:r>
      <w:r>
        <w:rPr>
          <w:rFonts w:hint="eastAsia"/>
        </w:rPr>
        <w:t>有色</w:t>
      </w:r>
      <w:r>
        <w:t>金属矿山高浓度膏体充填智能系统</w:t>
      </w:r>
      <w:r>
        <w:rPr>
          <w:rFonts w:hint="eastAsia"/>
        </w:rPr>
        <w:t>技术</w:t>
      </w:r>
      <w:r>
        <w:t>规范》，不仅与生产企业有关，而且与评价机构、行业监督管理部门等相关。对于标准使用过程中容易出现的问题，起草单位有义务进行必要的解释。</w:t>
      </w:r>
    </w:p>
    <w:p w:rsidR="00865F04" w:rsidRDefault="00D6044F">
      <w:pPr>
        <w:pStyle w:val="1"/>
        <w:rPr>
          <w:rFonts w:ascii="Times New Roman" w:hAnsi="Times New Roman"/>
        </w:rPr>
      </w:pPr>
      <w:bookmarkStart w:id="32" w:name="_Toc100587299"/>
      <w:bookmarkStart w:id="33" w:name="_Toc13952"/>
      <w:r>
        <w:rPr>
          <w:rFonts w:ascii="Times New Roman" w:hAnsi="Times New Roman"/>
        </w:rPr>
        <w:t>十</w:t>
      </w:r>
      <w:r>
        <w:rPr>
          <w:rFonts w:ascii="Times New Roman" w:hAnsi="Times New Roman" w:hint="eastAsia"/>
        </w:rPr>
        <w:t>二</w:t>
      </w:r>
      <w:r>
        <w:rPr>
          <w:rFonts w:ascii="Times New Roman" w:hAnsi="Times New Roman"/>
        </w:rPr>
        <w:t>、废止现行有关标准的建议</w:t>
      </w:r>
      <w:bookmarkEnd w:id="32"/>
      <w:bookmarkEnd w:id="33"/>
    </w:p>
    <w:p w:rsidR="00865F04" w:rsidRDefault="00D6044F">
      <w:pPr>
        <w:ind w:firstLine="420"/>
      </w:pPr>
      <w:r>
        <w:t>本标准为首次制定，无代替标准。</w:t>
      </w:r>
    </w:p>
    <w:p w:rsidR="00865F04" w:rsidRDefault="00D6044F">
      <w:pPr>
        <w:pStyle w:val="1"/>
        <w:rPr>
          <w:rFonts w:ascii="Times New Roman" w:hAnsi="Times New Roman"/>
        </w:rPr>
      </w:pPr>
      <w:bookmarkStart w:id="34" w:name="_Toc11029"/>
      <w:bookmarkStart w:id="35" w:name="_Toc100587300"/>
      <w:r>
        <w:rPr>
          <w:rFonts w:ascii="Times New Roman" w:hAnsi="Times New Roman"/>
        </w:rPr>
        <w:t>十</w:t>
      </w:r>
      <w:r>
        <w:rPr>
          <w:rFonts w:ascii="Times New Roman" w:hAnsi="Times New Roman" w:hint="eastAsia"/>
        </w:rPr>
        <w:t>三</w:t>
      </w:r>
      <w:r>
        <w:rPr>
          <w:rFonts w:ascii="Times New Roman" w:hAnsi="Times New Roman"/>
        </w:rPr>
        <w:t>、</w:t>
      </w:r>
      <w:bookmarkEnd w:id="34"/>
      <w:r>
        <w:rPr>
          <w:rFonts w:ascii="Times New Roman" w:hAnsi="Times New Roman"/>
          <w:szCs w:val="21"/>
        </w:rPr>
        <w:t>其他应予说明的事项</w:t>
      </w:r>
      <w:bookmarkEnd w:id="35"/>
    </w:p>
    <w:p w:rsidR="00865F04" w:rsidRDefault="00D6044F">
      <w:pPr>
        <w:ind w:firstLine="420"/>
        <w:rPr>
          <w:szCs w:val="18"/>
        </w:rPr>
      </w:pPr>
      <w:r>
        <w:t>本标准无其他应予说明的事项。</w:t>
      </w:r>
    </w:p>
    <w:p w:rsidR="00865F04" w:rsidRDefault="00865F04">
      <w:pPr>
        <w:ind w:firstLine="420"/>
        <w:jc w:val="right"/>
        <w:rPr>
          <w:rFonts w:ascii="Times New Roman" w:hAnsi="Times New Roman"/>
          <w:szCs w:val="21"/>
        </w:rPr>
      </w:pPr>
    </w:p>
    <w:p w:rsidR="00865F04" w:rsidRDefault="00865F04">
      <w:pPr>
        <w:ind w:firstLine="420"/>
        <w:jc w:val="right"/>
        <w:rPr>
          <w:rFonts w:ascii="Times New Roman" w:hAnsi="Times New Roman"/>
          <w:szCs w:val="21"/>
        </w:rPr>
      </w:pPr>
    </w:p>
    <w:p w:rsidR="00865F04" w:rsidRDefault="00865F04">
      <w:pPr>
        <w:pStyle w:val="a1"/>
      </w:pPr>
    </w:p>
    <w:p w:rsidR="0080310E" w:rsidRDefault="0080310E">
      <w:pPr>
        <w:pStyle w:val="a1"/>
      </w:pPr>
    </w:p>
    <w:p w:rsidR="0080310E" w:rsidRDefault="0080310E">
      <w:pPr>
        <w:pStyle w:val="a1"/>
        <w:rPr>
          <w:rFonts w:hint="eastAsia"/>
        </w:rPr>
      </w:pPr>
      <w:bookmarkStart w:id="36" w:name="_GoBack"/>
      <w:bookmarkEnd w:id="36"/>
    </w:p>
    <w:p w:rsidR="00865F04" w:rsidRDefault="00D6044F">
      <w:pPr>
        <w:pStyle w:val="11"/>
        <w:jc w:val="right"/>
      </w:pPr>
      <w:r>
        <w:t>《</w:t>
      </w:r>
      <w:r>
        <w:rPr>
          <w:rFonts w:hint="eastAsia"/>
        </w:rPr>
        <w:t>有色</w:t>
      </w:r>
      <w:r>
        <w:t>金属矿山高浓度膏体充填智能系统</w:t>
      </w:r>
      <w:r>
        <w:rPr>
          <w:rFonts w:hint="eastAsia"/>
        </w:rPr>
        <w:t>技术</w:t>
      </w:r>
      <w:r>
        <w:t>规范》</w:t>
      </w:r>
      <w:r>
        <w:rPr>
          <w:rFonts w:hint="eastAsia"/>
        </w:rPr>
        <w:t>编制组</w:t>
      </w:r>
    </w:p>
    <w:p w:rsidR="00865F04" w:rsidRDefault="00D6044F">
      <w:pPr>
        <w:pStyle w:val="11"/>
        <w:jc w:val="right"/>
      </w:pPr>
      <w:bookmarkStart w:id="37" w:name="_Toc5605_WPSOffice_Level1"/>
      <w:r>
        <w:t>202</w:t>
      </w:r>
      <w:r w:rsidR="00EE713B">
        <w:rPr>
          <w:rFonts w:hint="eastAsia"/>
        </w:rPr>
        <w:t>3</w:t>
      </w:r>
      <w:r>
        <w:t>年</w:t>
      </w:r>
      <w:r w:rsidR="00EE713B">
        <w:rPr>
          <w:rFonts w:hint="eastAsia"/>
        </w:rPr>
        <w:t>4</w:t>
      </w:r>
      <w:r>
        <w:t>月</w:t>
      </w:r>
      <w:bookmarkEnd w:id="37"/>
      <w:r w:rsidR="00EE713B">
        <w:rPr>
          <w:rFonts w:hint="eastAsia"/>
        </w:rPr>
        <w:t>2</w:t>
      </w:r>
      <w:r>
        <w:rPr>
          <w:rFonts w:hint="eastAsia"/>
        </w:rPr>
        <w:t>日</w:t>
      </w:r>
    </w:p>
    <w:sectPr w:rsidR="00865F04" w:rsidSect="00865F04">
      <w:footerReference w:type="even" r:id="rId28"/>
      <w:footerReference w:type="default" r:id="rId29"/>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696" w:rsidRDefault="00614696">
      <w:pPr>
        <w:spacing w:line="240" w:lineRule="auto"/>
        <w:ind w:firstLine="420"/>
      </w:pPr>
      <w:r>
        <w:separator/>
      </w:r>
    </w:p>
  </w:endnote>
  <w:endnote w:type="continuationSeparator" w:id="0">
    <w:p w:rsidR="00614696" w:rsidRDefault="00614696">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nt-weight : 400">
    <w:altName w:val="Calibri"/>
    <w:charset w:val="00"/>
    <w:family w:val="auto"/>
    <w:pitch w:val="default"/>
    <w:sig w:usb0="00000000" w:usb1="00000000" w:usb2="00000000" w:usb3="00000000" w:csb0="00040001" w:csb1="00000000"/>
  </w:font>
  <w:font w:name="font-weight : 700">
    <w:altName w:val="Calibri"/>
    <w:charset w:val="00"/>
    <w:family w:val="auto"/>
    <w:pitch w:val="default"/>
    <w:sig w:usb0="00000000" w:usb1="00000000" w:usb2="0000000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F04" w:rsidRDefault="00865F04">
    <w:pPr>
      <w:pStyle w:val="ac"/>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F04" w:rsidRDefault="00614696">
    <w:pPr>
      <w:pStyle w:val="ac"/>
      <w:ind w:firstLine="360"/>
    </w:pPr>
    <w:r>
      <w:pict>
        <v:shapetype id="_x0000_t202" coordsize="21600,21600" o:spt="202" path="m,l,21600r21600,l21600,xe">
          <v:stroke joinstyle="miter"/>
          <v:path gradientshapeok="t" o:connecttype="rect"/>
        </v:shapetype>
        <v:shape id="_x0000_s2049" type="#_x0000_t202" style="position:absolute;left:0;text-align:left;margin-left:694.4pt;margin-top:0;width:2in;height:2in;z-index:25165568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865F04" w:rsidRDefault="00865F04">
                <w:pPr>
                  <w:pStyle w:val="ac"/>
                  <w:ind w:firstLine="360"/>
                </w:pPr>
              </w:p>
            </w:txbxContent>
          </v:textbox>
          <w10:wrap anchorx="margin"/>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F04" w:rsidRDefault="00865F04">
    <w:pPr>
      <w:pStyle w:val="ac"/>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F04" w:rsidRDefault="00614696">
    <w:pPr>
      <w:pStyle w:val="ac"/>
      <w:ind w:firstLine="360"/>
    </w:pPr>
    <w:r>
      <w:pict>
        <v:shapetype id="_x0000_t202" coordsize="21600,21600" o:spt="202" path="m,l,21600r21600,l21600,xe">
          <v:stroke joinstyle="miter"/>
          <v:path gradientshapeok="t" o:connecttype="rect"/>
        </v:shapetype>
        <v:shape id="文本框 6" o:spid="_x0000_s2052" type="#_x0000_t202" style="position:absolute;left:0;text-align:left;margin-left:694.4pt;margin-top:0;width:2in;height:2in;z-index:25165772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rsidR="00865F04" w:rsidRDefault="00AE340B">
                <w:pPr>
                  <w:pStyle w:val="ac"/>
                  <w:ind w:firstLine="360"/>
                </w:pPr>
                <w:r>
                  <w:fldChar w:fldCharType="begin"/>
                </w:r>
                <w:r w:rsidR="00D6044F">
                  <w:instrText xml:space="preserve"> PAGE  \* MERGEFORMAT </w:instrText>
                </w:r>
                <w:r>
                  <w:fldChar w:fldCharType="separate"/>
                </w:r>
                <w:r w:rsidR="00D6044F">
                  <w:rPr>
                    <w:rFonts w:hint="eastAsia"/>
                  </w:rPr>
                  <w:t>2</w:t>
                </w:r>
                <w:r>
                  <w:fldChar w:fldCharType="end"/>
                </w:r>
              </w:p>
            </w:txbxContent>
          </v:textbox>
          <w10:wrap anchorx="margin"/>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F04" w:rsidRDefault="00614696">
    <w:pPr>
      <w:pStyle w:val="ac"/>
      <w:tabs>
        <w:tab w:val="clear" w:pos="4153"/>
      </w:tabs>
      <w:ind w:firstLine="360"/>
    </w:pPr>
    <w:r>
      <w:pict>
        <v:shapetype id="_x0000_t202" coordsize="21600,21600" o:spt="202" path="m,l,21600r21600,l21600,xe">
          <v:stroke joinstyle="miter"/>
          <v:path gradientshapeok="t" o:connecttype="rect"/>
        </v:shapetype>
        <v:shape id="文本框 5" o:spid="_x0000_s2051" type="#_x0000_t202" style="position:absolute;left:0;text-align:left;margin-left:694.4pt;margin-top:0;width:2in;height:2in;z-index:25165670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fit-shape-to-text:t" inset="0,0,0,0">
            <w:txbxContent>
              <w:p w:rsidR="00865F04" w:rsidRDefault="00AE340B">
                <w:pPr>
                  <w:pStyle w:val="ac"/>
                  <w:ind w:firstLine="360"/>
                </w:pPr>
                <w:r>
                  <w:fldChar w:fldCharType="begin"/>
                </w:r>
                <w:r w:rsidR="00D6044F">
                  <w:instrText xml:space="preserve"> PAGE  \* MERGEFORMAT </w:instrText>
                </w:r>
                <w:r>
                  <w:fldChar w:fldCharType="separate"/>
                </w:r>
                <w:r w:rsidR="0080310E">
                  <w:rPr>
                    <w:noProof/>
                  </w:rPr>
                  <w:t>I</w:t>
                </w:r>
                <w:r>
                  <w:fldChar w:fldCharType="end"/>
                </w:r>
              </w:p>
            </w:txbxContent>
          </v:textbox>
          <w10:wrap anchorx="margin"/>
        </v:shape>
      </w:pict>
    </w:r>
    <w:r w:rsidR="00D6044F">
      <w:rPr>
        <w:rFonts w:hint="eastAsia"/>
      </w:rPr>
      <w:tab/>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F04" w:rsidRDefault="00614696">
    <w:pPr>
      <w:pStyle w:val="ac"/>
      <w:ind w:firstLine="360"/>
    </w:pPr>
    <w:r>
      <w:pict>
        <v:shapetype id="_x0000_t202" coordsize="21600,21600" o:spt="202" path="m,l,21600r21600,l21600,xe">
          <v:stroke joinstyle="miter"/>
          <v:path gradientshapeok="t" o:connecttype="rect"/>
        </v:shapetype>
        <v:shape id="_x0000_s2055" type="#_x0000_t202" style="position:absolute;left:0;text-align:left;margin-left:694.4pt;margin-top:0;width:2in;height:2in;z-index:25165977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rsidR="00865F04" w:rsidRDefault="00AE340B">
                <w:pPr>
                  <w:pStyle w:val="ac"/>
                  <w:ind w:firstLineChars="0" w:firstLine="0"/>
                </w:pPr>
                <w:r>
                  <w:fldChar w:fldCharType="begin"/>
                </w:r>
                <w:r w:rsidR="00D6044F">
                  <w:instrText xml:space="preserve"> PAGE  \* MERGEFORMAT </w:instrText>
                </w:r>
                <w:r>
                  <w:fldChar w:fldCharType="separate"/>
                </w:r>
                <w:r w:rsidR="0080310E">
                  <w:rPr>
                    <w:noProof/>
                  </w:rPr>
                  <w:t>10</w:t>
                </w:r>
                <w:r>
                  <w:fldChar w:fldCharType="end"/>
                </w:r>
              </w:p>
            </w:txbxContent>
          </v:textbox>
          <w10:wrap anchorx="margin"/>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F04" w:rsidRDefault="00614696">
    <w:pPr>
      <w:pStyle w:val="ac"/>
      <w:tabs>
        <w:tab w:val="clear" w:pos="4153"/>
      </w:tabs>
      <w:ind w:firstLine="360"/>
    </w:pPr>
    <w:r>
      <w:pict>
        <v:shapetype id="_x0000_t202" coordsize="21600,21600" o:spt="202" path="m,l,21600r21600,l21600,xe">
          <v:stroke joinstyle="miter"/>
          <v:path gradientshapeok="t" o:connecttype="rect"/>
        </v:shapetype>
        <v:shape id="_x0000_s2054" type="#_x0000_t202" style="position:absolute;left:0;text-align:left;margin-left:694.4pt;margin-top:0;width:2in;height:2in;z-index:25165875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fit-shape-to-text:t" inset="0,0,0,0">
            <w:txbxContent>
              <w:p w:rsidR="00865F04" w:rsidRDefault="00AE340B">
                <w:pPr>
                  <w:pStyle w:val="ac"/>
                  <w:ind w:firstLine="360"/>
                </w:pPr>
                <w:r>
                  <w:fldChar w:fldCharType="begin"/>
                </w:r>
                <w:r w:rsidR="00D6044F">
                  <w:instrText xml:space="preserve"> PAGE  \* MERGEFORMAT </w:instrText>
                </w:r>
                <w:r>
                  <w:fldChar w:fldCharType="separate"/>
                </w:r>
                <w:r w:rsidR="0080310E">
                  <w:rPr>
                    <w:noProof/>
                  </w:rPr>
                  <w:t>9</w:t>
                </w:r>
                <w:r>
                  <w:fldChar w:fldCharType="end"/>
                </w:r>
              </w:p>
            </w:txbxContent>
          </v:textbox>
          <w10:wrap anchorx="margin"/>
        </v:shape>
      </w:pict>
    </w:r>
    <w:r w:rsidR="00D6044F">
      <w:rPr>
        <w:rFonts w:hint="eastAsia"/>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696" w:rsidRDefault="00614696">
      <w:pPr>
        <w:ind w:firstLine="420"/>
      </w:pPr>
      <w:r>
        <w:separator/>
      </w:r>
    </w:p>
  </w:footnote>
  <w:footnote w:type="continuationSeparator" w:id="0">
    <w:p w:rsidR="00614696" w:rsidRDefault="00614696">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F04" w:rsidRDefault="00865F04">
    <w:pPr>
      <w:pStyle w:val="ae"/>
      <w:pBdr>
        <w:bottom w:val="none" w:sz="0" w:space="1" w:color="auto"/>
      </w:pBdr>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F04" w:rsidRDefault="00865F04">
    <w:pPr>
      <w:pStyle w:val="ae"/>
      <w:pBdr>
        <w:bottom w:val="none" w:sz="0" w:space="1"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F04" w:rsidRDefault="00865F04">
    <w:pPr>
      <w:pStyle w:val="ae"/>
      <w:ind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F04" w:rsidRDefault="00D6044F">
    <w:pPr>
      <w:pStyle w:val="ae"/>
      <w:pBdr>
        <w:bottom w:val="none" w:sz="0" w:space="1" w:color="auto"/>
      </w:pBdr>
      <w:ind w:firstLine="360"/>
      <w:jc w:val="left"/>
    </w:pPr>
    <w:r>
      <w:rPr>
        <w:rFonts w:hint="eastAsia"/>
      </w:rPr>
      <w:t>YS XXXX-XXXX</w:t>
    </w:r>
  </w:p>
  <w:p w:rsidR="00865F04" w:rsidRDefault="00865F04">
    <w:pPr>
      <w:pStyle w:val="ae"/>
      <w:pBdr>
        <w:bottom w:val="none" w:sz="0" w:space="1" w:color="auto"/>
      </w:pBdr>
      <w:ind w:firstLine="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F04" w:rsidRDefault="00D6044F">
    <w:pPr>
      <w:pStyle w:val="ae"/>
      <w:pBdr>
        <w:bottom w:val="none" w:sz="0" w:space="1" w:color="auto"/>
      </w:pBdr>
      <w:ind w:firstLine="360"/>
      <w:jc w:val="right"/>
    </w:pPr>
    <w:r>
      <w:rPr>
        <w:rFonts w:hint="eastAsia"/>
      </w:rPr>
      <w:t>YS/T XXXX-XXXX</w:t>
    </w:r>
  </w:p>
  <w:p w:rsidR="00865F04" w:rsidRDefault="00865F04">
    <w:pPr>
      <w:pStyle w:val="ae"/>
      <w:pBdr>
        <w:bottom w:val="none" w:sz="0" w:space="1" w:color="auto"/>
      </w:pBdr>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2DC225"/>
    <w:multiLevelType w:val="singleLevel"/>
    <w:tmpl w:val="A12DC225"/>
    <w:lvl w:ilvl="0">
      <w:start w:val="3"/>
      <w:numFmt w:val="chineseCounting"/>
      <w:suff w:val="nothing"/>
      <w:lvlText w:val="%1、"/>
      <w:lvlJc w:val="left"/>
      <w:rPr>
        <w:rFonts w:hint="eastAsia"/>
      </w:rPr>
    </w:lvl>
  </w:abstractNum>
  <w:abstractNum w:abstractNumId="1" w15:restartNumberingAfterBreak="0">
    <w:nsid w:val="D7A8A59F"/>
    <w:multiLevelType w:val="singleLevel"/>
    <w:tmpl w:val="D7A8A59F"/>
    <w:lvl w:ilvl="0">
      <w:start w:val="2"/>
      <w:numFmt w:val="chineseCounting"/>
      <w:suff w:val="nothing"/>
      <w:lvlText w:val="（%1）"/>
      <w:lvlJc w:val="left"/>
      <w:rPr>
        <w:rFonts w:hint="eastAsia"/>
      </w:rPr>
    </w:lvl>
  </w:abstractNum>
  <w:abstractNum w:abstractNumId="2" w15:restartNumberingAfterBreak="0">
    <w:nsid w:val="FC6E67C9"/>
    <w:multiLevelType w:val="singleLevel"/>
    <w:tmpl w:val="FC6E67C9"/>
    <w:lvl w:ilvl="0">
      <w:start w:val="1"/>
      <w:numFmt w:val="decimal"/>
      <w:lvlText w:val="(%1)"/>
      <w:lvlJc w:val="left"/>
      <w:pPr>
        <w:ind w:left="850" w:hanging="425"/>
      </w:pPr>
      <w:rPr>
        <w:rFonts w:hint="default"/>
      </w:rPr>
    </w:lvl>
  </w:abstractNum>
  <w:abstractNum w:abstractNumId="3"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15:restartNumberingAfterBreak="0">
    <w:nsid w:val="76933334"/>
    <w:multiLevelType w:val="multilevel"/>
    <w:tmpl w:val="76933334"/>
    <w:lvl w:ilvl="0">
      <w:start w:val="1"/>
      <w:numFmt w:val="none"/>
      <w:pStyle w:val="a"/>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attachedTemplate r:id="rId1"/>
  <w:defaultTabStop w:val="420"/>
  <w:evenAndOddHeaders/>
  <w:drawingGridHorizontalSpacing w:val="90"/>
  <w:drawingGridVerticalSpacing w:val="156"/>
  <w:noPunctuationKerning/>
  <w:characterSpacingControl w:val="compressPunctuation"/>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A0ZTE1MDQwYmQ4ZDI4Y2VmNTA1NDdiNThiYWRjY2UifQ=="/>
  </w:docVars>
  <w:rsids>
    <w:rsidRoot w:val="53114ABC"/>
    <w:rsid w:val="00004443"/>
    <w:rsid w:val="00014DBA"/>
    <w:rsid w:val="000204CA"/>
    <w:rsid w:val="00020AC2"/>
    <w:rsid w:val="00034E3C"/>
    <w:rsid w:val="00035BA6"/>
    <w:rsid w:val="00036888"/>
    <w:rsid w:val="000468BD"/>
    <w:rsid w:val="000473DC"/>
    <w:rsid w:val="00047E2C"/>
    <w:rsid w:val="00050689"/>
    <w:rsid w:val="00064C27"/>
    <w:rsid w:val="00081F56"/>
    <w:rsid w:val="00095CD8"/>
    <w:rsid w:val="000B234C"/>
    <w:rsid w:val="000C10DD"/>
    <w:rsid w:val="000C3731"/>
    <w:rsid w:val="000D56B1"/>
    <w:rsid w:val="000D689F"/>
    <w:rsid w:val="000E204A"/>
    <w:rsid w:val="000E741C"/>
    <w:rsid w:val="00113E98"/>
    <w:rsid w:val="00120C23"/>
    <w:rsid w:val="00132BD7"/>
    <w:rsid w:val="00141830"/>
    <w:rsid w:val="001535AC"/>
    <w:rsid w:val="001546EB"/>
    <w:rsid w:val="0016167A"/>
    <w:rsid w:val="00163001"/>
    <w:rsid w:val="001706CA"/>
    <w:rsid w:val="0017422E"/>
    <w:rsid w:val="0018008F"/>
    <w:rsid w:val="001804A7"/>
    <w:rsid w:val="00181774"/>
    <w:rsid w:val="001823AB"/>
    <w:rsid w:val="00183795"/>
    <w:rsid w:val="001A2703"/>
    <w:rsid w:val="001A434F"/>
    <w:rsid w:val="001A4DA5"/>
    <w:rsid w:val="001A5A31"/>
    <w:rsid w:val="001B40F1"/>
    <w:rsid w:val="001B6B11"/>
    <w:rsid w:val="001B7F01"/>
    <w:rsid w:val="001B7F7F"/>
    <w:rsid w:val="001F25D6"/>
    <w:rsid w:val="001F3185"/>
    <w:rsid w:val="0020204A"/>
    <w:rsid w:val="00220CB1"/>
    <w:rsid w:val="00225F2B"/>
    <w:rsid w:val="00271FAE"/>
    <w:rsid w:val="002935A8"/>
    <w:rsid w:val="00295E6E"/>
    <w:rsid w:val="002A3215"/>
    <w:rsid w:val="002B3B9B"/>
    <w:rsid w:val="002B3C92"/>
    <w:rsid w:val="002B49BC"/>
    <w:rsid w:val="002C4F4B"/>
    <w:rsid w:val="002F0CB2"/>
    <w:rsid w:val="002F78E8"/>
    <w:rsid w:val="00314429"/>
    <w:rsid w:val="00317D1B"/>
    <w:rsid w:val="003277D6"/>
    <w:rsid w:val="003651F5"/>
    <w:rsid w:val="0037514F"/>
    <w:rsid w:val="003776EE"/>
    <w:rsid w:val="003A0D43"/>
    <w:rsid w:val="003A2017"/>
    <w:rsid w:val="003B4331"/>
    <w:rsid w:val="003C0C29"/>
    <w:rsid w:val="003C3F5C"/>
    <w:rsid w:val="003C7BE4"/>
    <w:rsid w:val="003D1D30"/>
    <w:rsid w:val="003E63A8"/>
    <w:rsid w:val="003E7608"/>
    <w:rsid w:val="00402790"/>
    <w:rsid w:val="00407021"/>
    <w:rsid w:val="00407345"/>
    <w:rsid w:val="0044014A"/>
    <w:rsid w:val="00476A34"/>
    <w:rsid w:val="00481F1D"/>
    <w:rsid w:val="004A3CFD"/>
    <w:rsid w:val="004A7835"/>
    <w:rsid w:val="004B3DFA"/>
    <w:rsid w:val="004B5362"/>
    <w:rsid w:val="004B6D10"/>
    <w:rsid w:val="004C117D"/>
    <w:rsid w:val="004C7607"/>
    <w:rsid w:val="004C76B7"/>
    <w:rsid w:val="004E2C37"/>
    <w:rsid w:val="004E6073"/>
    <w:rsid w:val="004F4C2E"/>
    <w:rsid w:val="00501627"/>
    <w:rsid w:val="005055D8"/>
    <w:rsid w:val="00511A69"/>
    <w:rsid w:val="005221C1"/>
    <w:rsid w:val="00522485"/>
    <w:rsid w:val="00526E34"/>
    <w:rsid w:val="0052734C"/>
    <w:rsid w:val="005378E6"/>
    <w:rsid w:val="00541CEA"/>
    <w:rsid w:val="00546004"/>
    <w:rsid w:val="00557E1E"/>
    <w:rsid w:val="00560077"/>
    <w:rsid w:val="00561551"/>
    <w:rsid w:val="00563A34"/>
    <w:rsid w:val="00564233"/>
    <w:rsid w:val="00565824"/>
    <w:rsid w:val="005733DA"/>
    <w:rsid w:val="00585503"/>
    <w:rsid w:val="005A1570"/>
    <w:rsid w:val="005C6381"/>
    <w:rsid w:val="006005D8"/>
    <w:rsid w:val="00604C5A"/>
    <w:rsid w:val="00614696"/>
    <w:rsid w:val="006521A4"/>
    <w:rsid w:val="00656FDE"/>
    <w:rsid w:val="00657261"/>
    <w:rsid w:val="00657D38"/>
    <w:rsid w:val="00665E0D"/>
    <w:rsid w:val="00666BA7"/>
    <w:rsid w:val="00675222"/>
    <w:rsid w:val="00680B71"/>
    <w:rsid w:val="00681B0F"/>
    <w:rsid w:val="00687419"/>
    <w:rsid w:val="006A6D49"/>
    <w:rsid w:val="006C5874"/>
    <w:rsid w:val="006D13B0"/>
    <w:rsid w:val="006D4819"/>
    <w:rsid w:val="006D4A88"/>
    <w:rsid w:val="00707AD6"/>
    <w:rsid w:val="00721269"/>
    <w:rsid w:val="0072423D"/>
    <w:rsid w:val="007250D3"/>
    <w:rsid w:val="00731ED6"/>
    <w:rsid w:val="00733CF7"/>
    <w:rsid w:val="00736C97"/>
    <w:rsid w:val="00753B4B"/>
    <w:rsid w:val="00757AB9"/>
    <w:rsid w:val="00762DF5"/>
    <w:rsid w:val="00776D22"/>
    <w:rsid w:val="00781FA8"/>
    <w:rsid w:val="007A08B0"/>
    <w:rsid w:val="007A743C"/>
    <w:rsid w:val="007D4685"/>
    <w:rsid w:val="007E07DC"/>
    <w:rsid w:val="007E2173"/>
    <w:rsid w:val="008021FD"/>
    <w:rsid w:val="0080299D"/>
    <w:rsid w:val="0080310E"/>
    <w:rsid w:val="00814801"/>
    <w:rsid w:val="00852C36"/>
    <w:rsid w:val="00865F04"/>
    <w:rsid w:val="00874366"/>
    <w:rsid w:val="00876E8A"/>
    <w:rsid w:val="008805AA"/>
    <w:rsid w:val="00886F7F"/>
    <w:rsid w:val="008E2B45"/>
    <w:rsid w:val="008E2C76"/>
    <w:rsid w:val="008E6A38"/>
    <w:rsid w:val="008E7154"/>
    <w:rsid w:val="008F1418"/>
    <w:rsid w:val="00902F9C"/>
    <w:rsid w:val="00910AE0"/>
    <w:rsid w:val="00912C2B"/>
    <w:rsid w:val="0091522B"/>
    <w:rsid w:val="00920046"/>
    <w:rsid w:val="00921051"/>
    <w:rsid w:val="009254ED"/>
    <w:rsid w:val="00990279"/>
    <w:rsid w:val="009B0735"/>
    <w:rsid w:val="009C2EC8"/>
    <w:rsid w:val="009C4498"/>
    <w:rsid w:val="009D291E"/>
    <w:rsid w:val="009E091B"/>
    <w:rsid w:val="009E16C1"/>
    <w:rsid w:val="009F11C7"/>
    <w:rsid w:val="009F1FA7"/>
    <w:rsid w:val="009F3948"/>
    <w:rsid w:val="009F6364"/>
    <w:rsid w:val="00A04AA2"/>
    <w:rsid w:val="00A06452"/>
    <w:rsid w:val="00A111B7"/>
    <w:rsid w:val="00A243BC"/>
    <w:rsid w:val="00A26C2A"/>
    <w:rsid w:val="00A3636D"/>
    <w:rsid w:val="00A477FD"/>
    <w:rsid w:val="00A51B32"/>
    <w:rsid w:val="00A56AFE"/>
    <w:rsid w:val="00A62141"/>
    <w:rsid w:val="00A6257C"/>
    <w:rsid w:val="00A6536B"/>
    <w:rsid w:val="00A65D83"/>
    <w:rsid w:val="00A7179A"/>
    <w:rsid w:val="00A95429"/>
    <w:rsid w:val="00A973BA"/>
    <w:rsid w:val="00AC30F4"/>
    <w:rsid w:val="00AD1CA0"/>
    <w:rsid w:val="00AD6E25"/>
    <w:rsid w:val="00AE1E1D"/>
    <w:rsid w:val="00AE340B"/>
    <w:rsid w:val="00AE5813"/>
    <w:rsid w:val="00AF21C6"/>
    <w:rsid w:val="00AF70A4"/>
    <w:rsid w:val="00B1234A"/>
    <w:rsid w:val="00B14851"/>
    <w:rsid w:val="00B26DBD"/>
    <w:rsid w:val="00B30C2F"/>
    <w:rsid w:val="00B315AD"/>
    <w:rsid w:val="00B61358"/>
    <w:rsid w:val="00B739C8"/>
    <w:rsid w:val="00B81DA5"/>
    <w:rsid w:val="00B92C9F"/>
    <w:rsid w:val="00B9615B"/>
    <w:rsid w:val="00BA273C"/>
    <w:rsid w:val="00BA2CCA"/>
    <w:rsid w:val="00BC4B05"/>
    <w:rsid w:val="00BC756B"/>
    <w:rsid w:val="00BE441E"/>
    <w:rsid w:val="00C0269A"/>
    <w:rsid w:val="00C03DBB"/>
    <w:rsid w:val="00C051F7"/>
    <w:rsid w:val="00C15B0D"/>
    <w:rsid w:val="00C3771E"/>
    <w:rsid w:val="00C4011A"/>
    <w:rsid w:val="00C46000"/>
    <w:rsid w:val="00C656F4"/>
    <w:rsid w:val="00C72066"/>
    <w:rsid w:val="00C97210"/>
    <w:rsid w:val="00CB28C0"/>
    <w:rsid w:val="00CC219E"/>
    <w:rsid w:val="00CC6501"/>
    <w:rsid w:val="00CD6AB4"/>
    <w:rsid w:val="00CE1BFB"/>
    <w:rsid w:val="00CF3E8F"/>
    <w:rsid w:val="00CF64F9"/>
    <w:rsid w:val="00D07553"/>
    <w:rsid w:val="00D1434B"/>
    <w:rsid w:val="00D40A73"/>
    <w:rsid w:val="00D42918"/>
    <w:rsid w:val="00D443D7"/>
    <w:rsid w:val="00D6044F"/>
    <w:rsid w:val="00D723C7"/>
    <w:rsid w:val="00D91349"/>
    <w:rsid w:val="00D9214D"/>
    <w:rsid w:val="00D937A5"/>
    <w:rsid w:val="00D93884"/>
    <w:rsid w:val="00DB0A9C"/>
    <w:rsid w:val="00DB3741"/>
    <w:rsid w:val="00DC6685"/>
    <w:rsid w:val="00DF608C"/>
    <w:rsid w:val="00E164A0"/>
    <w:rsid w:val="00E44ABB"/>
    <w:rsid w:val="00E46AE0"/>
    <w:rsid w:val="00E47332"/>
    <w:rsid w:val="00E51B15"/>
    <w:rsid w:val="00E651C7"/>
    <w:rsid w:val="00E717ED"/>
    <w:rsid w:val="00E77767"/>
    <w:rsid w:val="00E92CC3"/>
    <w:rsid w:val="00EA4E84"/>
    <w:rsid w:val="00EB55A0"/>
    <w:rsid w:val="00EC7A13"/>
    <w:rsid w:val="00ED4090"/>
    <w:rsid w:val="00EE39F8"/>
    <w:rsid w:val="00EE713B"/>
    <w:rsid w:val="00EF71DE"/>
    <w:rsid w:val="00F02EAA"/>
    <w:rsid w:val="00F07C3B"/>
    <w:rsid w:val="00F13CDB"/>
    <w:rsid w:val="00F30781"/>
    <w:rsid w:val="00F31042"/>
    <w:rsid w:val="00F34881"/>
    <w:rsid w:val="00F41FEB"/>
    <w:rsid w:val="00F43B51"/>
    <w:rsid w:val="00F51765"/>
    <w:rsid w:val="00F65C80"/>
    <w:rsid w:val="00F82EEE"/>
    <w:rsid w:val="00F8628C"/>
    <w:rsid w:val="00FC08F8"/>
    <w:rsid w:val="00FE3D4F"/>
    <w:rsid w:val="00FF56A2"/>
    <w:rsid w:val="00FF680F"/>
    <w:rsid w:val="0114260A"/>
    <w:rsid w:val="012D5BC1"/>
    <w:rsid w:val="015B7E57"/>
    <w:rsid w:val="01964C1C"/>
    <w:rsid w:val="01E64964"/>
    <w:rsid w:val="01F770E2"/>
    <w:rsid w:val="0206781B"/>
    <w:rsid w:val="022B544F"/>
    <w:rsid w:val="023C0B9E"/>
    <w:rsid w:val="02624D9E"/>
    <w:rsid w:val="029801E7"/>
    <w:rsid w:val="02C13066"/>
    <w:rsid w:val="02C52EFE"/>
    <w:rsid w:val="02CE26AE"/>
    <w:rsid w:val="02D850A0"/>
    <w:rsid w:val="02F025C9"/>
    <w:rsid w:val="02FD7E48"/>
    <w:rsid w:val="035F56DF"/>
    <w:rsid w:val="037A518F"/>
    <w:rsid w:val="03CA6DD4"/>
    <w:rsid w:val="03CD301B"/>
    <w:rsid w:val="04292B69"/>
    <w:rsid w:val="045F3465"/>
    <w:rsid w:val="04E21712"/>
    <w:rsid w:val="0513468E"/>
    <w:rsid w:val="052375F9"/>
    <w:rsid w:val="055966EB"/>
    <w:rsid w:val="059B2EFB"/>
    <w:rsid w:val="06936C78"/>
    <w:rsid w:val="06A438F6"/>
    <w:rsid w:val="06A96575"/>
    <w:rsid w:val="06E331EE"/>
    <w:rsid w:val="077B1B56"/>
    <w:rsid w:val="077F1313"/>
    <w:rsid w:val="078540B0"/>
    <w:rsid w:val="07DE7CA5"/>
    <w:rsid w:val="07E9355D"/>
    <w:rsid w:val="08295507"/>
    <w:rsid w:val="08413375"/>
    <w:rsid w:val="08474C53"/>
    <w:rsid w:val="08852D0C"/>
    <w:rsid w:val="08C60A6A"/>
    <w:rsid w:val="08D93038"/>
    <w:rsid w:val="08EC6901"/>
    <w:rsid w:val="08F40AD4"/>
    <w:rsid w:val="096D481B"/>
    <w:rsid w:val="09720E75"/>
    <w:rsid w:val="09A0742A"/>
    <w:rsid w:val="09A40751"/>
    <w:rsid w:val="09C33753"/>
    <w:rsid w:val="09C53FE8"/>
    <w:rsid w:val="09FA61BC"/>
    <w:rsid w:val="0A084F47"/>
    <w:rsid w:val="0A1024C7"/>
    <w:rsid w:val="0A3328B0"/>
    <w:rsid w:val="0A4F7F87"/>
    <w:rsid w:val="0A665215"/>
    <w:rsid w:val="0AA8516A"/>
    <w:rsid w:val="0AB16C7A"/>
    <w:rsid w:val="0AC2220D"/>
    <w:rsid w:val="0ACB6CBD"/>
    <w:rsid w:val="0ADA6FB6"/>
    <w:rsid w:val="0AEA2153"/>
    <w:rsid w:val="0B05012F"/>
    <w:rsid w:val="0B1035D9"/>
    <w:rsid w:val="0B3B3CA4"/>
    <w:rsid w:val="0B54108E"/>
    <w:rsid w:val="0BB13339"/>
    <w:rsid w:val="0BFC5982"/>
    <w:rsid w:val="0C0D4B54"/>
    <w:rsid w:val="0C185A2D"/>
    <w:rsid w:val="0C19387C"/>
    <w:rsid w:val="0C280CBD"/>
    <w:rsid w:val="0C2918D4"/>
    <w:rsid w:val="0CB63EFD"/>
    <w:rsid w:val="0D271E8E"/>
    <w:rsid w:val="0D292A91"/>
    <w:rsid w:val="0D712803"/>
    <w:rsid w:val="0D8263DF"/>
    <w:rsid w:val="0D862043"/>
    <w:rsid w:val="0DA11596"/>
    <w:rsid w:val="0DDE6D96"/>
    <w:rsid w:val="0DF260C4"/>
    <w:rsid w:val="0DF84CC6"/>
    <w:rsid w:val="0DFF0F24"/>
    <w:rsid w:val="0E7F677A"/>
    <w:rsid w:val="0ED57193"/>
    <w:rsid w:val="0EDA0E5E"/>
    <w:rsid w:val="0EE86234"/>
    <w:rsid w:val="0F1058F2"/>
    <w:rsid w:val="0F120820"/>
    <w:rsid w:val="0F8745A9"/>
    <w:rsid w:val="0FAB5A32"/>
    <w:rsid w:val="103E3B1A"/>
    <w:rsid w:val="106A594C"/>
    <w:rsid w:val="10742555"/>
    <w:rsid w:val="10D27858"/>
    <w:rsid w:val="10D71718"/>
    <w:rsid w:val="10F65F0B"/>
    <w:rsid w:val="10FC0441"/>
    <w:rsid w:val="11223884"/>
    <w:rsid w:val="113108FC"/>
    <w:rsid w:val="118212DD"/>
    <w:rsid w:val="11971D7A"/>
    <w:rsid w:val="11C96F13"/>
    <w:rsid w:val="11D53EE6"/>
    <w:rsid w:val="11EB797F"/>
    <w:rsid w:val="11F63211"/>
    <w:rsid w:val="12136509"/>
    <w:rsid w:val="126828C9"/>
    <w:rsid w:val="12C22C2E"/>
    <w:rsid w:val="12C42616"/>
    <w:rsid w:val="12C96C23"/>
    <w:rsid w:val="12E51CC7"/>
    <w:rsid w:val="12E55EE1"/>
    <w:rsid w:val="130E3CD5"/>
    <w:rsid w:val="13290056"/>
    <w:rsid w:val="13880828"/>
    <w:rsid w:val="13D13CC4"/>
    <w:rsid w:val="141E3C7F"/>
    <w:rsid w:val="1480248F"/>
    <w:rsid w:val="1489698D"/>
    <w:rsid w:val="14B609E3"/>
    <w:rsid w:val="14E87BBC"/>
    <w:rsid w:val="14EC6B03"/>
    <w:rsid w:val="14F567B2"/>
    <w:rsid w:val="159359B0"/>
    <w:rsid w:val="15987E41"/>
    <w:rsid w:val="16020E79"/>
    <w:rsid w:val="16B6361F"/>
    <w:rsid w:val="16B86BAE"/>
    <w:rsid w:val="16D2295A"/>
    <w:rsid w:val="16F058A0"/>
    <w:rsid w:val="17167E38"/>
    <w:rsid w:val="174728A3"/>
    <w:rsid w:val="177779B0"/>
    <w:rsid w:val="179C7DC0"/>
    <w:rsid w:val="17BD7C87"/>
    <w:rsid w:val="181C3FF9"/>
    <w:rsid w:val="18225BBA"/>
    <w:rsid w:val="182A4ADF"/>
    <w:rsid w:val="18300B2F"/>
    <w:rsid w:val="18442D45"/>
    <w:rsid w:val="18463880"/>
    <w:rsid w:val="18481666"/>
    <w:rsid w:val="18771F37"/>
    <w:rsid w:val="187954F9"/>
    <w:rsid w:val="18C337DC"/>
    <w:rsid w:val="18E22D82"/>
    <w:rsid w:val="18E4748C"/>
    <w:rsid w:val="18ED21A9"/>
    <w:rsid w:val="18FC17FC"/>
    <w:rsid w:val="190C632D"/>
    <w:rsid w:val="192119E1"/>
    <w:rsid w:val="193075EB"/>
    <w:rsid w:val="193B4181"/>
    <w:rsid w:val="19B5146D"/>
    <w:rsid w:val="19C05A58"/>
    <w:rsid w:val="19E36F8C"/>
    <w:rsid w:val="1AC942E2"/>
    <w:rsid w:val="1B0B6E02"/>
    <w:rsid w:val="1B3B3D29"/>
    <w:rsid w:val="1B9A59B3"/>
    <w:rsid w:val="1C07014A"/>
    <w:rsid w:val="1C176B2D"/>
    <w:rsid w:val="1C47705D"/>
    <w:rsid w:val="1C811F0A"/>
    <w:rsid w:val="1C8D6513"/>
    <w:rsid w:val="1CC67938"/>
    <w:rsid w:val="1CD04AA0"/>
    <w:rsid w:val="1CE51CB6"/>
    <w:rsid w:val="1CFC5E4F"/>
    <w:rsid w:val="1D170A7F"/>
    <w:rsid w:val="1D1C084F"/>
    <w:rsid w:val="1D7761FB"/>
    <w:rsid w:val="1D834466"/>
    <w:rsid w:val="1DA922E2"/>
    <w:rsid w:val="1DD82835"/>
    <w:rsid w:val="1DF01ADD"/>
    <w:rsid w:val="1E0557BF"/>
    <w:rsid w:val="1E0960FB"/>
    <w:rsid w:val="1E270E79"/>
    <w:rsid w:val="1E365DD6"/>
    <w:rsid w:val="1EC30F81"/>
    <w:rsid w:val="1ED47E09"/>
    <w:rsid w:val="1EDF64F5"/>
    <w:rsid w:val="1F815BB7"/>
    <w:rsid w:val="1F9C5FCB"/>
    <w:rsid w:val="1FBA6363"/>
    <w:rsid w:val="1FD43B4B"/>
    <w:rsid w:val="1FD962AE"/>
    <w:rsid w:val="1FDF335D"/>
    <w:rsid w:val="20144EE1"/>
    <w:rsid w:val="20882669"/>
    <w:rsid w:val="20A770D1"/>
    <w:rsid w:val="20A77CCD"/>
    <w:rsid w:val="20BA19CE"/>
    <w:rsid w:val="20BB0DA1"/>
    <w:rsid w:val="20EF7946"/>
    <w:rsid w:val="2150112A"/>
    <w:rsid w:val="219A3D96"/>
    <w:rsid w:val="21BE12E8"/>
    <w:rsid w:val="21E93A9D"/>
    <w:rsid w:val="22261F1D"/>
    <w:rsid w:val="22287EDC"/>
    <w:rsid w:val="22360FA9"/>
    <w:rsid w:val="227A128A"/>
    <w:rsid w:val="22A542BD"/>
    <w:rsid w:val="22AD307A"/>
    <w:rsid w:val="22F31C10"/>
    <w:rsid w:val="23750DB0"/>
    <w:rsid w:val="23896CC5"/>
    <w:rsid w:val="239D680B"/>
    <w:rsid w:val="23A02C21"/>
    <w:rsid w:val="24010B95"/>
    <w:rsid w:val="2479609D"/>
    <w:rsid w:val="247D572C"/>
    <w:rsid w:val="24830D85"/>
    <w:rsid w:val="24C03395"/>
    <w:rsid w:val="253D1088"/>
    <w:rsid w:val="254E5B6C"/>
    <w:rsid w:val="259A016F"/>
    <w:rsid w:val="25AC6DE6"/>
    <w:rsid w:val="25D90BC9"/>
    <w:rsid w:val="25FE1C6F"/>
    <w:rsid w:val="260773CD"/>
    <w:rsid w:val="26222F25"/>
    <w:rsid w:val="26240D86"/>
    <w:rsid w:val="267F7CDF"/>
    <w:rsid w:val="26AF5FF1"/>
    <w:rsid w:val="26BD6583"/>
    <w:rsid w:val="26C00634"/>
    <w:rsid w:val="271074A6"/>
    <w:rsid w:val="27C55CE7"/>
    <w:rsid w:val="28070FF8"/>
    <w:rsid w:val="28137B8F"/>
    <w:rsid w:val="285D3C12"/>
    <w:rsid w:val="288923D6"/>
    <w:rsid w:val="28972D43"/>
    <w:rsid w:val="28A62D0D"/>
    <w:rsid w:val="28FE2441"/>
    <w:rsid w:val="290A5339"/>
    <w:rsid w:val="291E73BB"/>
    <w:rsid w:val="292305B3"/>
    <w:rsid w:val="2951626D"/>
    <w:rsid w:val="29A3531A"/>
    <w:rsid w:val="29AD565C"/>
    <w:rsid w:val="29EB6527"/>
    <w:rsid w:val="2A221C5D"/>
    <w:rsid w:val="2A33095A"/>
    <w:rsid w:val="2A5A1CD0"/>
    <w:rsid w:val="2A894F95"/>
    <w:rsid w:val="2AC404CC"/>
    <w:rsid w:val="2ACA7EA9"/>
    <w:rsid w:val="2B4A15D2"/>
    <w:rsid w:val="2B540F57"/>
    <w:rsid w:val="2B645524"/>
    <w:rsid w:val="2B76045C"/>
    <w:rsid w:val="2B7C39A4"/>
    <w:rsid w:val="2B977003"/>
    <w:rsid w:val="2BBF6D83"/>
    <w:rsid w:val="2BC53D90"/>
    <w:rsid w:val="2BE43D93"/>
    <w:rsid w:val="2BEF318A"/>
    <w:rsid w:val="2C061EA0"/>
    <w:rsid w:val="2C11093B"/>
    <w:rsid w:val="2C22265E"/>
    <w:rsid w:val="2C374435"/>
    <w:rsid w:val="2C786459"/>
    <w:rsid w:val="2C894C69"/>
    <w:rsid w:val="2C9F3FD4"/>
    <w:rsid w:val="2CA16006"/>
    <w:rsid w:val="2CB429DC"/>
    <w:rsid w:val="2D080983"/>
    <w:rsid w:val="2D0E4DD1"/>
    <w:rsid w:val="2D236826"/>
    <w:rsid w:val="2D37529C"/>
    <w:rsid w:val="2DCE5491"/>
    <w:rsid w:val="2E283222"/>
    <w:rsid w:val="2E2D4E4A"/>
    <w:rsid w:val="2E305CDE"/>
    <w:rsid w:val="2E4B2D00"/>
    <w:rsid w:val="2E9B3FA8"/>
    <w:rsid w:val="2EBD03FF"/>
    <w:rsid w:val="2EC3504B"/>
    <w:rsid w:val="2ECB07EC"/>
    <w:rsid w:val="2ED26C7E"/>
    <w:rsid w:val="2EFE026B"/>
    <w:rsid w:val="2F22744A"/>
    <w:rsid w:val="2F4626E6"/>
    <w:rsid w:val="2F9E35F0"/>
    <w:rsid w:val="2FB45A06"/>
    <w:rsid w:val="2FF372E6"/>
    <w:rsid w:val="30116DDD"/>
    <w:rsid w:val="30335796"/>
    <w:rsid w:val="303B3EBD"/>
    <w:rsid w:val="30C361FD"/>
    <w:rsid w:val="30EB1AD3"/>
    <w:rsid w:val="31133926"/>
    <w:rsid w:val="313D6780"/>
    <w:rsid w:val="314A0000"/>
    <w:rsid w:val="315A50BF"/>
    <w:rsid w:val="31622117"/>
    <w:rsid w:val="316810B6"/>
    <w:rsid w:val="31C06E6D"/>
    <w:rsid w:val="31D55565"/>
    <w:rsid w:val="31E670A8"/>
    <w:rsid w:val="31EF3B33"/>
    <w:rsid w:val="322E16BB"/>
    <w:rsid w:val="328A4FE6"/>
    <w:rsid w:val="32D35D03"/>
    <w:rsid w:val="330A3004"/>
    <w:rsid w:val="332443AB"/>
    <w:rsid w:val="3346109E"/>
    <w:rsid w:val="33500016"/>
    <w:rsid w:val="336B6A36"/>
    <w:rsid w:val="33D01C0E"/>
    <w:rsid w:val="33E63480"/>
    <w:rsid w:val="3401773D"/>
    <w:rsid w:val="3408708B"/>
    <w:rsid w:val="343764DD"/>
    <w:rsid w:val="34EB56A2"/>
    <w:rsid w:val="34F628DE"/>
    <w:rsid w:val="353702F2"/>
    <w:rsid w:val="354B103B"/>
    <w:rsid w:val="35AA402E"/>
    <w:rsid w:val="35D73EF1"/>
    <w:rsid w:val="364D0C95"/>
    <w:rsid w:val="366E4528"/>
    <w:rsid w:val="36786AB2"/>
    <w:rsid w:val="368D71AA"/>
    <w:rsid w:val="36A56917"/>
    <w:rsid w:val="36A92E97"/>
    <w:rsid w:val="36CF0904"/>
    <w:rsid w:val="37060C60"/>
    <w:rsid w:val="372B789B"/>
    <w:rsid w:val="37422912"/>
    <w:rsid w:val="374E267F"/>
    <w:rsid w:val="376A680A"/>
    <w:rsid w:val="379414C8"/>
    <w:rsid w:val="379D6736"/>
    <w:rsid w:val="37A02878"/>
    <w:rsid w:val="37D50EB8"/>
    <w:rsid w:val="37D86B6B"/>
    <w:rsid w:val="37F60924"/>
    <w:rsid w:val="381D6E59"/>
    <w:rsid w:val="38727468"/>
    <w:rsid w:val="38DC73D9"/>
    <w:rsid w:val="38E718C0"/>
    <w:rsid w:val="38FF50E4"/>
    <w:rsid w:val="3937049F"/>
    <w:rsid w:val="39384C08"/>
    <w:rsid w:val="39463B5F"/>
    <w:rsid w:val="399228D2"/>
    <w:rsid w:val="39AD0AA8"/>
    <w:rsid w:val="3A2A5921"/>
    <w:rsid w:val="3A736703"/>
    <w:rsid w:val="3A9B2E97"/>
    <w:rsid w:val="3AA027BE"/>
    <w:rsid w:val="3AD02444"/>
    <w:rsid w:val="3AE67626"/>
    <w:rsid w:val="3AF863B5"/>
    <w:rsid w:val="3B4A788D"/>
    <w:rsid w:val="3B5676FC"/>
    <w:rsid w:val="3BB72AA6"/>
    <w:rsid w:val="3BBF2B5C"/>
    <w:rsid w:val="3C0B624C"/>
    <w:rsid w:val="3C241117"/>
    <w:rsid w:val="3C535517"/>
    <w:rsid w:val="3C74420E"/>
    <w:rsid w:val="3C757C38"/>
    <w:rsid w:val="3C7C659F"/>
    <w:rsid w:val="3CC34684"/>
    <w:rsid w:val="3CDC584D"/>
    <w:rsid w:val="3D453E32"/>
    <w:rsid w:val="3D7D41F1"/>
    <w:rsid w:val="3D927EFD"/>
    <w:rsid w:val="3D931983"/>
    <w:rsid w:val="3D9A7DFA"/>
    <w:rsid w:val="3D9E4640"/>
    <w:rsid w:val="3DC0126B"/>
    <w:rsid w:val="3DCC302D"/>
    <w:rsid w:val="3E172613"/>
    <w:rsid w:val="3E23629D"/>
    <w:rsid w:val="3E5B1867"/>
    <w:rsid w:val="3E630FEA"/>
    <w:rsid w:val="3EC14CC3"/>
    <w:rsid w:val="3EE53FB2"/>
    <w:rsid w:val="3F08370B"/>
    <w:rsid w:val="3F30287E"/>
    <w:rsid w:val="3F710CE9"/>
    <w:rsid w:val="3F8A3415"/>
    <w:rsid w:val="3F8E1B4F"/>
    <w:rsid w:val="3FC20ABC"/>
    <w:rsid w:val="3FE055FF"/>
    <w:rsid w:val="3FF26CF7"/>
    <w:rsid w:val="3FFA7337"/>
    <w:rsid w:val="40902BDE"/>
    <w:rsid w:val="40D306AB"/>
    <w:rsid w:val="41186E43"/>
    <w:rsid w:val="41336CEF"/>
    <w:rsid w:val="41510083"/>
    <w:rsid w:val="416662A3"/>
    <w:rsid w:val="416C1C89"/>
    <w:rsid w:val="41755AE1"/>
    <w:rsid w:val="417C674A"/>
    <w:rsid w:val="41B85BD7"/>
    <w:rsid w:val="41C06BA4"/>
    <w:rsid w:val="41CF5E1C"/>
    <w:rsid w:val="41D768F6"/>
    <w:rsid w:val="41E73F3B"/>
    <w:rsid w:val="41FE7DBA"/>
    <w:rsid w:val="42060A02"/>
    <w:rsid w:val="421F0AEB"/>
    <w:rsid w:val="42213F46"/>
    <w:rsid w:val="4222551A"/>
    <w:rsid w:val="42254663"/>
    <w:rsid w:val="422A49E9"/>
    <w:rsid w:val="42AD7154"/>
    <w:rsid w:val="42EF3F9D"/>
    <w:rsid w:val="43232012"/>
    <w:rsid w:val="435529DD"/>
    <w:rsid w:val="437E16D0"/>
    <w:rsid w:val="438B093B"/>
    <w:rsid w:val="438B10C5"/>
    <w:rsid w:val="43A115DF"/>
    <w:rsid w:val="43DB047F"/>
    <w:rsid w:val="43FC7D6A"/>
    <w:rsid w:val="4498621D"/>
    <w:rsid w:val="44F52769"/>
    <w:rsid w:val="44F95A98"/>
    <w:rsid w:val="45322742"/>
    <w:rsid w:val="454C67B9"/>
    <w:rsid w:val="457A038F"/>
    <w:rsid w:val="45873D0E"/>
    <w:rsid w:val="45B042EF"/>
    <w:rsid w:val="45B7143F"/>
    <w:rsid w:val="45EE0CAA"/>
    <w:rsid w:val="460756BF"/>
    <w:rsid w:val="46130848"/>
    <w:rsid w:val="46236882"/>
    <w:rsid w:val="4672732B"/>
    <w:rsid w:val="46795CA0"/>
    <w:rsid w:val="46A0773F"/>
    <w:rsid w:val="46BD4547"/>
    <w:rsid w:val="46CE41E6"/>
    <w:rsid w:val="46F118D4"/>
    <w:rsid w:val="470C59DD"/>
    <w:rsid w:val="47150216"/>
    <w:rsid w:val="472A5033"/>
    <w:rsid w:val="47381FB4"/>
    <w:rsid w:val="4766170F"/>
    <w:rsid w:val="476B79BD"/>
    <w:rsid w:val="476D1732"/>
    <w:rsid w:val="477B13FA"/>
    <w:rsid w:val="47B37B83"/>
    <w:rsid w:val="47DD2A11"/>
    <w:rsid w:val="48205035"/>
    <w:rsid w:val="48DA5799"/>
    <w:rsid w:val="48EF3305"/>
    <w:rsid w:val="49033C78"/>
    <w:rsid w:val="492E2158"/>
    <w:rsid w:val="493A0E8E"/>
    <w:rsid w:val="499C4A5E"/>
    <w:rsid w:val="49C21E32"/>
    <w:rsid w:val="49C63AE7"/>
    <w:rsid w:val="49CC3041"/>
    <w:rsid w:val="49FA1FA6"/>
    <w:rsid w:val="4A112B13"/>
    <w:rsid w:val="4A131D1E"/>
    <w:rsid w:val="4A392E71"/>
    <w:rsid w:val="4A663504"/>
    <w:rsid w:val="4A8D60FD"/>
    <w:rsid w:val="4AC743A0"/>
    <w:rsid w:val="4AEE69CB"/>
    <w:rsid w:val="4B152498"/>
    <w:rsid w:val="4B2A3290"/>
    <w:rsid w:val="4B602C70"/>
    <w:rsid w:val="4B8779DE"/>
    <w:rsid w:val="4BA200F7"/>
    <w:rsid w:val="4BD7254B"/>
    <w:rsid w:val="4C0258B4"/>
    <w:rsid w:val="4C762BA7"/>
    <w:rsid w:val="4C8F5F47"/>
    <w:rsid w:val="4C9509CA"/>
    <w:rsid w:val="4CE776BD"/>
    <w:rsid w:val="4D016626"/>
    <w:rsid w:val="4D386E1F"/>
    <w:rsid w:val="4D480EEF"/>
    <w:rsid w:val="4D537813"/>
    <w:rsid w:val="4E031410"/>
    <w:rsid w:val="4E06295C"/>
    <w:rsid w:val="4E0831AD"/>
    <w:rsid w:val="4E0D4DF1"/>
    <w:rsid w:val="4E15627A"/>
    <w:rsid w:val="4E2945C4"/>
    <w:rsid w:val="4EA0278C"/>
    <w:rsid w:val="4EDF60AA"/>
    <w:rsid w:val="4EF9660C"/>
    <w:rsid w:val="4F47148C"/>
    <w:rsid w:val="4F7D02C6"/>
    <w:rsid w:val="500D3ADF"/>
    <w:rsid w:val="503E77DE"/>
    <w:rsid w:val="50A109EC"/>
    <w:rsid w:val="50C31E2C"/>
    <w:rsid w:val="50DE51F9"/>
    <w:rsid w:val="510B2C12"/>
    <w:rsid w:val="51115D67"/>
    <w:rsid w:val="512A537E"/>
    <w:rsid w:val="51397CA5"/>
    <w:rsid w:val="516F0A58"/>
    <w:rsid w:val="519461A0"/>
    <w:rsid w:val="519C5453"/>
    <w:rsid w:val="51A46ADF"/>
    <w:rsid w:val="51DD0BA3"/>
    <w:rsid w:val="51EE1549"/>
    <w:rsid w:val="52114E8E"/>
    <w:rsid w:val="52173971"/>
    <w:rsid w:val="52493C74"/>
    <w:rsid w:val="52673312"/>
    <w:rsid w:val="528249B9"/>
    <w:rsid w:val="528E050C"/>
    <w:rsid w:val="52EB77A0"/>
    <w:rsid w:val="53114ABC"/>
    <w:rsid w:val="533A0E0D"/>
    <w:rsid w:val="533E597D"/>
    <w:rsid w:val="534473C6"/>
    <w:rsid w:val="53C54620"/>
    <w:rsid w:val="53D7562E"/>
    <w:rsid w:val="53DE70FF"/>
    <w:rsid w:val="54107863"/>
    <w:rsid w:val="544661B8"/>
    <w:rsid w:val="54BA5E7D"/>
    <w:rsid w:val="54FC4C18"/>
    <w:rsid w:val="553B6B33"/>
    <w:rsid w:val="553C354B"/>
    <w:rsid w:val="557D1775"/>
    <w:rsid w:val="558F69A2"/>
    <w:rsid w:val="55AE2647"/>
    <w:rsid w:val="55B4733C"/>
    <w:rsid w:val="55C77FAE"/>
    <w:rsid w:val="55DB14C2"/>
    <w:rsid w:val="55EC2440"/>
    <w:rsid w:val="55F61C3F"/>
    <w:rsid w:val="56082A20"/>
    <w:rsid w:val="565959F6"/>
    <w:rsid w:val="56A06EFA"/>
    <w:rsid w:val="56C04AFA"/>
    <w:rsid w:val="56F12540"/>
    <w:rsid w:val="571F5E94"/>
    <w:rsid w:val="576E4F01"/>
    <w:rsid w:val="57805F53"/>
    <w:rsid w:val="579605C9"/>
    <w:rsid w:val="57AB097E"/>
    <w:rsid w:val="57D56F73"/>
    <w:rsid w:val="57D9057D"/>
    <w:rsid w:val="57E34CF4"/>
    <w:rsid w:val="58065E02"/>
    <w:rsid w:val="581543F7"/>
    <w:rsid w:val="582861C7"/>
    <w:rsid w:val="58683E40"/>
    <w:rsid w:val="589674A1"/>
    <w:rsid w:val="58AF4F3F"/>
    <w:rsid w:val="58C309D8"/>
    <w:rsid w:val="59073632"/>
    <w:rsid w:val="59725B87"/>
    <w:rsid w:val="59A858D6"/>
    <w:rsid w:val="59C64AFE"/>
    <w:rsid w:val="59F84D6B"/>
    <w:rsid w:val="5A4A2892"/>
    <w:rsid w:val="5A593F0D"/>
    <w:rsid w:val="5A863DA1"/>
    <w:rsid w:val="5A930281"/>
    <w:rsid w:val="5AAA55C3"/>
    <w:rsid w:val="5AC9620B"/>
    <w:rsid w:val="5AFD27CC"/>
    <w:rsid w:val="5B100554"/>
    <w:rsid w:val="5B1E6715"/>
    <w:rsid w:val="5B403461"/>
    <w:rsid w:val="5BAE0099"/>
    <w:rsid w:val="5BB20650"/>
    <w:rsid w:val="5BB77F16"/>
    <w:rsid w:val="5BCF6B74"/>
    <w:rsid w:val="5BD228F4"/>
    <w:rsid w:val="5BED3DD5"/>
    <w:rsid w:val="5BF45BFD"/>
    <w:rsid w:val="5C954C39"/>
    <w:rsid w:val="5D6959FE"/>
    <w:rsid w:val="5DAC2CEF"/>
    <w:rsid w:val="5DDC0A09"/>
    <w:rsid w:val="5E132517"/>
    <w:rsid w:val="5E55069E"/>
    <w:rsid w:val="5E6D4D39"/>
    <w:rsid w:val="5E796D0F"/>
    <w:rsid w:val="5E7B5624"/>
    <w:rsid w:val="5EAD3BC1"/>
    <w:rsid w:val="5EBC5AA3"/>
    <w:rsid w:val="5EEC25EE"/>
    <w:rsid w:val="5F0741ED"/>
    <w:rsid w:val="5F4A0D71"/>
    <w:rsid w:val="5F8F1C6C"/>
    <w:rsid w:val="5FA60DC7"/>
    <w:rsid w:val="5FA70109"/>
    <w:rsid w:val="5FBC360C"/>
    <w:rsid w:val="5FE63AB1"/>
    <w:rsid w:val="5FEF79CA"/>
    <w:rsid w:val="5FF04502"/>
    <w:rsid w:val="601C4654"/>
    <w:rsid w:val="60390C4A"/>
    <w:rsid w:val="605A3984"/>
    <w:rsid w:val="60641386"/>
    <w:rsid w:val="60971EF1"/>
    <w:rsid w:val="609D43C9"/>
    <w:rsid w:val="60B50612"/>
    <w:rsid w:val="60EC4488"/>
    <w:rsid w:val="60FB1DF6"/>
    <w:rsid w:val="60FC6323"/>
    <w:rsid w:val="610506FE"/>
    <w:rsid w:val="610C4EB7"/>
    <w:rsid w:val="611E3AA4"/>
    <w:rsid w:val="613A3DF7"/>
    <w:rsid w:val="617D7C33"/>
    <w:rsid w:val="61A66268"/>
    <w:rsid w:val="61AC5986"/>
    <w:rsid w:val="61C42FE7"/>
    <w:rsid w:val="61E805AF"/>
    <w:rsid w:val="61F54C96"/>
    <w:rsid w:val="62460E30"/>
    <w:rsid w:val="62AE2F8D"/>
    <w:rsid w:val="62B258B7"/>
    <w:rsid w:val="636C267B"/>
    <w:rsid w:val="63AF4F10"/>
    <w:rsid w:val="63B85100"/>
    <w:rsid w:val="63D05C9D"/>
    <w:rsid w:val="640827F6"/>
    <w:rsid w:val="64426BFF"/>
    <w:rsid w:val="648115AB"/>
    <w:rsid w:val="64964C02"/>
    <w:rsid w:val="64A5078B"/>
    <w:rsid w:val="64C94098"/>
    <w:rsid w:val="64CA16BC"/>
    <w:rsid w:val="64DD447A"/>
    <w:rsid w:val="64E81368"/>
    <w:rsid w:val="651E6ED8"/>
    <w:rsid w:val="65200BE1"/>
    <w:rsid w:val="654B1CAB"/>
    <w:rsid w:val="654F525B"/>
    <w:rsid w:val="65942617"/>
    <w:rsid w:val="659F4359"/>
    <w:rsid w:val="65A12981"/>
    <w:rsid w:val="65CE74E4"/>
    <w:rsid w:val="65D42C56"/>
    <w:rsid w:val="66070D91"/>
    <w:rsid w:val="660D4726"/>
    <w:rsid w:val="664873A5"/>
    <w:rsid w:val="664909C1"/>
    <w:rsid w:val="665E4119"/>
    <w:rsid w:val="667742E5"/>
    <w:rsid w:val="66796FC1"/>
    <w:rsid w:val="669B696F"/>
    <w:rsid w:val="66B261BA"/>
    <w:rsid w:val="66CD113D"/>
    <w:rsid w:val="66D3127C"/>
    <w:rsid w:val="670924D5"/>
    <w:rsid w:val="671A7982"/>
    <w:rsid w:val="677909E8"/>
    <w:rsid w:val="677B0B3D"/>
    <w:rsid w:val="677F6920"/>
    <w:rsid w:val="678F4D69"/>
    <w:rsid w:val="67B3025F"/>
    <w:rsid w:val="67C90D63"/>
    <w:rsid w:val="67D21A45"/>
    <w:rsid w:val="67FB7E3A"/>
    <w:rsid w:val="683C7601"/>
    <w:rsid w:val="68451F77"/>
    <w:rsid w:val="686B372A"/>
    <w:rsid w:val="68FB28D6"/>
    <w:rsid w:val="6905640A"/>
    <w:rsid w:val="693A38E6"/>
    <w:rsid w:val="69541968"/>
    <w:rsid w:val="69564AB7"/>
    <w:rsid w:val="69843021"/>
    <w:rsid w:val="69994DF8"/>
    <w:rsid w:val="69CC45E7"/>
    <w:rsid w:val="69D567E6"/>
    <w:rsid w:val="6A373F37"/>
    <w:rsid w:val="6A824EC9"/>
    <w:rsid w:val="6A95028F"/>
    <w:rsid w:val="6AB96F5B"/>
    <w:rsid w:val="6ABF28BE"/>
    <w:rsid w:val="6B0D3978"/>
    <w:rsid w:val="6B214AD8"/>
    <w:rsid w:val="6B2C26B0"/>
    <w:rsid w:val="6B2E4C48"/>
    <w:rsid w:val="6B357C3B"/>
    <w:rsid w:val="6B3F76EC"/>
    <w:rsid w:val="6B494C2C"/>
    <w:rsid w:val="6B5C19FB"/>
    <w:rsid w:val="6BAC0798"/>
    <w:rsid w:val="6BDE7382"/>
    <w:rsid w:val="6C1A25AB"/>
    <w:rsid w:val="6C6F3242"/>
    <w:rsid w:val="6CB11977"/>
    <w:rsid w:val="6CB5068C"/>
    <w:rsid w:val="6CEE48DF"/>
    <w:rsid w:val="6D2E46D5"/>
    <w:rsid w:val="6D535020"/>
    <w:rsid w:val="6D5C5AB9"/>
    <w:rsid w:val="6D8267F1"/>
    <w:rsid w:val="6D921216"/>
    <w:rsid w:val="6D9B3002"/>
    <w:rsid w:val="6DCC1596"/>
    <w:rsid w:val="6DD3592B"/>
    <w:rsid w:val="6DEC62F9"/>
    <w:rsid w:val="6E0074AA"/>
    <w:rsid w:val="6E065335"/>
    <w:rsid w:val="6E6B7BFF"/>
    <w:rsid w:val="6E7D0D97"/>
    <w:rsid w:val="6E8051A1"/>
    <w:rsid w:val="6ECB5D68"/>
    <w:rsid w:val="6EF671F7"/>
    <w:rsid w:val="6F2D7F61"/>
    <w:rsid w:val="6F4715AA"/>
    <w:rsid w:val="6F6727CE"/>
    <w:rsid w:val="6F6D0DEC"/>
    <w:rsid w:val="6F8654C7"/>
    <w:rsid w:val="6F8A24D2"/>
    <w:rsid w:val="703D3183"/>
    <w:rsid w:val="704A01E8"/>
    <w:rsid w:val="70725896"/>
    <w:rsid w:val="70742228"/>
    <w:rsid w:val="70D65555"/>
    <w:rsid w:val="70E211DC"/>
    <w:rsid w:val="70F44A5D"/>
    <w:rsid w:val="710B6568"/>
    <w:rsid w:val="7133260C"/>
    <w:rsid w:val="717570AC"/>
    <w:rsid w:val="71963372"/>
    <w:rsid w:val="71C95967"/>
    <w:rsid w:val="722532EC"/>
    <w:rsid w:val="72536956"/>
    <w:rsid w:val="726A3C92"/>
    <w:rsid w:val="726D1AB4"/>
    <w:rsid w:val="72764C63"/>
    <w:rsid w:val="729F516E"/>
    <w:rsid w:val="72AB1379"/>
    <w:rsid w:val="72D85A9B"/>
    <w:rsid w:val="72DF74A9"/>
    <w:rsid w:val="73460993"/>
    <w:rsid w:val="7366767C"/>
    <w:rsid w:val="73697288"/>
    <w:rsid w:val="73781BAB"/>
    <w:rsid w:val="738A57F7"/>
    <w:rsid w:val="738F27E2"/>
    <w:rsid w:val="73AB7B2A"/>
    <w:rsid w:val="73FA6CEB"/>
    <w:rsid w:val="744E1033"/>
    <w:rsid w:val="74664368"/>
    <w:rsid w:val="74AE19B8"/>
    <w:rsid w:val="74E45959"/>
    <w:rsid w:val="74E73DE5"/>
    <w:rsid w:val="74F74418"/>
    <w:rsid w:val="75274645"/>
    <w:rsid w:val="75400EF8"/>
    <w:rsid w:val="759370B7"/>
    <w:rsid w:val="75A877E8"/>
    <w:rsid w:val="75BB46DD"/>
    <w:rsid w:val="75CD3BF1"/>
    <w:rsid w:val="75FD4D3A"/>
    <w:rsid w:val="7617435D"/>
    <w:rsid w:val="761D2566"/>
    <w:rsid w:val="76261C40"/>
    <w:rsid w:val="762B5068"/>
    <w:rsid w:val="763018D3"/>
    <w:rsid w:val="7699787F"/>
    <w:rsid w:val="76E31481"/>
    <w:rsid w:val="771933B5"/>
    <w:rsid w:val="772A1E4D"/>
    <w:rsid w:val="77B64C0A"/>
    <w:rsid w:val="780163DA"/>
    <w:rsid w:val="78562BA6"/>
    <w:rsid w:val="786D4081"/>
    <w:rsid w:val="78707AB8"/>
    <w:rsid w:val="787B782A"/>
    <w:rsid w:val="78A54FB9"/>
    <w:rsid w:val="78B15A36"/>
    <w:rsid w:val="791D122B"/>
    <w:rsid w:val="79223EF5"/>
    <w:rsid w:val="798816E8"/>
    <w:rsid w:val="798A50F3"/>
    <w:rsid w:val="79955914"/>
    <w:rsid w:val="799803BA"/>
    <w:rsid w:val="79C815C4"/>
    <w:rsid w:val="7A1265B7"/>
    <w:rsid w:val="7A3C593D"/>
    <w:rsid w:val="7A4A0C84"/>
    <w:rsid w:val="7A7932DB"/>
    <w:rsid w:val="7AAD4AA9"/>
    <w:rsid w:val="7ADC074D"/>
    <w:rsid w:val="7AE73725"/>
    <w:rsid w:val="7AF23FD9"/>
    <w:rsid w:val="7B131413"/>
    <w:rsid w:val="7B4200E0"/>
    <w:rsid w:val="7B6A5014"/>
    <w:rsid w:val="7BB403C8"/>
    <w:rsid w:val="7BDF65F0"/>
    <w:rsid w:val="7BE64D10"/>
    <w:rsid w:val="7C281C55"/>
    <w:rsid w:val="7C2C5C11"/>
    <w:rsid w:val="7C5162BB"/>
    <w:rsid w:val="7C55275C"/>
    <w:rsid w:val="7C6E4AA9"/>
    <w:rsid w:val="7C9D2E75"/>
    <w:rsid w:val="7CAF066A"/>
    <w:rsid w:val="7CB54AB8"/>
    <w:rsid w:val="7D094096"/>
    <w:rsid w:val="7D0A189C"/>
    <w:rsid w:val="7D166822"/>
    <w:rsid w:val="7D206679"/>
    <w:rsid w:val="7D2F1C7A"/>
    <w:rsid w:val="7D4A1D6E"/>
    <w:rsid w:val="7DDD1B95"/>
    <w:rsid w:val="7DE27E24"/>
    <w:rsid w:val="7E207A4A"/>
    <w:rsid w:val="7E3962DE"/>
    <w:rsid w:val="7E667CD8"/>
    <w:rsid w:val="7E8E50EA"/>
    <w:rsid w:val="7EF329A2"/>
    <w:rsid w:val="7FC4170A"/>
    <w:rsid w:val="7FD55F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1479BD59"/>
  <w15:docId w15:val="{D85FC674-12C6-41F5-B17B-F552CE7B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qFormat/>
    <w:rsid w:val="00865F04"/>
    <w:pPr>
      <w:widowControl w:val="0"/>
      <w:spacing w:line="360" w:lineRule="auto"/>
      <w:ind w:firstLineChars="200" w:firstLine="602"/>
      <w:jc w:val="both"/>
    </w:pPr>
    <w:rPr>
      <w:rFonts w:ascii="Arial" w:hAnsi="Arial"/>
      <w:kern w:val="2"/>
      <w:sz w:val="21"/>
      <w:szCs w:val="24"/>
    </w:rPr>
  </w:style>
  <w:style w:type="paragraph" w:styleId="1">
    <w:name w:val="heading 1"/>
    <w:basedOn w:val="a0"/>
    <w:next w:val="a0"/>
    <w:qFormat/>
    <w:rsid w:val="00865F04"/>
    <w:pPr>
      <w:keepNext/>
      <w:keepLines/>
      <w:ind w:firstLineChars="0" w:firstLine="0"/>
      <w:outlineLvl w:val="0"/>
    </w:pPr>
    <w:rPr>
      <w:b/>
      <w:kern w:val="44"/>
      <w:sz w:val="28"/>
    </w:rPr>
  </w:style>
  <w:style w:type="paragraph" w:styleId="2">
    <w:name w:val="heading 2"/>
    <w:basedOn w:val="a0"/>
    <w:next w:val="a0"/>
    <w:qFormat/>
    <w:rsid w:val="00865F04"/>
    <w:pPr>
      <w:keepNext/>
      <w:keepLines/>
      <w:spacing w:beforeLines="50" w:afterLines="50"/>
      <w:ind w:firstLineChars="0" w:firstLine="0"/>
      <w:jc w:val="left"/>
      <w:outlineLvl w:val="1"/>
    </w:pPr>
    <w:rPr>
      <w:rFonts w:ascii="Times New Roman" w:hAnsi="Times New Roman"/>
      <w:b/>
      <w:bCs/>
      <w:sz w:val="24"/>
      <w:szCs w:val="30"/>
    </w:rPr>
  </w:style>
  <w:style w:type="paragraph" w:styleId="3">
    <w:name w:val="heading 3"/>
    <w:basedOn w:val="a0"/>
    <w:next w:val="a0"/>
    <w:qFormat/>
    <w:rsid w:val="00865F04"/>
    <w:pPr>
      <w:keepNext/>
      <w:keepLines/>
      <w:tabs>
        <w:tab w:val="left" w:pos="1260"/>
      </w:tabs>
      <w:adjustRightInd w:val="0"/>
      <w:snapToGrid w:val="0"/>
      <w:ind w:firstLine="200"/>
      <w:jc w:val="left"/>
      <w:outlineLvl w:val="2"/>
    </w:pPr>
    <w:rPr>
      <w:rFonts w:ascii="Times New Roman" w:hAnsi="Times New Roman"/>
      <w:b/>
      <w:sz w:val="24"/>
    </w:rPr>
  </w:style>
  <w:style w:type="paragraph" w:styleId="4">
    <w:name w:val="heading 4"/>
    <w:basedOn w:val="a0"/>
    <w:next w:val="a0"/>
    <w:link w:val="40"/>
    <w:uiPriority w:val="9"/>
    <w:qFormat/>
    <w:rsid w:val="00865F04"/>
    <w:pPr>
      <w:keepNext/>
      <w:keepLines/>
      <w:spacing w:before="280" w:after="290" w:line="376" w:lineRule="auto"/>
      <w:outlineLvl w:val="3"/>
    </w:pPr>
    <w:rPr>
      <w:rFonts w:ascii="Calibri Light" w:hAnsi="Calibri Light"/>
      <w:b/>
      <w:bCs/>
      <w:sz w:val="28"/>
      <w:szCs w:val="28"/>
    </w:rPr>
  </w:style>
  <w:style w:type="paragraph" w:styleId="5">
    <w:name w:val="heading 5"/>
    <w:basedOn w:val="a0"/>
    <w:next w:val="a0"/>
    <w:qFormat/>
    <w:rsid w:val="00865F04"/>
    <w:pPr>
      <w:keepNext/>
      <w:keepLines/>
      <w:adjustRightInd w:val="0"/>
      <w:snapToGrid w:val="0"/>
      <w:ind w:firstLine="200"/>
      <w:jc w:val="left"/>
      <w:outlineLvl w:val="4"/>
    </w:pPr>
    <w:rPr>
      <w:rFonts w:ascii="Times New Roman" w:hAnsi="Times New Roman"/>
      <w:b/>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List Paragraph"/>
    <w:basedOn w:val="a0"/>
    <w:uiPriority w:val="34"/>
    <w:qFormat/>
    <w:rsid w:val="00865F04"/>
    <w:pPr>
      <w:ind w:firstLine="420"/>
    </w:pPr>
  </w:style>
  <w:style w:type="paragraph" w:styleId="a5">
    <w:name w:val="Document Map"/>
    <w:basedOn w:val="a0"/>
    <w:link w:val="a6"/>
    <w:rsid w:val="00865F04"/>
    <w:rPr>
      <w:rFonts w:ascii="宋体"/>
      <w:sz w:val="18"/>
      <w:szCs w:val="18"/>
    </w:rPr>
  </w:style>
  <w:style w:type="paragraph" w:styleId="a7">
    <w:name w:val="annotation text"/>
    <w:basedOn w:val="a0"/>
    <w:link w:val="a8"/>
    <w:unhideWhenUsed/>
    <w:qFormat/>
    <w:rsid w:val="00865F04"/>
    <w:pPr>
      <w:jc w:val="left"/>
    </w:pPr>
  </w:style>
  <w:style w:type="paragraph" w:styleId="a9">
    <w:name w:val="Body Text"/>
    <w:basedOn w:val="a0"/>
    <w:qFormat/>
    <w:rsid w:val="00865F04"/>
    <w:pPr>
      <w:spacing w:after="120"/>
    </w:pPr>
  </w:style>
  <w:style w:type="paragraph" w:styleId="30">
    <w:name w:val="toc 3"/>
    <w:basedOn w:val="a0"/>
    <w:next w:val="a0"/>
    <w:qFormat/>
    <w:rsid w:val="00865F04"/>
    <w:pPr>
      <w:ind w:leftChars="400" w:left="840"/>
    </w:pPr>
  </w:style>
  <w:style w:type="paragraph" w:styleId="aa">
    <w:name w:val="Balloon Text"/>
    <w:basedOn w:val="a0"/>
    <w:link w:val="ab"/>
    <w:qFormat/>
    <w:rsid w:val="00865F04"/>
    <w:pPr>
      <w:spacing w:line="240" w:lineRule="auto"/>
    </w:pPr>
    <w:rPr>
      <w:sz w:val="18"/>
      <w:szCs w:val="18"/>
    </w:rPr>
  </w:style>
  <w:style w:type="paragraph" w:styleId="ac">
    <w:name w:val="footer"/>
    <w:basedOn w:val="a0"/>
    <w:link w:val="ad"/>
    <w:qFormat/>
    <w:rsid w:val="00865F04"/>
    <w:pPr>
      <w:tabs>
        <w:tab w:val="center" w:pos="4153"/>
        <w:tab w:val="right" w:pos="8306"/>
      </w:tabs>
      <w:snapToGrid w:val="0"/>
      <w:spacing w:line="240" w:lineRule="auto"/>
      <w:jc w:val="left"/>
    </w:pPr>
    <w:rPr>
      <w:sz w:val="18"/>
      <w:szCs w:val="18"/>
    </w:rPr>
  </w:style>
  <w:style w:type="paragraph" w:styleId="ae">
    <w:name w:val="header"/>
    <w:basedOn w:val="a0"/>
    <w:link w:val="af"/>
    <w:qFormat/>
    <w:rsid w:val="00865F04"/>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0"/>
    <w:next w:val="a0"/>
    <w:uiPriority w:val="39"/>
    <w:qFormat/>
    <w:rsid w:val="00865F04"/>
  </w:style>
  <w:style w:type="paragraph" w:styleId="31">
    <w:name w:val="Body Text Indent 3"/>
    <w:basedOn w:val="a0"/>
    <w:qFormat/>
    <w:rsid w:val="00865F04"/>
    <w:pPr>
      <w:ind w:firstLine="480"/>
    </w:pPr>
    <w:rPr>
      <w:rFonts w:ascii="宋体"/>
      <w:sz w:val="24"/>
    </w:rPr>
  </w:style>
  <w:style w:type="paragraph" w:styleId="20">
    <w:name w:val="toc 2"/>
    <w:basedOn w:val="a0"/>
    <w:next w:val="a0"/>
    <w:uiPriority w:val="39"/>
    <w:qFormat/>
    <w:rsid w:val="00865F04"/>
    <w:pPr>
      <w:ind w:leftChars="200" w:left="420"/>
    </w:pPr>
  </w:style>
  <w:style w:type="paragraph" w:styleId="af0">
    <w:name w:val="annotation subject"/>
    <w:basedOn w:val="a7"/>
    <w:next w:val="a7"/>
    <w:link w:val="af1"/>
    <w:qFormat/>
    <w:rsid w:val="00865F04"/>
    <w:rPr>
      <w:b/>
      <w:bCs/>
    </w:rPr>
  </w:style>
  <w:style w:type="table" w:styleId="af2">
    <w:name w:val="Table Grid"/>
    <w:basedOn w:val="a3"/>
    <w:uiPriority w:val="59"/>
    <w:qFormat/>
    <w:rsid w:val="00865F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sid w:val="00865F04"/>
    <w:rPr>
      <w:b/>
    </w:rPr>
  </w:style>
  <w:style w:type="character" w:styleId="af4">
    <w:name w:val="page number"/>
    <w:qFormat/>
    <w:rsid w:val="00865F04"/>
  </w:style>
  <w:style w:type="character" w:styleId="af5">
    <w:name w:val="FollowedHyperlink"/>
    <w:qFormat/>
    <w:rsid w:val="00865F04"/>
    <w:rPr>
      <w:color w:val="333333"/>
      <w:u w:val="none"/>
    </w:rPr>
  </w:style>
  <w:style w:type="character" w:styleId="af6">
    <w:name w:val="Emphasis"/>
    <w:qFormat/>
    <w:rsid w:val="00865F04"/>
  </w:style>
  <w:style w:type="character" w:styleId="HTML">
    <w:name w:val="HTML Definition"/>
    <w:qFormat/>
    <w:rsid w:val="00865F04"/>
  </w:style>
  <w:style w:type="character" w:styleId="HTML0">
    <w:name w:val="HTML Variable"/>
    <w:qFormat/>
    <w:rsid w:val="00865F04"/>
  </w:style>
  <w:style w:type="character" w:styleId="af7">
    <w:name w:val="Hyperlink"/>
    <w:uiPriority w:val="99"/>
    <w:qFormat/>
    <w:rsid w:val="00865F04"/>
    <w:rPr>
      <w:color w:val="333333"/>
      <w:u w:val="none"/>
    </w:rPr>
  </w:style>
  <w:style w:type="character" w:styleId="HTML1">
    <w:name w:val="HTML Code"/>
    <w:qFormat/>
    <w:rsid w:val="00865F04"/>
    <w:rPr>
      <w:rFonts w:ascii="Courier New" w:hAnsi="Courier New"/>
      <w:sz w:val="20"/>
    </w:rPr>
  </w:style>
  <w:style w:type="character" w:styleId="af8">
    <w:name w:val="annotation reference"/>
    <w:qFormat/>
    <w:rsid w:val="00865F04"/>
    <w:rPr>
      <w:sz w:val="21"/>
      <w:szCs w:val="21"/>
    </w:rPr>
  </w:style>
  <w:style w:type="character" w:styleId="HTML2">
    <w:name w:val="HTML Cite"/>
    <w:qFormat/>
    <w:rsid w:val="00865F04"/>
  </w:style>
  <w:style w:type="character" w:customStyle="1" w:styleId="40">
    <w:name w:val="标题 4 字符"/>
    <w:link w:val="4"/>
    <w:uiPriority w:val="9"/>
    <w:qFormat/>
    <w:rsid w:val="00865F04"/>
    <w:rPr>
      <w:rFonts w:ascii="Calibri Light" w:eastAsia="宋体" w:hAnsi="Calibri Light" w:cs="Times New Roman"/>
      <w:b/>
      <w:bCs/>
      <w:kern w:val="2"/>
      <w:sz w:val="28"/>
      <w:szCs w:val="28"/>
    </w:rPr>
  </w:style>
  <w:style w:type="character" w:customStyle="1" w:styleId="a8">
    <w:name w:val="批注文字 字符"/>
    <w:link w:val="a7"/>
    <w:uiPriority w:val="99"/>
    <w:qFormat/>
    <w:rsid w:val="00865F04"/>
    <w:rPr>
      <w:kern w:val="2"/>
      <w:sz w:val="21"/>
      <w:szCs w:val="24"/>
    </w:rPr>
  </w:style>
  <w:style w:type="character" w:customStyle="1" w:styleId="ab">
    <w:name w:val="批注框文本 字符"/>
    <w:link w:val="aa"/>
    <w:qFormat/>
    <w:rsid w:val="00865F04"/>
    <w:rPr>
      <w:kern w:val="2"/>
      <w:sz w:val="18"/>
      <w:szCs w:val="18"/>
    </w:rPr>
  </w:style>
  <w:style w:type="character" w:customStyle="1" w:styleId="ad">
    <w:name w:val="页脚 字符"/>
    <w:link w:val="ac"/>
    <w:qFormat/>
    <w:rsid w:val="00865F04"/>
    <w:rPr>
      <w:rFonts w:ascii="Calibri" w:eastAsia="宋体" w:hAnsi="Calibri" w:cs="Times New Roman"/>
      <w:kern w:val="2"/>
      <w:sz w:val="18"/>
      <w:szCs w:val="18"/>
    </w:rPr>
  </w:style>
  <w:style w:type="character" w:customStyle="1" w:styleId="af">
    <w:name w:val="页眉 字符"/>
    <w:link w:val="ae"/>
    <w:qFormat/>
    <w:rsid w:val="00865F04"/>
    <w:rPr>
      <w:rFonts w:ascii="Calibri" w:eastAsia="宋体" w:hAnsi="Calibri" w:cs="Times New Roman"/>
      <w:kern w:val="2"/>
      <w:sz w:val="18"/>
      <w:szCs w:val="18"/>
    </w:rPr>
  </w:style>
  <w:style w:type="character" w:customStyle="1" w:styleId="af1">
    <w:name w:val="批注主题 字符"/>
    <w:link w:val="af0"/>
    <w:qFormat/>
    <w:rsid w:val="00865F04"/>
    <w:rPr>
      <w:b/>
      <w:bCs/>
      <w:kern w:val="2"/>
      <w:sz w:val="21"/>
      <w:szCs w:val="24"/>
    </w:rPr>
  </w:style>
  <w:style w:type="character" w:customStyle="1" w:styleId="font01">
    <w:name w:val="font01"/>
    <w:qFormat/>
    <w:rsid w:val="00865F04"/>
    <w:rPr>
      <w:rFonts w:ascii="font-weight : 400" w:eastAsia="font-weight : 400" w:hAnsi="font-weight : 400" w:cs="font-weight : 400" w:hint="default"/>
      <w:color w:val="000000"/>
      <w:sz w:val="22"/>
      <w:szCs w:val="22"/>
      <w:u w:val="none"/>
    </w:rPr>
  </w:style>
  <w:style w:type="character" w:customStyle="1" w:styleId="font31">
    <w:name w:val="font31"/>
    <w:qFormat/>
    <w:rsid w:val="00865F04"/>
    <w:rPr>
      <w:rFonts w:ascii="font-weight : 700" w:eastAsia="font-weight : 700" w:hAnsi="font-weight : 700" w:cs="font-weight : 700" w:hint="default"/>
      <w:color w:val="000000"/>
      <w:sz w:val="22"/>
      <w:szCs w:val="22"/>
      <w:u w:val="none"/>
    </w:rPr>
  </w:style>
  <w:style w:type="paragraph" w:customStyle="1" w:styleId="WPSOffice2">
    <w:name w:val="WPSOffice手动目录 2"/>
    <w:qFormat/>
    <w:rsid w:val="00865F04"/>
    <w:pPr>
      <w:ind w:leftChars="200" w:left="200"/>
    </w:pPr>
  </w:style>
  <w:style w:type="paragraph" w:customStyle="1" w:styleId="af9">
    <w:name w:val="段"/>
    <w:link w:val="Char"/>
    <w:qFormat/>
    <w:rsid w:val="00865F04"/>
    <w:pPr>
      <w:tabs>
        <w:tab w:val="center" w:pos="4201"/>
        <w:tab w:val="right" w:leader="dot" w:pos="9298"/>
      </w:tabs>
      <w:autoSpaceDE w:val="0"/>
      <w:autoSpaceDN w:val="0"/>
      <w:ind w:firstLineChars="200" w:firstLine="420"/>
      <w:jc w:val="both"/>
    </w:pPr>
    <w:rPr>
      <w:rFonts w:ascii="宋体"/>
      <w:sz w:val="21"/>
    </w:rPr>
  </w:style>
  <w:style w:type="paragraph" w:customStyle="1" w:styleId="ENFI">
    <w:name w:val="ENFI正文"/>
    <w:basedOn w:val="a0"/>
    <w:qFormat/>
    <w:rsid w:val="00865F04"/>
    <w:pPr>
      <w:adjustRightInd w:val="0"/>
      <w:snapToGrid w:val="0"/>
      <w:spacing w:line="500" w:lineRule="exact"/>
      <w:ind w:firstLine="567"/>
    </w:pPr>
    <w:rPr>
      <w:rFonts w:eastAsia="仿宋_GB2312"/>
      <w:snapToGrid w:val="0"/>
      <w:color w:val="000000"/>
      <w:kern w:val="0"/>
      <w:sz w:val="28"/>
      <w:szCs w:val="20"/>
    </w:rPr>
  </w:style>
  <w:style w:type="paragraph" w:customStyle="1" w:styleId="WPSOffice1">
    <w:name w:val="WPSOffice手动目录 1"/>
    <w:qFormat/>
    <w:rsid w:val="00865F04"/>
  </w:style>
  <w:style w:type="paragraph" w:customStyle="1" w:styleId="afa">
    <w:name w:val="正文样式"/>
    <w:basedOn w:val="a9"/>
    <w:uiPriority w:val="99"/>
    <w:qFormat/>
    <w:rsid w:val="00865F04"/>
    <w:pPr>
      <w:spacing w:after="0"/>
      <w:jc w:val="left"/>
    </w:pPr>
    <w:rPr>
      <w:rFonts w:ascii="宋体" w:hAnsi="Calibri" w:cs="宋体"/>
      <w:sz w:val="24"/>
      <w:szCs w:val="22"/>
    </w:rPr>
  </w:style>
  <w:style w:type="paragraph" w:customStyle="1" w:styleId="11">
    <w:name w:val="样式1"/>
    <w:basedOn w:val="a0"/>
    <w:link w:val="1Char"/>
    <w:qFormat/>
    <w:rsid w:val="00865F04"/>
    <w:pPr>
      <w:adjustRightInd w:val="0"/>
      <w:snapToGrid w:val="0"/>
      <w:ind w:firstLine="480"/>
    </w:pPr>
    <w:rPr>
      <w:rFonts w:ascii="Times New Roman" w:hAnsi="Times New Roman"/>
      <w:sz w:val="24"/>
    </w:rPr>
  </w:style>
  <w:style w:type="character" w:customStyle="1" w:styleId="1Char">
    <w:name w:val="样式1 Char"/>
    <w:link w:val="11"/>
    <w:rsid w:val="00865F04"/>
    <w:rPr>
      <w:kern w:val="2"/>
      <w:sz w:val="24"/>
      <w:szCs w:val="24"/>
    </w:rPr>
  </w:style>
  <w:style w:type="character" w:customStyle="1" w:styleId="a6">
    <w:name w:val="文档结构图 字符"/>
    <w:basedOn w:val="a2"/>
    <w:link w:val="a5"/>
    <w:rsid w:val="00865F04"/>
    <w:rPr>
      <w:rFonts w:ascii="宋体" w:hAnsi="Arial"/>
      <w:kern w:val="2"/>
      <w:sz w:val="18"/>
      <w:szCs w:val="18"/>
    </w:rPr>
  </w:style>
  <w:style w:type="character" w:customStyle="1" w:styleId="Char">
    <w:name w:val="段 Char"/>
    <w:link w:val="af9"/>
    <w:rsid w:val="00865F04"/>
    <w:rPr>
      <w:rFonts w:ascii="宋体"/>
      <w:sz w:val="21"/>
    </w:rPr>
  </w:style>
  <w:style w:type="paragraph" w:customStyle="1" w:styleId="a">
    <w:name w:val="列项——（一级）"/>
    <w:rsid w:val="00565824"/>
    <w:pPr>
      <w:widowControl w:val="0"/>
      <w:numPr>
        <w:numId w:val="4"/>
      </w:numPr>
      <w:tabs>
        <w:tab w:val="clear" w:pos="1140"/>
        <w:tab w:val="left" w:pos="854"/>
      </w:tabs>
      <w:ind w:leftChars="200" w:left="200" w:hangingChars="200" w:hanging="200"/>
      <w:jc w:val="both"/>
    </w:pPr>
    <w:rPr>
      <w:rFonts w:ascii="宋体"/>
      <w:sz w:val="21"/>
    </w:rPr>
  </w:style>
  <w:style w:type="paragraph" w:styleId="afb">
    <w:name w:val="Normal (Web)"/>
    <w:basedOn w:val="a0"/>
    <w:uiPriority w:val="99"/>
    <w:unhideWhenUsed/>
    <w:rsid w:val="00EF71DE"/>
    <w:pPr>
      <w:widowControl/>
      <w:spacing w:before="100" w:beforeAutospacing="1" w:after="100" w:afterAutospacing="1" w:line="240" w:lineRule="auto"/>
      <w:ind w:firstLineChars="0" w:firstLine="0"/>
      <w:jc w:val="left"/>
    </w:pPr>
    <w:rPr>
      <w:rFonts w:ascii="宋体" w:hAnsi="宋体" w:cs="宋体"/>
      <w:kern w:val="0"/>
      <w:sz w:val="24"/>
    </w:rPr>
  </w:style>
  <w:style w:type="paragraph" w:customStyle="1" w:styleId="afc">
    <w:name w:val="章标题"/>
    <w:next w:val="af9"/>
    <w:rsid w:val="000468BD"/>
    <w:pPr>
      <w:spacing w:beforeLines="50" w:afterLines="50"/>
      <w:jc w:val="both"/>
      <w:outlineLvl w:val="1"/>
    </w:pPr>
    <w:rPr>
      <w:rFonts w:ascii="黑体" w:eastAsia="黑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75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baike.sogou.com/v6522535.htm" TargetMode="External"/><Relationship Id="rId26" Type="http://schemas.openxmlformats.org/officeDocument/2006/relationships/hyperlink" Target="https://baike.baidu.com/item/%E8%BF%9C%E6%99%AF%E5%82%A8%E9%87%8F?fromModule=lemma_inlink" TargetMode="External"/><Relationship Id="rId3" Type="http://schemas.openxmlformats.org/officeDocument/2006/relationships/styles" Target="styles.xml"/><Relationship Id="rId21" Type="http://schemas.openxmlformats.org/officeDocument/2006/relationships/hyperlink" Target="https://baike.sogou.com/v7554854.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baike.sogou.com/v7646024.ht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baike.sogou.com/v76508014.htm"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baike.sogou.com/v165127.htm"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baike.sogou.com/v7757228.htm" TargetMode="Externa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s://baike.sogou.com/v6522535.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baike.sogou.com/v57806184.htm" TargetMode="External"/><Relationship Id="rId27" Type="http://schemas.openxmlformats.org/officeDocument/2006/relationships/hyperlink" Target="https://baike.baidu.com/item/%E8%87%AA%E5%8A%A8%E5%8C%96%E6%8E%A7%E5%88%B6/8483773?fromModule=lemma_inlink"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sherry\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1027"/>
    <customShpInfo spid="_x0000_s1028"/>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580</TotalTime>
  <Pages>14</Pages>
  <Words>1514</Words>
  <Characters>8633</Characters>
  <Application>Microsoft Office Word</Application>
  <DocSecurity>0</DocSecurity>
  <Lines>71</Lines>
  <Paragraphs>20</Paragraphs>
  <ScaleCrop>false</ScaleCrop>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 Sherry</dc:creator>
  <cp:lastModifiedBy>朱兢</cp:lastModifiedBy>
  <cp:revision>126</cp:revision>
  <cp:lastPrinted>2018-12-20T00:46:00Z</cp:lastPrinted>
  <dcterms:created xsi:type="dcterms:W3CDTF">2022-04-11T02:48:00Z</dcterms:created>
  <dcterms:modified xsi:type="dcterms:W3CDTF">2023-04-06T04:39:00Z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09DC87FE1084418AAA2B4C63EE48F4DE</vt:lpwstr>
  </property>
</Properties>
</file>