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宋体" w:cs="Times New Roman"/>
          <w:b/>
          <w:color w:val="auto"/>
          <w:kern w:val="0"/>
          <w:sz w:val="31"/>
          <w:szCs w:val="31"/>
        </w:rPr>
      </w:pPr>
      <w:bookmarkStart w:id="74" w:name="_GoBack"/>
    </w:p>
    <w:p>
      <w:pPr>
        <w:widowControl/>
        <w:jc w:val="center"/>
        <w:rPr>
          <w:rFonts w:ascii="Times New Roman" w:hAnsi="Times New Roman" w:eastAsia="宋体" w:cs="Times New Roman"/>
          <w:b/>
          <w:color w:val="auto"/>
          <w:kern w:val="0"/>
          <w:sz w:val="31"/>
          <w:szCs w:val="31"/>
        </w:rPr>
      </w:pPr>
    </w:p>
    <w:p>
      <w:pPr>
        <w:widowControl/>
        <w:jc w:val="center"/>
        <w:rPr>
          <w:rFonts w:ascii="Times New Roman" w:hAnsi="Times New Roman" w:eastAsia="宋体" w:cs="Times New Roman"/>
          <w:b/>
          <w:color w:val="auto"/>
          <w:kern w:val="0"/>
          <w:sz w:val="36"/>
          <w:szCs w:val="31"/>
        </w:rPr>
      </w:pPr>
      <w:r>
        <w:rPr>
          <w:rFonts w:ascii="Times New Roman" w:hAnsi="Times New Roman" w:eastAsia="宋体" w:cs="Times New Roman"/>
          <w:b/>
          <w:color w:val="auto"/>
          <w:kern w:val="0"/>
          <w:sz w:val="36"/>
          <w:szCs w:val="31"/>
        </w:rPr>
        <w:t>行业标准</w:t>
      </w:r>
    </w:p>
    <w:p>
      <w:pPr>
        <w:widowControl/>
        <w:spacing w:before="156" w:beforeLines="50" w:after="156" w:afterLines="50"/>
        <w:jc w:val="center"/>
        <w:rPr>
          <w:rFonts w:ascii="Times New Roman" w:hAnsi="Times New Roman" w:eastAsia="宋体" w:cs="Times New Roman"/>
          <w:b/>
          <w:color w:val="auto"/>
          <w:kern w:val="0"/>
          <w:sz w:val="40"/>
          <w:szCs w:val="31"/>
        </w:rPr>
      </w:pPr>
      <w:r>
        <w:rPr>
          <w:rFonts w:ascii="Times New Roman" w:hAnsi="Times New Roman" w:eastAsia="宋体" w:cs="Times New Roman"/>
          <w:b/>
          <w:color w:val="auto"/>
          <w:kern w:val="0"/>
          <w:sz w:val="40"/>
          <w:szCs w:val="31"/>
        </w:rPr>
        <w:t>《</w:t>
      </w:r>
      <w:bookmarkStart w:id="0" w:name="_Toc107043653"/>
      <w:bookmarkStart w:id="1" w:name="_Toc107043138"/>
      <w:r>
        <w:rPr>
          <w:rFonts w:ascii="Times New Roman" w:hAnsi="Times New Roman" w:eastAsia="宋体" w:cs="Times New Roman"/>
          <w:b/>
          <w:color w:val="auto"/>
          <w:kern w:val="0"/>
          <w:sz w:val="40"/>
          <w:szCs w:val="31"/>
        </w:rPr>
        <w:t>锗行业绿色工厂评价要求</w:t>
      </w:r>
      <w:bookmarkEnd w:id="0"/>
      <w:bookmarkEnd w:id="1"/>
      <w:r>
        <w:rPr>
          <w:rFonts w:ascii="Times New Roman" w:hAnsi="Times New Roman" w:eastAsia="宋体" w:cs="Times New Roman"/>
          <w:b/>
          <w:color w:val="auto"/>
          <w:kern w:val="0"/>
          <w:sz w:val="40"/>
          <w:szCs w:val="31"/>
        </w:rPr>
        <w:t>》</w:t>
      </w:r>
    </w:p>
    <w:p>
      <w:pPr>
        <w:widowControl/>
        <w:jc w:val="center"/>
        <w:rPr>
          <w:rFonts w:ascii="Times New Roman" w:hAnsi="Times New Roman" w:eastAsia="宋体" w:cs="Times New Roman"/>
          <w:b/>
          <w:color w:val="auto"/>
          <w:kern w:val="0"/>
          <w:sz w:val="36"/>
          <w:szCs w:val="31"/>
        </w:rPr>
      </w:pPr>
      <w:r>
        <w:rPr>
          <w:rFonts w:ascii="Times New Roman" w:hAnsi="Times New Roman" w:eastAsia="宋体" w:cs="Times New Roman"/>
          <w:b/>
          <w:color w:val="auto"/>
          <w:kern w:val="0"/>
          <w:sz w:val="36"/>
          <w:szCs w:val="31"/>
        </w:rPr>
        <w:t>编制说明</w:t>
      </w:r>
    </w:p>
    <w:p>
      <w:pPr>
        <w:widowControl/>
        <w:jc w:val="left"/>
        <w:rPr>
          <w:rFonts w:ascii="Times New Roman" w:hAnsi="Times New Roman" w:eastAsia="宋体" w:cs="Times New Roman"/>
          <w:b/>
          <w:color w:val="auto"/>
          <w:kern w:val="0"/>
          <w:sz w:val="28"/>
          <w:szCs w:val="28"/>
        </w:rPr>
      </w:pPr>
    </w:p>
    <w:p>
      <w:pPr>
        <w:widowControl/>
        <w:jc w:val="left"/>
        <w:rPr>
          <w:rFonts w:ascii="Times New Roman" w:hAnsi="Times New Roman" w:eastAsia="宋体" w:cs="Times New Roman"/>
          <w:b/>
          <w:color w:val="auto"/>
          <w:kern w:val="0"/>
          <w:sz w:val="28"/>
          <w:szCs w:val="28"/>
        </w:rPr>
      </w:pPr>
    </w:p>
    <w:p>
      <w:pPr>
        <w:widowControl/>
        <w:jc w:val="left"/>
        <w:rPr>
          <w:rFonts w:ascii="Times New Roman" w:hAnsi="Times New Roman" w:eastAsia="宋体" w:cs="Times New Roman"/>
          <w:b/>
          <w:color w:val="auto"/>
          <w:kern w:val="0"/>
          <w:sz w:val="28"/>
          <w:szCs w:val="28"/>
        </w:rPr>
      </w:pPr>
    </w:p>
    <w:p>
      <w:pPr>
        <w:widowControl/>
        <w:jc w:val="center"/>
        <w:rPr>
          <w:rFonts w:ascii="Times New Roman" w:hAnsi="Times New Roman" w:eastAsia="宋体" w:cs="Times New Roman"/>
          <w:b/>
          <w:color w:val="auto"/>
          <w:kern w:val="0"/>
          <w:sz w:val="36"/>
          <w:szCs w:val="31"/>
        </w:rPr>
      </w:pPr>
      <w:r>
        <w:rPr>
          <w:rFonts w:ascii="Times New Roman" w:hAnsi="Times New Roman" w:eastAsia="宋体" w:cs="Times New Roman"/>
          <w:b/>
          <w:color w:val="auto"/>
          <w:kern w:val="0"/>
          <w:sz w:val="36"/>
          <w:szCs w:val="31"/>
        </w:rPr>
        <w:t>（</w:t>
      </w:r>
      <w:r>
        <w:rPr>
          <w:rFonts w:hint="eastAsia" w:ascii="Times New Roman" w:hAnsi="Times New Roman" w:eastAsia="宋体" w:cs="Times New Roman"/>
          <w:b/>
          <w:color w:val="auto"/>
          <w:kern w:val="0"/>
          <w:sz w:val="36"/>
          <w:szCs w:val="31"/>
        </w:rPr>
        <w:t>送审</w:t>
      </w:r>
      <w:r>
        <w:rPr>
          <w:rFonts w:ascii="Times New Roman" w:hAnsi="Times New Roman" w:eastAsia="宋体" w:cs="Times New Roman"/>
          <w:b/>
          <w:color w:val="auto"/>
          <w:kern w:val="0"/>
          <w:sz w:val="36"/>
          <w:szCs w:val="31"/>
        </w:rPr>
        <w:t>稿）</w:t>
      </w:r>
    </w:p>
    <w:p>
      <w:pPr>
        <w:widowControl/>
        <w:jc w:val="left"/>
        <w:rPr>
          <w:rFonts w:ascii="Times New Roman" w:hAnsi="Times New Roman" w:eastAsia="宋体" w:cs="Times New Roman"/>
          <w:b/>
          <w:color w:val="auto"/>
          <w:kern w:val="0"/>
          <w:sz w:val="28"/>
          <w:szCs w:val="28"/>
        </w:rPr>
      </w:pPr>
    </w:p>
    <w:p>
      <w:pPr>
        <w:widowControl/>
        <w:jc w:val="left"/>
        <w:rPr>
          <w:rFonts w:ascii="Times New Roman" w:hAnsi="Times New Roman" w:eastAsia="宋体" w:cs="Times New Roman"/>
          <w:b/>
          <w:color w:val="auto"/>
          <w:kern w:val="0"/>
          <w:sz w:val="28"/>
          <w:szCs w:val="28"/>
        </w:rPr>
      </w:pPr>
    </w:p>
    <w:p>
      <w:pPr>
        <w:widowControl/>
        <w:jc w:val="left"/>
        <w:rPr>
          <w:rFonts w:ascii="Times New Roman" w:hAnsi="Times New Roman" w:eastAsia="宋体" w:cs="Times New Roman"/>
          <w:b/>
          <w:color w:val="auto"/>
          <w:kern w:val="0"/>
          <w:sz w:val="28"/>
          <w:szCs w:val="28"/>
        </w:rPr>
      </w:pPr>
    </w:p>
    <w:p>
      <w:pPr>
        <w:widowControl/>
        <w:jc w:val="left"/>
        <w:rPr>
          <w:rFonts w:ascii="Times New Roman" w:hAnsi="Times New Roman" w:eastAsia="宋体" w:cs="Times New Roman"/>
          <w:b/>
          <w:color w:val="auto"/>
          <w:kern w:val="0"/>
          <w:sz w:val="28"/>
          <w:szCs w:val="28"/>
        </w:rPr>
      </w:pPr>
    </w:p>
    <w:p>
      <w:pPr>
        <w:widowControl/>
        <w:jc w:val="left"/>
        <w:rPr>
          <w:rFonts w:ascii="Times New Roman" w:hAnsi="Times New Roman" w:eastAsia="宋体" w:cs="Times New Roman"/>
          <w:b/>
          <w:color w:val="auto"/>
          <w:kern w:val="0"/>
          <w:sz w:val="28"/>
          <w:szCs w:val="28"/>
        </w:rPr>
      </w:pPr>
    </w:p>
    <w:p>
      <w:pPr>
        <w:widowControl/>
        <w:jc w:val="center"/>
        <w:rPr>
          <w:rFonts w:ascii="Times New Roman" w:hAnsi="Times New Roman" w:eastAsia="宋体" w:cs="Times New Roman"/>
          <w:b/>
          <w:color w:val="auto"/>
          <w:kern w:val="0"/>
          <w:sz w:val="36"/>
          <w:szCs w:val="31"/>
        </w:rPr>
      </w:pPr>
      <w:r>
        <w:rPr>
          <w:rFonts w:ascii="Times New Roman" w:hAnsi="Times New Roman" w:eastAsia="宋体" w:cs="Times New Roman"/>
          <w:b/>
          <w:color w:val="auto"/>
          <w:kern w:val="0"/>
          <w:sz w:val="36"/>
          <w:szCs w:val="31"/>
        </w:rPr>
        <w:t>《锗行业绿色工厂评价要求》标准文件编制组</w:t>
      </w:r>
    </w:p>
    <w:p>
      <w:pPr>
        <w:widowControl/>
        <w:jc w:val="center"/>
        <w:rPr>
          <w:rFonts w:ascii="Times New Roman" w:hAnsi="Times New Roman" w:eastAsia="宋体" w:cs="Times New Roman"/>
          <w:b/>
          <w:color w:val="auto"/>
          <w:kern w:val="0"/>
          <w:sz w:val="36"/>
          <w:szCs w:val="31"/>
        </w:rPr>
      </w:pPr>
      <w:r>
        <w:rPr>
          <w:rFonts w:ascii="Times New Roman" w:hAnsi="Times New Roman" w:eastAsia="宋体" w:cs="Times New Roman"/>
          <w:b/>
          <w:color w:val="auto"/>
          <w:kern w:val="0"/>
          <w:sz w:val="36"/>
          <w:szCs w:val="31"/>
        </w:rPr>
        <w:t>云南驰宏锌锗股份有限公司</w:t>
      </w:r>
    </w:p>
    <w:p>
      <w:pPr>
        <w:widowControl/>
        <w:jc w:val="center"/>
        <w:rPr>
          <w:rFonts w:ascii="Times New Roman" w:hAnsi="Times New Roman" w:cs="Times New Roman"/>
          <w:color w:val="auto"/>
        </w:rPr>
        <w:sectPr>
          <w:headerReference r:id="rId3" w:type="default"/>
          <w:footerReference r:id="rId5" w:type="default"/>
          <w:headerReference r:id="rId4" w:type="even"/>
          <w:footerReference r:id="rId6" w:type="even"/>
          <w:pgSz w:w="11906" w:h="16838"/>
          <w:pgMar w:top="567" w:right="1134" w:bottom="1134" w:left="1418" w:header="1417" w:footer="1134" w:gutter="0"/>
          <w:pgNumType w:fmt="upperRoman" w:start="1"/>
          <w:cols w:space="425" w:num="1"/>
          <w:docGrid w:type="lines" w:linePitch="312" w:charSpace="0"/>
        </w:sectPr>
      </w:pPr>
      <w:r>
        <w:rPr>
          <w:rFonts w:ascii="Times New Roman" w:hAnsi="Times New Roman" w:eastAsia="宋体" w:cs="Times New Roman"/>
          <w:b/>
          <w:color w:val="auto"/>
          <w:kern w:val="0"/>
          <w:sz w:val="36"/>
          <w:szCs w:val="31"/>
        </w:rPr>
        <w:t>2023年</w:t>
      </w:r>
      <w:r>
        <w:rPr>
          <w:rFonts w:hint="eastAsia" w:ascii="Times New Roman" w:hAnsi="Times New Roman" w:eastAsia="宋体" w:cs="Times New Roman"/>
          <w:b/>
          <w:color w:val="auto"/>
          <w:kern w:val="0"/>
          <w:sz w:val="36"/>
          <w:szCs w:val="31"/>
        </w:rPr>
        <w:t>3</w:t>
      </w:r>
      <w:r>
        <w:rPr>
          <w:rFonts w:ascii="Times New Roman" w:hAnsi="Times New Roman" w:eastAsia="宋体" w:cs="Times New Roman"/>
          <w:b/>
          <w:color w:val="auto"/>
          <w:kern w:val="0"/>
          <w:sz w:val="36"/>
          <w:szCs w:val="31"/>
        </w:rPr>
        <w:t>月</w:t>
      </w:r>
      <w:bookmarkStart w:id="2" w:name="_Toc107043651"/>
    </w:p>
    <w:p>
      <w:pPr>
        <w:pStyle w:val="24"/>
        <w:keepNext/>
        <w:pageBreakBefore/>
        <w:rPr>
          <w:color w:val="auto"/>
        </w:rPr>
      </w:pPr>
      <w:bookmarkStart w:id="3" w:name="_Toc131619663"/>
      <w:r>
        <w:rPr>
          <w:rFonts w:ascii="Times New Roman"/>
          <w:color w:val="auto"/>
        </w:rPr>
        <w:t>目    次</w:t>
      </w:r>
      <w:bookmarkEnd w:id="2"/>
      <w:bookmarkEnd w:id="3"/>
      <w:r>
        <w:rPr>
          <w:rFonts w:ascii="Times New Roman"/>
          <w:color w:val="auto"/>
        </w:rPr>
        <w:fldChar w:fldCharType="begin"/>
      </w:r>
      <w:r>
        <w:rPr>
          <w:rFonts w:ascii="Times New Roman"/>
          <w:color w:val="auto"/>
        </w:rPr>
        <w:instrText xml:space="preserve"> TOC \o "1-3" \h \z \u </w:instrText>
      </w:r>
      <w:r>
        <w:rPr>
          <w:rFonts w:ascii="Times New Roman"/>
          <w:color w:val="auto"/>
        </w:rPr>
        <w:fldChar w:fldCharType="separate"/>
      </w:r>
    </w:p>
    <w:p>
      <w:pPr>
        <w:pStyle w:val="14"/>
        <w:tabs>
          <w:tab w:val="right" w:leader="dot" w:pos="9344"/>
        </w:tabs>
        <w:rPr>
          <w:rFonts w:ascii="宋体" w:hAnsi="宋体" w:eastAsia="宋体"/>
          <w:color w:val="auto"/>
          <w:szCs w:val="22"/>
        </w:rPr>
      </w:pPr>
      <w:r>
        <w:rPr>
          <w:color w:val="auto"/>
        </w:rPr>
        <w:fldChar w:fldCharType="begin"/>
      </w:r>
      <w:r>
        <w:rPr>
          <w:color w:val="auto"/>
        </w:rPr>
        <w:instrText xml:space="preserve"> HYPERLINK \l "_Toc131619663" </w:instrText>
      </w:r>
      <w:r>
        <w:rPr>
          <w:color w:val="auto"/>
        </w:rPr>
        <w:fldChar w:fldCharType="separate"/>
      </w:r>
      <w:r>
        <w:rPr>
          <w:rStyle w:val="22"/>
          <w:rFonts w:hint="eastAsia" w:ascii="宋体" w:hAnsi="宋体" w:eastAsia="宋体"/>
          <w:color w:val="auto"/>
        </w:rPr>
        <w:t>目</w:t>
      </w:r>
      <w:r>
        <w:rPr>
          <w:rStyle w:val="22"/>
          <w:rFonts w:ascii="宋体" w:hAnsi="宋体" w:eastAsia="宋体"/>
          <w:color w:val="auto"/>
        </w:rPr>
        <w:t xml:space="preserve">    </w:t>
      </w:r>
      <w:r>
        <w:rPr>
          <w:rStyle w:val="22"/>
          <w:rFonts w:hint="eastAsia" w:ascii="宋体" w:hAnsi="宋体" w:eastAsia="宋体"/>
          <w:color w:val="auto"/>
        </w:rPr>
        <w:t>次</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_Toc131619663 \h </w:instrText>
      </w:r>
      <w:r>
        <w:rPr>
          <w:rFonts w:ascii="宋体" w:hAnsi="宋体" w:eastAsia="宋体"/>
          <w:color w:val="auto"/>
        </w:rPr>
        <w:fldChar w:fldCharType="separate"/>
      </w:r>
      <w:r>
        <w:rPr>
          <w:rFonts w:ascii="宋体" w:hAnsi="宋体" w:eastAsia="宋体"/>
          <w:color w:val="auto"/>
        </w:rPr>
        <w:t>I</w:t>
      </w:r>
      <w:r>
        <w:rPr>
          <w:rFonts w:ascii="宋体" w:hAnsi="宋体" w:eastAsia="宋体"/>
          <w:color w:val="auto"/>
        </w:rPr>
        <w:fldChar w:fldCharType="end"/>
      </w:r>
      <w:r>
        <w:rPr>
          <w:rFonts w:ascii="宋体" w:hAnsi="宋体" w:eastAsia="宋体"/>
          <w:color w:val="auto"/>
        </w:rPr>
        <w:fldChar w:fldCharType="end"/>
      </w:r>
    </w:p>
    <w:p>
      <w:pPr>
        <w:pStyle w:val="14"/>
        <w:tabs>
          <w:tab w:val="right" w:leader="dot" w:pos="9344"/>
        </w:tabs>
        <w:rPr>
          <w:rFonts w:ascii="宋体" w:hAnsi="宋体" w:eastAsia="宋体"/>
          <w:color w:val="auto"/>
          <w:szCs w:val="22"/>
        </w:rPr>
      </w:pPr>
      <w:r>
        <w:rPr>
          <w:color w:val="auto"/>
        </w:rPr>
        <w:fldChar w:fldCharType="begin"/>
      </w:r>
      <w:r>
        <w:rPr>
          <w:color w:val="auto"/>
        </w:rPr>
        <w:instrText xml:space="preserve"> HYPERLINK \l "_Toc131619664" </w:instrText>
      </w:r>
      <w:r>
        <w:rPr>
          <w:color w:val="auto"/>
        </w:rPr>
        <w:fldChar w:fldCharType="separate"/>
      </w:r>
      <w:r>
        <w:rPr>
          <w:rStyle w:val="22"/>
          <w:rFonts w:ascii="宋体" w:hAnsi="宋体" w:eastAsia="宋体" w:cs="Times New Roman"/>
          <w:color w:val="auto"/>
          <w:kern w:val="0"/>
        </w:rPr>
        <w:t>1</w:t>
      </w:r>
      <w:r>
        <w:rPr>
          <w:rStyle w:val="22"/>
          <w:rFonts w:hint="eastAsia" w:ascii="宋体" w:hAnsi="宋体" w:eastAsia="宋体" w:cs="Times New Roman"/>
          <w:color w:val="auto"/>
          <w:kern w:val="0"/>
        </w:rPr>
        <w:t>、工作简况</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_Toc131619664 \h </w:instrText>
      </w:r>
      <w:r>
        <w:rPr>
          <w:rFonts w:ascii="宋体" w:hAnsi="宋体" w:eastAsia="宋体"/>
          <w:color w:val="auto"/>
        </w:rPr>
        <w:fldChar w:fldCharType="separate"/>
      </w:r>
      <w:r>
        <w:rPr>
          <w:rFonts w:ascii="宋体" w:hAnsi="宋体" w:eastAsia="宋体"/>
          <w:color w:val="auto"/>
        </w:rPr>
        <w:t>1</w:t>
      </w:r>
      <w:r>
        <w:rPr>
          <w:rFonts w:ascii="宋体" w:hAnsi="宋体" w:eastAsia="宋体"/>
          <w:color w:val="auto"/>
        </w:rPr>
        <w:fldChar w:fldCharType="end"/>
      </w:r>
      <w:r>
        <w:rPr>
          <w:rFonts w:ascii="宋体" w:hAnsi="宋体" w:eastAsia="宋体"/>
          <w:color w:val="auto"/>
        </w:rPr>
        <w:fldChar w:fldCharType="end"/>
      </w:r>
    </w:p>
    <w:p>
      <w:pPr>
        <w:pStyle w:val="15"/>
        <w:tabs>
          <w:tab w:val="right" w:leader="dot" w:pos="9344"/>
        </w:tabs>
        <w:ind w:left="0" w:leftChars="0" w:firstLine="210" w:firstLineChars="100"/>
        <w:rPr>
          <w:rFonts w:ascii="宋体" w:hAnsi="宋体" w:eastAsia="宋体"/>
          <w:color w:val="auto"/>
          <w:szCs w:val="22"/>
        </w:rPr>
      </w:pPr>
      <w:r>
        <w:rPr>
          <w:color w:val="auto"/>
        </w:rPr>
        <w:fldChar w:fldCharType="begin"/>
      </w:r>
      <w:r>
        <w:rPr>
          <w:color w:val="auto"/>
        </w:rPr>
        <w:instrText xml:space="preserve"> HYPERLINK \l "_Toc131619665" </w:instrText>
      </w:r>
      <w:r>
        <w:rPr>
          <w:color w:val="auto"/>
        </w:rPr>
        <w:fldChar w:fldCharType="separate"/>
      </w:r>
      <w:r>
        <w:rPr>
          <w:rStyle w:val="22"/>
          <w:rFonts w:ascii="宋体" w:hAnsi="宋体" w:eastAsia="宋体" w:cs="Times New Roman"/>
          <w:color w:val="auto"/>
          <w:kern w:val="0"/>
        </w:rPr>
        <w:t>1.1</w:t>
      </w:r>
      <w:r>
        <w:rPr>
          <w:rStyle w:val="22"/>
          <w:rFonts w:hint="eastAsia" w:ascii="宋体" w:hAnsi="宋体" w:eastAsia="宋体" w:cs="Times New Roman"/>
          <w:color w:val="auto"/>
          <w:kern w:val="0"/>
        </w:rPr>
        <w:t>任务背景</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_Toc131619665 \h </w:instrText>
      </w:r>
      <w:r>
        <w:rPr>
          <w:rFonts w:ascii="宋体" w:hAnsi="宋体" w:eastAsia="宋体"/>
          <w:color w:val="auto"/>
        </w:rPr>
        <w:fldChar w:fldCharType="separate"/>
      </w:r>
      <w:r>
        <w:rPr>
          <w:rFonts w:ascii="宋体" w:hAnsi="宋体" w:eastAsia="宋体"/>
          <w:color w:val="auto"/>
        </w:rPr>
        <w:t>1</w:t>
      </w:r>
      <w:r>
        <w:rPr>
          <w:rFonts w:ascii="宋体" w:hAnsi="宋体" w:eastAsia="宋体"/>
          <w:color w:val="auto"/>
        </w:rPr>
        <w:fldChar w:fldCharType="end"/>
      </w:r>
      <w:r>
        <w:rPr>
          <w:rFonts w:ascii="宋体" w:hAnsi="宋体" w:eastAsia="宋体"/>
          <w:color w:val="auto"/>
        </w:rPr>
        <w:fldChar w:fldCharType="end"/>
      </w:r>
    </w:p>
    <w:p>
      <w:pPr>
        <w:pStyle w:val="15"/>
        <w:tabs>
          <w:tab w:val="right" w:leader="dot" w:pos="9344"/>
        </w:tabs>
        <w:ind w:left="0" w:leftChars="0" w:firstLine="210" w:firstLineChars="100"/>
        <w:rPr>
          <w:rFonts w:ascii="宋体" w:hAnsi="宋体" w:eastAsia="宋体"/>
          <w:color w:val="auto"/>
          <w:szCs w:val="22"/>
        </w:rPr>
      </w:pPr>
      <w:r>
        <w:rPr>
          <w:color w:val="auto"/>
        </w:rPr>
        <w:fldChar w:fldCharType="begin"/>
      </w:r>
      <w:r>
        <w:rPr>
          <w:color w:val="auto"/>
        </w:rPr>
        <w:instrText xml:space="preserve"> HYPERLINK \l "_Toc131619666" </w:instrText>
      </w:r>
      <w:r>
        <w:rPr>
          <w:color w:val="auto"/>
        </w:rPr>
        <w:fldChar w:fldCharType="separate"/>
      </w:r>
      <w:r>
        <w:rPr>
          <w:rStyle w:val="22"/>
          <w:rFonts w:ascii="宋体" w:hAnsi="宋体" w:eastAsia="宋体" w:cs="Times New Roman"/>
          <w:color w:val="auto"/>
          <w:kern w:val="0"/>
        </w:rPr>
        <w:t>1.2</w:t>
      </w:r>
      <w:r>
        <w:rPr>
          <w:rStyle w:val="22"/>
          <w:rFonts w:hint="eastAsia" w:ascii="宋体" w:hAnsi="宋体" w:eastAsia="宋体" w:cs="Times New Roman"/>
          <w:color w:val="auto"/>
          <w:kern w:val="0"/>
        </w:rPr>
        <w:t>任务来源</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_Toc131619666 \h </w:instrText>
      </w:r>
      <w:r>
        <w:rPr>
          <w:rFonts w:ascii="宋体" w:hAnsi="宋体" w:eastAsia="宋体"/>
          <w:color w:val="auto"/>
        </w:rPr>
        <w:fldChar w:fldCharType="separate"/>
      </w:r>
      <w:r>
        <w:rPr>
          <w:rFonts w:ascii="宋体" w:hAnsi="宋体" w:eastAsia="宋体"/>
          <w:color w:val="auto"/>
        </w:rPr>
        <w:t>2</w:t>
      </w:r>
      <w:r>
        <w:rPr>
          <w:rFonts w:ascii="宋体" w:hAnsi="宋体" w:eastAsia="宋体"/>
          <w:color w:val="auto"/>
        </w:rPr>
        <w:fldChar w:fldCharType="end"/>
      </w:r>
      <w:r>
        <w:rPr>
          <w:rFonts w:ascii="宋体" w:hAnsi="宋体" w:eastAsia="宋体"/>
          <w:color w:val="auto"/>
        </w:rPr>
        <w:fldChar w:fldCharType="end"/>
      </w:r>
    </w:p>
    <w:p>
      <w:pPr>
        <w:pStyle w:val="15"/>
        <w:tabs>
          <w:tab w:val="right" w:leader="dot" w:pos="9344"/>
        </w:tabs>
        <w:ind w:left="0" w:leftChars="0" w:firstLine="210" w:firstLineChars="100"/>
        <w:rPr>
          <w:rFonts w:ascii="宋体" w:hAnsi="宋体" w:eastAsia="宋体"/>
          <w:color w:val="auto"/>
          <w:szCs w:val="22"/>
        </w:rPr>
      </w:pPr>
      <w:r>
        <w:rPr>
          <w:color w:val="auto"/>
        </w:rPr>
        <w:fldChar w:fldCharType="begin"/>
      </w:r>
      <w:r>
        <w:rPr>
          <w:color w:val="auto"/>
        </w:rPr>
        <w:instrText xml:space="preserve"> HYPERLINK \l "_Toc131619667" </w:instrText>
      </w:r>
      <w:r>
        <w:rPr>
          <w:color w:val="auto"/>
        </w:rPr>
        <w:fldChar w:fldCharType="separate"/>
      </w:r>
      <w:r>
        <w:rPr>
          <w:rStyle w:val="22"/>
          <w:rFonts w:ascii="宋体" w:hAnsi="宋体" w:eastAsia="宋体" w:cs="Times New Roman"/>
          <w:color w:val="auto"/>
          <w:kern w:val="0"/>
        </w:rPr>
        <w:t>1.3</w:t>
      </w:r>
      <w:r>
        <w:rPr>
          <w:rStyle w:val="22"/>
          <w:rFonts w:hint="eastAsia" w:ascii="宋体" w:hAnsi="宋体" w:eastAsia="宋体" w:cs="Times New Roman"/>
          <w:color w:val="auto"/>
          <w:kern w:val="0"/>
        </w:rPr>
        <w:t>编制单位简况</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_Toc131619667 \h </w:instrText>
      </w:r>
      <w:r>
        <w:rPr>
          <w:rFonts w:ascii="宋体" w:hAnsi="宋体" w:eastAsia="宋体"/>
          <w:color w:val="auto"/>
        </w:rPr>
        <w:fldChar w:fldCharType="separate"/>
      </w:r>
      <w:r>
        <w:rPr>
          <w:rFonts w:ascii="宋体" w:hAnsi="宋体" w:eastAsia="宋体"/>
          <w:color w:val="auto"/>
        </w:rPr>
        <w:t>2</w:t>
      </w:r>
      <w:r>
        <w:rPr>
          <w:rFonts w:ascii="宋体" w:hAnsi="宋体" w:eastAsia="宋体"/>
          <w:color w:val="auto"/>
        </w:rPr>
        <w:fldChar w:fldCharType="end"/>
      </w:r>
      <w:r>
        <w:rPr>
          <w:rFonts w:ascii="宋体" w:hAnsi="宋体" w:eastAsia="宋体"/>
          <w:color w:val="auto"/>
        </w:rPr>
        <w:fldChar w:fldCharType="end"/>
      </w:r>
    </w:p>
    <w:p>
      <w:pPr>
        <w:pStyle w:val="9"/>
        <w:tabs>
          <w:tab w:val="right" w:leader="dot" w:pos="9344"/>
        </w:tabs>
        <w:ind w:left="0" w:leftChars="0" w:firstLine="210" w:firstLineChars="100"/>
        <w:rPr>
          <w:rFonts w:ascii="宋体" w:hAnsi="宋体" w:eastAsia="宋体"/>
          <w:color w:val="auto"/>
          <w:szCs w:val="22"/>
        </w:rPr>
      </w:pPr>
      <w:r>
        <w:rPr>
          <w:color w:val="auto"/>
        </w:rPr>
        <w:fldChar w:fldCharType="begin"/>
      </w:r>
      <w:r>
        <w:rPr>
          <w:color w:val="auto"/>
        </w:rPr>
        <w:instrText xml:space="preserve"> HYPERLINK \l "_Toc131619668" </w:instrText>
      </w:r>
      <w:r>
        <w:rPr>
          <w:color w:val="auto"/>
        </w:rPr>
        <w:fldChar w:fldCharType="separate"/>
      </w:r>
      <w:r>
        <w:rPr>
          <w:rStyle w:val="22"/>
          <w:rFonts w:ascii="宋体" w:hAnsi="宋体" w:eastAsia="宋体"/>
          <w:color w:val="auto"/>
        </w:rPr>
        <w:t xml:space="preserve">1.3.1 </w:t>
      </w:r>
      <w:r>
        <w:rPr>
          <w:rStyle w:val="22"/>
          <w:rFonts w:hint="eastAsia" w:ascii="宋体" w:hAnsi="宋体" w:eastAsia="宋体"/>
          <w:color w:val="auto"/>
        </w:rPr>
        <w:t>编制组成员单位</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_Toc131619668 \h </w:instrText>
      </w:r>
      <w:r>
        <w:rPr>
          <w:rFonts w:ascii="宋体" w:hAnsi="宋体" w:eastAsia="宋体"/>
          <w:color w:val="auto"/>
        </w:rPr>
        <w:fldChar w:fldCharType="separate"/>
      </w:r>
      <w:r>
        <w:rPr>
          <w:rFonts w:ascii="宋体" w:hAnsi="宋体" w:eastAsia="宋体"/>
          <w:color w:val="auto"/>
        </w:rPr>
        <w:t>2</w:t>
      </w:r>
      <w:r>
        <w:rPr>
          <w:rFonts w:ascii="宋体" w:hAnsi="宋体" w:eastAsia="宋体"/>
          <w:color w:val="auto"/>
        </w:rPr>
        <w:fldChar w:fldCharType="end"/>
      </w:r>
      <w:r>
        <w:rPr>
          <w:rFonts w:ascii="宋体" w:hAnsi="宋体" w:eastAsia="宋体"/>
          <w:color w:val="auto"/>
        </w:rPr>
        <w:fldChar w:fldCharType="end"/>
      </w:r>
    </w:p>
    <w:p>
      <w:pPr>
        <w:pStyle w:val="9"/>
        <w:tabs>
          <w:tab w:val="right" w:leader="dot" w:pos="9344"/>
        </w:tabs>
        <w:ind w:left="0" w:leftChars="0" w:firstLine="210" w:firstLineChars="100"/>
        <w:rPr>
          <w:rFonts w:ascii="宋体" w:hAnsi="宋体" w:eastAsia="宋体"/>
          <w:color w:val="auto"/>
          <w:szCs w:val="22"/>
        </w:rPr>
      </w:pPr>
      <w:r>
        <w:rPr>
          <w:color w:val="auto"/>
        </w:rPr>
        <w:fldChar w:fldCharType="begin"/>
      </w:r>
      <w:r>
        <w:rPr>
          <w:color w:val="auto"/>
        </w:rPr>
        <w:instrText xml:space="preserve"> HYPERLINK \l "_Toc131619669" </w:instrText>
      </w:r>
      <w:r>
        <w:rPr>
          <w:color w:val="auto"/>
        </w:rPr>
        <w:fldChar w:fldCharType="separate"/>
      </w:r>
      <w:r>
        <w:rPr>
          <w:rStyle w:val="22"/>
          <w:rFonts w:ascii="宋体" w:hAnsi="宋体" w:eastAsia="宋体"/>
          <w:color w:val="auto"/>
        </w:rPr>
        <w:t xml:space="preserve">1.3.2 </w:t>
      </w:r>
      <w:r>
        <w:rPr>
          <w:rStyle w:val="22"/>
          <w:rFonts w:hint="eastAsia" w:ascii="宋体" w:hAnsi="宋体" w:eastAsia="宋体"/>
          <w:color w:val="auto"/>
        </w:rPr>
        <w:t>主编单位简介</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_Toc131619669 \h </w:instrText>
      </w:r>
      <w:r>
        <w:rPr>
          <w:rFonts w:ascii="宋体" w:hAnsi="宋体" w:eastAsia="宋体"/>
          <w:color w:val="auto"/>
        </w:rPr>
        <w:fldChar w:fldCharType="separate"/>
      </w:r>
      <w:r>
        <w:rPr>
          <w:rFonts w:ascii="宋体" w:hAnsi="宋体" w:eastAsia="宋体"/>
          <w:color w:val="auto"/>
        </w:rPr>
        <w:t>2</w:t>
      </w:r>
      <w:r>
        <w:rPr>
          <w:rFonts w:ascii="宋体" w:hAnsi="宋体" w:eastAsia="宋体"/>
          <w:color w:val="auto"/>
        </w:rPr>
        <w:fldChar w:fldCharType="end"/>
      </w:r>
      <w:r>
        <w:rPr>
          <w:rFonts w:ascii="宋体" w:hAnsi="宋体" w:eastAsia="宋体"/>
          <w:color w:val="auto"/>
        </w:rPr>
        <w:fldChar w:fldCharType="end"/>
      </w:r>
    </w:p>
    <w:p>
      <w:pPr>
        <w:pStyle w:val="9"/>
        <w:tabs>
          <w:tab w:val="right" w:leader="dot" w:pos="9344"/>
        </w:tabs>
        <w:ind w:left="0" w:leftChars="0" w:firstLine="210" w:firstLineChars="100"/>
        <w:rPr>
          <w:rFonts w:ascii="宋体" w:hAnsi="宋体" w:eastAsia="宋体"/>
          <w:color w:val="auto"/>
          <w:szCs w:val="22"/>
        </w:rPr>
      </w:pPr>
      <w:r>
        <w:rPr>
          <w:color w:val="auto"/>
        </w:rPr>
        <w:fldChar w:fldCharType="begin"/>
      </w:r>
      <w:r>
        <w:rPr>
          <w:color w:val="auto"/>
        </w:rPr>
        <w:instrText xml:space="preserve"> HYPERLINK \l "_Toc131619670" </w:instrText>
      </w:r>
      <w:r>
        <w:rPr>
          <w:color w:val="auto"/>
        </w:rPr>
        <w:fldChar w:fldCharType="separate"/>
      </w:r>
      <w:r>
        <w:rPr>
          <w:rStyle w:val="22"/>
          <w:rFonts w:ascii="宋体" w:hAnsi="宋体" w:eastAsia="宋体"/>
          <w:color w:val="auto"/>
        </w:rPr>
        <w:t xml:space="preserve">1.3.3 </w:t>
      </w:r>
      <w:r>
        <w:rPr>
          <w:rStyle w:val="22"/>
          <w:rFonts w:hint="eastAsia" w:ascii="宋体" w:hAnsi="宋体" w:eastAsia="宋体"/>
          <w:color w:val="auto"/>
        </w:rPr>
        <w:t>参与单位简介</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_Toc131619670 \h </w:instrText>
      </w:r>
      <w:r>
        <w:rPr>
          <w:rFonts w:ascii="宋体" w:hAnsi="宋体" w:eastAsia="宋体"/>
          <w:color w:val="auto"/>
        </w:rPr>
        <w:fldChar w:fldCharType="separate"/>
      </w:r>
      <w:r>
        <w:rPr>
          <w:rFonts w:ascii="宋体" w:hAnsi="宋体" w:eastAsia="宋体"/>
          <w:color w:val="auto"/>
        </w:rPr>
        <w:t>3</w:t>
      </w:r>
      <w:r>
        <w:rPr>
          <w:rFonts w:ascii="宋体" w:hAnsi="宋体" w:eastAsia="宋体"/>
          <w:color w:val="auto"/>
        </w:rPr>
        <w:fldChar w:fldCharType="end"/>
      </w:r>
      <w:r>
        <w:rPr>
          <w:rFonts w:ascii="宋体" w:hAnsi="宋体" w:eastAsia="宋体"/>
          <w:color w:val="auto"/>
        </w:rPr>
        <w:fldChar w:fldCharType="end"/>
      </w:r>
    </w:p>
    <w:p>
      <w:pPr>
        <w:pStyle w:val="15"/>
        <w:tabs>
          <w:tab w:val="right" w:leader="dot" w:pos="9344"/>
        </w:tabs>
        <w:ind w:left="0" w:leftChars="0" w:firstLine="210" w:firstLineChars="100"/>
        <w:rPr>
          <w:rFonts w:ascii="宋体" w:hAnsi="宋体" w:eastAsia="宋体"/>
          <w:color w:val="auto"/>
          <w:szCs w:val="22"/>
        </w:rPr>
      </w:pPr>
      <w:r>
        <w:rPr>
          <w:color w:val="auto"/>
        </w:rPr>
        <w:fldChar w:fldCharType="begin"/>
      </w:r>
      <w:r>
        <w:rPr>
          <w:color w:val="auto"/>
        </w:rPr>
        <w:instrText xml:space="preserve"> HYPERLINK \l "_Toc131619671" </w:instrText>
      </w:r>
      <w:r>
        <w:rPr>
          <w:color w:val="auto"/>
        </w:rPr>
        <w:fldChar w:fldCharType="separate"/>
      </w:r>
      <w:r>
        <w:rPr>
          <w:rStyle w:val="22"/>
          <w:rFonts w:ascii="宋体" w:hAnsi="宋体" w:eastAsia="宋体" w:cs="Times New Roman"/>
          <w:color w:val="auto"/>
          <w:kern w:val="0"/>
        </w:rPr>
        <w:t xml:space="preserve">1.4 </w:t>
      </w:r>
      <w:r>
        <w:rPr>
          <w:rStyle w:val="22"/>
          <w:rFonts w:hint="eastAsia" w:ascii="宋体" w:hAnsi="宋体" w:eastAsia="宋体" w:cs="Times New Roman"/>
          <w:color w:val="auto"/>
          <w:kern w:val="0"/>
        </w:rPr>
        <w:t>工作过程</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_Toc131619671 \h </w:instrText>
      </w:r>
      <w:r>
        <w:rPr>
          <w:rFonts w:ascii="宋体" w:hAnsi="宋体" w:eastAsia="宋体"/>
          <w:color w:val="auto"/>
        </w:rPr>
        <w:fldChar w:fldCharType="separate"/>
      </w:r>
      <w:r>
        <w:rPr>
          <w:rFonts w:ascii="宋体" w:hAnsi="宋体" w:eastAsia="宋体"/>
          <w:color w:val="auto"/>
        </w:rPr>
        <w:t>4</w:t>
      </w:r>
      <w:r>
        <w:rPr>
          <w:rFonts w:ascii="宋体" w:hAnsi="宋体" w:eastAsia="宋体"/>
          <w:color w:val="auto"/>
        </w:rPr>
        <w:fldChar w:fldCharType="end"/>
      </w:r>
      <w:r>
        <w:rPr>
          <w:rFonts w:ascii="宋体" w:hAnsi="宋体" w:eastAsia="宋体"/>
          <w:color w:val="auto"/>
        </w:rPr>
        <w:fldChar w:fldCharType="end"/>
      </w:r>
    </w:p>
    <w:p>
      <w:pPr>
        <w:pStyle w:val="14"/>
        <w:tabs>
          <w:tab w:val="right" w:leader="dot" w:pos="9344"/>
        </w:tabs>
        <w:rPr>
          <w:rFonts w:ascii="宋体" w:hAnsi="宋体" w:eastAsia="宋体"/>
          <w:color w:val="auto"/>
          <w:szCs w:val="22"/>
        </w:rPr>
      </w:pPr>
      <w:r>
        <w:rPr>
          <w:color w:val="auto"/>
        </w:rPr>
        <w:fldChar w:fldCharType="begin"/>
      </w:r>
      <w:r>
        <w:rPr>
          <w:color w:val="auto"/>
        </w:rPr>
        <w:instrText xml:space="preserve"> HYPERLINK \l "_Toc131619672" </w:instrText>
      </w:r>
      <w:r>
        <w:rPr>
          <w:color w:val="auto"/>
        </w:rPr>
        <w:fldChar w:fldCharType="separate"/>
      </w:r>
      <w:r>
        <w:rPr>
          <w:rStyle w:val="22"/>
          <w:rFonts w:ascii="宋体" w:hAnsi="宋体" w:eastAsia="宋体" w:cs="Times New Roman"/>
          <w:color w:val="auto"/>
          <w:kern w:val="0"/>
        </w:rPr>
        <w:t>2</w:t>
      </w:r>
      <w:r>
        <w:rPr>
          <w:rStyle w:val="22"/>
          <w:rFonts w:hint="eastAsia" w:ascii="宋体" w:hAnsi="宋体" w:eastAsia="宋体" w:cs="Times New Roman"/>
          <w:color w:val="auto"/>
          <w:kern w:val="0"/>
        </w:rPr>
        <w:t>、标准编制原则和确定标准主要内容</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_Toc131619672 \h </w:instrText>
      </w:r>
      <w:r>
        <w:rPr>
          <w:rFonts w:ascii="宋体" w:hAnsi="宋体" w:eastAsia="宋体"/>
          <w:color w:val="auto"/>
        </w:rPr>
        <w:fldChar w:fldCharType="separate"/>
      </w:r>
      <w:r>
        <w:rPr>
          <w:rFonts w:ascii="宋体" w:hAnsi="宋体" w:eastAsia="宋体"/>
          <w:color w:val="auto"/>
        </w:rPr>
        <w:t>6</w:t>
      </w:r>
      <w:r>
        <w:rPr>
          <w:rFonts w:ascii="宋体" w:hAnsi="宋体" w:eastAsia="宋体"/>
          <w:color w:val="auto"/>
        </w:rPr>
        <w:fldChar w:fldCharType="end"/>
      </w:r>
      <w:r>
        <w:rPr>
          <w:rFonts w:ascii="宋体" w:hAnsi="宋体" w:eastAsia="宋体"/>
          <w:color w:val="auto"/>
        </w:rPr>
        <w:fldChar w:fldCharType="end"/>
      </w:r>
    </w:p>
    <w:p>
      <w:pPr>
        <w:pStyle w:val="15"/>
        <w:tabs>
          <w:tab w:val="right" w:leader="dot" w:pos="9344"/>
        </w:tabs>
        <w:ind w:left="0" w:leftChars="0" w:firstLine="210" w:firstLineChars="100"/>
        <w:rPr>
          <w:rFonts w:ascii="宋体" w:hAnsi="宋体" w:eastAsia="宋体"/>
          <w:color w:val="auto"/>
          <w:szCs w:val="22"/>
        </w:rPr>
      </w:pPr>
      <w:r>
        <w:rPr>
          <w:color w:val="auto"/>
        </w:rPr>
        <w:fldChar w:fldCharType="begin"/>
      </w:r>
      <w:r>
        <w:rPr>
          <w:color w:val="auto"/>
        </w:rPr>
        <w:instrText xml:space="preserve"> HYPERLINK \l "_Toc131619673" </w:instrText>
      </w:r>
      <w:r>
        <w:rPr>
          <w:color w:val="auto"/>
        </w:rPr>
        <w:fldChar w:fldCharType="separate"/>
      </w:r>
      <w:r>
        <w:rPr>
          <w:rStyle w:val="22"/>
          <w:rFonts w:ascii="宋体" w:hAnsi="宋体" w:eastAsia="宋体" w:cs="Times New Roman"/>
          <w:color w:val="auto"/>
          <w:kern w:val="0"/>
        </w:rPr>
        <w:t>2.1</w:t>
      </w:r>
      <w:r>
        <w:rPr>
          <w:rStyle w:val="22"/>
          <w:rFonts w:hint="eastAsia" w:ascii="宋体" w:hAnsi="宋体" w:eastAsia="宋体" w:cs="Times New Roman"/>
          <w:color w:val="auto"/>
          <w:kern w:val="0"/>
        </w:rPr>
        <w:t>编制原则</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_Toc131619673 \h </w:instrText>
      </w:r>
      <w:r>
        <w:rPr>
          <w:rFonts w:ascii="宋体" w:hAnsi="宋体" w:eastAsia="宋体"/>
          <w:color w:val="auto"/>
        </w:rPr>
        <w:fldChar w:fldCharType="separate"/>
      </w:r>
      <w:r>
        <w:rPr>
          <w:rFonts w:ascii="宋体" w:hAnsi="宋体" w:eastAsia="宋体"/>
          <w:color w:val="auto"/>
        </w:rPr>
        <w:t>6</w:t>
      </w:r>
      <w:r>
        <w:rPr>
          <w:rFonts w:ascii="宋体" w:hAnsi="宋体" w:eastAsia="宋体"/>
          <w:color w:val="auto"/>
        </w:rPr>
        <w:fldChar w:fldCharType="end"/>
      </w:r>
      <w:r>
        <w:rPr>
          <w:rFonts w:ascii="宋体" w:hAnsi="宋体" w:eastAsia="宋体"/>
          <w:color w:val="auto"/>
        </w:rPr>
        <w:fldChar w:fldCharType="end"/>
      </w:r>
    </w:p>
    <w:p>
      <w:pPr>
        <w:pStyle w:val="9"/>
        <w:tabs>
          <w:tab w:val="right" w:leader="dot" w:pos="9344"/>
        </w:tabs>
        <w:ind w:left="0" w:leftChars="0" w:firstLine="210" w:firstLineChars="100"/>
        <w:rPr>
          <w:rFonts w:ascii="宋体" w:hAnsi="宋体" w:eastAsia="宋体"/>
          <w:color w:val="auto"/>
          <w:szCs w:val="22"/>
        </w:rPr>
      </w:pPr>
      <w:r>
        <w:rPr>
          <w:color w:val="auto"/>
        </w:rPr>
        <w:fldChar w:fldCharType="begin"/>
      </w:r>
      <w:r>
        <w:rPr>
          <w:color w:val="auto"/>
        </w:rPr>
        <w:instrText xml:space="preserve"> HYPERLINK \l "_Toc131619674" </w:instrText>
      </w:r>
      <w:r>
        <w:rPr>
          <w:color w:val="auto"/>
        </w:rPr>
        <w:fldChar w:fldCharType="separate"/>
      </w:r>
      <w:r>
        <w:rPr>
          <w:rStyle w:val="22"/>
          <w:rFonts w:ascii="宋体" w:hAnsi="宋体" w:eastAsia="宋体"/>
          <w:color w:val="auto"/>
        </w:rPr>
        <w:t xml:space="preserve">2.1.1 </w:t>
      </w:r>
      <w:r>
        <w:rPr>
          <w:rStyle w:val="22"/>
          <w:rFonts w:hint="eastAsia" w:ascii="宋体" w:hAnsi="宋体" w:eastAsia="宋体"/>
          <w:color w:val="auto"/>
        </w:rPr>
        <w:t>一致性原则</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_Toc131619674 \h </w:instrText>
      </w:r>
      <w:r>
        <w:rPr>
          <w:rFonts w:ascii="宋体" w:hAnsi="宋体" w:eastAsia="宋体"/>
          <w:color w:val="auto"/>
        </w:rPr>
        <w:fldChar w:fldCharType="separate"/>
      </w:r>
      <w:r>
        <w:rPr>
          <w:rFonts w:ascii="宋体" w:hAnsi="宋体" w:eastAsia="宋体"/>
          <w:color w:val="auto"/>
        </w:rPr>
        <w:t>6</w:t>
      </w:r>
      <w:r>
        <w:rPr>
          <w:rFonts w:ascii="宋体" w:hAnsi="宋体" w:eastAsia="宋体"/>
          <w:color w:val="auto"/>
        </w:rPr>
        <w:fldChar w:fldCharType="end"/>
      </w:r>
      <w:r>
        <w:rPr>
          <w:rFonts w:ascii="宋体" w:hAnsi="宋体" w:eastAsia="宋体"/>
          <w:color w:val="auto"/>
        </w:rPr>
        <w:fldChar w:fldCharType="end"/>
      </w:r>
    </w:p>
    <w:p>
      <w:pPr>
        <w:pStyle w:val="9"/>
        <w:tabs>
          <w:tab w:val="right" w:leader="dot" w:pos="9344"/>
        </w:tabs>
        <w:ind w:left="0" w:leftChars="0" w:firstLine="210" w:firstLineChars="100"/>
        <w:rPr>
          <w:rFonts w:ascii="宋体" w:hAnsi="宋体" w:eastAsia="宋体"/>
          <w:color w:val="auto"/>
          <w:szCs w:val="22"/>
        </w:rPr>
      </w:pPr>
      <w:r>
        <w:rPr>
          <w:color w:val="auto"/>
        </w:rPr>
        <w:fldChar w:fldCharType="begin"/>
      </w:r>
      <w:r>
        <w:rPr>
          <w:color w:val="auto"/>
        </w:rPr>
        <w:instrText xml:space="preserve"> HYPERLINK \l "_Toc131619675" </w:instrText>
      </w:r>
      <w:r>
        <w:rPr>
          <w:color w:val="auto"/>
        </w:rPr>
        <w:fldChar w:fldCharType="separate"/>
      </w:r>
      <w:r>
        <w:rPr>
          <w:rStyle w:val="22"/>
          <w:rFonts w:ascii="宋体" w:hAnsi="宋体" w:eastAsia="宋体"/>
          <w:color w:val="auto"/>
        </w:rPr>
        <w:t>2.1.2</w:t>
      </w:r>
      <w:r>
        <w:rPr>
          <w:rStyle w:val="22"/>
          <w:rFonts w:hint="eastAsia" w:ascii="宋体" w:hAnsi="宋体" w:eastAsia="宋体"/>
          <w:color w:val="auto"/>
        </w:rPr>
        <w:t>行业性原则</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_Toc131619675 \h </w:instrText>
      </w:r>
      <w:r>
        <w:rPr>
          <w:rFonts w:ascii="宋体" w:hAnsi="宋体" w:eastAsia="宋体"/>
          <w:color w:val="auto"/>
        </w:rPr>
        <w:fldChar w:fldCharType="separate"/>
      </w:r>
      <w:r>
        <w:rPr>
          <w:rFonts w:ascii="宋体" w:hAnsi="宋体" w:eastAsia="宋体"/>
          <w:color w:val="auto"/>
        </w:rPr>
        <w:t>6</w:t>
      </w:r>
      <w:r>
        <w:rPr>
          <w:rFonts w:ascii="宋体" w:hAnsi="宋体" w:eastAsia="宋体"/>
          <w:color w:val="auto"/>
        </w:rPr>
        <w:fldChar w:fldCharType="end"/>
      </w:r>
      <w:r>
        <w:rPr>
          <w:rFonts w:ascii="宋体" w:hAnsi="宋体" w:eastAsia="宋体"/>
          <w:color w:val="auto"/>
        </w:rPr>
        <w:fldChar w:fldCharType="end"/>
      </w:r>
    </w:p>
    <w:p>
      <w:pPr>
        <w:pStyle w:val="9"/>
        <w:tabs>
          <w:tab w:val="right" w:leader="dot" w:pos="9344"/>
        </w:tabs>
        <w:ind w:left="0" w:leftChars="0" w:firstLine="210" w:firstLineChars="100"/>
        <w:rPr>
          <w:rFonts w:ascii="宋体" w:hAnsi="宋体" w:eastAsia="宋体"/>
          <w:color w:val="auto"/>
          <w:szCs w:val="22"/>
        </w:rPr>
      </w:pPr>
      <w:r>
        <w:rPr>
          <w:color w:val="auto"/>
        </w:rPr>
        <w:fldChar w:fldCharType="begin"/>
      </w:r>
      <w:r>
        <w:rPr>
          <w:color w:val="auto"/>
        </w:rPr>
        <w:instrText xml:space="preserve"> HYPERLINK \l "_Toc131619676" </w:instrText>
      </w:r>
      <w:r>
        <w:rPr>
          <w:color w:val="auto"/>
        </w:rPr>
        <w:fldChar w:fldCharType="separate"/>
      </w:r>
      <w:r>
        <w:rPr>
          <w:rStyle w:val="22"/>
          <w:rFonts w:ascii="宋体" w:hAnsi="宋体" w:eastAsia="宋体"/>
          <w:color w:val="auto"/>
        </w:rPr>
        <w:t>2.1.3</w:t>
      </w:r>
      <w:r>
        <w:rPr>
          <w:rStyle w:val="22"/>
          <w:rFonts w:hint="eastAsia" w:ascii="宋体" w:hAnsi="宋体" w:eastAsia="宋体"/>
          <w:color w:val="auto"/>
        </w:rPr>
        <w:t>先进性原则</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_Toc131619676 \h </w:instrText>
      </w:r>
      <w:r>
        <w:rPr>
          <w:rFonts w:ascii="宋体" w:hAnsi="宋体" w:eastAsia="宋体"/>
          <w:color w:val="auto"/>
        </w:rPr>
        <w:fldChar w:fldCharType="separate"/>
      </w:r>
      <w:r>
        <w:rPr>
          <w:rFonts w:ascii="宋体" w:hAnsi="宋体" w:eastAsia="宋体"/>
          <w:color w:val="auto"/>
        </w:rPr>
        <w:t>6</w:t>
      </w:r>
      <w:r>
        <w:rPr>
          <w:rFonts w:ascii="宋体" w:hAnsi="宋体" w:eastAsia="宋体"/>
          <w:color w:val="auto"/>
        </w:rPr>
        <w:fldChar w:fldCharType="end"/>
      </w:r>
      <w:r>
        <w:rPr>
          <w:rFonts w:ascii="宋体" w:hAnsi="宋体" w:eastAsia="宋体"/>
          <w:color w:val="auto"/>
        </w:rPr>
        <w:fldChar w:fldCharType="end"/>
      </w:r>
    </w:p>
    <w:p>
      <w:pPr>
        <w:pStyle w:val="15"/>
        <w:tabs>
          <w:tab w:val="right" w:leader="dot" w:pos="9344"/>
        </w:tabs>
        <w:ind w:left="0" w:leftChars="0" w:firstLine="210" w:firstLineChars="100"/>
        <w:rPr>
          <w:rFonts w:ascii="宋体" w:hAnsi="宋体" w:eastAsia="宋体"/>
          <w:color w:val="auto"/>
          <w:szCs w:val="22"/>
        </w:rPr>
      </w:pPr>
      <w:r>
        <w:rPr>
          <w:color w:val="auto"/>
        </w:rPr>
        <w:fldChar w:fldCharType="begin"/>
      </w:r>
      <w:r>
        <w:rPr>
          <w:color w:val="auto"/>
        </w:rPr>
        <w:instrText xml:space="preserve"> HYPERLINK \l "_Toc131619677" </w:instrText>
      </w:r>
      <w:r>
        <w:rPr>
          <w:color w:val="auto"/>
        </w:rPr>
        <w:fldChar w:fldCharType="separate"/>
      </w:r>
      <w:r>
        <w:rPr>
          <w:rStyle w:val="22"/>
          <w:rFonts w:ascii="宋体" w:hAnsi="宋体" w:eastAsia="宋体" w:cs="Times New Roman"/>
          <w:color w:val="auto"/>
          <w:kern w:val="0"/>
        </w:rPr>
        <w:t>2.2</w:t>
      </w:r>
      <w:r>
        <w:rPr>
          <w:rStyle w:val="22"/>
          <w:rFonts w:hint="eastAsia" w:ascii="宋体" w:hAnsi="宋体" w:eastAsia="宋体" w:cs="Times New Roman"/>
          <w:color w:val="auto"/>
          <w:kern w:val="0"/>
        </w:rPr>
        <w:t>标准主要技术内容</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_Toc131619677 \h </w:instrText>
      </w:r>
      <w:r>
        <w:rPr>
          <w:rFonts w:ascii="宋体" w:hAnsi="宋体" w:eastAsia="宋体"/>
          <w:color w:val="auto"/>
        </w:rPr>
        <w:fldChar w:fldCharType="separate"/>
      </w:r>
      <w:r>
        <w:rPr>
          <w:rFonts w:ascii="宋体" w:hAnsi="宋体" w:eastAsia="宋体"/>
          <w:color w:val="auto"/>
        </w:rPr>
        <w:t>6</w:t>
      </w:r>
      <w:r>
        <w:rPr>
          <w:rFonts w:ascii="宋体" w:hAnsi="宋体" w:eastAsia="宋体"/>
          <w:color w:val="auto"/>
        </w:rPr>
        <w:fldChar w:fldCharType="end"/>
      </w:r>
      <w:r>
        <w:rPr>
          <w:rFonts w:ascii="宋体" w:hAnsi="宋体" w:eastAsia="宋体"/>
          <w:color w:val="auto"/>
        </w:rPr>
        <w:fldChar w:fldCharType="end"/>
      </w:r>
    </w:p>
    <w:p>
      <w:pPr>
        <w:pStyle w:val="9"/>
        <w:tabs>
          <w:tab w:val="right" w:leader="dot" w:pos="9344"/>
        </w:tabs>
        <w:ind w:left="0" w:leftChars="0" w:firstLine="210" w:firstLineChars="100"/>
        <w:rPr>
          <w:rFonts w:ascii="宋体" w:hAnsi="宋体" w:eastAsia="宋体"/>
          <w:color w:val="auto"/>
          <w:szCs w:val="22"/>
        </w:rPr>
      </w:pPr>
      <w:r>
        <w:rPr>
          <w:color w:val="auto"/>
        </w:rPr>
        <w:fldChar w:fldCharType="begin"/>
      </w:r>
      <w:r>
        <w:rPr>
          <w:color w:val="auto"/>
        </w:rPr>
        <w:instrText xml:space="preserve"> HYPERLINK \l "_Toc131619678" </w:instrText>
      </w:r>
      <w:r>
        <w:rPr>
          <w:color w:val="auto"/>
        </w:rPr>
        <w:fldChar w:fldCharType="separate"/>
      </w:r>
      <w:r>
        <w:rPr>
          <w:rStyle w:val="22"/>
          <w:rFonts w:ascii="宋体" w:hAnsi="宋体" w:eastAsia="宋体"/>
          <w:color w:val="auto"/>
        </w:rPr>
        <w:t>2.2.1</w:t>
      </w:r>
      <w:r>
        <w:rPr>
          <w:rStyle w:val="22"/>
          <w:rFonts w:hint="eastAsia" w:ascii="宋体" w:hAnsi="宋体" w:eastAsia="宋体"/>
          <w:color w:val="auto"/>
        </w:rPr>
        <w:t>标准框架</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_Toc131619678 \h </w:instrText>
      </w:r>
      <w:r>
        <w:rPr>
          <w:rFonts w:ascii="宋体" w:hAnsi="宋体" w:eastAsia="宋体"/>
          <w:color w:val="auto"/>
        </w:rPr>
        <w:fldChar w:fldCharType="separate"/>
      </w:r>
      <w:r>
        <w:rPr>
          <w:rFonts w:ascii="宋体" w:hAnsi="宋体" w:eastAsia="宋体"/>
          <w:color w:val="auto"/>
        </w:rPr>
        <w:t>6</w:t>
      </w:r>
      <w:r>
        <w:rPr>
          <w:rFonts w:ascii="宋体" w:hAnsi="宋体" w:eastAsia="宋体"/>
          <w:color w:val="auto"/>
        </w:rPr>
        <w:fldChar w:fldCharType="end"/>
      </w:r>
      <w:r>
        <w:rPr>
          <w:rFonts w:ascii="宋体" w:hAnsi="宋体" w:eastAsia="宋体"/>
          <w:color w:val="auto"/>
        </w:rPr>
        <w:fldChar w:fldCharType="end"/>
      </w:r>
    </w:p>
    <w:p>
      <w:pPr>
        <w:pStyle w:val="9"/>
        <w:tabs>
          <w:tab w:val="right" w:leader="dot" w:pos="9344"/>
        </w:tabs>
        <w:ind w:left="0" w:leftChars="0" w:firstLine="210" w:firstLineChars="100"/>
        <w:rPr>
          <w:rFonts w:ascii="宋体" w:hAnsi="宋体" w:eastAsia="宋体"/>
          <w:color w:val="auto"/>
          <w:szCs w:val="22"/>
        </w:rPr>
      </w:pPr>
      <w:r>
        <w:rPr>
          <w:color w:val="auto"/>
        </w:rPr>
        <w:fldChar w:fldCharType="begin"/>
      </w:r>
      <w:r>
        <w:rPr>
          <w:color w:val="auto"/>
        </w:rPr>
        <w:instrText xml:space="preserve"> HYPERLINK \l "_Toc131619679" </w:instrText>
      </w:r>
      <w:r>
        <w:rPr>
          <w:color w:val="auto"/>
        </w:rPr>
        <w:fldChar w:fldCharType="separate"/>
      </w:r>
      <w:r>
        <w:rPr>
          <w:rStyle w:val="22"/>
          <w:rFonts w:ascii="宋体" w:hAnsi="宋体" w:eastAsia="宋体"/>
          <w:color w:val="auto"/>
        </w:rPr>
        <w:t>2.2.2</w:t>
      </w:r>
      <w:r>
        <w:rPr>
          <w:rStyle w:val="22"/>
          <w:rFonts w:hint="eastAsia" w:ascii="宋体" w:hAnsi="宋体" w:eastAsia="宋体"/>
          <w:color w:val="auto"/>
        </w:rPr>
        <w:t>适用范围</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_Toc131619679 \h </w:instrText>
      </w:r>
      <w:r>
        <w:rPr>
          <w:rFonts w:ascii="宋体" w:hAnsi="宋体" w:eastAsia="宋体"/>
          <w:color w:val="auto"/>
        </w:rPr>
        <w:fldChar w:fldCharType="separate"/>
      </w:r>
      <w:r>
        <w:rPr>
          <w:rFonts w:ascii="宋体" w:hAnsi="宋体" w:eastAsia="宋体"/>
          <w:color w:val="auto"/>
        </w:rPr>
        <w:t>6</w:t>
      </w:r>
      <w:r>
        <w:rPr>
          <w:rFonts w:ascii="宋体" w:hAnsi="宋体" w:eastAsia="宋体"/>
          <w:color w:val="auto"/>
        </w:rPr>
        <w:fldChar w:fldCharType="end"/>
      </w:r>
      <w:r>
        <w:rPr>
          <w:rFonts w:ascii="宋体" w:hAnsi="宋体" w:eastAsia="宋体"/>
          <w:color w:val="auto"/>
        </w:rPr>
        <w:fldChar w:fldCharType="end"/>
      </w:r>
    </w:p>
    <w:p>
      <w:pPr>
        <w:pStyle w:val="9"/>
        <w:tabs>
          <w:tab w:val="right" w:leader="dot" w:pos="9344"/>
        </w:tabs>
        <w:ind w:left="0" w:leftChars="0" w:firstLine="210" w:firstLineChars="100"/>
        <w:rPr>
          <w:rFonts w:ascii="宋体" w:hAnsi="宋体" w:eastAsia="宋体"/>
          <w:color w:val="auto"/>
          <w:szCs w:val="22"/>
        </w:rPr>
      </w:pPr>
      <w:r>
        <w:rPr>
          <w:color w:val="auto"/>
        </w:rPr>
        <w:fldChar w:fldCharType="begin"/>
      </w:r>
      <w:r>
        <w:rPr>
          <w:color w:val="auto"/>
        </w:rPr>
        <w:instrText xml:space="preserve"> HYPERLINK \l "_Toc131619680" </w:instrText>
      </w:r>
      <w:r>
        <w:rPr>
          <w:color w:val="auto"/>
        </w:rPr>
        <w:fldChar w:fldCharType="separate"/>
      </w:r>
      <w:r>
        <w:rPr>
          <w:rStyle w:val="22"/>
          <w:rFonts w:ascii="宋体" w:hAnsi="宋体" w:eastAsia="宋体"/>
          <w:color w:val="auto"/>
        </w:rPr>
        <w:t>2.2.3</w:t>
      </w:r>
      <w:r>
        <w:rPr>
          <w:rStyle w:val="22"/>
          <w:rFonts w:hint="eastAsia" w:ascii="宋体" w:hAnsi="宋体" w:eastAsia="宋体"/>
          <w:color w:val="auto"/>
        </w:rPr>
        <w:t>规范性引用文件</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_Toc131619680 \h </w:instrText>
      </w:r>
      <w:r>
        <w:rPr>
          <w:rFonts w:ascii="宋体" w:hAnsi="宋体" w:eastAsia="宋体"/>
          <w:color w:val="auto"/>
        </w:rPr>
        <w:fldChar w:fldCharType="separate"/>
      </w:r>
      <w:r>
        <w:rPr>
          <w:rFonts w:ascii="宋体" w:hAnsi="宋体" w:eastAsia="宋体"/>
          <w:color w:val="auto"/>
        </w:rPr>
        <w:t>7</w:t>
      </w:r>
      <w:r>
        <w:rPr>
          <w:rFonts w:ascii="宋体" w:hAnsi="宋体" w:eastAsia="宋体"/>
          <w:color w:val="auto"/>
        </w:rPr>
        <w:fldChar w:fldCharType="end"/>
      </w:r>
      <w:r>
        <w:rPr>
          <w:rFonts w:ascii="宋体" w:hAnsi="宋体" w:eastAsia="宋体"/>
          <w:color w:val="auto"/>
        </w:rPr>
        <w:fldChar w:fldCharType="end"/>
      </w:r>
    </w:p>
    <w:p>
      <w:pPr>
        <w:pStyle w:val="9"/>
        <w:tabs>
          <w:tab w:val="right" w:leader="dot" w:pos="9344"/>
        </w:tabs>
        <w:ind w:left="0" w:leftChars="0" w:firstLine="210" w:firstLineChars="100"/>
        <w:rPr>
          <w:rFonts w:ascii="宋体" w:hAnsi="宋体" w:eastAsia="宋体"/>
          <w:color w:val="auto"/>
          <w:szCs w:val="22"/>
        </w:rPr>
      </w:pPr>
      <w:r>
        <w:rPr>
          <w:color w:val="auto"/>
        </w:rPr>
        <w:fldChar w:fldCharType="begin"/>
      </w:r>
      <w:r>
        <w:rPr>
          <w:color w:val="auto"/>
        </w:rPr>
        <w:instrText xml:space="preserve"> HYPERLINK \l "_Toc131619681" </w:instrText>
      </w:r>
      <w:r>
        <w:rPr>
          <w:color w:val="auto"/>
        </w:rPr>
        <w:fldChar w:fldCharType="separate"/>
      </w:r>
      <w:r>
        <w:rPr>
          <w:rStyle w:val="22"/>
          <w:rFonts w:ascii="宋体" w:hAnsi="宋体" w:eastAsia="宋体"/>
          <w:color w:val="auto"/>
        </w:rPr>
        <w:t>2.2.4</w:t>
      </w:r>
      <w:r>
        <w:rPr>
          <w:rStyle w:val="22"/>
          <w:rFonts w:hint="eastAsia" w:ascii="宋体" w:hAnsi="宋体" w:eastAsia="宋体"/>
          <w:color w:val="auto"/>
        </w:rPr>
        <w:t>术语和定义</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_Toc131619681 \h </w:instrText>
      </w:r>
      <w:r>
        <w:rPr>
          <w:rFonts w:ascii="宋体" w:hAnsi="宋体" w:eastAsia="宋体"/>
          <w:color w:val="auto"/>
        </w:rPr>
        <w:fldChar w:fldCharType="separate"/>
      </w:r>
      <w:r>
        <w:rPr>
          <w:rFonts w:ascii="宋体" w:hAnsi="宋体" w:eastAsia="宋体"/>
          <w:color w:val="auto"/>
        </w:rPr>
        <w:t>7</w:t>
      </w:r>
      <w:r>
        <w:rPr>
          <w:rFonts w:ascii="宋体" w:hAnsi="宋体" w:eastAsia="宋体"/>
          <w:color w:val="auto"/>
        </w:rPr>
        <w:fldChar w:fldCharType="end"/>
      </w:r>
      <w:r>
        <w:rPr>
          <w:rFonts w:ascii="宋体" w:hAnsi="宋体" w:eastAsia="宋体"/>
          <w:color w:val="auto"/>
        </w:rPr>
        <w:fldChar w:fldCharType="end"/>
      </w:r>
    </w:p>
    <w:p>
      <w:pPr>
        <w:pStyle w:val="9"/>
        <w:tabs>
          <w:tab w:val="right" w:leader="dot" w:pos="9344"/>
        </w:tabs>
        <w:ind w:left="0" w:leftChars="0" w:firstLine="210" w:firstLineChars="100"/>
        <w:rPr>
          <w:rFonts w:ascii="宋体" w:hAnsi="宋体" w:eastAsia="宋体"/>
          <w:color w:val="auto"/>
          <w:szCs w:val="22"/>
        </w:rPr>
      </w:pPr>
      <w:r>
        <w:rPr>
          <w:color w:val="auto"/>
        </w:rPr>
        <w:fldChar w:fldCharType="begin"/>
      </w:r>
      <w:r>
        <w:rPr>
          <w:color w:val="auto"/>
        </w:rPr>
        <w:instrText xml:space="preserve"> HYPERLINK \l "_Toc131619682" </w:instrText>
      </w:r>
      <w:r>
        <w:rPr>
          <w:color w:val="auto"/>
        </w:rPr>
        <w:fldChar w:fldCharType="separate"/>
      </w:r>
      <w:r>
        <w:rPr>
          <w:rStyle w:val="22"/>
          <w:rFonts w:ascii="宋体" w:hAnsi="宋体" w:eastAsia="宋体"/>
          <w:color w:val="auto"/>
        </w:rPr>
        <w:t>2.2.5</w:t>
      </w:r>
      <w:r>
        <w:rPr>
          <w:rStyle w:val="22"/>
          <w:rFonts w:hint="eastAsia" w:ascii="宋体" w:hAnsi="宋体" w:eastAsia="宋体"/>
          <w:color w:val="auto"/>
        </w:rPr>
        <w:t>评价指标体系</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_Toc131619682 \h </w:instrText>
      </w:r>
      <w:r>
        <w:rPr>
          <w:rFonts w:ascii="宋体" w:hAnsi="宋体" w:eastAsia="宋体"/>
          <w:color w:val="auto"/>
        </w:rPr>
        <w:fldChar w:fldCharType="separate"/>
      </w:r>
      <w:r>
        <w:rPr>
          <w:rFonts w:ascii="宋体" w:hAnsi="宋体" w:eastAsia="宋体"/>
          <w:color w:val="auto"/>
        </w:rPr>
        <w:t>7</w:t>
      </w:r>
      <w:r>
        <w:rPr>
          <w:rFonts w:ascii="宋体" w:hAnsi="宋体" w:eastAsia="宋体"/>
          <w:color w:val="auto"/>
        </w:rPr>
        <w:fldChar w:fldCharType="end"/>
      </w:r>
      <w:r>
        <w:rPr>
          <w:rFonts w:ascii="宋体" w:hAnsi="宋体" w:eastAsia="宋体"/>
          <w:color w:val="auto"/>
        </w:rPr>
        <w:fldChar w:fldCharType="end"/>
      </w:r>
    </w:p>
    <w:p>
      <w:pPr>
        <w:pStyle w:val="9"/>
        <w:tabs>
          <w:tab w:val="right" w:leader="dot" w:pos="9344"/>
        </w:tabs>
        <w:ind w:left="0" w:leftChars="0" w:firstLine="210" w:firstLineChars="100"/>
        <w:rPr>
          <w:rFonts w:ascii="宋体" w:hAnsi="宋体" w:eastAsia="宋体"/>
          <w:color w:val="auto"/>
          <w:szCs w:val="22"/>
        </w:rPr>
      </w:pPr>
      <w:r>
        <w:rPr>
          <w:color w:val="auto"/>
        </w:rPr>
        <w:fldChar w:fldCharType="begin"/>
      </w:r>
      <w:r>
        <w:rPr>
          <w:color w:val="auto"/>
        </w:rPr>
        <w:instrText xml:space="preserve"> HYPERLINK \l "_Toc131619683" </w:instrText>
      </w:r>
      <w:r>
        <w:rPr>
          <w:color w:val="auto"/>
        </w:rPr>
        <w:fldChar w:fldCharType="separate"/>
      </w:r>
      <w:r>
        <w:rPr>
          <w:rStyle w:val="22"/>
          <w:rFonts w:ascii="宋体" w:hAnsi="宋体" w:eastAsia="宋体"/>
          <w:color w:val="auto"/>
        </w:rPr>
        <w:t xml:space="preserve">2.2.6 </w:t>
      </w:r>
      <w:r>
        <w:rPr>
          <w:rStyle w:val="22"/>
          <w:rFonts w:hint="eastAsia" w:ascii="宋体" w:hAnsi="宋体" w:eastAsia="宋体"/>
          <w:color w:val="auto"/>
        </w:rPr>
        <w:t>评分方法与数据统计</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_Toc131619683 \h </w:instrText>
      </w:r>
      <w:r>
        <w:rPr>
          <w:rFonts w:ascii="宋体" w:hAnsi="宋体" w:eastAsia="宋体"/>
          <w:color w:val="auto"/>
        </w:rPr>
        <w:fldChar w:fldCharType="separate"/>
      </w:r>
      <w:r>
        <w:rPr>
          <w:rFonts w:ascii="宋体" w:hAnsi="宋体" w:eastAsia="宋体"/>
          <w:color w:val="auto"/>
        </w:rPr>
        <w:t>7</w:t>
      </w:r>
      <w:r>
        <w:rPr>
          <w:rFonts w:ascii="宋体" w:hAnsi="宋体" w:eastAsia="宋体"/>
          <w:color w:val="auto"/>
        </w:rPr>
        <w:fldChar w:fldCharType="end"/>
      </w:r>
      <w:r>
        <w:rPr>
          <w:rFonts w:ascii="宋体" w:hAnsi="宋体" w:eastAsia="宋体"/>
          <w:color w:val="auto"/>
        </w:rPr>
        <w:fldChar w:fldCharType="end"/>
      </w:r>
    </w:p>
    <w:p>
      <w:pPr>
        <w:pStyle w:val="14"/>
        <w:tabs>
          <w:tab w:val="right" w:leader="dot" w:pos="9344"/>
        </w:tabs>
        <w:rPr>
          <w:rFonts w:ascii="宋体" w:hAnsi="宋体" w:eastAsia="宋体"/>
          <w:color w:val="auto"/>
          <w:szCs w:val="22"/>
        </w:rPr>
      </w:pPr>
      <w:r>
        <w:rPr>
          <w:color w:val="auto"/>
        </w:rPr>
        <w:fldChar w:fldCharType="begin"/>
      </w:r>
      <w:r>
        <w:rPr>
          <w:color w:val="auto"/>
        </w:rPr>
        <w:instrText xml:space="preserve"> HYPERLINK \l "_Toc131619684" </w:instrText>
      </w:r>
      <w:r>
        <w:rPr>
          <w:color w:val="auto"/>
        </w:rPr>
        <w:fldChar w:fldCharType="separate"/>
      </w:r>
      <w:r>
        <w:rPr>
          <w:rStyle w:val="22"/>
          <w:rFonts w:ascii="宋体" w:hAnsi="宋体" w:eastAsia="宋体" w:cs="Times New Roman"/>
          <w:color w:val="auto"/>
          <w:kern w:val="0"/>
        </w:rPr>
        <w:t>3</w:t>
      </w:r>
      <w:r>
        <w:rPr>
          <w:rStyle w:val="22"/>
          <w:rFonts w:hint="eastAsia" w:ascii="宋体" w:hAnsi="宋体" w:eastAsia="宋体" w:cs="Times New Roman"/>
          <w:color w:val="auto"/>
          <w:kern w:val="0"/>
        </w:rPr>
        <w:t>、标准水平分析</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_Toc131619684 \h </w:instrText>
      </w:r>
      <w:r>
        <w:rPr>
          <w:rFonts w:ascii="宋体" w:hAnsi="宋体" w:eastAsia="宋体"/>
          <w:color w:val="auto"/>
        </w:rPr>
        <w:fldChar w:fldCharType="separate"/>
      </w:r>
      <w:r>
        <w:rPr>
          <w:rFonts w:ascii="宋体" w:hAnsi="宋体" w:eastAsia="宋体"/>
          <w:color w:val="auto"/>
        </w:rPr>
        <w:t>8</w:t>
      </w:r>
      <w:r>
        <w:rPr>
          <w:rFonts w:ascii="宋体" w:hAnsi="宋体" w:eastAsia="宋体"/>
          <w:color w:val="auto"/>
        </w:rPr>
        <w:fldChar w:fldCharType="end"/>
      </w:r>
      <w:r>
        <w:rPr>
          <w:rFonts w:ascii="宋体" w:hAnsi="宋体" w:eastAsia="宋体"/>
          <w:color w:val="auto"/>
        </w:rPr>
        <w:fldChar w:fldCharType="end"/>
      </w:r>
    </w:p>
    <w:p>
      <w:pPr>
        <w:pStyle w:val="14"/>
        <w:tabs>
          <w:tab w:val="right" w:leader="dot" w:pos="9344"/>
        </w:tabs>
        <w:rPr>
          <w:rFonts w:ascii="宋体" w:hAnsi="宋体" w:eastAsia="宋体"/>
          <w:color w:val="auto"/>
          <w:szCs w:val="22"/>
        </w:rPr>
      </w:pPr>
      <w:r>
        <w:rPr>
          <w:color w:val="auto"/>
        </w:rPr>
        <w:fldChar w:fldCharType="begin"/>
      </w:r>
      <w:r>
        <w:rPr>
          <w:color w:val="auto"/>
        </w:rPr>
        <w:instrText xml:space="preserve"> HYPERLINK \l "_Toc131619685" </w:instrText>
      </w:r>
      <w:r>
        <w:rPr>
          <w:color w:val="auto"/>
        </w:rPr>
        <w:fldChar w:fldCharType="separate"/>
      </w:r>
      <w:r>
        <w:rPr>
          <w:rStyle w:val="22"/>
          <w:rFonts w:ascii="宋体" w:hAnsi="宋体" w:eastAsia="宋体" w:cs="Times New Roman"/>
          <w:color w:val="auto"/>
          <w:kern w:val="0"/>
        </w:rPr>
        <w:t>4</w:t>
      </w:r>
      <w:r>
        <w:rPr>
          <w:rStyle w:val="22"/>
          <w:rFonts w:hint="eastAsia" w:ascii="宋体" w:hAnsi="宋体" w:eastAsia="宋体" w:cs="Times New Roman"/>
          <w:color w:val="auto"/>
          <w:kern w:val="0"/>
        </w:rPr>
        <w:t>、与现行相关法律、法规、规章及相关标准，特别是强制性标准的协调性</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_Toc131619685 \h </w:instrText>
      </w:r>
      <w:r>
        <w:rPr>
          <w:rFonts w:ascii="宋体" w:hAnsi="宋体" w:eastAsia="宋体"/>
          <w:color w:val="auto"/>
        </w:rPr>
        <w:fldChar w:fldCharType="separate"/>
      </w:r>
      <w:r>
        <w:rPr>
          <w:rFonts w:ascii="宋体" w:hAnsi="宋体" w:eastAsia="宋体"/>
          <w:color w:val="auto"/>
        </w:rPr>
        <w:t>8</w:t>
      </w:r>
      <w:r>
        <w:rPr>
          <w:rFonts w:ascii="宋体" w:hAnsi="宋体" w:eastAsia="宋体"/>
          <w:color w:val="auto"/>
        </w:rPr>
        <w:fldChar w:fldCharType="end"/>
      </w:r>
      <w:r>
        <w:rPr>
          <w:rFonts w:ascii="宋体" w:hAnsi="宋体" w:eastAsia="宋体"/>
          <w:color w:val="auto"/>
        </w:rPr>
        <w:fldChar w:fldCharType="end"/>
      </w:r>
    </w:p>
    <w:p>
      <w:pPr>
        <w:pStyle w:val="14"/>
        <w:tabs>
          <w:tab w:val="right" w:leader="dot" w:pos="9344"/>
        </w:tabs>
        <w:rPr>
          <w:rFonts w:ascii="宋体" w:hAnsi="宋体" w:eastAsia="宋体"/>
          <w:color w:val="auto"/>
          <w:szCs w:val="22"/>
        </w:rPr>
      </w:pPr>
      <w:r>
        <w:rPr>
          <w:color w:val="auto"/>
        </w:rPr>
        <w:fldChar w:fldCharType="begin"/>
      </w:r>
      <w:r>
        <w:rPr>
          <w:color w:val="auto"/>
        </w:rPr>
        <w:instrText xml:space="preserve"> HYPERLINK \l "_Toc131619686" </w:instrText>
      </w:r>
      <w:r>
        <w:rPr>
          <w:color w:val="auto"/>
        </w:rPr>
        <w:fldChar w:fldCharType="separate"/>
      </w:r>
      <w:r>
        <w:rPr>
          <w:rStyle w:val="22"/>
          <w:rFonts w:ascii="宋体" w:hAnsi="宋体" w:eastAsia="宋体" w:cs="Times New Roman"/>
          <w:color w:val="auto"/>
          <w:kern w:val="0"/>
        </w:rPr>
        <w:t>5</w:t>
      </w:r>
      <w:r>
        <w:rPr>
          <w:rStyle w:val="22"/>
          <w:rFonts w:hint="eastAsia" w:ascii="宋体" w:hAnsi="宋体" w:eastAsia="宋体" w:cs="Times New Roman"/>
          <w:color w:val="auto"/>
          <w:kern w:val="0"/>
        </w:rPr>
        <w:t>、标准中涉及的专利或知识产权说明</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_Toc131619686 \h </w:instrText>
      </w:r>
      <w:r>
        <w:rPr>
          <w:rFonts w:ascii="宋体" w:hAnsi="宋体" w:eastAsia="宋体"/>
          <w:color w:val="auto"/>
        </w:rPr>
        <w:fldChar w:fldCharType="separate"/>
      </w:r>
      <w:r>
        <w:rPr>
          <w:rFonts w:ascii="宋体" w:hAnsi="宋体" w:eastAsia="宋体"/>
          <w:color w:val="auto"/>
        </w:rPr>
        <w:t>9</w:t>
      </w:r>
      <w:r>
        <w:rPr>
          <w:rFonts w:ascii="宋体" w:hAnsi="宋体" w:eastAsia="宋体"/>
          <w:color w:val="auto"/>
        </w:rPr>
        <w:fldChar w:fldCharType="end"/>
      </w:r>
      <w:r>
        <w:rPr>
          <w:rFonts w:ascii="宋体" w:hAnsi="宋体" w:eastAsia="宋体"/>
          <w:color w:val="auto"/>
        </w:rPr>
        <w:fldChar w:fldCharType="end"/>
      </w:r>
    </w:p>
    <w:p>
      <w:pPr>
        <w:pStyle w:val="14"/>
        <w:tabs>
          <w:tab w:val="right" w:leader="dot" w:pos="9344"/>
        </w:tabs>
        <w:rPr>
          <w:rFonts w:ascii="宋体" w:hAnsi="宋体" w:eastAsia="宋体"/>
          <w:color w:val="auto"/>
          <w:szCs w:val="22"/>
        </w:rPr>
      </w:pPr>
      <w:r>
        <w:rPr>
          <w:color w:val="auto"/>
        </w:rPr>
        <w:fldChar w:fldCharType="begin"/>
      </w:r>
      <w:r>
        <w:rPr>
          <w:color w:val="auto"/>
        </w:rPr>
        <w:instrText xml:space="preserve"> HYPERLINK \l "_Toc131619687" </w:instrText>
      </w:r>
      <w:r>
        <w:rPr>
          <w:color w:val="auto"/>
        </w:rPr>
        <w:fldChar w:fldCharType="separate"/>
      </w:r>
      <w:r>
        <w:rPr>
          <w:rStyle w:val="22"/>
          <w:rFonts w:ascii="宋体" w:hAnsi="宋体" w:eastAsia="宋体" w:cs="Times New Roman"/>
          <w:color w:val="auto"/>
          <w:kern w:val="0"/>
        </w:rPr>
        <w:t>6</w:t>
      </w:r>
      <w:r>
        <w:rPr>
          <w:rStyle w:val="22"/>
          <w:rFonts w:hint="eastAsia" w:ascii="宋体" w:hAnsi="宋体" w:eastAsia="宋体" w:cs="Times New Roman"/>
          <w:color w:val="auto"/>
          <w:kern w:val="0"/>
        </w:rPr>
        <w:t>、重大分歧意见的处理经过和依据</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_Toc131619687 \h </w:instrText>
      </w:r>
      <w:r>
        <w:rPr>
          <w:rFonts w:ascii="宋体" w:hAnsi="宋体" w:eastAsia="宋体"/>
          <w:color w:val="auto"/>
        </w:rPr>
        <w:fldChar w:fldCharType="separate"/>
      </w:r>
      <w:r>
        <w:rPr>
          <w:rFonts w:ascii="宋体" w:hAnsi="宋体" w:eastAsia="宋体"/>
          <w:color w:val="auto"/>
        </w:rPr>
        <w:t>9</w:t>
      </w:r>
      <w:r>
        <w:rPr>
          <w:rFonts w:ascii="宋体" w:hAnsi="宋体" w:eastAsia="宋体"/>
          <w:color w:val="auto"/>
        </w:rPr>
        <w:fldChar w:fldCharType="end"/>
      </w:r>
      <w:r>
        <w:rPr>
          <w:rFonts w:ascii="宋体" w:hAnsi="宋体" w:eastAsia="宋体"/>
          <w:color w:val="auto"/>
        </w:rPr>
        <w:fldChar w:fldCharType="end"/>
      </w:r>
    </w:p>
    <w:p>
      <w:pPr>
        <w:pStyle w:val="14"/>
        <w:tabs>
          <w:tab w:val="right" w:leader="dot" w:pos="9344"/>
        </w:tabs>
        <w:rPr>
          <w:rFonts w:ascii="宋体" w:hAnsi="宋体" w:eastAsia="宋体"/>
          <w:color w:val="auto"/>
          <w:szCs w:val="22"/>
        </w:rPr>
      </w:pPr>
      <w:r>
        <w:rPr>
          <w:color w:val="auto"/>
        </w:rPr>
        <w:fldChar w:fldCharType="begin"/>
      </w:r>
      <w:r>
        <w:rPr>
          <w:color w:val="auto"/>
        </w:rPr>
        <w:instrText xml:space="preserve"> HYPERLINK \l "_Toc131619688" </w:instrText>
      </w:r>
      <w:r>
        <w:rPr>
          <w:color w:val="auto"/>
        </w:rPr>
        <w:fldChar w:fldCharType="separate"/>
      </w:r>
      <w:r>
        <w:rPr>
          <w:rStyle w:val="22"/>
          <w:rFonts w:ascii="宋体" w:hAnsi="宋体" w:eastAsia="宋体" w:cs="Times New Roman"/>
          <w:color w:val="auto"/>
          <w:kern w:val="0"/>
        </w:rPr>
        <w:t>7</w:t>
      </w:r>
      <w:r>
        <w:rPr>
          <w:rStyle w:val="22"/>
          <w:rFonts w:hint="eastAsia" w:ascii="宋体" w:hAnsi="宋体" w:eastAsia="宋体" w:cs="Times New Roman"/>
          <w:color w:val="auto"/>
          <w:kern w:val="0"/>
        </w:rPr>
        <w:t>、标准作为强制性或推荐性行业标准的建议</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_Toc131619688 \h </w:instrText>
      </w:r>
      <w:r>
        <w:rPr>
          <w:rFonts w:ascii="宋体" w:hAnsi="宋体" w:eastAsia="宋体"/>
          <w:color w:val="auto"/>
        </w:rPr>
        <w:fldChar w:fldCharType="separate"/>
      </w:r>
      <w:r>
        <w:rPr>
          <w:rFonts w:ascii="宋体" w:hAnsi="宋体" w:eastAsia="宋体"/>
          <w:color w:val="auto"/>
        </w:rPr>
        <w:t>9</w:t>
      </w:r>
      <w:r>
        <w:rPr>
          <w:rFonts w:ascii="宋体" w:hAnsi="宋体" w:eastAsia="宋体"/>
          <w:color w:val="auto"/>
        </w:rPr>
        <w:fldChar w:fldCharType="end"/>
      </w:r>
      <w:r>
        <w:rPr>
          <w:rFonts w:ascii="宋体" w:hAnsi="宋体" w:eastAsia="宋体"/>
          <w:color w:val="auto"/>
        </w:rPr>
        <w:fldChar w:fldCharType="end"/>
      </w:r>
    </w:p>
    <w:p>
      <w:pPr>
        <w:pStyle w:val="14"/>
        <w:tabs>
          <w:tab w:val="right" w:leader="dot" w:pos="9344"/>
        </w:tabs>
        <w:rPr>
          <w:rFonts w:ascii="宋体" w:hAnsi="宋体" w:eastAsia="宋体"/>
          <w:color w:val="auto"/>
          <w:szCs w:val="22"/>
        </w:rPr>
      </w:pPr>
      <w:r>
        <w:rPr>
          <w:color w:val="auto"/>
        </w:rPr>
        <w:fldChar w:fldCharType="begin"/>
      </w:r>
      <w:r>
        <w:rPr>
          <w:color w:val="auto"/>
        </w:rPr>
        <w:instrText xml:space="preserve"> HYPERLINK \l "_Toc131619689" </w:instrText>
      </w:r>
      <w:r>
        <w:rPr>
          <w:color w:val="auto"/>
        </w:rPr>
        <w:fldChar w:fldCharType="separate"/>
      </w:r>
      <w:r>
        <w:rPr>
          <w:rStyle w:val="22"/>
          <w:rFonts w:ascii="宋体" w:hAnsi="宋体" w:eastAsia="宋体" w:cs="Times New Roman"/>
          <w:color w:val="auto"/>
          <w:kern w:val="0"/>
        </w:rPr>
        <w:t>8</w:t>
      </w:r>
      <w:r>
        <w:rPr>
          <w:rStyle w:val="22"/>
          <w:rFonts w:hint="eastAsia" w:ascii="宋体" w:hAnsi="宋体" w:eastAsia="宋体" w:cs="Times New Roman"/>
          <w:color w:val="auto"/>
          <w:kern w:val="0"/>
        </w:rPr>
        <w:t>、贯彻标准的要求和措施建议</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_Toc131619689 \h </w:instrText>
      </w:r>
      <w:r>
        <w:rPr>
          <w:rFonts w:ascii="宋体" w:hAnsi="宋体" w:eastAsia="宋体"/>
          <w:color w:val="auto"/>
        </w:rPr>
        <w:fldChar w:fldCharType="separate"/>
      </w:r>
      <w:r>
        <w:rPr>
          <w:rFonts w:ascii="宋体" w:hAnsi="宋体" w:eastAsia="宋体"/>
          <w:color w:val="auto"/>
        </w:rPr>
        <w:t>9</w:t>
      </w:r>
      <w:r>
        <w:rPr>
          <w:rFonts w:ascii="宋体" w:hAnsi="宋体" w:eastAsia="宋体"/>
          <w:color w:val="auto"/>
        </w:rPr>
        <w:fldChar w:fldCharType="end"/>
      </w:r>
      <w:r>
        <w:rPr>
          <w:rFonts w:ascii="宋体" w:hAnsi="宋体" w:eastAsia="宋体"/>
          <w:color w:val="auto"/>
        </w:rPr>
        <w:fldChar w:fldCharType="end"/>
      </w:r>
    </w:p>
    <w:p>
      <w:pPr>
        <w:pStyle w:val="14"/>
        <w:tabs>
          <w:tab w:val="right" w:leader="dot" w:pos="9344"/>
        </w:tabs>
        <w:rPr>
          <w:rFonts w:ascii="宋体" w:hAnsi="宋体" w:eastAsia="宋体"/>
          <w:color w:val="auto"/>
          <w:szCs w:val="22"/>
        </w:rPr>
      </w:pPr>
      <w:r>
        <w:rPr>
          <w:color w:val="auto"/>
        </w:rPr>
        <w:fldChar w:fldCharType="begin"/>
      </w:r>
      <w:r>
        <w:rPr>
          <w:color w:val="auto"/>
        </w:rPr>
        <w:instrText xml:space="preserve"> HYPERLINK \l "_Toc131619690" </w:instrText>
      </w:r>
      <w:r>
        <w:rPr>
          <w:color w:val="auto"/>
        </w:rPr>
        <w:fldChar w:fldCharType="separate"/>
      </w:r>
      <w:r>
        <w:rPr>
          <w:rStyle w:val="22"/>
          <w:rFonts w:ascii="宋体" w:hAnsi="宋体" w:eastAsia="宋体" w:cs="Times New Roman"/>
          <w:color w:val="auto"/>
          <w:kern w:val="0"/>
        </w:rPr>
        <w:t>9</w:t>
      </w:r>
      <w:r>
        <w:rPr>
          <w:rStyle w:val="22"/>
          <w:rFonts w:hint="eastAsia" w:ascii="宋体" w:hAnsi="宋体" w:eastAsia="宋体" w:cs="Times New Roman"/>
          <w:color w:val="auto"/>
          <w:kern w:val="0"/>
        </w:rPr>
        <w:t>、废止现行行业标准的建议</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_Toc131619690 \h </w:instrText>
      </w:r>
      <w:r>
        <w:rPr>
          <w:rFonts w:ascii="宋体" w:hAnsi="宋体" w:eastAsia="宋体"/>
          <w:color w:val="auto"/>
        </w:rPr>
        <w:fldChar w:fldCharType="separate"/>
      </w:r>
      <w:r>
        <w:rPr>
          <w:rFonts w:ascii="宋体" w:hAnsi="宋体" w:eastAsia="宋体"/>
          <w:color w:val="auto"/>
        </w:rPr>
        <w:t>9</w:t>
      </w:r>
      <w:r>
        <w:rPr>
          <w:rFonts w:ascii="宋体" w:hAnsi="宋体" w:eastAsia="宋体"/>
          <w:color w:val="auto"/>
        </w:rPr>
        <w:fldChar w:fldCharType="end"/>
      </w:r>
      <w:r>
        <w:rPr>
          <w:rFonts w:ascii="宋体" w:hAnsi="宋体" w:eastAsia="宋体"/>
          <w:color w:val="auto"/>
        </w:rPr>
        <w:fldChar w:fldCharType="end"/>
      </w:r>
    </w:p>
    <w:p>
      <w:pPr>
        <w:pStyle w:val="14"/>
        <w:tabs>
          <w:tab w:val="right" w:leader="dot" w:pos="9344"/>
        </w:tabs>
        <w:rPr>
          <w:rFonts w:ascii="宋体" w:hAnsi="宋体" w:eastAsia="宋体"/>
          <w:color w:val="auto"/>
          <w:szCs w:val="22"/>
        </w:rPr>
      </w:pPr>
      <w:r>
        <w:rPr>
          <w:color w:val="auto"/>
        </w:rPr>
        <w:fldChar w:fldCharType="begin"/>
      </w:r>
      <w:r>
        <w:rPr>
          <w:color w:val="auto"/>
        </w:rPr>
        <w:instrText xml:space="preserve"> HYPERLINK \l "_Toc131619691" </w:instrText>
      </w:r>
      <w:r>
        <w:rPr>
          <w:color w:val="auto"/>
        </w:rPr>
        <w:fldChar w:fldCharType="separate"/>
      </w:r>
      <w:r>
        <w:rPr>
          <w:rStyle w:val="22"/>
          <w:rFonts w:ascii="宋体" w:hAnsi="宋体" w:eastAsia="宋体" w:cs="Times New Roman"/>
          <w:color w:val="auto"/>
          <w:kern w:val="0"/>
        </w:rPr>
        <w:t>10</w:t>
      </w:r>
      <w:r>
        <w:rPr>
          <w:rStyle w:val="22"/>
          <w:rFonts w:hint="eastAsia" w:ascii="宋体" w:hAnsi="宋体" w:eastAsia="宋体" w:cs="Times New Roman"/>
          <w:color w:val="auto"/>
          <w:kern w:val="0"/>
        </w:rPr>
        <w:t>、重要内容的解释和其他应予以说明的事项</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_Toc131619691 \h </w:instrText>
      </w:r>
      <w:r>
        <w:rPr>
          <w:rFonts w:ascii="宋体" w:hAnsi="宋体" w:eastAsia="宋体"/>
          <w:color w:val="auto"/>
        </w:rPr>
        <w:fldChar w:fldCharType="separate"/>
      </w:r>
      <w:r>
        <w:rPr>
          <w:rFonts w:ascii="宋体" w:hAnsi="宋体" w:eastAsia="宋体"/>
          <w:color w:val="auto"/>
        </w:rPr>
        <w:t>9</w:t>
      </w:r>
      <w:r>
        <w:rPr>
          <w:rFonts w:ascii="宋体" w:hAnsi="宋体" w:eastAsia="宋体"/>
          <w:color w:val="auto"/>
        </w:rPr>
        <w:fldChar w:fldCharType="end"/>
      </w:r>
      <w:r>
        <w:rPr>
          <w:rFonts w:ascii="宋体" w:hAnsi="宋体" w:eastAsia="宋体"/>
          <w:color w:val="auto"/>
        </w:rPr>
        <w:fldChar w:fldCharType="end"/>
      </w:r>
    </w:p>
    <w:p>
      <w:pPr>
        <w:pStyle w:val="14"/>
        <w:tabs>
          <w:tab w:val="right" w:leader="dot" w:pos="9344"/>
        </w:tabs>
        <w:rPr>
          <w:rFonts w:ascii="宋体" w:hAnsi="宋体" w:eastAsia="宋体"/>
          <w:color w:val="auto"/>
          <w:szCs w:val="22"/>
        </w:rPr>
      </w:pPr>
      <w:r>
        <w:rPr>
          <w:color w:val="auto"/>
        </w:rPr>
        <w:fldChar w:fldCharType="begin"/>
      </w:r>
      <w:r>
        <w:rPr>
          <w:color w:val="auto"/>
        </w:rPr>
        <w:instrText xml:space="preserve"> HYPERLINK \l "_Toc131619692" </w:instrText>
      </w:r>
      <w:r>
        <w:rPr>
          <w:color w:val="auto"/>
        </w:rPr>
        <w:fldChar w:fldCharType="separate"/>
      </w:r>
      <w:r>
        <w:rPr>
          <w:rStyle w:val="22"/>
          <w:rFonts w:hint="eastAsia" w:ascii="宋体" w:hAnsi="宋体" w:eastAsia="宋体" w:cs="Times New Roman"/>
          <w:bCs/>
          <w:color w:val="auto"/>
        </w:rPr>
        <w:t>附录</w:t>
      </w:r>
      <w:r>
        <w:rPr>
          <w:rStyle w:val="22"/>
          <w:rFonts w:ascii="宋体" w:hAnsi="宋体" w:eastAsia="宋体" w:cs="Times New Roman"/>
          <w:bCs/>
          <w:color w:val="auto"/>
        </w:rPr>
        <w:t>A</w:t>
      </w:r>
      <w:r>
        <w:rPr>
          <w:rStyle w:val="22"/>
          <w:rFonts w:ascii="宋体" w:hAnsi="宋体" w:eastAsia="宋体" w:cs="Times New Roman"/>
          <w:bCs/>
          <w:color w:val="auto"/>
        </w:rPr>
        <w:fldChar w:fldCharType="end"/>
      </w:r>
      <w:r>
        <w:rPr>
          <w:color w:val="auto"/>
        </w:rPr>
        <w:fldChar w:fldCharType="begin"/>
      </w:r>
      <w:r>
        <w:rPr>
          <w:color w:val="auto"/>
        </w:rPr>
        <w:instrText xml:space="preserve"> HYPERLINK \l "_Toc131619693" </w:instrText>
      </w:r>
      <w:r>
        <w:rPr>
          <w:color w:val="auto"/>
        </w:rPr>
        <w:fldChar w:fldCharType="separate"/>
      </w:r>
      <w:r>
        <w:rPr>
          <w:rStyle w:val="22"/>
          <w:rFonts w:hint="eastAsia" w:ascii="宋体" w:hAnsi="宋体" w:eastAsia="宋体" w:cs="Times New Roman"/>
          <w:bCs/>
          <w:color w:val="auto"/>
        </w:rPr>
        <w:t>（规范性附录）</w:t>
      </w:r>
      <w:r>
        <w:rPr>
          <w:rStyle w:val="22"/>
          <w:rFonts w:hint="eastAsia" w:ascii="宋体" w:hAnsi="宋体" w:eastAsia="宋体" w:cs="Times New Roman"/>
          <w:bCs/>
          <w:color w:val="auto"/>
        </w:rPr>
        <w:fldChar w:fldCharType="end"/>
      </w:r>
      <w:r>
        <w:rPr>
          <w:color w:val="auto"/>
        </w:rPr>
        <w:fldChar w:fldCharType="begin"/>
      </w:r>
      <w:r>
        <w:rPr>
          <w:color w:val="auto"/>
        </w:rPr>
        <w:instrText xml:space="preserve"> HYPERLINK \l "_Toc131619694" </w:instrText>
      </w:r>
      <w:r>
        <w:rPr>
          <w:color w:val="auto"/>
        </w:rPr>
        <w:fldChar w:fldCharType="separate"/>
      </w:r>
      <w:r>
        <w:rPr>
          <w:rStyle w:val="22"/>
          <w:rFonts w:hint="eastAsia" w:ascii="宋体" w:hAnsi="宋体" w:eastAsia="宋体" w:cs="Times New Roman"/>
          <w:color w:val="auto"/>
        </w:rPr>
        <w:t>锗行业绿色工厂评价指标体系（云南某企业）</w:t>
      </w:r>
      <w:r>
        <w:rPr>
          <w:rFonts w:ascii="宋体" w:hAnsi="宋体" w:eastAsia="宋体"/>
          <w:color w:val="auto"/>
        </w:rPr>
        <w:tab/>
      </w:r>
      <w:r>
        <w:rPr>
          <w:rFonts w:ascii="宋体" w:hAnsi="宋体" w:eastAsia="宋体"/>
          <w:color w:val="auto"/>
        </w:rPr>
        <w:fldChar w:fldCharType="begin"/>
      </w:r>
      <w:r>
        <w:rPr>
          <w:rFonts w:ascii="宋体" w:hAnsi="宋体" w:eastAsia="宋体"/>
          <w:color w:val="auto"/>
        </w:rPr>
        <w:instrText xml:space="preserve"> PAGEREF _Toc131619694 \h </w:instrText>
      </w:r>
      <w:r>
        <w:rPr>
          <w:rFonts w:ascii="宋体" w:hAnsi="宋体" w:eastAsia="宋体"/>
          <w:color w:val="auto"/>
        </w:rPr>
        <w:fldChar w:fldCharType="separate"/>
      </w:r>
      <w:r>
        <w:rPr>
          <w:rFonts w:ascii="宋体" w:hAnsi="宋体" w:eastAsia="宋体"/>
          <w:color w:val="auto"/>
        </w:rPr>
        <w:t>10</w:t>
      </w:r>
      <w:r>
        <w:rPr>
          <w:rFonts w:ascii="宋体" w:hAnsi="宋体" w:eastAsia="宋体"/>
          <w:color w:val="auto"/>
        </w:rPr>
        <w:fldChar w:fldCharType="end"/>
      </w:r>
      <w:r>
        <w:rPr>
          <w:rFonts w:ascii="宋体" w:hAnsi="宋体" w:eastAsia="宋体"/>
          <w:color w:val="auto"/>
        </w:rPr>
        <w:fldChar w:fldCharType="end"/>
      </w:r>
    </w:p>
    <w:p>
      <w:pPr>
        <w:pStyle w:val="14"/>
        <w:tabs>
          <w:tab w:val="right" w:leader="dot" w:pos="9344"/>
        </w:tabs>
        <w:rPr>
          <w:rFonts w:ascii="Times New Roman" w:hAnsi="Times New Roman" w:eastAsia="宋体" w:cs="Times New Roman"/>
          <w:b/>
          <w:color w:val="auto"/>
          <w:kern w:val="0"/>
          <w:sz w:val="36"/>
          <w:szCs w:val="31"/>
        </w:rPr>
        <w:sectPr>
          <w:footerReference r:id="rId7" w:type="default"/>
          <w:footerReference r:id="rId8" w:type="even"/>
          <w:pgSz w:w="11906" w:h="16838"/>
          <w:pgMar w:top="567" w:right="1134" w:bottom="1134" w:left="1418" w:header="1417" w:footer="1134" w:gutter="0"/>
          <w:pgNumType w:fmt="upperRoman" w:start="1"/>
          <w:cols w:space="425" w:num="1"/>
          <w:docGrid w:type="lines" w:linePitch="312" w:charSpace="0"/>
        </w:sectPr>
      </w:pPr>
      <w:r>
        <w:rPr>
          <w:rFonts w:ascii="Times New Roman" w:hAnsi="Times New Roman" w:cs="Times New Roman"/>
          <w:color w:val="auto"/>
        </w:rPr>
        <w:fldChar w:fldCharType="end"/>
      </w:r>
    </w:p>
    <w:p>
      <w:pPr>
        <w:widowControl/>
        <w:jc w:val="center"/>
        <w:rPr>
          <w:rFonts w:ascii="Times New Roman" w:hAnsi="Times New Roman" w:eastAsia="宋体" w:cs="Times New Roman"/>
          <w:b/>
          <w:color w:val="auto"/>
          <w:kern w:val="0"/>
          <w:sz w:val="40"/>
          <w:szCs w:val="31"/>
        </w:rPr>
      </w:pPr>
      <w:r>
        <w:rPr>
          <w:rFonts w:ascii="Times New Roman" w:hAnsi="Times New Roman" w:eastAsia="宋体" w:cs="Times New Roman"/>
          <w:b/>
          <w:color w:val="auto"/>
          <w:kern w:val="0"/>
          <w:sz w:val="36"/>
          <w:szCs w:val="31"/>
        </w:rPr>
        <w:t>行业标准</w:t>
      </w:r>
      <w:r>
        <w:rPr>
          <w:rFonts w:ascii="Times New Roman" w:hAnsi="Times New Roman" w:eastAsia="宋体" w:cs="Times New Roman"/>
          <w:b/>
          <w:color w:val="auto"/>
          <w:kern w:val="0"/>
          <w:sz w:val="40"/>
          <w:szCs w:val="31"/>
        </w:rPr>
        <w:t>《锗行业绿色工厂评价要求》</w:t>
      </w:r>
    </w:p>
    <w:p>
      <w:pPr>
        <w:widowControl/>
        <w:jc w:val="center"/>
        <w:rPr>
          <w:rFonts w:ascii="Times New Roman" w:hAnsi="Times New Roman" w:eastAsia="宋体" w:cs="Times New Roman"/>
          <w:b/>
          <w:color w:val="auto"/>
          <w:kern w:val="0"/>
          <w:sz w:val="36"/>
          <w:szCs w:val="31"/>
        </w:rPr>
      </w:pPr>
      <w:r>
        <w:rPr>
          <w:rFonts w:ascii="Times New Roman" w:hAnsi="Times New Roman" w:eastAsia="宋体" w:cs="Times New Roman"/>
          <w:b/>
          <w:color w:val="auto"/>
          <w:kern w:val="0"/>
          <w:sz w:val="36"/>
          <w:szCs w:val="31"/>
        </w:rPr>
        <w:t>编制说明</w:t>
      </w:r>
    </w:p>
    <w:p>
      <w:pPr>
        <w:widowControl/>
        <w:jc w:val="center"/>
        <w:rPr>
          <w:rFonts w:ascii="Times New Roman" w:hAnsi="Times New Roman" w:eastAsia="宋体" w:cs="Times New Roman"/>
          <w:b/>
          <w:color w:val="auto"/>
          <w:kern w:val="0"/>
          <w:sz w:val="36"/>
          <w:szCs w:val="31"/>
        </w:rPr>
      </w:pPr>
      <w:r>
        <w:rPr>
          <w:rFonts w:ascii="Times New Roman" w:hAnsi="Times New Roman" w:eastAsia="宋体" w:cs="Times New Roman"/>
          <w:b/>
          <w:color w:val="auto"/>
          <w:kern w:val="0"/>
          <w:sz w:val="36"/>
          <w:szCs w:val="31"/>
        </w:rPr>
        <w:t>（</w:t>
      </w:r>
      <w:r>
        <w:rPr>
          <w:rFonts w:hint="eastAsia" w:ascii="Times New Roman" w:hAnsi="Times New Roman" w:eastAsia="宋体" w:cs="Times New Roman"/>
          <w:b/>
          <w:color w:val="auto"/>
          <w:kern w:val="0"/>
          <w:sz w:val="36"/>
          <w:szCs w:val="31"/>
        </w:rPr>
        <w:t>送</w:t>
      </w:r>
      <w:r>
        <w:rPr>
          <w:rFonts w:ascii="Times New Roman" w:hAnsi="Times New Roman" w:eastAsia="宋体" w:cs="Times New Roman"/>
          <w:b/>
          <w:color w:val="auto"/>
          <w:kern w:val="0"/>
          <w:sz w:val="36"/>
          <w:szCs w:val="31"/>
        </w:rPr>
        <w:t>审稿）</w:t>
      </w:r>
    </w:p>
    <w:p>
      <w:pPr>
        <w:widowControl/>
        <w:spacing w:before="312" w:beforeLines="100" w:after="312" w:afterLines="100"/>
        <w:jc w:val="left"/>
        <w:outlineLvl w:val="0"/>
        <w:rPr>
          <w:rFonts w:ascii="Times New Roman" w:hAnsi="Times New Roman" w:cs="Times New Roman"/>
          <w:color w:val="auto"/>
        </w:rPr>
      </w:pPr>
      <w:bookmarkStart w:id="4" w:name="_Toc131619664"/>
      <w:r>
        <w:rPr>
          <w:rFonts w:ascii="Times New Roman" w:hAnsi="Times New Roman" w:eastAsia="宋体" w:cs="Times New Roman"/>
          <w:b/>
          <w:color w:val="auto"/>
          <w:kern w:val="0"/>
          <w:sz w:val="28"/>
          <w:szCs w:val="28"/>
        </w:rPr>
        <w:t>1、工作简况</w:t>
      </w:r>
      <w:bookmarkEnd w:id="4"/>
      <w:r>
        <w:rPr>
          <w:rFonts w:ascii="Times New Roman" w:hAnsi="Times New Roman" w:eastAsia="宋体" w:cs="Times New Roman"/>
          <w:b/>
          <w:color w:val="auto"/>
          <w:kern w:val="0"/>
          <w:sz w:val="28"/>
          <w:szCs w:val="28"/>
        </w:rPr>
        <w:t xml:space="preserve"> </w:t>
      </w:r>
    </w:p>
    <w:p>
      <w:pPr>
        <w:widowControl/>
        <w:spacing w:before="156" w:beforeLines="50" w:after="156" w:afterLines="50"/>
        <w:jc w:val="left"/>
        <w:outlineLvl w:val="1"/>
        <w:rPr>
          <w:rFonts w:ascii="Times New Roman" w:hAnsi="Times New Roman" w:cs="Times New Roman"/>
          <w:color w:val="auto"/>
        </w:rPr>
      </w:pPr>
      <w:bookmarkStart w:id="5" w:name="_Toc131619665"/>
      <w:r>
        <w:rPr>
          <w:rFonts w:ascii="Times New Roman" w:hAnsi="Times New Roman" w:eastAsia="宋体" w:cs="Times New Roman"/>
          <w:b/>
          <w:color w:val="auto"/>
          <w:kern w:val="0"/>
          <w:sz w:val="24"/>
        </w:rPr>
        <w:t>1.1任务背景</w:t>
      </w:r>
      <w:bookmarkEnd w:id="5"/>
      <w:r>
        <w:rPr>
          <w:rFonts w:ascii="Times New Roman" w:hAnsi="Times New Roman" w:eastAsia="宋体" w:cs="Times New Roman"/>
          <w:b/>
          <w:color w:val="auto"/>
          <w:kern w:val="0"/>
          <w:sz w:val="24"/>
        </w:rPr>
        <w:t xml:space="preserve"> </w:t>
      </w:r>
    </w:p>
    <w:p>
      <w:pPr>
        <w:pStyle w:val="16"/>
        <w:spacing w:before="0" w:beforeAutospacing="0" w:after="0" w:afterAutospacing="0" w:line="360" w:lineRule="auto"/>
        <w:ind w:firstLine="420" w:firstLineChars="200"/>
        <w:jc w:val="both"/>
        <w:rPr>
          <w:rFonts w:ascii="Times New Roman" w:hAnsi="Times New Roman" w:cs="Times New Roman"/>
          <w:bCs/>
          <w:color w:val="auto"/>
          <w:kern w:val="2"/>
          <w:sz w:val="21"/>
        </w:rPr>
      </w:pPr>
      <w:r>
        <w:rPr>
          <w:rFonts w:ascii="Times New Roman" w:hAnsi="Times New Roman" w:eastAsia="宋体" w:cs="Times New Roman"/>
          <w:bCs/>
          <w:color w:val="auto"/>
          <w:kern w:val="2"/>
          <w:sz w:val="21"/>
        </w:rPr>
        <w:t>锗是典型的稀有分散金属，在地壳中含量约百万分之七，是重要的战略资源。我国是世界锗系列产品的主要生产及贸易大国，锗产量位居世界第一，且出口到美国、日本、比利时、德国等国家。目前，锗资源在全球分布较为集中，美国、中国、俄罗斯的锗资源储量分别约为3870吨、3500吨与860吨，占全球储量分别为45%、41%和10%，3个国家约占全球总储量的96%，其余已知储量则零散分布于加拿大、德国、比利时等国家；同时，全球锗产量主要分布为中国71%、俄罗斯4%、美国3%、其他22%。我国主要的锗矿资源位于云南省及内蒙古两地，二者合计占比超过80%，其中内蒙古储量占46%，云南占34%。</w:t>
      </w:r>
    </w:p>
    <w:p>
      <w:pPr>
        <w:pStyle w:val="16"/>
        <w:spacing w:before="0" w:beforeAutospacing="0" w:after="0" w:afterAutospacing="0" w:line="360" w:lineRule="auto"/>
        <w:ind w:firstLine="420" w:firstLineChars="200"/>
        <w:jc w:val="both"/>
        <w:rPr>
          <w:rFonts w:ascii="Times New Roman" w:hAnsi="Times New Roman" w:cs="Times New Roman"/>
          <w:color w:val="auto"/>
          <w:kern w:val="2"/>
          <w:sz w:val="21"/>
        </w:rPr>
      </w:pPr>
      <w:r>
        <w:rPr>
          <w:rFonts w:ascii="Times New Roman" w:hAnsi="Times New Roman" w:cs="Times New Roman"/>
          <w:color w:val="auto"/>
          <w:kern w:val="2"/>
          <w:sz w:val="21"/>
        </w:rPr>
        <w:t>2016年，工业和信息化部联合国家标准化管理委员会共同发布了《绿色制造标准体系建设指南》，提出要构建绿色制造标准体系，加快绿色供应链、绿色产品、绿色工厂、绿色企业、绿色园区等重点领域标准制修订，促进我国制造业绿色转型升级；2016年，工业和信息化部发布了《关于开展绿色制造体系建设的通知》（工信厅〔2016〕586号），提出到2020年，要发布10~20项绿色工厂标准；2018年，国家标准化管理委员会正式发布了《绿色工厂评价通则》（GB/T 36132-2018），规定了绿色工厂评价的指标体系及通用要求，提出了工业行业制定绿色工厂评价标准或具体要求的总体要求。目前，国内各个行业的绿色工厂标准正在密集的制定出台过程中。</w:t>
      </w:r>
    </w:p>
    <w:p>
      <w:pPr>
        <w:widowControl/>
        <w:spacing w:line="360" w:lineRule="auto"/>
        <w:ind w:firstLine="420" w:firstLineChars="200"/>
        <w:jc w:val="left"/>
        <w:rPr>
          <w:rFonts w:ascii="Times New Roman" w:hAnsi="Times New Roman" w:cs="Times New Roman"/>
          <w:color w:val="auto"/>
        </w:rPr>
      </w:pPr>
      <w:r>
        <w:rPr>
          <w:rFonts w:ascii="Times New Roman" w:hAnsi="Times New Roman" w:eastAsia="宋体" w:cs="Times New Roman"/>
          <w:color w:val="auto"/>
        </w:rPr>
        <w:t>实现碳达峰碳中和目标，推动可持续绿色发展，成为国家战略发展的重要举措。《中国制造2025》明确要加快制造业绿色改造升级；积极推行低碳化、循环化和集约化，提高制造业资源利用效率。《关于开展绿色制造体系建设》指出要保障绿色制造体系建设的规范和统一，推进以绿色工厂、绿色产品、绿色园区、绿色供应链为绿色制造体系的主要内容。</w:t>
      </w:r>
      <w:r>
        <w:rPr>
          <w:rFonts w:ascii="Times New Roman" w:hAnsi="Times New Roman" w:cs="Times New Roman"/>
          <w:color w:val="auto"/>
        </w:rPr>
        <w:t>编制《锗行业绿色工厂评价要求》，锗行业工厂提出关于基础设施、管理体系、能源与资源投入、产品、环境排放和绩效等维度的绿色化更高的要求，有助于促进锗行业产业结构调整，在标准的引领带动下实现行业整体绿色水平提升，并培育国内锗行业绿色化的高端产业集群，提高锗行业的国际竞争力。</w:t>
      </w:r>
    </w:p>
    <w:p>
      <w:pPr>
        <w:widowControl/>
        <w:spacing w:before="156" w:beforeLines="50" w:after="156" w:afterLines="50"/>
        <w:jc w:val="left"/>
        <w:outlineLvl w:val="1"/>
        <w:rPr>
          <w:rFonts w:ascii="Times New Roman" w:hAnsi="Times New Roman" w:eastAsia="宋体" w:cs="Times New Roman"/>
          <w:b/>
          <w:color w:val="auto"/>
          <w:kern w:val="0"/>
          <w:sz w:val="24"/>
        </w:rPr>
      </w:pPr>
      <w:bookmarkStart w:id="6" w:name="_Toc131619666"/>
      <w:r>
        <w:rPr>
          <w:rFonts w:ascii="Times New Roman" w:hAnsi="Times New Roman" w:eastAsia="宋体" w:cs="Times New Roman"/>
          <w:b/>
          <w:color w:val="auto"/>
          <w:kern w:val="0"/>
          <w:sz w:val="24"/>
        </w:rPr>
        <w:t>1.2任务来源</w:t>
      </w:r>
      <w:bookmarkEnd w:id="6"/>
      <w:r>
        <w:rPr>
          <w:rFonts w:ascii="Times New Roman" w:hAnsi="Times New Roman" w:eastAsia="宋体" w:cs="Times New Roman"/>
          <w:b/>
          <w:color w:val="auto"/>
          <w:kern w:val="0"/>
          <w:sz w:val="24"/>
        </w:rPr>
        <w:t xml:space="preserve"> </w:t>
      </w:r>
    </w:p>
    <w:p>
      <w:pPr>
        <w:spacing w:line="360" w:lineRule="auto"/>
        <w:ind w:firstLine="420"/>
        <w:rPr>
          <w:rFonts w:ascii="Times New Roman" w:hAnsi="Times New Roman" w:cs="Times New Roman"/>
          <w:color w:val="auto"/>
        </w:rPr>
      </w:pPr>
      <w:r>
        <w:rPr>
          <w:rFonts w:ascii="Times New Roman" w:hAnsi="Times New Roman" w:cs="Times New Roman"/>
          <w:color w:val="auto"/>
        </w:rPr>
        <w:t>根据国家工业和信息化部《</w:t>
      </w:r>
      <w:r>
        <w:rPr>
          <w:color w:val="auto"/>
        </w:rPr>
        <w:fldChar w:fldCharType="begin"/>
      </w:r>
      <w:r>
        <w:rPr>
          <w:color w:val="auto"/>
        </w:rPr>
        <w:instrText xml:space="preserve"> HYPERLINK "http://www.cnsmq.com/index.php?m=content&amp;c=index&amp;a=show&amp;catid=29&amp;id=2217" \t "http://www.cnsmq.com/_blank" </w:instrText>
      </w:r>
      <w:r>
        <w:rPr>
          <w:color w:val="auto"/>
        </w:rPr>
        <w:fldChar w:fldCharType="separate"/>
      </w:r>
      <w:r>
        <w:rPr>
          <w:rFonts w:ascii="Times New Roman" w:hAnsi="Times New Roman" w:cs="Times New Roman"/>
          <w:color w:val="auto"/>
        </w:rPr>
        <w:t>关于印发2021年第三批行业标准制修订项目计划的通知</w:t>
      </w:r>
      <w:r>
        <w:rPr>
          <w:rFonts w:ascii="Times New Roman" w:hAnsi="Times New Roman" w:cs="Times New Roman"/>
          <w:color w:val="auto"/>
        </w:rPr>
        <w:fldChar w:fldCharType="end"/>
      </w:r>
      <w:r>
        <w:rPr>
          <w:rFonts w:ascii="Times New Roman" w:hAnsi="Times New Roman" w:cs="Times New Roman"/>
          <w:color w:val="auto"/>
        </w:rPr>
        <w:t>》（工信厅科函〔2021〕234号）文件精神，由云南驰宏锌锗股份有限公司负责制定《锗行业绿色工厂评价要求》标准文件，由全国有色金属标准化技术委员会、全国半导体设备和材料标准化技术委员会材料分技术委员会负责归口，计划编号</w:t>
      </w:r>
      <w:r>
        <w:rPr>
          <w:color w:val="auto"/>
        </w:rPr>
        <w:fldChar w:fldCharType="begin"/>
      </w:r>
      <w:r>
        <w:rPr>
          <w:color w:val="auto"/>
        </w:rPr>
        <w:instrText xml:space="preserve"> HYPERLINK "http://219.239.107.155:8080/TaskBook.aspx?id=20211248TYS" </w:instrText>
      </w:r>
      <w:r>
        <w:rPr>
          <w:color w:val="auto"/>
        </w:rPr>
        <w:fldChar w:fldCharType="separate"/>
      </w:r>
      <w:r>
        <w:rPr>
          <w:rStyle w:val="22"/>
          <w:rFonts w:ascii="Times New Roman" w:hAnsi="Times New Roman" w:cs="Times New Roman"/>
          <w:color w:val="auto"/>
          <w:u w:val="none"/>
        </w:rPr>
        <w:t>2021-1248T-YS</w:t>
      </w:r>
      <w:r>
        <w:rPr>
          <w:rStyle w:val="22"/>
          <w:rFonts w:ascii="Times New Roman" w:hAnsi="Times New Roman" w:cs="Times New Roman"/>
          <w:color w:val="auto"/>
          <w:u w:val="none"/>
        </w:rPr>
        <w:fldChar w:fldCharType="end"/>
      </w:r>
      <w:r>
        <w:rPr>
          <w:rFonts w:ascii="Times New Roman" w:hAnsi="Times New Roman" w:cs="Times New Roman"/>
          <w:color w:val="auto"/>
        </w:rPr>
        <w:t>，计划完成时间为2023年。</w:t>
      </w:r>
    </w:p>
    <w:p>
      <w:pPr>
        <w:widowControl/>
        <w:spacing w:before="156" w:beforeLines="50" w:after="156" w:afterLines="50"/>
        <w:jc w:val="left"/>
        <w:outlineLvl w:val="1"/>
        <w:rPr>
          <w:rFonts w:ascii="Times New Roman" w:hAnsi="Times New Roman" w:eastAsia="宋体" w:cs="Times New Roman"/>
          <w:b/>
          <w:color w:val="auto"/>
          <w:kern w:val="0"/>
          <w:sz w:val="24"/>
        </w:rPr>
      </w:pPr>
      <w:bookmarkStart w:id="7" w:name="_Toc131619667"/>
      <w:r>
        <w:rPr>
          <w:rFonts w:ascii="Times New Roman" w:hAnsi="Times New Roman" w:eastAsia="宋体" w:cs="Times New Roman"/>
          <w:b/>
          <w:color w:val="auto"/>
          <w:kern w:val="0"/>
          <w:sz w:val="24"/>
        </w:rPr>
        <w:t>1.3编制单位简况</w:t>
      </w:r>
      <w:bookmarkEnd w:id="7"/>
    </w:p>
    <w:p>
      <w:pPr>
        <w:pStyle w:val="4"/>
        <w:spacing w:before="156" w:after="156"/>
        <w:ind w:left="0"/>
        <w:rPr>
          <w:color w:val="auto"/>
          <w:sz w:val="21"/>
        </w:rPr>
      </w:pPr>
      <w:bookmarkStart w:id="8" w:name="_Toc508985098"/>
      <w:bookmarkStart w:id="9" w:name="_Toc458287585"/>
      <w:bookmarkStart w:id="10" w:name="_Toc511234381"/>
      <w:bookmarkStart w:id="11" w:name="_Toc497309498"/>
      <w:bookmarkStart w:id="12" w:name="_Toc131619668"/>
      <w:r>
        <w:rPr>
          <w:color w:val="auto"/>
          <w:sz w:val="21"/>
        </w:rPr>
        <w:t>1.3.1 编制组成员单位</w:t>
      </w:r>
      <w:bookmarkEnd w:id="8"/>
      <w:bookmarkEnd w:id="9"/>
      <w:bookmarkEnd w:id="10"/>
      <w:bookmarkEnd w:id="11"/>
      <w:bookmarkEnd w:id="12"/>
    </w:p>
    <w:p>
      <w:pPr>
        <w:spacing w:line="360" w:lineRule="auto"/>
        <w:ind w:firstLine="420"/>
        <w:rPr>
          <w:rFonts w:ascii="Times New Roman" w:hAnsi="Times New Roman" w:cs="Times New Roman"/>
          <w:color w:val="auto"/>
        </w:rPr>
      </w:pPr>
      <w:r>
        <w:rPr>
          <w:rFonts w:ascii="Times New Roman" w:hAnsi="Times New Roman" w:cs="Times New Roman"/>
          <w:color w:val="auto"/>
        </w:rPr>
        <w:t>本项目由云南驰宏锌锗股份有限公司、云南临沧鑫圆锗业股份有限公司、广东先导稀材股份有限公司、江苏宁达环保股份有限公司等单位共同起草，这些编制组成员单位均是我国《锗行业绿色工厂评价要求》的主要生产、科研、产品检测或使用单位。</w:t>
      </w:r>
    </w:p>
    <w:p>
      <w:pPr>
        <w:pStyle w:val="4"/>
        <w:spacing w:before="156" w:after="156"/>
        <w:ind w:left="0"/>
        <w:rPr>
          <w:color w:val="auto"/>
          <w:sz w:val="21"/>
        </w:rPr>
      </w:pPr>
      <w:bookmarkStart w:id="13" w:name="_Toc511234382"/>
      <w:bookmarkStart w:id="14" w:name="_Toc131619669"/>
      <w:bookmarkStart w:id="15" w:name="_Toc497309499"/>
      <w:bookmarkStart w:id="16" w:name="_Toc458287586"/>
      <w:bookmarkStart w:id="17" w:name="_Toc508985099"/>
      <w:r>
        <w:rPr>
          <w:color w:val="auto"/>
          <w:sz w:val="21"/>
        </w:rPr>
        <w:t>1.3.2 主编单位简介</w:t>
      </w:r>
      <w:bookmarkEnd w:id="13"/>
      <w:bookmarkEnd w:id="14"/>
      <w:bookmarkEnd w:id="15"/>
      <w:bookmarkEnd w:id="16"/>
      <w:bookmarkEnd w:id="17"/>
    </w:p>
    <w:p>
      <w:pPr>
        <w:spacing w:line="360" w:lineRule="auto"/>
        <w:ind w:firstLine="420"/>
        <w:rPr>
          <w:rFonts w:ascii="Times New Roman" w:hAnsi="Times New Roman" w:cs="Times New Roman"/>
          <w:color w:val="auto"/>
        </w:rPr>
      </w:pPr>
      <w:r>
        <w:rPr>
          <w:rFonts w:ascii="Times New Roman" w:hAnsi="Times New Roman" w:cs="Times New Roman"/>
          <w:color w:val="auto"/>
        </w:rPr>
        <w:t xml:space="preserve">云南驰宏锌锗股份有限公司（简称“驰宏锌锗”）由中国铝业集团有限公司控股的上市公司，公司成立于2000年7月，注册资本1，667，560，890元人民币，现有员工10014人，是一户以铅、锌产业为主，集地质勘探、采矿、选矿、冶金、化工、深加工、贸易和科研为一体的央企控股A股上市公司。 </w:t>
      </w:r>
    </w:p>
    <w:p>
      <w:pPr>
        <w:spacing w:line="360" w:lineRule="auto"/>
        <w:ind w:firstLine="420"/>
        <w:rPr>
          <w:rFonts w:ascii="Times New Roman" w:hAnsi="Times New Roman" w:cs="Times New Roman"/>
          <w:color w:val="auto"/>
        </w:rPr>
      </w:pPr>
      <w:r>
        <w:rPr>
          <w:rFonts w:ascii="Times New Roman" w:hAnsi="Times New Roman" w:cs="Times New Roman"/>
          <w:color w:val="auto"/>
        </w:rPr>
        <w:t xml:space="preserve">驰宏锌锗前身云南会泽铅锌矿，始成立于1951年1月，是我国“一五”计划156个重点建设项目之一，也是中国最早从氧化铅锌矿中提取锗用于国防尖端工业建设的企业，为“两弹一星”的成功研制做出过贡献。经过60多年的传承与创新发展，驰宏锌锗现已发展成为在国内的云南、四川、内蒙古、黑龙江、西藏、香港以及国外的加拿大、澳大利亚、玻利维亚等地拥有40家分子公司的集团化、国际化企业，资源品种覆盖铅、锌、锗、银、金、铟、铜、钼等多种有色金属。截止2015年末，驰宏锌锗资产总额逾330亿元，位列全国铅锌行业之首，具备年采矿300万吨、选矿450万吨、冶炼产能35万吨，综合回收金、银、锗、镉、铋、锑、铟等伴生金属1100余吨，主要装备、环保和工艺技术处于“国内一流、国际先进”水平，综合竞争力名列国内同行业前茅。 </w:t>
      </w:r>
    </w:p>
    <w:p>
      <w:pPr>
        <w:spacing w:line="360" w:lineRule="auto"/>
        <w:ind w:firstLine="420"/>
        <w:rPr>
          <w:rFonts w:ascii="Times New Roman" w:hAnsi="Times New Roman" w:cs="Times New Roman"/>
          <w:color w:val="auto"/>
        </w:rPr>
      </w:pPr>
      <w:r>
        <w:rPr>
          <w:rFonts w:ascii="Times New Roman" w:hAnsi="Times New Roman" w:cs="Times New Roman"/>
          <w:color w:val="auto"/>
        </w:rPr>
        <w:t>驰宏锌锗积极顺应产业发展导向，努力发展绿色循环经济，构建了“风险地质勘探——矿山无废开采——冶炼清洁生产——“三废”循环利用——稀贵金属综合回收——产品精深加工”全产业链发展模式。驰宏锌锗具有冶金行业专业乙级、建筑行业专业丙级资质，拥有“富氧顶吹-侧吹还原和奥斯迈特粗铅熔炼技术”、“湿法炼锌—深度净化—长周期电积”专有知识产权，“隐伏矿体定位预测方法”、“矿山膏体胶结充填采矿技术”等数十项核心技术，拥有省级实验研究平台3个，有效授权专利100余件 。</w:t>
      </w:r>
    </w:p>
    <w:p>
      <w:pPr>
        <w:spacing w:line="360" w:lineRule="auto"/>
        <w:ind w:firstLine="420"/>
        <w:rPr>
          <w:rFonts w:ascii="Times New Roman" w:hAnsi="Times New Roman" w:cs="Times New Roman"/>
          <w:color w:val="auto"/>
        </w:rPr>
      </w:pPr>
      <w:r>
        <w:rPr>
          <w:rFonts w:ascii="Times New Roman" w:hAnsi="Times New Roman" w:cs="Times New Roman"/>
          <w:color w:val="auto"/>
        </w:rPr>
        <w:t>2017年4月，驰宏锌锗将锗资产独立运营，锗产业发展迈入一个新台阶，全年完成锗产品含锗30吨，主要产品有高纯四氯化锗、高纯二氧化锗、区熔锗锭、高纯锗粉、锗单晶、锗镜片等。2018年3月16日，云南驰宏国际锗业有限公司（以下简称“驰宏锗业”）成立，注册资本25000万元，驰宏锗业以实现锗产量、产能国内领先为目标，锗金属产能达60吨/年，是国内专业化的锗系列产品的主要供应商。</w:t>
      </w:r>
    </w:p>
    <w:p>
      <w:pPr>
        <w:pStyle w:val="4"/>
        <w:spacing w:before="156" w:after="156"/>
        <w:ind w:left="0"/>
        <w:rPr>
          <w:color w:val="auto"/>
          <w:sz w:val="21"/>
        </w:rPr>
      </w:pPr>
      <w:bookmarkStart w:id="18" w:name="_Toc511234383"/>
      <w:bookmarkStart w:id="19" w:name="_Toc131619670"/>
      <w:r>
        <w:rPr>
          <w:color w:val="auto"/>
          <w:sz w:val="21"/>
        </w:rPr>
        <w:t>1.3.3 参与单位简介</w:t>
      </w:r>
      <w:bookmarkEnd w:id="18"/>
      <w:bookmarkEnd w:id="19"/>
    </w:p>
    <w:p>
      <w:pPr>
        <w:spacing w:line="360" w:lineRule="auto"/>
        <w:ind w:firstLine="420"/>
        <w:rPr>
          <w:rFonts w:ascii="Times New Roman" w:hAnsi="Times New Roman" w:cs="Times New Roman"/>
          <w:color w:val="auto"/>
        </w:rPr>
      </w:pPr>
      <w:r>
        <w:rPr>
          <w:rFonts w:ascii="Times New Roman" w:hAnsi="Times New Roman" w:cs="Times New Roman"/>
          <w:color w:val="auto"/>
        </w:rPr>
        <w:t>云南临沧鑫圆锗业股份有限公司、广东先导稀材股份有限公司、江苏宁达环保股份有限公司等。</w:t>
      </w:r>
    </w:p>
    <w:p>
      <w:pPr>
        <w:spacing w:line="360" w:lineRule="auto"/>
        <w:ind w:firstLine="420"/>
        <w:rPr>
          <w:rFonts w:ascii="Times New Roman" w:hAnsi="Times New Roman" w:cs="Times New Roman"/>
          <w:color w:val="auto"/>
        </w:rPr>
      </w:pPr>
      <w:r>
        <w:rPr>
          <w:rFonts w:ascii="Times New Roman" w:hAnsi="Times New Roman" w:cs="Times New Roman"/>
          <w:color w:val="auto"/>
        </w:rPr>
        <w:t>云南临沧鑫圆锗业股份有限公司是集锗矿开采、锗高效提取、锗产品精深加工及锗新材料研发生产为一体的世界知名企业，是中国第一、亚洲最大的锗系列产品生产商和供应商。公司拥有丰富的锗矿资源，资源储量占到了全国的27%以上，是国内锗资源保有储量最大的企业。公司主要生产经营区熔锗锭、高纯二氧化锗、有机锗、红外光学锗单晶及元器件、太阳能电池用锗单晶片、光纤级四氯化锗、砷化镓单晶及晶片等高新技术产品，是中国锗行业的龙头企业。云南锗业具有强大的自主开发和技术创新能力，公司建有“企业技术中心”、“分析测试中心”和“云南省锗材料工程技术研究中心”等多个研发机构，配备有先进的仪器设备和专业的技术人才，研发新产品、新工艺。通过自主创新，先后承担国家科技支撑计划项目课题2项、国家863计划项目课题1项、云南省重点新产品等省市级科技计划项目10余项。2010年公司被科技部认定为国家火炬计划重点高新技术企业，云南临沧国家锗材料基地骨干企业，公司技术中心于2015年12月被认定为国家级企业技术中心，技术中心配备了国内外各种大型的检测实验设备，有以30余名专业技术人员组成的省级锗材料创新团队，先后承担了40余项的国家标准和国家标准样品的研制项目，具有丰富的标准制修订经验和很强的标准制修订能力，2014年被云南省科技厅认定为科技型企业，公司分析测试中心于2017年3月通过了中国合格评定国家认可委员会（CNAS）的认可，范围涵盖了锗系列产品的分析检测技术领域，在锗的检测方面跨入了国内先进行列。</w:t>
      </w:r>
    </w:p>
    <w:p>
      <w:pPr>
        <w:spacing w:line="360" w:lineRule="auto"/>
        <w:ind w:firstLine="420"/>
        <w:rPr>
          <w:rFonts w:ascii="Times New Roman" w:hAnsi="Times New Roman" w:cs="Times New Roman"/>
          <w:color w:val="auto"/>
        </w:rPr>
      </w:pPr>
      <w:r>
        <w:rPr>
          <w:rFonts w:ascii="Times New Roman" w:hAnsi="Times New Roman" w:cs="Times New Roman"/>
          <w:color w:val="auto"/>
        </w:rPr>
        <w:t>广东先导稀材股份有限公司是一家专业从事稀有金属及其高端材料研发、生产、销售和回收服务的材料技术企业。公司是国家认定的高新技术企业，拥有国家稀散金属工程技术研究中心，国家认定企业技术中心，博士后科研工作站，并设有独立的先进材料研究院。先导公司以全球市场和科技发展为导向，产品广泛应用于太阳能光伏、LED、红外、电子通讯、航空航天、医药医疗、玻璃、陶瓷等行业。先导公司是全球最大的硒、碲产品生产商，同时也是铟、镓、锗等稀有材料行业的世界领导者。硒化锌红外光学材料、大直径锗单晶片、太阳能级碲化镉、高纯四氯化锗等填补了国内空白。先导公司是全国拥有最先进的检测设备公司之一，有GD-MS\ICP-MS\ICP-OES\GC等众多高精尖检测设备，可以满足先导公司作为粗原料提纯到高纯高端材料的全面检测要求。在体系建设方面，公司先后通过ISO9001质量管理体系认证、FAMI-QS欧洲饲料添加剂和预混合饲料质量体系认证、国际kosher认证(犹太认证)、HACCP食物安全保证体系的认证管理、ISO14001环境管理体系认证、OHSAS18001职业健康安全管理体系认证、ISO22000饲料添加剂食物链安全管理体系认证，以及ISO 17025实验室认可体系认证。</w:t>
      </w:r>
    </w:p>
    <w:p>
      <w:pPr>
        <w:widowControl/>
        <w:spacing w:before="156" w:beforeLines="50" w:after="156" w:afterLines="50"/>
        <w:jc w:val="left"/>
        <w:outlineLvl w:val="1"/>
        <w:rPr>
          <w:rFonts w:ascii="Times New Roman" w:hAnsi="Times New Roman" w:eastAsia="宋体" w:cs="Times New Roman"/>
          <w:b/>
          <w:color w:val="auto"/>
          <w:kern w:val="0"/>
          <w:sz w:val="24"/>
        </w:rPr>
      </w:pPr>
      <w:bookmarkStart w:id="20" w:name="_Toc511234384"/>
      <w:bookmarkStart w:id="21" w:name="_Toc131619671"/>
      <w:r>
        <w:rPr>
          <w:rFonts w:ascii="Times New Roman" w:hAnsi="Times New Roman" w:eastAsia="宋体" w:cs="Times New Roman"/>
          <w:b/>
          <w:color w:val="auto"/>
          <w:kern w:val="0"/>
          <w:sz w:val="24"/>
        </w:rPr>
        <w:t>1.4 工作过程</w:t>
      </w:r>
      <w:bookmarkEnd w:id="20"/>
      <w:bookmarkEnd w:id="21"/>
    </w:p>
    <w:p>
      <w:pPr>
        <w:rPr>
          <w:rFonts w:ascii="Times New Roman" w:hAnsi="Times New Roman" w:eastAsia="黑体" w:cs="Times New Roman"/>
          <w:color w:val="auto"/>
          <w:sz w:val="24"/>
        </w:rPr>
      </w:pPr>
      <w:r>
        <w:rPr>
          <w:rFonts w:ascii="Times New Roman" w:hAnsi="Times New Roman" w:eastAsia="黑体" w:cs="Times New Roman"/>
          <w:color w:val="auto"/>
          <w:sz w:val="24"/>
        </w:rPr>
        <w:t>1.4.1  起草阶段</w:t>
      </w:r>
    </w:p>
    <w:p>
      <w:pPr>
        <w:spacing w:line="360" w:lineRule="auto"/>
        <w:ind w:firstLine="420"/>
        <w:rPr>
          <w:rFonts w:ascii="Times New Roman" w:hAnsi="Times New Roman" w:cs="Times New Roman"/>
          <w:color w:val="auto"/>
        </w:rPr>
      </w:pPr>
      <w:r>
        <w:rPr>
          <w:rFonts w:ascii="Times New Roman" w:hAnsi="Times New Roman" w:cs="Times New Roman"/>
          <w:color w:val="auto"/>
        </w:rPr>
        <w:t>标准起草单位和参与单位在接到中国有色金属工业协会下达的项目任务后，成立了专门的《锗行业绿色工厂评价要求》编制组，其中包括领导组、技术组和专家组，并制定了相关工作计划。根据工作计划进度安排，标准编制组收集查阅了国内外相关政策、标准、文献，认真学习GB/T 36132-2018《绿色工厂评价要求》的内容。编制组对我国锗行业企业生产现状进行调研，调研方式主要有：资料调研、网上调研等。在调研工作的基础上，经逐步修改完善，形成《锗行业绿色工厂评价要求》讨论稿。</w:t>
      </w:r>
    </w:p>
    <w:p>
      <w:pPr>
        <w:spacing w:line="360" w:lineRule="auto"/>
        <w:ind w:firstLine="420"/>
        <w:rPr>
          <w:rFonts w:ascii="Times New Roman" w:hAnsi="Times New Roman" w:cs="Times New Roman"/>
          <w:color w:val="auto"/>
        </w:rPr>
      </w:pPr>
      <w:r>
        <w:rPr>
          <w:rFonts w:ascii="Times New Roman" w:hAnsi="Times New Roman" w:cs="Times New Roman"/>
          <w:color w:val="auto"/>
        </w:rPr>
        <w:t>2022</w:t>
      </w:r>
      <w:r>
        <w:rPr>
          <w:rFonts w:ascii="Times New Roman" w:hAnsi="Times New Roman" w:cs="Times New Roman"/>
          <w:color w:val="auto"/>
          <w:lang w:eastAsia="zh-Hans"/>
        </w:rPr>
        <w:t>年</w:t>
      </w:r>
      <w:r>
        <w:rPr>
          <w:rFonts w:ascii="Times New Roman" w:hAnsi="Times New Roman" w:cs="Times New Roman"/>
          <w:color w:val="auto"/>
        </w:rPr>
        <w:t>6</w:t>
      </w:r>
      <w:r>
        <w:rPr>
          <w:rFonts w:ascii="Times New Roman" w:hAnsi="Times New Roman" w:cs="Times New Roman"/>
          <w:color w:val="auto"/>
          <w:lang w:eastAsia="zh-Hans"/>
        </w:rPr>
        <w:t>月全国半导体设备和材</w:t>
      </w:r>
      <w:r>
        <w:rPr>
          <w:rFonts w:ascii="Times New Roman" w:hAnsi="Times New Roman" w:cs="Times New Roman"/>
          <w:color w:val="auto"/>
          <w:lang w:eastAsia="zh-Hans"/>
        </w:rPr>
        <w:t>料标准化技术委员会材料分技术委员会</w:t>
      </w:r>
      <w:r>
        <w:rPr>
          <w:rFonts w:ascii="Times New Roman" w:hAnsi="Times New Roman" w:cs="Times New Roman"/>
          <w:color w:val="auto"/>
        </w:rPr>
        <w:t>通过网路方式组织召开了标准讨论会。会上，专家对已经形成的《锗行业绿色工厂评价要求》讨论稿及其编制说明进行讨论，对文本的格式和内容提出了很好的建议，会后，编制组人员根据参会专家意见进行了修改调整。</w:t>
      </w:r>
    </w:p>
    <w:p>
      <w:pPr>
        <w:spacing w:line="360" w:lineRule="auto"/>
        <w:rPr>
          <w:rFonts w:ascii="Times New Roman" w:hAnsi="Times New Roman" w:eastAsia="黑体" w:cs="Times New Roman"/>
          <w:color w:val="auto"/>
          <w:sz w:val="24"/>
        </w:rPr>
      </w:pPr>
      <w:r>
        <w:rPr>
          <w:rFonts w:ascii="Times New Roman" w:hAnsi="Times New Roman" w:eastAsia="黑体" w:cs="Times New Roman"/>
          <w:color w:val="auto"/>
          <w:sz w:val="24"/>
        </w:rPr>
        <w:t>1.4.2  征求意见阶段</w:t>
      </w:r>
    </w:p>
    <w:p>
      <w:pPr>
        <w:spacing w:line="360" w:lineRule="auto"/>
        <w:ind w:firstLine="420"/>
        <w:rPr>
          <w:rFonts w:ascii="Times New Roman" w:hAnsi="Times New Roman" w:cs="Times New Roman"/>
          <w:color w:val="auto"/>
        </w:rPr>
      </w:pPr>
      <w:r>
        <w:rPr>
          <w:rFonts w:ascii="Times New Roman" w:hAnsi="Times New Roman" w:cs="Times New Roman"/>
          <w:color w:val="auto"/>
          <w:lang w:eastAsia="zh-Hans"/>
        </w:rPr>
        <w:t>根据</w:t>
      </w:r>
      <w:r>
        <w:rPr>
          <w:rFonts w:ascii="Times New Roman" w:hAnsi="Times New Roman" w:cs="Times New Roman"/>
          <w:color w:val="auto"/>
        </w:rPr>
        <w:t>2022年6月网路</w:t>
      </w:r>
      <w:r>
        <w:rPr>
          <w:rFonts w:ascii="Times New Roman" w:hAnsi="Times New Roman" w:cs="Times New Roman"/>
          <w:color w:val="auto"/>
          <w:lang w:eastAsia="zh-Hans"/>
        </w:rPr>
        <w:t>会议对标准范围和评价指标进行讨论。会后编制组根据标准讨论会上的意见对标准稿件进行了修改完</w:t>
      </w:r>
      <w:r>
        <w:rPr>
          <w:rFonts w:ascii="Times New Roman" w:hAnsi="Times New Roman" w:cs="Times New Roman"/>
          <w:color w:val="auto"/>
        </w:rPr>
        <w:t>善，并由标委会秘书处组织建立微信群，针对《锗行业绿色工厂评价要求》附录A“锗行业绿色工厂评价指标体系”权重系数和指标分数占比征求锗相关企业意见。征求意见的锗相关企业主要有云南临沧鑫圆锗业股份有限公司、广东先导稀材股份有限公司、江苏宁达环保股份有限公司、云南五鑫实业有限公司、锡林郭勒通力锗业有限责任公司等。</w:t>
      </w:r>
    </w:p>
    <w:p>
      <w:pPr>
        <w:spacing w:line="360" w:lineRule="auto"/>
        <w:ind w:firstLine="420"/>
        <w:rPr>
          <w:rFonts w:ascii="Times New Roman" w:hAnsi="Times New Roman" w:cs="Times New Roman"/>
          <w:color w:val="auto"/>
        </w:rPr>
      </w:pPr>
      <w:r>
        <w:rPr>
          <w:rFonts w:hint="eastAsia" w:ascii="Times New Roman" w:hAnsi="Times New Roman" w:cs="Times New Roman"/>
          <w:color w:val="auto"/>
        </w:rPr>
        <w:t>最终</w:t>
      </w:r>
      <w:r>
        <w:rPr>
          <w:rFonts w:ascii="Times New Roman" w:hAnsi="Times New Roman" w:cs="Times New Roman"/>
          <w:color w:val="auto"/>
          <w:lang w:eastAsia="zh-Hans"/>
        </w:rPr>
        <w:t>收到</w:t>
      </w:r>
      <w:r>
        <w:rPr>
          <w:rFonts w:ascii="Times New Roman" w:hAnsi="Times New Roman" w:cs="Times New Roman"/>
          <w:color w:val="auto"/>
        </w:rPr>
        <w:t>了云南临沧鑫圆锗业股份有限公司和广东先导稀材股份有限公司的反馈意见，其余企业无反馈意见，并根据反馈企业</w:t>
      </w:r>
      <w:r>
        <w:rPr>
          <w:rFonts w:ascii="Times New Roman" w:hAnsi="Times New Roman" w:cs="Times New Roman"/>
          <w:color w:val="auto"/>
          <w:lang w:eastAsia="zh-Hans"/>
        </w:rPr>
        <w:t>所提出的修改意</w:t>
      </w:r>
      <w:r>
        <w:rPr>
          <w:rFonts w:ascii="Times New Roman" w:hAnsi="Times New Roman" w:cs="Times New Roman"/>
          <w:color w:val="auto"/>
        </w:rPr>
        <w:t>对</w:t>
      </w:r>
      <w:r>
        <w:rPr>
          <w:rFonts w:ascii="Times New Roman" w:hAnsi="Times New Roman" w:cs="Times New Roman"/>
          <w:color w:val="auto"/>
          <w:lang w:eastAsia="zh-Hans"/>
        </w:rPr>
        <w:t>文本</w:t>
      </w:r>
      <w:r>
        <w:rPr>
          <w:rFonts w:ascii="Times New Roman" w:hAnsi="Times New Roman" w:cs="Times New Roman"/>
          <w:color w:val="auto"/>
        </w:rPr>
        <w:t>进行了修改。具体情况如下：</w:t>
      </w:r>
    </w:p>
    <w:p>
      <w:pPr>
        <w:spacing w:line="360" w:lineRule="auto"/>
        <w:jc w:val="center"/>
        <w:rPr>
          <w:rFonts w:ascii="Times New Roman" w:hAnsi="Times New Roman" w:eastAsia="黑体" w:cs="Times New Roman"/>
          <w:color w:val="auto"/>
        </w:rPr>
      </w:pPr>
      <w:r>
        <w:rPr>
          <w:rFonts w:ascii="Times New Roman" w:hAnsi="Times New Roman" w:eastAsia="黑体" w:cs="Times New Roman"/>
          <w:color w:val="auto"/>
        </w:rPr>
        <w:t>表1 征求意见及采纳情况</w:t>
      </w:r>
    </w:p>
    <w:tbl>
      <w:tblPr>
        <w:tblStyle w:val="17"/>
        <w:tblW w:w="5005" w:type="pct"/>
        <w:tblInd w:w="-5" w:type="dxa"/>
        <w:tblLayout w:type="fixed"/>
        <w:tblCellMar>
          <w:top w:w="0" w:type="dxa"/>
          <w:left w:w="108" w:type="dxa"/>
          <w:bottom w:w="0" w:type="dxa"/>
          <w:right w:w="108" w:type="dxa"/>
        </w:tblCellMar>
      </w:tblPr>
      <w:tblGrid>
        <w:gridCol w:w="631"/>
        <w:gridCol w:w="1233"/>
        <w:gridCol w:w="4539"/>
        <w:gridCol w:w="1960"/>
        <w:gridCol w:w="759"/>
        <w:gridCol w:w="458"/>
      </w:tblGrid>
      <w:tr>
        <w:tblPrEx>
          <w:tblCellMar>
            <w:top w:w="0" w:type="dxa"/>
            <w:left w:w="108" w:type="dxa"/>
            <w:bottom w:w="0" w:type="dxa"/>
            <w:right w:w="108" w:type="dxa"/>
          </w:tblCellMar>
        </w:tblPrEx>
        <w:trPr>
          <w:trHeight w:val="567" w:hRule="atLeast"/>
        </w:trPr>
        <w:tc>
          <w:tcPr>
            <w:tcW w:w="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color w:val="auto"/>
                <w:kern w:val="0"/>
                <w:szCs w:val="21"/>
              </w:rPr>
            </w:pPr>
            <w:r>
              <w:rPr>
                <w:rFonts w:ascii="Times New Roman" w:hAnsi="Times New Roman" w:eastAsia="黑体" w:cs="Times New Roman"/>
                <w:b/>
                <w:bCs/>
                <w:color w:val="auto"/>
                <w:kern w:val="0"/>
                <w:szCs w:val="21"/>
              </w:rPr>
              <w:t>序号</w:t>
            </w:r>
          </w:p>
        </w:tc>
        <w:tc>
          <w:tcPr>
            <w:tcW w:w="64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b/>
                <w:bCs/>
                <w:color w:val="auto"/>
                <w:kern w:val="0"/>
                <w:szCs w:val="21"/>
              </w:rPr>
            </w:pPr>
            <w:r>
              <w:rPr>
                <w:rFonts w:ascii="Times New Roman" w:hAnsi="Times New Roman" w:eastAsia="黑体" w:cs="Times New Roman"/>
                <w:b/>
                <w:bCs/>
                <w:color w:val="auto"/>
                <w:kern w:val="0"/>
                <w:szCs w:val="21"/>
              </w:rPr>
              <w:t>标准章条</w:t>
            </w:r>
          </w:p>
          <w:p>
            <w:pPr>
              <w:widowControl/>
              <w:jc w:val="center"/>
              <w:rPr>
                <w:rFonts w:ascii="Times New Roman" w:hAnsi="Times New Roman" w:eastAsia="黑体" w:cs="Times New Roman"/>
                <w:b/>
                <w:bCs/>
                <w:color w:val="auto"/>
                <w:kern w:val="0"/>
                <w:szCs w:val="21"/>
              </w:rPr>
            </w:pPr>
            <w:r>
              <w:rPr>
                <w:rFonts w:ascii="Times New Roman" w:hAnsi="Times New Roman" w:eastAsia="黑体" w:cs="Times New Roman"/>
                <w:b/>
                <w:bCs/>
                <w:color w:val="auto"/>
                <w:kern w:val="0"/>
                <w:szCs w:val="21"/>
              </w:rPr>
              <w:t>编号</w:t>
            </w:r>
          </w:p>
        </w:tc>
        <w:tc>
          <w:tcPr>
            <w:tcW w:w="236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color w:val="auto"/>
                <w:kern w:val="0"/>
                <w:szCs w:val="21"/>
              </w:rPr>
            </w:pPr>
            <w:r>
              <w:rPr>
                <w:rFonts w:ascii="Times New Roman" w:hAnsi="Times New Roman" w:eastAsia="黑体" w:cs="Times New Roman"/>
                <w:b/>
                <w:bCs/>
                <w:color w:val="auto"/>
                <w:kern w:val="0"/>
                <w:szCs w:val="21"/>
              </w:rPr>
              <w:t>意见内容</w:t>
            </w:r>
          </w:p>
        </w:tc>
        <w:tc>
          <w:tcPr>
            <w:tcW w:w="102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color w:val="auto"/>
                <w:kern w:val="0"/>
                <w:szCs w:val="21"/>
              </w:rPr>
            </w:pPr>
            <w:r>
              <w:rPr>
                <w:rFonts w:ascii="Times New Roman" w:hAnsi="Times New Roman" w:eastAsia="黑体" w:cs="Times New Roman"/>
                <w:b/>
                <w:bCs/>
                <w:color w:val="auto"/>
                <w:kern w:val="0"/>
                <w:szCs w:val="21"/>
              </w:rPr>
              <w:t>提出单位及提出人</w:t>
            </w:r>
          </w:p>
          <w:p>
            <w:pPr>
              <w:widowControl/>
              <w:jc w:val="center"/>
              <w:rPr>
                <w:rFonts w:ascii="Times New Roman" w:hAnsi="Times New Roman" w:eastAsia="黑体" w:cs="Times New Roman"/>
                <w:b/>
                <w:bCs/>
                <w:color w:val="auto"/>
                <w:kern w:val="0"/>
                <w:szCs w:val="21"/>
              </w:rPr>
            </w:pPr>
            <w:r>
              <w:rPr>
                <w:rFonts w:ascii="Times New Roman" w:hAnsi="Times New Roman" w:eastAsia="黑体" w:cs="Times New Roman"/>
                <w:b/>
                <w:bCs/>
                <w:color w:val="auto"/>
                <w:kern w:val="0"/>
                <w:szCs w:val="21"/>
              </w:rPr>
              <w:t>（可简写）</w:t>
            </w:r>
          </w:p>
        </w:tc>
        <w:tc>
          <w:tcPr>
            <w:tcW w:w="39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color w:val="auto"/>
                <w:kern w:val="0"/>
                <w:szCs w:val="21"/>
              </w:rPr>
            </w:pPr>
            <w:r>
              <w:rPr>
                <w:rFonts w:ascii="Times New Roman" w:hAnsi="Times New Roman" w:eastAsia="黑体" w:cs="Times New Roman"/>
                <w:b/>
                <w:bCs/>
                <w:color w:val="auto"/>
                <w:kern w:val="0"/>
                <w:szCs w:val="21"/>
              </w:rPr>
              <w:t>处理意见</w:t>
            </w:r>
          </w:p>
        </w:tc>
        <w:tc>
          <w:tcPr>
            <w:tcW w:w="23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color w:val="auto"/>
                <w:kern w:val="0"/>
                <w:szCs w:val="21"/>
              </w:rPr>
            </w:pPr>
            <w:r>
              <w:rPr>
                <w:rFonts w:ascii="Times New Roman" w:hAnsi="Times New Roman" w:eastAsia="黑体" w:cs="Times New Roman"/>
                <w:b/>
                <w:bCs/>
                <w:color w:val="auto"/>
                <w:kern w:val="0"/>
                <w:szCs w:val="21"/>
              </w:rPr>
              <w:t>备注</w:t>
            </w:r>
          </w:p>
        </w:tc>
      </w:tr>
      <w:tr>
        <w:tblPrEx>
          <w:tblCellMar>
            <w:top w:w="0" w:type="dxa"/>
            <w:left w:w="108" w:type="dxa"/>
            <w:bottom w:w="0" w:type="dxa"/>
            <w:right w:w="108" w:type="dxa"/>
          </w:tblCellMar>
        </w:tblPrEx>
        <w:trPr>
          <w:trHeight w:val="567" w:hRule="atLeast"/>
        </w:trPr>
        <w:tc>
          <w:tcPr>
            <w:tcW w:w="329" w:type="pct"/>
            <w:tcBorders>
              <w:top w:val="nil"/>
              <w:left w:val="single" w:color="auto" w:sz="4" w:space="0"/>
              <w:bottom w:val="single" w:color="auto" w:sz="4" w:space="0"/>
              <w:right w:val="single" w:color="auto" w:sz="4" w:space="0"/>
            </w:tcBorders>
            <w:shd w:val="clear" w:color="auto" w:fill="auto"/>
            <w:noWrap/>
            <w:vAlign w:val="center"/>
          </w:tcPr>
          <w:p>
            <w:pPr>
              <w:pStyle w:val="28"/>
              <w:widowControl/>
              <w:ind w:firstLine="0" w:firstLineChars="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w:t>
            </w:r>
          </w:p>
        </w:tc>
        <w:tc>
          <w:tcPr>
            <w:tcW w:w="643"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附录A  1基础设施 建筑</w:t>
            </w:r>
          </w:p>
        </w:tc>
        <w:tc>
          <w:tcPr>
            <w:tcW w:w="2368"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“节能评估备案相关文件、三同时制度相关文件、建设用地规划许可证等相关证明文件”三个同时具备得6分，如只具备两项怎么打分？修改为“每具备一项得2分，满分6分”。</w:t>
            </w:r>
          </w:p>
        </w:tc>
        <w:tc>
          <w:tcPr>
            <w:tcW w:w="102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云南锗业/普世坤、广东先导/朱赞芳</w:t>
            </w:r>
          </w:p>
        </w:tc>
        <w:tc>
          <w:tcPr>
            <w:tcW w:w="396"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采纳</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p>
        </w:tc>
      </w:tr>
      <w:tr>
        <w:tblPrEx>
          <w:tblCellMar>
            <w:top w:w="0" w:type="dxa"/>
            <w:left w:w="108" w:type="dxa"/>
            <w:bottom w:w="0" w:type="dxa"/>
            <w:right w:w="108" w:type="dxa"/>
          </w:tblCellMar>
        </w:tblPrEx>
        <w:trPr>
          <w:trHeight w:val="567" w:hRule="atLeast"/>
        </w:trPr>
        <w:tc>
          <w:tcPr>
            <w:tcW w:w="329" w:type="pct"/>
            <w:tcBorders>
              <w:top w:val="nil"/>
              <w:left w:val="single" w:color="auto" w:sz="4" w:space="0"/>
              <w:bottom w:val="single" w:color="auto" w:sz="4" w:space="0"/>
              <w:right w:val="single" w:color="auto" w:sz="4" w:space="0"/>
            </w:tcBorders>
            <w:shd w:val="clear" w:color="auto" w:fill="auto"/>
            <w:noWrap/>
            <w:vAlign w:val="center"/>
          </w:tcPr>
          <w:p>
            <w:pPr>
              <w:pStyle w:val="28"/>
              <w:widowControl/>
              <w:ind w:firstLine="0" w:firstLineChars="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w:t>
            </w:r>
          </w:p>
        </w:tc>
        <w:tc>
          <w:tcPr>
            <w:tcW w:w="643"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附录A  2管理体系 环境管理体系</w:t>
            </w:r>
          </w:p>
        </w:tc>
        <w:tc>
          <w:tcPr>
            <w:tcW w:w="2368"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“宜通过环境管理体系第三方认证得分”建议修改为“通过环境管理体系第三方认证分值为15，只建立未通过得10分”。</w:t>
            </w:r>
          </w:p>
        </w:tc>
        <w:tc>
          <w:tcPr>
            <w:tcW w:w="102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云南锗业/普世坤、广东先导/朱赞芳</w:t>
            </w:r>
          </w:p>
        </w:tc>
        <w:tc>
          <w:tcPr>
            <w:tcW w:w="396"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采纳</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p>
        </w:tc>
      </w:tr>
      <w:tr>
        <w:tblPrEx>
          <w:tblCellMar>
            <w:top w:w="0" w:type="dxa"/>
            <w:left w:w="108" w:type="dxa"/>
            <w:bottom w:w="0" w:type="dxa"/>
            <w:right w:w="108" w:type="dxa"/>
          </w:tblCellMar>
        </w:tblPrEx>
        <w:trPr>
          <w:trHeight w:val="567" w:hRule="atLeast"/>
        </w:trPr>
        <w:tc>
          <w:tcPr>
            <w:tcW w:w="329" w:type="pct"/>
            <w:tcBorders>
              <w:top w:val="nil"/>
              <w:left w:val="single" w:color="auto" w:sz="4" w:space="0"/>
              <w:bottom w:val="single" w:color="auto" w:sz="4" w:space="0"/>
              <w:right w:val="single" w:color="auto" w:sz="4" w:space="0"/>
            </w:tcBorders>
            <w:shd w:val="clear" w:color="auto" w:fill="auto"/>
            <w:noWrap/>
            <w:vAlign w:val="center"/>
          </w:tcPr>
          <w:p>
            <w:pPr>
              <w:pStyle w:val="28"/>
              <w:widowControl/>
              <w:ind w:firstLine="0" w:firstLineChars="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3</w:t>
            </w:r>
          </w:p>
        </w:tc>
        <w:tc>
          <w:tcPr>
            <w:tcW w:w="643"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附录A  2管理体系 能源管理体系</w:t>
            </w:r>
          </w:p>
        </w:tc>
        <w:tc>
          <w:tcPr>
            <w:tcW w:w="2368"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“宜通过能源管理体系第三方认证。宜建有能源管理部门”建议修改为“通过能源管理体系第三方认证分值为15，只建立未通过得10分”。</w:t>
            </w:r>
          </w:p>
        </w:tc>
        <w:tc>
          <w:tcPr>
            <w:tcW w:w="102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云南锗业/普世坤、广东先导/朱赞芳</w:t>
            </w:r>
          </w:p>
        </w:tc>
        <w:tc>
          <w:tcPr>
            <w:tcW w:w="396"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采纳</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p>
        </w:tc>
      </w:tr>
      <w:tr>
        <w:tblPrEx>
          <w:tblCellMar>
            <w:top w:w="0" w:type="dxa"/>
            <w:left w:w="108" w:type="dxa"/>
            <w:bottom w:w="0" w:type="dxa"/>
            <w:right w:w="108" w:type="dxa"/>
          </w:tblCellMar>
        </w:tblPrEx>
        <w:trPr>
          <w:trHeight w:val="567" w:hRule="atLeast"/>
        </w:trPr>
        <w:tc>
          <w:tcPr>
            <w:tcW w:w="329" w:type="pct"/>
            <w:tcBorders>
              <w:top w:val="nil"/>
              <w:left w:val="single" w:color="auto" w:sz="4" w:space="0"/>
              <w:bottom w:val="single" w:color="auto" w:sz="4" w:space="0"/>
              <w:right w:val="single" w:color="auto" w:sz="4" w:space="0"/>
            </w:tcBorders>
            <w:shd w:val="clear" w:color="auto" w:fill="auto"/>
            <w:noWrap/>
            <w:vAlign w:val="center"/>
          </w:tcPr>
          <w:p>
            <w:pPr>
              <w:pStyle w:val="28"/>
              <w:widowControl/>
              <w:ind w:firstLine="0" w:firstLineChars="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4</w:t>
            </w:r>
          </w:p>
        </w:tc>
        <w:tc>
          <w:tcPr>
            <w:tcW w:w="643"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附录A  4产品 生态设计</w:t>
            </w:r>
          </w:p>
        </w:tc>
        <w:tc>
          <w:tcPr>
            <w:tcW w:w="2368"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“应在产品设计中引入生态设计的理念”生态设计理念说明分值过高。将分值从30分调整为15分。</w:t>
            </w:r>
          </w:p>
        </w:tc>
        <w:tc>
          <w:tcPr>
            <w:tcW w:w="102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云南锗业/普世坤、广东先导/朱赞芳</w:t>
            </w:r>
          </w:p>
        </w:tc>
        <w:tc>
          <w:tcPr>
            <w:tcW w:w="396"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采纳</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p>
        </w:tc>
      </w:tr>
      <w:tr>
        <w:tblPrEx>
          <w:tblCellMar>
            <w:top w:w="0" w:type="dxa"/>
            <w:left w:w="108" w:type="dxa"/>
            <w:bottom w:w="0" w:type="dxa"/>
            <w:right w:w="108" w:type="dxa"/>
          </w:tblCellMar>
        </w:tblPrEx>
        <w:trPr>
          <w:trHeight w:val="619" w:hRule="atLeast"/>
        </w:trPr>
        <w:tc>
          <w:tcPr>
            <w:tcW w:w="329" w:type="pct"/>
            <w:tcBorders>
              <w:top w:val="nil"/>
              <w:left w:val="single" w:color="auto" w:sz="4" w:space="0"/>
              <w:bottom w:val="single" w:color="auto" w:sz="4" w:space="0"/>
              <w:right w:val="single" w:color="auto" w:sz="4" w:space="0"/>
            </w:tcBorders>
            <w:shd w:val="clear" w:color="auto" w:fill="auto"/>
            <w:noWrap/>
            <w:vAlign w:val="center"/>
          </w:tcPr>
          <w:p>
            <w:pPr>
              <w:pStyle w:val="28"/>
              <w:widowControl/>
              <w:ind w:firstLine="0" w:firstLineChars="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5</w:t>
            </w:r>
          </w:p>
        </w:tc>
        <w:tc>
          <w:tcPr>
            <w:tcW w:w="643"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附录A  5环境排放 固体污染物</w:t>
            </w:r>
          </w:p>
        </w:tc>
        <w:tc>
          <w:tcPr>
            <w:tcW w:w="2368"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“建议该项分值增加至15~20分”，原该项分值必选为10分，可选为5分，共15分，修改后将必选调整为20分，可选保持5分不变，共25分。</w:t>
            </w:r>
          </w:p>
        </w:tc>
        <w:tc>
          <w:tcPr>
            <w:tcW w:w="102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云南锗业/普世坤、广东先导/朱赞芳</w:t>
            </w:r>
          </w:p>
        </w:tc>
        <w:tc>
          <w:tcPr>
            <w:tcW w:w="396"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采纳</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p>
        </w:tc>
      </w:tr>
      <w:tr>
        <w:tblPrEx>
          <w:tblCellMar>
            <w:top w:w="0" w:type="dxa"/>
            <w:left w:w="108" w:type="dxa"/>
            <w:bottom w:w="0" w:type="dxa"/>
            <w:right w:w="108" w:type="dxa"/>
          </w:tblCellMar>
        </w:tblPrEx>
        <w:trPr>
          <w:trHeight w:val="619" w:hRule="atLeast"/>
        </w:trPr>
        <w:tc>
          <w:tcPr>
            <w:tcW w:w="329" w:type="pct"/>
            <w:tcBorders>
              <w:top w:val="nil"/>
              <w:left w:val="single" w:color="auto" w:sz="4" w:space="0"/>
              <w:bottom w:val="single" w:color="auto" w:sz="4" w:space="0"/>
              <w:right w:val="single" w:color="auto" w:sz="4" w:space="0"/>
            </w:tcBorders>
            <w:shd w:val="clear" w:color="auto" w:fill="auto"/>
            <w:noWrap/>
            <w:vAlign w:val="center"/>
          </w:tcPr>
          <w:p>
            <w:pPr>
              <w:pStyle w:val="28"/>
              <w:widowControl/>
              <w:ind w:firstLine="0" w:firstLineChars="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6</w:t>
            </w:r>
          </w:p>
        </w:tc>
        <w:tc>
          <w:tcPr>
            <w:tcW w:w="643"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附录A  6绩效 原料无害化</w:t>
            </w:r>
          </w:p>
        </w:tc>
        <w:tc>
          <w:tcPr>
            <w:tcW w:w="2368"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“建议提高原料无害化分值占比”，原该项分值必选为6分，可选为4分，共10分，修改后将必选调整为8分，可选调整为6分，共14分。</w:t>
            </w:r>
          </w:p>
        </w:tc>
        <w:tc>
          <w:tcPr>
            <w:tcW w:w="1022"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云南锗业/普世坤、广东先导/朱赞芳</w:t>
            </w:r>
          </w:p>
        </w:tc>
        <w:tc>
          <w:tcPr>
            <w:tcW w:w="396"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采纳</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p>
        </w:tc>
      </w:tr>
    </w:tbl>
    <w:p>
      <w:pPr>
        <w:spacing w:line="360" w:lineRule="auto"/>
        <w:rPr>
          <w:rFonts w:ascii="Times New Roman" w:hAnsi="Times New Roman" w:eastAsia="黑体" w:cs="Times New Roman"/>
          <w:color w:val="auto"/>
          <w:sz w:val="24"/>
        </w:rPr>
      </w:pPr>
      <w:bookmarkStart w:id="22" w:name="_Toc497309525"/>
      <w:bookmarkStart w:id="23" w:name="_Toc511234385"/>
      <w:r>
        <w:rPr>
          <w:rFonts w:ascii="Times New Roman" w:hAnsi="Times New Roman" w:eastAsia="黑体" w:cs="Times New Roman"/>
          <w:color w:val="auto"/>
          <w:sz w:val="24"/>
        </w:rPr>
        <w:t>1.4.</w:t>
      </w:r>
      <w:r>
        <w:rPr>
          <w:rFonts w:hint="eastAsia" w:ascii="Times New Roman" w:hAnsi="Times New Roman" w:eastAsia="黑体" w:cs="Times New Roman"/>
          <w:color w:val="auto"/>
          <w:sz w:val="24"/>
        </w:rPr>
        <w:t>3</w:t>
      </w:r>
      <w:r>
        <w:rPr>
          <w:rFonts w:ascii="Times New Roman" w:hAnsi="Times New Roman" w:eastAsia="黑体" w:cs="Times New Roman"/>
          <w:color w:val="auto"/>
          <w:sz w:val="24"/>
        </w:rPr>
        <w:t xml:space="preserve">  </w:t>
      </w:r>
      <w:r>
        <w:rPr>
          <w:rFonts w:hint="eastAsia" w:ascii="Times New Roman" w:hAnsi="Times New Roman" w:eastAsia="黑体" w:cs="Times New Roman"/>
          <w:color w:val="auto"/>
          <w:sz w:val="24"/>
        </w:rPr>
        <w:t>预审</w:t>
      </w:r>
      <w:r>
        <w:rPr>
          <w:rFonts w:ascii="Times New Roman" w:hAnsi="Times New Roman" w:eastAsia="黑体" w:cs="Times New Roman"/>
          <w:color w:val="auto"/>
          <w:sz w:val="24"/>
        </w:rPr>
        <w:t>阶段</w:t>
      </w:r>
    </w:p>
    <w:p>
      <w:pPr>
        <w:spacing w:line="360" w:lineRule="auto"/>
        <w:ind w:firstLine="420"/>
        <w:rPr>
          <w:rFonts w:ascii="Times New Roman" w:hAnsi="Times New Roman" w:cs="Times New Roman"/>
          <w:color w:val="auto"/>
        </w:rPr>
      </w:pPr>
      <w:r>
        <w:rPr>
          <w:rFonts w:hint="eastAsia" w:ascii="Times New Roman" w:hAnsi="Times New Roman" w:cs="Times New Roman"/>
          <w:color w:val="auto"/>
        </w:rPr>
        <w:t>2023年2月，全国半导体设备和材料标准化技术委员会材料分技术委员会通过网路方式组织召开了标准预审会，会上，专家对已经形成的《锗行业绿色工厂评价要求》预审稿及其编制说明进行了讨论，对文本的内容提出了很好的建议，具体情况如下：</w:t>
      </w:r>
    </w:p>
    <w:p>
      <w:pPr>
        <w:spacing w:line="360" w:lineRule="auto"/>
        <w:jc w:val="center"/>
        <w:rPr>
          <w:rFonts w:ascii="Times New Roman" w:hAnsi="Times New Roman" w:eastAsia="黑体" w:cs="Times New Roman"/>
          <w:color w:val="auto"/>
        </w:rPr>
      </w:pPr>
      <w:r>
        <w:rPr>
          <w:rFonts w:ascii="Times New Roman" w:hAnsi="Times New Roman" w:eastAsia="黑体" w:cs="Times New Roman"/>
          <w:color w:val="auto"/>
        </w:rPr>
        <w:t>表</w:t>
      </w:r>
      <w:r>
        <w:rPr>
          <w:rFonts w:hint="eastAsia" w:ascii="Times New Roman" w:hAnsi="Times New Roman" w:eastAsia="黑体" w:cs="Times New Roman"/>
          <w:color w:val="auto"/>
        </w:rPr>
        <w:t>2</w:t>
      </w:r>
      <w:r>
        <w:rPr>
          <w:rFonts w:ascii="Times New Roman" w:hAnsi="Times New Roman" w:eastAsia="黑体" w:cs="Times New Roman"/>
          <w:color w:val="auto"/>
        </w:rPr>
        <w:t xml:space="preserve"> </w:t>
      </w:r>
      <w:r>
        <w:rPr>
          <w:rFonts w:hint="eastAsia" w:ascii="Times New Roman" w:hAnsi="Times New Roman" w:eastAsia="黑体" w:cs="Times New Roman"/>
          <w:color w:val="auto"/>
        </w:rPr>
        <w:t>预审</w:t>
      </w:r>
      <w:r>
        <w:rPr>
          <w:rFonts w:ascii="Times New Roman" w:hAnsi="Times New Roman" w:eastAsia="黑体" w:cs="Times New Roman"/>
          <w:color w:val="auto"/>
        </w:rPr>
        <w:t>意见及采纳情况</w:t>
      </w:r>
    </w:p>
    <w:tbl>
      <w:tblPr>
        <w:tblStyle w:val="17"/>
        <w:tblW w:w="5207" w:type="pct"/>
        <w:jc w:val="center"/>
        <w:tblLayout w:type="fixed"/>
        <w:tblCellMar>
          <w:top w:w="0" w:type="dxa"/>
          <w:left w:w="108" w:type="dxa"/>
          <w:bottom w:w="0" w:type="dxa"/>
          <w:right w:w="108" w:type="dxa"/>
        </w:tblCellMar>
      </w:tblPr>
      <w:tblGrid>
        <w:gridCol w:w="633"/>
        <w:gridCol w:w="1231"/>
        <w:gridCol w:w="4539"/>
        <w:gridCol w:w="1961"/>
        <w:gridCol w:w="757"/>
        <w:gridCol w:w="845"/>
      </w:tblGrid>
      <w:tr>
        <w:tblPrEx>
          <w:tblCellMar>
            <w:top w:w="0" w:type="dxa"/>
            <w:left w:w="108" w:type="dxa"/>
            <w:bottom w:w="0" w:type="dxa"/>
            <w:right w:w="108" w:type="dxa"/>
          </w:tblCellMar>
        </w:tblPrEx>
        <w:trPr>
          <w:trHeight w:val="567" w:hRule="atLeast"/>
          <w:jc w:val="center"/>
        </w:trPr>
        <w:tc>
          <w:tcPr>
            <w:tcW w:w="31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color w:val="auto"/>
                <w:kern w:val="0"/>
                <w:szCs w:val="21"/>
              </w:rPr>
            </w:pPr>
            <w:r>
              <w:rPr>
                <w:rFonts w:ascii="Times New Roman" w:hAnsi="Times New Roman" w:eastAsia="黑体" w:cs="Times New Roman"/>
                <w:b/>
                <w:bCs/>
                <w:color w:val="auto"/>
                <w:kern w:val="0"/>
                <w:szCs w:val="21"/>
              </w:rPr>
              <w:t>序号</w:t>
            </w:r>
          </w:p>
        </w:tc>
        <w:tc>
          <w:tcPr>
            <w:tcW w:w="6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b/>
                <w:bCs/>
                <w:color w:val="auto"/>
                <w:kern w:val="0"/>
                <w:szCs w:val="21"/>
              </w:rPr>
            </w:pPr>
            <w:r>
              <w:rPr>
                <w:rFonts w:ascii="Times New Roman" w:hAnsi="Times New Roman" w:eastAsia="黑体" w:cs="Times New Roman"/>
                <w:b/>
                <w:bCs/>
                <w:color w:val="auto"/>
                <w:kern w:val="0"/>
                <w:szCs w:val="21"/>
              </w:rPr>
              <w:t>标准章条</w:t>
            </w:r>
          </w:p>
          <w:p>
            <w:pPr>
              <w:widowControl/>
              <w:jc w:val="center"/>
              <w:rPr>
                <w:rFonts w:ascii="Times New Roman" w:hAnsi="Times New Roman" w:eastAsia="黑体" w:cs="Times New Roman"/>
                <w:b/>
                <w:bCs/>
                <w:color w:val="auto"/>
                <w:kern w:val="0"/>
                <w:szCs w:val="21"/>
              </w:rPr>
            </w:pPr>
            <w:r>
              <w:rPr>
                <w:rFonts w:ascii="Times New Roman" w:hAnsi="Times New Roman" w:eastAsia="黑体" w:cs="Times New Roman"/>
                <w:b/>
                <w:bCs/>
                <w:color w:val="auto"/>
                <w:kern w:val="0"/>
                <w:szCs w:val="21"/>
              </w:rPr>
              <w:t>编号</w:t>
            </w:r>
          </w:p>
        </w:tc>
        <w:tc>
          <w:tcPr>
            <w:tcW w:w="227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color w:val="auto"/>
                <w:kern w:val="0"/>
                <w:szCs w:val="21"/>
              </w:rPr>
            </w:pPr>
            <w:r>
              <w:rPr>
                <w:rFonts w:ascii="Times New Roman" w:hAnsi="Times New Roman" w:eastAsia="黑体" w:cs="Times New Roman"/>
                <w:b/>
                <w:bCs/>
                <w:color w:val="auto"/>
                <w:kern w:val="0"/>
                <w:szCs w:val="21"/>
              </w:rPr>
              <w:t>意见内容</w:t>
            </w:r>
          </w:p>
        </w:tc>
        <w:tc>
          <w:tcPr>
            <w:tcW w:w="98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color w:val="auto"/>
                <w:kern w:val="0"/>
                <w:szCs w:val="21"/>
              </w:rPr>
            </w:pPr>
            <w:r>
              <w:rPr>
                <w:rFonts w:ascii="Times New Roman" w:hAnsi="Times New Roman" w:eastAsia="黑体" w:cs="Times New Roman"/>
                <w:b/>
                <w:bCs/>
                <w:color w:val="auto"/>
                <w:kern w:val="0"/>
                <w:szCs w:val="21"/>
              </w:rPr>
              <w:t>提出单位及提出人</w:t>
            </w:r>
          </w:p>
          <w:p>
            <w:pPr>
              <w:widowControl/>
              <w:jc w:val="center"/>
              <w:rPr>
                <w:rFonts w:ascii="Times New Roman" w:hAnsi="Times New Roman" w:eastAsia="黑体" w:cs="Times New Roman"/>
                <w:b/>
                <w:bCs/>
                <w:color w:val="auto"/>
                <w:kern w:val="0"/>
                <w:szCs w:val="21"/>
              </w:rPr>
            </w:pPr>
            <w:r>
              <w:rPr>
                <w:rFonts w:ascii="Times New Roman" w:hAnsi="Times New Roman" w:eastAsia="黑体" w:cs="Times New Roman"/>
                <w:b/>
                <w:bCs/>
                <w:color w:val="auto"/>
                <w:kern w:val="0"/>
                <w:szCs w:val="21"/>
              </w:rPr>
              <w:t>（可简写）</w:t>
            </w:r>
          </w:p>
        </w:tc>
        <w:tc>
          <w:tcPr>
            <w:tcW w:w="38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color w:val="auto"/>
                <w:kern w:val="0"/>
                <w:szCs w:val="21"/>
              </w:rPr>
            </w:pPr>
            <w:r>
              <w:rPr>
                <w:rFonts w:ascii="Times New Roman" w:hAnsi="Times New Roman" w:eastAsia="黑体" w:cs="Times New Roman"/>
                <w:b/>
                <w:bCs/>
                <w:color w:val="auto"/>
                <w:kern w:val="0"/>
                <w:szCs w:val="21"/>
              </w:rPr>
              <w:t>处理意见</w:t>
            </w:r>
          </w:p>
        </w:tc>
        <w:tc>
          <w:tcPr>
            <w:tcW w:w="42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color w:val="auto"/>
                <w:kern w:val="0"/>
                <w:szCs w:val="21"/>
              </w:rPr>
            </w:pPr>
            <w:r>
              <w:rPr>
                <w:rFonts w:ascii="Times New Roman" w:hAnsi="Times New Roman" w:eastAsia="黑体" w:cs="Times New Roman"/>
                <w:b/>
                <w:bCs/>
                <w:color w:val="auto"/>
                <w:kern w:val="0"/>
                <w:szCs w:val="21"/>
              </w:rPr>
              <w:t>备注</w:t>
            </w:r>
          </w:p>
        </w:tc>
      </w:tr>
      <w:tr>
        <w:tblPrEx>
          <w:tblCellMar>
            <w:top w:w="0" w:type="dxa"/>
            <w:left w:w="108" w:type="dxa"/>
            <w:bottom w:w="0" w:type="dxa"/>
            <w:right w:w="108" w:type="dxa"/>
          </w:tblCellMar>
        </w:tblPrEx>
        <w:trPr>
          <w:trHeight w:val="567" w:hRule="atLeast"/>
          <w:jc w:val="center"/>
        </w:trPr>
        <w:tc>
          <w:tcPr>
            <w:tcW w:w="317" w:type="pct"/>
            <w:tcBorders>
              <w:top w:val="nil"/>
              <w:left w:val="single" w:color="auto" w:sz="4" w:space="0"/>
              <w:bottom w:val="single" w:color="auto" w:sz="4" w:space="0"/>
              <w:right w:val="single" w:color="auto" w:sz="4" w:space="0"/>
            </w:tcBorders>
            <w:shd w:val="clear" w:color="auto" w:fill="auto"/>
            <w:noWrap/>
            <w:vAlign w:val="center"/>
          </w:tcPr>
          <w:p>
            <w:pPr>
              <w:pStyle w:val="28"/>
              <w:widowControl/>
              <w:ind w:firstLine="0" w:firstLineChars="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w:t>
            </w:r>
          </w:p>
        </w:tc>
        <w:tc>
          <w:tcPr>
            <w:tcW w:w="617"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hint="eastAsia" w:ascii="宋体" w:hAnsi="宋体" w:eastAsia="宋体" w:cs="宋体"/>
                <w:color w:val="auto"/>
                <w:kern w:val="0"/>
                <w:szCs w:val="21"/>
              </w:rPr>
              <w:t xml:space="preserve">4.3 </w:t>
            </w:r>
            <w:r>
              <w:rPr>
                <w:rFonts w:ascii="宋体" w:hAnsi="宋体" w:eastAsia="宋体" w:cs="宋体"/>
                <w:color w:val="auto"/>
                <w:kern w:val="0"/>
                <w:szCs w:val="21"/>
              </w:rPr>
              <w:t>评价方法</w:t>
            </w:r>
            <w:r>
              <w:rPr>
                <w:rFonts w:hint="eastAsia" w:ascii="宋体" w:hAnsi="宋体" w:eastAsia="宋体" w:cs="宋体"/>
                <w:color w:val="auto"/>
                <w:kern w:val="0"/>
                <w:szCs w:val="21"/>
              </w:rPr>
              <w:t>—4.3.4</w:t>
            </w:r>
          </w:p>
        </w:tc>
        <w:tc>
          <w:tcPr>
            <w:tcW w:w="2276"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宋体" w:hAnsi="宋体" w:eastAsia="宋体" w:cs="宋体"/>
                <w:color w:val="auto"/>
                <w:kern w:val="0"/>
                <w:szCs w:val="21"/>
              </w:rPr>
              <w:t>必选要求达标且指标加权综合评分达到80分及以上建议修改为“必选要求达标且指标加权综合评分达到85分及以上”</w:t>
            </w:r>
            <w:r>
              <w:rPr>
                <w:rFonts w:hint="eastAsia" w:ascii="宋体" w:hAnsi="宋体" w:eastAsia="宋体" w:cs="宋体"/>
                <w:color w:val="auto"/>
                <w:kern w:val="0"/>
                <w:szCs w:val="21"/>
              </w:rPr>
              <w:t>。并建议增加“绿色工厂评价范例”，增强本标准文件的可操作性。</w:t>
            </w:r>
          </w:p>
        </w:tc>
        <w:tc>
          <w:tcPr>
            <w:tcW w:w="983"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宋体" w:hAnsi="宋体" w:eastAsia="宋体" w:cs="宋体"/>
                <w:color w:val="auto"/>
                <w:szCs w:val="21"/>
              </w:rPr>
              <w:t>半材标委/贺东江</w:t>
            </w:r>
            <w:r>
              <w:rPr>
                <w:rFonts w:hint="eastAsia" w:ascii="宋体" w:hAnsi="宋体" w:eastAsia="宋体" w:cs="宋体"/>
                <w:color w:val="auto"/>
                <w:szCs w:val="21"/>
              </w:rPr>
              <w:t>、江苏</w:t>
            </w:r>
            <w:r>
              <w:rPr>
                <w:rFonts w:ascii="宋体" w:hAnsi="宋体" w:eastAsia="宋体" w:cs="宋体"/>
                <w:color w:val="auto"/>
                <w:szCs w:val="21"/>
              </w:rPr>
              <w:t>宁达/刘新军</w:t>
            </w:r>
          </w:p>
        </w:tc>
        <w:tc>
          <w:tcPr>
            <w:tcW w:w="380"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1"/>
              </w:rPr>
            </w:pPr>
            <w:r>
              <w:rPr>
                <w:rFonts w:hint="eastAsia" w:ascii="宋体" w:hAnsi="宋体" w:eastAsia="宋体" w:cs="宋体"/>
                <w:color w:val="auto"/>
                <w:kern w:val="0"/>
                <w:szCs w:val="21"/>
              </w:rPr>
              <w:t>采纳</w:t>
            </w:r>
          </w:p>
        </w:tc>
        <w:tc>
          <w:tcPr>
            <w:tcW w:w="424"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w:t>
            </w:r>
            <w:r>
              <w:rPr>
                <w:rFonts w:ascii="Times New Roman" w:hAnsi="Times New Roman" w:eastAsia="宋体" w:cs="Times New Roman"/>
                <w:color w:val="auto"/>
                <w:kern w:val="0"/>
                <w:szCs w:val="21"/>
              </w:rPr>
              <w:t>绿色工厂评价范例</w:t>
            </w:r>
            <w:r>
              <w:rPr>
                <w:rFonts w:hint="eastAsia" w:ascii="Times New Roman" w:hAnsi="Times New Roman" w:eastAsia="宋体" w:cs="Times New Roman"/>
                <w:color w:val="auto"/>
                <w:kern w:val="0"/>
                <w:szCs w:val="21"/>
              </w:rPr>
              <w:t>”见附录A</w:t>
            </w:r>
          </w:p>
        </w:tc>
      </w:tr>
      <w:tr>
        <w:tblPrEx>
          <w:tblCellMar>
            <w:top w:w="0" w:type="dxa"/>
            <w:left w:w="108" w:type="dxa"/>
            <w:bottom w:w="0" w:type="dxa"/>
            <w:right w:w="108" w:type="dxa"/>
          </w:tblCellMar>
        </w:tblPrEx>
        <w:trPr>
          <w:trHeight w:val="567" w:hRule="atLeast"/>
          <w:jc w:val="center"/>
        </w:trPr>
        <w:tc>
          <w:tcPr>
            <w:tcW w:w="317" w:type="pct"/>
            <w:tcBorders>
              <w:top w:val="nil"/>
              <w:left w:val="single" w:color="auto" w:sz="4" w:space="0"/>
              <w:bottom w:val="single" w:color="auto" w:sz="4" w:space="0"/>
              <w:right w:val="single" w:color="auto" w:sz="4" w:space="0"/>
            </w:tcBorders>
            <w:shd w:val="clear" w:color="auto" w:fill="auto"/>
            <w:noWrap/>
            <w:vAlign w:val="center"/>
          </w:tcPr>
          <w:p>
            <w:pPr>
              <w:pStyle w:val="28"/>
              <w:widowControl/>
              <w:ind w:firstLine="0" w:firstLineChars="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w:t>
            </w:r>
          </w:p>
        </w:tc>
        <w:tc>
          <w:tcPr>
            <w:tcW w:w="617"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hint="eastAsia" w:ascii="宋体" w:hAnsi="宋体" w:eastAsia="宋体" w:cs="宋体"/>
                <w:color w:val="auto"/>
                <w:kern w:val="0"/>
                <w:szCs w:val="21"/>
              </w:rPr>
              <w:t>5.2.3.2　通用设备a）</w:t>
            </w:r>
          </w:p>
        </w:tc>
        <w:tc>
          <w:tcPr>
            <w:tcW w:w="2276"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hint="eastAsia" w:ascii="宋体" w:hAnsi="宋体" w:eastAsia="宋体" w:cs="宋体"/>
                <w:color w:val="auto"/>
                <w:kern w:val="0"/>
                <w:szCs w:val="21"/>
              </w:rPr>
              <w:t>“能耗等级应达到三级及以上”确认“三级”是否是能耗等级的表示形式。</w:t>
            </w:r>
          </w:p>
        </w:tc>
        <w:tc>
          <w:tcPr>
            <w:tcW w:w="983"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宋体" w:hAnsi="宋体" w:eastAsia="宋体" w:cs="宋体"/>
                <w:color w:val="auto"/>
                <w:szCs w:val="21"/>
              </w:rPr>
              <w:t>云南锗业/普世坤</w:t>
            </w:r>
          </w:p>
        </w:tc>
        <w:tc>
          <w:tcPr>
            <w:tcW w:w="380"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1"/>
              </w:rPr>
            </w:pPr>
            <w:r>
              <w:rPr>
                <w:rFonts w:hint="eastAsia" w:ascii="宋体" w:hAnsi="宋体" w:eastAsia="宋体" w:cs="宋体"/>
                <w:color w:val="auto"/>
                <w:kern w:val="0"/>
                <w:szCs w:val="21"/>
              </w:rPr>
              <w:t>采纳</w:t>
            </w:r>
          </w:p>
        </w:tc>
        <w:tc>
          <w:tcPr>
            <w:tcW w:w="424"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p>
        </w:tc>
      </w:tr>
      <w:tr>
        <w:tblPrEx>
          <w:tblCellMar>
            <w:top w:w="0" w:type="dxa"/>
            <w:left w:w="108" w:type="dxa"/>
            <w:bottom w:w="0" w:type="dxa"/>
            <w:right w:w="108" w:type="dxa"/>
          </w:tblCellMar>
        </w:tblPrEx>
        <w:trPr>
          <w:trHeight w:val="567" w:hRule="atLeast"/>
          <w:jc w:val="center"/>
        </w:trPr>
        <w:tc>
          <w:tcPr>
            <w:tcW w:w="317" w:type="pct"/>
            <w:tcBorders>
              <w:top w:val="nil"/>
              <w:left w:val="single" w:color="auto" w:sz="4" w:space="0"/>
              <w:bottom w:val="single" w:color="auto" w:sz="4" w:space="0"/>
              <w:right w:val="single" w:color="auto" w:sz="4" w:space="0"/>
            </w:tcBorders>
            <w:shd w:val="clear" w:color="auto" w:fill="auto"/>
            <w:noWrap/>
            <w:vAlign w:val="center"/>
          </w:tcPr>
          <w:p>
            <w:pPr>
              <w:pStyle w:val="28"/>
              <w:widowControl/>
              <w:ind w:firstLine="0" w:firstLineChars="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3</w:t>
            </w:r>
          </w:p>
        </w:tc>
        <w:tc>
          <w:tcPr>
            <w:tcW w:w="617"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hint="eastAsia" w:ascii="宋体" w:hAnsi="宋体" w:eastAsia="宋体" w:cs="宋体"/>
                <w:color w:val="auto"/>
                <w:kern w:val="0"/>
                <w:szCs w:val="21"/>
              </w:rPr>
              <w:t>5.2.3.3　计量设备</w:t>
            </w:r>
            <w:r>
              <w:rPr>
                <w:rFonts w:hint="eastAsia" w:ascii="宋体" w:hAnsi="宋体" w:eastAsia="宋体" w:cs="宋体"/>
                <w:color w:val="auto"/>
                <w:szCs w:val="21"/>
              </w:rPr>
              <w:t>b)</w:t>
            </w:r>
          </w:p>
        </w:tc>
        <w:tc>
          <w:tcPr>
            <w:tcW w:w="2276"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hint="eastAsia" w:ascii="宋体" w:hAnsi="宋体" w:eastAsia="宋体" w:cs="宋体"/>
                <w:color w:val="auto"/>
                <w:kern w:val="0"/>
                <w:szCs w:val="21"/>
              </w:rPr>
              <w:t>“工厂计量仪器”修改为“工厂计量器具”。</w:t>
            </w:r>
          </w:p>
        </w:tc>
        <w:tc>
          <w:tcPr>
            <w:tcW w:w="983"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宋体" w:hAnsi="宋体" w:eastAsia="宋体" w:cs="宋体"/>
                <w:color w:val="auto"/>
                <w:szCs w:val="21"/>
              </w:rPr>
              <w:t>云南锗业/普世坤</w:t>
            </w:r>
          </w:p>
        </w:tc>
        <w:tc>
          <w:tcPr>
            <w:tcW w:w="380"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1"/>
              </w:rPr>
            </w:pPr>
            <w:r>
              <w:rPr>
                <w:rFonts w:hint="eastAsia" w:ascii="宋体" w:hAnsi="宋体" w:eastAsia="宋体" w:cs="宋体"/>
                <w:color w:val="auto"/>
                <w:kern w:val="0"/>
                <w:szCs w:val="21"/>
              </w:rPr>
              <w:t>采纳</w:t>
            </w:r>
          </w:p>
        </w:tc>
        <w:tc>
          <w:tcPr>
            <w:tcW w:w="424"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p>
        </w:tc>
      </w:tr>
      <w:tr>
        <w:tblPrEx>
          <w:tblCellMar>
            <w:top w:w="0" w:type="dxa"/>
            <w:left w:w="108" w:type="dxa"/>
            <w:bottom w:w="0" w:type="dxa"/>
            <w:right w:w="108" w:type="dxa"/>
          </w:tblCellMar>
        </w:tblPrEx>
        <w:trPr>
          <w:trHeight w:val="567" w:hRule="atLeast"/>
          <w:jc w:val="center"/>
        </w:trPr>
        <w:tc>
          <w:tcPr>
            <w:tcW w:w="317" w:type="pct"/>
            <w:tcBorders>
              <w:top w:val="nil"/>
              <w:left w:val="single" w:color="auto" w:sz="4" w:space="0"/>
              <w:bottom w:val="single" w:color="auto" w:sz="4" w:space="0"/>
              <w:right w:val="single" w:color="auto" w:sz="4" w:space="0"/>
            </w:tcBorders>
            <w:shd w:val="clear" w:color="auto" w:fill="auto"/>
            <w:noWrap/>
            <w:vAlign w:val="center"/>
          </w:tcPr>
          <w:p>
            <w:pPr>
              <w:pStyle w:val="28"/>
              <w:widowControl/>
              <w:ind w:firstLine="0" w:firstLineChars="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4</w:t>
            </w:r>
          </w:p>
        </w:tc>
        <w:tc>
          <w:tcPr>
            <w:tcW w:w="617"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hint="eastAsia" w:ascii="宋体" w:hAnsi="宋体" w:eastAsia="宋体" w:cs="宋体"/>
                <w:color w:val="auto"/>
                <w:kern w:val="0"/>
                <w:szCs w:val="21"/>
              </w:rPr>
              <w:t>5.6.3　固体废物—5.6.3.4</w:t>
            </w:r>
          </w:p>
        </w:tc>
        <w:tc>
          <w:tcPr>
            <w:tcW w:w="2276"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hint="eastAsia" w:ascii="宋体" w:hAnsi="宋体" w:eastAsia="宋体" w:cs="宋体"/>
                <w:color w:val="auto"/>
                <w:kern w:val="0"/>
                <w:szCs w:val="21"/>
              </w:rPr>
              <w:t>“应委托具有能力和资质的企业进行危险处理”修改为“应委托具有处理能力和处理资质的企业进行处理”。</w:t>
            </w:r>
          </w:p>
        </w:tc>
        <w:tc>
          <w:tcPr>
            <w:tcW w:w="983"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宋体" w:hAnsi="宋体" w:eastAsia="宋体" w:cs="宋体"/>
                <w:color w:val="auto"/>
                <w:szCs w:val="21"/>
              </w:rPr>
              <w:t>云南锗业/普世坤</w:t>
            </w:r>
            <w:r>
              <w:rPr>
                <w:rFonts w:hint="eastAsia" w:ascii="宋体" w:hAnsi="宋体" w:eastAsia="宋体" w:cs="宋体"/>
                <w:color w:val="auto"/>
                <w:szCs w:val="21"/>
              </w:rPr>
              <w:t>、</w:t>
            </w:r>
            <w:r>
              <w:rPr>
                <w:rFonts w:hint="eastAsia" w:ascii="宋体" w:hAnsi="宋体" w:eastAsia="宋体" w:cs="宋体"/>
                <w:color w:val="auto"/>
                <w:szCs w:val="21"/>
                <w:lang w:val="en-US" w:eastAsia="zh-CN"/>
              </w:rPr>
              <w:t>江苏</w:t>
            </w:r>
            <w:r>
              <w:rPr>
                <w:rFonts w:ascii="宋体" w:hAnsi="宋体" w:eastAsia="宋体" w:cs="宋体"/>
                <w:color w:val="auto"/>
                <w:szCs w:val="21"/>
              </w:rPr>
              <w:t>宁达/刘新军</w:t>
            </w:r>
          </w:p>
        </w:tc>
        <w:tc>
          <w:tcPr>
            <w:tcW w:w="380"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1"/>
              </w:rPr>
            </w:pPr>
            <w:r>
              <w:rPr>
                <w:rFonts w:hint="eastAsia" w:ascii="宋体" w:hAnsi="宋体" w:eastAsia="宋体" w:cs="宋体"/>
                <w:color w:val="auto"/>
                <w:kern w:val="0"/>
                <w:szCs w:val="21"/>
              </w:rPr>
              <w:t>采纳</w:t>
            </w:r>
          </w:p>
        </w:tc>
        <w:tc>
          <w:tcPr>
            <w:tcW w:w="424"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p>
        </w:tc>
      </w:tr>
      <w:tr>
        <w:tblPrEx>
          <w:tblCellMar>
            <w:top w:w="0" w:type="dxa"/>
            <w:left w:w="108" w:type="dxa"/>
            <w:bottom w:w="0" w:type="dxa"/>
            <w:right w:w="108" w:type="dxa"/>
          </w:tblCellMar>
        </w:tblPrEx>
        <w:trPr>
          <w:trHeight w:val="619" w:hRule="atLeast"/>
          <w:jc w:val="center"/>
        </w:trPr>
        <w:tc>
          <w:tcPr>
            <w:tcW w:w="317" w:type="pct"/>
            <w:tcBorders>
              <w:top w:val="nil"/>
              <w:left w:val="single" w:color="auto" w:sz="4" w:space="0"/>
              <w:bottom w:val="single" w:color="auto" w:sz="4" w:space="0"/>
              <w:right w:val="single" w:color="auto" w:sz="4" w:space="0"/>
            </w:tcBorders>
            <w:shd w:val="clear" w:color="auto" w:fill="auto"/>
            <w:noWrap/>
            <w:vAlign w:val="center"/>
          </w:tcPr>
          <w:p>
            <w:pPr>
              <w:pStyle w:val="28"/>
              <w:widowControl/>
              <w:ind w:firstLine="0" w:firstLineChars="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5</w:t>
            </w:r>
          </w:p>
        </w:tc>
        <w:tc>
          <w:tcPr>
            <w:tcW w:w="617"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hint="eastAsia" w:ascii="宋体" w:hAnsi="宋体" w:eastAsia="宋体" w:cs="宋体"/>
                <w:color w:val="auto"/>
                <w:kern w:val="0"/>
                <w:szCs w:val="21"/>
              </w:rPr>
              <w:t>5.7.4生产洁净化、5.7.5废物资源化</w:t>
            </w:r>
          </w:p>
        </w:tc>
        <w:tc>
          <w:tcPr>
            <w:tcW w:w="2276"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hint="eastAsia" w:ascii="宋体" w:hAnsi="宋体" w:eastAsia="宋体" w:cs="宋体"/>
                <w:color w:val="auto"/>
                <w:kern w:val="0"/>
                <w:szCs w:val="21"/>
              </w:rPr>
              <w:t>“锗行业清洁生产评价指标体系”加上《》修改为《锗行业清洁生产评价指标体系》。“国内清洁生产先进水平”中加“国内”是便于和《锗行业清洁生产评价指标体系》中的“国际清洁生产先进水平”进行区分。</w:t>
            </w:r>
          </w:p>
        </w:tc>
        <w:tc>
          <w:tcPr>
            <w:tcW w:w="983"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宋体" w:hAnsi="宋体" w:eastAsia="宋体" w:cs="宋体"/>
                <w:color w:val="auto"/>
                <w:szCs w:val="21"/>
              </w:rPr>
              <w:t>云南锗业/普世坤</w:t>
            </w:r>
            <w:r>
              <w:rPr>
                <w:rFonts w:hint="eastAsia" w:ascii="宋体" w:hAnsi="宋体" w:eastAsia="宋体" w:cs="宋体"/>
                <w:color w:val="auto"/>
                <w:szCs w:val="21"/>
              </w:rPr>
              <w:t>、江苏</w:t>
            </w:r>
            <w:r>
              <w:rPr>
                <w:rFonts w:ascii="宋体" w:hAnsi="宋体" w:eastAsia="宋体" w:cs="宋体"/>
                <w:color w:val="auto"/>
                <w:szCs w:val="21"/>
              </w:rPr>
              <w:t>宁达/刘新军</w:t>
            </w:r>
          </w:p>
        </w:tc>
        <w:tc>
          <w:tcPr>
            <w:tcW w:w="380"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1"/>
              </w:rPr>
            </w:pPr>
            <w:r>
              <w:rPr>
                <w:rFonts w:hint="eastAsia" w:ascii="宋体" w:hAnsi="宋体" w:eastAsia="宋体" w:cs="宋体"/>
                <w:color w:val="auto"/>
                <w:kern w:val="0"/>
                <w:szCs w:val="21"/>
              </w:rPr>
              <w:t>采纳</w:t>
            </w:r>
          </w:p>
        </w:tc>
        <w:tc>
          <w:tcPr>
            <w:tcW w:w="424"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p>
        </w:tc>
      </w:tr>
      <w:tr>
        <w:tblPrEx>
          <w:tblCellMar>
            <w:top w:w="0" w:type="dxa"/>
            <w:left w:w="108" w:type="dxa"/>
            <w:bottom w:w="0" w:type="dxa"/>
            <w:right w:w="108" w:type="dxa"/>
          </w:tblCellMar>
        </w:tblPrEx>
        <w:trPr>
          <w:trHeight w:val="619" w:hRule="atLeast"/>
          <w:jc w:val="center"/>
        </w:trPr>
        <w:tc>
          <w:tcPr>
            <w:tcW w:w="317" w:type="pct"/>
            <w:tcBorders>
              <w:top w:val="nil"/>
              <w:left w:val="single" w:color="auto" w:sz="4" w:space="0"/>
              <w:bottom w:val="single" w:color="auto" w:sz="4" w:space="0"/>
              <w:right w:val="single" w:color="auto" w:sz="4" w:space="0"/>
            </w:tcBorders>
            <w:shd w:val="clear" w:color="auto" w:fill="auto"/>
            <w:noWrap/>
            <w:vAlign w:val="center"/>
          </w:tcPr>
          <w:p>
            <w:pPr>
              <w:pStyle w:val="28"/>
              <w:widowControl/>
              <w:ind w:firstLine="0" w:firstLineChars="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6</w:t>
            </w:r>
          </w:p>
        </w:tc>
        <w:tc>
          <w:tcPr>
            <w:tcW w:w="617"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hint="eastAsia" w:ascii="宋体" w:hAnsi="宋体" w:eastAsia="宋体" w:cs="宋体"/>
                <w:color w:val="auto"/>
                <w:kern w:val="0"/>
                <w:szCs w:val="21"/>
              </w:rPr>
              <w:t>附录A 4产品—生态设计</w:t>
            </w:r>
          </w:p>
        </w:tc>
        <w:tc>
          <w:tcPr>
            <w:tcW w:w="2276"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hint="eastAsia" w:ascii="宋体" w:hAnsi="宋体" w:eastAsia="宋体" w:cs="宋体"/>
                <w:color w:val="auto"/>
                <w:kern w:val="0"/>
                <w:szCs w:val="21"/>
              </w:rPr>
              <w:t>建议引入T/CNIA 0100-2021</w:t>
            </w:r>
            <w:r>
              <w:rPr>
                <w:rFonts w:ascii="宋体" w:hAnsi="宋体" w:eastAsia="宋体" w:cs="宋体"/>
                <w:color w:val="auto"/>
                <w:szCs w:val="21"/>
              </w:rPr>
              <w:t>《绿色设计产品评价技术规范 区熔锗锭》</w:t>
            </w:r>
            <w:r>
              <w:rPr>
                <w:rFonts w:hint="eastAsia" w:ascii="宋体" w:hAnsi="宋体" w:eastAsia="宋体" w:cs="宋体"/>
                <w:color w:val="auto"/>
                <w:szCs w:val="21"/>
              </w:rPr>
              <w:t>标准，明确产品生态设计具体评价要求的内容。</w:t>
            </w:r>
          </w:p>
        </w:tc>
        <w:tc>
          <w:tcPr>
            <w:tcW w:w="983"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r>
              <w:rPr>
                <w:rFonts w:ascii="宋体" w:hAnsi="宋体" w:eastAsia="宋体" w:cs="宋体"/>
                <w:color w:val="auto"/>
                <w:szCs w:val="21"/>
              </w:rPr>
              <w:t>半材标委/贺东江</w:t>
            </w:r>
            <w:r>
              <w:rPr>
                <w:rFonts w:hint="eastAsia" w:ascii="宋体" w:hAnsi="宋体" w:eastAsia="宋体" w:cs="宋体"/>
                <w:color w:val="auto"/>
                <w:szCs w:val="21"/>
              </w:rPr>
              <w:t>、</w:t>
            </w:r>
            <w:r>
              <w:rPr>
                <w:rFonts w:ascii="宋体" w:hAnsi="宋体" w:eastAsia="宋体" w:cs="宋体"/>
                <w:color w:val="auto"/>
                <w:szCs w:val="21"/>
              </w:rPr>
              <w:t>云南锗业/普世坤</w:t>
            </w:r>
          </w:p>
        </w:tc>
        <w:tc>
          <w:tcPr>
            <w:tcW w:w="380"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1"/>
              </w:rPr>
            </w:pPr>
            <w:r>
              <w:rPr>
                <w:rFonts w:hint="eastAsia" w:ascii="宋体" w:hAnsi="宋体" w:eastAsia="宋体" w:cs="宋体"/>
                <w:color w:val="auto"/>
                <w:kern w:val="0"/>
                <w:szCs w:val="21"/>
              </w:rPr>
              <w:t>采纳</w:t>
            </w:r>
          </w:p>
        </w:tc>
        <w:tc>
          <w:tcPr>
            <w:tcW w:w="424"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1"/>
              </w:rPr>
            </w:pPr>
          </w:p>
        </w:tc>
      </w:tr>
    </w:tbl>
    <w:p>
      <w:pPr>
        <w:widowControl/>
        <w:spacing w:before="312" w:beforeLines="100" w:after="312" w:afterLines="100"/>
        <w:jc w:val="left"/>
        <w:outlineLvl w:val="0"/>
        <w:rPr>
          <w:rFonts w:ascii="Times New Roman" w:hAnsi="Times New Roman" w:eastAsia="宋体" w:cs="Times New Roman"/>
          <w:b/>
          <w:color w:val="auto"/>
          <w:kern w:val="0"/>
          <w:sz w:val="28"/>
          <w:szCs w:val="28"/>
        </w:rPr>
      </w:pPr>
      <w:bookmarkStart w:id="24" w:name="_Toc131619672"/>
      <w:r>
        <w:rPr>
          <w:rFonts w:ascii="Times New Roman" w:hAnsi="Times New Roman" w:eastAsia="宋体" w:cs="Times New Roman"/>
          <w:b/>
          <w:color w:val="auto"/>
          <w:kern w:val="0"/>
          <w:sz w:val="28"/>
          <w:szCs w:val="28"/>
        </w:rPr>
        <w:t>2、标准编制原则和确定标准主要内容</w:t>
      </w:r>
      <w:bookmarkEnd w:id="22"/>
      <w:bookmarkEnd w:id="23"/>
      <w:bookmarkEnd w:id="24"/>
    </w:p>
    <w:p>
      <w:pPr>
        <w:spacing w:line="360" w:lineRule="auto"/>
        <w:ind w:firstLine="420"/>
        <w:rPr>
          <w:rFonts w:ascii="Times New Roman" w:hAnsi="Times New Roman" w:cs="Times New Roman"/>
          <w:color w:val="auto"/>
        </w:rPr>
      </w:pPr>
      <w:r>
        <w:rPr>
          <w:rFonts w:ascii="Times New Roman" w:hAnsi="Times New Roman" w:cs="Times New Roman"/>
          <w:color w:val="auto"/>
        </w:rPr>
        <w:t xml:space="preserve">本标准编制以现有相关法律、条例和标准为基础，结合《绿色工厂评价通则》中有关绿色工厂评价的要求，以适应锗生产要求进行制定，并按照 GB/T 1.1—2020《标准化工作导则  第1部分：标准化文件的结构和起草规则》给定的规则进行编写。 </w:t>
      </w:r>
    </w:p>
    <w:p>
      <w:pPr>
        <w:widowControl/>
        <w:spacing w:before="156" w:beforeLines="50" w:after="156" w:afterLines="50"/>
        <w:jc w:val="left"/>
        <w:outlineLvl w:val="1"/>
        <w:rPr>
          <w:rFonts w:ascii="Times New Roman" w:hAnsi="Times New Roman" w:eastAsia="宋体" w:cs="Times New Roman"/>
          <w:b/>
          <w:color w:val="auto"/>
          <w:kern w:val="0"/>
          <w:sz w:val="24"/>
        </w:rPr>
      </w:pPr>
      <w:bookmarkStart w:id="25" w:name="_Toc497309526"/>
      <w:bookmarkStart w:id="26" w:name="_Toc511234386"/>
      <w:bookmarkStart w:id="27" w:name="_Toc508985102"/>
      <w:bookmarkStart w:id="28" w:name="_Toc131619673"/>
      <w:r>
        <w:rPr>
          <w:rFonts w:ascii="Times New Roman" w:hAnsi="Times New Roman" w:eastAsia="宋体" w:cs="Times New Roman"/>
          <w:b/>
          <w:color w:val="auto"/>
          <w:kern w:val="0"/>
          <w:sz w:val="24"/>
        </w:rPr>
        <w:t>2.1编制原则</w:t>
      </w:r>
      <w:bookmarkEnd w:id="25"/>
      <w:bookmarkEnd w:id="26"/>
      <w:bookmarkEnd w:id="27"/>
      <w:bookmarkEnd w:id="28"/>
    </w:p>
    <w:p>
      <w:pPr>
        <w:pStyle w:val="4"/>
        <w:spacing w:before="156" w:after="156"/>
        <w:ind w:left="0"/>
        <w:rPr>
          <w:color w:val="auto"/>
          <w:sz w:val="21"/>
        </w:rPr>
      </w:pPr>
      <w:bookmarkStart w:id="29" w:name="_Toc131619674"/>
      <w:r>
        <w:rPr>
          <w:color w:val="auto"/>
          <w:sz w:val="21"/>
        </w:rPr>
        <w:t>2.1.1 一致性原则</w:t>
      </w:r>
      <w:bookmarkEnd w:id="29"/>
    </w:p>
    <w:p>
      <w:pPr>
        <w:spacing w:line="360" w:lineRule="auto"/>
        <w:ind w:firstLine="420"/>
        <w:rPr>
          <w:rFonts w:ascii="Times New Roman" w:hAnsi="Times New Roman" w:cs="Times New Roman"/>
          <w:color w:val="auto"/>
        </w:rPr>
      </w:pPr>
      <w:r>
        <w:rPr>
          <w:rFonts w:ascii="Times New Roman" w:hAnsi="Times New Roman" w:cs="Times New Roman"/>
          <w:color w:val="auto"/>
        </w:rPr>
        <w:t>本标准文件的指标设置与GB/T 36132-2018《绿色工厂评价通则》保持一致。</w:t>
      </w:r>
    </w:p>
    <w:p>
      <w:pPr>
        <w:pStyle w:val="4"/>
        <w:spacing w:before="156" w:after="156"/>
        <w:ind w:left="0"/>
        <w:rPr>
          <w:color w:val="auto"/>
          <w:sz w:val="21"/>
        </w:rPr>
      </w:pPr>
      <w:bookmarkStart w:id="30" w:name="_Toc131619675"/>
      <w:r>
        <w:rPr>
          <w:color w:val="auto"/>
          <w:sz w:val="21"/>
        </w:rPr>
        <w:t>2.1.2行业性原则</w:t>
      </w:r>
      <w:bookmarkEnd w:id="30"/>
    </w:p>
    <w:p>
      <w:pPr>
        <w:spacing w:line="360" w:lineRule="auto"/>
        <w:ind w:firstLine="420"/>
        <w:rPr>
          <w:rFonts w:ascii="Times New Roman" w:hAnsi="Times New Roman" w:cs="Times New Roman"/>
          <w:color w:val="auto"/>
        </w:rPr>
      </w:pPr>
      <w:r>
        <w:rPr>
          <w:rFonts w:ascii="Times New Roman" w:hAnsi="Times New Roman" w:cs="Times New Roman"/>
          <w:color w:val="auto"/>
        </w:rPr>
        <w:t>评价指标选取及权重分配结合锗行业能源、环境、资源等要素，充分考虑锗行业特点及绿色发展趋势，以客观、真实反映锗行业工厂绿色化水平。同时参考锗行业相关准入条件、生产许可证申请与核发规范、清洁生产、安全生产标准化等锗行业相关标准文件。</w:t>
      </w:r>
    </w:p>
    <w:p>
      <w:pPr>
        <w:pStyle w:val="4"/>
        <w:spacing w:before="156" w:after="156"/>
        <w:ind w:left="0"/>
        <w:rPr>
          <w:color w:val="auto"/>
          <w:sz w:val="21"/>
        </w:rPr>
      </w:pPr>
      <w:bookmarkStart w:id="31" w:name="_Toc131619676"/>
      <w:r>
        <w:rPr>
          <w:color w:val="auto"/>
          <w:sz w:val="21"/>
        </w:rPr>
        <w:t>2.1.3先进性原则</w:t>
      </w:r>
      <w:bookmarkEnd w:id="31"/>
    </w:p>
    <w:p>
      <w:pPr>
        <w:spacing w:line="360" w:lineRule="auto"/>
        <w:ind w:firstLine="420"/>
        <w:rPr>
          <w:rFonts w:ascii="Times New Roman" w:hAnsi="Times New Roman" w:cs="Times New Roman"/>
          <w:color w:val="auto"/>
        </w:rPr>
      </w:pPr>
      <w:r>
        <w:rPr>
          <w:rFonts w:ascii="Times New Roman" w:hAnsi="Times New Roman" w:cs="Times New Roman"/>
          <w:color w:val="auto"/>
        </w:rPr>
        <w:t>标准围绕行业绿色发展的先进技术、装备、管理等方向设定工厂宜达到的先进性指标要求，以引领行业的绿色发展。在绩效指标的评价方面，以行业平均水平作为绿色工厂评价的门槛。</w:t>
      </w:r>
    </w:p>
    <w:p>
      <w:pPr>
        <w:widowControl/>
        <w:spacing w:before="156" w:beforeLines="50" w:after="156" w:afterLines="50"/>
        <w:jc w:val="left"/>
        <w:outlineLvl w:val="1"/>
        <w:rPr>
          <w:rFonts w:ascii="Times New Roman" w:hAnsi="Times New Roman" w:eastAsia="宋体" w:cs="Times New Roman"/>
          <w:b/>
          <w:color w:val="auto"/>
          <w:kern w:val="0"/>
          <w:sz w:val="24"/>
        </w:rPr>
      </w:pPr>
      <w:bookmarkStart w:id="32" w:name="_Toc131619677"/>
      <w:r>
        <w:rPr>
          <w:rFonts w:ascii="Times New Roman" w:hAnsi="Times New Roman" w:eastAsia="宋体" w:cs="Times New Roman"/>
          <w:b/>
          <w:color w:val="auto"/>
          <w:kern w:val="0"/>
          <w:sz w:val="24"/>
        </w:rPr>
        <w:t>2.2标准主要技术内容</w:t>
      </w:r>
      <w:bookmarkEnd w:id="32"/>
    </w:p>
    <w:p>
      <w:pPr>
        <w:pStyle w:val="4"/>
        <w:spacing w:before="156" w:after="156"/>
        <w:ind w:left="0"/>
        <w:rPr>
          <w:color w:val="auto"/>
          <w:sz w:val="21"/>
        </w:rPr>
      </w:pPr>
      <w:bookmarkStart w:id="33" w:name="_Toc131619678"/>
      <w:r>
        <w:rPr>
          <w:color w:val="auto"/>
          <w:sz w:val="21"/>
        </w:rPr>
        <w:t>2.2.1标准框架</w:t>
      </w:r>
      <w:bookmarkEnd w:id="33"/>
    </w:p>
    <w:p>
      <w:pPr>
        <w:spacing w:line="360" w:lineRule="auto"/>
        <w:ind w:firstLine="420"/>
        <w:rPr>
          <w:rFonts w:ascii="Times New Roman" w:hAnsi="Times New Roman" w:cs="Times New Roman"/>
          <w:color w:val="auto"/>
        </w:rPr>
      </w:pPr>
      <w:r>
        <w:rPr>
          <w:rFonts w:ascii="Times New Roman" w:hAnsi="Times New Roman" w:cs="Times New Roman"/>
          <w:color w:val="auto"/>
        </w:rPr>
        <w:t>标准正文内容包括：范围、规范性引用文件、术语和定义、总则、评价要求、评价程序、评价报告共7个章节，主要阐述锗行业绿色工厂评价的指标体系架构以及评分方法与数据统计方法。附录A主要明确了锗行业绿色工厂评价的基本要求以及评价指标，是绿色工厂评价的主要依据。</w:t>
      </w:r>
    </w:p>
    <w:p>
      <w:pPr>
        <w:pStyle w:val="4"/>
        <w:spacing w:before="156" w:after="156"/>
        <w:ind w:left="0"/>
        <w:rPr>
          <w:color w:val="auto"/>
          <w:sz w:val="21"/>
        </w:rPr>
      </w:pPr>
      <w:bookmarkStart w:id="34" w:name="_Toc131619679"/>
      <w:r>
        <w:rPr>
          <w:color w:val="auto"/>
          <w:sz w:val="21"/>
        </w:rPr>
        <w:t>2.2.2适用范围</w:t>
      </w:r>
      <w:bookmarkEnd w:id="34"/>
    </w:p>
    <w:p>
      <w:pPr>
        <w:spacing w:line="360" w:lineRule="auto"/>
        <w:ind w:firstLine="420"/>
        <w:rPr>
          <w:rFonts w:ascii="Times New Roman" w:hAnsi="Times New Roman" w:cs="Times New Roman"/>
          <w:color w:val="auto"/>
        </w:rPr>
      </w:pPr>
      <w:r>
        <w:rPr>
          <w:rFonts w:ascii="Times New Roman" w:hAnsi="Times New Roman" w:cs="Times New Roman"/>
          <w:color w:val="auto"/>
        </w:rPr>
        <w:t>本文件适用锗生产企业绿色工厂的评价。</w:t>
      </w:r>
    </w:p>
    <w:p>
      <w:pPr>
        <w:pStyle w:val="4"/>
        <w:spacing w:before="156" w:after="156"/>
        <w:ind w:left="0"/>
        <w:rPr>
          <w:color w:val="auto"/>
          <w:sz w:val="21"/>
        </w:rPr>
      </w:pPr>
      <w:bookmarkStart w:id="35" w:name="_Toc131619680"/>
      <w:r>
        <w:rPr>
          <w:color w:val="auto"/>
          <w:sz w:val="21"/>
        </w:rPr>
        <w:t>2.2.3规范性引用文件</w:t>
      </w:r>
      <w:bookmarkEnd w:id="35"/>
    </w:p>
    <w:p>
      <w:pPr>
        <w:spacing w:line="360" w:lineRule="auto"/>
        <w:ind w:firstLine="420"/>
        <w:rPr>
          <w:rFonts w:ascii="Times New Roman" w:hAnsi="Times New Roman" w:cs="Times New Roman"/>
          <w:color w:val="auto"/>
        </w:rPr>
      </w:pPr>
      <w:r>
        <w:rPr>
          <w:rFonts w:ascii="Times New Roman" w:hAnsi="Times New Roman" w:cs="Times New Roman"/>
          <w:color w:val="auto"/>
        </w:rPr>
        <w:t>给出了本文件引用的相关标准、文件名称及文号，凡不注日期的引用文件，其有效版本适用于本标准。</w:t>
      </w:r>
    </w:p>
    <w:p>
      <w:pPr>
        <w:spacing w:line="360" w:lineRule="auto"/>
        <w:ind w:firstLine="420"/>
        <w:rPr>
          <w:rFonts w:ascii="Times New Roman" w:hAnsi="Times New Roman" w:cs="Times New Roman"/>
          <w:color w:val="auto"/>
        </w:rPr>
      </w:pPr>
      <w:r>
        <w:rPr>
          <w:rFonts w:ascii="Times New Roman" w:hAnsi="Times New Roman" w:cs="Times New Roman"/>
          <w:color w:val="auto"/>
        </w:rPr>
        <w:t>本文件引用文件除国家标准外，还引用了部分行业标准以及部门规章等。</w:t>
      </w:r>
    </w:p>
    <w:p>
      <w:pPr>
        <w:pStyle w:val="4"/>
        <w:spacing w:before="156" w:after="156"/>
        <w:ind w:left="0"/>
        <w:rPr>
          <w:color w:val="auto"/>
          <w:sz w:val="21"/>
        </w:rPr>
      </w:pPr>
      <w:bookmarkStart w:id="36" w:name="_Toc131619681"/>
      <w:r>
        <w:rPr>
          <w:color w:val="auto"/>
          <w:sz w:val="21"/>
        </w:rPr>
        <w:t>2.2.4术语和定义</w:t>
      </w:r>
      <w:bookmarkEnd w:id="36"/>
    </w:p>
    <w:p>
      <w:pPr>
        <w:spacing w:line="360" w:lineRule="auto"/>
        <w:ind w:firstLine="420"/>
        <w:rPr>
          <w:rFonts w:ascii="Times New Roman" w:hAnsi="Times New Roman" w:cs="Times New Roman"/>
          <w:color w:val="auto"/>
        </w:rPr>
      </w:pPr>
      <w:r>
        <w:rPr>
          <w:rFonts w:ascii="Times New Roman" w:hAnsi="Times New Roman" w:cs="Times New Roman"/>
          <w:color w:val="auto"/>
        </w:rPr>
        <w:t>《绿色工厂评价通则》(GB/T 36132-2018)界定的术语和定义适用于本标准。</w:t>
      </w:r>
    </w:p>
    <w:p>
      <w:pPr>
        <w:pStyle w:val="4"/>
        <w:spacing w:before="156" w:after="156"/>
        <w:ind w:left="0"/>
        <w:rPr>
          <w:color w:val="auto"/>
          <w:sz w:val="21"/>
        </w:rPr>
      </w:pPr>
      <w:bookmarkStart w:id="37" w:name="_Toc131619682"/>
      <w:r>
        <w:rPr>
          <w:color w:val="auto"/>
          <w:sz w:val="21"/>
        </w:rPr>
        <w:t>2.2.5评价指标体系</w:t>
      </w:r>
      <w:bookmarkEnd w:id="37"/>
    </w:p>
    <w:p>
      <w:pPr>
        <w:spacing w:line="360" w:lineRule="auto"/>
        <w:ind w:firstLine="420"/>
        <w:rPr>
          <w:rFonts w:ascii="Times New Roman" w:hAnsi="Times New Roman" w:cs="Times New Roman"/>
          <w:color w:val="auto"/>
        </w:rPr>
      </w:pPr>
      <w:r>
        <w:rPr>
          <w:rFonts w:ascii="Times New Roman" w:hAnsi="Times New Roman" w:cs="Times New Roman"/>
          <w:color w:val="auto"/>
        </w:rPr>
        <w:t>本文件的评价指标体系遵循了《绿色工厂评价通则》指标体系的架构，包括了基本要求和评价指标要求两部分。</w:t>
      </w:r>
    </w:p>
    <w:p>
      <w:pPr>
        <w:spacing w:line="360" w:lineRule="auto"/>
        <w:ind w:firstLine="420"/>
        <w:rPr>
          <w:rFonts w:ascii="Times New Roman" w:hAnsi="Times New Roman" w:cs="Times New Roman"/>
          <w:color w:val="auto"/>
        </w:rPr>
      </w:pPr>
      <w:r>
        <w:rPr>
          <w:rFonts w:ascii="Times New Roman" w:hAnsi="Times New Roman" w:cs="Times New Roman"/>
          <w:color w:val="auto"/>
        </w:rPr>
        <w:t>评价指标要求分为基础设施、管理体系、能源与资源投入、产品、环境排放、 绩效六项，模型框架如图1所示。</w:t>
      </w:r>
    </w:p>
    <w:p>
      <w:pPr>
        <w:widowControl/>
        <w:jc w:val="center"/>
        <w:rPr>
          <w:rFonts w:ascii="Times New Roman" w:hAnsi="Times New Roman" w:cs="Times New Roman"/>
          <w:color w:val="auto"/>
        </w:rPr>
      </w:pPr>
      <w:r>
        <w:rPr>
          <w:rFonts w:ascii="Times New Roman" w:hAnsi="Times New Roman" w:cs="Times New Roman"/>
          <w:color w:val="auto"/>
        </w:rPr>
        <mc:AlternateContent>
          <mc:Choice Requires="wpg">
            <w:drawing>
              <wp:inline distT="0" distB="0" distL="114300" distR="114300">
                <wp:extent cx="3844290" cy="2256790"/>
                <wp:effectExtent l="6350" t="6350" r="16510" b="22860"/>
                <wp:docPr id="8" name="组合 11"/>
                <wp:cNvGraphicFramePr/>
                <a:graphic xmlns:a="http://schemas.openxmlformats.org/drawingml/2006/main">
                  <a:graphicData uri="http://schemas.microsoft.com/office/word/2010/wordprocessingGroup">
                    <wpg:wgp>
                      <wpg:cNvGrpSpPr/>
                      <wpg:grpSpPr>
                        <a:xfrm>
                          <a:off x="0" y="0"/>
                          <a:ext cx="3844290" cy="2256790"/>
                          <a:chOff x="0" y="0"/>
                          <a:chExt cx="69956" cy="40164"/>
                        </a:xfrm>
                      </wpg:grpSpPr>
                      <wps:wsp>
                        <wps:cNvPr id="1" name="矩形: 圆角 2"/>
                        <wps:cNvSpPr/>
                        <wps:spPr>
                          <a:xfrm>
                            <a:off x="0" y="0"/>
                            <a:ext cx="57666" cy="7964"/>
                          </a:xfrm>
                          <a:prstGeom prst="roundRect">
                            <a:avLst>
                              <a:gd name="adj" fmla="val 16667"/>
                            </a:avLst>
                          </a:prstGeom>
                          <a:noFill/>
                          <a:ln w="12700" cap="flat" cmpd="sng">
                            <a:solidFill>
                              <a:schemeClr val="tx1"/>
                            </a:solidFill>
                            <a:prstDash val="solid"/>
                            <a:miter/>
                            <a:headEnd type="none" w="med" len="med"/>
                            <a:tailEnd type="none" w="med" len="med"/>
                          </a:ln>
                        </wps:spPr>
                        <wps:txbx>
                          <w:txbxContent>
                            <w:p>
                              <w:pPr>
                                <w:spacing w:before="156" w:beforeLines="50"/>
                                <w:jc w:val="center"/>
                                <w:rPr>
                                  <w:kern w:val="0"/>
                                  <w:sz w:val="24"/>
                                </w:rPr>
                              </w:pPr>
                              <w:r>
                                <w:rPr>
                                  <w:rFonts w:hint="eastAsia" w:ascii="Calibri"/>
                                  <w:color w:val="000000"/>
                                  <w:kern w:val="24"/>
                                </w:rPr>
                                <w:t>管理体系</w:t>
                              </w:r>
                            </w:p>
                            <w:p/>
                          </w:txbxContent>
                        </wps:txbx>
                        <wps:bodyPr anchor="ctr" anchorCtr="0" upright="1"/>
                      </wps:wsp>
                      <wps:wsp>
                        <wps:cNvPr id="2" name="矩形: 圆角 3"/>
                        <wps:cNvSpPr/>
                        <wps:spPr>
                          <a:xfrm>
                            <a:off x="0" y="32200"/>
                            <a:ext cx="57666" cy="7964"/>
                          </a:xfrm>
                          <a:prstGeom prst="roundRect">
                            <a:avLst>
                              <a:gd name="adj" fmla="val 16667"/>
                            </a:avLst>
                          </a:prstGeom>
                          <a:noFill/>
                          <a:ln w="12700" cap="flat" cmpd="sng">
                            <a:solidFill>
                              <a:schemeClr val="tx1"/>
                            </a:solidFill>
                            <a:prstDash val="solid"/>
                            <a:miter/>
                            <a:headEnd type="none" w="med" len="med"/>
                            <a:tailEnd type="none" w="med" len="med"/>
                          </a:ln>
                        </wps:spPr>
                        <wps:txbx>
                          <w:txbxContent>
                            <w:p>
                              <w:pPr>
                                <w:jc w:val="center"/>
                                <w:rPr>
                                  <w:kern w:val="0"/>
                                  <w:sz w:val="24"/>
                                </w:rPr>
                              </w:pPr>
                              <w:r>
                                <w:rPr>
                                  <w:rFonts w:hint="eastAsia" w:ascii="Calibri"/>
                                  <w:color w:val="000000"/>
                                  <w:kern w:val="24"/>
                                </w:rPr>
                                <w:t>基础设施</w:t>
                              </w:r>
                            </w:p>
                          </w:txbxContent>
                        </wps:txbx>
                        <wps:bodyPr anchor="ctr" anchorCtr="0" upright="1"/>
                      </wps:wsp>
                      <wps:wsp>
                        <wps:cNvPr id="3" name="矩形: 圆角 4"/>
                        <wps:cNvSpPr/>
                        <wps:spPr>
                          <a:xfrm>
                            <a:off x="0" y="9168"/>
                            <a:ext cx="15190" cy="21828"/>
                          </a:xfrm>
                          <a:prstGeom prst="roundRect">
                            <a:avLst>
                              <a:gd name="adj" fmla="val 16667"/>
                            </a:avLst>
                          </a:prstGeom>
                          <a:noFill/>
                          <a:ln w="12700" cap="flat" cmpd="sng">
                            <a:solidFill>
                              <a:schemeClr val="tx1"/>
                            </a:solidFill>
                            <a:prstDash val="solid"/>
                            <a:miter/>
                            <a:headEnd type="none" w="med" len="med"/>
                            <a:tailEnd type="none" w="med" len="med"/>
                          </a:ln>
                        </wps:spPr>
                        <wps:txbx>
                          <w:txbxContent>
                            <w:p>
                              <w:pPr>
                                <w:jc w:val="center"/>
                                <w:rPr>
                                  <w:kern w:val="0"/>
                                  <w:sz w:val="24"/>
                                </w:rPr>
                              </w:pPr>
                              <w:r>
                                <w:rPr>
                                  <w:rFonts w:hint="eastAsia" w:ascii="Calibri"/>
                                  <w:color w:val="000000"/>
                                  <w:kern w:val="24"/>
                                </w:rPr>
                                <w:t xml:space="preserve">能源与资源投入 </w:t>
                              </w:r>
                            </w:p>
                          </w:txbxContent>
                        </wps:txbx>
                        <wps:bodyPr lIns="72000" tIns="45720" rIns="72000" bIns="45720" anchor="ctr" anchorCtr="0" upright="1"/>
                      </wps:wsp>
                      <wps:wsp>
                        <wps:cNvPr id="4" name="矩形: 圆角 5"/>
                        <wps:cNvSpPr/>
                        <wps:spPr>
                          <a:xfrm>
                            <a:off x="42475" y="9168"/>
                            <a:ext cx="15191" cy="10152"/>
                          </a:xfrm>
                          <a:prstGeom prst="roundRect">
                            <a:avLst>
                              <a:gd name="adj" fmla="val 16667"/>
                            </a:avLst>
                          </a:prstGeom>
                          <a:noFill/>
                          <a:ln w="12700" cap="flat" cmpd="sng">
                            <a:solidFill>
                              <a:schemeClr val="tx1"/>
                            </a:solidFill>
                            <a:prstDash val="solid"/>
                            <a:miter/>
                            <a:headEnd type="none" w="med" len="med"/>
                            <a:tailEnd type="none" w="med" len="med"/>
                          </a:ln>
                        </wps:spPr>
                        <wps:txbx>
                          <w:txbxContent>
                            <w:p>
                              <w:pPr>
                                <w:jc w:val="center"/>
                                <w:rPr>
                                  <w:kern w:val="0"/>
                                  <w:sz w:val="24"/>
                                </w:rPr>
                              </w:pPr>
                              <w:r>
                                <w:rPr>
                                  <w:rFonts w:hint="eastAsia" w:ascii="Calibri"/>
                                  <w:color w:val="000000"/>
                                  <w:kern w:val="24"/>
                                </w:rPr>
                                <w:t>产品</w:t>
                              </w:r>
                            </w:p>
                          </w:txbxContent>
                        </wps:txbx>
                        <wps:bodyPr lIns="72000" tIns="45720" rIns="72000" bIns="45720" anchor="ctr" anchorCtr="0" upright="1"/>
                      </wps:wsp>
                      <wps:wsp>
                        <wps:cNvPr id="5" name="矩形: 圆角 6"/>
                        <wps:cNvSpPr/>
                        <wps:spPr>
                          <a:xfrm>
                            <a:off x="42475" y="20684"/>
                            <a:ext cx="15191" cy="10152"/>
                          </a:xfrm>
                          <a:prstGeom prst="roundRect">
                            <a:avLst>
                              <a:gd name="adj" fmla="val 16667"/>
                            </a:avLst>
                          </a:prstGeom>
                          <a:noFill/>
                          <a:ln w="12700" cap="flat" cmpd="sng">
                            <a:solidFill>
                              <a:schemeClr val="tx1"/>
                            </a:solidFill>
                            <a:prstDash val="solid"/>
                            <a:miter/>
                            <a:headEnd type="none" w="med" len="med"/>
                            <a:tailEnd type="none" w="med" len="med"/>
                          </a:ln>
                        </wps:spPr>
                        <wps:txbx>
                          <w:txbxContent>
                            <w:p>
                              <w:pPr>
                                <w:jc w:val="center"/>
                                <w:rPr>
                                  <w:kern w:val="0"/>
                                  <w:sz w:val="24"/>
                                </w:rPr>
                              </w:pPr>
                              <w:r>
                                <w:rPr>
                                  <w:rFonts w:hint="eastAsia" w:ascii="Calibri"/>
                                  <w:color w:val="000000"/>
                                  <w:kern w:val="24"/>
                                </w:rPr>
                                <w:t>环境排放</w:t>
                              </w:r>
                            </w:p>
                          </w:txbxContent>
                        </wps:txbx>
                        <wps:bodyPr lIns="72000" tIns="45720" rIns="72000" bIns="45720" anchor="ctr" anchorCtr="0" upright="1"/>
                      </wps:wsp>
                      <wps:wsp>
                        <wps:cNvPr id="6" name="矩形: 圆角 7"/>
                        <wps:cNvSpPr/>
                        <wps:spPr>
                          <a:xfrm>
                            <a:off x="59190" y="0"/>
                            <a:ext cx="10766" cy="40164"/>
                          </a:xfrm>
                          <a:prstGeom prst="roundRect">
                            <a:avLst>
                              <a:gd name="adj" fmla="val 16667"/>
                            </a:avLst>
                          </a:prstGeom>
                          <a:noFill/>
                          <a:ln w="12700" cap="flat" cmpd="sng">
                            <a:solidFill>
                              <a:schemeClr val="tx1"/>
                            </a:solidFill>
                            <a:prstDash val="solid"/>
                            <a:miter/>
                            <a:headEnd type="none" w="med" len="med"/>
                            <a:tailEnd type="none" w="med" len="med"/>
                          </a:ln>
                        </wps:spPr>
                        <wps:txbx>
                          <w:txbxContent>
                            <w:p>
                              <w:pPr>
                                <w:jc w:val="center"/>
                                <w:rPr>
                                  <w:rFonts w:ascii="Calibri"/>
                                  <w:color w:val="000000"/>
                                  <w:kern w:val="24"/>
                                </w:rPr>
                              </w:pPr>
                            </w:p>
                            <w:p>
                              <w:pPr>
                                <w:jc w:val="center"/>
                                <w:rPr>
                                  <w:kern w:val="0"/>
                                  <w:sz w:val="24"/>
                                </w:rPr>
                              </w:pPr>
                              <w:r>
                                <w:rPr>
                                  <w:rFonts w:hint="eastAsia" w:ascii="Calibri"/>
                                  <w:color w:val="000000"/>
                                  <w:kern w:val="24"/>
                                </w:rPr>
                                <w:t>绩效</w:t>
                              </w:r>
                            </w:p>
                          </w:txbxContent>
                        </wps:txbx>
                        <wps:bodyPr anchor="ctr" anchorCtr="0" upright="1"/>
                      </wps:wsp>
                      <wps:wsp>
                        <wps:cNvPr id="7" name="箭头: 右 8"/>
                        <wps:cNvSpPr/>
                        <wps:spPr>
                          <a:xfrm>
                            <a:off x="17427" y="12628"/>
                            <a:ext cx="22811" cy="14908"/>
                          </a:xfrm>
                          <a:prstGeom prst="rightArrow">
                            <a:avLst>
                              <a:gd name="adj1" fmla="val 50000"/>
                              <a:gd name="adj2" fmla="val 49998"/>
                            </a:avLst>
                          </a:prstGeom>
                          <a:noFill/>
                          <a:ln w="12700" cap="flat" cmpd="sng">
                            <a:solidFill>
                              <a:schemeClr val="tx1"/>
                            </a:solidFill>
                            <a:prstDash val="dash"/>
                            <a:miter/>
                            <a:headEnd type="none" w="med" len="med"/>
                            <a:tailEnd type="none" w="med" len="med"/>
                          </a:ln>
                        </wps:spPr>
                        <wps:txbx>
                          <w:txbxContent>
                            <w:p>
                              <w:pPr>
                                <w:spacing w:before="156" w:beforeLines="50"/>
                                <w:jc w:val="center"/>
                                <w:rPr>
                                  <w:kern w:val="0"/>
                                  <w:sz w:val="24"/>
                                </w:rPr>
                              </w:pPr>
                              <w:r>
                                <w:rPr>
                                  <w:rFonts w:hint="eastAsia" w:ascii="Calibri"/>
                                  <w:color w:val="000000"/>
                                  <w:kern w:val="24"/>
                                </w:rPr>
                                <w:t>生产过程</w:t>
                              </w:r>
                            </w:p>
                            <w:p/>
                          </w:txbxContent>
                        </wps:txbx>
                        <wps:bodyPr anchor="ctr" anchorCtr="0" upright="1"/>
                      </wps:wsp>
                    </wpg:wgp>
                  </a:graphicData>
                </a:graphic>
              </wp:inline>
            </w:drawing>
          </mc:Choice>
          <mc:Fallback>
            <w:pict>
              <v:group id="组合 11" o:spid="_x0000_s1026" o:spt="203" style="height:177.7pt;width:302.7pt;" coordsize="69956,40164" o:gfxdata="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">
                <o:lock v:ext="edit" aspectratio="f"/>
                <v:roundrect id="矩形: 圆角 2" o:spid="_x0000_s1026" o:spt="2" style="position:absolute;left:0;top:0;height:7964;width:57666;v-text-anchor:middle;" filled="f" stroked="t" coordsize="21600,21600" arcsize="0.166666666666667" o:gfxdata="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BuJmS5AAAA2gAA&#10;AA8AAAAAAAAAAQAgAAAAIgAAAGRycy9kb3ducmV2LnhtbFBLAQIUABQAAAAIAIdO4kAzLwWeOwAA&#10;ADkAAAAQAAAAAAAAAAEAIAAAAAgBAABkcnMvc2hhcGV4bWwueG1sUEsFBgAAAAAGAAYAWwEAALID&#10;AAAAAA==&#10;">
                  <v:fill on="f" focussize="0,0"/>
                  <v:stroke weight="1pt" color="#000000 [3213]" joinstyle="miter"/>
                  <v:imagedata o:title=""/>
                  <o:lock v:ext="edit" aspectratio="f"/>
                  <v:textbox>
                    <w:txbxContent>
                      <w:p>
                        <w:pPr>
                          <w:spacing w:before="156" w:beforeLines="50"/>
                          <w:jc w:val="center"/>
                          <w:rPr>
                            <w:kern w:val="0"/>
                            <w:sz w:val="24"/>
                          </w:rPr>
                        </w:pPr>
                        <w:r>
                          <w:rPr>
                            <w:rFonts w:hint="eastAsia" w:ascii="Calibri"/>
                            <w:color w:val="000000"/>
                            <w:kern w:val="24"/>
                          </w:rPr>
                          <w:t>管理体系</w:t>
                        </w:r>
                      </w:p>
                      <w:p/>
                    </w:txbxContent>
                  </v:textbox>
                </v:roundrect>
                <v:roundrect id="矩形: 圆角 3" o:spid="_x0000_s1026" o:spt="2" style="position:absolute;left:0;top:32200;height:7964;width:57666;v-text-anchor:middle;" filled="f" stroked="t" coordsize="21600,21600" arcsize="0.166666666666667" o:gfxdata="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Ly4E7sAAADa&#10;AAAADwAAAAAAAAABACAAAAAiAAAAZHJzL2Rvd25yZXYueG1sUEsBAhQAFAAAAAgAh07iQDMvBZ47&#10;AAAAOQAAABAAAAAAAAAAAQAgAAAACgEAAGRycy9zaGFwZXhtbC54bWxQSwUGAAAAAAYABgBbAQAA&#10;tAMAAAAA&#10;">
                  <v:fill on="f" focussize="0,0"/>
                  <v:stroke weight="1pt" color="#000000 [3213]" joinstyle="miter"/>
                  <v:imagedata o:title=""/>
                  <o:lock v:ext="edit" aspectratio="f"/>
                  <v:textbox>
                    <w:txbxContent>
                      <w:p>
                        <w:pPr>
                          <w:jc w:val="center"/>
                          <w:rPr>
                            <w:kern w:val="0"/>
                            <w:sz w:val="24"/>
                          </w:rPr>
                        </w:pPr>
                        <w:r>
                          <w:rPr>
                            <w:rFonts w:hint="eastAsia" w:ascii="Calibri"/>
                            <w:color w:val="000000"/>
                            <w:kern w:val="24"/>
                          </w:rPr>
                          <w:t>基础设施</w:t>
                        </w:r>
                      </w:p>
                    </w:txbxContent>
                  </v:textbox>
                </v:roundrect>
                <v:roundrect id="矩形: 圆角 4" o:spid="_x0000_s1026" o:spt="2" style="position:absolute;left:0;top:9168;height:21828;width:15190;v-text-anchor:middle;" filled="f" stroked="t" coordsize="21600,21600" arcsize="0.166666666666667" o:gfxdata="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o7GGLsAAADa&#10;AAAADwAAAAAAAAABACAAAAAiAAAAZHJzL2Rvd25yZXYueG1sUEsBAhQAFAAAAAgAh07iQDMvBZ47&#10;AAAAOQAAABAAAAAAAAAAAQAgAAAACgEAAGRycy9zaGFwZXhtbC54bWxQSwUGAAAAAAYABgBbAQAA&#10;tAMAAAAA&#10;">
                  <v:fill on="f" focussize="0,0"/>
                  <v:stroke weight="1pt" color="#000000 [3213]" joinstyle="miter"/>
                  <v:imagedata o:title=""/>
                  <o:lock v:ext="edit" aspectratio="f"/>
                  <v:textbox inset="2mm,1.27mm,2mm,1.27mm">
                    <w:txbxContent>
                      <w:p>
                        <w:pPr>
                          <w:jc w:val="center"/>
                          <w:rPr>
                            <w:kern w:val="0"/>
                            <w:sz w:val="24"/>
                          </w:rPr>
                        </w:pPr>
                        <w:r>
                          <w:rPr>
                            <w:rFonts w:hint="eastAsia" w:ascii="Calibri"/>
                            <w:color w:val="000000"/>
                            <w:kern w:val="24"/>
                          </w:rPr>
                          <w:t xml:space="preserve">能源与资源投入 </w:t>
                        </w:r>
                      </w:p>
                    </w:txbxContent>
                  </v:textbox>
                </v:roundrect>
                <v:roundrect id="矩形: 圆角 5" o:spid="_x0000_s1026" o:spt="2" style="position:absolute;left:42475;top:9168;height:10152;width:15191;v-text-anchor:middle;" filled="f" stroked="t" coordsize="21600,21600" arcsize="0.166666666666667" o:gfxdata="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Z15sugAAANoA&#10;AAAPAAAAAAAAAAEAIAAAACIAAABkcnMvZG93bnJldi54bWxQSwECFAAUAAAACACHTuJAMy8FnjsA&#10;AAA5AAAAEAAAAAAAAAABACAAAAAJAQAAZHJzL3NoYXBleG1sLnhtbFBLBQYAAAAABgAGAFsBAACz&#10;AwAAAAA=&#10;">
                  <v:fill on="f" focussize="0,0"/>
                  <v:stroke weight="1pt" color="#000000 [3213]" joinstyle="miter"/>
                  <v:imagedata o:title=""/>
                  <o:lock v:ext="edit" aspectratio="f"/>
                  <v:textbox inset="2mm,1.27mm,2mm,1.27mm">
                    <w:txbxContent>
                      <w:p>
                        <w:pPr>
                          <w:jc w:val="center"/>
                          <w:rPr>
                            <w:kern w:val="0"/>
                            <w:sz w:val="24"/>
                          </w:rPr>
                        </w:pPr>
                        <w:r>
                          <w:rPr>
                            <w:rFonts w:hint="eastAsia" w:ascii="Calibri"/>
                            <w:color w:val="000000"/>
                            <w:kern w:val="24"/>
                          </w:rPr>
                          <w:t>产品</w:t>
                        </w:r>
                      </w:p>
                    </w:txbxContent>
                  </v:textbox>
                </v:roundrect>
                <v:roundrect id="矩形: 圆角 6" o:spid="_x0000_s1026" o:spt="2" style="position:absolute;left:42475;top:20684;height:10152;width:15191;v-text-anchor:middle;" filled="f" stroked="t" coordsize="21600,21600" arcsize="0.166666666666667" o:gfxdata="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iv797sAAADa&#10;AAAADwAAAAAAAAABACAAAAAiAAAAZHJzL2Rvd25yZXYueG1sUEsBAhQAFAAAAAgAh07iQDMvBZ47&#10;AAAAOQAAABAAAAAAAAAAAQAgAAAACgEAAGRycy9zaGFwZXhtbC54bWxQSwUGAAAAAAYABgBbAQAA&#10;tAMAAAAA&#10;">
                  <v:fill on="f" focussize="0,0"/>
                  <v:stroke weight="1pt" color="#000000 [3213]" joinstyle="miter"/>
                  <v:imagedata o:title=""/>
                  <o:lock v:ext="edit" aspectratio="f"/>
                  <v:textbox inset="2mm,1.27mm,2mm,1.27mm">
                    <w:txbxContent>
                      <w:p>
                        <w:pPr>
                          <w:jc w:val="center"/>
                          <w:rPr>
                            <w:kern w:val="0"/>
                            <w:sz w:val="24"/>
                          </w:rPr>
                        </w:pPr>
                        <w:r>
                          <w:rPr>
                            <w:rFonts w:hint="eastAsia" w:ascii="Calibri"/>
                            <w:color w:val="000000"/>
                            <w:kern w:val="24"/>
                          </w:rPr>
                          <w:t>环境排放</w:t>
                        </w:r>
                      </w:p>
                    </w:txbxContent>
                  </v:textbox>
                </v:roundrect>
                <v:roundrect id="矩形: 圆角 7" o:spid="_x0000_s1026" o:spt="2" style="position:absolute;left:59190;top:0;height:40164;width:10766;v-text-anchor:middle;" filled="f" stroked="t" coordsize="21600,21600" arcsize="0.166666666666667" o:gfxdata="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vhC8AAAA&#10;2gAAAA8AAAAAAAAAAQAgAAAAIgAAAGRycy9kb3ducmV2LnhtbFBLAQIUABQAAAAIAIdO4kAzLwWe&#10;OwAAADkAAAAQAAAAAAAAAAEAIAAAAAsBAABkcnMvc2hhcGV4bWwueG1sUEsFBgAAAAAGAAYAWwEA&#10;ALUDAAAAAA==&#10;">
                  <v:fill on="f" focussize="0,0"/>
                  <v:stroke weight="1pt" color="#000000 [3213]" joinstyle="miter"/>
                  <v:imagedata o:title=""/>
                  <o:lock v:ext="edit" aspectratio="f"/>
                  <v:textbox>
                    <w:txbxContent>
                      <w:p>
                        <w:pPr>
                          <w:jc w:val="center"/>
                          <w:rPr>
                            <w:rFonts w:ascii="Calibri"/>
                            <w:color w:val="000000"/>
                            <w:kern w:val="24"/>
                          </w:rPr>
                        </w:pPr>
                      </w:p>
                      <w:p>
                        <w:pPr>
                          <w:jc w:val="center"/>
                          <w:rPr>
                            <w:kern w:val="0"/>
                            <w:sz w:val="24"/>
                          </w:rPr>
                        </w:pPr>
                        <w:r>
                          <w:rPr>
                            <w:rFonts w:hint="eastAsia" w:ascii="Calibri"/>
                            <w:color w:val="000000"/>
                            <w:kern w:val="24"/>
                          </w:rPr>
                          <w:t>绩效</w:t>
                        </w:r>
                      </w:p>
                    </w:txbxContent>
                  </v:textbox>
                </v:roundrect>
                <v:shape id="箭头: 右 8" o:spid="_x0000_s1026" o:spt="13" type="#_x0000_t13" style="position:absolute;left:17427;top:12628;height:14908;width:22811;v-text-anchor:middle;" filled="f" stroked="t" coordsize="21600,21600" o:gfxdata="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ZR65y8AAAA&#10;2gAAAA8AAAAAAAAAAQAgAAAAIgAAAGRycy9kb3ducmV2LnhtbFBLAQIUABQAAAAIAIdO4kAzLwWe&#10;OwAAADkAAAAQAAAAAAAAAAEAIAAAAAsBAABkcnMvc2hhcGV4bWwueG1sUEsFBgAAAAAGAAYAWwEA&#10;ALUDAAAAAA==&#10;" adj="14543,5400">
                  <v:fill on="f" focussize="0,0"/>
                  <v:stroke weight="1pt" color="#000000 [3213]" joinstyle="miter" dashstyle="dash"/>
                  <v:imagedata o:title=""/>
                  <o:lock v:ext="edit" aspectratio="f"/>
                  <v:textbox>
                    <w:txbxContent>
                      <w:p>
                        <w:pPr>
                          <w:spacing w:before="156" w:beforeLines="50"/>
                          <w:jc w:val="center"/>
                          <w:rPr>
                            <w:kern w:val="0"/>
                            <w:sz w:val="24"/>
                          </w:rPr>
                        </w:pPr>
                        <w:r>
                          <w:rPr>
                            <w:rFonts w:hint="eastAsia" w:ascii="Calibri"/>
                            <w:color w:val="000000"/>
                            <w:kern w:val="24"/>
                          </w:rPr>
                          <w:t>生产过程</w:t>
                        </w:r>
                      </w:p>
                      <w:p/>
                    </w:txbxContent>
                  </v:textbox>
                </v:shape>
                <w10:wrap type="none"/>
                <w10:anchorlock/>
              </v:group>
            </w:pict>
          </mc:Fallback>
        </mc:AlternateContent>
      </w:r>
    </w:p>
    <w:p>
      <w:pPr>
        <w:jc w:val="center"/>
        <w:rPr>
          <w:rFonts w:ascii="Times New Roman" w:hAnsi="Times New Roman" w:eastAsia="黑体" w:cs="Times New Roman"/>
          <w:color w:val="auto"/>
          <w:szCs w:val="21"/>
        </w:rPr>
      </w:pPr>
      <w:r>
        <w:rPr>
          <w:rFonts w:ascii="Times New Roman" w:hAnsi="Times New Roman" w:eastAsia="黑体" w:cs="Times New Roman"/>
          <w:color w:val="auto"/>
          <w:szCs w:val="21"/>
        </w:rPr>
        <w:t>图1  锗行业绿色工厂评价体系框图</w:t>
      </w:r>
    </w:p>
    <w:p>
      <w:pPr>
        <w:spacing w:line="360" w:lineRule="auto"/>
        <w:ind w:firstLine="420"/>
        <w:rPr>
          <w:rFonts w:ascii="Times New Roman" w:hAnsi="Times New Roman" w:cs="Times New Roman"/>
          <w:color w:val="auto"/>
        </w:rPr>
      </w:pPr>
      <w:r>
        <w:rPr>
          <w:rFonts w:ascii="Times New Roman" w:hAnsi="Times New Roman" w:cs="Times New Roman"/>
          <w:color w:val="auto"/>
        </w:rPr>
        <w:t>每项一级指标下设置二级指标，二级指标下的具体评价要求分为必选要求与可选要求。必选要求为工厂应达到的基础性要求，必选要求不达标不能评为绿色工厂；可选要求为工厂通过努力达到的提高性要求，具有先进性。在标准描述中使用“应”和“宜”予以区分，企业应满足或达到的要求一般即为评价过程中的必选要求，企业宜满足或达到的要求一般即为评价过程中的可选要求。</w:t>
      </w:r>
    </w:p>
    <w:p>
      <w:pPr>
        <w:pStyle w:val="4"/>
        <w:spacing w:before="156" w:after="156"/>
        <w:ind w:left="0"/>
        <w:rPr>
          <w:color w:val="auto"/>
          <w:sz w:val="21"/>
        </w:rPr>
      </w:pPr>
      <w:bookmarkStart w:id="38" w:name="_Toc131619683"/>
      <w:r>
        <w:rPr>
          <w:color w:val="auto"/>
          <w:sz w:val="21"/>
        </w:rPr>
        <w:t>2.2.6 评分方法与数据统计</w:t>
      </w:r>
      <w:bookmarkEnd w:id="38"/>
    </w:p>
    <w:p>
      <w:pPr>
        <w:spacing w:line="360" w:lineRule="auto"/>
        <w:rPr>
          <w:rFonts w:ascii="Times New Roman" w:hAnsi="Times New Roman" w:cs="Times New Roman"/>
          <w:color w:val="auto"/>
        </w:rPr>
      </w:pPr>
      <w:r>
        <w:rPr>
          <w:rFonts w:ascii="Times New Roman" w:hAnsi="Times New Roman" w:cs="Times New Roman"/>
          <w:color w:val="auto"/>
        </w:rPr>
        <w:t>2.2.6.1评分计算方法</w:t>
      </w:r>
    </w:p>
    <w:p>
      <w:pPr>
        <w:spacing w:line="360" w:lineRule="auto"/>
        <w:ind w:firstLine="420"/>
        <w:rPr>
          <w:rFonts w:ascii="Times New Roman" w:hAnsi="Times New Roman" w:cs="Times New Roman"/>
          <w:color w:val="auto"/>
        </w:rPr>
      </w:pPr>
      <w:r>
        <w:rPr>
          <w:rFonts w:ascii="Times New Roman" w:hAnsi="Times New Roman" w:cs="Times New Roman"/>
          <w:color w:val="auto"/>
        </w:rPr>
        <w:t xml:space="preserve">锗行业绿色工厂评价要求分为三类，一类为不参与评分的基本要求，工厂需全部满足方可进行评价；第二类为必选要求，视必选要求与判定准则的符合性得分为0分或者满分；第三类为可选要求，可选要求根据与判定准则符合程度在0分和满分之间取值。 </w:t>
      </w:r>
    </w:p>
    <w:p>
      <w:pPr>
        <w:spacing w:line="360" w:lineRule="auto"/>
        <w:ind w:firstLine="420"/>
        <w:rPr>
          <w:rFonts w:ascii="Times New Roman" w:hAnsi="Times New Roman" w:cs="Times New Roman"/>
          <w:color w:val="auto"/>
        </w:rPr>
      </w:pPr>
      <w:r>
        <w:rPr>
          <w:rFonts w:ascii="Times New Roman" w:hAnsi="Times New Roman" w:cs="Times New Roman"/>
          <w:color w:val="auto"/>
        </w:rPr>
        <w:t>绩效的评分采用按比例计算得分，指标体系对一级指标以及二级指标共设置两层权重，通过逐级加权收敛得出最终得分。在绿色工厂评价的过程中，一级指标权重的确定是体现各不同行业差异的关键所在。</w:t>
      </w:r>
    </w:p>
    <w:p>
      <w:pPr>
        <w:spacing w:line="360" w:lineRule="auto"/>
        <w:ind w:firstLine="420"/>
        <w:rPr>
          <w:rFonts w:ascii="Times New Roman" w:hAnsi="Times New Roman" w:cs="Times New Roman"/>
          <w:color w:val="auto"/>
        </w:rPr>
      </w:pPr>
      <w:r>
        <w:rPr>
          <w:rFonts w:ascii="Times New Roman" w:hAnsi="Times New Roman" w:cs="Times New Roman"/>
          <w:color w:val="auto"/>
        </w:rPr>
        <w:t>本标准制定的任务就是通过调研讨论制定指标及权重。</w:t>
      </w:r>
    </w:p>
    <w:p>
      <w:pPr>
        <w:jc w:val="center"/>
        <w:rPr>
          <w:rFonts w:ascii="Times New Roman" w:hAnsi="Times New Roman" w:eastAsia="黑体" w:cs="Times New Roman"/>
          <w:color w:val="auto"/>
          <w:szCs w:val="21"/>
        </w:rPr>
      </w:pPr>
      <w:r>
        <w:rPr>
          <w:rFonts w:ascii="Times New Roman" w:hAnsi="Times New Roman" w:eastAsia="黑体" w:cs="Times New Roman"/>
          <w:color w:val="auto"/>
          <w:szCs w:val="21"/>
        </w:rPr>
        <w:t>表</w:t>
      </w:r>
      <w:r>
        <w:rPr>
          <w:rFonts w:hint="eastAsia" w:ascii="Times New Roman" w:hAnsi="Times New Roman" w:eastAsia="黑体" w:cs="Times New Roman"/>
          <w:color w:val="auto"/>
          <w:szCs w:val="21"/>
        </w:rPr>
        <w:t>3</w:t>
      </w:r>
      <w:r>
        <w:rPr>
          <w:rFonts w:ascii="Times New Roman" w:hAnsi="Times New Roman" w:eastAsia="黑体" w:cs="Times New Roman"/>
          <w:color w:val="auto"/>
          <w:szCs w:val="21"/>
        </w:rPr>
        <w:t xml:space="preserve"> 权重分配表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00"/>
        <w:gridCol w:w="4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0" w:type="dxa"/>
          </w:tcPr>
          <w:p>
            <w:pPr>
              <w:widowControl/>
              <w:jc w:val="center"/>
              <w:rPr>
                <w:rFonts w:ascii="Times New Roman" w:hAnsi="Times New Roman" w:eastAsia="黑体" w:cs="Times New Roman"/>
                <w:b/>
                <w:color w:val="auto"/>
                <w:kern w:val="0"/>
                <w:szCs w:val="21"/>
              </w:rPr>
            </w:pPr>
            <w:r>
              <w:rPr>
                <w:rFonts w:ascii="Times New Roman" w:hAnsi="Times New Roman" w:eastAsia="黑体" w:cs="Times New Roman"/>
                <w:color w:val="auto"/>
                <w:kern w:val="0"/>
              </w:rPr>
              <w:t>一级指标</w:t>
            </w:r>
          </w:p>
        </w:tc>
        <w:tc>
          <w:tcPr>
            <w:tcW w:w="4191" w:type="dxa"/>
          </w:tcPr>
          <w:p>
            <w:pPr>
              <w:widowControl/>
              <w:jc w:val="center"/>
              <w:rPr>
                <w:rFonts w:ascii="Times New Roman" w:hAnsi="Times New Roman" w:eastAsia="黑体" w:cs="Times New Roman"/>
                <w:b/>
                <w:color w:val="auto"/>
                <w:kern w:val="0"/>
                <w:szCs w:val="21"/>
              </w:rPr>
            </w:pPr>
            <w:r>
              <w:rPr>
                <w:rFonts w:ascii="Times New Roman" w:hAnsi="Times New Roman" w:eastAsia="黑体" w:cs="Times New Roman"/>
                <w:color w:val="auto"/>
                <w:kern w:val="0"/>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0" w:type="dxa"/>
          </w:tcPr>
          <w:p>
            <w:pPr>
              <w:widowControl/>
              <w:jc w:val="center"/>
              <w:rPr>
                <w:rFonts w:ascii="Times New Roman" w:hAnsi="Times New Roman" w:eastAsia="宋体" w:cs="Times New Roman"/>
                <w:b/>
                <w:color w:val="auto"/>
                <w:kern w:val="0"/>
                <w:szCs w:val="21"/>
              </w:rPr>
            </w:pPr>
            <w:r>
              <w:rPr>
                <w:rFonts w:ascii="Times New Roman" w:hAnsi="Times New Roman" w:eastAsia="宋体" w:cs="Times New Roman"/>
                <w:color w:val="auto"/>
                <w:kern w:val="0"/>
              </w:rPr>
              <w:t>基础设施</w:t>
            </w:r>
          </w:p>
        </w:tc>
        <w:tc>
          <w:tcPr>
            <w:tcW w:w="4191" w:type="dxa"/>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0" w:type="dxa"/>
          </w:tcPr>
          <w:p>
            <w:pPr>
              <w:widowControl/>
              <w:jc w:val="center"/>
              <w:rPr>
                <w:rFonts w:ascii="Times New Roman" w:hAnsi="Times New Roman" w:eastAsia="宋体" w:cs="Times New Roman"/>
                <w:b/>
                <w:color w:val="auto"/>
                <w:kern w:val="0"/>
                <w:szCs w:val="21"/>
              </w:rPr>
            </w:pPr>
            <w:r>
              <w:rPr>
                <w:rFonts w:ascii="Times New Roman" w:hAnsi="Times New Roman" w:eastAsia="宋体" w:cs="Times New Roman"/>
                <w:color w:val="auto"/>
                <w:kern w:val="0"/>
              </w:rPr>
              <w:t>管理体系</w:t>
            </w:r>
          </w:p>
        </w:tc>
        <w:tc>
          <w:tcPr>
            <w:tcW w:w="4191" w:type="dxa"/>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0" w:type="dxa"/>
          </w:tcPr>
          <w:p>
            <w:pPr>
              <w:widowControl/>
              <w:jc w:val="center"/>
              <w:rPr>
                <w:rFonts w:ascii="Times New Roman" w:hAnsi="Times New Roman" w:eastAsia="宋体" w:cs="Times New Roman"/>
                <w:b/>
                <w:color w:val="auto"/>
                <w:kern w:val="0"/>
                <w:szCs w:val="21"/>
              </w:rPr>
            </w:pPr>
            <w:r>
              <w:rPr>
                <w:rFonts w:ascii="Times New Roman" w:hAnsi="Times New Roman" w:eastAsia="宋体" w:cs="Times New Roman"/>
                <w:color w:val="auto"/>
                <w:kern w:val="0"/>
              </w:rPr>
              <w:t>能源资源投入</w:t>
            </w:r>
          </w:p>
        </w:tc>
        <w:tc>
          <w:tcPr>
            <w:tcW w:w="4191" w:type="dxa"/>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0" w:type="dxa"/>
          </w:tcPr>
          <w:p>
            <w:pPr>
              <w:widowControl/>
              <w:jc w:val="center"/>
              <w:rPr>
                <w:rFonts w:ascii="Times New Roman" w:hAnsi="Times New Roman" w:eastAsia="宋体" w:cs="Times New Roman"/>
                <w:b/>
                <w:color w:val="auto"/>
                <w:kern w:val="0"/>
                <w:szCs w:val="21"/>
              </w:rPr>
            </w:pPr>
            <w:r>
              <w:rPr>
                <w:rFonts w:ascii="Times New Roman" w:hAnsi="Times New Roman" w:eastAsia="宋体" w:cs="Times New Roman"/>
                <w:color w:val="auto"/>
                <w:kern w:val="0"/>
              </w:rPr>
              <w:t>产品</w:t>
            </w:r>
          </w:p>
        </w:tc>
        <w:tc>
          <w:tcPr>
            <w:tcW w:w="4191" w:type="dxa"/>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0" w:type="dxa"/>
          </w:tcPr>
          <w:p>
            <w:pPr>
              <w:widowControl/>
              <w:jc w:val="center"/>
              <w:rPr>
                <w:rFonts w:ascii="Times New Roman" w:hAnsi="Times New Roman" w:eastAsia="宋体" w:cs="Times New Roman"/>
                <w:b/>
                <w:color w:val="auto"/>
                <w:kern w:val="0"/>
                <w:szCs w:val="21"/>
              </w:rPr>
            </w:pPr>
            <w:r>
              <w:rPr>
                <w:rFonts w:ascii="Times New Roman" w:hAnsi="Times New Roman" w:eastAsia="宋体" w:cs="Times New Roman"/>
                <w:color w:val="auto"/>
                <w:kern w:val="0"/>
              </w:rPr>
              <w:t>环境排放</w:t>
            </w:r>
          </w:p>
        </w:tc>
        <w:tc>
          <w:tcPr>
            <w:tcW w:w="4191" w:type="dxa"/>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0" w:type="dxa"/>
          </w:tcPr>
          <w:p>
            <w:pPr>
              <w:widowControl/>
              <w:jc w:val="center"/>
              <w:rPr>
                <w:rFonts w:ascii="Times New Roman" w:hAnsi="Times New Roman" w:eastAsia="宋体" w:cs="Times New Roman"/>
                <w:b/>
                <w:color w:val="auto"/>
                <w:kern w:val="0"/>
                <w:szCs w:val="21"/>
              </w:rPr>
            </w:pPr>
            <w:r>
              <w:rPr>
                <w:rFonts w:ascii="Times New Roman" w:hAnsi="Times New Roman" w:eastAsia="宋体" w:cs="Times New Roman"/>
                <w:color w:val="auto"/>
                <w:kern w:val="0"/>
              </w:rPr>
              <w:t>绩效</w:t>
            </w:r>
          </w:p>
        </w:tc>
        <w:tc>
          <w:tcPr>
            <w:tcW w:w="4191" w:type="dxa"/>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25</w:t>
            </w:r>
          </w:p>
        </w:tc>
      </w:tr>
    </w:tbl>
    <w:p>
      <w:pPr>
        <w:ind w:firstLine="420" w:firstLineChars="200"/>
        <w:rPr>
          <w:rFonts w:ascii="Times New Roman" w:hAnsi="Times New Roman" w:cs="Times New Roman"/>
          <w:color w:val="auto"/>
        </w:rPr>
      </w:pPr>
      <w:r>
        <w:rPr>
          <w:rFonts w:ascii="Times New Roman" w:hAnsi="Times New Roman" w:cs="Times New Roman"/>
          <w:color w:val="auto"/>
        </w:rPr>
        <w:t>锗行业绿色工厂评价一级指标权重系数为：</w:t>
      </w:r>
    </w:p>
    <w:p>
      <w:pPr>
        <w:numPr>
          <w:ilvl w:val="0"/>
          <w:numId w:val="2"/>
        </w:numPr>
        <w:rPr>
          <w:rFonts w:ascii="Times New Roman" w:hAnsi="Times New Roman" w:cs="Times New Roman"/>
          <w:color w:val="auto"/>
        </w:rPr>
      </w:pPr>
      <w:r>
        <w:rPr>
          <w:rFonts w:ascii="Times New Roman" w:hAnsi="Times New Roman" w:cs="Times New Roman"/>
          <w:color w:val="auto"/>
        </w:rPr>
        <w:t>基本要求（5.1）采取一票否决制，应全部满足；</w:t>
      </w:r>
    </w:p>
    <w:p>
      <w:pPr>
        <w:numPr>
          <w:ilvl w:val="0"/>
          <w:numId w:val="2"/>
        </w:numPr>
        <w:rPr>
          <w:rFonts w:ascii="Times New Roman" w:hAnsi="Times New Roman" w:cs="Times New Roman"/>
          <w:color w:val="auto"/>
          <w:szCs w:val="21"/>
        </w:rPr>
      </w:pPr>
      <w:r>
        <w:rPr>
          <w:rFonts w:ascii="Times New Roman" w:hAnsi="Times New Roman" w:cs="Times New Roman"/>
          <w:color w:val="auto"/>
          <w:szCs w:val="21"/>
        </w:rPr>
        <w:t>基础设施（5.2）15%；</w:t>
      </w:r>
    </w:p>
    <w:p>
      <w:pPr>
        <w:numPr>
          <w:ilvl w:val="0"/>
          <w:numId w:val="2"/>
        </w:numPr>
        <w:rPr>
          <w:rFonts w:ascii="Times New Roman" w:hAnsi="Times New Roman" w:cs="Times New Roman"/>
          <w:color w:val="auto"/>
          <w:szCs w:val="21"/>
        </w:rPr>
      </w:pPr>
      <w:r>
        <w:rPr>
          <w:rFonts w:ascii="Times New Roman" w:hAnsi="Times New Roman" w:cs="Times New Roman"/>
          <w:color w:val="auto"/>
          <w:szCs w:val="21"/>
        </w:rPr>
        <w:t>管理体系（5.3）10%；</w:t>
      </w:r>
    </w:p>
    <w:p>
      <w:pPr>
        <w:numPr>
          <w:ilvl w:val="0"/>
          <w:numId w:val="2"/>
        </w:numPr>
        <w:rPr>
          <w:rFonts w:ascii="Times New Roman" w:hAnsi="Times New Roman" w:cs="Times New Roman"/>
          <w:color w:val="auto"/>
          <w:szCs w:val="21"/>
        </w:rPr>
      </w:pPr>
      <w:r>
        <w:rPr>
          <w:rFonts w:ascii="Times New Roman" w:hAnsi="Times New Roman" w:cs="Times New Roman"/>
          <w:color w:val="auto"/>
          <w:szCs w:val="21"/>
        </w:rPr>
        <w:t>能源资源投入（5.4）20%；</w:t>
      </w:r>
    </w:p>
    <w:p>
      <w:pPr>
        <w:numPr>
          <w:ilvl w:val="0"/>
          <w:numId w:val="2"/>
        </w:numPr>
        <w:rPr>
          <w:rFonts w:ascii="Times New Roman" w:hAnsi="Times New Roman" w:cs="Times New Roman"/>
          <w:color w:val="auto"/>
          <w:szCs w:val="21"/>
        </w:rPr>
      </w:pPr>
      <w:r>
        <w:rPr>
          <w:rFonts w:ascii="Times New Roman" w:hAnsi="Times New Roman" w:cs="Times New Roman"/>
          <w:color w:val="auto"/>
          <w:szCs w:val="21"/>
        </w:rPr>
        <w:t>产品（5.5）10%；</w:t>
      </w:r>
    </w:p>
    <w:p>
      <w:pPr>
        <w:numPr>
          <w:ilvl w:val="0"/>
          <w:numId w:val="2"/>
        </w:numPr>
        <w:rPr>
          <w:rFonts w:ascii="Times New Roman" w:hAnsi="Times New Roman" w:cs="Times New Roman"/>
          <w:color w:val="auto"/>
          <w:szCs w:val="21"/>
        </w:rPr>
      </w:pPr>
      <w:r>
        <w:rPr>
          <w:rFonts w:ascii="Times New Roman" w:hAnsi="Times New Roman" w:cs="Times New Roman"/>
          <w:color w:val="auto"/>
          <w:szCs w:val="21"/>
        </w:rPr>
        <w:t>环境排放（5.6）20%；</w:t>
      </w:r>
    </w:p>
    <w:p>
      <w:pPr>
        <w:numPr>
          <w:ilvl w:val="0"/>
          <w:numId w:val="2"/>
        </w:numPr>
        <w:rPr>
          <w:rFonts w:ascii="Times New Roman" w:hAnsi="Times New Roman" w:cs="Times New Roman"/>
          <w:color w:val="auto"/>
          <w:szCs w:val="21"/>
        </w:rPr>
      </w:pPr>
      <w:r>
        <w:rPr>
          <w:rFonts w:ascii="Times New Roman" w:hAnsi="Times New Roman" w:cs="Times New Roman"/>
          <w:color w:val="auto"/>
          <w:szCs w:val="21"/>
        </w:rPr>
        <w:t>绩效（5.7）25%。</w:t>
      </w:r>
    </w:p>
    <w:p>
      <w:pPr>
        <w:spacing w:line="360" w:lineRule="auto"/>
        <w:rPr>
          <w:rFonts w:ascii="Times New Roman" w:hAnsi="Times New Roman" w:cs="Times New Roman"/>
          <w:color w:val="auto"/>
        </w:rPr>
      </w:pPr>
      <w:r>
        <w:rPr>
          <w:rFonts w:ascii="Times New Roman" w:hAnsi="Times New Roman" w:cs="Times New Roman"/>
          <w:color w:val="auto"/>
        </w:rPr>
        <w:t xml:space="preserve">2.2.6.2 数据统计 </w:t>
      </w:r>
    </w:p>
    <w:p>
      <w:pPr>
        <w:spacing w:line="360" w:lineRule="auto"/>
        <w:ind w:firstLine="420"/>
        <w:rPr>
          <w:rFonts w:ascii="Times New Roman" w:hAnsi="Times New Roman" w:cs="Times New Roman"/>
          <w:color w:val="auto"/>
        </w:rPr>
      </w:pPr>
      <w:r>
        <w:rPr>
          <w:rFonts w:ascii="Times New Roman" w:hAnsi="Times New Roman" w:cs="Times New Roman"/>
          <w:color w:val="auto"/>
        </w:rPr>
        <w:t>数据的统计周期应与评价报告期保持一致，以确保数据的可比性与完整性。原则上应采集连续 12 个月的数据，建议评价实施方以距离评价日期最近的一个自然年作为数据统计与评价报告期，如果最近一自然年企业生产或工艺等出现了重大变化，则可以考虑采集连续生产的 12 个月的数据。对于产品、环境排放等指标中涉及参考检测报告的条款，则应优先参考评价报告期内距离评价日期最近的一次有效检测结果。</w:t>
      </w:r>
    </w:p>
    <w:p>
      <w:pPr>
        <w:widowControl/>
        <w:spacing w:before="312" w:beforeLines="100" w:after="312" w:afterLines="100"/>
        <w:jc w:val="left"/>
        <w:outlineLvl w:val="0"/>
        <w:rPr>
          <w:rFonts w:ascii="Times New Roman" w:hAnsi="Times New Roman" w:eastAsia="宋体" w:cs="Times New Roman"/>
          <w:b/>
          <w:color w:val="auto"/>
          <w:kern w:val="0"/>
          <w:sz w:val="28"/>
          <w:szCs w:val="28"/>
        </w:rPr>
      </w:pPr>
      <w:bookmarkStart w:id="39" w:name="_Toc511234398"/>
      <w:bookmarkStart w:id="40" w:name="_Toc131619684"/>
      <w:bookmarkStart w:id="41" w:name="_Toc497309549"/>
      <w:r>
        <w:rPr>
          <w:rFonts w:ascii="Times New Roman" w:hAnsi="Times New Roman" w:eastAsia="宋体" w:cs="Times New Roman"/>
          <w:b/>
          <w:color w:val="auto"/>
          <w:kern w:val="0"/>
          <w:sz w:val="28"/>
          <w:szCs w:val="28"/>
        </w:rPr>
        <w:t>3、标准水平分析</w:t>
      </w:r>
      <w:bookmarkEnd w:id="39"/>
      <w:bookmarkEnd w:id="40"/>
      <w:bookmarkEnd w:id="41"/>
    </w:p>
    <w:p>
      <w:pPr>
        <w:ind w:firstLine="420"/>
        <w:rPr>
          <w:rFonts w:ascii="Times New Roman" w:hAnsi="Times New Roman" w:cs="Times New Roman"/>
          <w:color w:val="auto"/>
          <w:szCs w:val="21"/>
        </w:rPr>
      </w:pPr>
      <w:r>
        <w:rPr>
          <w:rFonts w:ascii="Times New Roman" w:hAnsi="Times New Roman" w:cs="Times New Roman"/>
          <w:color w:val="auto"/>
        </w:rPr>
        <w:t>本文件属首次制定。最终确定标准水平后进行补充解释。</w:t>
      </w:r>
    </w:p>
    <w:p>
      <w:pPr>
        <w:widowControl/>
        <w:spacing w:before="312" w:beforeLines="100" w:after="312" w:afterLines="100"/>
        <w:jc w:val="left"/>
        <w:outlineLvl w:val="0"/>
        <w:rPr>
          <w:rFonts w:ascii="Times New Roman" w:hAnsi="Times New Roman" w:eastAsia="宋体" w:cs="Times New Roman"/>
          <w:b/>
          <w:color w:val="auto"/>
          <w:kern w:val="0"/>
          <w:sz w:val="28"/>
          <w:szCs w:val="28"/>
        </w:rPr>
      </w:pPr>
      <w:bookmarkStart w:id="42" w:name="_Toc497309557"/>
      <w:bookmarkStart w:id="43" w:name="_Toc511234399"/>
      <w:bookmarkStart w:id="44" w:name="_Toc131619685"/>
      <w:r>
        <w:rPr>
          <w:rFonts w:ascii="Times New Roman" w:hAnsi="Times New Roman" w:eastAsia="宋体" w:cs="Times New Roman"/>
          <w:b/>
          <w:color w:val="auto"/>
          <w:kern w:val="0"/>
          <w:sz w:val="28"/>
          <w:szCs w:val="28"/>
        </w:rPr>
        <w:t>4、与现行相关法律、法规、规章及相关标准，特别是强制性标准的协调性</w:t>
      </w:r>
      <w:bookmarkEnd w:id="42"/>
      <w:bookmarkEnd w:id="43"/>
      <w:bookmarkEnd w:id="44"/>
    </w:p>
    <w:p>
      <w:pPr>
        <w:spacing w:line="360" w:lineRule="auto"/>
        <w:ind w:firstLine="420"/>
        <w:rPr>
          <w:rFonts w:ascii="Times New Roman" w:hAnsi="Times New Roman" w:cs="Times New Roman"/>
          <w:color w:val="auto"/>
        </w:rPr>
      </w:pPr>
      <w:r>
        <w:rPr>
          <w:rFonts w:ascii="Times New Roman" w:hAnsi="Times New Roman" w:cs="Times New Roman"/>
          <w:color w:val="auto"/>
        </w:rPr>
        <w:t>目前我国无锗行业绿色工厂评价要求的国家标准或行业标准，本文件是新制定的行业标准。本文件的制定是我国锗行业标准体系的完善和补充。本文件的制定与现行的相关法律、法规、规章及相关标准的关系不矛盾、不冲突，其相互关系非常协调。</w:t>
      </w:r>
    </w:p>
    <w:p>
      <w:pPr>
        <w:widowControl/>
        <w:spacing w:before="312" w:beforeLines="100" w:after="312" w:afterLines="100"/>
        <w:jc w:val="left"/>
        <w:outlineLvl w:val="0"/>
        <w:rPr>
          <w:rFonts w:ascii="Times New Roman" w:hAnsi="Times New Roman" w:eastAsia="宋体" w:cs="Times New Roman"/>
          <w:b/>
          <w:color w:val="auto"/>
          <w:kern w:val="0"/>
          <w:sz w:val="28"/>
          <w:szCs w:val="28"/>
        </w:rPr>
      </w:pPr>
      <w:bookmarkStart w:id="45" w:name="_Toc131619686"/>
      <w:bookmarkStart w:id="46" w:name="_Toc511234400"/>
      <w:bookmarkStart w:id="47" w:name="_Toc497309558"/>
      <w:r>
        <w:rPr>
          <w:rFonts w:ascii="Times New Roman" w:hAnsi="Times New Roman" w:eastAsia="宋体" w:cs="Times New Roman"/>
          <w:b/>
          <w:color w:val="auto"/>
          <w:kern w:val="0"/>
          <w:sz w:val="28"/>
          <w:szCs w:val="28"/>
        </w:rPr>
        <w:t>5、标准中涉及的专利或知识产权说明</w:t>
      </w:r>
      <w:bookmarkEnd w:id="45"/>
      <w:bookmarkEnd w:id="46"/>
      <w:bookmarkEnd w:id="47"/>
    </w:p>
    <w:p>
      <w:pPr>
        <w:ind w:firstLine="420"/>
        <w:rPr>
          <w:rFonts w:ascii="Times New Roman" w:hAnsi="Times New Roman" w:cs="Times New Roman"/>
          <w:color w:val="auto"/>
        </w:rPr>
      </w:pPr>
      <w:r>
        <w:rPr>
          <w:rFonts w:ascii="Times New Roman" w:hAnsi="Times New Roman" w:cs="Times New Roman"/>
          <w:color w:val="auto"/>
        </w:rPr>
        <w:t>本文件不涉及任何专利或知识产权。</w:t>
      </w:r>
    </w:p>
    <w:p>
      <w:pPr>
        <w:widowControl/>
        <w:spacing w:before="312" w:beforeLines="100" w:after="312" w:afterLines="100"/>
        <w:jc w:val="left"/>
        <w:outlineLvl w:val="0"/>
        <w:rPr>
          <w:rFonts w:ascii="Times New Roman" w:hAnsi="Times New Roman" w:eastAsia="宋体" w:cs="Times New Roman"/>
          <w:b/>
          <w:color w:val="auto"/>
          <w:kern w:val="0"/>
          <w:sz w:val="28"/>
          <w:szCs w:val="28"/>
        </w:rPr>
      </w:pPr>
      <w:bookmarkStart w:id="48" w:name="_Toc131619687"/>
      <w:bookmarkStart w:id="49" w:name="_Toc511234401"/>
      <w:bookmarkStart w:id="50" w:name="_Toc497309559"/>
      <w:r>
        <w:rPr>
          <w:rFonts w:ascii="Times New Roman" w:hAnsi="Times New Roman" w:eastAsia="宋体" w:cs="Times New Roman"/>
          <w:b/>
          <w:color w:val="auto"/>
          <w:kern w:val="0"/>
          <w:sz w:val="28"/>
          <w:szCs w:val="28"/>
        </w:rPr>
        <w:t>6、重大分歧意见的处理经过和依据</w:t>
      </w:r>
      <w:bookmarkEnd w:id="48"/>
      <w:bookmarkEnd w:id="49"/>
      <w:bookmarkEnd w:id="50"/>
    </w:p>
    <w:p>
      <w:pPr>
        <w:ind w:firstLine="420"/>
        <w:rPr>
          <w:rFonts w:ascii="Times New Roman" w:hAnsi="Times New Roman" w:cs="Times New Roman"/>
          <w:color w:val="auto"/>
        </w:rPr>
      </w:pPr>
      <w:r>
        <w:rPr>
          <w:rFonts w:ascii="Times New Roman" w:hAnsi="Times New Roman" w:cs="Times New Roman"/>
          <w:color w:val="auto"/>
        </w:rPr>
        <w:t>编制组根据起草前确定的编制原则进行了标准起草，标准起草小组前期进行了充分的准备和调研，并做了大量调查论证、信息分析和实验工作，在主要技术内容上，行业内取得了较为一致的意见，标准起草过程中未发生重大分歧意见。</w:t>
      </w:r>
    </w:p>
    <w:p>
      <w:pPr>
        <w:widowControl/>
        <w:spacing w:before="312" w:beforeLines="100" w:after="312" w:afterLines="100"/>
        <w:jc w:val="left"/>
        <w:outlineLvl w:val="0"/>
        <w:rPr>
          <w:rFonts w:ascii="Times New Roman" w:hAnsi="Times New Roman" w:eastAsia="宋体" w:cs="Times New Roman"/>
          <w:b/>
          <w:color w:val="auto"/>
          <w:kern w:val="0"/>
          <w:sz w:val="28"/>
          <w:szCs w:val="28"/>
        </w:rPr>
      </w:pPr>
      <w:bookmarkStart w:id="51" w:name="_Toc497309560"/>
      <w:bookmarkStart w:id="52" w:name="_Toc131619688"/>
      <w:bookmarkStart w:id="53" w:name="_Toc511234402"/>
      <w:r>
        <w:rPr>
          <w:rFonts w:ascii="Times New Roman" w:hAnsi="Times New Roman" w:eastAsia="宋体" w:cs="Times New Roman"/>
          <w:b/>
          <w:color w:val="auto"/>
          <w:kern w:val="0"/>
          <w:sz w:val="28"/>
          <w:szCs w:val="28"/>
        </w:rPr>
        <w:t>7、标准作为强制性或推荐性行业标准的建议</w:t>
      </w:r>
      <w:bookmarkEnd w:id="51"/>
      <w:bookmarkEnd w:id="52"/>
      <w:bookmarkEnd w:id="53"/>
    </w:p>
    <w:p>
      <w:pPr>
        <w:ind w:firstLine="420"/>
        <w:rPr>
          <w:rFonts w:ascii="Times New Roman" w:hAnsi="Times New Roman" w:cs="Times New Roman"/>
          <w:color w:val="auto"/>
        </w:rPr>
      </w:pPr>
      <w:r>
        <w:rPr>
          <w:rFonts w:ascii="Times New Roman" w:hAnsi="Times New Roman" w:cs="Times New Roman"/>
          <w:color w:val="auto"/>
        </w:rPr>
        <w:t>本文件建议不作为强制性标准，而建议作为推荐性行业标准发布实施。</w:t>
      </w:r>
    </w:p>
    <w:p>
      <w:pPr>
        <w:widowControl/>
        <w:spacing w:before="312" w:beforeLines="100" w:after="312" w:afterLines="100"/>
        <w:jc w:val="left"/>
        <w:outlineLvl w:val="0"/>
        <w:rPr>
          <w:rFonts w:ascii="Times New Roman" w:hAnsi="Times New Roman" w:eastAsia="宋体" w:cs="Times New Roman"/>
          <w:b/>
          <w:color w:val="auto"/>
          <w:kern w:val="0"/>
          <w:sz w:val="28"/>
          <w:szCs w:val="28"/>
        </w:rPr>
      </w:pPr>
      <w:bookmarkStart w:id="54" w:name="_Toc131619689"/>
      <w:r>
        <w:rPr>
          <w:rFonts w:ascii="Times New Roman" w:hAnsi="Times New Roman" w:eastAsia="宋体" w:cs="Times New Roman"/>
          <w:b/>
          <w:color w:val="auto"/>
          <w:kern w:val="0"/>
          <w:sz w:val="28"/>
          <w:szCs w:val="28"/>
        </w:rPr>
        <w:t>8、贯彻标准的要求和措施建议</w:t>
      </w:r>
      <w:bookmarkEnd w:id="54"/>
      <w:r>
        <w:rPr>
          <w:rFonts w:ascii="Times New Roman" w:hAnsi="Times New Roman" w:eastAsia="宋体" w:cs="Times New Roman"/>
          <w:b/>
          <w:color w:val="auto"/>
          <w:kern w:val="0"/>
          <w:sz w:val="28"/>
          <w:szCs w:val="28"/>
        </w:rPr>
        <w:t xml:space="preserve"> </w:t>
      </w:r>
    </w:p>
    <w:p>
      <w:pPr>
        <w:widowControl/>
        <w:ind w:firstLine="420" w:firstLineChars="200"/>
        <w:jc w:val="left"/>
        <w:rPr>
          <w:rFonts w:ascii="Times New Roman" w:hAnsi="Times New Roman" w:cs="Times New Roman"/>
          <w:color w:val="auto"/>
        </w:rPr>
      </w:pPr>
      <w:r>
        <w:rPr>
          <w:rFonts w:ascii="Times New Roman" w:hAnsi="Times New Roman" w:eastAsia="宋体" w:cs="Times New Roman"/>
          <w:color w:val="auto"/>
          <w:kern w:val="0"/>
          <w:szCs w:val="21"/>
        </w:rPr>
        <w:t xml:space="preserve">在锗生产企业及绿色工厂评价企业进行本标准的宣贯。 </w:t>
      </w:r>
    </w:p>
    <w:p>
      <w:pPr>
        <w:widowControl/>
        <w:spacing w:before="312" w:beforeLines="100" w:after="312" w:afterLines="100"/>
        <w:jc w:val="left"/>
        <w:outlineLvl w:val="0"/>
        <w:rPr>
          <w:rFonts w:ascii="Times New Roman" w:hAnsi="Times New Roman" w:eastAsia="宋体" w:cs="Times New Roman"/>
          <w:b/>
          <w:color w:val="auto"/>
          <w:kern w:val="0"/>
          <w:sz w:val="28"/>
          <w:szCs w:val="28"/>
        </w:rPr>
      </w:pPr>
      <w:bookmarkStart w:id="55" w:name="_Toc131619690"/>
      <w:r>
        <w:rPr>
          <w:rFonts w:ascii="Times New Roman" w:hAnsi="Times New Roman" w:eastAsia="宋体" w:cs="Times New Roman"/>
          <w:b/>
          <w:color w:val="auto"/>
          <w:kern w:val="0"/>
          <w:sz w:val="28"/>
          <w:szCs w:val="28"/>
        </w:rPr>
        <w:t>9、废止现行行业标准的建议</w:t>
      </w:r>
      <w:bookmarkEnd w:id="55"/>
      <w:r>
        <w:rPr>
          <w:rFonts w:ascii="Times New Roman" w:hAnsi="Times New Roman" w:eastAsia="宋体" w:cs="Times New Roman"/>
          <w:b/>
          <w:color w:val="auto"/>
          <w:kern w:val="0"/>
          <w:sz w:val="28"/>
          <w:szCs w:val="28"/>
        </w:rPr>
        <w:t xml:space="preserve"> </w:t>
      </w:r>
    </w:p>
    <w:p>
      <w:pPr>
        <w:widowControl/>
        <w:ind w:firstLine="420" w:firstLineChars="200"/>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xml:space="preserve">无 </w:t>
      </w:r>
    </w:p>
    <w:p>
      <w:pPr>
        <w:widowControl/>
        <w:spacing w:before="312" w:beforeLines="100" w:after="312" w:afterLines="100"/>
        <w:jc w:val="left"/>
        <w:outlineLvl w:val="0"/>
        <w:rPr>
          <w:rFonts w:ascii="Times New Roman" w:hAnsi="Times New Roman" w:eastAsia="宋体" w:cs="Times New Roman"/>
          <w:b/>
          <w:color w:val="auto"/>
          <w:kern w:val="0"/>
          <w:sz w:val="28"/>
          <w:szCs w:val="28"/>
        </w:rPr>
      </w:pPr>
      <w:bookmarkStart w:id="56" w:name="_Toc131619691"/>
      <w:r>
        <w:rPr>
          <w:rFonts w:ascii="Times New Roman" w:hAnsi="Times New Roman" w:eastAsia="宋体" w:cs="Times New Roman"/>
          <w:b/>
          <w:color w:val="auto"/>
          <w:kern w:val="0"/>
          <w:sz w:val="28"/>
          <w:szCs w:val="28"/>
        </w:rPr>
        <w:t>10、重要内容的解释和其他应予以说明的事项</w:t>
      </w:r>
      <w:bookmarkEnd w:id="56"/>
      <w:r>
        <w:rPr>
          <w:rFonts w:ascii="Times New Roman" w:hAnsi="Times New Roman" w:eastAsia="宋体" w:cs="Times New Roman"/>
          <w:b/>
          <w:color w:val="auto"/>
          <w:kern w:val="0"/>
          <w:sz w:val="28"/>
          <w:szCs w:val="28"/>
        </w:rPr>
        <w:t xml:space="preserve"> </w:t>
      </w:r>
    </w:p>
    <w:p>
      <w:pPr>
        <w:widowControl/>
        <w:ind w:firstLine="420" w:firstLineChars="200"/>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无</w:t>
      </w: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sectPr>
          <w:pgSz w:w="11906" w:h="16838"/>
          <w:pgMar w:top="567" w:right="1134" w:bottom="1134" w:left="1418" w:header="1417" w:footer="1134" w:gutter="0"/>
          <w:pgNumType w:start="1"/>
          <w:cols w:space="425" w:num="1"/>
          <w:docGrid w:type="lines" w:linePitch="312" w:charSpace="0"/>
        </w:sectPr>
      </w:pPr>
    </w:p>
    <w:p>
      <w:pPr>
        <w:jc w:val="center"/>
        <w:outlineLvl w:val="0"/>
        <w:rPr>
          <w:rFonts w:ascii="Times New Roman" w:hAnsi="Times New Roman" w:eastAsia="黑体" w:cs="Times New Roman"/>
          <w:bCs/>
          <w:color w:val="auto"/>
        </w:rPr>
      </w:pPr>
      <w:bookmarkStart w:id="57" w:name="_Toc107043679"/>
      <w:bookmarkStart w:id="58" w:name="_Toc131619692"/>
      <w:bookmarkStart w:id="59" w:name="_Toc176000759"/>
      <w:bookmarkStart w:id="60" w:name="_Toc4505768"/>
      <w:r>
        <w:rPr>
          <w:rFonts w:ascii="Times New Roman" w:hAnsi="Times New Roman" w:eastAsia="黑体" w:cs="Times New Roman"/>
          <w:bCs/>
          <w:color w:val="auto"/>
        </w:rPr>
        <w:t>附录A</w:t>
      </w:r>
      <w:bookmarkEnd w:id="57"/>
      <w:bookmarkEnd w:id="58"/>
    </w:p>
    <w:p>
      <w:pPr>
        <w:jc w:val="center"/>
        <w:outlineLvl w:val="0"/>
        <w:rPr>
          <w:rFonts w:ascii="Times New Roman" w:hAnsi="Times New Roman" w:eastAsia="黑体" w:cs="Times New Roman"/>
          <w:bCs/>
          <w:color w:val="auto"/>
        </w:rPr>
      </w:pPr>
      <w:bookmarkStart w:id="61" w:name="_Toc131619693"/>
      <w:bookmarkStart w:id="62" w:name="_Toc107043680"/>
      <w:r>
        <w:rPr>
          <w:rFonts w:ascii="Times New Roman" w:hAnsi="Times New Roman" w:eastAsia="黑体" w:cs="Times New Roman"/>
          <w:bCs/>
          <w:color w:val="auto"/>
        </w:rPr>
        <w:t>（规范性</w:t>
      </w:r>
      <w:r>
        <w:rPr>
          <w:rFonts w:hint="eastAsia" w:ascii="Times New Roman" w:hAnsi="Times New Roman" w:eastAsia="黑体" w:cs="Times New Roman"/>
          <w:bCs/>
          <w:color w:val="auto"/>
        </w:rPr>
        <w:t>附录</w:t>
      </w:r>
      <w:r>
        <w:rPr>
          <w:rFonts w:ascii="Times New Roman" w:hAnsi="Times New Roman" w:eastAsia="黑体" w:cs="Times New Roman"/>
          <w:bCs/>
          <w:color w:val="auto"/>
        </w:rPr>
        <w:t>）</w:t>
      </w:r>
      <w:bookmarkEnd w:id="61"/>
      <w:bookmarkEnd w:id="62"/>
    </w:p>
    <w:p>
      <w:pPr>
        <w:spacing w:before="156" w:beforeLines="50" w:after="156" w:afterLines="50"/>
        <w:jc w:val="center"/>
        <w:outlineLvl w:val="0"/>
        <w:rPr>
          <w:rFonts w:ascii="Times New Roman" w:hAnsi="Times New Roman" w:eastAsia="黑体" w:cs="Times New Roman"/>
          <w:color w:val="auto"/>
          <w:szCs w:val="21"/>
        </w:rPr>
      </w:pPr>
      <w:bookmarkStart w:id="63" w:name="_Toc107043681"/>
      <w:bookmarkStart w:id="64" w:name="_Toc131619694"/>
      <w:r>
        <w:rPr>
          <w:rFonts w:ascii="Times New Roman" w:hAnsi="Times New Roman" w:eastAsia="黑体" w:cs="Times New Roman"/>
          <w:color w:val="auto"/>
          <w:szCs w:val="21"/>
        </w:rPr>
        <w:t>锗行业绿色工厂评价指标体系</w:t>
      </w:r>
      <w:bookmarkEnd w:id="63"/>
      <w:r>
        <w:rPr>
          <w:rFonts w:hint="eastAsia" w:ascii="Times New Roman" w:hAnsi="Times New Roman" w:eastAsia="黑体" w:cs="Times New Roman"/>
          <w:color w:val="auto"/>
          <w:szCs w:val="21"/>
        </w:rPr>
        <w:t>（云南某企业）</w:t>
      </w:r>
      <w:bookmarkEnd w:id="64"/>
    </w:p>
    <w:p>
      <w:pPr>
        <w:spacing w:before="156" w:beforeLines="50" w:after="156" w:afterLines="50"/>
        <w:jc w:val="left"/>
        <w:rPr>
          <w:rFonts w:ascii="宋体" w:hAnsi="宋体" w:eastAsia="宋体" w:cs="宋体"/>
          <w:color w:val="auto"/>
          <w:szCs w:val="21"/>
        </w:rPr>
      </w:pPr>
      <w:r>
        <w:rPr>
          <w:rFonts w:ascii="宋体" w:hAnsi="宋体" w:eastAsia="宋体" w:cs="宋体"/>
          <w:color w:val="auto"/>
          <w:szCs w:val="21"/>
        </w:rPr>
        <w:t>锗行业绿色工厂评价指标体系</w:t>
      </w:r>
      <w:r>
        <w:rPr>
          <w:rFonts w:hint="eastAsia" w:ascii="宋体" w:hAnsi="宋体" w:eastAsia="宋体" w:cs="宋体"/>
          <w:color w:val="auto"/>
          <w:szCs w:val="21"/>
        </w:rPr>
        <w:t>见表A.1</w:t>
      </w:r>
    </w:p>
    <w:p>
      <w:pPr>
        <w:spacing w:before="156" w:beforeLines="50" w:after="156" w:afterLines="50"/>
        <w:jc w:val="center"/>
        <w:outlineLvl w:val="0"/>
        <w:rPr>
          <w:rFonts w:ascii="黑体" w:hAnsi="黑体" w:eastAsia="黑体" w:cs="黑体"/>
          <w:color w:val="auto"/>
          <w:szCs w:val="21"/>
        </w:rPr>
      </w:pPr>
      <w:bookmarkStart w:id="65" w:name="_Toc131619695"/>
      <w:r>
        <w:rPr>
          <w:rFonts w:hint="eastAsia" w:ascii="黑体" w:hAnsi="黑体" w:eastAsia="黑体" w:cs="黑体"/>
          <w:color w:val="auto"/>
          <w:szCs w:val="21"/>
        </w:rPr>
        <w:t>表A.1 锗行业绿色工厂评价指标体系</w:t>
      </w:r>
      <w:bookmarkEnd w:id="65"/>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93"/>
        <w:gridCol w:w="1161"/>
        <w:gridCol w:w="6133"/>
        <w:gridCol w:w="3058"/>
        <w:gridCol w:w="709"/>
        <w:gridCol w:w="577"/>
        <w:gridCol w:w="592"/>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232"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序号</w:t>
            </w:r>
          </w:p>
        </w:tc>
        <w:tc>
          <w:tcPr>
            <w:tcW w:w="342"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一级指标</w:t>
            </w:r>
          </w:p>
        </w:tc>
        <w:tc>
          <w:tcPr>
            <w:tcW w:w="400"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二级指标</w:t>
            </w:r>
          </w:p>
        </w:tc>
        <w:tc>
          <w:tcPr>
            <w:tcW w:w="2112"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具体评价要求</w:t>
            </w:r>
          </w:p>
        </w:tc>
        <w:tc>
          <w:tcPr>
            <w:tcW w:w="1053"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符合性说明及证明材料索引</w:t>
            </w:r>
          </w:p>
        </w:tc>
        <w:tc>
          <w:tcPr>
            <w:tcW w:w="244"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要求类型</w:t>
            </w:r>
          </w:p>
        </w:tc>
        <w:tc>
          <w:tcPr>
            <w:tcW w:w="199"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分值</w:t>
            </w:r>
          </w:p>
        </w:tc>
        <w:tc>
          <w:tcPr>
            <w:tcW w:w="204"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权重</w:t>
            </w:r>
          </w:p>
        </w:tc>
        <w:tc>
          <w:tcPr>
            <w:tcW w:w="209"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32"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w:t>
            </w:r>
          </w:p>
        </w:tc>
        <w:tc>
          <w:tcPr>
            <w:tcW w:w="342"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基本要求</w:t>
            </w:r>
          </w:p>
        </w:tc>
        <w:tc>
          <w:tcPr>
            <w:tcW w:w="400"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合规性与相关方要求</w:t>
            </w:r>
          </w:p>
        </w:tc>
        <w:tc>
          <w:tcPr>
            <w:tcW w:w="2112" w:type="pct"/>
            <w:noWrap/>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应依法设立，在建设和实际生产过程中应遵守有关法律、法规、政策和标准，工厂应至少运行一年以上。</w:t>
            </w:r>
          </w:p>
        </w:tc>
        <w:tc>
          <w:tcPr>
            <w:tcW w:w="1053" w:type="pct"/>
            <w:vAlign w:val="center"/>
          </w:tcPr>
          <w:p>
            <w:pPr>
              <w:adjustRightInd w:val="0"/>
              <w:snapToGrid w:val="0"/>
              <w:jc w:val="left"/>
              <w:rPr>
                <w:rFonts w:ascii="宋体" w:hAnsi="宋体" w:eastAsia="宋体" w:cs="宋体"/>
                <w:color w:val="auto"/>
                <w:sz w:val="18"/>
                <w:szCs w:val="18"/>
              </w:rPr>
            </w:pPr>
            <w:r>
              <w:rPr>
                <w:rFonts w:hint="eastAsia" w:ascii="宋体" w:hAnsi="宋体" w:eastAsia="宋体" w:cs="宋体"/>
                <w:color w:val="auto"/>
                <w:sz w:val="18"/>
                <w:szCs w:val="18"/>
              </w:rPr>
              <w:t>营业执照、法律法规标准清单等相关证明文件</w:t>
            </w:r>
          </w:p>
        </w:tc>
        <w:tc>
          <w:tcPr>
            <w:tcW w:w="244"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sz w:val="18"/>
                <w:szCs w:val="18"/>
              </w:rPr>
              <w:t>-</w:t>
            </w: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sz w:val="18"/>
                <w:szCs w:val="18"/>
              </w:rPr>
              <w:t>-</w:t>
            </w:r>
          </w:p>
        </w:tc>
        <w:tc>
          <w:tcPr>
            <w:tcW w:w="204"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一票否决</w:t>
            </w: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widowControl/>
              <w:jc w:val="center"/>
              <w:rPr>
                <w:rFonts w:ascii="宋体" w:hAnsi="宋体" w:eastAsia="宋体" w:cs="宋体"/>
                <w:color w:val="auto"/>
                <w:kern w:val="0"/>
                <w:sz w:val="18"/>
                <w:szCs w:val="18"/>
              </w:rPr>
            </w:pPr>
          </w:p>
        </w:tc>
        <w:tc>
          <w:tcPr>
            <w:tcW w:w="342" w:type="pct"/>
            <w:vMerge w:val="continue"/>
            <w:vAlign w:val="center"/>
          </w:tcPr>
          <w:p>
            <w:pPr>
              <w:widowControl/>
              <w:jc w:val="center"/>
              <w:rPr>
                <w:rFonts w:ascii="宋体" w:hAnsi="宋体" w:eastAsia="宋体" w:cs="宋体"/>
                <w:color w:val="auto"/>
                <w:kern w:val="0"/>
                <w:sz w:val="18"/>
                <w:szCs w:val="18"/>
              </w:rPr>
            </w:pPr>
          </w:p>
        </w:tc>
        <w:tc>
          <w:tcPr>
            <w:tcW w:w="400" w:type="pct"/>
            <w:vMerge w:val="continue"/>
            <w:vAlign w:val="center"/>
          </w:tcPr>
          <w:p>
            <w:pPr>
              <w:widowControl/>
              <w:jc w:val="center"/>
              <w:rPr>
                <w:rFonts w:ascii="宋体" w:hAnsi="宋体" w:eastAsia="宋体" w:cs="宋体"/>
                <w:color w:val="auto"/>
                <w:kern w:val="0"/>
                <w:sz w:val="18"/>
                <w:szCs w:val="18"/>
              </w:rPr>
            </w:pPr>
          </w:p>
        </w:tc>
        <w:tc>
          <w:tcPr>
            <w:tcW w:w="2112" w:type="pct"/>
            <w:noWrap/>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应具有良好信用，近三年（含成立不足三年）无严重违法失信、经营异常和行政处罚记录。</w:t>
            </w:r>
          </w:p>
        </w:tc>
        <w:tc>
          <w:tcPr>
            <w:tcW w:w="1053" w:type="pct"/>
            <w:vAlign w:val="center"/>
          </w:tcPr>
          <w:p>
            <w:pPr>
              <w:adjustRightInd w:val="0"/>
              <w:snapToGrid w:val="0"/>
              <w:jc w:val="left"/>
              <w:rPr>
                <w:rFonts w:ascii="宋体" w:hAnsi="宋体" w:eastAsia="宋体" w:cs="宋体"/>
                <w:color w:val="auto"/>
                <w:sz w:val="18"/>
                <w:szCs w:val="18"/>
              </w:rPr>
            </w:pPr>
            <w:r>
              <w:rPr>
                <w:color w:val="auto"/>
              </w:rPr>
              <w:fldChar w:fldCharType="begin"/>
            </w:r>
            <w:r>
              <w:rPr>
                <w:color w:val="auto"/>
              </w:rPr>
              <w:instrText xml:space="preserve"> HYPERLINK "https://www.baidu.com/link?url=NNtyM0b0l6f2XkMMgQ7lJtDY_6QfPGQzw0munkXVVikz1Ab_WvImp96OBMjFwPCi&amp;wd=&amp;eqid=b5fc5fa600102158000000035d639a38" \t "https://www.baidu.com/_blank" </w:instrText>
            </w:r>
            <w:r>
              <w:rPr>
                <w:color w:val="auto"/>
              </w:rPr>
              <w:fldChar w:fldCharType="separate"/>
            </w:r>
            <w:r>
              <w:rPr>
                <w:rFonts w:hint="eastAsia" w:ascii="宋体" w:hAnsi="宋体" w:eastAsia="宋体" w:cs="宋体"/>
                <w:color w:val="auto"/>
                <w:sz w:val="18"/>
                <w:szCs w:val="18"/>
              </w:rPr>
              <w:t>国家企业信用信息公示系统无处罚记录等</w:t>
            </w:r>
            <w:r>
              <w:rPr>
                <w:rFonts w:hint="eastAsia" w:ascii="宋体" w:hAnsi="宋体" w:eastAsia="宋体" w:cs="宋体"/>
                <w:color w:val="auto"/>
                <w:sz w:val="18"/>
                <w:szCs w:val="18"/>
              </w:rPr>
              <w:fldChar w:fldCharType="end"/>
            </w:r>
          </w:p>
        </w:tc>
        <w:tc>
          <w:tcPr>
            <w:tcW w:w="244" w:type="pct"/>
            <w:vMerge w:val="continue"/>
            <w:vAlign w:val="center"/>
          </w:tcPr>
          <w:p>
            <w:pPr>
              <w:widowControl/>
              <w:jc w:val="center"/>
              <w:rPr>
                <w:rFonts w:ascii="宋体" w:hAnsi="宋体" w:eastAsia="宋体" w:cs="宋体"/>
                <w:color w:val="auto"/>
                <w:kern w:val="0"/>
                <w:sz w:val="18"/>
                <w:szCs w:val="18"/>
              </w:rPr>
            </w:pP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sz w:val="18"/>
                <w:szCs w:val="18"/>
              </w:rPr>
              <w:t>-</w:t>
            </w:r>
          </w:p>
        </w:tc>
        <w:tc>
          <w:tcPr>
            <w:tcW w:w="204" w:type="pct"/>
            <w:vMerge w:val="continue"/>
            <w:vAlign w:val="center"/>
          </w:tcPr>
          <w:p>
            <w:pPr>
              <w:widowControl/>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widowControl/>
              <w:jc w:val="center"/>
              <w:rPr>
                <w:rFonts w:ascii="宋体" w:hAnsi="宋体" w:eastAsia="宋体" w:cs="宋体"/>
                <w:color w:val="auto"/>
                <w:kern w:val="0"/>
                <w:sz w:val="18"/>
                <w:szCs w:val="18"/>
              </w:rPr>
            </w:pPr>
          </w:p>
        </w:tc>
        <w:tc>
          <w:tcPr>
            <w:tcW w:w="342" w:type="pct"/>
            <w:vMerge w:val="continue"/>
            <w:vAlign w:val="center"/>
          </w:tcPr>
          <w:p>
            <w:pPr>
              <w:widowControl/>
              <w:jc w:val="center"/>
              <w:rPr>
                <w:rFonts w:ascii="宋体" w:hAnsi="宋体" w:eastAsia="宋体" w:cs="宋体"/>
                <w:color w:val="auto"/>
                <w:kern w:val="0"/>
                <w:sz w:val="18"/>
                <w:szCs w:val="18"/>
              </w:rPr>
            </w:pPr>
          </w:p>
        </w:tc>
        <w:tc>
          <w:tcPr>
            <w:tcW w:w="400" w:type="pct"/>
            <w:vMerge w:val="continue"/>
            <w:vAlign w:val="center"/>
          </w:tcPr>
          <w:p>
            <w:pPr>
              <w:widowControl/>
              <w:jc w:val="center"/>
              <w:rPr>
                <w:rFonts w:ascii="宋体" w:hAnsi="宋体" w:eastAsia="宋体" w:cs="宋体"/>
                <w:color w:val="auto"/>
                <w:kern w:val="0"/>
                <w:sz w:val="18"/>
                <w:szCs w:val="18"/>
              </w:rPr>
            </w:pPr>
          </w:p>
        </w:tc>
        <w:tc>
          <w:tcPr>
            <w:tcW w:w="2112" w:type="pct"/>
            <w:noWrap/>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近三年（含成立不足三年）无较大及以上安全、环保、质量等事故。</w:t>
            </w:r>
          </w:p>
        </w:tc>
        <w:tc>
          <w:tcPr>
            <w:tcW w:w="1053"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近三年无较大及以上安全、环保、质量事故证明</w:t>
            </w:r>
          </w:p>
        </w:tc>
        <w:tc>
          <w:tcPr>
            <w:tcW w:w="244" w:type="pct"/>
            <w:vMerge w:val="continue"/>
            <w:vAlign w:val="center"/>
          </w:tcPr>
          <w:p>
            <w:pPr>
              <w:widowControl/>
              <w:jc w:val="center"/>
              <w:rPr>
                <w:rFonts w:ascii="宋体" w:hAnsi="宋体" w:eastAsia="宋体" w:cs="宋体"/>
                <w:color w:val="auto"/>
                <w:kern w:val="0"/>
                <w:sz w:val="18"/>
                <w:szCs w:val="18"/>
              </w:rPr>
            </w:pP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sz w:val="18"/>
                <w:szCs w:val="18"/>
              </w:rPr>
              <w:t>-</w:t>
            </w:r>
          </w:p>
        </w:tc>
        <w:tc>
          <w:tcPr>
            <w:tcW w:w="204" w:type="pct"/>
            <w:vMerge w:val="continue"/>
            <w:vAlign w:val="center"/>
          </w:tcPr>
          <w:p>
            <w:pPr>
              <w:widowControl/>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widowControl/>
              <w:jc w:val="center"/>
              <w:rPr>
                <w:rFonts w:ascii="宋体" w:hAnsi="宋体" w:eastAsia="宋体" w:cs="宋体"/>
                <w:color w:val="auto"/>
                <w:kern w:val="0"/>
                <w:sz w:val="18"/>
                <w:szCs w:val="18"/>
              </w:rPr>
            </w:pPr>
          </w:p>
        </w:tc>
        <w:tc>
          <w:tcPr>
            <w:tcW w:w="342" w:type="pct"/>
            <w:vMerge w:val="continue"/>
            <w:vAlign w:val="center"/>
          </w:tcPr>
          <w:p>
            <w:pPr>
              <w:widowControl/>
              <w:jc w:val="center"/>
              <w:rPr>
                <w:rFonts w:ascii="宋体" w:hAnsi="宋体" w:eastAsia="宋体" w:cs="宋体"/>
                <w:color w:val="auto"/>
                <w:kern w:val="0"/>
                <w:sz w:val="18"/>
                <w:szCs w:val="18"/>
              </w:rPr>
            </w:pPr>
          </w:p>
        </w:tc>
        <w:tc>
          <w:tcPr>
            <w:tcW w:w="400" w:type="pct"/>
            <w:vMerge w:val="continue"/>
            <w:vAlign w:val="center"/>
          </w:tcPr>
          <w:p>
            <w:pPr>
              <w:widowControl/>
              <w:jc w:val="center"/>
              <w:rPr>
                <w:rFonts w:ascii="宋体" w:hAnsi="宋体" w:eastAsia="宋体" w:cs="宋体"/>
                <w:color w:val="auto"/>
                <w:kern w:val="0"/>
                <w:sz w:val="18"/>
                <w:szCs w:val="18"/>
              </w:rPr>
            </w:pPr>
          </w:p>
        </w:tc>
        <w:tc>
          <w:tcPr>
            <w:tcW w:w="2112" w:type="pct"/>
            <w:noWrap/>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应符合国家和行业现行的产业政策、环保政策和安全规范要求。</w:t>
            </w:r>
          </w:p>
        </w:tc>
        <w:tc>
          <w:tcPr>
            <w:tcW w:w="1053"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生产许可证等相关证明文件</w:t>
            </w:r>
          </w:p>
        </w:tc>
        <w:tc>
          <w:tcPr>
            <w:tcW w:w="244" w:type="pct"/>
            <w:vMerge w:val="continue"/>
            <w:vAlign w:val="center"/>
          </w:tcPr>
          <w:p>
            <w:pPr>
              <w:widowControl/>
              <w:jc w:val="center"/>
              <w:rPr>
                <w:rFonts w:ascii="宋体" w:hAnsi="宋体" w:eastAsia="宋体" w:cs="宋体"/>
                <w:color w:val="auto"/>
                <w:kern w:val="0"/>
                <w:sz w:val="18"/>
                <w:szCs w:val="18"/>
              </w:rPr>
            </w:pP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sz w:val="18"/>
                <w:szCs w:val="18"/>
              </w:rPr>
              <w:t>-</w:t>
            </w:r>
          </w:p>
        </w:tc>
        <w:tc>
          <w:tcPr>
            <w:tcW w:w="204" w:type="pct"/>
            <w:vMerge w:val="continue"/>
            <w:vAlign w:val="center"/>
          </w:tcPr>
          <w:p>
            <w:pPr>
              <w:widowControl/>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widowControl/>
              <w:jc w:val="center"/>
              <w:rPr>
                <w:rFonts w:ascii="宋体" w:hAnsi="宋体" w:eastAsia="宋体" w:cs="宋体"/>
                <w:color w:val="auto"/>
                <w:kern w:val="0"/>
                <w:sz w:val="18"/>
                <w:szCs w:val="18"/>
              </w:rPr>
            </w:pPr>
          </w:p>
        </w:tc>
        <w:tc>
          <w:tcPr>
            <w:tcW w:w="342" w:type="pct"/>
            <w:vMerge w:val="continue"/>
            <w:vAlign w:val="center"/>
          </w:tcPr>
          <w:p>
            <w:pPr>
              <w:widowControl/>
              <w:jc w:val="center"/>
              <w:rPr>
                <w:rFonts w:ascii="宋体" w:hAnsi="宋体" w:eastAsia="宋体" w:cs="宋体"/>
                <w:color w:val="auto"/>
                <w:kern w:val="0"/>
                <w:sz w:val="18"/>
                <w:szCs w:val="18"/>
              </w:rPr>
            </w:pPr>
          </w:p>
        </w:tc>
        <w:tc>
          <w:tcPr>
            <w:tcW w:w="400" w:type="pct"/>
            <w:vMerge w:val="continue"/>
            <w:vAlign w:val="center"/>
          </w:tcPr>
          <w:p>
            <w:pPr>
              <w:widowControl/>
              <w:jc w:val="center"/>
              <w:rPr>
                <w:rFonts w:ascii="宋体" w:hAnsi="宋体" w:eastAsia="宋体" w:cs="宋体"/>
                <w:color w:val="auto"/>
                <w:kern w:val="0"/>
                <w:sz w:val="18"/>
                <w:szCs w:val="18"/>
              </w:rPr>
            </w:pPr>
          </w:p>
        </w:tc>
        <w:tc>
          <w:tcPr>
            <w:tcW w:w="2112" w:type="pct"/>
            <w:noWrap/>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对利益相关方的环境做出承诺的，应同时满足有关承诺要求。</w:t>
            </w:r>
          </w:p>
        </w:tc>
        <w:tc>
          <w:tcPr>
            <w:tcW w:w="1053"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相关环境要求承诺书等</w:t>
            </w:r>
          </w:p>
        </w:tc>
        <w:tc>
          <w:tcPr>
            <w:tcW w:w="244" w:type="pct"/>
            <w:vMerge w:val="continue"/>
            <w:vAlign w:val="center"/>
          </w:tcPr>
          <w:p>
            <w:pPr>
              <w:widowControl/>
              <w:jc w:val="center"/>
              <w:rPr>
                <w:rFonts w:ascii="宋体" w:hAnsi="宋体" w:eastAsia="宋体" w:cs="宋体"/>
                <w:color w:val="auto"/>
                <w:kern w:val="0"/>
                <w:sz w:val="18"/>
                <w:szCs w:val="18"/>
              </w:rPr>
            </w:pP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sz w:val="18"/>
                <w:szCs w:val="18"/>
              </w:rPr>
              <w:t>-</w:t>
            </w:r>
          </w:p>
        </w:tc>
        <w:tc>
          <w:tcPr>
            <w:tcW w:w="204" w:type="pct"/>
            <w:vMerge w:val="continue"/>
            <w:vAlign w:val="center"/>
          </w:tcPr>
          <w:p>
            <w:pPr>
              <w:widowControl/>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widowControl/>
              <w:jc w:val="center"/>
              <w:rPr>
                <w:rFonts w:ascii="宋体" w:hAnsi="宋体" w:eastAsia="宋体" w:cs="宋体"/>
                <w:color w:val="auto"/>
                <w:kern w:val="0"/>
                <w:sz w:val="18"/>
                <w:szCs w:val="18"/>
              </w:rPr>
            </w:pPr>
          </w:p>
        </w:tc>
        <w:tc>
          <w:tcPr>
            <w:tcW w:w="342" w:type="pct"/>
            <w:vMerge w:val="continue"/>
            <w:vAlign w:val="center"/>
          </w:tcPr>
          <w:p>
            <w:pPr>
              <w:widowControl/>
              <w:jc w:val="center"/>
              <w:rPr>
                <w:rFonts w:ascii="宋体" w:hAnsi="宋体" w:eastAsia="宋体" w:cs="宋体"/>
                <w:color w:val="auto"/>
                <w:kern w:val="0"/>
                <w:sz w:val="18"/>
                <w:szCs w:val="18"/>
              </w:rPr>
            </w:pPr>
          </w:p>
        </w:tc>
        <w:tc>
          <w:tcPr>
            <w:tcW w:w="400"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最高管理者要求</w:t>
            </w: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sz w:val="18"/>
                <w:szCs w:val="18"/>
              </w:rPr>
              <w:t>最高管理者在绿色工厂方面的领导作用和承诺应满足GB/T 36132-2018中4.3.1a）的要求。</w:t>
            </w:r>
          </w:p>
        </w:tc>
        <w:tc>
          <w:tcPr>
            <w:tcW w:w="1053"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管理者代表授权书、绿色工厂承诺书等 </w:t>
            </w:r>
          </w:p>
        </w:tc>
        <w:tc>
          <w:tcPr>
            <w:tcW w:w="244" w:type="pct"/>
            <w:vMerge w:val="continue"/>
            <w:vAlign w:val="center"/>
          </w:tcPr>
          <w:p>
            <w:pPr>
              <w:widowControl/>
              <w:jc w:val="center"/>
              <w:rPr>
                <w:rFonts w:ascii="宋体" w:hAnsi="宋体" w:eastAsia="宋体" w:cs="宋体"/>
                <w:color w:val="auto"/>
                <w:kern w:val="0"/>
                <w:sz w:val="18"/>
                <w:szCs w:val="18"/>
              </w:rPr>
            </w:pP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sz w:val="18"/>
                <w:szCs w:val="18"/>
              </w:rPr>
              <w:t>-</w:t>
            </w:r>
          </w:p>
        </w:tc>
        <w:tc>
          <w:tcPr>
            <w:tcW w:w="204" w:type="pct"/>
            <w:vMerge w:val="continue"/>
            <w:vAlign w:val="center"/>
          </w:tcPr>
          <w:p>
            <w:pPr>
              <w:widowControl/>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widowControl/>
              <w:jc w:val="center"/>
              <w:rPr>
                <w:rFonts w:ascii="宋体" w:hAnsi="宋体" w:eastAsia="宋体" w:cs="宋体"/>
                <w:color w:val="auto"/>
                <w:kern w:val="0"/>
                <w:sz w:val="18"/>
                <w:szCs w:val="18"/>
              </w:rPr>
            </w:pPr>
          </w:p>
        </w:tc>
        <w:tc>
          <w:tcPr>
            <w:tcW w:w="342" w:type="pct"/>
            <w:vMerge w:val="continue"/>
            <w:vAlign w:val="center"/>
          </w:tcPr>
          <w:p>
            <w:pPr>
              <w:widowControl/>
              <w:jc w:val="center"/>
              <w:rPr>
                <w:rFonts w:ascii="宋体" w:hAnsi="宋体" w:eastAsia="宋体" w:cs="宋体"/>
                <w:color w:val="auto"/>
                <w:kern w:val="0"/>
                <w:sz w:val="18"/>
                <w:szCs w:val="18"/>
              </w:rPr>
            </w:pPr>
          </w:p>
        </w:tc>
        <w:tc>
          <w:tcPr>
            <w:tcW w:w="400" w:type="pct"/>
            <w:vMerge w:val="continue"/>
            <w:vAlign w:val="center"/>
          </w:tcPr>
          <w:p>
            <w:pPr>
              <w:widowControl/>
              <w:jc w:val="center"/>
              <w:rPr>
                <w:rFonts w:ascii="宋体" w:hAnsi="宋体" w:eastAsia="宋体" w:cs="宋体"/>
                <w:color w:val="auto"/>
                <w:kern w:val="0"/>
                <w:sz w:val="18"/>
                <w:szCs w:val="18"/>
              </w:rPr>
            </w:pPr>
          </w:p>
        </w:tc>
        <w:tc>
          <w:tcPr>
            <w:tcW w:w="2112" w:type="pct"/>
            <w:vAlign w:val="center"/>
          </w:tcPr>
          <w:p>
            <w:pPr>
              <w:widowControl/>
              <w:jc w:val="left"/>
              <w:rPr>
                <w:rFonts w:ascii="宋体" w:hAnsi="宋体" w:eastAsia="宋体" w:cs="宋体"/>
                <w:color w:val="auto"/>
                <w:sz w:val="18"/>
                <w:szCs w:val="18"/>
              </w:rPr>
            </w:pPr>
            <w:r>
              <w:rPr>
                <w:rFonts w:hint="eastAsia" w:ascii="宋体" w:hAnsi="宋体" w:eastAsia="宋体" w:cs="宋体"/>
                <w:color w:val="auto"/>
                <w:sz w:val="18"/>
                <w:szCs w:val="18"/>
              </w:rPr>
              <w:t>最高管理者应确保在工厂内部分配并沟通与绿色工厂相关角色的职责和权限，且应满足GB/T 36132-2018中4.3.1b）的要求。</w:t>
            </w:r>
          </w:p>
        </w:tc>
        <w:tc>
          <w:tcPr>
            <w:tcW w:w="1053"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绿色工厂部门管理职责等</w:t>
            </w:r>
          </w:p>
        </w:tc>
        <w:tc>
          <w:tcPr>
            <w:tcW w:w="244" w:type="pct"/>
            <w:vMerge w:val="continue"/>
            <w:vAlign w:val="center"/>
          </w:tcPr>
          <w:p>
            <w:pPr>
              <w:widowControl/>
              <w:jc w:val="center"/>
              <w:rPr>
                <w:rFonts w:ascii="宋体" w:hAnsi="宋体" w:eastAsia="宋体" w:cs="宋体"/>
                <w:color w:val="auto"/>
                <w:kern w:val="0"/>
                <w:sz w:val="18"/>
                <w:szCs w:val="18"/>
              </w:rPr>
            </w:pP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sz w:val="18"/>
                <w:szCs w:val="18"/>
              </w:rPr>
              <w:t>-</w:t>
            </w:r>
          </w:p>
        </w:tc>
        <w:tc>
          <w:tcPr>
            <w:tcW w:w="204" w:type="pct"/>
            <w:vMerge w:val="continue"/>
            <w:vAlign w:val="center"/>
          </w:tcPr>
          <w:p>
            <w:pPr>
              <w:widowControl/>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widowControl/>
              <w:jc w:val="center"/>
              <w:rPr>
                <w:rFonts w:ascii="宋体" w:hAnsi="宋体" w:eastAsia="宋体" w:cs="宋体"/>
                <w:color w:val="auto"/>
                <w:kern w:val="0"/>
                <w:sz w:val="18"/>
                <w:szCs w:val="18"/>
              </w:rPr>
            </w:pPr>
          </w:p>
        </w:tc>
        <w:tc>
          <w:tcPr>
            <w:tcW w:w="342" w:type="pct"/>
            <w:vMerge w:val="continue"/>
            <w:vAlign w:val="center"/>
          </w:tcPr>
          <w:p>
            <w:pPr>
              <w:widowControl/>
              <w:jc w:val="center"/>
              <w:rPr>
                <w:rFonts w:ascii="宋体" w:hAnsi="宋体" w:eastAsia="宋体" w:cs="宋体"/>
                <w:color w:val="auto"/>
                <w:kern w:val="0"/>
                <w:sz w:val="18"/>
                <w:szCs w:val="18"/>
              </w:rPr>
            </w:pPr>
          </w:p>
        </w:tc>
        <w:tc>
          <w:tcPr>
            <w:tcW w:w="400"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工厂要求</w:t>
            </w: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应设有绿色工厂管理机构，负责有关绿色工厂的制度建设、实施、考核及奖励工作，建立目标责任制。</w:t>
            </w:r>
          </w:p>
        </w:tc>
        <w:tc>
          <w:tcPr>
            <w:tcW w:w="1053"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绿色工厂管理机构组织结构图、绿色工厂管理制度等</w:t>
            </w:r>
          </w:p>
        </w:tc>
        <w:tc>
          <w:tcPr>
            <w:tcW w:w="244" w:type="pct"/>
            <w:vMerge w:val="continue"/>
            <w:vAlign w:val="center"/>
          </w:tcPr>
          <w:p>
            <w:pPr>
              <w:widowControl/>
              <w:jc w:val="center"/>
              <w:rPr>
                <w:rFonts w:ascii="宋体" w:hAnsi="宋体" w:eastAsia="宋体" w:cs="宋体"/>
                <w:color w:val="auto"/>
                <w:kern w:val="0"/>
                <w:sz w:val="18"/>
                <w:szCs w:val="18"/>
              </w:rPr>
            </w:pP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sz w:val="18"/>
                <w:szCs w:val="18"/>
              </w:rPr>
              <w:t>-</w:t>
            </w:r>
          </w:p>
        </w:tc>
        <w:tc>
          <w:tcPr>
            <w:tcW w:w="204" w:type="pct"/>
            <w:vMerge w:val="continue"/>
            <w:vAlign w:val="center"/>
          </w:tcPr>
          <w:p>
            <w:pPr>
              <w:widowControl/>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widowControl/>
              <w:jc w:val="center"/>
              <w:rPr>
                <w:rFonts w:ascii="宋体" w:hAnsi="宋体" w:eastAsia="宋体" w:cs="宋体"/>
                <w:color w:val="auto"/>
                <w:kern w:val="0"/>
                <w:sz w:val="18"/>
                <w:szCs w:val="18"/>
              </w:rPr>
            </w:pPr>
          </w:p>
        </w:tc>
        <w:tc>
          <w:tcPr>
            <w:tcW w:w="342" w:type="pct"/>
            <w:vMerge w:val="continue"/>
            <w:vAlign w:val="center"/>
          </w:tcPr>
          <w:p>
            <w:pPr>
              <w:widowControl/>
              <w:jc w:val="center"/>
              <w:rPr>
                <w:rFonts w:ascii="宋体" w:hAnsi="宋体" w:eastAsia="宋体" w:cs="宋体"/>
                <w:color w:val="auto"/>
                <w:kern w:val="0"/>
                <w:sz w:val="18"/>
                <w:szCs w:val="18"/>
              </w:rPr>
            </w:pPr>
          </w:p>
        </w:tc>
        <w:tc>
          <w:tcPr>
            <w:tcW w:w="400" w:type="pct"/>
            <w:vMerge w:val="continue"/>
            <w:vAlign w:val="center"/>
          </w:tcPr>
          <w:p>
            <w:pPr>
              <w:widowControl/>
              <w:jc w:val="center"/>
              <w:rPr>
                <w:rFonts w:ascii="宋体" w:hAnsi="宋体" w:eastAsia="宋体" w:cs="宋体"/>
                <w:color w:val="auto"/>
                <w:kern w:val="0"/>
                <w:sz w:val="18"/>
                <w:szCs w:val="18"/>
              </w:rPr>
            </w:pP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应有开展绿色工厂的中长期规划及年度目标、指标和实施方案。可行时，明确指标且可量化。</w:t>
            </w:r>
          </w:p>
        </w:tc>
        <w:tc>
          <w:tcPr>
            <w:tcW w:w="1053"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绿色工厂建设方案等</w:t>
            </w:r>
          </w:p>
        </w:tc>
        <w:tc>
          <w:tcPr>
            <w:tcW w:w="244" w:type="pct"/>
            <w:vMerge w:val="continue"/>
            <w:vAlign w:val="center"/>
          </w:tcPr>
          <w:p>
            <w:pPr>
              <w:widowControl/>
              <w:jc w:val="center"/>
              <w:rPr>
                <w:rFonts w:ascii="宋体" w:hAnsi="宋体" w:eastAsia="宋体" w:cs="宋体"/>
                <w:color w:val="auto"/>
                <w:kern w:val="0"/>
                <w:sz w:val="18"/>
                <w:szCs w:val="18"/>
              </w:rPr>
            </w:pP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sz w:val="18"/>
                <w:szCs w:val="18"/>
              </w:rPr>
              <w:t>-</w:t>
            </w:r>
          </w:p>
        </w:tc>
        <w:tc>
          <w:tcPr>
            <w:tcW w:w="204" w:type="pct"/>
            <w:vMerge w:val="continue"/>
            <w:vAlign w:val="center"/>
          </w:tcPr>
          <w:p>
            <w:pPr>
              <w:widowControl/>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widowControl/>
              <w:jc w:val="center"/>
              <w:rPr>
                <w:rFonts w:ascii="宋体" w:hAnsi="宋体" w:eastAsia="宋体" w:cs="宋体"/>
                <w:color w:val="auto"/>
                <w:kern w:val="0"/>
                <w:sz w:val="18"/>
                <w:szCs w:val="18"/>
              </w:rPr>
            </w:pPr>
          </w:p>
        </w:tc>
        <w:tc>
          <w:tcPr>
            <w:tcW w:w="342" w:type="pct"/>
            <w:vMerge w:val="continue"/>
            <w:vAlign w:val="center"/>
          </w:tcPr>
          <w:p>
            <w:pPr>
              <w:widowControl/>
              <w:jc w:val="center"/>
              <w:rPr>
                <w:rFonts w:ascii="宋体" w:hAnsi="宋体" w:eastAsia="宋体" w:cs="宋体"/>
                <w:color w:val="auto"/>
                <w:kern w:val="0"/>
                <w:sz w:val="18"/>
                <w:szCs w:val="18"/>
              </w:rPr>
            </w:pPr>
          </w:p>
        </w:tc>
        <w:tc>
          <w:tcPr>
            <w:tcW w:w="400" w:type="pct"/>
            <w:vMerge w:val="continue"/>
            <w:vAlign w:val="center"/>
          </w:tcPr>
          <w:p>
            <w:pPr>
              <w:widowControl/>
              <w:jc w:val="center"/>
              <w:rPr>
                <w:rFonts w:ascii="宋体" w:hAnsi="宋体" w:eastAsia="宋体" w:cs="宋体"/>
                <w:color w:val="auto"/>
                <w:kern w:val="0"/>
                <w:sz w:val="18"/>
                <w:szCs w:val="18"/>
              </w:rPr>
            </w:pP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应传播绿色制造的概念和知识，定期为员工提供绿色制造相关知识的教育、培训，并对教育和培训的结果进行考评。</w:t>
            </w:r>
          </w:p>
        </w:tc>
        <w:tc>
          <w:tcPr>
            <w:tcW w:w="1053"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绿色工厂培训教育方案、培训记录等</w:t>
            </w:r>
          </w:p>
        </w:tc>
        <w:tc>
          <w:tcPr>
            <w:tcW w:w="244" w:type="pct"/>
            <w:vMerge w:val="continue"/>
            <w:vAlign w:val="center"/>
          </w:tcPr>
          <w:p>
            <w:pPr>
              <w:widowControl/>
              <w:jc w:val="center"/>
              <w:rPr>
                <w:rFonts w:ascii="宋体" w:hAnsi="宋体" w:eastAsia="宋体" w:cs="宋体"/>
                <w:color w:val="auto"/>
                <w:kern w:val="0"/>
                <w:sz w:val="18"/>
                <w:szCs w:val="18"/>
              </w:rPr>
            </w:pP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sz w:val="18"/>
                <w:szCs w:val="18"/>
              </w:rPr>
              <w:t>-</w:t>
            </w:r>
          </w:p>
        </w:tc>
        <w:tc>
          <w:tcPr>
            <w:tcW w:w="204" w:type="pct"/>
            <w:vMerge w:val="continue"/>
            <w:vAlign w:val="center"/>
          </w:tcPr>
          <w:p>
            <w:pPr>
              <w:widowControl/>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sz w:val="18"/>
                <w:szCs w:val="18"/>
              </w:rPr>
              <w:t>-</w:t>
            </w:r>
          </w:p>
        </w:tc>
      </w:tr>
    </w:tbl>
    <w:p>
      <w:pPr>
        <w:spacing w:before="156" w:beforeLines="50" w:after="156" w:afterLines="50"/>
        <w:jc w:val="center"/>
        <w:outlineLvl w:val="0"/>
        <w:rPr>
          <w:rFonts w:ascii="黑体" w:hAnsi="黑体" w:eastAsia="黑体" w:cs="黑体"/>
          <w:color w:val="auto"/>
          <w:szCs w:val="21"/>
        </w:rPr>
      </w:pPr>
      <w:bookmarkStart w:id="66" w:name="_Toc131619696"/>
      <w:r>
        <w:rPr>
          <w:rFonts w:hint="eastAsia" w:ascii="黑体" w:hAnsi="黑体" w:eastAsia="黑体" w:cs="黑体"/>
          <w:color w:val="auto"/>
          <w:szCs w:val="21"/>
        </w:rPr>
        <w:t xml:space="preserve">表A.1 </w:t>
      </w:r>
      <w:r>
        <w:rPr>
          <w:rFonts w:ascii="黑体" w:hAnsi="黑体" w:eastAsia="黑体" w:cs="黑体"/>
          <w:color w:val="auto"/>
          <w:szCs w:val="21"/>
        </w:rPr>
        <w:t>锗行业绿色工厂评价指标体系</w:t>
      </w:r>
      <w:r>
        <w:rPr>
          <w:rFonts w:hint="eastAsia" w:ascii="黑体" w:hAnsi="黑体" w:eastAsia="黑体" w:cs="黑体"/>
          <w:color w:val="auto"/>
          <w:szCs w:val="21"/>
        </w:rPr>
        <w:t>（续）</w:t>
      </w:r>
      <w:bookmarkEnd w:id="66"/>
    </w:p>
    <w:tbl>
      <w:tblPr>
        <w:tblStyle w:val="1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93"/>
        <w:gridCol w:w="1161"/>
        <w:gridCol w:w="6132"/>
        <w:gridCol w:w="3057"/>
        <w:gridCol w:w="708"/>
        <w:gridCol w:w="577"/>
        <w:gridCol w:w="592"/>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2"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序号</w:t>
            </w:r>
          </w:p>
        </w:tc>
        <w:tc>
          <w:tcPr>
            <w:tcW w:w="342"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一级指标</w:t>
            </w:r>
          </w:p>
        </w:tc>
        <w:tc>
          <w:tcPr>
            <w:tcW w:w="400"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二级指标</w:t>
            </w:r>
          </w:p>
        </w:tc>
        <w:tc>
          <w:tcPr>
            <w:tcW w:w="2112"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具体评价要求</w:t>
            </w:r>
          </w:p>
        </w:tc>
        <w:tc>
          <w:tcPr>
            <w:tcW w:w="1053"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符合性说明及证明材料索引</w:t>
            </w:r>
          </w:p>
        </w:tc>
        <w:tc>
          <w:tcPr>
            <w:tcW w:w="244"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要求类型</w:t>
            </w:r>
          </w:p>
        </w:tc>
        <w:tc>
          <w:tcPr>
            <w:tcW w:w="199"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分值</w:t>
            </w:r>
          </w:p>
        </w:tc>
        <w:tc>
          <w:tcPr>
            <w:tcW w:w="204"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权重</w:t>
            </w:r>
          </w:p>
        </w:tc>
        <w:tc>
          <w:tcPr>
            <w:tcW w:w="209" w:type="pct"/>
            <w:noWrap/>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2" w:type="pct"/>
            <w:vMerge w:val="restart"/>
            <w:vAlign w:val="center"/>
          </w:tcPr>
          <w:p>
            <w:pPr>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w:t>
            </w:r>
          </w:p>
        </w:tc>
        <w:tc>
          <w:tcPr>
            <w:tcW w:w="342"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基础设施</w:t>
            </w:r>
          </w:p>
        </w:tc>
        <w:tc>
          <w:tcPr>
            <w:tcW w:w="400"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建筑</w:t>
            </w: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工厂的建筑应满足国家或地方相关法律法规及标准的要求。</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工程质量核验书或其他相关证明文件</w:t>
            </w:r>
          </w:p>
        </w:tc>
        <w:tc>
          <w:tcPr>
            <w:tcW w:w="244"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必选</w:t>
            </w: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8</w:t>
            </w:r>
          </w:p>
        </w:tc>
        <w:tc>
          <w:tcPr>
            <w:tcW w:w="204" w:type="pct"/>
            <w:vMerge w:val="restart"/>
            <w:vAlign w:val="center"/>
          </w:tcPr>
          <w:p>
            <w:pPr>
              <w:widowControl/>
              <w:wordWrap w:val="0"/>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15%</w:t>
            </w: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continue"/>
            <w:vAlign w:val="center"/>
          </w:tcPr>
          <w:p>
            <w:pPr>
              <w:widowControl/>
              <w:jc w:val="center"/>
              <w:rPr>
                <w:rFonts w:ascii="宋体" w:hAnsi="宋体" w:eastAsia="宋体" w:cs="宋体"/>
                <w:color w:val="auto"/>
                <w:kern w:val="0"/>
                <w:sz w:val="18"/>
                <w:szCs w:val="18"/>
              </w:rPr>
            </w:pP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新建、改建和扩建建筑时，应遵守国家“固定资产投资项目节能评估审查制度”、 “三同时制度”、“工业项目建设用地控制指标”等产业政策和有关要求。</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节能评估备案相关文件、三同时制度相关文件、建设用地规划许可证等相关证明文件（每具备一项得2分，满分6分）</w:t>
            </w:r>
          </w:p>
        </w:tc>
        <w:tc>
          <w:tcPr>
            <w:tcW w:w="244" w:type="pct"/>
            <w:vMerge w:val="continue"/>
            <w:vAlign w:val="center"/>
          </w:tcPr>
          <w:p>
            <w:pPr>
              <w:widowControl/>
              <w:jc w:val="center"/>
              <w:rPr>
                <w:rFonts w:ascii="宋体" w:hAnsi="宋体" w:eastAsia="宋体" w:cs="宋体"/>
                <w:color w:val="auto"/>
                <w:kern w:val="0"/>
                <w:sz w:val="18"/>
                <w:szCs w:val="18"/>
              </w:rPr>
            </w:pP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6</w:t>
            </w:r>
          </w:p>
        </w:tc>
        <w:tc>
          <w:tcPr>
            <w:tcW w:w="204" w:type="pct"/>
            <w:vMerge w:val="continue"/>
            <w:vAlign w:val="center"/>
          </w:tcPr>
          <w:p>
            <w:pPr>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continue"/>
            <w:vAlign w:val="center"/>
          </w:tcPr>
          <w:p>
            <w:pPr>
              <w:widowControl/>
              <w:jc w:val="center"/>
              <w:rPr>
                <w:rFonts w:ascii="宋体" w:hAnsi="宋体" w:eastAsia="宋体" w:cs="宋体"/>
                <w:color w:val="auto"/>
                <w:kern w:val="0"/>
                <w:sz w:val="18"/>
                <w:szCs w:val="18"/>
              </w:rPr>
            </w:pP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厂房内部装饰装修材料中醛、苯、氨、氡等有害物质应符合国家和地方法律、标准要求。</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装饰装修材料合格证明或其他相关证明文件</w:t>
            </w:r>
          </w:p>
        </w:tc>
        <w:tc>
          <w:tcPr>
            <w:tcW w:w="244" w:type="pct"/>
            <w:vMerge w:val="continue"/>
            <w:vAlign w:val="center"/>
          </w:tcPr>
          <w:p>
            <w:pPr>
              <w:widowControl/>
              <w:jc w:val="center"/>
              <w:rPr>
                <w:rFonts w:ascii="宋体" w:hAnsi="宋体" w:eastAsia="宋体" w:cs="宋体"/>
                <w:color w:val="auto"/>
                <w:kern w:val="0"/>
                <w:sz w:val="18"/>
                <w:szCs w:val="18"/>
              </w:rPr>
            </w:pP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w:t>
            </w:r>
          </w:p>
        </w:tc>
        <w:tc>
          <w:tcPr>
            <w:tcW w:w="204" w:type="pct"/>
            <w:vMerge w:val="continue"/>
            <w:vAlign w:val="center"/>
          </w:tcPr>
          <w:p>
            <w:pPr>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continue"/>
            <w:vAlign w:val="center"/>
          </w:tcPr>
          <w:p>
            <w:pPr>
              <w:widowControl/>
              <w:jc w:val="center"/>
              <w:rPr>
                <w:rFonts w:ascii="宋体" w:hAnsi="宋体" w:eastAsia="宋体" w:cs="宋体"/>
                <w:color w:val="auto"/>
                <w:kern w:val="0"/>
                <w:sz w:val="18"/>
                <w:szCs w:val="18"/>
              </w:rPr>
            </w:pP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危险品仓库、有毒有害操作间、废弃物处理间等产生污染物的房间应独立设置。</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危废固废存储储罐、仓库照片或其他相关证明文件</w:t>
            </w:r>
          </w:p>
        </w:tc>
        <w:tc>
          <w:tcPr>
            <w:tcW w:w="244" w:type="pct"/>
            <w:vMerge w:val="continue"/>
            <w:vAlign w:val="center"/>
          </w:tcPr>
          <w:p>
            <w:pPr>
              <w:widowControl/>
              <w:jc w:val="center"/>
              <w:rPr>
                <w:rFonts w:ascii="宋体" w:hAnsi="宋体" w:eastAsia="宋体" w:cs="宋体"/>
                <w:color w:val="auto"/>
                <w:kern w:val="0"/>
                <w:sz w:val="18"/>
                <w:szCs w:val="18"/>
              </w:rPr>
            </w:pP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w:t>
            </w:r>
          </w:p>
        </w:tc>
        <w:tc>
          <w:tcPr>
            <w:tcW w:w="204" w:type="pct"/>
            <w:vMerge w:val="continue"/>
            <w:vAlign w:val="center"/>
          </w:tcPr>
          <w:p>
            <w:pPr>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continue"/>
            <w:vAlign w:val="center"/>
          </w:tcPr>
          <w:p>
            <w:pPr>
              <w:widowControl/>
              <w:jc w:val="center"/>
              <w:rPr>
                <w:rFonts w:ascii="宋体" w:hAnsi="宋体" w:eastAsia="宋体" w:cs="宋体"/>
                <w:color w:val="auto"/>
                <w:kern w:val="0"/>
                <w:sz w:val="18"/>
                <w:szCs w:val="18"/>
              </w:rPr>
            </w:pP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建筑材料：(1)宜选用蕴能低、高性能、高耐久性和本地建材，减少建材在全生命周期中的能源消耗；(2)室内装饰装修材料宜满足国家标准GB 18580、GB 18581、GB 18582、GB 18583、GB 18584、GB 18585、GB 18586、GB 18587、18588和GB 6566的要求。</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厂房建筑施工图设计说明或其他相关证明文件</w:t>
            </w:r>
          </w:p>
        </w:tc>
        <w:tc>
          <w:tcPr>
            <w:tcW w:w="244"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可选</w:t>
            </w: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continue"/>
            <w:vAlign w:val="center"/>
          </w:tcPr>
          <w:p>
            <w:pPr>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continue"/>
            <w:vAlign w:val="center"/>
          </w:tcPr>
          <w:p>
            <w:pPr>
              <w:widowControl/>
              <w:jc w:val="center"/>
              <w:rPr>
                <w:rFonts w:ascii="宋体" w:hAnsi="宋体" w:eastAsia="宋体" w:cs="宋体"/>
                <w:color w:val="auto"/>
                <w:kern w:val="0"/>
                <w:sz w:val="18"/>
                <w:szCs w:val="18"/>
              </w:rPr>
            </w:pP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建筑结构：宜采用钢结构、砌体结构和木结构等资源消耗和环境影响小的建筑结构体系。</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主要建构物列表或其他相关证明文件</w:t>
            </w:r>
          </w:p>
        </w:tc>
        <w:tc>
          <w:tcPr>
            <w:tcW w:w="244" w:type="pct"/>
            <w:vMerge w:val="continue"/>
            <w:vAlign w:val="center"/>
          </w:tcPr>
          <w:p>
            <w:pPr>
              <w:widowControl/>
              <w:jc w:val="center"/>
              <w:rPr>
                <w:rFonts w:ascii="宋体" w:hAnsi="宋体" w:eastAsia="宋体" w:cs="宋体"/>
                <w:color w:val="auto"/>
                <w:kern w:val="0"/>
                <w:sz w:val="18"/>
                <w:szCs w:val="18"/>
              </w:rPr>
            </w:pP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continue"/>
            <w:vAlign w:val="center"/>
          </w:tcPr>
          <w:p>
            <w:pPr>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continue"/>
            <w:vAlign w:val="center"/>
          </w:tcPr>
          <w:p>
            <w:pPr>
              <w:widowControl/>
              <w:jc w:val="center"/>
              <w:rPr>
                <w:rFonts w:ascii="宋体" w:hAnsi="宋体" w:eastAsia="宋体" w:cs="宋体"/>
                <w:color w:val="auto"/>
                <w:kern w:val="0"/>
                <w:sz w:val="18"/>
                <w:szCs w:val="18"/>
              </w:rPr>
            </w:pP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绿化及场地：(1)厂区绿化适宜，宜优先种植乡土植物，宜用少维护、耐候性强的植物，减少日常维护的费用；(2)室外透水地面面积占室外总面积的比例不小于30％。</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绿化合同、植物清单、绿化平面图，室外透水地面面积比例核算或其他相关证明文件</w:t>
            </w:r>
          </w:p>
        </w:tc>
        <w:tc>
          <w:tcPr>
            <w:tcW w:w="244" w:type="pct"/>
            <w:vMerge w:val="continue"/>
            <w:vAlign w:val="center"/>
          </w:tcPr>
          <w:p>
            <w:pPr>
              <w:widowControl/>
              <w:jc w:val="center"/>
              <w:rPr>
                <w:rFonts w:ascii="宋体" w:hAnsi="宋体" w:eastAsia="宋体" w:cs="宋体"/>
                <w:color w:val="auto"/>
                <w:kern w:val="0"/>
                <w:sz w:val="18"/>
                <w:szCs w:val="18"/>
              </w:rPr>
            </w:pP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continue"/>
            <w:vAlign w:val="center"/>
          </w:tcPr>
          <w:p>
            <w:pPr>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continue"/>
            <w:vAlign w:val="center"/>
          </w:tcPr>
          <w:p>
            <w:pPr>
              <w:widowControl/>
              <w:jc w:val="center"/>
              <w:rPr>
                <w:rFonts w:ascii="宋体" w:hAnsi="宋体" w:eastAsia="宋体" w:cs="宋体"/>
                <w:color w:val="auto"/>
                <w:kern w:val="0"/>
                <w:sz w:val="18"/>
                <w:szCs w:val="18"/>
              </w:rPr>
            </w:pP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宜采用节水器具和设备，绿化灌溉采用节水灌溉方式，办公区以及公共浴室采取节水措施。</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节水器具一览表或其他相关证明文件</w:t>
            </w:r>
          </w:p>
        </w:tc>
        <w:tc>
          <w:tcPr>
            <w:tcW w:w="244" w:type="pct"/>
            <w:vMerge w:val="continue"/>
            <w:vAlign w:val="center"/>
          </w:tcPr>
          <w:p>
            <w:pPr>
              <w:widowControl/>
              <w:jc w:val="center"/>
              <w:rPr>
                <w:rFonts w:ascii="宋体" w:hAnsi="宋体" w:eastAsia="宋体" w:cs="宋体"/>
                <w:color w:val="auto"/>
                <w:kern w:val="0"/>
                <w:sz w:val="18"/>
                <w:szCs w:val="18"/>
              </w:rPr>
            </w:pP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continue"/>
            <w:vAlign w:val="center"/>
          </w:tcPr>
          <w:p>
            <w:pPr>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照明</w:t>
            </w: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厂区及各房间或场所的照明应利用自然光或节能灯，人工照明应符合GB 50034的规定。</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照明说明（含节能灯统计表、照度核算、照明分级、分区控制设计证明等）</w:t>
            </w:r>
          </w:p>
        </w:tc>
        <w:tc>
          <w:tcPr>
            <w:tcW w:w="244"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必选</w:t>
            </w: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continue"/>
            <w:vAlign w:val="center"/>
          </w:tcPr>
          <w:p>
            <w:pPr>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continue"/>
            <w:vAlign w:val="center"/>
          </w:tcPr>
          <w:p>
            <w:pPr>
              <w:widowControl/>
              <w:jc w:val="center"/>
              <w:rPr>
                <w:rFonts w:ascii="宋体" w:hAnsi="宋体" w:eastAsia="宋体" w:cs="宋体"/>
                <w:color w:val="auto"/>
                <w:kern w:val="0"/>
                <w:sz w:val="18"/>
                <w:szCs w:val="18"/>
              </w:rPr>
            </w:pP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不同场所的照明应进行分级设计。</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照明说明（含节能灯统计表、照度核算、照明分级、分区控制设计证明等）</w:t>
            </w:r>
          </w:p>
        </w:tc>
        <w:tc>
          <w:tcPr>
            <w:tcW w:w="244" w:type="pct"/>
            <w:vMerge w:val="continue"/>
            <w:vAlign w:val="center"/>
          </w:tcPr>
          <w:p>
            <w:pPr>
              <w:widowControl/>
              <w:jc w:val="center"/>
              <w:rPr>
                <w:rFonts w:ascii="宋体" w:hAnsi="宋体" w:eastAsia="宋体" w:cs="宋体"/>
                <w:color w:val="auto"/>
                <w:kern w:val="0"/>
                <w:sz w:val="18"/>
                <w:szCs w:val="18"/>
              </w:rPr>
            </w:pP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continue"/>
            <w:vAlign w:val="center"/>
          </w:tcPr>
          <w:p>
            <w:pPr>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r>
    </w:tbl>
    <w:p>
      <w:pPr>
        <w:spacing w:before="156" w:beforeLines="50" w:after="156" w:afterLines="50"/>
        <w:jc w:val="center"/>
        <w:outlineLvl w:val="0"/>
        <w:rPr>
          <w:rFonts w:ascii="宋体" w:hAnsi="宋体" w:eastAsia="宋体" w:cs="宋体"/>
          <w:color w:val="auto"/>
          <w:sz w:val="18"/>
          <w:szCs w:val="18"/>
        </w:rPr>
      </w:pPr>
    </w:p>
    <w:p>
      <w:pPr>
        <w:spacing w:before="156" w:beforeLines="50" w:after="156" w:afterLines="50"/>
        <w:jc w:val="center"/>
        <w:outlineLvl w:val="0"/>
        <w:rPr>
          <w:rFonts w:ascii="黑体" w:hAnsi="黑体" w:eastAsia="黑体" w:cs="黑体"/>
          <w:color w:val="auto"/>
          <w:szCs w:val="21"/>
        </w:rPr>
      </w:pPr>
      <w:bookmarkStart w:id="67" w:name="_Toc131619697"/>
      <w:r>
        <w:rPr>
          <w:rFonts w:hint="eastAsia" w:ascii="黑体" w:hAnsi="黑体" w:eastAsia="黑体" w:cs="黑体"/>
          <w:color w:val="auto"/>
          <w:szCs w:val="21"/>
        </w:rPr>
        <w:t xml:space="preserve">表A.1 </w:t>
      </w:r>
      <w:r>
        <w:rPr>
          <w:rFonts w:ascii="黑体" w:hAnsi="黑体" w:eastAsia="黑体" w:cs="黑体"/>
          <w:color w:val="auto"/>
          <w:szCs w:val="21"/>
        </w:rPr>
        <w:t>锗行业绿色工厂评价指标体系</w:t>
      </w:r>
      <w:r>
        <w:rPr>
          <w:rFonts w:hint="eastAsia" w:ascii="黑体" w:hAnsi="黑体" w:eastAsia="黑体" w:cs="黑体"/>
          <w:color w:val="auto"/>
          <w:szCs w:val="21"/>
        </w:rPr>
        <w:t>（续）</w:t>
      </w:r>
      <w:bookmarkEnd w:id="67"/>
    </w:p>
    <w:tbl>
      <w:tblPr>
        <w:tblStyle w:val="1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93"/>
        <w:gridCol w:w="1161"/>
        <w:gridCol w:w="6132"/>
        <w:gridCol w:w="3057"/>
        <w:gridCol w:w="708"/>
        <w:gridCol w:w="577"/>
        <w:gridCol w:w="592"/>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32"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序号</w:t>
            </w:r>
          </w:p>
        </w:tc>
        <w:tc>
          <w:tcPr>
            <w:tcW w:w="342"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一级指标</w:t>
            </w:r>
          </w:p>
        </w:tc>
        <w:tc>
          <w:tcPr>
            <w:tcW w:w="400"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二级指标</w:t>
            </w:r>
          </w:p>
        </w:tc>
        <w:tc>
          <w:tcPr>
            <w:tcW w:w="2112"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具体评价要求</w:t>
            </w:r>
          </w:p>
        </w:tc>
        <w:tc>
          <w:tcPr>
            <w:tcW w:w="1053"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符合性说明及证明材料索引</w:t>
            </w:r>
          </w:p>
        </w:tc>
        <w:tc>
          <w:tcPr>
            <w:tcW w:w="244"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要求类型</w:t>
            </w:r>
          </w:p>
        </w:tc>
        <w:tc>
          <w:tcPr>
            <w:tcW w:w="199"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分值</w:t>
            </w:r>
          </w:p>
        </w:tc>
        <w:tc>
          <w:tcPr>
            <w:tcW w:w="204"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权重</w:t>
            </w:r>
          </w:p>
        </w:tc>
        <w:tc>
          <w:tcPr>
            <w:tcW w:w="209" w:type="pct"/>
            <w:noWrap/>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restart"/>
            <w:vAlign w:val="center"/>
          </w:tcPr>
          <w:p>
            <w:pPr>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w:t>
            </w:r>
          </w:p>
        </w:tc>
        <w:tc>
          <w:tcPr>
            <w:tcW w:w="342"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基础设施</w:t>
            </w:r>
          </w:p>
        </w:tc>
        <w:tc>
          <w:tcPr>
            <w:tcW w:w="400"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照明</w:t>
            </w: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大型厂房的照明系统宜采用分区控制方式。</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照明说明（含节能灯统计表、照度核算、照明分级、分区控制设计证明等）</w:t>
            </w:r>
          </w:p>
        </w:tc>
        <w:tc>
          <w:tcPr>
            <w:tcW w:w="244"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可选</w:t>
            </w: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restart"/>
            <w:vAlign w:val="center"/>
          </w:tcPr>
          <w:p>
            <w:pPr>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15%</w:t>
            </w: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continue"/>
            <w:vAlign w:val="center"/>
          </w:tcPr>
          <w:p>
            <w:pPr>
              <w:widowControl/>
              <w:jc w:val="center"/>
              <w:rPr>
                <w:rFonts w:ascii="宋体" w:hAnsi="宋体" w:eastAsia="宋体" w:cs="宋体"/>
                <w:color w:val="auto"/>
                <w:kern w:val="0"/>
                <w:sz w:val="18"/>
                <w:szCs w:val="18"/>
              </w:rPr>
            </w:pP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辅助生产和生活福利设施的照明系统适当增设照明控制开关，短时有人的场所宜采取节能自熄措施。</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照明说明（含节能灯统计表、照度核算、照明分级、分区控制设计证明等）</w:t>
            </w:r>
          </w:p>
        </w:tc>
        <w:tc>
          <w:tcPr>
            <w:tcW w:w="244" w:type="pct"/>
            <w:vMerge w:val="continue"/>
            <w:vAlign w:val="center"/>
          </w:tcPr>
          <w:p>
            <w:pPr>
              <w:widowControl/>
              <w:jc w:val="center"/>
              <w:rPr>
                <w:rFonts w:ascii="宋体" w:hAnsi="宋体" w:eastAsia="宋体" w:cs="宋体"/>
                <w:color w:val="auto"/>
                <w:kern w:val="0"/>
                <w:sz w:val="18"/>
                <w:szCs w:val="18"/>
              </w:rPr>
            </w:pP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continue"/>
            <w:vAlign w:val="center"/>
          </w:tcPr>
          <w:p>
            <w:pPr>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设备设施</w:t>
            </w: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专用设备</w:t>
            </w:r>
            <w:r>
              <w:rPr>
                <w:rFonts w:hint="eastAsia" w:ascii="宋体" w:hAnsi="宋体" w:eastAsia="宋体" w:cs="宋体"/>
                <w:color w:val="auto"/>
                <w:kern w:val="0"/>
                <w:sz w:val="18"/>
                <w:szCs w:val="18"/>
              </w:rPr>
              <w:t>应符合相关行业规范条件要</w:t>
            </w:r>
            <w:r>
              <w:rPr>
                <w:rFonts w:hint="eastAsia" w:ascii="宋体" w:hAnsi="宋体" w:eastAsia="宋体" w:cs="宋体"/>
                <w:color w:val="auto"/>
                <w:kern w:val="0"/>
                <w:sz w:val="18"/>
                <w:szCs w:val="18"/>
              </w:rPr>
              <w:t>求，</w:t>
            </w:r>
            <w:r>
              <w:rPr>
                <w:rFonts w:hint="eastAsia" w:ascii="宋体" w:hAnsi="宋体" w:eastAsia="宋体" w:cs="宋体"/>
                <w:color w:val="auto"/>
                <w:sz w:val="18"/>
                <w:szCs w:val="18"/>
              </w:rPr>
              <w:t>降低能源与资源消耗，减少污染物排放。</w:t>
            </w:r>
          </w:p>
        </w:tc>
        <w:tc>
          <w:tcPr>
            <w:tcW w:w="1053" w:type="pct"/>
            <w:vAlign w:val="center"/>
          </w:tcPr>
          <w:p>
            <w:pPr>
              <w:widowControl/>
              <w:spacing w:before="78" w:beforeLines="25" w:after="78" w:afterLines="25"/>
              <w:rPr>
                <w:rFonts w:ascii="宋体" w:hAnsi="宋体" w:eastAsia="宋体" w:cs="宋体"/>
                <w:color w:val="auto"/>
                <w:sz w:val="18"/>
                <w:szCs w:val="18"/>
              </w:rPr>
            </w:pPr>
            <w:r>
              <w:rPr>
                <w:rFonts w:hint="eastAsia" w:ascii="宋体" w:hAnsi="宋体" w:eastAsia="宋体" w:cs="宋体"/>
                <w:color w:val="auto"/>
                <w:sz w:val="18"/>
                <w:szCs w:val="18"/>
              </w:rPr>
              <w:t>专用设备说明等相关证明文件</w:t>
            </w:r>
          </w:p>
        </w:tc>
        <w:tc>
          <w:tcPr>
            <w:tcW w:w="244"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必选</w:t>
            </w: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continue"/>
            <w:vAlign w:val="center"/>
          </w:tcPr>
          <w:p>
            <w:pPr>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continue"/>
            <w:vAlign w:val="center"/>
          </w:tcPr>
          <w:p>
            <w:pPr>
              <w:widowControl/>
              <w:jc w:val="center"/>
              <w:rPr>
                <w:rFonts w:ascii="宋体" w:hAnsi="宋体" w:eastAsia="宋体" w:cs="宋体"/>
                <w:color w:val="auto"/>
                <w:kern w:val="0"/>
                <w:sz w:val="18"/>
                <w:szCs w:val="18"/>
              </w:rPr>
            </w:pP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通用设备应采用节能型产品，能耗等级应达到</w:t>
            </w:r>
            <w:r>
              <w:rPr>
                <w:rFonts w:hint="eastAsia" w:ascii="宋体" w:hAnsi="宋体" w:eastAsia="宋体" w:cs="宋体"/>
                <w:color w:val="auto"/>
                <w:kern w:val="0"/>
                <w:sz w:val="18"/>
                <w:szCs w:val="18"/>
              </w:rPr>
              <w:t>3级</w:t>
            </w:r>
            <w:r>
              <w:rPr>
                <w:rFonts w:hint="eastAsia" w:ascii="宋体" w:hAnsi="宋体" w:eastAsia="宋体" w:cs="宋体"/>
                <w:color w:val="auto"/>
                <w:kern w:val="0"/>
                <w:sz w:val="18"/>
                <w:szCs w:val="18"/>
              </w:rPr>
              <w:t>及以上。</w:t>
            </w:r>
          </w:p>
        </w:tc>
        <w:tc>
          <w:tcPr>
            <w:tcW w:w="1053" w:type="pct"/>
            <w:vAlign w:val="center"/>
          </w:tcPr>
          <w:p>
            <w:pPr>
              <w:spacing w:before="78" w:beforeLines="25" w:after="78" w:afterLines="25"/>
              <w:rPr>
                <w:rFonts w:ascii="宋体" w:hAnsi="宋体" w:eastAsia="宋体" w:cs="宋体"/>
                <w:color w:val="auto"/>
                <w:sz w:val="18"/>
                <w:szCs w:val="18"/>
              </w:rPr>
            </w:pPr>
            <w:r>
              <w:rPr>
                <w:rFonts w:hint="eastAsia" w:ascii="宋体" w:hAnsi="宋体" w:eastAsia="宋体" w:cs="宋体"/>
                <w:color w:val="auto"/>
                <w:sz w:val="18"/>
                <w:szCs w:val="18"/>
              </w:rPr>
              <w:t>设备能耗等级台账或相关证明文件</w:t>
            </w:r>
          </w:p>
        </w:tc>
        <w:tc>
          <w:tcPr>
            <w:tcW w:w="244" w:type="pct"/>
            <w:vMerge w:val="continue"/>
            <w:vAlign w:val="center"/>
          </w:tcPr>
          <w:p>
            <w:pPr>
              <w:widowControl/>
              <w:jc w:val="center"/>
              <w:rPr>
                <w:rFonts w:ascii="宋体" w:hAnsi="宋体" w:eastAsia="宋体" w:cs="宋体"/>
                <w:color w:val="auto"/>
                <w:kern w:val="0"/>
                <w:sz w:val="18"/>
                <w:szCs w:val="18"/>
              </w:rPr>
            </w:pP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continue"/>
            <w:vAlign w:val="center"/>
          </w:tcPr>
          <w:p>
            <w:pPr>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continue"/>
            <w:vAlign w:val="center"/>
          </w:tcPr>
          <w:p>
            <w:pPr>
              <w:jc w:val="center"/>
              <w:rPr>
                <w:rFonts w:ascii="宋体" w:hAnsi="宋体" w:eastAsia="宋体" w:cs="宋体"/>
                <w:color w:val="auto"/>
                <w:kern w:val="0"/>
                <w:sz w:val="18"/>
                <w:szCs w:val="18"/>
              </w:rPr>
            </w:pPr>
          </w:p>
        </w:tc>
        <w:tc>
          <w:tcPr>
            <w:tcW w:w="2112" w:type="pct"/>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适用时，通用设备应达到相关标准中能效限定值的强制性要求。已明令禁止生产、使用和能耗高、效率低的设备应限期淘汰更新。</w:t>
            </w:r>
          </w:p>
        </w:tc>
        <w:tc>
          <w:tcPr>
            <w:tcW w:w="1053" w:type="pct"/>
            <w:vAlign w:val="center"/>
          </w:tcPr>
          <w:p>
            <w:pPr>
              <w:spacing w:before="78" w:beforeLines="25" w:after="78" w:afterLines="25"/>
              <w:jc w:val="left"/>
              <w:rPr>
                <w:rFonts w:ascii="宋体" w:hAnsi="宋体" w:eastAsia="宋体" w:cs="宋体"/>
                <w:color w:val="auto"/>
                <w:sz w:val="18"/>
                <w:szCs w:val="18"/>
              </w:rPr>
            </w:pPr>
            <w:r>
              <w:rPr>
                <w:rFonts w:hint="eastAsia" w:ascii="宋体" w:hAnsi="宋体" w:eastAsia="宋体" w:cs="宋体"/>
                <w:color w:val="auto"/>
                <w:sz w:val="18"/>
                <w:szCs w:val="18"/>
              </w:rPr>
              <w:t>重点耗能设备设施清单、通用设备能效值说明、淘汰落后机电设备清单或其他相关证明文件</w:t>
            </w:r>
          </w:p>
        </w:tc>
        <w:tc>
          <w:tcPr>
            <w:tcW w:w="244" w:type="pct"/>
            <w:vMerge w:val="continue"/>
            <w:vAlign w:val="center"/>
          </w:tcPr>
          <w:p>
            <w:pPr>
              <w:widowControl/>
              <w:jc w:val="center"/>
              <w:rPr>
                <w:rFonts w:ascii="宋体" w:hAnsi="宋体" w:eastAsia="宋体" w:cs="宋体"/>
                <w:color w:val="auto"/>
                <w:kern w:val="0"/>
                <w:sz w:val="18"/>
                <w:szCs w:val="18"/>
              </w:rPr>
            </w:pP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continue"/>
            <w:vAlign w:val="center"/>
          </w:tcPr>
          <w:p>
            <w:pPr>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continue"/>
            <w:vAlign w:val="center"/>
          </w:tcPr>
          <w:p>
            <w:pPr>
              <w:jc w:val="center"/>
              <w:rPr>
                <w:rFonts w:ascii="宋体" w:hAnsi="宋体" w:eastAsia="宋体" w:cs="宋体"/>
                <w:color w:val="auto"/>
                <w:kern w:val="0"/>
                <w:sz w:val="18"/>
                <w:szCs w:val="18"/>
              </w:rPr>
            </w:pPr>
          </w:p>
        </w:tc>
        <w:tc>
          <w:tcPr>
            <w:tcW w:w="2112" w:type="pct"/>
            <w:vAlign w:val="center"/>
          </w:tcPr>
          <w:p>
            <w:pPr>
              <w:pageBreakBefore/>
              <w:widowControl/>
              <w:jc w:val="left"/>
              <w:rPr>
                <w:rFonts w:ascii="宋体" w:hAnsi="宋体" w:eastAsia="宋体" w:cs="宋体"/>
                <w:color w:val="auto"/>
                <w:sz w:val="18"/>
                <w:szCs w:val="18"/>
              </w:rPr>
            </w:pPr>
            <w:r>
              <w:rPr>
                <w:rFonts w:hint="eastAsia" w:ascii="宋体" w:hAnsi="宋体" w:eastAsia="宋体" w:cs="宋体"/>
                <w:color w:val="auto"/>
                <w:sz w:val="18"/>
                <w:szCs w:val="18"/>
              </w:rPr>
              <w:t>通用设备或其系统的实际运行效率或主要运行参数应符合该设备经济运行的要求。</w:t>
            </w:r>
          </w:p>
        </w:tc>
        <w:tc>
          <w:tcPr>
            <w:tcW w:w="1053" w:type="pct"/>
            <w:vAlign w:val="center"/>
          </w:tcPr>
          <w:p>
            <w:pPr>
              <w:spacing w:before="78" w:beforeLines="25" w:after="78" w:afterLines="25"/>
              <w:jc w:val="left"/>
              <w:rPr>
                <w:rFonts w:ascii="宋体" w:hAnsi="宋体" w:eastAsia="宋体" w:cs="宋体"/>
                <w:color w:val="auto"/>
                <w:sz w:val="18"/>
                <w:szCs w:val="18"/>
              </w:rPr>
            </w:pPr>
            <w:r>
              <w:rPr>
                <w:rFonts w:hint="eastAsia" w:ascii="宋体" w:hAnsi="宋体" w:eastAsia="宋体" w:cs="宋体"/>
                <w:color w:val="auto"/>
                <w:sz w:val="18"/>
                <w:szCs w:val="18"/>
              </w:rPr>
              <w:t xml:space="preserve">用能设备经济运行分析报告等相关证明文件 </w:t>
            </w:r>
          </w:p>
        </w:tc>
        <w:tc>
          <w:tcPr>
            <w:tcW w:w="244" w:type="pct"/>
            <w:vMerge w:val="continue"/>
            <w:vAlign w:val="center"/>
          </w:tcPr>
          <w:p>
            <w:pPr>
              <w:widowControl/>
              <w:jc w:val="center"/>
              <w:rPr>
                <w:rFonts w:ascii="宋体" w:hAnsi="宋体" w:eastAsia="宋体" w:cs="宋体"/>
                <w:color w:val="auto"/>
                <w:kern w:val="0"/>
                <w:sz w:val="18"/>
                <w:szCs w:val="18"/>
              </w:rPr>
            </w:pP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continue"/>
            <w:vAlign w:val="center"/>
          </w:tcPr>
          <w:p>
            <w:pPr>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continue"/>
            <w:vAlign w:val="center"/>
          </w:tcPr>
          <w:p>
            <w:pPr>
              <w:widowControl/>
              <w:jc w:val="center"/>
              <w:rPr>
                <w:rFonts w:ascii="宋体" w:hAnsi="宋体" w:eastAsia="宋体" w:cs="宋体"/>
                <w:color w:val="auto"/>
                <w:kern w:val="0"/>
                <w:sz w:val="18"/>
                <w:szCs w:val="18"/>
              </w:rPr>
            </w:pPr>
          </w:p>
        </w:tc>
        <w:tc>
          <w:tcPr>
            <w:tcW w:w="2112" w:type="pct"/>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应依据GB 17167、GB 24789等要求配备、使用和管理能源、水以及其他资源的计量器具和装置。进出用能单位、进出主要次级用能单位、主要用能设备计量器具配备率应满足GB/T 20902要求。</w:t>
            </w:r>
          </w:p>
        </w:tc>
        <w:tc>
          <w:tcPr>
            <w:tcW w:w="1053" w:type="pct"/>
            <w:vAlign w:val="center"/>
          </w:tcPr>
          <w:p>
            <w:pPr>
              <w:spacing w:before="78" w:beforeLines="25" w:after="78" w:afterLines="25"/>
              <w:rPr>
                <w:rFonts w:ascii="宋体" w:hAnsi="宋体" w:eastAsia="宋体" w:cs="宋体"/>
                <w:color w:val="auto"/>
                <w:sz w:val="18"/>
                <w:szCs w:val="18"/>
              </w:rPr>
            </w:pPr>
            <w:r>
              <w:rPr>
                <w:rFonts w:hint="eastAsia" w:ascii="宋体" w:hAnsi="宋体" w:eastAsia="宋体" w:cs="宋体"/>
                <w:color w:val="auto"/>
                <w:sz w:val="18"/>
                <w:szCs w:val="18"/>
              </w:rPr>
              <w:t>计量器具台账、能源计量管理制度或其他相关证明文件</w:t>
            </w:r>
          </w:p>
        </w:tc>
        <w:tc>
          <w:tcPr>
            <w:tcW w:w="244" w:type="pct"/>
            <w:vMerge w:val="continue"/>
            <w:vAlign w:val="center"/>
          </w:tcPr>
          <w:p>
            <w:pPr>
              <w:widowControl/>
              <w:jc w:val="center"/>
              <w:rPr>
                <w:rFonts w:ascii="宋体" w:hAnsi="宋体" w:eastAsia="宋体" w:cs="宋体"/>
                <w:color w:val="auto"/>
                <w:kern w:val="0"/>
                <w:sz w:val="18"/>
                <w:szCs w:val="18"/>
              </w:rPr>
            </w:pP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continue"/>
            <w:vAlign w:val="center"/>
          </w:tcPr>
          <w:p>
            <w:pPr>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continue"/>
            <w:vAlign w:val="center"/>
          </w:tcPr>
          <w:p>
            <w:pPr>
              <w:widowControl/>
              <w:jc w:val="center"/>
              <w:rPr>
                <w:rFonts w:ascii="宋体" w:hAnsi="宋体" w:eastAsia="宋体" w:cs="宋体"/>
                <w:color w:val="auto"/>
                <w:kern w:val="0"/>
                <w:sz w:val="18"/>
                <w:szCs w:val="18"/>
              </w:rPr>
            </w:pPr>
          </w:p>
        </w:tc>
        <w:tc>
          <w:tcPr>
            <w:tcW w:w="2112" w:type="pct"/>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使用的能源及资源类型不同时，应进行分类计量。工厂若具有以下设备，应满足分类计量的要求：（1）照明系统；（2）冷水机组、相关用能设备的能耗计量和控制；（3）室内用水、室外用水；（4）空气处理设备的流量和压力计量；（5）锅炉；（6）冷却塔。</w:t>
            </w:r>
          </w:p>
        </w:tc>
        <w:tc>
          <w:tcPr>
            <w:tcW w:w="1053" w:type="pct"/>
            <w:vAlign w:val="center"/>
          </w:tcPr>
          <w:p>
            <w:pPr>
              <w:spacing w:before="78" w:beforeLines="25" w:after="78" w:afterLines="25"/>
              <w:rPr>
                <w:rFonts w:ascii="宋体" w:hAnsi="宋体" w:eastAsia="宋体" w:cs="宋体"/>
                <w:color w:val="auto"/>
                <w:sz w:val="18"/>
                <w:szCs w:val="18"/>
              </w:rPr>
            </w:pPr>
            <w:r>
              <w:rPr>
                <w:rFonts w:hint="eastAsia" w:ascii="宋体" w:hAnsi="宋体" w:eastAsia="宋体" w:cs="宋体"/>
                <w:color w:val="auto"/>
                <w:sz w:val="18"/>
                <w:szCs w:val="18"/>
              </w:rPr>
              <w:t xml:space="preserve">各计量器具网络图等相关证明文件 </w:t>
            </w:r>
          </w:p>
        </w:tc>
        <w:tc>
          <w:tcPr>
            <w:tcW w:w="244" w:type="pct"/>
            <w:vMerge w:val="continue"/>
            <w:vAlign w:val="center"/>
          </w:tcPr>
          <w:p>
            <w:pPr>
              <w:widowControl/>
              <w:jc w:val="center"/>
              <w:rPr>
                <w:rFonts w:ascii="宋体" w:hAnsi="宋体" w:eastAsia="宋体" w:cs="宋体"/>
                <w:color w:val="auto"/>
                <w:kern w:val="0"/>
                <w:sz w:val="18"/>
                <w:szCs w:val="18"/>
              </w:rPr>
            </w:pP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continue"/>
            <w:vAlign w:val="center"/>
          </w:tcPr>
          <w:p>
            <w:pPr>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continue"/>
            <w:vAlign w:val="center"/>
          </w:tcPr>
          <w:p>
            <w:pPr>
              <w:widowControl/>
              <w:jc w:val="center"/>
              <w:rPr>
                <w:rFonts w:ascii="宋体" w:hAnsi="宋体" w:eastAsia="宋体" w:cs="宋体"/>
                <w:color w:val="auto"/>
                <w:kern w:val="0"/>
                <w:sz w:val="18"/>
                <w:szCs w:val="18"/>
              </w:rPr>
            </w:pPr>
          </w:p>
        </w:tc>
        <w:tc>
          <w:tcPr>
            <w:tcW w:w="2112" w:type="pct"/>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应投入适宜的污染物处理设施，以确保其污染物排放达到相关法律法规及标准要求。</w:t>
            </w:r>
          </w:p>
        </w:tc>
        <w:tc>
          <w:tcPr>
            <w:tcW w:w="1053" w:type="pct"/>
            <w:vAlign w:val="center"/>
          </w:tcPr>
          <w:p>
            <w:pPr>
              <w:spacing w:before="78" w:beforeLines="25" w:after="78" w:afterLines="25"/>
              <w:jc w:val="left"/>
              <w:rPr>
                <w:rFonts w:ascii="宋体" w:hAnsi="宋体" w:eastAsia="宋体" w:cs="宋体"/>
                <w:color w:val="auto"/>
                <w:sz w:val="18"/>
                <w:szCs w:val="18"/>
              </w:rPr>
            </w:pPr>
            <w:r>
              <w:rPr>
                <w:rFonts w:hint="eastAsia" w:ascii="宋体" w:hAnsi="宋体" w:eastAsia="宋体" w:cs="宋体"/>
                <w:color w:val="auto"/>
                <w:sz w:val="18"/>
                <w:szCs w:val="18"/>
              </w:rPr>
              <w:t>排污许可证、污染物处理设施、场所或其他相关证明文件</w:t>
            </w:r>
          </w:p>
        </w:tc>
        <w:tc>
          <w:tcPr>
            <w:tcW w:w="244" w:type="pct"/>
            <w:vMerge w:val="continue"/>
            <w:vAlign w:val="center"/>
          </w:tcPr>
          <w:p>
            <w:pPr>
              <w:widowControl/>
              <w:jc w:val="center"/>
              <w:rPr>
                <w:rFonts w:ascii="宋体" w:hAnsi="宋体" w:eastAsia="宋体" w:cs="宋体"/>
                <w:color w:val="auto"/>
                <w:kern w:val="0"/>
                <w:sz w:val="18"/>
                <w:szCs w:val="18"/>
              </w:rPr>
            </w:pPr>
          </w:p>
        </w:tc>
        <w:tc>
          <w:tcPr>
            <w:tcW w:w="199"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continue"/>
            <w:vAlign w:val="center"/>
          </w:tcPr>
          <w:p>
            <w:pPr>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Times New Roman" w:hAnsi="Times New Roman" w:cs="Times New Roman"/>
                <w:color w:val="auto"/>
                <w:kern w:val="0"/>
                <w:sz w:val="18"/>
                <w:szCs w:val="18"/>
              </w:rPr>
            </w:pPr>
          </w:p>
        </w:tc>
        <w:tc>
          <w:tcPr>
            <w:tcW w:w="342" w:type="pct"/>
            <w:vMerge w:val="continue"/>
            <w:vAlign w:val="center"/>
          </w:tcPr>
          <w:p>
            <w:pPr>
              <w:jc w:val="center"/>
              <w:rPr>
                <w:rFonts w:ascii="Times New Roman" w:hAnsi="Times New Roman" w:cs="Times New Roman"/>
                <w:color w:val="auto"/>
                <w:kern w:val="0"/>
                <w:sz w:val="18"/>
                <w:szCs w:val="18"/>
              </w:rPr>
            </w:pPr>
          </w:p>
        </w:tc>
        <w:tc>
          <w:tcPr>
            <w:tcW w:w="400" w:type="pct"/>
            <w:vMerge w:val="continue"/>
            <w:vAlign w:val="center"/>
          </w:tcPr>
          <w:p>
            <w:pPr>
              <w:widowControl/>
              <w:jc w:val="center"/>
              <w:rPr>
                <w:rFonts w:ascii="Times New Roman" w:hAnsi="Times New Roman" w:cs="Times New Roman"/>
                <w:color w:val="auto"/>
                <w:kern w:val="0"/>
                <w:sz w:val="18"/>
                <w:szCs w:val="18"/>
              </w:rPr>
            </w:pPr>
          </w:p>
        </w:tc>
        <w:tc>
          <w:tcPr>
            <w:tcW w:w="2112" w:type="pct"/>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通用设备宜采用节能型产品或效率高、能耗低、水耗低、物耗低的产品。</w:t>
            </w:r>
          </w:p>
        </w:tc>
        <w:tc>
          <w:tcPr>
            <w:tcW w:w="1053" w:type="pct"/>
            <w:vAlign w:val="center"/>
          </w:tcPr>
          <w:p>
            <w:pPr>
              <w:spacing w:before="78" w:beforeLines="25" w:after="78" w:afterLines="25"/>
              <w:rPr>
                <w:rFonts w:ascii="宋体" w:hAnsi="宋体" w:eastAsia="宋体" w:cs="宋体"/>
                <w:color w:val="auto"/>
                <w:kern w:val="0"/>
                <w:sz w:val="18"/>
                <w:szCs w:val="18"/>
              </w:rPr>
            </w:pPr>
            <w:r>
              <w:rPr>
                <w:rFonts w:hint="eastAsia" w:ascii="宋体" w:hAnsi="宋体" w:eastAsia="宋体" w:cs="宋体"/>
                <w:color w:val="auto"/>
                <w:sz w:val="18"/>
                <w:szCs w:val="18"/>
              </w:rPr>
              <w:t>节能设备说明等相关证明文件</w:t>
            </w:r>
          </w:p>
        </w:tc>
        <w:tc>
          <w:tcPr>
            <w:tcW w:w="244" w:type="pc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可选</w:t>
            </w:r>
          </w:p>
        </w:tc>
        <w:tc>
          <w:tcPr>
            <w:tcW w:w="199" w:type="pct"/>
            <w:vAlign w:val="center"/>
          </w:tcPr>
          <w:p>
            <w:pPr>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continue"/>
            <w:vAlign w:val="center"/>
          </w:tcPr>
          <w:p>
            <w:pPr>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4</w:t>
            </w:r>
          </w:p>
        </w:tc>
      </w:tr>
    </w:tbl>
    <w:p>
      <w:pPr>
        <w:spacing w:before="156" w:beforeLines="50" w:after="156" w:afterLines="50"/>
        <w:jc w:val="center"/>
        <w:outlineLvl w:val="0"/>
        <w:rPr>
          <w:rFonts w:ascii="黑体" w:hAnsi="黑体" w:eastAsia="黑体" w:cs="黑体"/>
          <w:color w:val="auto"/>
          <w:szCs w:val="21"/>
        </w:rPr>
      </w:pPr>
      <w:bookmarkStart w:id="68" w:name="_Toc131619698"/>
      <w:r>
        <w:rPr>
          <w:rFonts w:hint="eastAsia" w:ascii="黑体" w:hAnsi="黑体" w:eastAsia="黑体" w:cs="黑体"/>
          <w:color w:val="auto"/>
          <w:szCs w:val="21"/>
        </w:rPr>
        <w:t xml:space="preserve">表A.1 </w:t>
      </w:r>
      <w:r>
        <w:rPr>
          <w:rFonts w:ascii="黑体" w:hAnsi="黑体" w:eastAsia="黑体" w:cs="黑体"/>
          <w:color w:val="auto"/>
          <w:szCs w:val="21"/>
        </w:rPr>
        <w:t>锗行业绿色工厂评价指标体系</w:t>
      </w:r>
      <w:r>
        <w:rPr>
          <w:rFonts w:hint="eastAsia" w:ascii="黑体" w:hAnsi="黑体" w:eastAsia="黑体" w:cs="黑体"/>
          <w:color w:val="auto"/>
          <w:szCs w:val="21"/>
        </w:rPr>
        <w:t>（续）</w:t>
      </w:r>
      <w:bookmarkEnd w:id="68"/>
    </w:p>
    <w:tbl>
      <w:tblPr>
        <w:tblStyle w:val="1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93"/>
        <w:gridCol w:w="1379"/>
        <w:gridCol w:w="5914"/>
        <w:gridCol w:w="3057"/>
        <w:gridCol w:w="708"/>
        <w:gridCol w:w="577"/>
        <w:gridCol w:w="592"/>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32"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序号</w:t>
            </w:r>
          </w:p>
        </w:tc>
        <w:tc>
          <w:tcPr>
            <w:tcW w:w="342"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一级指标</w:t>
            </w:r>
          </w:p>
        </w:tc>
        <w:tc>
          <w:tcPr>
            <w:tcW w:w="475"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二级指标</w:t>
            </w:r>
          </w:p>
        </w:tc>
        <w:tc>
          <w:tcPr>
            <w:tcW w:w="2037"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具体评价要求</w:t>
            </w:r>
          </w:p>
        </w:tc>
        <w:tc>
          <w:tcPr>
            <w:tcW w:w="1053"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符合性说明及证明材料索引</w:t>
            </w:r>
          </w:p>
        </w:tc>
        <w:tc>
          <w:tcPr>
            <w:tcW w:w="244"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要求类型</w:t>
            </w:r>
          </w:p>
        </w:tc>
        <w:tc>
          <w:tcPr>
            <w:tcW w:w="199"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分值</w:t>
            </w:r>
          </w:p>
        </w:tc>
        <w:tc>
          <w:tcPr>
            <w:tcW w:w="204"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权重</w:t>
            </w:r>
          </w:p>
        </w:tc>
        <w:tc>
          <w:tcPr>
            <w:tcW w:w="209" w:type="pct"/>
            <w:noWrap/>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w:t>
            </w:r>
          </w:p>
        </w:tc>
        <w:tc>
          <w:tcPr>
            <w:tcW w:w="342"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管理体系</w:t>
            </w:r>
          </w:p>
        </w:tc>
        <w:tc>
          <w:tcPr>
            <w:tcW w:w="475" w:type="pct"/>
            <w:vMerge w:val="restar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质量管理体系</w:t>
            </w:r>
          </w:p>
        </w:tc>
        <w:tc>
          <w:tcPr>
            <w:tcW w:w="2037" w:type="pct"/>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应建立、实施并保持满足GB/T 19001要求的质量管理体系。</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质量、职业健康安全、环境、能源四体系管理手册或其他相关证明文件</w:t>
            </w:r>
          </w:p>
        </w:tc>
        <w:tc>
          <w:tcPr>
            <w:tcW w:w="244" w:type="pct"/>
            <w:vAlign w:val="center"/>
          </w:tcPr>
          <w:p>
            <w:pPr>
              <w:widowControl/>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必选</w:t>
            </w:r>
          </w:p>
        </w:tc>
        <w:tc>
          <w:tcPr>
            <w:tcW w:w="199"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10</w:t>
            </w:r>
          </w:p>
        </w:tc>
        <w:tc>
          <w:tcPr>
            <w:tcW w:w="204" w:type="pct"/>
            <w:vMerge w:val="restar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75"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037" w:type="pct"/>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宜通过质量管理体系第三方认证。</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质量管理体系认证证书</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可选</w:t>
            </w:r>
          </w:p>
        </w:tc>
        <w:tc>
          <w:tcPr>
            <w:tcW w:w="199"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10</w:t>
            </w:r>
          </w:p>
        </w:tc>
        <w:tc>
          <w:tcPr>
            <w:tcW w:w="204" w:type="pct"/>
            <w:vMerge w:val="continue"/>
            <w:vAlign w:val="center"/>
          </w:tcPr>
          <w:p>
            <w:pPr>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75" w:type="pct"/>
            <w:vMerge w:val="restar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职业健康安全管理体系</w:t>
            </w:r>
          </w:p>
        </w:tc>
        <w:tc>
          <w:tcPr>
            <w:tcW w:w="2037" w:type="pct"/>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应建立、实施并保持满足GB/T 45001要求的职业健康安全管理体系。</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质量、职业健康安全、环境、能源四体系管理手册或其他相关证明文件</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必选</w:t>
            </w:r>
          </w:p>
        </w:tc>
        <w:tc>
          <w:tcPr>
            <w:tcW w:w="199"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10</w:t>
            </w:r>
          </w:p>
        </w:tc>
        <w:tc>
          <w:tcPr>
            <w:tcW w:w="204" w:type="pct"/>
            <w:vMerge w:val="continue"/>
            <w:vAlign w:val="center"/>
          </w:tcPr>
          <w:p>
            <w:pPr>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75"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037" w:type="pct"/>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宜通过职业健康安全管理体系第三方认证。</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职业健康安全管理体系认证证书</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可选</w:t>
            </w:r>
          </w:p>
        </w:tc>
        <w:tc>
          <w:tcPr>
            <w:tcW w:w="199"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10</w:t>
            </w:r>
          </w:p>
        </w:tc>
        <w:tc>
          <w:tcPr>
            <w:tcW w:w="204" w:type="pct"/>
            <w:vMerge w:val="continue"/>
            <w:vAlign w:val="center"/>
          </w:tcPr>
          <w:p>
            <w:pPr>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75" w:type="pct"/>
            <w:vMerge w:val="restar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环境管理体系</w:t>
            </w:r>
          </w:p>
        </w:tc>
        <w:tc>
          <w:tcPr>
            <w:tcW w:w="2037" w:type="pct"/>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应建立、实施并保持满足GB/T 24001要求的环境管理体系。</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质量、职业健康安全、环境、能源四体系管理手册或其他相关证明文件</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必选</w:t>
            </w:r>
          </w:p>
        </w:tc>
        <w:tc>
          <w:tcPr>
            <w:tcW w:w="199"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10</w:t>
            </w:r>
          </w:p>
        </w:tc>
        <w:tc>
          <w:tcPr>
            <w:tcW w:w="204" w:type="pct"/>
            <w:vMerge w:val="continue"/>
            <w:vAlign w:val="center"/>
          </w:tcPr>
          <w:p>
            <w:pPr>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75"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037"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宜通过环境管理体系第三方认证。</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环境管理体系认证证书（通过环境管理体系第三方认证分值为15，只建立未通过得10分）</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可选</w:t>
            </w:r>
          </w:p>
        </w:tc>
        <w:tc>
          <w:tcPr>
            <w:tcW w:w="199"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15</w:t>
            </w:r>
          </w:p>
        </w:tc>
        <w:tc>
          <w:tcPr>
            <w:tcW w:w="204" w:type="pct"/>
            <w:vMerge w:val="continue"/>
            <w:vAlign w:val="center"/>
          </w:tcPr>
          <w:p>
            <w:pPr>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75" w:type="pct"/>
            <w:vMerge w:val="restar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能源管理体系</w:t>
            </w:r>
          </w:p>
        </w:tc>
        <w:tc>
          <w:tcPr>
            <w:tcW w:w="2037"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应建立、实施并保持满足GB/T 23331要求的能源管理体系。</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质量、职业健康安全、环境、能源四体系管理手册或其他相关证明文件</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必选</w:t>
            </w:r>
          </w:p>
        </w:tc>
        <w:tc>
          <w:tcPr>
            <w:tcW w:w="199"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10</w:t>
            </w:r>
          </w:p>
        </w:tc>
        <w:tc>
          <w:tcPr>
            <w:tcW w:w="204" w:type="pct"/>
            <w:vMerge w:val="continue"/>
            <w:vAlign w:val="center"/>
          </w:tcPr>
          <w:p>
            <w:pPr>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75"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037"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宜通过能源管理体系第三方认证。宜建有能源管理部门。</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能源管理体系认证证书（通过能源管理体系第三方认证分值为15，只建立未通过得10分）</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可选</w:t>
            </w:r>
          </w:p>
        </w:tc>
        <w:tc>
          <w:tcPr>
            <w:tcW w:w="199"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15</w:t>
            </w:r>
          </w:p>
        </w:tc>
        <w:tc>
          <w:tcPr>
            <w:tcW w:w="204" w:type="pct"/>
            <w:vMerge w:val="continue"/>
            <w:vAlign w:val="center"/>
          </w:tcPr>
          <w:p>
            <w:pPr>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75"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社会责任</w:t>
            </w:r>
          </w:p>
        </w:tc>
        <w:tc>
          <w:tcPr>
            <w:tcW w:w="2037"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宜按照GB/T 36000每年发布社会责任报告，说明履行利益相关方责任的情况，特别是社会环境责任的履行情况，报告公开可获得。</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企业社会责任报告及其公开证明</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必选</w:t>
            </w:r>
          </w:p>
        </w:tc>
        <w:tc>
          <w:tcPr>
            <w:tcW w:w="199"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10</w:t>
            </w:r>
          </w:p>
        </w:tc>
        <w:tc>
          <w:tcPr>
            <w:tcW w:w="204" w:type="pct"/>
            <w:vMerge w:val="continue"/>
            <w:vAlign w:val="center"/>
          </w:tcPr>
          <w:p>
            <w:pPr>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w:t>
            </w:r>
          </w:p>
        </w:tc>
        <w:tc>
          <w:tcPr>
            <w:tcW w:w="342"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能源与资源投入</w:t>
            </w:r>
          </w:p>
        </w:tc>
        <w:tc>
          <w:tcPr>
            <w:tcW w:w="475" w:type="pct"/>
            <w:vMerge w:val="restar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能源投入</w:t>
            </w:r>
          </w:p>
        </w:tc>
        <w:tc>
          <w:tcPr>
            <w:tcW w:w="2037"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sz w:val="18"/>
                <w:szCs w:val="18"/>
              </w:rPr>
              <w:t>应优化用能结构，在保证安全、质量的前提下减少不可再生能源投入。</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节能工艺技术、节能技改项目或其他相关证明文件</w:t>
            </w:r>
          </w:p>
        </w:tc>
        <w:tc>
          <w:tcPr>
            <w:tcW w:w="244" w:type="pct"/>
            <w:vMerge w:val="restar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必选</w:t>
            </w:r>
          </w:p>
        </w:tc>
        <w:tc>
          <w:tcPr>
            <w:tcW w:w="199"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restar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20%</w:t>
            </w: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75"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037"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锗行业各工序工艺综合能耗应满足</w:t>
            </w:r>
            <w:r>
              <w:rPr>
                <w:rFonts w:hint="eastAsia" w:ascii="宋体" w:hAnsi="宋体" w:eastAsia="宋体" w:cs="宋体"/>
                <w:color w:val="auto"/>
                <w:kern w:val="0"/>
                <w:sz w:val="18"/>
                <w:szCs w:val="18"/>
              </w:rPr>
              <w:t>GB 29447</w:t>
            </w:r>
            <w:r>
              <w:rPr>
                <w:rFonts w:hint="eastAsia" w:ascii="宋体" w:hAnsi="宋体" w:eastAsia="宋体" w:cs="宋体"/>
                <w:color w:val="auto"/>
                <w:kern w:val="0"/>
                <w:sz w:val="18"/>
                <w:szCs w:val="18"/>
              </w:rPr>
              <w:t>中1级值的要求。</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能源消耗数据统计表</w:t>
            </w:r>
          </w:p>
        </w:tc>
        <w:tc>
          <w:tcPr>
            <w:tcW w:w="244"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199"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continue"/>
            <w:vAlign w:val="center"/>
          </w:tcPr>
          <w:p>
            <w:pPr>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r>
    </w:tbl>
    <w:p>
      <w:pPr>
        <w:spacing w:before="156" w:beforeLines="50" w:after="156" w:afterLines="50"/>
        <w:jc w:val="center"/>
        <w:outlineLvl w:val="0"/>
        <w:rPr>
          <w:rFonts w:ascii="黑体" w:hAnsi="黑体" w:eastAsia="黑体" w:cs="黑体"/>
          <w:color w:val="auto"/>
          <w:szCs w:val="21"/>
        </w:rPr>
      </w:pPr>
    </w:p>
    <w:p>
      <w:pPr>
        <w:spacing w:before="156" w:beforeLines="50" w:after="156" w:afterLines="50"/>
        <w:jc w:val="center"/>
        <w:outlineLvl w:val="0"/>
        <w:rPr>
          <w:rFonts w:ascii="黑体" w:hAnsi="黑体" w:eastAsia="黑体" w:cs="黑体"/>
          <w:color w:val="auto"/>
          <w:szCs w:val="21"/>
        </w:rPr>
      </w:pPr>
    </w:p>
    <w:p>
      <w:pPr>
        <w:spacing w:before="156" w:beforeLines="50" w:after="156" w:afterLines="50"/>
        <w:jc w:val="center"/>
        <w:outlineLvl w:val="0"/>
        <w:rPr>
          <w:rFonts w:ascii="黑体" w:hAnsi="黑体" w:eastAsia="黑体" w:cs="黑体"/>
          <w:color w:val="auto"/>
          <w:szCs w:val="21"/>
        </w:rPr>
      </w:pPr>
      <w:bookmarkStart w:id="69" w:name="_Toc131619699"/>
      <w:r>
        <w:rPr>
          <w:rFonts w:hint="eastAsia" w:ascii="黑体" w:hAnsi="黑体" w:eastAsia="黑体" w:cs="黑体"/>
          <w:color w:val="auto"/>
          <w:szCs w:val="21"/>
        </w:rPr>
        <w:t xml:space="preserve">表A.1 </w:t>
      </w:r>
      <w:r>
        <w:rPr>
          <w:rFonts w:ascii="黑体" w:hAnsi="黑体" w:eastAsia="黑体" w:cs="黑体"/>
          <w:color w:val="auto"/>
          <w:szCs w:val="21"/>
        </w:rPr>
        <w:t>锗行业绿色工厂评价指标体系</w:t>
      </w:r>
      <w:r>
        <w:rPr>
          <w:rFonts w:hint="eastAsia" w:ascii="黑体" w:hAnsi="黑体" w:eastAsia="黑体" w:cs="黑体"/>
          <w:color w:val="auto"/>
          <w:szCs w:val="21"/>
        </w:rPr>
        <w:t>（续）</w:t>
      </w:r>
      <w:bookmarkEnd w:id="69"/>
    </w:p>
    <w:tbl>
      <w:tblPr>
        <w:tblStyle w:val="1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93"/>
        <w:gridCol w:w="1161"/>
        <w:gridCol w:w="6132"/>
        <w:gridCol w:w="3057"/>
        <w:gridCol w:w="708"/>
        <w:gridCol w:w="577"/>
        <w:gridCol w:w="592"/>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32"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序号</w:t>
            </w:r>
          </w:p>
        </w:tc>
        <w:tc>
          <w:tcPr>
            <w:tcW w:w="342"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一级指标</w:t>
            </w:r>
          </w:p>
        </w:tc>
        <w:tc>
          <w:tcPr>
            <w:tcW w:w="400"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二级指标</w:t>
            </w:r>
          </w:p>
        </w:tc>
        <w:tc>
          <w:tcPr>
            <w:tcW w:w="2112" w:type="pct"/>
            <w:vAlign w:val="center"/>
          </w:tcPr>
          <w:p>
            <w:pPr>
              <w:widowControl/>
              <w:jc w:val="left"/>
              <w:rPr>
                <w:rFonts w:ascii="Times New Roman" w:hAnsi="Times New Roman" w:cs="Times New Roman"/>
                <w:color w:val="auto"/>
                <w:kern w:val="0"/>
                <w:sz w:val="18"/>
                <w:szCs w:val="18"/>
              </w:rPr>
            </w:pPr>
            <w:r>
              <w:rPr>
                <w:rFonts w:ascii="Times New Roman" w:hAnsi="Times New Roman" w:cs="Times New Roman"/>
                <w:color w:val="auto"/>
                <w:kern w:val="0"/>
                <w:sz w:val="18"/>
                <w:szCs w:val="18"/>
              </w:rPr>
              <w:t>具体评价要求</w:t>
            </w:r>
          </w:p>
        </w:tc>
        <w:tc>
          <w:tcPr>
            <w:tcW w:w="1053"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符合性说明及证明材料索引</w:t>
            </w:r>
          </w:p>
        </w:tc>
        <w:tc>
          <w:tcPr>
            <w:tcW w:w="244"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要求类型</w:t>
            </w:r>
          </w:p>
        </w:tc>
        <w:tc>
          <w:tcPr>
            <w:tcW w:w="199"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分值</w:t>
            </w:r>
          </w:p>
        </w:tc>
        <w:tc>
          <w:tcPr>
            <w:tcW w:w="204"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权重</w:t>
            </w:r>
          </w:p>
        </w:tc>
        <w:tc>
          <w:tcPr>
            <w:tcW w:w="209" w:type="pct"/>
            <w:noWrap/>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w:t>
            </w:r>
          </w:p>
        </w:tc>
        <w:tc>
          <w:tcPr>
            <w:tcW w:w="342"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能源与资源投入</w:t>
            </w:r>
          </w:p>
        </w:tc>
        <w:tc>
          <w:tcPr>
            <w:tcW w:w="400" w:type="pct"/>
            <w:vMerge w:val="restar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能源投入</w:t>
            </w: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宜使用可再生能源、低碳清洁的新能源。</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使用低碳清洁能源相关证明</w:t>
            </w:r>
          </w:p>
        </w:tc>
        <w:tc>
          <w:tcPr>
            <w:tcW w:w="244" w:type="pct"/>
            <w:vMerge w:val="restar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可选</w:t>
            </w:r>
          </w:p>
        </w:tc>
        <w:tc>
          <w:tcPr>
            <w:tcW w:w="199"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restart"/>
            <w:vAlign w:val="center"/>
          </w:tcPr>
          <w:p>
            <w:pPr>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20%</w:t>
            </w: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宜利用余热余压，产生的二次能源回收利用。</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利用余热余压关证明文件</w:t>
            </w:r>
          </w:p>
        </w:tc>
        <w:tc>
          <w:tcPr>
            <w:tcW w:w="244"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199"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continue"/>
            <w:vAlign w:val="center"/>
          </w:tcPr>
          <w:p>
            <w:pPr>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sz w:val="18"/>
                <w:szCs w:val="18"/>
              </w:rPr>
              <w:t>宜在</w:t>
            </w:r>
            <w:r>
              <w:rPr>
                <w:rFonts w:hint="eastAsia" w:ascii="宋体" w:hAnsi="宋体" w:eastAsia="宋体" w:cs="宋体"/>
                <w:color w:val="auto"/>
                <w:sz w:val="18"/>
                <w:szCs w:val="18"/>
              </w:rPr>
              <w:t>GB 29447</w:t>
            </w:r>
            <w:r>
              <w:rPr>
                <w:rFonts w:hint="eastAsia" w:ascii="宋体" w:hAnsi="宋体" w:eastAsia="宋体" w:cs="宋体"/>
                <w:color w:val="auto"/>
                <w:sz w:val="18"/>
                <w:szCs w:val="18"/>
              </w:rPr>
              <w:t>中</w:t>
            </w:r>
            <w:r>
              <w:rPr>
                <w:rFonts w:hint="eastAsia" w:ascii="宋体" w:hAnsi="宋体" w:eastAsia="宋体" w:cs="宋体"/>
                <w:color w:val="auto"/>
                <w:sz w:val="18"/>
                <w:szCs w:val="18"/>
              </w:rPr>
              <w:t>1级值的基础上，进一步降低综合能耗。</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能源消耗数据统计表</w:t>
            </w:r>
          </w:p>
        </w:tc>
        <w:tc>
          <w:tcPr>
            <w:tcW w:w="244"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199"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continue"/>
            <w:vAlign w:val="center"/>
          </w:tcPr>
          <w:p>
            <w:pPr>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restar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资源投入</w:t>
            </w: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sz w:val="18"/>
                <w:szCs w:val="18"/>
              </w:rPr>
              <w:t>应按照GB/T 7119的要求开展节水评价工作。</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节水评价</w:t>
            </w:r>
          </w:p>
        </w:tc>
        <w:tc>
          <w:tcPr>
            <w:tcW w:w="244" w:type="pct"/>
            <w:vMerge w:val="restar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必选</w:t>
            </w:r>
          </w:p>
        </w:tc>
        <w:tc>
          <w:tcPr>
            <w:tcW w:w="199"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204" w:type="pct"/>
            <w:vMerge w:val="continue"/>
            <w:vAlign w:val="center"/>
          </w:tcPr>
          <w:p>
            <w:pPr>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sz w:val="18"/>
                <w:szCs w:val="18"/>
              </w:rPr>
              <w:t>应减少材料、尤其是有害物质的使用，评估有害物质及化学品减量使用或替代的可行性；原料锗精矿应符合YS/T 300的要求，再生锗原料应符合GB/T 23522的要求。</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原材料检验报告单、减少有害物质使用证明等</w:t>
            </w:r>
          </w:p>
        </w:tc>
        <w:tc>
          <w:tcPr>
            <w:tcW w:w="244"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199"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204" w:type="pct"/>
            <w:vMerge w:val="continue"/>
            <w:vAlign w:val="center"/>
          </w:tcPr>
          <w:p>
            <w:pPr>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sz w:val="18"/>
                <w:szCs w:val="18"/>
              </w:rPr>
              <w:t>宜使用回收料如再生锗原料及其他锗原料等。</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使用回收料证明等</w:t>
            </w:r>
          </w:p>
        </w:tc>
        <w:tc>
          <w:tcPr>
            <w:tcW w:w="244" w:type="pct"/>
            <w:vMerge w:val="restar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可选</w:t>
            </w:r>
          </w:p>
        </w:tc>
        <w:tc>
          <w:tcPr>
            <w:tcW w:w="199"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continue"/>
            <w:vAlign w:val="center"/>
          </w:tcPr>
          <w:p>
            <w:pPr>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vAlign w:val="center"/>
          </w:tcPr>
          <w:p>
            <w:pPr>
              <w:widowControl/>
              <w:jc w:val="left"/>
              <w:rPr>
                <w:rFonts w:ascii="宋体" w:hAnsi="宋体" w:eastAsia="宋体" w:cs="宋体"/>
                <w:color w:val="auto"/>
                <w:sz w:val="18"/>
                <w:szCs w:val="18"/>
              </w:rPr>
            </w:pPr>
            <w:r>
              <w:rPr>
                <w:rFonts w:hint="eastAsia" w:ascii="宋体" w:hAnsi="宋体" w:eastAsia="宋体" w:cs="宋体"/>
                <w:color w:val="auto"/>
                <w:sz w:val="18"/>
                <w:szCs w:val="18"/>
              </w:rPr>
              <w:t>宜替代或减少全球增温潜势较高温室气体的使用。</w:t>
            </w:r>
          </w:p>
        </w:tc>
        <w:tc>
          <w:tcPr>
            <w:tcW w:w="1053" w:type="pct"/>
            <w:vAlign w:val="center"/>
          </w:tcPr>
          <w:p>
            <w:pPr>
              <w:widowControl/>
              <w:spacing w:before="78" w:beforeLines="25" w:after="78" w:afterLines="25"/>
              <w:jc w:val="left"/>
              <w:rPr>
                <w:rFonts w:ascii="宋体" w:hAnsi="宋体" w:eastAsia="宋体" w:cs="宋体"/>
                <w:color w:val="auto"/>
                <w:kern w:val="0"/>
                <w:sz w:val="18"/>
                <w:szCs w:val="18"/>
              </w:rPr>
            </w:pPr>
            <w:r>
              <w:rPr>
                <w:rFonts w:hint="eastAsia" w:ascii="宋体" w:hAnsi="宋体" w:eastAsia="宋体" w:cs="宋体"/>
                <w:color w:val="auto"/>
                <w:sz w:val="18"/>
                <w:szCs w:val="18"/>
              </w:rPr>
              <w:t>温室气体核查报告</w:t>
            </w:r>
          </w:p>
        </w:tc>
        <w:tc>
          <w:tcPr>
            <w:tcW w:w="244"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199"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continue"/>
            <w:vAlign w:val="center"/>
          </w:tcPr>
          <w:p>
            <w:pPr>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restar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采购</w:t>
            </w: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应制定并实施包括环保要求的选择、评价和重新评价供方的准则。</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原料供销合同、供应商资信调查制度、合格供方评价表或其他相关证明文件</w:t>
            </w:r>
          </w:p>
        </w:tc>
        <w:tc>
          <w:tcPr>
            <w:tcW w:w="244" w:type="pct"/>
            <w:vMerge w:val="restar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必选</w:t>
            </w:r>
          </w:p>
        </w:tc>
        <w:tc>
          <w:tcPr>
            <w:tcW w:w="199"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continue"/>
            <w:vAlign w:val="center"/>
          </w:tcPr>
          <w:p>
            <w:pPr>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应确定并实施检验或其他必要的活动，以确保采购的产品满足规定的采购要求。</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原料采购业务流程或其他相关证明文件</w:t>
            </w:r>
          </w:p>
        </w:tc>
        <w:tc>
          <w:tcPr>
            <w:tcW w:w="244"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199"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continue"/>
            <w:vAlign w:val="center"/>
          </w:tcPr>
          <w:p>
            <w:pPr>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向供方提供的采购信息宜包含有害物质使用、可回收材料使用、能效等环保要求。</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原料采购业务流程、验收制度或其他相关证明文件</w:t>
            </w:r>
          </w:p>
        </w:tc>
        <w:tc>
          <w:tcPr>
            <w:tcW w:w="244"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可选</w:t>
            </w:r>
          </w:p>
        </w:tc>
        <w:tc>
          <w:tcPr>
            <w:tcW w:w="199"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continue"/>
            <w:vAlign w:val="center"/>
          </w:tcPr>
          <w:p>
            <w:pPr>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回收利用</w:t>
            </w:r>
          </w:p>
        </w:tc>
        <w:tc>
          <w:tcPr>
            <w:tcW w:w="2112" w:type="pct"/>
            <w:vAlign w:val="center"/>
          </w:tcPr>
          <w:p>
            <w:pPr>
              <w:jc w:val="left"/>
              <w:rPr>
                <w:rFonts w:ascii="宋体" w:hAnsi="宋体" w:eastAsia="宋体" w:cs="宋体"/>
                <w:bCs/>
                <w:color w:val="auto"/>
                <w:sz w:val="18"/>
                <w:szCs w:val="18"/>
              </w:rPr>
            </w:pPr>
            <w:r>
              <w:rPr>
                <w:rFonts w:hint="eastAsia" w:ascii="宋体" w:hAnsi="宋体" w:eastAsia="宋体" w:cs="宋体"/>
                <w:color w:val="auto"/>
                <w:sz w:val="18"/>
                <w:szCs w:val="18"/>
              </w:rPr>
              <w:t>用水应满足GB/T 7119的要求，减少水资源消耗，开展废水综合处置循环利用。</w:t>
            </w:r>
          </w:p>
        </w:tc>
        <w:tc>
          <w:tcPr>
            <w:tcW w:w="1053" w:type="pct"/>
            <w:vAlign w:val="center"/>
          </w:tcPr>
          <w:p>
            <w:pPr>
              <w:widowControl/>
              <w:spacing w:before="78" w:beforeLines="25" w:after="78" w:afterLines="25"/>
              <w:rPr>
                <w:rFonts w:ascii="宋体" w:hAnsi="宋体" w:eastAsia="宋体" w:cs="宋体"/>
                <w:color w:val="auto"/>
                <w:kern w:val="0"/>
                <w:sz w:val="18"/>
                <w:szCs w:val="18"/>
              </w:rPr>
            </w:pPr>
            <w:r>
              <w:rPr>
                <w:rFonts w:hint="eastAsia" w:ascii="宋体" w:hAnsi="宋体" w:eastAsia="宋体" w:cs="宋体"/>
                <w:color w:val="auto"/>
                <w:sz w:val="18"/>
                <w:szCs w:val="18"/>
              </w:rPr>
              <w:t>废水循环利用装置证明文件</w:t>
            </w:r>
          </w:p>
        </w:tc>
        <w:tc>
          <w:tcPr>
            <w:tcW w:w="244"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必选</w:t>
            </w:r>
          </w:p>
        </w:tc>
        <w:tc>
          <w:tcPr>
            <w:tcW w:w="199"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204" w:type="pct"/>
            <w:vMerge w:val="continue"/>
            <w:vAlign w:val="center"/>
          </w:tcPr>
          <w:p>
            <w:pPr>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r>
    </w:tbl>
    <w:p>
      <w:pPr>
        <w:spacing w:before="156" w:beforeLines="50" w:after="156" w:afterLines="50"/>
        <w:jc w:val="center"/>
        <w:outlineLvl w:val="0"/>
        <w:rPr>
          <w:rFonts w:ascii="黑体" w:hAnsi="黑体" w:eastAsia="黑体" w:cs="黑体"/>
          <w:color w:val="auto"/>
          <w:szCs w:val="21"/>
        </w:rPr>
      </w:pPr>
    </w:p>
    <w:p>
      <w:pPr>
        <w:spacing w:before="156" w:beforeLines="50" w:after="156" w:afterLines="50"/>
        <w:jc w:val="center"/>
        <w:outlineLvl w:val="0"/>
        <w:rPr>
          <w:rFonts w:ascii="黑体" w:hAnsi="黑体" w:eastAsia="黑体" w:cs="黑体"/>
          <w:color w:val="auto"/>
          <w:szCs w:val="21"/>
        </w:rPr>
      </w:pPr>
      <w:bookmarkStart w:id="70" w:name="_Toc131619700"/>
      <w:r>
        <w:rPr>
          <w:rFonts w:hint="eastAsia" w:ascii="黑体" w:hAnsi="黑体" w:eastAsia="黑体" w:cs="黑体"/>
          <w:color w:val="auto"/>
          <w:szCs w:val="21"/>
        </w:rPr>
        <w:t xml:space="preserve">表A.1 </w:t>
      </w:r>
      <w:r>
        <w:rPr>
          <w:rFonts w:ascii="黑体" w:hAnsi="黑体" w:eastAsia="黑体" w:cs="黑体"/>
          <w:color w:val="auto"/>
          <w:szCs w:val="21"/>
        </w:rPr>
        <w:t>锗行业绿色工厂评价指标体系</w:t>
      </w:r>
      <w:r>
        <w:rPr>
          <w:rFonts w:hint="eastAsia" w:ascii="黑体" w:hAnsi="黑体" w:eastAsia="黑体" w:cs="黑体"/>
          <w:color w:val="auto"/>
          <w:szCs w:val="21"/>
        </w:rPr>
        <w:t>（续）</w:t>
      </w:r>
      <w:bookmarkEnd w:id="70"/>
    </w:p>
    <w:tbl>
      <w:tblPr>
        <w:tblStyle w:val="1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93"/>
        <w:gridCol w:w="1161"/>
        <w:gridCol w:w="6132"/>
        <w:gridCol w:w="3057"/>
        <w:gridCol w:w="708"/>
        <w:gridCol w:w="577"/>
        <w:gridCol w:w="592"/>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32"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序号</w:t>
            </w:r>
          </w:p>
        </w:tc>
        <w:tc>
          <w:tcPr>
            <w:tcW w:w="342"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一级指标</w:t>
            </w:r>
          </w:p>
        </w:tc>
        <w:tc>
          <w:tcPr>
            <w:tcW w:w="400"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二级指标</w:t>
            </w:r>
          </w:p>
        </w:tc>
        <w:tc>
          <w:tcPr>
            <w:tcW w:w="2112"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具体评价要求</w:t>
            </w:r>
          </w:p>
        </w:tc>
        <w:tc>
          <w:tcPr>
            <w:tcW w:w="1053"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符合性说明及证明材料索引</w:t>
            </w:r>
          </w:p>
        </w:tc>
        <w:tc>
          <w:tcPr>
            <w:tcW w:w="244"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要求类型</w:t>
            </w:r>
          </w:p>
        </w:tc>
        <w:tc>
          <w:tcPr>
            <w:tcW w:w="199"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分值</w:t>
            </w:r>
          </w:p>
        </w:tc>
        <w:tc>
          <w:tcPr>
            <w:tcW w:w="204"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权重</w:t>
            </w:r>
          </w:p>
        </w:tc>
        <w:tc>
          <w:tcPr>
            <w:tcW w:w="209" w:type="pct"/>
            <w:noWrap/>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w:t>
            </w:r>
          </w:p>
        </w:tc>
        <w:tc>
          <w:tcPr>
            <w:tcW w:w="342"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能源与资源投入</w:t>
            </w:r>
          </w:p>
        </w:tc>
        <w:tc>
          <w:tcPr>
            <w:tcW w:w="400" w:type="pct"/>
            <w:vMerge w:val="restart"/>
            <w:vAlign w:val="center"/>
          </w:tcPr>
          <w:p>
            <w:pPr>
              <w:widowControl/>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kern w:val="0"/>
                <w:sz w:val="18"/>
                <w:szCs w:val="18"/>
              </w:rPr>
              <w:t>回收利用</w:t>
            </w:r>
          </w:p>
        </w:tc>
        <w:tc>
          <w:tcPr>
            <w:tcW w:w="2112" w:type="pct"/>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尾气中的氯化氢气体应回收再利用。</w:t>
            </w:r>
          </w:p>
        </w:tc>
        <w:tc>
          <w:tcPr>
            <w:tcW w:w="1053" w:type="pct"/>
            <w:vAlign w:val="center"/>
          </w:tcPr>
          <w:p>
            <w:pPr>
              <w:spacing w:before="78" w:beforeLines="25" w:after="78" w:afterLines="25"/>
              <w:jc w:val="left"/>
              <w:rPr>
                <w:rFonts w:ascii="宋体" w:hAnsi="宋体" w:eastAsia="宋体" w:cs="宋体"/>
                <w:color w:val="auto"/>
                <w:kern w:val="0"/>
                <w:sz w:val="18"/>
                <w:szCs w:val="18"/>
              </w:rPr>
            </w:pPr>
            <w:r>
              <w:rPr>
                <w:rFonts w:hint="eastAsia" w:ascii="宋体" w:hAnsi="宋体" w:eastAsia="宋体" w:cs="宋体"/>
                <w:color w:val="auto"/>
                <w:sz w:val="18"/>
                <w:szCs w:val="18"/>
              </w:rPr>
              <w:t>尾气氯化氢气体再利用装置及生产数据证明文件</w:t>
            </w:r>
          </w:p>
        </w:tc>
        <w:tc>
          <w:tcPr>
            <w:tcW w:w="244"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必选</w:t>
            </w:r>
          </w:p>
        </w:tc>
        <w:tc>
          <w:tcPr>
            <w:tcW w:w="199" w:type="pct"/>
            <w:vAlign w:val="center"/>
          </w:tcPr>
          <w:p>
            <w:pPr>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204" w:type="pct"/>
            <w:vMerge w:val="restart"/>
            <w:vAlign w:val="center"/>
          </w:tcPr>
          <w:p>
            <w:pPr>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20%</w:t>
            </w: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continue"/>
            <w:vAlign w:val="center"/>
          </w:tcPr>
          <w:p>
            <w:pPr>
              <w:widowControl/>
              <w:spacing w:before="78" w:beforeLines="25" w:after="78" w:afterLines="25"/>
              <w:jc w:val="center"/>
              <w:rPr>
                <w:rFonts w:ascii="宋体" w:hAnsi="宋体" w:eastAsia="宋体" w:cs="宋体"/>
                <w:color w:val="auto"/>
                <w:sz w:val="18"/>
                <w:szCs w:val="18"/>
              </w:rPr>
            </w:pPr>
          </w:p>
        </w:tc>
        <w:tc>
          <w:tcPr>
            <w:tcW w:w="2112" w:type="pct"/>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冶炼渣渣宜有效回收锗金属。</w:t>
            </w:r>
          </w:p>
        </w:tc>
        <w:tc>
          <w:tcPr>
            <w:tcW w:w="1053" w:type="pct"/>
            <w:vAlign w:val="center"/>
          </w:tcPr>
          <w:p>
            <w:pPr>
              <w:widowControl/>
              <w:spacing w:before="78" w:beforeLines="25" w:after="78" w:afterLines="25"/>
              <w:jc w:val="left"/>
              <w:rPr>
                <w:rFonts w:ascii="宋体" w:hAnsi="宋体" w:eastAsia="宋体" w:cs="宋体"/>
                <w:color w:val="auto"/>
                <w:sz w:val="18"/>
                <w:szCs w:val="18"/>
              </w:rPr>
            </w:pPr>
            <w:r>
              <w:rPr>
                <w:rFonts w:hint="eastAsia" w:ascii="宋体" w:hAnsi="宋体" w:eastAsia="宋体" w:cs="宋体"/>
                <w:color w:val="auto"/>
                <w:sz w:val="18"/>
                <w:szCs w:val="18"/>
              </w:rPr>
              <w:t>回收锗的装置证明文件</w:t>
            </w:r>
          </w:p>
        </w:tc>
        <w:tc>
          <w:tcPr>
            <w:tcW w:w="244" w:type="pct"/>
            <w:vMerge w:val="restart"/>
            <w:vAlign w:val="center"/>
          </w:tcPr>
          <w:p>
            <w:pPr>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可选</w:t>
            </w:r>
          </w:p>
        </w:tc>
        <w:tc>
          <w:tcPr>
            <w:tcW w:w="199"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continue"/>
            <w:vAlign w:val="center"/>
          </w:tcPr>
          <w:p>
            <w:pPr>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continue"/>
            <w:vAlign w:val="center"/>
          </w:tcPr>
          <w:p>
            <w:pPr>
              <w:widowControl/>
              <w:spacing w:before="78" w:beforeLines="25" w:after="78" w:afterLines="25"/>
              <w:jc w:val="center"/>
              <w:rPr>
                <w:rFonts w:ascii="宋体" w:hAnsi="宋体" w:eastAsia="宋体" w:cs="宋体"/>
                <w:color w:val="auto"/>
                <w:sz w:val="18"/>
                <w:szCs w:val="18"/>
              </w:rPr>
            </w:pPr>
          </w:p>
        </w:tc>
        <w:tc>
          <w:tcPr>
            <w:tcW w:w="2112" w:type="pct"/>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宜开展尾气、粉尘等的资源化利用。</w:t>
            </w:r>
          </w:p>
        </w:tc>
        <w:tc>
          <w:tcPr>
            <w:tcW w:w="1053" w:type="pct"/>
            <w:vAlign w:val="center"/>
          </w:tcPr>
          <w:p>
            <w:pPr>
              <w:spacing w:before="78" w:beforeLines="25" w:after="78" w:afterLines="25"/>
              <w:jc w:val="left"/>
              <w:rPr>
                <w:rFonts w:ascii="宋体" w:hAnsi="宋体" w:eastAsia="宋体" w:cs="宋体"/>
                <w:color w:val="auto"/>
                <w:kern w:val="0"/>
                <w:sz w:val="18"/>
                <w:szCs w:val="18"/>
              </w:rPr>
            </w:pPr>
            <w:r>
              <w:rPr>
                <w:rFonts w:hint="eastAsia" w:ascii="宋体" w:hAnsi="宋体" w:eastAsia="宋体" w:cs="宋体"/>
                <w:color w:val="auto"/>
                <w:sz w:val="18"/>
                <w:szCs w:val="18"/>
              </w:rPr>
              <w:t>尾气、粉尘等的资源化利用装置证明文件</w:t>
            </w:r>
          </w:p>
        </w:tc>
        <w:tc>
          <w:tcPr>
            <w:tcW w:w="244"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199" w:type="pct"/>
            <w:vAlign w:val="center"/>
          </w:tcPr>
          <w:p>
            <w:pPr>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continue"/>
            <w:vAlign w:val="center"/>
          </w:tcPr>
          <w:p>
            <w:pPr>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4</w:t>
            </w:r>
          </w:p>
        </w:tc>
        <w:tc>
          <w:tcPr>
            <w:tcW w:w="342" w:type="pct"/>
            <w:vMerge w:val="restart"/>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产品</w:t>
            </w:r>
          </w:p>
        </w:tc>
        <w:tc>
          <w:tcPr>
            <w:tcW w:w="400" w:type="pct"/>
            <w:vMerge w:val="restar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生态设计</w:t>
            </w:r>
          </w:p>
        </w:tc>
        <w:tc>
          <w:tcPr>
            <w:tcW w:w="2112" w:type="pct"/>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应在产品设计中引入生态设计的理念，</w:t>
            </w:r>
            <w:r>
              <w:rPr>
                <w:rFonts w:hint="eastAsia" w:ascii="宋体" w:hAnsi="宋体" w:eastAsia="宋体" w:cs="宋体"/>
                <w:color w:val="auto"/>
                <w:sz w:val="18"/>
                <w:szCs w:val="18"/>
              </w:rPr>
              <w:t>产品应按照T/CNIA 0100进行评价</w:t>
            </w:r>
            <w:r>
              <w:rPr>
                <w:rFonts w:hint="eastAsia" w:ascii="宋体" w:hAnsi="宋体" w:eastAsia="宋体" w:cs="宋体"/>
                <w:color w:val="auto"/>
                <w:sz w:val="18"/>
                <w:szCs w:val="18"/>
              </w:rPr>
              <w:t>。</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生态设计理念说明、</w:t>
            </w:r>
            <w:r>
              <w:rPr>
                <w:rFonts w:hint="eastAsia" w:eastAsia="宋体" w:cs="宋体"/>
                <w:color w:val="auto"/>
                <w:sz w:val="18"/>
                <w:szCs w:val="18"/>
              </w:rPr>
              <w:t>绿色产品评价</w:t>
            </w:r>
          </w:p>
        </w:tc>
        <w:tc>
          <w:tcPr>
            <w:tcW w:w="244"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必选</w:t>
            </w:r>
          </w:p>
        </w:tc>
        <w:tc>
          <w:tcPr>
            <w:tcW w:w="199"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15</w:t>
            </w:r>
          </w:p>
        </w:tc>
        <w:tc>
          <w:tcPr>
            <w:tcW w:w="204" w:type="pct"/>
            <w:vMerge w:val="restar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continue"/>
            <w:vAlign w:val="center"/>
          </w:tcPr>
          <w:p>
            <w:pPr>
              <w:spacing w:before="78" w:beforeLines="25" w:after="78" w:afterLines="25"/>
              <w:jc w:val="center"/>
              <w:rPr>
                <w:rFonts w:ascii="宋体" w:hAnsi="宋体" w:eastAsia="宋体" w:cs="宋体"/>
                <w:color w:val="auto"/>
                <w:sz w:val="18"/>
                <w:szCs w:val="18"/>
              </w:rPr>
            </w:pPr>
          </w:p>
        </w:tc>
        <w:tc>
          <w:tcPr>
            <w:tcW w:w="2112" w:type="pct"/>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宜按照GB/T 24256对生产的产品进行生态设计，并按照GB/T 32161、GB/T 33761及</w:t>
            </w:r>
            <w:r>
              <w:rPr>
                <w:rFonts w:hint="eastAsia" w:ascii="宋体" w:hAnsi="宋体" w:eastAsia="宋体" w:cs="宋体"/>
                <w:color w:val="auto"/>
                <w:sz w:val="18"/>
                <w:szCs w:val="18"/>
              </w:rPr>
              <w:t>T/CNIA 0100</w:t>
            </w:r>
            <w:r>
              <w:rPr>
                <w:rFonts w:hint="eastAsia" w:ascii="宋体" w:hAnsi="宋体" w:eastAsia="宋体" w:cs="宋体"/>
                <w:color w:val="auto"/>
                <w:sz w:val="18"/>
                <w:szCs w:val="18"/>
              </w:rPr>
              <w:t xml:space="preserve">对生产的产品进行生态设计产品评价。 </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生态设计产品评价</w:t>
            </w:r>
          </w:p>
        </w:tc>
        <w:tc>
          <w:tcPr>
            <w:tcW w:w="244"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可选</w:t>
            </w:r>
          </w:p>
        </w:tc>
        <w:tc>
          <w:tcPr>
            <w:tcW w:w="199"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204" w:type="pct"/>
            <w:vMerge w:val="continue"/>
            <w:vAlign w:val="center"/>
          </w:tcPr>
          <w:p>
            <w:pPr>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restar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有害物质限制</w:t>
            </w: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sz w:val="18"/>
                <w:szCs w:val="18"/>
              </w:rPr>
              <w:t>产品应符合相应产品先进值或更高等级质量标准。</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产品检验报告</w:t>
            </w:r>
          </w:p>
        </w:tc>
        <w:tc>
          <w:tcPr>
            <w:tcW w:w="244" w:type="pct"/>
            <w:vMerge w:val="restar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必选</w:t>
            </w:r>
          </w:p>
        </w:tc>
        <w:tc>
          <w:tcPr>
            <w:tcW w:w="199"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20</w:t>
            </w:r>
          </w:p>
        </w:tc>
        <w:tc>
          <w:tcPr>
            <w:tcW w:w="204" w:type="pct"/>
            <w:vMerge w:val="continue"/>
            <w:vAlign w:val="center"/>
          </w:tcPr>
          <w:p>
            <w:pPr>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sz w:val="18"/>
                <w:szCs w:val="18"/>
              </w:rPr>
              <w:t>有毒有害物质的贮存、输送、生产和使用场所，应设置环境风险防范和应急处理设施。</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有毒有害物资清单、环境风险防范和应急处理设施证明等</w:t>
            </w:r>
          </w:p>
        </w:tc>
        <w:tc>
          <w:tcPr>
            <w:tcW w:w="244"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199"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15</w:t>
            </w:r>
          </w:p>
        </w:tc>
        <w:tc>
          <w:tcPr>
            <w:tcW w:w="204" w:type="pct"/>
            <w:vMerge w:val="continue"/>
            <w:vAlign w:val="center"/>
          </w:tcPr>
          <w:p>
            <w:pPr>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jc w:val="center"/>
              <w:rPr>
                <w:rFonts w:ascii="宋体" w:hAnsi="宋体" w:eastAsia="宋体" w:cs="宋体"/>
                <w:color w:val="auto"/>
                <w:kern w:val="0"/>
                <w:sz w:val="18"/>
                <w:szCs w:val="18"/>
              </w:rPr>
            </w:pPr>
          </w:p>
        </w:tc>
        <w:tc>
          <w:tcPr>
            <w:tcW w:w="342" w:type="pct"/>
            <w:vMerge w:val="continue"/>
            <w:vAlign w:val="center"/>
          </w:tcPr>
          <w:p>
            <w:pPr>
              <w:jc w:val="center"/>
              <w:rPr>
                <w:rFonts w:ascii="宋体" w:hAnsi="宋体" w:eastAsia="宋体" w:cs="宋体"/>
                <w:color w:val="auto"/>
                <w:kern w:val="0"/>
                <w:sz w:val="18"/>
                <w:szCs w:val="18"/>
              </w:rPr>
            </w:pPr>
          </w:p>
        </w:tc>
        <w:tc>
          <w:tcPr>
            <w:tcW w:w="400" w:type="pct"/>
            <w:vMerge w:val="restar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减碳</w:t>
            </w: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宜采用适用的标准或规范对产品进行碳足迹核算或核查。</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 xml:space="preserve">产品碳足迹报告 </w:t>
            </w:r>
          </w:p>
        </w:tc>
        <w:tc>
          <w:tcPr>
            <w:tcW w:w="244" w:type="pct"/>
            <w:vMerge w:val="restart"/>
            <w:vAlign w:val="center"/>
          </w:tcPr>
          <w:p>
            <w:pPr>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可选</w:t>
            </w:r>
          </w:p>
        </w:tc>
        <w:tc>
          <w:tcPr>
            <w:tcW w:w="199"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25</w:t>
            </w:r>
          </w:p>
        </w:tc>
        <w:tc>
          <w:tcPr>
            <w:tcW w:w="204" w:type="pct"/>
            <w:vMerge w:val="continue"/>
            <w:vAlign w:val="center"/>
          </w:tcPr>
          <w:p>
            <w:pPr>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widowControl/>
              <w:jc w:val="center"/>
              <w:rPr>
                <w:rFonts w:ascii="宋体" w:hAnsi="宋体" w:eastAsia="宋体" w:cs="宋体"/>
                <w:color w:val="auto"/>
                <w:kern w:val="0"/>
                <w:sz w:val="18"/>
                <w:szCs w:val="18"/>
              </w:rPr>
            </w:pPr>
          </w:p>
        </w:tc>
        <w:tc>
          <w:tcPr>
            <w:tcW w:w="342" w:type="pct"/>
            <w:vMerge w:val="continue"/>
            <w:vAlign w:val="center"/>
          </w:tcPr>
          <w:p>
            <w:pPr>
              <w:widowControl/>
              <w:jc w:val="center"/>
              <w:rPr>
                <w:rFonts w:ascii="宋体" w:hAnsi="宋体" w:eastAsia="宋体" w:cs="宋体"/>
                <w:color w:val="auto"/>
                <w:kern w:val="0"/>
                <w:sz w:val="18"/>
                <w:szCs w:val="18"/>
              </w:rPr>
            </w:pPr>
          </w:p>
        </w:tc>
        <w:tc>
          <w:tcPr>
            <w:tcW w:w="400"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宜利用核算或核查结果对其产品的碳足迹进行改善。核算或核查结果宜对外公布。</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碳足迹核算或核查改善方案、碳足迹结果公布证明</w:t>
            </w:r>
          </w:p>
        </w:tc>
        <w:tc>
          <w:tcPr>
            <w:tcW w:w="244"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199"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15</w:t>
            </w:r>
          </w:p>
        </w:tc>
        <w:tc>
          <w:tcPr>
            <w:tcW w:w="204"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restart"/>
            <w:vAlign w:val="center"/>
          </w:tcPr>
          <w:p>
            <w:pPr>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342" w:type="pct"/>
            <w:vMerge w:val="restart"/>
            <w:vAlign w:val="center"/>
          </w:tcPr>
          <w:p>
            <w:pPr>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环境排放</w:t>
            </w:r>
          </w:p>
        </w:tc>
        <w:tc>
          <w:tcPr>
            <w:tcW w:w="400" w:type="pct"/>
            <w:vMerge w:val="restart"/>
            <w:vAlign w:val="center"/>
          </w:tcPr>
          <w:p>
            <w:pPr>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大气污染物</w:t>
            </w: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大气污染物排放应符合GB 16297和污染物排放总量控制的要求。如工厂所在地有地方标准和要求的，还应符合地方标准和要求。</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监测报告、大气污染物排放在线监测数据等</w:t>
            </w:r>
          </w:p>
        </w:tc>
        <w:tc>
          <w:tcPr>
            <w:tcW w:w="244" w:type="pct"/>
            <w:vMerge w:val="restar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必选</w:t>
            </w:r>
          </w:p>
        </w:tc>
        <w:tc>
          <w:tcPr>
            <w:tcW w:w="199" w:type="pct"/>
            <w:vAlign w:val="center"/>
          </w:tcPr>
          <w:p>
            <w:pPr>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204" w:type="pct"/>
            <w:vMerge w:val="restart"/>
            <w:vAlign w:val="center"/>
          </w:tcPr>
          <w:p>
            <w:pPr>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20%</w:t>
            </w: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widowControl/>
              <w:jc w:val="center"/>
              <w:rPr>
                <w:rFonts w:ascii="宋体" w:hAnsi="宋体" w:eastAsia="宋体" w:cs="宋体"/>
                <w:color w:val="auto"/>
                <w:kern w:val="0"/>
                <w:sz w:val="18"/>
                <w:szCs w:val="18"/>
              </w:rPr>
            </w:pPr>
          </w:p>
        </w:tc>
        <w:tc>
          <w:tcPr>
            <w:tcW w:w="342" w:type="pct"/>
            <w:vMerge w:val="continue"/>
            <w:vAlign w:val="center"/>
          </w:tcPr>
          <w:p>
            <w:pPr>
              <w:widowControl/>
              <w:jc w:val="center"/>
              <w:rPr>
                <w:rFonts w:ascii="宋体" w:hAnsi="宋体" w:eastAsia="宋体" w:cs="宋体"/>
                <w:color w:val="auto"/>
                <w:kern w:val="0"/>
                <w:sz w:val="18"/>
                <w:szCs w:val="18"/>
              </w:rPr>
            </w:pPr>
          </w:p>
        </w:tc>
        <w:tc>
          <w:tcPr>
            <w:tcW w:w="400"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应建立大气污染物排放台账，按HJ 989要求开展自行监测和监控，并保存原始监测和监控记录。</w:t>
            </w:r>
          </w:p>
        </w:tc>
        <w:tc>
          <w:tcPr>
            <w:tcW w:w="1053" w:type="pct"/>
            <w:vAlign w:val="center"/>
          </w:tcPr>
          <w:p>
            <w:pPr>
              <w:widowControl/>
              <w:spacing w:before="78" w:beforeLines="25" w:after="78" w:afterLines="25"/>
              <w:jc w:val="left"/>
              <w:rPr>
                <w:rFonts w:ascii="宋体" w:hAnsi="宋体" w:eastAsia="宋体" w:cs="宋体"/>
                <w:color w:val="auto"/>
                <w:kern w:val="0"/>
                <w:sz w:val="18"/>
                <w:szCs w:val="18"/>
              </w:rPr>
            </w:pPr>
            <w:r>
              <w:rPr>
                <w:rFonts w:hint="eastAsia" w:ascii="宋体" w:hAnsi="宋体" w:eastAsia="宋体" w:cs="宋体"/>
                <w:color w:val="auto"/>
                <w:sz w:val="18"/>
                <w:szCs w:val="18"/>
              </w:rPr>
              <w:t>大气污染物排放台账保存原始监测和监控记录</w:t>
            </w:r>
          </w:p>
        </w:tc>
        <w:tc>
          <w:tcPr>
            <w:tcW w:w="244"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199"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widowControl/>
              <w:jc w:val="center"/>
              <w:rPr>
                <w:rFonts w:ascii="宋体" w:hAnsi="宋体" w:eastAsia="宋体" w:cs="宋体"/>
                <w:color w:val="auto"/>
                <w:kern w:val="0"/>
                <w:sz w:val="18"/>
                <w:szCs w:val="18"/>
              </w:rPr>
            </w:pPr>
          </w:p>
        </w:tc>
        <w:tc>
          <w:tcPr>
            <w:tcW w:w="342" w:type="pct"/>
            <w:vMerge w:val="continue"/>
            <w:vAlign w:val="center"/>
          </w:tcPr>
          <w:p>
            <w:pPr>
              <w:widowControl/>
              <w:jc w:val="center"/>
              <w:rPr>
                <w:rFonts w:ascii="宋体" w:hAnsi="宋体" w:eastAsia="宋体" w:cs="宋体"/>
                <w:color w:val="auto"/>
                <w:kern w:val="0"/>
                <w:sz w:val="18"/>
                <w:szCs w:val="18"/>
              </w:rPr>
            </w:pPr>
          </w:p>
        </w:tc>
        <w:tc>
          <w:tcPr>
            <w:tcW w:w="400"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主要大气污染物排放宜满足</w:t>
            </w:r>
            <w:r>
              <w:rPr>
                <w:rFonts w:hint="eastAsia" w:ascii="宋体" w:hAnsi="宋体" w:eastAsia="宋体" w:cs="宋体"/>
                <w:color w:val="auto"/>
                <w:sz w:val="18"/>
                <w:szCs w:val="18"/>
              </w:rPr>
              <w:t>GB 16297</w:t>
            </w:r>
            <w:r>
              <w:rPr>
                <w:rFonts w:hint="eastAsia" w:ascii="宋体" w:hAnsi="宋体" w:eastAsia="宋体" w:cs="宋体"/>
                <w:color w:val="auto"/>
                <w:sz w:val="18"/>
                <w:szCs w:val="18"/>
              </w:rPr>
              <w:t>中更高等级的要求。</w:t>
            </w:r>
          </w:p>
        </w:tc>
        <w:tc>
          <w:tcPr>
            <w:tcW w:w="1053" w:type="pct"/>
            <w:vAlign w:val="center"/>
          </w:tcPr>
          <w:p>
            <w:pPr>
              <w:widowControl/>
              <w:spacing w:before="78" w:beforeLines="25" w:after="78" w:afterLines="25"/>
              <w:jc w:val="left"/>
              <w:rPr>
                <w:rFonts w:ascii="宋体" w:hAnsi="宋体" w:eastAsia="宋体" w:cs="宋体"/>
                <w:color w:val="auto"/>
                <w:kern w:val="0"/>
                <w:sz w:val="18"/>
                <w:szCs w:val="18"/>
              </w:rPr>
            </w:pPr>
            <w:r>
              <w:rPr>
                <w:rFonts w:hint="eastAsia" w:ascii="宋体" w:hAnsi="宋体" w:eastAsia="宋体" w:cs="宋体"/>
                <w:color w:val="auto"/>
                <w:sz w:val="18"/>
                <w:szCs w:val="18"/>
              </w:rPr>
              <w:t>监测报告、大气污染物排放在线监测数据等</w:t>
            </w:r>
          </w:p>
        </w:tc>
        <w:tc>
          <w:tcPr>
            <w:tcW w:w="244"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可选</w:t>
            </w:r>
          </w:p>
        </w:tc>
        <w:tc>
          <w:tcPr>
            <w:tcW w:w="199"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204"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r>
    </w:tbl>
    <w:p>
      <w:pPr>
        <w:spacing w:before="156" w:beforeLines="50" w:after="156" w:afterLines="50"/>
        <w:jc w:val="center"/>
        <w:outlineLvl w:val="0"/>
        <w:rPr>
          <w:rFonts w:ascii="黑体" w:hAnsi="黑体" w:eastAsia="黑体" w:cs="黑体"/>
          <w:color w:val="auto"/>
          <w:szCs w:val="21"/>
        </w:rPr>
      </w:pPr>
      <w:bookmarkStart w:id="71" w:name="_Toc131619701"/>
      <w:r>
        <w:rPr>
          <w:rFonts w:hint="eastAsia" w:ascii="黑体" w:hAnsi="黑体" w:eastAsia="黑体" w:cs="黑体"/>
          <w:color w:val="auto"/>
          <w:szCs w:val="21"/>
        </w:rPr>
        <w:t xml:space="preserve">表A.1 </w:t>
      </w:r>
      <w:r>
        <w:rPr>
          <w:rFonts w:ascii="黑体" w:hAnsi="黑体" w:eastAsia="黑体" w:cs="黑体"/>
          <w:color w:val="auto"/>
          <w:szCs w:val="21"/>
        </w:rPr>
        <w:t>锗行业绿色工厂评价指标体系</w:t>
      </w:r>
      <w:r>
        <w:rPr>
          <w:rFonts w:hint="eastAsia" w:ascii="黑体" w:hAnsi="黑体" w:eastAsia="黑体" w:cs="黑体"/>
          <w:color w:val="auto"/>
          <w:szCs w:val="21"/>
        </w:rPr>
        <w:t>（续）</w:t>
      </w:r>
      <w:bookmarkEnd w:id="71"/>
    </w:p>
    <w:tbl>
      <w:tblPr>
        <w:tblStyle w:val="1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93"/>
        <w:gridCol w:w="1161"/>
        <w:gridCol w:w="6132"/>
        <w:gridCol w:w="3057"/>
        <w:gridCol w:w="708"/>
        <w:gridCol w:w="577"/>
        <w:gridCol w:w="592"/>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32"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序号</w:t>
            </w:r>
          </w:p>
        </w:tc>
        <w:tc>
          <w:tcPr>
            <w:tcW w:w="342"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一级指标</w:t>
            </w:r>
          </w:p>
        </w:tc>
        <w:tc>
          <w:tcPr>
            <w:tcW w:w="400"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二级指标</w:t>
            </w:r>
          </w:p>
        </w:tc>
        <w:tc>
          <w:tcPr>
            <w:tcW w:w="2112"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具体评价要求</w:t>
            </w:r>
          </w:p>
        </w:tc>
        <w:tc>
          <w:tcPr>
            <w:tcW w:w="1053"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符合性说明及证明材料索引</w:t>
            </w:r>
          </w:p>
        </w:tc>
        <w:tc>
          <w:tcPr>
            <w:tcW w:w="244"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要求类型</w:t>
            </w:r>
          </w:p>
        </w:tc>
        <w:tc>
          <w:tcPr>
            <w:tcW w:w="199"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分值</w:t>
            </w:r>
          </w:p>
        </w:tc>
        <w:tc>
          <w:tcPr>
            <w:tcW w:w="204"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权重</w:t>
            </w:r>
          </w:p>
        </w:tc>
        <w:tc>
          <w:tcPr>
            <w:tcW w:w="209" w:type="pct"/>
            <w:noWrap/>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restart"/>
            <w:vAlign w:val="center"/>
          </w:tcPr>
          <w:p>
            <w:pPr>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342" w:type="pct"/>
            <w:vMerge w:val="restart"/>
            <w:vAlign w:val="center"/>
          </w:tcPr>
          <w:p>
            <w:pPr>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环境排放</w:t>
            </w:r>
          </w:p>
        </w:tc>
        <w:tc>
          <w:tcPr>
            <w:tcW w:w="400" w:type="pct"/>
            <w:vMerge w:val="restar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水体污染物</w:t>
            </w: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sz w:val="18"/>
                <w:szCs w:val="18"/>
              </w:rPr>
              <w:t>水污染物排放应符合GB 8978和主要污染物排放总量控制规定，并满足国家排污许可和环境管理体系的要求。如工厂所在地有地方标准和要求的，还应符合地方标准和要求。</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监测报告、水污染物排放在线监测数据等</w:t>
            </w:r>
          </w:p>
        </w:tc>
        <w:tc>
          <w:tcPr>
            <w:tcW w:w="244" w:type="pct"/>
            <w:vMerge w:val="restar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必选</w:t>
            </w:r>
          </w:p>
        </w:tc>
        <w:tc>
          <w:tcPr>
            <w:tcW w:w="199"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sz w:val="18"/>
                <w:szCs w:val="18"/>
              </w:rPr>
              <w:t>10</w:t>
            </w:r>
          </w:p>
        </w:tc>
        <w:tc>
          <w:tcPr>
            <w:tcW w:w="204" w:type="pct"/>
            <w:vMerge w:val="restar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20%</w:t>
            </w: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widowControl/>
              <w:jc w:val="center"/>
              <w:rPr>
                <w:rFonts w:ascii="宋体" w:hAnsi="宋体" w:eastAsia="宋体" w:cs="宋体"/>
                <w:color w:val="auto"/>
                <w:kern w:val="0"/>
                <w:sz w:val="18"/>
                <w:szCs w:val="18"/>
              </w:rPr>
            </w:pPr>
          </w:p>
        </w:tc>
        <w:tc>
          <w:tcPr>
            <w:tcW w:w="342" w:type="pct"/>
            <w:vMerge w:val="continue"/>
            <w:vAlign w:val="center"/>
          </w:tcPr>
          <w:p>
            <w:pPr>
              <w:widowControl/>
              <w:jc w:val="center"/>
              <w:rPr>
                <w:rFonts w:ascii="宋体" w:hAnsi="宋体" w:eastAsia="宋体" w:cs="宋体"/>
                <w:color w:val="auto"/>
                <w:kern w:val="0"/>
                <w:sz w:val="18"/>
                <w:szCs w:val="18"/>
              </w:rPr>
            </w:pPr>
          </w:p>
        </w:tc>
        <w:tc>
          <w:tcPr>
            <w:tcW w:w="400"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应建立水体污染物排放台账，按HJ 989要求开展自行监测和监控，并保存原始监测和监控记录。</w:t>
            </w:r>
          </w:p>
        </w:tc>
        <w:tc>
          <w:tcPr>
            <w:tcW w:w="1053" w:type="pct"/>
            <w:vAlign w:val="center"/>
          </w:tcPr>
          <w:p>
            <w:pPr>
              <w:widowControl/>
              <w:spacing w:before="78" w:beforeLines="25" w:after="78" w:afterLines="25"/>
              <w:jc w:val="left"/>
              <w:rPr>
                <w:rFonts w:ascii="宋体" w:hAnsi="宋体" w:eastAsia="宋体" w:cs="宋体"/>
                <w:color w:val="auto"/>
                <w:kern w:val="0"/>
                <w:sz w:val="18"/>
                <w:szCs w:val="18"/>
              </w:rPr>
            </w:pPr>
            <w:r>
              <w:rPr>
                <w:rFonts w:hint="eastAsia" w:ascii="宋体" w:hAnsi="宋体" w:eastAsia="宋体" w:cs="宋体"/>
                <w:color w:val="auto"/>
                <w:sz w:val="18"/>
                <w:szCs w:val="18"/>
              </w:rPr>
              <w:t>水污染物排放台账保存原始监测和监控记录</w:t>
            </w:r>
          </w:p>
        </w:tc>
        <w:tc>
          <w:tcPr>
            <w:tcW w:w="244"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199"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5</w:t>
            </w:r>
          </w:p>
        </w:tc>
        <w:tc>
          <w:tcPr>
            <w:tcW w:w="204"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widowControl/>
              <w:jc w:val="center"/>
              <w:rPr>
                <w:rFonts w:ascii="宋体" w:hAnsi="宋体" w:eastAsia="宋体" w:cs="宋体"/>
                <w:color w:val="auto"/>
                <w:kern w:val="0"/>
                <w:sz w:val="18"/>
                <w:szCs w:val="18"/>
              </w:rPr>
            </w:pPr>
          </w:p>
        </w:tc>
        <w:tc>
          <w:tcPr>
            <w:tcW w:w="342" w:type="pct"/>
            <w:vMerge w:val="continue"/>
            <w:vAlign w:val="center"/>
          </w:tcPr>
          <w:p>
            <w:pPr>
              <w:widowControl/>
              <w:jc w:val="center"/>
              <w:rPr>
                <w:rFonts w:ascii="宋体" w:hAnsi="宋体" w:eastAsia="宋体" w:cs="宋体"/>
                <w:color w:val="auto"/>
                <w:kern w:val="0"/>
                <w:sz w:val="18"/>
                <w:szCs w:val="18"/>
              </w:rPr>
            </w:pPr>
          </w:p>
        </w:tc>
        <w:tc>
          <w:tcPr>
            <w:tcW w:w="400"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主要水污染物排放宜满足</w:t>
            </w:r>
            <w:r>
              <w:rPr>
                <w:rFonts w:hint="eastAsia" w:ascii="宋体" w:hAnsi="宋体" w:eastAsia="宋体" w:cs="宋体"/>
                <w:color w:val="auto"/>
                <w:sz w:val="18"/>
                <w:szCs w:val="18"/>
              </w:rPr>
              <w:t>GB 8978</w:t>
            </w:r>
            <w:r>
              <w:rPr>
                <w:rFonts w:hint="eastAsia" w:ascii="宋体" w:hAnsi="宋体" w:eastAsia="宋体" w:cs="宋体"/>
                <w:color w:val="auto"/>
                <w:sz w:val="18"/>
                <w:szCs w:val="18"/>
              </w:rPr>
              <w:t>中更高等级的要求。</w:t>
            </w:r>
          </w:p>
        </w:tc>
        <w:tc>
          <w:tcPr>
            <w:tcW w:w="1053" w:type="pct"/>
            <w:vAlign w:val="center"/>
          </w:tcPr>
          <w:p>
            <w:pPr>
              <w:widowControl/>
              <w:spacing w:before="78" w:beforeLines="25" w:after="78" w:afterLines="25"/>
              <w:jc w:val="left"/>
              <w:rPr>
                <w:rFonts w:ascii="宋体" w:hAnsi="宋体" w:eastAsia="宋体" w:cs="宋体"/>
                <w:color w:val="auto"/>
                <w:kern w:val="0"/>
                <w:sz w:val="18"/>
                <w:szCs w:val="18"/>
              </w:rPr>
            </w:pPr>
            <w:r>
              <w:rPr>
                <w:rFonts w:hint="eastAsia" w:ascii="宋体" w:hAnsi="宋体" w:eastAsia="宋体" w:cs="宋体"/>
                <w:color w:val="auto"/>
                <w:sz w:val="18"/>
                <w:szCs w:val="18"/>
              </w:rPr>
              <w:t>监测报告</w:t>
            </w:r>
          </w:p>
        </w:tc>
        <w:tc>
          <w:tcPr>
            <w:tcW w:w="244"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可选</w:t>
            </w:r>
          </w:p>
        </w:tc>
        <w:tc>
          <w:tcPr>
            <w:tcW w:w="199"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5</w:t>
            </w:r>
          </w:p>
        </w:tc>
        <w:tc>
          <w:tcPr>
            <w:tcW w:w="204"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widowControl/>
              <w:jc w:val="center"/>
              <w:rPr>
                <w:rFonts w:ascii="宋体" w:hAnsi="宋体" w:eastAsia="宋体" w:cs="宋体"/>
                <w:color w:val="auto"/>
                <w:kern w:val="0"/>
                <w:sz w:val="18"/>
                <w:szCs w:val="18"/>
              </w:rPr>
            </w:pPr>
          </w:p>
        </w:tc>
        <w:tc>
          <w:tcPr>
            <w:tcW w:w="342" w:type="pct"/>
            <w:vMerge w:val="continue"/>
            <w:vAlign w:val="center"/>
          </w:tcPr>
          <w:p>
            <w:pPr>
              <w:widowControl/>
              <w:jc w:val="center"/>
              <w:rPr>
                <w:rFonts w:ascii="宋体" w:hAnsi="宋体" w:eastAsia="宋体" w:cs="宋体"/>
                <w:color w:val="auto"/>
                <w:kern w:val="0"/>
                <w:sz w:val="18"/>
                <w:szCs w:val="18"/>
              </w:rPr>
            </w:pPr>
          </w:p>
        </w:tc>
        <w:tc>
          <w:tcPr>
            <w:tcW w:w="400" w:type="pct"/>
            <w:vMerge w:val="restar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固体污染物</w:t>
            </w: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固体废物的贮存、转移和处置应符合GB 18597、GB 18598和GB 18599等相关标准的规定。</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一般固废销售合同、危险废物处置合同、固废转移联单等</w:t>
            </w:r>
          </w:p>
        </w:tc>
        <w:tc>
          <w:tcPr>
            <w:tcW w:w="244" w:type="pct"/>
            <w:vMerge w:val="restar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必选</w:t>
            </w:r>
          </w:p>
        </w:tc>
        <w:tc>
          <w:tcPr>
            <w:tcW w:w="199"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10</w:t>
            </w:r>
          </w:p>
        </w:tc>
        <w:tc>
          <w:tcPr>
            <w:tcW w:w="204"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widowControl/>
              <w:jc w:val="center"/>
              <w:rPr>
                <w:rFonts w:ascii="宋体" w:hAnsi="宋体" w:eastAsia="宋体" w:cs="宋体"/>
                <w:color w:val="auto"/>
                <w:kern w:val="0"/>
                <w:sz w:val="18"/>
                <w:szCs w:val="18"/>
              </w:rPr>
            </w:pPr>
          </w:p>
        </w:tc>
        <w:tc>
          <w:tcPr>
            <w:tcW w:w="342" w:type="pct"/>
            <w:vMerge w:val="continue"/>
            <w:vAlign w:val="center"/>
          </w:tcPr>
          <w:p>
            <w:pPr>
              <w:widowControl/>
              <w:jc w:val="center"/>
              <w:rPr>
                <w:rFonts w:ascii="宋体" w:hAnsi="宋体" w:eastAsia="宋体" w:cs="宋体"/>
                <w:color w:val="auto"/>
                <w:kern w:val="0"/>
                <w:sz w:val="18"/>
                <w:szCs w:val="18"/>
              </w:rPr>
            </w:pPr>
          </w:p>
        </w:tc>
        <w:tc>
          <w:tcPr>
            <w:tcW w:w="400"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在分类收集和处理固体废物的过程中采取无二次污染的预防措施。</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固废收集与处理预防措施等</w:t>
            </w:r>
          </w:p>
        </w:tc>
        <w:tc>
          <w:tcPr>
            <w:tcW w:w="244" w:type="pct"/>
            <w:vMerge w:val="continue"/>
            <w:vAlign w:val="center"/>
          </w:tcPr>
          <w:p>
            <w:pPr>
              <w:spacing w:before="78" w:beforeLines="25" w:after="78" w:afterLines="25"/>
              <w:jc w:val="center"/>
              <w:rPr>
                <w:rFonts w:ascii="宋体" w:hAnsi="宋体" w:eastAsia="宋体" w:cs="宋体"/>
                <w:color w:val="auto"/>
                <w:kern w:val="0"/>
                <w:sz w:val="18"/>
                <w:szCs w:val="18"/>
              </w:rPr>
            </w:pPr>
          </w:p>
        </w:tc>
        <w:tc>
          <w:tcPr>
            <w:tcW w:w="199"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5</w:t>
            </w:r>
          </w:p>
        </w:tc>
        <w:tc>
          <w:tcPr>
            <w:tcW w:w="204"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widowControl/>
              <w:jc w:val="center"/>
              <w:rPr>
                <w:rFonts w:ascii="宋体" w:hAnsi="宋体" w:eastAsia="宋体" w:cs="宋体"/>
                <w:color w:val="auto"/>
                <w:kern w:val="0"/>
                <w:sz w:val="18"/>
                <w:szCs w:val="18"/>
              </w:rPr>
            </w:pPr>
          </w:p>
        </w:tc>
        <w:tc>
          <w:tcPr>
            <w:tcW w:w="342" w:type="pct"/>
            <w:vMerge w:val="continue"/>
            <w:vAlign w:val="center"/>
          </w:tcPr>
          <w:p>
            <w:pPr>
              <w:widowControl/>
              <w:jc w:val="center"/>
              <w:rPr>
                <w:rFonts w:ascii="宋体" w:hAnsi="宋体" w:eastAsia="宋体" w:cs="宋体"/>
                <w:color w:val="auto"/>
                <w:kern w:val="0"/>
                <w:sz w:val="18"/>
                <w:szCs w:val="18"/>
              </w:rPr>
            </w:pPr>
          </w:p>
        </w:tc>
        <w:tc>
          <w:tcPr>
            <w:tcW w:w="400"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无法自行处理的危险废物，应委托具有处理能力和处理资质的企业进行处理。</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危险废物销售合同、危废转移联单及处置单位资料等</w:t>
            </w:r>
          </w:p>
        </w:tc>
        <w:tc>
          <w:tcPr>
            <w:tcW w:w="244" w:type="pct"/>
            <w:vMerge w:val="continue"/>
            <w:vAlign w:val="center"/>
          </w:tcPr>
          <w:p>
            <w:pPr>
              <w:spacing w:before="78" w:beforeLines="25" w:after="78" w:afterLines="25"/>
              <w:jc w:val="center"/>
              <w:rPr>
                <w:rFonts w:ascii="宋体" w:hAnsi="宋体" w:eastAsia="宋体" w:cs="宋体"/>
                <w:color w:val="auto"/>
                <w:kern w:val="0"/>
                <w:sz w:val="18"/>
                <w:szCs w:val="18"/>
              </w:rPr>
            </w:pPr>
          </w:p>
        </w:tc>
        <w:tc>
          <w:tcPr>
            <w:tcW w:w="199"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5</w:t>
            </w:r>
          </w:p>
        </w:tc>
        <w:tc>
          <w:tcPr>
            <w:tcW w:w="204"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widowControl/>
              <w:jc w:val="center"/>
              <w:rPr>
                <w:rFonts w:ascii="宋体" w:hAnsi="宋体" w:eastAsia="宋体" w:cs="宋体"/>
                <w:color w:val="auto"/>
                <w:kern w:val="0"/>
                <w:sz w:val="18"/>
                <w:szCs w:val="18"/>
              </w:rPr>
            </w:pPr>
          </w:p>
        </w:tc>
        <w:tc>
          <w:tcPr>
            <w:tcW w:w="342" w:type="pct"/>
            <w:vMerge w:val="continue"/>
            <w:vAlign w:val="center"/>
          </w:tcPr>
          <w:p>
            <w:pPr>
              <w:widowControl/>
              <w:jc w:val="center"/>
              <w:rPr>
                <w:rFonts w:ascii="宋体" w:hAnsi="宋体" w:eastAsia="宋体" w:cs="宋体"/>
                <w:color w:val="auto"/>
                <w:kern w:val="0"/>
                <w:sz w:val="18"/>
                <w:szCs w:val="18"/>
              </w:rPr>
            </w:pPr>
          </w:p>
        </w:tc>
        <w:tc>
          <w:tcPr>
            <w:tcW w:w="400"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宜针对自身产生的固体废物采用减量化、无害化、资源化的处理、处置、利用方式。</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固废处理处置方式说明等</w:t>
            </w:r>
          </w:p>
        </w:tc>
        <w:tc>
          <w:tcPr>
            <w:tcW w:w="244"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可选</w:t>
            </w:r>
          </w:p>
        </w:tc>
        <w:tc>
          <w:tcPr>
            <w:tcW w:w="199"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5</w:t>
            </w:r>
          </w:p>
        </w:tc>
        <w:tc>
          <w:tcPr>
            <w:tcW w:w="204"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widowControl/>
              <w:jc w:val="center"/>
              <w:rPr>
                <w:rFonts w:ascii="宋体" w:hAnsi="宋体" w:eastAsia="宋体" w:cs="宋体"/>
                <w:color w:val="auto"/>
                <w:kern w:val="0"/>
                <w:sz w:val="18"/>
                <w:szCs w:val="18"/>
              </w:rPr>
            </w:pPr>
          </w:p>
        </w:tc>
        <w:tc>
          <w:tcPr>
            <w:tcW w:w="342" w:type="pct"/>
            <w:vMerge w:val="continue"/>
            <w:vAlign w:val="center"/>
          </w:tcPr>
          <w:p>
            <w:pPr>
              <w:widowControl/>
              <w:jc w:val="center"/>
              <w:rPr>
                <w:rFonts w:ascii="宋体" w:hAnsi="宋体" w:eastAsia="宋体" w:cs="宋体"/>
                <w:color w:val="auto"/>
                <w:kern w:val="0"/>
                <w:sz w:val="18"/>
                <w:szCs w:val="18"/>
              </w:rPr>
            </w:pPr>
          </w:p>
        </w:tc>
        <w:tc>
          <w:tcPr>
            <w:tcW w:w="400"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噪声</w:t>
            </w: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厂界环境噪声排放应符合GB 12348的要求。</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监测报告</w:t>
            </w:r>
          </w:p>
        </w:tc>
        <w:tc>
          <w:tcPr>
            <w:tcW w:w="244"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必选</w:t>
            </w:r>
          </w:p>
        </w:tc>
        <w:tc>
          <w:tcPr>
            <w:tcW w:w="199"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5</w:t>
            </w:r>
          </w:p>
        </w:tc>
        <w:tc>
          <w:tcPr>
            <w:tcW w:w="204"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widowControl/>
              <w:jc w:val="center"/>
              <w:rPr>
                <w:rFonts w:ascii="宋体" w:hAnsi="宋体" w:eastAsia="宋体" w:cs="宋体"/>
                <w:color w:val="auto"/>
                <w:kern w:val="0"/>
                <w:sz w:val="18"/>
                <w:szCs w:val="18"/>
              </w:rPr>
            </w:pPr>
          </w:p>
        </w:tc>
        <w:tc>
          <w:tcPr>
            <w:tcW w:w="342" w:type="pct"/>
            <w:vMerge w:val="continue"/>
            <w:vAlign w:val="center"/>
          </w:tcPr>
          <w:p>
            <w:pPr>
              <w:widowControl/>
              <w:jc w:val="center"/>
              <w:rPr>
                <w:rFonts w:ascii="宋体" w:hAnsi="宋体" w:eastAsia="宋体" w:cs="宋体"/>
                <w:color w:val="auto"/>
                <w:kern w:val="0"/>
                <w:sz w:val="18"/>
                <w:szCs w:val="18"/>
              </w:rPr>
            </w:pPr>
          </w:p>
        </w:tc>
        <w:tc>
          <w:tcPr>
            <w:tcW w:w="400" w:type="pct"/>
            <w:vMerge w:val="restar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温室气体</w:t>
            </w: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应采用GB/T 32150或适用的标准或规范对其厂界范围内的温室气体排放进行核算和报告。</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温室气体核查报告</w:t>
            </w:r>
          </w:p>
        </w:tc>
        <w:tc>
          <w:tcPr>
            <w:tcW w:w="244"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必选</w:t>
            </w:r>
          </w:p>
        </w:tc>
        <w:tc>
          <w:tcPr>
            <w:tcW w:w="199"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15</w:t>
            </w:r>
          </w:p>
        </w:tc>
        <w:tc>
          <w:tcPr>
            <w:tcW w:w="204"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widowControl/>
              <w:jc w:val="center"/>
              <w:rPr>
                <w:rFonts w:ascii="宋体" w:hAnsi="宋体" w:eastAsia="宋体" w:cs="宋体"/>
                <w:color w:val="auto"/>
                <w:kern w:val="0"/>
                <w:sz w:val="18"/>
                <w:szCs w:val="18"/>
              </w:rPr>
            </w:pPr>
          </w:p>
        </w:tc>
        <w:tc>
          <w:tcPr>
            <w:tcW w:w="342" w:type="pct"/>
            <w:vMerge w:val="continue"/>
            <w:vAlign w:val="center"/>
          </w:tcPr>
          <w:p>
            <w:pPr>
              <w:widowControl/>
              <w:jc w:val="center"/>
              <w:rPr>
                <w:rFonts w:ascii="宋体" w:hAnsi="宋体" w:eastAsia="宋体" w:cs="宋体"/>
                <w:color w:val="auto"/>
                <w:kern w:val="0"/>
                <w:sz w:val="18"/>
                <w:szCs w:val="18"/>
              </w:rPr>
            </w:pPr>
          </w:p>
        </w:tc>
        <w:tc>
          <w:tcPr>
            <w:tcW w:w="400"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宜获得温室气体排放量第三方核查声明，核查结果宜对外公布。</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温室气体核查报告、核查结果公示截图</w:t>
            </w:r>
          </w:p>
        </w:tc>
        <w:tc>
          <w:tcPr>
            <w:tcW w:w="244" w:type="pct"/>
            <w:vMerge w:val="restart"/>
            <w:vAlign w:val="center"/>
          </w:tcPr>
          <w:p>
            <w:pPr>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可选</w:t>
            </w:r>
          </w:p>
        </w:tc>
        <w:tc>
          <w:tcPr>
            <w:tcW w:w="199"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10</w:t>
            </w:r>
          </w:p>
        </w:tc>
        <w:tc>
          <w:tcPr>
            <w:tcW w:w="204"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2" w:type="pct"/>
            <w:vMerge w:val="continue"/>
            <w:vAlign w:val="center"/>
          </w:tcPr>
          <w:p>
            <w:pPr>
              <w:widowControl/>
              <w:jc w:val="center"/>
              <w:rPr>
                <w:rFonts w:ascii="宋体" w:hAnsi="宋体" w:eastAsia="宋体" w:cs="宋体"/>
                <w:color w:val="auto"/>
                <w:kern w:val="0"/>
                <w:sz w:val="18"/>
                <w:szCs w:val="18"/>
              </w:rPr>
            </w:pPr>
          </w:p>
        </w:tc>
        <w:tc>
          <w:tcPr>
            <w:tcW w:w="342" w:type="pct"/>
            <w:vMerge w:val="continue"/>
            <w:vAlign w:val="center"/>
          </w:tcPr>
          <w:p>
            <w:pPr>
              <w:widowControl/>
              <w:jc w:val="center"/>
              <w:rPr>
                <w:rFonts w:ascii="宋体" w:hAnsi="宋体" w:eastAsia="宋体" w:cs="宋体"/>
                <w:color w:val="auto"/>
                <w:kern w:val="0"/>
                <w:sz w:val="18"/>
                <w:szCs w:val="18"/>
              </w:rPr>
            </w:pPr>
          </w:p>
        </w:tc>
        <w:tc>
          <w:tcPr>
            <w:tcW w:w="400"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宜利用核查结果对其温室气体的排放进行改善。</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温室气体减排方案</w:t>
            </w:r>
          </w:p>
        </w:tc>
        <w:tc>
          <w:tcPr>
            <w:tcW w:w="244"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199"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5</w:t>
            </w:r>
          </w:p>
        </w:tc>
        <w:tc>
          <w:tcPr>
            <w:tcW w:w="204" w:type="pct"/>
            <w:vMerge w:val="continue"/>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w:t>
            </w:r>
          </w:p>
        </w:tc>
      </w:tr>
    </w:tbl>
    <w:p>
      <w:pPr>
        <w:spacing w:before="156" w:beforeLines="50" w:after="156" w:afterLines="50"/>
        <w:jc w:val="center"/>
        <w:outlineLvl w:val="0"/>
        <w:rPr>
          <w:rFonts w:ascii="黑体" w:hAnsi="黑体" w:eastAsia="黑体" w:cs="黑体"/>
          <w:color w:val="auto"/>
          <w:szCs w:val="21"/>
        </w:rPr>
      </w:pPr>
    </w:p>
    <w:p>
      <w:pPr>
        <w:spacing w:before="156" w:beforeLines="50" w:after="156" w:afterLines="50"/>
        <w:jc w:val="center"/>
        <w:outlineLvl w:val="0"/>
        <w:rPr>
          <w:rFonts w:ascii="黑体" w:hAnsi="黑体" w:eastAsia="黑体" w:cs="黑体"/>
          <w:color w:val="auto"/>
          <w:szCs w:val="21"/>
        </w:rPr>
      </w:pPr>
    </w:p>
    <w:p>
      <w:pPr>
        <w:spacing w:before="156" w:beforeLines="50" w:after="156" w:afterLines="50"/>
        <w:jc w:val="center"/>
        <w:outlineLvl w:val="0"/>
        <w:rPr>
          <w:rFonts w:ascii="黑体" w:hAnsi="黑体" w:eastAsia="黑体" w:cs="黑体"/>
          <w:color w:val="auto"/>
          <w:szCs w:val="21"/>
        </w:rPr>
      </w:pPr>
      <w:bookmarkStart w:id="72" w:name="_Toc131619702"/>
      <w:r>
        <w:rPr>
          <w:rFonts w:hint="eastAsia" w:ascii="黑体" w:hAnsi="黑体" w:eastAsia="黑体" w:cs="黑体"/>
          <w:color w:val="auto"/>
          <w:szCs w:val="21"/>
        </w:rPr>
        <w:t xml:space="preserve">表A.1 </w:t>
      </w:r>
      <w:r>
        <w:rPr>
          <w:rFonts w:ascii="黑体" w:hAnsi="黑体" w:eastAsia="黑体" w:cs="黑体"/>
          <w:color w:val="auto"/>
          <w:szCs w:val="21"/>
        </w:rPr>
        <w:t>锗行业绿色工厂评价指标体系</w:t>
      </w:r>
      <w:r>
        <w:rPr>
          <w:rFonts w:hint="eastAsia" w:ascii="黑体" w:hAnsi="黑体" w:eastAsia="黑体" w:cs="黑体"/>
          <w:color w:val="auto"/>
          <w:szCs w:val="21"/>
        </w:rPr>
        <w:t>（续）</w:t>
      </w:r>
      <w:bookmarkEnd w:id="72"/>
    </w:p>
    <w:tbl>
      <w:tblPr>
        <w:tblStyle w:val="1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93"/>
        <w:gridCol w:w="1161"/>
        <w:gridCol w:w="6132"/>
        <w:gridCol w:w="3057"/>
        <w:gridCol w:w="708"/>
        <w:gridCol w:w="577"/>
        <w:gridCol w:w="592"/>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32" w:type="pct"/>
            <w:noWrap/>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序号</w:t>
            </w:r>
          </w:p>
        </w:tc>
        <w:tc>
          <w:tcPr>
            <w:tcW w:w="342" w:type="pct"/>
            <w:noWrap/>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一级指标</w:t>
            </w:r>
          </w:p>
        </w:tc>
        <w:tc>
          <w:tcPr>
            <w:tcW w:w="400" w:type="pct"/>
            <w:noWrap/>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二级指标</w:t>
            </w:r>
          </w:p>
        </w:tc>
        <w:tc>
          <w:tcPr>
            <w:tcW w:w="2112" w:type="pct"/>
            <w:noWrap/>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具体评价要求</w:t>
            </w:r>
          </w:p>
        </w:tc>
        <w:tc>
          <w:tcPr>
            <w:tcW w:w="1053"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符合性说明及证明材料索引</w:t>
            </w:r>
          </w:p>
        </w:tc>
        <w:tc>
          <w:tcPr>
            <w:tcW w:w="244"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要求类型</w:t>
            </w:r>
          </w:p>
        </w:tc>
        <w:tc>
          <w:tcPr>
            <w:tcW w:w="199" w:type="pct"/>
            <w:noWrap/>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分值</w:t>
            </w:r>
          </w:p>
        </w:tc>
        <w:tc>
          <w:tcPr>
            <w:tcW w:w="204" w:type="pct"/>
            <w:noWrap/>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权重</w:t>
            </w:r>
          </w:p>
        </w:tc>
        <w:tc>
          <w:tcPr>
            <w:tcW w:w="209" w:type="pct"/>
            <w:noWrap/>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 w:type="pct"/>
            <w:vMerge w:val="restar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6</w:t>
            </w:r>
          </w:p>
          <w:p>
            <w:pPr>
              <w:widowControl/>
              <w:jc w:val="center"/>
              <w:rPr>
                <w:rFonts w:ascii="宋体" w:hAnsi="宋体" w:eastAsia="宋体" w:cs="宋体"/>
                <w:color w:val="auto"/>
                <w:kern w:val="0"/>
                <w:sz w:val="18"/>
                <w:szCs w:val="18"/>
              </w:rPr>
            </w:pPr>
          </w:p>
        </w:tc>
        <w:tc>
          <w:tcPr>
            <w:tcW w:w="342" w:type="pct"/>
            <w:vMerge w:val="restar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绩效</w:t>
            </w:r>
          </w:p>
        </w:tc>
        <w:tc>
          <w:tcPr>
            <w:tcW w:w="400" w:type="pct"/>
            <w:vMerge w:val="restart"/>
            <w:noWrap/>
            <w:vAlign w:val="center"/>
          </w:tcPr>
          <w:p>
            <w:pPr>
              <w:widowControl/>
              <w:spacing w:before="78" w:beforeLines="25" w:after="78" w:afterLines="25"/>
              <w:jc w:val="cente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用地集约化</w:t>
            </w:r>
          </w:p>
        </w:tc>
        <w:tc>
          <w:tcPr>
            <w:tcW w:w="2112" w:type="pct"/>
            <w:noWrap/>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sz w:val="18"/>
                <w:szCs w:val="18"/>
              </w:rPr>
              <w:t>按照GB/T 36132-2018附录A计算工厂容积率，指标不应低于0.6。</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工厂容积率核算</w:t>
            </w:r>
          </w:p>
        </w:tc>
        <w:tc>
          <w:tcPr>
            <w:tcW w:w="244"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sz w:val="18"/>
                <w:szCs w:val="18"/>
              </w:rPr>
              <w:t>必选</w:t>
            </w:r>
          </w:p>
        </w:tc>
        <w:tc>
          <w:tcPr>
            <w:tcW w:w="199" w:type="pct"/>
            <w:noWrap/>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3</w:t>
            </w:r>
          </w:p>
        </w:tc>
        <w:tc>
          <w:tcPr>
            <w:tcW w:w="204" w:type="pct"/>
            <w:vMerge w:val="restart"/>
            <w:noWrap/>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25%</w:t>
            </w: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 w:type="pct"/>
            <w:vMerge w:val="continue"/>
            <w:noWrap/>
            <w:vAlign w:val="center"/>
          </w:tcPr>
          <w:p>
            <w:pPr>
              <w:widowControl/>
              <w:jc w:val="center"/>
              <w:rPr>
                <w:rFonts w:ascii="宋体" w:hAnsi="宋体" w:eastAsia="宋体" w:cs="宋体"/>
                <w:color w:val="auto"/>
                <w:kern w:val="0"/>
                <w:sz w:val="18"/>
                <w:szCs w:val="18"/>
              </w:rPr>
            </w:pPr>
          </w:p>
        </w:tc>
        <w:tc>
          <w:tcPr>
            <w:tcW w:w="342" w:type="pct"/>
            <w:vMerge w:val="continue"/>
            <w:noWrap/>
            <w:vAlign w:val="center"/>
          </w:tcPr>
          <w:p>
            <w:pPr>
              <w:widowControl/>
              <w:jc w:val="center"/>
              <w:rPr>
                <w:rFonts w:ascii="宋体" w:hAnsi="宋体" w:eastAsia="宋体" w:cs="宋体"/>
                <w:color w:val="auto"/>
                <w:kern w:val="0"/>
                <w:sz w:val="18"/>
                <w:szCs w:val="18"/>
              </w:rPr>
            </w:pPr>
          </w:p>
        </w:tc>
        <w:tc>
          <w:tcPr>
            <w:tcW w:w="400"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noWrap/>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按照GB/T 36132-2018附录A计算工厂容积率，指标宜达到0.72及以上，1.2及以上为满分。</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工厂容积率核算</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可选</w:t>
            </w:r>
          </w:p>
        </w:tc>
        <w:tc>
          <w:tcPr>
            <w:tcW w:w="199" w:type="pct"/>
            <w:noWrap/>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2</w:t>
            </w:r>
          </w:p>
        </w:tc>
        <w:tc>
          <w:tcPr>
            <w:tcW w:w="204"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 w:type="pct"/>
            <w:vMerge w:val="continue"/>
            <w:noWrap/>
            <w:vAlign w:val="center"/>
          </w:tcPr>
          <w:p>
            <w:pPr>
              <w:widowControl/>
              <w:jc w:val="center"/>
              <w:rPr>
                <w:rFonts w:ascii="宋体" w:hAnsi="宋体" w:eastAsia="宋体" w:cs="宋体"/>
                <w:color w:val="auto"/>
                <w:kern w:val="0"/>
                <w:sz w:val="18"/>
                <w:szCs w:val="18"/>
              </w:rPr>
            </w:pPr>
          </w:p>
        </w:tc>
        <w:tc>
          <w:tcPr>
            <w:tcW w:w="342" w:type="pct"/>
            <w:vMerge w:val="continue"/>
            <w:noWrap/>
            <w:vAlign w:val="center"/>
          </w:tcPr>
          <w:p>
            <w:pPr>
              <w:widowControl/>
              <w:jc w:val="center"/>
              <w:rPr>
                <w:rFonts w:ascii="宋体" w:hAnsi="宋体" w:eastAsia="宋体" w:cs="宋体"/>
                <w:color w:val="auto"/>
                <w:kern w:val="0"/>
                <w:sz w:val="18"/>
                <w:szCs w:val="18"/>
              </w:rPr>
            </w:pPr>
          </w:p>
        </w:tc>
        <w:tc>
          <w:tcPr>
            <w:tcW w:w="400"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noWrap/>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按照GB/T 36132-2018附录A计算工厂建筑密度，建筑密度不应低于30％。</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建筑密度核算</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必选</w:t>
            </w:r>
          </w:p>
        </w:tc>
        <w:tc>
          <w:tcPr>
            <w:tcW w:w="199" w:type="pct"/>
            <w:noWrap/>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3</w:t>
            </w:r>
          </w:p>
        </w:tc>
        <w:tc>
          <w:tcPr>
            <w:tcW w:w="204"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 w:type="pct"/>
            <w:vMerge w:val="continue"/>
            <w:noWrap/>
            <w:vAlign w:val="center"/>
          </w:tcPr>
          <w:p>
            <w:pPr>
              <w:widowControl/>
              <w:jc w:val="center"/>
              <w:rPr>
                <w:rFonts w:ascii="宋体" w:hAnsi="宋体" w:eastAsia="宋体" w:cs="宋体"/>
                <w:color w:val="auto"/>
                <w:kern w:val="0"/>
                <w:sz w:val="18"/>
                <w:szCs w:val="18"/>
              </w:rPr>
            </w:pPr>
          </w:p>
        </w:tc>
        <w:tc>
          <w:tcPr>
            <w:tcW w:w="342" w:type="pct"/>
            <w:vMerge w:val="continue"/>
            <w:noWrap/>
            <w:vAlign w:val="center"/>
          </w:tcPr>
          <w:p>
            <w:pPr>
              <w:widowControl/>
              <w:jc w:val="center"/>
              <w:rPr>
                <w:rFonts w:ascii="宋体" w:hAnsi="宋体" w:eastAsia="宋体" w:cs="宋体"/>
                <w:color w:val="auto"/>
                <w:kern w:val="0"/>
                <w:sz w:val="18"/>
                <w:szCs w:val="18"/>
              </w:rPr>
            </w:pPr>
          </w:p>
        </w:tc>
        <w:tc>
          <w:tcPr>
            <w:tcW w:w="400"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noWrap/>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按照GB/T 36132-2018附录A计算工厂建筑密度，建筑密度宜达到40％。</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建筑密度核算</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可选</w:t>
            </w:r>
          </w:p>
        </w:tc>
        <w:tc>
          <w:tcPr>
            <w:tcW w:w="199" w:type="pct"/>
            <w:noWrap/>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2</w:t>
            </w:r>
          </w:p>
        </w:tc>
        <w:tc>
          <w:tcPr>
            <w:tcW w:w="204"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 w:type="pct"/>
            <w:vMerge w:val="continue"/>
            <w:noWrap/>
            <w:vAlign w:val="center"/>
          </w:tcPr>
          <w:p>
            <w:pPr>
              <w:widowControl/>
              <w:jc w:val="center"/>
              <w:rPr>
                <w:rFonts w:ascii="宋体" w:hAnsi="宋体" w:eastAsia="宋体" w:cs="宋体"/>
                <w:color w:val="auto"/>
                <w:kern w:val="0"/>
                <w:sz w:val="18"/>
                <w:szCs w:val="18"/>
              </w:rPr>
            </w:pPr>
          </w:p>
        </w:tc>
        <w:tc>
          <w:tcPr>
            <w:tcW w:w="342" w:type="pct"/>
            <w:vMerge w:val="continue"/>
            <w:noWrap/>
            <w:vAlign w:val="center"/>
          </w:tcPr>
          <w:p>
            <w:pPr>
              <w:widowControl/>
              <w:jc w:val="center"/>
              <w:rPr>
                <w:rFonts w:ascii="宋体" w:hAnsi="宋体" w:eastAsia="宋体" w:cs="宋体"/>
                <w:color w:val="auto"/>
                <w:kern w:val="0"/>
                <w:sz w:val="18"/>
                <w:szCs w:val="18"/>
              </w:rPr>
            </w:pPr>
          </w:p>
        </w:tc>
        <w:tc>
          <w:tcPr>
            <w:tcW w:w="400"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noWrap/>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工厂的单位用地面积产值不应低于地方发布的单位用地面积产值的要求；未发布单位用地面积产值的地区，单位用地面积产值应超过本年度所在省市的单位用地面积产值。吨产品占地面积应符合锗行业相关规范和标准要求。</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单位用地面积产能核算、单位用地面积产值核算、吨产品占地面积核算</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必选</w:t>
            </w:r>
          </w:p>
        </w:tc>
        <w:tc>
          <w:tcPr>
            <w:tcW w:w="199" w:type="pct"/>
            <w:noWrap/>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3</w:t>
            </w:r>
          </w:p>
        </w:tc>
        <w:tc>
          <w:tcPr>
            <w:tcW w:w="204"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 w:type="pct"/>
            <w:vMerge w:val="continue"/>
            <w:noWrap/>
            <w:vAlign w:val="center"/>
          </w:tcPr>
          <w:p>
            <w:pPr>
              <w:widowControl/>
              <w:jc w:val="center"/>
              <w:rPr>
                <w:rFonts w:ascii="宋体" w:hAnsi="宋体" w:eastAsia="宋体" w:cs="宋体"/>
                <w:color w:val="auto"/>
                <w:kern w:val="0"/>
                <w:sz w:val="18"/>
                <w:szCs w:val="18"/>
              </w:rPr>
            </w:pPr>
          </w:p>
        </w:tc>
        <w:tc>
          <w:tcPr>
            <w:tcW w:w="342" w:type="pct"/>
            <w:vMerge w:val="continue"/>
            <w:noWrap/>
            <w:vAlign w:val="center"/>
          </w:tcPr>
          <w:p>
            <w:pPr>
              <w:widowControl/>
              <w:jc w:val="center"/>
              <w:rPr>
                <w:rFonts w:ascii="宋体" w:hAnsi="宋体" w:eastAsia="宋体" w:cs="宋体"/>
                <w:color w:val="auto"/>
                <w:kern w:val="0"/>
                <w:sz w:val="18"/>
                <w:szCs w:val="18"/>
              </w:rPr>
            </w:pPr>
          </w:p>
        </w:tc>
        <w:tc>
          <w:tcPr>
            <w:tcW w:w="400"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noWrap/>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单位用地面积产值宜达到地方发布的单位用地面积产值的要求的1.2倍及以上，2倍为满分；未发布单位用地面积产值的地区，单位用地面积产值宜达到本年度所在省市的单位用地面积产值1.2倍及以上，2倍为满分。</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单位用地面积产能核算、单位用地面积产值核算、吨产品占地面积核算</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可选</w:t>
            </w:r>
          </w:p>
        </w:tc>
        <w:tc>
          <w:tcPr>
            <w:tcW w:w="199" w:type="pct"/>
            <w:noWrap/>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2</w:t>
            </w:r>
          </w:p>
        </w:tc>
        <w:tc>
          <w:tcPr>
            <w:tcW w:w="204"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 w:type="pct"/>
            <w:vMerge w:val="continue"/>
            <w:noWrap/>
            <w:vAlign w:val="center"/>
          </w:tcPr>
          <w:p>
            <w:pPr>
              <w:widowControl/>
              <w:jc w:val="center"/>
              <w:rPr>
                <w:rFonts w:ascii="宋体" w:hAnsi="宋体" w:eastAsia="宋体" w:cs="宋体"/>
                <w:color w:val="auto"/>
                <w:kern w:val="0"/>
                <w:sz w:val="18"/>
                <w:szCs w:val="18"/>
              </w:rPr>
            </w:pPr>
          </w:p>
        </w:tc>
        <w:tc>
          <w:tcPr>
            <w:tcW w:w="342" w:type="pct"/>
            <w:vMerge w:val="continue"/>
            <w:noWrap/>
            <w:vAlign w:val="center"/>
          </w:tcPr>
          <w:p>
            <w:pPr>
              <w:widowControl/>
              <w:jc w:val="center"/>
              <w:rPr>
                <w:rFonts w:ascii="宋体" w:hAnsi="宋体" w:eastAsia="宋体" w:cs="宋体"/>
                <w:color w:val="auto"/>
                <w:kern w:val="0"/>
                <w:sz w:val="18"/>
                <w:szCs w:val="18"/>
              </w:rPr>
            </w:pPr>
          </w:p>
        </w:tc>
        <w:tc>
          <w:tcPr>
            <w:tcW w:w="400" w:type="pct"/>
            <w:vMerge w:val="restart"/>
            <w:noWrap/>
            <w:vAlign w:val="center"/>
          </w:tcPr>
          <w:p>
            <w:pPr>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bCs/>
                <w:color w:val="auto"/>
                <w:kern w:val="0"/>
                <w:sz w:val="18"/>
                <w:szCs w:val="18"/>
              </w:rPr>
              <w:t>原料无害化</w:t>
            </w:r>
          </w:p>
        </w:tc>
        <w:tc>
          <w:tcPr>
            <w:tcW w:w="2112" w:type="pct"/>
            <w:noWrap/>
            <w:vAlign w:val="center"/>
          </w:tcPr>
          <w:p>
            <w:pPr>
              <w:pStyle w:val="30"/>
              <w:adjustRightInd w:val="0"/>
              <w:snapToGrid w:val="0"/>
              <w:jc w:val="left"/>
              <w:rPr>
                <w:rFonts w:ascii="宋体" w:hAnsi="宋体" w:eastAsia="宋体" w:cs="宋体"/>
                <w:color w:val="auto"/>
                <w:sz w:val="18"/>
                <w:szCs w:val="18"/>
              </w:rPr>
            </w:pPr>
            <w:r>
              <w:rPr>
                <w:rFonts w:hint="eastAsia" w:ascii="宋体" w:hAnsi="宋体" w:eastAsia="宋体" w:cs="宋体"/>
                <w:color w:val="auto"/>
                <w:sz w:val="18"/>
                <w:szCs w:val="18"/>
                <w:lang w:val="en-US" w:eastAsia="zh-CN" w:bidi="ar-SA"/>
              </w:rPr>
              <w:t>绿色物料应选自省级以上政府相关部门发布的资源综合利用产品目录、有毒有害原料（产品）替代目录等，并应对其进行统计与识别。</w:t>
            </w:r>
          </w:p>
        </w:tc>
        <w:tc>
          <w:tcPr>
            <w:tcW w:w="1053" w:type="pct"/>
            <w:vAlign w:val="center"/>
          </w:tcPr>
          <w:p>
            <w:pPr>
              <w:pStyle w:val="30"/>
              <w:adjustRightInd w:val="0"/>
              <w:snapToGrid w:val="0"/>
              <w:spacing w:before="78" w:beforeLines="25" w:after="78" w:afterLines="25"/>
              <w:jc w:val="left"/>
              <w:rPr>
                <w:rFonts w:ascii="宋体" w:hAnsi="宋体" w:eastAsia="宋体" w:cs="宋体"/>
                <w:color w:val="auto"/>
                <w:sz w:val="18"/>
                <w:szCs w:val="18"/>
              </w:rPr>
            </w:pPr>
            <w:r>
              <w:rPr>
                <w:rFonts w:hint="eastAsia" w:ascii="宋体" w:hAnsi="宋体" w:eastAsia="宋体" w:cs="宋体"/>
                <w:color w:val="auto"/>
                <w:sz w:val="18"/>
                <w:szCs w:val="18"/>
              </w:rPr>
              <w:t>绿色物料统计表等</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必选</w:t>
            </w:r>
          </w:p>
        </w:tc>
        <w:tc>
          <w:tcPr>
            <w:tcW w:w="199" w:type="pct"/>
            <w:noWrap/>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8</w:t>
            </w:r>
          </w:p>
        </w:tc>
        <w:tc>
          <w:tcPr>
            <w:tcW w:w="204"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 w:type="pct"/>
            <w:vMerge w:val="continue"/>
            <w:noWrap/>
            <w:vAlign w:val="center"/>
          </w:tcPr>
          <w:p>
            <w:pPr>
              <w:widowControl/>
              <w:jc w:val="center"/>
              <w:rPr>
                <w:rFonts w:ascii="宋体" w:hAnsi="宋体" w:eastAsia="宋体" w:cs="宋体"/>
                <w:color w:val="auto"/>
                <w:kern w:val="0"/>
                <w:sz w:val="18"/>
                <w:szCs w:val="18"/>
              </w:rPr>
            </w:pPr>
          </w:p>
        </w:tc>
        <w:tc>
          <w:tcPr>
            <w:tcW w:w="342" w:type="pct"/>
            <w:vMerge w:val="continue"/>
            <w:noWrap/>
            <w:vAlign w:val="center"/>
          </w:tcPr>
          <w:p>
            <w:pPr>
              <w:widowControl/>
              <w:jc w:val="center"/>
              <w:rPr>
                <w:rFonts w:ascii="宋体" w:hAnsi="宋体" w:eastAsia="宋体" w:cs="宋体"/>
                <w:color w:val="auto"/>
                <w:kern w:val="0"/>
                <w:sz w:val="18"/>
                <w:szCs w:val="18"/>
              </w:rPr>
            </w:pPr>
          </w:p>
        </w:tc>
        <w:tc>
          <w:tcPr>
            <w:tcW w:w="400" w:type="pct"/>
            <w:vMerge w:val="continue"/>
            <w:tcBorders>
              <w:bottom w:val="single" w:color="auto" w:sz="4" w:space="0"/>
            </w:tcBorders>
            <w:noWrap/>
            <w:vAlign w:val="center"/>
          </w:tcPr>
          <w:p>
            <w:pPr>
              <w:widowControl/>
              <w:spacing w:before="78" w:beforeLines="25" w:after="78" w:afterLines="25"/>
              <w:jc w:val="center"/>
              <w:rPr>
                <w:rFonts w:ascii="宋体" w:hAnsi="宋体" w:eastAsia="宋体" w:cs="宋体"/>
                <w:bCs/>
                <w:color w:val="auto"/>
                <w:kern w:val="0"/>
                <w:sz w:val="18"/>
                <w:szCs w:val="18"/>
              </w:rPr>
            </w:pPr>
          </w:p>
        </w:tc>
        <w:tc>
          <w:tcPr>
            <w:tcW w:w="2112" w:type="pct"/>
            <w:tcBorders>
              <w:bottom w:val="single" w:color="auto" w:sz="4" w:space="0"/>
            </w:tcBorders>
            <w:noWrap/>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适用时，宜选用品级高的锗精矿作为原料。</w:t>
            </w:r>
          </w:p>
        </w:tc>
        <w:tc>
          <w:tcPr>
            <w:tcW w:w="1053" w:type="pct"/>
            <w:tcBorders>
              <w:bottom w:val="single" w:color="auto" w:sz="4" w:space="0"/>
            </w:tcBorders>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锗精矿品级表</w:t>
            </w:r>
          </w:p>
        </w:tc>
        <w:tc>
          <w:tcPr>
            <w:tcW w:w="244" w:type="pct"/>
            <w:tcBorders>
              <w:bottom w:val="single" w:color="auto" w:sz="4" w:space="0"/>
            </w:tcBorders>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可选</w:t>
            </w:r>
          </w:p>
        </w:tc>
        <w:tc>
          <w:tcPr>
            <w:tcW w:w="199" w:type="pct"/>
            <w:tcBorders>
              <w:bottom w:val="single" w:color="auto" w:sz="4" w:space="0"/>
            </w:tcBorders>
            <w:noWrap/>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3</w:t>
            </w:r>
          </w:p>
        </w:tc>
        <w:tc>
          <w:tcPr>
            <w:tcW w:w="204"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tcBorders>
              <w:bottom w:val="single" w:color="auto" w:sz="4" w:space="0"/>
            </w:tcBorders>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 w:type="pct"/>
            <w:vMerge w:val="continue"/>
            <w:noWrap/>
            <w:vAlign w:val="center"/>
          </w:tcPr>
          <w:p>
            <w:pPr>
              <w:widowControl/>
              <w:jc w:val="center"/>
              <w:rPr>
                <w:rFonts w:ascii="宋体" w:hAnsi="宋体" w:eastAsia="宋体" w:cs="宋体"/>
                <w:color w:val="auto"/>
                <w:kern w:val="0"/>
                <w:sz w:val="18"/>
                <w:szCs w:val="18"/>
              </w:rPr>
            </w:pPr>
          </w:p>
        </w:tc>
        <w:tc>
          <w:tcPr>
            <w:tcW w:w="342" w:type="pct"/>
            <w:vMerge w:val="continue"/>
            <w:noWrap/>
            <w:vAlign w:val="center"/>
          </w:tcPr>
          <w:p>
            <w:pPr>
              <w:widowControl/>
              <w:jc w:val="center"/>
              <w:rPr>
                <w:rFonts w:ascii="宋体" w:hAnsi="宋体" w:eastAsia="宋体" w:cs="宋体"/>
                <w:color w:val="auto"/>
                <w:kern w:val="0"/>
                <w:sz w:val="18"/>
                <w:szCs w:val="18"/>
              </w:rPr>
            </w:pPr>
          </w:p>
        </w:tc>
        <w:tc>
          <w:tcPr>
            <w:tcW w:w="400"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noWrap/>
            <w:vAlign w:val="center"/>
          </w:tcPr>
          <w:p>
            <w:pPr>
              <w:widowControl/>
              <w:jc w:val="left"/>
              <w:rPr>
                <w:rFonts w:ascii="宋体" w:hAnsi="宋体" w:eastAsia="宋体" w:cs="宋体"/>
                <w:color w:val="auto"/>
                <w:kern w:val="0"/>
                <w:sz w:val="18"/>
                <w:szCs w:val="18"/>
              </w:rPr>
            </w:pPr>
            <w:r>
              <w:rPr>
                <w:rFonts w:hint="eastAsia" w:ascii="宋体" w:hAnsi="宋体" w:eastAsia="宋体" w:cs="宋体"/>
                <w:color w:val="auto"/>
                <w:sz w:val="18"/>
                <w:szCs w:val="18"/>
              </w:rPr>
              <w:t>适用时，宜使用再生锗原料等作为原材料进行资源综合利用，提高二次资源利用率。</w:t>
            </w:r>
          </w:p>
        </w:tc>
        <w:tc>
          <w:tcPr>
            <w:tcW w:w="1053" w:type="pct"/>
            <w:vAlign w:val="center"/>
          </w:tcPr>
          <w:p>
            <w:pPr>
              <w:widowControl/>
              <w:spacing w:before="78" w:beforeLines="25" w:after="78" w:afterLines="25"/>
              <w:jc w:val="left"/>
              <w:rPr>
                <w:rFonts w:ascii="宋体" w:hAnsi="宋体" w:eastAsia="宋体" w:cs="宋体"/>
                <w:color w:val="auto"/>
                <w:kern w:val="0"/>
                <w:sz w:val="18"/>
                <w:szCs w:val="18"/>
              </w:rPr>
            </w:pPr>
            <w:r>
              <w:rPr>
                <w:rFonts w:hint="eastAsia" w:ascii="宋体" w:hAnsi="宋体" w:eastAsia="宋体" w:cs="宋体"/>
                <w:color w:val="auto"/>
                <w:sz w:val="18"/>
                <w:szCs w:val="18"/>
              </w:rPr>
              <w:t>二次资源使用情况等</w:t>
            </w:r>
          </w:p>
        </w:tc>
        <w:tc>
          <w:tcPr>
            <w:tcW w:w="244" w:type="pct"/>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sz w:val="18"/>
                <w:szCs w:val="18"/>
              </w:rPr>
              <w:t>可选</w:t>
            </w:r>
          </w:p>
        </w:tc>
        <w:tc>
          <w:tcPr>
            <w:tcW w:w="199" w:type="pct"/>
            <w:noWrap/>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w:t>
            </w:r>
          </w:p>
        </w:tc>
        <w:tc>
          <w:tcPr>
            <w:tcW w:w="204"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 w:type="pct"/>
            <w:vMerge w:val="continue"/>
            <w:noWrap/>
            <w:vAlign w:val="center"/>
          </w:tcPr>
          <w:p>
            <w:pPr>
              <w:widowControl/>
              <w:jc w:val="center"/>
              <w:rPr>
                <w:rFonts w:ascii="宋体" w:hAnsi="宋体" w:eastAsia="宋体" w:cs="宋体"/>
                <w:color w:val="auto"/>
                <w:kern w:val="0"/>
                <w:sz w:val="18"/>
                <w:szCs w:val="18"/>
              </w:rPr>
            </w:pPr>
          </w:p>
        </w:tc>
        <w:tc>
          <w:tcPr>
            <w:tcW w:w="342" w:type="pct"/>
            <w:vMerge w:val="continue"/>
            <w:noWrap/>
            <w:vAlign w:val="center"/>
          </w:tcPr>
          <w:p>
            <w:pPr>
              <w:widowControl/>
              <w:jc w:val="center"/>
              <w:rPr>
                <w:rFonts w:ascii="宋体" w:hAnsi="宋体" w:eastAsia="宋体" w:cs="宋体"/>
                <w:color w:val="auto"/>
                <w:kern w:val="0"/>
                <w:sz w:val="18"/>
                <w:szCs w:val="18"/>
              </w:rPr>
            </w:pPr>
          </w:p>
        </w:tc>
        <w:tc>
          <w:tcPr>
            <w:tcW w:w="400" w:type="pct"/>
            <w:vMerge w:val="restart"/>
            <w:noWrap/>
            <w:vAlign w:val="center"/>
          </w:tcPr>
          <w:p>
            <w:pPr>
              <w:widowControl/>
              <w:spacing w:before="78" w:beforeLines="25" w:after="78" w:afterLines="25"/>
              <w:jc w:val="cente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生产洁净化</w:t>
            </w:r>
          </w:p>
        </w:tc>
        <w:tc>
          <w:tcPr>
            <w:tcW w:w="2112" w:type="pct"/>
            <w:noWrap/>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单位产品主要污染物产生量应达到《</w:t>
            </w:r>
            <w:r>
              <w:rPr>
                <w:rFonts w:hint="eastAsia" w:ascii="宋体" w:hAnsi="宋体" w:eastAsia="宋体" w:cs="宋体"/>
                <w:color w:val="auto"/>
                <w:sz w:val="18"/>
                <w:szCs w:val="18"/>
              </w:rPr>
              <w:t>锗行业清洁生产评价指标体系</w:t>
            </w:r>
            <w:r>
              <w:rPr>
                <w:rFonts w:hint="eastAsia" w:ascii="宋体" w:hAnsi="宋体" w:eastAsia="宋体" w:cs="宋体"/>
                <w:color w:val="auto"/>
                <w:sz w:val="18"/>
                <w:szCs w:val="18"/>
              </w:rPr>
              <w:t>》</w:t>
            </w:r>
            <w:r>
              <w:rPr>
                <w:rFonts w:hint="eastAsia" w:ascii="宋体" w:hAnsi="宋体" w:eastAsia="宋体" w:cs="宋体"/>
                <w:color w:val="auto"/>
                <w:sz w:val="18"/>
                <w:szCs w:val="18"/>
              </w:rPr>
              <w:t>中的</w:t>
            </w:r>
            <w:r>
              <w:rPr>
                <w:rFonts w:hint="eastAsia" w:ascii="宋体" w:hAnsi="宋体" w:eastAsia="宋体" w:cs="宋体"/>
                <w:color w:val="auto"/>
                <w:sz w:val="18"/>
                <w:szCs w:val="18"/>
              </w:rPr>
              <w:t>国内清洁生产先进水平。</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单位产品主要污染物产生量核算</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必选</w:t>
            </w:r>
          </w:p>
        </w:tc>
        <w:tc>
          <w:tcPr>
            <w:tcW w:w="199" w:type="pct"/>
            <w:noWrap/>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6</w:t>
            </w:r>
          </w:p>
        </w:tc>
        <w:tc>
          <w:tcPr>
            <w:tcW w:w="204"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 w:type="pct"/>
            <w:vMerge w:val="continue"/>
            <w:noWrap/>
            <w:vAlign w:val="center"/>
          </w:tcPr>
          <w:p>
            <w:pPr>
              <w:widowControl/>
              <w:jc w:val="center"/>
              <w:rPr>
                <w:rFonts w:ascii="宋体" w:hAnsi="宋体" w:eastAsia="宋体" w:cs="宋体"/>
                <w:color w:val="auto"/>
                <w:kern w:val="0"/>
                <w:sz w:val="18"/>
                <w:szCs w:val="18"/>
              </w:rPr>
            </w:pPr>
          </w:p>
        </w:tc>
        <w:tc>
          <w:tcPr>
            <w:tcW w:w="342" w:type="pct"/>
            <w:vMerge w:val="continue"/>
            <w:noWrap/>
            <w:vAlign w:val="center"/>
          </w:tcPr>
          <w:p>
            <w:pPr>
              <w:widowControl/>
              <w:jc w:val="center"/>
              <w:rPr>
                <w:rFonts w:ascii="宋体" w:hAnsi="宋体" w:eastAsia="宋体" w:cs="宋体"/>
                <w:color w:val="auto"/>
                <w:kern w:val="0"/>
                <w:sz w:val="18"/>
                <w:szCs w:val="18"/>
              </w:rPr>
            </w:pPr>
          </w:p>
        </w:tc>
        <w:tc>
          <w:tcPr>
            <w:tcW w:w="400"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noWrap/>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单位产品主要污染物产生量宜达到</w:t>
            </w:r>
            <w:r>
              <w:rPr>
                <w:rFonts w:hint="eastAsia" w:ascii="宋体" w:hAnsi="宋体" w:eastAsia="宋体" w:cs="宋体"/>
                <w:color w:val="auto"/>
                <w:sz w:val="18"/>
                <w:szCs w:val="18"/>
              </w:rPr>
              <w:t>《锗行业清洁生产评价指标体系》中的</w:t>
            </w:r>
            <w:r>
              <w:rPr>
                <w:rFonts w:hint="eastAsia" w:ascii="宋体" w:hAnsi="宋体" w:eastAsia="宋体" w:cs="宋体"/>
                <w:color w:val="auto"/>
                <w:sz w:val="18"/>
                <w:szCs w:val="18"/>
              </w:rPr>
              <w:t>国际清洁生产领先水平。</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单位产品主要污染物产生量核算</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可选</w:t>
            </w:r>
          </w:p>
        </w:tc>
        <w:tc>
          <w:tcPr>
            <w:tcW w:w="199" w:type="pct"/>
            <w:noWrap/>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4</w:t>
            </w:r>
          </w:p>
        </w:tc>
        <w:tc>
          <w:tcPr>
            <w:tcW w:w="204"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 w:type="pct"/>
            <w:vMerge w:val="continue"/>
            <w:noWrap/>
            <w:vAlign w:val="center"/>
          </w:tcPr>
          <w:p>
            <w:pPr>
              <w:widowControl/>
              <w:jc w:val="center"/>
              <w:rPr>
                <w:rFonts w:ascii="宋体" w:hAnsi="宋体" w:eastAsia="宋体" w:cs="宋体"/>
                <w:color w:val="auto"/>
                <w:kern w:val="0"/>
                <w:sz w:val="18"/>
                <w:szCs w:val="18"/>
              </w:rPr>
            </w:pPr>
          </w:p>
        </w:tc>
        <w:tc>
          <w:tcPr>
            <w:tcW w:w="342" w:type="pct"/>
            <w:vMerge w:val="continue"/>
            <w:noWrap/>
            <w:vAlign w:val="center"/>
          </w:tcPr>
          <w:p>
            <w:pPr>
              <w:widowControl/>
              <w:jc w:val="center"/>
              <w:rPr>
                <w:rFonts w:ascii="宋体" w:hAnsi="宋体" w:eastAsia="宋体" w:cs="宋体"/>
                <w:color w:val="auto"/>
                <w:kern w:val="0"/>
                <w:sz w:val="18"/>
                <w:szCs w:val="18"/>
              </w:rPr>
            </w:pPr>
          </w:p>
        </w:tc>
        <w:tc>
          <w:tcPr>
            <w:tcW w:w="400"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noWrap/>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单位产品废气产生量应达到</w:t>
            </w:r>
            <w:r>
              <w:rPr>
                <w:rFonts w:hint="eastAsia" w:ascii="宋体" w:hAnsi="宋体" w:eastAsia="宋体" w:cs="宋体"/>
                <w:color w:val="auto"/>
                <w:sz w:val="18"/>
                <w:szCs w:val="18"/>
              </w:rPr>
              <w:t>《锗行业清洁生产评价指标体系》中的</w:t>
            </w:r>
            <w:r>
              <w:rPr>
                <w:rFonts w:hint="eastAsia" w:ascii="宋体" w:hAnsi="宋体" w:eastAsia="宋体" w:cs="宋体"/>
                <w:color w:val="auto"/>
                <w:sz w:val="18"/>
                <w:szCs w:val="18"/>
              </w:rPr>
              <w:t>国内清洁生产先进水平。</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单位产品废气产生量核算</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必选</w:t>
            </w:r>
          </w:p>
        </w:tc>
        <w:tc>
          <w:tcPr>
            <w:tcW w:w="199" w:type="pct"/>
            <w:noWrap/>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6</w:t>
            </w:r>
          </w:p>
        </w:tc>
        <w:tc>
          <w:tcPr>
            <w:tcW w:w="204"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w:t>
            </w:r>
          </w:p>
        </w:tc>
      </w:tr>
    </w:tbl>
    <w:p>
      <w:pPr>
        <w:spacing w:before="156" w:beforeLines="50" w:after="156" w:afterLines="50"/>
        <w:jc w:val="center"/>
        <w:outlineLvl w:val="0"/>
        <w:rPr>
          <w:rFonts w:ascii="黑体" w:hAnsi="黑体" w:eastAsia="黑体" w:cs="黑体"/>
          <w:color w:val="auto"/>
          <w:szCs w:val="21"/>
        </w:rPr>
      </w:pPr>
      <w:bookmarkStart w:id="73" w:name="_Toc131619703"/>
      <w:r>
        <w:rPr>
          <w:rFonts w:hint="eastAsia" w:ascii="黑体" w:hAnsi="黑体" w:eastAsia="黑体" w:cs="黑体"/>
          <w:color w:val="auto"/>
          <w:szCs w:val="21"/>
        </w:rPr>
        <w:t xml:space="preserve">表A.1 </w:t>
      </w:r>
      <w:r>
        <w:rPr>
          <w:rFonts w:ascii="黑体" w:hAnsi="黑体" w:eastAsia="黑体" w:cs="黑体"/>
          <w:color w:val="auto"/>
          <w:szCs w:val="21"/>
        </w:rPr>
        <w:t>锗行业绿色工厂评价指标体系</w:t>
      </w:r>
      <w:r>
        <w:rPr>
          <w:rFonts w:hint="eastAsia" w:ascii="黑体" w:hAnsi="黑体" w:eastAsia="黑体" w:cs="黑体"/>
          <w:color w:val="auto"/>
          <w:szCs w:val="21"/>
        </w:rPr>
        <w:t>（续）</w:t>
      </w:r>
      <w:bookmarkEnd w:id="73"/>
    </w:p>
    <w:tbl>
      <w:tblPr>
        <w:tblStyle w:val="1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93"/>
        <w:gridCol w:w="1160"/>
        <w:gridCol w:w="6125"/>
        <w:gridCol w:w="3054"/>
        <w:gridCol w:w="708"/>
        <w:gridCol w:w="577"/>
        <w:gridCol w:w="603"/>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32" w:type="pct"/>
            <w:noWrap/>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序号</w:t>
            </w:r>
          </w:p>
        </w:tc>
        <w:tc>
          <w:tcPr>
            <w:tcW w:w="342" w:type="pct"/>
            <w:noWrap/>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一级指标</w:t>
            </w:r>
          </w:p>
        </w:tc>
        <w:tc>
          <w:tcPr>
            <w:tcW w:w="400" w:type="pct"/>
            <w:noWrap/>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二级指标</w:t>
            </w:r>
          </w:p>
        </w:tc>
        <w:tc>
          <w:tcPr>
            <w:tcW w:w="2112" w:type="pct"/>
            <w:noWrap/>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具体评价要求</w:t>
            </w:r>
          </w:p>
        </w:tc>
        <w:tc>
          <w:tcPr>
            <w:tcW w:w="1053"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符合性说明及证明材料索引</w:t>
            </w:r>
          </w:p>
        </w:tc>
        <w:tc>
          <w:tcPr>
            <w:tcW w:w="244" w:type="pct"/>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要求类型</w:t>
            </w:r>
          </w:p>
        </w:tc>
        <w:tc>
          <w:tcPr>
            <w:tcW w:w="199" w:type="pct"/>
            <w:noWrap/>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分值</w:t>
            </w:r>
          </w:p>
        </w:tc>
        <w:tc>
          <w:tcPr>
            <w:tcW w:w="204" w:type="pct"/>
            <w:noWrap/>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权重</w:t>
            </w:r>
          </w:p>
        </w:tc>
        <w:tc>
          <w:tcPr>
            <w:tcW w:w="209" w:type="pct"/>
            <w:noWrap/>
            <w:vAlign w:val="center"/>
          </w:tcPr>
          <w:p>
            <w:pPr>
              <w:widowControl/>
              <w:jc w:val="center"/>
              <w:rPr>
                <w:rFonts w:ascii="Times New Roman" w:hAnsi="Times New Roman" w:cs="Times New Roman"/>
                <w:color w:val="auto"/>
                <w:kern w:val="0"/>
                <w:sz w:val="18"/>
                <w:szCs w:val="18"/>
              </w:rPr>
            </w:pPr>
            <w:r>
              <w:rPr>
                <w:rFonts w:ascii="Times New Roman" w:hAnsi="Times New Roman" w:cs="Times New Roman"/>
                <w:color w:val="auto"/>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 w:type="pct"/>
            <w:vMerge w:val="restar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6</w:t>
            </w:r>
          </w:p>
          <w:p>
            <w:pPr>
              <w:widowControl/>
              <w:jc w:val="center"/>
              <w:rPr>
                <w:rFonts w:ascii="宋体" w:hAnsi="宋体" w:eastAsia="宋体" w:cs="宋体"/>
                <w:color w:val="auto"/>
                <w:kern w:val="0"/>
                <w:sz w:val="18"/>
                <w:szCs w:val="18"/>
              </w:rPr>
            </w:pPr>
          </w:p>
        </w:tc>
        <w:tc>
          <w:tcPr>
            <w:tcW w:w="342" w:type="pct"/>
            <w:vMerge w:val="restar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绩效</w:t>
            </w:r>
          </w:p>
        </w:tc>
        <w:tc>
          <w:tcPr>
            <w:tcW w:w="400" w:type="pct"/>
            <w:vMerge w:val="restart"/>
            <w:noWrap/>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bCs/>
                <w:color w:val="auto"/>
                <w:kern w:val="0"/>
                <w:sz w:val="18"/>
                <w:szCs w:val="18"/>
              </w:rPr>
              <w:t>生产洁净化</w:t>
            </w:r>
          </w:p>
        </w:tc>
        <w:tc>
          <w:tcPr>
            <w:tcW w:w="2112" w:type="pct"/>
            <w:noWrap/>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单位产品废气产生量宜达到</w:t>
            </w:r>
            <w:r>
              <w:rPr>
                <w:rFonts w:hint="eastAsia" w:ascii="宋体" w:hAnsi="宋体" w:eastAsia="宋体" w:cs="宋体"/>
                <w:color w:val="auto"/>
                <w:sz w:val="18"/>
                <w:szCs w:val="18"/>
              </w:rPr>
              <w:t>《锗行业清洁生产评价指标体系》中的</w:t>
            </w:r>
            <w:r>
              <w:rPr>
                <w:rFonts w:hint="eastAsia" w:ascii="宋体" w:hAnsi="宋体" w:eastAsia="宋体" w:cs="宋体"/>
                <w:color w:val="auto"/>
                <w:sz w:val="18"/>
                <w:szCs w:val="18"/>
              </w:rPr>
              <w:t>国际清洁生产领先水平。</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单位产品废气产生量核算</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可选</w:t>
            </w:r>
          </w:p>
        </w:tc>
        <w:tc>
          <w:tcPr>
            <w:tcW w:w="199" w:type="pct"/>
            <w:noWrap/>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4</w:t>
            </w:r>
          </w:p>
        </w:tc>
        <w:tc>
          <w:tcPr>
            <w:tcW w:w="204" w:type="pct"/>
            <w:vMerge w:val="restart"/>
            <w:noWrap/>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25%</w:t>
            </w: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 w:type="pct"/>
            <w:vMerge w:val="continue"/>
            <w:noWrap/>
            <w:vAlign w:val="center"/>
          </w:tcPr>
          <w:p>
            <w:pPr>
              <w:widowControl/>
              <w:jc w:val="center"/>
              <w:rPr>
                <w:rFonts w:ascii="宋体" w:hAnsi="宋体" w:eastAsia="宋体" w:cs="宋体"/>
                <w:color w:val="auto"/>
                <w:kern w:val="0"/>
                <w:sz w:val="18"/>
                <w:szCs w:val="18"/>
              </w:rPr>
            </w:pPr>
          </w:p>
        </w:tc>
        <w:tc>
          <w:tcPr>
            <w:tcW w:w="342" w:type="pct"/>
            <w:vMerge w:val="continue"/>
            <w:noWrap/>
            <w:vAlign w:val="center"/>
          </w:tcPr>
          <w:p>
            <w:pPr>
              <w:widowControl/>
              <w:jc w:val="center"/>
              <w:rPr>
                <w:rFonts w:ascii="宋体" w:hAnsi="宋体" w:eastAsia="宋体" w:cs="宋体"/>
                <w:color w:val="auto"/>
                <w:kern w:val="0"/>
                <w:sz w:val="18"/>
                <w:szCs w:val="18"/>
              </w:rPr>
            </w:pPr>
          </w:p>
        </w:tc>
        <w:tc>
          <w:tcPr>
            <w:tcW w:w="400"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noWrap/>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单位产品废水产生量应达到</w:t>
            </w:r>
            <w:r>
              <w:rPr>
                <w:rFonts w:hint="eastAsia" w:ascii="宋体" w:hAnsi="宋体" w:eastAsia="宋体" w:cs="宋体"/>
                <w:color w:val="auto"/>
                <w:sz w:val="18"/>
                <w:szCs w:val="18"/>
              </w:rPr>
              <w:t>《锗行业清洁生产评价指标体系》中的</w:t>
            </w:r>
            <w:r>
              <w:rPr>
                <w:rFonts w:hint="eastAsia" w:ascii="宋体" w:hAnsi="宋体" w:eastAsia="宋体" w:cs="宋体"/>
                <w:color w:val="auto"/>
                <w:sz w:val="18"/>
                <w:szCs w:val="18"/>
              </w:rPr>
              <w:t>国内清洁生产先进水平。</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单位产品废水产生量核算</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必选</w:t>
            </w:r>
          </w:p>
        </w:tc>
        <w:tc>
          <w:tcPr>
            <w:tcW w:w="199" w:type="pct"/>
            <w:noWrap/>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6</w:t>
            </w:r>
          </w:p>
        </w:tc>
        <w:tc>
          <w:tcPr>
            <w:tcW w:w="204"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 w:type="pct"/>
            <w:vMerge w:val="continue"/>
            <w:noWrap/>
            <w:vAlign w:val="center"/>
          </w:tcPr>
          <w:p>
            <w:pPr>
              <w:widowControl/>
              <w:jc w:val="center"/>
              <w:rPr>
                <w:rFonts w:ascii="宋体" w:hAnsi="宋体" w:eastAsia="宋体" w:cs="宋体"/>
                <w:color w:val="auto"/>
                <w:kern w:val="0"/>
                <w:sz w:val="18"/>
                <w:szCs w:val="18"/>
              </w:rPr>
            </w:pPr>
          </w:p>
        </w:tc>
        <w:tc>
          <w:tcPr>
            <w:tcW w:w="342" w:type="pct"/>
            <w:vMerge w:val="continue"/>
            <w:noWrap/>
            <w:vAlign w:val="center"/>
          </w:tcPr>
          <w:p>
            <w:pPr>
              <w:widowControl/>
              <w:jc w:val="center"/>
              <w:rPr>
                <w:rFonts w:ascii="宋体" w:hAnsi="宋体" w:eastAsia="宋体" w:cs="宋体"/>
                <w:color w:val="auto"/>
                <w:kern w:val="0"/>
                <w:sz w:val="18"/>
                <w:szCs w:val="18"/>
              </w:rPr>
            </w:pPr>
          </w:p>
        </w:tc>
        <w:tc>
          <w:tcPr>
            <w:tcW w:w="400"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noWrap/>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单位产品废水产生量宜达到</w:t>
            </w:r>
            <w:r>
              <w:rPr>
                <w:rFonts w:hint="eastAsia" w:ascii="宋体" w:hAnsi="宋体" w:eastAsia="宋体" w:cs="宋体"/>
                <w:color w:val="auto"/>
                <w:sz w:val="18"/>
                <w:szCs w:val="18"/>
              </w:rPr>
              <w:t>《锗行业清洁生产评价指标体系》中的</w:t>
            </w:r>
            <w:r>
              <w:rPr>
                <w:rFonts w:hint="eastAsia" w:ascii="宋体" w:hAnsi="宋体" w:eastAsia="宋体" w:cs="宋体"/>
                <w:color w:val="auto"/>
                <w:sz w:val="18"/>
                <w:szCs w:val="18"/>
              </w:rPr>
              <w:t>国际清洁生产领先水平。</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单位产品废水产生量核算</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可选</w:t>
            </w:r>
          </w:p>
        </w:tc>
        <w:tc>
          <w:tcPr>
            <w:tcW w:w="199" w:type="pct"/>
            <w:noWrap/>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4</w:t>
            </w:r>
          </w:p>
        </w:tc>
        <w:tc>
          <w:tcPr>
            <w:tcW w:w="204"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 w:type="pct"/>
            <w:vMerge w:val="continue"/>
            <w:noWrap/>
            <w:vAlign w:val="center"/>
          </w:tcPr>
          <w:p>
            <w:pPr>
              <w:widowControl/>
              <w:jc w:val="center"/>
              <w:rPr>
                <w:rFonts w:ascii="宋体" w:hAnsi="宋体" w:eastAsia="宋体" w:cs="宋体"/>
                <w:color w:val="auto"/>
                <w:kern w:val="0"/>
                <w:sz w:val="18"/>
                <w:szCs w:val="18"/>
              </w:rPr>
            </w:pPr>
          </w:p>
        </w:tc>
        <w:tc>
          <w:tcPr>
            <w:tcW w:w="342" w:type="pct"/>
            <w:vMerge w:val="continue"/>
            <w:noWrap/>
            <w:vAlign w:val="center"/>
          </w:tcPr>
          <w:p>
            <w:pPr>
              <w:widowControl/>
              <w:jc w:val="center"/>
              <w:rPr>
                <w:rFonts w:ascii="宋体" w:hAnsi="宋体" w:eastAsia="宋体" w:cs="宋体"/>
                <w:color w:val="auto"/>
                <w:kern w:val="0"/>
                <w:sz w:val="18"/>
                <w:szCs w:val="18"/>
              </w:rPr>
            </w:pPr>
          </w:p>
        </w:tc>
        <w:tc>
          <w:tcPr>
            <w:tcW w:w="400" w:type="pct"/>
            <w:vMerge w:val="restart"/>
            <w:noWrap/>
            <w:vAlign w:val="center"/>
          </w:tcPr>
          <w:p>
            <w:pPr>
              <w:widowControl/>
              <w:spacing w:before="78" w:beforeLines="25" w:after="78" w:afterLines="25"/>
              <w:jc w:val="center"/>
              <w:rPr>
                <w:rFonts w:ascii="宋体" w:hAnsi="宋体" w:eastAsia="宋体" w:cs="宋体"/>
                <w:bCs/>
                <w:color w:val="auto"/>
                <w:kern w:val="0"/>
                <w:sz w:val="18"/>
                <w:szCs w:val="18"/>
              </w:rPr>
            </w:pPr>
            <w:r>
              <w:rPr>
                <w:rFonts w:hint="eastAsia" w:ascii="宋体" w:hAnsi="宋体" w:eastAsia="宋体" w:cs="宋体"/>
                <w:bCs/>
                <w:color w:val="auto"/>
                <w:kern w:val="0"/>
                <w:sz w:val="18"/>
                <w:szCs w:val="18"/>
              </w:rPr>
              <w:t>废物资源化</w:t>
            </w:r>
          </w:p>
        </w:tc>
        <w:tc>
          <w:tcPr>
            <w:tcW w:w="2112" w:type="pct"/>
            <w:noWrap/>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单位产品工业固体废物综合利用率应达到</w:t>
            </w:r>
            <w:r>
              <w:rPr>
                <w:rFonts w:hint="eastAsia" w:ascii="宋体" w:hAnsi="宋体" w:eastAsia="宋体" w:cs="宋体"/>
                <w:color w:val="auto"/>
                <w:sz w:val="18"/>
                <w:szCs w:val="18"/>
              </w:rPr>
              <w:t>《锗行业清洁生产评价指标体系》中的</w:t>
            </w:r>
            <w:r>
              <w:rPr>
                <w:rFonts w:hint="eastAsia" w:ascii="宋体" w:hAnsi="宋体" w:eastAsia="宋体" w:cs="宋体"/>
                <w:color w:val="auto"/>
                <w:sz w:val="18"/>
                <w:szCs w:val="18"/>
              </w:rPr>
              <w:t>国内清洁生产先进水平。</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单位产品工业固体废物综合利用率核算</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必选</w:t>
            </w:r>
          </w:p>
        </w:tc>
        <w:tc>
          <w:tcPr>
            <w:tcW w:w="199" w:type="pct"/>
            <w:noWrap/>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8</w:t>
            </w:r>
          </w:p>
        </w:tc>
        <w:tc>
          <w:tcPr>
            <w:tcW w:w="204"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 w:type="pct"/>
            <w:vMerge w:val="continue"/>
            <w:noWrap/>
            <w:vAlign w:val="center"/>
          </w:tcPr>
          <w:p>
            <w:pPr>
              <w:widowControl/>
              <w:jc w:val="center"/>
              <w:rPr>
                <w:rFonts w:ascii="宋体" w:hAnsi="宋体" w:eastAsia="宋体" w:cs="宋体"/>
                <w:color w:val="auto"/>
                <w:kern w:val="0"/>
                <w:sz w:val="18"/>
                <w:szCs w:val="18"/>
              </w:rPr>
            </w:pPr>
          </w:p>
        </w:tc>
        <w:tc>
          <w:tcPr>
            <w:tcW w:w="342" w:type="pct"/>
            <w:vMerge w:val="continue"/>
            <w:noWrap/>
            <w:vAlign w:val="center"/>
          </w:tcPr>
          <w:p>
            <w:pPr>
              <w:widowControl/>
              <w:jc w:val="center"/>
              <w:rPr>
                <w:rFonts w:ascii="宋体" w:hAnsi="宋体" w:eastAsia="宋体" w:cs="宋体"/>
                <w:color w:val="auto"/>
                <w:kern w:val="0"/>
                <w:sz w:val="18"/>
                <w:szCs w:val="18"/>
              </w:rPr>
            </w:pPr>
          </w:p>
        </w:tc>
        <w:tc>
          <w:tcPr>
            <w:tcW w:w="400"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noWrap/>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单位产品工业固体废物综合利用率宜达到</w:t>
            </w:r>
            <w:r>
              <w:rPr>
                <w:rFonts w:hint="eastAsia" w:ascii="宋体" w:hAnsi="宋体" w:eastAsia="宋体" w:cs="宋体"/>
                <w:color w:val="auto"/>
                <w:sz w:val="18"/>
                <w:szCs w:val="18"/>
              </w:rPr>
              <w:t>《锗行业清洁生产评价指标体系》中的</w:t>
            </w:r>
            <w:r>
              <w:rPr>
                <w:rFonts w:hint="eastAsia" w:ascii="宋体" w:hAnsi="宋体" w:eastAsia="宋体" w:cs="宋体"/>
                <w:color w:val="auto"/>
                <w:sz w:val="18"/>
                <w:szCs w:val="18"/>
              </w:rPr>
              <w:t>国际清洁生产领先水平。</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单位产品工业固体废物综合利用率核算</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可选</w:t>
            </w:r>
          </w:p>
        </w:tc>
        <w:tc>
          <w:tcPr>
            <w:tcW w:w="199" w:type="pct"/>
            <w:noWrap/>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5</w:t>
            </w:r>
          </w:p>
        </w:tc>
        <w:tc>
          <w:tcPr>
            <w:tcW w:w="204"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 w:type="pct"/>
            <w:vMerge w:val="continue"/>
            <w:noWrap/>
            <w:vAlign w:val="center"/>
          </w:tcPr>
          <w:p>
            <w:pPr>
              <w:widowControl/>
              <w:jc w:val="center"/>
              <w:rPr>
                <w:rFonts w:ascii="宋体" w:hAnsi="宋体" w:eastAsia="宋体" w:cs="宋体"/>
                <w:color w:val="auto"/>
                <w:kern w:val="0"/>
                <w:sz w:val="18"/>
                <w:szCs w:val="18"/>
              </w:rPr>
            </w:pPr>
          </w:p>
        </w:tc>
        <w:tc>
          <w:tcPr>
            <w:tcW w:w="342" w:type="pct"/>
            <w:vMerge w:val="continue"/>
            <w:noWrap/>
            <w:vAlign w:val="center"/>
          </w:tcPr>
          <w:p>
            <w:pPr>
              <w:widowControl/>
              <w:jc w:val="center"/>
              <w:rPr>
                <w:rFonts w:ascii="宋体" w:hAnsi="宋体" w:eastAsia="宋体" w:cs="宋体"/>
                <w:color w:val="auto"/>
                <w:kern w:val="0"/>
                <w:sz w:val="18"/>
                <w:szCs w:val="18"/>
              </w:rPr>
            </w:pPr>
          </w:p>
        </w:tc>
        <w:tc>
          <w:tcPr>
            <w:tcW w:w="400"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noWrap/>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单位产品废水回用率应达到</w:t>
            </w:r>
            <w:r>
              <w:rPr>
                <w:rFonts w:hint="eastAsia" w:ascii="宋体" w:hAnsi="宋体" w:eastAsia="宋体" w:cs="宋体"/>
                <w:color w:val="auto"/>
                <w:sz w:val="18"/>
                <w:szCs w:val="18"/>
              </w:rPr>
              <w:t>《锗行业清洁生产评价指标体系》中的</w:t>
            </w:r>
            <w:r>
              <w:rPr>
                <w:rFonts w:hint="eastAsia" w:ascii="宋体" w:hAnsi="宋体" w:eastAsia="宋体" w:cs="宋体"/>
                <w:color w:val="auto"/>
                <w:sz w:val="18"/>
                <w:szCs w:val="18"/>
              </w:rPr>
              <w:t>国内清洁生产先进水平。</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单位产品废水回用率核算</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必选</w:t>
            </w:r>
          </w:p>
        </w:tc>
        <w:tc>
          <w:tcPr>
            <w:tcW w:w="199" w:type="pct"/>
            <w:noWrap/>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8</w:t>
            </w:r>
          </w:p>
        </w:tc>
        <w:tc>
          <w:tcPr>
            <w:tcW w:w="204"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 w:type="pct"/>
            <w:vMerge w:val="continue"/>
            <w:noWrap/>
            <w:vAlign w:val="center"/>
          </w:tcPr>
          <w:p>
            <w:pPr>
              <w:widowControl/>
              <w:jc w:val="center"/>
              <w:rPr>
                <w:rFonts w:ascii="宋体" w:hAnsi="宋体" w:eastAsia="宋体" w:cs="宋体"/>
                <w:color w:val="auto"/>
                <w:kern w:val="0"/>
                <w:sz w:val="18"/>
                <w:szCs w:val="18"/>
              </w:rPr>
            </w:pPr>
          </w:p>
        </w:tc>
        <w:tc>
          <w:tcPr>
            <w:tcW w:w="342" w:type="pct"/>
            <w:vMerge w:val="continue"/>
            <w:noWrap/>
            <w:vAlign w:val="center"/>
          </w:tcPr>
          <w:p>
            <w:pPr>
              <w:widowControl/>
              <w:jc w:val="center"/>
              <w:rPr>
                <w:rFonts w:ascii="宋体" w:hAnsi="宋体" w:eastAsia="宋体" w:cs="宋体"/>
                <w:color w:val="auto"/>
                <w:kern w:val="0"/>
                <w:sz w:val="18"/>
                <w:szCs w:val="18"/>
              </w:rPr>
            </w:pPr>
          </w:p>
        </w:tc>
        <w:tc>
          <w:tcPr>
            <w:tcW w:w="400"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noWrap/>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单位产品废水回用率宜达到</w:t>
            </w:r>
            <w:r>
              <w:rPr>
                <w:rFonts w:hint="eastAsia" w:ascii="宋体" w:hAnsi="宋体" w:eastAsia="宋体" w:cs="宋体"/>
                <w:color w:val="auto"/>
                <w:sz w:val="18"/>
                <w:szCs w:val="18"/>
              </w:rPr>
              <w:t>《锗行业清洁生产评价指标体系》中的</w:t>
            </w:r>
            <w:r>
              <w:rPr>
                <w:rFonts w:hint="eastAsia" w:ascii="宋体" w:hAnsi="宋体" w:eastAsia="宋体" w:cs="宋体"/>
                <w:color w:val="auto"/>
                <w:sz w:val="18"/>
                <w:szCs w:val="18"/>
              </w:rPr>
              <w:t>国际清洁生产领先水平。</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单位产品废水回用率核算</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可选</w:t>
            </w:r>
          </w:p>
        </w:tc>
        <w:tc>
          <w:tcPr>
            <w:tcW w:w="199" w:type="pct"/>
            <w:noWrap/>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5</w:t>
            </w:r>
          </w:p>
        </w:tc>
        <w:tc>
          <w:tcPr>
            <w:tcW w:w="204"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 w:type="pct"/>
            <w:vMerge w:val="continue"/>
            <w:noWrap/>
            <w:vAlign w:val="center"/>
          </w:tcPr>
          <w:p>
            <w:pPr>
              <w:widowControl/>
              <w:jc w:val="center"/>
              <w:rPr>
                <w:rFonts w:ascii="宋体" w:hAnsi="宋体" w:eastAsia="宋体" w:cs="宋体"/>
                <w:color w:val="auto"/>
                <w:kern w:val="0"/>
                <w:sz w:val="18"/>
                <w:szCs w:val="18"/>
              </w:rPr>
            </w:pPr>
          </w:p>
        </w:tc>
        <w:tc>
          <w:tcPr>
            <w:tcW w:w="342" w:type="pct"/>
            <w:vMerge w:val="continue"/>
            <w:noWrap/>
            <w:vAlign w:val="center"/>
          </w:tcPr>
          <w:p>
            <w:pPr>
              <w:widowControl/>
              <w:jc w:val="center"/>
              <w:rPr>
                <w:rFonts w:ascii="宋体" w:hAnsi="宋体" w:eastAsia="宋体" w:cs="宋体"/>
                <w:color w:val="auto"/>
                <w:kern w:val="0"/>
                <w:sz w:val="18"/>
                <w:szCs w:val="18"/>
              </w:rPr>
            </w:pPr>
          </w:p>
        </w:tc>
        <w:tc>
          <w:tcPr>
            <w:tcW w:w="400" w:type="pct"/>
            <w:vMerge w:val="restart"/>
            <w:noWrap/>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能源低碳化</w:t>
            </w:r>
          </w:p>
        </w:tc>
        <w:tc>
          <w:tcPr>
            <w:tcW w:w="2112" w:type="pct"/>
            <w:noWrap/>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锗单位产品综合能耗应达到</w:t>
            </w:r>
            <w:r>
              <w:rPr>
                <w:rFonts w:hint="eastAsia" w:ascii="宋体" w:hAnsi="宋体" w:eastAsia="宋体" w:cs="宋体"/>
                <w:color w:val="auto"/>
                <w:sz w:val="18"/>
                <w:szCs w:val="18"/>
              </w:rPr>
              <w:t>GB 29447</w:t>
            </w:r>
            <w:r>
              <w:rPr>
                <w:rFonts w:hint="eastAsia" w:ascii="宋体" w:hAnsi="宋体" w:eastAsia="宋体" w:cs="宋体"/>
                <w:color w:val="auto"/>
                <w:sz w:val="18"/>
                <w:szCs w:val="18"/>
              </w:rPr>
              <w:t>中3级值（新建工厂锗单位产品综合能耗应达到</w:t>
            </w:r>
            <w:r>
              <w:rPr>
                <w:rFonts w:hint="eastAsia" w:ascii="宋体" w:hAnsi="宋体" w:eastAsia="宋体" w:cs="宋体"/>
                <w:color w:val="auto"/>
                <w:sz w:val="18"/>
                <w:szCs w:val="18"/>
              </w:rPr>
              <w:t>GB 29447</w:t>
            </w:r>
            <w:r>
              <w:rPr>
                <w:rFonts w:hint="eastAsia" w:ascii="宋体" w:hAnsi="宋体" w:eastAsia="宋体" w:cs="宋体"/>
                <w:color w:val="auto"/>
                <w:sz w:val="18"/>
                <w:szCs w:val="18"/>
              </w:rPr>
              <w:t>中2级值）；对于再生锗企业，应达到</w:t>
            </w:r>
            <w:r>
              <w:rPr>
                <w:rFonts w:hint="eastAsia" w:ascii="宋体" w:hAnsi="宋体" w:eastAsia="宋体" w:cs="宋体"/>
                <w:color w:val="auto"/>
                <w:sz w:val="18"/>
                <w:szCs w:val="18"/>
              </w:rPr>
              <w:t>再生锗行业清洁生产相关标准</w:t>
            </w:r>
            <w:r>
              <w:rPr>
                <w:rFonts w:hint="eastAsia" w:ascii="宋体" w:hAnsi="宋体" w:eastAsia="宋体" w:cs="宋体"/>
                <w:color w:val="auto"/>
                <w:sz w:val="18"/>
                <w:szCs w:val="18"/>
              </w:rPr>
              <w:t>中的国内清洁生产先进水平。</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单位产品综合能耗统计</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必选</w:t>
            </w:r>
          </w:p>
        </w:tc>
        <w:tc>
          <w:tcPr>
            <w:tcW w:w="199" w:type="pct"/>
            <w:noWrap/>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6</w:t>
            </w:r>
          </w:p>
        </w:tc>
        <w:tc>
          <w:tcPr>
            <w:tcW w:w="204"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 w:type="pct"/>
            <w:vMerge w:val="continue"/>
            <w:noWrap/>
            <w:vAlign w:val="center"/>
          </w:tcPr>
          <w:p>
            <w:pPr>
              <w:widowControl/>
              <w:jc w:val="center"/>
              <w:rPr>
                <w:rFonts w:ascii="宋体" w:hAnsi="宋体" w:eastAsia="宋体" w:cs="宋体"/>
                <w:color w:val="auto"/>
                <w:kern w:val="0"/>
                <w:sz w:val="18"/>
                <w:szCs w:val="18"/>
              </w:rPr>
            </w:pPr>
          </w:p>
        </w:tc>
        <w:tc>
          <w:tcPr>
            <w:tcW w:w="342" w:type="pct"/>
            <w:vMerge w:val="continue"/>
            <w:noWrap/>
            <w:vAlign w:val="center"/>
          </w:tcPr>
          <w:p>
            <w:pPr>
              <w:widowControl/>
              <w:jc w:val="center"/>
              <w:rPr>
                <w:rFonts w:ascii="宋体" w:hAnsi="宋体" w:eastAsia="宋体" w:cs="宋体"/>
                <w:color w:val="auto"/>
                <w:kern w:val="0"/>
                <w:sz w:val="18"/>
                <w:szCs w:val="18"/>
              </w:rPr>
            </w:pPr>
          </w:p>
        </w:tc>
        <w:tc>
          <w:tcPr>
            <w:tcW w:w="400"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noWrap/>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单位产品综合能耗宜达到</w:t>
            </w:r>
            <w:r>
              <w:rPr>
                <w:rFonts w:hint="eastAsia" w:ascii="宋体" w:hAnsi="宋体" w:eastAsia="宋体" w:cs="宋体"/>
                <w:color w:val="auto"/>
                <w:sz w:val="18"/>
                <w:szCs w:val="18"/>
              </w:rPr>
              <w:t>GB 29447</w:t>
            </w:r>
            <w:r>
              <w:rPr>
                <w:rFonts w:hint="eastAsia" w:ascii="宋体" w:hAnsi="宋体" w:eastAsia="宋体" w:cs="宋体"/>
                <w:color w:val="auto"/>
                <w:sz w:val="18"/>
                <w:szCs w:val="18"/>
              </w:rPr>
              <w:t>中1级值；对于再生锗企业，单位产品综合能耗宜达到</w:t>
            </w:r>
            <w:r>
              <w:rPr>
                <w:rFonts w:hint="eastAsia" w:ascii="宋体" w:hAnsi="宋体" w:eastAsia="宋体" w:cs="宋体"/>
                <w:color w:val="auto"/>
                <w:sz w:val="18"/>
                <w:szCs w:val="18"/>
              </w:rPr>
              <w:t>再生锗行业清洁生产相关标准</w:t>
            </w:r>
            <w:r>
              <w:rPr>
                <w:rFonts w:hint="eastAsia" w:ascii="宋体" w:hAnsi="宋体" w:eastAsia="宋体" w:cs="宋体"/>
                <w:color w:val="auto"/>
                <w:sz w:val="18"/>
                <w:szCs w:val="18"/>
              </w:rPr>
              <w:t>中国际清洁生产领先水平。</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单位产品综合能耗统计</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可选</w:t>
            </w:r>
          </w:p>
        </w:tc>
        <w:tc>
          <w:tcPr>
            <w:tcW w:w="199" w:type="pct"/>
            <w:noWrap/>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4</w:t>
            </w:r>
          </w:p>
        </w:tc>
        <w:tc>
          <w:tcPr>
            <w:tcW w:w="204"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 w:type="pct"/>
            <w:vMerge w:val="continue"/>
            <w:noWrap/>
            <w:vAlign w:val="center"/>
          </w:tcPr>
          <w:p>
            <w:pPr>
              <w:widowControl/>
              <w:jc w:val="center"/>
              <w:rPr>
                <w:rFonts w:ascii="宋体" w:hAnsi="宋体" w:eastAsia="宋体" w:cs="宋体"/>
                <w:color w:val="auto"/>
                <w:kern w:val="0"/>
                <w:sz w:val="18"/>
                <w:szCs w:val="18"/>
              </w:rPr>
            </w:pPr>
          </w:p>
        </w:tc>
        <w:tc>
          <w:tcPr>
            <w:tcW w:w="342" w:type="pct"/>
            <w:vMerge w:val="continue"/>
            <w:noWrap/>
            <w:vAlign w:val="center"/>
          </w:tcPr>
          <w:p>
            <w:pPr>
              <w:widowControl/>
              <w:jc w:val="center"/>
              <w:rPr>
                <w:rFonts w:ascii="宋体" w:hAnsi="宋体" w:eastAsia="宋体" w:cs="宋体"/>
                <w:color w:val="auto"/>
                <w:kern w:val="0"/>
                <w:sz w:val="18"/>
                <w:szCs w:val="18"/>
              </w:rPr>
            </w:pPr>
          </w:p>
        </w:tc>
        <w:tc>
          <w:tcPr>
            <w:tcW w:w="400"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noWrap/>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应按照GB/T 36132-2018附录A及适用的标准计算单位产品碳排放量。</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温室气体排放报告产品碳排放量</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必选</w:t>
            </w:r>
          </w:p>
        </w:tc>
        <w:tc>
          <w:tcPr>
            <w:tcW w:w="199" w:type="pct"/>
            <w:noWrap/>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3</w:t>
            </w:r>
          </w:p>
        </w:tc>
        <w:tc>
          <w:tcPr>
            <w:tcW w:w="204"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 w:type="pct"/>
            <w:vMerge w:val="continue"/>
            <w:noWrap/>
            <w:vAlign w:val="center"/>
          </w:tcPr>
          <w:p>
            <w:pPr>
              <w:widowControl/>
              <w:jc w:val="center"/>
              <w:rPr>
                <w:rFonts w:ascii="宋体" w:hAnsi="宋体" w:eastAsia="宋体" w:cs="宋体"/>
                <w:color w:val="auto"/>
                <w:kern w:val="0"/>
                <w:sz w:val="18"/>
                <w:szCs w:val="18"/>
              </w:rPr>
            </w:pPr>
          </w:p>
        </w:tc>
        <w:tc>
          <w:tcPr>
            <w:tcW w:w="342" w:type="pct"/>
            <w:vMerge w:val="continue"/>
            <w:noWrap/>
            <w:vAlign w:val="center"/>
          </w:tcPr>
          <w:p>
            <w:pPr>
              <w:widowControl/>
              <w:jc w:val="center"/>
              <w:rPr>
                <w:rFonts w:ascii="宋体" w:hAnsi="宋体" w:eastAsia="宋体" w:cs="宋体"/>
                <w:color w:val="auto"/>
                <w:kern w:val="0"/>
                <w:sz w:val="18"/>
                <w:szCs w:val="18"/>
              </w:rPr>
            </w:pPr>
          </w:p>
        </w:tc>
        <w:tc>
          <w:tcPr>
            <w:tcW w:w="400"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112" w:type="pct"/>
            <w:noWrap/>
            <w:vAlign w:val="center"/>
          </w:tcPr>
          <w:p>
            <w:pPr>
              <w:jc w:val="left"/>
              <w:rPr>
                <w:rFonts w:ascii="宋体" w:hAnsi="宋体" w:eastAsia="宋体" w:cs="宋体"/>
                <w:color w:val="auto"/>
                <w:sz w:val="18"/>
                <w:szCs w:val="18"/>
              </w:rPr>
            </w:pPr>
            <w:r>
              <w:rPr>
                <w:rFonts w:hint="eastAsia" w:ascii="宋体" w:hAnsi="宋体" w:eastAsia="宋体" w:cs="宋体"/>
                <w:color w:val="auto"/>
                <w:sz w:val="18"/>
                <w:szCs w:val="18"/>
              </w:rPr>
              <w:t>单位产品碳排放量达到有关标准要求，碳排放量宜逐年下降。</w:t>
            </w:r>
          </w:p>
        </w:tc>
        <w:tc>
          <w:tcPr>
            <w:tcW w:w="1053" w:type="pct"/>
            <w:vAlign w:val="center"/>
          </w:tcPr>
          <w:p>
            <w:pPr>
              <w:pStyle w:val="29"/>
              <w:spacing w:before="78" w:beforeLines="25" w:after="78" w:afterLines="25" w:line="240" w:lineRule="auto"/>
              <w:rPr>
                <w:rFonts w:eastAsia="宋体" w:cs="宋体"/>
                <w:color w:val="auto"/>
                <w:sz w:val="18"/>
                <w:szCs w:val="18"/>
              </w:rPr>
            </w:pPr>
            <w:r>
              <w:rPr>
                <w:rFonts w:hint="eastAsia" w:eastAsia="宋体" w:cs="宋体"/>
                <w:color w:val="auto"/>
                <w:sz w:val="18"/>
                <w:szCs w:val="18"/>
              </w:rPr>
              <w:t>温室气体排放报告产品碳排放量</w:t>
            </w:r>
          </w:p>
        </w:tc>
        <w:tc>
          <w:tcPr>
            <w:tcW w:w="244" w:type="pct"/>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可选</w:t>
            </w:r>
          </w:p>
        </w:tc>
        <w:tc>
          <w:tcPr>
            <w:tcW w:w="199" w:type="pct"/>
            <w:noWrap/>
            <w:vAlign w:val="center"/>
          </w:tcPr>
          <w:p>
            <w:pPr>
              <w:spacing w:before="78" w:beforeLines="25" w:after="78" w:afterLines="25"/>
              <w:jc w:val="center"/>
              <w:rPr>
                <w:rFonts w:ascii="宋体" w:hAnsi="宋体" w:eastAsia="宋体" w:cs="宋体"/>
                <w:color w:val="auto"/>
                <w:sz w:val="18"/>
                <w:szCs w:val="18"/>
              </w:rPr>
            </w:pPr>
            <w:r>
              <w:rPr>
                <w:rFonts w:hint="eastAsia" w:ascii="宋体" w:hAnsi="宋体" w:eastAsia="宋体" w:cs="宋体"/>
                <w:color w:val="auto"/>
                <w:sz w:val="18"/>
                <w:szCs w:val="18"/>
              </w:rPr>
              <w:t>2</w:t>
            </w:r>
          </w:p>
        </w:tc>
        <w:tc>
          <w:tcPr>
            <w:tcW w:w="204" w:type="pct"/>
            <w:vMerge w:val="continue"/>
            <w:noWrap/>
            <w:vAlign w:val="center"/>
          </w:tcPr>
          <w:p>
            <w:pPr>
              <w:widowControl/>
              <w:spacing w:before="78" w:beforeLines="25" w:after="78" w:afterLines="25"/>
              <w:jc w:val="center"/>
              <w:rPr>
                <w:rFonts w:ascii="宋体" w:hAnsi="宋体" w:eastAsia="宋体" w:cs="宋体"/>
                <w:color w:val="auto"/>
                <w:kern w:val="0"/>
                <w:sz w:val="18"/>
                <w:szCs w:val="18"/>
              </w:rPr>
            </w:pP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90" w:type="pct"/>
            <w:gridSpan w:val="8"/>
            <w:vAlign w:val="center"/>
          </w:tcPr>
          <w:p>
            <w:pPr>
              <w:widowControl/>
              <w:spacing w:before="78" w:beforeLines="25" w:after="78" w:afterLines="25"/>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总分</w:t>
            </w:r>
          </w:p>
        </w:tc>
        <w:tc>
          <w:tcPr>
            <w:tcW w:w="209" w:type="pct"/>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81.1</w:t>
            </w:r>
          </w:p>
        </w:tc>
      </w:tr>
      <w:bookmarkEnd w:id="59"/>
      <w:bookmarkEnd w:id="60"/>
    </w:tbl>
    <w:p>
      <w:pPr>
        <w:jc w:val="center"/>
        <w:rPr>
          <w:rFonts w:ascii="Times New Roman" w:hAnsi="Times New Roman" w:cs="Times New Roman"/>
          <w:color w:val="auto"/>
        </w:rPr>
        <w:sectPr>
          <w:pgSz w:w="16838" w:h="11906" w:orient="landscape"/>
          <w:pgMar w:top="567" w:right="1134" w:bottom="1134" w:left="1417" w:header="850" w:footer="567" w:gutter="0"/>
          <w:cols w:space="425" w:num="1"/>
          <w:docGrid w:type="lines" w:linePitch="312" w:charSpace="0"/>
        </w:sectPr>
      </w:pPr>
    </w:p>
    <w:p>
      <w:pPr>
        <w:rPr>
          <w:rFonts w:ascii="Times New Roman" w:hAnsi="Times New Roman" w:cs="Times New Roman"/>
          <w:color w:val="auto"/>
        </w:rPr>
      </w:pPr>
    </w:p>
    <w:p>
      <w:pPr>
        <w:rPr>
          <w:rFonts w:ascii="Times New Roman" w:hAnsi="Times New Roman" w:cs="Times New Roman"/>
          <w:color w:val="auto"/>
        </w:rPr>
      </w:pPr>
    </w:p>
    <w:p>
      <w:pPr>
        <w:widowControl/>
        <w:spacing w:line="360" w:lineRule="auto"/>
        <w:ind w:firstLine="4935" w:firstLineChars="2350"/>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《锗行业绿色工厂评价要求》标准文件编制组</w:t>
      </w:r>
    </w:p>
    <w:p>
      <w:pPr>
        <w:widowControl/>
        <w:spacing w:line="360" w:lineRule="auto"/>
        <w:ind w:firstLine="6825" w:firstLineChars="3250"/>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2023年</w:t>
      </w:r>
      <w:r>
        <w:rPr>
          <w:rFonts w:hint="eastAsia" w:ascii="Times New Roman" w:hAnsi="Times New Roman" w:eastAsia="宋体" w:cs="Times New Roman"/>
          <w:color w:val="auto"/>
          <w:kern w:val="0"/>
          <w:szCs w:val="21"/>
        </w:rPr>
        <w:t>3</w:t>
      </w:r>
      <w:r>
        <w:rPr>
          <w:rFonts w:ascii="Times New Roman" w:hAnsi="Times New Roman" w:eastAsia="宋体" w:cs="Times New Roman"/>
          <w:color w:val="auto"/>
          <w:kern w:val="0"/>
          <w:szCs w:val="21"/>
        </w:rPr>
        <w:t>月</w:t>
      </w:r>
    </w:p>
    <w:bookmarkEnd w:id="74"/>
    <w:sectPr>
      <w:footerReference r:id="rId9" w:type="even"/>
      <w:pgSz w:w="11906" w:h="16838"/>
      <w:pgMar w:top="1134" w:right="1134" w:bottom="1417" w:left="567" w:header="850"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6607652"/>
      <w:docPartObj>
        <w:docPartGallery w:val="autotext"/>
      </w:docPartObj>
    </w:sdtPr>
    <w:sdtContent>
      <w:p>
        <w:pPr>
          <w:pStyle w:val="12"/>
          <w:jc w:val="right"/>
        </w:pPr>
        <w:r>
          <w:fldChar w:fldCharType="begin"/>
        </w:r>
        <w:r>
          <w:instrText xml:space="preserve">PAGE   \* MERGEFORMAT</w:instrText>
        </w:r>
        <w:r>
          <w:fldChar w:fldCharType="separate"/>
        </w:r>
        <w:r>
          <w:rPr>
            <w:lang w:val="zh-CN"/>
          </w:rPr>
          <w:t>1</w:t>
        </w:r>
        <w:r>
          <w:fldChar w:fldCharType="end"/>
        </w:r>
      </w:p>
    </w:sdtContent>
  </w:sdt>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60672"/>
    </w:sdtPr>
    <w:sdtContent>
      <w:p>
        <w:pPr>
          <w:pStyle w:val="12"/>
        </w:pPr>
        <w:r>
          <w:fldChar w:fldCharType="begin"/>
        </w:r>
        <w:r>
          <w:instrText xml:space="preserve"> PAGE   \* MERGEFORMAT </w:instrText>
        </w:r>
        <w:r>
          <w:fldChar w:fldCharType="separate"/>
        </w:r>
        <w:r>
          <w:rPr>
            <w:lang w:val="zh-CN"/>
          </w:rPr>
          <w:t>18</w:t>
        </w:r>
        <w:r>
          <w:rPr>
            <w:lang w:val="zh-CN"/>
          </w:rPr>
          <w:fldChar w:fldCharType="end"/>
        </w:r>
      </w:p>
    </w:sdtContent>
  </w:sdt>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963244"/>
    </w:sdtPr>
    <w:sdtContent>
      <w:p>
        <w:pPr>
          <w:pStyle w:val="12"/>
        </w:pPr>
        <w:r>
          <w:fldChar w:fldCharType="begin"/>
        </w:r>
        <w:r>
          <w:instrText xml:space="preserve"> PAGE   \* MERGEFORMAT </w:instrText>
        </w:r>
        <w:r>
          <w:fldChar w:fldCharType="separate"/>
        </w:r>
        <w:r>
          <w:rPr>
            <w:lang w:val="zh-CN"/>
          </w:rPr>
          <w:t>20</w:t>
        </w:r>
        <w:r>
          <w:rPr>
            <w:lang w:val="zh-CN"/>
          </w:rP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after="220"/>
      <w:rPr>
        <w:u w:color="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after="220"/>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5"/>
    <w:multiLevelType w:val="multilevel"/>
    <w:tmpl w:val="00000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6"/>
      <w:suff w:val="nothing"/>
      <w:lvlText w:val="%1%2　"/>
      <w:lvlJc w:val="left"/>
      <w:pPr>
        <w:ind w:left="142" w:firstLine="0"/>
      </w:pPr>
      <w:rPr>
        <w:rFonts w:hint="eastAsia" w:ascii="黑体" w:hAnsi="Times New Roman" w:eastAsia="黑体"/>
        <w:b w:val="0"/>
        <w:i w:val="0"/>
        <w:sz w:val="21"/>
      </w:rPr>
    </w:lvl>
    <w:lvl w:ilvl="2" w:tentative="0">
      <w:start w:val="1"/>
      <w:numFmt w:val="decimal"/>
      <w:pStyle w:val="5"/>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568" w:firstLine="0"/>
      </w:pPr>
      <w:rPr>
        <w:rFonts w:hint="eastAsia" w:ascii="黑体" w:hAnsi="Times New Roman" w:eastAsia="黑体"/>
        <w:b w:val="0"/>
        <w:i w:val="0"/>
        <w:sz w:val="21"/>
      </w:rPr>
    </w:lvl>
    <w:lvl w:ilvl="4" w:tentative="0">
      <w:start w:val="1"/>
      <w:numFmt w:val="decimal"/>
      <w:suff w:val="nothing"/>
      <w:lvlText w:val="%1%2.%3.%4.%5　"/>
      <w:lvlJc w:val="left"/>
      <w:pPr>
        <w:ind w:left="1276"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color w:val="auto"/>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305B5A1D"/>
    <w:multiLevelType w:val="multilevel"/>
    <w:tmpl w:val="305B5A1D"/>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172A27"/>
    <w:rsid w:val="0008404A"/>
    <w:rsid w:val="000A2437"/>
    <w:rsid w:val="000C55B1"/>
    <w:rsid w:val="000F0AE3"/>
    <w:rsid w:val="001106A2"/>
    <w:rsid w:val="00172A27"/>
    <w:rsid w:val="00197AE0"/>
    <w:rsid w:val="001B034D"/>
    <w:rsid w:val="001B7CE1"/>
    <w:rsid w:val="002430F7"/>
    <w:rsid w:val="00244F13"/>
    <w:rsid w:val="002C2774"/>
    <w:rsid w:val="00356247"/>
    <w:rsid w:val="003E5004"/>
    <w:rsid w:val="003E6512"/>
    <w:rsid w:val="00400B22"/>
    <w:rsid w:val="00417598"/>
    <w:rsid w:val="004409E3"/>
    <w:rsid w:val="00501FBD"/>
    <w:rsid w:val="00504BB1"/>
    <w:rsid w:val="00533C81"/>
    <w:rsid w:val="005660A3"/>
    <w:rsid w:val="005862F7"/>
    <w:rsid w:val="005D4542"/>
    <w:rsid w:val="005F59F3"/>
    <w:rsid w:val="006D7763"/>
    <w:rsid w:val="00757B79"/>
    <w:rsid w:val="007754EE"/>
    <w:rsid w:val="007F7712"/>
    <w:rsid w:val="00807BE7"/>
    <w:rsid w:val="0086787B"/>
    <w:rsid w:val="0087167F"/>
    <w:rsid w:val="00880EB3"/>
    <w:rsid w:val="00967F6E"/>
    <w:rsid w:val="009E7A6E"/>
    <w:rsid w:val="00AA70DD"/>
    <w:rsid w:val="00B0504B"/>
    <w:rsid w:val="00B2736D"/>
    <w:rsid w:val="00B358ED"/>
    <w:rsid w:val="00B51455"/>
    <w:rsid w:val="00BB2B30"/>
    <w:rsid w:val="00C137BE"/>
    <w:rsid w:val="00CB37D9"/>
    <w:rsid w:val="00D31C67"/>
    <w:rsid w:val="00D47557"/>
    <w:rsid w:val="00D96593"/>
    <w:rsid w:val="00DF12DD"/>
    <w:rsid w:val="00E44AB3"/>
    <w:rsid w:val="00EC58FA"/>
    <w:rsid w:val="00F243F5"/>
    <w:rsid w:val="00FB179D"/>
    <w:rsid w:val="01EB5A6D"/>
    <w:rsid w:val="0AC30F28"/>
    <w:rsid w:val="12814689"/>
    <w:rsid w:val="13DF3F58"/>
    <w:rsid w:val="157866F4"/>
    <w:rsid w:val="15CC7E09"/>
    <w:rsid w:val="15FD3E72"/>
    <w:rsid w:val="167732C7"/>
    <w:rsid w:val="1AFF6D13"/>
    <w:rsid w:val="22747DA0"/>
    <w:rsid w:val="23144ABE"/>
    <w:rsid w:val="2F0718D3"/>
    <w:rsid w:val="315A0567"/>
    <w:rsid w:val="46A239CE"/>
    <w:rsid w:val="47853496"/>
    <w:rsid w:val="4874163B"/>
    <w:rsid w:val="48AE0A51"/>
    <w:rsid w:val="4AEE2191"/>
    <w:rsid w:val="514669E5"/>
    <w:rsid w:val="5DBD7AF5"/>
    <w:rsid w:val="601620D0"/>
    <w:rsid w:val="619A065E"/>
    <w:rsid w:val="631B4147"/>
    <w:rsid w:val="668238C6"/>
    <w:rsid w:val="6DB61704"/>
    <w:rsid w:val="6E2C5AA6"/>
    <w:rsid w:val="74BE5950"/>
    <w:rsid w:val="7AC2652D"/>
    <w:rsid w:val="7C4A7A05"/>
    <w:rsid w:val="7E436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120" w:after="120"/>
      <w:outlineLvl w:val="0"/>
    </w:pPr>
    <w:rPr>
      <w:rFonts w:eastAsia="黑体"/>
      <w:b/>
      <w:bCs/>
      <w:kern w:val="44"/>
      <w:sz w:val="28"/>
      <w:szCs w:val="44"/>
    </w:rPr>
  </w:style>
  <w:style w:type="paragraph" w:styleId="3">
    <w:name w:val="heading 2"/>
    <w:basedOn w:val="1"/>
    <w:next w:val="1"/>
    <w:qFormat/>
    <w:uiPriority w:val="0"/>
    <w:pPr>
      <w:keepNext/>
      <w:keepLines/>
      <w:spacing w:before="120"/>
      <w:outlineLvl w:val="1"/>
    </w:pPr>
    <w:rPr>
      <w:rFonts w:ascii="Arial" w:hAnsi="Arial" w:eastAsia="黑体"/>
      <w:bCs/>
      <w:sz w:val="28"/>
      <w:szCs w:val="32"/>
    </w:rPr>
  </w:style>
  <w:style w:type="paragraph" w:styleId="4">
    <w:name w:val="heading 3"/>
    <w:basedOn w:val="5"/>
    <w:next w:val="1"/>
    <w:qFormat/>
    <w:uiPriority w:val="0"/>
    <w:pPr>
      <w:numPr>
        <w:ilvl w:val="0"/>
        <w:numId w:val="0"/>
      </w:numPr>
      <w:spacing w:beforeLines="50" w:afterLines="50" w:line="240" w:lineRule="auto"/>
      <w:ind w:left="142"/>
      <w:jc w:val="left"/>
    </w:pPr>
    <w:rPr>
      <w:rFonts w:ascii="Times New Roman"/>
      <w:color w:val="000000"/>
      <w:sz w:val="24"/>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customStyle="1" w:styleId="5">
    <w:name w:val="一级条标题"/>
    <w:basedOn w:val="6"/>
    <w:next w:val="7"/>
    <w:qFormat/>
    <w:uiPriority w:val="0"/>
    <w:pPr>
      <w:numPr>
        <w:ilvl w:val="2"/>
      </w:numPr>
      <w:spacing w:beforeLines="0" w:afterLines="0" w:line="300" w:lineRule="auto"/>
      <w:outlineLvl w:val="2"/>
    </w:pPr>
    <w:rPr>
      <w:color w:val="FF0000"/>
      <w:spacing w:val="-4"/>
      <w:szCs w:val="24"/>
    </w:rPr>
  </w:style>
  <w:style w:type="paragraph" w:customStyle="1" w:styleId="6">
    <w:name w:val="章标题"/>
    <w:next w:val="7"/>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
    <w:name w:val="段"/>
    <w:qFormat/>
    <w:uiPriority w:val="0"/>
    <w:pPr>
      <w:autoSpaceDE w:val="0"/>
      <w:autoSpaceDN w:val="0"/>
      <w:ind w:firstLine="200" w:firstLineChars="200"/>
      <w:jc w:val="both"/>
    </w:pPr>
    <w:rPr>
      <w:rFonts w:ascii="宋体" w:hAnsi="Calibri" w:eastAsia="宋体" w:cs="Times New Roman"/>
      <w:kern w:val="2"/>
      <w:sz w:val="21"/>
      <w:szCs w:val="22"/>
      <w:lang w:val="en-US" w:eastAsia="zh-CN" w:bidi="ar-SA"/>
    </w:rPr>
  </w:style>
  <w:style w:type="paragraph" w:styleId="8">
    <w:name w:val="Document Map"/>
    <w:basedOn w:val="1"/>
    <w:link w:val="27"/>
    <w:qFormat/>
    <w:uiPriority w:val="0"/>
    <w:rPr>
      <w:rFonts w:ascii="宋体" w:eastAsia="宋体"/>
      <w:sz w:val="18"/>
      <w:szCs w:val="18"/>
    </w:rPr>
  </w:style>
  <w:style w:type="paragraph" w:styleId="9">
    <w:name w:val="toc 3"/>
    <w:basedOn w:val="1"/>
    <w:next w:val="1"/>
    <w:qFormat/>
    <w:uiPriority w:val="39"/>
    <w:pPr>
      <w:ind w:left="840" w:leftChars="400"/>
    </w:pPr>
  </w:style>
  <w:style w:type="paragraph" w:styleId="10">
    <w:name w:val="Plain Text"/>
    <w:basedOn w:val="1"/>
    <w:qFormat/>
    <w:uiPriority w:val="0"/>
    <w:rPr>
      <w:rFonts w:ascii="宋体" w:hAnsi="Courier New"/>
    </w:rPr>
  </w:style>
  <w:style w:type="paragraph" w:styleId="11">
    <w:name w:val="Balloon Text"/>
    <w:basedOn w:val="1"/>
    <w:link w:val="23"/>
    <w:qFormat/>
    <w:uiPriority w:val="0"/>
    <w:rPr>
      <w:sz w:val="18"/>
      <w:szCs w:val="18"/>
    </w:rPr>
  </w:style>
  <w:style w:type="paragraph" w:styleId="12">
    <w:name w:val="footer"/>
    <w:basedOn w:val="1"/>
    <w:link w:val="26"/>
    <w:qFormat/>
    <w:uiPriority w:val="99"/>
    <w:pPr>
      <w:tabs>
        <w:tab w:val="center" w:pos="4153"/>
        <w:tab w:val="right" w:pos="8306"/>
      </w:tabs>
      <w:snapToGrid w:val="0"/>
      <w:jc w:val="left"/>
    </w:pPr>
    <w:rPr>
      <w:sz w:val="18"/>
      <w:szCs w:val="18"/>
    </w:rPr>
  </w:style>
  <w:style w:type="paragraph" w:styleId="13">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2"/>
    <w:basedOn w:val="1"/>
    <w:next w:val="1"/>
    <w:qFormat/>
    <w:uiPriority w:val="39"/>
    <w:pPr>
      <w:ind w:left="420" w:leftChars="200"/>
    </w:pPr>
  </w:style>
  <w:style w:type="paragraph" w:styleId="16">
    <w:name w:val="Normal (Web)"/>
    <w:basedOn w:val="1"/>
    <w:unhideWhenUsed/>
    <w:qFormat/>
    <w:uiPriority w:val="99"/>
    <w:pPr>
      <w:spacing w:before="100" w:beforeAutospacing="1" w:after="100" w:afterAutospacing="1"/>
      <w:jc w:val="left"/>
    </w:pPr>
    <w:rPr>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page number"/>
    <w:basedOn w:val="19"/>
    <w:qFormat/>
    <w:uiPriority w:val="0"/>
  </w:style>
  <w:style w:type="character" w:styleId="22">
    <w:name w:val="Hyperlink"/>
    <w:basedOn w:val="19"/>
    <w:qFormat/>
    <w:uiPriority w:val="99"/>
    <w:rPr>
      <w:color w:val="0563C1" w:themeColor="hyperlink"/>
      <w:u w:val="single"/>
      <w14:textFill>
        <w14:solidFill>
          <w14:schemeClr w14:val="hlink"/>
        </w14:solidFill>
      </w14:textFill>
    </w:rPr>
  </w:style>
  <w:style w:type="character" w:customStyle="1" w:styleId="23">
    <w:name w:val="批注框文本 Char"/>
    <w:basedOn w:val="19"/>
    <w:link w:val="11"/>
    <w:qFormat/>
    <w:uiPriority w:val="0"/>
    <w:rPr>
      <w:rFonts w:asciiTheme="minorHAnsi" w:hAnsiTheme="minorHAnsi" w:eastAsiaTheme="minorEastAsia" w:cstheme="minorBidi"/>
      <w:kern w:val="2"/>
      <w:sz w:val="18"/>
      <w:szCs w:val="18"/>
    </w:rPr>
  </w:style>
  <w:style w:type="paragraph" w:customStyle="1" w:styleId="24">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25">
    <w:name w:val="页眉 Char"/>
    <w:basedOn w:val="19"/>
    <w:link w:val="13"/>
    <w:qFormat/>
    <w:uiPriority w:val="0"/>
    <w:rPr>
      <w:rFonts w:asciiTheme="minorHAnsi" w:hAnsiTheme="minorHAnsi" w:eastAsiaTheme="minorEastAsia" w:cstheme="minorBidi"/>
      <w:kern w:val="2"/>
      <w:sz w:val="18"/>
      <w:szCs w:val="18"/>
    </w:rPr>
  </w:style>
  <w:style w:type="character" w:customStyle="1" w:styleId="26">
    <w:name w:val="页脚 Char"/>
    <w:basedOn w:val="19"/>
    <w:link w:val="12"/>
    <w:qFormat/>
    <w:uiPriority w:val="99"/>
    <w:rPr>
      <w:rFonts w:asciiTheme="minorHAnsi" w:hAnsiTheme="minorHAnsi" w:eastAsiaTheme="minorEastAsia" w:cstheme="minorBidi"/>
      <w:kern w:val="2"/>
      <w:sz w:val="18"/>
      <w:szCs w:val="18"/>
    </w:rPr>
  </w:style>
  <w:style w:type="character" w:customStyle="1" w:styleId="27">
    <w:name w:val="文档结构图 Char"/>
    <w:basedOn w:val="19"/>
    <w:link w:val="8"/>
    <w:qFormat/>
    <w:uiPriority w:val="0"/>
    <w:rPr>
      <w:rFonts w:ascii="宋体" w:hAnsiTheme="minorHAnsi" w:cstheme="minorBidi"/>
      <w:kern w:val="2"/>
      <w:sz w:val="18"/>
      <w:szCs w:val="18"/>
    </w:rPr>
  </w:style>
  <w:style w:type="paragraph" w:styleId="28">
    <w:name w:val="List Paragraph"/>
    <w:basedOn w:val="1"/>
    <w:qFormat/>
    <w:uiPriority w:val="34"/>
    <w:pPr>
      <w:ind w:firstLine="420" w:firstLineChars="200"/>
    </w:pPr>
  </w:style>
  <w:style w:type="paragraph" w:customStyle="1" w:styleId="29">
    <w:name w:val="ENFI表体"/>
    <w:basedOn w:val="1"/>
    <w:qFormat/>
    <w:uiPriority w:val="0"/>
    <w:pPr>
      <w:widowControl/>
      <w:adjustRightInd w:val="0"/>
      <w:snapToGrid w:val="0"/>
      <w:spacing w:line="240" w:lineRule="atLeast"/>
      <w:jc w:val="left"/>
    </w:pPr>
    <w:rPr>
      <w:rFonts w:ascii="宋体" w:hAnsi="宋体" w:eastAsia="仿宋_GB2312"/>
      <w:kern w:val="0"/>
    </w:rPr>
  </w:style>
  <w:style w:type="paragraph" w:customStyle="1" w:styleId="30">
    <w:name w:val="Table Paragraph"/>
    <w:basedOn w:val="1"/>
    <w:qFormat/>
    <w:uiPriority w:val="1"/>
    <w:rPr>
      <w:rFonts w:ascii="Arial Unicode MS" w:hAnsi="Arial Unicode MS" w:eastAsia="Arial Unicode MS" w:cs="Arial Unicode MS"/>
      <w:lang w:val="ca-ES" w:eastAsia="ca-ES" w:bidi="ca-ES"/>
    </w:rPr>
  </w:style>
  <w:style w:type="paragraph" w:customStyle="1" w:styleId="31">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0224A0-3832-47C7-A36B-C6BE779A1268}">
  <ds:schemaRefs/>
</ds:datastoreItem>
</file>

<file path=docProps/app.xml><?xml version="1.0" encoding="utf-8"?>
<Properties xmlns="http://schemas.openxmlformats.org/officeDocument/2006/extended-properties" xmlns:vt="http://schemas.openxmlformats.org/officeDocument/2006/docPropsVTypes">
  <Template>Normal</Template>
  <Pages>23</Pages>
  <Words>13854</Words>
  <Characters>14854</Characters>
  <Lines>133</Lines>
  <Paragraphs>37</Paragraphs>
  <TotalTime>10</TotalTime>
  <ScaleCrop>false</ScaleCrop>
  <LinksUpToDate>false</LinksUpToDate>
  <CharactersWithSpaces>15034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2020-10-12T10:17:00Z</dcterms:created>
  <dc:creator>刘国霞</dc:creator>
  <cp:lastModifiedBy>素素</cp:lastModifiedBy>
  <dcterms:modified xsi:type="dcterms:W3CDTF">2023-04-07T01:47:01Z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CEC2CC27F0B14B11B1C6AA6D62E70E52</vt:lpwstr>
  </property>
</Properties>
</file>