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framePr w:hSpace="180" w:vSpace="180" w:wrap="around" w:vAnchor="margin" w:hAnchor="margin" w:y="1" w:anchorLock="1"/>
      </w:pPr>
      <w:r>
        <w:t>ICS</w:t>
      </w:r>
      <w:r>
        <w:rPr>
          <w:rFonts w:hint="eastAsia"/>
        </w:rPr>
        <w:t xml:space="preserve"> 77.150.99</w:t>
      </w:r>
    </w:p>
    <w:p>
      <w:pPr>
        <w:pStyle w:val="36"/>
        <w:framePr w:hSpace="180" w:vSpace="180" w:wrap="around" w:vAnchor="margin" w:hAnchor="margin" w:y="1" w:anchorLock="1"/>
      </w:pPr>
      <w:r>
        <w:t xml:space="preserve">CCS </w:t>
      </w:r>
      <w:r>
        <w:rPr>
          <w:rFonts w:hint="eastAsia"/>
        </w:rPr>
        <w:t>H 66</w:t>
      </w:r>
    </w:p>
    <w:p>
      <w:pPr>
        <w:pStyle w:val="32"/>
        <w:framePr w:w="2546" w:h="1389" w:hRule="exact" w:hSpace="181" w:vSpace="181" w:wrap="around" w:vAnchor="margin" w:hAnchor="margin" w:x="6522" w:y="398" w:anchorLock="1"/>
        <w:spacing w:line="240" w:lineRule="auto"/>
      </w:pPr>
      <w:r>
        <w:drawing>
          <wp:inline distT="0" distB="0" distL="0" distR="0">
            <wp:extent cx="1428750" cy="723900"/>
            <wp:effectExtent l="0" t="0" r="0" b="0"/>
            <wp:docPr id="2" name="图片 2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framePr w:w="9639" w:h="624" w:hRule="exact" w:hSpace="181" w:vSpace="181" w:wrap="around" w:vAnchor="page" w:hAnchor="page" w:x="1419" w:y="2286" w:anchorLock="1"/>
        <w:spacing w:line="240" w:lineRule="auto"/>
        <w:rPr>
          <w:rFonts w:ascii="Times New Roman"/>
        </w:rPr>
      </w:pPr>
      <w:r>
        <w:rPr>
          <w:rFonts w:hint="eastAsia" w:ascii="Times New Roman"/>
        </w:rPr>
        <w:t>中华人民共和国国家标准</w:t>
      </w:r>
    </w:p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>GB/T 10118—</w:t>
      </w:r>
      <w:r>
        <w:rPr>
          <w:rFonts w:hAnsi="黑体"/>
          <w:sz w:val="24"/>
          <w:szCs w:val="24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StdNo2"/>
      <w:r>
        <w:rPr>
          <w:rFonts w:hAnsi="黑体"/>
          <w:sz w:val="24"/>
          <w:szCs w:val="24"/>
        </w:rPr>
        <w:instrText xml:space="preserve"> FORMTEXT </w:instrText>
      </w:r>
      <w:r>
        <w:rPr>
          <w:rFonts w:hAnsi="黑体"/>
          <w:sz w:val="24"/>
          <w:szCs w:val="24"/>
        </w:rPr>
        <w:fldChar w:fldCharType="separate"/>
      </w:r>
      <w:r>
        <w:rPr>
          <w:rFonts w:hAnsi="黑体"/>
          <w:sz w:val="24"/>
          <w:szCs w:val="24"/>
        </w:rPr>
        <w:t>XXXX</w:t>
      </w:r>
      <w:r>
        <w:rPr>
          <w:rFonts w:hAnsi="黑体"/>
          <w:sz w:val="24"/>
          <w:szCs w:val="24"/>
        </w:rPr>
        <w:fldChar w:fldCharType="end"/>
      </w:r>
      <w:bookmarkEnd w:id="0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9"/>
              <w:framePr w:w="9140" w:h="1242" w:hRule="exact" w:hSpace="284" w:wrap="around" w:vAnchor="page" w:hAnchor="page" w:x="1645" w:y="2910" w:anchorLock="1"/>
              <w:spacing w:line="240" w:lineRule="auto"/>
              <w:rPr>
                <w:rFonts w:ascii="Times New Roman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5g8svWAAAACAEAAA8A&#10;AAAAAAAAAQAgAAAAIgAAAGRycy9kb3ducmV2LnhtbFBLAQIUABQAAAAIAIdO4kD+2UDsGQIAACYE&#10;AAAOAAAAAAAAAAEAIAAAACUBAABkcnMvZTJvRG9jLnhtbFBLBQYAAAAABgAGAFkBAACw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代替</w:t>
            </w:r>
            <w:r>
              <w:rPr>
                <w:rFonts w:ascii="黑体" w:hAnsi="黑体" w:eastAsia="黑体"/>
              </w:rPr>
              <w:t>GB/T 10118</w:t>
            </w:r>
            <w:r>
              <w:rPr>
                <w:rFonts w:hAnsi="黑体"/>
                <w:sz w:val="24"/>
                <w:szCs w:val="24"/>
              </w:rPr>
              <w:t>—</w:t>
            </w:r>
            <w:r>
              <w:rPr>
                <w:rFonts w:ascii="黑体" w:hAnsi="黑体" w:eastAsia="黑体"/>
              </w:rPr>
              <w:t>200</w:t>
            </w:r>
            <w:r>
              <w:rPr>
                <w:rFonts w:ascii="Times New Roman"/>
              </w:rPr>
              <w:t>9</w:t>
            </w:r>
          </w:p>
        </w:tc>
      </w:tr>
    </w:tbl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20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31"/>
        <w:framePr w:w="9639" w:h="6917" w:hRule="exact" w:wrap="around" w:vAnchor="page" w:hAnchor="page" w:xAlign="center" w:y="6408" w:anchorLock="1"/>
      </w:pPr>
      <w:r>
        <w:rPr>
          <w:rFonts w:hint="eastAsia"/>
        </w:rPr>
        <w:t>高纯镓</w:t>
      </w:r>
    </w:p>
    <w:p>
      <w:pPr>
        <w:pStyle w:val="30"/>
        <w:framePr w:w="9639" w:h="6917" w:hRule="exact" w:wrap="around" w:vAnchor="page" w:hAnchor="page" w:xAlign="center" w:y="6408" w:anchorLock="1"/>
      </w:pPr>
      <w:r>
        <w:t xml:space="preserve">High </w:t>
      </w:r>
      <w:r>
        <w:rPr>
          <w:rFonts w:hint="eastAsia"/>
        </w:rPr>
        <w:t>p</w:t>
      </w:r>
      <w:r>
        <w:t xml:space="preserve">urity </w:t>
      </w:r>
      <w:r>
        <w:rPr>
          <w:rFonts w:hint="eastAsia"/>
        </w:rPr>
        <w:t>g</w:t>
      </w:r>
      <w:r>
        <w:t>allium</w:t>
      </w:r>
    </w:p>
    <w:p>
      <w:pPr>
        <w:pStyle w:val="30"/>
        <w:framePr w:w="9639" w:h="6917" w:hRule="exact" w:wrap="around" w:vAnchor="page" w:hAnchor="page" w:xAlign="center" w:y="6408" w:anchorLock="1"/>
        <w:tabs>
          <w:tab w:val="center" w:pos="4885"/>
          <w:tab w:val="left" w:pos="8297"/>
        </w:tabs>
        <w:spacing w:line="240" w:lineRule="auto"/>
        <w:jc w:val="left"/>
      </w:pPr>
      <w:r>
        <w:rPr>
          <w:rFonts w:hint="eastAsia" w:eastAsia="宋体"/>
        </w:rPr>
        <w:tab/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 w:w="9639" w:h="6917" w:hRule="exact" w:wrap="around" w:vAnchor="page" w:hAnchor="page" w:xAlign="center" w:y="6408" w:anchorLock="1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（审</w:t>
            </w:r>
            <w:r>
              <w:rPr>
                <w:rFonts w:hint="eastAsia" w:ascii="Times New Roman"/>
                <w:lang w:val="en-US" w:eastAsia="zh-CN"/>
              </w:rPr>
              <w:t>定</w:t>
            </w:r>
            <w:r>
              <w:rPr>
                <w:rFonts w:hint="eastAsia" w:ascii="Times New Roman"/>
              </w:rPr>
              <w:t>稿）</w: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ia6S1QAAAAoBAAAPAAAA&#10;AAAAAAEAIAAAACIAAABkcnMvZG93bnJldi54bWxQSwECFAAUAAAACACHTuJA4cIhCBgCAAAmBAAA&#10;DgAAAAAAAAABACAAAAAk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+GL5dYAAAAJAQAADwAA&#10;AAAAAAABACAAAAAiAAAAZHJzL2Rvd25yZXYueG1sUEsBAhQAFAAAAAgAh07iQPDekL0YAgAAJgQA&#10;AA4AAAAAAAAAAQAgAAAAJQ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framePr w:w="9639" w:h="6917" w:hRule="exact" w:wrap="around" w:vAnchor="page" w:hAnchor="page" w:xAlign="center" w:y="6408" w:anchorLock="1"/>
              <w:spacing w:line="240" w:lineRule="auto"/>
              <w:rPr>
                <w:rFonts w:ascii="Times New Roman"/>
              </w:rPr>
            </w:pPr>
          </w:p>
        </w:tc>
      </w:tr>
    </w:tbl>
    <w:p>
      <w:pPr>
        <w:pStyle w:val="34"/>
        <w:framePr w:w="3997" w:h="471" w:hRule="exact" w:vSpace="181" w:wrap="around" w:vAnchor="page" w:hAnchor="page" w:x="7064" w:y="14279" w:anchorLock="1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XXXX</w:t>
      </w:r>
      <w:r>
        <w:rPr>
          <w:rFonts w:ascii="黑体" w:hAnsi="黑体"/>
        </w:rPr>
        <w:fldChar w:fldCharType="end"/>
      </w:r>
      <w:bookmarkEnd w:id="1"/>
      <w:r>
        <w:rPr>
          <w:rFonts w:ascii="黑体" w:hAnsi="黑体"/>
        </w:rPr>
        <w:t>-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2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2"/>
      <w:r>
        <w:rPr>
          <w:rFonts w:ascii="黑体" w:hAnsi="黑体"/>
        </w:rPr>
        <w:t>-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3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3"/>
      <w:r>
        <w:rPr>
          <w:rFonts w:hint="eastAsia" w:ascii="黑体" w:hAnsi="黑体"/>
        </w:rPr>
        <w:t>实施</w:t>
      </w:r>
    </w:p>
    <w:p>
      <w:pPr>
        <w:pStyle w:val="34"/>
        <w:framePr w:w="3997" w:h="471" w:hRule="exact" w:vSpace="181" w:wrap="around" w:vAnchor="page" w:hAnchor="page" w:x="7064" w:y="14279" w:anchorLock="1"/>
        <w:rPr>
          <w:rFonts w:eastAsia="宋体"/>
        </w:rPr>
      </w:pPr>
      <w:r>
        <w:rPr>
          <w:rFonts w:eastAsia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4500880</wp:posOffset>
            </wp:positionH>
            <wp:positionV relativeFrom="paragraph">
              <wp:posOffset>8590280</wp:posOffset>
            </wp:positionV>
            <wp:extent cx="3895725" cy="935990"/>
            <wp:effectExtent l="0" t="0" r="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3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sz w:val="24"/>
          <w:szCs w:val="24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hint="eastAsia" w:eastAsia="宋体"/>
        </w:rPr>
        <w:t>实施</w:t>
      </w:r>
    </w:p>
    <w:p>
      <w:pPr>
        <w:pStyle w:val="34"/>
        <w:framePr w:w="4665" w:h="506" w:hRule="exact" w:hSpace="125" w:wrap="around" w:vAnchor="page" w:hAnchor="page" w:x="1354" w:y="14197"/>
        <w:jc w:val="left"/>
        <w:rPr>
          <w:rFonts w:ascii="黑体" w:hAnsi="黑体"/>
        </w:rPr>
      </w:pPr>
      <w:r>
        <w:rPr>
          <w:rFonts w:ascii="黑体" w:hAnsi="黑体"/>
          <w:szCs w:val="28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XXXX</w:t>
      </w:r>
      <w:r>
        <w:rPr>
          <w:rFonts w:ascii="黑体" w:hAnsi="黑体"/>
          <w:szCs w:val="28"/>
        </w:rPr>
        <w:fldChar w:fldCharType="end"/>
      </w:r>
      <w:r>
        <w:rPr>
          <w:rFonts w:ascii="黑体" w:hAnsi="黑体"/>
          <w:szCs w:val="28"/>
        </w:rPr>
        <w:t>-</w:t>
      </w:r>
      <w:r>
        <w:rPr>
          <w:rFonts w:ascii="黑体" w:hAnsi="黑体"/>
          <w:szCs w:val="28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</w:t>
      </w:r>
      <w:r>
        <w:rPr>
          <w:rFonts w:ascii="黑体" w:hAnsi="黑体"/>
          <w:szCs w:val="28"/>
        </w:rPr>
        <w:fldChar w:fldCharType="end"/>
      </w:r>
      <w:r>
        <w:rPr>
          <w:rFonts w:ascii="黑体" w:hAnsi="黑体"/>
          <w:szCs w:val="28"/>
        </w:rPr>
        <w:t>-</w:t>
      </w:r>
      <w:r>
        <w:rPr>
          <w:rFonts w:ascii="黑体" w:hAnsi="黑体"/>
          <w:szCs w:val="28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Cs w:val="28"/>
        </w:rPr>
        <w:instrText xml:space="preserve"> FORMTEXT </w:instrText>
      </w:r>
      <w:r>
        <w:rPr>
          <w:rFonts w:ascii="黑体" w:hAnsi="黑体"/>
          <w:szCs w:val="28"/>
        </w:rPr>
        <w:fldChar w:fldCharType="separate"/>
      </w:r>
      <w:r>
        <w:rPr>
          <w:rFonts w:ascii="黑体" w:hAnsi="黑体"/>
          <w:szCs w:val="28"/>
        </w:rPr>
        <w:t>XX</w:t>
      </w:r>
      <w:r>
        <w:rPr>
          <w:rFonts w:ascii="黑体" w:hAnsi="黑体"/>
          <w:szCs w:val="28"/>
        </w:rPr>
        <w:fldChar w:fldCharType="end"/>
      </w:r>
      <w:r>
        <w:rPr>
          <w:rFonts w:hint="eastAsia" w:ascii="黑体" w:hAnsi="黑体"/>
        </w:rPr>
        <w:t>发布</w:t>
      </w:r>
    </w:p>
    <w:p>
      <w:pPr>
        <w:pStyle w:val="19"/>
        <w:rPr>
          <w:rFonts w:ascii="Times New Roman" w:hAnsi="Times New Roman" w:eastAsia="宋体"/>
        </w:rPr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2260600</wp:posOffset>
                </wp:positionV>
                <wp:extent cx="612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8pt;height:0pt;width:481.9pt;mso-position-horizontal:center;mso-position-horizontal-relative:margin;z-index:251665408;mso-width-relative:page;mso-height-relative:page;" filled="f" stroked="t" coordsize="21600,21600" o:gfxdata="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6veqdUAAAAIAQAA&#10;DwAAAAAAAAABACAAAAAiAAAAZHJzL2Rvd25yZXYueG1sUEsBAhQAFAAAAAgAh07iQOokenX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9030970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11.1pt;height:0pt;width:481.9pt;z-index:251664384;mso-width-relative:page;mso-height-relative:page;" filled="f" stroked="t" coordsize="21600,21600" o:gfxdata="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ZBbxNUAAAAKAQAA&#10;DwAAAAAAAAABACAAAAAiAAAAZHJzL2Rvd25yZXYueG1sUEsBAhQAFAAAAAgAh07iQJAQkRv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1353820</wp:posOffset>
            </wp:positionH>
            <wp:positionV relativeFrom="paragraph">
              <wp:posOffset>9116695</wp:posOffset>
            </wp:positionV>
            <wp:extent cx="3296285" cy="791845"/>
            <wp:effectExtent l="0" t="0" r="0" b="825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52" cy="7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2"/>
        <w:rPr>
          <w:rFonts w:hAnsi="黑体"/>
        </w:rPr>
      </w:pPr>
      <w:r>
        <w:rPr>
          <w:rFonts w:hint="eastAsia" w:hAnsi="黑体"/>
        </w:rPr>
        <w:t>前</w:t>
      </w:r>
      <w:bookmarkStart w:id="4" w:name="BKQY"/>
      <w:r>
        <w:rPr>
          <w:rFonts w:hAnsi="黑体"/>
        </w:rPr>
        <w:t>  </w:t>
      </w:r>
      <w:r>
        <w:rPr>
          <w:rFonts w:hint="eastAsia" w:hAnsi="黑体"/>
        </w:rPr>
        <w:t>言</w:t>
      </w:r>
      <w:bookmarkEnd w:id="4"/>
    </w:p>
    <w:p>
      <w:pPr>
        <w:pStyle w:val="19"/>
        <w:rPr>
          <w:rFonts w:hAnsi="宋体" w:eastAsia="宋体"/>
          <w:szCs w:val="21"/>
        </w:rPr>
      </w:pPr>
      <w:r>
        <w:rPr>
          <w:rFonts w:hint="eastAsia" w:hAnsi="宋体"/>
          <w:szCs w:val="21"/>
        </w:rPr>
        <w:t>本文件按照GB/T 1.1—2020《标准化工作导则  第1部分：标准化文件的结构和起草规则》的规定起草。</w:t>
      </w:r>
    </w:p>
    <w:p>
      <w:pPr>
        <w:pStyle w:val="19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本</w:t>
      </w:r>
      <w:r>
        <w:rPr>
          <w:rFonts w:hint="eastAsia" w:hAnsi="宋体" w:eastAsia="宋体"/>
          <w:szCs w:val="21"/>
        </w:rPr>
        <w:t>文件代替GB/T 10118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szCs w:val="21"/>
        </w:rPr>
        <w:t>200</w:t>
      </w:r>
      <w:r>
        <w:rPr>
          <w:rFonts w:hAnsi="宋体" w:eastAsia="宋体"/>
          <w:szCs w:val="21"/>
        </w:rPr>
        <w:t>9</w:t>
      </w:r>
      <w:r>
        <w:rPr>
          <w:rFonts w:hint="eastAsia" w:hAnsi="宋体" w:eastAsia="宋体"/>
          <w:szCs w:val="21"/>
        </w:rPr>
        <w:t>《高纯镓》，与GB/T 10118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szCs w:val="21"/>
        </w:rPr>
        <w:t>200</w:t>
      </w:r>
      <w:r>
        <w:rPr>
          <w:rFonts w:hAnsi="宋体" w:eastAsia="宋体"/>
          <w:szCs w:val="21"/>
        </w:rPr>
        <w:t>9</w:t>
      </w:r>
      <w:r>
        <w:rPr>
          <w:rFonts w:hint="eastAsia" w:hAnsi="宋体" w:eastAsia="宋体"/>
          <w:szCs w:val="21"/>
        </w:rPr>
        <w:t>相比，除结构调整和编辑性改动外，主要技术变化如下：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更改了标准的适用范围（见第1章，2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年版的第1章）；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更改了规范性引用文件（见第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年版的第1章）；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增加了术语和定义章（见第3章）；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删除了产品分类中关于牌号对应镓含量的描述（见2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</w:t>
      </w:r>
      <w:r>
        <w:rPr>
          <w:rFonts w:ascii="宋体" w:hAnsi="宋体"/>
        </w:rPr>
        <w:t>3.1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更改了高纯镓的</w:t>
      </w:r>
      <w:r>
        <w:rPr>
          <w:rFonts w:hint="eastAsia" w:ascii="宋体" w:hAnsi="宋体"/>
          <w:lang w:val="en-US" w:eastAsia="zh-CN"/>
        </w:rPr>
        <w:t>类别</w:t>
      </w:r>
      <w:r>
        <w:rPr>
          <w:rFonts w:hint="eastAsia" w:ascii="宋体" w:hAnsi="宋体"/>
        </w:rPr>
        <w:t>表示，Ga-</w:t>
      </w:r>
      <w:r>
        <w:rPr>
          <w:rFonts w:ascii="宋体" w:hAnsi="宋体"/>
        </w:rPr>
        <w:t>06</w:t>
      </w:r>
      <w:r>
        <w:rPr>
          <w:rFonts w:hint="eastAsia" w:ascii="宋体" w:hAnsi="宋体"/>
        </w:rPr>
        <w:t>改为Ga</w:t>
      </w:r>
      <w:r>
        <w:rPr>
          <w:rFonts w:ascii="宋体" w:hAnsi="宋体"/>
        </w:rPr>
        <w:t>6N</w:t>
      </w:r>
      <w:r>
        <w:rPr>
          <w:rFonts w:hint="eastAsia" w:ascii="宋体" w:hAnsi="宋体"/>
        </w:rPr>
        <w:t>、Ga-</w:t>
      </w:r>
      <w:r>
        <w:rPr>
          <w:rFonts w:ascii="宋体" w:hAnsi="宋体"/>
        </w:rPr>
        <w:t>07</w:t>
      </w:r>
      <w:r>
        <w:rPr>
          <w:rFonts w:hint="eastAsia" w:ascii="宋体" w:hAnsi="宋体"/>
        </w:rPr>
        <w:t>改为Ga</w:t>
      </w:r>
      <w:r>
        <w:rPr>
          <w:rFonts w:ascii="宋体" w:hAnsi="宋体"/>
        </w:rPr>
        <w:t>7N</w:t>
      </w:r>
      <w:r>
        <w:rPr>
          <w:rFonts w:hint="eastAsia" w:ascii="宋体" w:hAnsi="宋体"/>
        </w:rPr>
        <w:t>、M</w:t>
      </w:r>
      <w:r>
        <w:rPr>
          <w:rFonts w:ascii="宋体" w:hAnsi="宋体"/>
        </w:rPr>
        <w:t>BE</w:t>
      </w:r>
      <w:r>
        <w:rPr>
          <w:rFonts w:hint="eastAsia" w:ascii="宋体" w:hAnsi="宋体"/>
        </w:rPr>
        <w:t>级改为Ga</w:t>
      </w:r>
      <w:r>
        <w:rPr>
          <w:rFonts w:ascii="宋体" w:hAnsi="宋体"/>
        </w:rPr>
        <w:t>8N</w:t>
      </w:r>
      <w:r>
        <w:rPr>
          <w:rFonts w:hint="eastAsia" w:ascii="宋体" w:hAnsi="宋体"/>
        </w:rPr>
        <w:t>（见第3章，2</w:t>
      </w:r>
      <w:r>
        <w:rPr>
          <w:rFonts w:ascii="宋体" w:hAnsi="宋体"/>
        </w:rPr>
        <w:t>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更改了Ga</w:t>
      </w:r>
      <w:r>
        <w:rPr>
          <w:rFonts w:ascii="宋体" w:hAnsi="宋体"/>
        </w:rPr>
        <w:t>6N</w:t>
      </w:r>
      <w:r>
        <w:rPr>
          <w:rFonts w:hint="eastAsia" w:ascii="宋体" w:hAnsi="宋体"/>
        </w:rPr>
        <w:t>、Ga</w:t>
      </w:r>
      <w:r>
        <w:rPr>
          <w:rFonts w:ascii="宋体" w:hAnsi="宋体"/>
        </w:rPr>
        <w:t>7N</w:t>
      </w:r>
      <w:r>
        <w:rPr>
          <w:rFonts w:hint="eastAsia" w:ascii="宋体" w:hAnsi="宋体"/>
        </w:rPr>
        <w:t>、Ga8N高纯镓的化学成分要求（见</w:t>
      </w:r>
      <w:r>
        <w:rPr>
          <w:rFonts w:ascii="宋体" w:hAnsi="宋体"/>
        </w:rPr>
        <w:t>5.1.1</w:t>
      </w:r>
      <w:r>
        <w:rPr>
          <w:rFonts w:hint="eastAsia" w:ascii="宋体" w:hAnsi="宋体"/>
        </w:rPr>
        <w:t>,5.1.2,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更改了外观质量的要求（见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更改了化学成分的检验方法（见6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，6.2,</w:t>
      </w:r>
      <w:r>
        <w:rPr>
          <w:rFonts w:ascii="宋体" w:hAnsi="宋体"/>
        </w:rPr>
        <w:t>2009</w:t>
      </w:r>
      <w:r>
        <w:rPr>
          <w:rFonts w:hint="eastAsia" w:ascii="宋体" w:hAnsi="宋体"/>
        </w:rPr>
        <w:t>年版的</w:t>
      </w:r>
      <w:r>
        <w:rPr>
          <w:rFonts w:ascii="宋体" w:hAnsi="宋体"/>
        </w:rPr>
        <w:t>4.1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更改了检查和验收的内容（见7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更改了组批的规定（见7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增加了检验项目的内容（见7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更改了取样规定，增加了对外观质量检验的取样要求（见7</w:t>
      </w:r>
      <w:r>
        <w:rPr>
          <w:rFonts w:ascii="宋体" w:hAnsi="宋体"/>
        </w:rPr>
        <w:t>.4</w:t>
      </w:r>
      <w:r>
        <w:rPr>
          <w:rFonts w:hint="eastAsia" w:ascii="宋体" w:hAnsi="宋体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szCs w:val="21"/>
        </w:rPr>
        <w:t>更改了外观质量的检验结果判定（见7</w:t>
      </w:r>
      <w:r>
        <w:rPr>
          <w:rFonts w:ascii="宋体" w:hAnsi="宋体"/>
          <w:szCs w:val="21"/>
        </w:rPr>
        <w:t>.5.3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年版的5</w:t>
      </w:r>
      <w:r>
        <w:rPr>
          <w:rFonts w:ascii="宋体" w:hAnsi="宋体"/>
          <w:szCs w:val="21"/>
        </w:rPr>
        <w:t>.4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修改了标志的内容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修改了运输的要求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.3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质量说明书更改为随行文件，并增加了化学技术说明书及安全标签的要求</w:t>
      </w:r>
      <w:r>
        <w:rPr>
          <w:rFonts w:hint="eastAsia" w:ascii="宋体" w:hAnsi="宋体"/>
          <w:szCs w:val="21"/>
        </w:rPr>
        <w:t>（见8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年版的6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）；</w:t>
      </w:r>
    </w:p>
    <w:p>
      <w:pPr>
        <w:pStyle w:val="45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删除了资料性附录A（见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年版的附录A</w:t>
      </w:r>
      <w:r>
        <w:rPr>
          <w:rFonts w:hint="eastAsia" w:ascii="宋体" w:hAnsi="宋体"/>
        </w:rPr>
        <w:t>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本文件由全国半导体设备和材料标准化技术委员会（SAC/TC203）与全国半导体设备和材料标准化技术委员会材料分技术委员会（SAC/TC203/SC2）共同提出并归口。</w:t>
      </w:r>
    </w:p>
    <w:p>
      <w:pPr>
        <w:pStyle w:val="19"/>
        <w:rPr>
          <w:rFonts w:hAnsi="宋体"/>
        </w:rPr>
      </w:pPr>
      <w:r>
        <w:rPr>
          <w:rFonts w:hAnsi="宋体" w:eastAsia="宋体"/>
        </w:rPr>
        <w:t>本</w:t>
      </w:r>
      <w:r>
        <w:rPr>
          <w:rFonts w:hint="eastAsia" w:hAnsi="宋体" w:eastAsia="宋体"/>
        </w:rPr>
        <w:t>文件</w:t>
      </w:r>
      <w:r>
        <w:rPr>
          <w:rFonts w:hAnsi="宋体" w:eastAsia="宋体"/>
        </w:rPr>
        <w:t>起草单位：</w:t>
      </w:r>
      <w:r>
        <w:rPr>
          <w:rFonts w:hint="eastAsia" w:hAnsi="宋体" w:eastAsia="宋体"/>
        </w:rPr>
        <w:t>有研国晶辉新材料有限公司、朝阳金美镓业有限公司</w:t>
      </w:r>
      <w:r>
        <w:rPr>
          <w:rFonts w:hint="eastAsia" w:hAnsi="宋体"/>
        </w:rPr>
        <w:t>、有色金属技术经济研究院有限责任公司、东方电气（乐山）峨半高纯材料有限公司、武汉拓材科技有限公司、楚雄川至电子材料有限公司</w:t>
      </w:r>
      <w:r>
        <w:rPr>
          <w:rFonts w:hint="eastAsia" w:hAnsi="宋体"/>
          <w:lang w:eastAsia="zh-CN"/>
        </w:rPr>
        <w:t>、</w:t>
      </w:r>
      <w:r>
        <w:rPr>
          <w:rFonts w:hint="eastAsia" w:hAnsi="宋体"/>
          <w:lang w:val="en-US" w:eastAsia="zh-CN"/>
        </w:rPr>
        <w:t>株洲科能新材料股份有限公司、云南锡业集团（控股）有限责任公司</w:t>
      </w:r>
      <w:r>
        <w:rPr>
          <w:rFonts w:hint="eastAsia" w:hAnsi="宋体"/>
        </w:rPr>
        <w:t>。</w:t>
      </w:r>
    </w:p>
    <w:p>
      <w:pPr>
        <w:pStyle w:val="26"/>
        <w:ind w:firstLine="42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hint="eastAsia" w:ascii="宋体" w:hAnsi="宋体"/>
        </w:rPr>
        <w:t>文件</w:t>
      </w:r>
      <w:r>
        <w:rPr>
          <w:rFonts w:ascii="宋体" w:hAnsi="宋体"/>
        </w:rPr>
        <w:t>主要起草人：</w:t>
      </w:r>
    </w:p>
    <w:p>
      <w:pPr>
        <w:pStyle w:val="26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本文件及其所代替文件的历次版本发布情况为：</w:t>
      </w:r>
    </w:p>
    <w:p>
      <w:pPr>
        <w:ind w:left="865" w:leftChars="210" w:hanging="424" w:hangingChars="202"/>
        <w:rPr>
          <w:rFonts w:ascii="宋体" w:hAnsi="宋体"/>
          <w:szCs w:val="21"/>
        </w:rPr>
      </w:pPr>
      <w:r>
        <w:rPr>
          <w:szCs w:val="21"/>
        </w:rPr>
        <w:t>——</w:t>
      </w:r>
      <w:r>
        <w:rPr>
          <w:rFonts w:ascii="宋体" w:hAnsi="宋体"/>
          <w:szCs w:val="21"/>
        </w:rPr>
        <w:t>1988</w:t>
      </w:r>
      <w:r>
        <w:rPr>
          <w:rFonts w:hint="eastAsia" w:ascii="宋体" w:hAnsi="宋体"/>
          <w:szCs w:val="21"/>
        </w:rPr>
        <w:t>年首次发布为GB/T 10118</w:t>
      </w:r>
      <w:r>
        <w:rPr>
          <w:rFonts w:hint="eastAsia" w:hAnsi="宋体"/>
          <w:szCs w:val="21"/>
        </w:rPr>
        <w:t>—</w:t>
      </w:r>
      <w:r>
        <w:rPr>
          <w:rFonts w:ascii="宋体" w:hAnsi="宋体"/>
          <w:szCs w:val="21"/>
        </w:rPr>
        <w:t>1988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2009</w:t>
      </w:r>
      <w:r>
        <w:rPr>
          <w:rFonts w:hint="eastAsia" w:ascii="宋体" w:hAnsi="宋体"/>
          <w:szCs w:val="21"/>
        </w:rPr>
        <w:t>年第一次修订；</w:t>
      </w:r>
    </w:p>
    <w:p>
      <w:pPr>
        <w:pStyle w:val="19"/>
        <w:rPr>
          <w:rFonts w:hAnsi="宋体"/>
          <w:szCs w:val="21"/>
        </w:rPr>
      </w:pP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hAnsi="宋体"/>
          <w:szCs w:val="21"/>
        </w:rPr>
        <w:t>本次为第二次修订。</w:t>
      </w:r>
    </w:p>
    <w:p>
      <w:pPr>
        <w:pStyle w:val="19"/>
        <w:rPr>
          <w:rFonts w:hAnsi="宋体"/>
          <w:szCs w:val="21"/>
        </w:rPr>
      </w:pPr>
    </w:p>
    <w:p>
      <w:pPr>
        <w:pStyle w:val="19"/>
        <w:rPr>
          <w:rFonts w:hAnsi="宋体"/>
          <w:szCs w:val="21"/>
        </w:rPr>
      </w:pPr>
    </w:p>
    <w:p>
      <w:pPr>
        <w:pStyle w:val="19"/>
        <w:rPr>
          <w:rFonts w:hAnsi="宋体"/>
          <w:szCs w:val="21"/>
        </w:rPr>
      </w:pPr>
    </w:p>
    <w:p>
      <w:pPr>
        <w:pStyle w:val="19"/>
        <w:rPr>
          <w:rFonts w:hAnsi="宋体"/>
          <w:szCs w:val="21"/>
        </w:rPr>
      </w:pPr>
    </w:p>
    <w:p>
      <w:pPr>
        <w:pStyle w:val="19"/>
        <w:ind w:firstLine="0" w:firstLineChars="0"/>
        <w:rPr>
          <w:rFonts w:ascii="Times New Roman" w:hAnsi="Times New Roman" w:eastAsia="宋体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33"/>
        <w:spacing w:before="360" w:line="240" w:lineRule="auto"/>
        <w:rPr>
          <w:rFonts w:hAnsi="黑体"/>
        </w:rPr>
      </w:pPr>
      <w:r>
        <w:rPr>
          <w:rFonts w:hint="eastAsia" w:hAnsi="黑体"/>
        </w:rPr>
        <w:t>高纯镓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范围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规定了</w:t>
      </w:r>
      <w:r>
        <w:rPr>
          <w:rFonts w:hint="eastAsia" w:ascii="宋体" w:hAnsi="宋体"/>
          <w:szCs w:val="21"/>
        </w:rPr>
        <w:t>高纯镓的技术要求、试验方法、检验规则、标志、包装、</w:t>
      </w:r>
      <w:r>
        <w:rPr>
          <w:rFonts w:hint="eastAsia" w:ascii="宋体" w:hAnsi="宋体"/>
        </w:rPr>
        <w:t>运输、贮存、随行文件及订货单内容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hint="eastAsia" w:ascii="宋体" w:hAnsi="宋体"/>
        </w:rPr>
        <w:t>适用于</w:t>
      </w:r>
      <w:r>
        <w:rPr>
          <w:rFonts w:hint="eastAsia" w:ascii="宋体" w:hAnsi="宋体"/>
          <w:lang w:val="en-US" w:eastAsia="zh-CN"/>
        </w:rPr>
        <w:t>纯度不小于99.9999%的高纯镓的生产、检测及质量评价</w:t>
      </w:r>
      <w:r>
        <w:rPr>
          <w:rFonts w:hint="eastAsia" w:ascii="宋体" w:hAnsi="宋体"/>
        </w:rPr>
        <w:t>。产品主要用于制备化合物半导体、高纯合金以及半导体材料的掺杂等。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规范性引用文件</w:t>
      </w:r>
    </w:p>
    <w:p>
      <w:pPr>
        <w:pStyle w:val="19"/>
        <w:rPr>
          <w:rFonts w:hint="eastAsia" w:hAnsi="宋体" w:eastAsia="宋体"/>
        </w:rPr>
      </w:pPr>
      <w:r>
        <w:rPr>
          <w:rFonts w:hAnsi="宋体" w:eastAsia="宋体"/>
        </w:rPr>
        <w:t>下列文件</w:t>
      </w:r>
      <w:r>
        <w:rPr>
          <w:rFonts w:hint="eastAsia" w:hAnsi="宋体" w:eastAsia="宋体"/>
        </w:rPr>
        <w:t>中的内容通过文中的规范性引用而构成本文件必不可少的条款</w:t>
      </w:r>
      <w:r>
        <w:rPr>
          <w:rFonts w:hAnsi="宋体" w:eastAsia="宋体"/>
        </w:rPr>
        <w:t>。</w:t>
      </w:r>
      <w:r>
        <w:rPr>
          <w:rFonts w:hint="eastAsia" w:hAnsi="宋体" w:eastAsia="宋体"/>
        </w:rPr>
        <w:t>其中，注日期的引用文件，仅该日期对应的版本适用于本文件；不注日期的引用文件，其最新版本（包括所有的修改单）适用于本文件。</w:t>
      </w:r>
    </w:p>
    <w:p>
      <w:pPr>
        <w:pStyle w:val="19"/>
        <w:rPr>
          <w:rFonts w:hint="eastAsia" w:hAnsi="宋体" w:eastAsia="宋体"/>
        </w:rPr>
      </w:pPr>
      <w:r>
        <w:rPr>
          <w:rFonts w:hint="eastAsia" w:hAnsi="宋体" w:eastAsia="宋体"/>
        </w:rPr>
        <w:t xml:space="preserve">GB/T </w:t>
      </w:r>
      <w:r>
        <w:rPr>
          <w:rFonts w:hAnsi="宋体" w:eastAsia="宋体"/>
        </w:rPr>
        <w:t>8170</w:t>
      </w:r>
      <w:r>
        <w:rPr>
          <w:rFonts w:hint="eastAsia" w:hAnsi="宋体" w:eastAsia="宋体"/>
        </w:rPr>
        <w:t xml:space="preserve">  数值修约规则与极限数值的表示和判定</w:t>
      </w:r>
    </w:p>
    <w:p>
      <w:pPr>
        <w:pStyle w:val="19"/>
        <w:rPr>
          <w:rFonts w:hint="eastAsia" w:hAnsi="宋体" w:eastAsia="宋体"/>
          <w:lang w:val="en-US" w:eastAsia="zh-CN"/>
        </w:rPr>
      </w:pPr>
      <w:r>
        <w:rPr>
          <w:rFonts w:hint="eastAsia" w:hAnsi="宋体" w:eastAsia="宋体"/>
          <w:lang w:val="en-US" w:eastAsia="zh-CN"/>
        </w:rPr>
        <w:t>GB12463    危险货物运输包装通用技术条件</w:t>
      </w:r>
    </w:p>
    <w:p>
      <w:pPr>
        <w:pStyle w:val="19"/>
        <w:rPr>
          <w:rFonts w:hAnsi="宋体" w:eastAsia="宋体"/>
        </w:rPr>
      </w:pPr>
      <w:r>
        <w:rPr>
          <w:rFonts w:hint="eastAsia" w:hAnsi="宋体" w:eastAsia="宋体"/>
        </w:rPr>
        <w:t>GB/T15248  化学品安全标签编写规定</w:t>
      </w:r>
    </w:p>
    <w:p>
      <w:pPr>
        <w:pStyle w:val="19"/>
        <w:rPr>
          <w:rFonts w:hint="default" w:hAnsi="宋体" w:eastAsia="宋体"/>
          <w:lang w:val="en-US" w:eastAsia="zh-CN"/>
        </w:rPr>
      </w:pPr>
      <w:r>
        <w:rPr>
          <w:rFonts w:hint="eastAsia" w:hAnsi="宋体" w:eastAsia="宋体"/>
        </w:rPr>
        <w:t>GB/T16483  化学品安全技术说明书内容和项目顺序</w:t>
      </w:r>
    </w:p>
    <w:p>
      <w:pPr>
        <w:pStyle w:val="19"/>
        <w:rPr>
          <w:rFonts w:hint="eastAsia" w:hAnsi="宋体" w:eastAsia="宋体"/>
          <w:lang w:val="en-US" w:eastAsia="zh-CN"/>
        </w:rPr>
      </w:pPr>
      <w:r>
        <w:rPr>
          <w:rFonts w:hAnsi="宋体" w:eastAsia="宋体"/>
        </w:rPr>
        <w:t>YS/T38</w:t>
      </w:r>
      <w:r>
        <w:rPr>
          <w:rFonts w:hint="eastAsia" w:hAnsi="宋体" w:eastAsia="宋体"/>
          <w:lang w:val="en-US" w:eastAsia="zh-CN"/>
        </w:rPr>
        <w:t xml:space="preserve">  </w:t>
      </w:r>
      <w:r>
        <w:rPr>
          <w:rFonts w:hint="eastAsia" w:hAnsi="宋体" w:eastAsia="宋体"/>
        </w:rPr>
        <w:t xml:space="preserve">  </w:t>
      </w:r>
      <w:r>
        <w:rPr>
          <w:rFonts w:hint="eastAsia" w:hAnsi="宋体" w:eastAsia="宋体"/>
          <w:lang w:val="en-US" w:eastAsia="zh-CN"/>
        </w:rPr>
        <w:t xml:space="preserve"> </w:t>
      </w:r>
      <w:r>
        <w:rPr>
          <w:rFonts w:hint="eastAsia" w:hAnsi="宋体" w:eastAsia="宋体"/>
        </w:rPr>
        <w:t>高纯镓化学分析方法</w:t>
      </w:r>
      <w:r>
        <w:rPr>
          <w:rFonts w:hint="eastAsia" w:hAnsi="宋体" w:eastAsia="宋体"/>
          <w:lang w:val="en-US" w:eastAsia="zh-CN"/>
        </w:rPr>
        <w:t xml:space="preserve"> 第3部分：痕量元素杂质含量的测定 辉光放电质谱法</w:t>
      </w:r>
    </w:p>
    <w:p>
      <w:pPr>
        <w:pStyle w:val="19"/>
        <w:rPr>
          <w:rFonts w:hint="default" w:hAnsi="宋体" w:eastAsia="宋体"/>
          <w:lang w:val="en-US" w:eastAsia="zh-CN"/>
        </w:rPr>
      </w:pPr>
      <w:r>
        <w:rPr>
          <w:rFonts w:hint="eastAsia" w:hAnsi="宋体" w:eastAsia="宋体"/>
          <w:lang w:val="en-US" w:eastAsia="zh-CN"/>
        </w:rPr>
        <w:t>YS/T474    高纯镓化学分析方法 痕量元素的测定 电感耦合等离子体质谱法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术语和定义</w:t>
      </w:r>
    </w:p>
    <w:p>
      <w:pPr>
        <w:pStyle w:val="19"/>
      </w:pPr>
      <w:r>
        <w:rPr>
          <w:rFonts w:hint="eastAsia" w:hAnsi="宋体" w:eastAsia="宋体"/>
        </w:rPr>
        <w:t>本文件没有需要界定的术语和定义。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  <w:lang w:val="en-US" w:eastAsia="zh-CN"/>
        </w:rPr>
        <w:t>分类</w:t>
      </w:r>
    </w:p>
    <w:p>
      <w:pPr>
        <w:pStyle w:val="22"/>
        <w:tabs>
          <w:tab w:val="clear" w:pos="760"/>
        </w:tabs>
        <w:ind w:left="420" w:leftChars="200" w:firstLine="0"/>
        <w:jc w:val="both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高纯镓按照</w:t>
      </w:r>
      <w:r>
        <w:rPr>
          <w:rFonts w:hint="eastAsia" w:ascii="Times New Roman" w:eastAsia="宋体"/>
          <w:lang w:val="en-US" w:eastAsia="zh-CN"/>
        </w:rPr>
        <w:t>纯度</w:t>
      </w:r>
      <w:r>
        <w:rPr>
          <w:rFonts w:hint="eastAsia" w:ascii="Times New Roman" w:eastAsia="宋体"/>
        </w:rPr>
        <w:t>分为</w:t>
      </w:r>
      <w:r>
        <w:rPr>
          <w:rFonts w:hint="eastAsia" w:asciiTheme="majorEastAsia" w:hAnsiTheme="majorEastAsia" w:eastAsiaTheme="majorEastAsia"/>
        </w:rPr>
        <w:t>Ga</w:t>
      </w:r>
      <w:r>
        <w:rPr>
          <w:rFonts w:asciiTheme="majorEastAsia" w:hAnsiTheme="majorEastAsia" w:eastAsiaTheme="majorEastAsia"/>
        </w:rPr>
        <w:t>6N</w:t>
      </w:r>
      <w:r>
        <w:rPr>
          <w:rFonts w:hint="eastAsia" w:asciiTheme="majorEastAsia" w:hAnsiTheme="majorEastAsia" w:eastAsiaTheme="majorEastAsia"/>
        </w:rPr>
        <w:t>、Ga</w:t>
      </w:r>
      <w:r>
        <w:rPr>
          <w:rFonts w:asciiTheme="majorEastAsia" w:hAnsiTheme="majorEastAsia" w:eastAsiaTheme="majorEastAsia"/>
        </w:rPr>
        <w:t>7N</w:t>
      </w:r>
      <w:r>
        <w:rPr>
          <w:rFonts w:hint="eastAsia" w:asciiTheme="majorEastAsia" w:hAnsiTheme="majorEastAsia" w:eastAsiaTheme="majorEastAsia"/>
        </w:rPr>
        <w:t>、Ga</w:t>
      </w:r>
      <w:r>
        <w:rPr>
          <w:rFonts w:asciiTheme="majorEastAsia" w:hAnsiTheme="majorEastAsia" w:eastAsiaTheme="majorEastAsia"/>
        </w:rPr>
        <w:t>8N</w:t>
      </w:r>
      <w:r>
        <w:rPr>
          <w:rFonts w:hint="eastAsia" w:ascii="Times New Roman" w:eastAsia="宋体"/>
        </w:rPr>
        <w:t>三个</w:t>
      </w:r>
      <w:r>
        <w:rPr>
          <w:rFonts w:hint="eastAsia" w:ascii="Times New Roman" w:eastAsia="宋体"/>
          <w:lang w:val="en-US" w:eastAsia="zh-CN"/>
        </w:rPr>
        <w:t>类别</w:t>
      </w:r>
      <w:r>
        <w:rPr>
          <w:rFonts w:hint="eastAsia" w:ascii="Times New Roman" w:eastAsia="宋体"/>
        </w:rPr>
        <w:t>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技术要求</w:t>
      </w:r>
    </w:p>
    <w:p>
      <w:pPr>
        <w:pStyle w:val="22"/>
        <w:numPr>
          <w:ilvl w:val="1"/>
          <w:numId w:val="4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化学成分</w:t>
      </w:r>
    </w:p>
    <w:p>
      <w:pPr>
        <w:pStyle w:val="22"/>
        <w:tabs>
          <w:tab w:val="clear" w:pos="760"/>
        </w:tabs>
        <w:ind w:left="0" w:firstLine="0"/>
        <w:jc w:val="both"/>
        <w:outlineLvl w:val="9"/>
      </w:pPr>
      <w:r>
        <w:rPr>
          <w:rFonts w:hAnsi="黑体"/>
        </w:rPr>
        <w:t>5.1.1</w:t>
      </w:r>
      <w:r>
        <w:rPr>
          <w:rFonts w:asciiTheme="majorEastAsia" w:hAnsiTheme="majorEastAsia" w:eastAsiaTheme="majorEastAsia"/>
        </w:rPr>
        <w:t xml:space="preserve">  </w:t>
      </w:r>
      <w:r>
        <w:rPr>
          <w:rFonts w:hint="eastAsia" w:asciiTheme="minorEastAsia" w:hAnsiTheme="minorEastAsia" w:eastAsiaTheme="minorEastAsia"/>
        </w:rPr>
        <w:t>Ga</w:t>
      </w:r>
      <w:r>
        <w:rPr>
          <w:rFonts w:asciiTheme="minorEastAsia" w:hAnsiTheme="minorEastAsia" w:eastAsiaTheme="minorEastAsia"/>
        </w:rPr>
        <w:t>6N</w:t>
      </w:r>
      <w:r>
        <w:rPr>
          <w:rFonts w:hint="eastAsia" w:asciiTheme="minorEastAsia" w:hAnsiTheme="minorEastAsia" w:eastAsiaTheme="minorEastAsia"/>
        </w:rPr>
        <w:t>、Ga</w:t>
      </w:r>
      <w:r>
        <w:rPr>
          <w:rFonts w:asciiTheme="minorEastAsia" w:hAnsiTheme="minorEastAsia" w:eastAsiaTheme="minorEastAsia"/>
        </w:rPr>
        <w:t>7N</w:t>
      </w:r>
      <w:r>
        <w:rPr>
          <w:rFonts w:hint="eastAsia" w:asciiTheme="minorEastAsia" w:hAnsiTheme="minorEastAsia" w:eastAsiaTheme="minorEastAsia"/>
        </w:rPr>
        <w:t>高纯镓的化学成分应符合表1的规定。</w:t>
      </w:r>
    </w:p>
    <w:p>
      <w:pPr>
        <w:pStyle w:val="19"/>
        <w:spacing w:before="156" w:beforeLines="50" w:after="156" w:afterLines="50"/>
        <w:ind w:firstLine="3150" w:firstLineChars="150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表1 Ga6N、Ga7N高纯镓的化学成分</w:t>
      </w:r>
    </w:p>
    <w:tbl>
      <w:tblPr>
        <w:tblStyle w:val="11"/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3112"/>
        <w:gridCol w:w="311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Ga6N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Ga7N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Ga（质量分数），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%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不小于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99.99999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杂质含量，ng/g</w:t>
            </w:r>
          </w:p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Na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</w:tbl>
    <w:p>
      <w:pPr>
        <w:pStyle w:val="19"/>
        <w:spacing w:before="156" w:beforeLines="50" w:after="156" w:afterLines="50"/>
        <w:ind w:firstLine="0" w:firstLineChars="0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表1（续）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37"/>
        <w:gridCol w:w="3112"/>
        <w:gridCol w:w="3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牌号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Ga6N</w:t>
            </w:r>
          </w:p>
        </w:tc>
        <w:tc>
          <w:tcPr>
            <w:tcW w:w="31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Ga7N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31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Ga（质量分数），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%</w:t>
            </w: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不小于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99.9999</w:t>
            </w:r>
          </w:p>
        </w:tc>
        <w:tc>
          <w:tcPr>
            <w:tcW w:w="3112" w:type="dxa"/>
            <w:tcBorders>
              <w:top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99.99999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杂质含量，ng/g</w:t>
            </w:r>
          </w:p>
          <w:p>
            <w:pPr>
              <w:pStyle w:val="19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不大于</w:t>
            </w:r>
          </w:p>
        </w:tc>
        <w:tc>
          <w:tcPr>
            <w:tcW w:w="1037" w:type="dxa"/>
            <w:tcBorders>
              <w:bottom w:val="single" w:color="000000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3112" w:type="dxa"/>
            <w:tcBorders>
              <w:bottom w:val="single" w:color="000000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tcBorders>
              <w:bottom w:val="single" w:color="000000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Al</w:t>
            </w:r>
          </w:p>
        </w:tc>
        <w:tc>
          <w:tcPr>
            <w:tcW w:w="3112" w:type="dxa"/>
            <w:tcBorders>
              <w:top w:val="single" w:color="000000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tcBorders>
              <w:top w:val="single" w:color="000000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Si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3112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K</w:t>
            </w:r>
          </w:p>
        </w:tc>
        <w:tc>
          <w:tcPr>
            <w:tcW w:w="3112" w:type="dxa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Ca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Cr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Fe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Ni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18"/>
                <w:szCs w:val="18"/>
                <w:lang w:val="en-US" w:eastAsia="zh-CN"/>
              </w:rPr>
              <w:t>u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Zn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18"/>
                <w:szCs w:val="18"/>
                <w:lang w:val="en-US" w:eastAsia="zh-CN"/>
              </w:rPr>
              <w:t>As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In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Sn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Hg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Pb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总含量</w:t>
            </w:r>
          </w:p>
        </w:tc>
        <w:tc>
          <w:tcPr>
            <w:tcW w:w="3112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1000</w:t>
            </w:r>
          </w:p>
        </w:tc>
        <w:tc>
          <w:tcPr>
            <w:tcW w:w="3112" w:type="dxa"/>
            <w:tcBorders>
              <w:bottom w:val="single" w:color="auto" w:sz="8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3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9"/>
              <w:ind w:firstLine="360"/>
              <w:jc w:val="left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注1：表中镓含量为100%减去表中杂质（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不含C、N、O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）总和的差值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pStyle w:val="19"/>
              <w:ind w:firstLine="360"/>
              <w:jc w:val="left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注2：杂质总和为包括且不限于表中所列杂质元素实测值之和。</w:t>
            </w:r>
          </w:p>
          <w:p>
            <w:pPr>
              <w:pStyle w:val="19"/>
              <w:ind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注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：表中未列的其他杂质元素，由供需双方协商确定。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35" w:type="dxa"/>
            <w:gridSpan w:val="4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19"/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表中杂质含量数值修约按GB/T8170的有关规定进行</w:t>
            </w:r>
          </w:p>
        </w:tc>
      </w:tr>
    </w:tbl>
    <w:p>
      <w:pPr>
        <w:pStyle w:val="22"/>
        <w:tabs>
          <w:tab w:val="clear" w:pos="760"/>
        </w:tabs>
        <w:ind w:left="0" w:firstLine="0"/>
        <w:jc w:val="both"/>
        <w:outlineLvl w:val="9"/>
      </w:pPr>
      <w:r>
        <w:rPr>
          <w:rFonts w:hAnsi="黑体"/>
        </w:rPr>
        <w:t>5.1.2</w:t>
      </w:r>
      <w:r>
        <w:rPr>
          <w:rFonts w:asciiTheme="majorEastAsia" w:hAnsiTheme="majorEastAsia" w:eastAsiaTheme="majorEastAsia"/>
        </w:rPr>
        <w:t xml:space="preserve">  </w:t>
      </w:r>
      <w:r>
        <w:rPr>
          <w:rFonts w:hint="eastAsia" w:asciiTheme="minorEastAsia" w:hAnsiTheme="minorEastAsia" w:eastAsiaTheme="minorEastAsia"/>
        </w:rPr>
        <w:t>Ga</w:t>
      </w:r>
      <w:r>
        <w:rPr>
          <w:rFonts w:asciiTheme="minorEastAsia" w:hAnsiTheme="minorEastAsia" w:eastAsiaTheme="minorEastAsia"/>
        </w:rPr>
        <w:t>8N</w:t>
      </w:r>
      <w:r>
        <w:rPr>
          <w:rFonts w:hint="eastAsia" w:asciiTheme="minorEastAsia" w:hAnsiTheme="minorEastAsia" w:eastAsiaTheme="minorEastAsia"/>
        </w:rPr>
        <w:t>高纯镓的化学成分应符合表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的规定。</w:t>
      </w:r>
    </w:p>
    <w:p>
      <w:pPr>
        <w:pStyle w:val="19"/>
        <w:spacing w:before="156" w:beforeLines="50" w:after="156" w:afterLines="50"/>
        <w:ind w:firstLine="0" w:firstLineChars="0"/>
        <w:jc w:val="center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</w:t>
      </w:r>
      <w:r>
        <w:rPr>
          <w:rFonts w:ascii="黑体" w:hAnsi="黑体" w:eastAsia="黑体"/>
          <w:bCs/>
        </w:rPr>
        <w:t>2</w:t>
      </w:r>
      <w:r>
        <w:rPr>
          <w:rFonts w:hint="eastAsia" w:ascii="黑体" w:hAnsi="黑体" w:eastAsia="黑体"/>
          <w:bCs/>
        </w:rPr>
        <w:t xml:space="preserve"> </w:t>
      </w:r>
      <w:r>
        <w:rPr>
          <w:rFonts w:ascii="黑体" w:hAnsi="黑体" w:eastAsia="黑体"/>
          <w:bCs/>
        </w:rPr>
        <w:t xml:space="preserve"> </w:t>
      </w:r>
      <w:r>
        <w:rPr>
          <w:rFonts w:hint="eastAsia" w:ascii="黑体" w:hAnsi="黑体" w:eastAsia="黑体"/>
        </w:rPr>
        <w:t>Ga</w:t>
      </w:r>
      <w:r>
        <w:rPr>
          <w:rFonts w:ascii="黑体" w:hAnsi="黑体" w:eastAsia="黑体"/>
        </w:rPr>
        <w:t>8N</w:t>
      </w:r>
      <w:r>
        <w:rPr>
          <w:rFonts w:hint="eastAsia" w:ascii="黑体" w:hAnsi="黑体" w:eastAsia="黑体"/>
          <w:bCs/>
        </w:rPr>
        <w:t>高纯镓的化学成分</w:t>
      </w:r>
    </w:p>
    <w:tbl>
      <w:tblPr>
        <w:tblStyle w:val="11"/>
        <w:tblW w:w="933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30"/>
        <w:gridCol w:w="1461"/>
        <w:gridCol w:w="1861"/>
        <w:gridCol w:w="113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Ga8N</w:t>
            </w:r>
          </w:p>
        </w:tc>
        <w:tc>
          <w:tcPr>
            <w:tcW w:w="29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Ga8N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Ga(质量分数），%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99.999999</w:t>
            </w:r>
          </w:p>
        </w:tc>
        <w:tc>
          <w:tcPr>
            <w:tcW w:w="29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Ga(质量分数），%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99.999999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杂质含量，ng/g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Li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杂质含量，ng/g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Be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Mg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Al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Si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</w:tbl>
    <w:p>
      <w:pPr>
        <w:pStyle w:val="19"/>
        <w:spacing w:before="156" w:beforeLines="50" w:after="156" w:afterLines="50"/>
        <w:ind w:firstLine="0" w:firstLineChars="0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表2（续）</w:t>
      </w:r>
    </w:p>
    <w:tbl>
      <w:tblPr>
        <w:tblStyle w:val="11"/>
        <w:tblW w:w="933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30"/>
        <w:gridCol w:w="1461"/>
        <w:gridCol w:w="1861"/>
        <w:gridCol w:w="113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Ga8N</w:t>
            </w:r>
          </w:p>
        </w:tc>
        <w:tc>
          <w:tcPr>
            <w:tcW w:w="29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Ga8N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5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Ga(质量分数），%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99.999999</w:t>
            </w:r>
          </w:p>
        </w:tc>
        <w:tc>
          <w:tcPr>
            <w:tcW w:w="29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Ga(质量分数），%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99.999999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杂质含量，ng/g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杂质含量，ng/g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La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Ca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&lt;3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Sc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Ti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V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Cr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Mn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Fe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Ho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Ni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Cu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Zn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&lt;3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Ga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Matrix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Ge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Source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Se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Br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Os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Rb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Ir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Sr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&lt;10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&lt;50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Zr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Nb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Mo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Pb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Ru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Rh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&lt;50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Pd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&lt;50</w:t>
            </w:r>
          </w:p>
        </w:tc>
        <w:tc>
          <w:tcPr>
            <w:tcW w:w="186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bidi="ar"/>
              </w:rPr>
              <w:t>&lt;1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3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="等线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等线"/>
                <w:color w:val="000000"/>
                <w:kern w:val="0"/>
                <w:sz w:val="18"/>
                <w:szCs w:val="18"/>
                <w:lang w:val="en-US" w:eastAsia="zh-CN" w:bidi="ar"/>
              </w:rPr>
              <w:t>注：表中所列数值为辉光放电质谱法测量的极限值。</w:t>
            </w:r>
          </w:p>
        </w:tc>
      </w:tr>
    </w:tbl>
    <w:p>
      <w:pPr>
        <w:pStyle w:val="19"/>
        <w:spacing w:before="156" w:beforeLines="50" w:after="156" w:afterLines="50"/>
        <w:ind w:firstLine="0" w:firstLineChars="0"/>
        <w:rPr>
          <w:rFonts w:ascii="黑体" w:hAnsi="黑体" w:eastAsia="黑体"/>
          <w:bCs/>
        </w:rPr>
      </w:pPr>
    </w:p>
    <w:p>
      <w:pPr>
        <w:pStyle w:val="22"/>
        <w:numPr>
          <w:ilvl w:val="1"/>
          <w:numId w:val="4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外观质量</w:t>
      </w:r>
    </w:p>
    <w:p>
      <w:pPr>
        <w:pStyle w:val="19"/>
        <w:rPr>
          <w:rFonts w:ascii="黑体" w:hAnsi="黑体" w:eastAsia="黑体" w:cs="黑体"/>
        </w:rPr>
      </w:pPr>
      <w:r>
        <w:rPr>
          <w:rFonts w:hint="eastAsia" w:ascii="Times New Roman" w:eastAsia="宋体"/>
        </w:rPr>
        <w:t>高纯镓通常以固态出厂，固态产品呈蓝白色，表面具有金属光泽，无氧化色斑及夹杂物。</w:t>
      </w:r>
    </w:p>
    <w:p>
      <w:pPr>
        <w:pStyle w:val="22"/>
        <w:numPr>
          <w:ilvl w:val="1"/>
          <w:numId w:val="4"/>
        </w:numPr>
      </w:pPr>
      <w:r>
        <w:rPr>
          <w:rFonts w:hint="eastAsia"/>
        </w:rPr>
        <w:t>其他</w:t>
      </w:r>
    </w:p>
    <w:p>
      <w:pPr>
        <w:pStyle w:val="19"/>
      </w:pPr>
      <w:r>
        <w:rPr>
          <w:rFonts w:hint="eastAsia"/>
        </w:rPr>
        <w:t>需方如对高纯镓有特殊要求时，由供需双方协商确定</w:t>
      </w:r>
      <w:r>
        <w:t>。</w:t>
      </w:r>
    </w:p>
    <w:p>
      <w:pPr>
        <w:pStyle w:val="37"/>
        <w:numPr>
          <w:ilvl w:val="0"/>
          <w:numId w:val="4"/>
        </w:numPr>
        <w:rPr>
          <w:rFonts w:asciiTheme="majorEastAsia" w:hAnsiTheme="majorEastAsia" w:eastAsiaTheme="majorEastAsia"/>
          <w:szCs w:val="21"/>
        </w:rPr>
      </w:pPr>
      <w:r>
        <w:rPr>
          <w:rFonts w:hint="eastAsia" w:hAnsi="黑体"/>
        </w:rPr>
        <w:t>试验方法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  <w:lang w:val="en-US" w:eastAsia="zh-CN"/>
        </w:rPr>
        <w:t>Ga6N高纯镓化学成分测定按YS/T474的规定进行，如需仲裁按YS/T38第3部分的规定进行。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  <w:lang w:val="en-US" w:eastAsia="zh-CN"/>
        </w:rPr>
        <w:t>Ga7N、Ga8N</w:t>
      </w:r>
      <w:r>
        <w:rPr>
          <w:rFonts w:hint="eastAsia" w:ascii="宋体" w:hAnsi="宋体"/>
        </w:rPr>
        <w:t>高纯镓的化学成分</w:t>
      </w:r>
      <w:r>
        <w:rPr>
          <w:rFonts w:hint="eastAsia" w:ascii="宋体" w:hAnsi="宋体"/>
          <w:lang w:val="en-US" w:eastAsia="zh-CN"/>
        </w:rPr>
        <w:t>测定</w:t>
      </w:r>
      <w:r>
        <w:rPr>
          <w:rFonts w:hint="eastAsia" w:ascii="宋体" w:hAnsi="宋体"/>
        </w:rPr>
        <w:t>按</w:t>
      </w:r>
      <w:r>
        <w:rPr>
          <w:rFonts w:ascii="宋体" w:hAnsi="宋体"/>
        </w:rPr>
        <w:t>YS/T</w:t>
      </w:r>
      <w:r>
        <w:rPr>
          <w:rFonts w:hint="eastAsia" w:ascii="宋体" w:hAnsi="宋体"/>
          <w:lang w:val="en-US" w:eastAsia="zh-CN"/>
        </w:rPr>
        <w:t>38 第3部分的规定进行。</w:t>
      </w:r>
    </w:p>
    <w:p>
      <w:pPr>
        <w:pStyle w:val="45"/>
        <w:numPr>
          <w:ilvl w:val="1"/>
          <w:numId w:val="4"/>
        </w:numPr>
        <w:ind w:firstLineChars="0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="宋体" w:hAnsi="宋体"/>
        </w:rPr>
        <w:t>高纯镓的外观质量检查在良好的照明下目视进行。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检验规则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检查和验收</w:t>
      </w:r>
    </w:p>
    <w:p>
      <w:bookmarkStart w:id="5" w:name="DW"/>
      <w:bookmarkEnd w:id="5"/>
      <w:r>
        <w:rPr>
          <w:rFonts w:ascii="黑体" w:hAnsi="黑体" w:eastAsia="黑体"/>
        </w:rPr>
        <w:t>7.1.1</w:t>
      </w:r>
      <w:r>
        <w:t xml:space="preserve">  </w:t>
      </w:r>
      <w:r>
        <w:rPr>
          <w:rFonts w:hint="eastAsia"/>
        </w:rPr>
        <w:t>产品由供方或第三方进行检验，保证产品质量符合本文件及订货单的规定。</w:t>
      </w:r>
    </w:p>
    <w:p>
      <w:r>
        <w:rPr>
          <w:rFonts w:ascii="黑体" w:hAnsi="黑体" w:eastAsia="黑体"/>
        </w:rPr>
        <w:t>7.1.2</w:t>
      </w:r>
      <w:r>
        <w:t xml:space="preserve">  </w:t>
      </w:r>
      <w:r>
        <w:rPr>
          <w:rFonts w:hint="eastAsia"/>
        </w:rPr>
        <w:t>需方可对收到的产品按照本文件的规定进行检验。如检验结果与本文件或订货单的规定不符，应以书面形式向供方提出，由供需双方协商解决。属于外观质量的异议，应在收到产品之日起</w:t>
      </w:r>
      <w:r>
        <w:rPr>
          <w:rFonts w:hint="eastAsia" w:ascii="宋体" w:hAnsi="宋体"/>
        </w:rPr>
        <w:t>1个月内提出，属于化学成分的异议，应在收到产品之日起3个月内提出。如需仲裁，仲裁取样应由供需双方共同进行。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组批</w:t>
      </w:r>
    </w:p>
    <w:p>
      <w:pPr>
        <w:pStyle w:val="19"/>
      </w:pPr>
      <w:r>
        <w:rPr>
          <w:rFonts w:hint="eastAsia"/>
        </w:rPr>
        <w:t>产品应成批提交验收，每批应由同一牌号、同一生产方法、同一生产周期的产品组成。连续生产的每批总量不超过1000</w:t>
      </w:r>
      <w:r>
        <w:t>kg</w:t>
      </w:r>
      <w:r>
        <w:rPr>
          <w:rFonts w:hint="eastAsia"/>
        </w:rPr>
        <w:t>，间断生产的每批总量不超过100</w:t>
      </w:r>
      <w:r>
        <w:t>kg</w:t>
      </w:r>
      <w:r>
        <w:rPr>
          <w:rFonts w:hint="eastAsia"/>
        </w:rPr>
        <w:t>。</w:t>
      </w:r>
    </w:p>
    <w:p>
      <w:pPr>
        <w:pStyle w:val="22"/>
        <w:numPr>
          <w:ilvl w:val="1"/>
          <w:numId w:val="4"/>
        </w:numPr>
        <w:rPr>
          <w:rFonts w:hAnsi="黑体"/>
          <w:iCs/>
        </w:rPr>
      </w:pPr>
      <w:r>
        <w:rPr>
          <w:rFonts w:hint="eastAsia" w:hAnsi="黑体"/>
          <w:iCs/>
        </w:rPr>
        <w:t>检验项目</w:t>
      </w:r>
    </w:p>
    <w:p>
      <w:pPr>
        <w:pStyle w:val="19"/>
      </w:pPr>
      <w:r>
        <w:rPr>
          <w:rFonts w:hint="eastAsia"/>
        </w:rPr>
        <w:t>每批产品应对化学成分、外观质量进行检验。</w:t>
      </w:r>
    </w:p>
    <w:p>
      <w:pPr>
        <w:pStyle w:val="22"/>
        <w:numPr>
          <w:ilvl w:val="1"/>
          <w:numId w:val="4"/>
        </w:numPr>
        <w:rPr>
          <w:rFonts w:hAnsi="黑体"/>
          <w:iCs/>
        </w:rPr>
      </w:pPr>
      <w:r>
        <w:rPr>
          <w:rFonts w:hint="eastAsia" w:hAnsi="黑体"/>
          <w:iCs/>
        </w:rPr>
        <w:t>取样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0"/>
        <w:rPr>
          <w:rFonts w:hAnsi="黑体"/>
        </w:rPr>
      </w:pPr>
      <w:r>
        <w:rPr>
          <w:rFonts w:hint="eastAsia" w:hAnsi="黑体"/>
        </w:rPr>
        <w:t>7</w:t>
      </w:r>
      <w:r>
        <w:rPr>
          <w:rFonts w:hAnsi="黑体"/>
        </w:rPr>
        <w:t xml:space="preserve">.4.1  </w:t>
      </w:r>
      <w:r>
        <w:rPr>
          <w:rFonts w:hint="eastAsia" w:ascii="宋体" w:hAnsi="宋体" w:eastAsia="宋体" w:cs="宋体"/>
        </w:rPr>
        <w:t>产品取样按如下规定进行，</w:t>
      </w:r>
      <w:r>
        <w:rPr>
          <w:rFonts w:hint="eastAsia" w:ascii="宋体" w:hAnsi="宋体" w:eastAsia="宋体"/>
          <w:kern w:val="2"/>
          <w:szCs w:val="24"/>
        </w:rPr>
        <w:t>从每批产品中任取5个包装单元，分别将产品融化后，剥开表层用玻璃管取等量试样，每个包装单元取5</w:t>
      </w:r>
      <w:r>
        <w:rPr>
          <w:rFonts w:ascii="宋体" w:hAnsi="宋体" w:eastAsia="宋体"/>
          <w:kern w:val="2"/>
          <w:szCs w:val="24"/>
        </w:rPr>
        <w:t xml:space="preserve"> </w:t>
      </w:r>
      <w:r>
        <w:rPr>
          <w:rFonts w:hint="eastAsia" w:ascii="宋体" w:hAnsi="宋体" w:eastAsia="宋体"/>
          <w:kern w:val="2"/>
          <w:szCs w:val="24"/>
        </w:rPr>
        <w:t>g～10</w:t>
      </w:r>
      <w:r>
        <w:rPr>
          <w:rFonts w:ascii="宋体" w:hAnsi="宋体" w:eastAsia="宋体"/>
          <w:kern w:val="2"/>
          <w:szCs w:val="24"/>
        </w:rPr>
        <w:t xml:space="preserve"> </w:t>
      </w:r>
      <w:r>
        <w:rPr>
          <w:rFonts w:hint="eastAsia" w:ascii="宋体" w:hAnsi="宋体" w:eastAsia="宋体"/>
          <w:kern w:val="2"/>
          <w:szCs w:val="24"/>
        </w:rPr>
        <w:t>g，然后混合均匀后进行取样。</w:t>
      </w:r>
    </w:p>
    <w:p>
      <w:pPr>
        <w:pStyle w:val="19"/>
        <w:ind w:firstLine="0" w:firstLineChars="0"/>
        <w:rPr>
          <w:rFonts w:hAnsi="宋体" w:eastAsia="宋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.4.2</w:t>
      </w:r>
      <w:r>
        <w:rPr>
          <w:rFonts w:hAnsi="宋体" w:eastAsia="宋体"/>
        </w:rPr>
        <w:t xml:space="preserve">  </w:t>
      </w:r>
      <w:r>
        <w:rPr>
          <w:rFonts w:hint="eastAsia" w:hAnsi="宋体" w:eastAsia="宋体"/>
        </w:rPr>
        <w:t>外观质量检验逐个最小包装单元进行。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检验结果的判定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0"/>
        <w:rPr>
          <w:rFonts w:hAnsi="黑体"/>
        </w:rPr>
      </w:pPr>
      <w:r>
        <w:rPr>
          <w:rFonts w:hint="eastAsia" w:hAnsi="黑体"/>
        </w:rPr>
        <w:t>7</w:t>
      </w:r>
      <w:r>
        <w:rPr>
          <w:rFonts w:hAnsi="黑体"/>
        </w:rPr>
        <w:t>.5.</w:t>
      </w:r>
      <w:r>
        <w:rPr>
          <w:rFonts w:hint="eastAsia" w:hAnsi="黑体"/>
        </w:rPr>
        <w:t xml:space="preserve">1 </w:t>
      </w:r>
      <w:r>
        <w:rPr>
          <w:rFonts w:hAnsi="宋体" w:eastAsia="宋体"/>
        </w:rPr>
        <w:t xml:space="preserve"> </w:t>
      </w:r>
      <w:r>
        <w:rPr>
          <w:rFonts w:hint="eastAsia" w:ascii="宋体" w:hAnsi="宋体" w:eastAsia="宋体"/>
        </w:rPr>
        <w:t>化学成分的检验结果不合格时，判该批产品不合格。</w:t>
      </w:r>
    </w:p>
    <w:p>
      <w:pPr>
        <w:pStyle w:val="19"/>
        <w:ind w:firstLine="0" w:firstLineChars="0"/>
        <w:rPr>
          <w:rFonts w:hAnsi="宋体" w:eastAsia="宋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.5.</w:t>
      </w:r>
      <w:r>
        <w:rPr>
          <w:rFonts w:hint="eastAsia" w:ascii="黑体" w:hAnsi="黑体" w:eastAsia="黑体"/>
        </w:rPr>
        <w:t>2</w:t>
      </w:r>
      <w:r>
        <w:rPr>
          <w:rFonts w:hAnsi="宋体" w:eastAsia="宋体"/>
        </w:rPr>
        <w:t xml:space="preserve">  </w:t>
      </w:r>
      <w:r>
        <w:rPr>
          <w:rFonts w:hint="eastAsia" w:hAnsi="宋体" w:eastAsia="宋体"/>
        </w:rPr>
        <w:t>外观质量的检验结果不合格时，由供需双方协商解决。</w:t>
      </w:r>
    </w:p>
    <w:p>
      <w:pPr>
        <w:pStyle w:val="37"/>
        <w:numPr>
          <w:ilvl w:val="0"/>
          <w:numId w:val="4"/>
        </w:numPr>
        <w:rPr>
          <w:rFonts w:hAnsi="黑体"/>
        </w:rPr>
      </w:pPr>
      <w:r>
        <w:rPr>
          <w:rFonts w:hint="eastAsia" w:hAnsi="黑体"/>
        </w:rPr>
        <w:t>标志、包装、运输、贮存和随行文件</w:t>
      </w:r>
    </w:p>
    <w:p>
      <w:pPr>
        <w:pStyle w:val="22"/>
        <w:numPr>
          <w:ilvl w:val="1"/>
          <w:numId w:val="4"/>
        </w:numPr>
        <w:rPr>
          <w:rFonts w:hAnsi="黑体"/>
        </w:rPr>
      </w:pPr>
      <w:r>
        <w:rPr>
          <w:rFonts w:hint="eastAsia" w:hAnsi="黑体"/>
        </w:rPr>
        <w:t>标志</w:t>
      </w:r>
    </w:p>
    <w:p>
      <w:pPr>
        <w:pStyle w:val="22"/>
        <w:numPr>
          <w:ilvl w:val="2"/>
          <w:numId w:val="4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  <w:kern w:val="2"/>
          <w:szCs w:val="24"/>
        </w:rPr>
        <w:t>产品包装瓶外应逐个张贴标签，其上注明：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供方名称；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产品名称；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本文件编号；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牌号；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批号；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净重；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生产日期；</w:t>
      </w:r>
    </w:p>
    <w:p>
      <w:pPr>
        <w:pStyle w:val="19"/>
        <w:numPr>
          <w:ilvl w:val="0"/>
          <w:numId w:val="5"/>
        </w:numPr>
        <w:ind w:firstLineChars="0"/>
      </w:pPr>
      <w:r>
        <w:rPr>
          <w:rFonts w:hint="eastAsia"/>
        </w:rPr>
        <w:t>“禁止倒置”标志或字样。</w:t>
      </w:r>
    </w:p>
    <w:p>
      <w:pPr>
        <w:pStyle w:val="22"/>
        <w:numPr>
          <w:ilvl w:val="2"/>
          <w:numId w:val="4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产品外包装箱上应注明：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供方名称；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产品名称；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批号；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数量及重量；</w:t>
      </w:r>
    </w:p>
    <w:p>
      <w:pPr>
        <w:pStyle w:val="22"/>
        <w:numPr>
          <w:ilvl w:val="0"/>
          <w:numId w:val="6"/>
        </w:numPr>
        <w:spacing w:before="0" w:beforeLines="0" w:after="0" w:afterLines="0"/>
        <w:ind w:left="833" w:leftChars="200"/>
      </w:pPr>
      <w:r>
        <w:rPr>
          <w:rFonts w:hint="eastAsia" w:ascii="Times New Roman" w:eastAsia="宋体"/>
        </w:rPr>
        <w:t>“向上”、“禁止翻滚”“防潮”、“防晒”标志或字样；</w:t>
      </w:r>
    </w:p>
    <w:p>
      <w:pPr>
        <w:pStyle w:val="19"/>
      </w:pPr>
      <w:r>
        <w:rPr>
          <w:rFonts w:hint="eastAsia"/>
        </w:rPr>
        <w:t>f） 腐蚀性物质标签。</w:t>
      </w:r>
    </w:p>
    <w:p>
      <w:pPr>
        <w:pStyle w:val="22"/>
        <w:tabs>
          <w:tab w:val="clear" w:pos="760"/>
        </w:tabs>
        <w:ind w:left="0" w:firstLine="0"/>
      </w:pPr>
      <w:r>
        <w:rPr>
          <w:rFonts w:hint="eastAsia" w:hAnsi="黑体"/>
        </w:rPr>
        <w:t>8.2  包装</w:t>
      </w:r>
    </w:p>
    <w:p>
      <w:pPr>
        <w:numPr>
          <w:ilvl w:val="0"/>
          <w:numId w:val="7"/>
        </w:numPr>
        <w:ind w:firstLine="420" w:firstLineChars="200"/>
        <w:jc w:val="left"/>
      </w:pPr>
      <w:r>
        <w:rPr>
          <w:rFonts w:hint="eastAsia"/>
        </w:rPr>
        <w:t>产品装入洁净干燥处理</w:t>
      </w:r>
      <w:r>
        <w:rPr>
          <w:rFonts w:hint="eastAsia" w:ascii="宋体" w:hAnsi="宋体"/>
        </w:rPr>
        <w:t>过的非极性塑料瓶中，每瓶净重不超过3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kg，冷凝成固体，经充高纯惰性气体或真空封装后，置于泡沫盒中，最</w:t>
      </w:r>
      <w:r>
        <w:rPr>
          <w:rFonts w:hint="eastAsia"/>
        </w:rPr>
        <w:t>后装入包装箱内，</w:t>
      </w:r>
      <w:bookmarkStart w:id="6" w:name="_Hlk130729560"/>
      <w:r>
        <w:rPr>
          <w:rFonts w:hint="eastAsia"/>
        </w:rPr>
        <w:t>必要时可在包装箱内加</w:t>
      </w:r>
      <w:r>
        <w:rPr>
          <w:rFonts w:hint="eastAsia"/>
          <w:lang w:val="en-US" w:eastAsia="zh-CN"/>
        </w:rPr>
        <w:t>蓄冷剂</w:t>
      </w:r>
      <w:r>
        <w:rPr>
          <w:rFonts w:hint="eastAsia"/>
        </w:rPr>
        <w:t>等降温措施。</w:t>
      </w:r>
    </w:p>
    <w:bookmarkEnd w:id="6"/>
    <w:p>
      <w:pPr>
        <w:numPr>
          <w:ilvl w:val="0"/>
          <w:numId w:val="7"/>
        </w:numPr>
        <w:ind w:firstLine="420" w:firstLineChars="200"/>
        <w:jc w:val="left"/>
      </w:pPr>
      <w:r>
        <w:rPr>
          <w:rFonts w:hint="eastAsia"/>
        </w:rPr>
        <w:t>对镓锭产品，将镓锭用非极性塑料袋真空封装，然后装入塑料瓶中，充入高纯惰性气体或真空封装，</w:t>
      </w:r>
      <w:r>
        <w:rPr>
          <w:rFonts w:hint="eastAsia" w:ascii="宋体" w:hAnsi="宋体"/>
        </w:rPr>
        <w:t>置于泡沫盒中，</w:t>
      </w:r>
      <w:r>
        <w:rPr>
          <w:rFonts w:hint="eastAsia"/>
        </w:rPr>
        <w:t>最后装入包装箱内，必要时可在包装箱内加</w:t>
      </w:r>
      <w:r>
        <w:rPr>
          <w:rFonts w:hint="eastAsia"/>
          <w:lang w:val="en-US" w:eastAsia="zh-CN"/>
        </w:rPr>
        <w:t>蓄冷剂</w:t>
      </w:r>
      <w:r>
        <w:rPr>
          <w:rFonts w:hint="eastAsia"/>
        </w:rPr>
        <w:t>等降温措施。镓锭尺寸供需双方协商确定。</w:t>
      </w:r>
    </w:p>
    <w:p>
      <w:pPr>
        <w:pStyle w:val="45"/>
        <w:numPr>
          <w:ilvl w:val="0"/>
          <w:numId w:val="7"/>
        </w:numPr>
        <w:ind w:firstLineChars="0"/>
      </w:pPr>
      <w:r>
        <w:rPr>
          <w:rFonts w:hint="eastAsia"/>
        </w:rPr>
        <w:t>对镓粒产品，直接装入非极性塑料瓶中，充入高纯惰性气体或真空封装，</w:t>
      </w:r>
      <w:r>
        <w:rPr>
          <w:rFonts w:hint="eastAsia" w:ascii="宋体" w:hAnsi="宋体"/>
        </w:rPr>
        <w:t>置于泡沫盒中，</w:t>
      </w:r>
      <w:r>
        <w:rPr>
          <w:rFonts w:hint="eastAsia"/>
        </w:rPr>
        <w:t>最后装入包装箱内，必要时可在包装箱内加</w:t>
      </w:r>
      <w:r>
        <w:rPr>
          <w:rFonts w:hint="eastAsia"/>
          <w:lang w:val="en-US" w:eastAsia="zh-CN"/>
        </w:rPr>
        <w:t>蓄冷剂</w:t>
      </w:r>
      <w:r>
        <w:rPr>
          <w:rFonts w:hint="eastAsia"/>
        </w:rPr>
        <w:t>等降温措施，每瓶重量供需双方协商确定。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8.3  运输</w:t>
      </w:r>
    </w:p>
    <w:p>
      <w:pPr>
        <w:ind w:firstLine="420" w:firstLineChars="200"/>
      </w:pPr>
      <w:r>
        <w:rPr>
          <w:rFonts w:hint="eastAsia"/>
        </w:rPr>
        <w:t>产品在运输过程中应防止潮湿，不准许倒置、翻滚和碰撞。</w:t>
      </w:r>
    </w:p>
    <w:p>
      <w:pPr>
        <w:pStyle w:val="22"/>
        <w:tabs>
          <w:tab w:val="clear" w:pos="760"/>
        </w:tabs>
        <w:ind w:left="0" w:firstLine="0"/>
      </w:pPr>
      <w:r>
        <w:rPr>
          <w:rFonts w:hint="eastAsia" w:hAnsi="黑体"/>
        </w:rPr>
        <w:t>8.4  贮存</w:t>
      </w:r>
    </w:p>
    <w:p>
      <w:pPr>
        <w:ind w:firstLine="420" w:firstLineChars="200"/>
      </w:pPr>
      <w:r>
        <w:rPr>
          <w:rFonts w:hint="eastAsia"/>
        </w:rPr>
        <w:t>产品应存放于清洁、干燥和无酸、碱气氛中，环境温度</w:t>
      </w:r>
      <w:r>
        <w:rPr>
          <w:rFonts w:hint="eastAsia"/>
          <w:lang w:val="en-US" w:eastAsia="zh-CN"/>
        </w:rPr>
        <w:t>不超过25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</w:rPr>
        <w:t>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/>
        </w:rPr>
        <w:t>8.5  随行文件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每批产品</w:t>
      </w:r>
      <w:r>
        <w:rPr>
          <w:rFonts w:ascii="Times New Roman" w:eastAsia="宋体"/>
        </w:rPr>
        <w:t>应附有</w:t>
      </w:r>
      <w:r>
        <w:rPr>
          <w:rFonts w:hint="eastAsia" w:ascii="Times New Roman" w:eastAsia="宋体"/>
        </w:rPr>
        <w:t>随行文件，其中除应包括供方信息、产品信息、本文件编号、生产日期或包装日期外，还宜包括：</w:t>
      </w:r>
      <w:r>
        <w:rPr>
          <w:rFonts w:ascii="Times New Roman" w:eastAsia="宋体"/>
        </w:rPr>
        <w:t xml:space="preserve"> 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a）产品质量证明书，内容如下：</w:t>
      </w:r>
    </w:p>
    <w:p>
      <w:pPr>
        <w:pStyle w:val="22"/>
        <w:numPr>
          <w:ilvl w:val="0"/>
          <w:numId w:val="8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供方名称；</w:t>
      </w:r>
    </w:p>
    <w:p>
      <w:pPr>
        <w:pStyle w:val="22"/>
        <w:numPr>
          <w:ilvl w:val="0"/>
          <w:numId w:val="8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产品名称；</w:t>
      </w:r>
    </w:p>
    <w:p>
      <w:pPr>
        <w:pStyle w:val="22"/>
        <w:numPr>
          <w:ilvl w:val="0"/>
          <w:numId w:val="8"/>
        </w:numPr>
        <w:spacing w:before="0" w:beforeLines="0" w:after="0" w:afterLine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批号；</w:t>
      </w:r>
    </w:p>
    <w:p>
      <w:pPr>
        <w:pStyle w:val="19"/>
        <w:numPr>
          <w:ilvl w:val="0"/>
          <w:numId w:val="9"/>
        </w:numPr>
        <w:ind w:firstLineChars="0"/>
      </w:pPr>
      <w:r>
        <w:rPr>
          <w:rFonts w:hint="eastAsia"/>
        </w:rPr>
        <w:t>牌号；</w:t>
      </w:r>
    </w:p>
    <w:p>
      <w:pPr>
        <w:pStyle w:val="19"/>
        <w:numPr>
          <w:ilvl w:val="0"/>
          <w:numId w:val="9"/>
        </w:numPr>
        <w:ind w:firstLineChars="0"/>
      </w:pPr>
      <w:r>
        <w:rPr>
          <w:rFonts w:hint="eastAsia"/>
        </w:rPr>
        <w:t>各项分析检验结果；</w:t>
      </w:r>
    </w:p>
    <w:p>
      <w:pPr>
        <w:pStyle w:val="19"/>
        <w:numPr>
          <w:ilvl w:val="0"/>
          <w:numId w:val="9"/>
        </w:numPr>
        <w:ind w:firstLineChars="0"/>
      </w:pPr>
      <w:r>
        <w:rPr>
          <w:rFonts w:hint="eastAsia"/>
        </w:rPr>
        <w:t>检验部门印记及检验员签章。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</w:pPr>
      <w:r>
        <w:rPr>
          <w:rFonts w:hint="eastAsia" w:ascii="宋体" w:hAnsi="宋体" w:eastAsia="宋体"/>
        </w:rPr>
        <w:t>b）高纯镓化学品安全技术说明书和安全标签，高纯镓化学品安全技术说明书应符合GB/T16483的规定要求；安全标签应符合按照GB/T15258的规定要求。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</w:pPr>
      <w:r>
        <w:rPr>
          <w:rFonts w:hint="eastAsia" w:ascii="宋体" w:hAnsi="宋体" w:eastAsia="宋体"/>
        </w:rPr>
        <w:t>c）产品使用说明：正确搬运、使用、贮存方法等。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d）其他。</w:t>
      </w:r>
    </w:p>
    <w:p>
      <w:pPr>
        <w:pStyle w:val="22"/>
        <w:tabs>
          <w:tab w:val="clear" w:pos="760"/>
        </w:tabs>
        <w:ind w:left="0" w:firstLine="0"/>
        <w:rPr>
          <w:rFonts w:hAnsi="黑体"/>
        </w:rPr>
      </w:pPr>
      <w:r>
        <w:rPr>
          <w:rFonts w:hint="eastAsia" w:hAnsi="黑体" w:cs="黑体"/>
        </w:rPr>
        <w:t xml:space="preserve">8.6  </w:t>
      </w:r>
      <w:r>
        <w:rPr>
          <w:rFonts w:hint="eastAsia" w:hAnsi="黑体"/>
        </w:rPr>
        <w:t>其他</w:t>
      </w:r>
    </w:p>
    <w:p>
      <w:pPr>
        <w:pStyle w:val="22"/>
        <w:tabs>
          <w:tab w:val="clear" w:pos="760"/>
        </w:tabs>
        <w:ind w:left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产品包装、运输、贮存应遵守</w:t>
      </w:r>
      <w:r>
        <w:rPr>
          <w:rFonts w:hint="eastAsia" w:ascii="宋体" w:hAnsi="宋体" w:eastAsia="宋体" w:cs="宋体"/>
          <w:lang w:val="en-US" w:eastAsia="zh-CN"/>
        </w:rPr>
        <w:t>GB12463</w:t>
      </w:r>
      <w:r>
        <w:rPr>
          <w:rFonts w:hint="eastAsia" w:ascii="宋体" w:hAnsi="宋体" w:eastAsia="宋体" w:cs="宋体"/>
        </w:rPr>
        <w:t>的相关规定。</w:t>
      </w:r>
    </w:p>
    <w:p>
      <w:pPr>
        <w:pStyle w:val="22"/>
        <w:tabs>
          <w:tab w:val="clear" w:pos="760"/>
        </w:tabs>
        <w:spacing w:before="312" w:beforeLines="100" w:after="312" w:afterLines="100"/>
        <w:ind w:left="0" w:firstLine="0"/>
        <w:rPr>
          <w:rFonts w:hAnsi="黑体"/>
        </w:rPr>
      </w:pPr>
      <w:r>
        <w:rPr>
          <w:rFonts w:hint="eastAsia" w:hAnsi="黑体"/>
        </w:rPr>
        <w:t>9  订货单</w:t>
      </w:r>
      <w:r>
        <w:rPr>
          <w:rFonts w:hAnsi="黑体"/>
        </w:rPr>
        <w:t>内容</w:t>
      </w:r>
    </w:p>
    <w:p>
      <w:pPr>
        <w:pStyle w:val="22"/>
        <w:tabs>
          <w:tab w:val="clear" w:pos="760"/>
        </w:tabs>
        <w:spacing w:before="0" w:beforeLines="0" w:after="0" w:afterLines="0"/>
        <w:ind w:left="0"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需方可根据自身的需要，在订购本文件</w:t>
      </w:r>
      <w:r>
        <w:rPr>
          <w:rFonts w:ascii="Times New Roman" w:eastAsia="宋体"/>
        </w:rPr>
        <w:t>所列</w:t>
      </w:r>
      <w:r>
        <w:rPr>
          <w:rFonts w:hint="eastAsia" w:ascii="Times New Roman" w:eastAsia="宋体"/>
        </w:rPr>
        <w:t>产品</w:t>
      </w:r>
      <w:r>
        <w:rPr>
          <w:rFonts w:ascii="Times New Roman" w:eastAsia="宋体"/>
        </w:rPr>
        <w:t>的订货单</w:t>
      </w:r>
      <w:r>
        <w:rPr>
          <w:rFonts w:hint="eastAsia" w:ascii="Times New Roman" w:eastAsia="宋体"/>
        </w:rPr>
        <w:t>内，列出以下</w:t>
      </w:r>
      <w:r>
        <w:rPr>
          <w:rFonts w:ascii="Times New Roman" w:eastAsia="宋体"/>
        </w:rPr>
        <w:t xml:space="preserve">内容： </w:t>
      </w:r>
    </w:p>
    <w:p>
      <w:pPr>
        <w:pStyle w:val="22"/>
        <w:numPr>
          <w:ilvl w:val="0"/>
          <w:numId w:val="10"/>
        </w:numPr>
        <w:spacing w:before="0" w:beforeLines="0" w:after="0" w:afterLines="0"/>
        <w:ind w:left="833" w:left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产品名称；</w:t>
      </w:r>
    </w:p>
    <w:p>
      <w:pPr>
        <w:pStyle w:val="19"/>
        <w:numPr>
          <w:ilvl w:val="0"/>
          <w:numId w:val="10"/>
        </w:numPr>
        <w:ind w:left="420" w:leftChars="200" w:firstLineChars="0"/>
      </w:pPr>
      <w:r>
        <w:rPr>
          <w:rFonts w:hint="eastAsia" w:hAnsi="宋体" w:eastAsia="宋体"/>
        </w:rPr>
        <w:t>牌号；</w:t>
      </w:r>
    </w:p>
    <w:p>
      <w:pPr>
        <w:pStyle w:val="22"/>
        <w:numPr>
          <w:ilvl w:val="0"/>
          <w:numId w:val="10"/>
        </w:numPr>
        <w:spacing w:before="0" w:beforeLines="0" w:after="0" w:afterLines="0"/>
        <w:ind w:left="833" w:leftChars="200"/>
      </w:pPr>
      <w:r>
        <w:rPr>
          <w:rFonts w:hint="eastAsia" w:ascii="宋体" w:hAnsi="宋体" w:eastAsia="宋体"/>
        </w:rPr>
        <w:t xml:space="preserve"> 重量；</w:t>
      </w:r>
    </w:p>
    <w:p>
      <w:pPr>
        <w:pStyle w:val="22"/>
        <w:numPr>
          <w:ilvl w:val="0"/>
          <w:numId w:val="10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宋体" w:hAnsi="宋体" w:eastAsia="宋体"/>
        </w:rPr>
        <w:t xml:space="preserve"> 本</w:t>
      </w:r>
      <w:r>
        <w:rPr>
          <w:rFonts w:hint="eastAsia" w:ascii="Times New Roman" w:eastAsia="宋体"/>
        </w:rPr>
        <w:t>文件编号；</w:t>
      </w:r>
    </w:p>
    <w:p>
      <w:pPr>
        <w:pStyle w:val="22"/>
        <w:numPr>
          <w:ilvl w:val="0"/>
          <w:numId w:val="10"/>
        </w:numPr>
        <w:spacing w:before="0" w:beforeLines="0" w:after="0" w:afterLines="0"/>
        <w:ind w:left="833" w:leftChars="200"/>
      </w:pPr>
      <w:r>
        <w:rPr>
          <w:rFonts w:hint="eastAsia" w:asciiTheme="minorEastAsia" w:hAnsiTheme="minorEastAsia" w:eastAsiaTheme="minorEastAsia"/>
        </w:rPr>
        <w:t xml:space="preserve"> 其他</w:t>
      </w:r>
    </w:p>
    <w:p>
      <w:pPr>
        <w:pStyle w:val="19"/>
      </w:pPr>
    </w:p>
    <w:p>
      <w:pPr>
        <w:pStyle w:val="19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21602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6.85pt;height:0pt;width:170.1pt;mso-position-horizontal:center;mso-position-horizontal-relative:margin;z-index:251666432;mso-width-relative:page;mso-height-relative:page;" filled="f" stroked="t" coordsize="21600,21600" o:gfxdata="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32&#10;cvDTAAAABgEAAA8AAAAAAAAAAQAgAAAAIgAAAGRycy9kb3ducmV2LnhtbFBLAQIUABQAAAAIAIdO&#10;4kD1YbcG7wEAANQDAAAOAAAAAAAAAAEAIAAAACIBAABkcnMvZTJvRG9jLnhtbFBLBQYAAAAABgAG&#10;AFkBAACD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567" w:right="1134" w:bottom="1134" w:left="1417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lear" w:pos="4154"/>
        <w:tab w:val="clear" w:pos="8306"/>
      </w:tabs>
    </w:pPr>
    <w:r>
      <w:t xml:space="preserve">GB/T </w:t>
    </w:r>
    <w:r>
      <w:rPr>
        <w:rFonts w:hint="eastAsia"/>
      </w:rPr>
      <w:t>10118</w:t>
    </w:r>
    <w:r>
      <w:t>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hAnsi="黑体"/>
      </w:rPr>
    </w:pPr>
    <w:r>
      <w:rPr>
        <w:rFonts w:hAnsi="黑体"/>
      </w:rPr>
      <w:t>GB/T 10118—XXXX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E346A"/>
    <w:multiLevelType w:val="singleLevel"/>
    <w:tmpl w:val="159E346A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B4124C4"/>
    <w:multiLevelType w:val="multilevel"/>
    <w:tmpl w:val="2B4124C4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91D2B09"/>
    <w:multiLevelType w:val="multilevel"/>
    <w:tmpl w:val="491D2B09"/>
    <w:lvl w:ilvl="0" w:tentative="0">
      <w:start w:val="1"/>
      <w:numFmt w:val="bullet"/>
      <w:lvlText w:val=""/>
      <w:lvlJc w:val="left"/>
      <w:pPr>
        <w:ind w:left="11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5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5CFC0BC9"/>
    <w:multiLevelType w:val="multilevel"/>
    <w:tmpl w:val="5CFC0BC9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5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9C44402"/>
    <w:multiLevelType w:val="multilevel"/>
    <w:tmpl w:val="69C4440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031061"/>
    <w:multiLevelType w:val="multilevel"/>
    <w:tmpl w:val="73031061"/>
    <w:lvl w:ilvl="0" w:tentative="0">
      <w:start w:val="1"/>
      <w:numFmt w:val="bullet"/>
      <w:lvlText w:val=""/>
      <w:lvlJc w:val="left"/>
      <w:pPr>
        <w:ind w:left="11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9">
    <w:nsid w:val="79482072"/>
    <w:multiLevelType w:val="multilevel"/>
    <w:tmpl w:val="7948207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YzU0ZDg0MDMwOWRhN2VhZTE4MDJkNWY5MmQwYmIifQ=="/>
  </w:docVars>
  <w:rsids>
    <w:rsidRoot w:val="006547C5"/>
    <w:rsid w:val="0000276B"/>
    <w:rsid w:val="00031230"/>
    <w:rsid w:val="000513ED"/>
    <w:rsid w:val="000514D9"/>
    <w:rsid w:val="00054168"/>
    <w:rsid w:val="00054F97"/>
    <w:rsid w:val="00056670"/>
    <w:rsid w:val="00065BB3"/>
    <w:rsid w:val="00074476"/>
    <w:rsid w:val="00093CDC"/>
    <w:rsid w:val="000B3288"/>
    <w:rsid w:val="000B35CD"/>
    <w:rsid w:val="000B7093"/>
    <w:rsid w:val="000C278F"/>
    <w:rsid w:val="000C2A36"/>
    <w:rsid w:val="000C2B8F"/>
    <w:rsid w:val="000D2005"/>
    <w:rsid w:val="000D75F4"/>
    <w:rsid w:val="000E2CF4"/>
    <w:rsid w:val="000E432A"/>
    <w:rsid w:val="000F0B2D"/>
    <w:rsid w:val="00124556"/>
    <w:rsid w:val="001250BF"/>
    <w:rsid w:val="00131B6C"/>
    <w:rsid w:val="0013728A"/>
    <w:rsid w:val="00145998"/>
    <w:rsid w:val="00152893"/>
    <w:rsid w:val="00166330"/>
    <w:rsid w:val="00166B2E"/>
    <w:rsid w:val="00184951"/>
    <w:rsid w:val="001921F6"/>
    <w:rsid w:val="00194394"/>
    <w:rsid w:val="00195445"/>
    <w:rsid w:val="001A3D67"/>
    <w:rsid w:val="001A5710"/>
    <w:rsid w:val="001B58BB"/>
    <w:rsid w:val="001C5908"/>
    <w:rsid w:val="001C5D15"/>
    <w:rsid w:val="001C679C"/>
    <w:rsid w:val="001D0F70"/>
    <w:rsid w:val="001D438E"/>
    <w:rsid w:val="001E0D7B"/>
    <w:rsid w:val="001F09E7"/>
    <w:rsid w:val="00202805"/>
    <w:rsid w:val="002031E7"/>
    <w:rsid w:val="002050C4"/>
    <w:rsid w:val="002109DE"/>
    <w:rsid w:val="00215532"/>
    <w:rsid w:val="0022195D"/>
    <w:rsid w:val="00224FD2"/>
    <w:rsid w:val="00226BC6"/>
    <w:rsid w:val="002304B7"/>
    <w:rsid w:val="00237B2F"/>
    <w:rsid w:val="00242360"/>
    <w:rsid w:val="00260541"/>
    <w:rsid w:val="00262B8B"/>
    <w:rsid w:val="002664F0"/>
    <w:rsid w:val="0028131C"/>
    <w:rsid w:val="00281E9C"/>
    <w:rsid w:val="00282312"/>
    <w:rsid w:val="00292F7C"/>
    <w:rsid w:val="00296F7C"/>
    <w:rsid w:val="0029758A"/>
    <w:rsid w:val="002A4BA5"/>
    <w:rsid w:val="002A749D"/>
    <w:rsid w:val="002B2BE2"/>
    <w:rsid w:val="002B4C7F"/>
    <w:rsid w:val="002C6C6A"/>
    <w:rsid w:val="002C7524"/>
    <w:rsid w:val="002E7E05"/>
    <w:rsid w:val="002F0A18"/>
    <w:rsid w:val="002F2FAF"/>
    <w:rsid w:val="002F700B"/>
    <w:rsid w:val="00321594"/>
    <w:rsid w:val="00331081"/>
    <w:rsid w:val="00331D92"/>
    <w:rsid w:val="003327FE"/>
    <w:rsid w:val="00337CD9"/>
    <w:rsid w:val="0034203C"/>
    <w:rsid w:val="003456CF"/>
    <w:rsid w:val="00356104"/>
    <w:rsid w:val="0036522E"/>
    <w:rsid w:val="00374ACB"/>
    <w:rsid w:val="00375C2D"/>
    <w:rsid w:val="00381791"/>
    <w:rsid w:val="003A19FB"/>
    <w:rsid w:val="003A2198"/>
    <w:rsid w:val="003A2F0A"/>
    <w:rsid w:val="003A77EF"/>
    <w:rsid w:val="003B18A3"/>
    <w:rsid w:val="003C5C8F"/>
    <w:rsid w:val="003C7544"/>
    <w:rsid w:val="003D60D5"/>
    <w:rsid w:val="00403D4A"/>
    <w:rsid w:val="00404E61"/>
    <w:rsid w:val="004109A8"/>
    <w:rsid w:val="00414556"/>
    <w:rsid w:val="00417EEC"/>
    <w:rsid w:val="00425310"/>
    <w:rsid w:val="00436915"/>
    <w:rsid w:val="004466F1"/>
    <w:rsid w:val="0045350D"/>
    <w:rsid w:val="00454E92"/>
    <w:rsid w:val="00470438"/>
    <w:rsid w:val="0047153C"/>
    <w:rsid w:val="0047313B"/>
    <w:rsid w:val="00474FF9"/>
    <w:rsid w:val="00486BC1"/>
    <w:rsid w:val="0049420C"/>
    <w:rsid w:val="00496955"/>
    <w:rsid w:val="004970B1"/>
    <w:rsid w:val="004A7CD6"/>
    <w:rsid w:val="004B27EC"/>
    <w:rsid w:val="004B3F80"/>
    <w:rsid w:val="004C226E"/>
    <w:rsid w:val="004C25D2"/>
    <w:rsid w:val="004F59B1"/>
    <w:rsid w:val="00502B6B"/>
    <w:rsid w:val="00514EA1"/>
    <w:rsid w:val="00517DA1"/>
    <w:rsid w:val="00522FCB"/>
    <w:rsid w:val="005258A3"/>
    <w:rsid w:val="005273C1"/>
    <w:rsid w:val="005337AE"/>
    <w:rsid w:val="00537848"/>
    <w:rsid w:val="005612CF"/>
    <w:rsid w:val="00565952"/>
    <w:rsid w:val="005915FC"/>
    <w:rsid w:val="00595ABA"/>
    <w:rsid w:val="005A4F59"/>
    <w:rsid w:val="005A6723"/>
    <w:rsid w:val="005B1F83"/>
    <w:rsid w:val="005B71E7"/>
    <w:rsid w:val="005D34A4"/>
    <w:rsid w:val="005D60E8"/>
    <w:rsid w:val="005E37D1"/>
    <w:rsid w:val="005F31B8"/>
    <w:rsid w:val="005F687B"/>
    <w:rsid w:val="005F7579"/>
    <w:rsid w:val="0060645B"/>
    <w:rsid w:val="00621FF3"/>
    <w:rsid w:val="006220DE"/>
    <w:rsid w:val="00636768"/>
    <w:rsid w:val="006444FF"/>
    <w:rsid w:val="006508D1"/>
    <w:rsid w:val="006547C5"/>
    <w:rsid w:val="00666EED"/>
    <w:rsid w:val="00671362"/>
    <w:rsid w:val="00672D6E"/>
    <w:rsid w:val="00680933"/>
    <w:rsid w:val="00681E39"/>
    <w:rsid w:val="006875DA"/>
    <w:rsid w:val="006912E3"/>
    <w:rsid w:val="00691C1B"/>
    <w:rsid w:val="00696088"/>
    <w:rsid w:val="006A0AB0"/>
    <w:rsid w:val="006A0C95"/>
    <w:rsid w:val="006A531E"/>
    <w:rsid w:val="006B624F"/>
    <w:rsid w:val="006C035E"/>
    <w:rsid w:val="006C07E8"/>
    <w:rsid w:val="006C1E2F"/>
    <w:rsid w:val="006C5C46"/>
    <w:rsid w:val="006C6656"/>
    <w:rsid w:val="006C7589"/>
    <w:rsid w:val="006D51A9"/>
    <w:rsid w:val="006E04A0"/>
    <w:rsid w:val="006E2AB0"/>
    <w:rsid w:val="006E4B63"/>
    <w:rsid w:val="006E740A"/>
    <w:rsid w:val="006F0858"/>
    <w:rsid w:val="006F41BB"/>
    <w:rsid w:val="006F55C2"/>
    <w:rsid w:val="0071047D"/>
    <w:rsid w:val="00740637"/>
    <w:rsid w:val="00742DC3"/>
    <w:rsid w:val="00742E05"/>
    <w:rsid w:val="00770528"/>
    <w:rsid w:val="007716A8"/>
    <w:rsid w:val="007822A8"/>
    <w:rsid w:val="007831EA"/>
    <w:rsid w:val="00783F4D"/>
    <w:rsid w:val="00790105"/>
    <w:rsid w:val="007B0416"/>
    <w:rsid w:val="007B43AB"/>
    <w:rsid w:val="007C0778"/>
    <w:rsid w:val="007C2601"/>
    <w:rsid w:val="007C3896"/>
    <w:rsid w:val="007C54C1"/>
    <w:rsid w:val="007D3442"/>
    <w:rsid w:val="007D3A92"/>
    <w:rsid w:val="007D6C0A"/>
    <w:rsid w:val="007E1F81"/>
    <w:rsid w:val="007E69BD"/>
    <w:rsid w:val="007F46FE"/>
    <w:rsid w:val="007F737A"/>
    <w:rsid w:val="00811E0C"/>
    <w:rsid w:val="00812E2B"/>
    <w:rsid w:val="00815BED"/>
    <w:rsid w:val="008208D3"/>
    <w:rsid w:val="00822D59"/>
    <w:rsid w:val="00846A26"/>
    <w:rsid w:val="00850022"/>
    <w:rsid w:val="00852F19"/>
    <w:rsid w:val="00853769"/>
    <w:rsid w:val="0085401E"/>
    <w:rsid w:val="00863B6F"/>
    <w:rsid w:val="008661DE"/>
    <w:rsid w:val="00884068"/>
    <w:rsid w:val="00891E99"/>
    <w:rsid w:val="0089205E"/>
    <w:rsid w:val="00894FF0"/>
    <w:rsid w:val="008A0E0C"/>
    <w:rsid w:val="008A72C2"/>
    <w:rsid w:val="008B1075"/>
    <w:rsid w:val="008B2750"/>
    <w:rsid w:val="008C5E06"/>
    <w:rsid w:val="008C5E51"/>
    <w:rsid w:val="008C7D3B"/>
    <w:rsid w:val="008D1636"/>
    <w:rsid w:val="008D1F4B"/>
    <w:rsid w:val="008E3380"/>
    <w:rsid w:val="008F076D"/>
    <w:rsid w:val="008F0BF3"/>
    <w:rsid w:val="008F289C"/>
    <w:rsid w:val="008F2FA8"/>
    <w:rsid w:val="008F5CC0"/>
    <w:rsid w:val="00902A1F"/>
    <w:rsid w:val="0090497C"/>
    <w:rsid w:val="009057BE"/>
    <w:rsid w:val="00910DE5"/>
    <w:rsid w:val="009279B9"/>
    <w:rsid w:val="0093261A"/>
    <w:rsid w:val="00947361"/>
    <w:rsid w:val="009523F9"/>
    <w:rsid w:val="00952CCD"/>
    <w:rsid w:val="00957B7E"/>
    <w:rsid w:val="009656A7"/>
    <w:rsid w:val="009658F6"/>
    <w:rsid w:val="009673A7"/>
    <w:rsid w:val="00980F02"/>
    <w:rsid w:val="0098548E"/>
    <w:rsid w:val="0099067B"/>
    <w:rsid w:val="0099082D"/>
    <w:rsid w:val="00990EE0"/>
    <w:rsid w:val="00992A8A"/>
    <w:rsid w:val="009C1968"/>
    <w:rsid w:val="00A0034B"/>
    <w:rsid w:val="00A0071F"/>
    <w:rsid w:val="00A01D0F"/>
    <w:rsid w:val="00A220CB"/>
    <w:rsid w:val="00A23800"/>
    <w:rsid w:val="00A30EEA"/>
    <w:rsid w:val="00A333FF"/>
    <w:rsid w:val="00A52CFD"/>
    <w:rsid w:val="00A579EC"/>
    <w:rsid w:val="00A60176"/>
    <w:rsid w:val="00A66BC3"/>
    <w:rsid w:val="00A81DBD"/>
    <w:rsid w:val="00A82302"/>
    <w:rsid w:val="00A848BB"/>
    <w:rsid w:val="00A85A4C"/>
    <w:rsid w:val="00A91A42"/>
    <w:rsid w:val="00A9363D"/>
    <w:rsid w:val="00AA078F"/>
    <w:rsid w:val="00AA10ED"/>
    <w:rsid w:val="00AA25F2"/>
    <w:rsid w:val="00AA693B"/>
    <w:rsid w:val="00AB5D06"/>
    <w:rsid w:val="00AC0B63"/>
    <w:rsid w:val="00AC2515"/>
    <w:rsid w:val="00AD02E2"/>
    <w:rsid w:val="00AD176C"/>
    <w:rsid w:val="00AE23C9"/>
    <w:rsid w:val="00AE38CA"/>
    <w:rsid w:val="00AF52FC"/>
    <w:rsid w:val="00B00FB0"/>
    <w:rsid w:val="00B03BE7"/>
    <w:rsid w:val="00B12250"/>
    <w:rsid w:val="00B12277"/>
    <w:rsid w:val="00B13DFB"/>
    <w:rsid w:val="00B15553"/>
    <w:rsid w:val="00B155B8"/>
    <w:rsid w:val="00B23F74"/>
    <w:rsid w:val="00B339F8"/>
    <w:rsid w:val="00B34433"/>
    <w:rsid w:val="00B438BE"/>
    <w:rsid w:val="00B64491"/>
    <w:rsid w:val="00B66A5E"/>
    <w:rsid w:val="00B75642"/>
    <w:rsid w:val="00B772D0"/>
    <w:rsid w:val="00B82EA8"/>
    <w:rsid w:val="00B83417"/>
    <w:rsid w:val="00B84015"/>
    <w:rsid w:val="00B86A6E"/>
    <w:rsid w:val="00B923A6"/>
    <w:rsid w:val="00B95B89"/>
    <w:rsid w:val="00B96790"/>
    <w:rsid w:val="00B9746F"/>
    <w:rsid w:val="00BA11EA"/>
    <w:rsid w:val="00BA683E"/>
    <w:rsid w:val="00BC0BCC"/>
    <w:rsid w:val="00BC188E"/>
    <w:rsid w:val="00BC720B"/>
    <w:rsid w:val="00BC7AFE"/>
    <w:rsid w:val="00BD3036"/>
    <w:rsid w:val="00BD35DA"/>
    <w:rsid w:val="00BE0256"/>
    <w:rsid w:val="00BE7663"/>
    <w:rsid w:val="00BF1CEF"/>
    <w:rsid w:val="00C053F6"/>
    <w:rsid w:val="00C36FF1"/>
    <w:rsid w:val="00C437AB"/>
    <w:rsid w:val="00C46EA1"/>
    <w:rsid w:val="00C47A79"/>
    <w:rsid w:val="00C50367"/>
    <w:rsid w:val="00C51764"/>
    <w:rsid w:val="00C6438C"/>
    <w:rsid w:val="00C71968"/>
    <w:rsid w:val="00C740DE"/>
    <w:rsid w:val="00C750B1"/>
    <w:rsid w:val="00C82E9A"/>
    <w:rsid w:val="00C95AD4"/>
    <w:rsid w:val="00CA279A"/>
    <w:rsid w:val="00CA3C1E"/>
    <w:rsid w:val="00CA4220"/>
    <w:rsid w:val="00CB0BF1"/>
    <w:rsid w:val="00CC2682"/>
    <w:rsid w:val="00CD5F10"/>
    <w:rsid w:val="00CD6FF2"/>
    <w:rsid w:val="00CD7DAD"/>
    <w:rsid w:val="00CE085D"/>
    <w:rsid w:val="00CE592F"/>
    <w:rsid w:val="00CE6425"/>
    <w:rsid w:val="00CF06CF"/>
    <w:rsid w:val="00D10799"/>
    <w:rsid w:val="00D11CC4"/>
    <w:rsid w:val="00D30411"/>
    <w:rsid w:val="00D449AE"/>
    <w:rsid w:val="00D54A28"/>
    <w:rsid w:val="00D556E6"/>
    <w:rsid w:val="00D64B77"/>
    <w:rsid w:val="00D67515"/>
    <w:rsid w:val="00D82F54"/>
    <w:rsid w:val="00D95166"/>
    <w:rsid w:val="00DB0482"/>
    <w:rsid w:val="00DC027D"/>
    <w:rsid w:val="00DD2310"/>
    <w:rsid w:val="00DD73C3"/>
    <w:rsid w:val="00DE351A"/>
    <w:rsid w:val="00DF14AD"/>
    <w:rsid w:val="00DF7E54"/>
    <w:rsid w:val="00E00CA8"/>
    <w:rsid w:val="00E01651"/>
    <w:rsid w:val="00E04F27"/>
    <w:rsid w:val="00E063CA"/>
    <w:rsid w:val="00E16A15"/>
    <w:rsid w:val="00E2154E"/>
    <w:rsid w:val="00E22343"/>
    <w:rsid w:val="00E250DE"/>
    <w:rsid w:val="00E4779D"/>
    <w:rsid w:val="00E513FF"/>
    <w:rsid w:val="00E63A67"/>
    <w:rsid w:val="00E65598"/>
    <w:rsid w:val="00E73083"/>
    <w:rsid w:val="00E904A6"/>
    <w:rsid w:val="00E906DE"/>
    <w:rsid w:val="00E90D7B"/>
    <w:rsid w:val="00EC3322"/>
    <w:rsid w:val="00EC335C"/>
    <w:rsid w:val="00EC3983"/>
    <w:rsid w:val="00EC3A78"/>
    <w:rsid w:val="00EE2CEF"/>
    <w:rsid w:val="00EE3197"/>
    <w:rsid w:val="00EF54F7"/>
    <w:rsid w:val="00F01696"/>
    <w:rsid w:val="00F07AD3"/>
    <w:rsid w:val="00F13D0A"/>
    <w:rsid w:val="00F23861"/>
    <w:rsid w:val="00F27649"/>
    <w:rsid w:val="00F316E3"/>
    <w:rsid w:val="00F44CD4"/>
    <w:rsid w:val="00F57CC4"/>
    <w:rsid w:val="00F71F37"/>
    <w:rsid w:val="00F726F5"/>
    <w:rsid w:val="00F731A9"/>
    <w:rsid w:val="00F938F9"/>
    <w:rsid w:val="00FB1E08"/>
    <w:rsid w:val="00FB2AE5"/>
    <w:rsid w:val="00FB305D"/>
    <w:rsid w:val="00FB7EF5"/>
    <w:rsid w:val="00FD2D1E"/>
    <w:rsid w:val="00FE36C8"/>
    <w:rsid w:val="00FF26A6"/>
    <w:rsid w:val="00FF49E0"/>
    <w:rsid w:val="013D6C57"/>
    <w:rsid w:val="0E755D95"/>
    <w:rsid w:val="0ECC3920"/>
    <w:rsid w:val="0F2261C4"/>
    <w:rsid w:val="1576529D"/>
    <w:rsid w:val="162D3936"/>
    <w:rsid w:val="17E43260"/>
    <w:rsid w:val="1C845FA6"/>
    <w:rsid w:val="1D54126A"/>
    <w:rsid w:val="25615AB2"/>
    <w:rsid w:val="273C3F8D"/>
    <w:rsid w:val="2B3F596D"/>
    <w:rsid w:val="2C162953"/>
    <w:rsid w:val="2F1330A9"/>
    <w:rsid w:val="32347E91"/>
    <w:rsid w:val="38364CBE"/>
    <w:rsid w:val="3E761325"/>
    <w:rsid w:val="40EA2A93"/>
    <w:rsid w:val="450A2132"/>
    <w:rsid w:val="46D6359C"/>
    <w:rsid w:val="47E26E94"/>
    <w:rsid w:val="51704755"/>
    <w:rsid w:val="5B3542C8"/>
    <w:rsid w:val="5B741FD9"/>
    <w:rsid w:val="5D855217"/>
    <w:rsid w:val="61F53E4D"/>
    <w:rsid w:val="64701DA4"/>
    <w:rsid w:val="69A06734"/>
    <w:rsid w:val="6D5C38E7"/>
    <w:rsid w:val="72B52B7D"/>
    <w:rsid w:val="7822683C"/>
    <w:rsid w:val="7FB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3"/>
    <w:unhideWhenUsed/>
    <w:qFormat/>
    <w:uiPriority w:val="0"/>
    <w:pPr>
      <w:jc w:val="left"/>
    </w:pPr>
  </w:style>
  <w:style w:type="paragraph" w:styleId="3">
    <w:name w:val="Body Text"/>
    <w:basedOn w:val="1"/>
    <w:link w:val="47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5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4"/>
    <w:qFormat/>
    <w:uiPriority w:val="0"/>
    <w:pPr>
      <w:tabs>
        <w:tab w:val="left" w:pos="2520"/>
      </w:tabs>
      <w:jc w:val="left"/>
    </w:pPr>
    <w:rPr>
      <w:sz w:val="24"/>
    </w:rPr>
  </w:style>
  <w:style w:type="paragraph" w:styleId="9">
    <w:name w:val="annotation subject"/>
    <w:basedOn w:val="2"/>
    <w:next w:val="2"/>
    <w:link w:val="54"/>
    <w:semiHidden/>
    <w:unhideWhenUsed/>
    <w:qFormat/>
    <w:uiPriority w:val="99"/>
    <w:rPr>
      <w:b/>
      <w:bCs/>
    </w:rPr>
  </w:style>
  <w:style w:type="paragraph" w:styleId="10">
    <w:name w:val="Body Text First Indent"/>
    <w:basedOn w:val="3"/>
    <w:link w:val="48"/>
    <w:semiHidden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段 Char"/>
    <w:link w:val="19"/>
    <w:qFormat/>
    <w:uiPriority w:val="0"/>
    <w:rPr>
      <w:rFonts w:ascii="宋体"/>
    </w:rPr>
  </w:style>
  <w:style w:type="paragraph" w:customStyle="1" w:styleId="19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2">
    <w:name w:val="一级条标题"/>
    <w:next w:val="19"/>
    <w:qFormat/>
    <w:uiPriority w:val="0"/>
    <w:pPr>
      <w:tabs>
        <w:tab w:val="left" w:pos="760"/>
      </w:tabs>
      <w:spacing w:before="156" w:beforeLines="50" w:after="156" w:afterLines="50"/>
      <w:ind w:left="1264" w:hanging="413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24">
    <w:name w:val="正文文本 2 字符"/>
    <w:basedOn w:val="13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封面标准文稿编辑信息"/>
    <w:basedOn w:val="28"/>
    <w:qFormat/>
    <w:uiPriority w:val="0"/>
    <w:pPr>
      <w:spacing w:before="180" w:line="180" w:lineRule="exact"/>
    </w:pPr>
    <w:rPr>
      <w:sz w:val="21"/>
    </w:rPr>
  </w:style>
  <w:style w:type="paragraph" w:customStyle="1" w:styleId="28">
    <w:name w:val="封面标准文稿类别"/>
    <w:basedOn w:val="29"/>
    <w:qFormat/>
    <w:uiPriority w:val="0"/>
    <w:pPr>
      <w:spacing w:after="160" w:line="240" w:lineRule="auto"/>
    </w:pPr>
    <w:rPr>
      <w:sz w:val="24"/>
    </w:rPr>
  </w:style>
  <w:style w:type="paragraph" w:customStyle="1" w:styleId="29">
    <w:name w:val="封面一致性程度标识"/>
    <w:basedOn w:val="30"/>
    <w:qFormat/>
    <w:uiPriority w:val="0"/>
    <w:pPr>
      <w:spacing w:before="440"/>
    </w:pPr>
    <w:rPr>
      <w:rFonts w:ascii="宋体" w:eastAsia="宋体"/>
    </w:rPr>
  </w:style>
  <w:style w:type="paragraph" w:customStyle="1" w:styleId="30">
    <w:name w:val="封面标准英文名称"/>
    <w:basedOn w:val="3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3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33">
    <w:name w:val="目次、标准名称标题"/>
    <w:basedOn w:val="1"/>
    <w:next w:val="1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其他实施日期"/>
    <w:basedOn w:val="1"/>
    <w:qFormat/>
    <w:uiPriority w:val="0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35">
    <w:name w:val="列项——（一级）"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7">
    <w:name w:val="章标题"/>
    <w:next w:val="19"/>
    <w:qFormat/>
    <w:uiPriority w:val="0"/>
    <w:pPr>
      <w:spacing w:before="312" w:beforeLines="100" w:after="312" w:afterLines="100"/>
      <w:ind w:left="840" w:hanging="408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标准书眉_偶数页"/>
    <w:basedOn w:val="23"/>
    <w:next w:val="1"/>
    <w:qFormat/>
    <w:uiPriority w:val="0"/>
    <w:pPr>
      <w:jc w:val="left"/>
    </w:pPr>
  </w:style>
  <w:style w:type="paragraph" w:customStyle="1" w:styleId="39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41">
    <w:name w:val="终结线"/>
    <w:basedOn w:val="1"/>
    <w:qFormat/>
    <w:uiPriority w:val="0"/>
  </w:style>
  <w:style w:type="paragraph" w:customStyle="1" w:styleId="42">
    <w:name w:val="前言、引言标题"/>
    <w:next w:val="1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3">
    <w:name w:val="字母编号列项（一级）"/>
    <w:qFormat/>
    <w:uiPriority w:val="0"/>
    <w:pPr>
      <w:tabs>
        <w:tab w:val="left" w:pos="839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发布部门"/>
    <w:next w:val="1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character" w:customStyle="1" w:styleId="46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正文文本 字符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首行缩进 字符"/>
    <w:basedOn w:val="47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basedOn w:val="13"/>
    <w:qFormat/>
    <w:uiPriority w:val="0"/>
  </w:style>
  <w:style w:type="paragraph" w:customStyle="1" w:styleId="50">
    <w:name w:val="正文表标题"/>
    <w:next w:val="19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1">
    <w:name w:val="正文图标题"/>
    <w:next w:val="19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2"/>
      </w:numPr>
      <w:jc w:val="left"/>
    </w:pPr>
    <w:rPr>
      <w:rFonts w:eastAsia="黑体"/>
      <w:kern w:val="0"/>
      <w:sz w:val="28"/>
      <w:szCs w:val="20"/>
    </w:rPr>
  </w:style>
  <w:style w:type="character" w:customStyle="1" w:styleId="53">
    <w:name w:val="批注文字 字符"/>
    <w:basedOn w:val="13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批注主题 字符"/>
    <w:basedOn w:val="53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日期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6">
    <w:name w:val="二级条标题"/>
    <w:basedOn w:val="22"/>
    <w:next w:val="19"/>
    <w:qFormat/>
    <w:uiPriority w:val="0"/>
    <w:pPr>
      <w:tabs>
        <w:tab w:val="clear" w:pos="760"/>
      </w:tabs>
      <w:spacing w:before="50" w:after="50"/>
      <w:ind w:left="0" w:firstLine="0"/>
      <w:outlineLvl w:val="3"/>
    </w:pPr>
  </w:style>
  <w:style w:type="paragraph" w:customStyle="1" w:styleId="57">
    <w:name w:val="三级条标题"/>
    <w:basedOn w:val="56"/>
    <w:next w:val="19"/>
    <w:qFormat/>
    <w:uiPriority w:val="0"/>
    <w:pPr>
      <w:outlineLvl w:val="4"/>
    </w:pPr>
  </w:style>
  <w:style w:type="paragraph" w:customStyle="1" w:styleId="58">
    <w:name w:val="四级条标题"/>
    <w:basedOn w:val="57"/>
    <w:next w:val="19"/>
    <w:qFormat/>
    <w:uiPriority w:val="0"/>
    <w:pPr>
      <w:outlineLvl w:val="5"/>
    </w:pPr>
  </w:style>
  <w:style w:type="paragraph" w:customStyle="1" w:styleId="59">
    <w:name w:val="五级条标题"/>
    <w:basedOn w:val="58"/>
    <w:next w:val="19"/>
    <w:qFormat/>
    <w:uiPriority w:val="0"/>
    <w:pPr>
      <w:outlineLvl w:val="6"/>
    </w:pPr>
  </w:style>
  <w:style w:type="paragraph" w:customStyle="1" w:styleId="60">
    <w:name w:val="二级无"/>
    <w:basedOn w:val="56"/>
    <w:qFormat/>
    <w:uiPriority w:val="0"/>
    <w:pPr>
      <w:spacing w:beforeLines="0" w:afterLines="0"/>
    </w:pPr>
    <w:rPr>
      <w:rFonts w:ascii="宋体" w:eastAsia="宋体"/>
    </w:rPr>
  </w:style>
  <w:style w:type="character" w:styleId="61">
    <w:name w:val="Placeholder Text"/>
    <w:basedOn w:val="13"/>
    <w:semiHidden/>
    <w:qFormat/>
    <w:uiPriority w:val="99"/>
    <w:rPr>
      <w:color w:val="808080"/>
    </w:rPr>
  </w:style>
  <w:style w:type="paragraph" w:customStyle="1" w:styleId="62">
    <w:name w:val="列表段落1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62ACC-2B1E-4A56-902D-9595A10D7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3026</Words>
  <Characters>3800</Characters>
  <Lines>31</Lines>
  <Paragraphs>8</Paragraphs>
  <TotalTime>52</TotalTime>
  <ScaleCrop>false</ScaleCrop>
  <LinksUpToDate>false</LinksUpToDate>
  <CharactersWithSpaces>3884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2021-06-03T07:23:00Z</dcterms:created>
  <dc:creator>马 留白</dc:creator>
  <cp:lastModifiedBy>纮责</cp:lastModifiedBy>
  <cp:lastPrinted>2023-03-26T05:08:00Z</cp:lastPrinted>
  <dcterms:modified xsi:type="dcterms:W3CDTF">2023-04-07T03:31:25Z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C654D865ECD846A289C61DE4693128AC</vt:lpwstr>
  </property>
</Properties>
</file>