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b/>
          <w:bCs/>
          <w:sz w:val="30"/>
          <w:szCs w:val="30"/>
        </w:rPr>
      </w:pPr>
      <w:r>
        <w:rPr>
          <w:rFonts w:ascii="Times New Roman" w:hAnsi="Times New Roman"/>
          <w:b/>
          <w:bCs/>
          <w:sz w:val="30"/>
          <w:szCs w:val="30"/>
        </w:rPr>
        <w:t>国家标准《</w:t>
      </w:r>
      <w:r>
        <w:rPr>
          <w:rFonts w:hint="eastAsia" w:ascii="Times New Roman" w:hAnsi="Times New Roman"/>
          <w:b/>
          <w:bCs/>
          <w:sz w:val="30"/>
          <w:szCs w:val="30"/>
          <w:lang w:val="en-US" w:eastAsia="zh-CN"/>
        </w:rPr>
        <w:t>高纯镓</w:t>
      </w:r>
      <w:r>
        <w:rPr>
          <w:rFonts w:ascii="Times New Roman" w:hAnsi="Times New Roman"/>
          <w:b/>
          <w:bCs/>
          <w:sz w:val="30"/>
          <w:szCs w:val="30"/>
        </w:rPr>
        <w:t>》</w:t>
      </w:r>
    </w:p>
    <w:p>
      <w:pPr>
        <w:adjustRightInd w:val="0"/>
        <w:snapToGrid w:val="0"/>
        <w:jc w:val="center"/>
        <w:rPr>
          <w:rFonts w:ascii="Times New Roman" w:hAnsi="Times New Roman"/>
          <w:b/>
          <w:bCs/>
          <w:sz w:val="30"/>
          <w:szCs w:val="30"/>
        </w:rPr>
      </w:pPr>
      <w:r>
        <w:rPr>
          <w:rFonts w:ascii="Times New Roman" w:hAnsi="Times New Roman"/>
          <w:b/>
          <w:bCs/>
          <w:sz w:val="30"/>
          <w:szCs w:val="30"/>
        </w:rPr>
        <w:t>编制说明</w:t>
      </w:r>
      <w:bookmarkStart w:id="0" w:name="_GoBack"/>
      <w:bookmarkEnd w:id="0"/>
      <w:r>
        <w:rPr>
          <w:rFonts w:ascii="Times New Roman" w:hAnsi="Times New Roman"/>
          <w:b/>
          <w:bCs/>
          <w:sz w:val="30"/>
          <w:szCs w:val="30"/>
        </w:rPr>
        <w:t>（</w:t>
      </w:r>
      <w:r>
        <w:rPr>
          <w:rFonts w:hint="eastAsia" w:ascii="Times New Roman" w:hAnsi="Times New Roman"/>
          <w:b/>
          <w:bCs/>
          <w:sz w:val="30"/>
          <w:szCs w:val="30"/>
          <w:lang w:val="en-US" w:eastAsia="zh-CN"/>
        </w:rPr>
        <w:t>送审</w:t>
      </w:r>
      <w:r>
        <w:rPr>
          <w:rFonts w:ascii="Times New Roman" w:hAnsi="Times New Roman"/>
          <w:b/>
          <w:bCs/>
          <w:sz w:val="30"/>
          <w:szCs w:val="30"/>
        </w:rPr>
        <w:t>稿）</w:t>
      </w:r>
    </w:p>
    <w:p>
      <w:pPr>
        <w:pStyle w:val="15"/>
        <w:numPr>
          <w:ilvl w:val="0"/>
          <w:numId w:val="2"/>
        </w:numPr>
        <w:spacing w:line="360" w:lineRule="auto"/>
        <w:ind w:firstLineChars="0"/>
        <w:rPr>
          <w:rFonts w:ascii="Times New Roman" w:hAnsi="Times New Roman"/>
          <w:b/>
          <w:sz w:val="24"/>
          <w:szCs w:val="24"/>
        </w:rPr>
      </w:pPr>
      <w:r>
        <w:rPr>
          <w:rFonts w:ascii="Times New Roman" w:hAnsi="Times New Roman"/>
          <w:b/>
          <w:sz w:val="24"/>
          <w:szCs w:val="24"/>
        </w:rPr>
        <w:t>工作简况</w:t>
      </w:r>
    </w:p>
    <w:p>
      <w:pPr>
        <w:pStyle w:val="15"/>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立项目的和意义</w:t>
      </w:r>
    </w:p>
    <w:p>
      <w:pPr>
        <w:pStyle w:val="15"/>
        <w:spacing w:line="360" w:lineRule="auto"/>
        <w:ind w:firstLine="480"/>
        <w:rPr>
          <w:rFonts w:hint="eastAsia" w:ascii="Times New Roman" w:hAnsi="Times New Roman"/>
          <w:sz w:val="24"/>
          <w:szCs w:val="24"/>
          <w:lang w:val="en-US" w:eastAsia="zh-CN"/>
        </w:rPr>
      </w:pPr>
      <w:r>
        <w:rPr>
          <w:rFonts w:hint="eastAsia" w:ascii="Times New Roman" w:hAnsi="Times New Roman"/>
          <w:sz w:val="24"/>
          <w:szCs w:val="24"/>
          <w:lang w:val="en-US" w:eastAsia="zh-CN"/>
        </w:rPr>
        <w:t>高纯镓</w:t>
      </w:r>
      <w:r>
        <w:rPr>
          <w:rFonts w:ascii="Times New Roman" w:hAnsi="Times New Roman"/>
          <w:sz w:val="24"/>
          <w:szCs w:val="24"/>
        </w:rPr>
        <w:t>（H</w:t>
      </w:r>
      <w:r>
        <w:rPr>
          <w:rFonts w:hint="eastAsia" w:ascii="Times New Roman" w:hAnsi="Times New Roman"/>
          <w:sz w:val="24"/>
          <w:szCs w:val="24"/>
          <w:lang w:val="en-US" w:eastAsia="zh-CN"/>
        </w:rPr>
        <w:t>igh purity gallium</w:t>
      </w:r>
      <w:r>
        <w:rPr>
          <w:rFonts w:ascii="Times New Roman" w:hAnsi="Times New Roman"/>
          <w:sz w:val="24"/>
          <w:szCs w:val="24"/>
        </w:rPr>
        <w:t>）</w:t>
      </w:r>
      <w:r>
        <w:rPr>
          <w:rFonts w:hint="eastAsia" w:ascii="Times New Roman" w:hAnsi="Times New Roman"/>
          <w:sz w:val="24"/>
          <w:szCs w:val="24"/>
          <w:lang w:val="en-US" w:eastAsia="zh-CN"/>
        </w:rPr>
        <w:t>主要用于制造砷化镓（GaAs）、氮化镓（GaN）、磷化镓（GaP）等化合物半导体材料和高纯合金及作为半导体材料的掺杂剂。</w:t>
      </w:r>
    </w:p>
    <w:p>
      <w:pPr>
        <w:pStyle w:val="15"/>
        <w:spacing w:line="360" w:lineRule="auto"/>
        <w:ind w:firstLine="480"/>
        <w:rPr>
          <w:rFonts w:hint="default" w:ascii="Times New Roman" w:hAnsi="Times New Roman"/>
          <w:sz w:val="24"/>
          <w:szCs w:val="24"/>
          <w:lang w:val="en-US" w:eastAsia="zh-CN"/>
        </w:rPr>
      </w:pPr>
      <w:r>
        <w:rPr>
          <w:rFonts w:hint="eastAsia" w:ascii="Times New Roman" w:hAnsi="Times New Roman"/>
          <w:sz w:val="24"/>
          <w:szCs w:val="24"/>
          <w:lang w:val="en-US" w:eastAsia="zh-CN"/>
        </w:rPr>
        <w:t>中国是高纯镓的主要生产和消费大国，据报道，2020年中国高纯镓的产量为220吨，占世界高纯镓产量的60%，近些年来随着LED产业、无线通讯等行业的快速发展，对砷化镓、氮化镓的需求量与日俱增（砷化镓、氮化镓等化合物半导体材料消费的高纯镓占到高纯镓总产量的65%），对高纯镓的品质也提出了更高的要求，为了与我国作为高纯镓产品大国地位相适应及满足半导体材料产业发展的需求，急需对现行的高纯镓标准作出修订。</w:t>
      </w:r>
    </w:p>
    <w:p>
      <w:pPr>
        <w:pStyle w:val="15"/>
        <w:spacing w:line="360" w:lineRule="auto"/>
        <w:ind w:firstLine="480" w:firstLineChars="200"/>
        <w:rPr>
          <w:rFonts w:hint="default" w:ascii="宋体" w:hAnsi="宋体"/>
          <w:sz w:val="24"/>
          <w:szCs w:val="24"/>
          <w:highlight w:val="none"/>
          <w:lang w:val="en-US" w:eastAsia="zh-CN"/>
        </w:rPr>
      </w:pPr>
      <w:r>
        <w:rPr>
          <w:rFonts w:hint="eastAsia" w:ascii="Times New Roman" w:hAnsi="Times New Roman"/>
          <w:sz w:val="24"/>
          <w:szCs w:val="24"/>
          <w:lang w:val="en-US" w:eastAsia="zh-CN"/>
        </w:rPr>
        <w:t>目前现行的GB/T10118-2009高纯镓国家标准主要存在以下问题：1、原有标准中检出杂质元素的种类较少，且杂质含量偏高，如原标准中对于6N高纯镓仅规定了10种杂质，7N高纯镓规定了12种杂质，对于</w:t>
      </w:r>
      <w:r>
        <w:rPr>
          <w:rFonts w:hint="eastAsia" w:ascii="宋体" w:hAnsi="宋体"/>
          <w:sz w:val="24"/>
          <w:szCs w:val="24"/>
          <w:highlight w:val="none"/>
        </w:rPr>
        <w:t>Al、S、K、In、Ca、Hg、As、A</w:t>
      </w:r>
      <w:r>
        <w:rPr>
          <w:rFonts w:hint="eastAsia" w:ascii="宋体" w:hAnsi="宋体"/>
          <w:sz w:val="24"/>
          <w:szCs w:val="24"/>
          <w:highlight w:val="none"/>
          <w:lang w:val="en-US" w:eastAsia="zh-CN"/>
        </w:rPr>
        <w:t>g等，影响载流子浓度、迁移率的元素均未做要求；2、原标准规定的高纯镓检测方法落后于现实情况，目前对于7N和MBE级高纯镓化学成分的测试普遍采用辉光放电质谱法进行检测，原标准中对于7N和MBE级高纯镓虽然采用了GDMS方法，只提供了GDMS法测定高纯镓中杂质含量的操作规范，该检测规范过于简单，不具备可操作性。</w:t>
      </w:r>
    </w:p>
    <w:p>
      <w:pPr>
        <w:pStyle w:val="15"/>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任务来源</w:t>
      </w:r>
    </w:p>
    <w:p>
      <w:pPr>
        <w:pStyle w:val="16"/>
        <w:framePr w:w="0" w:hRule="auto" w:hSpace="0" w:wrap="auto" w:vAnchor="margin" w:hAnchor="text" w:xAlign="left" w:yAlign="inline"/>
        <w:spacing w:before="0" w:line="360" w:lineRule="auto"/>
        <w:ind w:firstLine="480" w:firstLineChars="200"/>
        <w:jc w:val="both"/>
        <w:rPr>
          <w:rFonts w:ascii="Times New Roman" w:eastAsia="宋体"/>
          <w:sz w:val="24"/>
          <w:szCs w:val="24"/>
        </w:rPr>
      </w:pPr>
      <w:r>
        <w:rPr>
          <w:rFonts w:ascii="Times New Roman" w:eastAsia="宋体"/>
          <w:sz w:val="24"/>
          <w:szCs w:val="24"/>
        </w:rPr>
        <w:t>根据</w:t>
      </w:r>
      <w:r>
        <w:rPr>
          <w:rFonts w:hint="eastAsia" w:ascii="Times New Roman" w:eastAsia="宋体"/>
          <w:sz w:val="24"/>
          <w:szCs w:val="24"/>
          <w:lang w:val="en-US" w:eastAsia="zh-CN"/>
        </w:rPr>
        <w:t>国标委</w:t>
      </w:r>
      <w:r>
        <w:rPr>
          <w:rFonts w:ascii="Times New Roman" w:eastAsia="宋体"/>
          <w:sz w:val="24"/>
          <w:szCs w:val="24"/>
        </w:rPr>
        <w:t>的要求</w:t>
      </w:r>
      <w:r>
        <w:rPr>
          <w:rFonts w:hint="eastAsia" w:ascii="Times New Roman" w:eastAsia="宋体"/>
          <w:sz w:val="24"/>
          <w:szCs w:val="24"/>
          <w:lang w:eastAsia="zh-CN"/>
        </w:rPr>
        <w:t>，</w:t>
      </w:r>
      <w:r>
        <w:rPr>
          <w:rFonts w:ascii="Times New Roman" w:eastAsia="宋体"/>
          <w:sz w:val="24"/>
          <w:szCs w:val="24"/>
        </w:rPr>
        <w:t>由</w:t>
      </w:r>
      <w:r>
        <w:rPr>
          <w:rFonts w:hint="eastAsia" w:ascii="Times New Roman" w:eastAsia="宋体"/>
          <w:sz w:val="24"/>
          <w:szCs w:val="24"/>
          <w:lang w:val="en-US" w:eastAsia="zh-CN"/>
        </w:rPr>
        <w:t>有研国晶辉新材料有限公司、朝阳金美镓业有限公司、有色金属技术经济研究院有限责任公司、峨眉山市峨半高纯材料有限公司等为起草单位，</w:t>
      </w:r>
      <w:r>
        <w:rPr>
          <w:rFonts w:ascii="Times New Roman" w:eastAsia="宋体"/>
          <w:sz w:val="24"/>
          <w:szCs w:val="24"/>
        </w:rPr>
        <w:t>修订《</w:t>
      </w:r>
      <w:r>
        <w:rPr>
          <w:rFonts w:hint="eastAsia" w:ascii="Times New Roman" w:eastAsia="宋体"/>
          <w:sz w:val="24"/>
          <w:szCs w:val="24"/>
          <w:lang w:val="en-US" w:eastAsia="zh-CN"/>
        </w:rPr>
        <w:t>高纯镓</w:t>
      </w:r>
      <w:r>
        <w:rPr>
          <w:rFonts w:ascii="Times New Roman" w:eastAsia="宋体"/>
          <w:sz w:val="24"/>
          <w:szCs w:val="24"/>
        </w:rPr>
        <w:t>》</w:t>
      </w:r>
      <w:r>
        <w:rPr>
          <w:rFonts w:hint="eastAsia" w:ascii="Times New Roman" w:eastAsia="宋体"/>
          <w:sz w:val="24"/>
          <w:szCs w:val="24"/>
          <w:lang w:val="en-US" w:eastAsia="zh-CN"/>
        </w:rPr>
        <w:t>国家标准</w:t>
      </w:r>
      <w:r>
        <w:rPr>
          <w:rFonts w:ascii="Times New Roman" w:eastAsia="宋体"/>
          <w:sz w:val="24"/>
          <w:szCs w:val="24"/>
        </w:rPr>
        <w:t>，计划编号20</w:t>
      </w:r>
      <w:r>
        <w:rPr>
          <w:rFonts w:hint="eastAsia" w:ascii="Times New Roman" w:eastAsia="宋体"/>
          <w:sz w:val="24"/>
          <w:szCs w:val="24"/>
          <w:lang w:val="en-US" w:eastAsia="zh-CN"/>
        </w:rPr>
        <w:t>214648</w:t>
      </w:r>
      <w:r>
        <w:rPr>
          <w:rFonts w:ascii="Times New Roman" w:eastAsia="宋体"/>
          <w:sz w:val="24"/>
          <w:szCs w:val="24"/>
        </w:rPr>
        <w:t>-T-</w:t>
      </w:r>
      <w:r>
        <w:rPr>
          <w:rFonts w:hint="eastAsia" w:ascii="Times New Roman" w:eastAsia="宋体"/>
          <w:sz w:val="24"/>
          <w:szCs w:val="24"/>
          <w:lang w:val="en-US" w:eastAsia="zh-CN"/>
        </w:rPr>
        <w:t>469</w:t>
      </w:r>
      <w:r>
        <w:rPr>
          <w:rFonts w:ascii="Times New Roman" w:eastAsia="宋体"/>
          <w:sz w:val="24"/>
          <w:szCs w:val="24"/>
        </w:rPr>
        <w:t>。</w:t>
      </w:r>
    </w:p>
    <w:p>
      <w:pPr>
        <w:pStyle w:val="15"/>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标准主编单位简况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Arial"/>
          <w:b w:val="0"/>
          <w:bCs w:val="0"/>
          <w:color w:val="auto"/>
          <w:sz w:val="24"/>
          <w:szCs w:val="24"/>
          <w:shd w:val="clear" w:color="auto" w:fill="FFFFFF"/>
          <w:lang w:val="en-US" w:eastAsia="zh-CN"/>
        </w:rPr>
      </w:pPr>
      <w:r>
        <w:rPr>
          <w:rFonts w:hint="eastAsia" w:ascii="Arial" w:hAnsi="Arial" w:cs="Arial"/>
          <w:b w:val="0"/>
          <w:bCs w:val="0"/>
          <w:color w:val="auto"/>
          <w:sz w:val="24"/>
          <w:szCs w:val="24"/>
          <w:highlight w:val="none"/>
          <w:shd w:val="clear" w:color="auto" w:fill="FFFFFF"/>
        </w:rPr>
        <w:t>有研国晶辉新材料有限公司</w:t>
      </w:r>
      <w:r>
        <w:rPr>
          <w:rFonts w:hint="eastAsia" w:ascii="Arial" w:hAnsi="Arial" w:cs="Arial"/>
          <w:b w:val="0"/>
          <w:bCs w:val="0"/>
          <w:color w:val="auto"/>
          <w:sz w:val="24"/>
          <w:szCs w:val="24"/>
          <w:shd w:val="clear" w:color="auto" w:fill="FFFFFF"/>
        </w:rPr>
        <w:t>是有研科技集团旗下的上市公司有研新材的子公司，</w:t>
      </w:r>
      <w:r>
        <w:rPr>
          <w:rFonts w:hint="eastAsia" w:ascii="Arial" w:hAnsi="Arial" w:cs="Arial"/>
          <w:b w:val="0"/>
          <w:bCs w:val="0"/>
          <w:color w:val="auto"/>
          <w:sz w:val="24"/>
          <w:szCs w:val="24"/>
          <w:shd w:val="clear" w:color="auto" w:fill="FFFFFF"/>
          <w:lang w:val="en-US" w:eastAsia="zh-CN"/>
        </w:rPr>
        <w:t>吸收合并了有研光电新材料</w:t>
      </w:r>
      <w:r>
        <w:rPr>
          <w:rFonts w:hint="eastAsia" w:ascii="宋体" w:hAnsi="宋体" w:cs="Arial"/>
          <w:b w:val="0"/>
          <w:bCs w:val="0"/>
          <w:color w:val="auto"/>
          <w:sz w:val="24"/>
          <w:szCs w:val="24"/>
          <w:shd w:val="clear" w:color="auto" w:fill="FFFFFF"/>
        </w:rPr>
        <w:t>有限责任公司</w:t>
      </w:r>
      <w:r>
        <w:rPr>
          <w:rFonts w:hint="eastAsia" w:ascii="宋体" w:hAnsi="宋体" w:cs="Arial"/>
          <w:b w:val="0"/>
          <w:bCs w:val="0"/>
          <w:color w:val="auto"/>
          <w:sz w:val="24"/>
          <w:szCs w:val="24"/>
          <w:shd w:val="clear" w:color="auto" w:fill="FFFFFF"/>
          <w:lang w:val="en-US" w:eastAsia="zh-CN"/>
        </w:rPr>
        <w:t>，有研光电</w:t>
      </w:r>
      <w:r>
        <w:rPr>
          <w:rFonts w:hint="eastAsia" w:ascii="宋体" w:hAnsi="宋体" w:cs="Arial"/>
          <w:b w:val="0"/>
          <w:bCs w:val="0"/>
          <w:color w:val="auto"/>
          <w:sz w:val="24"/>
          <w:szCs w:val="24"/>
          <w:shd w:val="clear" w:color="auto" w:fill="FFFFFF"/>
        </w:rPr>
        <w:t>的前身是北京有色金属研究总院的的化合物半导体材料研究室。该研究室自上世纪70年开始从事砷化镓及磷化镓、锑化镓单晶的</w:t>
      </w:r>
      <w:r>
        <w:rPr>
          <w:rFonts w:hint="eastAsia" w:ascii="宋体" w:hAnsi="宋体" w:cs="Arial"/>
          <w:b w:val="0"/>
          <w:bCs w:val="0"/>
          <w:color w:val="auto"/>
          <w:sz w:val="24"/>
          <w:szCs w:val="24"/>
          <w:shd w:val="clear" w:color="auto" w:fill="FFFFFF"/>
          <w:lang w:val="en-US" w:eastAsia="zh-CN"/>
        </w:rPr>
        <w:t>生产和</w:t>
      </w:r>
      <w:r>
        <w:rPr>
          <w:rFonts w:hint="eastAsia" w:ascii="宋体" w:hAnsi="宋体" w:cs="Arial"/>
          <w:b w:val="0"/>
          <w:bCs w:val="0"/>
          <w:color w:val="auto"/>
          <w:sz w:val="24"/>
          <w:szCs w:val="24"/>
          <w:shd w:val="clear" w:color="auto" w:fill="FFFFFF"/>
        </w:rPr>
        <w:t>研究</w:t>
      </w:r>
      <w:r>
        <w:rPr>
          <w:rFonts w:hint="eastAsia" w:ascii="宋体" w:hAnsi="宋体" w:cs="Arial"/>
          <w:b w:val="0"/>
          <w:bCs w:val="0"/>
          <w:color w:val="auto"/>
          <w:sz w:val="24"/>
          <w:szCs w:val="24"/>
          <w:shd w:val="clear" w:color="auto" w:fill="FFFFFF"/>
          <w:lang w:val="en-US" w:eastAsia="zh-CN"/>
        </w:rPr>
        <w:t>工作</w:t>
      </w:r>
      <w:r>
        <w:rPr>
          <w:rFonts w:hint="eastAsia" w:ascii="宋体" w:hAnsi="宋体" w:cs="Arial"/>
          <w:b w:val="0"/>
          <w:bCs w:val="0"/>
          <w:color w:val="auto"/>
          <w:sz w:val="24"/>
          <w:szCs w:val="24"/>
          <w:shd w:val="clear" w:color="auto" w:fill="FFFFFF"/>
        </w:rPr>
        <w:t>，承担了多项国家科研项目</w:t>
      </w:r>
      <w:r>
        <w:rPr>
          <w:rFonts w:hint="eastAsia" w:ascii="宋体" w:hAnsi="宋体" w:cs="Arial"/>
          <w:b w:val="0"/>
          <w:bCs w:val="0"/>
          <w:color w:val="auto"/>
          <w:sz w:val="24"/>
          <w:szCs w:val="24"/>
          <w:shd w:val="clear" w:color="auto" w:fill="FFFFFF"/>
          <w:lang w:eastAsia="zh-CN"/>
        </w:rPr>
        <w:t>，</w:t>
      </w:r>
      <w:r>
        <w:rPr>
          <w:rFonts w:hint="eastAsia" w:ascii="宋体" w:hAnsi="宋体" w:cs="Arial"/>
          <w:b w:val="0"/>
          <w:bCs w:val="0"/>
          <w:color w:val="auto"/>
          <w:sz w:val="24"/>
          <w:szCs w:val="24"/>
          <w:shd w:val="clear" w:color="auto" w:fill="FFFFFF"/>
          <w:lang w:val="en-US" w:eastAsia="zh-CN"/>
        </w:rPr>
        <w:t>有研光电是国内规模较大的砷化镓和磷化镓单晶的生产厂家。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191919"/>
          <w:sz w:val="24"/>
          <w:szCs w:val="24"/>
          <w:shd w:val="clear" w:color="auto" w:fill="FFFFFF"/>
          <w:lang w:eastAsia="zh-CN"/>
        </w:rPr>
      </w:pPr>
      <w:r>
        <w:rPr>
          <w:rFonts w:hint="eastAsia" w:ascii="宋体" w:hAnsi="宋体" w:cs="Arial"/>
          <w:color w:val="191919"/>
          <w:sz w:val="24"/>
          <w:szCs w:val="24"/>
          <w:shd w:val="clear" w:color="auto" w:fill="FFFFFF"/>
        </w:rPr>
        <w:t>朝阳金美镓业和</w:t>
      </w:r>
      <w:r>
        <w:rPr>
          <w:rFonts w:hint="eastAsia" w:ascii="宋体" w:hAnsi="宋体"/>
          <w:sz w:val="24"/>
          <w:szCs w:val="24"/>
        </w:rPr>
        <w:t>其前身南京金美镓业有限公司是专业生产化合物半导体前期材料的企业，</w:t>
      </w:r>
      <w:r>
        <w:rPr>
          <w:rFonts w:hint="eastAsia" w:ascii="宋体" w:hAnsi="宋体" w:cs="Arial"/>
          <w:color w:val="191919"/>
          <w:sz w:val="24"/>
          <w:szCs w:val="24"/>
          <w:shd w:val="clear" w:color="auto" w:fill="FFFFFF"/>
        </w:rPr>
        <w:t>年产高纯镓（5N～8N）100吨，</w:t>
      </w:r>
      <w:r>
        <w:rPr>
          <w:rFonts w:hint="eastAsia" w:ascii="宋体" w:hAnsi="宋体"/>
          <w:sz w:val="24"/>
          <w:szCs w:val="24"/>
        </w:rPr>
        <w:t>高纯镓获得江苏省科技厅授予的高新技术产品，公司拥有多项独创的工艺和环保技术</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191919"/>
          <w:sz w:val="24"/>
          <w:szCs w:val="24"/>
          <w:shd w:val="clear" w:color="auto" w:fill="FFFFFF"/>
          <w:lang w:val="en-US" w:eastAsia="zh-CN"/>
        </w:rPr>
      </w:pPr>
      <w:r>
        <w:rPr>
          <w:rFonts w:hint="eastAsia" w:ascii="宋体" w:hAnsi="宋体" w:cs="Arial"/>
          <w:color w:val="191919"/>
          <w:sz w:val="24"/>
          <w:szCs w:val="24"/>
          <w:shd w:val="clear" w:color="auto" w:fill="FFFFFF"/>
          <w:lang w:val="en-US" w:eastAsia="zh-CN"/>
        </w:rPr>
        <w:t>东方电气（乐山）峨半高纯材料有限公司是四川东树新材料有限公司控股的子公司，是国内最早从事高纯金属及化合物半导体材料研究、开发和生产的公司。主营产品涵盖5N-7.5N碲、镉、锑、镓、铟等，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191919"/>
          <w:sz w:val="24"/>
          <w:szCs w:val="24"/>
          <w:shd w:val="clear" w:color="auto" w:fill="FFFFFF"/>
          <w:lang w:val="en-US" w:eastAsia="zh-CN"/>
        </w:rPr>
      </w:pPr>
      <w:r>
        <w:rPr>
          <w:rFonts w:hint="eastAsia" w:ascii="宋体" w:hAnsi="宋体" w:cs="Arial"/>
          <w:color w:val="191919"/>
          <w:sz w:val="24"/>
          <w:szCs w:val="24"/>
          <w:shd w:val="clear" w:color="auto" w:fill="FFFFFF"/>
          <w:lang w:val="en-US" w:eastAsia="zh-CN"/>
        </w:rPr>
        <w:t>武汉拓材科技有限公司成立于2015年，专注于研发、生产、销售高纯（超纯）金属/半导体材料的高新技术公司，能生产碲、铟、锗、镓、镉、锑等高纯（超纯）金属，产品纯度涵盖5N-8N。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191919"/>
          <w:sz w:val="24"/>
          <w:szCs w:val="24"/>
          <w:shd w:val="clear" w:color="auto" w:fill="FFFFFF"/>
          <w:lang w:val="en-US" w:eastAsia="zh-CN"/>
        </w:rPr>
      </w:pPr>
      <w:r>
        <w:rPr>
          <w:rFonts w:hint="eastAsia" w:ascii="宋体" w:hAnsi="宋体" w:cs="Arial"/>
          <w:color w:val="191919"/>
          <w:sz w:val="24"/>
          <w:szCs w:val="24"/>
          <w:shd w:val="clear" w:color="auto" w:fill="FFFFFF"/>
          <w:lang w:val="en-US" w:eastAsia="zh-CN"/>
        </w:rPr>
        <w:t>楚雄川至电子材料有限公司成立于2020年，主要从事半导体材料、高纯材料及其化合物的科研、试制和生产。公司的主要产品为高纯磷、高纯铟、高纯镓等高纯材料，广泛用于半导体材料的制备等。</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Verdana" w:hAnsi="Verdana" w:cs="Verdana"/>
          <w:i w:val="0"/>
          <w:iCs w:val="0"/>
          <w:caps w:val="0"/>
          <w:color w:val="333333"/>
          <w:spacing w:val="0"/>
          <w:sz w:val="24"/>
          <w:szCs w:val="24"/>
          <w:shd w:val="clear" w:fill="FFFFFF"/>
          <w:lang w:val="en-US" w:eastAsia="zh-CN"/>
        </w:rPr>
      </w:pPr>
      <w:r>
        <w:rPr>
          <w:rFonts w:hint="eastAsia" w:ascii="宋体" w:hAnsi="宋体" w:cs="Arial"/>
          <w:color w:val="191919"/>
          <w:sz w:val="24"/>
          <w:szCs w:val="24"/>
          <w:shd w:val="clear" w:color="auto" w:fill="FFFFFF"/>
          <w:lang w:val="en-US" w:eastAsia="zh-CN"/>
        </w:rPr>
        <w:t>株洲科能新材料股份有限公司成立于2001年1月，</w:t>
      </w:r>
      <w:r>
        <w:rPr>
          <w:rFonts w:hint="default" w:ascii="Verdana" w:hAnsi="Verdana" w:eastAsia="Verdana" w:cs="Verdana"/>
          <w:i w:val="0"/>
          <w:iCs w:val="0"/>
          <w:caps w:val="0"/>
          <w:color w:val="333333"/>
          <w:spacing w:val="0"/>
          <w:sz w:val="24"/>
          <w:szCs w:val="24"/>
          <w:shd w:val="clear" w:fill="FFFFFF"/>
        </w:rPr>
        <w:t>是一家专业从事小（稀散）金属、半导体材料、显示发光材料生产的国家级高新技术企业。其产品主要有铟、镓、铋、碲、锡及其各类制品等，以满足液晶显示器、半导体、电子、太阳能、医药等行业的不断需求。</w:t>
      </w:r>
      <w:r>
        <w:rPr>
          <w:rFonts w:hint="eastAsia" w:ascii="Verdana" w:hAnsi="Verdana" w:cs="Verdana"/>
          <w:i w:val="0"/>
          <w:iCs w:val="0"/>
          <w:caps w:val="0"/>
          <w:color w:val="333333"/>
          <w:spacing w:val="0"/>
          <w:sz w:val="24"/>
          <w:szCs w:val="24"/>
          <w:shd w:val="clear" w:fill="FFFFFF"/>
          <w:lang w:val="en-US" w:eastAsia="zh-CN"/>
        </w:rPr>
        <w:t>其中高纯镓质量最高可达8N级别。</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default" w:ascii="宋体" w:hAnsi="宋体" w:cs="Arial"/>
          <w:color w:val="191919"/>
          <w:sz w:val="24"/>
          <w:szCs w:val="24"/>
          <w:shd w:val="clear" w:color="auto" w:fill="FFFFFF"/>
          <w:lang w:val="en-US" w:eastAsia="zh-CN"/>
        </w:rPr>
      </w:pPr>
      <w:r>
        <w:rPr>
          <w:rFonts w:hint="default" w:ascii="Verdana" w:hAnsi="Verdana" w:cs="Verdana"/>
          <w:i w:val="0"/>
          <w:iCs w:val="0"/>
          <w:caps w:val="0"/>
          <w:color w:val="333333"/>
          <w:spacing w:val="0"/>
          <w:sz w:val="24"/>
          <w:szCs w:val="24"/>
          <w:shd w:val="clear" w:fill="FFFFFF"/>
          <w:lang w:val="en-US" w:eastAsia="zh-CN"/>
        </w:rPr>
        <w:t>云南锡业集团（控股）有限责任公司是具有集锡、锌、铜、铟等有色金属资源探采、选冶、深加工以及新材料研发的百年企业。主营产品涵盖5N-8N铟、锡、镓等高纯（超纯）金</w:t>
      </w:r>
      <w:r>
        <w:rPr>
          <w:rFonts w:hint="eastAsia" w:ascii="Verdana" w:hAnsi="Verdana" w:cs="Verdana"/>
          <w:i w:val="0"/>
          <w:iCs w:val="0"/>
          <w:caps w:val="0"/>
          <w:color w:val="333333"/>
          <w:spacing w:val="0"/>
          <w:sz w:val="24"/>
          <w:szCs w:val="24"/>
          <w:shd w:val="clear" w:fill="FFFFFF"/>
          <w:lang w:val="en-US" w:eastAsia="zh-CN"/>
        </w:rPr>
        <w:t>属。</w:t>
      </w:r>
    </w:p>
    <w:p>
      <w:pPr>
        <w:pStyle w:val="15"/>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主要工作过程</w:t>
      </w:r>
    </w:p>
    <w:p>
      <w:pPr>
        <w:spacing w:line="360" w:lineRule="auto"/>
        <w:ind w:firstLine="470" w:firstLineChars="196"/>
        <w:rPr>
          <w:rFonts w:hint="eastAsia" w:ascii="Times New Roman" w:hAnsi="Times New Roman"/>
          <w:sz w:val="24"/>
          <w:szCs w:val="24"/>
          <w:lang w:val="en-US" w:eastAsia="zh-CN"/>
        </w:rPr>
      </w:pPr>
      <w:r>
        <w:rPr>
          <w:rFonts w:ascii="Times New Roman" w:hAnsi="Times New Roman"/>
          <w:sz w:val="24"/>
          <w:szCs w:val="24"/>
        </w:rPr>
        <w:t>立项之后，公司成立了标准修订起草小组，小组成员都有较丰富的生产经验，对国内外本行业的发展有比较清晰的认识，</w:t>
      </w:r>
      <w:r>
        <w:rPr>
          <w:rFonts w:hint="eastAsia" w:ascii="Times New Roman" w:hAnsi="Times New Roman"/>
          <w:sz w:val="24"/>
          <w:szCs w:val="24"/>
          <w:lang w:val="en-US" w:eastAsia="zh-CN"/>
        </w:rPr>
        <w:t>并与起草单位朝阳金美镓业、东方峨半高纯、武汉拓材、楚雄川至、株洲科能、云南锡业等公司进行了充分的沟通和交流，</w:t>
      </w:r>
      <w:r>
        <w:rPr>
          <w:rFonts w:ascii="Times New Roman" w:hAnsi="Times New Roman"/>
          <w:sz w:val="24"/>
          <w:szCs w:val="24"/>
        </w:rPr>
        <w:t>起草人员通过对资料的收集等工作，编制了标准讨论稿，首先在本公司内部进行了意见征集，修改后由公司质量管理部门向相关单位进行意见征集</w:t>
      </w:r>
      <w:r>
        <w:rPr>
          <w:rFonts w:hint="eastAsia" w:ascii="Times New Roman" w:hAnsi="Times New Roman"/>
          <w:sz w:val="24"/>
          <w:szCs w:val="24"/>
          <w:lang w:eastAsia="zh-CN"/>
        </w:rPr>
        <w:t>。</w:t>
      </w:r>
      <w:r>
        <w:rPr>
          <w:rFonts w:hint="eastAsia" w:ascii="Times New Roman" w:hAnsi="Times New Roman"/>
          <w:sz w:val="24"/>
          <w:szCs w:val="24"/>
          <w:lang w:val="en-US" w:eastAsia="zh-CN"/>
        </w:rPr>
        <w:t>2023年2月参加了标准讨论会。</w:t>
      </w:r>
    </w:p>
    <w:p>
      <w:pPr>
        <w:spacing w:line="360" w:lineRule="auto"/>
        <w:ind w:firstLine="470" w:firstLineChars="196"/>
        <w:rPr>
          <w:rFonts w:hint="eastAsia" w:ascii="Times New Roman" w:hAnsi="Times New Roman"/>
          <w:sz w:val="24"/>
          <w:szCs w:val="24"/>
          <w:lang w:val="en-US" w:eastAsia="zh-CN"/>
        </w:rPr>
      </w:pPr>
      <w:r>
        <w:rPr>
          <w:rFonts w:hint="eastAsia" w:ascii="Times New Roman" w:hAnsi="Times New Roman"/>
          <w:sz w:val="24"/>
          <w:szCs w:val="24"/>
          <w:lang w:val="en-US" w:eastAsia="zh-CN"/>
        </w:rPr>
        <w:t>2023年2月23日，在徐州召开的2022年度全国半导体材料标准工作年会上，对</w:t>
      </w:r>
      <w:r>
        <w:rPr>
          <w:rFonts w:hint="eastAsia" w:ascii="宋体" w:hAnsi="宋体" w:eastAsia="宋体" w:cs="宋体"/>
          <w:sz w:val="24"/>
          <w:szCs w:val="24"/>
          <w:lang w:val="en-US" w:eastAsia="zh-CN"/>
        </w:rPr>
        <w:t>《</w:t>
      </w:r>
      <w:r>
        <w:rPr>
          <w:rFonts w:hint="eastAsia" w:ascii="Times New Roman" w:hAnsi="Times New Roman"/>
          <w:sz w:val="24"/>
          <w:szCs w:val="24"/>
          <w:lang w:val="en-US" w:eastAsia="zh-CN"/>
        </w:rPr>
        <w:t>高纯镓</w:t>
      </w:r>
      <w:r>
        <w:rPr>
          <w:rFonts w:hint="eastAsia" w:ascii="宋体" w:hAnsi="宋体" w:eastAsia="宋体" w:cs="宋体"/>
          <w:sz w:val="24"/>
          <w:szCs w:val="24"/>
          <w:lang w:val="en-US" w:eastAsia="zh-CN"/>
        </w:rPr>
        <w:t>》</w:t>
      </w:r>
      <w:r>
        <w:rPr>
          <w:rFonts w:hint="eastAsia" w:ascii="Times New Roman" w:hAnsi="Times New Roman"/>
          <w:sz w:val="24"/>
          <w:szCs w:val="24"/>
          <w:lang w:val="en-US" w:eastAsia="zh-CN"/>
        </w:rPr>
        <w:t>标准进行了讨论，共有来自朝阳金美镓业、东方电气、武汉拓材、楚雄川至、中电科第十三研究所等33家单位的55名专家参加了会议，与会专家对标准技术内容进行了充分讨论。编制组根据专家的意见，对标准稿件进行了修改，与2023年3月20日形成了预审稿。</w:t>
      </w:r>
    </w:p>
    <w:p>
      <w:pPr>
        <w:spacing w:line="360" w:lineRule="auto"/>
        <w:ind w:firstLine="470" w:firstLineChars="196"/>
        <w:rPr>
          <w:rFonts w:hint="default" w:ascii="Times New Roman" w:hAnsi="Times New Roman"/>
          <w:sz w:val="24"/>
          <w:szCs w:val="24"/>
          <w:lang w:val="en-US" w:eastAsia="zh-CN"/>
        </w:rPr>
      </w:pPr>
      <w:r>
        <w:rPr>
          <w:rFonts w:hint="eastAsia" w:ascii="Times New Roman" w:hAnsi="Times New Roman"/>
          <w:sz w:val="24"/>
          <w:szCs w:val="24"/>
          <w:lang w:val="en-US" w:eastAsia="zh-CN"/>
        </w:rPr>
        <w:t>2023年3月28日，在东莞召开的全国半导体材料标准会议上，对高纯镓标准进行了预审，来自全国的15家单位的29名专家参加了会议，与会专家对高纯镓的试验方法等提出了修改意见，编制组根据专家的意见，对标准稿件进行了修改，与2023年4月2日形成了送审稿。</w:t>
      </w:r>
    </w:p>
    <w:p>
      <w:pPr>
        <w:pStyle w:val="15"/>
        <w:numPr>
          <w:ilvl w:val="0"/>
          <w:numId w:val="2"/>
        </w:numPr>
        <w:spacing w:line="360" w:lineRule="auto"/>
        <w:ind w:firstLineChars="0"/>
        <w:rPr>
          <w:rFonts w:ascii="Times New Roman" w:hAnsi="Times New Roman"/>
          <w:b/>
          <w:sz w:val="24"/>
          <w:szCs w:val="24"/>
        </w:rPr>
      </w:pPr>
      <w:r>
        <w:rPr>
          <w:rFonts w:ascii="Times New Roman" w:hAnsi="Times New Roman"/>
          <w:b/>
          <w:sz w:val="24"/>
          <w:szCs w:val="24"/>
        </w:rPr>
        <w:t>标准编制的原则和主要内容的确定依据</w:t>
      </w:r>
    </w:p>
    <w:p>
      <w:pPr>
        <w:pStyle w:val="15"/>
        <w:spacing w:line="360" w:lineRule="auto"/>
        <w:ind w:left="420" w:firstLine="0" w:firstLineChars="0"/>
        <w:rPr>
          <w:rFonts w:ascii="Times New Roman" w:hAnsi="Times New Roman"/>
          <w:b/>
          <w:sz w:val="24"/>
          <w:szCs w:val="24"/>
        </w:rPr>
      </w:pPr>
      <w:r>
        <w:rPr>
          <w:rFonts w:ascii="Times New Roman" w:hAnsi="Times New Roman"/>
          <w:b/>
          <w:sz w:val="24"/>
          <w:szCs w:val="24"/>
        </w:rPr>
        <w:t>1、编制原则</w:t>
      </w:r>
    </w:p>
    <w:p>
      <w:pPr>
        <w:pStyle w:val="15"/>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标准的编写格式按国家标准GB/T 1.1-2</w:t>
      </w:r>
      <w:r>
        <w:rPr>
          <w:rFonts w:hint="eastAsia" w:ascii="Times New Roman" w:hAnsi="Times New Roman"/>
          <w:sz w:val="24"/>
          <w:szCs w:val="24"/>
          <w:lang w:val="en-US" w:eastAsia="zh-CN"/>
        </w:rPr>
        <w:t>020</w:t>
      </w:r>
      <w:r>
        <w:rPr>
          <w:rFonts w:ascii="Times New Roman" w:hAnsi="Times New Roman"/>
          <w:sz w:val="24"/>
          <w:szCs w:val="24"/>
        </w:rPr>
        <w:t>《标准化工作导则  第1部分：标准的结构和编写》的统一规定和要求进行编写。</w:t>
      </w:r>
    </w:p>
    <w:p>
      <w:pPr>
        <w:pStyle w:val="15"/>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根据</w:t>
      </w:r>
      <w:r>
        <w:rPr>
          <w:rFonts w:hint="eastAsia" w:ascii="Times New Roman" w:hAnsi="Times New Roman"/>
          <w:sz w:val="24"/>
          <w:szCs w:val="24"/>
          <w:lang w:val="en-US" w:eastAsia="zh-CN"/>
        </w:rPr>
        <w:t>高纯镓</w:t>
      </w:r>
      <w:r>
        <w:rPr>
          <w:rFonts w:ascii="Times New Roman" w:hAnsi="Times New Roman"/>
          <w:sz w:val="24"/>
          <w:szCs w:val="24"/>
        </w:rPr>
        <w:t>最新的产品分类编写。</w:t>
      </w:r>
    </w:p>
    <w:p>
      <w:pPr>
        <w:pStyle w:val="15"/>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根据</w:t>
      </w:r>
      <w:r>
        <w:rPr>
          <w:rFonts w:hint="eastAsia" w:ascii="Times New Roman" w:hAnsi="Times New Roman"/>
          <w:sz w:val="24"/>
          <w:szCs w:val="24"/>
          <w:lang w:val="en-US" w:eastAsia="zh-CN"/>
        </w:rPr>
        <w:t>需求厂家</w:t>
      </w:r>
      <w:r>
        <w:rPr>
          <w:rFonts w:ascii="Times New Roman" w:hAnsi="Times New Roman"/>
          <w:sz w:val="24"/>
          <w:szCs w:val="24"/>
        </w:rPr>
        <w:t>对</w:t>
      </w:r>
      <w:r>
        <w:rPr>
          <w:rFonts w:hint="eastAsia" w:ascii="Times New Roman" w:hAnsi="Times New Roman"/>
          <w:sz w:val="24"/>
          <w:szCs w:val="24"/>
          <w:lang w:val="en-US" w:eastAsia="zh-CN"/>
        </w:rPr>
        <w:t>高纯镓</w:t>
      </w:r>
      <w:r>
        <w:rPr>
          <w:rFonts w:ascii="Times New Roman" w:hAnsi="Times New Roman"/>
          <w:sz w:val="24"/>
          <w:szCs w:val="24"/>
        </w:rPr>
        <w:t>的最新要求进行编写。</w:t>
      </w:r>
    </w:p>
    <w:p>
      <w:pPr>
        <w:spacing w:line="360" w:lineRule="auto"/>
        <w:ind w:firstLine="482" w:firstLineChars="200"/>
        <w:rPr>
          <w:rFonts w:ascii="Times New Roman" w:hAnsi="Times New Roman"/>
          <w:b/>
          <w:bCs/>
          <w:sz w:val="24"/>
          <w:szCs w:val="24"/>
        </w:rPr>
      </w:pPr>
      <w:r>
        <w:rPr>
          <w:rFonts w:ascii="Times New Roman" w:hAnsi="Times New Roman"/>
          <w:b/>
          <w:bCs/>
          <w:sz w:val="24"/>
          <w:szCs w:val="24"/>
        </w:rPr>
        <w:t>2、主要内容的确定依据</w:t>
      </w:r>
    </w:p>
    <w:p>
      <w:pPr>
        <w:spacing w:line="360" w:lineRule="auto"/>
        <w:ind w:firstLine="480" w:firstLineChars="200"/>
        <w:rPr>
          <w:rFonts w:ascii="Times New Roman" w:hAnsi="Times New Roman"/>
          <w:sz w:val="24"/>
          <w:szCs w:val="24"/>
        </w:rPr>
      </w:pPr>
      <w:r>
        <w:rPr>
          <w:rFonts w:ascii="Times New Roman" w:hAnsi="Times New Roman"/>
          <w:sz w:val="24"/>
          <w:szCs w:val="24"/>
        </w:rPr>
        <w:t>本标准主要内容如下：</w:t>
      </w:r>
    </w:p>
    <w:p>
      <w:pPr>
        <w:pStyle w:val="15"/>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更改了原标准1范围中文件的适用范围界限，将原标准中“本文件适用于以纯度不小于99.99%的工业镓为原料，经电解精炼、拉制单晶或其他提纯工艺制得的纯度不小于99.9999%的镓”，改为“本文件适用于纯度不小于99.9999%的高纯镓的生产、检测及质量评价”，主要原因：根据GB/T1.1-2020 8.5范围中的规定，文件的适用界限是指文件适用的领域和使用者，而不是标准化对象。</w:t>
      </w:r>
    </w:p>
    <w:p>
      <w:pPr>
        <w:pStyle w:val="15"/>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更改了原标准1</w:t>
      </w:r>
      <w:r>
        <w:rPr>
          <w:rFonts w:ascii="Times New Roman" w:hAnsi="Times New Roman"/>
          <w:sz w:val="24"/>
          <w:szCs w:val="24"/>
        </w:rPr>
        <w:t>范围中</w:t>
      </w:r>
      <w:r>
        <w:rPr>
          <w:rFonts w:hint="eastAsia" w:ascii="Times New Roman" w:hAnsi="Times New Roman"/>
          <w:sz w:val="24"/>
          <w:szCs w:val="24"/>
          <w:lang w:val="en-US" w:eastAsia="zh-CN"/>
        </w:rPr>
        <w:t>的产品用途，将原标准中“</w:t>
      </w:r>
      <w:r>
        <w:rPr>
          <w:rFonts w:hint="eastAsia"/>
          <w:sz w:val="24"/>
          <w:szCs w:val="24"/>
        </w:rPr>
        <w:t>产品供制备化合物半导体材料和高纯合金</w:t>
      </w:r>
      <w:r>
        <w:rPr>
          <w:rFonts w:hint="eastAsia" w:ascii="Times New Roman" w:hAnsi="Times New Roman"/>
          <w:sz w:val="24"/>
          <w:szCs w:val="24"/>
          <w:lang w:val="en-US" w:eastAsia="zh-CN"/>
        </w:rPr>
        <w:t>”更改为“产品主要用于制备化合物半导体材料、高纯合金以及半导体材料的掺杂剂”。增加了作为半导体材料掺杂剂的用途，高纯镓作为半导体材料的掺杂剂被广泛采用，如在锗单晶中掺杂镓可以制作成p型锗单晶，被用于制作空间太阳能电池衬底，来制备三结太阳能电池，具有抗辐射、发光效率高等优点，被广泛用于空间飞行器的电源；在硅单晶掺杂镓元素可以制作成p型硅单晶，制作的光伏电池会减少光衰和提高发光效率。</w:t>
      </w:r>
    </w:p>
    <w:p>
      <w:pPr>
        <w:pStyle w:val="15"/>
        <w:numPr>
          <w:ilvl w:val="0"/>
          <w:numId w:val="4"/>
        </w:numPr>
        <w:spacing w:line="360" w:lineRule="auto"/>
        <w:ind w:left="0" w:firstLine="420" w:firstLineChars="0"/>
        <w:rPr>
          <w:rFonts w:ascii="Times New Roman" w:hAnsi="Times New Roman"/>
          <w:sz w:val="24"/>
          <w:szCs w:val="24"/>
        </w:rPr>
      </w:pPr>
      <w:r>
        <w:rPr>
          <w:rFonts w:hint="eastAsia" w:ascii="Times New Roman" w:hAnsi="Times New Roman"/>
          <w:sz w:val="24"/>
          <w:szCs w:val="24"/>
          <w:lang w:val="en-US" w:eastAsia="zh-CN"/>
        </w:rPr>
        <w:t>更改了原标准</w:t>
      </w:r>
      <w:r>
        <w:rPr>
          <w:rFonts w:ascii="Times New Roman" w:hAnsi="Times New Roman"/>
          <w:sz w:val="24"/>
          <w:szCs w:val="24"/>
        </w:rPr>
        <w:t>2 规范性引用文件</w:t>
      </w:r>
      <w:r>
        <w:rPr>
          <w:rFonts w:hint="eastAsia" w:ascii="Times New Roman" w:hAnsi="Times New Roman"/>
          <w:sz w:val="24"/>
          <w:szCs w:val="24"/>
          <w:lang w:eastAsia="zh-CN"/>
        </w:rPr>
        <w:t>，</w:t>
      </w:r>
      <w:r>
        <w:rPr>
          <w:rFonts w:ascii="Times New Roman" w:hAnsi="Times New Roman"/>
          <w:sz w:val="24"/>
          <w:szCs w:val="24"/>
        </w:rPr>
        <w:t>增加了</w:t>
      </w:r>
      <w:r>
        <w:rPr>
          <w:rFonts w:hint="eastAsia" w:ascii="Times New Roman" w:hAnsi="Times New Roman"/>
          <w:sz w:val="24"/>
          <w:szCs w:val="24"/>
          <w:lang w:eastAsia="zh-CN"/>
        </w:rPr>
        <w:t>“</w:t>
      </w:r>
      <w:r>
        <w:rPr>
          <w:rFonts w:ascii="Times New Roman" w:hAnsi="Times New Roman"/>
          <w:sz w:val="24"/>
          <w:szCs w:val="24"/>
        </w:rPr>
        <w:t>GB/</w:t>
      </w:r>
      <w:r>
        <w:rPr>
          <w:rFonts w:hint="eastAsia" w:ascii="Times New Roman" w:hAnsi="Times New Roman"/>
          <w:sz w:val="24"/>
          <w:szCs w:val="24"/>
          <w:lang w:val="en-US" w:eastAsia="zh-CN"/>
        </w:rPr>
        <w:t>T 8170数值修约规则与极限数值的表示和判定”，根据数值修约规则，对测试数据的修约处理提供了明确的依据，减少了供需双方的争议。增加了GB12463危险货物运输包装通用技术条件、GB/T15428化学品安全标签编写规定、GB/T16483化学安全技术说明书内容和项目顺序等三个引用文件，主要原因：在2015年颁布的</w:t>
      </w:r>
      <w:r>
        <w:rPr>
          <w:rFonts w:hint="eastAsia" w:ascii="宋体" w:hAnsi="宋体" w:eastAsia="宋体" w:cs="宋体"/>
          <w:sz w:val="24"/>
          <w:szCs w:val="24"/>
          <w:lang w:val="en-US" w:eastAsia="zh-CN"/>
        </w:rPr>
        <w:t>《</w:t>
      </w:r>
      <w:r>
        <w:rPr>
          <w:rFonts w:hint="eastAsia" w:ascii="Times New Roman" w:hAnsi="Times New Roman"/>
          <w:sz w:val="24"/>
          <w:szCs w:val="24"/>
          <w:lang w:val="en-US" w:eastAsia="zh-CN"/>
        </w:rPr>
        <w:t>危险化学品目录</w:t>
      </w:r>
      <w:r>
        <w:rPr>
          <w:rFonts w:hint="eastAsia" w:ascii="宋体" w:hAnsi="宋体" w:eastAsia="宋体" w:cs="宋体"/>
          <w:sz w:val="24"/>
          <w:szCs w:val="24"/>
          <w:lang w:val="en-US" w:eastAsia="zh-CN"/>
        </w:rPr>
        <w:t>》</w:t>
      </w:r>
      <w:r>
        <w:rPr>
          <w:rFonts w:hint="eastAsia" w:ascii="Times New Roman" w:hAnsi="Times New Roman"/>
          <w:sz w:val="24"/>
          <w:szCs w:val="24"/>
          <w:lang w:val="en-US" w:eastAsia="zh-CN"/>
        </w:rPr>
        <w:t>中，镓被列入其中，所以高纯镓的包装、运输等都要严格的按照相应的国家标准和法律法规执行。增加了“YS/T 38.3高纯镓化学分析方法”文件，原标准中规定：对于7N及MBE级高纯镓的试验方法采用GDMS法，仅提供了资料性附录，附录中提及的GDMS法测定高纯镓中杂质元素含量的操作规范过于简单，不具备可操作性，目前采用辉光放电质谱法测定高纯镓中杂质元素含量的测试方法已经制定，即将颁布，故本次标准修订对于7N、8N高纯镓的试验方法采用YS/T38.3规定的方法。</w:t>
      </w:r>
    </w:p>
    <w:p>
      <w:pPr>
        <w:pStyle w:val="15"/>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增加3 术语和定义章节，使标准的结构更加完整。</w:t>
      </w:r>
    </w:p>
    <w:p>
      <w:pPr>
        <w:pStyle w:val="15"/>
        <w:numPr>
          <w:ilvl w:val="0"/>
          <w:numId w:val="4"/>
        </w:numPr>
        <w:spacing w:line="360" w:lineRule="auto"/>
        <w:ind w:left="0" w:firstLine="480"/>
        <w:rPr>
          <w:rFonts w:ascii="Times New Roman" w:hAnsi="Times New Roman"/>
          <w:color w:val="FF0000"/>
          <w:sz w:val="24"/>
          <w:szCs w:val="24"/>
        </w:rPr>
      </w:pPr>
      <w:r>
        <w:rPr>
          <w:rFonts w:hint="eastAsia" w:ascii="Times New Roman" w:hAnsi="Times New Roman"/>
          <w:sz w:val="24"/>
          <w:szCs w:val="24"/>
          <w:lang w:val="en-US" w:eastAsia="zh-CN"/>
        </w:rPr>
        <w:t>增加4 分类章节，将原标准3.1 产品分类纳入4 分类章节中，并更改了高纯镓的命名，Ga-06改为Ga6N,Ga-07改为Ga7N,MBE级改为Ga8N。关于高纯金属的命名规则，没有相应的国家标准，查阅</w:t>
      </w:r>
      <w:r>
        <w:rPr>
          <w:rFonts w:ascii="Times New Roman" w:eastAsia="宋体"/>
          <w:sz w:val="24"/>
          <w:szCs w:val="24"/>
        </w:rPr>
        <w:t>《</w:t>
      </w:r>
      <w:r>
        <w:rPr>
          <w:rFonts w:hint="eastAsia" w:ascii="Times New Roman" w:hAnsi="Times New Roman"/>
          <w:sz w:val="24"/>
          <w:szCs w:val="24"/>
          <w:lang w:val="en-US" w:eastAsia="zh-CN"/>
        </w:rPr>
        <w:t>高纯铜</w:t>
      </w:r>
      <w:r>
        <w:rPr>
          <w:rFonts w:ascii="Times New Roman" w:hAnsi="Times New Roman"/>
          <w:sz w:val="24"/>
          <w:szCs w:val="24"/>
        </w:rPr>
        <w:t>》</w:t>
      </w:r>
      <w:r>
        <w:rPr>
          <w:rFonts w:hint="eastAsia" w:ascii="Times New Roman" w:hAnsi="Times New Roman"/>
          <w:sz w:val="24"/>
          <w:szCs w:val="24"/>
          <w:lang w:val="en-US" w:eastAsia="zh-CN"/>
        </w:rPr>
        <w:t>、</w:t>
      </w:r>
      <w:r>
        <w:rPr>
          <w:rFonts w:ascii="Times New Roman" w:eastAsia="宋体"/>
          <w:sz w:val="24"/>
          <w:szCs w:val="24"/>
        </w:rPr>
        <w:t>《</w:t>
      </w:r>
      <w:r>
        <w:rPr>
          <w:rFonts w:hint="eastAsia" w:ascii="Times New Roman" w:hAnsi="Times New Roman"/>
          <w:sz w:val="24"/>
          <w:szCs w:val="24"/>
          <w:lang w:val="en-US" w:eastAsia="zh-CN"/>
        </w:rPr>
        <w:t>高纯镍</w:t>
      </w:r>
      <w:r>
        <w:rPr>
          <w:rFonts w:ascii="Times New Roman" w:hAnsi="Times New Roman"/>
          <w:sz w:val="24"/>
          <w:szCs w:val="24"/>
        </w:rPr>
        <w:t>》</w:t>
      </w:r>
      <w:r>
        <w:rPr>
          <w:rFonts w:hint="eastAsia" w:ascii="Times New Roman" w:hAnsi="Times New Roman"/>
          <w:sz w:val="24"/>
          <w:szCs w:val="24"/>
          <w:lang w:val="en-US" w:eastAsia="zh-CN"/>
        </w:rPr>
        <w:t>国家标准及</w:t>
      </w:r>
      <w:r>
        <w:rPr>
          <w:rFonts w:ascii="Times New Roman" w:eastAsia="宋体"/>
          <w:sz w:val="24"/>
          <w:szCs w:val="24"/>
        </w:rPr>
        <w:t>《</w:t>
      </w:r>
      <w:r>
        <w:rPr>
          <w:rFonts w:hint="eastAsia" w:ascii="Times New Roman" w:hAnsi="Times New Roman"/>
          <w:sz w:val="24"/>
          <w:szCs w:val="24"/>
          <w:lang w:val="en-US" w:eastAsia="zh-CN"/>
        </w:rPr>
        <w:t>镓</w:t>
      </w:r>
      <w:r>
        <w:rPr>
          <w:rFonts w:ascii="Times New Roman" w:hAnsi="Times New Roman"/>
          <w:sz w:val="24"/>
          <w:szCs w:val="24"/>
        </w:rPr>
        <w:t>》</w:t>
      </w:r>
      <w:r>
        <w:rPr>
          <w:rFonts w:hint="eastAsia" w:ascii="Times New Roman" w:hAnsi="Times New Roman"/>
          <w:sz w:val="24"/>
          <w:szCs w:val="24"/>
          <w:lang w:val="en-US" w:eastAsia="zh-CN"/>
        </w:rPr>
        <w:t>国家标准对类别的命名不尽相同，参考了现行</w:t>
      </w:r>
      <w:r>
        <w:rPr>
          <w:rFonts w:ascii="Times New Roman" w:eastAsia="宋体"/>
          <w:sz w:val="24"/>
          <w:szCs w:val="24"/>
        </w:rPr>
        <w:t>《</w:t>
      </w:r>
      <w:r>
        <w:rPr>
          <w:rFonts w:hint="eastAsia" w:ascii="Times New Roman" w:hAnsi="Times New Roman"/>
          <w:sz w:val="24"/>
          <w:szCs w:val="24"/>
          <w:lang w:val="en-US" w:eastAsia="zh-CN"/>
        </w:rPr>
        <w:t>镓</w:t>
      </w:r>
      <w:r>
        <w:rPr>
          <w:rFonts w:ascii="Times New Roman" w:hAnsi="Times New Roman"/>
          <w:sz w:val="24"/>
          <w:szCs w:val="24"/>
        </w:rPr>
        <w:t>》</w:t>
      </w:r>
      <w:r>
        <w:rPr>
          <w:rFonts w:hint="eastAsia" w:ascii="Times New Roman" w:hAnsi="Times New Roman"/>
          <w:sz w:val="24"/>
          <w:szCs w:val="24"/>
          <w:lang w:val="en-US" w:eastAsia="zh-CN"/>
        </w:rPr>
        <w:t>国家标准中对产品的命名规则，该命名可以直观的区分不同纯度的高纯镓。</w:t>
      </w:r>
    </w:p>
    <w:p>
      <w:pPr>
        <w:pStyle w:val="15"/>
        <w:numPr>
          <w:ilvl w:val="0"/>
          <w:numId w:val="4"/>
        </w:numPr>
        <w:spacing w:line="360" w:lineRule="auto"/>
        <w:ind w:left="0" w:firstLine="480"/>
        <w:rPr>
          <w:rFonts w:ascii="Times New Roman" w:hAnsi="Times New Roman"/>
          <w:color w:val="FF0000"/>
          <w:sz w:val="24"/>
          <w:szCs w:val="24"/>
        </w:rPr>
      </w:pPr>
      <w:r>
        <w:rPr>
          <w:rFonts w:hint="eastAsia" w:ascii="Times New Roman" w:hAnsi="Times New Roman"/>
          <w:color w:val="auto"/>
          <w:sz w:val="24"/>
          <w:szCs w:val="24"/>
          <w:lang w:val="en-US" w:eastAsia="zh-CN"/>
        </w:rPr>
        <w:t>增加5 要求章节，将原标准3.2 化学成分章节纳入5 要求章节中，并对Ga6N、Ga7N、Ga8N高纯镓的杂质种类和杂质含量进行了修订，具体情况如下：</w:t>
      </w:r>
    </w:p>
    <w:p>
      <w:pPr>
        <w:pStyle w:val="15"/>
        <w:numPr>
          <w:ilvl w:val="0"/>
          <w:numId w:val="0"/>
        </w:numPr>
        <w:spacing w:line="360" w:lineRule="auto"/>
        <w:ind w:leftChars="200"/>
        <w:rPr>
          <w:rFonts w:hint="default" w:ascii="Times New Roman" w:hAnsi="Times New Roman"/>
          <w:color w:val="FF0000"/>
          <w:sz w:val="24"/>
          <w:szCs w:val="24"/>
          <w:lang w:val="en-US"/>
        </w:rPr>
      </w:pPr>
      <w:r>
        <w:rPr>
          <w:rFonts w:hint="eastAsia" w:ascii="Times New Roman" w:hAnsi="Times New Roman"/>
          <w:color w:val="auto"/>
          <w:sz w:val="24"/>
          <w:szCs w:val="24"/>
          <w:lang w:val="en-US" w:eastAsia="zh-CN"/>
        </w:rPr>
        <w:t>一、Ga6N和Ga7N高纯镓：</w:t>
      </w:r>
    </w:p>
    <w:p>
      <w:pPr>
        <w:pStyle w:val="15"/>
        <w:numPr>
          <w:ilvl w:val="0"/>
          <w:numId w:val="0"/>
        </w:numPr>
        <w:spacing w:line="360" w:lineRule="auto"/>
        <w:ind w:leftChars="200"/>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表1：Ga6N修订前后杂质种类及含量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杂质种类</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杂质含量（原标准）(ng/g)</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杂质含量（拟修订）(ng/g)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Fe</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Si</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Pb</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Zn</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Sn</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Mg</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Cu</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Mn</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Cr</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Ni</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Al</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Na</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Hg</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Ca</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K</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In</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As</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20</w:t>
            </w:r>
          </w:p>
        </w:tc>
      </w:tr>
    </w:tbl>
    <w:p>
      <w:pPr>
        <w:pStyle w:val="15"/>
        <w:numPr>
          <w:ilvl w:val="0"/>
          <w:numId w:val="0"/>
        </w:numPr>
        <w:spacing w:line="360" w:lineRule="auto"/>
        <w:jc w:val="both"/>
        <w:rPr>
          <w:rFonts w:hint="default" w:ascii="Times New Roman" w:hAnsi="Times New Roman"/>
          <w:color w:val="auto"/>
          <w:sz w:val="24"/>
          <w:szCs w:val="24"/>
          <w:lang w:val="en-US" w:eastAsia="zh-CN"/>
        </w:rPr>
      </w:pPr>
    </w:p>
    <w:p>
      <w:pPr>
        <w:pStyle w:val="15"/>
        <w:numPr>
          <w:ilvl w:val="0"/>
          <w:numId w:val="0"/>
        </w:numPr>
        <w:spacing w:line="360" w:lineRule="auto"/>
        <w:ind w:leftChars="200"/>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表2：Ga7N修订前后杂质种类及含量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杂质种类</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杂质含量（原标准）(ng/g)</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杂质含量（拟修订）(ng/g)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Fe</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Si</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Pb</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Zn</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Sn</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Mg</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Cu</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Mn</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Cr</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Ni</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5"/>
              <w:numPr>
                <w:ilvl w:val="0"/>
                <w:numId w:val="0"/>
              </w:numPr>
              <w:spacing w:line="360" w:lineRule="auto"/>
              <w:ind w:left="0" w:leftChars="0" w:firstLine="0" w:firstLine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Na</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5"/>
              <w:numPr>
                <w:ilvl w:val="0"/>
                <w:numId w:val="0"/>
              </w:numPr>
              <w:spacing w:line="360" w:lineRule="auto"/>
              <w:ind w:left="0" w:leftChars="0" w:firstLine="0" w:firstLine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Ca</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5"/>
              <w:numPr>
                <w:ilvl w:val="0"/>
                <w:numId w:val="0"/>
              </w:numPr>
              <w:spacing w:line="360" w:lineRule="auto"/>
              <w:ind w:left="0" w:leftChars="0" w:firstLine="0" w:firstLine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Al</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5"/>
              <w:numPr>
                <w:ilvl w:val="0"/>
                <w:numId w:val="0"/>
              </w:numPr>
              <w:spacing w:line="360" w:lineRule="auto"/>
              <w:ind w:left="0" w:leftChars="0" w:firstLine="0" w:firstLineChars="0"/>
              <w:jc w:val="center"/>
              <w:rPr>
                <w:rFonts w:hint="default"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auto"/>
                <w:kern w:val="2"/>
                <w:sz w:val="24"/>
                <w:szCs w:val="24"/>
                <w:vertAlign w:val="baseline"/>
                <w:lang w:val="en-US" w:eastAsia="zh-CN" w:bidi="ar-SA"/>
              </w:rPr>
              <w:t>Hg</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5"/>
              <w:numPr>
                <w:ilvl w:val="0"/>
                <w:numId w:val="0"/>
              </w:numPr>
              <w:spacing w:line="360" w:lineRule="auto"/>
              <w:ind w:left="0" w:leftChars="0" w:firstLine="0" w:firstLine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olor w:val="auto"/>
                <w:sz w:val="24"/>
                <w:szCs w:val="24"/>
                <w:vertAlign w:val="baseline"/>
                <w:lang w:val="en-US" w:eastAsia="zh-CN"/>
              </w:rPr>
              <w:t>S</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5"/>
              <w:numPr>
                <w:ilvl w:val="0"/>
                <w:numId w:val="0"/>
              </w:numPr>
              <w:spacing w:line="360" w:lineRule="auto"/>
              <w:ind w:left="0" w:leftChars="0" w:firstLine="0" w:firstLine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olor w:val="auto"/>
                <w:sz w:val="24"/>
                <w:szCs w:val="24"/>
                <w:vertAlign w:val="baseline"/>
                <w:lang w:val="en-US" w:eastAsia="zh-CN"/>
              </w:rPr>
              <w:t>K</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5"/>
              <w:numPr>
                <w:ilvl w:val="0"/>
                <w:numId w:val="0"/>
              </w:numPr>
              <w:spacing w:line="360" w:lineRule="auto"/>
              <w:ind w:left="0" w:leftChars="0" w:firstLine="0" w:firstLine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olor w:val="auto"/>
                <w:sz w:val="24"/>
                <w:szCs w:val="24"/>
                <w:vertAlign w:val="baseline"/>
                <w:lang w:val="en-US" w:eastAsia="zh-CN"/>
              </w:rPr>
              <w:t>In</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top"/>
          </w:tcPr>
          <w:p>
            <w:pPr>
              <w:pStyle w:val="15"/>
              <w:numPr>
                <w:ilvl w:val="0"/>
                <w:numId w:val="0"/>
              </w:numPr>
              <w:spacing w:line="360" w:lineRule="auto"/>
              <w:ind w:left="0" w:leftChars="0" w:firstLine="0" w:firstLineChars="0"/>
              <w:jc w:val="center"/>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olor w:val="auto"/>
                <w:sz w:val="24"/>
                <w:szCs w:val="24"/>
                <w:vertAlign w:val="baseline"/>
                <w:lang w:val="en-US" w:eastAsia="zh-CN"/>
              </w:rPr>
              <w:t>As</w:t>
            </w:r>
          </w:p>
        </w:tc>
        <w:tc>
          <w:tcPr>
            <w:tcW w:w="3209"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w:t>
            </w:r>
          </w:p>
        </w:tc>
        <w:tc>
          <w:tcPr>
            <w:tcW w:w="3210" w:type="dxa"/>
          </w:tcPr>
          <w:p>
            <w:pPr>
              <w:pStyle w:val="15"/>
              <w:numPr>
                <w:ilvl w:val="0"/>
                <w:numId w:val="0"/>
              </w:numPr>
              <w:spacing w:line="360" w:lineRule="auto"/>
              <w:jc w:val="center"/>
              <w:rPr>
                <w:rFonts w:hint="default" w:ascii="Times New Roman" w:hAnsi="Times New Roman"/>
                <w:color w:val="auto"/>
                <w:sz w:val="24"/>
                <w:szCs w:val="24"/>
                <w:vertAlign w:val="baseline"/>
                <w:lang w:val="en-US" w:eastAsia="zh-CN"/>
              </w:rPr>
            </w:pPr>
            <w:r>
              <w:rPr>
                <w:rFonts w:hint="eastAsia" w:ascii="Times New Roman" w:hAnsi="Times New Roman"/>
                <w:color w:val="auto"/>
                <w:sz w:val="24"/>
                <w:szCs w:val="24"/>
                <w:vertAlign w:val="baseline"/>
                <w:lang w:val="en-US" w:eastAsia="zh-CN"/>
              </w:rPr>
              <w:t>5</w:t>
            </w:r>
          </w:p>
        </w:tc>
      </w:tr>
    </w:tbl>
    <w:p>
      <w:pPr>
        <w:pStyle w:val="15"/>
        <w:numPr>
          <w:ilvl w:val="0"/>
          <w:numId w:val="0"/>
        </w:numPr>
        <w:spacing w:line="360" w:lineRule="auto"/>
        <w:jc w:val="both"/>
        <w:rPr>
          <w:rFonts w:hint="eastAsia" w:ascii="Times New Roman" w:hAnsi="Times New Roman"/>
          <w:color w:val="auto"/>
          <w:sz w:val="24"/>
          <w:szCs w:val="24"/>
          <w:lang w:val="en-US" w:eastAsia="zh-CN"/>
        </w:rPr>
      </w:pPr>
    </w:p>
    <w:p>
      <w:pPr>
        <w:pStyle w:val="15"/>
        <w:numPr>
          <w:ilvl w:val="0"/>
          <w:numId w:val="0"/>
        </w:numPr>
        <w:spacing w:line="360" w:lineRule="auto"/>
        <w:jc w:val="both"/>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 xml:space="preserve">    （一）、客户对高纯镓中杂质的要求：</w:t>
      </w:r>
    </w:p>
    <w:p>
      <w:pPr>
        <w:pStyle w:val="15"/>
        <w:numPr>
          <w:ilvl w:val="0"/>
          <w:numId w:val="0"/>
        </w:numPr>
        <w:spacing w:line="360" w:lineRule="auto"/>
        <w:ind w:firstLine="480" w:firstLineChars="200"/>
        <w:jc w:val="both"/>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在6N高纯镓杂质种类中，增加了Al  、Hg 、S、 K、 In、 As、Na、Ca等8个元素，主要原因是：以砷化镓为例，K、Hg、Na、Ca 元素在砷化镓中会引入受主能级，起受主作用，在n型砷化镓中该杂质产生补偿作用，影响发光效率；S元素在砷化镓中会引入施主能级，起施主作用，影响载流子浓度和电子迁移率；对于Ga6N中杂质含量的控制，我们以光电器件用砷化镓举例进行计算,对于制作红外LED的n型砷化镓衬底，一般要求载流子浓度在（10</w:t>
      </w:r>
      <w:r>
        <w:rPr>
          <w:rFonts w:hint="eastAsia" w:ascii="Times New Roman" w:hAnsi="Times New Roman"/>
          <w:color w:val="auto"/>
          <w:sz w:val="24"/>
          <w:szCs w:val="24"/>
          <w:vertAlign w:val="superscript"/>
          <w:lang w:val="en-US" w:eastAsia="zh-CN"/>
        </w:rPr>
        <w:t>16</w:t>
      </w:r>
      <w:r>
        <w:rPr>
          <w:rFonts w:hint="eastAsia" w:ascii="Times New Roman" w:hAnsi="Times New Roman"/>
          <w:color w:val="auto"/>
          <w:sz w:val="24"/>
          <w:szCs w:val="24"/>
          <w:lang w:val="en-US" w:eastAsia="zh-CN"/>
        </w:rPr>
        <w:t>-10</w:t>
      </w:r>
      <w:r>
        <w:rPr>
          <w:rFonts w:hint="eastAsia" w:ascii="Times New Roman" w:hAnsi="Times New Roman"/>
          <w:color w:val="auto"/>
          <w:sz w:val="24"/>
          <w:szCs w:val="24"/>
          <w:vertAlign w:val="superscript"/>
          <w:lang w:val="en-US" w:eastAsia="zh-CN"/>
        </w:rPr>
        <w:t>17</w:t>
      </w:r>
      <w:r>
        <w:rPr>
          <w:rFonts w:hint="eastAsia" w:ascii="Times New Roman" w:hAnsi="Times New Roman"/>
          <w:color w:val="auto"/>
          <w:sz w:val="24"/>
          <w:szCs w:val="24"/>
          <w:lang w:val="en-US" w:eastAsia="zh-CN"/>
        </w:rPr>
        <w:t>）/cm</w:t>
      </w:r>
      <w:r>
        <w:rPr>
          <w:rFonts w:hint="eastAsia" w:ascii="Times New Roman" w:hAnsi="Times New Roman"/>
          <w:color w:val="auto"/>
          <w:sz w:val="24"/>
          <w:szCs w:val="24"/>
          <w:vertAlign w:val="superscript"/>
          <w:lang w:val="en-US" w:eastAsia="zh-CN"/>
        </w:rPr>
        <w:t>3</w:t>
      </w:r>
      <w:r>
        <w:rPr>
          <w:rFonts w:hint="eastAsia" w:ascii="Times New Roman" w:hAnsi="Times New Roman"/>
          <w:color w:val="auto"/>
          <w:sz w:val="24"/>
          <w:szCs w:val="24"/>
          <w:lang w:val="en-US" w:eastAsia="zh-CN"/>
        </w:rPr>
        <w:t>之间，可以拿杂质Zn元素举例，Zn元素在砷化镓中是受主杂质，如取1克砷化镓晶体，设Zn元素的含量为1ng/g(ppb)，为计算方便，假设电子全部电离的情况下，Zn元素引入的载流子浓度为：(10</w:t>
      </w:r>
      <w:r>
        <w:rPr>
          <w:rFonts w:hint="eastAsia" w:ascii="Times New Roman" w:hAnsi="Times New Roman"/>
          <w:color w:val="auto"/>
          <w:sz w:val="24"/>
          <w:szCs w:val="24"/>
          <w:vertAlign w:val="superscript"/>
          <w:lang w:val="en-US" w:eastAsia="zh-CN"/>
        </w:rPr>
        <w:t>-9</w:t>
      </w:r>
      <w:r>
        <w:rPr>
          <w:rFonts w:hint="eastAsia" w:ascii="Times New Roman" w:hAnsi="Times New Roman"/>
          <w:color w:val="auto"/>
          <w:sz w:val="24"/>
          <w:szCs w:val="24"/>
          <w:lang w:val="en-US" w:eastAsia="zh-CN"/>
        </w:rPr>
        <w:t>/65)*6.02*10</w:t>
      </w:r>
      <w:r>
        <w:rPr>
          <w:rFonts w:hint="eastAsia" w:ascii="Times New Roman" w:hAnsi="Times New Roman"/>
          <w:color w:val="auto"/>
          <w:sz w:val="24"/>
          <w:szCs w:val="24"/>
          <w:vertAlign w:val="superscript"/>
          <w:lang w:val="en-US" w:eastAsia="zh-CN"/>
        </w:rPr>
        <w:t>23</w:t>
      </w:r>
      <w:r>
        <w:rPr>
          <w:rFonts w:hint="eastAsia" w:ascii="Times New Roman" w:hAnsi="Times New Roman"/>
          <w:color w:val="auto"/>
          <w:sz w:val="24"/>
          <w:szCs w:val="24"/>
          <w:lang w:val="en-US" w:eastAsia="zh-CN"/>
        </w:rPr>
        <w:t>/（1/5.3）=0.5*10</w:t>
      </w:r>
      <w:r>
        <w:rPr>
          <w:rFonts w:hint="eastAsia" w:ascii="Times New Roman" w:hAnsi="Times New Roman"/>
          <w:color w:val="auto"/>
          <w:sz w:val="24"/>
          <w:szCs w:val="24"/>
          <w:vertAlign w:val="superscript"/>
          <w:lang w:val="en-US" w:eastAsia="zh-CN"/>
        </w:rPr>
        <w:t>14</w:t>
      </w:r>
      <w:r>
        <w:rPr>
          <w:rFonts w:hint="eastAsia" w:ascii="Times New Roman" w:hAnsi="Times New Roman"/>
          <w:color w:val="auto"/>
          <w:sz w:val="24"/>
          <w:szCs w:val="24"/>
          <w:vertAlign w:val="baseline"/>
          <w:lang w:val="en-US" w:eastAsia="zh-CN"/>
        </w:rPr>
        <w:t>/cm</w:t>
      </w:r>
      <w:r>
        <w:rPr>
          <w:rFonts w:hint="eastAsia" w:ascii="Times New Roman" w:hAnsi="Times New Roman"/>
          <w:color w:val="auto"/>
          <w:sz w:val="24"/>
          <w:szCs w:val="24"/>
          <w:vertAlign w:val="superscript"/>
          <w:lang w:val="en-US" w:eastAsia="zh-CN"/>
        </w:rPr>
        <w:t>3</w:t>
      </w:r>
      <w:r>
        <w:rPr>
          <w:rFonts w:hint="eastAsia" w:ascii="Times New Roman" w:hAnsi="Times New Roman"/>
          <w:color w:val="auto"/>
          <w:sz w:val="24"/>
          <w:szCs w:val="24"/>
          <w:lang w:val="en-US" w:eastAsia="zh-CN"/>
        </w:rPr>
        <w:t>，砷化镓的密度：5.3，Zn的原子量：65，阿氏常数为：6.02*10</w:t>
      </w:r>
      <w:r>
        <w:rPr>
          <w:rFonts w:hint="eastAsia" w:ascii="Times New Roman" w:hAnsi="Times New Roman"/>
          <w:color w:val="auto"/>
          <w:sz w:val="24"/>
          <w:szCs w:val="24"/>
          <w:vertAlign w:val="superscript"/>
          <w:lang w:val="en-US" w:eastAsia="zh-CN"/>
        </w:rPr>
        <w:t>23</w:t>
      </w:r>
      <w:r>
        <w:rPr>
          <w:rFonts w:hint="eastAsia" w:ascii="Times New Roman" w:hAnsi="Times New Roman"/>
          <w:color w:val="auto"/>
          <w:sz w:val="24"/>
          <w:szCs w:val="24"/>
          <w:lang w:val="en-US" w:eastAsia="zh-CN"/>
        </w:rPr>
        <w:t>，假如杂质Zn元素的含量达到20ppb,则引入的载流子浓度为1*10</w:t>
      </w:r>
      <w:r>
        <w:rPr>
          <w:rFonts w:hint="eastAsia" w:ascii="Times New Roman" w:hAnsi="Times New Roman"/>
          <w:color w:val="auto"/>
          <w:sz w:val="24"/>
          <w:szCs w:val="24"/>
          <w:vertAlign w:val="superscript"/>
          <w:lang w:val="en-US" w:eastAsia="zh-CN"/>
        </w:rPr>
        <w:t>15</w:t>
      </w:r>
      <w:r>
        <w:rPr>
          <w:rFonts w:hint="eastAsia" w:ascii="Times New Roman" w:hAnsi="Times New Roman"/>
          <w:color w:val="auto"/>
          <w:sz w:val="24"/>
          <w:szCs w:val="24"/>
          <w:lang w:val="en-US" w:eastAsia="zh-CN"/>
        </w:rPr>
        <w:t>，与砷化镓中掺杂杂质的载流子浓度只差一个数量级，加之杂质元素不止Zn元素，这样杂质引入的载流子浓度与掺杂产生的载流子浓度很接近了，会严重影响产品的质量，所以砷化镓行业中，一般要求杂质元素的含量</w:t>
      </w:r>
      <w:r>
        <w:rPr>
          <w:rFonts w:hint="eastAsia" w:ascii="宋体" w:hAnsi="宋体" w:eastAsia="宋体" w:cs="宋体"/>
          <w:color w:val="auto"/>
          <w:sz w:val="24"/>
          <w:szCs w:val="24"/>
          <w:lang w:val="en-US" w:eastAsia="zh-CN"/>
        </w:rPr>
        <w:t>≦</w:t>
      </w:r>
      <w:r>
        <w:rPr>
          <w:rFonts w:hint="eastAsia" w:ascii="Times New Roman" w:hAnsi="Times New Roman"/>
          <w:color w:val="auto"/>
          <w:sz w:val="24"/>
          <w:szCs w:val="24"/>
          <w:lang w:val="en-US" w:eastAsia="zh-CN"/>
        </w:rPr>
        <w:t>20ppb。</w:t>
      </w:r>
    </w:p>
    <w:p>
      <w:pPr>
        <w:pStyle w:val="15"/>
        <w:numPr>
          <w:ilvl w:val="0"/>
          <w:numId w:val="0"/>
        </w:numPr>
        <w:spacing w:line="360" w:lineRule="auto"/>
        <w:ind w:firstLine="480" w:firstLineChars="200"/>
        <w:jc w:val="both"/>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在Ga7N高纯镓中，增加了Al 、Hg 、S、 K、 In、 As、 等6个元素，Ga7N高纯镓主要用于制备半绝缘砷化镓单晶和高纯合金，Al  、Hg 、S、 K、 In、在砷化镓中都为有害元素，必须加以控制； As在制备高纯合金时属于有害杂质。半绝缘砷化镓单晶主要用于微电子行业，制备高速、高频器件，要求材料的背景纯度较高，一般杂质元素含量</w:t>
      </w:r>
      <w:r>
        <w:rPr>
          <w:rFonts w:hint="eastAsia" w:ascii="宋体" w:hAnsi="宋体" w:eastAsia="宋体" w:cs="宋体"/>
          <w:color w:val="auto"/>
          <w:sz w:val="24"/>
          <w:szCs w:val="24"/>
          <w:lang w:val="en-US" w:eastAsia="zh-CN"/>
        </w:rPr>
        <w:t>≦</w:t>
      </w:r>
      <w:r>
        <w:rPr>
          <w:rFonts w:hint="eastAsia" w:ascii="Times New Roman" w:hAnsi="Times New Roman"/>
          <w:color w:val="auto"/>
          <w:sz w:val="24"/>
          <w:szCs w:val="24"/>
          <w:lang w:val="en-US" w:eastAsia="zh-CN"/>
        </w:rPr>
        <w:t xml:space="preserve">5ppb。     </w:t>
      </w:r>
    </w:p>
    <w:p>
      <w:pPr>
        <w:pStyle w:val="15"/>
        <w:numPr>
          <w:ilvl w:val="0"/>
          <w:numId w:val="0"/>
        </w:numPr>
        <w:spacing w:line="360" w:lineRule="auto"/>
        <w:ind w:firstLine="480" w:firstLineChars="200"/>
        <w:jc w:val="both"/>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从客户要求看，新修订的标准中关于杂质元素含量的规定，适用客户的需求。</w:t>
      </w:r>
    </w:p>
    <w:p>
      <w:pPr>
        <w:pStyle w:val="15"/>
        <w:numPr>
          <w:ilvl w:val="0"/>
          <w:numId w:val="0"/>
        </w:numPr>
        <w:spacing w:line="360" w:lineRule="auto"/>
        <w:jc w:val="both"/>
        <w:rPr>
          <w:rFonts w:hint="eastAsia" w:ascii="Times New Roman" w:hAnsi="Times New Roman"/>
          <w:color w:val="auto"/>
          <w:sz w:val="24"/>
          <w:szCs w:val="24"/>
          <w:lang w:val="en-US" w:eastAsia="zh-CN"/>
        </w:rPr>
      </w:pPr>
    </w:p>
    <w:p>
      <w:pPr>
        <w:pStyle w:val="15"/>
        <w:numPr>
          <w:ilvl w:val="0"/>
          <w:numId w:val="0"/>
        </w:numPr>
        <w:spacing w:line="360" w:lineRule="auto"/>
        <w:jc w:val="both"/>
        <w:rPr>
          <w:rFonts w:hint="eastAsia" w:ascii="Times New Roman" w:hAnsi="Times New Roman"/>
          <w:color w:val="auto"/>
          <w:sz w:val="24"/>
          <w:szCs w:val="24"/>
          <w:lang w:val="en-US" w:eastAsia="zh-CN"/>
        </w:rPr>
      </w:pPr>
    </w:p>
    <w:p>
      <w:pPr>
        <w:pStyle w:val="15"/>
        <w:numPr>
          <w:ilvl w:val="0"/>
          <w:numId w:val="0"/>
        </w:numPr>
        <w:spacing w:line="360" w:lineRule="auto"/>
        <w:jc w:val="both"/>
        <w:rPr>
          <w:rFonts w:hint="eastAsia" w:ascii="Times New Roman" w:hAnsi="Times New Roman"/>
          <w:color w:val="auto"/>
          <w:sz w:val="24"/>
          <w:szCs w:val="24"/>
          <w:lang w:val="en-US" w:eastAsia="zh-CN"/>
        </w:rPr>
      </w:pPr>
    </w:p>
    <w:p>
      <w:pPr>
        <w:pStyle w:val="15"/>
        <w:numPr>
          <w:ilvl w:val="0"/>
          <w:numId w:val="0"/>
        </w:numPr>
        <w:spacing w:line="360" w:lineRule="auto"/>
        <w:jc w:val="both"/>
        <w:rPr>
          <w:rFonts w:hint="eastAsia" w:ascii="Times New Roman" w:hAnsi="Times New Roman"/>
          <w:color w:val="auto"/>
          <w:sz w:val="24"/>
          <w:szCs w:val="24"/>
          <w:lang w:val="en-US" w:eastAsia="zh-CN"/>
        </w:rPr>
      </w:pPr>
    </w:p>
    <w:p>
      <w:pPr>
        <w:pStyle w:val="15"/>
        <w:numPr>
          <w:ilvl w:val="0"/>
          <w:numId w:val="0"/>
        </w:numPr>
        <w:spacing w:line="360" w:lineRule="auto"/>
        <w:jc w:val="both"/>
        <w:rPr>
          <w:rFonts w:hint="eastAsia" w:ascii="Times New Roman" w:hAnsi="Times New Roman"/>
          <w:color w:val="auto"/>
          <w:sz w:val="24"/>
          <w:szCs w:val="24"/>
          <w:lang w:val="en-US" w:eastAsia="zh-CN"/>
        </w:rPr>
        <w:sectPr>
          <w:footerReference r:id="rId3" w:type="default"/>
          <w:pgSz w:w="11906" w:h="16838"/>
          <w:pgMar w:top="1247" w:right="1247" w:bottom="1134" w:left="1247" w:header="851" w:footer="992" w:gutter="0"/>
          <w:pgNumType w:start="1"/>
          <w:cols w:space="720" w:num="1"/>
          <w:docGrid w:type="lines" w:linePitch="312" w:charSpace="0"/>
        </w:sectPr>
      </w:pPr>
    </w:p>
    <w:p>
      <w:pPr>
        <w:pStyle w:val="15"/>
        <w:numPr>
          <w:ilvl w:val="0"/>
          <w:numId w:val="0"/>
        </w:numPr>
        <w:spacing w:line="360" w:lineRule="auto"/>
        <w:ind w:firstLine="480" w:firstLineChars="200"/>
        <w:jc w:val="both"/>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（二）、国内主要生产厂家对高纯镓中杂质的控制水平</w:t>
      </w:r>
    </w:p>
    <w:p>
      <w:pPr>
        <w:pStyle w:val="15"/>
        <w:numPr>
          <w:ilvl w:val="0"/>
          <w:numId w:val="0"/>
        </w:numPr>
        <w:spacing w:line="360" w:lineRule="auto"/>
        <w:ind w:firstLine="480"/>
        <w:rPr>
          <w:rFonts w:hint="eastAsia" w:ascii="Times New Roman" w:hAnsi="Times New Roman"/>
          <w:sz w:val="24"/>
          <w:szCs w:val="24"/>
          <w:lang w:val="en-US" w:eastAsia="zh-CN"/>
        </w:rPr>
      </w:pPr>
      <w:r>
        <w:rPr>
          <w:rFonts w:hint="eastAsia" w:ascii="Times New Roman" w:hAnsi="Times New Roman"/>
          <w:sz w:val="24"/>
          <w:szCs w:val="24"/>
          <w:lang w:val="en-US" w:eastAsia="zh-CN"/>
        </w:rPr>
        <w:t>笔者调研了朝阳金美镓业有限公司、东方电气、武汉拓材、楚雄川至、株洲科能、云南锡业等国内主要的高纯镓生产单位在过去两年的生产中对杂质的控制情况：</w:t>
      </w:r>
    </w:p>
    <w:p>
      <w:pPr>
        <w:pStyle w:val="15"/>
        <w:numPr>
          <w:ilvl w:val="0"/>
          <w:numId w:val="0"/>
        </w:numPr>
        <w:spacing w:line="360" w:lineRule="auto"/>
        <w:ind w:firstLine="480"/>
        <w:rPr>
          <w:rFonts w:hint="default" w:ascii="Times New Roman" w:hAnsi="Times New Roman"/>
          <w:sz w:val="24"/>
          <w:szCs w:val="24"/>
          <w:lang w:val="en-US" w:eastAsia="zh-CN"/>
        </w:rPr>
      </w:pPr>
      <w:r>
        <w:rPr>
          <w:rFonts w:hint="eastAsia" w:ascii="Times New Roman" w:hAnsi="Times New Roman"/>
          <w:sz w:val="24"/>
          <w:szCs w:val="24"/>
          <w:lang w:val="en-US" w:eastAsia="zh-CN"/>
        </w:rPr>
        <w:t>1、Ga6N中杂质的控制情况：</w:t>
      </w:r>
    </w:p>
    <w:p>
      <w:pPr>
        <w:pStyle w:val="15"/>
        <w:numPr>
          <w:ilvl w:val="0"/>
          <w:numId w:val="0"/>
        </w:numPr>
        <w:spacing w:line="36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1）朝阳金美镓业：                                     表3</w:t>
      </w:r>
    </w:p>
    <w:tbl>
      <w:tblPr>
        <w:tblStyle w:val="10"/>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Ga6N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检测设备：</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Times New Roman" w:hAnsi="Times New Roman" w:cs="Times New Roman"/>
                <w:i w:val="0"/>
                <w:iCs w:val="0"/>
                <w:color w:val="000000"/>
                <w:kern w:val="0"/>
                <w:sz w:val="18"/>
                <w:szCs w:val="18"/>
                <w:u w:val="none"/>
                <w:lang w:val="en-US" w:eastAsia="zh-CN" w:bidi="ar"/>
              </w:rPr>
              <w:t>GDMS</w:t>
            </w:r>
          </w:p>
        </w:tc>
      </w:tr>
    </w:tbl>
    <w:p>
      <w:pPr>
        <w:pStyle w:val="15"/>
        <w:numPr>
          <w:ilvl w:val="0"/>
          <w:numId w:val="0"/>
        </w:numPr>
        <w:spacing w:line="36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2）东方电气：</w:t>
      </w:r>
    </w:p>
    <w:tbl>
      <w:tblPr>
        <w:tblStyle w:val="10"/>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1054"/>
        <w:gridCol w:w="618"/>
        <w:gridCol w:w="626"/>
        <w:gridCol w:w="618"/>
        <w:gridCol w:w="619"/>
        <w:gridCol w:w="666"/>
        <w:gridCol w:w="619"/>
        <w:gridCol w:w="619"/>
        <w:gridCol w:w="619"/>
        <w:gridCol w:w="619"/>
        <w:gridCol w:w="619"/>
        <w:gridCol w:w="619"/>
        <w:gridCol w:w="619"/>
        <w:gridCol w:w="617"/>
        <w:gridCol w:w="619"/>
        <w:gridCol w:w="617"/>
        <w:gridCol w:w="617"/>
        <w:gridCol w:w="617"/>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8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8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Style w:val="32"/>
                <w:rFonts w:eastAsia="宋体"/>
                <w:sz w:val="18"/>
                <w:szCs w:val="18"/>
                <w:lang w:val="en-US" w:eastAsia="zh-CN" w:bidi="ar"/>
              </w:rPr>
              <w:t>-6</w:t>
            </w:r>
            <w:r>
              <w:rPr>
                <w:rStyle w:val="33"/>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Ga6N</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Si</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Cu</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Hg</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S</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K</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In</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0.36</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w:t>
            </w:r>
            <w:r>
              <w:rPr>
                <w:rStyle w:val="34"/>
                <w:rFonts w:ascii="宋体" w:hAnsi="宋体" w:eastAsia="宋体" w:cs="宋体"/>
                <w:sz w:val="18"/>
                <w:szCs w:val="18"/>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0.28</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0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0.29</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w:t>
            </w:r>
            <w:r>
              <w:rPr>
                <w:rStyle w:val="34"/>
                <w:rFonts w:ascii="宋体" w:hAnsi="宋体" w:eastAsia="宋体" w:cs="宋体"/>
                <w:sz w:val="18"/>
                <w:szCs w:val="18"/>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w:t>
            </w:r>
            <w:r>
              <w:rPr>
                <w:rStyle w:val="34"/>
                <w:rFonts w:ascii="宋体" w:hAnsi="宋体" w:eastAsia="宋体" w:cs="宋体"/>
                <w:sz w:val="18"/>
                <w:szCs w:val="18"/>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0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w:t>
            </w:r>
            <w:r>
              <w:rPr>
                <w:rStyle w:val="34"/>
                <w:rFonts w:ascii="宋体" w:hAnsi="宋体" w:eastAsia="宋体" w:cs="宋体"/>
                <w:sz w:val="18"/>
                <w:szCs w:val="18"/>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0.20 </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 </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加粗数据为ICP-MS检测；其它为GDMS检测。</w:t>
            </w:r>
          </w:p>
        </w:tc>
      </w:tr>
    </w:tbl>
    <w:p>
      <w:pPr>
        <w:pStyle w:val="15"/>
        <w:widowControl w:val="0"/>
        <w:numPr>
          <w:ilvl w:val="0"/>
          <w:numId w:val="0"/>
        </w:numPr>
        <w:spacing w:line="360" w:lineRule="auto"/>
        <w:ind w:firstLine="480" w:firstLineChars="200"/>
        <w:jc w:val="both"/>
        <w:rPr>
          <w:rFonts w:hint="default" w:ascii="Times New Roman" w:hAnsi="Times New Roman"/>
          <w:sz w:val="24"/>
          <w:szCs w:val="24"/>
          <w:lang w:val="en-US" w:eastAsia="zh-CN"/>
        </w:rPr>
      </w:pPr>
      <w:r>
        <w:rPr>
          <w:rFonts w:hint="eastAsia" w:ascii="Times New Roman" w:hAnsi="Times New Roman"/>
          <w:sz w:val="24"/>
          <w:szCs w:val="24"/>
          <w:lang w:val="en-US" w:eastAsia="zh-CN"/>
        </w:rPr>
        <w:t>3）武汉拓材</w:t>
      </w:r>
    </w:p>
    <w:tbl>
      <w:tblPr>
        <w:tblStyle w:val="10"/>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Ga6N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2022年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 GD-MS</w:t>
            </w:r>
          </w:p>
        </w:tc>
      </w:tr>
    </w:tbl>
    <w:p>
      <w:pPr>
        <w:pStyle w:val="15"/>
        <w:widowControl w:val="0"/>
        <w:numPr>
          <w:ilvl w:val="0"/>
          <w:numId w:val="0"/>
        </w:numPr>
        <w:spacing w:line="360" w:lineRule="auto"/>
        <w:ind w:firstLine="480" w:firstLineChars="200"/>
        <w:jc w:val="both"/>
        <w:rPr>
          <w:rFonts w:hint="default" w:ascii="Times New Roman" w:hAnsi="Times New Roman"/>
          <w:sz w:val="24"/>
          <w:szCs w:val="24"/>
          <w:lang w:val="en-US" w:eastAsia="zh-CN"/>
        </w:rPr>
      </w:pPr>
      <w:r>
        <w:rPr>
          <w:rFonts w:hint="eastAsia" w:ascii="Times New Roman" w:hAnsi="Times New Roman"/>
          <w:sz w:val="24"/>
          <w:szCs w:val="24"/>
          <w:lang w:val="en-US" w:eastAsia="zh-CN"/>
        </w:rPr>
        <w:t>（4）楚雄川至：</w:t>
      </w:r>
    </w:p>
    <w:tbl>
      <w:tblPr>
        <w:tblStyle w:val="10"/>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Ga6N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 GD-MS</w:t>
            </w:r>
          </w:p>
        </w:tc>
      </w:tr>
    </w:tbl>
    <w:p>
      <w:pPr>
        <w:pStyle w:val="15"/>
        <w:widowControl w:val="0"/>
        <w:numPr>
          <w:ilvl w:val="0"/>
          <w:numId w:val="0"/>
        </w:numPr>
        <w:spacing w:line="360" w:lineRule="auto"/>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从生产厂家生产数据看，修改后的标准中关于杂质元素种类及含量的符合生产厂家的实际情况。</w:t>
      </w:r>
    </w:p>
    <w:p>
      <w:pPr>
        <w:pStyle w:val="15"/>
        <w:widowControl w:val="0"/>
        <w:numPr>
          <w:ilvl w:val="0"/>
          <w:numId w:val="0"/>
        </w:numPr>
        <w:spacing w:line="360" w:lineRule="auto"/>
        <w:jc w:val="both"/>
        <w:rPr>
          <w:rFonts w:hint="eastAsia" w:ascii="Times New Roman" w:hAnsi="Times New Roman"/>
          <w:sz w:val="24"/>
          <w:szCs w:val="24"/>
          <w:lang w:val="en-US" w:eastAsia="zh-CN"/>
        </w:rPr>
      </w:pPr>
    </w:p>
    <w:p>
      <w:pPr>
        <w:pStyle w:val="15"/>
        <w:widowControl w:val="0"/>
        <w:numPr>
          <w:ilvl w:val="0"/>
          <w:numId w:val="0"/>
        </w:numPr>
        <w:spacing w:line="360" w:lineRule="auto"/>
        <w:jc w:val="both"/>
        <w:rPr>
          <w:rFonts w:hint="eastAsia" w:ascii="Times New Roman" w:hAnsi="Times New Roman"/>
          <w:sz w:val="24"/>
          <w:szCs w:val="24"/>
          <w:lang w:val="en-US" w:eastAsia="zh-CN"/>
        </w:rPr>
      </w:pPr>
    </w:p>
    <w:p>
      <w:pPr>
        <w:pStyle w:val="15"/>
        <w:widowControl w:val="0"/>
        <w:numPr>
          <w:ilvl w:val="0"/>
          <w:numId w:val="0"/>
        </w:numPr>
        <w:spacing w:line="360" w:lineRule="auto"/>
        <w:jc w:val="both"/>
        <w:rPr>
          <w:rFonts w:hint="eastAsia" w:ascii="Times New Roman" w:hAnsi="Times New Roman"/>
          <w:sz w:val="24"/>
          <w:szCs w:val="24"/>
          <w:lang w:val="en-US" w:eastAsia="zh-CN"/>
        </w:rPr>
      </w:pPr>
    </w:p>
    <w:p>
      <w:pPr>
        <w:pStyle w:val="15"/>
        <w:widowControl w:val="0"/>
        <w:numPr>
          <w:ilvl w:val="0"/>
          <w:numId w:val="0"/>
        </w:numPr>
        <w:spacing w:line="360" w:lineRule="auto"/>
        <w:ind w:firstLine="720" w:firstLineChars="3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2、Ga7N中杂质的控制情况</w:t>
      </w:r>
    </w:p>
    <w:p>
      <w:pPr>
        <w:pStyle w:val="15"/>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1）金美镓业：</w:t>
      </w:r>
    </w:p>
    <w:p>
      <w:pPr>
        <w:pStyle w:val="15"/>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p>
    <w:tbl>
      <w:tblPr>
        <w:tblStyle w:val="10"/>
        <w:tblW w:w="13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0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Ga7N</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2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2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w:t>
            </w:r>
            <w:r>
              <w:rPr>
                <w:rFonts w:hint="default" w:ascii="Times New Roman" w:hAnsi="Times New Roman" w:eastAsia="宋体" w:cs="Times New Roman"/>
                <w:i w:val="0"/>
                <w:iCs w:val="0"/>
                <w:color w:val="000000"/>
                <w:kern w:val="0"/>
                <w:sz w:val="18"/>
                <w:szCs w:val="18"/>
                <w:u w:val="none"/>
                <w:lang w:val="en-US" w:eastAsia="zh-CN" w:bidi="ar"/>
              </w:rPr>
              <w:t xml:space="preserve"> GD-MS</w:t>
            </w:r>
          </w:p>
        </w:tc>
      </w:tr>
    </w:tbl>
    <w:p>
      <w:pPr>
        <w:pStyle w:val="15"/>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2）东方电气：</w:t>
      </w:r>
    </w:p>
    <w:tbl>
      <w:tblPr>
        <w:tblStyle w:val="10"/>
        <w:tblW w:w="131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00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Ga7N</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99.9999</w:t>
            </w:r>
            <w:r>
              <w:rPr>
                <w:rFonts w:hint="eastAsia" w:ascii="Times New Roman" w:hAnsi="Times New Roman" w:cs="Times New Roman"/>
                <w:i w:val="0"/>
                <w:iCs w:val="0"/>
                <w:color w:val="000000"/>
                <w:kern w:val="0"/>
                <w:sz w:val="18"/>
                <w:szCs w:val="18"/>
                <w:u w:val="none"/>
                <w:lang w:val="en-US" w:eastAsia="zh-CN" w:bidi="ar"/>
              </w:rPr>
              <w:t>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5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5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 加粗数据为ICP-MS检测；其它为GDMS检测。</w:t>
            </w:r>
          </w:p>
        </w:tc>
      </w:tr>
    </w:tbl>
    <w:p>
      <w:pPr>
        <w:pStyle w:val="15"/>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3）武汉拓材：</w:t>
      </w:r>
    </w:p>
    <w:tbl>
      <w:tblPr>
        <w:tblStyle w:val="10"/>
        <w:tblW w:w="13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Ga7N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4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4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检测设备：GD-MS</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bl>
    <w:p>
      <w:pPr>
        <w:pStyle w:val="15"/>
        <w:widowControl w:val="0"/>
        <w:numPr>
          <w:ilvl w:val="0"/>
          <w:numId w:val="0"/>
        </w:numPr>
        <w:spacing w:line="360" w:lineRule="auto"/>
        <w:ind w:left="360" w:leftChars="0" w:firstLine="240" w:firstLineChars="1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4）楚雄川至</w:t>
      </w:r>
    </w:p>
    <w:tbl>
      <w:tblPr>
        <w:tblStyle w:val="10"/>
        <w:tblW w:w="128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910"/>
        <w:gridCol w:w="620"/>
        <w:gridCol w:w="620"/>
        <w:gridCol w:w="620"/>
        <w:gridCol w:w="620"/>
        <w:gridCol w:w="620"/>
        <w:gridCol w:w="620"/>
        <w:gridCol w:w="620"/>
        <w:gridCol w:w="620"/>
        <w:gridCol w:w="620"/>
        <w:gridCol w:w="620"/>
        <w:gridCol w:w="620"/>
        <w:gridCol w:w="620"/>
        <w:gridCol w:w="620"/>
        <w:gridCol w:w="620"/>
        <w:gridCol w:w="620"/>
        <w:gridCol w:w="6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牌号</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r>
              <w:rPr>
                <w:rFonts w:hint="eastAsia" w:ascii="宋体" w:hAnsi="宋体" w:eastAsia="宋体" w:cs="宋体"/>
                <w:i w:val="0"/>
                <w:iCs w:val="0"/>
                <w:color w:val="000000"/>
                <w:kern w:val="0"/>
                <w:sz w:val="18"/>
                <w:szCs w:val="18"/>
                <w:u w:val="none"/>
                <w:lang w:val="en-US" w:eastAsia="zh-CN" w:bidi="ar"/>
              </w:rPr>
              <w:t>不小于</w:t>
            </w: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化学成分（质量分数）</w:t>
            </w: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16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杂质含量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vertAlign w:val="superscript"/>
                <w:lang w:val="en-US" w:eastAsia="zh-CN" w:bidi="ar"/>
              </w:rPr>
              <w:t>-6</w:t>
            </w:r>
            <w:r>
              <w:rPr>
                <w:rFonts w:hint="eastAsia" w:ascii="宋体" w:hAnsi="宋体" w:eastAsia="宋体" w:cs="宋体"/>
                <w:i w:val="0"/>
                <w:iCs w:val="0"/>
                <w:color w:val="000000"/>
                <w:kern w:val="0"/>
                <w:sz w:val="18"/>
                <w:szCs w:val="18"/>
                <w:u w:val="none"/>
                <w:lang w:val="en-US" w:eastAsia="zh-CN" w:bidi="ar"/>
              </w:rPr>
              <w:t>），不大于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Ga7N</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最小值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830" w:type="dxa"/>
            <w:gridSpan w:val="20"/>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：表中杂质含量数值修约按</w:t>
            </w:r>
            <w:r>
              <w:rPr>
                <w:rFonts w:hint="default" w:ascii="Times New Roman" w:hAnsi="Times New Roman" w:eastAsia="宋体" w:cs="Times New Roman"/>
                <w:i w:val="0"/>
                <w:iCs w:val="0"/>
                <w:color w:val="000000"/>
                <w:kern w:val="0"/>
                <w:sz w:val="18"/>
                <w:szCs w:val="18"/>
                <w:u w:val="none"/>
                <w:lang w:val="en-US" w:eastAsia="zh-CN" w:bidi="ar"/>
              </w:rPr>
              <w:t>GB/T 8170</w:t>
            </w:r>
            <w:r>
              <w:rPr>
                <w:rFonts w:hint="eastAsia" w:ascii="宋体" w:hAnsi="宋体" w:eastAsia="宋体" w:cs="宋体"/>
                <w:i w:val="0"/>
                <w:iCs w:val="0"/>
                <w:color w:val="000000"/>
                <w:kern w:val="0"/>
                <w:sz w:val="18"/>
                <w:szCs w:val="18"/>
                <w:u w:val="none"/>
                <w:lang w:val="en-US" w:eastAsia="zh-CN" w:bidi="ar"/>
              </w:rPr>
              <w:t>的有关规定进行，修约后保留两位有效数字。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830" w:type="dxa"/>
            <w:gridSpan w:val="20"/>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检测设备： GD-MS</w:t>
            </w:r>
          </w:p>
        </w:tc>
      </w:tr>
    </w:tbl>
    <w:p>
      <w:pPr>
        <w:pStyle w:val="15"/>
        <w:widowControl w:val="0"/>
        <w:numPr>
          <w:ilvl w:val="0"/>
          <w:numId w:val="0"/>
        </w:numPr>
        <w:spacing w:line="360" w:lineRule="auto"/>
        <w:ind w:firstLine="720" w:firstLineChars="3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从生产厂家生产数据看，修改后的标准中关于杂质元素种类及含量的符合生产厂家的实际情况。</w:t>
      </w:r>
    </w:p>
    <w:p>
      <w:pPr>
        <w:pStyle w:val="15"/>
        <w:widowControl w:val="0"/>
        <w:numPr>
          <w:ilvl w:val="0"/>
          <w:numId w:val="0"/>
        </w:numPr>
        <w:spacing w:line="360" w:lineRule="auto"/>
        <w:ind w:firstLine="720" w:firstLineChars="300"/>
        <w:jc w:val="both"/>
        <w:rPr>
          <w:rFonts w:hint="eastAsia" w:ascii="Times New Roman" w:hAnsi="Times New Roman"/>
          <w:sz w:val="24"/>
          <w:szCs w:val="24"/>
          <w:lang w:val="en-US" w:eastAsia="zh-CN"/>
        </w:rPr>
      </w:pPr>
    </w:p>
    <w:p>
      <w:pPr>
        <w:pStyle w:val="15"/>
        <w:widowControl w:val="0"/>
        <w:numPr>
          <w:ilvl w:val="0"/>
          <w:numId w:val="0"/>
        </w:numPr>
        <w:spacing w:line="360" w:lineRule="auto"/>
        <w:jc w:val="both"/>
        <w:rPr>
          <w:rFonts w:hint="eastAsia" w:ascii="Times New Roman" w:hAnsi="Times New Roman"/>
          <w:sz w:val="24"/>
          <w:szCs w:val="24"/>
          <w:lang w:val="en-US" w:eastAsia="zh-CN"/>
        </w:rPr>
      </w:pPr>
    </w:p>
    <w:p>
      <w:pPr>
        <w:pStyle w:val="15"/>
        <w:widowControl w:val="0"/>
        <w:numPr>
          <w:ilvl w:val="0"/>
          <w:numId w:val="0"/>
        </w:numPr>
        <w:spacing w:line="360" w:lineRule="auto"/>
        <w:jc w:val="both"/>
        <w:rPr>
          <w:rFonts w:hint="eastAsia" w:ascii="Times New Roman" w:hAnsi="Times New Roman"/>
          <w:sz w:val="24"/>
          <w:szCs w:val="24"/>
          <w:lang w:val="en-US" w:eastAsia="zh-CN"/>
        </w:rPr>
      </w:pPr>
    </w:p>
    <w:p>
      <w:pPr>
        <w:pStyle w:val="15"/>
        <w:widowControl w:val="0"/>
        <w:numPr>
          <w:ilvl w:val="0"/>
          <w:numId w:val="0"/>
        </w:numPr>
        <w:spacing w:line="360" w:lineRule="auto"/>
        <w:jc w:val="both"/>
        <w:rPr>
          <w:rFonts w:hint="default" w:ascii="Times New Roman" w:hAnsi="Times New Roman"/>
          <w:sz w:val="24"/>
          <w:szCs w:val="24"/>
          <w:lang w:val="en-US" w:eastAsia="zh-CN"/>
        </w:rPr>
        <w:sectPr>
          <w:footerReference r:id="rId4" w:type="default"/>
          <w:pgSz w:w="16838" w:h="11906" w:orient="landscape"/>
          <w:pgMar w:top="1247" w:right="1247" w:bottom="1247" w:left="1134" w:header="851" w:footer="992" w:gutter="0"/>
          <w:pgNumType w:start="6"/>
          <w:cols w:space="720" w:num="1"/>
          <w:docGrid w:type="lines" w:linePitch="312" w:charSpace="0"/>
        </w:sectPr>
      </w:pPr>
    </w:p>
    <w:p>
      <w:pPr>
        <w:pStyle w:val="15"/>
        <w:numPr>
          <w:ilvl w:val="0"/>
          <w:numId w:val="0"/>
        </w:numPr>
        <w:spacing w:line="360" w:lineRule="auto"/>
        <w:ind w:leftChars="0"/>
        <w:rPr>
          <w:rFonts w:hint="eastAsia" w:ascii="Times New Roman" w:hAnsi="Times New Roman"/>
          <w:sz w:val="24"/>
          <w:szCs w:val="24"/>
          <w:lang w:val="en-US" w:eastAsia="zh-CN"/>
        </w:rPr>
      </w:pPr>
      <w:r>
        <w:rPr>
          <w:rFonts w:hint="eastAsia" w:ascii="Times New Roman" w:hAnsi="Times New Roman"/>
          <w:sz w:val="24"/>
          <w:szCs w:val="24"/>
          <w:lang w:val="en-US" w:eastAsia="zh-CN"/>
        </w:rPr>
        <w:t>二、Ga8N高纯镓</w:t>
      </w:r>
    </w:p>
    <w:p>
      <w:pPr>
        <w:pStyle w:val="15"/>
        <w:numPr>
          <w:ilvl w:val="0"/>
          <w:numId w:val="0"/>
        </w:numPr>
        <w:spacing w:line="36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原标准中对于Ga8N高纯镓（原标准中称为MBE级高纯镓）中杂质种类和含量的规定为</w:t>
      </w:r>
      <w:r>
        <w:rPr>
          <w:rFonts w:hint="default" w:ascii="Times New Roman" w:hAnsi="Times New Roman"/>
          <w:sz w:val="24"/>
          <w:szCs w:val="24"/>
          <w:lang w:val="en-US" w:eastAsia="zh-CN"/>
        </w:rPr>
        <w:t>“</w:t>
      </w:r>
      <w:r>
        <w:rPr>
          <w:rFonts w:hint="eastAsia" w:ascii="Times New Roman" w:hAnsi="Times New Roman"/>
          <w:sz w:val="24"/>
          <w:szCs w:val="24"/>
          <w:lang w:val="en-US" w:eastAsia="zh-CN"/>
        </w:rPr>
        <w:t>除基体Ga和离子源Ta，其他检出杂质元素的含量都低于GD-MS的检测极限”，此陈述不严密，因为即使同一种型号的GD-MS设备，由于操作者和设定参数的不用，对同一样品，其杂质检测极限是不同的。为此我们调研了国内Ga8N产品在不同测试机构的测试结果，最后确定了杂质的检测限，如下表：</w:t>
      </w:r>
    </w:p>
    <w:tbl>
      <w:tblPr>
        <w:tblStyle w:val="10"/>
        <w:tblW w:w="81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0"/>
        <w:gridCol w:w="990"/>
        <w:gridCol w:w="1280"/>
        <w:gridCol w:w="1630"/>
        <w:gridCol w:w="990"/>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牌号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Ga8N</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牌号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Ga8N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Ga(质量分数），%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99.999999</w:t>
            </w:r>
          </w:p>
        </w:tc>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Ga(质量分数），%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99.999999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不小于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不小于</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杂质含量，ng/g</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不小于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Li</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杂质含量，ng/g</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不小于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Ag</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Be</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Cd</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Sn</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Sb</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Mg</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Te</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Al</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Cs</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Ba</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La</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Cl</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Ce</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K</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Pr</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Nd</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Sc</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Ti</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Eu</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V</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Gd</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Cr</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Tb</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Mn</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Dy</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Fe</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Ho</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Er</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Ni</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Tm</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Yb</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Zn</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Lu</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Ga</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Matrix</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Hf</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Ge</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w:t>
            </w:r>
            <w:r>
              <w:rPr>
                <w:rFonts w:hint="default" w:ascii="Times New Roman" w:hAnsi="Times New Roman" w:eastAsia="宋体" w:cs="Times New Roman"/>
                <w:i w:val="0"/>
                <w:iCs w:val="0"/>
                <w:color w:val="000000"/>
                <w:kern w:val="0"/>
                <w:sz w:val="18"/>
                <w:szCs w:val="18"/>
                <w:u w:val="none"/>
                <w:lang w:val="en-US" w:eastAsia="zh-CN" w:bidi="ar"/>
              </w:rPr>
              <w:t>10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Ta</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As</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Se</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Re</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Br</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Os</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Rb</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Ir</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Sr</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Y</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Au</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Zr</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Hg</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Nb</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Tl</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Mo</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Ru</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Bi</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Rh</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Th</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Pd</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&lt;50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U</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&lt;1</w:t>
            </w:r>
          </w:p>
        </w:tc>
      </w:tr>
    </w:tbl>
    <w:p>
      <w:pPr>
        <w:pStyle w:val="15"/>
        <w:numPr>
          <w:ilvl w:val="0"/>
          <w:numId w:val="0"/>
        </w:numPr>
        <w:spacing w:line="360" w:lineRule="auto"/>
        <w:rPr>
          <w:rFonts w:hint="default" w:ascii="Times New Roman" w:hAnsi="Times New Roman"/>
          <w:sz w:val="24"/>
          <w:szCs w:val="24"/>
          <w:lang w:val="en-US" w:eastAsia="zh-CN"/>
        </w:rPr>
        <w:sectPr>
          <w:footerReference r:id="rId5" w:type="default"/>
          <w:pgSz w:w="11906" w:h="16838"/>
          <w:pgMar w:top="1247" w:right="1247" w:bottom="1134" w:left="1247" w:header="851" w:footer="992" w:gutter="0"/>
          <w:pgNumType w:start="10"/>
          <w:cols w:space="720" w:num="1"/>
          <w:docGrid w:type="lines" w:linePitch="312" w:charSpace="0"/>
        </w:sectPr>
      </w:pPr>
    </w:p>
    <w:p>
      <w:pPr>
        <w:pStyle w:val="15"/>
        <w:numPr>
          <w:ilvl w:val="0"/>
          <w:numId w:val="0"/>
        </w:numPr>
        <w:spacing w:line="360" w:lineRule="auto"/>
        <w:rPr>
          <w:rFonts w:hint="default" w:ascii="Times New Roman" w:hAnsi="Times New Roman"/>
          <w:sz w:val="24"/>
          <w:szCs w:val="24"/>
          <w:lang w:val="en-US" w:eastAsia="zh-CN"/>
        </w:rPr>
      </w:pPr>
    </w:p>
    <w:p>
      <w:pPr>
        <w:pStyle w:val="15"/>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修改原标准“3.3 外观质量  产品呈银白色，块状，结晶致密，无氧化色斑。”为“5.2 外观质量  高纯镓通常以固态出厂，固态产品呈蓝白色，表面具有金属光泽，无氧化色斑和夹杂物”。明确不同状态高纯镓的颜色。</w:t>
      </w:r>
    </w:p>
    <w:p>
      <w:pPr>
        <w:pStyle w:val="15"/>
        <w:numPr>
          <w:ilvl w:val="0"/>
          <w:numId w:val="4"/>
        </w:numPr>
        <w:spacing w:line="360" w:lineRule="auto"/>
        <w:ind w:left="0" w:firstLine="480"/>
        <w:rPr>
          <w:rFonts w:hint="eastAsia" w:ascii="Times New Roman" w:hAnsi="Times New Roman"/>
          <w:sz w:val="24"/>
          <w:szCs w:val="24"/>
          <w:lang w:val="en-US" w:eastAsia="zh-CN"/>
        </w:rPr>
      </w:pPr>
      <w:r>
        <w:rPr>
          <w:rFonts w:hint="eastAsia" w:ascii="Times New Roman" w:hAnsi="Times New Roman"/>
          <w:sz w:val="24"/>
          <w:szCs w:val="24"/>
          <w:lang w:val="en-US" w:eastAsia="zh-CN"/>
        </w:rPr>
        <w:t>修改了原标准4 试验方法，原标准4.1中规定“Ga-06牌号高纯镓的化学成分分析按YS/T474的规定进行”。YS/T474中的检测方法，所用的样品必须做成溶液，其分析结果的准确性严重依赖于分析试剂纯度和环境的洁净度，其检测结果有时不可靠，但该方法检测精度比较高，很多元素的检测限低于10ppb,且检测费用比较低，是一种性价比较高的方法，该方法被很多高纯镓厂家用于Ga6N中杂质元素含量的检测，鉴于目前的实际情况，所以本次标准修订规定：“</w:t>
      </w:r>
      <w:r>
        <w:rPr>
          <w:rFonts w:hint="eastAsia" w:asciiTheme="minorEastAsia" w:hAnsiTheme="minorEastAsia" w:eastAsiaTheme="minorEastAsia" w:cstheme="minorEastAsia"/>
          <w:kern w:val="0"/>
          <w:sz w:val="24"/>
          <w:szCs w:val="24"/>
          <w:lang w:val="en-US" w:eastAsia="zh-CN"/>
        </w:rPr>
        <w:t>Ga6N高纯镓化学成分测定按YS/T474的规定进行，如需仲裁按YS/T38第3部分的规定进行</w:t>
      </w:r>
      <w:r>
        <w:rPr>
          <w:rFonts w:hint="eastAsia" w:asciiTheme="minorEastAsia" w:hAnsiTheme="minorEastAsia" w:eastAsiaTheme="minorEastAsia" w:cstheme="minorEastAsia"/>
          <w:sz w:val="24"/>
          <w:szCs w:val="24"/>
          <w:lang w:val="en-US" w:eastAsia="zh-CN"/>
        </w:rPr>
        <w:t>”。对于Ga7N、Ga8N</w:t>
      </w:r>
      <w:r>
        <w:rPr>
          <w:rFonts w:hint="eastAsia" w:ascii="Times New Roman" w:hAnsi="Times New Roman"/>
          <w:sz w:val="24"/>
          <w:szCs w:val="24"/>
          <w:lang w:val="en-US" w:eastAsia="zh-CN"/>
        </w:rPr>
        <w:t>高纯镓的试验方法修改为YS/T38.3高纯镓化学分析方法，修订原因在3）中已经提到，此处不再赘述。</w:t>
      </w:r>
    </w:p>
    <w:p>
      <w:pPr>
        <w:pStyle w:val="15"/>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修改了原标准5.1.1内容，原标准规定“</w:t>
      </w:r>
      <w:r>
        <w:rPr>
          <w:rFonts w:hint="eastAsia" w:ascii="宋体" w:hAnsi="宋体" w:eastAsia="宋体"/>
          <w:sz w:val="24"/>
          <w:szCs w:val="24"/>
        </w:rPr>
        <w:t>产品由供方技术监督部门进行检验，保证产品符合本标准的规定，并填写质量保证书</w:t>
      </w:r>
      <w:r>
        <w:rPr>
          <w:rFonts w:hint="eastAsia" w:ascii="Times New Roman" w:hAnsi="Times New Roman"/>
          <w:sz w:val="24"/>
          <w:szCs w:val="24"/>
          <w:lang w:val="en-US" w:eastAsia="zh-CN"/>
        </w:rPr>
        <w:t>”更改为“产品由供方和第三方进行检验，保证产品质量符合本文件及订货单的规定。”产品到达需方后，一般如果需方有能力测试会自己测试，如果需方不具备测试条件，会让具有测试资质的第三方进行测试，让技术监督部门进行检验不符合实际流程，也不现实。</w:t>
      </w:r>
    </w:p>
    <w:p>
      <w:pPr>
        <w:pStyle w:val="15"/>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修改了原标准5.1.2内容，原标准规定“需方可对收到的产品进行检验，如检验结果与本标准规定的不符合时，在收到产品之日起三个月内向供方提出，双方协商解决。”更改为“需方可对收到的产品按照本文件的规定进行检验。如检验结果与本文件或订货单的规定不符，应以书面形式向供方提出，由供需双方协商解决。属于外观质量的异议，应在收到产品之日起一个月内提出，属于化学成分的异议，应在收到产品之日起3个月内提出。如需仲裁，仲裁取样应由供需双方共同进行。”对产品不同的质量原因反馈设置了期限，一般的，客户收到产品后，通常先进行外观检验，外观没问题就直接验收了，一个月的期限适用；产品用于制备晶体，从晶体生长、电学参数测试大约需要1个月的时间，3个月的期限适用。</w:t>
      </w:r>
    </w:p>
    <w:p>
      <w:pPr>
        <w:pStyle w:val="15"/>
        <w:numPr>
          <w:ilvl w:val="0"/>
          <w:numId w:val="4"/>
        </w:numPr>
        <w:spacing w:line="360" w:lineRule="auto"/>
        <w:ind w:left="0" w:firstLine="480"/>
        <w:rPr>
          <w:rFonts w:ascii="Times New Roman" w:hAnsi="Times New Roman"/>
          <w:color w:val="auto"/>
          <w:sz w:val="24"/>
          <w:szCs w:val="24"/>
        </w:rPr>
      </w:pPr>
      <w:r>
        <w:rPr>
          <w:rFonts w:hint="eastAsia" w:ascii="Times New Roman" w:hAnsi="Times New Roman"/>
          <w:color w:val="auto"/>
          <w:sz w:val="24"/>
          <w:szCs w:val="24"/>
          <w:lang w:val="en-US" w:eastAsia="zh-CN"/>
        </w:rPr>
        <w:t xml:space="preserve"> 修改了</w:t>
      </w:r>
      <w:r>
        <w:rPr>
          <w:rFonts w:ascii="Times New Roman" w:hAnsi="Times New Roman"/>
          <w:color w:val="auto"/>
          <w:sz w:val="24"/>
          <w:szCs w:val="24"/>
        </w:rPr>
        <w:t>增加了</w:t>
      </w:r>
      <w:r>
        <w:rPr>
          <w:rFonts w:hint="eastAsia" w:ascii="Times New Roman" w:hAnsi="Times New Roman"/>
          <w:color w:val="auto"/>
          <w:sz w:val="24"/>
          <w:szCs w:val="24"/>
          <w:lang w:val="en-US" w:eastAsia="zh-CN"/>
        </w:rPr>
        <w:t>7.3 检验项目，规定了“每批产品应对化学成分、外观质量进行检验”。原标准在5.4 检验结果判定中规定了化学成分和外观质量作为检测项目，但没有明确，本次修订单设条目。</w:t>
      </w:r>
    </w:p>
    <w:p>
      <w:pPr>
        <w:pStyle w:val="15"/>
        <w:numPr>
          <w:ilvl w:val="0"/>
          <w:numId w:val="4"/>
        </w:numPr>
        <w:spacing w:line="360" w:lineRule="auto"/>
        <w:ind w:left="0" w:firstLine="480"/>
        <w:rPr>
          <w:rFonts w:ascii="Times New Roman" w:hAnsi="Times New Roman"/>
          <w:sz w:val="24"/>
          <w:szCs w:val="24"/>
        </w:rPr>
      </w:pPr>
      <w:r>
        <w:rPr>
          <w:rFonts w:hint="eastAsia" w:ascii="Times New Roman" w:hAnsi="Times New Roman"/>
          <w:sz w:val="24"/>
          <w:szCs w:val="24"/>
          <w:lang w:val="en-US" w:eastAsia="zh-CN"/>
        </w:rPr>
        <w:t xml:space="preserve"> 修改原标准5.4 检验结果的判定，原标准规定“化学成分和外观质量检验不合格时，则判定该产品为不合格”，高纯镓化学成分是否合格直接影响到利用其制备的产品质量的优劣，对于化学成分不合格的高纯镓，一定是不合格的。对于外观质量，高纯镓暴露在空气中易造成氧化，表面有氧化膜，对于特定用途如制备光电器件用砷化镓单晶，制备过程中有脱氧处理，不会影响后续的产品，是可以接受的。所以本次修改规定，化学成分不合格时，该批产品不合格；外观不合格时，由供需双方协商解决。</w:t>
      </w:r>
    </w:p>
    <w:p>
      <w:pPr>
        <w:pStyle w:val="15"/>
        <w:spacing w:line="360" w:lineRule="auto"/>
        <w:ind w:firstLine="0" w:firstLineChars="0"/>
        <w:rPr>
          <w:rFonts w:ascii="Times New Roman" w:hAnsi="Times New Roman"/>
          <w:b/>
          <w:sz w:val="24"/>
          <w:szCs w:val="24"/>
        </w:rPr>
      </w:pPr>
      <w:r>
        <w:rPr>
          <w:rFonts w:ascii="Times New Roman" w:hAnsi="Times New Roman"/>
          <w:b/>
          <w:sz w:val="24"/>
          <w:szCs w:val="24"/>
        </w:rPr>
        <w:t>三、标准水平分析</w:t>
      </w:r>
    </w:p>
    <w:p>
      <w:pPr>
        <w:spacing w:line="360" w:lineRule="auto"/>
        <w:ind w:firstLine="480" w:firstLineChars="200"/>
        <w:rPr>
          <w:rFonts w:ascii="Times New Roman" w:hAnsi="Times New Roman"/>
          <w:sz w:val="24"/>
          <w:szCs w:val="24"/>
        </w:rPr>
      </w:pPr>
      <w:r>
        <w:rPr>
          <w:rFonts w:ascii="Times New Roman" w:hAnsi="Times New Roman"/>
          <w:sz w:val="24"/>
          <w:szCs w:val="24"/>
        </w:rPr>
        <w:t>本标准拟代替GB/T 1</w:t>
      </w:r>
      <w:r>
        <w:rPr>
          <w:rFonts w:hint="eastAsia" w:ascii="Times New Roman" w:hAnsi="Times New Roman"/>
          <w:sz w:val="24"/>
          <w:szCs w:val="24"/>
          <w:lang w:val="en-US" w:eastAsia="zh-CN"/>
        </w:rPr>
        <w:t>0118</w:t>
      </w:r>
      <w:r>
        <w:rPr>
          <w:rFonts w:ascii="Times New Roman" w:hAnsi="Times New Roman"/>
          <w:sz w:val="24"/>
          <w:szCs w:val="24"/>
        </w:rPr>
        <w:t>-200</w:t>
      </w:r>
      <w:r>
        <w:rPr>
          <w:rFonts w:hint="eastAsia" w:ascii="Times New Roman" w:hAnsi="Times New Roman"/>
          <w:sz w:val="24"/>
          <w:szCs w:val="24"/>
          <w:lang w:val="en-US" w:eastAsia="zh-CN"/>
        </w:rPr>
        <w:t>9高纯镓</w:t>
      </w:r>
      <w:r>
        <w:rPr>
          <w:rFonts w:ascii="Times New Roman" w:hAnsi="Times New Roman"/>
          <w:sz w:val="24"/>
          <w:szCs w:val="24"/>
        </w:rPr>
        <w:t>，作为</w:t>
      </w:r>
      <w:r>
        <w:rPr>
          <w:rFonts w:hint="eastAsia" w:ascii="Times New Roman" w:hAnsi="Times New Roman"/>
          <w:sz w:val="24"/>
          <w:szCs w:val="24"/>
          <w:lang w:val="en-US" w:eastAsia="zh-CN"/>
        </w:rPr>
        <w:t>高纯镓</w:t>
      </w:r>
      <w:r>
        <w:rPr>
          <w:rFonts w:ascii="Times New Roman" w:hAnsi="Times New Roman"/>
          <w:sz w:val="24"/>
          <w:szCs w:val="24"/>
        </w:rPr>
        <w:t>生产、检验、贸易的依据，经过本次修订，标准内容更加贴合实际，反应客户真实需求和产品现阶段质量，达到</w:t>
      </w:r>
      <w:r>
        <w:rPr>
          <w:rFonts w:hint="eastAsia" w:ascii="宋体" w:hAnsi="宋体" w:eastAsia="宋体" w:cs="宋体"/>
          <w:sz w:val="24"/>
          <w:szCs w:val="24"/>
        </w:rPr>
        <w:t>×××</w:t>
      </w:r>
      <w:r>
        <w:rPr>
          <w:rFonts w:ascii="Times New Roman" w:hAnsi="Times New Roman"/>
          <w:sz w:val="24"/>
          <w:szCs w:val="24"/>
        </w:rPr>
        <w:t>水平。</w:t>
      </w:r>
    </w:p>
    <w:p>
      <w:pPr>
        <w:tabs>
          <w:tab w:val="left" w:pos="567"/>
        </w:tabs>
        <w:spacing w:line="360" w:lineRule="auto"/>
        <w:rPr>
          <w:rFonts w:ascii="Times New Roman" w:hAnsi="Times New Roman"/>
          <w:b/>
          <w:sz w:val="24"/>
          <w:szCs w:val="24"/>
        </w:rPr>
      </w:pPr>
      <w:r>
        <w:rPr>
          <w:rFonts w:ascii="Times New Roman" w:hAnsi="Times New Roman"/>
          <w:b/>
          <w:sz w:val="24"/>
          <w:szCs w:val="24"/>
        </w:rPr>
        <w:t>四、与现行法律、法规、强制性国家标准及相关标准协调配套情况</w:t>
      </w:r>
    </w:p>
    <w:p>
      <w:pPr>
        <w:pStyle w:val="15"/>
        <w:spacing w:line="360" w:lineRule="auto"/>
        <w:ind w:firstLine="480"/>
        <w:rPr>
          <w:rFonts w:hint="default" w:ascii="Times New Roman" w:hAnsi="Times New Roman" w:eastAsia="宋体"/>
          <w:bCs/>
          <w:color w:val="FF0000"/>
          <w:sz w:val="24"/>
          <w:szCs w:val="24"/>
          <w:lang w:val="en-US" w:eastAsia="zh-CN"/>
        </w:rPr>
      </w:pPr>
      <w:r>
        <w:rPr>
          <w:rFonts w:ascii="Times New Roman" w:hAnsi="Times New Roman"/>
          <w:sz w:val="24"/>
          <w:szCs w:val="24"/>
        </w:rPr>
        <w:t>本标准是对GB/T 1</w:t>
      </w:r>
      <w:r>
        <w:rPr>
          <w:rFonts w:hint="eastAsia" w:ascii="Times New Roman" w:hAnsi="Times New Roman"/>
          <w:sz w:val="24"/>
          <w:szCs w:val="24"/>
          <w:lang w:val="en-US" w:eastAsia="zh-CN"/>
        </w:rPr>
        <w:t>0118</w:t>
      </w:r>
      <w:r>
        <w:rPr>
          <w:rFonts w:ascii="Times New Roman" w:hAnsi="Times New Roman"/>
          <w:sz w:val="24"/>
          <w:szCs w:val="24"/>
        </w:rPr>
        <w:t>《</w:t>
      </w:r>
      <w:r>
        <w:rPr>
          <w:rFonts w:hint="eastAsia" w:ascii="Times New Roman" w:hAnsi="Times New Roman"/>
          <w:sz w:val="24"/>
          <w:szCs w:val="24"/>
          <w:lang w:val="en-US" w:eastAsia="zh-CN"/>
        </w:rPr>
        <w:t>高纯镓</w:t>
      </w:r>
      <w:r>
        <w:rPr>
          <w:rFonts w:ascii="Times New Roman" w:hAnsi="Times New Roman"/>
          <w:sz w:val="24"/>
          <w:szCs w:val="24"/>
        </w:rPr>
        <w:t>》的修订和补充，仅修订了产品的技术要求和标准格式，与现行的法律、法规</w:t>
      </w:r>
      <w:r>
        <w:rPr>
          <w:rFonts w:hint="eastAsia" w:ascii="Times New Roman" w:hAnsi="Times New Roman"/>
          <w:sz w:val="24"/>
          <w:szCs w:val="24"/>
          <w:lang w:val="en-US" w:eastAsia="zh-CN"/>
        </w:rPr>
        <w:t>没冲突，与现行的国家标准GB/T1475-2022</w:t>
      </w:r>
      <w:r>
        <w:rPr>
          <w:rFonts w:ascii="Times New Roman" w:hAnsi="Times New Roman"/>
          <w:sz w:val="24"/>
          <w:szCs w:val="24"/>
        </w:rPr>
        <w:t>《</w:t>
      </w:r>
      <w:r>
        <w:rPr>
          <w:rFonts w:hint="eastAsia" w:ascii="Times New Roman" w:hAnsi="Times New Roman"/>
          <w:sz w:val="24"/>
          <w:szCs w:val="24"/>
          <w:lang w:val="en-US" w:eastAsia="zh-CN"/>
        </w:rPr>
        <w:t>镓</w:t>
      </w:r>
      <w:r>
        <w:rPr>
          <w:rFonts w:ascii="Times New Roman" w:hAnsi="Times New Roman"/>
          <w:sz w:val="24"/>
          <w:szCs w:val="24"/>
        </w:rPr>
        <w:t>》</w:t>
      </w:r>
      <w:r>
        <w:rPr>
          <w:rFonts w:hint="eastAsia" w:ascii="Times New Roman" w:hAnsi="Times New Roman"/>
          <w:sz w:val="24"/>
          <w:szCs w:val="24"/>
          <w:lang w:val="en-US" w:eastAsia="zh-CN"/>
        </w:rPr>
        <w:t>有重叠部分，但没有冲突。</w:t>
      </w:r>
    </w:p>
    <w:p>
      <w:pPr>
        <w:tabs>
          <w:tab w:val="left" w:pos="567"/>
        </w:tabs>
        <w:spacing w:line="360" w:lineRule="auto"/>
        <w:rPr>
          <w:rFonts w:ascii="Times New Roman" w:hAnsi="Times New Roman"/>
          <w:b/>
          <w:sz w:val="24"/>
          <w:szCs w:val="24"/>
        </w:rPr>
      </w:pPr>
      <w:r>
        <w:rPr>
          <w:rFonts w:ascii="Times New Roman" w:hAnsi="Times New Roman"/>
          <w:b/>
          <w:sz w:val="24"/>
          <w:szCs w:val="24"/>
        </w:rPr>
        <w:t>五、重大分歧意见的处理经过和依据</w:t>
      </w:r>
    </w:p>
    <w:p>
      <w:pPr>
        <w:pStyle w:val="15"/>
        <w:spacing w:line="360" w:lineRule="auto"/>
        <w:ind w:firstLine="480"/>
        <w:rPr>
          <w:rFonts w:ascii="Times New Roman" w:hAnsi="Times New Roman"/>
          <w:sz w:val="24"/>
          <w:szCs w:val="24"/>
        </w:rPr>
      </w:pPr>
      <w:r>
        <w:rPr>
          <w:rFonts w:ascii="Times New Roman" w:hAnsi="Times New Roman"/>
          <w:sz w:val="24"/>
          <w:szCs w:val="24"/>
        </w:rPr>
        <w:t>在本标准修订过程中，没有出现重大分歧意见。</w:t>
      </w:r>
    </w:p>
    <w:p>
      <w:pPr>
        <w:pStyle w:val="15"/>
        <w:spacing w:line="360" w:lineRule="auto"/>
        <w:ind w:firstLine="0" w:firstLineChars="0"/>
        <w:rPr>
          <w:rFonts w:ascii="Times New Roman" w:hAnsi="Times New Roman"/>
          <w:b/>
          <w:sz w:val="24"/>
          <w:szCs w:val="24"/>
        </w:rPr>
      </w:pPr>
      <w:r>
        <w:rPr>
          <w:rFonts w:ascii="Times New Roman" w:hAnsi="Times New Roman"/>
          <w:b/>
          <w:sz w:val="24"/>
          <w:szCs w:val="24"/>
        </w:rPr>
        <w:t>六、贯彻标准的要求和建议</w:t>
      </w:r>
    </w:p>
    <w:p>
      <w:pPr>
        <w:spacing w:line="500" w:lineRule="exact"/>
        <w:ind w:firstLine="480" w:firstLineChars="200"/>
        <w:rPr>
          <w:rFonts w:ascii="Times New Roman" w:hAnsi="Times New Roman"/>
          <w:b/>
          <w:bCs/>
          <w:sz w:val="24"/>
          <w:szCs w:val="24"/>
        </w:rPr>
      </w:pPr>
      <w:r>
        <w:rPr>
          <w:rFonts w:ascii="Times New Roman" w:hAnsi="Times New Roman"/>
          <w:sz w:val="24"/>
          <w:szCs w:val="24"/>
        </w:rPr>
        <w:t>本标准发布后建议由归口单位和标准编制单位组织宣贯，促进本标准的实施。</w:t>
      </w:r>
    </w:p>
    <w:p>
      <w:pPr>
        <w:pStyle w:val="15"/>
        <w:spacing w:line="360" w:lineRule="auto"/>
        <w:ind w:firstLine="0" w:firstLineChars="0"/>
        <w:rPr>
          <w:rFonts w:ascii="Times New Roman" w:hAnsi="Times New Roman"/>
          <w:b/>
          <w:bCs/>
          <w:sz w:val="24"/>
          <w:szCs w:val="24"/>
        </w:rPr>
      </w:pPr>
      <w:r>
        <w:rPr>
          <w:rFonts w:ascii="Times New Roman" w:hAnsi="Times New Roman"/>
          <w:b/>
          <w:bCs/>
          <w:sz w:val="24"/>
          <w:szCs w:val="24"/>
        </w:rPr>
        <w:t>七、废止现行有关标准的建议</w:t>
      </w:r>
    </w:p>
    <w:p>
      <w:pPr>
        <w:pStyle w:val="15"/>
        <w:spacing w:line="360" w:lineRule="auto"/>
        <w:ind w:firstLine="480"/>
        <w:rPr>
          <w:rFonts w:ascii="Times New Roman" w:hAnsi="Times New Roman"/>
          <w:sz w:val="24"/>
          <w:szCs w:val="24"/>
        </w:rPr>
      </w:pPr>
      <w:r>
        <w:rPr>
          <w:rFonts w:ascii="Times New Roman" w:hAnsi="Times New Roman"/>
          <w:sz w:val="24"/>
          <w:szCs w:val="24"/>
        </w:rPr>
        <w:t>本标准颁布后，将代替GB/T 1</w:t>
      </w:r>
      <w:r>
        <w:rPr>
          <w:rFonts w:hint="eastAsia" w:ascii="Times New Roman" w:hAnsi="Times New Roman"/>
          <w:sz w:val="24"/>
          <w:szCs w:val="24"/>
          <w:lang w:val="en-US" w:eastAsia="zh-CN"/>
        </w:rPr>
        <w:t>0118-2009高纯镓</w:t>
      </w:r>
      <w:r>
        <w:rPr>
          <w:rFonts w:ascii="Times New Roman" w:hAnsi="Times New Roman"/>
          <w:sz w:val="24"/>
          <w:szCs w:val="24"/>
        </w:rPr>
        <w:t>，原标准建议废止。</w:t>
      </w:r>
    </w:p>
    <w:p>
      <w:pPr>
        <w:tabs>
          <w:tab w:val="left" w:pos="7688"/>
        </w:tabs>
        <w:spacing w:line="360" w:lineRule="auto"/>
        <w:rPr>
          <w:rFonts w:hint="eastAsia" w:ascii="Times New Roman" w:hAnsi="Times New Roman" w:eastAsia="宋体"/>
          <w:b/>
          <w:bCs/>
          <w:sz w:val="24"/>
          <w:szCs w:val="24"/>
          <w:lang w:eastAsia="zh-CN"/>
        </w:rPr>
      </w:pPr>
      <w:r>
        <w:rPr>
          <w:rFonts w:ascii="Times New Roman" w:hAnsi="Times New Roman"/>
          <w:b/>
          <w:bCs/>
          <w:sz w:val="24"/>
          <w:szCs w:val="24"/>
        </w:rPr>
        <w:t>八、标准作为强制性或推荐性标准的建议</w:t>
      </w:r>
      <w:r>
        <w:rPr>
          <w:rFonts w:hint="eastAsia" w:ascii="Times New Roman" w:hAnsi="Times New Roman"/>
          <w:b/>
          <w:bCs/>
          <w:sz w:val="24"/>
          <w:szCs w:val="24"/>
          <w:lang w:eastAsia="zh-CN"/>
        </w:rPr>
        <w:tab/>
      </w:r>
    </w:p>
    <w:p>
      <w:pPr>
        <w:spacing w:line="360" w:lineRule="auto"/>
        <w:ind w:firstLine="480" w:firstLineChars="200"/>
        <w:rPr>
          <w:rFonts w:ascii="Times New Roman" w:hAnsi="Times New Roman"/>
          <w:sz w:val="24"/>
          <w:szCs w:val="24"/>
        </w:rPr>
      </w:pPr>
      <w:r>
        <w:rPr>
          <w:rFonts w:ascii="Times New Roman" w:hAnsi="Times New Roman"/>
          <w:sz w:val="24"/>
          <w:szCs w:val="24"/>
        </w:rPr>
        <w:t>建议将本标准作为推荐性国家标准发布实施。</w:t>
      </w:r>
    </w:p>
    <w:p>
      <w:pPr>
        <w:pStyle w:val="15"/>
        <w:spacing w:line="360" w:lineRule="auto"/>
        <w:ind w:firstLine="0" w:firstLineChars="0"/>
        <w:rPr>
          <w:rFonts w:ascii="Times New Roman" w:hAnsi="Times New Roman"/>
          <w:b/>
          <w:bCs/>
          <w:sz w:val="24"/>
          <w:szCs w:val="24"/>
        </w:rPr>
      </w:pPr>
      <w:r>
        <w:rPr>
          <w:rFonts w:ascii="Times New Roman" w:hAnsi="Times New Roman"/>
          <w:b/>
          <w:bCs/>
          <w:sz w:val="24"/>
          <w:szCs w:val="24"/>
        </w:rPr>
        <w:t>九、其他应予以说明的情况</w:t>
      </w:r>
    </w:p>
    <w:p>
      <w:pPr>
        <w:pStyle w:val="15"/>
        <w:spacing w:line="360" w:lineRule="auto"/>
        <w:ind w:firstLine="480"/>
        <w:rPr>
          <w:rFonts w:ascii="Times New Roman" w:hAnsi="Times New Roman"/>
          <w:b/>
          <w:bCs/>
          <w:sz w:val="24"/>
          <w:szCs w:val="24"/>
        </w:rPr>
      </w:pPr>
      <w:r>
        <w:rPr>
          <w:rFonts w:ascii="Times New Roman" w:hAnsi="Times New Roman"/>
          <w:sz w:val="24"/>
          <w:szCs w:val="24"/>
        </w:rPr>
        <w:t>本标准作为推荐性国家标准供大家使用，若对结果有疑义，以供需双方协商。本标准将根据技术的发展和产业的进步进行适时修订，以满足当前产品对标准的需求。</w:t>
      </w:r>
    </w:p>
    <w:sectPr>
      <w:footerReference r:id="rId6" w:type="default"/>
      <w:pgSz w:w="11906" w:h="16838"/>
      <w:pgMar w:top="1247" w:right="1247" w:bottom="1134" w:left="1247" w:header="851" w:footer="992" w:gutter="0"/>
      <w:pgNumType w:start="12"/>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0705134"/>
                            <w:docPartObj>
                              <w:docPartGallery w:val="autotext"/>
                            </w:docPartObj>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90705134"/>
                      <w:docPartObj>
                        <w:docPartGallery w:val="autotext"/>
                      </w:docPartObj>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0705134"/>
                            <w:docPartObj>
                              <w:docPartGallery w:val="autotext"/>
                            </w:docPartObj>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90705134"/>
                      <w:docPartObj>
                        <w:docPartGallery w:val="autotext"/>
                      </w:docPartObj>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0705134"/>
                            <w:docPartObj>
                              <w:docPartGallery w:val="autotext"/>
                            </w:docPartObj>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590705134"/>
                      <w:docPartObj>
                        <w:docPartGallery w:val="autotext"/>
                      </w:docPartObj>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0705134"/>
                            <w:docPartObj>
                              <w:docPartGallery w:val="autotext"/>
                            </w:docPartObj>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590705134"/>
                      <w:docPartObj>
                        <w:docPartGallery w:val="autotext"/>
                      </w:docPartObj>
                    </w:sdtPr>
                    <w:sdtEndPr>
                      <w:rPr>
                        <w:rFonts w:asciiTheme="minorEastAsia" w:hAnsiTheme="minorEastAsia" w:eastAsiaTheme="minorEastAsia"/>
                      </w:rPr>
                    </w:sdtEndPr>
                    <w:sdtContent>
                      <w:p>
                        <w:pPr>
                          <w:pStyle w:val="6"/>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p>
                    <w:pPr>
                      <w:rPr>
                        <w:rFonts w:asciiTheme="minorEastAsia" w:hAnsiTheme="minorEastAsia" w:eastAsiaTheme="minor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21B0B"/>
    <w:multiLevelType w:val="multilevel"/>
    <w:tmpl w:val="14C21B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894FBD"/>
    <w:multiLevelType w:val="multilevel"/>
    <w:tmpl w:val="15894FB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20"/>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FE004C"/>
    <w:multiLevelType w:val="multilevel"/>
    <w:tmpl w:val="1FFE004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AF3F21"/>
    <w:multiLevelType w:val="multilevel"/>
    <w:tmpl w:val="44AF3F21"/>
    <w:lvl w:ilvl="0" w:tentative="0">
      <w:start w:val="1"/>
      <w:numFmt w:val="decimal"/>
      <w:lvlText w:val="%1)"/>
      <w:lvlJc w:val="left"/>
      <w:pPr>
        <w:ind w:left="900" w:hanging="42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51B55A82"/>
    <w:rsid w:val="000071AA"/>
    <w:rsid w:val="00031F40"/>
    <w:rsid w:val="00043D38"/>
    <w:rsid w:val="0006577E"/>
    <w:rsid w:val="00090834"/>
    <w:rsid w:val="00093944"/>
    <w:rsid w:val="000B373F"/>
    <w:rsid w:val="000C4A30"/>
    <w:rsid w:val="00102070"/>
    <w:rsid w:val="00183E06"/>
    <w:rsid w:val="00192196"/>
    <w:rsid w:val="001C387B"/>
    <w:rsid w:val="001C789A"/>
    <w:rsid w:val="00232168"/>
    <w:rsid w:val="0024621A"/>
    <w:rsid w:val="002778F1"/>
    <w:rsid w:val="00295703"/>
    <w:rsid w:val="002B0DB4"/>
    <w:rsid w:val="002B180C"/>
    <w:rsid w:val="002E04B6"/>
    <w:rsid w:val="00386AA3"/>
    <w:rsid w:val="003E6CED"/>
    <w:rsid w:val="003F59C7"/>
    <w:rsid w:val="004356A0"/>
    <w:rsid w:val="00435A96"/>
    <w:rsid w:val="00443B3E"/>
    <w:rsid w:val="00460932"/>
    <w:rsid w:val="0047062C"/>
    <w:rsid w:val="0049274B"/>
    <w:rsid w:val="004A463B"/>
    <w:rsid w:val="004B415F"/>
    <w:rsid w:val="004B6F20"/>
    <w:rsid w:val="004C7D0D"/>
    <w:rsid w:val="004F4F44"/>
    <w:rsid w:val="00516612"/>
    <w:rsid w:val="00582B9B"/>
    <w:rsid w:val="00592E21"/>
    <w:rsid w:val="005A4181"/>
    <w:rsid w:val="00622B46"/>
    <w:rsid w:val="006C0D39"/>
    <w:rsid w:val="006F4771"/>
    <w:rsid w:val="0073581B"/>
    <w:rsid w:val="00752616"/>
    <w:rsid w:val="007A70BD"/>
    <w:rsid w:val="007C3308"/>
    <w:rsid w:val="007D318E"/>
    <w:rsid w:val="007D4F95"/>
    <w:rsid w:val="007F5364"/>
    <w:rsid w:val="00810C08"/>
    <w:rsid w:val="008312A2"/>
    <w:rsid w:val="0084621E"/>
    <w:rsid w:val="00867AE2"/>
    <w:rsid w:val="00895A39"/>
    <w:rsid w:val="008A28C3"/>
    <w:rsid w:val="008A3EA0"/>
    <w:rsid w:val="008C61F1"/>
    <w:rsid w:val="009B1E93"/>
    <w:rsid w:val="009C78D7"/>
    <w:rsid w:val="009D4691"/>
    <w:rsid w:val="00A03EA6"/>
    <w:rsid w:val="00A90250"/>
    <w:rsid w:val="00AC51AE"/>
    <w:rsid w:val="00AD0EC8"/>
    <w:rsid w:val="00AD59B6"/>
    <w:rsid w:val="00B20030"/>
    <w:rsid w:val="00B4594A"/>
    <w:rsid w:val="00B85A2B"/>
    <w:rsid w:val="00BA45D8"/>
    <w:rsid w:val="00BB43F4"/>
    <w:rsid w:val="00BC050D"/>
    <w:rsid w:val="00BC2A48"/>
    <w:rsid w:val="00C35D45"/>
    <w:rsid w:val="00C517EE"/>
    <w:rsid w:val="00C85102"/>
    <w:rsid w:val="00CD372A"/>
    <w:rsid w:val="00D44AEE"/>
    <w:rsid w:val="00D64DDF"/>
    <w:rsid w:val="00D702F6"/>
    <w:rsid w:val="00D76689"/>
    <w:rsid w:val="00DD148E"/>
    <w:rsid w:val="00DD6E09"/>
    <w:rsid w:val="00DE1C95"/>
    <w:rsid w:val="00DE7B4D"/>
    <w:rsid w:val="00E06DD5"/>
    <w:rsid w:val="00E222E1"/>
    <w:rsid w:val="00E34C68"/>
    <w:rsid w:val="00EC2797"/>
    <w:rsid w:val="00EC7B55"/>
    <w:rsid w:val="00EE19B7"/>
    <w:rsid w:val="00EE291A"/>
    <w:rsid w:val="00F00110"/>
    <w:rsid w:val="00F04041"/>
    <w:rsid w:val="00F1477E"/>
    <w:rsid w:val="00FD4232"/>
    <w:rsid w:val="037F2539"/>
    <w:rsid w:val="03F85803"/>
    <w:rsid w:val="05082060"/>
    <w:rsid w:val="084921EF"/>
    <w:rsid w:val="098525D2"/>
    <w:rsid w:val="0AF0748B"/>
    <w:rsid w:val="0B84650B"/>
    <w:rsid w:val="0D24133D"/>
    <w:rsid w:val="1361279D"/>
    <w:rsid w:val="14A1397D"/>
    <w:rsid w:val="155F5EC2"/>
    <w:rsid w:val="16DA521A"/>
    <w:rsid w:val="19592507"/>
    <w:rsid w:val="19857475"/>
    <w:rsid w:val="19F461D0"/>
    <w:rsid w:val="1B48460D"/>
    <w:rsid w:val="1C775BCB"/>
    <w:rsid w:val="1CC54969"/>
    <w:rsid w:val="1CD51468"/>
    <w:rsid w:val="1D445EF1"/>
    <w:rsid w:val="1DDB32DF"/>
    <w:rsid w:val="1FCD4B4A"/>
    <w:rsid w:val="23767F3B"/>
    <w:rsid w:val="2430725E"/>
    <w:rsid w:val="285622BC"/>
    <w:rsid w:val="29115E06"/>
    <w:rsid w:val="2D1408D4"/>
    <w:rsid w:val="2E0C4716"/>
    <w:rsid w:val="30D3645A"/>
    <w:rsid w:val="35B14874"/>
    <w:rsid w:val="39DD776B"/>
    <w:rsid w:val="3C6021B7"/>
    <w:rsid w:val="3D4A3F97"/>
    <w:rsid w:val="3DDE42D9"/>
    <w:rsid w:val="3ED62D62"/>
    <w:rsid w:val="3F6D420E"/>
    <w:rsid w:val="439F685C"/>
    <w:rsid w:val="43EC32A0"/>
    <w:rsid w:val="45112F9D"/>
    <w:rsid w:val="457E607F"/>
    <w:rsid w:val="47EB386F"/>
    <w:rsid w:val="48A3125B"/>
    <w:rsid w:val="49C54B65"/>
    <w:rsid w:val="49FD69A9"/>
    <w:rsid w:val="4EA528EA"/>
    <w:rsid w:val="5157570D"/>
    <w:rsid w:val="51B55A82"/>
    <w:rsid w:val="552B7B66"/>
    <w:rsid w:val="56160B64"/>
    <w:rsid w:val="5A471DAD"/>
    <w:rsid w:val="5BCB3576"/>
    <w:rsid w:val="61F53958"/>
    <w:rsid w:val="6294026E"/>
    <w:rsid w:val="630E2DDB"/>
    <w:rsid w:val="632D58BE"/>
    <w:rsid w:val="64596037"/>
    <w:rsid w:val="64696FEF"/>
    <w:rsid w:val="65AC3C7C"/>
    <w:rsid w:val="67A23DC5"/>
    <w:rsid w:val="68BC3E78"/>
    <w:rsid w:val="6A35555A"/>
    <w:rsid w:val="6AA71263"/>
    <w:rsid w:val="6C7E3951"/>
    <w:rsid w:val="6D535020"/>
    <w:rsid w:val="7058095A"/>
    <w:rsid w:val="70943B6B"/>
    <w:rsid w:val="763D05D9"/>
    <w:rsid w:val="793703FA"/>
    <w:rsid w:val="795D01FA"/>
    <w:rsid w:val="7A75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imes New Roman" w:hAnsi="Times New Roman"/>
      <w:szCs w:val="24"/>
    </w:rPr>
  </w:style>
  <w:style w:type="paragraph" w:styleId="3">
    <w:name w:val="Body Text"/>
    <w:basedOn w:val="1"/>
    <w:next w:val="4"/>
    <w:qFormat/>
    <w:uiPriority w:val="0"/>
    <w:pPr>
      <w:spacing w:after="120"/>
    </w:p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Balloon Text"/>
    <w:basedOn w:val="1"/>
    <w:link w:val="19"/>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qFormat/>
    <w:uiPriority w:val="0"/>
    <w:pPr>
      <w:adjustRightInd w:val="0"/>
      <w:spacing w:after="0" w:line="240" w:lineRule="atLeast"/>
      <w:jc w:val="left"/>
      <w:textAlignment w:val="baseline"/>
    </w:pPr>
    <w:rPr>
      <w:rFonts w:ascii="宋体" w:hAnsi="宋体"/>
      <w:color w:val="000000"/>
      <w:kern w:val="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annotation reference"/>
    <w:qFormat/>
    <w:uiPriority w:val="0"/>
    <w:rPr>
      <w:sz w:val="21"/>
      <w:szCs w:val="21"/>
    </w:rPr>
  </w:style>
  <w:style w:type="paragraph" w:styleId="15">
    <w:name w:val="List Paragraph"/>
    <w:basedOn w:val="1"/>
    <w:qFormat/>
    <w:uiPriority w:val="0"/>
    <w:pPr>
      <w:ind w:firstLine="420" w:firstLineChars="200"/>
    </w:pPr>
  </w:style>
  <w:style w:type="paragraph" w:customStyle="1" w:styleId="1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7">
    <w:name w:val="页眉 字符"/>
    <w:basedOn w:val="12"/>
    <w:link w:val="7"/>
    <w:qFormat/>
    <w:uiPriority w:val="0"/>
    <w:rPr>
      <w:rFonts w:ascii="Calibri" w:hAnsi="Calibri"/>
      <w:kern w:val="2"/>
      <w:sz w:val="18"/>
      <w:szCs w:val="18"/>
    </w:rPr>
  </w:style>
  <w:style w:type="character" w:customStyle="1" w:styleId="18">
    <w:name w:val="页脚 字符"/>
    <w:basedOn w:val="12"/>
    <w:link w:val="6"/>
    <w:qFormat/>
    <w:uiPriority w:val="99"/>
    <w:rPr>
      <w:rFonts w:ascii="Calibri" w:hAnsi="Calibri"/>
      <w:kern w:val="2"/>
      <w:sz w:val="18"/>
      <w:szCs w:val="18"/>
    </w:rPr>
  </w:style>
  <w:style w:type="character" w:customStyle="1" w:styleId="19">
    <w:name w:val="批注框文本 字符"/>
    <w:basedOn w:val="12"/>
    <w:link w:val="5"/>
    <w:qFormat/>
    <w:uiPriority w:val="0"/>
    <w:rPr>
      <w:rFonts w:ascii="Calibri" w:hAnsi="Calibri"/>
      <w:kern w:val="2"/>
      <w:sz w:val="18"/>
      <w:szCs w:val="18"/>
    </w:rPr>
  </w:style>
  <w:style w:type="paragraph" w:customStyle="1" w:styleId="20">
    <w:name w:val="二级无"/>
    <w:basedOn w:val="1"/>
    <w:qFormat/>
    <w:uiPriority w:val="0"/>
    <w:pPr>
      <w:widowControl/>
      <w:numPr>
        <w:ilvl w:val="2"/>
        <w:numId w:val="1"/>
      </w:numPr>
      <w:jc w:val="left"/>
      <w:outlineLvl w:val="3"/>
    </w:pPr>
    <w:rPr>
      <w:rFonts w:ascii="宋体" w:hAnsi="Times New Roman"/>
      <w:kern w:val="0"/>
      <w:szCs w:val="21"/>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批注文字 字符"/>
    <w:link w:val="2"/>
    <w:qFormat/>
    <w:uiPriority w:val="0"/>
    <w:rPr>
      <w:kern w:val="2"/>
      <w:sz w:val="21"/>
      <w:szCs w:val="24"/>
    </w:rPr>
  </w:style>
  <w:style w:type="character" w:customStyle="1" w:styleId="23">
    <w:name w:val="批注文字 字符1"/>
    <w:basedOn w:val="12"/>
    <w:qFormat/>
    <w:uiPriority w:val="0"/>
    <w:rPr>
      <w:rFonts w:ascii="Calibri" w:hAnsi="Calibri"/>
      <w:kern w:val="2"/>
      <w:sz w:val="21"/>
      <w:szCs w:val="22"/>
    </w:rPr>
  </w:style>
  <w:style w:type="character" w:customStyle="1" w:styleId="24">
    <w:name w:val="font31"/>
    <w:basedOn w:val="12"/>
    <w:qFormat/>
    <w:uiPriority w:val="0"/>
    <w:rPr>
      <w:rFonts w:hint="eastAsia" w:ascii="宋体" w:hAnsi="宋体" w:eastAsia="宋体" w:cs="宋体"/>
      <w:color w:val="000000"/>
      <w:sz w:val="18"/>
      <w:szCs w:val="18"/>
      <w:u w:val="none"/>
    </w:rPr>
  </w:style>
  <w:style w:type="character" w:customStyle="1" w:styleId="25">
    <w:name w:val="font21"/>
    <w:basedOn w:val="12"/>
    <w:qFormat/>
    <w:uiPriority w:val="0"/>
    <w:rPr>
      <w:rFonts w:hint="default" w:ascii="Times New Roman" w:hAnsi="Times New Roman" w:cs="Times New Roman"/>
      <w:color w:val="000000"/>
      <w:sz w:val="18"/>
      <w:szCs w:val="18"/>
      <w:u w:val="none"/>
    </w:rPr>
  </w:style>
  <w:style w:type="character" w:customStyle="1" w:styleId="26">
    <w:name w:val="font41"/>
    <w:basedOn w:val="12"/>
    <w:qFormat/>
    <w:uiPriority w:val="0"/>
    <w:rPr>
      <w:rFonts w:hint="default" w:ascii="Times New Roman" w:hAnsi="Times New Roman" w:cs="Times New Roman"/>
      <w:color w:val="000000"/>
      <w:sz w:val="18"/>
      <w:szCs w:val="18"/>
      <w:u w:val="none"/>
      <w:vertAlign w:val="superscript"/>
    </w:rPr>
  </w:style>
  <w:style w:type="character" w:customStyle="1" w:styleId="27">
    <w:name w:val="font61"/>
    <w:basedOn w:val="12"/>
    <w:qFormat/>
    <w:uiPriority w:val="0"/>
    <w:rPr>
      <w:rFonts w:hint="default" w:ascii="Times New Roman" w:hAnsi="Times New Roman" w:cs="Times New Roman"/>
      <w:color w:val="000000"/>
      <w:sz w:val="18"/>
      <w:szCs w:val="18"/>
      <w:u w:val="none"/>
    </w:rPr>
  </w:style>
  <w:style w:type="character" w:customStyle="1" w:styleId="28">
    <w:name w:val="font11"/>
    <w:basedOn w:val="12"/>
    <w:qFormat/>
    <w:uiPriority w:val="0"/>
    <w:rPr>
      <w:rFonts w:hint="eastAsia" w:ascii="宋体" w:hAnsi="宋体" w:eastAsia="宋体" w:cs="宋体"/>
      <w:color w:val="000000"/>
      <w:sz w:val="18"/>
      <w:szCs w:val="18"/>
      <w:u w:val="none"/>
    </w:rPr>
  </w:style>
  <w:style w:type="character" w:customStyle="1" w:styleId="29">
    <w:name w:val="font51"/>
    <w:basedOn w:val="12"/>
    <w:qFormat/>
    <w:uiPriority w:val="0"/>
    <w:rPr>
      <w:rFonts w:hint="eastAsia" w:ascii="宋体" w:hAnsi="宋体" w:eastAsia="宋体" w:cs="宋体"/>
      <w:color w:val="000000"/>
      <w:sz w:val="18"/>
      <w:szCs w:val="18"/>
      <w:u w:val="none"/>
    </w:rPr>
  </w:style>
  <w:style w:type="character" w:customStyle="1" w:styleId="30">
    <w:name w:val="font01"/>
    <w:basedOn w:val="12"/>
    <w:qFormat/>
    <w:uiPriority w:val="0"/>
    <w:rPr>
      <w:rFonts w:hint="default" w:ascii="Times New Roman" w:hAnsi="Times New Roman" w:cs="Times New Roman"/>
      <w:color w:val="000000"/>
      <w:sz w:val="18"/>
      <w:szCs w:val="18"/>
      <w:u w:val="none"/>
      <w:vertAlign w:val="superscript"/>
    </w:rPr>
  </w:style>
  <w:style w:type="character" w:customStyle="1" w:styleId="31">
    <w:name w:val="font81"/>
    <w:basedOn w:val="12"/>
    <w:qFormat/>
    <w:uiPriority w:val="0"/>
    <w:rPr>
      <w:rFonts w:hint="default" w:ascii="Times New Roman" w:hAnsi="Times New Roman" w:cs="Times New Roman"/>
      <w:color w:val="000000"/>
      <w:sz w:val="18"/>
      <w:szCs w:val="18"/>
      <w:u w:val="none"/>
    </w:rPr>
  </w:style>
  <w:style w:type="character" w:customStyle="1" w:styleId="32">
    <w:name w:val="font91"/>
    <w:basedOn w:val="12"/>
    <w:qFormat/>
    <w:uiPriority w:val="0"/>
    <w:rPr>
      <w:rFonts w:hint="default" w:ascii="Times New Roman" w:hAnsi="Times New Roman" w:cs="Times New Roman"/>
      <w:color w:val="000000"/>
      <w:sz w:val="18"/>
      <w:szCs w:val="18"/>
      <w:u w:val="none"/>
      <w:vertAlign w:val="superscript"/>
    </w:rPr>
  </w:style>
  <w:style w:type="character" w:customStyle="1" w:styleId="33">
    <w:name w:val="font101"/>
    <w:basedOn w:val="12"/>
    <w:qFormat/>
    <w:uiPriority w:val="0"/>
    <w:rPr>
      <w:rFonts w:hint="eastAsia" w:ascii="宋体" w:hAnsi="宋体" w:eastAsia="宋体" w:cs="宋体"/>
      <w:color w:val="000000"/>
      <w:sz w:val="18"/>
      <w:szCs w:val="18"/>
      <w:u w:val="none"/>
    </w:rPr>
  </w:style>
  <w:style w:type="character" w:customStyle="1" w:styleId="34">
    <w:name w:val="font112"/>
    <w:basedOn w:val="12"/>
    <w:qFormat/>
    <w:uiPriority w:val="0"/>
    <w:rPr>
      <w:rFonts w:hint="default" w:ascii="Times New Roman" w:hAnsi="Times New Roman" w:cs="Times New Roman"/>
      <w:b/>
      <w:bCs/>
      <w:color w:val="FF0000"/>
      <w:sz w:val="20"/>
      <w:szCs w:val="20"/>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14</Pages>
  <Words>7496</Words>
  <Characters>10266</Characters>
  <Lines>50</Lines>
  <Paragraphs>14</Paragraphs>
  <TotalTime>340</TotalTime>
  <ScaleCrop>false</ScaleCrop>
  <LinksUpToDate>false</LinksUpToDate>
  <CharactersWithSpaces>10389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2018-11-30T00:49:00Z</dcterms:created>
  <dc:creator>Lenovo</dc:creator>
  <cp:lastModifiedBy>素素</cp:lastModifiedBy>
  <cp:lastPrinted>2020-01-06T04:52:00Z</cp:lastPrinted>
  <dcterms:modified xsi:type="dcterms:W3CDTF">2023-04-07T11:21:32Z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4E42F5DAD2644F2094C462BF283E8276</vt:lpwstr>
  </property>
</Properties>
</file>