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b/>
          <w:sz w:val="52"/>
          <w:szCs w:val="52"/>
        </w:rPr>
      </w:pPr>
      <w:bookmarkStart w:id="0" w:name="_Toc261354909"/>
    </w:p>
    <w:p>
      <w:pPr>
        <w:jc w:val="center"/>
        <w:rPr>
          <w:rFonts w:hint="eastAsia" w:ascii="黑体" w:eastAsia="黑体"/>
          <w:b/>
          <w:sz w:val="52"/>
          <w:szCs w:val="52"/>
        </w:rPr>
      </w:pPr>
    </w:p>
    <w:p>
      <w:pPr>
        <w:jc w:val="center"/>
        <w:rPr>
          <w:rFonts w:hint="eastAsia" w:ascii="黑体" w:eastAsia="黑体"/>
          <w:b/>
          <w:sz w:val="52"/>
          <w:szCs w:val="52"/>
        </w:rPr>
      </w:pPr>
    </w:p>
    <w:p>
      <w:pPr>
        <w:jc w:val="center"/>
        <w:rPr>
          <w:rFonts w:hint="eastAsia" w:ascii="黑体" w:eastAsia="黑体"/>
          <w:b/>
          <w:sz w:val="44"/>
          <w:szCs w:val="44"/>
        </w:rPr>
      </w:pPr>
      <w:r>
        <w:rPr>
          <w:rFonts w:hint="eastAsia" w:ascii="黑体" w:eastAsia="黑体"/>
          <w:b/>
          <w:sz w:val="44"/>
          <w:szCs w:val="44"/>
        </w:rPr>
        <w:t>《冰铜》</w:t>
      </w:r>
    </w:p>
    <w:bookmarkEnd w:id="0"/>
    <w:p>
      <w:pPr>
        <w:spacing w:line="360" w:lineRule="auto"/>
        <w:jc w:val="center"/>
        <w:rPr>
          <w:rFonts w:hint="eastAsia" w:eastAsia="黑体"/>
          <w:sz w:val="32"/>
          <w:szCs w:val="32"/>
        </w:rPr>
      </w:pPr>
    </w:p>
    <w:p>
      <w:pPr>
        <w:spacing w:line="360" w:lineRule="auto"/>
        <w:jc w:val="center"/>
        <w:rPr>
          <w:rFonts w:hint="eastAsia" w:eastAsia="黑体"/>
          <w:sz w:val="32"/>
          <w:szCs w:val="32"/>
        </w:rPr>
      </w:pPr>
      <w:r>
        <w:rPr>
          <w:rFonts w:hint="eastAsia" w:eastAsia="黑体"/>
          <w:sz w:val="32"/>
          <w:szCs w:val="32"/>
        </w:rPr>
        <w:t>（</w:t>
      </w:r>
      <w:r>
        <w:rPr>
          <w:rFonts w:hint="eastAsia" w:eastAsia="黑体"/>
          <w:sz w:val="32"/>
          <w:szCs w:val="32"/>
          <w:lang w:eastAsia="zh-CN"/>
        </w:rPr>
        <w:t>讨论</w:t>
      </w:r>
      <w:r>
        <w:rPr>
          <w:rFonts w:hint="eastAsia" w:eastAsia="黑体"/>
          <w:sz w:val="32"/>
          <w:szCs w:val="32"/>
        </w:rPr>
        <w:t>稿）</w:t>
      </w:r>
    </w:p>
    <w:p>
      <w:pPr>
        <w:spacing w:line="360" w:lineRule="auto"/>
        <w:jc w:val="center"/>
        <w:rPr>
          <w:rFonts w:hint="eastAsia" w:eastAsia="黑体"/>
          <w:sz w:val="32"/>
          <w:szCs w:val="32"/>
        </w:rPr>
      </w:pPr>
    </w:p>
    <w:p>
      <w:pPr>
        <w:jc w:val="center"/>
        <w:rPr>
          <w:rFonts w:hint="eastAsia" w:ascii="黑体" w:eastAsia="黑体"/>
          <w:b/>
          <w:sz w:val="44"/>
          <w:szCs w:val="44"/>
        </w:rPr>
      </w:pPr>
      <w:r>
        <w:rPr>
          <w:rFonts w:hint="eastAsia" w:ascii="黑体" w:eastAsia="黑体"/>
          <w:b/>
          <w:sz w:val="44"/>
          <w:szCs w:val="44"/>
        </w:rPr>
        <w:t>编制说明</w:t>
      </w:r>
    </w:p>
    <w:p>
      <w:pPr>
        <w:spacing w:line="360" w:lineRule="auto"/>
        <w:jc w:val="center"/>
        <w:rPr>
          <w:rFonts w:hint="eastAsia" w:eastAsia="黑体"/>
          <w:sz w:val="32"/>
          <w:szCs w:val="32"/>
        </w:rPr>
      </w:pPr>
    </w:p>
    <w:p>
      <w:pPr>
        <w:spacing w:line="360" w:lineRule="auto"/>
        <w:jc w:val="center"/>
        <w:rPr>
          <w:rFonts w:hint="eastAsia" w:eastAsia="黑体"/>
          <w:sz w:val="32"/>
          <w:szCs w:val="32"/>
        </w:rPr>
      </w:pPr>
    </w:p>
    <w:p>
      <w:pPr>
        <w:spacing w:line="360" w:lineRule="auto"/>
        <w:jc w:val="center"/>
        <w:rPr>
          <w:rFonts w:hint="eastAsia" w:eastAsia="黑体"/>
          <w:sz w:val="32"/>
          <w:szCs w:val="32"/>
        </w:rPr>
      </w:pPr>
    </w:p>
    <w:p>
      <w:pPr>
        <w:spacing w:line="360" w:lineRule="auto"/>
        <w:jc w:val="center"/>
        <w:rPr>
          <w:rFonts w:hint="eastAsia" w:eastAsia="黑体"/>
          <w:sz w:val="32"/>
          <w:szCs w:val="32"/>
        </w:rPr>
      </w:pPr>
    </w:p>
    <w:p>
      <w:pPr>
        <w:spacing w:line="360" w:lineRule="auto"/>
        <w:jc w:val="center"/>
        <w:rPr>
          <w:rFonts w:hint="eastAsia" w:eastAsia="黑体"/>
          <w:sz w:val="32"/>
          <w:szCs w:val="32"/>
        </w:rPr>
      </w:pPr>
    </w:p>
    <w:p>
      <w:pPr>
        <w:spacing w:line="360" w:lineRule="auto"/>
        <w:jc w:val="center"/>
        <w:rPr>
          <w:rFonts w:hint="eastAsia" w:eastAsia="黑体"/>
          <w:sz w:val="32"/>
          <w:szCs w:val="32"/>
        </w:rPr>
      </w:pPr>
    </w:p>
    <w:p>
      <w:pPr>
        <w:spacing w:line="360" w:lineRule="auto"/>
        <w:jc w:val="center"/>
        <w:rPr>
          <w:rFonts w:hint="eastAsia" w:eastAsia="黑体"/>
          <w:sz w:val="32"/>
          <w:szCs w:val="32"/>
        </w:rPr>
      </w:pPr>
    </w:p>
    <w:p>
      <w:pPr>
        <w:spacing w:line="360" w:lineRule="auto"/>
        <w:jc w:val="center"/>
        <w:rPr>
          <w:rFonts w:hint="eastAsia" w:eastAsia="黑体"/>
          <w:sz w:val="32"/>
          <w:szCs w:val="32"/>
        </w:rPr>
      </w:pPr>
    </w:p>
    <w:p>
      <w:pPr>
        <w:spacing w:line="360" w:lineRule="auto"/>
        <w:jc w:val="center"/>
        <w:rPr>
          <w:rFonts w:hint="eastAsia" w:eastAsia="黑体"/>
          <w:sz w:val="32"/>
          <w:szCs w:val="32"/>
        </w:rPr>
      </w:pPr>
    </w:p>
    <w:p>
      <w:pPr>
        <w:pStyle w:val="26"/>
        <w:rPr>
          <w:rFonts w:hint="eastAsia"/>
        </w:rPr>
      </w:pPr>
    </w:p>
    <w:p>
      <w:pPr>
        <w:spacing w:line="480" w:lineRule="exact"/>
        <w:jc w:val="center"/>
        <w:rPr>
          <w:rFonts w:hint="eastAsia"/>
          <w:b/>
          <w:sz w:val="28"/>
          <w:szCs w:val="28"/>
        </w:rPr>
      </w:pPr>
    </w:p>
    <w:p>
      <w:pPr>
        <w:spacing w:line="480" w:lineRule="exact"/>
        <w:jc w:val="center"/>
        <w:rPr>
          <w:rFonts w:hint="eastAsia"/>
          <w:b/>
          <w:sz w:val="28"/>
          <w:szCs w:val="28"/>
        </w:rPr>
      </w:pPr>
    </w:p>
    <w:p>
      <w:pPr>
        <w:spacing w:line="480" w:lineRule="exact"/>
        <w:jc w:val="center"/>
        <w:rPr>
          <w:rFonts w:hint="eastAsia"/>
          <w:b/>
          <w:sz w:val="28"/>
          <w:szCs w:val="28"/>
        </w:rPr>
      </w:pPr>
      <w:r>
        <w:rPr>
          <w:rFonts w:hint="eastAsia"/>
          <w:b/>
          <w:sz w:val="28"/>
          <w:szCs w:val="28"/>
        </w:rPr>
        <w:t>大冶有色金属有限责任公司</w:t>
      </w:r>
    </w:p>
    <w:p>
      <w:pPr>
        <w:spacing w:line="480" w:lineRule="exact"/>
        <w:jc w:val="center"/>
        <w:rPr>
          <w:rFonts w:hint="eastAsia" w:eastAsia="宋体"/>
          <w:b/>
          <w:sz w:val="28"/>
          <w:szCs w:val="28"/>
          <w:lang w:val="en-US" w:eastAsia="zh-CN"/>
        </w:rPr>
      </w:pPr>
      <w:r>
        <w:rPr>
          <w:rFonts w:hint="eastAsia"/>
          <w:b/>
          <w:sz w:val="28"/>
          <w:szCs w:val="28"/>
        </w:rPr>
        <w:t>202</w:t>
      </w:r>
      <w:r>
        <w:rPr>
          <w:rFonts w:hint="eastAsia"/>
          <w:b/>
          <w:sz w:val="28"/>
          <w:szCs w:val="28"/>
          <w:lang w:val="en-US" w:eastAsia="zh-CN"/>
        </w:rPr>
        <w:t>3</w:t>
      </w:r>
      <w:r>
        <w:rPr>
          <w:rFonts w:hint="eastAsia"/>
          <w:b/>
          <w:sz w:val="28"/>
          <w:szCs w:val="28"/>
        </w:rPr>
        <w:t>.0</w:t>
      </w:r>
      <w:r>
        <w:rPr>
          <w:rFonts w:hint="eastAsia"/>
          <w:b/>
          <w:sz w:val="28"/>
          <w:szCs w:val="28"/>
          <w:lang w:val="en-US" w:eastAsia="zh-CN"/>
        </w:rPr>
        <w:t>3</w:t>
      </w:r>
    </w:p>
    <w:p>
      <w:pPr>
        <w:pStyle w:val="9"/>
        <w:jc w:val="left"/>
        <w:sectPr>
          <w:headerReference r:id="rId3" w:type="default"/>
          <w:footerReference r:id="rId4" w:type="even"/>
          <w:endnotePr>
            <w:numFmt w:val="decimal"/>
          </w:endnotePr>
          <w:pgSz w:w="11906" w:h="16838"/>
          <w:pgMar w:top="1361" w:right="1361" w:bottom="1361" w:left="1361" w:header="851" w:footer="992" w:gutter="0"/>
          <w:pgNumType w:fmt="upperRoman" w:start="1"/>
          <w:cols w:space="720" w:num="1"/>
          <w:docGrid w:linePitch="312" w:charSpace="0"/>
        </w:sectPr>
      </w:pPr>
    </w:p>
    <w:p>
      <w:pPr>
        <w:spacing w:before="0" w:beforeLines="0" w:after="0" w:afterLines="0" w:line="240" w:lineRule="auto"/>
        <w:ind w:left="0" w:leftChars="0" w:right="0" w:rightChars="0" w:firstLine="0" w:firstLineChars="0"/>
        <w:jc w:val="center"/>
        <w:rPr>
          <w:sz w:val="30"/>
          <w:szCs w:val="30"/>
        </w:rPr>
      </w:pPr>
      <w:r>
        <w:rPr>
          <w:rFonts w:ascii="宋体" w:hAnsi="宋体" w:eastAsia="宋体"/>
          <w:sz w:val="30"/>
          <w:szCs w:val="30"/>
        </w:rPr>
        <w:t>目</w:t>
      </w:r>
      <w:r>
        <w:rPr>
          <w:rFonts w:hint="eastAsia" w:ascii="宋体" w:hAnsi="宋体" w:eastAsia="宋体"/>
          <w:sz w:val="30"/>
          <w:szCs w:val="30"/>
          <w:lang w:val="en-US" w:eastAsia="zh-CN"/>
        </w:rPr>
        <w:t xml:space="preserve">  </w:t>
      </w:r>
      <w:bookmarkStart w:id="40" w:name="_GoBack"/>
      <w:bookmarkEnd w:id="40"/>
      <w:r>
        <w:rPr>
          <w:rFonts w:ascii="宋体" w:hAnsi="宋体" w:eastAsia="宋体"/>
          <w:sz w:val="30"/>
          <w:szCs w:val="30"/>
        </w:rPr>
        <w:t>录</w:t>
      </w:r>
    </w:p>
    <w:p>
      <w:pPr>
        <w:pStyle w:val="27"/>
        <w:tabs>
          <w:tab w:val="right" w:leader="dot" w:pos="8346"/>
        </w:tabs>
      </w:pPr>
      <w:r>
        <w:rPr>
          <w:rFonts w:hint="eastAsia" w:eastAsia="黑体"/>
          <w:color w:val="auto"/>
          <w:sz w:val="28"/>
          <w:szCs w:val="28"/>
          <w:lang w:val="en-US" w:eastAsia="zh-CN"/>
        </w:rPr>
        <w:fldChar w:fldCharType="begin"/>
      </w:r>
      <w:r>
        <w:rPr>
          <w:rFonts w:hint="eastAsia" w:eastAsia="黑体"/>
          <w:color w:val="auto"/>
          <w:sz w:val="28"/>
          <w:szCs w:val="28"/>
          <w:lang w:val="en-US" w:eastAsia="zh-CN"/>
        </w:rPr>
        <w:instrText xml:space="preserve">TOC \o "1-3" \h \u </w:instrText>
      </w:r>
      <w:r>
        <w:rPr>
          <w:rFonts w:hint="eastAsia" w:eastAsia="黑体"/>
          <w:color w:val="auto"/>
          <w:sz w:val="28"/>
          <w:szCs w:val="28"/>
          <w:lang w:val="en-US" w:eastAsia="zh-CN"/>
        </w:rPr>
        <w:fldChar w:fldCharType="separate"/>
      </w:r>
    </w:p>
    <w:p>
      <w:pPr>
        <w:pStyle w:val="27"/>
        <w:tabs>
          <w:tab w:val="right" w:leader="dot" w:pos="8346"/>
        </w:tabs>
      </w:pPr>
      <w:r>
        <w:rPr>
          <w:rFonts w:hint="eastAsia" w:eastAsia="黑体"/>
          <w:color w:val="auto"/>
          <w:szCs w:val="28"/>
          <w:lang w:val="en-US" w:eastAsia="zh-CN"/>
        </w:rPr>
        <w:fldChar w:fldCharType="begin"/>
      </w:r>
      <w:r>
        <w:rPr>
          <w:rFonts w:hint="eastAsia" w:eastAsia="黑体"/>
          <w:szCs w:val="28"/>
          <w:lang w:val="en-US" w:eastAsia="zh-CN"/>
        </w:rPr>
        <w:instrText xml:space="preserve"> HYPERLINK \l _Toc13177 </w:instrText>
      </w:r>
      <w:r>
        <w:rPr>
          <w:rFonts w:hint="eastAsia" w:eastAsia="黑体"/>
          <w:szCs w:val="28"/>
          <w:lang w:val="en-US" w:eastAsia="zh-CN"/>
        </w:rPr>
        <w:fldChar w:fldCharType="separate"/>
      </w:r>
      <w:r>
        <w:rPr>
          <w:rFonts w:hint="eastAsia" w:ascii="黑体" w:eastAsia="黑体" w:cs="Arial"/>
          <w:szCs w:val="24"/>
        </w:rPr>
        <w:t>一、工作简况</w:t>
      </w:r>
      <w:r>
        <w:tab/>
      </w:r>
      <w:r>
        <w:fldChar w:fldCharType="begin"/>
      </w:r>
      <w:r>
        <w:instrText xml:space="preserve"> PAGEREF _Toc13177 </w:instrText>
      </w:r>
      <w:r>
        <w:fldChar w:fldCharType="separate"/>
      </w:r>
      <w:r>
        <w:t>1</w:t>
      </w:r>
      <w:r>
        <w:fldChar w:fldCharType="end"/>
      </w:r>
      <w:r>
        <w:rPr>
          <w:rFonts w:hint="eastAsia" w:eastAsia="黑体"/>
          <w:color w:val="auto"/>
          <w:szCs w:val="28"/>
          <w:lang w:val="en-US" w:eastAsia="zh-CN"/>
        </w:rPr>
        <w:fldChar w:fldCharType="end"/>
      </w:r>
    </w:p>
    <w:p>
      <w:pPr>
        <w:pStyle w:val="28"/>
        <w:tabs>
          <w:tab w:val="right" w:leader="dot" w:pos="8346"/>
        </w:tabs>
      </w:pPr>
      <w:r>
        <w:rPr>
          <w:rFonts w:hint="eastAsia" w:eastAsia="黑体"/>
          <w:color w:val="auto"/>
          <w:szCs w:val="28"/>
          <w:lang w:val="en-US" w:eastAsia="zh-CN"/>
        </w:rPr>
        <w:fldChar w:fldCharType="begin"/>
      </w:r>
      <w:r>
        <w:rPr>
          <w:rFonts w:hint="eastAsia" w:eastAsia="黑体"/>
          <w:szCs w:val="28"/>
          <w:lang w:val="en-US" w:eastAsia="zh-CN"/>
        </w:rPr>
        <w:instrText xml:space="preserve"> HYPERLINK \l _Toc4472 </w:instrText>
      </w:r>
      <w:r>
        <w:rPr>
          <w:rFonts w:hint="eastAsia" w:eastAsia="黑体"/>
          <w:szCs w:val="28"/>
          <w:lang w:val="en-US" w:eastAsia="zh-CN"/>
        </w:rPr>
        <w:fldChar w:fldCharType="separate"/>
      </w:r>
      <w:r>
        <w:rPr>
          <w:rFonts w:hint="eastAsia" w:ascii="黑体" w:eastAsia="黑体" w:cs="Arial"/>
          <w:szCs w:val="24"/>
        </w:rPr>
        <w:t>1.1任务来源</w:t>
      </w:r>
      <w:r>
        <w:tab/>
      </w:r>
      <w:r>
        <w:fldChar w:fldCharType="begin"/>
      </w:r>
      <w:r>
        <w:instrText xml:space="preserve"> PAGEREF _Toc4472 </w:instrText>
      </w:r>
      <w:r>
        <w:fldChar w:fldCharType="separate"/>
      </w:r>
      <w:r>
        <w:t>1</w:t>
      </w:r>
      <w:r>
        <w:fldChar w:fldCharType="end"/>
      </w:r>
      <w:r>
        <w:rPr>
          <w:rFonts w:hint="eastAsia" w:eastAsia="黑体"/>
          <w:color w:val="auto"/>
          <w:szCs w:val="28"/>
          <w:lang w:val="en-US" w:eastAsia="zh-CN"/>
        </w:rPr>
        <w:fldChar w:fldCharType="end"/>
      </w:r>
    </w:p>
    <w:p>
      <w:pPr>
        <w:pStyle w:val="28"/>
        <w:tabs>
          <w:tab w:val="right" w:leader="dot" w:pos="8346"/>
        </w:tabs>
      </w:pPr>
      <w:r>
        <w:rPr>
          <w:rFonts w:hint="eastAsia" w:eastAsia="黑体"/>
          <w:color w:val="auto"/>
          <w:szCs w:val="28"/>
          <w:lang w:val="en-US" w:eastAsia="zh-CN"/>
        </w:rPr>
        <w:fldChar w:fldCharType="begin"/>
      </w:r>
      <w:r>
        <w:rPr>
          <w:rFonts w:hint="eastAsia" w:eastAsia="黑体"/>
          <w:szCs w:val="28"/>
          <w:lang w:val="en-US" w:eastAsia="zh-CN"/>
        </w:rPr>
        <w:instrText xml:space="preserve"> HYPERLINK \l _Toc26998 </w:instrText>
      </w:r>
      <w:r>
        <w:rPr>
          <w:rFonts w:hint="eastAsia" w:eastAsia="黑体"/>
          <w:szCs w:val="28"/>
          <w:lang w:val="en-US" w:eastAsia="zh-CN"/>
        </w:rPr>
        <w:fldChar w:fldCharType="separate"/>
      </w:r>
      <w:r>
        <w:rPr>
          <w:rFonts w:hint="eastAsia" w:hAnsi="黑体" w:cs="黑体"/>
          <w:szCs w:val="24"/>
        </w:rPr>
        <w:t>1.2立项目的和意义</w:t>
      </w:r>
      <w:r>
        <w:tab/>
      </w:r>
      <w:r>
        <w:fldChar w:fldCharType="begin"/>
      </w:r>
      <w:r>
        <w:instrText xml:space="preserve"> PAGEREF _Toc26998 </w:instrText>
      </w:r>
      <w:r>
        <w:fldChar w:fldCharType="separate"/>
      </w:r>
      <w:r>
        <w:t>1</w:t>
      </w:r>
      <w:r>
        <w:fldChar w:fldCharType="end"/>
      </w:r>
      <w:r>
        <w:rPr>
          <w:rFonts w:hint="eastAsia" w:eastAsia="黑体"/>
          <w:color w:val="auto"/>
          <w:szCs w:val="28"/>
          <w:lang w:val="en-US" w:eastAsia="zh-CN"/>
        </w:rPr>
        <w:fldChar w:fldCharType="end"/>
      </w:r>
    </w:p>
    <w:p>
      <w:pPr>
        <w:pStyle w:val="28"/>
        <w:tabs>
          <w:tab w:val="right" w:leader="dot" w:pos="8346"/>
        </w:tabs>
      </w:pPr>
      <w:r>
        <w:rPr>
          <w:rFonts w:hint="eastAsia" w:eastAsia="黑体"/>
          <w:color w:val="auto"/>
          <w:szCs w:val="28"/>
          <w:lang w:val="en-US" w:eastAsia="zh-CN"/>
        </w:rPr>
        <w:fldChar w:fldCharType="begin"/>
      </w:r>
      <w:r>
        <w:rPr>
          <w:rFonts w:hint="eastAsia" w:eastAsia="黑体"/>
          <w:szCs w:val="28"/>
          <w:lang w:val="en-US" w:eastAsia="zh-CN"/>
        </w:rPr>
        <w:instrText xml:space="preserve"> HYPERLINK \l _Toc27581 </w:instrText>
      </w:r>
      <w:r>
        <w:rPr>
          <w:rFonts w:hint="eastAsia" w:eastAsia="黑体"/>
          <w:szCs w:val="28"/>
          <w:lang w:val="en-US" w:eastAsia="zh-CN"/>
        </w:rPr>
        <w:fldChar w:fldCharType="separate"/>
      </w:r>
      <w:r>
        <w:rPr>
          <w:rFonts w:hint="eastAsia" w:hAnsi="黑体" w:cs="黑体"/>
          <w:szCs w:val="24"/>
        </w:rPr>
        <w:t>1.3</w:t>
      </w:r>
      <w:r>
        <w:rPr>
          <w:rFonts w:hint="eastAsia" w:hAnsi="黑体" w:cs="黑体"/>
          <w:szCs w:val="24"/>
          <w:lang w:val="en-US" w:eastAsia="zh-CN"/>
        </w:rPr>
        <w:t>主要参加单位和工作成员所作的工作</w:t>
      </w:r>
      <w:r>
        <w:tab/>
      </w:r>
      <w:r>
        <w:fldChar w:fldCharType="begin"/>
      </w:r>
      <w:r>
        <w:instrText xml:space="preserve"> PAGEREF _Toc27581 </w:instrText>
      </w:r>
      <w:r>
        <w:fldChar w:fldCharType="separate"/>
      </w:r>
      <w:r>
        <w:t>1</w:t>
      </w:r>
      <w:r>
        <w:fldChar w:fldCharType="end"/>
      </w:r>
      <w:r>
        <w:rPr>
          <w:rFonts w:hint="eastAsia" w:eastAsia="黑体"/>
          <w:color w:val="auto"/>
          <w:szCs w:val="28"/>
          <w:lang w:val="en-US" w:eastAsia="zh-CN"/>
        </w:rPr>
        <w:fldChar w:fldCharType="end"/>
      </w:r>
    </w:p>
    <w:p>
      <w:pPr>
        <w:pStyle w:val="28"/>
        <w:tabs>
          <w:tab w:val="right" w:leader="dot" w:pos="8346"/>
        </w:tabs>
      </w:pPr>
      <w:r>
        <w:rPr>
          <w:rFonts w:hint="eastAsia" w:eastAsia="黑体"/>
          <w:color w:val="auto"/>
          <w:szCs w:val="28"/>
          <w:lang w:val="en-US" w:eastAsia="zh-CN"/>
        </w:rPr>
        <w:fldChar w:fldCharType="begin"/>
      </w:r>
      <w:r>
        <w:rPr>
          <w:rFonts w:hint="eastAsia" w:eastAsia="黑体"/>
          <w:szCs w:val="28"/>
          <w:lang w:val="en-US" w:eastAsia="zh-CN"/>
        </w:rPr>
        <w:instrText xml:space="preserve"> HYPERLINK \l _Toc2050 </w:instrText>
      </w:r>
      <w:r>
        <w:rPr>
          <w:rFonts w:hint="eastAsia" w:eastAsia="黑体"/>
          <w:szCs w:val="28"/>
          <w:lang w:val="en-US" w:eastAsia="zh-CN"/>
        </w:rPr>
        <w:fldChar w:fldCharType="separate"/>
      </w:r>
      <w:r>
        <w:rPr>
          <w:rFonts w:hint="eastAsia" w:hAnsi="黑体" w:cs="黑体"/>
          <w:szCs w:val="24"/>
        </w:rPr>
        <w:t>1.4 主要工作过程</w:t>
      </w:r>
      <w:r>
        <w:tab/>
      </w:r>
      <w:r>
        <w:fldChar w:fldCharType="begin"/>
      </w:r>
      <w:r>
        <w:instrText xml:space="preserve"> PAGEREF _Toc2050 </w:instrText>
      </w:r>
      <w:r>
        <w:fldChar w:fldCharType="separate"/>
      </w:r>
      <w:r>
        <w:t>2</w:t>
      </w:r>
      <w:r>
        <w:fldChar w:fldCharType="end"/>
      </w:r>
      <w:r>
        <w:rPr>
          <w:rFonts w:hint="eastAsia" w:eastAsia="黑体"/>
          <w:color w:val="auto"/>
          <w:szCs w:val="28"/>
          <w:lang w:val="en-US" w:eastAsia="zh-CN"/>
        </w:rPr>
        <w:fldChar w:fldCharType="end"/>
      </w:r>
    </w:p>
    <w:p>
      <w:pPr>
        <w:pStyle w:val="29"/>
        <w:tabs>
          <w:tab w:val="right" w:leader="dot" w:pos="8346"/>
        </w:tabs>
      </w:pPr>
      <w:r>
        <w:rPr>
          <w:rFonts w:hint="eastAsia" w:eastAsia="黑体"/>
          <w:color w:val="auto"/>
          <w:szCs w:val="28"/>
          <w:lang w:val="en-US" w:eastAsia="zh-CN"/>
        </w:rPr>
        <w:fldChar w:fldCharType="begin"/>
      </w:r>
      <w:r>
        <w:rPr>
          <w:rFonts w:hint="eastAsia" w:eastAsia="黑体"/>
          <w:szCs w:val="28"/>
          <w:lang w:val="en-US" w:eastAsia="zh-CN"/>
        </w:rPr>
        <w:instrText xml:space="preserve"> HYPERLINK \l _Toc26654 </w:instrText>
      </w:r>
      <w:r>
        <w:rPr>
          <w:rFonts w:hint="eastAsia" w:eastAsia="黑体"/>
          <w:szCs w:val="28"/>
          <w:lang w:val="en-US" w:eastAsia="zh-CN"/>
        </w:rPr>
        <w:fldChar w:fldCharType="separate"/>
      </w:r>
      <w:r>
        <w:rPr>
          <w:rFonts w:hint="eastAsia" w:ascii="黑体" w:hAnsi="黑体" w:eastAsia="黑体" w:cs="黑体"/>
          <w:kern w:val="0"/>
          <w:szCs w:val="24"/>
          <w:lang w:val="en-US" w:eastAsia="zh-CN" w:bidi="ar-SA"/>
        </w:rPr>
        <w:t>1.4.1预研阶段</w:t>
      </w:r>
      <w:r>
        <w:tab/>
      </w:r>
      <w:r>
        <w:fldChar w:fldCharType="begin"/>
      </w:r>
      <w:r>
        <w:instrText xml:space="preserve"> PAGEREF _Toc26654 </w:instrText>
      </w:r>
      <w:r>
        <w:fldChar w:fldCharType="separate"/>
      </w:r>
      <w:r>
        <w:t>2</w:t>
      </w:r>
      <w:r>
        <w:fldChar w:fldCharType="end"/>
      </w:r>
      <w:r>
        <w:rPr>
          <w:rFonts w:hint="eastAsia" w:eastAsia="黑体"/>
          <w:color w:val="auto"/>
          <w:szCs w:val="28"/>
          <w:lang w:val="en-US" w:eastAsia="zh-CN"/>
        </w:rPr>
        <w:fldChar w:fldCharType="end"/>
      </w:r>
    </w:p>
    <w:p>
      <w:pPr>
        <w:pStyle w:val="29"/>
        <w:tabs>
          <w:tab w:val="right" w:leader="dot" w:pos="8346"/>
        </w:tabs>
      </w:pPr>
      <w:r>
        <w:rPr>
          <w:rFonts w:hint="eastAsia" w:eastAsia="黑体"/>
          <w:color w:val="auto"/>
          <w:szCs w:val="28"/>
          <w:lang w:val="en-US" w:eastAsia="zh-CN"/>
        </w:rPr>
        <w:fldChar w:fldCharType="begin"/>
      </w:r>
      <w:r>
        <w:rPr>
          <w:rFonts w:hint="eastAsia" w:eastAsia="黑体"/>
          <w:szCs w:val="28"/>
          <w:lang w:val="en-US" w:eastAsia="zh-CN"/>
        </w:rPr>
        <w:instrText xml:space="preserve"> HYPERLINK \l _Toc12114 </w:instrText>
      </w:r>
      <w:r>
        <w:rPr>
          <w:rFonts w:hint="eastAsia" w:eastAsia="黑体"/>
          <w:szCs w:val="28"/>
          <w:lang w:val="en-US" w:eastAsia="zh-CN"/>
        </w:rPr>
        <w:fldChar w:fldCharType="separate"/>
      </w:r>
      <w:r>
        <w:rPr>
          <w:rFonts w:hint="eastAsia" w:ascii="黑体" w:hAnsi="黑体" w:eastAsia="黑体" w:cs="黑体"/>
          <w:kern w:val="0"/>
          <w:szCs w:val="24"/>
          <w:lang w:val="en-US" w:eastAsia="zh-CN" w:bidi="ar-SA"/>
        </w:rPr>
        <w:t>1.4.2标准立项</w:t>
      </w:r>
      <w:r>
        <w:tab/>
      </w:r>
      <w:r>
        <w:fldChar w:fldCharType="begin"/>
      </w:r>
      <w:r>
        <w:instrText xml:space="preserve"> PAGEREF _Toc12114 </w:instrText>
      </w:r>
      <w:r>
        <w:fldChar w:fldCharType="separate"/>
      </w:r>
      <w:r>
        <w:t>2</w:t>
      </w:r>
      <w:r>
        <w:fldChar w:fldCharType="end"/>
      </w:r>
      <w:r>
        <w:rPr>
          <w:rFonts w:hint="eastAsia" w:eastAsia="黑体"/>
          <w:color w:val="auto"/>
          <w:szCs w:val="28"/>
          <w:lang w:val="en-US" w:eastAsia="zh-CN"/>
        </w:rPr>
        <w:fldChar w:fldCharType="end"/>
      </w:r>
    </w:p>
    <w:p>
      <w:pPr>
        <w:pStyle w:val="29"/>
        <w:tabs>
          <w:tab w:val="right" w:leader="dot" w:pos="8346"/>
        </w:tabs>
      </w:pPr>
      <w:r>
        <w:rPr>
          <w:rFonts w:hint="eastAsia" w:eastAsia="黑体"/>
          <w:color w:val="auto"/>
          <w:szCs w:val="28"/>
          <w:lang w:val="en-US" w:eastAsia="zh-CN"/>
        </w:rPr>
        <w:fldChar w:fldCharType="begin"/>
      </w:r>
      <w:r>
        <w:rPr>
          <w:rFonts w:hint="eastAsia" w:eastAsia="黑体"/>
          <w:szCs w:val="28"/>
          <w:lang w:val="en-US" w:eastAsia="zh-CN"/>
        </w:rPr>
        <w:instrText xml:space="preserve"> HYPERLINK \l _Toc10509 </w:instrText>
      </w:r>
      <w:r>
        <w:rPr>
          <w:rFonts w:hint="eastAsia" w:eastAsia="黑体"/>
          <w:szCs w:val="28"/>
          <w:lang w:val="en-US" w:eastAsia="zh-CN"/>
        </w:rPr>
        <w:fldChar w:fldCharType="separate"/>
      </w:r>
      <w:r>
        <w:rPr>
          <w:rFonts w:hint="eastAsia" w:ascii="黑体" w:hAnsi="黑体" w:eastAsia="黑体" w:cs="黑体"/>
          <w:kern w:val="0"/>
          <w:szCs w:val="24"/>
          <w:lang w:val="en-US" w:eastAsia="zh-CN" w:bidi="ar-SA"/>
        </w:rPr>
        <w:t>1.4.3起草阶段</w:t>
      </w:r>
      <w:r>
        <w:tab/>
      </w:r>
      <w:r>
        <w:fldChar w:fldCharType="begin"/>
      </w:r>
      <w:r>
        <w:instrText xml:space="preserve"> PAGEREF _Toc10509 </w:instrText>
      </w:r>
      <w:r>
        <w:fldChar w:fldCharType="separate"/>
      </w:r>
      <w:r>
        <w:t>2</w:t>
      </w:r>
      <w:r>
        <w:fldChar w:fldCharType="end"/>
      </w:r>
      <w:r>
        <w:rPr>
          <w:rFonts w:hint="eastAsia" w:eastAsia="黑体"/>
          <w:color w:val="auto"/>
          <w:szCs w:val="28"/>
          <w:lang w:val="en-US" w:eastAsia="zh-CN"/>
        </w:rPr>
        <w:fldChar w:fldCharType="end"/>
      </w:r>
    </w:p>
    <w:p>
      <w:pPr>
        <w:pStyle w:val="27"/>
        <w:tabs>
          <w:tab w:val="right" w:leader="dot" w:pos="8346"/>
        </w:tabs>
      </w:pPr>
      <w:r>
        <w:rPr>
          <w:rFonts w:hint="eastAsia" w:eastAsia="黑体"/>
          <w:color w:val="auto"/>
          <w:szCs w:val="28"/>
          <w:lang w:val="en-US" w:eastAsia="zh-CN"/>
        </w:rPr>
        <w:fldChar w:fldCharType="begin"/>
      </w:r>
      <w:r>
        <w:rPr>
          <w:rFonts w:hint="eastAsia" w:eastAsia="黑体"/>
          <w:szCs w:val="28"/>
          <w:lang w:val="en-US" w:eastAsia="zh-CN"/>
        </w:rPr>
        <w:instrText xml:space="preserve"> HYPERLINK \l _Toc31753 </w:instrText>
      </w:r>
      <w:r>
        <w:rPr>
          <w:rFonts w:hint="eastAsia" w:eastAsia="黑体"/>
          <w:szCs w:val="28"/>
          <w:lang w:val="en-US" w:eastAsia="zh-CN"/>
        </w:rPr>
        <w:fldChar w:fldCharType="separate"/>
      </w:r>
      <w:r>
        <w:rPr>
          <w:rFonts w:hint="eastAsia" w:ascii="黑体" w:eastAsia="黑体" w:cs="Arial"/>
          <w:szCs w:val="24"/>
        </w:rPr>
        <w:t>二、编制原则</w:t>
      </w:r>
      <w:r>
        <w:tab/>
      </w:r>
      <w:r>
        <w:fldChar w:fldCharType="begin"/>
      </w:r>
      <w:r>
        <w:instrText xml:space="preserve"> PAGEREF _Toc31753 </w:instrText>
      </w:r>
      <w:r>
        <w:fldChar w:fldCharType="separate"/>
      </w:r>
      <w:r>
        <w:t>2</w:t>
      </w:r>
      <w:r>
        <w:fldChar w:fldCharType="end"/>
      </w:r>
      <w:r>
        <w:rPr>
          <w:rFonts w:hint="eastAsia" w:eastAsia="黑体"/>
          <w:color w:val="auto"/>
          <w:szCs w:val="28"/>
          <w:lang w:val="en-US" w:eastAsia="zh-CN"/>
        </w:rPr>
        <w:fldChar w:fldCharType="end"/>
      </w:r>
    </w:p>
    <w:p>
      <w:pPr>
        <w:pStyle w:val="27"/>
        <w:tabs>
          <w:tab w:val="right" w:leader="dot" w:pos="8346"/>
        </w:tabs>
      </w:pPr>
      <w:r>
        <w:rPr>
          <w:rFonts w:hint="eastAsia" w:eastAsia="黑体"/>
          <w:color w:val="auto"/>
          <w:szCs w:val="28"/>
          <w:lang w:val="en-US" w:eastAsia="zh-CN"/>
        </w:rPr>
        <w:fldChar w:fldCharType="begin"/>
      </w:r>
      <w:r>
        <w:rPr>
          <w:rFonts w:hint="eastAsia" w:eastAsia="黑体"/>
          <w:szCs w:val="28"/>
          <w:lang w:val="en-US" w:eastAsia="zh-CN"/>
        </w:rPr>
        <w:instrText xml:space="preserve"> HYPERLINK \l _Toc30714 </w:instrText>
      </w:r>
      <w:r>
        <w:rPr>
          <w:rFonts w:hint="eastAsia" w:eastAsia="黑体"/>
          <w:szCs w:val="28"/>
          <w:lang w:val="en-US" w:eastAsia="zh-CN"/>
        </w:rPr>
        <w:fldChar w:fldCharType="separate"/>
      </w:r>
      <w:r>
        <w:rPr>
          <w:rFonts w:hint="eastAsia" w:ascii="黑体" w:eastAsia="黑体" w:cs="Arial"/>
          <w:szCs w:val="24"/>
        </w:rPr>
        <w:t>三、标准主要技术内容</w:t>
      </w:r>
      <w:r>
        <w:rPr>
          <w:rFonts w:hint="eastAsia" w:ascii="黑体" w:eastAsia="黑体" w:cs="Arial"/>
          <w:szCs w:val="24"/>
          <w:lang w:val="en-US" w:eastAsia="zh-CN"/>
        </w:rPr>
        <w:t>的确定依据及主要试验和验证情况分析</w:t>
      </w:r>
      <w:r>
        <w:tab/>
      </w:r>
      <w:r>
        <w:fldChar w:fldCharType="begin"/>
      </w:r>
      <w:r>
        <w:instrText xml:space="preserve"> PAGEREF _Toc30714 </w:instrText>
      </w:r>
      <w:r>
        <w:fldChar w:fldCharType="separate"/>
      </w:r>
      <w:r>
        <w:t>3</w:t>
      </w:r>
      <w:r>
        <w:fldChar w:fldCharType="end"/>
      </w:r>
      <w:r>
        <w:rPr>
          <w:rFonts w:hint="eastAsia" w:eastAsia="黑体"/>
          <w:color w:val="auto"/>
          <w:szCs w:val="28"/>
          <w:lang w:val="en-US" w:eastAsia="zh-CN"/>
        </w:rPr>
        <w:fldChar w:fldCharType="end"/>
      </w:r>
    </w:p>
    <w:p>
      <w:pPr>
        <w:pStyle w:val="28"/>
        <w:tabs>
          <w:tab w:val="right" w:leader="dot" w:pos="8346"/>
        </w:tabs>
      </w:pPr>
      <w:r>
        <w:rPr>
          <w:rFonts w:hint="eastAsia" w:eastAsia="黑体"/>
          <w:color w:val="auto"/>
          <w:szCs w:val="28"/>
          <w:lang w:val="en-US" w:eastAsia="zh-CN"/>
        </w:rPr>
        <w:fldChar w:fldCharType="begin"/>
      </w:r>
      <w:r>
        <w:rPr>
          <w:rFonts w:hint="eastAsia" w:eastAsia="黑体"/>
          <w:szCs w:val="28"/>
          <w:lang w:val="en-US" w:eastAsia="zh-CN"/>
        </w:rPr>
        <w:instrText xml:space="preserve"> HYPERLINK \l _Toc17706 </w:instrText>
      </w:r>
      <w:r>
        <w:rPr>
          <w:rFonts w:hint="eastAsia" w:eastAsia="黑体"/>
          <w:szCs w:val="28"/>
          <w:lang w:val="en-US" w:eastAsia="zh-CN"/>
        </w:rPr>
        <w:fldChar w:fldCharType="separate"/>
      </w:r>
      <w:r>
        <w:rPr>
          <w:rFonts w:hint="eastAsia" w:ascii="宋体" w:hAnsi="宋体" w:cs="宋体"/>
          <w:bCs/>
          <w:szCs w:val="24"/>
        </w:rPr>
        <w:t>3.1标准适用范围</w:t>
      </w:r>
      <w:r>
        <w:tab/>
      </w:r>
      <w:r>
        <w:fldChar w:fldCharType="begin"/>
      </w:r>
      <w:r>
        <w:instrText xml:space="preserve"> PAGEREF _Toc17706 </w:instrText>
      </w:r>
      <w:r>
        <w:fldChar w:fldCharType="separate"/>
      </w:r>
      <w:r>
        <w:t>3</w:t>
      </w:r>
      <w:r>
        <w:fldChar w:fldCharType="end"/>
      </w:r>
      <w:r>
        <w:rPr>
          <w:rFonts w:hint="eastAsia" w:eastAsia="黑体"/>
          <w:color w:val="auto"/>
          <w:szCs w:val="28"/>
          <w:lang w:val="en-US" w:eastAsia="zh-CN"/>
        </w:rPr>
        <w:fldChar w:fldCharType="end"/>
      </w:r>
    </w:p>
    <w:p>
      <w:pPr>
        <w:pStyle w:val="28"/>
        <w:tabs>
          <w:tab w:val="right" w:leader="dot" w:pos="8346"/>
        </w:tabs>
      </w:pPr>
      <w:r>
        <w:rPr>
          <w:rFonts w:hint="eastAsia" w:eastAsia="黑体"/>
          <w:color w:val="auto"/>
          <w:szCs w:val="28"/>
          <w:lang w:val="en-US" w:eastAsia="zh-CN"/>
        </w:rPr>
        <w:fldChar w:fldCharType="begin"/>
      </w:r>
      <w:r>
        <w:rPr>
          <w:rFonts w:hint="eastAsia" w:eastAsia="黑体"/>
          <w:szCs w:val="28"/>
          <w:lang w:val="en-US" w:eastAsia="zh-CN"/>
        </w:rPr>
        <w:instrText xml:space="preserve"> HYPERLINK \l _Toc31615 </w:instrText>
      </w:r>
      <w:r>
        <w:rPr>
          <w:rFonts w:hint="eastAsia" w:eastAsia="黑体"/>
          <w:szCs w:val="28"/>
          <w:lang w:val="en-US" w:eastAsia="zh-CN"/>
        </w:rPr>
        <w:fldChar w:fldCharType="separate"/>
      </w:r>
      <w:r>
        <w:rPr>
          <w:rFonts w:hint="eastAsia" w:ascii="宋体" w:hAnsi="宋体" w:cs="宋体"/>
          <w:bCs/>
          <w:szCs w:val="24"/>
          <w:lang w:val="en-US" w:eastAsia="zh-CN"/>
        </w:rPr>
        <w:t>3</w:t>
      </w:r>
      <w:r>
        <w:rPr>
          <w:rFonts w:hint="eastAsia" w:ascii="宋体" w:hAnsi="宋体" w:cs="宋体"/>
          <w:bCs/>
          <w:szCs w:val="24"/>
        </w:rPr>
        <w:t>.</w:t>
      </w:r>
      <w:r>
        <w:rPr>
          <w:rFonts w:hint="eastAsia" w:ascii="宋体" w:hAnsi="宋体" w:cs="宋体"/>
          <w:bCs/>
          <w:szCs w:val="24"/>
          <w:lang w:val="en-US" w:eastAsia="zh-CN"/>
        </w:rPr>
        <w:t>2</w:t>
      </w:r>
      <w:r>
        <w:rPr>
          <w:rFonts w:hint="eastAsia" w:ascii="宋体" w:hAnsi="宋体" w:cs="宋体"/>
          <w:bCs/>
          <w:szCs w:val="24"/>
        </w:rPr>
        <w:t>规范性引用文件</w:t>
      </w:r>
      <w:r>
        <w:tab/>
      </w:r>
      <w:r>
        <w:fldChar w:fldCharType="begin"/>
      </w:r>
      <w:r>
        <w:instrText xml:space="preserve"> PAGEREF _Toc31615 </w:instrText>
      </w:r>
      <w:r>
        <w:fldChar w:fldCharType="separate"/>
      </w:r>
      <w:r>
        <w:t>3</w:t>
      </w:r>
      <w:r>
        <w:fldChar w:fldCharType="end"/>
      </w:r>
      <w:r>
        <w:rPr>
          <w:rFonts w:hint="eastAsia" w:eastAsia="黑体"/>
          <w:color w:val="auto"/>
          <w:szCs w:val="28"/>
          <w:lang w:val="en-US" w:eastAsia="zh-CN"/>
        </w:rPr>
        <w:fldChar w:fldCharType="end"/>
      </w:r>
    </w:p>
    <w:p>
      <w:pPr>
        <w:pStyle w:val="28"/>
        <w:tabs>
          <w:tab w:val="right" w:leader="dot" w:pos="8346"/>
        </w:tabs>
      </w:pPr>
      <w:r>
        <w:rPr>
          <w:rFonts w:hint="eastAsia" w:eastAsia="黑体"/>
          <w:color w:val="auto"/>
          <w:szCs w:val="28"/>
          <w:lang w:val="en-US" w:eastAsia="zh-CN"/>
        </w:rPr>
        <w:fldChar w:fldCharType="begin"/>
      </w:r>
      <w:r>
        <w:rPr>
          <w:rFonts w:hint="eastAsia" w:eastAsia="黑体"/>
          <w:szCs w:val="28"/>
          <w:lang w:val="en-US" w:eastAsia="zh-CN"/>
        </w:rPr>
        <w:instrText xml:space="preserve"> HYPERLINK \l _Toc7168 </w:instrText>
      </w:r>
      <w:r>
        <w:rPr>
          <w:rFonts w:hint="eastAsia" w:eastAsia="黑体"/>
          <w:szCs w:val="28"/>
          <w:lang w:val="en-US" w:eastAsia="zh-CN"/>
        </w:rPr>
        <w:fldChar w:fldCharType="separate"/>
      </w:r>
      <w:r>
        <w:rPr>
          <w:rFonts w:hint="eastAsia" w:ascii="宋体" w:hAnsi="宋体" w:eastAsia="宋体" w:cs="宋体"/>
          <w:bCs/>
          <w:szCs w:val="24"/>
          <w:lang w:val="en-US" w:eastAsia="zh-CN"/>
        </w:rPr>
        <w:t>3</w:t>
      </w:r>
      <w:r>
        <w:rPr>
          <w:rFonts w:hint="eastAsia" w:ascii="宋体" w:hAnsi="宋体" w:eastAsia="宋体" w:cs="宋体"/>
          <w:bCs/>
          <w:szCs w:val="24"/>
        </w:rPr>
        <w:t>.3主要技术内容及确定依据和实验验证情况分析</w:t>
      </w:r>
      <w:r>
        <w:tab/>
      </w:r>
      <w:r>
        <w:fldChar w:fldCharType="begin"/>
      </w:r>
      <w:r>
        <w:instrText xml:space="preserve"> PAGEREF _Toc7168 </w:instrText>
      </w:r>
      <w:r>
        <w:fldChar w:fldCharType="separate"/>
      </w:r>
      <w:r>
        <w:t>4</w:t>
      </w:r>
      <w:r>
        <w:fldChar w:fldCharType="end"/>
      </w:r>
      <w:r>
        <w:rPr>
          <w:rFonts w:hint="eastAsia" w:eastAsia="黑体"/>
          <w:color w:val="auto"/>
          <w:szCs w:val="28"/>
          <w:lang w:val="en-US" w:eastAsia="zh-CN"/>
        </w:rPr>
        <w:fldChar w:fldCharType="end"/>
      </w:r>
    </w:p>
    <w:p>
      <w:pPr>
        <w:pStyle w:val="29"/>
        <w:tabs>
          <w:tab w:val="right" w:leader="dot" w:pos="8346"/>
        </w:tabs>
      </w:pPr>
      <w:r>
        <w:rPr>
          <w:rFonts w:hint="eastAsia" w:eastAsia="黑体"/>
          <w:color w:val="auto"/>
          <w:szCs w:val="28"/>
          <w:lang w:val="en-US" w:eastAsia="zh-CN"/>
        </w:rPr>
        <w:fldChar w:fldCharType="begin"/>
      </w:r>
      <w:r>
        <w:rPr>
          <w:rFonts w:hint="eastAsia" w:eastAsia="黑体"/>
          <w:szCs w:val="28"/>
          <w:lang w:val="en-US" w:eastAsia="zh-CN"/>
        </w:rPr>
        <w:instrText xml:space="preserve"> HYPERLINK \l _Toc22639 </w:instrText>
      </w:r>
      <w:r>
        <w:rPr>
          <w:rFonts w:hint="eastAsia" w:eastAsia="黑体"/>
          <w:szCs w:val="28"/>
          <w:lang w:val="en-US" w:eastAsia="zh-CN"/>
        </w:rPr>
        <w:fldChar w:fldCharType="separate"/>
      </w:r>
      <w:r>
        <w:rPr>
          <w:rFonts w:hint="eastAsia" w:ascii="宋体" w:hAnsi="宋体" w:eastAsia="宋体" w:cs="宋体"/>
          <w:bCs/>
          <w:szCs w:val="24"/>
          <w:lang w:val="en-US" w:eastAsia="zh-CN"/>
        </w:rPr>
        <w:t>3.3.1</w:t>
      </w:r>
      <w:r>
        <w:rPr>
          <w:rFonts w:hint="eastAsia" w:ascii="宋体" w:hAnsi="宋体" w:eastAsia="宋体" w:cs="宋体"/>
          <w:bCs/>
          <w:szCs w:val="24"/>
        </w:rPr>
        <w:t>产品分类化学成分</w:t>
      </w:r>
      <w:r>
        <w:tab/>
      </w:r>
      <w:r>
        <w:fldChar w:fldCharType="begin"/>
      </w:r>
      <w:r>
        <w:instrText xml:space="preserve"> PAGEREF _Toc22639 </w:instrText>
      </w:r>
      <w:r>
        <w:fldChar w:fldCharType="separate"/>
      </w:r>
      <w:r>
        <w:t>4</w:t>
      </w:r>
      <w:r>
        <w:fldChar w:fldCharType="end"/>
      </w:r>
      <w:r>
        <w:rPr>
          <w:rFonts w:hint="eastAsia" w:eastAsia="黑体"/>
          <w:color w:val="auto"/>
          <w:szCs w:val="28"/>
          <w:lang w:val="en-US" w:eastAsia="zh-CN"/>
        </w:rPr>
        <w:fldChar w:fldCharType="end"/>
      </w:r>
    </w:p>
    <w:p>
      <w:pPr>
        <w:pStyle w:val="29"/>
        <w:tabs>
          <w:tab w:val="right" w:leader="dot" w:pos="8346"/>
        </w:tabs>
      </w:pPr>
      <w:r>
        <w:rPr>
          <w:rFonts w:hint="eastAsia" w:eastAsia="黑体"/>
          <w:color w:val="auto"/>
          <w:szCs w:val="28"/>
          <w:lang w:val="en-US" w:eastAsia="zh-CN"/>
        </w:rPr>
        <w:fldChar w:fldCharType="begin"/>
      </w:r>
      <w:r>
        <w:rPr>
          <w:rFonts w:hint="eastAsia" w:eastAsia="黑体"/>
          <w:szCs w:val="28"/>
          <w:lang w:val="en-US" w:eastAsia="zh-CN"/>
        </w:rPr>
        <w:instrText xml:space="preserve"> HYPERLINK \l _Toc20477 </w:instrText>
      </w:r>
      <w:r>
        <w:rPr>
          <w:rFonts w:hint="eastAsia" w:eastAsia="黑体"/>
          <w:szCs w:val="28"/>
          <w:lang w:val="en-US" w:eastAsia="zh-CN"/>
        </w:rPr>
        <w:fldChar w:fldCharType="separate"/>
      </w:r>
      <w:r>
        <w:rPr>
          <w:rFonts w:hint="eastAsia" w:ascii="宋体" w:hAnsi="宋体" w:eastAsia="宋体" w:cs="宋体"/>
          <w:bCs/>
          <w:szCs w:val="24"/>
          <w:lang w:val="en-US" w:eastAsia="zh-CN"/>
        </w:rPr>
        <w:t>3.3.2</w:t>
      </w:r>
      <w:r>
        <w:rPr>
          <w:rFonts w:hint="eastAsia" w:ascii="宋体" w:hAnsi="宋体" w:eastAsia="宋体" w:cs="宋体"/>
          <w:bCs/>
          <w:szCs w:val="24"/>
        </w:rPr>
        <w:t>化学成分</w:t>
      </w:r>
      <w:r>
        <w:tab/>
      </w:r>
      <w:r>
        <w:fldChar w:fldCharType="begin"/>
      </w:r>
      <w:r>
        <w:instrText xml:space="preserve"> PAGEREF _Toc20477 </w:instrText>
      </w:r>
      <w:r>
        <w:fldChar w:fldCharType="separate"/>
      </w:r>
      <w:r>
        <w:t>5</w:t>
      </w:r>
      <w:r>
        <w:fldChar w:fldCharType="end"/>
      </w:r>
      <w:r>
        <w:rPr>
          <w:rFonts w:hint="eastAsia" w:eastAsia="黑体"/>
          <w:color w:val="auto"/>
          <w:szCs w:val="28"/>
          <w:lang w:val="en-US" w:eastAsia="zh-CN"/>
        </w:rPr>
        <w:fldChar w:fldCharType="end"/>
      </w:r>
    </w:p>
    <w:p>
      <w:pPr>
        <w:pStyle w:val="29"/>
        <w:tabs>
          <w:tab w:val="right" w:leader="dot" w:pos="8346"/>
        </w:tabs>
      </w:pPr>
      <w:r>
        <w:rPr>
          <w:rFonts w:hint="eastAsia" w:eastAsia="黑体"/>
          <w:color w:val="auto"/>
          <w:szCs w:val="28"/>
          <w:lang w:val="en-US" w:eastAsia="zh-CN"/>
        </w:rPr>
        <w:fldChar w:fldCharType="begin"/>
      </w:r>
      <w:r>
        <w:rPr>
          <w:rFonts w:hint="eastAsia" w:eastAsia="黑体"/>
          <w:szCs w:val="28"/>
          <w:lang w:val="en-US" w:eastAsia="zh-CN"/>
        </w:rPr>
        <w:instrText xml:space="preserve"> HYPERLINK \l _Toc3763 </w:instrText>
      </w:r>
      <w:r>
        <w:rPr>
          <w:rFonts w:hint="eastAsia" w:eastAsia="黑体"/>
          <w:szCs w:val="28"/>
          <w:lang w:val="en-US" w:eastAsia="zh-CN"/>
        </w:rPr>
        <w:fldChar w:fldCharType="separate"/>
      </w:r>
      <w:r>
        <w:rPr>
          <w:rFonts w:hint="eastAsia" w:ascii="宋体" w:hAnsi="宋体" w:cs="宋体"/>
          <w:szCs w:val="24"/>
          <w:lang w:val="en-US" w:eastAsia="zh-CN"/>
        </w:rPr>
        <w:t>3.3.3</w:t>
      </w:r>
      <w:r>
        <w:rPr>
          <w:rFonts w:hint="eastAsia" w:ascii="宋体" w:hAnsi="宋体" w:cs="宋体"/>
          <w:szCs w:val="24"/>
        </w:rPr>
        <w:t>“物理规格”</w:t>
      </w:r>
      <w:r>
        <w:tab/>
      </w:r>
      <w:r>
        <w:fldChar w:fldCharType="begin"/>
      </w:r>
      <w:r>
        <w:instrText xml:space="preserve"> PAGEREF _Toc3763 </w:instrText>
      </w:r>
      <w:r>
        <w:fldChar w:fldCharType="separate"/>
      </w:r>
      <w:r>
        <w:t>10</w:t>
      </w:r>
      <w:r>
        <w:fldChar w:fldCharType="end"/>
      </w:r>
      <w:r>
        <w:rPr>
          <w:rFonts w:hint="eastAsia" w:eastAsia="黑体"/>
          <w:color w:val="auto"/>
          <w:szCs w:val="28"/>
          <w:lang w:val="en-US" w:eastAsia="zh-CN"/>
        </w:rPr>
        <w:fldChar w:fldCharType="end"/>
      </w:r>
    </w:p>
    <w:p>
      <w:pPr>
        <w:pStyle w:val="29"/>
        <w:tabs>
          <w:tab w:val="right" w:leader="dot" w:pos="8346"/>
        </w:tabs>
      </w:pPr>
      <w:r>
        <w:rPr>
          <w:rFonts w:hint="eastAsia" w:eastAsia="黑体"/>
          <w:color w:val="auto"/>
          <w:szCs w:val="28"/>
          <w:lang w:val="en-US" w:eastAsia="zh-CN"/>
        </w:rPr>
        <w:fldChar w:fldCharType="begin"/>
      </w:r>
      <w:r>
        <w:rPr>
          <w:rFonts w:hint="eastAsia" w:eastAsia="黑体"/>
          <w:szCs w:val="28"/>
          <w:lang w:val="en-US" w:eastAsia="zh-CN"/>
        </w:rPr>
        <w:instrText xml:space="preserve"> HYPERLINK \l _Toc7837 </w:instrText>
      </w:r>
      <w:r>
        <w:rPr>
          <w:rFonts w:hint="eastAsia" w:eastAsia="黑体"/>
          <w:szCs w:val="28"/>
          <w:lang w:val="en-US" w:eastAsia="zh-CN"/>
        </w:rPr>
        <w:fldChar w:fldCharType="separate"/>
      </w:r>
      <w:r>
        <w:rPr>
          <w:rFonts w:hint="eastAsia" w:ascii="宋体" w:hAnsi="宋体" w:cs="宋体"/>
          <w:szCs w:val="24"/>
          <w:lang w:val="en-US" w:eastAsia="zh-CN"/>
        </w:rPr>
        <w:t>3.3.4</w:t>
      </w:r>
      <w:r>
        <w:rPr>
          <w:rFonts w:hint="eastAsia" w:ascii="宋体" w:hAnsi="宋体" w:cs="宋体"/>
          <w:szCs w:val="24"/>
        </w:rPr>
        <w:t>“外观质量”</w:t>
      </w:r>
      <w:r>
        <w:tab/>
      </w:r>
      <w:r>
        <w:fldChar w:fldCharType="begin"/>
      </w:r>
      <w:r>
        <w:instrText xml:space="preserve"> PAGEREF _Toc7837 </w:instrText>
      </w:r>
      <w:r>
        <w:fldChar w:fldCharType="separate"/>
      </w:r>
      <w:r>
        <w:t>10</w:t>
      </w:r>
      <w:r>
        <w:fldChar w:fldCharType="end"/>
      </w:r>
      <w:r>
        <w:rPr>
          <w:rFonts w:hint="eastAsia" w:eastAsia="黑体"/>
          <w:color w:val="auto"/>
          <w:szCs w:val="28"/>
          <w:lang w:val="en-US" w:eastAsia="zh-CN"/>
        </w:rPr>
        <w:fldChar w:fldCharType="end"/>
      </w:r>
    </w:p>
    <w:p>
      <w:pPr>
        <w:pStyle w:val="29"/>
        <w:tabs>
          <w:tab w:val="right" w:leader="dot" w:pos="8346"/>
        </w:tabs>
      </w:pPr>
      <w:r>
        <w:rPr>
          <w:rFonts w:hint="eastAsia" w:eastAsia="黑体"/>
          <w:color w:val="auto"/>
          <w:szCs w:val="28"/>
          <w:lang w:val="en-US" w:eastAsia="zh-CN"/>
        </w:rPr>
        <w:fldChar w:fldCharType="begin"/>
      </w:r>
      <w:r>
        <w:rPr>
          <w:rFonts w:hint="eastAsia" w:eastAsia="黑体"/>
          <w:szCs w:val="28"/>
          <w:lang w:val="en-US" w:eastAsia="zh-CN"/>
        </w:rPr>
        <w:instrText xml:space="preserve"> HYPERLINK \l _Toc5675 </w:instrText>
      </w:r>
      <w:r>
        <w:rPr>
          <w:rFonts w:hint="eastAsia" w:eastAsia="黑体"/>
          <w:szCs w:val="28"/>
          <w:lang w:val="en-US" w:eastAsia="zh-CN"/>
        </w:rPr>
        <w:fldChar w:fldCharType="separate"/>
      </w:r>
      <w:r>
        <w:rPr>
          <w:rFonts w:hint="eastAsia" w:ascii="宋体" w:hAnsi="宋体" w:cs="宋体"/>
          <w:szCs w:val="24"/>
          <w:lang w:val="en-US" w:eastAsia="zh-CN"/>
        </w:rPr>
        <w:t>3.3.5</w:t>
      </w:r>
      <w:r>
        <w:rPr>
          <w:rFonts w:hint="eastAsia" w:ascii="宋体" w:hAnsi="宋体" w:cs="宋体"/>
          <w:szCs w:val="24"/>
        </w:rPr>
        <w:t>“试验方法”</w:t>
      </w:r>
      <w:r>
        <w:tab/>
      </w:r>
      <w:r>
        <w:fldChar w:fldCharType="begin"/>
      </w:r>
      <w:r>
        <w:instrText xml:space="preserve"> PAGEREF _Toc5675 </w:instrText>
      </w:r>
      <w:r>
        <w:fldChar w:fldCharType="separate"/>
      </w:r>
      <w:r>
        <w:t>10</w:t>
      </w:r>
      <w:r>
        <w:fldChar w:fldCharType="end"/>
      </w:r>
      <w:r>
        <w:rPr>
          <w:rFonts w:hint="eastAsia" w:eastAsia="黑体"/>
          <w:color w:val="auto"/>
          <w:szCs w:val="28"/>
          <w:lang w:val="en-US" w:eastAsia="zh-CN"/>
        </w:rPr>
        <w:fldChar w:fldCharType="end"/>
      </w:r>
    </w:p>
    <w:p>
      <w:pPr>
        <w:pStyle w:val="29"/>
        <w:tabs>
          <w:tab w:val="right" w:leader="dot" w:pos="8346"/>
        </w:tabs>
      </w:pPr>
      <w:r>
        <w:rPr>
          <w:rFonts w:hint="eastAsia" w:eastAsia="黑体"/>
          <w:color w:val="auto"/>
          <w:szCs w:val="28"/>
          <w:lang w:val="en-US" w:eastAsia="zh-CN"/>
        </w:rPr>
        <w:fldChar w:fldCharType="begin"/>
      </w:r>
      <w:r>
        <w:rPr>
          <w:rFonts w:hint="eastAsia" w:eastAsia="黑体"/>
          <w:szCs w:val="28"/>
          <w:lang w:val="en-US" w:eastAsia="zh-CN"/>
        </w:rPr>
        <w:instrText xml:space="preserve"> HYPERLINK \l _Toc22352 </w:instrText>
      </w:r>
      <w:r>
        <w:rPr>
          <w:rFonts w:hint="eastAsia" w:eastAsia="黑体"/>
          <w:szCs w:val="28"/>
          <w:lang w:val="en-US" w:eastAsia="zh-CN"/>
        </w:rPr>
        <w:fldChar w:fldCharType="separate"/>
      </w:r>
      <w:r>
        <w:rPr>
          <w:rFonts w:hint="eastAsia" w:ascii="宋体" w:hAnsi="宋体" w:cs="宋体"/>
          <w:szCs w:val="24"/>
          <w:lang w:val="en-US" w:eastAsia="zh-CN"/>
        </w:rPr>
        <w:t>3.3.6</w:t>
      </w:r>
      <w:r>
        <w:rPr>
          <w:rFonts w:hint="eastAsia" w:ascii="宋体" w:hAnsi="宋体" w:cs="宋体"/>
          <w:szCs w:val="24"/>
        </w:rPr>
        <w:t>“料场落地混匀摊平定尺定点取样法”</w:t>
      </w:r>
      <w:r>
        <w:tab/>
      </w:r>
      <w:r>
        <w:fldChar w:fldCharType="begin"/>
      </w:r>
      <w:r>
        <w:instrText xml:space="preserve"> PAGEREF _Toc22352 </w:instrText>
      </w:r>
      <w:r>
        <w:fldChar w:fldCharType="separate"/>
      </w:r>
      <w:r>
        <w:t>10</w:t>
      </w:r>
      <w:r>
        <w:fldChar w:fldCharType="end"/>
      </w:r>
      <w:r>
        <w:rPr>
          <w:rFonts w:hint="eastAsia" w:eastAsia="黑体"/>
          <w:color w:val="auto"/>
          <w:szCs w:val="28"/>
          <w:lang w:val="en-US" w:eastAsia="zh-CN"/>
        </w:rPr>
        <w:fldChar w:fldCharType="end"/>
      </w:r>
    </w:p>
    <w:p>
      <w:pPr>
        <w:pStyle w:val="29"/>
        <w:tabs>
          <w:tab w:val="right" w:leader="dot" w:pos="8346"/>
        </w:tabs>
      </w:pPr>
      <w:r>
        <w:rPr>
          <w:rFonts w:hint="eastAsia" w:eastAsia="黑体"/>
          <w:color w:val="auto"/>
          <w:szCs w:val="28"/>
          <w:lang w:val="en-US" w:eastAsia="zh-CN"/>
        </w:rPr>
        <w:fldChar w:fldCharType="begin"/>
      </w:r>
      <w:r>
        <w:rPr>
          <w:rFonts w:hint="eastAsia" w:eastAsia="黑体"/>
          <w:szCs w:val="28"/>
          <w:lang w:val="en-US" w:eastAsia="zh-CN"/>
        </w:rPr>
        <w:instrText xml:space="preserve"> HYPERLINK \l _Toc873 </w:instrText>
      </w:r>
      <w:r>
        <w:rPr>
          <w:rFonts w:hint="eastAsia" w:eastAsia="黑体"/>
          <w:szCs w:val="28"/>
          <w:lang w:val="en-US" w:eastAsia="zh-CN"/>
        </w:rPr>
        <w:fldChar w:fldCharType="separate"/>
      </w:r>
      <w:r>
        <w:rPr>
          <w:rFonts w:hint="eastAsia" w:ascii="宋体" w:hAnsi="宋体" w:cs="宋体"/>
          <w:szCs w:val="24"/>
          <w:lang w:val="en-US" w:eastAsia="zh-CN"/>
        </w:rPr>
        <w:t>3.3.7</w:t>
      </w:r>
      <w:r>
        <w:rPr>
          <w:rFonts w:hint="eastAsia" w:ascii="宋体" w:hAnsi="宋体" w:cs="宋体"/>
          <w:szCs w:val="24"/>
        </w:rPr>
        <w:t>“检验结果判定”</w:t>
      </w:r>
      <w:r>
        <w:tab/>
      </w:r>
      <w:r>
        <w:fldChar w:fldCharType="begin"/>
      </w:r>
      <w:r>
        <w:instrText xml:space="preserve"> PAGEREF _Toc873 </w:instrText>
      </w:r>
      <w:r>
        <w:fldChar w:fldCharType="separate"/>
      </w:r>
      <w:r>
        <w:t>12</w:t>
      </w:r>
      <w:r>
        <w:fldChar w:fldCharType="end"/>
      </w:r>
      <w:r>
        <w:rPr>
          <w:rFonts w:hint="eastAsia" w:eastAsia="黑体"/>
          <w:color w:val="auto"/>
          <w:szCs w:val="28"/>
          <w:lang w:val="en-US" w:eastAsia="zh-CN"/>
        </w:rPr>
        <w:fldChar w:fldCharType="end"/>
      </w:r>
    </w:p>
    <w:p>
      <w:pPr>
        <w:pStyle w:val="29"/>
        <w:tabs>
          <w:tab w:val="right" w:leader="dot" w:pos="8346"/>
        </w:tabs>
      </w:pPr>
      <w:r>
        <w:rPr>
          <w:rFonts w:hint="eastAsia" w:eastAsia="黑体"/>
          <w:color w:val="auto"/>
          <w:szCs w:val="28"/>
          <w:lang w:val="en-US" w:eastAsia="zh-CN"/>
        </w:rPr>
        <w:fldChar w:fldCharType="begin"/>
      </w:r>
      <w:r>
        <w:rPr>
          <w:rFonts w:hint="eastAsia" w:eastAsia="黑体"/>
          <w:szCs w:val="28"/>
          <w:lang w:val="en-US" w:eastAsia="zh-CN"/>
        </w:rPr>
        <w:instrText xml:space="preserve"> HYPERLINK \l _Toc15283 </w:instrText>
      </w:r>
      <w:r>
        <w:rPr>
          <w:rFonts w:hint="eastAsia" w:eastAsia="黑体"/>
          <w:szCs w:val="28"/>
          <w:lang w:val="en-US" w:eastAsia="zh-CN"/>
        </w:rPr>
        <w:fldChar w:fldCharType="separate"/>
      </w:r>
      <w:r>
        <w:rPr>
          <w:rFonts w:hint="eastAsia" w:ascii="宋体" w:hAnsi="宋体" w:cs="宋体"/>
          <w:szCs w:val="24"/>
          <w:lang w:val="en-US" w:eastAsia="zh-CN"/>
        </w:rPr>
        <w:t>3.3.8</w:t>
      </w:r>
      <w:r>
        <w:rPr>
          <w:rFonts w:hint="eastAsia" w:ascii="宋体" w:hAnsi="宋体" w:cs="宋体"/>
          <w:szCs w:val="24"/>
        </w:rPr>
        <w:t>“包装、运输、贮存和质量证明书”</w:t>
      </w:r>
      <w:r>
        <w:tab/>
      </w:r>
      <w:r>
        <w:fldChar w:fldCharType="begin"/>
      </w:r>
      <w:r>
        <w:instrText xml:space="preserve"> PAGEREF _Toc15283 </w:instrText>
      </w:r>
      <w:r>
        <w:fldChar w:fldCharType="separate"/>
      </w:r>
      <w:r>
        <w:t>12</w:t>
      </w:r>
      <w:r>
        <w:fldChar w:fldCharType="end"/>
      </w:r>
      <w:r>
        <w:rPr>
          <w:rFonts w:hint="eastAsia" w:eastAsia="黑体"/>
          <w:color w:val="auto"/>
          <w:szCs w:val="28"/>
          <w:lang w:val="en-US" w:eastAsia="zh-CN"/>
        </w:rPr>
        <w:fldChar w:fldCharType="end"/>
      </w:r>
    </w:p>
    <w:p>
      <w:pPr>
        <w:pStyle w:val="27"/>
        <w:tabs>
          <w:tab w:val="right" w:leader="dot" w:pos="8346"/>
        </w:tabs>
      </w:pPr>
      <w:r>
        <w:rPr>
          <w:rFonts w:hint="eastAsia" w:eastAsia="黑体"/>
          <w:color w:val="auto"/>
          <w:szCs w:val="28"/>
          <w:lang w:val="en-US" w:eastAsia="zh-CN"/>
        </w:rPr>
        <w:fldChar w:fldCharType="begin"/>
      </w:r>
      <w:r>
        <w:rPr>
          <w:rFonts w:hint="eastAsia" w:eastAsia="黑体"/>
          <w:szCs w:val="28"/>
          <w:lang w:val="en-US" w:eastAsia="zh-CN"/>
        </w:rPr>
        <w:instrText xml:space="preserve"> HYPERLINK \l _Toc31623 </w:instrText>
      </w:r>
      <w:r>
        <w:rPr>
          <w:rFonts w:hint="eastAsia" w:eastAsia="黑体"/>
          <w:szCs w:val="28"/>
          <w:lang w:val="en-US" w:eastAsia="zh-CN"/>
        </w:rPr>
        <w:fldChar w:fldCharType="separate"/>
      </w:r>
      <w:r>
        <w:rPr>
          <w:rFonts w:hint="eastAsia" w:ascii="黑体" w:hAnsi="宋体" w:eastAsia="黑体" w:cs="宋体"/>
          <w:bCs/>
          <w:szCs w:val="24"/>
          <w:lang w:val="en-US" w:eastAsia="zh-CN"/>
        </w:rPr>
        <w:t>四、标准中涉及专利的情况</w:t>
      </w:r>
      <w:r>
        <w:tab/>
      </w:r>
      <w:r>
        <w:fldChar w:fldCharType="begin"/>
      </w:r>
      <w:r>
        <w:instrText xml:space="preserve"> PAGEREF _Toc31623 </w:instrText>
      </w:r>
      <w:r>
        <w:fldChar w:fldCharType="separate"/>
      </w:r>
      <w:r>
        <w:t>12</w:t>
      </w:r>
      <w:r>
        <w:fldChar w:fldCharType="end"/>
      </w:r>
      <w:r>
        <w:rPr>
          <w:rFonts w:hint="eastAsia" w:eastAsia="黑体"/>
          <w:color w:val="auto"/>
          <w:szCs w:val="28"/>
          <w:lang w:val="en-US" w:eastAsia="zh-CN"/>
        </w:rPr>
        <w:fldChar w:fldCharType="end"/>
      </w:r>
    </w:p>
    <w:p>
      <w:pPr>
        <w:pStyle w:val="27"/>
        <w:tabs>
          <w:tab w:val="right" w:leader="dot" w:pos="8346"/>
        </w:tabs>
      </w:pPr>
      <w:r>
        <w:rPr>
          <w:rFonts w:hint="eastAsia" w:eastAsia="黑体"/>
          <w:color w:val="auto"/>
          <w:szCs w:val="28"/>
          <w:lang w:val="en-US" w:eastAsia="zh-CN"/>
        </w:rPr>
        <w:fldChar w:fldCharType="begin"/>
      </w:r>
      <w:r>
        <w:rPr>
          <w:rFonts w:hint="eastAsia" w:eastAsia="黑体"/>
          <w:szCs w:val="28"/>
          <w:lang w:val="en-US" w:eastAsia="zh-CN"/>
        </w:rPr>
        <w:instrText xml:space="preserve"> HYPERLINK \l _Toc26278 </w:instrText>
      </w:r>
      <w:r>
        <w:rPr>
          <w:rFonts w:hint="eastAsia" w:eastAsia="黑体"/>
          <w:szCs w:val="28"/>
          <w:lang w:val="en-US" w:eastAsia="zh-CN"/>
        </w:rPr>
        <w:fldChar w:fldCharType="separate"/>
      </w:r>
      <w:r>
        <w:rPr>
          <w:rFonts w:hint="eastAsia" w:ascii="黑体" w:hAnsi="宋体" w:eastAsia="黑体" w:cs="宋体"/>
          <w:bCs/>
          <w:szCs w:val="24"/>
          <w:lang w:val="en-US" w:eastAsia="zh-CN"/>
        </w:rPr>
        <w:t>五、 预期达到的社会效益等情况</w:t>
      </w:r>
      <w:r>
        <w:tab/>
      </w:r>
      <w:r>
        <w:fldChar w:fldCharType="begin"/>
      </w:r>
      <w:r>
        <w:instrText xml:space="preserve"> PAGEREF _Toc26278 </w:instrText>
      </w:r>
      <w:r>
        <w:fldChar w:fldCharType="separate"/>
      </w:r>
      <w:r>
        <w:t>12</w:t>
      </w:r>
      <w:r>
        <w:fldChar w:fldCharType="end"/>
      </w:r>
      <w:r>
        <w:rPr>
          <w:rFonts w:hint="eastAsia" w:eastAsia="黑体"/>
          <w:color w:val="auto"/>
          <w:szCs w:val="28"/>
          <w:lang w:val="en-US" w:eastAsia="zh-CN"/>
        </w:rPr>
        <w:fldChar w:fldCharType="end"/>
      </w:r>
    </w:p>
    <w:p>
      <w:pPr>
        <w:pStyle w:val="27"/>
        <w:tabs>
          <w:tab w:val="right" w:leader="dot" w:pos="8346"/>
        </w:tabs>
      </w:pPr>
      <w:r>
        <w:rPr>
          <w:rFonts w:hint="eastAsia" w:eastAsia="黑体"/>
          <w:color w:val="auto"/>
          <w:szCs w:val="28"/>
          <w:lang w:val="en-US" w:eastAsia="zh-CN"/>
        </w:rPr>
        <w:fldChar w:fldCharType="begin"/>
      </w:r>
      <w:r>
        <w:rPr>
          <w:rFonts w:hint="eastAsia" w:eastAsia="黑体"/>
          <w:szCs w:val="28"/>
          <w:lang w:val="en-US" w:eastAsia="zh-CN"/>
        </w:rPr>
        <w:instrText xml:space="preserve"> HYPERLINK \l _Toc14181 </w:instrText>
      </w:r>
      <w:r>
        <w:rPr>
          <w:rFonts w:hint="eastAsia" w:eastAsia="黑体"/>
          <w:szCs w:val="28"/>
          <w:lang w:val="en-US" w:eastAsia="zh-CN"/>
        </w:rPr>
        <w:fldChar w:fldCharType="separate"/>
      </w:r>
      <w:r>
        <w:rPr>
          <w:rFonts w:hint="eastAsia" w:ascii="黑体" w:hAnsi="宋体" w:eastAsia="黑体" w:cs="宋体"/>
          <w:bCs/>
          <w:szCs w:val="24"/>
        </w:rPr>
        <w:t xml:space="preserve">六、 </w:t>
      </w:r>
      <w:r>
        <w:rPr>
          <w:rFonts w:hint="eastAsia" w:ascii="黑体" w:hAnsi="宋体" w:eastAsia="黑体" w:cs="宋体"/>
          <w:bCs/>
          <w:szCs w:val="24"/>
          <w:lang w:val="en-US" w:eastAsia="zh-CN"/>
        </w:rPr>
        <w:t>采用国际标准和国外先进标准的情况</w:t>
      </w:r>
      <w:r>
        <w:tab/>
      </w:r>
      <w:r>
        <w:fldChar w:fldCharType="begin"/>
      </w:r>
      <w:r>
        <w:instrText xml:space="preserve"> PAGEREF _Toc14181 </w:instrText>
      </w:r>
      <w:r>
        <w:fldChar w:fldCharType="separate"/>
      </w:r>
      <w:r>
        <w:t>12</w:t>
      </w:r>
      <w:r>
        <w:fldChar w:fldCharType="end"/>
      </w:r>
      <w:r>
        <w:rPr>
          <w:rFonts w:hint="eastAsia" w:eastAsia="黑体"/>
          <w:color w:val="auto"/>
          <w:szCs w:val="28"/>
          <w:lang w:val="en-US" w:eastAsia="zh-CN"/>
        </w:rPr>
        <w:fldChar w:fldCharType="end"/>
      </w:r>
    </w:p>
    <w:p>
      <w:pPr>
        <w:pStyle w:val="27"/>
        <w:tabs>
          <w:tab w:val="right" w:leader="dot" w:pos="8346"/>
        </w:tabs>
      </w:pPr>
      <w:r>
        <w:rPr>
          <w:rFonts w:hint="eastAsia" w:eastAsia="黑体"/>
          <w:color w:val="auto"/>
          <w:szCs w:val="28"/>
          <w:lang w:val="en-US" w:eastAsia="zh-CN"/>
        </w:rPr>
        <w:fldChar w:fldCharType="begin"/>
      </w:r>
      <w:r>
        <w:rPr>
          <w:rFonts w:hint="eastAsia" w:eastAsia="黑体"/>
          <w:szCs w:val="28"/>
          <w:lang w:val="en-US" w:eastAsia="zh-CN"/>
        </w:rPr>
        <w:instrText xml:space="preserve"> HYPERLINK \l _Toc6403 </w:instrText>
      </w:r>
      <w:r>
        <w:rPr>
          <w:rFonts w:hint="eastAsia" w:eastAsia="黑体"/>
          <w:szCs w:val="28"/>
          <w:lang w:val="en-US" w:eastAsia="zh-CN"/>
        </w:rPr>
        <w:fldChar w:fldCharType="separate"/>
      </w:r>
      <w:r>
        <w:rPr>
          <w:rFonts w:hint="eastAsia" w:ascii="黑体" w:hAnsi="宋体" w:eastAsia="黑体" w:cs="宋体"/>
          <w:bCs/>
          <w:szCs w:val="24"/>
        </w:rPr>
        <w:t>七、 与现行法律、法规、强制性国家标准及相关标准协调配套情况</w:t>
      </w:r>
      <w:r>
        <w:tab/>
      </w:r>
      <w:r>
        <w:fldChar w:fldCharType="begin"/>
      </w:r>
      <w:r>
        <w:instrText xml:space="preserve"> PAGEREF _Toc6403 </w:instrText>
      </w:r>
      <w:r>
        <w:fldChar w:fldCharType="separate"/>
      </w:r>
      <w:r>
        <w:t>12</w:t>
      </w:r>
      <w:r>
        <w:fldChar w:fldCharType="end"/>
      </w:r>
      <w:r>
        <w:rPr>
          <w:rFonts w:hint="eastAsia" w:eastAsia="黑体"/>
          <w:color w:val="auto"/>
          <w:szCs w:val="28"/>
          <w:lang w:val="en-US" w:eastAsia="zh-CN"/>
        </w:rPr>
        <w:fldChar w:fldCharType="end"/>
      </w:r>
    </w:p>
    <w:p>
      <w:pPr>
        <w:pStyle w:val="27"/>
        <w:tabs>
          <w:tab w:val="right" w:leader="dot" w:pos="8346"/>
        </w:tabs>
      </w:pPr>
      <w:r>
        <w:rPr>
          <w:rFonts w:hint="eastAsia" w:eastAsia="黑体"/>
          <w:color w:val="auto"/>
          <w:szCs w:val="28"/>
          <w:lang w:val="en-US" w:eastAsia="zh-CN"/>
        </w:rPr>
        <w:fldChar w:fldCharType="begin"/>
      </w:r>
      <w:r>
        <w:rPr>
          <w:rFonts w:hint="eastAsia" w:eastAsia="黑体"/>
          <w:szCs w:val="28"/>
          <w:lang w:val="en-US" w:eastAsia="zh-CN"/>
        </w:rPr>
        <w:instrText xml:space="preserve"> HYPERLINK \l _Toc6668 </w:instrText>
      </w:r>
      <w:r>
        <w:rPr>
          <w:rFonts w:hint="eastAsia" w:eastAsia="黑体"/>
          <w:szCs w:val="28"/>
          <w:lang w:val="en-US" w:eastAsia="zh-CN"/>
        </w:rPr>
        <w:fldChar w:fldCharType="separate"/>
      </w:r>
      <w:r>
        <w:rPr>
          <w:rFonts w:hint="eastAsia" w:ascii="黑体" w:hAnsi="宋体" w:eastAsia="黑体" w:cs="宋体"/>
          <w:bCs/>
          <w:szCs w:val="24"/>
          <w:lang w:val="en-US" w:eastAsia="zh-CN"/>
        </w:rPr>
        <w:t>八</w:t>
      </w:r>
      <w:r>
        <w:rPr>
          <w:rFonts w:hint="eastAsia" w:ascii="黑体" w:hAnsi="宋体" w:eastAsia="黑体" w:cs="宋体"/>
          <w:bCs/>
          <w:szCs w:val="24"/>
        </w:rPr>
        <w:t>、重大分歧意见的处理经过和依据</w:t>
      </w:r>
      <w:r>
        <w:tab/>
      </w:r>
      <w:r>
        <w:fldChar w:fldCharType="begin"/>
      </w:r>
      <w:r>
        <w:instrText xml:space="preserve"> PAGEREF _Toc6668 </w:instrText>
      </w:r>
      <w:r>
        <w:fldChar w:fldCharType="separate"/>
      </w:r>
      <w:r>
        <w:t>12</w:t>
      </w:r>
      <w:r>
        <w:fldChar w:fldCharType="end"/>
      </w:r>
      <w:r>
        <w:rPr>
          <w:rFonts w:hint="eastAsia" w:eastAsia="黑体"/>
          <w:color w:val="auto"/>
          <w:szCs w:val="28"/>
          <w:lang w:val="en-US" w:eastAsia="zh-CN"/>
        </w:rPr>
        <w:fldChar w:fldCharType="end"/>
      </w:r>
    </w:p>
    <w:p>
      <w:pPr>
        <w:pStyle w:val="27"/>
        <w:tabs>
          <w:tab w:val="right" w:leader="dot" w:pos="8346"/>
        </w:tabs>
      </w:pPr>
      <w:r>
        <w:rPr>
          <w:rFonts w:hint="eastAsia" w:eastAsia="黑体"/>
          <w:color w:val="auto"/>
          <w:szCs w:val="28"/>
          <w:lang w:val="en-US" w:eastAsia="zh-CN"/>
        </w:rPr>
        <w:fldChar w:fldCharType="begin"/>
      </w:r>
      <w:r>
        <w:rPr>
          <w:rFonts w:hint="eastAsia" w:eastAsia="黑体"/>
          <w:szCs w:val="28"/>
          <w:lang w:val="en-US" w:eastAsia="zh-CN"/>
        </w:rPr>
        <w:instrText xml:space="preserve"> HYPERLINK \l _Toc246 </w:instrText>
      </w:r>
      <w:r>
        <w:rPr>
          <w:rFonts w:hint="eastAsia" w:eastAsia="黑体"/>
          <w:szCs w:val="28"/>
          <w:lang w:val="en-US" w:eastAsia="zh-CN"/>
        </w:rPr>
        <w:fldChar w:fldCharType="separate"/>
      </w:r>
      <w:r>
        <w:rPr>
          <w:rFonts w:hint="eastAsia" w:ascii="黑体" w:hAnsi="宋体" w:eastAsia="黑体" w:cs="宋体"/>
          <w:bCs/>
          <w:szCs w:val="24"/>
          <w:lang w:val="en-US" w:eastAsia="zh-CN"/>
        </w:rPr>
        <w:t>九</w:t>
      </w:r>
      <w:r>
        <w:rPr>
          <w:rFonts w:hint="eastAsia" w:ascii="黑体" w:hAnsi="宋体" w:eastAsia="黑体" w:cs="宋体"/>
          <w:bCs/>
          <w:szCs w:val="24"/>
        </w:rPr>
        <w:t>、作为强制性或推荐性国家标准的建议</w:t>
      </w:r>
      <w:r>
        <w:tab/>
      </w:r>
      <w:r>
        <w:fldChar w:fldCharType="begin"/>
      </w:r>
      <w:r>
        <w:instrText xml:space="preserve"> PAGEREF _Toc246 </w:instrText>
      </w:r>
      <w:r>
        <w:fldChar w:fldCharType="separate"/>
      </w:r>
      <w:r>
        <w:t>12</w:t>
      </w:r>
      <w:r>
        <w:fldChar w:fldCharType="end"/>
      </w:r>
      <w:r>
        <w:rPr>
          <w:rFonts w:hint="eastAsia" w:eastAsia="黑体"/>
          <w:color w:val="auto"/>
          <w:szCs w:val="28"/>
          <w:lang w:val="en-US" w:eastAsia="zh-CN"/>
        </w:rPr>
        <w:fldChar w:fldCharType="end"/>
      </w:r>
    </w:p>
    <w:p>
      <w:pPr>
        <w:pStyle w:val="27"/>
        <w:tabs>
          <w:tab w:val="right" w:leader="dot" w:pos="8346"/>
        </w:tabs>
      </w:pPr>
      <w:r>
        <w:rPr>
          <w:rFonts w:hint="eastAsia" w:eastAsia="黑体"/>
          <w:color w:val="auto"/>
          <w:szCs w:val="28"/>
          <w:lang w:val="en-US" w:eastAsia="zh-CN"/>
        </w:rPr>
        <w:fldChar w:fldCharType="begin"/>
      </w:r>
      <w:r>
        <w:rPr>
          <w:rFonts w:hint="eastAsia" w:eastAsia="黑体"/>
          <w:szCs w:val="28"/>
          <w:lang w:val="en-US" w:eastAsia="zh-CN"/>
        </w:rPr>
        <w:instrText xml:space="preserve"> HYPERLINK \l _Toc15125 </w:instrText>
      </w:r>
      <w:r>
        <w:rPr>
          <w:rFonts w:hint="eastAsia" w:eastAsia="黑体"/>
          <w:szCs w:val="28"/>
          <w:lang w:val="en-US" w:eastAsia="zh-CN"/>
        </w:rPr>
        <w:fldChar w:fldCharType="separate"/>
      </w:r>
      <w:r>
        <w:rPr>
          <w:rFonts w:hint="eastAsia" w:ascii="黑体" w:hAnsi="宋体" w:eastAsia="黑体" w:cs="宋体"/>
          <w:bCs/>
          <w:szCs w:val="24"/>
          <w:lang w:val="en-US" w:eastAsia="zh-CN"/>
        </w:rPr>
        <w:t>十</w:t>
      </w:r>
      <w:r>
        <w:rPr>
          <w:rFonts w:hint="eastAsia" w:ascii="黑体" w:hAnsi="宋体" w:eastAsia="黑体" w:cs="宋体"/>
          <w:bCs/>
          <w:szCs w:val="24"/>
        </w:rPr>
        <w:t>、贯彻标准的要求和措施建议</w:t>
      </w:r>
      <w:r>
        <w:tab/>
      </w:r>
      <w:r>
        <w:fldChar w:fldCharType="begin"/>
      </w:r>
      <w:r>
        <w:instrText xml:space="preserve"> PAGEREF _Toc15125 </w:instrText>
      </w:r>
      <w:r>
        <w:fldChar w:fldCharType="separate"/>
      </w:r>
      <w:r>
        <w:t>12</w:t>
      </w:r>
      <w:r>
        <w:fldChar w:fldCharType="end"/>
      </w:r>
      <w:r>
        <w:rPr>
          <w:rFonts w:hint="eastAsia" w:eastAsia="黑体"/>
          <w:color w:val="auto"/>
          <w:szCs w:val="28"/>
          <w:lang w:val="en-US" w:eastAsia="zh-CN"/>
        </w:rPr>
        <w:fldChar w:fldCharType="end"/>
      </w:r>
    </w:p>
    <w:p>
      <w:pPr>
        <w:pStyle w:val="27"/>
        <w:tabs>
          <w:tab w:val="right" w:leader="dot" w:pos="8346"/>
        </w:tabs>
      </w:pPr>
      <w:r>
        <w:rPr>
          <w:rFonts w:hint="eastAsia" w:eastAsia="黑体"/>
          <w:color w:val="auto"/>
          <w:szCs w:val="28"/>
          <w:lang w:val="en-US" w:eastAsia="zh-CN"/>
        </w:rPr>
        <w:fldChar w:fldCharType="begin"/>
      </w:r>
      <w:r>
        <w:rPr>
          <w:rFonts w:hint="eastAsia" w:eastAsia="黑体"/>
          <w:szCs w:val="28"/>
          <w:lang w:val="en-US" w:eastAsia="zh-CN"/>
        </w:rPr>
        <w:instrText xml:space="preserve"> HYPERLINK \l _Toc31060 </w:instrText>
      </w:r>
      <w:r>
        <w:rPr>
          <w:rFonts w:hint="eastAsia" w:eastAsia="黑体"/>
          <w:szCs w:val="28"/>
          <w:lang w:val="en-US" w:eastAsia="zh-CN"/>
        </w:rPr>
        <w:fldChar w:fldCharType="separate"/>
      </w:r>
      <w:r>
        <w:rPr>
          <w:rFonts w:hint="eastAsia" w:ascii="黑体" w:hAnsi="宋体" w:eastAsia="黑体" w:cs="宋体"/>
          <w:bCs/>
          <w:szCs w:val="24"/>
          <w:lang w:val="en-US" w:eastAsia="zh-CN"/>
        </w:rPr>
        <w:t>十一</w:t>
      </w:r>
      <w:r>
        <w:rPr>
          <w:rFonts w:hint="eastAsia" w:ascii="黑体" w:hAnsi="宋体" w:eastAsia="黑体" w:cs="宋体"/>
          <w:bCs/>
          <w:szCs w:val="24"/>
        </w:rPr>
        <w:t>、废止现行有关标准的建议</w:t>
      </w:r>
      <w:r>
        <w:tab/>
      </w:r>
      <w:r>
        <w:fldChar w:fldCharType="begin"/>
      </w:r>
      <w:r>
        <w:instrText xml:space="preserve"> PAGEREF _Toc31060 </w:instrText>
      </w:r>
      <w:r>
        <w:fldChar w:fldCharType="separate"/>
      </w:r>
      <w:r>
        <w:t>12</w:t>
      </w:r>
      <w:r>
        <w:fldChar w:fldCharType="end"/>
      </w:r>
      <w:r>
        <w:rPr>
          <w:rFonts w:hint="eastAsia" w:eastAsia="黑体"/>
          <w:color w:val="auto"/>
          <w:szCs w:val="28"/>
          <w:lang w:val="en-US" w:eastAsia="zh-CN"/>
        </w:rPr>
        <w:fldChar w:fldCharType="end"/>
      </w:r>
    </w:p>
    <w:p>
      <w:pPr>
        <w:pStyle w:val="27"/>
        <w:tabs>
          <w:tab w:val="right" w:leader="dot" w:pos="8346"/>
        </w:tabs>
      </w:pPr>
      <w:r>
        <w:rPr>
          <w:rFonts w:hint="eastAsia" w:eastAsia="黑体"/>
          <w:color w:val="auto"/>
          <w:szCs w:val="28"/>
          <w:lang w:val="en-US" w:eastAsia="zh-CN"/>
        </w:rPr>
        <w:fldChar w:fldCharType="begin"/>
      </w:r>
      <w:r>
        <w:rPr>
          <w:rFonts w:hint="eastAsia" w:eastAsia="黑体"/>
          <w:szCs w:val="28"/>
          <w:lang w:val="en-US" w:eastAsia="zh-CN"/>
        </w:rPr>
        <w:instrText xml:space="preserve"> HYPERLINK \l _Toc3382 </w:instrText>
      </w:r>
      <w:r>
        <w:rPr>
          <w:rFonts w:hint="eastAsia" w:eastAsia="黑体"/>
          <w:szCs w:val="28"/>
          <w:lang w:val="en-US" w:eastAsia="zh-CN"/>
        </w:rPr>
        <w:fldChar w:fldCharType="separate"/>
      </w:r>
      <w:r>
        <w:rPr>
          <w:rFonts w:hint="eastAsia" w:ascii="黑体" w:hAnsi="宋体" w:eastAsia="黑体" w:cs="宋体"/>
          <w:bCs/>
          <w:szCs w:val="24"/>
        </w:rPr>
        <w:t>十</w:t>
      </w:r>
      <w:r>
        <w:rPr>
          <w:rFonts w:hint="eastAsia" w:ascii="黑体" w:hAnsi="宋体" w:eastAsia="黑体" w:cs="宋体"/>
          <w:bCs/>
          <w:szCs w:val="24"/>
          <w:lang w:val="en-US" w:eastAsia="zh-CN"/>
        </w:rPr>
        <w:t>二</w:t>
      </w:r>
      <w:r>
        <w:rPr>
          <w:rFonts w:hint="eastAsia" w:ascii="黑体" w:hAnsi="宋体" w:eastAsia="黑体" w:cs="宋体"/>
          <w:bCs/>
          <w:szCs w:val="24"/>
        </w:rPr>
        <w:t>、其他主要内容的解释和其他需要说明的事项。</w:t>
      </w:r>
      <w:r>
        <w:tab/>
      </w:r>
      <w:r>
        <w:fldChar w:fldCharType="begin"/>
      </w:r>
      <w:r>
        <w:instrText xml:space="preserve"> PAGEREF _Toc3382 </w:instrText>
      </w:r>
      <w:r>
        <w:fldChar w:fldCharType="separate"/>
      </w:r>
      <w:r>
        <w:t>12</w:t>
      </w:r>
      <w:r>
        <w:fldChar w:fldCharType="end"/>
      </w:r>
      <w:r>
        <w:rPr>
          <w:rFonts w:hint="eastAsia" w:eastAsia="黑体"/>
          <w:color w:val="auto"/>
          <w:szCs w:val="28"/>
          <w:lang w:val="en-US" w:eastAsia="zh-CN"/>
        </w:rPr>
        <w:fldChar w:fldCharType="end"/>
      </w:r>
    </w:p>
    <w:p>
      <w:pPr>
        <w:jc w:val="center"/>
        <w:rPr>
          <w:rFonts w:hint="eastAsia" w:eastAsia="黑体"/>
          <w:color w:val="auto"/>
          <w:sz w:val="28"/>
          <w:szCs w:val="28"/>
          <w:lang w:val="en-US" w:eastAsia="zh-CN"/>
        </w:rPr>
      </w:pPr>
      <w:r>
        <w:rPr>
          <w:rFonts w:hint="eastAsia" w:eastAsia="黑体"/>
          <w:color w:val="auto"/>
          <w:szCs w:val="28"/>
          <w:lang w:val="en-US" w:eastAsia="zh-CN"/>
        </w:rPr>
        <w:fldChar w:fldCharType="end"/>
      </w:r>
    </w:p>
    <w:p>
      <w:pPr>
        <w:jc w:val="center"/>
        <w:rPr>
          <w:rFonts w:hint="eastAsia" w:eastAsia="黑体"/>
          <w:color w:val="auto"/>
          <w:sz w:val="28"/>
          <w:szCs w:val="28"/>
          <w:lang w:val="en-US" w:eastAsia="zh-CN"/>
        </w:rPr>
      </w:pPr>
    </w:p>
    <w:p>
      <w:pPr>
        <w:jc w:val="center"/>
        <w:rPr>
          <w:rFonts w:hint="eastAsia" w:eastAsia="黑体"/>
          <w:color w:val="auto"/>
          <w:sz w:val="28"/>
          <w:szCs w:val="28"/>
          <w:lang w:val="en-US" w:eastAsia="zh-CN"/>
        </w:rPr>
      </w:pPr>
    </w:p>
    <w:p>
      <w:pPr>
        <w:jc w:val="center"/>
        <w:rPr>
          <w:rFonts w:hint="eastAsia" w:eastAsia="黑体"/>
          <w:color w:val="auto"/>
          <w:sz w:val="28"/>
          <w:szCs w:val="28"/>
          <w:lang w:val="en-US" w:eastAsia="zh-CN"/>
        </w:rPr>
      </w:pPr>
    </w:p>
    <w:p>
      <w:pPr>
        <w:jc w:val="center"/>
        <w:rPr>
          <w:rFonts w:hint="eastAsia" w:eastAsia="黑体"/>
          <w:color w:val="auto"/>
          <w:sz w:val="28"/>
          <w:szCs w:val="28"/>
          <w:lang w:val="en-US" w:eastAsia="zh-CN"/>
        </w:rPr>
      </w:pPr>
    </w:p>
    <w:p>
      <w:pPr>
        <w:jc w:val="center"/>
        <w:outlineLvl w:val="0"/>
        <w:rPr>
          <w:rFonts w:hint="eastAsia" w:eastAsia="黑体"/>
          <w:color w:val="auto"/>
          <w:sz w:val="28"/>
          <w:szCs w:val="28"/>
          <w:lang w:val="en-US" w:eastAsia="zh-CN"/>
        </w:rPr>
        <w:sectPr>
          <w:footerReference r:id="rId5" w:type="default"/>
          <w:pgSz w:w="11906" w:h="16838"/>
          <w:pgMar w:top="1440" w:right="1780" w:bottom="1440" w:left="1780" w:header="851" w:footer="992" w:gutter="0"/>
          <w:pgNumType w:start="1"/>
          <w:cols w:space="425" w:num="1"/>
          <w:docGrid w:type="lines" w:linePitch="312" w:charSpace="0"/>
        </w:sectPr>
      </w:pPr>
      <w:bookmarkStart w:id="1" w:name="_Toc12609"/>
    </w:p>
    <w:p>
      <w:pPr>
        <w:jc w:val="center"/>
        <w:outlineLvl w:val="0"/>
        <w:rPr>
          <w:rFonts w:hint="eastAsia" w:eastAsia="黑体"/>
          <w:color w:val="auto"/>
          <w:sz w:val="28"/>
          <w:szCs w:val="28"/>
        </w:rPr>
      </w:pPr>
      <w:r>
        <w:rPr>
          <w:rFonts w:hint="eastAsia" w:eastAsia="黑体"/>
          <w:color w:val="auto"/>
          <w:sz w:val="28"/>
          <w:szCs w:val="28"/>
          <w:lang w:val="en-US" w:eastAsia="zh-CN"/>
        </w:rPr>
        <w:t>《冰铜》行业标准讨论稿</w:t>
      </w:r>
      <w:r>
        <w:rPr>
          <w:rFonts w:hint="eastAsia" w:eastAsia="黑体"/>
          <w:color w:val="auto"/>
          <w:sz w:val="28"/>
          <w:szCs w:val="28"/>
        </w:rPr>
        <w:t>—编制说明</w:t>
      </w:r>
      <w:bookmarkEnd w:id="1"/>
    </w:p>
    <w:p>
      <w:pPr>
        <w:pStyle w:val="11"/>
        <w:keepNext w:val="0"/>
        <w:keepLines w:val="0"/>
        <w:pageBreakBefore w:val="0"/>
        <w:kinsoku/>
        <w:wordWrap/>
        <w:overflowPunct/>
        <w:topLinePunct w:val="0"/>
        <w:autoSpaceDE/>
        <w:autoSpaceDN/>
        <w:bidi w:val="0"/>
        <w:adjustRightInd/>
        <w:snapToGrid/>
        <w:spacing w:before="0" w:beforeAutospacing="0" w:after="0" w:afterAutospacing="0" w:line="500" w:lineRule="exact"/>
        <w:jc w:val="both"/>
        <w:textAlignment w:val="auto"/>
        <w:outlineLvl w:val="0"/>
        <w:rPr>
          <w:rFonts w:ascii="黑体" w:eastAsia="黑体" w:cs="Arial"/>
          <w:color w:val="auto"/>
          <w:sz w:val="24"/>
          <w:szCs w:val="24"/>
        </w:rPr>
      </w:pPr>
      <w:bookmarkStart w:id="2" w:name="_Toc13177"/>
      <w:r>
        <w:rPr>
          <w:rFonts w:hint="eastAsia" w:ascii="黑体" w:eastAsia="黑体" w:cs="Arial"/>
          <w:color w:val="auto"/>
          <w:sz w:val="24"/>
          <w:szCs w:val="24"/>
        </w:rPr>
        <w:t>一、工作简况</w:t>
      </w:r>
      <w:bookmarkEnd w:id="2"/>
    </w:p>
    <w:p>
      <w:pPr>
        <w:pStyle w:val="11"/>
        <w:keepNext w:val="0"/>
        <w:keepLines w:val="0"/>
        <w:pageBreakBefore w:val="0"/>
        <w:kinsoku/>
        <w:wordWrap/>
        <w:overflowPunct/>
        <w:topLinePunct w:val="0"/>
        <w:autoSpaceDE/>
        <w:autoSpaceDN/>
        <w:bidi w:val="0"/>
        <w:adjustRightInd/>
        <w:snapToGrid/>
        <w:spacing w:before="0" w:beforeAutospacing="0" w:after="0" w:afterAutospacing="0" w:line="500" w:lineRule="exact"/>
        <w:jc w:val="both"/>
        <w:textAlignment w:val="auto"/>
        <w:outlineLvl w:val="1"/>
        <w:rPr>
          <w:rFonts w:ascii="黑体" w:eastAsia="黑体" w:cs="Arial"/>
          <w:color w:val="auto"/>
          <w:sz w:val="24"/>
          <w:szCs w:val="24"/>
        </w:rPr>
      </w:pPr>
      <w:bookmarkStart w:id="3" w:name="_Toc4472"/>
      <w:r>
        <w:rPr>
          <w:rFonts w:hint="eastAsia" w:ascii="黑体" w:eastAsia="黑体" w:cs="Arial"/>
          <w:color w:val="auto"/>
          <w:sz w:val="24"/>
          <w:szCs w:val="24"/>
        </w:rPr>
        <w:t>1.1任务来源</w:t>
      </w:r>
      <w:bookmarkEnd w:id="3"/>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根据《工业和信息化部办公厅关于印发2022年第三批行业标准制修订和外文版项目计划的通知》（工信厅科函[2022]312号）的要求，行业标准《冰铜》修订项目由全国有色金属标准化技术委员会负责归口，计划编号为2022-1707T-YS，项目计划完成时间为2024年6月。由大冶有色金属有限责任公司（以下简称大冶公司）牵头起草。</w:t>
      </w:r>
    </w:p>
    <w:p>
      <w:pPr>
        <w:pStyle w:val="20"/>
        <w:keepNext w:val="0"/>
        <w:keepLines w:val="0"/>
        <w:pageBreakBefore w:val="0"/>
        <w:kinsoku/>
        <w:wordWrap/>
        <w:overflowPunct/>
        <w:topLinePunct w:val="0"/>
        <w:autoSpaceDE/>
        <w:autoSpaceDN/>
        <w:bidi w:val="0"/>
        <w:adjustRightInd/>
        <w:snapToGrid/>
        <w:spacing w:beforeLines="0" w:afterLines="0" w:line="500" w:lineRule="exact"/>
        <w:textAlignment w:val="auto"/>
        <w:outlineLvl w:val="1"/>
        <w:rPr>
          <w:rFonts w:hint="eastAsia" w:hAnsi="黑体" w:cs="黑体"/>
          <w:color w:val="auto"/>
          <w:sz w:val="24"/>
          <w:szCs w:val="24"/>
        </w:rPr>
      </w:pPr>
      <w:bookmarkStart w:id="4" w:name="_Toc26998"/>
      <w:r>
        <w:rPr>
          <w:rFonts w:hint="eastAsia" w:hAnsi="黑体" w:cs="黑体"/>
          <w:color w:val="auto"/>
          <w:sz w:val="24"/>
          <w:szCs w:val="24"/>
        </w:rPr>
        <w:t>1.2立项目的和意义</w:t>
      </w:r>
      <w:bookmarkEnd w:id="4"/>
    </w:p>
    <w:p>
      <w:pPr>
        <w:keepNext w:val="0"/>
        <w:keepLines w:val="0"/>
        <w:pageBreakBefore w:val="0"/>
        <w:kinsoku/>
        <w:wordWrap/>
        <w:overflowPunct/>
        <w:topLinePunct w:val="0"/>
        <w:bidi w:val="0"/>
        <w:adjustRightInd/>
        <w:snapToGrid/>
        <w:spacing w:line="500" w:lineRule="exact"/>
        <w:ind w:firstLine="480" w:firstLineChars="200"/>
        <w:textAlignment w:val="auto"/>
        <w:rPr>
          <w:rFonts w:hint="eastAsia" w:hAnsi="黑体" w:cs="黑体"/>
          <w:color w:val="auto"/>
          <w:sz w:val="24"/>
          <w:szCs w:val="24"/>
          <w:lang w:val="en-US" w:eastAsia="zh-CN"/>
        </w:rPr>
      </w:pPr>
      <w:r>
        <w:rPr>
          <w:rFonts w:hint="eastAsia" w:hAnsi="黑体" w:cs="黑体"/>
          <w:color w:val="auto"/>
          <w:sz w:val="24"/>
          <w:szCs w:val="24"/>
          <w:lang w:val="en-US" w:eastAsia="zh-CN"/>
        </w:rPr>
        <w:t>近年来，由于国内铜冶炼能力快速扩张和资源供应的日益紧张，冰铜作为铜冶炼企业的重要产品，其在市场上的贸易份额也日益扩大。从经济效益的角度考虑，铜价格一直在攀升，今年铜价达到7.4万元/吨进入历史新高，加上冰铜本身成分复杂且价值量高的特点，导致冰铜贸易中供需双方检验争议突显。现行YS/T 921-2013《冰铜》颁布已10年，对产品的要求、检验方法已不能满足目前日益发展的贸易需求，亟待解决。</w:t>
      </w:r>
    </w:p>
    <w:p>
      <w:pPr>
        <w:keepNext w:val="0"/>
        <w:keepLines w:val="0"/>
        <w:pageBreakBefore w:val="0"/>
        <w:kinsoku/>
        <w:wordWrap/>
        <w:overflowPunct/>
        <w:topLinePunct w:val="0"/>
        <w:bidi w:val="0"/>
        <w:adjustRightInd/>
        <w:snapToGrid/>
        <w:spacing w:line="500" w:lineRule="exact"/>
        <w:ind w:firstLine="480" w:firstLineChars="200"/>
        <w:textAlignment w:val="auto"/>
        <w:rPr>
          <w:rFonts w:hint="default" w:eastAsiaTheme="minorEastAsia"/>
          <w:sz w:val="24"/>
          <w:szCs w:val="24"/>
          <w:lang w:val="en-US" w:eastAsia="zh-CN"/>
        </w:rPr>
      </w:pPr>
      <w:r>
        <w:rPr>
          <w:rFonts w:hint="eastAsia" w:hAnsi="黑体" w:cs="黑体"/>
          <w:color w:val="auto"/>
          <w:sz w:val="24"/>
          <w:szCs w:val="24"/>
          <w:lang w:val="en-US" w:eastAsia="zh-CN"/>
        </w:rPr>
        <w:t>通过本标准的修订、发布、实施，推广和应用，对冰铜的要求、检验方法、检验规则、包装、质量预报单或合同（或订货单）等内容进行规范，使其在冰铜的内、外部交货检验方面发挥指导作用，通过提高样品的代表性，达到控制检验风险，减少贸易纠纷的目的。</w:t>
      </w:r>
    </w:p>
    <w:p>
      <w:pPr>
        <w:pStyle w:val="20"/>
        <w:keepNext w:val="0"/>
        <w:keepLines w:val="0"/>
        <w:pageBreakBefore w:val="0"/>
        <w:kinsoku/>
        <w:wordWrap/>
        <w:overflowPunct/>
        <w:topLinePunct w:val="0"/>
        <w:autoSpaceDE/>
        <w:autoSpaceDN/>
        <w:bidi w:val="0"/>
        <w:adjustRightInd/>
        <w:snapToGrid/>
        <w:spacing w:beforeLines="0" w:afterLines="0" w:line="500" w:lineRule="exact"/>
        <w:textAlignment w:val="auto"/>
        <w:outlineLvl w:val="1"/>
        <w:rPr>
          <w:rFonts w:hint="eastAsia" w:hAnsi="黑体" w:cs="黑体"/>
          <w:color w:val="auto"/>
          <w:sz w:val="24"/>
          <w:szCs w:val="24"/>
          <w:lang w:val="en-US" w:eastAsia="zh-CN"/>
        </w:rPr>
      </w:pPr>
      <w:bookmarkStart w:id="5" w:name="_Toc27581"/>
      <w:r>
        <w:rPr>
          <w:rFonts w:hint="eastAsia" w:hAnsi="黑体" w:cs="黑体"/>
          <w:color w:val="auto"/>
          <w:sz w:val="24"/>
          <w:szCs w:val="24"/>
        </w:rPr>
        <w:t>1.3</w:t>
      </w:r>
      <w:r>
        <w:rPr>
          <w:rFonts w:hint="eastAsia" w:hAnsi="黑体" w:cs="黑体"/>
          <w:color w:val="auto"/>
          <w:sz w:val="24"/>
          <w:szCs w:val="24"/>
          <w:lang w:val="en-US" w:eastAsia="zh-CN"/>
        </w:rPr>
        <w:t>主要参加单位和工作成员所作的工作</w:t>
      </w:r>
      <w:bookmarkEnd w:id="5"/>
    </w:p>
    <w:p>
      <w:pPr>
        <w:pStyle w:val="20"/>
        <w:keepNext w:val="0"/>
        <w:keepLines w:val="0"/>
        <w:pageBreakBefore w:val="0"/>
        <w:kinsoku/>
        <w:wordWrap/>
        <w:overflowPunct/>
        <w:topLinePunct w:val="0"/>
        <w:autoSpaceDE/>
        <w:autoSpaceDN/>
        <w:bidi w:val="0"/>
        <w:adjustRightInd/>
        <w:snapToGrid/>
        <w:spacing w:beforeLines="0" w:afterLines="0" w:line="500" w:lineRule="exact"/>
        <w:ind w:firstLine="480" w:firstLineChars="200"/>
        <w:textAlignment w:val="auto"/>
        <w:outlineLvl w:val="9"/>
        <w:rPr>
          <w:rFonts w:hint="eastAsia" w:ascii="宋体" w:hAnsi="宋体" w:eastAsia="宋体" w:cs="宋体"/>
          <w:color w:val="auto"/>
          <w:sz w:val="24"/>
          <w:szCs w:val="24"/>
          <w:lang w:val="en-US" w:eastAsia="zh-CN"/>
        </w:rPr>
      </w:pPr>
      <w:bookmarkStart w:id="6" w:name="_Toc26004"/>
      <w:r>
        <w:rPr>
          <w:rFonts w:hint="eastAsia" w:ascii="宋体" w:hAnsi="宋体" w:eastAsia="宋体" w:cs="宋体"/>
          <w:color w:val="auto"/>
          <w:sz w:val="24"/>
          <w:szCs w:val="24"/>
          <w:lang w:val="en-US" w:eastAsia="zh-CN"/>
        </w:rPr>
        <w:t>本标准负责起草单位：大冶有色金属有限责任公司、铜陵有色金属集团控股有限公司、南京海关工业产品检测中心、山东恒邦冶炼股份有限公司、北方铜业股份有限公司、云南铜业股份有限公司西南铜业分公司。</w:t>
      </w:r>
      <w:bookmarkEnd w:id="6"/>
    </w:p>
    <w:p>
      <w:pPr>
        <w:pStyle w:val="20"/>
        <w:keepNext w:val="0"/>
        <w:keepLines w:val="0"/>
        <w:pageBreakBefore w:val="0"/>
        <w:kinsoku/>
        <w:wordWrap/>
        <w:overflowPunct/>
        <w:topLinePunct w:val="0"/>
        <w:autoSpaceDE/>
        <w:autoSpaceDN/>
        <w:bidi w:val="0"/>
        <w:adjustRightInd/>
        <w:snapToGrid/>
        <w:spacing w:beforeLines="0" w:afterLines="0" w:line="500" w:lineRule="exact"/>
        <w:ind w:firstLine="480" w:firstLineChars="200"/>
        <w:textAlignment w:val="auto"/>
        <w:outlineLvl w:val="9"/>
        <w:rPr>
          <w:rFonts w:hint="eastAsia" w:ascii="宋体" w:hAnsi="宋体" w:eastAsia="宋体" w:cs="宋体"/>
          <w:color w:val="auto"/>
          <w:sz w:val="24"/>
          <w:szCs w:val="24"/>
          <w:lang w:val="en-US" w:eastAsia="zh-CN"/>
        </w:rPr>
      </w:pPr>
      <w:bookmarkStart w:id="7" w:name="_Toc22456"/>
      <w:r>
        <w:rPr>
          <w:rFonts w:hint="eastAsia" w:ascii="宋体" w:hAnsi="宋体" w:eastAsia="宋体" w:cs="宋体"/>
          <w:color w:val="auto"/>
          <w:sz w:val="24"/>
          <w:szCs w:val="24"/>
          <w:lang w:val="en-US" w:eastAsia="zh-CN"/>
        </w:rPr>
        <w:t>标准制订计划任务正式下达后，立即成立了标准编制组，并落实起草任务，确定标准的主要起草人，拟定该标准的工作计划。具体分工为：大冶有色金属有限责任公司总负责，收集和整理有关的技术资料、组织调研、开展试验、广泛征求各单位、各方面专家的意见、资料汇总及执笔；铜陵有色金属集团控股有限公司、南京海关工业产品检测中心、山东恒邦冶炼股份有限公司、北方铜业股份有限公司、云南铜业股份有限公司西南铜业分公司负责补充市场信息和标准数据的验证等。</w:t>
      </w:r>
      <w:bookmarkEnd w:id="7"/>
    </w:p>
    <w:p>
      <w:pPr>
        <w:pStyle w:val="20"/>
        <w:keepNext w:val="0"/>
        <w:keepLines w:val="0"/>
        <w:pageBreakBefore w:val="0"/>
        <w:kinsoku/>
        <w:wordWrap/>
        <w:overflowPunct/>
        <w:topLinePunct w:val="0"/>
        <w:autoSpaceDE/>
        <w:autoSpaceDN/>
        <w:bidi w:val="0"/>
        <w:adjustRightInd/>
        <w:snapToGrid/>
        <w:spacing w:beforeLines="0" w:afterLines="0" w:line="500" w:lineRule="exact"/>
        <w:ind w:firstLine="480" w:firstLineChars="200"/>
        <w:textAlignment w:val="auto"/>
        <w:outlineLvl w:val="9"/>
        <w:rPr>
          <w:rFonts w:hint="eastAsia" w:ascii="宋体" w:hAnsi="宋体" w:eastAsia="宋体" w:cs="宋体"/>
          <w:color w:val="auto"/>
          <w:sz w:val="24"/>
          <w:szCs w:val="24"/>
          <w:lang w:val="en-US" w:eastAsia="zh-CN"/>
        </w:rPr>
      </w:pPr>
      <w:bookmarkStart w:id="8" w:name="_Toc32064"/>
      <w:r>
        <w:rPr>
          <w:rFonts w:hint="eastAsia" w:ascii="宋体" w:hAnsi="宋体" w:eastAsia="宋体" w:cs="宋体"/>
          <w:color w:val="auto"/>
          <w:sz w:val="24"/>
          <w:szCs w:val="24"/>
          <w:lang w:val="en-US" w:eastAsia="zh-CN"/>
        </w:rPr>
        <w:t>大冶有色金属有限责任公司系中央企业中国有色集团境内最大的出资企业，位于有着3000多年青铜文化传承的湖北黄石。始创于1953年，经过近70年的建设发展，公司已成长为集地勘、采矿、选矿、冶炼、加工于一体的国有特大型铜工业联合企业。公司拥有长期从事检验、检测工作的专业技术人员，具有多年从事各种矿产资源检验、检测的工作经验。主持和参与100多项国家、行业标准的起草工作。具有丰富的理论水平和实践经验。</w:t>
      </w:r>
      <w:bookmarkEnd w:id="8"/>
    </w:p>
    <w:p>
      <w:pPr>
        <w:pStyle w:val="20"/>
        <w:keepNext w:val="0"/>
        <w:keepLines w:val="0"/>
        <w:pageBreakBefore w:val="0"/>
        <w:kinsoku/>
        <w:wordWrap/>
        <w:overflowPunct/>
        <w:topLinePunct w:val="0"/>
        <w:autoSpaceDE/>
        <w:autoSpaceDN/>
        <w:bidi w:val="0"/>
        <w:adjustRightInd/>
        <w:snapToGrid/>
        <w:spacing w:beforeLines="0" w:afterLines="0" w:line="500" w:lineRule="exact"/>
        <w:textAlignment w:val="auto"/>
        <w:outlineLvl w:val="1"/>
        <w:rPr>
          <w:rFonts w:hint="eastAsia" w:hAnsi="黑体" w:cs="黑体"/>
          <w:color w:val="auto"/>
          <w:sz w:val="24"/>
          <w:szCs w:val="24"/>
        </w:rPr>
      </w:pPr>
      <w:bookmarkStart w:id="9" w:name="_Toc2050"/>
      <w:r>
        <w:rPr>
          <w:rFonts w:hint="eastAsia" w:hAnsi="黑体" w:cs="黑体"/>
          <w:color w:val="auto"/>
          <w:sz w:val="24"/>
          <w:szCs w:val="24"/>
        </w:rPr>
        <w:t>1.4 主要工作过程</w:t>
      </w:r>
      <w:bookmarkEnd w:id="9"/>
    </w:p>
    <w:p>
      <w:pPr>
        <w:keepNext w:val="0"/>
        <w:keepLines w:val="0"/>
        <w:pageBreakBefore w:val="0"/>
        <w:kinsoku/>
        <w:wordWrap/>
        <w:overflowPunct/>
        <w:topLinePunct w:val="0"/>
        <w:bidi w:val="0"/>
        <w:adjustRightInd/>
        <w:snapToGrid/>
        <w:spacing w:line="500" w:lineRule="exact"/>
        <w:textAlignment w:val="auto"/>
        <w:outlineLvl w:val="2"/>
        <w:rPr>
          <w:rFonts w:hint="eastAsia" w:ascii="黑体" w:hAnsi="黑体" w:eastAsia="黑体" w:cs="黑体"/>
          <w:color w:val="auto"/>
          <w:kern w:val="0"/>
          <w:sz w:val="24"/>
          <w:szCs w:val="24"/>
          <w:lang w:val="en-US" w:eastAsia="zh-CN" w:bidi="ar-SA"/>
        </w:rPr>
      </w:pPr>
      <w:bookmarkStart w:id="10" w:name="_Toc26654"/>
      <w:r>
        <w:rPr>
          <w:rFonts w:hint="eastAsia" w:ascii="黑体" w:hAnsi="黑体" w:eastAsia="黑体" w:cs="黑体"/>
          <w:color w:val="auto"/>
          <w:kern w:val="0"/>
          <w:sz w:val="24"/>
          <w:szCs w:val="24"/>
          <w:lang w:val="en-US" w:eastAsia="zh-CN" w:bidi="ar-SA"/>
        </w:rPr>
        <w:t>1.4.1预研阶段</w:t>
      </w:r>
      <w:bookmarkEnd w:id="10"/>
    </w:p>
    <w:p>
      <w:pPr>
        <w:keepNext w:val="0"/>
        <w:keepLines w:val="0"/>
        <w:pageBreakBefore w:val="0"/>
        <w:kinsoku/>
        <w:wordWrap/>
        <w:overflowPunct/>
        <w:topLinePunct w:val="0"/>
        <w:bidi w:val="0"/>
        <w:adjustRightInd/>
        <w:snapToGrid/>
        <w:spacing w:line="500" w:lineRule="exact"/>
        <w:ind w:firstLine="480" w:firstLineChars="200"/>
        <w:textAlignment w:val="auto"/>
        <w:rPr>
          <w:rFonts w:hint="eastAsia" w:hAnsi="黑体" w:cs="黑体"/>
          <w:color w:val="auto"/>
          <w:sz w:val="24"/>
          <w:szCs w:val="24"/>
          <w:lang w:val="en-US" w:eastAsia="zh-CN"/>
        </w:rPr>
      </w:pPr>
      <w:r>
        <w:rPr>
          <w:rFonts w:hint="eastAsia" w:hAnsi="黑体" w:cs="黑体"/>
          <w:color w:val="auto"/>
          <w:sz w:val="24"/>
          <w:szCs w:val="24"/>
          <w:lang w:val="en-US" w:eastAsia="zh-CN"/>
        </w:rPr>
        <w:t>前期对国内部分铜冶炼过程中冰铜生产厂家、加工使用企业、检验单位进行调研，通过发放调查表，征求各单位对《冰铜》行业标准修订的意见，共收到山东恒邦冶炼股份有限公司、北方铜业股份有限公司、云南铜业股份有限公司西南铜业分公司、铜陵有色金属集团控股有限公司等5家单位的意见回复。同时组织部分企业开展了品质波动试验和取样系统误差校核试验，并对试验数据进行了分析，在此基础上完成了标准讨论稿和编制说明。</w:t>
      </w:r>
    </w:p>
    <w:p>
      <w:pPr>
        <w:keepNext w:val="0"/>
        <w:keepLines w:val="0"/>
        <w:pageBreakBefore w:val="0"/>
        <w:kinsoku/>
        <w:wordWrap/>
        <w:overflowPunct/>
        <w:topLinePunct w:val="0"/>
        <w:bidi w:val="0"/>
        <w:adjustRightInd/>
        <w:snapToGrid/>
        <w:spacing w:line="500" w:lineRule="exact"/>
        <w:textAlignment w:val="auto"/>
        <w:outlineLvl w:val="2"/>
        <w:rPr>
          <w:rFonts w:hint="eastAsia" w:ascii="黑体" w:hAnsi="黑体" w:eastAsia="黑体" w:cs="黑体"/>
          <w:color w:val="auto"/>
          <w:kern w:val="0"/>
          <w:sz w:val="24"/>
          <w:szCs w:val="24"/>
          <w:lang w:val="en-US" w:eastAsia="zh-CN" w:bidi="ar-SA"/>
        </w:rPr>
      </w:pPr>
      <w:bookmarkStart w:id="11" w:name="_Toc12114"/>
      <w:r>
        <w:rPr>
          <w:rFonts w:hint="eastAsia" w:ascii="黑体" w:hAnsi="黑体" w:eastAsia="黑体" w:cs="黑体"/>
          <w:color w:val="auto"/>
          <w:kern w:val="0"/>
          <w:sz w:val="24"/>
          <w:szCs w:val="24"/>
          <w:lang w:val="en-US" w:eastAsia="zh-CN" w:bidi="ar-SA"/>
        </w:rPr>
        <w:t>1.4.2标准立项</w:t>
      </w:r>
      <w:bookmarkEnd w:id="11"/>
    </w:p>
    <w:p>
      <w:pPr>
        <w:keepNext w:val="0"/>
        <w:keepLines w:val="0"/>
        <w:pageBreakBefore w:val="0"/>
        <w:kinsoku/>
        <w:wordWrap/>
        <w:overflowPunct/>
        <w:topLinePunct w:val="0"/>
        <w:bidi w:val="0"/>
        <w:adjustRightInd/>
        <w:snapToGrid/>
        <w:spacing w:line="500" w:lineRule="exact"/>
        <w:ind w:firstLine="480" w:firstLineChars="200"/>
        <w:textAlignment w:val="auto"/>
        <w:rPr>
          <w:rFonts w:hint="default" w:hAnsi="黑体" w:cs="黑体"/>
          <w:color w:val="auto"/>
          <w:sz w:val="24"/>
          <w:szCs w:val="24"/>
          <w:lang w:val="en-US" w:eastAsia="zh-CN"/>
        </w:rPr>
      </w:pPr>
      <w:r>
        <w:rPr>
          <w:rFonts w:hint="eastAsia" w:hAnsi="黑体" w:cs="黑体"/>
          <w:color w:val="auto"/>
          <w:sz w:val="24"/>
          <w:szCs w:val="24"/>
          <w:lang w:val="en-US" w:eastAsia="zh-CN"/>
        </w:rPr>
        <w:t>标准项目于2021年4月申请立项，提交全体委员会议讨论，2022年7月标准计划批准。</w:t>
      </w:r>
    </w:p>
    <w:p>
      <w:pPr>
        <w:pStyle w:val="2"/>
        <w:keepNext w:val="0"/>
        <w:keepLines w:val="0"/>
        <w:pageBreakBefore w:val="0"/>
        <w:kinsoku/>
        <w:wordWrap/>
        <w:overflowPunct/>
        <w:topLinePunct w:val="0"/>
        <w:bidi w:val="0"/>
        <w:adjustRightInd/>
        <w:snapToGrid/>
        <w:spacing w:after="0" w:line="500" w:lineRule="exact"/>
        <w:textAlignment w:val="auto"/>
        <w:outlineLvl w:val="2"/>
        <w:rPr>
          <w:rFonts w:hint="eastAsia" w:ascii="黑体" w:hAnsi="黑体" w:eastAsia="黑体" w:cs="黑体"/>
          <w:color w:val="auto"/>
          <w:kern w:val="0"/>
          <w:sz w:val="24"/>
          <w:szCs w:val="24"/>
          <w:lang w:val="en-US" w:eastAsia="zh-CN" w:bidi="ar-SA"/>
        </w:rPr>
      </w:pPr>
      <w:bookmarkStart w:id="12" w:name="_Toc10509"/>
      <w:r>
        <w:rPr>
          <w:rFonts w:hint="eastAsia" w:ascii="黑体" w:hAnsi="黑体" w:eastAsia="黑体" w:cs="黑体"/>
          <w:color w:val="auto"/>
          <w:kern w:val="0"/>
          <w:sz w:val="24"/>
          <w:szCs w:val="24"/>
          <w:lang w:val="en-US" w:eastAsia="zh-CN" w:bidi="ar-SA"/>
        </w:rPr>
        <w:t>1.4.3起草阶段</w:t>
      </w:r>
      <w:bookmarkEnd w:id="12"/>
    </w:p>
    <w:p>
      <w:pPr>
        <w:pStyle w:val="2"/>
        <w:keepNext w:val="0"/>
        <w:keepLines w:val="0"/>
        <w:pageBreakBefore w:val="0"/>
        <w:kinsoku/>
        <w:wordWrap/>
        <w:overflowPunct/>
        <w:topLinePunct w:val="0"/>
        <w:bidi w:val="0"/>
        <w:adjustRightInd/>
        <w:snapToGrid/>
        <w:spacing w:after="0" w:line="500" w:lineRule="exact"/>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2023年3月在湖南衡阳召开第一次工作会议，对征求意见1稿进行讨论。</w:t>
      </w:r>
    </w:p>
    <w:p>
      <w:pPr>
        <w:pStyle w:val="2"/>
        <w:keepNext w:val="0"/>
        <w:keepLines w:val="0"/>
        <w:pageBreakBefore w:val="0"/>
        <w:kinsoku/>
        <w:wordWrap/>
        <w:overflowPunct/>
        <w:topLinePunct w:val="0"/>
        <w:bidi w:val="0"/>
        <w:adjustRightInd/>
        <w:snapToGrid/>
        <w:spacing w:after="0" w:line="500" w:lineRule="exact"/>
        <w:textAlignment w:val="auto"/>
        <w:rPr>
          <w:rFonts w:hint="default" w:hAnsi="黑体" w:cs="黑体"/>
          <w:color w:val="C00000"/>
          <w:sz w:val="24"/>
          <w:szCs w:val="24"/>
          <w:lang w:val="en-US" w:eastAsia="zh-CN"/>
        </w:rPr>
      </w:pPr>
      <w:r>
        <w:rPr>
          <w:rFonts w:hint="eastAsia" w:ascii="宋体" w:hAnsi="宋体" w:eastAsia="宋体" w:cs="宋体"/>
          <w:bCs/>
          <w:color w:val="auto"/>
          <w:sz w:val="24"/>
          <w:szCs w:val="24"/>
          <w:lang w:eastAsia="zh-CN"/>
        </w:rPr>
        <w:t>【</w:t>
      </w:r>
      <w:r>
        <w:rPr>
          <w:rFonts w:hint="eastAsia" w:ascii="宋体" w:hAnsi="宋体" w:eastAsia="宋体" w:cs="宋体"/>
          <w:bCs/>
          <w:color w:val="auto"/>
          <w:sz w:val="24"/>
          <w:szCs w:val="24"/>
          <w:lang w:val="en-US" w:eastAsia="zh-CN"/>
        </w:rPr>
        <w:t>最终形成了征求意见稿</w:t>
      </w:r>
      <w:r>
        <w:rPr>
          <w:rFonts w:hint="eastAsia" w:ascii="宋体" w:hAnsi="宋体" w:eastAsia="宋体" w:cs="宋体"/>
          <w:bCs/>
          <w:color w:val="auto"/>
          <w:sz w:val="24"/>
          <w:szCs w:val="24"/>
          <w:lang w:eastAsia="zh-CN"/>
        </w:rPr>
        <w:t>】</w:t>
      </w:r>
    </w:p>
    <w:p>
      <w:pPr>
        <w:pStyle w:val="11"/>
        <w:keepNext w:val="0"/>
        <w:keepLines w:val="0"/>
        <w:pageBreakBefore w:val="0"/>
        <w:kinsoku/>
        <w:wordWrap/>
        <w:overflowPunct/>
        <w:topLinePunct w:val="0"/>
        <w:autoSpaceDE/>
        <w:autoSpaceDN/>
        <w:bidi w:val="0"/>
        <w:adjustRightInd/>
        <w:snapToGrid/>
        <w:spacing w:before="0" w:beforeAutospacing="0" w:after="0" w:afterAutospacing="0" w:line="500" w:lineRule="exact"/>
        <w:jc w:val="both"/>
        <w:textAlignment w:val="auto"/>
        <w:outlineLvl w:val="0"/>
        <w:rPr>
          <w:rFonts w:ascii="黑体" w:eastAsia="黑体" w:cs="Arial"/>
          <w:color w:val="auto"/>
          <w:sz w:val="24"/>
          <w:szCs w:val="24"/>
        </w:rPr>
      </w:pPr>
      <w:bookmarkStart w:id="13" w:name="_Toc31753"/>
      <w:r>
        <w:rPr>
          <w:rFonts w:hint="eastAsia" w:ascii="黑体" w:eastAsia="黑体" w:cs="Arial"/>
          <w:color w:val="auto"/>
          <w:sz w:val="24"/>
          <w:szCs w:val="24"/>
        </w:rPr>
        <w:t>二、编制原则</w:t>
      </w:r>
      <w:bookmarkEnd w:id="13"/>
    </w:p>
    <w:p>
      <w:pPr>
        <w:pStyle w:val="11"/>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240" w:firstLineChars="100"/>
        <w:jc w:val="both"/>
        <w:textAlignment w:val="auto"/>
        <w:rPr>
          <w:rFonts w:hint="eastAsia"/>
          <w:color w:val="auto"/>
          <w:sz w:val="24"/>
          <w:szCs w:val="24"/>
          <w:lang w:val="en-US" w:eastAsia="zh-CN"/>
        </w:rPr>
      </w:pPr>
      <w:r>
        <w:rPr>
          <w:rFonts w:hint="eastAsia"/>
          <w:color w:val="auto"/>
          <w:sz w:val="24"/>
          <w:szCs w:val="24"/>
          <w:lang w:val="en-US" w:eastAsia="zh-CN"/>
        </w:rPr>
        <w:t>（1）本标准是根据GB/T1.1-2020《标准化工作导则 第1部分：标准的结构和编写》的要求进行编写。</w:t>
      </w:r>
    </w:p>
    <w:p>
      <w:pPr>
        <w:pStyle w:val="11"/>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240" w:firstLineChars="100"/>
        <w:jc w:val="both"/>
        <w:textAlignment w:val="auto"/>
        <w:rPr>
          <w:rFonts w:hint="eastAsia"/>
          <w:color w:val="auto"/>
          <w:sz w:val="24"/>
          <w:szCs w:val="24"/>
          <w:lang w:val="en-US" w:eastAsia="zh-CN"/>
        </w:rPr>
      </w:pPr>
      <w:r>
        <w:rPr>
          <w:rFonts w:hint="eastAsia"/>
          <w:color w:val="auto"/>
          <w:sz w:val="24"/>
          <w:szCs w:val="24"/>
          <w:lang w:val="en-US" w:eastAsia="zh-CN"/>
        </w:rPr>
        <w:t>（2）以广泛征求各冶炼企业和相关单位的意见为基本参照依据。</w:t>
      </w:r>
    </w:p>
    <w:p>
      <w:pPr>
        <w:pStyle w:val="11"/>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240" w:firstLineChars="100"/>
        <w:jc w:val="both"/>
        <w:textAlignment w:val="auto"/>
        <w:rPr>
          <w:rFonts w:hint="eastAsia"/>
          <w:color w:val="auto"/>
          <w:sz w:val="24"/>
          <w:szCs w:val="24"/>
          <w:lang w:val="en-US" w:eastAsia="zh-CN"/>
        </w:rPr>
      </w:pPr>
      <w:r>
        <w:rPr>
          <w:rFonts w:hint="eastAsia"/>
          <w:color w:val="auto"/>
          <w:sz w:val="24"/>
          <w:szCs w:val="24"/>
          <w:lang w:val="en-US" w:eastAsia="zh-CN"/>
        </w:rPr>
        <w:t>（3）本标准编写遵循“先进性、实用性、统一性和规范性”的原则，使标准具有科学性和可操作性。</w:t>
      </w:r>
    </w:p>
    <w:p>
      <w:pPr>
        <w:pStyle w:val="11"/>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240" w:firstLineChars="100"/>
        <w:jc w:val="both"/>
        <w:textAlignment w:val="auto"/>
        <w:rPr>
          <w:rFonts w:hint="eastAsia"/>
          <w:color w:val="auto"/>
          <w:sz w:val="24"/>
          <w:szCs w:val="24"/>
          <w:lang w:val="en-US" w:eastAsia="zh-CN"/>
        </w:rPr>
      </w:pPr>
      <w:r>
        <w:rPr>
          <w:rFonts w:hint="eastAsia"/>
          <w:color w:val="auto"/>
          <w:sz w:val="24"/>
          <w:szCs w:val="24"/>
          <w:lang w:val="en-US" w:eastAsia="zh-CN"/>
        </w:rPr>
        <w:t>（4）根据产品工艺的成熟与完善、技术发展水平及测试数据确定技术指标取值范围。</w:t>
      </w:r>
    </w:p>
    <w:p>
      <w:pPr>
        <w:pStyle w:val="11"/>
        <w:keepNext w:val="0"/>
        <w:keepLines w:val="0"/>
        <w:pageBreakBefore w:val="0"/>
        <w:kinsoku/>
        <w:wordWrap/>
        <w:overflowPunct/>
        <w:topLinePunct w:val="0"/>
        <w:autoSpaceDE/>
        <w:autoSpaceDN/>
        <w:bidi w:val="0"/>
        <w:adjustRightInd/>
        <w:snapToGrid/>
        <w:spacing w:before="0" w:beforeAutospacing="0" w:after="0" w:afterAutospacing="0" w:line="500" w:lineRule="exact"/>
        <w:jc w:val="both"/>
        <w:textAlignment w:val="auto"/>
        <w:outlineLvl w:val="0"/>
        <w:rPr>
          <w:rFonts w:hint="default" w:ascii="黑体" w:eastAsia="黑体" w:cs="Arial"/>
          <w:color w:val="auto"/>
          <w:sz w:val="24"/>
          <w:szCs w:val="24"/>
          <w:lang w:val="en-US" w:eastAsia="zh-CN"/>
        </w:rPr>
      </w:pPr>
      <w:bookmarkStart w:id="14" w:name="_Toc30714"/>
      <w:r>
        <w:rPr>
          <w:rFonts w:hint="eastAsia" w:ascii="黑体" w:eastAsia="黑体" w:cs="Arial"/>
          <w:color w:val="auto"/>
          <w:sz w:val="24"/>
          <w:szCs w:val="24"/>
        </w:rPr>
        <w:t>三、标准主要技术内容</w:t>
      </w:r>
      <w:r>
        <w:rPr>
          <w:rFonts w:hint="eastAsia" w:ascii="黑体" w:eastAsia="黑体" w:cs="Arial"/>
          <w:color w:val="auto"/>
          <w:sz w:val="24"/>
          <w:szCs w:val="24"/>
          <w:lang w:val="en-US" w:eastAsia="zh-CN"/>
        </w:rPr>
        <w:t>的确定依据及主要试验和验证情况分析</w:t>
      </w:r>
      <w:bookmarkEnd w:id="14"/>
    </w:p>
    <w:p>
      <w:pPr>
        <w:spacing w:line="500" w:lineRule="exact"/>
        <w:outlineLvl w:val="1"/>
        <w:rPr>
          <w:rFonts w:hint="eastAsia" w:ascii="宋体" w:hAnsi="宋体" w:cs="宋体"/>
          <w:b/>
          <w:bCs/>
          <w:sz w:val="24"/>
          <w:szCs w:val="24"/>
        </w:rPr>
      </w:pPr>
      <w:bookmarkStart w:id="15" w:name="_Toc17706"/>
      <w:r>
        <w:rPr>
          <w:rFonts w:hint="eastAsia" w:ascii="宋体" w:hAnsi="宋体" w:cs="宋体"/>
          <w:b/>
          <w:bCs/>
          <w:sz w:val="24"/>
          <w:szCs w:val="24"/>
        </w:rPr>
        <w:t>3.1标准适用范围</w:t>
      </w:r>
      <w:bookmarkEnd w:id="15"/>
    </w:p>
    <w:p>
      <w:pPr>
        <w:spacing w:line="500" w:lineRule="exact"/>
        <w:rPr>
          <w:rFonts w:hint="eastAsia" w:ascii="宋体" w:hAnsi="宋体" w:cs="宋体"/>
          <w:b w:val="0"/>
          <w:bCs w:val="0"/>
          <w:sz w:val="24"/>
          <w:szCs w:val="24"/>
          <w:lang w:val="en-US" w:eastAsia="zh-CN"/>
        </w:rPr>
      </w:pPr>
      <w:r>
        <w:rPr>
          <w:rFonts w:hint="eastAsia" w:ascii="宋体" w:hAnsi="宋体" w:cs="宋体"/>
          <w:b/>
          <w:bCs/>
          <w:sz w:val="24"/>
          <w:szCs w:val="24"/>
          <w:lang w:val="en-US" w:eastAsia="zh-CN"/>
        </w:rPr>
        <w:t xml:space="preserve"> </w:t>
      </w:r>
      <w:r>
        <w:rPr>
          <w:rFonts w:hint="eastAsia" w:ascii="宋体" w:hAnsi="宋体" w:cs="宋体"/>
          <w:b w:val="0"/>
          <w:bCs w:val="0"/>
          <w:sz w:val="24"/>
          <w:szCs w:val="24"/>
          <w:lang w:val="en-US" w:eastAsia="zh-CN"/>
        </w:rPr>
        <w:t xml:space="preserve">  “本文件规定了冰铜（也称铜锍）的一般要求、试验方法、检验规则、包装、运输、贮存及随行文件或订货单内容。</w:t>
      </w:r>
    </w:p>
    <w:p>
      <w:pPr>
        <w:spacing w:line="500" w:lineRule="exact"/>
        <w:ind w:firstLine="480" w:firstLineChars="200"/>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本文件适用于经熔炼得到的由硫化亚铜和硫化亚铁组成的含铜在35%～75%之间的供冶炼铜用的冰铜产品。”</w:t>
      </w:r>
    </w:p>
    <w:p>
      <w:pPr>
        <w:spacing w:line="500" w:lineRule="exact"/>
        <w:ind w:firstLine="480" w:firstLineChars="200"/>
        <w:rPr>
          <w:rFonts w:hint="eastAsia" w:ascii="宋体" w:hAnsi="宋体" w:eastAsia="宋体" w:cs="宋体"/>
          <w:sz w:val="24"/>
          <w:szCs w:val="24"/>
          <w:lang w:eastAsia="zh-CN"/>
        </w:rPr>
      </w:pPr>
      <w:r>
        <w:rPr>
          <w:rFonts w:hint="eastAsia" w:ascii="宋体" w:hAnsi="宋体" w:cs="宋体"/>
          <w:b w:val="0"/>
          <w:bCs w:val="0"/>
          <w:sz w:val="24"/>
          <w:szCs w:val="24"/>
          <w:lang w:val="en-US" w:eastAsia="zh-CN"/>
        </w:rPr>
        <w:t>主要将“</w:t>
      </w:r>
      <w:r>
        <w:rPr>
          <w:rFonts w:hint="eastAsia" w:ascii="宋体" w:hAnsi="宋体" w:eastAsia="宋体" w:cs="宋体"/>
          <w:sz w:val="24"/>
          <w:szCs w:val="24"/>
        </w:rPr>
        <w:t>含铜在15%～</w:t>
      </w:r>
      <w:r>
        <w:rPr>
          <w:rFonts w:hint="eastAsia" w:ascii="宋体" w:hAnsi="宋体" w:eastAsia="宋体" w:cs="宋体"/>
          <w:sz w:val="24"/>
          <w:szCs w:val="24"/>
          <w:lang w:val="en-US" w:eastAsia="zh-CN"/>
        </w:rPr>
        <w:t>7</w:t>
      </w:r>
      <w:r>
        <w:rPr>
          <w:rFonts w:hint="eastAsia" w:ascii="宋体" w:hAnsi="宋体" w:eastAsia="宋体" w:cs="宋体"/>
          <w:sz w:val="24"/>
          <w:szCs w:val="24"/>
        </w:rPr>
        <w:t>0%之间的中间产品</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更改</w:t>
      </w:r>
      <w:r>
        <w:rPr>
          <w:rFonts w:hint="eastAsia" w:ascii="宋体" w:hAnsi="宋体" w:eastAsia="宋体" w:cs="宋体"/>
          <w:sz w:val="24"/>
          <w:szCs w:val="24"/>
          <w:lang w:eastAsia="zh-CN"/>
        </w:rPr>
        <w:t>为“</w:t>
      </w:r>
      <w:r>
        <w:rPr>
          <w:rFonts w:hint="eastAsia" w:ascii="宋体" w:hAnsi="宋体" w:eastAsia="宋体" w:cs="宋体"/>
          <w:sz w:val="24"/>
          <w:szCs w:val="24"/>
        </w:rPr>
        <w:t>含铜在</w:t>
      </w:r>
      <w:r>
        <w:rPr>
          <w:rFonts w:hint="eastAsia" w:ascii="宋体" w:hAnsi="宋体" w:eastAsia="宋体" w:cs="宋体"/>
          <w:sz w:val="24"/>
          <w:szCs w:val="24"/>
          <w:lang w:val="en-US" w:eastAsia="zh-CN"/>
        </w:rPr>
        <w:t>3</w:t>
      </w:r>
      <w:r>
        <w:rPr>
          <w:rFonts w:hint="eastAsia" w:ascii="宋体" w:hAnsi="宋体" w:eastAsia="宋体" w:cs="宋体"/>
          <w:sz w:val="24"/>
          <w:szCs w:val="24"/>
        </w:rPr>
        <w:t>5%～</w:t>
      </w:r>
      <w:r>
        <w:rPr>
          <w:rFonts w:hint="eastAsia" w:ascii="宋体" w:hAnsi="宋体" w:eastAsia="宋体" w:cs="宋体"/>
          <w:sz w:val="24"/>
          <w:szCs w:val="24"/>
          <w:lang w:val="en-US" w:eastAsia="zh-CN"/>
        </w:rPr>
        <w:t>75</w:t>
      </w:r>
      <w:r>
        <w:rPr>
          <w:rFonts w:hint="eastAsia" w:ascii="宋体" w:hAnsi="宋体" w:eastAsia="宋体" w:cs="宋体"/>
          <w:sz w:val="24"/>
          <w:szCs w:val="24"/>
        </w:rPr>
        <w:t>%之间的供冶炼铜用的冰铜产品</w:t>
      </w:r>
      <w:r>
        <w:rPr>
          <w:rFonts w:hint="eastAsia" w:ascii="宋体" w:hAnsi="宋体" w:eastAsia="宋体" w:cs="宋体"/>
          <w:sz w:val="24"/>
          <w:szCs w:val="24"/>
          <w:lang w:eastAsia="zh-CN"/>
        </w:rPr>
        <w:t>”。从前期收集的部分</w:t>
      </w:r>
      <w:r>
        <w:rPr>
          <w:rFonts w:hint="eastAsia" w:ascii="宋体" w:hAnsi="宋体" w:cs="宋体"/>
          <w:sz w:val="24"/>
          <w:szCs w:val="24"/>
        </w:rPr>
        <w:t>铜冶炼生产企业</w:t>
      </w:r>
      <w:r>
        <w:rPr>
          <w:rFonts w:hint="eastAsia" w:ascii="宋体" w:hAnsi="宋体" w:cs="宋体"/>
          <w:sz w:val="24"/>
          <w:szCs w:val="24"/>
          <w:lang w:eastAsia="zh-CN"/>
        </w:rPr>
        <w:t>的数据了解到，</w:t>
      </w:r>
      <w:r>
        <w:rPr>
          <w:rFonts w:hint="eastAsia" w:ascii="宋体" w:hAnsi="宋体" w:cs="宋体"/>
          <w:sz w:val="24"/>
          <w:szCs w:val="24"/>
        </w:rPr>
        <w:t>冰铜含铜量可控制在</w:t>
      </w:r>
      <w:r>
        <w:rPr>
          <w:rFonts w:hint="eastAsia" w:ascii="宋体" w:hAnsi="宋体" w:cs="宋体"/>
          <w:sz w:val="24"/>
          <w:szCs w:val="24"/>
          <w:lang w:val="en-US" w:eastAsia="zh-CN"/>
        </w:rPr>
        <w:t>3</w:t>
      </w:r>
      <w:r>
        <w:rPr>
          <w:rFonts w:hint="eastAsia" w:ascii="宋体" w:hAnsi="宋体" w:cs="宋体"/>
          <w:sz w:val="24"/>
          <w:szCs w:val="24"/>
        </w:rPr>
        <w:t>5%以上</w:t>
      </w:r>
      <w:r>
        <w:rPr>
          <w:rFonts w:hint="eastAsia" w:ascii="宋体" w:hAnsi="宋体" w:cs="宋体"/>
          <w:sz w:val="24"/>
          <w:szCs w:val="24"/>
          <w:lang w:eastAsia="zh-CN"/>
        </w:rPr>
        <w:t>，</w:t>
      </w:r>
      <w:r>
        <w:rPr>
          <w:rFonts w:hint="eastAsia" w:ascii="宋体" w:hAnsi="宋体" w:cs="宋体"/>
          <w:sz w:val="24"/>
          <w:szCs w:val="24"/>
        </w:rPr>
        <w:t>很多企业</w:t>
      </w:r>
      <w:r>
        <w:rPr>
          <w:rFonts w:hint="eastAsia" w:ascii="宋体" w:hAnsi="宋体" w:cs="宋体"/>
          <w:sz w:val="24"/>
          <w:szCs w:val="24"/>
          <w:lang w:eastAsia="zh-CN"/>
        </w:rPr>
        <w:t>（如</w:t>
      </w:r>
      <w:r>
        <w:rPr>
          <w:rFonts w:hint="eastAsia" w:ascii="宋体" w:hAnsi="宋体" w:cs="宋体"/>
          <w:sz w:val="24"/>
          <w:szCs w:val="24"/>
        </w:rPr>
        <w:t>山东</w:t>
      </w:r>
      <w:r>
        <w:rPr>
          <w:rFonts w:ascii="宋体" w:hAnsi="宋体" w:cs="宋体"/>
          <w:sz w:val="24"/>
          <w:szCs w:val="24"/>
        </w:rPr>
        <w:t>恒邦</w:t>
      </w:r>
      <w:r>
        <w:rPr>
          <w:rFonts w:hint="eastAsia" w:ascii="宋体" w:hAnsi="宋体" w:cs="宋体"/>
          <w:sz w:val="24"/>
          <w:szCs w:val="24"/>
        </w:rPr>
        <w:t>、云铜、北方铜业、铜陵等都是高品位冰铜吹炼工艺，铜含量≥60%</w:t>
      </w:r>
      <w:r>
        <w:rPr>
          <w:rFonts w:hint="eastAsia" w:ascii="宋体" w:hAnsi="宋体" w:cs="宋体"/>
          <w:sz w:val="24"/>
          <w:szCs w:val="24"/>
          <w:lang w:eastAsia="zh-CN"/>
        </w:rPr>
        <w:t>，最高达到</w:t>
      </w:r>
      <w:r>
        <w:rPr>
          <w:rFonts w:hint="eastAsia" w:ascii="宋体" w:hAnsi="宋体" w:cs="宋体"/>
          <w:sz w:val="24"/>
          <w:szCs w:val="24"/>
          <w:lang w:val="en-US" w:eastAsia="zh-CN"/>
        </w:rPr>
        <w:t>75%</w:t>
      </w:r>
      <w:r>
        <w:rPr>
          <w:rFonts w:hint="eastAsia" w:ascii="宋体" w:hAnsi="宋体" w:cs="宋体"/>
          <w:sz w:val="24"/>
          <w:szCs w:val="24"/>
          <w:lang w:eastAsia="zh-CN"/>
        </w:rPr>
        <w:t>）。此外，“</w:t>
      </w:r>
      <w:r>
        <w:rPr>
          <w:rFonts w:hint="eastAsia" w:ascii="宋体" w:hAnsi="宋体" w:cs="宋体"/>
          <w:sz w:val="24"/>
          <w:szCs w:val="24"/>
          <w:lang w:val="en-US" w:eastAsia="zh-CN"/>
        </w:rPr>
        <w:t>YS/T 990冰铜化学分析方法中 铜量的测定 碘量法”中测定范围上限为77%，所以结合生产实际做此调整。</w:t>
      </w:r>
    </w:p>
    <w:p>
      <w:pPr>
        <w:spacing w:line="500" w:lineRule="exact"/>
        <w:outlineLvl w:val="1"/>
        <w:rPr>
          <w:rFonts w:hint="eastAsia" w:ascii="宋体" w:hAnsi="宋体" w:cs="宋体"/>
          <w:b/>
          <w:bCs/>
          <w:sz w:val="24"/>
          <w:szCs w:val="24"/>
        </w:rPr>
      </w:pPr>
      <w:bookmarkStart w:id="16" w:name="_Toc31615"/>
      <w:r>
        <w:rPr>
          <w:rFonts w:hint="eastAsia" w:ascii="宋体" w:hAnsi="宋体" w:cs="宋体"/>
          <w:b/>
          <w:bCs/>
          <w:sz w:val="24"/>
          <w:szCs w:val="24"/>
          <w:lang w:val="en-US" w:eastAsia="zh-CN"/>
        </w:rPr>
        <w:t>3</w:t>
      </w:r>
      <w:r>
        <w:rPr>
          <w:rFonts w:hint="eastAsia" w:ascii="宋体" w:hAnsi="宋体" w:cs="宋体"/>
          <w:b/>
          <w:bCs/>
          <w:sz w:val="24"/>
          <w:szCs w:val="24"/>
        </w:rPr>
        <w:t>.</w:t>
      </w:r>
      <w:r>
        <w:rPr>
          <w:rFonts w:hint="eastAsia" w:ascii="宋体" w:hAnsi="宋体" w:cs="宋体"/>
          <w:b/>
          <w:bCs/>
          <w:sz w:val="24"/>
          <w:szCs w:val="24"/>
          <w:lang w:val="en-US" w:eastAsia="zh-CN"/>
        </w:rPr>
        <w:t>2</w:t>
      </w:r>
      <w:r>
        <w:rPr>
          <w:rFonts w:hint="eastAsia" w:ascii="宋体" w:hAnsi="宋体" w:cs="宋体"/>
          <w:b/>
          <w:bCs/>
          <w:sz w:val="24"/>
          <w:szCs w:val="24"/>
        </w:rPr>
        <w:t>规范性引用文件</w:t>
      </w:r>
      <w:bookmarkEnd w:id="16"/>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sz w:val="24"/>
          <w:szCs w:val="24"/>
        </w:rPr>
      </w:pPr>
      <w:r>
        <w:rPr>
          <w:rFonts w:hint="eastAsia" w:ascii="宋体" w:hAnsi="宋体" w:cs="宋体"/>
          <w:sz w:val="24"/>
          <w:szCs w:val="24"/>
          <w:lang w:eastAsia="zh-CN"/>
        </w:rPr>
        <w:t>一是补充了</w:t>
      </w:r>
      <w:r>
        <w:rPr>
          <w:rFonts w:hint="eastAsia" w:ascii="宋体" w:hAnsi="宋体" w:cs="宋体"/>
          <w:sz w:val="24"/>
          <w:szCs w:val="24"/>
        </w:rPr>
        <w:t>“GB/T 2007.1  散装矿产品取样、制样通则 手工取样方法”；</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sz w:val="24"/>
          <w:szCs w:val="24"/>
        </w:rPr>
      </w:pPr>
      <w:r>
        <w:rPr>
          <w:rFonts w:hint="eastAsia" w:ascii="宋体" w:hAnsi="宋体" w:cs="宋体"/>
          <w:sz w:val="24"/>
          <w:szCs w:val="24"/>
          <w:lang w:eastAsia="zh-CN"/>
        </w:rPr>
        <w:t>二是补充了</w:t>
      </w:r>
      <w:r>
        <w:rPr>
          <w:rFonts w:hint="eastAsia" w:ascii="宋体" w:hAnsi="宋体" w:cs="宋体"/>
          <w:sz w:val="24"/>
          <w:szCs w:val="24"/>
        </w:rPr>
        <w:t xml:space="preserve"> “GB/T 2007.2  散装矿产品取样、制样通则  手工制样方法”；</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cs="宋体"/>
          <w:sz w:val="24"/>
          <w:szCs w:val="24"/>
          <w:lang w:val="en-US" w:eastAsia="zh-CN"/>
        </w:rPr>
      </w:pPr>
      <w:r>
        <w:rPr>
          <w:rFonts w:hint="eastAsia" w:ascii="宋体" w:hAnsi="宋体" w:cs="宋体"/>
          <w:sz w:val="24"/>
          <w:szCs w:val="24"/>
          <w:lang w:eastAsia="zh-CN"/>
        </w:rPr>
        <w:t>文件中“</w:t>
      </w:r>
      <w:r>
        <w:rPr>
          <w:rFonts w:hint="eastAsia" w:ascii="宋体" w:hAnsi="宋体" w:cs="宋体"/>
          <w:sz w:val="24"/>
          <w:szCs w:val="24"/>
          <w:lang w:val="en-US" w:eastAsia="zh-CN"/>
        </w:rPr>
        <w:t>6.3 取样和制样”的内容需要规范性引用上述标准。</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lang w:eastAsia="zh-CN"/>
        </w:rPr>
      </w:pPr>
      <w:r>
        <w:rPr>
          <w:rFonts w:hint="eastAsia" w:ascii="宋体" w:hAnsi="宋体" w:cs="宋体"/>
          <w:sz w:val="24"/>
          <w:szCs w:val="24"/>
          <w:lang w:eastAsia="zh-CN"/>
        </w:rPr>
        <w:t>三是补充了</w:t>
      </w:r>
      <w:r>
        <w:rPr>
          <w:rFonts w:hint="eastAsia" w:ascii="宋体" w:hAnsi="宋体" w:cs="宋体"/>
          <w:sz w:val="24"/>
          <w:szCs w:val="24"/>
        </w:rPr>
        <w:t>“YS/T 990（所有部分）冰铜化学分析方法</w:t>
      </w:r>
      <w:r>
        <w:rPr>
          <w:rFonts w:ascii="宋体" w:hAnsi="宋体" w:cs="宋体"/>
          <w:sz w:val="24"/>
          <w:szCs w:val="24"/>
        </w:rPr>
        <w:t>”</w:t>
      </w:r>
      <w:r>
        <w:rPr>
          <w:rFonts w:hint="eastAsia" w:ascii="宋体" w:hAnsi="宋体" w:cs="宋体"/>
          <w:sz w:val="24"/>
          <w:szCs w:val="24"/>
          <w:lang w:eastAsia="zh-CN"/>
        </w:rPr>
        <w:t>；</w:t>
      </w:r>
      <w:r>
        <w:rPr>
          <w:rFonts w:hint="eastAsia" w:ascii="宋体" w:hAnsi="宋体" w:cs="宋体"/>
          <w:sz w:val="24"/>
          <w:szCs w:val="24"/>
        </w:rPr>
        <w:t>2013年版《冰铜》</w:t>
      </w:r>
      <w:r>
        <w:rPr>
          <w:rFonts w:hint="eastAsia" w:ascii="宋体" w:hAnsi="宋体" w:cs="宋体"/>
          <w:sz w:val="24"/>
          <w:szCs w:val="24"/>
          <w:lang w:eastAsia="zh-CN"/>
        </w:rPr>
        <w:t>发布后又</w:t>
      </w:r>
      <w:r>
        <w:rPr>
          <w:rFonts w:hint="eastAsia" w:ascii="宋体" w:hAnsi="宋体" w:cs="宋体"/>
          <w:sz w:val="24"/>
          <w:szCs w:val="24"/>
        </w:rPr>
        <w:t>陆续发布了一系列冰铜化学分析方法YS/T 990（所有部分）</w:t>
      </w:r>
      <w:r>
        <w:rPr>
          <w:rFonts w:hint="eastAsia" w:ascii="宋体" w:hAnsi="宋体" w:cs="宋体"/>
          <w:sz w:val="24"/>
          <w:szCs w:val="24"/>
          <w:lang w:eastAsia="zh-CN"/>
        </w:rPr>
        <w:t>，</w:t>
      </w:r>
      <w:r>
        <w:rPr>
          <w:rFonts w:hint="eastAsia" w:ascii="宋体" w:hAnsi="宋体" w:cs="宋体"/>
          <w:sz w:val="24"/>
          <w:szCs w:val="24"/>
        </w:rPr>
        <w:t>主要出于检验方法标准应与产品标准相适应的要求。YS/T 990（所有部分）</w:t>
      </w:r>
      <w:r>
        <w:rPr>
          <w:rFonts w:hint="eastAsia" w:ascii="宋体" w:hAnsi="宋体" w:cs="宋体"/>
          <w:sz w:val="24"/>
          <w:szCs w:val="24"/>
          <w:lang w:eastAsia="zh-CN"/>
        </w:rPr>
        <w:t>如下：</w:t>
      </w:r>
    </w:p>
    <w:p>
      <w:pPr>
        <w:keepNext w:val="0"/>
        <w:keepLines w:val="0"/>
        <w:pageBreakBefore w:val="0"/>
        <w:widowControl w:val="0"/>
        <w:kinsoku/>
        <w:wordWrap/>
        <w:overflowPunct/>
        <w:topLinePunct w:val="0"/>
        <w:autoSpaceDE/>
        <w:autoSpaceDN/>
        <w:bidi w:val="0"/>
        <w:adjustRightInd/>
        <w:snapToGrid/>
        <w:spacing w:line="480" w:lineRule="exact"/>
        <w:ind w:firstLine="228" w:firstLineChars="100"/>
        <w:textAlignment w:val="auto"/>
        <w:rPr>
          <w:rFonts w:hint="eastAsia" w:ascii="宋体" w:hAnsi="宋体" w:cs="宋体"/>
          <w:spacing w:val="-6"/>
          <w:sz w:val="24"/>
          <w:szCs w:val="24"/>
        </w:rPr>
      </w:pPr>
      <w:r>
        <w:rPr>
          <w:rFonts w:hint="eastAsia" w:ascii="宋体" w:hAnsi="宋体" w:cs="宋体"/>
          <w:spacing w:val="-6"/>
          <w:sz w:val="24"/>
          <w:szCs w:val="24"/>
        </w:rPr>
        <w:t xml:space="preserve">YS/T 990.1-2014 冰铜化学分析方法 第1部分:铜量的测定 碘量法 </w:t>
      </w:r>
    </w:p>
    <w:p>
      <w:pPr>
        <w:keepNext w:val="0"/>
        <w:keepLines w:val="0"/>
        <w:pageBreakBefore w:val="0"/>
        <w:widowControl w:val="0"/>
        <w:kinsoku/>
        <w:wordWrap/>
        <w:overflowPunct/>
        <w:topLinePunct w:val="0"/>
        <w:autoSpaceDE/>
        <w:autoSpaceDN/>
        <w:bidi w:val="0"/>
        <w:adjustRightInd/>
        <w:snapToGrid/>
        <w:spacing w:line="480" w:lineRule="exact"/>
        <w:ind w:firstLine="228" w:firstLineChars="100"/>
        <w:textAlignment w:val="auto"/>
        <w:rPr>
          <w:rFonts w:hint="eastAsia" w:ascii="宋体" w:hAnsi="宋体" w:cs="宋体"/>
          <w:spacing w:val="-6"/>
          <w:sz w:val="24"/>
          <w:szCs w:val="24"/>
        </w:rPr>
      </w:pPr>
      <w:r>
        <w:rPr>
          <w:rFonts w:hint="eastAsia" w:ascii="宋体" w:hAnsi="宋体" w:cs="宋体"/>
          <w:spacing w:val="-6"/>
          <w:sz w:val="24"/>
          <w:szCs w:val="24"/>
        </w:rPr>
        <w:t xml:space="preserve">YS/T 990.2-2014 冰铜化学分析方法 第2部分:金量和银量的测定 原子吸收光谱法和火试金法 </w:t>
      </w:r>
    </w:p>
    <w:p>
      <w:pPr>
        <w:keepNext w:val="0"/>
        <w:keepLines w:val="0"/>
        <w:pageBreakBefore w:val="0"/>
        <w:widowControl w:val="0"/>
        <w:kinsoku/>
        <w:wordWrap/>
        <w:overflowPunct/>
        <w:topLinePunct w:val="0"/>
        <w:autoSpaceDE/>
        <w:autoSpaceDN/>
        <w:bidi w:val="0"/>
        <w:adjustRightInd/>
        <w:snapToGrid/>
        <w:spacing w:line="480" w:lineRule="exact"/>
        <w:ind w:firstLine="228" w:firstLineChars="100"/>
        <w:textAlignment w:val="auto"/>
        <w:rPr>
          <w:rFonts w:hint="eastAsia" w:ascii="宋体" w:hAnsi="宋体" w:cs="宋体"/>
          <w:spacing w:val="-6"/>
          <w:sz w:val="24"/>
          <w:szCs w:val="24"/>
        </w:rPr>
      </w:pPr>
      <w:r>
        <w:rPr>
          <w:rFonts w:hint="eastAsia" w:ascii="宋体" w:hAnsi="宋体" w:cs="宋体"/>
          <w:spacing w:val="-6"/>
          <w:sz w:val="24"/>
          <w:szCs w:val="24"/>
        </w:rPr>
        <w:t xml:space="preserve">YS/T 990.3-2014 冰铜化学分析方法 第3部分:硫量的测定 重量法和燃烧滴定法 </w:t>
      </w:r>
    </w:p>
    <w:p>
      <w:pPr>
        <w:keepNext w:val="0"/>
        <w:keepLines w:val="0"/>
        <w:pageBreakBefore w:val="0"/>
        <w:widowControl w:val="0"/>
        <w:kinsoku/>
        <w:wordWrap/>
        <w:overflowPunct/>
        <w:topLinePunct w:val="0"/>
        <w:autoSpaceDE/>
        <w:autoSpaceDN/>
        <w:bidi w:val="0"/>
        <w:adjustRightInd/>
        <w:snapToGrid/>
        <w:spacing w:line="480" w:lineRule="exact"/>
        <w:ind w:firstLine="228" w:firstLineChars="100"/>
        <w:textAlignment w:val="auto"/>
        <w:rPr>
          <w:rFonts w:hint="eastAsia" w:ascii="宋体" w:hAnsi="宋体" w:cs="宋体"/>
          <w:spacing w:val="-6"/>
          <w:sz w:val="24"/>
          <w:szCs w:val="24"/>
        </w:rPr>
      </w:pPr>
      <w:r>
        <w:rPr>
          <w:rFonts w:hint="eastAsia" w:ascii="宋体" w:hAnsi="宋体" w:cs="宋体"/>
          <w:spacing w:val="-6"/>
          <w:sz w:val="24"/>
          <w:szCs w:val="24"/>
        </w:rPr>
        <w:t xml:space="preserve">YS/T 990.4-2014 冰铜化学分析方法 第4部分:铋量的测定 原子吸收光谱法 </w:t>
      </w:r>
    </w:p>
    <w:p>
      <w:pPr>
        <w:keepNext w:val="0"/>
        <w:keepLines w:val="0"/>
        <w:pageBreakBefore w:val="0"/>
        <w:widowControl w:val="0"/>
        <w:kinsoku/>
        <w:wordWrap/>
        <w:overflowPunct/>
        <w:topLinePunct w:val="0"/>
        <w:autoSpaceDE/>
        <w:autoSpaceDN/>
        <w:bidi w:val="0"/>
        <w:adjustRightInd/>
        <w:snapToGrid/>
        <w:spacing w:line="480" w:lineRule="exact"/>
        <w:ind w:firstLine="228" w:firstLineChars="100"/>
        <w:textAlignment w:val="auto"/>
        <w:rPr>
          <w:rFonts w:hint="eastAsia" w:ascii="宋体" w:hAnsi="宋体" w:cs="宋体"/>
          <w:spacing w:val="-6"/>
          <w:sz w:val="24"/>
          <w:szCs w:val="24"/>
        </w:rPr>
      </w:pPr>
      <w:r>
        <w:rPr>
          <w:rFonts w:hint="eastAsia" w:ascii="宋体" w:hAnsi="宋体" w:cs="宋体"/>
          <w:spacing w:val="-6"/>
          <w:sz w:val="24"/>
          <w:szCs w:val="24"/>
        </w:rPr>
        <w:t>YS/T 990.5-2014 冰铜化学分析方法 第5部分:氟量的测定 离子选择电极法</w:t>
      </w:r>
    </w:p>
    <w:p>
      <w:pPr>
        <w:keepNext w:val="0"/>
        <w:keepLines w:val="0"/>
        <w:pageBreakBefore w:val="0"/>
        <w:widowControl w:val="0"/>
        <w:kinsoku/>
        <w:wordWrap/>
        <w:overflowPunct/>
        <w:topLinePunct w:val="0"/>
        <w:autoSpaceDE/>
        <w:autoSpaceDN/>
        <w:bidi w:val="0"/>
        <w:adjustRightInd/>
        <w:snapToGrid/>
        <w:spacing w:line="480" w:lineRule="exact"/>
        <w:ind w:firstLine="228" w:firstLineChars="100"/>
        <w:textAlignment w:val="auto"/>
        <w:rPr>
          <w:rFonts w:hint="eastAsia" w:ascii="宋体" w:hAnsi="宋体" w:cs="宋体"/>
          <w:spacing w:val="-6"/>
          <w:sz w:val="24"/>
          <w:szCs w:val="24"/>
        </w:rPr>
      </w:pPr>
      <w:r>
        <w:rPr>
          <w:rFonts w:hint="eastAsia" w:ascii="宋体" w:hAnsi="宋体" w:cs="宋体"/>
          <w:spacing w:val="-6"/>
          <w:sz w:val="24"/>
          <w:szCs w:val="24"/>
        </w:rPr>
        <w:t xml:space="preserve">YS/T 990.6-2014 冰铜化学分析方法 第6部分:铅量的测定 原子吸收光谱法和Na2EDTA滴定法 </w:t>
      </w:r>
    </w:p>
    <w:p>
      <w:pPr>
        <w:keepNext w:val="0"/>
        <w:keepLines w:val="0"/>
        <w:pageBreakBefore w:val="0"/>
        <w:widowControl w:val="0"/>
        <w:kinsoku/>
        <w:wordWrap/>
        <w:overflowPunct/>
        <w:topLinePunct w:val="0"/>
        <w:autoSpaceDE/>
        <w:autoSpaceDN/>
        <w:bidi w:val="0"/>
        <w:adjustRightInd/>
        <w:snapToGrid/>
        <w:spacing w:line="480" w:lineRule="exact"/>
        <w:ind w:firstLine="228" w:firstLineChars="100"/>
        <w:textAlignment w:val="auto"/>
        <w:rPr>
          <w:rFonts w:hint="eastAsia" w:ascii="宋体" w:hAnsi="宋体" w:cs="宋体"/>
          <w:spacing w:val="-6"/>
          <w:sz w:val="24"/>
          <w:szCs w:val="24"/>
        </w:rPr>
      </w:pPr>
      <w:r>
        <w:rPr>
          <w:rFonts w:hint="eastAsia" w:ascii="宋体" w:hAnsi="宋体" w:cs="宋体"/>
          <w:spacing w:val="-6"/>
          <w:sz w:val="24"/>
          <w:szCs w:val="24"/>
        </w:rPr>
        <w:t xml:space="preserve">YS/T 990.7-2014 冰铜化学分析方法 第7部分:镉量的测定 原子吸收光谱法 </w:t>
      </w:r>
    </w:p>
    <w:p>
      <w:pPr>
        <w:keepNext w:val="0"/>
        <w:keepLines w:val="0"/>
        <w:pageBreakBefore w:val="0"/>
        <w:widowControl w:val="0"/>
        <w:kinsoku/>
        <w:wordWrap/>
        <w:overflowPunct/>
        <w:topLinePunct w:val="0"/>
        <w:autoSpaceDE/>
        <w:autoSpaceDN/>
        <w:bidi w:val="0"/>
        <w:adjustRightInd/>
        <w:snapToGrid/>
        <w:spacing w:line="480" w:lineRule="exact"/>
        <w:ind w:firstLine="200" w:firstLineChars="100"/>
        <w:textAlignment w:val="auto"/>
        <w:rPr>
          <w:rFonts w:hint="eastAsia" w:ascii="宋体" w:hAnsi="宋体" w:cs="宋体"/>
          <w:spacing w:val="0"/>
          <w:sz w:val="24"/>
          <w:szCs w:val="24"/>
        </w:rPr>
      </w:pPr>
      <w:r>
        <w:rPr>
          <w:rFonts w:hint="eastAsia" w:ascii="宋体" w:hAnsi="宋体" w:cs="宋体"/>
          <w:spacing w:val="-20"/>
          <w:sz w:val="24"/>
          <w:szCs w:val="24"/>
        </w:rPr>
        <w:t>YS/T 990.8-2014 冰铜化学分析方法 第8部分:</w:t>
      </w:r>
      <w:r>
        <w:rPr>
          <w:rFonts w:hint="eastAsia" w:ascii="宋体" w:hAnsi="宋体" w:cs="宋体"/>
          <w:spacing w:val="0"/>
          <w:sz w:val="24"/>
          <w:szCs w:val="24"/>
        </w:rPr>
        <w:t xml:space="preserve">砷量的测定 氢化物发生—原子荧光光谱法、二乙基二代氨基甲酸银分光光度法和溴酸钾滴定法  </w:t>
      </w:r>
    </w:p>
    <w:p>
      <w:pPr>
        <w:keepNext w:val="0"/>
        <w:keepLines w:val="0"/>
        <w:pageBreakBefore w:val="0"/>
        <w:widowControl w:val="0"/>
        <w:kinsoku/>
        <w:wordWrap/>
        <w:overflowPunct/>
        <w:topLinePunct w:val="0"/>
        <w:autoSpaceDE/>
        <w:autoSpaceDN/>
        <w:bidi w:val="0"/>
        <w:adjustRightInd/>
        <w:snapToGrid/>
        <w:spacing w:line="480" w:lineRule="exact"/>
        <w:ind w:firstLine="228" w:firstLineChars="100"/>
        <w:textAlignment w:val="auto"/>
        <w:rPr>
          <w:rFonts w:hint="eastAsia" w:ascii="宋体" w:hAnsi="宋体" w:cs="宋体"/>
          <w:spacing w:val="-6"/>
          <w:sz w:val="24"/>
          <w:szCs w:val="24"/>
        </w:rPr>
      </w:pPr>
      <w:r>
        <w:rPr>
          <w:rFonts w:hint="eastAsia" w:ascii="宋体" w:hAnsi="宋体" w:cs="宋体"/>
          <w:spacing w:val="-6"/>
          <w:sz w:val="24"/>
          <w:szCs w:val="24"/>
        </w:rPr>
        <w:t xml:space="preserve">YS/T 990.9-2014 冰铜化学分析方法 第9部分:铁量的测定 重铬酸钾滴定法 </w:t>
      </w:r>
    </w:p>
    <w:p>
      <w:pPr>
        <w:keepNext w:val="0"/>
        <w:keepLines w:val="0"/>
        <w:pageBreakBefore w:val="0"/>
        <w:widowControl w:val="0"/>
        <w:kinsoku/>
        <w:wordWrap/>
        <w:overflowPunct/>
        <w:topLinePunct w:val="0"/>
        <w:autoSpaceDE/>
        <w:autoSpaceDN/>
        <w:bidi w:val="0"/>
        <w:adjustRightInd/>
        <w:snapToGrid/>
        <w:spacing w:line="480" w:lineRule="exact"/>
        <w:ind w:firstLine="228" w:firstLineChars="100"/>
        <w:textAlignment w:val="auto"/>
        <w:rPr>
          <w:rFonts w:hint="eastAsia" w:ascii="宋体" w:hAnsi="宋体" w:cs="宋体"/>
          <w:spacing w:val="-6"/>
          <w:sz w:val="24"/>
          <w:szCs w:val="24"/>
        </w:rPr>
      </w:pPr>
      <w:r>
        <w:rPr>
          <w:rFonts w:ascii="宋体" w:hAnsi="宋体" w:cs="宋体"/>
          <w:spacing w:val="-6"/>
          <w:sz w:val="24"/>
          <w:szCs w:val="24"/>
        </w:rPr>
        <w:t xml:space="preserve">YS/T 990.10-2014 </w:t>
      </w:r>
      <w:r>
        <w:rPr>
          <w:rFonts w:hint="eastAsia" w:ascii="宋体" w:hAnsi="宋体" w:cs="宋体"/>
          <w:spacing w:val="-6"/>
          <w:sz w:val="24"/>
          <w:szCs w:val="24"/>
        </w:rPr>
        <w:t>冰铜化学分析方法</w:t>
      </w:r>
      <w:r>
        <w:rPr>
          <w:rFonts w:ascii="宋体" w:hAnsi="宋体" w:cs="宋体"/>
          <w:spacing w:val="-6"/>
          <w:sz w:val="24"/>
          <w:szCs w:val="24"/>
        </w:rPr>
        <w:t xml:space="preserve"> </w:t>
      </w:r>
      <w:r>
        <w:rPr>
          <w:rFonts w:hint="eastAsia" w:ascii="宋体" w:hAnsi="宋体" w:cs="宋体"/>
          <w:spacing w:val="-6"/>
          <w:sz w:val="24"/>
          <w:szCs w:val="24"/>
        </w:rPr>
        <w:t>第</w:t>
      </w:r>
      <w:r>
        <w:rPr>
          <w:rFonts w:ascii="宋体" w:hAnsi="宋体" w:cs="宋体"/>
          <w:spacing w:val="-6"/>
          <w:sz w:val="24"/>
          <w:szCs w:val="24"/>
        </w:rPr>
        <w:t>10</w:t>
      </w:r>
      <w:r>
        <w:rPr>
          <w:rFonts w:hint="eastAsia" w:ascii="宋体" w:hAnsi="宋体" w:cs="宋体"/>
          <w:spacing w:val="-6"/>
          <w:sz w:val="24"/>
          <w:szCs w:val="24"/>
        </w:rPr>
        <w:t>部分</w:t>
      </w:r>
      <w:r>
        <w:rPr>
          <w:rFonts w:ascii="宋体" w:hAnsi="宋体" w:cs="宋体"/>
          <w:spacing w:val="-6"/>
          <w:sz w:val="24"/>
          <w:szCs w:val="24"/>
        </w:rPr>
        <w:t>:</w:t>
      </w:r>
      <w:r>
        <w:rPr>
          <w:rFonts w:hint="eastAsia" w:ascii="宋体" w:hAnsi="宋体" w:cs="宋体"/>
          <w:spacing w:val="-6"/>
          <w:sz w:val="24"/>
          <w:szCs w:val="24"/>
        </w:rPr>
        <w:t>二氧化硅量的测定</w:t>
      </w:r>
      <w:r>
        <w:rPr>
          <w:rFonts w:ascii="宋体" w:hAnsi="宋体" w:cs="宋体"/>
          <w:spacing w:val="-6"/>
          <w:sz w:val="24"/>
          <w:szCs w:val="24"/>
        </w:rPr>
        <w:t xml:space="preserve"> </w:t>
      </w:r>
      <w:r>
        <w:rPr>
          <w:rFonts w:hint="eastAsia" w:ascii="宋体" w:hAnsi="宋体" w:cs="宋体"/>
          <w:spacing w:val="-6"/>
          <w:sz w:val="24"/>
          <w:szCs w:val="24"/>
        </w:rPr>
        <w:t>硅钼蓝分光光度法和氟硅酸钾滴定法</w:t>
      </w:r>
      <w:r>
        <w:rPr>
          <w:rFonts w:ascii="宋体" w:hAnsi="宋体" w:cs="宋体"/>
          <w:spacing w:val="-6"/>
          <w:sz w:val="24"/>
          <w:szCs w:val="24"/>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228" w:firstLineChars="100"/>
        <w:textAlignment w:val="auto"/>
        <w:rPr>
          <w:rFonts w:hint="eastAsia" w:ascii="宋体" w:hAnsi="宋体" w:cs="宋体"/>
          <w:spacing w:val="-6"/>
          <w:sz w:val="24"/>
          <w:szCs w:val="24"/>
        </w:rPr>
      </w:pPr>
      <w:r>
        <w:rPr>
          <w:rFonts w:hint="eastAsia" w:ascii="宋体" w:hAnsi="宋体" w:cs="宋体"/>
          <w:spacing w:val="-6"/>
          <w:sz w:val="24"/>
          <w:szCs w:val="24"/>
        </w:rPr>
        <w:t xml:space="preserve">YS/T 990.11-2014 冰铜化学分析方法 第11部分:镍量的测定 原子吸收光谱法 </w:t>
      </w:r>
    </w:p>
    <w:p>
      <w:pPr>
        <w:keepNext w:val="0"/>
        <w:keepLines w:val="0"/>
        <w:pageBreakBefore w:val="0"/>
        <w:widowControl w:val="0"/>
        <w:kinsoku/>
        <w:wordWrap/>
        <w:overflowPunct/>
        <w:topLinePunct w:val="0"/>
        <w:autoSpaceDE/>
        <w:autoSpaceDN/>
        <w:bidi w:val="0"/>
        <w:adjustRightInd/>
        <w:snapToGrid/>
        <w:spacing w:line="480" w:lineRule="exact"/>
        <w:ind w:firstLine="228" w:firstLineChars="100"/>
        <w:textAlignment w:val="auto"/>
        <w:rPr>
          <w:rFonts w:hint="eastAsia" w:ascii="宋体" w:hAnsi="宋体" w:cs="宋体"/>
          <w:spacing w:val="-6"/>
          <w:sz w:val="24"/>
          <w:szCs w:val="24"/>
        </w:rPr>
      </w:pPr>
      <w:r>
        <w:rPr>
          <w:rFonts w:ascii="宋体" w:hAnsi="宋体" w:cs="宋体"/>
          <w:spacing w:val="-6"/>
          <w:sz w:val="24"/>
          <w:szCs w:val="24"/>
        </w:rPr>
        <w:t xml:space="preserve">YS/T 990.12-2014 </w:t>
      </w:r>
      <w:r>
        <w:rPr>
          <w:rFonts w:hint="eastAsia" w:ascii="宋体" w:hAnsi="宋体" w:cs="宋体"/>
          <w:spacing w:val="-6"/>
          <w:sz w:val="24"/>
          <w:szCs w:val="24"/>
        </w:rPr>
        <w:t>冰铜化学分析方法</w:t>
      </w:r>
      <w:r>
        <w:rPr>
          <w:rFonts w:ascii="宋体" w:hAnsi="宋体" w:cs="宋体"/>
          <w:spacing w:val="-6"/>
          <w:sz w:val="24"/>
          <w:szCs w:val="24"/>
        </w:rPr>
        <w:t xml:space="preserve"> </w:t>
      </w:r>
      <w:r>
        <w:rPr>
          <w:rFonts w:hint="eastAsia" w:ascii="宋体" w:hAnsi="宋体" w:cs="宋体"/>
          <w:spacing w:val="-6"/>
          <w:sz w:val="24"/>
          <w:szCs w:val="24"/>
        </w:rPr>
        <w:t>第</w:t>
      </w:r>
      <w:r>
        <w:rPr>
          <w:rFonts w:ascii="宋体" w:hAnsi="宋体" w:cs="宋体"/>
          <w:spacing w:val="-6"/>
          <w:sz w:val="24"/>
          <w:szCs w:val="24"/>
        </w:rPr>
        <w:t>12</w:t>
      </w:r>
      <w:r>
        <w:rPr>
          <w:rFonts w:hint="eastAsia" w:ascii="宋体" w:hAnsi="宋体" w:cs="宋体"/>
          <w:spacing w:val="-6"/>
          <w:sz w:val="24"/>
          <w:szCs w:val="24"/>
        </w:rPr>
        <w:t>部分</w:t>
      </w:r>
      <w:r>
        <w:rPr>
          <w:rFonts w:ascii="宋体" w:hAnsi="宋体" w:cs="宋体"/>
          <w:spacing w:val="-6"/>
          <w:sz w:val="24"/>
          <w:szCs w:val="24"/>
        </w:rPr>
        <w:t>:</w:t>
      </w:r>
      <w:r>
        <w:rPr>
          <w:rFonts w:hint="eastAsia" w:ascii="宋体" w:hAnsi="宋体" w:cs="宋体"/>
          <w:spacing w:val="-6"/>
          <w:sz w:val="24"/>
          <w:szCs w:val="24"/>
        </w:rPr>
        <w:t>三氧化二铝量的测定</w:t>
      </w:r>
      <w:r>
        <w:rPr>
          <w:rFonts w:ascii="宋体" w:hAnsi="宋体" w:cs="宋体"/>
          <w:spacing w:val="-6"/>
          <w:sz w:val="24"/>
          <w:szCs w:val="24"/>
        </w:rPr>
        <w:t xml:space="preserve"> </w:t>
      </w:r>
      <w:r>
        <w:rPr>
          <w:rFonts w:hint="eastAsia" w:ascii="宋体" w:hAnsi="宋体" w:cs="宋体"/>
          <w:spacing w:val="-6"/>
          <w:sz w:val="24"/>
          <w:szCs w:val="24"/>
        </w:rPr>
        <w:t>铬天青</w:t>
      </w:r>
      <w:r>
        <w:rPr>
          <w:rFonts w:ascii="宋体" w:hAnsi="宋体" w:cs="宋体"/>
          <w:spacing w:val="-6"/>
          <w:sz w:val="24"/>
          <w:szCs w:val="24"/>
        </w:rPr>
        <w:t>S</w:t>
      </w:r>
      <w:r>
        <w:rPr>
          <w:rFonts w:hint="eastAsia" w:ascii="宋体" w:hAnsi="宋体" w:cs="宋体"/>
          <w:spacing w:val="-6"/>
          <w:sz w:val="24"/>
          <w:szCs w:val="24"/>
        </w:rPr>
        <w:t>分光光度法</w:t>
      </w:r>
    </w:p>
    <w:p>
      <w:pPr>
        <w:keepNext w:val="0"/>
        <w:keepLines w:val="0"/>
        <w:pageBreakBefore w:val="0"/>
        <w:widowControl w:val="0"/>
        <w:kinsoku/>
        <w:wordWrap/>
        <w:overflowPunct/>
        <w:topLinePunct w:val="0"/>
        <w:autoSpaceDE/>
        <w:autoSpaceDN/>
        <w:bidi w:val="0"/>
        <w:adjustRightInd/>
        <w:snapToGrid/>
        <w:spacing w:line="480" w:lineRule="exact"/>
        <w:ind w:firstLine="228" w:firstLineChars="100"/>
        <w:textAlignment w:val="auto"/>
        <w:rPr>
          <w:rFonts w:hint="eastAsia" w:ascii="宋体" w:hAnsi="宋体" w:cs="宋体"/>
          <w:spacing w:val="-6"/>
          <w:sz w:val="24"/>
          <w:szCs w:val="24"/>
        </w:rPr>
      </w:pPr>
      <w:r>
        <w:rPr>
          <w:rFonts w:hint="eastAsia" w:ascii="宋体" w:hAnsi="宋体" w:cs="宋体"/>
          <w:spacing w:val="-6"/>
          <w:sz w:val="24"/>
          <w:szCs w:val="24"/>
        </w:rPr>
        <w:t xml:space="preserve">YS/T 990.13-2014 冰铜化学分析方法 第13部分:氧化镁量的测定 原子吸收光谱法 </w:t>
      </w:r>
    </w:p>
    <w:p>
      <w:pPr>
        <w:keepNext w:val="0"/>
        <w:keepLines w:val="0"/>
        <w:pageBreakBefore w:val="0"/>
        <w:widowControl w:val="0"/>
        <w:kinsoku/>
        <w:wordWrap/>
        <w:overflowPunct/>
        <w:topLinePunct w:val="0"/>
        <w:autoSpaceDE/>
        <w:autoSpaceDN/>
        <w:bidi w:val="0"/>
        <w:adjustRightInd/>
        <w:snapToGrid/>
        <w:spacing w:line="480" w:lineRule="exact"/>
        <w:ind w:firstLine="228" w:firstLineChars="100"/>
        <w:textAlignment w:val="auto"/>
        <w:rPr>
          <w:rFonts w:hint="eastAsia" w:ascii="宋体" w:hAnsi="宋体" w:cs="宋体"/>
          <w:spacing w:val="-6"/>
          <w:sz w:val="24"/>
          <w:szCs w:val="24"/>
        </w:rPr>
      </w:pPr>
      <w:r>
        <w:rPr>
          <w:rFonts w:hint="eastAsia" w:ascii="宋体" w:hAnsi="宋体" w:cs="宋体"/>
          <w:spacing w:val="-6"/>
          <w:sz w:val="24"/>
          <w:szCs w:val="24"/>
        </w:rPr>
        <w:t>YS/T 990.14-2014 冰铜化学分析方法 第14部分:</w:t>
      </w:r>
      <w:r>
        <w:rPr>
          <w:rFonts w:hint="eastAsia" w:ascii="宋体" w:hAnsi="宋体" w:cs="宋体"/>
          <w:spacing w:val="-6"/>
          <w:sz w:val="24"/>
          <w:szCs w:val="24"/>
          <w:lang w:eastAsia="zh-CN"/>
        </w:rPr>
        <w:t>Zn</w:t>
      </w:r>
      <w:r>
        <w:rPr>
          <w:rFonts w:hint="eastAsia" w:ascii="宋体" w:hAnsi="宋体" w:cs="宋体"/>
          <w:spacing w:val="-6"/>
          <w:sz w:val="24"/>
          <w:szCs w:val="24"/>
        </w:rPr>
        <w:t xml:space="preserve">量的测定 原子吸收光谱法和Na2EDTA滴定法 </w:t>
      </w:r>
    </w:p>
    <w:p>
      <w:pPr>
        <w:keepNext w:val="0"/>
        <w:keepLines w:val="0"/>
        <w:pageBreakBefore w:val="0"/>
        <w:widowControl w:val="0"/>
        <w:kinsoku/>
        <w:wordWrap/>
        <w:overflowPunct/>
        <w:topLinePunct w:val="0"/>
        <w:autoSpaceDE/>
        <w:autoSpaceDN/>
        <w:bidi w:val="0"/>
        <w:adjustRightInd/>
        <w:snapToGrid/>
        <w:spacing w:line="480" w:lineRule="exact"/>
        <w:ind w:firstLine="228" w:firstLineChars="100"/>
        <w:textAlignment w:val="auto"/>
        <w:rPr>
          <w:rFonts w:hint="eastAsia" w:ascii="宋体" w:hAnsi="宋体" w:cs="宋体"/>
          <w:spacing w:val="-6"/>
          <w:sz w:val="24"/>
          <w:szCs w:val="24"/>
        </w:rPr>
      </w:pPr>
      <w:r>
        <w:rPr>
          <w:rFonts w:hint="eastAsia" w:ascii="宋体" w:hAnsi="宋体" w:cs="宋体"/>
          <w:spacing w:val="-6"/>
          <w:sz w:val="24"/>
          <w:szCs w:val="24"/>
        </w:rPr>
        <w:t xml:space="preserve">YS/T 990.15-2014 冰铜化学分析方法 第15部分:锑量的测定 原子吸收光谱法 </w:t>
      </w:r>
    </w:p>
    <w:p>
      <w:pPr>
        <w:keepNext w:val="0"/>
        <w:keepLines w:val="0"/>
        <w:pageBreakBefore w:val="0"/>
        <w:widowControl w:val="0"/>
        <w:kinsoku/>
        <w:wordWrap/>
        <w:overflowPunct/>
        <w:topLinePunct w:val="0"/>
        <w:autoSpaceDE/>
        <w:autoSpaceDN/>
        <w:bidi w:val="0"/>
        <w:adjustRightInd/>
        <w:snapToGrid/>
        <w:spacing w:line="480" w:lineRule="exact"/>
        <w:ind w:firstLine="228" w:firstLineChars="100"/>
        <w:textAlignment w:val="auto"/>
        <w:rPr>
          <w:rFonts w:hint="eastAsia" w:ascii="宋体" w:hAnsi="宋体" w:cs="宋体"/>
          <w:spacing w:val="-6"/>
          <w:sz w:val="24"/>
          <w:szCs w:val="24"/>
        </w:rPr>
      </w:pPr>
      <w:r>
        <w:rPr>
          <w:rFonts w:hint="eastAsia" w:ascii="宋体" w:hAnsi="宋体" w:cs="宋体"/>
          <w:spacing w:val="-6"/>
          <w:sz w:val="24"/>
          <w:szCs w:val="24"/>
        </w:rPr>
        <w:t xml:space="preserve">YS/T 990.16-2014 冰铜化学分析方法 第16部分:汞量的测定 冷原子吸收光谱法  </w:t>
      </w:r>
    </w:p>
    <w:p>
      <w:pPr>
        <w:keepNext w:val="0"/>
        <w:keepLines w:val="0"/>
        <w:pageBreakBefore w:val="0"/>
        <w:widowControl w:val="0"/>
        <w:kinsoku/>
        <w:wordWrap/>
        <w:overflowPunct/>
        <w:topLinePunct w:val="0"/>
        <w:autoSpaceDE/>
        <w:autoSpaceDN/>
        <w:bidi w:val="0"/>
        <w:adjustRightInd/>
        <w:snapToGrid/>
        <w:spacing w:line="480" w:lineRule="exact"/>
        <w:ind w:firstLine="228" w:firstLineChars="100"/>
        <w:textAlignment w:val="auto"/>
        <w:rPr>
          <w:rFonts w:hint="eastAsia" w:ascii="宋体" w:hAnsi="宋体" w:cs="宋体"/>
          <w:spacing w:val="-6"/>
          <w:sz w:val="24"/>
          <w:szCs w:val="24"/>
        </w:rPr>
      </w:pPr>
      <w:r>
        <w:rPr>
          <w:rFonts w:hint="eastAsia" w:ascii="宋体" w:hAnsi="宋体" w:cs="宋体"/>
          <w:spacing w:val="-6"/>
          <w:sz w:val="24"/>
          <w:szCs w:val="24"/>
        </w:rPr>
        <w:t xml:space="preserve">YS/T 990.17-2015 冰铜化学分析方法 第17部分：钴量的测定 原子吸收光谱法 </w:t>
      </w:r>
    </w:p>
    <w:p>
      <w:pPr>
        <w:keepNext w:val="0"/>
        <w:keepLines w:val="0"/>
        <w:pageBreakBefore w:val="0"/>
        <w:widowControl w:val="0"/>
        <w:kinsoku/>
        <w:wordWrap/>
        <w:overflowPunct/>
        <w:topLinePunct w:val="0"/>
        <w:autoSpaceDE/>
        <w:autoSpaceDN/>
        <w:bidi w:val="0"/>
        <w:adjustRightInd/>
        <w:snapToGrid/>
        <w:spacing w:line="480" w:lineRule="exact"/>
        <w:ind w:firstLine="228" w:firstLineChars="100"/>
        <w:textAlignment w:val="auto"/>
        <w:rPr>
          <w:rFonts w:hint="eastAsia" w:ascii="宋体" w:hAnsi="宋体" w:cs="宋体"/>
          <w:b/>
          <w:bCs/>
          <w:spacing w:val="-6"/>
          <w:sz w:val="24"/>
          <w:szCs w:val="24"/>
        </w:rPr>
      </w:pPr>
      <w:r>
        <w:rPr>
          <w:rFonts w:hint="eastAsia" w:ascii="宋体" w:hAnsi="宋体" w:cs="宋体"/>
          <w:spacing w:val="-6"/>
          <w:sz w:val="24"/>
          <w:szCs w:val="24"/>
        </w:rPr>
        <w:t>YS/T 990.18-2014 冰铜化学分析方法 第18部分:铅、</w:t>
      </w:r>
      <w:r>
        <w:rPr>
          <w:rFonts w:hint="eastAsia" w:ascii="宋体" w:hAnsi="宋体" w:cs="宋体"/>
          <w:spacing w:val="-6"/>
          <w:sz w:val="24"/>
          <w:szCs w:val="24"/>
          <w:lang w:eastAsia="zh-CN"/>
        </w:rPr>
        <w:t>锌</w:t>
      </w:r>
      <w:r>
        <w:rPr>
          <w:rFonts w:hint="eastAsia" w:ascii="宋体" w:hAnsi="宋体" w:cs="宋体"/>
          <w:spacing w:val="-6"/>
          <w:sz w:val="24"/>
          <w:szCs w:val="24"/>
        </w:rPr>
        <w:t>、镍、砷、铋、锑、钙、镁、镉、钴量的测定 电感耦合等离子体原子发射光谱法</w:t>
      </w:r>
    </w:p>
    <w:p>
      <w:pPr>
        <w:keepNext w:val="0"/>
        <w:keepLines w:val="0"/>
        <w:pageBreakBefore w:val="0"/>
        <w:widowControl w:val="0"/>
        <w:kinsoku/>
        <w:wordWrap/>
        <w:overflowPunct/>
        <w:topLinePunct w:val="0"/>
        <w:autoSpaceDE/>
        <w:autoSpaceDN/>
        <w:bidi w:val="0"/>
        <w:adjustRightInd/>
        <w:snapToGrid/>
        <w:spacing w:before="157" w:beforeLines="50" w:line="500" w:lineRule="exact"/>
        <w:textAlignment w:val="auto"/>
        <w:outlineLvl w:val="1"/>
        <w:rPr>
          <w:rFonts w:hint="eastAsia" w:ascii="宋体" w:hAnsi="宋体" w:eastAsia="宋体" w:cs="宋体"/>
          <w:b/>
          <w:bCs/>
          <w:sz w:val="24"/>
          <w:szCs w:val="24"/>
        </w:rPr>
      </w:pPr>
      <w:bookmarkStart w:id="17" w:name="_Toc7168"/>
      <w:r>
        <w:rPr>
          <w:rFonts w:hint="eastAsia" w:ascii="宋体" w:hAnsi="宋体" w:eastAsia="宋体" w:cs="宋体"/>
          <w:b/>
          <w:bCs/>
          <w:sz w:val="24"/>
          <w:szCs w:val="24"/>
          <w:lang w:val="en-US" w:eastAsia="zh-CN"/>
        </w:rPr>
        <w:t>3</w:t>
      </w:r>
      <w:r>
        <w:rPr>
          <w:rFonts w:hint="eastAsia" w:ascii="宋体" w:hAnsi="宋体" w:eastAsia="宋体" w:cs="宋体"/>
          <w:b/>
          <w:bCs/>
          <w:sz w:val="24"/>
          <w:szCs w:val="24"/>
        </w:rPr>
        <w:t>.3主要技术内容及确定依据和实验验证情况分析</w:t>
      </w:r>
      <w:bookmarkEnd w:id="17"/>
    </w:p>
    <w:p>
      <w:pPr>
        <w:keepNext w:val="0"/>
        <w:keepLines w:val="0"/>
        <w:pageBreakBefore w:val="0"/>
        <w:widowControl w:val="0"/>
        <w:kinsoku/>
        <w:wordWrap/>
        <w:overflowPunct/>
        <w:topLinePunct w:val="0"/>
        <w:autoSpaceDE/>
        <w:autoSpaceDN/>
        <w:bidi w:val="0"/>
        <w:adjustRightInd/>
        <w:snapToGrid/>
        <w:spacing w:before="157" w:beforeLines="50" w:line="500" w:lineRule="exact"/>
        <w:textAlignment w:val="auto"/>
        <w:outlineLvl w:val="2"/>
        <w:rPr>
          <w:rFonts w:hint="eastAsia" w:ascii="宋体" w:hAnsi="宋体" w:eastAsia="宋体" w:cs="宋体"/>
          <w:b/>
          <w:bCs/>
          <w:sz w:val="24"/>
          <w:szCs w:val="24"/>
        </w:rPr>
      </w:pPr>
      <w:bookmarkStart w:id="18" w:name="_Toc22639"/>
      <w:r>
        <w:rPr>
          <w:rFonts w:hint="eastAsia" w:ascii="宋体" w:hAnsi="宋体" w:eastAsia="宋体" w:cs="宋体"/>
          <w:b/>
          <w:bCs/>
          <w:sz w:val="24"/>
          <w:szCs w:val="24"/>
          <w:lang w:val="en-US" w:eastAsia="zh-CN"/>
        </w:rPr>
        <w:t>3.3.1</w:t>
      </w:r>
      <w:r>
        <w:rPr>
          <w:rFonts w:hint="eastAsia" w:ascii="宋体" w:hAnsi="宋体" w:eastAsia="宋体" w:cs="宋体"/>
          <w:b/>
          <w:bCs/>
          <w:sz w:val="24"/>
          <w:szCs w:val="24"/>
        </w:rPr>
        <w:t>产品分类化学成分</w:t>
      </w:r>
      <w:bookmarkEnd w:id="18"/>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标准编制组通过调研，收集整理了来自</w:t>
      </w:r>
      <w:r>
        <w:rPr>
          <w:rFonts w:hint="eastAsia" w:hAnsi="黑体" w:cs="黑体"/>
          <w:color w:val="auto"/>
          <w:sz w:val="24"/>
          <w:szCs w:val="24"/>
          <w:lang w:val="en-US" w:eastAsia="zh-CN"/>
        </w:rPr>
        <w:t>山东恒邦冶炼股份有限公司、北方铜业股份有限公司、云南铜业股份有限公司西南铜业分公司、铜陵有色金属集团控股有限公司</w:t>
      </w:r>
      <w:r>
        <w:rPr>
          <w:rFonts w:hint="eastAsia" w:ascii="宋体" w:hAnsi="宋体" w:eastAsia="宋体" w:cs="宋体"/>
          <w:sz w:val="24"/>
          <w:szCs w:val="24"/>
          <w:lang w:val="en-US" w:eastAsia="zh-CN"/>
        </w:rPr>
        <w:t>等4家有代表性企业在2017年-2021年之间冰铜的主品位Cu含量数据，具体见表1</w:t>
      </w:r>
    </w:p>
    <w:p>
      <w:pPr>
        <w:pStyle w:val="2"/>
        <w:rPr>
          <w:rFonts w:hint="eastAsia"/>
        </w:rPr>
      </w:pPr>
    </w:p>
    <w:p>
      <w:pPr>
        <w:spacing w:line="500" w:lineRule="exact"/>
        <w:ind w:firstLine="211" w:firstLineChars="100"/>
        <w:jc w:val="center"/>
        <w:rPr>
          <w:rFonts w:hint="eastAsia" w:ascii="宋体" w:hAnsi="宋体" w:cs="宋体"/>
          <w:szCs w:val="21"/>
        </w:rPr>
      </w:pPr>
      <w:r>
        <w:rPr>
          <w:rFonts w:hint="eastAsia" w:ascii="宋体" w:hAnsi="宋体" w:cs="宋体"/>
          <w:b/>
          <w:bCs/>
          <w:szCs w:val="21"/>
        </w:rPr>
        <w:t>表1“</w:t>
      </w:r>
      <w:r>
        <w:rPr>
          <w:rFonts w:hint="eastAsia" w:ascii="宋体" w:hAnsi="宋体" w:cs="宋体"/>
          <w:b/>
          <w:bCs/>
          <w:szCs w:val="21"/>
          <w:lang w:eastAsia="zh-CN"/>
        </w:rPr>
        <w:t>部分企业近三年</w:t>
      </w:r>
      <w:r>
        <w:rPr>
          <w:rFonts w:hint="eastAsia" w:ascii="宋体" w:hAnsi="宋体" w:cs="宋体"/>
          <w:b/>
          <w:bCs/>
          <w:szCs w:val="21"/>
        </w:rPr>
        <w:t>冰铜的</w:t>
      </w:r>
      <w:r>
        <w:rPr>
          <w:rFonts w:hint="eastAsia" w:ascii="宋体" w:hAnsi="宋体" w:cs="宋体"/>
          <w:b/>
          <w:bCs/>
          <w:szCs w:val="21"/>
          <w:lang w:eastAsia="zh-CN"/>
        </w:rPr>
        <w:t>铜</w:t>
      </w:r>
      <w:r>
        <w:rPr>
          <w:rFonts w:hint="eastAsia" w:ascii="宋体" w:hAnsi="宋体" w:cs="宋体"/>
          <w:b/>
          <w:bCs/>
          <w:szCs w:val="21"/>
        </w:rPr>
        <w:t>含量</w:t>
      </w:r>
      <w:r>
        <w:rPr>
          <w:rFonts w:hint="eastAsia" w:ascii="宋体" w:hAnsi="宋体" w:cs="宋体"/>
          <w:b/>
          <w:bCs/>
          <w:szCs w:val="21"/>
          <w:lang w:eastAsia="zh-CN"/>
        </w:rPr>
        <w:t>统计</w:t>
      </w:r>
      <w:r>
        <w:rPr>
          <w:rFonts w:hint="eastAsia" w:ascii="宋体" w:hAnsi="宋体" w:cs="宋体"/>
          <w:b/>
          <w:bCs/>
          <w:szCs w:val="21"/>
        </w:rPr>
        <w:t>表</w:t>
      </w:r>
      <w:r>
        <w:rPr>
          <w:rFonts w:hint="eastAsia" w:ascii="宋体" w:hAnsi="宋体" w:cs="宋体"/>
          <w:szCs w:val="21"/>
        </w:rPr>
        <w:t>”</w:t>
      </w:r>
    </w:p>
    <w:tbl>
      <w:tblPr>
        <w:tblStyle w:val="12"/>
        <w:tblpPr w:leftFromText="180" w:rightFromText="180" w:vertAnchor="text" w:horzAnchor="page" w:tblpX="2295" w:tblpY="211"/>
        <w:tblOverlap w:val="never"/>
        <w:tblW w:w="7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0"/>
        <w:gridCol w:w="3895"/>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410" w:type="dxa"/>
            <w:noWrap w:val="0"/>
            <w:vAlign w:val="center"/>
          </w:tcPr>
          <w:p>
            <w:pPr>
              <w:jc w:val="center"/>
              <w:rPr>
                <w:rFonts w:hint="eastAsia" w:ascii="宋体" w:hAnsi="宋体"/>
                <w:b w:val="0"/>
                <w:bCs w:val="0"/>
                <w:szCs w:val="21"/>
              </w:rPr>
            </w:pPr>
            <w:r>
              <w:rPr>
                <w:rFonts w:hint="eastAsia" w:ascii="宋体" w:hAnsi="宋体"/>
                <w:b w:val="0"/>
                <w:bCs w:val="0"/>
                <w:szCs w:val="21"/>
              </w:rPr>
              <w:t>序号</w:t>
            </w:r>
          </w:p>
        </w:tc>
        <w:tc>
          <w:tcPr>
            <w:tcW w:w="3895" w:type="dxa"/>
            <w:noWrap w:val="0"/>
            <w:vAlign w:val="center"/>
          </w:tcPr>
          <w:p>
            <w:pPr>
              <w:jc w:val="center"/>
              <w:rPr>
                <w:rFonts w:hint="eastAsia" w:ascii="宋体" w:hAnsi="宋体"/>
                <w:b w:val="0"/>
                <w:bCs w:val="0"/>
                <w:szCs w:val="21"/>
              </w:rPr>
            </w:pPr>
            <w:r>
              <w:rPr>
                <w:rFonts w:hint="eastAsia" w:ascii="宋体" w:hAnsi="宋体"/>
                <w:b w:val="0"/>
                <w:bCs w:val="0"/>
                <w:szCs w:val="21"/>
              </w:rPr>
              <w:t>厂家名称</w:t>
            </w:r>
          </w:p>
        </w:tc>
        <w:tc>
          <w:tcPr>
            <w:tcW w:w="2025" w:type="dxa"/>
            <w:noWrap w:val="0"/>
            <w:vAlign w:val="center"/>
          </w:tcPr>
          <w:p>
            <w:pPr>
              <w:jc w:val="center"/>
              <w:rPr>
                <w:rFonts w:hint="eastAsia" w:ascii="宋体" w:hAnsi="宋体"/>
                <w:b w:val="0"/>
                <w:bCs w:val="0"/>
                <w:szCs w:val="21"/>
              </w:rPr>
            </w:pPr>
            <w:r>
              <w:rPr>
                <w:rFonts w:hint="eastAsia" w:ascii="宋体" w:hAnsi="宋体"/>
                <w:b w:val="0"/>
                <w:bCs w:val="0"/>
                <w:szCs w:val="21"/>
              </w:rPr>
              <w:t>铜品位（%）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410" w:type="dxa"/>
            <w:noWrap w:val="0"/>
            <w:vAlign w:val="center"/>
          </w:tcPr>
          <w:p>
            <w:pPr>
              <w:spacing w:line="240" w:lineRule="exact"/>
              <w:jc w:val="center"/>
              <w:rPr>
                <w:rFonts w:hint="eastAsia" w:ascii="宋体" w:hAnsi="宋体"/>
                <w:szCs w:val="21"/>
              </w:rPr>
            </w:pPr>
            <w:r>
              <w:rPr>
                <w:rFonts w:hint="eastAsia" w:ascii="宋体" w:hAnsi="宋体"/>
                <w:szCs w:val="21"/>
              </w:rPr>
              <w:t>1</w:t>
            </w:r>
          </w:p>
        </w:tc>
        <w:tc>
          <w:tcPr>
            <w:tcW w:w="3895" w:type="dxa"/>
            <w:noWrap w:val="0"/>
            <w:vAlign w:val="center"/>
          </w:tcPr>
          <w:p>
            <w:pPr>
              <w:spacing w:line="240" w:lineRule="exact"/>
              <w:jc w:val="center"/>
              <w:rPr>
                <w:rFonts w:hint="eastAsia" w:ascii="宋体" w:hAnsi="宋体" w:cs="宋体"/>
                <w:szCs w:val="21"/>
              </w:rPr>
            </w:pPr>
            <w:r>
              <w:rPr>
                <w:rFonts w:hint="eastAsia" w:ascii="宋体" w:hAnsi="宋体"/>
                <w:szCs w:val="21"/>
              </w:rPr>
              <w:t>大冶有色金属有限责任公司</w:t>
            </w:r>
          </w:p>
        </w:tc>
        <w:tc>
          <w:tcPr>
            <w:tcW w:w="2025" w:type="dxa"/>
            <w:noWrap w:val="0"/>
            <w:vAlign w:val="center"/>
          </w:tcPr>
          <w:p>
            <w:pPr>
              <w:spacing w:line="240" w:lineRule="exact"/>
              <w:jc w:val="center"/>
              <w:rPr>
                <w:rFonts w:ascii="宋体" w:hAnsi="宋体"/>
                <w:szCs w:val="21"/>
              </w:rPr>
            </w:pPr>
            <w:r>
              <w:rPr>
                <w:rFonts w:hint="eastAsia" w:ascii="宋体" w:hAnsi="宋体"/>
                <w:szCs w:val="21"/>
                <w:lang w:val="en-US" w:eastAsia="zh-CN"/>
              </w:rPr>
              <w:t>45.87</w:t>
            </w:r>
            <w:r>
              <w:rPr>
                <w:rFonts w:hint="eastAsia" w:ascii="宋体" w:hAnsi="宋体"/>
                <w:szCs w:val="21"/>
              </w:rPr>
              <w:t>～74.83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410" w:type="dxa"/>
            <w:noWrap w:val="0"/>
            <w:vAlign w:val="center"/>
          </w:tcPr>
          <w:p>
            <w:pPr>
              <w:spacing w:line="240" w:lineRule="exact"/>
              <w:jc w:val="center"/>
              <w:rPr>
                <w:rFonts w:hint="eastAsia" w:ascii="宋体" w:hAnsi="宋体"/>
                <w:szCs w:val="21"/>
              </w:rPr>
            </w:pPr>
            <w:r>
              <w:rPr>
                <w:rFonts w:hint="eastAsia" w:ascii="宋体" w:hAnsi="宋体"/>
                <w:szCs w:val="21"/>
              </w:rPr>
              <w:t>2</w:t>
            </w:r>
          </w:p>
        </w:tc>
        <w:tc>
          <w:tcPr>
            <w:tcW w:w="3895" w:type="dxa"/>
            <w:noWrap w:val="0"/>
            <w:vAlign w:val="center"/>
          </w:tcPr>
          <w:p>
            <w:pPr>
              <w:spacing w:line="240" w:lineRule="exact"/>
              <w:jc w:val="center"/>
              <w:rPr>
                <w:rFonts w:hint="eastAsia" w:ascii="宋体" w:hAnsi="宋体"/>
                <w:szCs w:val="21"/>
              </w:rPr>
            </w:pPr>
            <w:r>
              <w:rPr>
                <w:rFonts w:hint="eastAsia" w:ascii="宋体" w:hAnsi="宋体" w:cs="宋体"/>
              </w:rPr>
              <w:t>山东</w:t>
            </w:r>
            <w:r>
              <w:rPr>
                <w:rFonts w:ascii="宋体" w:hAnsi="宋体" w:cs="宋体"/>
              </w:rPr>
              <w:t>恒邦冶炼股份有限公司</w:t>
            </w:r>
          </w:p>
        </w:tc>
        <w:tc>
          <w:tcPr>
            <w:tcW w:w="2025" w:type="dxa"/>
            <w:noWrap w:val="0"/>
            <w:vAlign w:val="center"/>
          </w:tcPr>
          <w:p>
            <w:pPr>
              <w:spacing w:line="240" w:lineRule="exact"/>
              <w:jc w:val="center"/>
              <w:rPr>
                <w:rFonts w:ascii="宋体" w:hAnsi="宋体"/>
                <w:szCs w:val="21"/>
              </w:rPr>
            </w:pPr>
            <w:r>
              <w:rPr>
                <w:rFonts w:hint="eastAsia" w:ascii="宋体" w:hAnsi="宋体"/>
                <w:szCs w:val="21"/>
              </w:rPr>
              <w:t>35～75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410" w:type="dxa"/>
            <w:noWrap w:val="0"/>
            <w:vAlign w:val="center"/>
          </w:tcPr>
          <w:p>
            <w:pPr>
              <w:spacing w:line="240" w:lineRule="exact"/>
              <w:jc w:val="center"/>
              <w:rPr>
                <w:rFonts w:hint="eastAsia" w:ascii="宋体" w:hAnsi="宋体" w:eastAsia="宋体"/>
                <w:szCs w:val="21"/>
                <w:lang w:eastAsia="zh-CN"/>
              </w:rPr>
            </w:pPr>
            <w:r>
              <w:rPr>
                <w:rFonts w:hint="eastAsia" w:ascii="宋体" w:hAnsi="宋体"/>
                <w:szCs w:val="21"/>
                <w:lang w:val="en-US" w:eastAsia="zh-CN"/>
              </w:rPr>
              <w:t>3</w:t>
            </w:r>
          </w:p>
        </w:tc>
        <w:tc>
          <w:tcPr>
            <w:tcW w:w="3895" w:type="dxa"/>
            <w:noWrap w:val="0"/>
            <w:vAlign w:val="center"/>
          </w:tcPr>
          <w:p>
            <w:pPr>
              <w:spacing w:line="240" w:lineRule="exact"/>
              <w:jc w:val="center"/>
              <w:rPr>
                <w:rFonts w:hint="eastAsia" w:ascii="宋体" w:hAnsi="宋体"/>
                <w:szCs w:val="21"/>
              </w:rPr>
            </w:pPr>
            <w:r>
              <w:rPr>
                <w:rFonts w:hint="eastAsia" w:ascii="宋体" w:hAnsi="宋体" w:cs="宋体"/>
              </w:rPr>
              <w:t>北方铜业股份有限公司</w:t>
            </w:r>
          </w:p>
        </w:tc>
        <w:tc>
          <w:tcPr>
            <w:tcW w:w="2025" w:type="dxa"/>
            <w:noWrap w:val="0"/>
            <w:vAlign w:val="center"/>
          </w:tcPr>
          <w:p>
            <w:pPr>
              <w:spacing w:line="240" w:lineRule="exact"/>
              <w:jc w:val="center"/>
              <w:rPr>
                <w:rFonts w:hint="eastAsia" w:ascii="宋体" w:hAnsi="宋体" w:cs="宋体"/>
                <w:szCs w:val="21"/>
              </w:rPr>
            </w:pPr>
            <w:r>
              <w:rPr>
                <w:rFonts w:hint="eastAsia" w:ascii="宋体" w:hAnsi="宋体" w:cs="宋体"/>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410" w:type="dxa"/>
            <w:noWrap w:val="0"/>
            <w:vAlign w:val="center"/>
          </w:tcPr>
          <w:p>
            <w:pPr>
              <w:spacing w:line="240" w:lineRule="exact"/>
              <w:jc w:val="center"/>
              <w:rPr>
                <w:rFonts w:hint="eastAsia" w:ascii="宋体" w:hAnsi="宋体" w:eastAsia="宋体"/>
                <w:szCs w:val="21"/>
                <w:lang w:eastAsia="zh-CN"/>
              </w:rPr>
            </w:pPr>
            <w:r>
              <w:rPr>
                <w:rFonts w:hint="eastAsia" w:ascii="宋体" w:hAnsi="宋体"/>
                <w:szCs w:val="21"/>
                <w:lang w:val="en-US" w:eastAsia="zh-CN"/>
              </w:rPr>
              <w:t>4</w:t>
            </w:r>
          </w:p>
        </w:tc>
        <w:tc>
          <w:tcPr>
            <w:tcW w:w="3895" w:type="dxa"/>
            <w:noWrap w:val="0"/>
            <w:vAlign w:val="center"/>
          </w:tcPr>
          <w:p>
            <w:pPr>
              <w:spacing w:line="240" w:lineRule="exact"/>
              <w:jc w:val="center"/>
              <w:rPr>
                <w:rFonts w:hint="eastAsia" w:ascii="宋体" w:hAnsi="宋体"/>
                <w:szCs w:val="21"/>
              </w:rPr>
            </w:pPr>
            <w:r>
              <w:rPr>
                <w:rFonts w:hint="eastAsia" w:ascii="宋体" w:hAnsi="宋体"/>
                <w:szCs w:val="21"/>
              </w:rPr>
              <w:t>云南铜业股份有限公司西南铜业分公司</w:t>
            </w:r>
          </w:p>
        </w:tc>
        <w:tc>
          <w:tcPr>
            <w:tcW w:w="2025" w:type="dxa"/>
            <w:noWrap w:val="0"/>
            <w:vAlign w:val="center"/>
          </w:tcPr>
          <w:p>
            <w:pPr>
              <w:spacing w:line="240" w:lineRule="exact"/>
              <w:jc w:val="center"/>
              <w:rPr>
                <w:rFonts w:hint="eastAsia" w:ascii="宋体" w:hAnsi="宋体"/>
                <w:szCs w:val="21"/>
              </w:rPr>
            </w:pPr>
            <w:r>
              <w:rPr>
                <w:rFonts w:hint="eastAsia" w:ascii="宋体" w:hAnsi="宋体" w:cs="宋体"/>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410" w:type="dxa"/>
            <w:noWrap w:val="0"/>
            <w:vAlign w:val="center"/>
          </w:tcPr>
          <w:p>
            <w:pPr>
              <w:spacing w:line="240" w:lineRule="exact"/>
              <w:jc w:val="center"/>
              <w:rPr>
                <w:rFonts w:hint="eastAsia" w:ascii="宋体" w:hAnsi="宋体" w:eastAsia="宋体"/>
                <w:szCs w:val="21"/>
                <w:lang w:eastAsia="zh-CN"/>
              </w:rPr>
            </w:pPr>
            <w:r>
              <w:rPr>
                <w:rFonts w:hint="eastAsia" w:ascii="宋体" w:hAnsi="宋体"/>
                <w:szCs w:val="21"/>
                <w:lang w:val="en-US" w:eastAsia="zh-CN"/>
              </w:rPr>
              <w:t>5</w:t>
            </w:r>
          </w:p>
        </w:tc>
        <w:tc>
          <w:tcPr>
            <w:tcW w:w="3895" w:type="dxa"/>
            <w:noWrap w:val="0"/>
            <w:vAlign w:val="center"/>
          </w:tcPr>
          <w:p>
            <w:pPr>
              <w:spacing w:line="240" w:lineRule="exact"/>
              <w:jc w:val="center"/>
              <w:rPr>
                <w:rFonts w:hint="eastAsia" w:ascii="宋体" w:hAnsi="宋体"/>
                <w:szCs w:val="21"/>
              </w:rPr>
            </w:pPr>
            <w:r>
              <w:rPr>
                <w:rFonts w:hint="eastAsia" w:ascii="宋体" w:hAnsi="宋体" w:cs="宋体"/>
              </w:rPr>
              <w:t>铜陵有色金属集团股份有限公司</w:t>
            </w:r>
          </w:p>
        </w:tc>
        <w:tc>
          <w:tcPr>
            <w:tcW w:w="2025" w:type="dxa"/>
            <w:noWrap w:val="0"/>
            <w:vAlign w:val="center"/>
          </w:tcPr>
          <w:p>
            <w:pPr>
              <w:spacing w:line="240" w:lineRule="exact"/>
              <w:jc w:val="center"/>
              <w:rPr>
                <w:rFonts w:hint="eastAsia" w:ascii="宋体" w:hAnsi="宋体"/>
                <w:szCs w:val="21"/>
              </w:rPr>
            </w:pPr>
            <w:r>
              <w:rPr>
                <w:rFonts w:hint="eastAsia" w:ascii="宋体" w:hAnsi="宋体" w:cs="宋体"/>
                <w:szCs w:val="21"/>
              </w:rPr>
              <w:t>﹥50</w:t>
            </w:r>
          </w:p>
        </w:tc>
      </w:tr>
    </w:tbl>
    <w:p>
      <w:pPr>
        <w:pStyle w:val="2"/>
        <w:rPr>
          <w:rFonts w:hint="eastAsia" w:ascii="宋体" w:hAnsi="宋体"/>
          <w:szCs w:val="21"/>
        </w:rPr>
      </w:pPr>
    </w:p>
    <w:p>
      <w:pPr>
        <w:pStyle w:val="2"/>
        <w:rPr>
          <w:rFonts w:hint="eastAsia" w:ascii="宋体" w:hAnsi="宋体"/>
          <w:szCs w:val="21"/>
        </w:rPr>
      </w:pPr>
    </w:p>
    <w:p>
      <w:pPr>
        <w:pStyle w:val="2"/>
        <w:rPr>
          <w:rFonts w:hint="eastAsia" w:ascii="宋体" w:hAnsi="宋体"/>
          <w:szCs w:val="21"/>
        </w:rPr>
      </w:pPr>
    </w:p>
    <w:p>
      <w:pPr>
        <w:pStyle w:val="2"/>
        <w:rPr>
          <w:rFonts w:hint="eastAsia" w:ascii="宋体" w:hAnsi="宋体"/>
          <w:szCs w:val="21"/>
        </w:rPr>
      </w:pPr>
    </w:p>
    <w:p>
      <w:pPr>
        <w:pStyle w:val="2"/>
        <w:rPr>
          <w:rFonts w:hint="eastAsia" w:ascii="宋体" w:hAnsi="宋体"/>
          <w:szCs w:val="21"/>
        </w:rPr>
      </w:pPr>
    </w:p>
    <w:p>
      <w:pPr>
        <w:keepNext w:val="0"/>
        <w:keepLines w:val="0"/>
        <w:pageBreakBefore w:val="0"/>
        <w:widowControl w:val="0"/>
        <w:kinsoku/>
        <w:wordWrap/>
        <w:overflowPunct/>
        <w:topLinePunct w:val="0"/>
        <w:autoSpaceDE/>
        <w:autoSpaceDN/>
        <w:bidi w:val="0"/>
        <w:adjustRightInd/>
        <w:snapToGrid/>
        <w:spacing w:line="500" w:lineRule="exact"/>
        <w:ind w:firstLine="211" w:firstLineChars="100"/>
        <w:jc w:val="center"/>
        <w:textAlignment w:val="auto"/>
        <w:rPr>
          <w:rFonts w:hint="eastAsia" w:ascii="宋体" w:hAnsi="宋体" w:cs="宋体"/>
          <w:b/>
          <w:bCs/>
          <w:szCs w:val="21"/>
        </w:rPr>
      </w:pPr>
    </w:p>
    <w:p>
      <w:pPr>
        <w:keepNext w:val="0"/>
        <w:keepLines w:val="0"/>
        <w:pageBreakBefore w:val="0"/>
        <w:widowControl w:val="0"/>
        <w:kinsoku/>
        <w:wordWrap/>
        <w:overflowPunct/>
        <w:topLinePunct w:val="0"/>
        <w:autoSpaceDE/>
        <w:autoSpaceDN/>
        <w:bidi w:val="0"/>
        <w:adjustRightInd/>
        <w:snapToGrid/>
        <w:spacing w:line="500" w:lineRule="exact"/>
        <w:ind w:firstLine="211" w:firstLineChars="100"/>
        <w:jc w:val="center"/>
        <w:textAlignment w:val="auto"/>
        <w:rPr>
          <w:rFonts w:hint="eastAsia" w:ascii="宋体" w:hAnsi="宋体" w:cs="宋体"/>
          <w:b/>
          <w:bCs/>
          <w:szCs w:val="21"/>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通过</w:t>
      </w:r>
      <w:r>
        <w:rPr>
          <w:rFonts w:hint="eastAsia" w:ascii="宋体" w:hAnsi="宋体" w:eastAsia="宋体" w:cs="宋体"/>
          <w:sz w:val="24"/>
          <w:szCs w:val="24"/>
        </w:rPr>
        <w:t>分析</w:t>
      </w:r>
      <w:r>
        <w:rPr>
          <w:rFonts w:hint="eastAsia" w:ascii="宋体" w:hAnsi="宋体" w:eastAsia="宋体" w:cs="宋体"/>
          <w:sz w:val="24"/>
          <w:szCs w:val="24"/>
          <w:lang w:eastAsia="zh-CN"/>
        </w:rPr>
        <w:t>，</w:t>
      </w:r>
      <w:r>
        <w:rPr>
          <w:rFonts w:hint="eastAsia" w:ascii="宋体" w:hAnsi="宋体" w:eastAsia="宋体" w:cs="宋体"/>
          <w:sz w:val="24"/>
          <w:szCs w:val="24"/>
        </w:rPr>
        <w:t>我国</w:t>
      </w:r>
      <w:r>
        <w:rPr>
          <w:rFonts w:hint="eastAsia" w:ascii="宋体" w:hAnsi="宋体" w:eastAsia="宋体" w:cs="宋体"/>
          <w:sz w:val="24"/>
          <w:szCs w:val="24"/>
          <w:lang w:eastAsia="zh-CN"/>
        </w:rPr>
        <w:t>各</w:t>
      </w:r>
      <w:r>
        <w:rPr>
          <w:rFonts w:hint="eastAsia" w:ascii="宋体" w:hAnsi="宋体" w:eastAsia="宋体" w:cs="宋体"/>
          <w:sz w:val="24"/>
          <w:szCs w:val="24"/>
        </w:rPr>
        <w:t>铜冶炼生产企业</w:t>
      </w:r>
      <w:r>
        <w:rPr>
          <w:rFonts w:hint="eastAsia" w:ascii="宋体" w:hAnsi="宋体" w:eastAsia="宋体" w:cs="宋体"/>
          <w:sz w:val="24"/>
          <w:szCs w:val="24"/>
          <w:lang w:eastAsia="zh-CN"/>
        </w:rPr>
        <w:t>冰铜</w:t>
      </w:r>
      <w:r>
        <w:rPr>
          <w:rFonts w:hint="eastAsia" w:ascii="宋体" w:hAnsi="宋体" w:eastAsia="宋体" w:cs="宋体"/>
          <w:sz w:val="24"/>
          <w:szCs w:val="24"/>
        </w:rPr>
        <w:t>含</w:t>
      </w:r>
      <w:r>
        <w:rPr>
          <w:rFonts w:hint="eastAsia" w:ascii="宋体" w:hAnsi="宋体" w:eastAsia="宋体" w:cs="宋体"/>
          <w:sz w:val="24"/>
          <w:szCs w:val="24"/>
          <w:lang w:eastAsia="zh-CN"/>
        </w:rPr>
        <w:t>铜</w:t>
      </w:r>
      <w:r>
        <w:rPr>
          <w:rFonts w:hint="eastAsia" w:ascii="宋体" w:hAnsi="宋体" w:eastAsia="宋体" w:cs="宋体"/>
          <w:sz w:val="24"/>
          <w:szCs w:val="24"/>
        </w:rPr>
        <w:t>量基本可控制在</w:t>
      </w:r>
      <w:r>
        <w:rPr>
          <w:rFonts w:hint="eastAsia" w:ascii="宋体" w:hAnsi="宋体" w:eastAsia="宋体" w:cs="宋体"/>
          <w:sz w:val="24"/>
          <w:szCs w:val="24"/>
          <w:lang w:val="en-US" w:eastAsia="zh-CN"/>
        </w:rPr>
        <w:t>35</w:t>
      </w:r>
      <w:r>
        <w:rPr>
          <w:rFonts w:hint="eastAsia" w:ascii="宋体" w:hAnsi="宋体" w:eastAsia="宋体" w:cs="宋体"/>
          <w:sz w:val="24"/>
          <w:szCs w:val="24"/>
        </w:rPr>
        <w:t>%以上</w:t>
      </w:r>
      <w:r>
        <w:rPr>
          <w:rFonts w:hint="eastAsia" w:ascii="宋体" w:hAnsi="宋体" w:eastAsia="宋体" w:cs="宋体"/>
          <w:sz w:val="24"/>
          <w:szCs w:val="24"/>
          <w:lang w:eastAsia="zh-CN"/>
        </w:rPr>
        <w:t>，</w:t>
      </w:r>
      <w:r>
        <w:rPr>
          <w:rFonts w:hint="eastAsia" w:ascii="宋体" w:hAnsi="宋体" w:eastAsia="宋体" w:cs="宋体"/>
          <w:sz w:val="24"/>
          <w:szCs w:val="24"/>
        </w:rPr>
        <w:t>当含</w:t>
      </w:r>
      <w:r>
        <w:rPr>
          <w:rFonts w:hint="eastAsia" w:ascii="宋体" w:hAnsi="宋体" w:eastAsia="宋体" w:cs="宋体"/>
          <w:sz w:val="24"/>
          <w:szCs w:val="24"/>
          <w:lang w:eastAsia="zh-CN"/>
        </w:rPr>
        <w:t>铜</w:t>
      </w:r>
      <w:r>
        <w:rPr>
          <w:rFonts w:hint="eastAsia" w:ascii="宋体" w:hAnsi="宋体" w:eastAsia="宋体" w:cs="宋体"/>
          <w:sz w:val="24"/>
          <w:szCs w:val="24"/>
        </w:rPr>
        <w:t>量低时，单位运输</w:t>
      </w:r>
      <w:r>
        <w:rPr>
          <w:rFonts w:hint="eastAsia" w:ascii="宋体" w:hAnsi="宋体" w:eastAsia="宋体" w:cs="宋体"/>
          <w:sz w:val="24"/>
          <w:szCs w:val="24"/>
          <w:lang w:eastAsia="zh-CN"/>
        </w:rPr>
        <w:t>、</w:t>
      </w:r>
      <w:r>
        <w:rPr>
          <w:rFonts w:hint="eastAsia" w:ascii="宋体" w:hAnsi="宋体" w:eastAsia="宋体" w:cs="宋体"/>
          <w:sz w:val="24"/>
          <w:szCs w:val="24"/>
        </w:rPr>
        <w:t>杂质处理成本升高</w:t>
      </w:r>
      <w:r>
        <w:rPr>
          <w:rFonts w:hint="eastAsia" w:ascii="宋体" w:hAnsi="宋体" w:eastAsia="宋体" w:cs="宋体"/>
          <w:sz w:val="24"/>
          <w:szCs w:val="24"/>
          <w:lang w:eastAsia="zh-CN"/>
        </w:rPr>
        <w:t>。从商务部门了解到，现在冰铜贸易上一般以含</w:t>
      </w:r>
      <w:r>
        <w:rPr>
          <w:rFonts w:hint="eastAsia" w:ascii="宋体" w:hAnsi="宋体" w:eastAsia="宋体" w:cs="宋体"/>
          <w:sz w:val="24"/>
          <w:szCs w:val="24"/>
        </w:rPr>
        <w:t>铜品位45%为基准</w:t>
      </w:r>
      <w:r>
        <w:rPr>
          <w:rFonts w:hint="eastAsia" w:ascii="宋体" w:hAnsi="宋体" w:eastAsia="宋体" w:cs="宋体"/>
          <w:sz w:val="24"/>
          <w:szCs w:val="24"/>
          <w:lang w:eastAsia="zh-CN"/>
        </w:rPr>
        <w:t>计算品级差价，超过65%时，不再加价。</w:t>
      </w:r>
      <w:r>
        <w:rPr>
          <w:rFonts w:hint="eastAsia" w:ascii="宋体" w:hAnsi="宋体" w:eastAsia="宋体" w:cs="宋体"/>
          <w:sz w:val="24"/>
          <w:szCs w:val="24"/>
          <w:lang w:val="en-US" w:eastAsia="zh-CN"/>
        </w:rPr>
        <w:t>综上分析</w:t>
      </w:r>
      <w:r>
        <w:rPr>
          <w:rFonts w:hint="eastAsia" w:ascii="宋体" w:hAnsi="宋体" w:eastAsia="宋体" w:cs="宋体"/>
          <w:sz w:val="24"/>
          <w:szCs w:val="24"/>
        </w:rPr>
        <w:t>，对</w:t>
      </w:r>
      <w:r>
        <w:rPr>
          <w:rFonts w:hint="eastAsia" w:ascii="宋体" w:hAnsi="宋体" w:eastAsia="宋体" w:cs="宋体"/>
          <w:sz w:val="24"/>
          <w:szCs w:val="24"/>
          <w:lang w:val="en-US" w:eastAsia="zh-CN"/>
        </w:rPr>
        <w:t>冰</w:t>
      </w:r>
      <w:r>
        <w:rPr>
          <w:rFonts w:hint="eastAsia" w:ascii="宋体" w:hAnsi="宋体" w:eastAsia="宋体" w:cs="宋体"/>
          <w:sz w:val="24"/>
          <w:szCs w:val="24"/>
        </w:rPr>
        <w:t>铜分</w:t>
      </w:r>
      <w:r>
        <w:rPr>
          <w:rFonts w:hint="eastAsia" w:ascii="宋体" w:hAnsi="宋体" w:eastAsia="宋体" w:cs="宋体"/>
          <w:sz w:val="24"/>
          <w:szCs w:val="24"/>
          <w:lang w:val="en-US" w:eastAsia="zh-CN"/>
        </w:rPr>
        <w:t>类</w:t>
      </w:r>
      <w:r>
        <w:rPr>
          <w:rFonts w:hint="eastAsia" w:ascii="宋体" w:hAnsi="宋体" w:eastAsia="宋体" w:cs="宋体"/>
          <w:sz w:val="24"/>
          <w:szCs w:val="24"/>
        </w:rPr>
        <w:t>三</w:t>
      </w:r>
      <w:r>
        <w:rPr>
          <w:rFonts w:hint="eastAsia" w:ascii="宋体" w:hAnsi="宋体" w:eastAsia="宋体" w:cs="宋体"/>
          <w:sz w:val="24"/>
          <w:szCs w:val="24"/>
          <w:lang w:val="en-US" w:eastAsia="zh-CN"/>
        </w:rPr>
        <w:t>个品级，对冰铜中</w:t>
      </w:r>
      <w:r>
        <w:rPr>
          <w:rFonts w:hint="eastAsia" w:ascii="宋体" w:hAnsi="宋体" w:eastAsia="宋体" w:cs="宋体"/>
          <w:sz w:val="24"/>
          <w:szCs w:val="24"/>
        </w:rPr>
        <w:t>铜品位的范围重新作出规定</w:t>
      </w:r>
      <w:r>
        <w:rPr>
          <w:rFonts w:hint="eastAsia" w:ascii="宋体" w:hAnsi="宋体" w:eastAsia="宋体" w:cs="宋体"/>
          <w:sz w:val="24"/>
          <w:szCs w:val="24"/>
          <w:lang w:eastAsia="zh-CN"/>
        </w:rPr>
        <w:t>，</w:t>
      </w:r>
      <w:r>
        <w:rPr>
          <w:rFonts w:hint="eastAsia" w:ascii="宋体" w:hAnsi="宋体" w:eastAsia="宋体" w:cs="宋体"/>
          <w:sz w:val="24"/>
          <w:szCs w:val="24"/>
        </w:rPr>
        <w:t>冰铜一级品</w:t>
      </w:r>
      <w:r>
        <w:rPr>
          <w:rFonts w:hint="eastAsia" w:ascii="宋体" w:hAnsi="宋体" w:eastAsia="宋体" w:cs="宋体"/>
          <w:sz w:val="24"/>
          <w:szCs w:val="24"/>
          <w:lang w:val="en-US" w:eastAsia="zh-CN"/>
        </w:rPr>
        <w:t>Cu</w:t>
      </w:r>
      <w:r>
        <w:rPr>
          <w:rFonts w:hint="eastAsia" w:ascii="宋体" w:hAnsi="宋体" w:eastAsia="宋体" w:cs="宋体"/>
          <w:sz w:val="24"/>
          <w:szCs w:val="24"/>
          <w:lang w:eastAsia="zh-CN"/>
        </w:rPr>
        <w:t>含量不小于</w:t>
      </w:r>
      <w:r>
        <w:rPr>
          <w:rFonts w:hint="eastAsia" w:ascii="宋体" w:hAnsi="宋体" w:eastAsia="宋体" w:cs="宋体"/>
          <w:sz w:val="24"/>
          <w:szCs w:val="24"/>
          <w:lang w:val="en-US" w:eastAsia="zh-CN"/>
        </w:rPr>
        <w:t>65%</w:t>
      </w:r>
      <w:r>
        <w:rPr>
          <w:rFonts w:hint="eastAsia" w:ascii="宋体" w:hAnsi="宋体" w:eastAsia="宋体" w:cs="宋体"/>
          <w:sz w:val="24"/>
          <w:szCs w:val="24"/>
        </w:rPr>
        <w:t>、</w:t>
      </w:r>
      <w:r>
        <w:rPr>
          <w:rFonts w:hint="eastAsia" w:ascii="宋体" w:hAnsi="宋体" w:eastAsia="宋体" w:cs="宋体"/>
          <w:sz w:val="24"/>
          <w:szCs w:val="24"/>
          <w:lang w:eastAsia="zh-CN"/>
        </w:rPr>
        <w:t>二</w:t>
      </w:r>
      <w:r>
        <w:rPr>
          <w:rFonts w:hint="eastAsia" w:ascii="宋体" w:hAnsi="宋体" w:eastAsia="宋体" w:cs="宋体"/>
          <w:sz w:val="24"/>
          <w:szCs w:val="24"/>
        </w:rPr>
        <w:t>级品</w:t>
      </w:r>
      <w:r>
        <w:rPr>
          <w:rFonts w:hint="eastAsia" w:ascii="宋体" w:hAnsi="宋体" w:eastAsia="宋体" w:cs="宋体"/>
          <w:sz w:val="24"/>
          <w:szCs w:val="24"/>
          <w:lang w:val="en-US" w:eastAsia="zh-CN"/>
        </w:rPr>
        <w:t>Cu</w:t>
      </w:r>
      <w:r>
        <w:rPr>
          <w:rFonts w:hint="eastAsia" w:ascii="宋体" w:hAnsi="宋体" w:eastAsia="宋体" w:cs="宋体"/>
          <w:sz w:val="24"/>
          <w:szCs w:val="24"/>
          <w:lang w:eastAsia="zh-CN"/>
        </w:rPr>
        <w:t>含量不小于</w:t>
      </w:r>
      <w:r>
        <w:rPr>
          <w:rFonts w:hint="eastAsia" w:ascii="宋体" w:hAnsi="宋体" w:eastAsia="宋体" w:cs="宋体"/>
          <w:sz w:val="24"/>
          <w:szCs w:val="24"/>
          <w:lang w:val="en-US" w:eastAsia="zh-CN"/>
        </w:rPr>
        <w:t>45%</w:t>
      </w:r>
      <w:r>
        <w:rPr>
          <w:rFonts w:hint="eastAsia" w:ascii="宋体" w:hAnsi="宋体" w:eastAsia="宋体" w:cs="宋体"/>
          <w:sz w:val="24"/>
          <w:szCs w:val="24"/>
        </w:rPr>
        <w:t>、</w:t>
      </w:r>
      <w:r>
        <w:rPr>
          <w:rFonts w:hint="eastAsia" w:ascii="宋体" w:hAnsi="宋体" w:eastAsia="宋体" w:cs="宋体"/>
          <w:sz w:val="24"/>
          <w:szCs w:val="24"/>
          <w:lang w:eastAsia="zh-CN"/>
        </w:rPr>
        <w:t>三</w:t>
      </w:r>
      <w:r>
        <w:rPr>
          <w:rFonts w:hint="eastAsia" w:ascii="宋体" w:hAnsi="宋体" w:eastAsia="宋体" w:cs="宋体"/>
          <w:sz w:val="24"/>
          <w:szCs w:val="24"/>
        </w:rPr>
        <w:t>级品</w:t>
      </w:r>
      <w:r>
        <w:rPr>
          <w:rFonts w:hint="eastAsia" w:ascii="宋体" w:hAnsi="宋体" w:eastAsia="宋体" w:cs="宋体"/>
          <w:sz w:val="24"/>
          <w:szCs w:val="24"/>
          <w:lang w:val="en-US" w:eastAsia="zh-CN"/>
        </w:rPr>
        <w:t>Cu</w:t>
      </w:r>
      <w:r>
        <w:rPr>
          <w:rFonts w:hint="eastAsia" w:ascii="宋体" w:hAnsi="宋体" w:eastAsia="宋体" w:cs="宋体"/>
          <w:sz w:val="24"/>
          <w:szCs w:val="24"/>
          <w:lang w:eastAsia="zh-CN"/>
        </w:rPr>
        <w:t>含量不小于</w:t>
      </w:r>
      <w:r>
        <w:rPr>
          <w:rFonts w:hint="eastAsia" w:ascii="宋体" w:hAnsi="宋体" w:eastAsia="宋体" w:cs="宋体"/>
          <w:sz w:val="24"/>
          <w:szCs w:val="24"/>
          <w:lang w:val="en-US" w:eastAsia="zh-CN"/>
        </w:rPr>
        <w:t>35%</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500" w:lineRule="exact"/>
        <w:ind w:firstLine="211" w:firstLineChars="100"/>
        <w:jc w:val="center"/>
        <w:textAlignment w:val="auto"/>
        <w:rPr>
          <w:rFonts w:hint="eastAsia" w:ascii="宋体" w:hAnsi="宋体" w:cs="宋体"/>
          <w:szCs w:val="21"/>
        </w:rPr>
      </w:pPr>
      <w:r>
        <w:rPr>
          <w:rFonts w:hint="eastAsia" w:ascii="宋体" w:hAnsi="宋体" w:cs="宋体"/>
          <w:b/>
          <w:bCs/>
          <w:szCs w:val="21"/>
        </w:rPr>
        <w:t>表</w:t>
      </w:r>
      <w:r>
        <w:rPr>
          <w:rFonts w:hint="eastAsia" w:ascii="宋体" w:hAnsi="宋体" w:cs="宋体"/>
          <w:b/>
          <w:bCs/>
          <w:szCs w:val="21"/>
          <w:lang w:val="en-US" w:eastAsia="zh-CN"/>
        </w:rPr>
        <w:t>2</w:t>
      </w:r>
      <w:r>
        <w:rPr>
          <w:rFonts w:hint="eastAsia" w:ascii="宋体" w:hAnsi="宋体" w:cs="宋体"/>
          <w:b/>
          <w:bCs/>
          <w:szCs w:val="21"/>
        </w:rPr>
        <w:t>“</w:t>
      </w:r>
      <w:r>
        <w:rPr>
          <w:rFonts w:hint="eastAsia" w:ascii="宋体" w:hAnsi="宋体" w:cs="宋体"/>
          <w:b/>
          <w:bCs/>
          <w:szCs w:val="21"/>
          <w:lang w:eastAsia="zh-CN"/>
        </w:rPr>
        <w:t>修订前后比对</w:t>
      </w:r>
      <w:r>
        <w:rPr>
          <w:rFonts w:hint="eastAsia" w:ascii="宋体" w:hAnsi="宋体" w:cs="宋体"/>
          <w:b/>
          <w:bCs/>
          <w:szCs w:val="21"/>
        </w:rPr>
        <w:t>表</w:t>
      </w:r>
      <w:r>
        <w:rPr>
          <w:rFonts w:hint="eastAsia" w:ascii="宋体" w:hAnsi="宋体" w:cs="宋体"/>
          <w:szCs w:val="21"/>
        </w:rPr>
        <w:t>”</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3"/>
        <w:gridCol w:w="2864"/>
        <w:gridCol w:w="2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3095" w:type="dxa"/>
            <w:noWrap w:val="0"/>
            <w:vAlign w:val="center"/>
          </w:tcPr>
          <w:p>
            <w:pPr>
              <w:spacing w:line="360" w:lineRule="auto"/>
              <w:jc w:val="center"/>
              <w:rPr>
                <w:rFonts w:hint="eastAsia" w:ascii="宋体" w:hAnsi="宋体" w:eastAsia="宋体"/>
                <w:color w:val="auto"/>
                <w:sz w:val="21"/>
                <w:szCs w:val="21"/>
                <w:vertAlign w:val="baseline"/>
                <w:lang w:eastAsia="zh-CN"/>
              </w:rPr>
            </w:pPr>
            <w:r>
              <w:rPr>
                <w:rFonts w:hint="eastAsia" w:ascii="宋体" w:hAnsi="宋体"/>
                <w:color w:val="auto"/>
                <w:sz w:val="21"/>
                <w:szCs w:val="21"/>
                <w:vertAlign w:val="baseline"/>
                <w:lang w:eastAsia="zh-CN"/>
              </w:rPr>
              <w:t>品级</w:t>
            </w:r>
          </w:p>
        </w:tc>
        <w:tc>
          <w:tcPr>
            <w:tcW w:w="3095" w:type="dxa"/>
            <w:noWrap w:val="0"/>
            <w:vAlign w:val="center"/>
          </w:tcPr>
          <w:p>
            <w:pPr>
              <w:spacing w:line="360" w:lineRule="auto"/>
              <w:jc w:val="center"/>
              <w:rPr>
                <w:rFonts w:hint="eastAsia" w:ascii="宋体" w:hAnsi="宋体" w:eastAsia="宋体"/>
                <w:color w:val="auto"/>
                <w:sz w:val="21"/>
                <w:szCs w:val="21"/>
                <w:vertAlign w:val="baseline"/>
                <w:lang w:eastAsia="zh-CN"/>
              </w:rPr>
            </w:pPr>
            <w:r>
              <w:rPr>
                <w:rFonts w:hint="eastAsia" w:ascii="宋体" w:hAnsi="宋体"/>
                <w:color w:val="auto"/>
                <w:sz w:val="21"/>
                <w:szCs w:val="21"/>
                <w:vertAlign w:val="baseline"/>
                <w:lang w:val="en-US" w:eastAsia="zh-CN"/>
              </w:rPr>
              <w:t>2013年版</w:t>
            </w:r>
            <w:r>
              <w:rPr>
                <w:rFonts w:hint="eastAsia" w:ascii="宋体" w:hAnsi="宋体" w:cs="宋体"/>
                <w:szCs w:val="21"/>
                <w:lang w:val="en-US" w:eastAsia="zh-CN"/>
              </w:rPr>
              <w:t>Cu</w:t>
            </w:r>
            <w:r>
              <w:rPr>
                <w:rFonts w:hint="eastAsia" w:ascii="宋体" w:hAnsi="宋体"/>
                <w:color w:val="auto"/>
                <w:sz w:val="21"/>
                <w:szCs w:val="21"/>
                <w:vertAlign w:val="baseline"/>
                <w:lang w:eastAsia="zh-CN"/>
              </w:rPr>
              <w:t>含量（</w:t>
            </w:r>
            <w:r>
              <w:rPr>
                <w:rFonts w:hint="eastAsia" w:ascii="宋体" w:hAnsi="宋体"/>
                <w:color w:val="auto"/>
                <w:sz w:val="21"/>
                <w:szCs w:val="21"/>
                <w:vertAlign w:val="baseline"/>
                <w:lang w:val="en-US" w:eastAsia="zh-CN"/>
              </w:rPr>
              <w:t>%</w:t>
            </w:r>
            <w:r>
              <w:rPr>
                <w:rFonts w:hint="eastAsia" w:ascii="宋体" w:hAnsi="宋体"/>
                <w:color w:val="auto"/>
                <w:sz w:val="21"/>
                <w:szCs w:val="21"/>
                <w:vertAlign w:val="baseline"/>
                <w:lang w:eastAsia="zh-CN"/>
              </w:rPr>
              <w:t>）</w:t>
            </w:r>
          </w:p>
        </w:tc>
        <w:tc>
          <w:tcPr>
            <w:tcW w:w="3096" w:type="dxa"/>
            <w:noWrap w:val="0"/>
            <w:vAlign w:val="center"/>
          </w:tcPr>
          <w:p>
            <w:pPr>
              <w:spacing w:line="360" w:lineRule="auto"/>
              <w:jc w:val="center"/>
              <w:rPr>
                <w:rFonts w:hint="eastAsia" w:ascii="宋体" w:hAnsi="宋体" w:eastAsia="宋体"/>
                <w:color w:val="auto"/>
                <w:sz w:val="21"/>
                <w:szCs w:val="21"/>
                <w:vertAlign w:val="baseline"/>
                <w:lang w:eastAsia="zh-CN"/>
              </w:rPr>
            </w:pPr>
            <w:r>
              <w:rPr>
                <w:rFonts w:hint="eastAsia" w:ascii="宋体" w:hAnsi="宋体"/>
                <w:color w:val="auto"/>
                <w:sz w:val="21"/>
                <w:szCs w:val="21"/>
                <w:vertAlign w:val="baseline"/>
                <w:lang w:eastAsia="zh-CN"/>
              </w:rPr>
              <w:t>本文件</w:t>
            </w:r>
            <w:r>
              <w:rPr>
                <w:rFonts w:hint="eastAsia" w:ascii="宋体" w:hAnsi="宋体" w:cs="宋体"/>
                <w:szCs w:val="21"/>
                <w:lang w:val="en-US" w:eastAsia="zh-CN"/>
              </w:rPr>
              <w:t>Cu</w:t>
            </w:r>
            <w:r>
              <w:rPr>
                <w:rFonts w:hint="eastAsia" w:ascii="宋体" w:hAnsi="宋体"/>
                <w:color w:val="auto"/>
                <w:sz w:val="21"/>
                <w:szCs w:val="21"/>
                <w:vertAlign w:val="baseline"/>
                <w:lang w:eastAsia="zh-CN"/>
              </w:rPr>
              <w:t>含量（</w:t>
            </w:r>
            <w:r>
              <w:rPr>
                <w:rFonts w:hint="eastAsia" w:ascii="宋体" w:hAnsi="宋体"/>
                <w:color w:val="auto"/>
                <w:sz w:val="21"/>
                <w:szCs w:val="21"/>
                <w:vertAlign w:val="baseline"/>
                <w:lang w:val="en-US" w:eastAsia="zh-CN"/>
              </w:rPr>
              <w:t>%</w:t>
            </w:r>
            <w:r>
              <w:rPr>
                <w:rFonts w:hint="eastAsia" w:ascii="宋体" w:hAnsi="宋体"/>
                <w:color w:val="auto"/>
                <w:sz w:val="21"/>
                <w:szCs w:val="21"/>
                <w:vertAlign w:val="baseline"/>
                <w:lang w:eastAsia="zh-CN"/>
              </w:rPr>
              <w:t>）</w:t>
            </w:r>
            <w:r>
              <w:rPr>
                <w:rFonts w:hint="eastAsia" w:ascii="宋体" w:hAnsi="宋体"/>
                <w:color w:val="auto"/>
                <w:sz w:val="21"/>
                <w:szCs w:val="21"/>
                <w:lang w:eastAsia="zh-CN"/>
              </w:rPr>
              <w:t>不小于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3095" w:type="dxa"/>
            <w:noWrap w:val="0"/>
            <w:vAlign w:val="center"/>
          </w:tcPr>
          <w:p>
            <w:pPr>
              <w:spacing w:line="240" w:lineRule="exact"/>
              <w:jc w:val="center"/>
              <w:rPr>
                <w:rFonts w:hint="eastAsia" w:ascii="宋体" w:hAnsi="宋体"/>
                <w:color w:val="auto"/>
                <w:kern w:val="2"/>
                <w:sz w:val="21"/>
                <w:szCs w:val="21"/>
                <w:lang w:val="en-US" w:eastAsia="zh-CN" w:bidi="ar-SA"/>
              </w:rPr>
            </w:pPr>
            <w:r>
              <w:rPr>
                <w:rFonts w:hint="eastAsia" w:ascii="宋体" w:hAnsi="宋体"/>
                <w:color w:val="auto"/>
                <w:sz w:val="21"/>
                <w:szCs w:val="21"/>
              </w:rPr>
              <w:t>一级</w:t>
            </w:r>
          </w:p>
        </w:tc>
        <w:tc>
          <w:tcPr>
            <w:tcW w:w="3095" w:type="dxa"/>
            <w:noWrap w:val="0"/>
            <w:vAlign w:val="center"/>
          </w:tcPr>
          <w:p>
            <w:pPr>
              <w:spacing w:line="240" w:lineRule="exact"/>
              <w:jc w:val="center"/>
              <w:rPr>
                <w:rFonts w:hint="eastAsia" w:ascii="宋体" w:hAnsi="宋体"/>
                <w:color w:val="auto"/>
                <w:sz w:val="21"/>
                <w:szCs w:val="21"/>
                <w:vertAlign w:val="baseline"/>
              </w:rPr>
            </w:pPr>
            <w:r>
              <w:rPr>
                <w:rFonts w:hint="eastAsia" w:ascii="宋体" w:hAnsi="宋体" w:eastAsia="宋体" w:cs="宋体"/>
                <w:color w:val="auto"/>
                <w:sz w:val="21"/>
                <w:szCs w:val="21"/>
              </w:rPr>
              <w:t>﹥</w:t>
            </w:r>
            <w:r>
              <w:rPr>
                <w:rFonts w:hint="eastAsia" w:ascii="宋体" w:hAnsi="宋体"/>
                <w:color w:val="auto"/>
                <w:sz w:val="21"/>
                <w:szCs w:val="21"/>
              </w:rPr>
              <w:t>50</w:t>
            </w:r>
          </w:p>
        </w:tc>
        <w:tc>
          <w:tcPr>
            <w:tcW w:w="3096" w:type="dxa"/>
            <w:noWrap w:val="0"/>
            <w:vAlign w:val="center"/>
          </w:tcPr>
          <w:p>
            <w:pPr>
              <w:spacing w:line="240" w:lineRule="exact"/>
              <w:jc w:val="center"/>
              <w:rPr>
                <w:rFonts w:hint="eastAsia" w:ascii="宋体" w:hAnsi="宋体"/>
                <w:color w:val="auto"/>
                <w:sz w:val="21"/>
                <w:szCs w:val="21"/>
                <w:vertAlign w:val="baseline"/>
              </w:rPr>
            </w:pPr>
            <w:r>
              <w:rPr>
                <w:rFonts w:hint="eastAsia" w:ascii="宋体" w:hAnsi="宋体"/>
                <w:color w:val="auto"/>
                <w:sz w:val="21"/>
                <w:szCs w:val="21"/>
                <w:lang w:val="en-US" w:eastAsia="zh-CN"/>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3095" w:type="dxa"/>
            <w:noWrap w:val="0"/>
            <w:vAlign w:val="center"/>
          </w:tcPr>
          <w:p>
            <w:pPr>
              <w:spacing w:line="240" w:lineRule="exact"/>
              <w:jc w:val="center"/>
              <w:rPr>
                <w:rFonts w:hint="eastAsia" w:ascii="宋体" w:hAnsi="宋体"/>
                <w:color w:val="auto"/>
                <w:kern w:val="2"/>
                <w:sz w:val="21"/>
                <w:szCs w:val="21"/>
                <w:lang w:val="en-US" w:eastAsia="zh-CN" w:bidi="ar-SA"/>
              </w:rPr>
            </w:pPr>
            <w:r>
              <w:rPr>
                <w:rFonts w:hint="eastAsia" w:ascii="宋体" w:hAnsi="宋体"/>
                <w:color w:val="auto"/>
                <w:sz w:val="21"/>
                <w:szCs w:val="21"/>
              </w:rPr>
              <w:t>二级</w:t>
            </w:r>
          </w:p>
        </w:tc>
        <w:tc>
          <w:tcPr>
            <w:tcW w:w="3095" w:type="dxa"/>
            <w:noWrap w:val="0"/>
            <w:vAlign w:val="center"/>
          </w:tcPr>
          <w:p>
            <w:pPr>
              <w:spacing w:line="240" w:lineRule="exact"/>
              <w:jc w:val="center"/>
              <w:rPr>
                <w:rFonts w:hint="eastAsia" w:ascii="宋体" w:hAnsi="宋体"/>
                <w:color w:val="auto"/>
                <w:sz w:val="21"/>
                <w:szCs w:val="21"/>
                <w:vertAlign w:val="baseline"/>
              </w:rPr>
            </w:pPr>
            <w:r>
              <w:rPr>
                <w:rFonts w:hint="eastAsia" w:ascii="宋体" w:hAnsi="宋体"/>
                <w:color w:val="auto"/>
                <w:sz w:val="21"/>
                <w:szCs w:val="21"/>
              </w:rPr>
              <w:t>≥35～50</w:t>
            </w:r>
          </w:p>
        </w:tc>
        <w:tc>
          <w:tcPr>
            <w:tcW w:w="3096" w:type="dxa"/>
            <w:noWrap w:val="0"/>
            <w:vAlign w:val="center"/>
          </w:tcPr>
          <w:p>
            <w:pPr>
              <w:spacing w:line="240" w:lineRule="exact"/>
              <w:jc w:val="center"/>
              <w:rPr>
                <w:rFonts w:hint="eastAsia" w:ascii="宋体" w:hAnsi="宋体"/>
                <w:color w:val="auto"/>
                <w:sz w:val="21"/>
                <w:szCs w:val="21"/>
                <w:vertAlign w:val="baseline"/>
              </w:rPr>
            </w:pPr>
            <w:r>
              <w:rPr>
                <w:rFonts w:hint="eastAsia" w:ascii="宋体" w:hAnsi="宋体"/>
                <w:color w:val="auto"/>
                <w:sz w:val="21"/>
                <w:szCs w:val="21"/>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3095" w:type="dxa"/>
            <w:noWrap w:val="0"/>
            <w:vAlign w:val="center"/>
          </w:tcPr>
          <w:p>
            <w:pPr>
              <w:spacing w:line="240" w:lineRule="exact"/>
              <w:jc w:val="center"/>
              <w:rPr>
                <w:rFonts w:hint="eastAsia" w:ascii="宋体" w:hAnsi="宋体"/>
                <w:color w:val="auto"/>
                <w:kern w:val="2"/>
                <w:sz w:val="21"/>
                <w:szCs w:val="21"/>
                <w:lang w:val="en-US" w:eastAsia="zh-CN" w:bidi="ar-SA"/>
              </w:rPr>
            </w:pPr>
            <w:r>
              <w:rPr>
                <w:rFonts w:hint="eastAsia" w:ascii="宋体" w:hAnsi="宋体"/>
                <w:color w:val="auto"/>
                <w:sz w:val="21"/>
                <w:szCs w:val="21"/>
              </w:rPr>
              <w:t>三级</w:t>
            </w:r>
          </w:p>
        </w:tc>
        <w:tc>
          <w:tcPr>
            <w:tcW w:w="3095" w:type="dxa"/>
            <w:noWrap w:val="0"/>
            <w:vAlign w:val="center"/>
          </w:tcPr>
          <w:p>
            <w:pPr>
              <w:spacing w:line="240" w:lineRule="exact"/>
              <w:jc w:val="center"/>
              <w:rPr>
                <w:rFonts w:hint="eastAsia" w:ascii="宋体" w:hAnsi="宋体"/>
                <w:color w:val="auto"/>
                <w:sz w:val="21"/>
                <w:szCs w:val="21"/>
                <w:vertAlign w:val="baseline"/>
              </w:rPr>
            </w:pPr>
            <w:r>
              <w:rPr>
                <w:rFonts w:hint="eastAsia" w:ascii="宋体" w:hAnsi="宋体"/>
                <w:color w:val="auto"/>
                <w:sz w:val="21"/>
                <w:szCs w:val="21"/>
              </w:rPr>
              <w:t>≥15～35</w:t>
            </w:r>
          </w:p>
        </w:tc>
        <w:tc>
          <w:tcPr>
            <w:tcW w:w="3096" w:type="dxa"/>
            <w:noWrap w:val="0"/>
            <w:vAlign w:val="center"/>
          </w:tcPr>
          <w:p>
            <w:pPr>
              <w:spacing w:line="240" w:lineRule="exact"/>
              <w:jc w:val="center"/>
              <w:rPr>
                <w:rFonts w:hint="eastAsia" w:ascii="宋体" w:hAnsi="宋体"/>
                <w:color w:val="auto"/>
                <w:sz w:val="21"/>
                <w:szCs w:val="21"/>
                <w:vertAlign w:val="baseline"/>
              </w:rPr>
            </w:pPr>
            <w:r>
              <w:rPr>
                <w:rFonts w:hint="eastAsia" w:ascii="宋体" w:hAnsi="宋体"/>
                <w:color w:val="auto"/>
                <w:sz w:val="21"/>
                <w:szCs w:val="21"/>
                <w:lang w:val="en-US" w:eastAsia="zh-CN"/>
              </w:rPr>
              <w:t>35</w:t>
            </w:r>
          </w:p>
        </w:tc>
      </w:tr>
    </w:tbl>
    <w:p>
      <w:pPr>
        <w:keepNext w:val="0"/>
        <w:keepLines w:val="0"/>
        <w:pageBreakBefore w:val="0"/>
        <w:widowControl w:val="0"/>
        <w:kinsoku/>
        <w:wordWrap/>
        <w:overflowPunct/>
        <w:topLinePunct w:val="0"/>
        <w:autoSpaceDE/>
        <w:autoSpaceDN/>
        <w:bidi w:val="0"/>
        <w:adjustRightInd/>
        <w:snapToGrid/>
        <w:spacing w:line="500" w:lineRule="exact"/>
        <w:textAlignment w:val="auto"/>
        <w:outlineLvl w:val="2"/>
        <w:rPr>
          <w:rFonts w:hint="eastAsia" w:ascii="宋体" w:hAnsi="宋体" w:cs="宋体"/>
          <w:szCs w:val="21"/>
        </w:rPr>
      </w:pPr>
      <w:bookmarkStart w:id="19" w:name="_Toc20477"/>
      <w:r>
        <w:rPr>
          <w:rFonts w:hint="eastAsia" w:ascii="宋体" w:hAnsi="宋体" w:eastAsia="宋体" w:cs="宋体"/>
          <w:b/>
          <w:bCs/>
          <w:sz w:val="24"/>
          <w:szCs w:val="24"/>
          <w:lang w:val="en-US" w:eastAsia="zh-CN"/>
        </w:rPr>
        <w:t>3.3.2</w:t>
      </w:r>
      <w:r>
        <w:rPr>
          <w:rFonts w:hint="eastAsia" w:ascii="宋体" w:hAnsi="宋体" w:eastAsia="宋体" w:cs="宋体"/>
          <w:b/>
          <w:bCs/>
          <w:sz w:val="24"/>
          <w:szCs w:val="24"/>
        </w:rPr>
        <w:t>化学成分</w:t>
      </w:r>
      <w:bookmarkEnd w:id="19"/>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行业标准《</w:t>
      </w:r>
      <w:r>
        <w:rPr>
          <w:rFonts w:hint="eastAsia" w:ascii="宋体" w:hAnsi="宋体" w:eastAsia="宋体" w:cs="宋体"/>
          <w:sz w:val="24"/>
          <w:szCs w:val="24"/>
          <w:lang w:val="en-US" w:eastAsia="zh-CN"/>
        </w:rPr>
        <w:t>冰铜</w:t>
      </w:r>
      <w:r>
        <w:rPr>
          <w:rFonts w:hint="eastAsia" w:ascii="宋体" w:hAnsi="宋体" w:eastAsia="宋体" w:cs="宋体"/>
          <w:sz w:val="24"/>
          <w:szCs w:val="24"/>
        </w:rPr>
        <w:t>》（YS/T</w:t>
      </w:r>
      <w:r>
        <w:rPr>
          <w:rFonts w:hint="eastAsia" w:ascii="宋体" w:hAnsi="宋体" w:eastAsia="宋体" w:cs="宋体"/>
          <w:sz w:val="24"/>
          <w:szCs w:val="24"/>
          <w:lang w:val="en-US" w:eastAsia="zh-CN"/>
        </w:rPr>
        <w:t>921</w:t>
      </w:r>
      <w:r>
        <w:rPr>
          <w:rFonts w:hint="eastAsia" w:ascii="宋体" w:hAnsi="宋体" w:eastAsia="宋体" w:cs="宋体"/>
          <w:sz w:val="24"/>
          <w:szCs w:val="24"/>
        </w:rPr>
        <w:t>-20</w:t>
      </w:r>
      <w:r>
        <w:rPr>
          <w:rFonts w:hint="eastAsia" w:ascii="宋体" w:hAnsi="宋体" w:eastAsia="宋体" w:cs="宋体"/>
          <w:sz w:val="24"/>
          <w:szCs w:val="24"/>
          <w:lang w:val="en-US" w:eastAsia="zh-CN"/>
        </w:rPr>
        <w:t>13</w:t>
      </w:r>
      <w:r>
        <w:rPr>
          <w:rFonts w:hint="eastAsia" w:ascii="宋体" w:hAnsi="宋体" w:eastAsia="宋体" w:cs="宋体"/>
          <w:sz w:val="24"/>
          <w:szCs w:val="24"/>
        </w:rPr>
        <w:t>）中规定，除主元素Cu外，包括</w:t>
      </w:r>
      <w:r>
        <w:rPr>
          <w:rFonts w:hint="eastAsia" w:ascii="宋体" w:hAnsi="宋体"/>
          <w:color w:val="auto"/>
          <w:sz w:val="21"/>
          <w:szCs w:val="21"/>
          <w:lang w:val="en-US" w:eastAsia="zh-CN"/>
        </w:rPr>
        <w:t>Fe、S</w:t>
      </w:r>
      <w:r>
        <w:rPr>
          <w:rFonts w:hint="eastAsia" w:ascii="宋体" w:hAnsi="宋体" w:eastAsia="宋体" w:cs="宋体"/>
          <w:sz w:val="24"/>
          <w:szCs w:val="24"/>
          <w:lang w:val="en-US" w:eastAsia="zh-CN"/>
        </w:rPr>
        <w:t>及Pb、Zn、As、MgO、Sb、Bi</w:t>
      </w:r>
      <w:r>
        <w:rPr>
          <w:rFonts w:hint="eastAsia" w:ascii="宋体" w:hAnsi="宋体" w:eastAsia="宋体" w:cs="宋体"/>
          <w:sz w:val="24"/>
          <w:szCs w:val="24"/>
        </w:rPr>
        <w:t>等元素给出了限量规定，同时对Hg、F、Cd等杂质限量做出了符合GB20424-2006的要求。</w:t>
      </w:r>
      <w:r>
        <w:rPr>
          <w:rFonts w:hint="eastAsia" w:ascii="宋体" w:hAnsi="宋体" w:eastAsia="宋体" w:cs="宋体"/>
          <w:sz w:val="24"/>
          <w:szCs w:val="24"/>
          <w:lang w:val="en-US" w:eastAsia="zh-CN"/>
        </w:rPr>
        <w:t>标准编制组通过调研，收集整理了各单位意见，具体见表3</w:t>
      </w:r>
    </w:p>
    <w:p>
      <w:pPr>
        <w:keepNext w:val="0"/>
        <w:keepLines w:val="0"/>
        <w:pageBreakBefore w:val="0"/>
        <w:widowControl w:val="0"/>
        <w:kinsoku/>
        <w:wordWrap/>
        <w:overflowPunct/>
        <w:topLinePunct w:val="0"/>
        <w:autoSpaceDE/>
        <w:autoSpaceDN/>
        <w:bidi w:val="0"/>
        <w:adjustRightInd/>
        <w:snapToGrid/>
        <w:spacing w:line="500" w:lineRule="exact"/>
        <w:ind w:firstLine="211" w:firstLineChars="100"/>
        <w:jc w:val="center"/>
        <w:textAlignment w:val="auto"/>
        <w:rPr>
          <w:rFonts w:hint="default"/>
          <w:lang w:val="en-US"/>
        </w:rPr>
      </w:pPr>
      <w:r>
        <w:rPr>
          <w:rFonts w:hint="eastAsia" w:ascii="宋体" w:hAnsi="宋体" w:cs="宋体"/>
          <w:b/>
          <w:bCs/>
          <w:szCs w:val="21"/>
        </w:rPr>
        <w:t>表</w:t>
      </w:r>
      <w:r>
        <w:rPr>
          <w:rFonts w:hint="eastAsia" w:ascii="宋体" w:hAnsi="宋体" w:cs="宋体"/>
          <w:b/>
          <w:bCs/>
          <w:szCs w:val="21"/>
          <w:lang w:val="en-US" w:eastAsia="zh-CN"/>
        </w:rPr>
        <w:t>3</w:t>
      </w:r>
      <w:r>
        <w:rPr>
          <w:rFonts w:hint="eastAsia" w:ascii="宋体" w:hAnsi="宋体" w:cs="宋体"/>
          <w:b/>
          <w:bCs/>
          <w:szCs w:val="21"/>
        </w:rPr>
        <w:t>“</w:t>
      </w:r>
      <w:r>
        <w:rPr>
          <w:rFonts w:hint="eastAsia" w:ascii="宋体" w:hAnsi="宋体" w:cs="宋体"/>
          <w:b/>
          <w:bCs/>
          <w:szCs w:val="21"/>
          <w:lang w:val="en-US" w:eastAsia="zh-CN"/>
        </w:rPr>
        <w:t>各单位对冰铜中杂质限量意见</w:t>
      </w:r>
      <w:r>
        <w:rPr>
          <w:rFonts w:hint="eastAsia" w:ascii="宋体" w:hAnsi="宋体" w:cs="宋体"/>
          <w:szCs w:val="21"/>
        </w:rPr>
        <w:t>”</w:t>
      </w:r>
    </w:p>
    <w:tbl>
      <w:tblPr>
        <w:tblStyle w:val="13"/>
        <w:tblW w:w="85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1551"/>
        <w:gridCol w:w="825"/>
        <w:gridCol w:w="934"/>
        <w:gridCol w:w="934"/>
        <w:gridCol w:w="934"/>
        <w:gridCol w:w="934"/>
        <w:gridCol w:w="934"/>
        <w:gridCol w:w="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4" w:type="dxa"/>
            <w:vMerge w:val="restart"/>
            <w:noWrap w:val="0"/>
            <w:vAlign w:val="center"/>
          </w:tcPr>
          <w:p>
            <w:pPr>
              <w:jc w:val="center"/>
              <w:rPr>
                <w:rFonts w:hint="eastAsia" w:ascii="宋体" w:hAnsi="宋体" w:eastAsia="宋体"/>
                <w:szCs w:val="21"/>
                <w:vertAlign w:val="baseline"/>
                <w:lang w:eastAsia="zh-CN"/>
              </w:rPr>
            </w:pPr>
            <w:r>
              <w:rPr>
                <w:rFonts w:hint="eastAsia" w:ascii="宋体" w:hAnsi="宋体"/>
                <w:szCs w:val="21"/>
                <w:vertAlign w:val="baseline"/>
                <w:lang w:eastAsia="zh-CN"/>
              </w:rPr>
              <w:t>序号</w:t>
            </w:r>
          </w:p>
        </w:tc>
        <w:tc>
          <w:tcPr>
            <w:tcW w:w="1551" w:type="dxa"/>
            <w:vMerge w:val="restart"/>
            <w:noWrap w:val="0"/>
            <w:vAlign w:val="center"/>
          </w:tcPr>
          <w:p>
            <w:pPr>
              <w:jc w:val="center"/>
              <w:rPr>
                <w:rFonts w:hint="eastAsia" w:ascii="宋体" w:hAnsi="宋体" w:eastAsia="宋体"/>
                <w:szCs w:val="21"/>
                <w:vertAlign w:val="baseline"/>
                <w:lang w:eastAsia="zh-CN"/>
              </w:rPr>
            </w:pPr>
            <w:r>
              <w:rPr>
                <w:rFonts w:hint="eastAsia" w:ascii="宋体" w:hAnsi="宋体"/>
                <w:szCs w:val="21"/>
                <w:vertAlign w:val="baseline"/>
                <w:lang w:eastAsia="zh-CN"/>
              </w:rPr>
              <w:t>厂家名称</w:t>
            </w:r>
          </w:p>
        </w:tc>
        <w:tc>
          <w:tcPr>
            <w:tcW w:w="825" w:type="dxa"/>
            <w:noWrap w:val="0"/>
            <w:vAlign w:val="center"/>
          </w:tcPr>
          <w:p>
            <w:pPr>
              <w:jc w:val="center"/>
              <w:rPr>
                <w:rFonts w:hint="eastAsia" w:ascii="宋体" w:hAnsi="宋体" w:eastAsia="宋体"/>
                <w:szCs w:val="21"/>
                <w:vertAlign w:val="baseline"/>
                <w:lang w:eastAsia="zh-CN"/>
              </w:rPr>
            </w:pPr>
            <w:r>
              <w:rPr>
                <w:rFonts w:hint="eastAsia" w:ascii="宋体" w:hAnsi="宋体"/>
                <w:szCs w:val="21"/>
                <w:lang w:eastAsia="zh-CN"/>
              </w:rPr>
              <w:t>铜</w:t>
            </w:r>
            <w:r>
              <w:rPr>
                <w:rFonts w:hint="eastAsia" w:ascii="宋体" w:hAnsi="宋体"/>
                <w:szCs w:val="21"/>
              </w:rPr>
              <w:t>品位（%）</w:t>
            </w:r>
          </w:p>
        </w:tc>
        <w:tc>
          <w:tcPr>
            <w:tcW w:w="5604" w:type="dxa"/>
            <w:gridSpan w:val="6"/>
            <w:noWrap w:val="0"/>
            <w:vAlign w:val="center"/>
          </w:tcPr>
          <w:p>
            <w:pPr>
              <w:jc w:val="center"/>
              <w:rPr>
                <w:rFonts w:hint="eastAsia" w:ascii="宋体" w:hAnsi="宋体"/>
                <w:szCs w:val="21"/>
              </w:rPr>
            </w:pPr>
            <w:r>
              <w:rPr>
                <w:rFonts w:hint="eastAsia" w:ascii="宋体" w:hAnsi="宋体"/>
                <w:szCs w:val="21"/>
              </w:rPr>
              <w:t>杂质品位（%）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4" w:type="dxa"/>
            <w:vMerge w:val="continue"/>
            <w:noWrap w:val="0"/>
            <w:vAlign w:val="top"/>
          </w:tcPr>
          <w:p>
            <w:pPr>
              <w:jc w:val="center"/>
              <w:rPr>
                <w:rFonts w:hint="eastAsia" w:ascii="宋体" w:hAnsi="宋体" w:eastAsia="宋体"/>
                <w:szCs w:val="21"/>
                <w:vertAlign w:val="baseline"/>
                <w:lang w:val="en-US" w:eastAsia="zh-CN"/>
              </w:rPr>
            </w:pPr>
          </w:p>
        </w:tc>
        <w:tc>
          <w:tcPr>
            <w:tcW w:w="1551" w:type="dxa"/>
            <w:vMerge w:val="continue"/>
            <w:noWrap w:val="0"/>
            <w:vAlign w:val="center"/>
          </w:tcPr>
          <w:p>
            <w:pPr>
              <w:jc w:val="center"/>
              <w:rPr>
                <w:rFonts w:hint="eastAsia" w:ascii="宋体" w:hAnsi="宋体" w:eastAsia="宋体" w:cs="宋体"/>
                <w:kern w:val="2"/>
                <w:sz w:val="21"/>
                <w:szCs w:val="21"/>
                <w:u w:val="none"/>
                <w:lang w:val="en-US" w:eastAsia="zh-CN" w:bidi="ar-SA"/>
              </w:rPr>
            </w:pPr>
          </w:p>
        </w:tc>
        <w:tc>
          <w:tcPr>
            <w:tcW w:w="825" w:type="dxa"/>
            <w:noWrap w:val="0"/>
            <w:vAlign w:val="center"/>
          </w:tcPr>
          <w:p>
            <w:pPr>
              <w:jc w:val="center"/>
              <w:rPr>
                <w:rFonts w:hint="eastAsia" w:ascii="宋体" w:hAnsi="宋体"/>
                <w:b/>
                <w:bCs/>
                <w:szCs w:val="21"/>
                <w:vertAlign w:val="baseline"/>
              </w:rPr>
            </w:pPr>
            <w:r>
              <w:rPr>
                <w:rFonts w:hint="eastAsia" w:ascii="宋体" w:hAnsi="宋体"/>
                <w:b/>
                <w:bCs/>
                <w:szCs w:val="21"/>
              </w:rPr>
              <w:t>Cu</w:t>
            </w:r>
          </w:p>
        </w:tc>
        <w:tc>
          <w:tcPr>
            <w:tcW w:w="934" w:type="dxa"/>
            <w:noWrap w:val="0"/>
            <w:vAlign w:val="center"/>
          </w:tcPr>
          <w:p>
            <w:pPr>
              <w:widowControl/>
              <w:jc w:val="center"/>
              <w:textAlignment w:val="center"/>
              <w:rPr>
                <w:rFonts w:hint="eastAsia" w:ascii="宋体" w:hAnsi="宋体"/>
                <w:b/>
                <w:bCs/>
                <w:szCs w:val="21"/>
                <w:vertAlign w:val="baseline"/>
              </w:rPr>
            </w:pPr>
            <w:r>
              <w:rPr>
                <w:rFonts w:hint="eastAsia" w:ascii="宋体" w:hAnsi="宋体" w:cs="宋体"/>
                <w:b/>
                <w:bCs/>
                <w:color w:val="000000"/>
                <w:kern w:val="0"/>
                <w:sz w:val="24"/>
                <w:szCs w:val="24"/>
                <w:lang w:bidi="ar"/>
              </w:rPr>
              <w:t>Pb</w:t>
            </w:r>
          </w:p>
        </w:tc>
        <w:tc>
          <w:tcPr>
            <w:tcW w:w="934" w:type="dxa"/>
            <w:noWrap w:val="0"/>
            <w:vAlign w:val="center"/>
          </w:tcPr>
          <w:p>
            <w:pPr>
              <w:widowControl/>
              <w:jc w:val="center"/>
              <w:textAlignment w:val="center"/>
              <w:rPr>
                <w:rFonts w:hint="eastAsia" w:ascii="宋体" w:hAnsi="宋体"/>
                <w:b/>
                <w:bCs/>
                <w:szCs w:val="21"/>
                <w:vertAlign w:val="baseline"/>
              </w:rPr>
            </w:pPr>
            <w:r>
              <w:rPr>
                <w:rFonts w:hint="eastAsia" w:ascii="宋体" w:hAnsi="宋体" w:cs="宋体"/>
                <w:b/>
                <w:bCs/>
                <w:color w:val="000000"/>
                <w:kern w:val="0"/>
                <w:sz w:val="24"/>
                <w:szCs w:val="24"/>
                <w:lang w:bidi="ar"/>
              </w:rPr>
              <w:t>Zn</w:t>
            </w:r>
          </w:p>
        </w:tc>
        <w:tc>
          <w:tcPr>
            <w:tcW w:w="934" w:type="dxa"/>
            <w:noWrap w:val="0"/>
            <w:vAlign w:val="center"/>
          </w:tcPr>
          <w:p>
            <w:pPr>
              <w:widowControl/>
              <w:jc w:val="center"/>
              <w:textAlignment w:val="center"/>
              <w:rPr>
                <w:rFonts w:hint="eastAsia" w:ascii="宋体" w:hAnsi="宋体"/>
                <w:b/>
                <w:bCs/>
                <w:szCs w:val="21"/>
                <w:vertAlign w:val="baseline"/>
              </w:rPr>
            </w:pPr>
            <w:r>
              <w:rPr>
                <w:rFonts w:hint="eastAsia" w:ascii="宋体" w:hAnsi="宋体" w:cs="宋体"/>
                <w:b/>
                <w:bCs/>
                <w:color w:val="000000"/>
                <w:kern w:val="0"/>
                <w:sz w:val="24"/>
                <w:szCs w:val="24"/>
                <w:lang w:bidi="ar"/>
              </w:rPr>
              <w:t>As</w:t>
            </w:r>
          </w:p>
        </w:tc>
        <w:tc>
          <w:tcPr>
            <w:tcW w:w="934" w:type="dxa"/>
            <w:noWrap w:val="0"/>
            <w:vAlign w:val="center"/>
          </w:tcPr>
          <w:p>
            <w:pPr>
              <w:spacing w:line="300" w:lineRule="exact"/>
              <w:jc w:val="center"/>
              <w:rPr>
                <w:rFonts w:hint="eastAsia" w:ascii="宋体" w:hAnsi="宋体"/>
                <w:b/>
                <w:bCs/>
                <w:szCs w:val="21"/>
                <w:vertAlign w:val="baseline"/>
              </w:rPr>
            </w:pPr>
            <w:r>
              <w:rPr>
                <w:rFonts w:hint="eastAsia" w:ascii="宋体" w:hAnsi="宋体" w:cs="宋体"/>
                <w:b/>
                <w:bCs/>
                <w:color w:val="000000"/>
                <w:kern w:val="0"/>
                <w:sz w:val="24"/>
                <w:szCs w:val="24"/>
                <w:lang w:bidi="ar"/>
              </w:rPr>
              <w:t>MgO</w:t>
            </w:r>
          </w:p>
        </w:tc>
        <w:tc>
          <w:tcPr>
            <w:tcW w:w="934" w:type="dxa"/>
            <w:noWrap w:val="0"/>
            <w:vAlign w:val="center"/>
          </w:tcPr>
          <w:p>
            <w:pPr>
              <w:spacing w:line="300" w:lineRule="exact"/>
              <w:jc w:val="center"/>
              <w:rPr>
                <w:rFonts w:hint="eastAsia" w:ascii="宋体" w:hAnsi="宋体"/>
                <w:b/>
                <w:bCs/>
                <w:szCs w:val="21"/>
                <w:vertAlign w:val="baseline"/>
              </w:rPr>
            </w:pPr>
            <w:r>
              <w:rPr>
                <w:rFonts w:hint="eastAsia" w:ascii="宋体" w:hAnsi="宋体" w:cs="宋体"/>
                <w:b/>
                <w:bCs/>
                <w:color w:val="000000"/>
                <w:kern w:val="0"/>
                <w:sz w:val="24"/>
                <w:szCs w:val="24"/>
                <w:lang w:bidi="ar"/>
              </w:rPr>
              <w:t>Sb</w:t>
            </w:r>
          </w:p>
        </w:tc>
        <w:tc>
          <w:tcPr>
            <w:tcW w:w="934" w:type="dxa"/>
            <w:noWrap w:val="0"/>
            <w:vAlign w:val="center"/>
          </w:tcPr>
          <w:p>
            <w:pPr>
              <w:spacing w:line="300" w:lineRule="exact"/>
              <w:jc w:val="center"/>
              <w:rPr>
                <w:rFonts w:hint="eastAsia" w:ascii="宋体" w:hAnsi="宋体"/>
                <w:b/>
                <w:bCs/>
                <w:szCs w:val="21"/>
                <w:vertAlign w:val="baseline"/>
              </w:rPr>
            </w:pPr>
            <w:r>
              <w:rPr>
                <w:rFonts w:hint="eastAsia" w:ascii="宋体" w:hAnsi="宋体" w:cs="宋体"/>
                <w:b/>
                <w:bCs/>
                <w:color w:val="000000"/>
                <w:kern w:val="0"/>
                <w:sz w:val="24"/>
                <w:szCs w:val="24"/>
                <w:lang w:bidi="ar"/>
              </w:rPr>
              <w:t>Bi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55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szCs w:val="21"/>
                <w:vertAlign w:val="baseline"/>
                <w:lang w:val="en-US" w:eastAsia="zh-CN"/>
              </w:rPr>
            </w:pPr>
            <w:r>
              <w:rPr>
                <w:rFonts w:hint="eastAsia" w:ascii="宋体" w:hAnsi="宋体"/>
                <w:szCs w:val="21"/>
                <w:vertAlign w:val="baseline"/>
                <w:lang w:val="en-US" w:eastAsia="zh-CN"/>
              </w:rPr>
              <w:t>1</w:t>
            </w:r>
          </w:p>
        </w:tc>
        <w:tc>
          <w:tcPr>
            <w:tcW w:w="155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2"/>
                <w:sz w:val="21"/>
                <w:szCs w:val="21"/>
                <w:u w:val="none"/>
                <w:lang w:val="en-US" w:eastAsia="zh-CN" w:bidi="ar-SA"/>
              </w:rPr>
            </w:pPr>
            <w:r>
              <w:rPr>
                <w:rFonts w:hint="eastAsia" w:ascii="宋体" w:hAnsi="宋体"/>
                <w:szCs w:val="21"/>
              </w:rPr>
              <w:t>大冶有色金属有限责任公司</w:t>
            </w:r>
          </w:p>
        </w:tc>
        <w:tc>
          <w:tcPr>
            <w:tcW w:w="8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Cs w:val="21"/>
                <w:lang w:val="en-US" w:eastAsia="zh-CN"/>
              </w:rPr>
            </w:pPr>
            <w:r>
              <w:rPr>
                <w:rFonts w:hint="eastAsia" w:ascii="宋体" w:hAnsi="宋体"/>
                <w:szCs w:val="21"/>
                <w:lang w:val="en-US" w:eastAsia="zh-CN"/>
              </w:rPr>
              <w:t>16.3</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szCs w:val="21"/>
                <w:vertAlign w:val="baseline"/>
                <w:lang w:val="en-US"/>
              </w:rPr>
            </w:pPr>
            <w:r>
              <w:rPr>
                <w:rFonts w:hint="eastAsia" w:ascii="宋体" w:hAnsi="宋体"/>
                <w:szCs w:val="21"/>
              </w:rPr>
              <w:t>～</w:t>
            </w:r>
            <w:r>
              <w:rPr>
                <w:rFonts w:hint="eastAsia" w:ascii="宋体" w:hAnsi="宋体"/>
                <w:szCs w:val="21"/>
                <w:lang w:val="en-US" w:eastAsia="zh-CN"/>
              </w:rPr>
              <w:t>74.83</w:t>
            </w:r>
          </w:p>
        </w:tc>
        <w:tc>
          <w:tcPr>
            <w:tcW w:w="9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color w:val="auto"/>
                <w:szCs w:val="21"/>
                <w:vertAlign w:val="baseline"/>
                <w:lang w:val="en-US" w:eastAsia="zh-CN"/>
              </w:rPr>
            </w:pPr>
            <w:r>
              <w:rPr>
                <w:rFonts w:hint="eastAsia" w:ascii="宋体" w:hAnsi="宋体"/>
                <w:color w:val="auto"/>
                <w:szCs w:val="21"/>
                <w:vertAlign w:val="baseline"/>
                <w:lang w:val="en-US" w:eastAsia="zh-CN"/>
              </w:rPr>
              <w:t>0.1</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color w:val="auto"/>
                <w:szCs w:val="21"/>
              </w:rPr>
            </w:pPr>
            <w:r>
              <w:rPr>
                <w:rFonts w:hint="eastAsia" w:ascii="宋体" w:hAnsi="宋体"/>
                <w:color w:val="auto"/>
                <w:szCs w:val="21"/>
              </w:rPr>
              <w:t>～</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1"/>
                <w:szCs w:val="21"/>
                <w:u w:val="none"/>
                <w:vertAlign w:val="baseline"/>
                <w:lang w:val="en-US" w:eastAsia="zh-CN" w:bidi="ar-SA"/>
              </w:rPr>
            </w:pPr>
            <w:r>
              <w:rPr>
                <w:rFonts w:hint="eastAsia" w:ascii="宋体" w:hAnsi="宋体"/>
                <w:color w:val="auto"/>
                <w:szCs w:val="21"/>
                <w:lang w:val="en-US" w:eastAsia="zh-CN"/>
              </w:rPr>
              <w:t>1.18</w:t>
            </w:r>
          </w:p>
        </w:tc>
        <w:tc>
          <w:tcPr>
            <w:tcW w:w="9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color w:val="auto"/>
                <w:szCs w:val="21"/>
                <w:vertAlign w:val="baseline"/>
                <w:lang w:val="en-US" w:eastAsia="zh-CN"/>
              </w:rPr>
            </w:pPr>
            <w:r>
              <w:rPr>
                <w:rFonts w:hint="eastAsia" w:ascii="宋体" w:hAnsi="宋体"/>
                <w:color w:val="auto"/>
                <w:szCs w:val="21"/>
                <w:vertAlign w:val="baseline"/>
                <w:lang w:val="en-US" w:eastAsia="zh-CN"/>
              </w:rPr>
              <w:t>0.07</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color w:val="auto"/>
                <w:szCs w:val="21"/>
              </w:rPr>
            </w:pPr>
            <w:r>
              <w:rPr>
                <w:rFonts w:hint="eastAsia" w:ascii="宋体" w:hAnsi="宋体"/>
                <w:color w:val="auto"/>
                <w:szCs w:val="21"/>
              </w:rPr>
              <w:t>～</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1"/>
                <w:szCs w:val="21"/>
                <w:u w:val="none"/>
                <w:vertAlign w:val="baseline"/>
                <w:lang w:val="en-US" w:eastAsia="zh-CN" w:bidi="ar-SA"/>
              </w:rPr>
            </w:pPr>
            <w:r>
              <w:rPr>
                <w:rFonts w:hint="eastAsia" w:ascii="宋体" w:hAnsi="宋体"/>
                <w:color w:val="auto"/>
                <w:szCs w:val="21"/>
                <w:lang w:val="en-US" w:eastAsia="zh-CN"/>
              </w:rPr>
              <w:t>2.77</w:t>
            </w:r>
          </w:p>
        </w:tc>
        <w:tc>
          <w:tcPr>
            <w:tcW w:w="9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color w:val="auto"/>
                <w:szCs w:val="21"/>
                <w:vertAlign w:val="baseline"/>
                <w:lang w:val="en-US" w:eastAsia="zh-CN"/>
              </w:rPr>
            </w:pPr>
            <w:r>
              <w:rPr>
                <w:rFonts w:hint="eastAsia" w:ascii="宋体" w:hAnsi="宋体"/>
                <w:color w:val="auto"/>
                <w:szCs w:val="21"/>
                <w:vertAlign w:val="baseline"/>
                <w:lang w:val="en-US" w:eastAsia="zh-CN"/>
              </w:rPr>
              <w:t>0.0058</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color w:val="auto"/>
                <w:szCs w:val="21"/>
              </w:rPr>
            </w:pPr>
            <w:r>
              <w:rPr>
                <w:rFonts w:hint="eastAsia" w:ascii="宋体" w:hAnsi="宋体"/>
                <w:color w:val="auto"/>
                <w:szCs w:val="21"/>
              </w:rPr>
              <w:t>～</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1"/>
                <w:szCs w:val="21"/>
                <w:u w:val="none"/>
                <w:vertAlign w:val="baseline"/>
                <w:lang w:val="en-US" w:eastAsia="zh-CN" w:bidi="ar-SA"/>
              </w:rPr>
            </w:pPr>
            <w:r>
              <w:rPr>
                <w:rFonts w:hint="eastAsia" w:ascii="宋体" w:hAnsi="宋体"/>
                <w:color w:val="auto"/>
                <w:szCs w:val="21"/>
                <w:lang w:val="en-US" w:eastAsia="zh-CN"/>
              </w:rPr>
              <w:t>2.14</w:t>
            </w:r>
          </w:p>
        </w:tc>
        <w:tc>
          <w:tcPr>
            <w:tcW w:w="9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color w:val="auto"/>
                <w:szCs w:val="21"/>
                <w:vertAlign w:val="baseline"/>
                <w:lang w:val="en-US" w:eastAsia="zh-CN"/>
              </w:rPr>
            </w:pPr>
            <w:r>
              <w:rPr>
                <w:rFonts w:hint="eastAsia" w:ascii="宋体" w:hAnsi="宋体"/>
                <w:color w:val="auto"/>
                <w:szCs w:val="21"/>
                <w:vertAlign w:val="baseline"/>
                <w:lang w:val="en-US" w:eastAsia="zh-CN"/>
              </w:rPr>
              <w:t>0.013</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color w:val="auto"/>
                <w:szCs w:val="21"/>
              </w:rPr>
            </w:pPr>
            <w:r>
              <w:rPr>
                <w:rFonts w:hint="eastAsia" w:ascii="宋体" w:hAnsi="宋体"/>
                <w:color w:val="auto"/>
                <w:szCs w:val="21"/>
              </w:rPr>
              <w:t>～</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1"/>
                <w:szCs w:val="21"/>
                <w:u w:val="none"/>
                <w:vertAlign w:val="baseline"/>
                <w:lang w:val="en-US" w:eastAsia="zh-CN" w:bidi="ar-SA"/>
              </w:rPr>
            </w:pPr>
            <w:r>
              <w:rPr>
                <w:rFonts w:hint="eastAsia" w:ascii="宋体" w:hAnsi="宋体"/>
                <w:color w:val="auto"/>
                <w:szCs w:val="21"/>
                <w:lang w:val="en-US" w:eastAsia="zh-CN"/>
              </w:rPr>
              <w:t>1.03</w:t>
            </w:r>
          </w:p>
        </w:tc>
        <w:tc>
          <w:tcPr>
            <w:tcW w:w="9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color w:val="auto"/>
                <w:szCs w:val="21"/>
                <w:vertAlign w:val="baseline"/>
                <w:lang w:val="en-US" w:eastAsia="zh-CN"/>
              </w:rPr>
            </w:pPr>
            <w:r>
              <w:rPr>
                <w:rFonts w:hint="eastAsia" w:ascii="宋体" w:hAnsi="宋体"/>
                <w:color w:val="auto"/>
                <w:szCs w:val="21"/>
                <w:vertAlign w:val="baseline"/>
                <w:lang w:val="en-US" w:eastAsia="zh-CN"/>
              </w:rPr>
              <w:t>0.01</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color w:val="auto"/>
                <w:szCs w:val="21"/>
              </w:rPr>
            </w:pPr>
            <w:r>
              <w:rPr>
                <w:rFonts w:hint="eastAsia" w:ascii="宋体" w:hAnsi="宋体"/>
                <w:color w:val="auto"/>
                <w:szCs w:val="21"/>
              </w:rPr>
              <w:t>～</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1"/>
                <w:szCs w:val="21"/>
                <w:u w:val="none"/>
                <w:vertAlign w:val="baseline"/>
                <w:lang w:val="en-US" w:eastAsia="zh-CN" w:bidi="ar-SA"/>
              </w:rPr>
            </w:pPr>
            <w:r>
              <w:rPr>
                <w:rFonts w:hint="eastAsia" w:ascii="宋体" w:hAnsi="宋体"/>
                <w:color w:val="auto"/>
                <w:szCs w:val="21"/>
                <w:lang w:val="en-US" w:eastAsia="zh-CN"/>
              </w:rPr>
              <w:t>0.71</w:t>
            </w:r>
          </w:p>
        </w:tc>
        <w:tc>
          <w:tcPr>
            <w:tcW w:w="9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color w:val="auto"/>
                <w:szCs w:val="21"/>
                <w:vertAlign w:val="baseline"/>
                <w:lang w:val="en-US" w:eastAsia="zh-CN"/>
              </w:rPr>
            </w:pPr>
            <w:r>
              <w:rPr>
                <w:rFonts w:hint="eastAsia" w:ascii="宋体" w:hAnsi="宋体"/>
                <w:color w:val="auto"/>
                <w:szCs w:val="21"/>
                <w:vertAlign w:val="baseline"/>
                <w:lang w:val="en-US" w:eastAsia="zh-CN"/>
              </w:rPr>
              <w:t>0.0001</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color w:val="auto"/>
                <w:szCs w:val="21"/>
              </w:rPr>
            </w:pPr>
            <w:r>
              <w:rPr>
                <w:rFonts w:hint="eastAsia" w:ascii="宋体" w:hAnsi="宋体"/>
                <w:color w:val="auto"/>
                <w:szCs w:val="21"/>
              </w:rPr>
              <w:t>～</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2"/>
                <w:sz w:val="21"/>
                <w:szCs w:val="21"/>
                <w:u w:val="none"/>
                <w:vertAlign w:val="baseline"/>
                <w:lang w:val="en-US" w:eastAsia="zh-CN" w:bidi="ar-SA"/>
              </w:rPr>
            </w:pPr>
            <w:r>
              <w:rPr>
                <w:rFonts w:hint="eastAsia" w:ascii="宋体" w:hAnsi="宋体"/>
                <w:color w:val="auto"/>
                <w:szCs w:val="21"/>
                <w:lang w:val="en-US" w:eastAsia="zh-CN"/>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55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szCs w:val="21"/>
                <w:vertAlign w:val="baseline"/>
                <w:lang w:val="en-US" w:eastAsia="zh-CN"/>
              </w:rPr>
            </w:pPr>
            <w:r>
              <w:rPr>
                <w:rFonts w:hint="eastAsia" w:ascii="宋体" w:hAnsi="宋体"/>
                <w:szCs w:val="21"/>
                <w:vertAlign w:val="baseline"/>
                <w:lang w:val="en-US" w:eastAsia="zh-CN"/>
              </w:rPr>
              <w:t>2</w:t>
            </w:r>
          </w:p>
        </w:tc>
        <w:tc>
          <w:tcPr>
            <w:tcW w:w="155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Cs w:val="21"/>
                <w:vertAlign w:val="baseline"/>
              </w:rPr>
            </w:pPr>
            <w:r>
              <w:rPr>
                <w:rFonts w:hint="eastAsia" w:ascii="宋体" w:hAnsi="宋体" w:cs="宋体"/>
              </w:rPr>
              <w:t>山东</w:t>
            </w:r>
            <w:r>
              <w:rPr>
                <w:rFonts w:ascii="宋体" w:hAnsi="宋体" w:cs="宋体"/>
              </w:rPr>
              <w:t>恒邦冶炼股份有限公司</w:t>
            </w:r>
          </w:p>
        </w:tc>
        <w:tc>
          <w:tcPr>
            <w:tcW w:w="8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Cs w:val="21"/>
                <w:lang w:val="en-US" w:eastAsia="zh-CN"/>
              </w:rPr>
            </w:pPr>
            <w:r>
              <w:rPr>
                <w:rFonts w:hint="eastAsia" w:ascii="宋体" w:hAnsi="宋体"/>
                <w:szCs w:val="21"/>
                <w:lang w:val="en-US" w:eastAsia="zh-CN"/>
              </w:rPr>
              <w:t>35</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Cs w:val="21"/>
              </w:rPr>
            </w:pPr>
            <w:r>
              <w:rPr>
                <w:rFonts w:hint="eastAsia" w:ascii="宋体" w:hAnsi="宋体"/>
                <w:szCs w:val="21"/>
              </w:rPr>
              <w:t>～</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szCs w:val="21"/>
                <w:vertAlign w:val="baseline"/>
                <w:lang w:val="en-US"/>
              </w:rPr>
            </w:pPr>
            <w:r>
              <w:rPr>
                <w:rFonts w:hint="eastAsia" w:ascii="宋体" w:hAnsi="宋体"/>
                <w:szCs w:val="21"/>
                <w:lang w:val="en-US" w:eastAsia="zh-CN"/>
              </w:rPr>
              <w:t>75</w:t>
            </w:r>
          </w:p>
        </w:tc>
        <w:tc>
          <w:tcPr>
            <w:tcW w:w="9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Cs w:val="21"/>
                <w:vertAlign w:val="baseline"/>
                <w:lang w:val="en-US" w:eastAsia="zh-CN"/>
              </w:rPr>
            </w:pPr>
            <w:r>
              <w:rPr>
                <w:rFonts w:hint="eastAsia" w:ascii="宋体" w:hAnsi="宋体"/>
                <w:szCs w:val="21"/>
                <w:vertAlign w:val="baseline"/>
                <w:lang w:val="en-US" w:eastAsia="zh-CN"/>
              </w:rPr>
              <w:t>0.31</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Cs w:val="21"/>
              </w:rPr>
            </w:pPr>
            <w:r>
              <w:rPr>
                <w:rFonts w:hint="eastAsia" w:ascii="宋体" w:hAnsi="宋体"/>
                <w:szCs w:val="21"/>
              </w:rPr>
              <w:t>～</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宋体"/>
                <w:szCs w:val="21"/>
                <w:vertAlign w:val="baseline"/>
                <w:lang w:val="en-US" w:eastAsia="zh-CN"/>
              </w:rPr>
            </w:pPr>
            <w:r>
              <w:rPr>
                <w:rFonts w:hint="eastAsia" w:ascii="宋体" w:hAnsi="宋体"/>
                <w:szCs w:val="21"/>
                <w:lang w:val="en-US" w:eastAsia="zh-CN"/>
              </w:rPr>
              <w:t>3.29</w:t>
            </w:r>
          </w:p>
        </w:tc>
        <w:tc>
          <w:tcPr>
            <w:tcW w:w="9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szCs w:val="21"/>
                <w:vertAlign w:val="baseline"/>
                <w:lang w:val="en-US" w:eastAsia="zh-CN"/>
              </w:rPr>
            </w:pPr>
            <w:r>
              <w:rPr>
                <w:rFonts w:hint="eastAsia" w:ascii="宋体" w:hAnsi="宋体"/>
                <w:szCs w:val="21"/>
                <w:vertAlign w:val="baseline"/>
                <w:lang w:val="en-US" w:eastAsia="zh-CN"/>
              </w:rPr>
              <w:t>0.24</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Cs w:val="21"/>
              </w:rPr>
            </w:pPr>
            <w:r>
              <w:rPr>
                <w:rFonts w:hint="eastAsia" w:ascii="宋体" w:hAnsi="宋体"/>
                <w:szCs w:val="21"/>
              </w:rPr>
              <w:t>～</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宋体" w:cs="宋体"/>
                <w:kern w:val="2"/>
                <w:sz w:val="21"/>
                <w:szCs w:val="21"/>
                <w:u w:val="none"/>
                <w:vertAlign w:val="baseline"/>
                <w:lang w:val="en-US" w:eastAsia="zh-CN" w:bidi="ar-SA"/>
              </w:rPr>
            </w:pPr>
            <w:r>
              <w:rPr>
                <w:rFonts w:hint="eastAsia" w:ascii="宋体" w:hAnsi="宋体"/>
                <w:szCs w:val="21"/>
                <w:lang w:val="en-US" w:eastAsia="zh-CN"/>
              </w:rPr>
              <w:t>2.53</w:t>
            </w:r>
          </w:p>
        </w:tc>
        <w:tc>
          <w:tcPr>
            <w:tcW w:w="9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szCs w:val="21"/>
                <w:vertAlign w:val="baseline"/>
                <w:lang w:val="en-US" w:eastAsia="zh-CN"/>
              </w:rPr>
            </w:pPr>
            <w:r>
              <w:rPr>
                <w:rFonts w:hint="eastAsia" w:ascii="宋体" w:hAnsi="宋体"/>
                <w:szCs w:val="21"/>
                <w:vertAlign w:val="baseline"/>
                <w:lang w:val="en-US" w:eastAsia="zh-CN"/>
              </w:rPr>
              <w:t>0.11</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Cs w:val="21"/>
              </w:rPr>
            </w:pPr>
            <w:r>
              <w:rPr>
                <w:rFonts w:hint="eastAsia" w:ascii="宋体" w:hAnsi="宋体"/>
                <w:szCs w:val="21"/>
              </w:rPr>
              <w:t>～</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szCs w:val="21"/>
                <w:vertAlign w:val="baseline"/>
                <w:lang w:val="en-US"/>
              </w:rPr>
            </w:pPr>
            <w:r>
              <w:rPr>
                <w:rFonts w:hint="eastAsia" w:ascii="宋体" w:hAnsi="宋体"/>
                <w:szCs w:val="21"/>
                <w:lang w:val="en-US" w:eastAsia="zh-CN"/>
              </w:rPr>
              <w:t>2.53</w:t>
            </w:r>
          </w:p>
        </w:tc>
        <w:tc>
          <w:tcPr>
            <w:tcW w:w="9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宋体"/>
                <w:szCs w:val="21"/>
                <w:vertAlign w:val="baseline"/>
                <w:lang w:val="en-US" w:eastAsia="zh-CN"/>
              </w:rPr>
            </w:pPr>
            <w:r>
              <w:rPr>
                <w:rFonts w:hint="eastAsia" w:ascii="宋体" w:hAnsi="宋体"/>
                <w:szCs w:val="21"/>
                <w:vertAlign w:val="baseline"/>
                <w:lang w:val="en-US" w:eastAsia="zh-CN"/>
              </w:rPr>
              <w:t>_</w:t>
            </w:r>
          </w:p>
        </w:tc>
        <w:tc>
          <w:tcPr>
            <w:tcW w:w="9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szCs w:val="21"/>
                <w:vertAlign w:val="baseline"/>
                <w:lang w:val="en-US" w:eastAsia="zh-CN"/>
              </w:rPr>
            </w:pPr>
            <w:r>
              <w:rPr>
                <w:rFonts w:hint="eastAsia" w:ascii="宋体" w:hAnsi="宋体"/>
                <w:szCs w:val="21"/>
                <w:vertAlign w:val="baseline"/>
                <w:lang w:val="en-US" w:eastAsia="zh-CN"/>
              </w:rPr>
              <w:t>0.15</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Cs w:val="21"/>
              </w:rPr>
            </w:pPr>
            <w:r>
              <w:rPr>
                <w:rFonts w:hint="eastAsia" w:ascii="宋体" w:hAnsi="宋体"/>
                <w:szCs w:val="21"/>
              </w:rPr>
              <w:t>～</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szCs w:val="21"/>
                <w:vertAlign w:val="baseline"/>
                <w:lang w:val="en-US"/>
              </w:rPr>
            </w:pPr>
            <w:r>
              <w:rPr>
                <w:rFonts w:hint="eastAsia" w:ascii="宋体" w:hAnsi="宋体"/>
                <w:szCs w:val="21"/>
                <w:lang w:val="en-US" w:eastAsia="zh-CN"/>
              </w:rPr>
              <w:t>1.03</w:t>
            </w:r>
          </w:p>
        </w:tc>
        <w:tc>
          <w:tcPr>
            <w:tcW w:w="9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szCs w:val="21"/>
                <w:vertAlign w:val="baseline"/>
                <w:lang w:val="en-US" w:eastAsia="zh-CN"/>
              </w:rPr>
            </w:pPr>
            <w:r>
              <w:rPr>
                <w:rFonts w:hint="eastAsia" w:ascii="宋体" w:hAnsi="宋体"/>
                <w:szCs w:val="21"/>
                <w:vertAlign w:val="baseline"/>
                <w:lang w:val="en-US" w:eastAsia="zh-CN"/>
              </w:rPr>
              <w:t>0.01</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Cs w:val="21"/>
              </w:rPr>
            </w:pPr>
            <w:r>
              <w:rPr>
                <w:rFonts w:hint="eastAsia" w:ascii="宋体" w:hAnsi="宋体"/>
                <w:szCs w:val="21"/>
              </w:rPr>
              <w:t>～</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szCs w:val="21"/>
                <w:vertAlign w:val="baseline"/>
                <w:lang w:val="en-US"/>
              </w:rPr>
            </w:pPr>
            <w:r>
              <w:rPr>
                <w:rFonts w:hint="eastAsia" w:ascii="宋体" w:hAnsi="宋体"/>
                <w:szCs w:val="21"/>
                <w:lang w:val="en-US" w:eastAsia="zh-CN"/>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55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szCs w:val="21"/>
                <w:vertAlign w:val="baseline"/>
                <w:lang w:val="en-US" w:eastAsia="zh-CN"/>
              </w:rPr>
            </w:pPr>
            <w:r>
              <w:rPr>
                <w:rFonts w:hint="eastAsia" w:ascii="宋体" w:hAnsi="宋体"/>
                <w:szCs w:val="21"/>
                <w:vertAlign w:val="baseline"/>
                <w:lang w:val="en-US" w:eastAsia="zh-CN"/>
              </w:rPr>
              <w:t>4</w:t>
            </w:r>
          </w:p>
        </w:tc>
        <w:tc>
          <w:tcPr>
            <w:tcW w:w="155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Cs w:val="21"/>
                <w:vertAlign w:val="baseline"/>
              </w:rPr>
            </w:pPr>
            <w:r>
              <w:rPr>
                <w:rFonts w:hint="eastAsia" w:ascii="宋体" w:hAnsi="宋体" w:cs="宋体"/>
              </w:rPr>
              <w:t>北方铜业股份有限公司</w:t>
            </w:r>
          </w:p>
        </w:tc>
        <w:tc>
          <w:tcPr>
            <w:tcW w:w="8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2"/>
                <w:sz w:val="21"/>
                <w:szCs w:val="21"/>
                <w:u w:val="none"/>
                <w:vertAlign w:val="baseline"/>
                <w:lang w:val="en-US" w:eastAsia="zh-CN" w:bidi="ar-SA"/>
              </w:rPr>
            </w:pPr>
            <w:r>
              <w:rPr>
                <w:rFonts w:hint="eastAsia" w:ascii="宋体" w:hAnsi="宋体" w:cs="宋体"/>
                <w:szCs w:val="21"/>
              </w:rPr>
              <w:t>﹥5</w:t>
            </w:r>
            <w:r>
              <w:rPr>
                <w:rFonts w:hint="eastAsia" w:ascii="宋体" w:hAnsi="宋体" w:cs="宋体"/>
                <w:szCs w:val="21"/>
                <w:lang w:val="en-US" w:eastAsia="zh-CN"/>
              </w:rPr>
              <w:t>0</w:t>
            </w:r>
          </w:p>
        </w:tc>
        <w:tc>
          <w:tcPr>
            <w:tcW w:w="9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szCs w:val="21"/>
                <w:vertAlign w:val="baseline"/>
                <w:lang w:val="en-US" w:eastAsia="zh-CN"/>
              </w:rPr>
            </w:pPr>
            <w:r>
              <w:rPr>
                <w:rFonts w:hint="eastAsia" w:ascii="宋体" w:hAnsi="宋体"/>
                <w:szCs w:val="21"/>
                <w:vertAlign w:val="baseline"/>
                <w:lang w:val="en-US" w:eastAsia="zh-CN"/>
              </w:rPr>
              <w:t>0.17</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Cs w:val="21"/>
              </w:rPr>
            </w:pPr>
            <w:r>
              <w:rPr>
                <w:rFonts w:hint="eastAsia" w:ascii="宋体" w:hAnsi="宋体"/>
                <w:szCs w:val="21"/>
              </w:rPr>
              <w:t>～</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宋体" w:cs="宋体"/>
                <w:kern w:val="2"/>
                <w:sz w:val="21"/>
                <w:szCs w:val="21"/>
                <w:u w:val="none"/>
                <w:vertAlign w:val="baseline"/>
                <w:lang w:val="en-US" w:eastAsia="zh-CN" w:bidi="ar-SA"/>
              </w:rPr>
            </w:pPr>
            <w:r>
              <w:rPr>
                <w:rFonts w:hint="eastAsia" w:ascii="宋体" w:hAnsi="宋体"/>
                <w:szCs w:val="21"/>
                <w:lang w:val="en-US" w:eastAsia="zh-CN"/>
              </w:rPr>
              <w:t>0.21</w:t>
            </w:r>
          </w:p>
        </w:tc>
        <w:tc>
          <w:tcPr>
            <w:tcW w:w="9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Cs w:val="21"/>
                <w:vertAlign w:val="baseline"/>
                <w:lang w:val="en-US" w:eastAsia="zh-CN"/>
              </w:rPr>
            </w:pPr>
            <w:r>
              <w:rPr>
                <w:rFonts w:hint="eastAsia" w:ascii="宋体" w:hAnsi="宋体"/>
                <w:szCs w:val="21"/>
                <w:vertAlign w:val="baseline"/>
                <w:lang w:val="en-US" w:eastAsia="zh-CN"/>
              </w:rPr>
              <w:t>0.083</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Cs w:val="21"/>
              </w:rPr>
            </w:pPr>
            <w:r>
              <w:rPr>
                <w:rFonts w:hint="eastAsia" w:ascii="宋体" w:hAnsi="宋体"/>
                <w:szCs w:val="21"/>
              </w:rPr>
              <w:t>～</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宋体" w:cs="宋体"/>
                <w:kern w:val="2"/>
                <w:sz w:val="21"/>
                <w:szCs w:val="21"/>
                <w:u w:val="none"/>
                <w:vertAlign w:val="baseline"/>
                <w:lang w:val="en-US" w:eastAsia="zh-CN" w:bidi="ar-SA"/>
              </w:rPr>
            </w:pPr>
            <w:r>
              <w:rPr>
                <w:rFonts w:hint="eastAsia" w:ascii="宋体" w:hAnsi="宋体"/>
                <w:szCs w:val="21"/>
                <w:lang w:val="en-US" w:eastAsia="zh-CN"/>
              </w:rPr>
              <w:t>0.633</w:t>
            </w:r>
          </w:p>
        </w:tc>
        <w:tc>
          <w:tcPr>
            <w:tcW w:w="9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szCs w:val="21"/>
                <w:vertAlign w:val="baseline"/>
                <w:lang w:val="en-US" w:eastAsia="zh-CN"/>
              </w:rPr>
            </w:pPr>
            <w:r>
              <w:rPr>
                <w:rFonts w:hint="eastAsia" w:ascii="宋体" w:hAnsi="宋体"/>
                <w:szCs w:val="21"/>
                <w:vertAlign w:val="baseline"/>
                <w:lang w:val="en-US" w:eastAsia="zh-CN"/>
              </w:rPr>
              <w:t>0.13</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Cs w:val="21"/>
              </w:rPr>
            </w:pPr>
            <w:r>
              <w:rPr>
                <w:rFonts w:hint="eastAsia" w:ascii="宋体" w:hAnsi="宋体"/>
                <w:szCs w:val="21"/>
              </w:rPr>
              <w:t>～</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宋体" w:cs="宋体"/>
                <w:kern w:val="2"/>
                <w:sz w:val="21"/>
                <w:szCs w:val="21"/>
                <w:u w:val="none"/>
                <w:vertAlign w:val="baseline"/>
                <w:lang w:val="en-US" w:eastAsia="zh-CN" w:bidi="ar-SA"/>
              </w:rPr>
            </w:pPr>
            <w:r>
              <w:rPr>
                <w:rFonts w:hint="eastAsia" w:ascii="宋体" w:hAnsi="宋体"/>
                <w:szCs w:val="21"/>
                <w:lang w:val="en-US" w:eastAsia="zh-CN"/>
              </w:rPr>
              <w:t>0.18</w:t>
            </w:r>
          </w:p>
        </w:tc>
        <w:tc>
          <w:tcPr>
            <w:tcW w:w="9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Cs w:val="21"/>
              </w:rPr>
            </w:pPr>
            <w:r>
              <w:rPr>
                <w:rFonts w:hint="eastAsia" w:ascii="宋体" w:hAnsi="宋体"/>
                <w:szCs w:val="21"/>
                <w:vertAlign w:val="baseline"/>
                <w:lang w:val="en-US" w:eastAsia="zh-CN"/>
              </w:rPr>
              <w:t>&lt;0.001</w:t>
            </w:r>
            <w:r>
              <w:rPr>
                <w:rFonts w:hint="eastAsia" w:ascii="宋体" w:hAnsi="宋体"/>
                <w:szCs w:val="21"/>
              </w:rPr>
              <w:t>～</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宋体" w:cs="宋体"/>
                <w:kern w:val="2"/>
                <w:sz w:val="21"/>
                <w:szCs w:val="21"/>
                <w:u w:val="none"/>
                <w:vertAlign w:val="baseline"/>
                <w:lang w:val="en-US" w:eastAsia="zh-CN" w:bidi="ar-SA"/>
              </w:rPr>
            </w:pPr>
            <w:r>
              <w:rPr>
                <w:rFonts w:hint="eastAsia" w:ascii="宋体" w:hAnsi="宋体"/>
                <w:szCs w:val="21"/>
                <w:lang w:val="en-US" w:eastAsia="zh-CN"/>
              </w:rPr>
              <w:t>0.56</w:t>
            </w:r>
          </w:p>
        </w:tc>
        <w:tc>
          <w:tcPr>
            <w:tcW w:w="9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szCs w:val="21"/>
                <w:vertAlign w:val="baseline"/>
                <w:lang w:val="en-US" w:eastAsia="zh-CN"/>
              </w:rPr>
            </w:pPr>
            <w:r>
              <w:rPr>
                <w:rFonts w:hint="eastAsia" w:ascii="宋体" w:hAnsi="宋体"/>
                <w:szCs w:val="21"/>
                <w:vertAlign w:val="baseline"/>
                <w:lang w:val="en-US" w:eastAsia="zh-CN"/>
              </w:rPr>
              <w:t>0.01</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Cs w:val="21"/>
              </w:rPr>
            </w:pPr>
            <w:r>
              <w:rPr>
                <w:rFonts w:hint="eastAsia" w:ascii="宋体" w:hAnsi="宋体"/>
                <w:szCs w:val="21"/>
              </w:rPr>
              <w:t>～</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宋体" w:cs="宋体"/>
                <w:kern w:val="2"/>
                <w:sz w:val="21"/>
                <w:szCs w:val="21"/>
                <w:u w:val="none"/>
                <w:vertAlign w:val="baseline"/>
                <w:lang w:val="en-US" w:eastAsia="zh-CN" w:bidi="ar-SA"/>
              </w:rPr>
            </w:pPr>
            <w:r>
              <w:rPr>
                <w:rFonts w:hint="eastAsia" w:ascii="宋体" w:hAnsi="宋体"/>
                <w:szCs w:val="21"/>
                <w:lang w:val="en-US" w:eastAsia="zh-CN"/>
              </w:rPr>
              <w:t>0.018</w:t>
            </w:r>
          </w:p>
        </w:tc>
        <w:tc>
          <w:tcPr>
            <w:tcW w:w="9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szCs w:val="21"/>
                <w:vertAlign w:val="baseline"/>
                <w:lang w:val="en-US" w:eastAsia="zh-CN"/>
              </w:rPr>
            </w:pPr>
            <w:r>
              <w:rPr>
                <w:rFonts w:hint="eastAsia" w:ascii="宋体" w:hAnsi="宋体"/>
                <w:szCs w:val="21"/>
                <w:vertAlign w:val="baseline"/>
                <w:lang w:val="en-US" w:eastAsia="zh-CN"/>
              </w:rPr>
              <w:t>0.011</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Cs w:val="21"/>
              </w:rPr>
            </w:pPr>
            <w:r>
              <w:rPr>
                <w:rFonts w:hint="eastAsia" w:ascii="宋体" w:hAnsi="宋体"/>
                <w:szCs w:val="21"/>
              </w:rPr>
              <w:t>～</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宋体" w:cs="宋体"/>
                <w:kern w:val="2"/>
                <w:sz w:val="21"/>
                <w:szCs w:val="21"/>
                <w:u w:val="none"/>
                <w:vertAlign w:val="baseline"/>
                <w:lang w:val="en-US" w:eastAsia="zh-CN" w:bidi="ar-SA"/>
              </w:rPr>
            </w:pPr>
            <w:r>
              <w:rPr>
                <w:rFonts w:hint="eastAsia" w:ascii="宋体" w:hAnsi="宋体"/>
                <w:szCs w:val="21"/>
                <w:lang w:val="en-US" w:eastAsia="zh-CN"/>
              </w:rPr>
              <w:t>0.032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55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szCs w:val="21"/>
                <w:vertAlign w:val="baseline"/>
                <w:lang w:val="en-US" w:eastAsia="zh-CN"/>
              </w:rPr>
            </w:pPr>
            <w:r>
              <w:rPr>
                <w:rFonts w:hint="eastAsia" w:ascii="宋体" w:hAnsi="宋体"/>
                <w:szCs w:val="21"/>
                <w:vertAlign w:val="baseline"/>
                <w:lang w:val="en-US" w:eastAsia="zh-CN"/>
              </w:rPr>
              <w:t>5</w:t>
            </w:r>
          </w:p>
        </w:tc>
        <w:tc>
          <w:tcPr>
            <w:tcW w:w="155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Cs w:val="21"/>
                <w:vertAlign w:val="baseline"/>
              </w:rPr>
            </w:pPr>
            <w:r>
              <w:rPr>
                <w:rFonts w:hint="eastAsia" w:ascii="宋体" w:hAnsi="宋体"/>
                <w:szCs w:val="21"/>
                <w:vertAlign w:val="baseline"/>
              </w:rPr>
              <w:t>云南铜业股份有限公司西南铜业分公司</w:t>
            </w:r>
          </w:p>
        </w:tc>
        <w:tc>
          <w:tcPr>
            <w:tcW w:w="8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Cs w:val="21"/>
                <w:vertAlign w:val="baseline"/>
              </w:rPr>
            </w:pPr>
            <w:r>
              <w:rPr>
                <w:rFonts w:hint="eastAsia" w:ascii="宋体" w:hAnsi="宋体" w:cs="宋体"/>
                <w:szCs w:val="21"/>
              </w:rPr>
              <w:t>﹥50</w:t>
            </w:r>
          </w:p>
        </w:tc>
        <w:tc>
          <w:tcPr>
            <w:tcW w:w="9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szCs w:val="21"/>
                <w:vertAlign w:val="baseline"/>
                <w:lang w:val="en-US" w:eastAsia="zh-CN"/>
              </w:rPr>
            </w:pPr>
            <w:r>
              <w:rPr>
                <w:rFonts w:hint="eastAsia" w:ascii="宋体" w:hAnsi="宋体"/>
                <w:szCs w:val="21"/>
                <w:vertAlign w:val="baseline"/>
                <w:lang w:val="en-US" w:eastAsia="zh-CN"/>
              </w:rPr>
              <w:t>0.978</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Cs w:val="21"/>
              </w:rPr>
            </w:pPr>
            <w:r>
              <w:rPr>
                <w:rFonts w:hint="eastAsia" w:ascii="宋体" w:hAnsi="宋体"/>
                <w:szCs w:val="21"/>
              </w:rPr>
              <w:t>～</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宋体" w:cs="宋体"/>
                <w:kern w:val="2"/>
                <w:sz w:val="21"/>
                <w:szCs w:val="21"/>
                <w:u w:val="none"/>
                <w:vertAlign w:val="baseline"/>
                <w:lang w:val="en-US" w:eastAsia="zh-CN" w:bidi="ar-SA"/>
              </w:rPr>
            </w:pPr>
            <w:r>
              <w:rPr>
                <w:rFonts w:hint="eastAsia" w:ascii="宋体" w:hAnsi="宋体"/>
                <w:szCs w:val="21"/>
                <w:lang w:val="en-US" w:eastAsia="zh-CN"/>
              </w:rPr>
              <w:t>1.472</w:t>
            </w:r>
          </w:p>
        </w:tc>
        <w:tc>
          <w:tcPr>
            <w:tcW w:w="9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Cs w:val="21"/>
                <w:vertAlign w:val="baseline"/>
                <w:lang w:val="en-US" w:eastAsia="zh-CN"/>
              </w:rPr>
            </w:pPr>
            <w:r>
              <w:rPr>
                <w:rFonts w:hint="eastAsia" w:ascii="宋体" w:hAnsi="宋体"/>
                <w:szCs w:val="21"/>
                <w:vertAlign w:val="baseline"/>
                <w:lang w:val="en-US" w:eastAsia="zh-CN"/>
              </w:rPr>
              <w:t>0.789</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Cs w:val="21"/>
              </w:rPr>
            </w:pPr>
            <w:r>
              <w:rPr>
                <w:rFonts w:hint="eastAsia" w:ascii="宋体" w:hAnsi="宋体"/>
                <w:szCs w:val="21"/>
              </w:rPr>
              <w:t>～</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2"/>
                <w:sz w:val="21"/>
                <w:szCs w:val="21"/>
                <w:u w:val="none"/>
                <w:vertAlign w:val="baseline"/>
                <w:lang w:val="en-US" w:eastAsia="zh-CN" w:bidi="ar-SA"/>
              </w:rPr>
            </w:pPr>
            <w:r>
              <w:rPr>
                <w:rFonts w:hint="eastAsia" w:ascii="宋体" w:hAnsi="宋体"/>
                <w:szCs w:val="21"/>
                <w:lang w:val="en-US" w:eastAsia="zh-CN"/>
              </w:rPr>
              <w:t>0.8523</w:t>
            </w:r>
          </w:p>
        </w:tc>
        <w:tc>
          <w:tcPr>
            <w:tcW w:w="9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szCs w:val="21"/>
                <w:vertAlign w:val="baseline"/>
                <w:lang w:val="en-US" w:eastAsia="zh-CN"/>
              </w:rPr>
            </w:pPr>
            <w:r>
              <w:rPr>
                <w:rFonts w:hint="eastAsia" w:ascii="宋体" w:hAnsi="宋体"/>
                <w:szCs w:val="21"/>
                <w:vertAlign w:val="baseline"/>
                <w:lang w:val="en-US" w:eastAsia="zh-CN"/>
              </w:rPr>
              <w:t>0.093</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Cs w:val="21"/>
              </w:rPr>
            </w:pPr>
            <w:r>
              <w:rPr>
                <w:rFonts w:hint="eastAsia" w:ascii="宋体" w:hAnsi="宋体"/>
                <w:szCs w:val="21"/>
              </w:rPr>
              <w:t>～</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宋体" w:cs="宋体"/>
                <w:kern w:val="2"/>
                <w:sz w:val="21"/>
                <w:szCs w:val="21"/>
                <w:u w:val="none"/>
                <w:vertAlign w:val="baseline"/>
                <w:lang w:val="en-US" w:eastAsia="zh-CN" w:bidi="ar-SA"/>
              </w:rPr>
            </w:pPr>
            <w:r>
              <w:rPr>
                <w:rFonts w:hint="eastAsia" w:ascii="宋体" w:hAnsi="宋体"/>
                <w:szCs w:val="21"/>
                <w:lang w:val="en-US" w:eastAsia="zh-CN"/>
              </w:rPr>
              <w:t>0.1122</w:t>
            </w:r>
          </w:p>
        </w:tc>
        <w:tc>
          <w:tcPr>
            <w:tcW w:w="9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2"/>
                <w:sz w:val="21"/>
                <w:szCs w:val="21"/>
                <w:u w:val="none"/>
                <w:vertAlign w:val="baseline"/>
                <w:lang w:val="en-US" w:eastAsia="zh-CN" w:bidi="ar-SA"/>
              </w:rPr>
            </w:pPr>
            <w:r>
              <w:rPr>
                <w:rFonts w:hint="eastAsia" w:ascii="宋体" w:hAnsi="宋体"/>
                <w:szCs w:val="21"/>
                <w:vertAlign w:val="baseline"/>
                <w:lang w:val="en-US" w:eastAsia="zh-CN"/>
              </w:rPr>
              <w:t>_</w:t>
            </w:r>
          </w:p>
        </w:tc>
        <w:tc>
          <w:tcPr>
            <w:tcW w:w="9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2"/>
                <w:sz w:val="21"/>
                <w:szCs w:val="21"/>
                <w:u w:val="none"/>
                <w:vertAlign w:val="baseline"/>
                <w:lang w:val="en-US" w:eastAsia="zh-CN" w:bidi="ar-SA"/>
              </w:rPr>
            </w:pPr>
            <w:r>
              <w:rPr>
                <w:rFonts w:hint="eastAsia" w:ascii="宋体" w:hAnsi="宋体" w:cs="宋体"/>
                <w:szCs w:val="21"/>
              </w:rPr>
              <w:t>0.001</w:t>
            </w:r>
          </w:p>
        </w:tc>
        <w:tc>
          <w:tcPr>
            <w:tcW w:w="9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szCs w:val="21"/>
                <w:vertAlign w:val="baseline"/>
                <w:lang w:val="en-US" w:eastAsia="zh-CN"/>
              </w:rPr>
            </w:pPr>
            <w:r>
              <w:rPr>
                <w:rFonts w:hint="eastAsia" w:ascii="宋体" w:hAnsi="宋体"/>
                <w:szCs w:val="21"/>
                <w:vertAlign w:val="baseline"/>
                <w:lang w:val="en-US" w:eastAsia="zh-CN"/>
              </w:rPr>
              <w:t>0.037</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Cs w:val="21"/>
              </w:rPr>
            </w:pPr>
            <w:r>
              <w:rPr>
                <w:rFonts w:hint="eastAsia" w:ascii="宋体" w:hAnsi="宋体"/>
                <w:szCs w:val="21"/>
              </w:rPr>
              <w:t>～</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2"/>
                <w:sz w:val="21"/>
                <w:szCs w:val="21"/>
                <w:u w:val="none"/>
                <w:vertAlign w:val="baseline"/>
                <w:lang w:val="en-US" w:eastAsia="zh-CN" w:bidi="ar-SA"/>
              </w:rPr>
            </w:pPr>
            <w:r>
              <w:rPr>
                <w:rFonts w:hint="eastAsia" w:ascii="宋体" w:hAnsi="宋体"/>
                <w:szCs w:val="21"/>
                <w:lang w:val="en-US" w:eastAsia="zh-CN"/>
              </w:rPr>
              <w:t>0.092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5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szCs w:val="21"/>
                <w:vertAlign w:val="baseline"/>
                <w:lang w:val="en-US" w:eastAsia="zh-CN"/>
              </w:rPr>
            </w:pPr>
            <w:r>
              <w:rPr>
                <w:rFonts w:hint="eastAsia" w:ascii="宋体" w:hAnsi="宋体"/>
                <w:szCs w:val="21"/>
                <w:vertAlign w:val="baseline"/>
                <w:lang w:val="en-US" w:eastAsia="zh-CN"/>
              </w:rPr>
              <w:t>6</w:t>
            </w:r>
          </w:p>
        </w:tc>
        <w:tc>
          <w:tcPr>
            <w:tcW w:w="155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Cs w:val="21"/>
                <w:vertAlign w:val="baseline"/>
              </w:rPr>
            </w:pPr>
            <w:r>
              <w:rPr>
                <w:rFonts w:hint="eastAsia" w:ascii="宋体" w:hAnsi="宋体" w:eastAsia="宋体" w:cs="宋体"/>
                <w:b w:val="0"/>
                <w:bCs w:val="0"/>
                <w:lang w:eastAsia="zh-CN"/>
              </w:rPr>
              <w:t>铜陵有色金属集团股份有限公司</w:t>
            </w:r>
          </w:p>
        </w:tc>
        <w:tc>
          <w:tcPr>
            <w:tcW w:w="8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Cs w:val="21"/>
                <w:vertAlign w:val="baseline"/>
              </w:rPr>
            </w:pPr>
            <w:r>
              <w:rPr>
                <w:rFonts w:hint="eastAsia" w:ascii="宋体" w:hAnsi="宋体" w:cs="宋体"/>
                <w:szCs w:val="21"/>
              </w:rPr>
              <w:t>﹥50</w:t>
            </w:r>
          </w:p>
        </w:tc>
        <w:tc>
          <w:tcPr>
            <w:tcW w:w="9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Cs w:val="21"/>
                <w:lang w:val="en-US" w:eastAsia="zh-CN"/>
              </w:rPr>
            </w:pPr>
            <w:r>
              <w:rPr>
                <w:rFonts w:hint="eastAsia" w:ascii="宋体" w:hAnsi="宋体"/>
                <w:szCs w:val="21"/>
                <w:lang w:val="en-US" w:eastAsia="zh-CN"/>
              </w:rPr>
              <w:t>0.21</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Cs w:val="21"/>
              </w:rPr>
            </w:pPr>
            <w:r>
              <w:rPr>
                <w:rFonts w:hint="eastAsia" w:ascii="宋体" w:hAnsi="宋体"/>
                <w:szCs w:val="21"/>
              </w:rPr>
              <w:t>～</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szCs w:val="21"/>
                <w:vertAlign w:val="baseline"/>
                <w:lang w:val="en-US"/>
              </w:rPr>
            </w:pPr>
            <w:r>
              <w:rPr>
                <w:rFonts w:hint="eastAsia" w:ascii="宋体" w:hAnsi="宋体"/>
                <w:szCs w:val="21"/>
                <w:vertAlign w:val="baseline"/>
                <w:lang w:val="en-US" w:eastAsia="zh-CN"/>
              </w:rPr>
              <w:t>0.9</w:t>
            </w:r>
          </w:p>
        </w:tc>
        <w:tc>
          <w:tcPr>
            <w:tcW w:w="9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Cs w:val="21"/>
                <w:vertAlign w:val="baseline"/>
                <w:lang w:val="en-US" w:eastAsia="zh-CN"/>
              </w:rPr>
            </w:pPr>
            <w:r>
              <w:rPr>
                <w:rFonts w:hint="eastAsia" w:ascii="宋体" w:hAnsi="宋体"/>
                <w:szCs w:val="21"/>
                <w:lang w:val="en-US" w:eastAsia="zh-CN"/>
              </w:rPr>
              <w:t>0.11</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Cs w:val="21"/>
              </w:rPr>
            </w:pPr>
            <w:r>
              <w:rPr>
                <w:rFonts w:hint="eastAsia" w:ascii="宋体" w:hAnsi="宋体"/>
                <w:szCs w:val="21"/>
              </w:rPr>
              <w:t>～</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szCs w:val="21"/>
                <w:vertAlign w:val="baseline"/>
                <w:lang w:val="en-US"/>
              </w:rPr>
            </w:pPr>
            <w:r>
              <w:rPr>
                <w:rFonts w:hint="eastAsia" w:ascii="宋体" w:hAnsi="宋体"/>
                <w:szCs w:val="21"/>
                <w:vertAlign w:val="baseline"/>
                <w:lang w:val="en-US" w:eastAsia="zh-CN"/>
              </w:rPr>
              <w:t>0.61</w:t>
            </w:r>
          </w:p>
        </w:tc>
        <w:tc>
          <w:tcPr>
            <w:tcW w:w="9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Cs w:val="21"/>
                <w:vertAlign w:val="baseline"/>
                <w:lang w:val="en-US" w:eastAsia="zh-CN"/>
              </w:rPr>
            </w:pPr>
            <w:r>
              <w:rPr>
                <w:rFonts w:hint="eastAsia" w:ascii="宋体" w:hAnsi="宋体"/>
                <w:szCs w:val="21"/>
                <w:lang w:val="en-US" w:eastAsia="zh-CN"/>
              </w:rPr>
              <w:t>0.02</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Cs w:val="21"/>
              </w:rPr>
            </w:pPr>
            <w:r>
              <w:rPr>
                <w:rFonts w:hint="eastAsia" w:ascii="宋体" w:hAnsi="宋体"/>
                <w:szCs w:val="21"/>
              </w:rPr>
              <w:t>～</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szCs w:val="21"/>
                <w:vertAlign w:val="baseline"/>
                <w:lang w:val="en-US"/>
              </w:rPr>
            </w:pPr>
            <w:r>
              <w:rPr>
                <w:rFonts w:hint="eastAsia" w:ascii="宋体" w:hAnsi="宋体"/>
                <w:szCs w:val="21"/>
                <w:vertAlign w:val="baseline"/>
                <w:lang w:val="en-US" w:eastAsia="zh-CN"/>
              </w:rPr>
              <w:t>0.47</w:t>
            </w:r>
          </w:p>
        </w:tc>
        <w:tc>
          <w:tcPr>
            <w:tcW w:w="9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Cs w:val="21"/>
                <w:vertAlign w:val="baseline"/>
                <w:lang w:val="en-US" w:eastAsia="zh-CN"/>
              </w:rPr>
            </w:pPr>
            <w:r>
              <w:rPr>
                <w:rFonts w:hint="eastAsia" w:ascii="宋体" w:hAnsi="宋体"/>
                <w:szCs w:val="21"/>
                <w:lang w:val="en-US" w:eastAsia="zh-CN"/>
              </w:rPr>
              <w:t>0.0042</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Cs w:val="21"/>
              </w:rPr>
            </w:pPr>
            <w:r>
              <w:rPr>
                <w:rFonts w:hint="eastAsia" w:ascii="宋体" w:hAnsi="宋体"/>
                <w:szCs w:val="21"/>
              </w:rPr>
              <w:t>～</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szCs w:val="21"/>
                <w:vertAlign w:val="baseline"/>
                <w:lang w:val="en-US"/>
              </w:rPr>
            </w:pPr>
            <w:r>
              <w:rPr>
                <w:rFonts w:hint="eastAsia" w:ascii="宋体" w:hAnsi="宋体"/>
                <w:szCs w:val="21"/>
                <w:vertAlign w:val="baseline"/>
                <w:lang w:val="en-US" w:eastAsia="zh-CN"/>
              </w:rPr>
              <w:t>0.013</w:t>
            </w:r>
          </w:p>
        </w:tc>
        <w:tc>
          <w:tcPr>
            <w:tcW w:w="9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0.0036</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Cs w:val="21"/>
              </w:rPr>
            </w:pPr>
            <w:r>
              <w:rPr>
                <w:rFonts w:hint="eastAsia" w:ascii="宋体" w:hAnsi="宋体"/>
                <w:szCs w:val="21"/>
              </w:rPr>
              <w:t>～</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Cs w:val="21"/>
                <w:vertAlign w:val="baseline"/>
              </w:rPr>
            </w:pPr>
            <w:r>
              <w:rPr>
                <w:rFonts w:hint="eastAsia" w:ascii="宋体" w:hAnsi="宋体" w:eastAsia="宋体" w:cs="宋体"/>
                <w:b w:val="0"/>
                <w:bCs w:val="0"/>
                <w:kern w:val="2"/>
                <w:sz w:val="21"/>
                <w:szCs w:val="21"/>
                <w:vertAlign w:val="baseline"/>
                <w:lang w:val="en-US" w:eastAsia="zh-CN" w:bidi="ar-SA"/>
              </w:rPr>
              <w:t>0.0296</w:t>
            </w:r>
          </w:p>
        </w:tc>
        <w:tc>
          <w:tcPr>
            <w:tcW w:w="9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kern w:val="2"/>
                <w:sz w:val="21"/>
                <w:szCs w:val="21"/>
                <w:vertAlign w:val="baseline"/>
                <w:lang w:val="en-US" w:eastAsia="zh-CN" w:bidi="ar-SA"/>
              </w:rPr>
            </w:pPr>
            <w:r>
              <w:rPr>
                <w:rFonts w:hint="eastAsia" w:ascii="宋体" w:hAnsi="宋体" w:eastAsia="宋体" w:cs="宋体"/>
                <w:b w:val="0"/>
                <w:bCs w:val="0"/>
                <w:sz w:val="21"/>
                <w:szCs w:val="21"/>
                <w:vertAlign w:val="baseline"/>
                <w:lang w:val="en-US" w:eastAsia="zh-CN"/>
              </w:rPr>
              <w:t>0.0166</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Cs w:val="21"/>
              </w:rPr>
            </w:pPr>
            <w:r>
              <w:rPr>
                <w:rFonts w:hint="eastAsia" w:ascii="宋体" w:hAnsi="宋体"/>
                <w:szCs w:val="21"/>
              </w:rPr>
              <w:t>～</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Cs w:val="21"/>
                <w:vertAlign w:val="baseline"/>
              </w:rPr>
            </w:pPr>
            <w:r>
              <w:rPr>
                <w:rFonts w:hint="eastAsia" w:ascii="宋体" w:hAnsi="宋体" w:eastAsia="宋体" w:cs="宋体"/>
                <w:b w:val="0"/>
                <w:bCs w:val="0"/>
                <w:kern w:val="2"/>
                <w:sz w:val="21"/>
                <w:szCs w:val="21"/>
                <w:vertAlign w:val="baseline"/>
                <w:lang w:val="en-US" w:eastAsia="zh-CN" w:bidi="ar-SA"/>
              </w:rPr>
              <w:t>0.13</w:t>
            </w:r>
          </w:p>
        </w:tc>
      </w:tr>
    </w:tbl>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rPr>
        <w:t>为推动铜冶炼中间产品和固体废料的减量化、无害化处理，实现我国铜冶炼向绿色、节能、环保和高效的方向发展；同时考虑到</w:t>
      </w:r>
      <w:r>
        <w:rPr>
          <w:rFonts w:hint="eastAsia" w:ascii="宋体" w:hAnsi="宋体" w:eastAsia="宋体" w:cs="宋体"/>
          <w:sz w:val="24"/>
          <w:szCs w:val="24"/>
          <w:lang w:val="en-US" w:eastAsia="zh-CN"/>
        </w:rPr>
        <w:t>冰铜</w:t>
      </w:r>
      <w:r>
        <w:rPr>
          <w:rFonts w:hint="eastAsia" w:ascii="宋体" w:hAnsi="宋体" w:eastAsia="宋体" w:cs="宋体"/>
          <w:sz w:val="24"/>
          <w:szCs w:val="24"/>
        </w:rPr>
        <w:t>的产地、来源等各异，</w:t>
      </w:r>
      <w:r>
        <w:rPr>
          <w:rFonts w:hint="eastAsia" w:ascii="宋体" w:hAnsi="宋体" w:eastAsia="宋体" w:cs="宋体"/>
          <w:sz w:val="24"/>
          <w:szCs w:val="24"/>
          <w:lang w:val="en-US" w:eastAsia="zh-CN"/>
        </w:rPr>
        <w:t>对各元素做以下确定：</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cs="宋体"/>
          <w:sz w:val="24"/>
          <w:szCs w:val="24"/>
        </w:rPr>
      </w:pPr>
      <w:r>
        <w:rPr>
          <w:rFonts w:hint="eastAsia" w:ascii="宋体" w:hAnsi="宋体" w:cs="宋体"/>
          <w:sz w:val="24"/>
          <w:szCs w:val="24"/>
          <w:lang w:val="en-US" w:eastAsia="zh-CN"/>
        </w:rPr>
        <w:t>3.3.2.1</w:t>
      </w:r>
      <w:r>
        <w:rPr>
          <w:rFonts w:hint="eastAsia" w:ascii="宋体" w:hAnsi="宋体" w:cs="宋体"/>
          <w:sz w:val="24"/>
          <w:szCs w:val="24"/>
          <w:lang w:eastAsia="zh-CN"/>
        </w:rPr>
        <w:t>铁</w:t>
      </w:r>
      <w:r>
        <w:rPr>
          <w:rFonts w:hint="eastAsia" w:ascii="宋体" w:hAnsi="宋体" w:cs="宋体"/>
          <w:sz w:val="24"/>
          <w:szCs w:val="24"/>
          <w:lang w:val="en-US" w:eastAsia="zh-CN"/>
        </w:rPr>
        <w:t>+硫</w:t>
      </w:r>
      <w:r>
        <w:rPr>
          <w:rFonts w:hint="eastAsia" w:ascii="宋体" w:hAnsi="宋体" w:cs="宋体"/>
          <w:sz w:val="24"/>
          <w:szCs w:val="24"/>
          <w:lang w:eastAsia="zh-CN"/>
        </w:rPr>
        <w:t>含量的确定：</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sz w:val="24"/>
          <w:szCs w:val="24"/>
        </w:rPr>
      </w:pPr>
      <w:r>
        <w:rPr>
          <w:rFonts w:hint="eastAsia" w:ascii="宋体" w:hAnsi="宋体" w:cs="宋体"/>
          <w:sz w:val="24"/>
          <w:szCs w:val="24"/>
          <w:lang w:val="en-US" w:eastAsia="zh-CN"/>
        </w:rPr>
        <w:t xml:space="preserve">   冰铜中</w:t>
      </w:r>
      <w:r>
        <w:rPr>
          <w:rFonts w:hint="eastAsia" w:ascii="宋体" w:hAnsi="宋体"/>
          <w:color w:val="auto"/>
          <w:sz w:val="24"/>
          <w:szCs w:val="24"/>
          <w:lang w:val="en-US" w:eastAsia="zh-CN"/>
        </w:rPr>
        <w:t>Fe、S元素占比较大，</w:t>
      </w:r>
      <w:r>
        <w:rPr>
          <w:rFonts w:hint="eastAsia" w:ascii="宋体" w:hAnsi="宋体"/>
          <w:sz w:val="24"/>
          <w:szCs w:val="24"/>
          <w:lang w:eastAsia="zh-CN"/>
        </w:rPr>
        <w:t>因冰铜贸易对</w:t>
      </w:r>
      <w:r>
        <w:rPr>
          <w:rFonts w:hint="eastAsia" w:ascii="宋体" w:hAnsi="宋体"/>
          <w:color w:val="auto"/>
          <w:sz w:val="24"/>
          <w:szCs w:val="24"/>
          <w:lang w:val="en-US" w:eastAsia="zh-CN"/>
        </w:rPr>
        <w:t>Fe、S元素不计价，</w:t>
      </w:r>
      <w:r>
        <w:rPr>
          <w:rFonts w:hint="eastAsia" w:ascii="宋体" w:hAnsi="宋体"/>
          <w:sz w:val="24"/>
          <w:szCs w:val="24"/>
          <w:lang w:eastAsia="zh-CN"/>
        </w:rPr>
        <w:t>需方一般对</w:t>
      </w:r>
      <w:r>
        <w:rPr>
          <w:rFonts w:hint="eastAsia" w:ascii="宋体" w:hAnsi="宋体" w:cs="宋体"/>
          <w:sz w:val="24"/>
          <w:szCs w:val="24"/>
          <w:lang w:val="en-US" w:eastAsia="zh-CN"/>
        </w:rPr>
        <w:t>S</w:t>
      </w:r>
      <w:r>
        <w:rPr>
          <w:rFonts w:hint="eastAsia" w:ascii="宋体" w:hAnsi="宋体"/>
          <w:sz w:val="24"/>
          <w:szCs w:val="24"/>
          <w:lang w:eastAsia="zh-CN"/>
        </w:rPr>
        <w:t>有下限要求，</w:t>
      </w:r>
      <w:r>
        <w:rPr>
          <w:rFonts w:hint="eastAsia" w:ascii="宋体" w:hAnsi="宋体" w:cs="宋体"/>
          <w:sz w:val="24"/>
          <w:szCs w:val="24"/>
          <w:lang w:val="en-US" w:eastAsia="zh-CN"/>
        </w:rPr>
        <w:t>此次增加对</w:t>
      </w:r>
      <w:r>
        <w:rPr>
          <w:rFonts w:hint="eastAsia" w:ascii="宋体" w:hAnsi="宋体"/>
          <w:color w:val="auto"/>
          <w:sz w:val="24"/>
          <w:szCs w:val="24"/>
          <w:lang w:val="en-US" w:eastAsia="zh-CN"/>
        </w:rPr>
        <w:t>Fe、S元素的控制，规定Fe+S有效成分含量，也有利于海关查验。</w:t>
      </w:r>
      <w:r>
        <w:rPr>
          <w:rFonts w:hint="eastAsia" w:ascii="宋体" w:hAnsi="宋体" w:eastAsia="宋体" w:cs="宋体"/>
          <w:sz w:val="24"/>
          <w:szCs w:val="24"/>
          <w:lang w:eastAsia="zh-CN"/>
        </w:rPr>
        <w:t>根据收集的部分</w:t>
      </w:r>
      <w:r>
        <w:rPr>
          <w:rFonts w:hint="eastAsia" w:ascii="宋体" w:hAnsi="宋体" w:cs="宋体"/>
          <w:sz w:val="24"/>
          <w:szCs w:val="24"/>
        </w:rPr>
        <w:t>铜冶炼生产企业</w:t>
      </w:r>
      <w:r>
        <w:rPr>
          <w:rFonts w:hint="eastAsia" w:ascii="宋体" w:hAnsi="宋体" w:cs="宋体"/>
          <w:sz w:val="24"/>
          <w:szCs w:val="24"/>
          <w:lang w:eastAsia="zh-CN"/>
        </w:rPr>
        <w:t>的数据确定，</w:t>
      </w:r>
      <w:r>
        <w:rPr>
          <w:rFonts w:hint="eastAsia" w:ascii="宋体" w:hAnsi="宋体"/>
          <w:sz w:val="24"/>
          <w:szCs w:val="24"/>
        </w:rPr>
        <w:t>冰铜一级品</w:t>
      </w:r>
      <w:r>
        <w:rPr>
          <w:rFonts w:hint="eastAsia" w:ascii="宋体" w:hAnsi="宋体"/>
          <w:color w:val="auto"/>
          <w:sz w:val="24"/>
          <w:szCs w:val="24"/>
          <w:lang w:val="en-US" w:eastAsia="zh-CN"/>
        </w:rPr>
        <w:t>Fe+S</w:t>
      </w:r>
      <w:r>
        <w:rPr>
          <w:rFonts w:hint="eastAsia" w:ascii="宋体" w:hAnsi="宋体" w:cs="宋体"/>
          <w:sz w:val="24"/>
          <w:szCs w:val="24"/>
          <w:lang w:eastAsia="zh-CN"/>
        </w:rPr>
        <w:t>含量不小于</w:t>
      </w:r>
      <w:r>
        <w:rPr>
          <w:rFonts w:hint="eastAsia" w:ascii="宋体" w:hAnsi="宋体" w:cs="宋体"/>
          <w:sz w:val="24"/>
          <w:szCs w:val="24"/>
          <w:lang w:val="en-US" w:eastAsia="zh-CN"/>
        </w:rPr>
        <w:t>20%</w:t>
      </w:r>
      <w:r>
        <w:rPr>
          <w:rFonts w:hint="eastAsia" w:ascii="宋体" w:hAnsi="宋体"/>
          <w:sz w:val="24"/>
          <w:szCs w:val="24"/>
        </w:rPr>
        <w:t>、</w:t>
      </w:r>
      <w:r>
        <w:rPr>
          <w:rFonts w:hint="eastAsia" w:ascii="宋体" w:hAnsi="宋体"/>
          <w:sz w:val="24"/>
          <w:szCs w:val="24"/>
          <w:lang w:eastAsia="zh-CN"/>
        </w:rPr>
        <w:t>二</w:t>
      </w:r>
      <w:r>
        <w:rPr>
          <w:rFonts w:hint="eastAsia" w:ascii="宋体" w:hAnsi="宋体"/>
          <w:sz w:val="24"/>
          <w:szCs w:val="24"/>
        </w:rPr>
        <w:t>级品</w:t>
      </w:r>
      <w:r>
        <w:rPr>
          <w:rFonts w:hint="eastAsia" w:ascii="宋体" w:hAnsi="宋体"/>
          <w:color w:val="auto"/>
          <w:sz w:val="24"/>
          <w:szCs w:val="24"/>
          <w:lang w:val="en-US" w:eastAsia="zh-CN"/>
        </w:rPr>
        <w:t>Fe+S</w:t>
      </w:r>
      <w:r>
        <w:rPr>
          <w:rFonts w:hint="eastAsia" w:ascii="宋体" w:hAnsi="宋体" w:cs="宋体"/>
          <w:sz w:val="24"/>
          <w:szCs w:val="24"/>
          <w:lang w:eastAsia="zh-CN"/>
        </w:rPr>
        <w:t>含量不小于</w:t>
      </w:r>
      <w:r>
        <w:rPr>
          <w:rFonts w:hint="eastAsia" w:ascii="宋体" w:hAnsi="宋体" w:cs="宋体"/>
          <w:sz w:val="24"/>
          <w:szCs w:val="24"/>
          <w:lang w:val="en-US" w:eastAsia="zh-CN"/>
        </w:rPr>
        <w:t>30%</w:t>
      </w:r>
      <w:r>
        <w:rPr>
          <w:rFonts w:hint="eastAsia" w:ascii="宋体" w:hAnsi="宋体"/>
          <w:sz w:val="24"/>
          <w:szCs w:val="24"/>
        </w:rPr>
        <w:t>、</w:t>
      </w:r>
      <w:r>
        <w:rPr>
          <w:rFonts w:hint="eastAsia" w:ascii="宋体" w:hAnsi="宋体"/>
          <w:sz w:val="24"/>
          <w:szCs w:val="24"/>
          <w:lang w:eastAsia="zh-CN"/>
        </w:rPr>
        <w:t>三</w:t>
      </w:r>
      <w:r>
        <w:rPr>
          <w:rFonts w:hint="eastAsia" w:ascii="宋体" w:hAnsi="宋体"/>
          <w:sz w:val="24"/>
          <w:szCs w:val="24"/>
        </w:rPr>
        <w:t>级品</w:t>
      </w:r>
      <w:r>
        <w:rPr>
          <w:rFonts w:hint="eastAsia" w:ascii="宋体" w:hAnsi="宋体"/>
          <w:color w:val="auto"/>
          <w:sz w:val="24"/>
          <w:szCs w:val="24"/>
          <w:lang w:val="en-US" w:eastAsia="zh-CN"/>
        </w:rPr>
        <w:t>Fe+S</w:t>
      </w:r>
      <w:r>
        <w:rPr>
          <w:rFonts w:hint="eastAsia" w:ascii="宋体" w:hAnsi="宋体" w:cs="宋体"/>
          <w:sz w:val="24"/>
          <w:szCs w:val="24"/>
          <w:lang w:eastAsia="zh-CN"/>
        </w:rPr>
        <w:t>含量不小于</w:t>
      </w:r>
      <w:r>
        <w:rPr>
          <w:rFonts w:hint="eastAsia" w:ascii="宋体" w:hAnsi="宋体" w:cs="宋体"/>
          <w:sz w:val="24"/>
          <w:szCs w:val="24"/>
          <w:lang w:val="en-US" w:eastAsia="zh-CN"/>
        </w:rPr>
        <w:t>55%</w:t>
      </w:r>
      <w:r>
        <w:rPr>
          <w:rFonts w:hint="eastAsia" w:ascii="宋体" w:hAnsi="宋体"/>
          <w:sz w:val="24"/>
          <w:szCs w:val="24"/>
        </w:rPr>
        <w:t>。</w:t>
      </w:r>
    </w:p>
    <w:p>
      <w:pPr>
        <w:keepNext w:val="0"/>
        <w:keepLines w:val="0"/>
        <w:pageBreakBefore w:val="0"/>
        <w:widowControl w:val="0"/>
        <w:kinsoku/>
        <w:wordWrap/>
        <w:overflowPunct/>
        <w:topLinePunct w:val="0"/>
        <w:autoSpaceDE/>
        <w:autoSpaceDN/>
        <w:bidi w:val="0"/>
        <w:adjustRightInd/>
        <w:snapToGrid/>
        <w:spacing w:line="360" w:lineRule="exact"/>
        <w:ind w:firstLine="211" w:firstLineChars="100"/>
        <w:jc w:val="center"/>
        <w:textAlignment w:val="auto"/>
        <w:rPr>
          <w:rFonts w:hint="eastAsia" w:ascii="宋体" w:hAnsi="宋体" w:cs="宋体"/>
          <w:color w:val="auto"/>
          <w:szCs w:val="21"/>
        </w:rPr>
      </w:pPr>
      <w:r>
        <w:rPr>
          <w:rFonts w:hint="eastAsia" w:ascii="宋体" w:hAnsi="宋体" w:cs="宋体"/>
          <w:b/>
          <w:bCs/>
          <w:sz w:val="21"/>
          <w:szCs w:val="21"/>
        </w:rPr>
        <w:t>表</w:t>
      </w:r>
      <w:r>
        <w:rPr>
          <w:rFonts w:hint="eastAsia" w:ascii="宋体" w:hAnsi="宋体" w:cs="宋体"/>
          <w:b/>
          <w:bCs/>
          <w:sz w:val="21"/>
          <w:szCs w:val="21"/>
          <w:lang w:val="en-US" w:eastAsia="zh-CN"/>
        </w:rPr>
        <w:t>4</w:t>
      </w:r>
      <w:r>
        <w:rPr>
          <w:rFonts w:hint="eastAsia" w:ascii="宋体" w:hAnsi="宋体" w:cs="宋体"/>
          <w:b/>
          <w:bCs/>
          <w:sz w:val="21"/>
          <w:szCs w:val="21"/>
        </w:rPr>
        <w:t>“冰铜的</w:t>
      </w:r>
      <w:r>
        <w:rPr>
          <w:rFonts w:hint="eastAsia" w:ascii="宋体" w:hAnsi="宋体"/>
          <w:b/>
          <w:bCs/>
          <w:color w:val="auto"/>
          <w:sz w:val="21"/>
          <w:szCs w:val="21"/>
          <w:lang w:val="en-US" w:eastAsia="zh-CN"/>
        </w:rPr>
        <w:t>Fe、S</w:t>
      </w:r>
      <w:r>
        <w:rPr>
          <w:rFonts w:hint="eastAsia" w:ascii="宋体" w:hAnsi="宋体" w:cs="宋体"/>
          <w:b/>
          <w:bCs/>
          <w:sz w:val="21"/>
          <w:szCs w:val="21"/>
        </w:rPr>
        <w:t>含量</w:t>
      </w:r>
      <w:r>
        <w:rPr>
          <w:rFonts w:hint="eastAsia" w:ascii="宋体" w:hAnsi="宋体" w:cs="宋体"/>
          <w:b/>
          <w:bCs/>
          <w:sz w:val="21"/>
          <w:szCs w:val="21"/>
          <w:lang w:eastAsia="zh-CN"/>
        </w:rPr>
        <w:t>统计</w:t>
      </w:r>
      <w:r>
        <w:rPr>
          <w:rFonts w:hint="eastAsia" w:ascii="宋体" w:hAnsi="宋体" w:cs="宋体"/>
          <w:b/>
          <w:bCs/>
          <w:sz w:val="21"/>
          <w:szCs w:val="21"/>
        </w:rPr>
        <w:t>表”</w:t>
      </w:r>
      <w:r>
        <w:rPr>
          <w:rFonts w:hint="eastAsia" w:ascii="宋体" w:hAnsi="宋体"/>
          <w:b/>
          <w:bCs/>
          <w:color w:val="auto"/>
          <w:sz w:val="21"/>
          <w:szCs w:val="21"/>
        </w:rPr>
        <w:t>（质量分数）/%</w:t>
      </w:r>
    </w:p>
    <w:tbl>
      <w:tblPr>
        <w:tblStyle w:val="13"/>
        <w:tblW w:w="85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4"/>
        <w:gridCol w:w="2635"/>
        <w:gridCol w:w="2406"/>
        <w:gridCol w:w="2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4" w:type="dxa"/>
            <w:noWrap w:val="0"/>
            <w:vAlign w:val="center"/>
          </w:tcPr>
          <w:p>
            <w:pPr>
              <w:spacing w:line="360" w:lineRule="auto"/>
              <w:jc w:val="center"/>
              <w:rPr>
                <w:rFonts w:hint="eastAsia" w:ascii="宋体" w:hAnsi="宋体" w:cs="宋体"/>
                <w:b w:val="0"/>
                <w:bCs w:val="0"/>
                <w:color w:val="auto"/>
                <w:szCs w:val="21"/>
                <w:vertAlign w:val="baseline"/>
              </w:rPr>
            </w:pPr>
            <w:r>
              <w:rPr>
                <w:rFonts w:hint="eastAsia" w:ascii="宋体" w:hAnsi="宋体"/>
                <w:color w:val="auto"/>
                <w:sz w:val="21"/>
                <w:szCs w:val="21"/>
                <w:vertAlign w:val="baseline"/>
                <w:lang w:eastAsia="zh-CN"/>
              </w:rPr>
              <w:t>品级</w:t>
            </w:r>
          </w:p>
        </w:tc>
        <w:tc>
          <w:tcPr>
            <w:tcW w:w="2635" w:type="dxa"/>
            <w:noWrap w:val="0"/>
            <w:vAlign w:val="center"/>
          </w:tcPr>
          <w:p>
            <w:pPr>
              <w:spacing w:line="500" w:lineRule="exact"/>
              <w:jc w:val="center"/>
              <w:rPr>
                <w:rFonts w:hint="eastAsia" w:ascii="宋体" w:hAnsi="宋体" w:cs="宋体"/>
                <w:b w:val="0"/>
                <w:bCs w:val="0"/>
                <w:color w:val="auto"/>
                <w:szCs w:val="21"/>
                <w:vertAlign w:val="baseline"/>
              </w:rPr>
            </w:pPr>
            <w:r>
              <w:rPr>
                <w:rFonts w:hint="eastAsia" w:ascii="宋体" w:hAnsi="宋体"/>
                <w:b w:val="0"/>
                <w:bCs w:val="0"/>
                <w:color w:val="auto"/>
                <w:sz w:val="21"/>
                <w:szCs w:val="21"/>
                <w:lang w:val="en-US" w:eastAsia="zh-CN"/>
              </w:rPr>
              <w:t xml:space="preserve">Fe </w:t>
            </w:r>
            <w:r>
              <w:rPr>
                <w:rFonts w:hint="eastAsia" w:ascii="宋体" w:hAnsi="宋体"/>
                <w:b w:val="0"/>
                <w:bCs w:val="0"/>
                <w:color w:val="auto"/>
                <w:sz w:val="18"/>
                <w:szCs w:val="18"/>
                <w:lang w:val="en-US" w:eastAsia="zh-CN"/>
              </w:rPr>
              <w:t>（范围值/均值）</w:t>
            </w:r>
          </w:p>
        </w:tc>
        <w:tc>
          <w:tcPr>
            <w:tcW w:w="2406" w:type="dxa"/>
            <w:noWrap w:val="0"/>
            <w:vAlign w:val="center"/>
          </w:tcPr>
          <w:p>
            <w:pPr>
              <w:spacing w:line="500" w:lineRule="exact"/>
              <w:jc w:val="center"/>
              <w:rPr>
                <w:rFonts w:hint="eastAsia" w:ascii="宋体" w:hAnsi="宋体"/>
                <w:b w:val="0"/>
                <w:bCs w:val="0"/>
                <w:color w:val="auto"/>
                <w:sz w:val="21"/>
                <w:szCs w:val="21"/>
                <w:lang w:val="en-US" w:eastAsia="zh-CN"/>
              </w:rPr>
            </w:pPr>
            <w:r>
              <w:rPr>
                <w:rFonts w:hint="eastAsia" w:ascii="宋体" w:hAnsi="宋体"/>
                <w:b w:val="0"/>
                <w:bCs w:val="0"/>
                <w:color w:val="auto"/>
                <w:sz w:val="21"/>
                <w:szCs w:val="21"/>
                <w:lang w:val="en-US" w:eastAsia="zh-CN"/>
              </w:rPr>
              <w:t xml:space="preserve">S </w:t>
            </w:r>
            <w:r>
              <w:rPr>
                <w:rFonts w:hint="eastAsia" w:ascii="宋体" w:hAnsi="宋体"/>
                <w:b w:val="0"/>
                <w:bCs w:val="0"/>
                <w:color w:val="auto"/>
                <w:sz w:val="18"/>
                <w:szCs w:val="18"/>
                <w:lang w:val="en-US" w:eastAsia="zh-CN"/>
              </w:rPr>
              <w:t>（范围值/均值）</w:t>
            </w:r>
          </w:p>
        </w:tc>
        <w:tc>
          <w:tcPr>
            <w:tcW w:w="2406" w:type="dxa"/>
            <w:noWrap w:val="0"/>
            <w:vAlign w:val="center"/>
          </w:tcPr>
          <w:p>
            <w:pPr>
              <w:spacing w:line="240" w:lineRule="exact"/>
              <w:jc w:val="center"/>
              <w:rPr>
                <w:rFonts w:hint="eastAsia" w:ascii="宋体" w:hAnsi="宋体"/>
                <w:b w:val="0"/>
                <w:bCs w:val="0"/>
                <w:color w:val="auto"/>
                <w:sz w:val="21"/>
                <w:szCs w:val="21"/>
                <w:lang w:val="en-US" w:eastAsia="zh-CN"/>
              </w:rPr>
            </w:pPr>
            <w:r>
              <w:rPr>
                <w:rFonts w:hint="eastAsia" w:ascii="宋体" w:hAnsi="宋体"/>
                <w:color w:val="auto"/>
                <w:sz w:val="18"/>
                <w:szCs w:val="18"/>
                <w:lang w:val="en-US" w:eastAsia="zh-CN"/>
              </w:rPr>
              <w:t>本文件Fe+</w:t>
            </w:r>
            <w:r>
              <w:rPr>
                <w:rFonts w:hint="eastAsia" w:ascii="宋体" w:hAnsi="宋体"/>
                <w:color w:val="auto"/>
                <w:sz w:val="18"/>
                <w:szCs w:val="18"/>
              </w:rPr>
              <w:t>S</w:t>
            </w:r>
            <w:r>
              <w:rPr>
                <w:rFonts w:hint="eastAsia" w:ascii="宋体" w:hAnsi="宋体"/>
                <w:color w:val="auto"/>
                <w:sz w:val="18"/>
                <w:szCs w:val="18"/>
                <w:lang w:eastAsia="zh-CN"/>
              </w:rPr>
              <w:t>不小于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114" w:type="dxa"/>
            <w:noWrap w:val="0"/>
            <w:vAlign w:val="center"/>
          </w:tcPr>
          <w:p>
            <w:pPr>
              <w:spacing w:line="240" w:lineRule="exact"/>
              <w:jc w:val="center"/>
              <w:rPr>
                <w:rFonts w:hint="eastAsia" w:ascii="宋体" w:hAnsi="宋体" w:eastAsia="宋体"/>
                <w:color w:val="auto"/>
                <w:kern w:val="2"/>
                <w:sz w:val="21"/>
                <w:szCs w:val="21"/>
                <w:lang w:val="en-US" w:eastAsia="zh-CN" w:bidi="ar-SA"/>
              </w:rPr>
            </w:pPr>
            <w:r>
              <w:rPr>
                <w:rFonts w:hint="eastAsia" w:ascii="宋体" w:hAnsi="宋体"/>
                <w:color w:val="auto"/>
                <w:sz w:val="21"/>
                <w:szCs w:val="21"/>
              </w:rPr>
              <w:t>一级</w:t>
            </w:r>
          </w:p>
        </w:tc>
        <w:tc>
          <w:tcPr>
            <w:tcW w:w="2635" w:type="dxa"/>
            <w:noWrap w:val="0"/>
            <w:vAlign w:val="center"/>
          </w:tcPr>
          <w:p>
            <w:pPr>
              <w:spacing w:line="240" w:lineRule="exact"/>
              <w:jc w:val="center"/>
              <w:rPr>
                <w:rFonts w:hint="eastAsia" w:ascii="宋体" w:hAnsi="宋体" w:eastAsia="宋体"/>
                <w:color w:val="auto"/>
                <w:spacing w:val="0"/>
                <w:kern w:val="2"/>
                <w:sz w:val="21"/>
                <w:szCs w:val="21"/>
                <w:lang w:val="en-US" w:eastAsia="zh-CN" w:bidi="ar-SA"/>
              </w:rPr>
            </w:pPr>
            <w:r>
              <w:rPr>
                <w:rFonts w:hint="eastAsia" w:ascii="宋体" w:hAnsi="宋体"/>
                <w:color w:val="auto"/>
                <w:sz w:val="21"/>
                <w:szCs w:val="21"/>
                <w:lang w:val="en-US" w:eastAsia="zh-CN"/>
              </w:rPr>
              <w:t>10.54 - 10.9 / (10.66)</w:t>
            </w:r>
          </w:p>
        </w:tc>
        <w:tc>
          <w:tcPr>
            <w:tcW w:w="2406" w:type="dxa"/>
            <w:noWrap w:val="0"/>
            <w:vAlign w:val="center"/>
          </w:tcPr>
          <w:p>
            <w:pPr>
              <w:spacing w:line="240" w:lineRule="exact"/>
              <w:jc w:val="center"/>
              <w:rPr>
                <w:rFonts w:hint="eastAsia" w:ascii="宋体" w:hAnsi="宋体"/>
                <w:color w:val="auto"/>
                <w:sz w:val="21"/>
                <w:szCs w:val="21"/>
                <w:lang w:val="en-US" w:eastAsia="zh-CN"/>
              </w:rPr>
            </w:pPr>
            <w:r>
              <w:rPr>
                <w:rFonts w:hint="eastAsia" w:ascii="宋体" w:hAnsi="宋体"/>
                <w:color w:val="auto"/>
                <w:sz w:val="21"/>
                <w:szCs w:val="21"/>
                <w:lang w:val="en-US" w:eastAsia="zh-CN"/>
              </w:rPr>
              <w:t>20.49 - 21.08 /(20.81)</w:t>
            </w:r>
          </w:p>
        </w:tc>
        <w:tc>
          <w:tcPr>
            <w:tcW w:w="2406" w:type="dxa"/>
            <w:noWrap w:val="0"/>
            <w:vAlign w:val="center"/>
          </w:tcPr>
          <w:p>
            <w:pPr>
              <w:spacing w:line="240" w:lineRule="exact"/>
              <w:jc w:val="center"/>
              <w:rPr>
                <w:rFonts w:hint="eastAsia" w:ascii="宋体" w:hAnsi="宋体"/>
                <w:color w:val="auto"/>
                <w:sz w:val="21"/>
                <w:szCs w:val="21"/>
                <w:lang w:val="en-US" w:eastAsia="zh-CN"/>
              </w:rPr>
            </w:pPr>
            <w:r>
              <w:rPr>
                <w:rFonts w:hint="eastAsia" w:ascii="宋体" w:hAnsi="宋体"/>
                <w:color w:val="auto"/>
                <w:sz w:val="18"/>
                <w:szCs w:val="18"/>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114" w:type="dxa"/>
            <w:noWrap w:val="0"/>
            <w:vAlign w:val="center"/>
          </w:tcPr>
          <w:p>
            <w:pPr>
              <w:spacing w:line="240" w:lineRule="exact"/>
              <w:jc w:val="center"/>
              <w:rPr>
                <w:rFonts w:hint="eastAsia" w:ascii="宋体" w:hAnsi="宋体" w:eastAsia="宋体"/>
                <w:color w:val="auto"/>
                <w:kern w:val="2"/>
                <w:sz w:val="21"/>
                <w:szCs w:val="21"/>
                <w:lang w:val="en-US" w:eastAsia="zh-CN" w:bidi="ar-SA"/>
              </w:rPr>
            </w:pPr>
            <w:r>
              <w:rPr>
                <w:rFonts w:hint="eastAsia" w:ascii="宋体" w:hAnsi="宋体"/>
                <w:color w:val="auto"/>
                <w:sz w:val="21"/>
                <w:szCs w:val="21"/>
              </w:rPr>
              <w:t>二级</w:t>
            </w:r>
          </w:p>
        </w:tc>
        <w:tc>
          <w:tcPr>
            <w:tcW w:w="2635" w:type="dxa"/>
            <w:noWrap w:val="0"/>
            <w:vAlign w:val="center"/>
          </w:tcPr>
          <w:p>
            <w:pPr>
              <w:spacing w:line="240" w:lineRule="exact"/>
              <w:jc w:val="center"/>
              <w:rPr>
                <w:rFonts w:hint="eastAsia" w:ascii="宋体" w:hAnsi="宋体" w:eastAsia="宋体"/>
                <w:color w:val="auto"/>
                <w:spacing w:val="0"/>
                <w:kern w:val="2"/>
                <w:sz w:val="21"/>
                <w:szCs w:val="21"/>
                <w:lang w:val="en-US" w:eastAsia="zh-CN" w:bidi="ar-SA"/>
              </w:rPr>
            </w:pPr>
            <w:r>
              <w:rPr>
                <w:rFonts w:hint="eastAsia" w:ascii="宋体" w:hAnsi="宋体"/>
                <w:color w:val="auto"/>
                <w:sz w:val="21"/>
                <w:szCs w:val="21"/>
                <w:lang w:val="en-US" w:eastAsia="zh-CN"/>
              </w:rPr>
              <w:t>8.06 - 24.13 / (14.1)</w:t>
            </w:r>
          </w:p>
        </w:tc>
        <w:tc>
          <w:tcPr>
            <w:tcW w:w="2406" w:type="dxa"/>
            <w:noWrap w:val="0"/>
            <w:vAlign w:val="center"/>
          </w:tcPr>
          <w:p>
            <w:pPr>
              <w:spacing w:line="240" w:lineRule="exact"/>
              <w:jc w:val="center"/>
              <w:rPr>
                <w:rFonts w:hint="eastAsia" w:ascii="宋体" w:hAnsi="宋体"/>
                <w:color w:val="auto"/>
                <w:sz w:val="21"/>
                <w:szCs w:val="21"/>
                <w:lang w:val="en-US" w:eastAsia="zh-CN"/>
              </w:rPr>
            </w:pPr>
            <w:r>
              <w:rPr>
                <w:rFonts w:hint="eastAsia" w:ascii="宋体" w:hAnsi="宋体"/>
                <w:color w:val="auto"/>
                <w:sz w:val="21"/>
                <w:szCs w:val="21"/>
                <w:lang w:val="en-US" w:eastAsia="zh-CN"/>
              </w:rPr>
              <w:t>18.99 - 22.17 /(20.43)</w:t>
            </w:r>
          </w:p>
        </w:tc>
        <w:tc>
          <w:tcPr>
            <w:tcW w:w="2406" w:type="dxa"/>
            <w:noWrap w:val="0"/>
            <w:vAlign w:val="center"/>
          </w:tcPr>
          <w:p>
            <w:pPr>
              <w:spacing w:line="240" w:lineRule="exact"/>
              <w:jc w:val="center"/>
              <w:rPr>
                <w:rFonts w:hint="eastAsia" w:ascii="宋体" w:hAnsi="宋体"/>
                <w:color w:val="auto"/>
                <w:sz w:val="21"/>
                <w:szCs w:val="21"/>
                <w:lang w:val="en-US" w:eastAsia="zh-CN"/>
              </w:rPr>
            </w:pPr>
            <w:r>
              <w:rPr>
                <w:rFonts w:hint="eastAsia" w:ascii="宋体" w:hAnsi="宋体"/>
                <w:color w:val="auto"/>
                <w:sz w:val="18"/>
                <w:szCs w:val="18"/>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114" w:type="dxa"/>
            <w:noWrap w:val="0"/>
            <w:vAlign w:val="center"/>
          </w:tcPr>
          <w:p>
            <w:pPr>
              <w:spacing w:line="240" w:lineRule="exact"/>
              <w:jc w:val="center"/>
              <w:rPr>
                <w:rFonts w:hint="eastAsia" w:ascii="宋体" w:hAnsi="宋体" w:eastAsia="宋体"/>
                <w:color w:val="auto"/>
                <w:kern w:val="2"/>
                <w:sz w:val="21"/>
                <w:szCs w:val="21"/>
                <w:lang w:val="en-US" w:eastAsia="zh-CN" w:bidi="ar-SA"/>
              </w:rPr>
            </w:pPr>
            <w:r>
              <w:rPr>
                <w:rFonts w:hint="eastAsia" w:ascii="宋体" w:hAnsi="宋体"/>
                <w:color w:val="auto"/>
                <w:sz w:val="21"/>
                <w:szCs w:val="21"/>
              </w:rPr>
              <w:t>三级</w:t>
            </w:r>
          </w:p>
        </w:tc>
        <w:tc>
          <w:tcPr>
            <w:tcW w:w="2635" w:type="dxa"/>
            <w:noWrap w:val="0"/>
            <w:vAlign w:val="center"/>
          </w:tcPr>
          <w:p>
            <w:pPr>
              <w:spacing w:line="240" w:lineRule="exact"/>
              <w:jc w:val="center"/>
              <w:rPr>
                <w:rFonts w:hint="eastAsia" w:ascii="宋体" w:hAnsi="宋体" w:eastAsia="宋体"/>
                <w:color w:val="auto"/>
                <w:spacing w:val="0"/>
                <w:kern w:val="2"/>
                <w:sz w:val="21"/>
                <w:szCs w:val="21"/>
                <w:lang w:val="en-US" w:eastAsia="zh-CN" w:bidi="ar-SA"/>
              </w:rPr>
            </w:pPr>
            <w:r>
              <w:rPr>
                <w:rFonts w:hint="eastAsia" w:ascii="宋体" w:hAnsi="宋体"/>
                <w:color w:val="auto"/>
                <w:sz w:val="21"/>
                <w:szCs w:val="21"/>
                <w:lang w:val="en-US" w:eastAsia="zh-CN"/>
              </w:rPr>
              <w:t>37.97 - 52.96 / (41.11)</w:t>
            </w:r>
          </w:p>
        </w:tc>
        <w:tc>
          <w:tcPr>
            <w:tcW w:w="2406" w:type="dxa"/>
            <w:noWrap w:val="0"/>
            <w:vAlign w:val="center"/>
          </w:tcPr>
          <w:p>
            <w:pPr>
              <w:spacing w:line="240" w:lineRule="exact"/>
              <w:jc w:val="center"/>
              <w:rPr>
                <w:rFonts w:hint="eastAsia" w:ascii="宋体" w:hAnsi="宋体"/>
                <w:color w:val="auto"/>
                <w:sz w:val="21"/>
                <w:szCs w:val="21"/>
                <w:lang w:val="en-US" w:eastAsia="zh-CN"/>
              </w:rPr>
            </w:pPr>
            <w:r>
              <w:rPr>
                <w:rFonts w:hint="eastAsia" w:ascii="宋体" w:hAnsi="宋体"/>
                <w:color w:val="auto"/>
                <w:sz w:val="21"/>
                <w:szCs w:val="21"/>
                <w:lang w:val="en-US" w:eastAsia="zh-CN"/>
              </w:rPr>
              <w:t>17.11 - 25.28 /(22.32)</w:t>
            </w:r>
          </w:p>
        </w:tc>
        <w:tc>
          <w:tcPr>
            <w:tcW w:w="2406" w:type="dxa"/>
            <w:noWrap w:val="0"/>
            <w:vAlign w:val="center"/>
          </w:tcPr>
          <w:p>
            <w:pPr>
              <w:spacing w:line="240" w:lineRule="exact"/>
              <w:jc w:val="center"/>
              <w:rPr>
                <w:rFonts w:hint="eastAsia" w:ascii="宋体" w:hAnsi="宋体"/>
                <w:color w:val="auto"/>
                <w:sz w:val="21"/>
                <w:szCs w:val="21"/>
                <w:lang w:val="en-US" w:eastAsia="zh-CN"/>
              </w:rPr>
            </w:pPr>
            <w:r>
              <w:rPr>
                <w:rFonts w:hint="eastAsia" w:ascii="宋体" w:hAnsi="宋体"/>
                <w:color w:val="auto"/>
                <w:sz w:val="18"/>
                <w:szCs w:val="18"/>
                <w:lang w:val="en-US" w:eastAsia="zh-CN"/>
              </w:rPr>
              <w:t>55</w:t>
            </w:r>
          </w:p>
        </w:tc>
      </w:tr>
    </w:tbl>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cs="宋体"/>
          <w:sz w:val="24"/>
          <w:szCs w:val="24"/>
        </w:rPr>
      </w:pPr>
      <w:r>
        <w:rPr>
          <w:rFonts w:hint="eastAsia" w:ascii="宋体" w:hAnsi="宋体" w:cs="宋体"/>
          <w:sz w:val="24"/>
          <w:szCs w:val="24"/>
          <w:lang w:val="en-US" w:eastAsia="zh-CN"/>
        </w:rPr>
        <w:t>3.3.2.2</w:t>
      </w:r>
      <w:r>
        <w:rPr>
          <w:rFonts w:hint="eastAsia" w:ascii="宋体" w:hAnsi="宋体" w:cs="宋体"/>
          <w:sz w:val="24"/>
          <w:szCs w:val="24"/>
        </w:rPr>
        <w:t>杂质</w:t>
      </w:r>
      <w:r>
        <w:rPr>
          <w:rFonts w:hint="eastAsia" w:ascii="宋体" w:hAnsi="宋体" w:cs="宋体"/>
          <w:sz w:val="24"/>
          <w:szCs w:val="24"/>
          <w:lang w:eastAsia="zh-CN"/>
        </w:rPr>
        <w:t>铅</w:t>
      </w:r>
      <w:r>
        <w:rPr>
          <w:rFonts w:hint="eastAsia" w:ascii="宋体" w:hAnsi="宋体" w:cs="宋体"/>
          <w:sz w:val="24"/>
          <w:szCs w:val="24"/>
        </w:rPr>
        <w:t>范围的确定：</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i w:val="0"/>
          <w:iCs w:val="0"/>
          <w:sz w:val="24"/>
          <w:szCs w:val="24"/>
          <w:lang w:eastAsia="zh-CN"/>
        </w:rPr>
      </w:pPr>
      <w:r>
        <w:rPr>
          <w:rFonts w:hint="eastAsia" w:ascii="宋体" w:hAnsi="宋体" w:cs="宋体"/>
          <w:sz w:val="24"/>
          <w:szCs w:val="24"/>
          <w:lang w:eastAsia="zh-CN"/>
        </w:rPr>
        <w:t>一是参考</w:t>
      </w:r>
      <w:r>
        <w:rPr>
          <w:rFonts w:hint="eastAsia" w:ascii="宋体" w:hAnsi="宋体" w:cs="宋体"/>
          <w:sz w:val="24"/>
          <w:szCs w:val="24"/>
        </w:rPr>
        <w:t>GB20424-2006《重金属精矿产品中有害元素的限量规范》中</w:t>
      </w:r>
      <w:r>
        <w:rPr>
          <w:rFonts w:hint="eastAsia" w:ascii="宋体" w:hAnsi="宋体" w:cs="宋体"/>
          <w:sz w:val="24"/>
          <w:szCs w:val="24"/>
          <w:lang w:eastAsia="zh-CN"/>
        </w:rPr>
        <w:t>铜精矿</w:t>
      </w:r>
      <w:r>
        <w:rPr>
          <w:rFonts w:hint="eastAsia" w:ascii="宋体" w:hAnsi="宋体"/>
          <w:color w:val="auto"/>
          <w:sz w:val="24"/>
          <w:szCs w:val="24"/>
        </w:rPr>
        <w:t>Pb</w:t>
      </w:r>
      <w:r>
        <w:rPr>
          <w:rFonts w:hint="eastAsia" w:ascii="宋体" w:hAnsi="宋体" w:cs="宋体"/>
          <w:sz w:val="24"/>
          <w:szCs w:val="24"/>
        </w:rPr>
        <w:t>含量不大于6.0%要求</w:t>
      </w:r>
      <w:r>
        <w:rPr>
          <w:rFonts w:hint="eastAsia" w:ascii="宋体" w:hAnsi="宋体" w:cs="宋体"/>
          <w:sz w:val="24"/>
          <w:szCs w:val="24"/>
          <w:lang w:eastAsia="zh-CN"/>
        </w:rPr>
        <w:t>；二是</w:t>
      </w:r>
      <w:r>
        <w:rPr>
          <w:rFonts w:hint="eastAsia" w:ascii="宋体" w:hAnsi="宋体" w:eastAsia="宋体" w:cs="宋体"/>
          <w:sz w:val="24"/>
          <w:szCs w:val="24"/>
          <w:lang w:eastAsia="zh-CN"/>
        </w:rPr>
        <w:t>结合</w:t>
      </w:r>
      <w:r>
        <w:rPr>
          <w:rFonts w:hint="eastAsia" w:ascii="宋体" w:hAnsi="宋体" w:cs="宋体"/>
          <w:sz w:val="24"/>
          <w:szCs w:val="24"/>
        </w:rPr>
        <w:t>生产实际分析</w:t>
      </w:r>
      <w:r>
        <w:rPr>
          <w:rFonts w:hint="eastAsia" w:ascii="宋体" w:hAnsi="宋体" w:cs="宋体"/>
          <w:sz w:val="24"/>
          <w:szCs w:val="24"/>
          <w:lang w:eastAsia="zh-CN"/>
        </w:rPr>
        <w:t>，</w:t>
      </w:r>
      <w:r>
        <w:rPr>
          <w:rFonts w:hint="eastAsia" w:ascii="宋体" w:hAnsi="宋体" w:cs="宋体"/>
          <w:sz w:val="24"/>
          <w:szCs w:val="24"/>
        </w:rPr>
        <w:t>由于铅和铜的液态溶解极为有限 ，所以吹炼过程中铅较容易除去</w:t>
      </w:r>
      <w:r>
        <w:rPr>
          <w:rFonts w:hint="eastAsia" w:ascii="宋体" w:hAnsi="宋体" w:cs="宋体"/>
          <w:sz w:val="24"/>
          <w:szCs w:val="24"/>
          <w:lang w:eastAsia="zh-CN"/>
        </w:rPr>
        <w:t>，随着</w:t>
      </w:r>
      <w:r>
        <w:rPr>
          <w:rFonts w:hint="eastAsia" w:ascii="宋体" w:hAnsi="宋体" w:cs="宋体"/>
          <w:sz w:val="24"/>
          <w:szCs w:val="24"/>
        </w:rPr>
        <w:t>冰铜品位的提高 ，铅脱除率明显升高</w:t>
      </w:r>
      <w:r>
        <w:rPr>
          <w:rFonts w:hint="eastAsia" w:ascii="宋体" w:hAnsi="宋体" w:cs="宋体"/>
          <w:sz w:val="24"/>
          <w:szCs w:val="24"/>
          <w:lang w:eastAsia="zh-CN"/>
        </w:rPr>
        <w:t>；三是根据</w:t>
      </w:r>
      <w:r>
        <w:rPr>
          <w:rFonts w:hint="eastAsia" w:ascii="宋体" w:hAnsi="宋体" w:eastAsia="宋体" w:cs="宋体"/>
          <w:sz w:val="24"/>
          <w:szCs w:val="24"/>
          <w:lang w:eastAsia="zh-CN"/>
        </w:rPr>
        <w:t>收集的部分</w:t>
      </w:r>
      <w:r>
        <w:rPr>
          <w:rFonts w:hint="eastAsia" w:ascii="宋体" w:hAnsi="宋体" w:cs="宋体"/>
          <w:sz w:val="24"/>
          <w:szCs w:val="24"/>
        </w:rPr>
        <w:t>铜冶炼生产企业</w:t>
      </w:r>
      <w:r>
        <w:rPr>
          <w:rFonts w:hint="eastAsia" w:ascii="宋体" w:hAnsi="宋体" w:cs="宋体"/>
          <w:sz w:val="24"/>
          <w:szCs w:val="24"/>
          <w:lang w:eastAsia="zh-CN"/>
        </w:rPr>
        <w:t>的数据确定，</w:t>
      </w:r>
      <w:r>
        <w:rPr>
          <w:rFonts w:hint="eastAsia" w:ascii="宋体" w:hAnsi="宋体"/>
          <w:sz w:val="24"/>
          <w:szCs w:val="24"/>
        </w:rPr>
        <w:t>冰铜一级品</w:t>
      </w:r>
      <w:r>
        <w:rPr>
          <w:rFonts w:hint="eastAsia" w:ascii="宋体" w:hAnsi="宋体"/>
          <w:color w:val="auto"/>
          <w:sz w:val="24"/>
          <w:szCs w:val="24"/>
        </w:rPr>
        <w:t>Pb</w:t>
      </w:r>
      <w:r>
        <w:rPr>
          <w:rFonts w:hint="eastAsia" w:ascii="宋体" w:hAnsi="宋体" w:cs="宋体"/>
          <w:sz w:val="24"/>
          <w:szCs w:val="24"/>
          <w:lang w:eastAsia="zh-CN"/>
        </w:rPr>
        <w:t>含量不大于</w:t>
      </w:r>
      <w:r>
        <w:rPr>
          <w:rFonts w:hint="eastAsia" w:ascii="宋体" w:hAnsi="宋体" w:cs="宋体"/>
          <w:sz w:val="24"/>
          <w:szCs w:val="24"/>
          <w:lang w:val="en-US" w:eastAsia="zh-CN"/>
        </w:rPr>
        <w:t>1.5%</w:t>
      </w:r>
      <w:r>
        <w:rPr>
          <w:rFonts w:hint="eastAsia" w:ascii="宋体" w:hAnsi="宋体"/>
          <w:sz w:val="24"/>
          <w:szCs w:val="24"/>
        </w:rPr>
        <w:t>、</w:t>
      </w:r>
      <w:r>
        <w:rPr>
          <w:rFonts w:hint="eastAsia" w:ascii="宋体" w:hAnsi="宋体"/>
          <w:sz w:val="24"/>
          <w:szCs w:val="24"/>
          <w:lang w:eastAsia="zh-CN"/>
        </w:rPr>
        <w:t>二</w:t>
      </w:r>
      <w:r>
        <w:rPr>
          <w:rFonts w:hint="eastAsia" w:ascii="宋体" w:hAnsi="宋体"/>
          <w:sz w:val="24"/>
          <w:szCs w:val="24"/>
        </w:rPr>
        <w:t>级品</w:t>
      </w:r>
      <w:r>
        <w:rPr>
          <w:rFonts w:hint="eastAsia" w:ascii="宋体" w:hAnsi="宋体"/>
          <w:color w:val="auto"/>
          <w:sz w:val="24"/>
          <w:szCs w:val="24"/>
        </w:rPr>
        <w:t>Pb</w:t>
      </w:r>
      <w:r>
        <w:rPr>
          <w:rFonts w:hint="eastAsia" w:ascii="宋体" w:hAnsi="宋体" w:cs="宋体"/>
          <w:sz w:val="24"/>
          <w:szCs w:val="24"/>
          <w:lang w:eastAsia="zh-CN"/>
        </w:rPr>
        <w:t>含量不大于</w:t>
      </w:r>
      <w:r>
        <w:rPr>
          <w:rFonts w:hint="eastAsia" w:ascii="宋体" w:hAnsi="宋体" w:cs="宋体"/>
          <w:sz w:val="24"/>
          <w:szCs w:val="24"/>
          <w:lang w:val="en-US" w:eastAsia="zh-CN"/>
        </w:rPr>
        <w:t>2%</w:t>
      </w:r>
      <w:r>
        <w:rPr>
          <w:rFonts w:hint="eastAsia" w:ascii="宋体" w:hAnsi="宋体"/>
          <w:sz w:val="24"/>
          <w:szCs w:val="24"/>
        </w:rPr>
        <w:t>、</w:t>
      </w:r>
      <w:r>
        <w:rPr>
          <w:rFonts w:hint="eastAsia" w:ascii="宋体" w:hAnsi="宋体"/>
          <w:sz w:val="24"/>
          <w:szCs w:val="24"/>
          <w:lang w:eastAsia="zh-CN"/>
        </w:rPr>
        <w:t>三</w:t>
      </w:r>
      <w:r>
        <w:rPr>
          <w:rFonts w:hint="eastAsia" w:ascii="宋体" w:hAnsi="宋体"/>
          <w:sz w:val="24"/>
          <w:szCs w:val="24"/>
        </w:rPr>
        <w:t>级品</w:t>
      </w:r>
      <w:r>
        <w:rPr>
          <w:rFonts w:hint="eastAsia" w:ascii="宋体" w:hAnsi="宋体"/>
          <w:color w:val="auto"/>
          <w:sz w:val="24"/>
          <w:szCs w:val="24"/>
        </w:rPr>
        <w:t>Pb</w:t>
      </w:r>
      <w:r>
        <w:rPr>
          <w:rFonts w:hint="eastAsia" w:ascii="宋体" w:hAnsi="宋体" w:cs="宋体"/>
          <w:sz w:val="24"/>
          <w:szCs w:val="24"/>
          <w:lang w:eastAsia="zh-CN"/>
        </w:rPr>
        <w:t>含量不大于</w:t>
      </w:r>
      <w:r>
        <w:rPr>
          <w:rFonts w:hint="eastAsia" w:ascii="宋体" w:hAnsi="宋体" w:cs="宋体"/>
          <w:sz w:val="24"/>
          <w:szCs w:val="24"/>
          <w:lang w:val="en-US" w:eastAsia="zh-CN"/>
        </w:rPr>
        <w:t>3%</w:t>
      </w:r>
      <w:r>
        <w:rPr>
          <w:rFonts w:hint="eastAsia" w:ascii="宋体" w:hAnsi="宋体"/>
          <w:sz w:val="24"/>
          <w:szCs w:val="24"/>
        </w:rPr>
        <w:t>。</w:t>
      </w:r>
      <w:r>
        <w:rPr>
          <w:rFonts w:hint="eastAsia" w:ascii="宋体" w:hAnsi="宋体"/>
          <w:i w:val="0"/>
          <w:iCs w:val="0"/>
          <w:sz w:val="24"/>
          <w:szCs w:val="24"/>
          <w:lang w:eastAsia="zh-CN"/>
        </w:rPr>
        <w:t>（原文件</w:t>
      </w:r>
      <w:r>
        <w:rPr>
          <w:rFonts w:hint="eastAsia" w:ascii="宋体" w:hAnsi="宋体"/>
          <w:i w:val="0"/>
          <w:iCs w:val="0"/>
          <w:color w:val="auto"/>
          <w:sz w:val="24"/>
          <w:szCs w:val="24"/>
          <w:vertAlign w:val="baseline"/>
          <w:lang w:val="en-US" w:eastAsia="zh-CN"/>
        </w:rPr>
        <w:t>2013年版，</w:t>
      </w:r>
      <w:r>
        <w:rPr>
          <w:rFonts w:hint="eastAsia" w:ascii="宋体" w:hAnsi="宋体"/>
          <w:i w:val="0"/>
          <w:iCs w:val="0"/>
          <w:sz w:val="24"/>
          <w:szCs w:val="24"/>
        </w:rPr>
        <w:t>一级品</w:t>
      </w:r>
      <w:r>
        <w:rPr>
          <w:rFonts w:hint="eastAsia" w:ascii="宋体" w:hAnsi="宋体"/>
          <w:color w:val="auto"/>
          <w:sz w:val="24"/>
          <w:szCs w:val="24"/>
        </w:rPr>
        <w:t>Pb</w:t>
      </w:r>
      <w:r>
        <w:rPr>
          <w:rFonts w:hint="eastAsia" w:ascii="宋体" w:hAnsi="宋体" w:cs="宋体"/>
          <w:i w:val="0"/>
          <w:iCs w:val="0"/>
          <w:sz w:val="24"/>
          <w:szCs w:val="24"/>
          <w:lang w:eastAsia="zh-CN"/>
        </w:rPr>
        <w:t>含量不大于</w:t>
      </w:r>
      <w:r>
        <w:rPr>
          <w:rFonts w:hint="eastAsia" w:ascii="宋体" w:hAnsi="宋体" w:cs="宋体"/>
          <w:i w:val="0"/>
          <w:iCs w:val="0"/>
          <w:sz w:val="24"/>
          <w:szCs w:val="24"/>
          <w:lang w:val="en-US" w:eastAsia="zh-CN"/>
        </w:rPr>
        <w:t>3%</w:t>
      </w:r>
      <w:r>
        <w:rPr>
          <w:rFonts w:hint="eastAsia" w:ascii="宋体" w:hAnsi="宋体"/>
          <w:i w:val="0"/>
          <w:iCs w:val="0"/>
          <w:sz w:val="24"/>
          <w:szCs w:val="24"/>
        </w:rPr>
        <w:t>、</w:t>
      </w:r>
      <w:r>
        <w:rPr>
          <w:rFonts w:hint="eastAsia" w:ascii="宋体" w:hAnsi="宋体"/>
          <w:i w:val="0"/>
          <w:iCs w:val="0"/>
          <w:sz w:val="24"/>
          <w:szCs w:val="24"/>
          <w:lang w:eastAsia="zh-CN"/>
        </w:rPr>
        <w:t>二</w:t>
      </w:r>
      <w:r>
        <w:rPr>
          <w:rFonts w:hint="eastAsia" w:ascii="宋体" w:hAnsi="宋体"/>
          <w:i w:val="0"/>
          <w:iCs w:val="0"/>
          <w:sz w:val="24"/>
          <w:szCs w:val="24"/>
        </w:rPr>
        <w:t>级品</w:t>
      </w:r>
      <w:r>
        <w:rPr>
          <w:rFonts w:hint="eastAsia" w:ascii="宋体" w:hAnsi="宋体"/>
          <w:color w:val="auto"/>
          <w:sz w:val="24"/>
          <w:szCs w:val="24"/>
        </w:rPr>
        <w:t>Pb</w:t>
      </w:r>
      <w:r>
        <w:rPr>
          <w:rFonts w:hint="eastAsia" w:ascii="宋体" w:hAnsi="宋体" w:cs="宋体"/>
          <w:i w:val="0"/>
          <w:iCs w:val="0"/>
          <w:sz w:val="24"/>
          <w:szCs w:val="24"/>
          <w:lang w:eastAsia="zh-CN"/>
        </w:rPr>
        <w:t>含量不大于</w:t>
      </w:r>
      <w:r>
        <w:rPr>
          <w:rFonts w:hint="eastAsia" w:ascii="宋体" w:hAnsi="宋体" w:cs="宋体"/>
          <w:i w:val="0"/>
          <w:iCs w:val="0"/>
          <w:sz w:val="24"/>
          <w:szCs w:val="24"/>
          <w:lang w:val="en-US" w:eastAsia="zh-CN"/>
        </w:rPr>
        <w:t>4%</w:t>
      </w:r>
      <w:r>
        <w:rPr>
          <w:rFonts w:hint="eastAsia" w:ascii="宋体" w:hAnsi="宋体"/>
          <w:i w:val="0"/>
          <w:iCs w:val="0"/>
          <w:sz w:val="24"/>
          <w:szCs w:val="24"/>
        </w:rPr>
        <w:t>、</w:t>
      </w:r>
      <w:r>
        <w:rPr>
          <w:rFonts w:hint="eastAsia" w:ascii="宋体" w:hAnsi="宋体"/>
          <w:i w:val="0"/>
          <w:iCs w:val="0"/>
          <w:sz w:val="24"/>
          <w:szCs w:val="24"/>
          <w:lang w:eastAsia="zh-CN"/>
        </w:rPr>
        <w:t>三</w:t>
      </w:r>
      <w:r>
        <w:rPr>
          <w:rFonts w:hint="eastAsia" w:ascii="宋体" w:hAnsi="宋体"/>
          <w:i w:val="0"/>
          <w:iCs w:val="0"/>
          <w:sz w:val="24"/>
          <w:szCs w:val="24"/>
        </w:rPr>
        <w:t>级品</w:t>
      </w:r>
      <w:r>
        <w:rPr>
          <w:rFonts w:hint="eastAsia" w:ascii="宋体" w:hAnsi="宋体"/>
          <w:color w:val="auto"/>
          <w:sz w:val="24"/>
          <w:szCs w:val="24"/>
        </w:rPr>
        <w:t>Pb</w:t>
      </w:r>
      <w:r>
        <w:rPr>
          <w:rFonts w:hint="eastAsia" w:ascii="宋体" w:hAnsi="宋体" w:cs="宋体"/>
          <w:i w:val="0"/>
          <w:iCs w:val="0"/>
          <w:sz w:val="24"/>
          <w:szCs w:val="24"/>
          <w:lang w:eastAsia="zh-CN"/>
        </w:rPr>
        <w:t>含量不大于</w:t>
      </w:r>
      <w:r>
        <w:rPr>
          <w:rFonts w:hint="eastAsia" w:ascii="宋体" w:hAnsi="宋体" w:cs="宋体"/>
          <w:i w:val="0"/>
          <w:iCs w:val="0"/>
          <w:sz w:val="24"/>
          <w:szCs w:val="24"/>
          <w:lang w:val="en-US" w:eastAsia="zh-CN"/>
        </w:rPr>
        <w:t>8%</w:t>
      </w:r>
      <w:r>
        <w:rPr>
          <w:rFonts w:hint="eastAsia" w:ascii="宋体" w:hAnsi="宋体"/>
          <w:i w:val="0"/>
          <w:iCs w:val="0"/>
          <w:sz w:val="24"/>
          <w:szCs w:val="24"/>
        </w:rPr>
        <w:t>。</w:t>
      </w:r>
      <w:r>
        <w:rPr>
          <w:rFonts w:hint="eastAsia" w:ascii="宋体" w:hAnsi="宋体"/>
          <w:i w:val="0"/>
          <w:iCs w:val="0"/>
          <w:sz w:val="24"/>
          <w:szCs w:val="24"/>
          <w:lang w:eastAsia="zh-CN"/>
        </w:rPr>
        <w:t>）</w:t>
      </w:r>
    </w:p>
    <w:p>
      <w:pPr>
        <w:spacing w:line="500" w:lineRule="exact"/>
        <w:ind w:firstLine="211" w:firstLineChars="100"/>
        <w:jc w:val="center"/>
        <w:rPr>
          <w:rFonts w:hint="eastAsia" w:ascii="宋体" w:hAnsi="宋体" w:cs="宋体"/>
          <w:b/>
          <w:bCs/>
          <w:color w:val="auto"/>
          <w:sz w:val="21"/>
          <w:szCs w:val="21"/>
        </w:rPr>
      </w:pPr>
      <w:r>
        <w:rPr>
          <w:rFonts w:hint="eastAsia" w:ascii="宋体" w:hAnsi="宋体" w:cs="宋体"/>
          <w:b/>
          <w:bCs/>
          <w:sz w:val="21"/>
          <w:szCs w:val="21"/>
        </w:rPr>
        <w:t>表</w:t>
      </w:r>
      <w:r>
        <w:rPr>
          <w:rFonts w:hint="eastAsia" w:ascii="宋体" w:hAnsi="宋体" w:cs="宋体"/>
          <w:b/>
          <w:bCs/>
          <w:sz w:val="21"/>
          <w:szCs w:val="21"/>
          <w:lang w:val="en-US" w:eastAsia="zh-CN"/>
        </w:rPr>
        <w:t>5</w:t>
      </w:r>
      <w:r>
        <w:rPr>
          <w:rFonts w:hint="eastAsia" w:ascii="宋体" w:hAnsi="宋体" w:cs="宋体"/>
          <w:b/>
          <w:bCs/>
          <w:sz w:val="21"/>
          <w:szCs w:val="21"/>
        </w:rPr>
        <w:t>“冰铜的</w:t>
      </w:r>
      <w:r>
        <w:rPr>
          <w:rFonts w:hint="eastAsia" w:ascii="宋体" w:hAnsi="宋体"/>
          <w:b/>
          <w:bCs/>
          <w:color w:val="auto"/>
          <w:sz w:val="21"/>
          <w:szCs w:val="21"/>
        </w:rPr>
        <w:t>Pb</w:t>
      </w:r>
      <w:r>
        <w:rPr>
          <w:rFonts w:hint="eastAsia" w:ascii="宋体" w:hAnsi="宋体" w:cs="宋体"/>
          <w:b/>
          <w:bCs/>
          <w:sz w:val="21"/>
          <w:szCs w:val="21"/>
        </w:rPr>
        <w:t>含量</w:t>
      </w:r>
      <w:r>
        <w:rPr>
          <w:rFonts w:hint="eastAsia" w:ascii="宋体" w:hAnsi="宋体" w:cs="宋体"/>
          <w:b/>
          <w:bCs/>
          <w:sz w:val="21"/>
          <w:szCs w:val="21"/>
          <w:lang w:eastAsia="zh-CN"/>
        </w:rPr>
        <w:t>统计</w:t>
      </w:r>
      <w:r>
        <w:rPr>
          <w:rFonts w:hint="eastAsia" w:ascii="宋体" w:hAnsi="宋体" w:cs="宋体"/>
          <w:b/>
          <w:bCs/>
          <w:sz w:val="21"/>
          <w:szCs w:val="21"/>
        </w:rPr>
        <w:t>表”</w:t>
      </w:r>
      <w:r>
        <w:rPr>
          <w:rFonts w:hint="eastAsia" w:ascii="宋体" w:hAnsi="宋体"/>
          <w:b/>
          <w:bCs/>
          <w:color w:val="auto"/>
          <w:sz w:val="21"/>
          <w:szCs w:val="21"/>
        </w:rPr>
        <w:t>（质量分数）/%</w:t>
      </w:r>
    </w:p>
    <w:tbl>
      <w:tblPr>
        <w:tblStyle w:val="13"/>
        <w:tblW w:w="84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5"/>
        <w:gridCol w:w="3222"/>
        <w:gridCol w:w="198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5" w:type="dxa"/>
            <w:noWrap w:val="0"/>
            <w:vAlign w:val="center"/>
          </w:tcPr>
          <w:p>
            <w:pPr>
              <w:spacing w:line="360" w:lineRule="auto"/>
              <w:jc w:val="center"/>
              <w:rPr>
                <w:rFonts w:hint="eastAsia" w:ascii="宋体" w:hAnsi="宋体" w:cs="宋体"/>
                <w:b w:val="0"/>
                <w:bCs w:val="0"/>
                <w:color w:val="auto"/>
                <w:szCs w:val="21"/>
                <w:vertAlign w:val="baseline"/>
              </w:rPr>
            </w:pPr>
            <w:r>
              <w:rPr>
                <w:rFonts w:hint="eastAsia" w:ascii="宋体" w:hAnsi="宋体"/>
                <w:color w:val="auto"/>
                <w:sz w:val="21"/>
                <w:szCs w:val="21"/>
                <w:vertAlign w:val="baseline"/>
                <w:lang w:eastAsia="zh-CN"/>
              </w:rPr>
              <w:t>品级</w:t>
            </w:r>
          </w:p>
        </w:tc>
        <w:tc>
          <w:tcPr>
            <w:tcW w:w="3222" w:type="dxa"/>
            <w:noWrap w:val="0"/>
            <w:vAlign w:val="center"/>
          </w:tcPr>
          <w:p>
            <w:pPr>
              <w:spacing w:line="500" w:lineRule="exact"/>
              <w:jc w:val="center"/>
              <w:rPr>
                <w:rFonts w:hint="eastAsia" w:ascii="宋体" w:hAnsi="宋体" w:cs="宋体"/>
                <w:b w:val="0"/>
                <w:bCs w:val="0"/>
                <w:color w:val="auto"/>
                <w:szCs w:val="21"/>
                <w:vertAlign w:val="baseline"/>
              </w:rPr>
            </w:pPr>
            <w:r>
              <w:rPr>
                <w:rFonts w:hint="eastAsia" w:ascii="宋体" w:hAnsi="宋体"/>
                <w:color w:val="auto"/>
                <w:sz w:val="21"/>
                <w:szCs w:val="21"/>
              </w:rPr>
              <w:t>Pb</w:t>
            </w:r>
            <w:r>
              <w:rPr>
                <w:rFonts w:hint="eastAsia" w:ascii="宋体" w:hAnsi="宋体"/>
                <w:b w:val="0"/>
                <w:bCs w:val="0"/>
                <w:color w:val="auto"/>
                <w:sz w:val="21"/>
                <w:szCs w:val="21"/>
                <w:lang w:val="en-US" w:eastAsia="zh-CN"/>
              </w:rPr>
              <w:t xml:space="preserve"> </w:t>
            </w:r>
            <w:r>
              <w:rPr>
                <w:rFonts w:hint="eastAsia" w:ascii="宋体" w:hAnsi="宋体"/>
                <w:b w:val="0"/>
                <w:bCs w:val="0"/>
                <w:color w:val="auto"/>
                <w:sz w:val="18"/>
                <w:szCs w:val="18"/>
                <w:lang w:val="en-US" w:eastAsia="zh-CN"/>
              </w:rPr>
              <w:t>（范围值/均值）</w:t>
            </w:r>
          </w:p>
        </w:tc>
        <w:tc>
          <w:tcPr>
            <w:tcW w:w="1980" w:type="dxa"/>
            <w:noWrap w:val="0"/>
            <w:vAlign w:val="center"/>
          </w:tcPr>
          <w:p>
            <w:pPr>
              <w:spacing w:line="360" w:lineRule="auto"/>
              <w:jc w:val="center"/>
              <w:rPr>
                <w:rFonts w:hint="eastAsia" w:ascii="宋体" w:hAnsi="宋体"/>
                <w:color w:val="auto"/>
                <w:sz w:val="21"/>
                <w:szCs w:val="21"/>
              </w:rPr>
            </w:pPr>
            <w:r>
              <w:rPr>
                <w:rFonts w:hint="eastAsia" w:ascii="宋体" w:hAnsi="宋体"/>
                <w:color w:val="auto"/>
                <w:sz w:val="21"/>
                <w:szCs w:val="21"/>
                <w:vertAlign w:val="baseline"/>
                <w:lang w:val="en-US" w:eastAsia="zh-CN"/>
              </w:rPr>
              <w:t>2013年版</w:t>
            </w:r>
            <w:r>
              <w:rPr>
                <w:rFonts w:hint="eastAsia" w:ascii="宋体" w:hAnsi="宋体"/>
                <w:color w:val="auto"/>
                <w:sz w:val="18"/>
                <w:szCs w:val="18"/>
              </w:rPr>
              <w:t>Pb</w:t>
            </w:r>
            <w:r>
              <w:rPr>
                <w:rFonts w:hint="eastAsia" w:ascii="宋体" w:hAnsi="宋体"/>
                <w:color w:val="auto"/>
                <w:sz w:val="18"/>
                <w:szCs w:val="18"/>
                <w:lang w:eastAsia="zh-CN"/>
              </w:rPr>
              <w:t>不大于</w:t>
            </w:r>
          </w:p>
        </w:tc>
        <w:tc>
          <w:tcPr>
            <w:tcW w:w="1980" w:type="dxa"/>
            <w:noWrap w:val="0"/>
            <w:vAlign w:val="center"/>
          </w:tcPr>
          <w:p>
            <w:pPr>
              <w:spacing w:line="240" w:lineRule="exact"/>
              <w:jc w:val="center"/>
              <w:rPr>
                <w:rFonts w:hint="eastAsia" w:ascii="宋体" w:hAnsi="宋体" w:eastAsiaTheme="minorEastAsia"/>
                <w:color w:val="auto"/>
                <w:sz w:val="21"/>
                <w:szCs w:val="21"/>
                <w:lang w:eastAsia="zh-CN"/>
              </w:rPr>
            </w:pPr>
            <w:r>
              <w:rPr>
                <w:rFonts w:hint="eastAsia" w:ascii="宋体" w:hAnsi="宋体"/>
                <w:color w:val="auto"/>
                <w:sz w:val="18"/>
                <w:szCs w:val="18"/>
                <w:lang w:val="en-US" w:eastAsia="zh-CN"/>
              </w:rPr>
              <w:t>本文件</w:t>
            </w:r>
            <w:r>
              <w:rPr>
                <w:rFonts w:hint="eastAsia" w:ascii="宋体" w:hAnsi="宋体"/>
                <w:color w:val="auto"/>
                <w:sz w:val="18"/>
                <w:szCs w:val="18"/>
              </w:rPr>
              <w:t>Pb</w:t>
            </w:r>
            <w:r>
              <w:rPr>
                <w:rFonts w:hint="eastAsia" w:ascii="宋体" w:hAnsi="宋体"/>
                <w:color w:val="auto"/>
                <w:sz w:val="18"/>
                <w:szCs w:val="18"/>
                <w:lang w:eastAsia="zh-CN"/>
              </w:rPr>
              <w:t>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245" w:type="dxa"/>
            <w:noWrap w:val="0"/>
            <w:vAlign w:val="center"/>
          </w:tcPr>
          <w:p>
            <w:pPr>
              <w:spacing w:line="240" w:lineRule="exact"/>
              <w:jc w:val="center"/>
              <w:rPr>
                <w:rFonts w:hint="eastAsia" w:ascii="宋体" w:hAnsi="宋体" w:eastAsia="宋体"/>
                <w:color w:val="auto"/>
                <w:kern w:val="2"/>
                <w:sz w:val="21"/>
                <w:szCs w:val="21"/>
                <w:lang w:val="en-US" w:eastAsia="zh-CN" w:bidi="ar-SA"/>
              </w:rPr>
            </w:pPr>
            <w:r>
              <w:rPr>
                <w:rFonts w:hint="eastAsia" w:ascii="宋体" w:hAnsi="宋体"/>
                <w:color w:val="auto"/>
                <w:sz w:val="21"/>
                <w:szCs w:val="21"/>
              </w:rPr>
              <w:t>一级</w:t>
            </w:r>
          </w:p>
        </w:tc>
        <w:tc>
          <w:tcPr>
            <w:tcW w:w="3222" w:type="dxa"/>
            <w:noWrap w:val="0"/>
            <w:vAlign w:val="center"/>
          </w:tcPr>
          <w:p>
            <w:pPr>
              <w:spacing w:line="240" w:lineRule="exact"/>
              <w:jc w:val="center"/>
              <w:rPr>
                <w:rFonts w:hint="eastAsia" w:ascii="宋体" w:hAnsi="宋体" w:eastAsia="宋体"/>
                <w:color w:val="auto"/>
                <w:spacing w:val="0"/>
                <w:kern w:val="2"/>
                <w:sz w:val="21"/>
                <w:szCs w:val="21"/>
                <w:lang w:val="en-US" w:eastAsia="zh-CN" w:bidi="ar-SA"/>
              </w:rPr>
            </w:pPr>
            <w:r>
              <w:rPr>
                <w:rFonts w:hint="eastAsia" w:ascii="宋体" w:hAnsi="宋体" w:eastAsia="宋体" w:cs="宋体"/>
                <w:b w:val="0"/>
                <w:bCs w:val="0"/>
                <w:color w:val="auto"/>
                <w:sz w:val="21"/>
                <w:szCs w:val="21"/>
                <w:lang w:val="en-US" w:eastAsia="zh-CN"/>
              </w:rPr>
              <w:t>0.34 - 1.472</w:t>
            </w:r>
            <w:r>
              <w:rPr>
                <w:rFonts w:hint="eastAsia" w:ascii="宋体" w:hAnsi="宋体" w:cs="宋体"/>
                <w:b w:val="0"/>
                <w:bCs w:val="0"/>
                <w:color w:val="auto"/>
                <w:sz w:val="21"/>
                <w:szCs w:val="21"/>
                <w:lang w:val="en-US" w:eastAsia="zh-CN"/>
              </w:rPr>
              <w:t xml:space="preserve"> / (0.90)</w:t>
            </w:r>
          </w:p>
        </w:tc>
        <w:tc>
          <w:tcPr>
            <w:tcW w:w="1980" w:type="dxa"/>
            <w:noWrap w:val="0"/>
            <w:vAlign w:val="center"/>
          </w:tcPr>
          <w:p>
            <w:pPr>
              <w:spacing w:line="240" w:lineRule="exact"/>
              <w:jc w:val="center"/>
              <w:rPr>
                <w:rFonts w:hint="eastAsia" w:ascii="宋体" w:hAnsi="宋体" w:eastAsia="宋体" w:cs="宋体"/>
                <w:b w:val="0"/>
                <w:bCs w:val="0"/>
                <w:color w:val="auto"/>
                <w:sz w:val="21"/>
                <w:szCs w:val="21"/>
                <w:lang w:val="en-US" w:eastAsia="zh-CN"/>
              </w:rPr>
            </w:pPr>
            <w:r>
              <w:rPr>
                <w:rFonts w:hint="eastAsia" w:ascii="宋体" w:hAnsi="宋体" w:eastAsia="宋体" w:cs="宋体"/>
                <w:color w:val="auto"/>
                <w:sz w:val="21"/>
                <w:szCs w:val="21"/>
                <w:lang w:val="en-US" w:eastAsia="zh-CN"/>
              </w:rPr>
              <w:t>3</w:t>
            </w:r>
          </w:p>
        </w:tc>
        <w:tc>
          <w:tcPr>
            <w:tcW w:w="1980" w:type="dxa"/>
            <w:noWrap w:val="0"/>
            <w:vAlign w:val="center"/>
          </w:tcPr>
          <w:p>
            <w:pPr>
              <w:spacing w:line="240" w:lineRule="exact"/>
              <w:jc w:val="center"/>
              <w:rPr>
                <w:rFonts w:hint="eastAsia" w:ascii="宋体" w:hAnsi="宋体" w:eastAsia="宋体" w:cs="宋体"/>
                <w:b w:val="0"/>
                <w:bCs w:val="0"/>
                <w:color w:val="auto"/>
                <w:sz w:val="21"/>
                <w:szCs w:val="21"/>
                <w:lang w:val="en-US" w:eastAsia="zh-CN"/>
              </w:rPr>
            </w:pPr>
            <w:r>
              <w:rPr>
                <w:rFonts w:hint="eastAsia" w:ascii="宋体" w:hAnsi="宋体"/>
                <w:color w:val="auto"/>
                <w:sz w:val="18"/>
                <w:szCs w:val="18"/>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245" w:type="dxa"/>
            <w:noWrap w:val="0"/>
            <w:vAlign w:val="center"/>
          </w:tcPr>
          <w:p>
            <w:pPr>
              <w:spacing w:line="240" w:lineRule="exact"/>
              <w:jc w:val="center"/>
              <w:rPr>
                <w:rFonts w:hint="eastAsia" w:ascii="宋体" w:hAnsi="宋体" w:eastAsia="宋体"/>
                <w:color w:val="auto"/>
                <w:kern w:val="2"/>
                <w:sz w:val="21"/>
                <w:szCs w:val="21"/>
                <w:lang w:val="en-US" w:eastAsia="zh-CN" w:bidi="ar-SA"/>
              </w:rPr>
            </w:pPr>
            <w:r>
              <w:rPr>
                <w:rFonts w:hint="eastAsia" w:ascii="宋体" w:hAnsi="宋体"/>
                <w:color w:val="auto"/>
                <w:sz w:val="21"/>
                <w:szCs w:val="21"/>
              </w:rPr>
              <w:t>二级</w:t>
            </w:r>
          </w:p>
        </w:tc>
        <w:tc>
          <w:tcPr>
            <w:tcW w:w="3222" w:type="dxa"/>
            <w:noWrap w:val="0"/>
            <w:vAlign w:val="center"/>
          </w:tcPr>
          <w:p>
            <w:pPr>
              <w:spacing w:line="240" w:lineRule="exact"/>
              <w:jc w:val="center"/>
              <w:rPr>
                <w:rFonts w:hint="eastAsia" w:ascii="宋体" w:hAnsi="宋体" w:eastAsia="宋体"/>
                <w:color w:val="auto"/>
                <w:spacing w:val="0"/>
                <w:kern w:val="2"/>
                <w:sz w:val="21"/>
                <w:szCs w:val="21"/>
                <w:lang w:val="en-US" w:eastAsia="zh-CN" w:bidi="ar-SA"/>
              </w:rPr>
            </w:pPr>
            <w:r>
              <w:rPr>
                <w:rFonts w:hint="eastAsia" w:ascii="宋体" w:hAnsi="宋体" w:eastAsia="宋体" w:cs="宋体"/>
                <w:color w:val="auto"/>
                <w:sz w:val="21"/>
                <w:szCs w:val="21"/>
                <w:lang w:val="en-US" w:eastAsia="zh-CN"/>
              </w:rPr>
              <w:t>0.018 - 3.29 / (1.66)</w:t>
            </w:r>
          </w:p>
        </w:tc>
        <w:tc>
          <w:tcPr>
            <w:tcW w:w="1980" w:type="dxa"/>
            <w:noWrap w:val="0"/>
            <w:vAlign w:val="center"/>
          </w:tcPr>
          <w:p>
            <w:pPr>
              <w:spacing w:line="240" w:lineRule="exact"/>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w:t>
            </w:r>
          </w:p>
        </w:tc>
        <w:tc>
          <w:tcPr>
            <w:tcW w:w="1980" w:type="dxa"/>
            <w:noWrap w:val="0"/>
            <w:vAlign w:val="center"/>
          </w:tcPr>
          <w:p>
            <w:pPr>
              <w:spacing w:line="240" w:lineRule="exact"/>
              <w:jc w:val="center"/>
              <w:rPr>
                <w:rFonts w:hint="eastAsia" w:ascii="宋体" w:hAnsi="宋体" w:eastAsia="宋体" w:cs="宋体"/>
                <w:color w:val="auto"/>
                <w:sz w:val="21"/>
                <w:szCs w:val="21"/>
                <w:lang w:val="en-US" w:eastAsia="zh-CN"/>
              </w:rPr>
            </w:pPr>
            <w:r>
              <w:rPr>
                <w:rFonts w:hint="eastAsia" w:ascii="宋体" w:hAnsi="宋体"/>
                <w:color w:val="auto"/>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245" w:type="dxa"/>
            <w:noWrap w:val="0"/>
            <w:vAlign w:val="center"/>
          </w:tcPr>
          <w:p>
            <w:pPr>
              <w:spacing w:line="240" w:lineRule="exact"/>
              <w:jc w:val="center"/>
              <w:rPr>
                <w:rFonts w:hint="eastAsia" w:ascii="宋体" w:hAnsi="宋体" w:eastAsia="宋体"/>
                <w:color w:val="auto"/>
                <w:kern w:val="2"/>
                <w:sz w:val="21"/>
                <w:szCs w:val="21"/>
                <w:lang w:val="en-US" w:eastAsia="zh-CN" w:bidi="ar-SA"/>
              </w:rPr>
            </w:pPr>
            <w:r>
              <w:rPr>
                <w:rFonts w:hint="eastAsia" w:ascii="宋体" w:hAnsi="宋体"/>
                <w:color w:val="auto"/>
                <w:sz w:val="21"/>
                <w:szCs w:val="21"/>
              </w:rPr>
              <w:t>三级</w:t>
            </w:r>
          </w:p>
        </w:tc>
        <w:tc>
          <w:tcPr>
            <w:tcW w:w="3222" w:type="dxa"/>
            <w:noWrap w:val="0"/>
            <w:vAlign w:val="center"/>
          </w:tcPr>
          <w:p>
            <w:pPr>
              <w:spacing w:line="240" w:lineRule="exact"/>
              <w:jc w:val="center"/>
              <w:rPr>
                <w:rFonts w:hint="eastAsia" w:ascii="宋体" w:hAnsi="宋体" w:eastAsia="宋体"/>
                <w:color w:val="auto"/>
                <w:spacing w:val="0"/>
                <w:kern w:val="2"/>
                <w:sz w:val="21"/>
                <w:szCs w:val="21"/>
                <w:lang w:val="en-US" w:eastAsia="zh-CN" w:bidi="ar-SA"/>
              </w:rPr>
            </w:pPr>
            <w:r>
              <w:rPr>
                <w:rFonts w:hint="eastAsia" w:ascii="宋体" w:hAnsi="宋体" w:eastAsia="宋体" w:cs="宋体"/>
                <w:color w:val="auto"/>
                <w:sz w:val="21"/>
                <w:szCs w:val="21"/>
                <w:lang w:val="en-US" w:eastAsia="zh-CN"/>
              </w:rPr>
              <w:t>0.21 - 1.18 / (0.50)</w:t>
            </w:r>
          </w:p>
        </w:tc>
        <w:tc>
          <w:tcPr>
            <w:tcW w:w="1980" w:type="dxa"/>
            <w:noWrap w:val="0"/>
            <w:vAlign w:val="center"/>
          </w:tcPr>
          <w:p>
            <w:pPr>
              <w:spacing w:line="240" w:lineRule="exact"/>
              <w:jc w:val="center"/>
              <w:rPr>
                <w:rFonts w:hint="eastAsia" w:ascii="宋体" w:hAnsi="宋体" w:eastAsia="宋体" w:cs="宋体"/>
                <w:color w:val="auto"/>
                <w:sz w:val="21"/>
                <w:szCs w:val="21"/>
                <w:lang w:val="en-US" w:eastAsia="zh-CN"/>
              </w:rPr>
            </w:pPr>
            <w:r>
              <w:rPr>
                <w:rFonts w:hint="eastAsia" w:ascii="宋体" w:hAnsi="宋体"/>
                <w:color w:val="auto"/>
                <w:sz w:val="21"/>
                <w:szCs w:val="21"/>
                <w:lang w:val="en-US" w:eastAsia="zh-CN"/>
              </w:rPr>
              <w:t>8</w:t>
            </w:r>
          </w:p>
        </w:tc>
        <w:tc>
          <w:tcPr>
            <w:tcW w:w="1980" w:type="dxa"/>
            <w:noWrap w:val="0"/>
            <w:vAlign w:val="center"/>
          </w:tcPr>
          <w:p>
            <w:pPr>
              <w:spacing w:line="240" w:lineRule="exact"/>
              <w:jc w:val="center"/>
              <w:rPr>
                <w:rFonts w:hint="eastAsia" w:ascii="宋体" w:hAnsi="宋体" w:eastAsia="宋体" w:cs="宋体"/>
                <w:color w:val="auto"/>
                <w:sz w:val="21"/>
                <w:szCs w:val="21"/>
                <w:lang w:val="en-US" w:eastAsia="zh-CN"/>
              </w:rPr>
            </w:pPr>
            <w:r>
              <w:rPr>
                <w:rFonts w:hint="eastAsia" w:ascii="宋体" w:hAnsi="宋体"/>
                <w:color w:val="auto"/>
                <w:sz w:val="18"/>
                <w:szCs w:val="18"/>
                <w:lang w:val="en-US" w:eastAsia="zh-CN"/>
              </w:rPr>
              <w:t>3</w:t>
            </w:r>
          </w:p>
        </w:tc>
      </w:tr>
    </w:tbl>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cs="宋体"/>
          <w:b w:val="0"/>
          <w:bCs w:val="0"/>
          <w:sz w:val="24"/>
          <w:szCs w:val="24"/>
        </w:rPr>
      </w:pPr>
      <w:r>
        <w:rPr>
          <w:rFonts w:hint="eastAsia" w:ascii="宋体" w:hAnsi="宋体" w:cs="宋体"/>
          <w:b w:val="0"/>
          <w:bCs w:val="0"/>
          <w:sz w:val="24"/>
          <w:szCs w:val="24"/>
          <w:lang w:val="en-US" w:eastAsia="zh-CN"/>
        </w:rPr>
        <w:t>3.3.2.3</w:t>
      </w:r>
      <w:r>
        <w:rPr>
          <w:rFonts w:hint="eastAsia" w:ascii="宋体" w:hAnsi="宋体" w:cs="宋体"/>
          <w:b w:val="0"/>
          <w:bCs w:val="0"/>
          <w:sz w:val="24"/>
          <w:szCs w:val="24"/>
        </w:rPr>
        <w:t>杂质</w:t>
      </w:r>
      <w:r>
        <w:rPr>
          <w:rFonts w:hint="eastAsia" w:ascii="宋体" w:hAnsi="宋体" w:cs="宋体"/>
          <w:b w:val="0"/>
          <w:bCs w:val="0"/>
          <w:sz w:val="24"/>
          <w:szCs w:val="24"/>
          <w:lang w:eastAsia="zh-CN"/>
        </w:rPr>
        <w:t>锌</w:t>
      </w:r>
      <w:r>
        <w:rPr>
          <w:rFonts w:hint="eastAsia" w:ascii="宋体" w:hAnsi="宋体" w:cs="宋体"/>
          <w:b w:val="0"/>
          <w:bCs w:val="0"/>
          <w:sz w:val="24"/>
          <w:szCs w:val="24"/>
        </w:rPr>
        <w:t>范围的确定：</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b w:val="0"/>
          <w:bCs w:val="0"/>
          <w:i w:val="0"/>
          <w:iCs w:val="0"/>
          <w:sz w:val="24"/>
          <w:szCs w:val="24"/>
          <w:lang w:eastAsia="zh-CN"/>
        </w:rPr>
      </w:pPr>
      <w:r>
        <w:rPr>
          <w:rFonts w:hint="eastAsia" w:ascii="宋体" w:hAnsi="宋体" w:cs="宋体"/>
          <w:b w:val="0"/>
          <w:bCs w:val="0"/>
          <w:sz w:val="24"/>
          <w:szCs w:val="24"/>
          <w:lang w:eastAsia="zh-CN"/>
        </w:rPr>
        <w:t>一是结合</w:t>
      </w:r>
      <w:r>
        <w:rPr>
          <w:rFonts w:hint="eastAsia" w:ascii="宋体" w:hAnsi="宋体" w:cs="宋体"/>
          <w:b w:val="0"/>
          <w:bCs w:val="0"/>
          <w:sz w:val="24"/>
          <w:szCs w:val="24"/>
        </w:rPr>
        <w:t>生产实际分析 ，进入铜锍相中的</w:t>
      </w:r>
      <w:r>
        <w:rPr>
          <w:rFonts w:hint="eastAsia" w:ascii="宋体" w:hAnsi="宋体"/>
          <w:b w:val="0"/>
          <w:bCs w:val="0"/>
          <w:color w:val="auto"/>
          <w:sz w:val="24"/>
          <w:szCs w:val="24"/>
        </w:rPr>
        <w:t>Zn</w:t>
      </w:r>
      <w:r>
        <w:rPr>
          <w:rFonts w:hint="eastAsia" w:ascii="宋体" w:hAnsi="宋体" w:cs="宋体"/>
          <w:b w:val="0"/>
          <w:bCs w:val="0"/>
          <w:sz w:val="24"/>
          <w:szCs w:val="24"/>
        </w:rPr>
        <w:t>随着冰铜品位升高明显降低</w:t>
      </w:r>
      <w:r>
        <w:rPr>
          <w:rFonts w:hint="eastAsia" w:ascii="宋体" w:hAnsi="宋体" w:cs="宋体"/>
          <w:b w:val="0"/>
          <w:bCs w:val="0"/>
          <w:sz w:val="24"/>
          <w:szCs w:val="24"/>
          <w:lang w:eastAsia="zh-CN"/>
        </w:rPr>
        <w:t>，渣量越大，带走越多</w:t>
      </w:r>
      <w:r>
        <w:rPr>
          <w:rFonts w:hint="eastAsia" w:ascii="宋体" w:hAnsi="宋体" w:cs="宋体"/>
          <w:b w:val="0"/>
          <w:bCs w:val="0"/>
          <w:sz w:val="24"/>
          <w:szCs w:val="24"/>
        </w:rPr>
        <w:t>。</w:t>
      </w:r>
      <w:r>
        <w:rPr>
          <w:rFonts w:hint="eastAsia" w:ascii="宋体" w:hAnsi="宋体" w:cs="宋体"/>
          <w:b w:val="0"/>
          <w:bCs w:val="0"/>
          <w:sz w:val="24"/>
          <w:szCs w:val="24"/>
          <w:lang w:eastAsia="zh-CN"/>
        </w:rPr>
        <w:t>二是根据</w:t>
      </w:r>
      <w:r>
        <w:rPr>
          <w:rFonts w:hint="eastAsia" w:ascii="宋体" w:hAnsi="宋体" w:eastAsia="宋体" w:cs="宋体"/>
          <w:b w:val="0"/>
          <w:bCs w:val="0"/>
          <w:sz w:val="24"/>
          <w:szCs w:val="24"/>
          <w:lang w:eastAsia="zh-CN"/>
        </w:rPr>
        <w:t>收集的部分</w:t>
      </w:r>
      <w:r>
        <w:rPr>
          <w:rFonts w:hint="eastAsia" w:ascii="宋体" w:hAnsi="宋体" w:cs="宋体"/>
          <w:b w:val="0"/>
          <w:bCs w:val="0"/>
          <w:sz w:val="24"/>
          <w:szCs w:val="24"/>
        </w:rPr>
        <w:t>铜冶炼生产企业</w:t>
      </w:r>
      <w:r>
        <w:rPr>
          <w:rFonts w:hint="eastAsia" w:ascii="宋体" w:hAnsi="宋体" w:cs="宋体"/>
          <w:b w:val="0"/>
          <w:bCs w:val="0"/>
          <w:sz w:val="24"/>
          <w:szCs w:val="24"/>
          <w:lang w:eastAsia="zh-CN"/>
        </w:rPr>
        <w:t>的数据确定，</w:t>
      </w:r>
      <w:r>
        <w:rPr>
          <w:rFonts w:hint="eastAsia" w:ascii="宋体" w:hAnsi="宋体"/>
          <w:b w:val="0"/>
          <w:bCs w:val="0"/>
          <w:sz w:val="24"/>
          <w:szCs w:val="24"/>
        </w:rPr>
        <w:t>冰铜一级品</w:t>
      </w:r>
      <w:r>
        <w:rPr>
          <w:rFonts w:hint="eastAsia" w:ascii="宋体" w:hAnsi="宋体" w:cs="宋体"/>
          <w:b w:val="0"/>
          <w:bCs w:val="0"/>
          <w:sz w:val="24"/>
          <w:szCs w:val="24"/>
          <w:lang w:eastAsia="zh-CN"/>
        </w:rPr>
        <w:t>Zn含量不大于</w:t>
      </w:r>
      <w:r>
        <w:rPr>
          <w:rFonts w:hint="eastAsia" w:ascii="宋体" w:hAnsi="宋体" w:cs="宋体"/>
          <w:b w:val="0"/>
          <w:bCs w:val="0"/>
          <w:sz w:val="24"/>
          <w:szCs w:val="24"/>
          <w:lang w:val="en-US" w:eastAsia="zh-CN"/>
        </w:rPr>
        <w:t>1%</w:t>
      </w:r>
      <w:r>
        <w:rPr>
          <w:rFonts w:hint="eastAsia" w:ascii="宋体" w:hAnsi="宋体"/>
          <w:b w:val="0"/>
          <w:bCs w:val="0"/>
          <w:sz w:val="24"/>
          <w:szCs w:val="24"/>
        </w:rPr>
        <w:t>、</w:t>
      </w:r>
      <w:r>
        <w:rPr>
          <w:rFonts w:hint="eastAsia" w:ascii="宋体" w:hAnsi="宋体"/>
          <w:b w:val="0"/>
          <w:bCs w:val="0"/>
          <w:sz w:val="24"/>
          <w:szCs w:val="24"/>
          <w:lang w:eastAsia="zh-CN"/>
        </w:rPr>
        <w:t>二</w:t>
      </w:r>
      <w:r>
        <w:rPr>
          <w:rFonts w:hint="eastAsia" w:ascii="宋体" w:hAnsi="宋体"/>
          <w:b w:val="0"/>
          <w:bCs w:val="0"/>
          <w:sz w:val="24"/>
          <w:szCs w:val="24"/>
        </w:rPr>
        <w:t>级品</w:t>
      </w:r>
      <w:r>
        <w:rPr>
          <w:rFonts w:hint="eastAsia" w:ascii="宋体" w:hAnsi="宋体" w:cs="宋体"/>
          <w:b w:val="0"/>
          <w:bCs w:val="0"/>
          <w:sz w:val="24"/>
          <w:szCs w:val="24"/>
          <w:lang w:eastAsia="zh-CN"/>
        </w:rPr>
        <w:t>Zn含量不大于</w:t>
      </w:r>
      <w:r>
        <w:rPr>
          <w:rFonts w:hint="eastAsia" w:ascii="宋体" w:hAnsi="宋体" w:cs="宋体"/>
          <w:b w:val="0"/>
          <w:bCs w:val="0"/>
          <w:sz w:val="24"/>
          <w:szCs w:val="24"/>
          <w:lang w:val="en-US" w:eastAsia="zh-CN"/>
        </w:rPr>
        <w:t>2%</w:t>
      </w:r>
      <w:r>
        <w:rPr>
          <w:rFonts w:hint="eastAsia" w:ascii="宋体" w:hAnsi="宋体"/>
          <w:b w:val="0"/>
          <w:bCs w:val="0"/>
          <w:sz w:val="24"/>
          <w:szCs w:val="24"/>
        </w:rPr>
        <w:t>、</w:t>
      </w:r>
      <w:r>
        <w:rPr>
          <w:rFonts w:hint="eastAsia" w:ascii="宋体" w:hAnsi="宋体"/>
          <w:b w:val="0"/>
          <w:bCs w:val="0"/>
          <w:sz w:val="24"/>
          <w:szCs w:val="24"/>
          <w:lang w:eastAsia="zh-CN"/>
        </w:rPr>
        <w:t>三</w:t>
      </w:r>
      <w:r>
        <w:rPr>
          <w:rFonts w:hint="eastAsia" w:ascii="宋体" w:hAnsi="宋体"/>
          <w:b w:val="0"/>
          <w:bCs w:val="0"/>
          <w:sz w:val="24"/>
          <w:szCs w:val="24"/>
        </w:rPr>
        <w:t>级品</w:t>
      </w:r>
      <w:r>
        <w:rPr>
          <w:rFonts w:hint="eastAsia" w:ascii="宋体" w:hAnsi="宋体" w:cs="宋体"/>
          <w:b w:val="0"/>
          <w:bCs w:val="0"/>
          <w:sz w:val="24"/>
          <w:szCs w:val="24"/>
          <w:lang w:eastAsia="zh-CN"/>
        </w:rPr>
        <w:t>Zn含量不大于</w:t>
      </w:r>
      <w:r>
        <w:rPr>
          <w:rFonts w:hint="eastAsia" w:ascii="宋体" w:hAnsi="宋体" w:cs="宋体"/>
          <w:b w:val="0"/>
          <w:bCs w:val="0"/>
          <w:sz w:val="24"/>
          <w:szCs w:val="24"/>
          <w:lang w:val="en-US" w:eastAsia="zh-CN"/>
        </w:rPr>
        <w:t>3%</w:t>
      </w:r>
      <w:r>
        <w:rPr>
          <w:rFonts w:hint="eastAsia" w:ascii="宋体" w:hAnsi="宋体"/>
          <w:b w:val="0"/>
          <w:bCs w:val="0"/>
          <w:sz w:val="24"/>
          <w:szCs w:val="24"/>
        </w:rPr>
        <w:t>。</w:t>
      </w:r>
      <w:r>
        <w:rPr>
          <w:rFonts w:hint="eastAsia" w:ascii="宋体" w:hAnsi="宋体"/>
          <w:b w:val="0"/>
          <w:bCs w:val="0"/>
          <w:i w:val="0"/>
          <w:iCs w:val="0"/>
          <w:sz w:val="24"/>
          <w:szCs w:val="24"/>
          <w:lang w:eastAsia="zh-CN"/>
        </w:rPr>
        <w:t>（原文件</w:t>
      </w:r>
      <w:r>
        <w:rPr>
          <w:rFonts w:hint="eastAsia" w:ascii="宋体" w:hAnsi="宋体"/>
          <w:b w:val="0"/>
          <w:bCs w:val="0"/>
          <w:i w:val="0"/>
          <w:iCs w:val="0"/>
          <w:color w:val="auto"/>
          <w:sz w:val="24"/>
          <w:szCs w:val="24"/>
          <w:vertAlign w:val="baseline"/>
          <w:lang w:val="en-US" w:eastAsia="zh-CN"/>
        </w:rPr>
        <w:t>2013年版，</w:t>
      </w:r>
      <w:r>
        <w:rPr>
          <w:rFonts w:hint="eastAsia" w:ascii="宋体" w:hAnsi="宋体"/>
          <w:b w:val="0"/>
          <w:bCs w:val="0"/>
          <w:i w:val="0"/>
          <w:iCs w:val="0"/>
          <w:sz w:val="24"/>
          <w:szCs w:val="24"/>
        </w:rPr>
        <w:t>一级品</w:t>
      </w:r>
      <w:r>
        <w:rPr>
          <w:rFonts w:hint="eastAsia" w:ascii="宋体" w:hAnsi="宋体" w:cs="宋体"/>
          <w:b w:val="0"/>
          <w:bCs w:val="0"/>
          <w:sz w:val="24"/>
          <w:szCs w:val="24"/>
          <w:lang w:eastAsia="zh-CN"/>
        </w:rPr>
        <w:t>Zn</w:t>
      </w:r>
      <w:r>
        <w:rPr>
          <w:rFonts w:hint="eastAsia" w:ascii="宋体" w:hAnsi="宋体" w:cs="宋体"/>
          <w:b w:val="0"/>
          <w:bCs w:val="0"/>
          <w:i w:val="0"/>
          <w:iCs w:val="0"/>
          <w:sz w:val="24"/>
          <w:szCs w:val="24"/>
          <w:lang w:eastAsia="zh-CN"/>
        </w:rPr>
        <w:t>含量不大于</w:t>
      </w:r>
      <w:r>
        <w:rPr>
          <w:rFonts w:hint="eastAsia" w:ascii="宋体" w:hAnsi="宋体" w:cs="宋体"/>
          <w:b w:val="0"/>
          <w:bCs w:val="0"/>
          <w:i w:val="0"/>
          <w:iCs w:val="0"/>
          <w:sz w:val="24"/>
          <w:szCs w:val="24"/>
          <w:lang w:val="en-US" w:eastAsia="zh-CN"/>
        </w:rPr>
        <w:t>2%</w:t>
      </w:r>
      <w:r>
        <w:rPr>
          <w:rFonts w:hint="eastAsia" w:ascii="宋体" w:hAnsi="宋体"/>
          <w:b w:val="0"/>
          <w:bCs w:val="0"/>
          <w:i w:val="0"/>
          <w:iCs w:val="0"/>
          <w:sz w:val="24"/>
          <w:szCs w:val="24"/>
        </w:rPr>
        <w:t>、</w:t>
      </w:r>
      <w:r>
        <w:rPr>
          <w:rFonts w:hint="eastAsia" w:ascii="宋体" w:hAnsi="宋体"/>
          <w:b w:val="0"/>
          <w:bCs w:val="0"/>
          <w:i w:val="0"/>
          <w:iCs w:val="0"/>
          <w:sz w:val="24"/>
          <w:szCs w:val="24"/>
          <w:lang w:eastAsia="zh-CN"/>
        </w:rPr>
        <w:t>二</w:t>
      </w:r>
      <w:r>
        <w:rPr>
          <w:rFonts w:hint="eastAsia" w:ascii="宋体" w:hAnsi="宋体"/>
          <w:b w:val="0"/>
          <w:bCs w:val="0"/>
          <w:i w:val="0"/>
          <w:iCs w:val="0"/>
          <w:sz w:val="24"/>
          <w:szCs w:val="24"/>
        </w:rPr>
        <w:t>级品</w:t>
      </w:r>
      <w:r>
        <w:rPr>
          <w:rFonts w:hint="eastAsia" w:ascii="宋体" w:hAnsi="宋体" w:cs="宋体"/>
          <w:b w:val="0"/>
          <w:bCs w:val="0"/>
          <w:sz w:val="24"/>
          <w:szCs w:val="24"/>
          <w:lang w:eastAsia="zh-CN"/>
        </w:rPr>
        <w:t>Zn</w:t>
      </w:r>
      <w:r>
        <w:rPr>
          <w:rFonts w:hint="eastAsia" w:ascii="宋体" w:hAnsi="宋体" w:cs="宋体"/>
          <w:b w:val="0"/>
          <w:bCs w:val="0"/>
          <w:i w:val="0"/>
          <w:iCs w:val="0"/>
          <w:sz w:val="24"/>
          <w:szCs w:val="24"/>
          <w:lang w:eastAsia="zh-CN"/>
        </w:rPr>
        <w:t>含量不大于</w:t>
      </w:r>
      <w:r>
        <w:rPr>
          <w:rFonts w:hint="eastAsia" w:ascii="宋体" w:hAnsi="宋体" w:cs="宋体"/>
          <w:b w:val="0"/>
          <w:bCs w:val="0"/>
          <w:i w:val="0"/>
          <w:iCs w:val="0"/>
          <w:sz w:val="24"/>
          <w:szCs w:val="24"/>
          <w:lang w:val="en-US" w:eastAsia="zh-CN"/>
        </w:rPr>
        <w:t>3%</w:t>
      </w:r>
      <w:r>
        <w:rPr>
          <w:rFonts w:hint="eastAsia" w:ascii="宋体" w:hAnsi="宋体"/>
          <w:b w:val="0"/>
          <w:bCs w:val="0"/>
          <w:i w:val="0"/>
          <w:iCs w:val="0"/>
          <w:sz w:val="24"/>
          <w:szCs w:val="24"/>
        </w:rPr>
        <w:t>、</w:t>
      </w:r>
      <w:r>
        <w:rPr>
          <w:rFonts w:hint="eastAsia" w:ascii="宋体" w:hAnsi="宋体"/>
          <w:b w:val="0"/>
          <w:bCs w:val="0"/>
          <w:i w:val="0"/>
          <w:iCs w:val="0"/>
          <w:sz w:val="24"/>
          <w:szCs w:val="24"/>
          <w:lang w:eastAsia="zh-CN"/>
        </w:rPr>
        <w:t>三</w:t>
      </w:r>
      <w:r>
        <w:rPr>
          <w:rFonts w:hint="eastAsia" w:ascii="宋体" w:hAnsi="宋体"/>
          <w:b w:val="0"/>
          <w:bCs w:val="0"/>
          <w:i w:val="0"/>
          <w:iCs w:val="0"/>
          <w:sz w:val="24"/>
          <w:szCs w:val="24"/>
        </w:rPr>
        <w:t>级品</w:t>
      </w:r>
      <w:r>
        <w:rPr>
          <w:rFonts w:hint="eastAsia" w:ascii="宋体" w:hAnsi="宋体" w:cs="宋体"/>
          <w:b w:val="0"/>
          <w:bCs w:val="0"/>
          <w:sz w:val="24"/>
          <w:szCs w:val="24"/>
          <w:lang w:eastAsia="zh-CN"/>
        </w:rPr>
        <w:t>Zn</w:t>
      </w:r>
      <w:r>
        <w:rPr>
          <w:rFonts w:hint="eastAsia" w:ascii="宋体" w:hAnsi="宋体" w:cs="宋体"/>
          <w:b w:val="0"/>
          <w:bCs w:val="0"/>
          <w:i w:val="0"/>
          <w:iCs w:val="0"/>
          <w:sz w:val="24"/>
          <w:szCs w:val="24"/>
          <w:lang w:eastAsia="zh-CN"/>
        </w:rPr>
        <w:t>含量不大于</w:t>
      </w:r>
      <w:r>
        <w:rPr>
          <w:rFonts w:hint="eastAsia" w:ascii="宋体" w:hAnsi="宋体" w:cs="宋体"/>
          <w:b w:val="0"/>
          <w:bCs w:val="0"/>
          <w:i w:val="0"/>
          <w:iCs w:val="0"/>
          <w:sz w:val="24"/>
          <w:szCs w:val="24"/>
          <w:lang w:val="en-US" w:eastAsia="zh-CN"/>
        </w:rPr>
        <w:t>4%</w:t>
      </w:r>
      <w:r>
        <w:rPr>
          <w:rFonts w:hint="eastAsia" w:ascii="宋体" w:hAnsi="宋体"/>
          <w:b w:val="0"/>
          <w:bCs w:val="0"/>
          <w:i w:val="0"/>
          <w:iCs w:val="0"/>
          <w:sz w:val="24"/>
          <w:szCs w:val="24"/>
        </w:rPr>
        <w:t>。</w:t>
      </w:r>
      <w:r>
        <w:rPr>
          <w:rFonts w:hint="eastAsia" w:ascii="宋体" w:hAnsi="宋体"/>
          <w:b w:val="0"/>
          <w:bCs w:val="0"/>
          <w:i w:val="0"/>
          <w:iCs w:val="0"/>
          <w:sz w:val="24"/>
          <w:szCs w:val="24"/>
          <w:lang w:eastAsia="zh-CN"/>
        </w:rPr>
        <w:t>）</w:t>
      </w:r>
    </w:p>
    <w:p>
      <w:pPr>
        <w:spacing w:line="500" w:lineRule="exact"/>
        <w:ind w:firstLine="211" w:firstLineChars="100"/>
        <w:jc w:val="center"/>
        <w:rPr>
          <w:rFonts w:hint="eastAsia" w:ascii="宋体" w:hAnsi="宋体"/>
          <w:b/>
          <w:bCs/>
          <w:color w:val="auto"/>
          <w:sz w:val="18"/>
          <w:szCs w:val="18"/>
        </w:rPr>
      </w:pPr>
      <w:r>
        <w:rPr>
          <w:rFonts w:hint="eastAsia" w:ascii="宋体" w:hAnsi="宋体" w:cs="宋体"/>
          <w:b/>
          <w:bCs/>
          <w:szCs w:val="21"/>
        </w:rPr>
        <w:t>表</w:t>
      </w:r>
      <w:r>
        <w:rPr>
          <w:rFonts w:hint="eastAsia" w:ascii="宋体" w:hAnsi="宋体" w:cs="宋体"/>
          <w:b/>
          <w:bCs/>
          <w:szCs w:val="21"/>
          <w:lang w:val="en-US" w:eastAsia="zh-CN"/>
        </w:rPr>
        <w:t>6</w:t>
      </w:r>
      <w:r>
        <w:rPr>
          <w:rFonts w:hint="eastAsia" w:ascii="宋体" w:hAnsi="宋体" w:cs="宋体"/>
          <w:b/>
          <w:bCs/>
          <w:szCs w:val="21"/>
        </w:rPr>
        <w:t>“冰铜的</w:t>
      </w:r>
      <w:r>
        <w:rPr>
          <w:rFonts w:hint="eastAsia" w:ascii="宋体" w:hAnsi="宋体"/>
          <w:b/>
          <w:bCs/>
          <w:color w:val="auto"/>
          <w:sz w:val="21"/>
          <w:szCs w:val="21"/>
        </w:rPr>
        <w:t>Zn</w:t>
      </w:r>
      <w:r>
        <w:rPr>
          <w:rFonts w:hint="eastAsia" w:ascii="宋体" w:hAnsi="宋体" w:cs="宋体"/>
          <w:b/>
          <w:bCs/>
          <w:szCs w:val="21"/>
        </w:rPr>
        <w:t>含量</w:t>
      </w:r>
      <w:r>
        <w:rPr>
          <w:rFonts w:hint="eastAsia" w:ascii="宋体" w:hAnsi="宋体" w:cs="宋体"/>
          <w:b/>
          <w:bCs/>
          <w:szCs w:val="21"/>
          <w:lang w:eastAsia="zh-CN"/>
        </w:rPr>
        <w:t>统计</w:t>
      </w:r>
      <w:r>
        <w:rPr>
          <w:rFonts w:hint="eastAsia" w:ascii="宋体" w:hAnsi="宋体" w:cs="宋体"/>
          <w:b/>
          <w:bCs/>
          <w:szCs w:val="21"/>
        </w:rPr>
        <w:t>表”</w:t>
      </w:r>
      <w:r>
        <w:rPr>
          <w:rFonts w:hint="eastAsia" w:ascii="宋体" w:hAnsi="宋体"/>
          <w:b/>
          <w:bCs/>
          <w:color w:val="auto"/>
          <w:sz w:val="18"/>
          <w:szCs w:val="18"/>
        </w:rPr>
        <w:t>（质量分数）/%</w:t>
      </w:r>
    </w:p>
    <w:tbl>
      <w:tblPr>
        <w:tblStyle w:val="13"/>
        <w:tblW w:w="84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5"/>
        <w:gridCol w:w="3222"/>
        <w:gridCol w:w="198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5" w:type="dxa"/>
            <w:noWrap w:val="0"/>
            <w:vAlign w:val="center"/>
          </w:tcPr>
          <w:p>
            <w:pPr>
              <w:spacing w:line="360" w:lineRule="auto"/>
              <w:jc w:val="center"/>
              <w:rPr>
                <w:rFonts w:hint="eastAsia" w:ascii="宋体" w:hAnsi="宋体" w:cs="宋体"/>
                <w:b w:val="0"/>
                <w:bCs w:val="0"/>
                <w:color w:val="auto"/>
                <w:szCs w:val="21"/>
                <w:vertAlign w:val="baseline"/>
              </w:rPr>
            </w:pPr>
            <w:r>
              <w:rPr>
                <w:rFonts w:hint="eastAsia" w:ascii="宋体" w:hAnsi="宋体"/>
                <w:color w:val="auto"/>
                <w:sz w:val="21"/>
                <w:szCs w:val="21"/>
                <w:vertAlign w:val="baseline"/>
                <w:lang w:eastAsia="zh-CN"/>
              </w:rPr>
              <w:t>品级</w:t>
            </w:r>
          </w:p>
        </w:tc>
        <w:tc>
          <w:tcPr>
            <w:tcW w:w="3222" w:type="dxa"/>
            <w:noWrap w:val="0"/>
            <w:vAlign w:val="center"/>
          </w:tcPr>
          <w:p>
            <w:pPr>
              <w:spacing w:line="500" w:lineRule="exact"/>
              <w:jc w:val="center"/>
              <w:rPr>
                <w:rFonts w:hint="eastAsia" w:ascii="宋体" w:hAnsi="宋体" w:cs="宋体"/>
                <w:b w:val="0"/>
                <w:bCs w:val="0"/>
                <w:color w:val="auto"/>
                <w:szCs w:val="21"/>
                <w:vertAlign w:val="baseline"/>
              </w:rPr>
            </w:pPr>
            <w:r>
              <w:rPr>
                <w:rFonts w:hint="eastAsia" w:ascii="宋体" w:hAnsi="宋体"/>
                <w:color w:val="auto"/>
                <w:sz w:val="21"/>
                <w:szCs w:val="21"/>
              </w:rPr>
              <w:t>Zn</w:t>
            </w:r>
            <w:r>
              <w:rPr>
                <w:rFonts w:hint="eastAsia" w:ascii="宋体" w:hAnsi="宋体"/>
                <w:b w:val="0"/>
                <w:bCs w:val="0"/>
                <w:color w:val="auto"/>
                <w:sz w:val="21"/>
                <w:szCs w:val="21"/>
                <w:lang w:val="en-US" w:eastAsia="zh-CN"/>
              </w:rPr>
              <w:t xml:space="preserve"> </w:t>
            </w:r>
            <w:r>
              <w:rPr>
                <w:rFonts w:hint="eastAsia" w:ascii="宋体" w:hAnsi="宋体"/>
                <w:b w:val="0"/>
                <w:bCs w:val="0"/>
                <w:color w:val="auto"/>
                <w:sz w:val="18"/>
                <w:szCs w:val="18"/>
                <w:lang w:val="en-US" w:eastAsia="zh-CN"/>
              </w:rPr>
              <w:t>（范围值/均值）</w:t>
            </w:r>
          </w:p>
        </w:tc>
        <w:tc>
          <w:tcPr>
            <w:tcW w:w="1980" w:type="dxa"/>
            <w:noWrap w:val="0"/>
            <w:vAlign w:val="center"/>
          </w:tcPr>
          <w:p>
            <w:pPr>
              <w:spacing w:line="360" w:lineRule="auto"/>
              <w:jc w:val="center"/>
              <w:rPr>
                <w:rFonts w:hint="eastAsia" w:ascii="宋体" w:hAnsi="宋体"/>
                <w:color w:val="auto"/>
                <w:sz w:val="21"/>
                <w:szCs w:val="21"/>
              </w:rPr>
            </w:pPr>
            <w:r>
              <w:rPr>
                <w:rFonts w:hint="eastAsia" w:ascii="宋体" w:hAnsi="宋体"/>
                <w:color w:val="auto"/>
                <w:sz w:val="21"/>
                <w:szCs w:val="21"/>
                <w:vertAlign w:val="baseline"/>
                <w:lang w:val="en-US" w:eastAsia="zh-CN"/>
              </w:rPr>
              <w:t>2013年版</w:t>
            </w:r>
            <w:r>
              <w:rPr>
                <w:rFonts w:hint="eastAsia" w:ascii="宋体" w:hAnsi="宋体"/>
                <w:color w:val="auto"/>
                <w:sz w:val="21"/>
                <w:szCs w:val="21"/>
              </w:rPr>
              <w:t>Zn</w:t>
            </w:r>
            <w:r>
              <w:rPr>
                <w:rFonts w:hint="eastAsia" w:ascii="宋体" w:hAnsi="宋体"/>
                <w:color w:val="auto"/>
                <w:sz w:val="18"/>
                <w:szCs w:val="18"/>
                <w:lang w:eastAsia="zh-CN"/>
              </w:rPr>
              <w:t>不大于</w:t>
            </w:r>
          </w:p>
        </w:tc>
        <w:tc>
          <w:tcPr>
            <w:tcW w:w="1980" w:type="dxa"/>
            <w:noWrap w:val="0"/>
            <w:vAlign w:val="center"/>
          </w:tcPr>
          <w:p>
            <w:pPr>
              <w:spacing w:line="240" w:lineRule="exact"/>
              <w:jc w:val="center"/>
              <w:rPr>
                <w:rFonts w:hint="eastAsia" w:ascii="宋体" w:hAnsi="宋体" w:eastAsiaTheme="minorEastAsia"/>
                <w:color w:val="auto"/>
                <w:sz w:val="21"/>
                <w:szCs w:val="21"/>
                <w:lang w:eastAsia="zh-CN"/>
              </w:rPr>
            </w:pPr>
            <w:r>
              <w:rPr>
                <w:rFonts w:hint="eastAsia" w:ascii="宋体" w:hAnsi="宋体"/>
                <w:color w:val="auto"/>
                <w:sz w:val="18"/>
                <w:szCs w:val="18"/>
                <w:lang w:val="en-US" w:eastAsia="zh-CN"/>
              </w:rPr>
              <w:t>本文件</w:t>
            </w:r>
            <w:r>
              <w:rPr>
                <w:rFonts w:hint="eastAsia" w:ascii="宋体" w:hAnsi="宋体"/>
                <w:color w:val="auto"/>
                <w:sz w:val="21"/>
                <w:szCs w:val="21"/>
              </w:rPr>
              <w:t>Zn</w:t>
            </w:r>
            <w:r>
              <w:rPr>
                <w:rFonts w:hint="eastAsia" w:ascii="宋体" w:hAnsi="宋体"/>
                <w:color w:val="auto"/>
                <w:sz w:val="18"/>
                <w:szCs w:val="18"/>
                <w:lang w:eastAsia="zh-CN"/>
              </w:rPr>
              <w:t>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245" w:type="dxa"/>
            <w:noWrap w:val="0"/>
            <w:vAlign w:val="center"/>
          </w:tcPr>
          <w:p>
            <w:pPr>
              <w:spacing w:line="240" w:lineRule="exact"/>
              <w:jc w:val="center"/>
              <w:rPr>
                <w:rFonts w:hint="eastAsia" w:ascii="宋体" w:hAnsi="宋体" w:eastAsia="宋体"/>
                <w:color w:val="auto"/>
                <w:kern w:val="2"/>
                <w:sz w:val="21"/>
                <w:szCs w:val="21"/>
                <w:lang w:val="en-US" w:eastAsia="zh-CN" w:bidi="ar-SA"/>
              </w:rPr>
            </w:pPr>
            <w:r>
              <w:rPr>
                <w:rFonts w:hint="eastAsia" w:ascii="宋体" w:hAnsi="宋体"/>
                <w:color w:val="auto"/>
                <w:sz w:val="21"/>
                <w:szCs w:val="21"/>
              </w:rPr>
              <w:t>一级</w:t>
            </w:r>
          </w:p>
        </w:tc>
        <w:tc>
          <w:tcPr>
            <w:tcW w:w="3222" w:type="dxa"/>
            <w:noWrap w:val="0"/>
            <w:vAlign w:val="center"/>
          </w:tcPr>
          <w:p>
            <w:pPr>
              <w:spacing w:line="240" w:lineRule="exact"/>
              <w:jc w:val="center"/>
              <w:rPr>
                <w:rFonts w:hint="eastAsia" w:ascii="宋体" w:hAnsi="宋体" w:eastAsia="宋体"/>
                <w:color w:val="auto"/>
                <w:spacing w:val="0"/>
                <w:kern w:val="2"/>
                <w:sz w:val="21"/>
                <w:szCs w:val="21"/>
                <w:lang w:val="en-US" w:eastAsia="zh-CN" w:bidi="ar-SA"/>
              </w:rPr>
            </w:pPr>
            <w:r>
              <w:rPr>
                <w:rFonts w:hint="eastAsia" w:ascii="宋体" w:hAnsi="宋体" w:eastAsia="宋体" w:cs="宋体"/>
                <w:b w:val="0"/>
                <w:bCs w:val="0"/>
                <w:color w:val="auto"/>
                <w:sz w:val="21"/>
                <w:szCs w:val="21"/>
                <w:lang w:val="en-US" w:eastAsia="zh-CN"/>
              </w:rPr>
              <w:t xml:space="preserve">0.083 - </w:t>
            </w:r>
            <w:r>
              <w:rPr>
                <w:rFonts w:hint="eastAsia" w:ascii="宋体" w:hAnsi="宋体" w:cs="宋体"/>
                <w:b w:val="0"/>
                <w:bCs w:val="0"/>
                <w:color w:val="auto"/>
                <w:sz w:val="21"/>
                <w:szCs w:val="21"/>
                <w:lang w:val="en-US" w:eastAsia="zh-CN"/>
              </w:rPr>
              <w:t>0.8523 /(0.47)</w:t>
            </w:r>
          </w:p>
        </w:tc>
        <w:tc>
          <w:tcPr>
            <w:tcW w:w="1980" w:type="dxa"/>
            <w:noWrap w:val="0"/>
            <w:vAlign w:val="center"/>
          </w:tcPr>
          <w:p>
            <w:pPr>
              <w:spacing w:line="240" w:lineRule="exact"/>
              <w:jc w:val="center"/>
              <w:rPr>
                <w:rFonts w:hint="eastAsia" w:ascii="宋体" w:hAnsi="宋体" w:eastAsia="宋体" w:cs="宋体"/>
                <w:b w:val="0"/>
                <w:bCs w:val="0"/>
                <w:color w:val="auto"/>
                <w:sz w:val="21"/>
                <w:szCs w:val="21"/>
                <w:lang w:val="en-US" w:eastAsia="zh-CN"/>
              </w:rPr>
            </w:pPr>
            <w:r>
              <w:rPr>
                <w:rFonts w:hint="eastAsia" w:ascii="宋体" w:hAnsi="宋体" w:eastAsia="宋体" w:cs="宋体"/>
                <w:color w:val="auto"/>
                <w:sz w:val="21"/>
                <w:szCs w:val="21"/>
                <w:lang w:val="en-US" w:eastAsia="zh-CN"/>
              </w:rPr>
              <w:t>2</w:t>
            </w:r>
          </w:p>
        </w:tc>
        <w:tc>
          <w:tcPr>
            <w:tcW w:w="1980" w:type="dxa"/>
            <w:noWrap w:val="0"/>
            <w:vAlign w:val="center"/>
          </w:tcPr>
          <w:p>
            <w:pPr>
              <w:spacing w:line="240" w:lineRule="exact"/>
              <w:jc w:val="center"/>
              <w:rPr>
                <w:rFonts w:hint="eastAsia" w:ascii="宋体" w:hAnsi="宋体" w:eastAsia="宋体" w:cs="宋体"/>
                <w:b w:val="0"/>
                <w:bCs w:val="0"/>
                <w:color w:val="auto"/>
                <w:sz w:val="21"/>
                <w:szCs w:val="21"/>
                <w:lang w:val="en-US" w:eastAsia="zh-CN"/>
              </w:rPr>
            </w:pPr>
            <w:r>
              <w:rPr>
                <w:rFonts w:hint="eastAsia" w:ascii="宋体" w:hAnsi="宋体"/>
                <w:color w:val="auto"/>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245" w:type="dxa"/>
            <w:noWrap w:val="0"/>
            <w:vAlign w:val="center"/>
          </w:tcPr>
          <w:p>
            <w:pPr>
              <w:spacing w:line="240" w:lineRule="exact"/>
              <w:jc w:val="center"/>
              <w:rPr>
                <w:rFonts w:hint="eastAsia" w:ascii="宋体" w:hAnsi="宋体" w:eastAsia="宋体"/>
                <w:color w:val="auto"/>
                <w:kern w:val="2"/>
                <w:sz w:val="21"/>
                <w:szCs w:val="21"/>
                <w:lang w:val="en-US" w:eastAsia="zh-CN" w:bidi="ar-SA"/>
              </w:rPr>
            </w:pPr>
            <w:r>
              <w:rPr>
                <w:rFonts w:hint="eastAsia" w:ascii="宋体" w:hAnsi="宋体"/>
                <w:color w:val="auto"/>
                <w:sz w:val="21"/>
                <w:szCs w:val="21"/>
              </w:rPr>
              <w:t>二级</w:t>
            </w:r>
          </w:p>
        </w:tc>
        <w:tc>
          <w:tcPr>
            <w:tcW w:w="3222" w:type="dxa"/>
            <w:noWrap w:val="0"/>
            <w:vAlign w:val="center"/>
          </w:tcPr>
          <w:p>
            <w:pPr>
              <w:spacing w:line="240" w:lineRule="exact"/>
              <w:jc w:val="center"/>
              <w:rPr>
                <w:rFonts w:hint="eastAsia" w:ascii="宋体" w:hAnsi="宋体" w:eastAsia="宋体"/>
                <w:color w:val="auto"/>
                <w:spacing w:val="0"/>
                <w:kern w:val="2"/>
                <w:sz w:val="21"/>
                <w:szCs w:val="21"/>
                <w:lang w:val="en-US" w:eastAsia="zh-CN" w:bidi="ar-SA"/>
              </w:rPr>
            </w:pPr>
            <w:r>
              <w:rPr>
                <w:rFonts w:hint="eastAsia" w:ascii="宋体" w:hAnsi="宋体" w:eastAsia="宋体" w:cs="宋体"/>
                <w:color w:val="auto"/>
                <w:sz w:val="21"/>
                <w:szCs w:val="21"/>
                <w:lang w:val="en-US" w:eastAsia="zh-CN"/>
              </w:rPr>
              <w:t>0.036 - 2.53 /(1.28)</w:t>
            </w:r>
          </w:p>
        </w:tc>
        <w:tc>
          <w:tcPr>
            <w:tcW w:w="1980" w:type="dxa"/>
            <w:noWrap w:val="0"/>
            <w:vAlign w:val="center"/>
          </w:tcPr>
          <w:p>
            <w:pPr>
              <w:spacing w:line="240" w:lineRule="exact"/>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w:t>
            </w:r>
          </w:p>
        </w:tc>
        <w:tc>
          <w:tcPr>
            <w:tcW w:w="1980" w:type="dxa"/>
            <w:noWrap w:val="0"/>
            <w:vAlign w:val="center"/>
          </w:tcPr>
          <w:p>
            <w:pPr>
              <w:spacing w:line="240" w:lineRule="exact"/>
              <w:jc w:val="center"/>
              <w:rPr>
                <w:rFonts w:hint="eastAsia" w:ascii="宋体" w:hAnsi="宋体" w:eastAsia="宋体" w:cs="宋体"/>
                <w:color w:val="auto"/>
                <w:sz w:val="21"/>
                <w:szCs w:val="21"/>
                <w:lang w:val="en-US" w:eastAsia="zh-CN"/>
              </w:rPr>
            </w:pPr>
            <w:r>
              <w:rPr>
                <w:rFonts w:hint="eastAsia" w:ascii="宋体" w:hAnsi="宋体"/>
                <w:color w:val="auto"/>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245" w:type="dxa"/>
            <w:noWrap w:val="0"/>
            <w:vAlign w:val="center"/>
          </w:tcPr>
          <w:p>
            <w:pPr>
              <w:spacing w:line="240" w:lineRule="exact"/>
              <w:jc w:val="center"/>
              <w:rPr>
                <w:rFonts w:hint="eastAsia" w:ascii="宋体" w:hAnsi="宋体" w:eastAsia="宋体"/>
                <w:color w:val="auto"/>
                <w:kern w:val="2"/>
                <w:sz w:val="21"/>
                <w:szCs w:val="21"/>
                <w:lang w:val="en-US" w:eastAsia="zh-CN" w:bidi="ar-SA"/>
              </w:rPr>
            </w:pPr>
            <w:r>
              <w:rPr>
                <w:rFonts w:hint="eastAsia" w:ascii="宋体" w:hAnsi="宋体"/>
                <w:color w:val="auto"/>
                <w:sz w:val="21"/>
                <w:szCs w:val="21"/>
              </w:rPr>
              <w:t>三级</w:t>
            </w:r>
          </w:p>
        </w:tc>
        <w:tc>
          <w:tcPr>
            <w:tcW w:w="3222" w:type="dxa"/>
            <w:noWrap w:val="0"/>
            <w:vAlign w:val="center"/>
          </w:tcPr>
          <w:p>
            <w:pPr>
              <w:spacing w:line="240" w:lineRule="exact"/>
              <w:jc w:val="center"/>
              <w:rPr>
                <w:rFonts w:hint="eastAsia" w:ascii="宋体" w:hAnsi="宋体" w:eastAsia="宋体"/>
                <w:color w:val="auto"/>
                <w:spacing w:val="0"/>
                <w:kern w:val="2"/>
                <w:sz w:val="21"/>
                <w:szCs w:val="21"/>
                <w:lang w:val="en-US" w:eastAsia="zh-CN" w:bidi="ar-SA"/>
              </w:rPr>
            </w:pPr>
            <w:r>
              <w:rPr>
                <w:rFonts w:hint="eastAsia" w:ascii="宋体" w:hAnsi="宋体" w:eastAsia="宋体" w:cs="宋体"/>
                <w:color w:val="auto"/>
                <w:sz w:val="21"/>
                <w:szCs w:val="21"/>
                <w:lang w:val="en-US" w:eastAsia="zh-CN"/>
              </w:rPr>
              <w:t>0.38 - 2.77 /(1.76)</w:t>
            </w:r>
          </w:p>
        </w:tc>
        <w:tc>
          <w:tcPr>
            <w:tcW w:w="1980" w:type="dxa"/>
            <w:noWrap w:val="0"/>
            <w:vAlign w:val="center"/>
          </w:tcPr>
          <w:p>
            <w:pPr>
              <w:spacing w:line="240" w:lineRule="exact"/>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w:t>
            </w:r>
          </w:p>
        </w:tc>
        <w:tc>
          <w:tcPr>
            <w:tcW w:w="1980" w:type="dxa"/>
            <w:noWrap w:val="0"/>
            <w:vAlign w:val="center"/>
          </w:tcPr>
          <w:p>
            <w:pPr>
              <w:spacing w:line="240" w:lineRule="exact"/>
              <w:jc w:val="center"/>
              <w:rPr>
                <w:rFonts w:hint="eastAsia" w:ascii="宋体" w:hAnsi="宋体" w:eastAsia="宋体" w:cs="宋体"/>
                <w:color w:val="auto"/>
                <w:sz w:val="21"/>
                <w:szCs w:val="21"/>
                <w:lang w:val="en-US" w:eastAsia="zh-CN"/>
              </w:rPr>
            </w:pPr>
            <w:r>
              <w:rPr>
                <w:rFonts w:hint="eastAsia" w:ascii="宋体" w:hAnsi="宋体"/>
                <w:color w:val="auto"/>
                <w:sz w:val="18"/>
                <w:szCs w:val="18"/>
                <w:lang w:val="en-US" w:eastAsia="zh-CN"/>
              </w:rPr>
              <w:t>3</w:t>
            </w:r>
          </w:p>
        </w:tc>
      </w:tr>
    </w:tbl>
    <w:p>
      <w:pPr>
        <w:spacing w:line="360" w:lineRule="auto"/>
        <w:rPr>
          <w:rFonts w:hint="eastAsia" w:ascii="宋体" w:hAnsi="宋体" w:cs="宋体"/>
          <w:sz w:val="24"/>
          <w:szCs w:val="24"/>
          <w:lang w:val="en-US" w:eastAsia="zh-CN"/>
        </w:rPr>
      </w:pPr>
    </w:p>
    <w:p>
      <w:pPr>
        <w:spacing w:line="360" w:lineRule="auto"/>
        <w:rPr>
          <w:rFonts w:hint="eastAsia" w:ascii="宋体" w:hAnsi="宋体" w:cs="宋体"/>
          <w:sz w:val="24"/>
          <w:szCs w:val="24"/>
        </w:rPr>
      </w:pPr>
      <w:r>
        <w:rPr>
          <w:rFonts w:hint="eastAsia" w:ascii="宋体" w:hAnsi="宋体" w:cs="宋体"/>
          <w:sz w:val="24"/>
          <w:szCs w:val="24"/>
          <w:lang w:val="en-US" w:eastAsia="zh-CN"/>
        </w:rPr>
        <w:t>3.3.2.4</w:t>
      </w:r>
      <w:r>
        <w:rPr>
          <w:rFonts w:hint="eastAsia" w:ascii="宋体" w:hAnsi="宋体" w:cs="宋体"/>
          <w:sz w:val="24"/>
          <w:szCs w:val="24"/>
        </w:rPr>
        <w:t>杂质</w:t>
      </w:r>
      <w:r>
        <w:rPr>
          <w:rFonts w:hint="eastAsia" w:ascii="宋体" w:hAnsi="宋体" w:cs="宋体"/>
          <w:sz w:val="24"/>
          <w:szCs w:val="24"/>
          <w:lang w:eastAsia="zh-CN"/>
        </w:rPr>
        <w:t>砷</w:t>
      </w:r>
      <w:r>
        <w:rPr>
          <w:rFonts w:hint="eastAsia" w:ascii="宋体" w:hAnsi="宋体" w:cs="宋体"/>
          <w:sz w:val="24"/>
          <w:szCs w:val="24"/>
        </w:rPr>
        <w:t>范围的确定：</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i w:val="0"/>
          <w:iCs w:val="0"/>
          <w:sz w:val="24"/>
          <w:szCs w:val="24"/>
          <w:lang w:eastAsia="zh-CN"/>
        </w:rPr>
      </w:pPr>
      <w:r>
        <w:rPr>
          <w:rFonts w:hint="eastAsia" w:ascii="宋体" w:hAnsi="宋体"/>
          <w:sz w:val="24"/>
          <w:szCs w:val="24"/>
          <w:lang w:val="en-US" w:eastAsia="zh-CN"/>
        </w:rPr>
        <w:t>铜火法冶炼</w:t>
      </w:r>
      <w:r>
        <w:rPr>
          <w:rFonts w:hint="eastAsia" w:ascii="宋体" w:hAnsi="宋体" w:cs="宋体"/>
          <w:sz w:val="24"/>
          <w:szCs w:val="24"/>
          <w:lang w:eastAsia="zh-CN"/>
        </w:rPr>
        <w:t>原料中砷要严格控制,砷进入硫酸系统很容易造成触媒中毒,还会产生大量砷渣,导致处置费用大幅上升。一是参考</w:t>
      </w:r>
      <w:r>
        <w:rPr>
          <w:rFonts w:hint="eastAsia" w:ascii="宋体" w:hAnsi="宋体" w:cs="宋体"/>
          <w:sz w:val="24"/>
          <w:szCs w:val="24"/>
        </w:rPr>
        <w:t>GB20424-2006《重金属精矿产品中有害元素的限量规范》中</w:t>
      </w:r>
      <w:r>
        <w:rPr>
          <w:rFonts w:hint="eastAsia" w:ascii="宋体" w:hAnsi="宋体" w:cs="宋体"/>
          <w:sz w:val="24"/>
          <w:szCs w:val="24"/>
          <w:lang w:eastAsia="zh-CN"/>
        </w:rPr>
        <w:t>铜精矿</w:t>
      </w:r>
      <w:r>
        <w:rPr>
          <w:rFonts w:hint="eastAsia" w:ascii="宋体" w:hAnsi="宋体" w:cs="宋体"/>
          <w:sz w:val="24"/>
          <w:szCs w:val="24"/>
        </w:rPr>
        <w:t>As含量不大于</w:t>
      </w:r>
      <w:r>
        <w:rPr>
          <w:rFonts w:hint="eastAsia" w:ascii="宋体" w:hAnsi="宋体" w:cs="宋体"/>
          <w:sz w:val="24"/>
          <w:szCs w:val="24"/>
          <w:lang w:val="en-US" w:eastAsia="zh-CN"/>
        </w:rPr>
        <w:t>0.5</w:t>
      </w:r>
      <w:r>
        <w:rPr>
          <w:rFonts w:hint="eastAsia" w:ascii="宋体" w:hAnsi="宋体" w:cs="宋体"/>
          <w:sz w:val="24"/>
          <w:szCs w:val="24"/>
        </w:rPr>
        <w:t>%</w:t>
      </w:r>
      <w:r>
        <w:rPr>
          <w:rFonts w:hint="eastAsia" w:ascii="宋体" w:hAnsi="宋体" w:cs="宋体"/>
          <w:sz w:val="24"/>
          <w:szCs w:val="24"/>
          <w:lang w:eastAsia="zh-CN"/>
        </w:rPr>
        <w:t>的要求；二是</w:t>
      </w:r>
      <w:r>
        <w:rPr>
          <w:rFonts w:hint="eastAsia" w:ascii="宋体" w:hAnsi="宋体" w:cs="宋体"/>
          <w:sz w:val="24"/>
          <w:szCs w:val="24"/>
        </w:rPr>
        <w:t>保证后端产品质量，控制进入铜电解系统含砷量</w:t>
      </w:r>
      <w:r>
        <w:rPr>
          <w:rFonts w:hint="eastAsia" w:ascii="宋体" w:hAnsi="宋体" w:cs="宋体"/>
          <w:sz w:val="24"/>
          <w:szCs w:val="24"/>
          <w:lang w:eastAsia="zh-CN"/>
        </w:rPr>
        <w:t>，</w:t>
      </w:r>
      <w:r>
        <w:rPr>
          <w:rFonts w:hint="eastAsia" w:ascii="宋体" w:hAnsi="宋体" w:cs="宋体"/>
          <w:sz w:val="24"/>
          <w:szCs w:val="24"/>
          <w:lang w:val="en-US" w:eastAsia="zh-CN"/>
        </w:rPr>
        <w:t>YS/T 70-2015《</w:t>
      </w:r>
      <w:r>
        <w:rPr>
          <w:rFonts w:hint="eastAsia" w:ascii="宋体" w:hAnsi="宋体" w:cs="宋体"/>
          <w:sz w:val="24"/>
          <w:szCs w:val="24"/>
        </w:rPr>
        <w:t>粗铜</w:t>
      </w:r>
      <w:r>
        <w:rPr>
          <w:rFonts w:hint="eastAsia" w:ascii="宋体" w:hAnsi="宋体" w:cs="宋体"/>
          <w:sz w:val="24"/>
          <w:szCs w:val="24"/>
          <w:lang w:eastAsia="zh-CN"/>
        </w:rPr>
        <w:t>》</w:t>
      </w:r>
      <w:r>
        <w:rPr>
          <w:rFonts w:hint="eastAsia" w:ascii="宋体" w:hAnsi="宋体" w:cs="宋体"/>
          <w:sz w:val="24"/>
          <w:szCs w:val="24"/>
        </w:rPr>
        <w:t>As含量</w:t>
      </w:r>
      <w:r>
        <w:rPr>
          <w:rFonts w:hint="eastAsia" w:ascii="宋体" w:hAnsi="宋体" w:cs="宋体"/>
          <w:sz w:val="24"/>
          <w:szCs w:val="24"/>
          <w:lang w:eastAsia="zh-CN"/>
        </w:rPr>
        <w:t>不大于</w:t>
      </w:r>
      <w:r>
        <w:rPr>
          <w:rFonts w:hint="eastAsia" w:ascii="宋体" w:hAnsi="宋体" w:cs="宋体"/>
          <w:sz w:val="24"/>
          <w:szCs w:val="24"/>
          <w:lang w:val="en-US" w:eastAsia="zh-CN"/>
        </w:rPr>
        <w:t>0.3</w:t>
      </w:r>
      <w:r>
        <w:rPr>
          <w:rFonts w:hint="eastAsia" w:ascii="宋体" w:hAnsi="宋体" w:cs="宋体"/>
          <w:sz w:val="24"/>
          <w:szCs w:val="24"/>
        </w:rPr>
        <w:t xml:space="preserve">4％ </w:t>
      </w:r>
      <w:r>
        <w:rPr>
          <w:rFonts w:hint="eastAsia" w:ascii="宋体" w:hAnsi="宋体" w:cs="宋体"/>
          <w:sz w:val="24"/>
          <w:szCs w:val="24"/>
          <w:lang w:eastAsia="zh-CN"/>
        </w:rPr>
        <w:t>的</w:t>
      </w:r>
      <w:r>
        <w:rPr>
          <w:rFonts w:hint="eastAsia" w:ascii="宋体" w:hAnsi="宋体" w:cs="宋体"/>
          <w:sz w:val="24"/>
          <w:szCs w:val="24"/>
        </w:rPr>
        <w:t>要求</w:t>
      </w:r>
      <w:r>
        <w:rPr>
          <w:rFonts w:hint="eastAsia" w:ascii="宋体" w:hAnsi="宋体" w:cs="宋体"/>
          <w:sz w:val="24"/>
          <w:szCs w:val="24"/>
          <w:lang w:eastAsia="zh-CN"/>
        </w:rPr>
        <w:t>；三是根据</w:t>
      </w:r>
      <w:r>
        <w:rPr>
          <w:rFonts w:hint="eastAsia" w:ascii="宋体" w:hAnsi="宋体" w:eastAsia="宋体" w:cs="宋体"/>
          <w:sz w:val="24"/>
          <w:szCs w:val="24"/>
          <w:lang w:eastAsia="zh-CN"/>
        </w:rPr>
        <w:t>收集的部分</w:t>
      </w:r>
      <w:r>
        <w:rPr>
          <w:rFonts w:hint="eastAsia" w:ascii="宋体" w:hAnsi="宋体" w:cs="宋体"/>
          <w:sz w:val="24"/>
          <w:szCs w:val="24"/>
        </w:rPr>
        <w:t>铜冶炼生产企业</w:t>
      </w:r>
      <w:r>
        <w:rPr>
          <w:rFonts w:hint="eastAsia" w:ascii="宋体" w:hAnsi="宋体" w:cs="宋体"/>
          <w:sz w:val="24"/>
          <w:szCs w:val="24"/>
          <w:lang w:eastAsia="zh-CN"/>
        </w:rPr>
        <w:t>的数据确定，</w:t>
      </w:r>
      <w:r>
        <w:rPr>
          <w:rFonts w:hint="eastAsia" w:ascii="宋体" w:hAnsi="宋体"/>
          <w:sz w:val="24"/>
          <w:szCs w:val="24"/>
        </w:rPr>
        <w:t>冰铜一级品</w:t>
      </w:r>
      <w:r>
        <w:rPr>
          <w:rFonts w:hint="eastAsia" w:ascii="宋体" w:hAnsi="宋体" w:cs="宋体"/>
          <w:sz w:val="24"/>
          <w:szCs w:val="24"/>
        </w:rPr>
        <w:t>As</w:t>
      </w:r>
      <w:r>
        <w:rPr>
          <w:rFonts w:hint="eastAsia" w:ascii="宋体" w:hAnsi="宋体" w:cs="宋体"/>
          <w:sz w:val="24"/>
          <w:szCs w:val="24"/>
          <w:lang w:eastAsia="zh-CN"/>
        </w:rPr>
        <w:t>含量不大于</w:t>
      </w:r>
      <w:r>
        <w:rPr>
          <w:rFonts w:hint="eastAsia" w:ascii="宋体" w:hAnsi="宋体" w:cs="宋体"/>
          <w:sz w:val="24"/>
          <w:szCs w:val="24"/>
          <w:lang w:val="en-US" w:eastAsia="zh-CN"/>
        </w:rPr>
        <w:t>0.15%</w:t>
      </w:r>
      <w:r>
        <w:rPr>
          <w:rFonts w:hint="eastAsia" w:ascii="宋体" w:hAnsi="宋体"/>
          <w:sz w:val="24"/>
          <w:szCs w:val="24"/>
        </w:rPr>
        <w:t>、</w:t>
      </w:r>
      <w:r>
        <w:rPr>
          <w:rFonts w:hint="eastAsia" w:ascii="宋体" w:hAnsi="宋体"/>
          <w:sz w:val="24"/>
          <w:szCs w:val="24"/>
          <w:lang w:eastAsia="zh-CN"/>
        </w:rPr>
        <w:t>二</w:t>
      </w:r>
      <w:r>
        <w:rPr>
          <w:rFonts w:hint="eastAsia" w:ascii="宋体" w:hAnsi="宋体"/>
          <w:sz w:val="24"/>
          <w:szCs w:val="24"/>
        </w:rPr>
        <w:t>级品</w:t>
      </w:r>
      <w:r>
        <w:rPr>
          <w:rFonts w:hint="eastAsia" w:ascii="宋体" w:hAnsi="宋体" w:cs="宋体"/>
          <w:sz w:val="24"/>
          <w:szCs w:val="24"/>
        </w:rPr>
        <w:t>As</w:t>
      </w:r>
      <w:r>
        <w:rPr>
          <w:rFonts w:hint="eastAsia" w:ascii="宋体" w:hAnsi="宋体" w:cs="宋体"/>
          <w:sz w:val="24"/>
          <w:szCs w:val="24"/>
          <w:lang w:eastAsia="zh-CN"/>
        </w:rPr>
        <w:t>含量不大于</w:t>
      </w:r>
      <w:r>
        <w:rPr>
          <w:rFonts w:hint="eastAsia" w:ascii="宋体" w:hAnsi="宋体" w:cs="宋体"/>
          <w:sz w:val="24"/>
          <w:szCs w:val="24"/>
          <w:lang w:val="en-US" w:eastAsia="zh-CN"/>
        </w:rPr>
        <w:t>0.3%</w:t>
      </w:r>
      <w:r>
        <w:rPr>
          <w:rFonts w:hint="eastAsia" w:ascii="宋体" w:hAnsi="宋体"/>
          <w:sz w:val="24"/>
          <w:szCs w:val="24"/>
        </w:rPr>
        <w:t>、</w:t>
      </w:r>
      <w:r>
        <w:rPr>
          <w:rFonts w:hint="eastAsia" w:ascii="宋体" w:hAnsi="宋体"/>
          <w:sz w:val="24"/>
          <w:szCs w:val="24"/>
          <w:lang w:eastAsia="zh-CN"/>
        </w:rPr>
        <w:t>三</w:t>
      </w:r>
      <w:r>
        <w:rPr>
          <w:rFonts w:hint="eastAsia" w:ascii="宋体" w:hAnsi="宋体"/>
          <w:sz w:val="24"/>
          <w:szCs w:val="24"/>
        </w:rPr>
        <w:t>级品</w:t>
      </w:r>
      <w:r>
        <w:rPr>
          <w:rFonts w:hint="eastAsia" w:ascii="宋体" w:hAnsi="宋体" w:cs="宋体"/>
          <w:sz w:val="24"/>
          <w:szCs w:val="24"/>
        </w:rPr>
        <w:t>As</w:t>
      </w:r>
      <w:r>
        <w:rPr>
          <w:rFonts w:hint="eastAsia" w:ascii="宋体" w:hAnsi="宋体" w:cs="宋体"/>
          <w:sz w:val="24"/>
          <w:szCs w:val="24"/>
          <w:lang w:eastAsia="zh-CN"/>
        </w:rPr>
        <w:t>含量不大于</w:t>
      </w:r>
      <w:r>
        <w:rPr>
          <w:rFonts w:hint="eastAsia" w:ascii="宋体" w:hAnsi="宋体" w:cs="宋体"/>
          <w:sz w:val="24"/>
          <w:szCs w:val="24"/>
          <w:lang w:val="en-US" w:eastAsia="zh-CN"/>
        </w:rPr>
        <w:t>0.5%</w:t>
      </w:r>
      <w:r>
        <w:rPr>
          <w:rFonts w:hint="eastAsia" w:ascii="宋体" w:hAnsi="宋体"/>
          <w:sz w:val="24"/>
          <w:szCs w:val="24"/>
        </w:rPr>
        <w:t>。</w:t>
      </w:r>
      <w:r>
        <w:rPr>
          <w:rFonts w:hint="eastAsia" w:ascii="宋体" w:hAnsi="宋体"/>
          <w:i w:val="0"/>
          <w:iCs w:val="0"/>
          <w:sz w:val="24"/>
          <w:szCs w:val="24"/>
          <w:lang w:eastAsia="zh-CN"/>
        </w:rPr>
        <w:t>（原文件</w:t>
      </w:r>
      <w:r>
        <w:rPr>
          <w:rFonts w:hint="eastAsia" w:ascii="宋体" w:hAnsi="宋体"/>
          <w:i w:val="0"/>
          <w:iCs w:val="0"/>
          <w:color w:val="auto"/>
          <w:sz w:val="24"/>
          <w:szCs w:val="24"/>
          <w:vertAlign w:val="baseline"/>
          <w:lang w:val="en-US" w:eastAsia="zh-CN"/>
        </w:rPr>
        <w:t>2013年版，</w:t>
      </w:r>
      <w:r>
        <w:rPr>
          <w:rFonts w:hint="eastAsia" w:ascii="宋体" w:hAnsi="宋体"/>
          <w:i w:val="0"/>
          <w:iCs w:val="0"/>
          <w:sz w:val="24"/>
          <w:szCs w:val="24"/>
        </w:rPr>
        <w:t>一级品</w:t>
      </w:r>
      <w:r>
        <w:rPr>
          <w:rFonts w:hint="eastAsia" w:ascii="宋体" w:hAnsi="宋体" w:cs="宋体"/>
          <w:sz w:val="24"/>
          <w:szCs w:val="24"/>
        </w:rPr>
        <w:t>As</w:t>
      </w:r>
      <w:r>
        <w:rPr>
          <w:rFonts w:hint="eastAsia" w:ascii="宋体" w:hAnsi="宋体" w:cs="宋体"/>
          <w:i w:val="0"/>
          <w:iCs w:val="0"/>
          <w:sz w:val="24"/>
          <w:szCs w:val="24"/>
          <w:lang w:eastAsia="zh-CN"/>
        </w:rPr>
        <w:t>含量不大于</w:t>
      </w:r>
      <w:r>
        <w:rPr>
          <w:rFonts w:hint="eastAsia" w:ascii="宋体" w:hAnsi="宋体" w:cs="宋体"/>
          <w:i w:val="0"/>
          <w:iCs w:val="0"/>
          <w:sz w:val="24"/>
          <w:szCs w:val="24"/>
          <w:lang w:val="en-US" w:eastAsia="zh-CN"/>
        </w:rPr>
        <w:t>0.15%</w:t>
      </w:r>
      <w:r>
        <w:rPr>
          <w:rFonts w:hint="eastAsia" w:ascii="宋体" w:hAnsi="宋体"/>
          <w:i w:val="0"/>
          <w:iCs w:val="0"/>
          <w:sz w:val="24"/>
          <w:szCs w:val="24"/>
        </w:rPr>
        <w:t>、</w:t>
      </w:r>
      <w:r>
        <w:rPr>
          <w:rFonts w:hint="eastAsia" w:ascii="宋体" w:hAnsi="宋体"/>
          <w:i w:val="0"/>
          <w:iCs w:val="0"/>
          <w:sz w:val="24"/>
          <w:szCs w:val="24"/>
          <w:lang w:eastAsia="zh-CN"/>
        </w:rPr>
        <w:t>二</w:t>
      </w:r>
      <w:r>
        <w:rPr>
          <w:rFonts w:hint="eastAsia" w:ascii="宋体" w:hAnsi="宋体"/>
          <w:i w:val="0"/>
          <w:iCs w:val="0"/>
          <w:sz w:val="24"/>
          <w:szCs w:val="24"/>
        </w:rPr>
        <w:t>级品</w:t>
      </w:r>
      <w:r>
        <w:rPr>
          <w:rFonts w:hint="eastAsia" w:ascii="宋体" w:hAnsi="宋体" w:cs="宋体"/>
          <w:sz w:val="24"/>
          <w:szCs w:val="24"/>
        </w:rPr>
        <w:t>As</w:t>
      </w:r>
      <w:r>
        <w:rPr>
          <w:rFonts w:hint="eastAsia" w:ascii="宋体" w:hAnsi="宋体" w:cs="宋体"/>
          <w:i w:val="0"/>
          <w:iCs w:val="0"/>
          <w:sz w:val="24"/>
          <w:szCs w:val="24"/>
          <w:lang w:eastAsia="zh-CN"/>
        </w:rPr>
        <w:t>含量不大于</w:t>
      </w:r>
      <w:r>
        <w:rPr>
          <w:rFonts w:hint="eastAsia" w:ascii="宋体" w:hAnsi="宋体" w:cs="宋体"/>
          <w:i w:val="0"/>
          <w:iCs w:val="0"/>
          <w:sz w:val="24"/>
          <w:szCs w:val="24"/>
          <w:lang w:val="en-US" w:eastAsia="zh-CN"/>
        </w:rPr>
        <w:t>0.3%</w:t>
      </w:r>
      <w:r>
        <w:rPr>
          <w:rFonts w:hint="eastAsia" w:ascii="宋体" w:hAnsi="宋体"/>
          <w:i w:val="0"/>
          <w:iCs w:val="0"/>
          <w:sz w:val="24"/>
          <w:szCs w:val="24"/>
        </w:rPr>
        <w:t>、</w:t>
      </w:r>
      <w:r>
        <w:rPr>
          <w:rFonts w:hint="eastAsia" w:ascii="宋体" w:hAnsi="宋体"/>
          <w:i w:val="0"/>
          <w:iCs w:val="0"/>
          <w:sz w:val="24"/>
          <w:szCs w:val="24"/>
          <w:lang w:eastAsia="zh-CN"/>
        </w:rPr>
        <w:t>三</w:t>
      </w:r>
      <w:r>
        <w:rPr>
          <w:rFonts w:hint="eastAsia" w:ascii="宋体" w:hAnsi="宋体"/>
          <w:i w:val="0"/>
          <w:iCs w:val="0"/>
          <w:sz w:val="24"/>
          <w:szCs w:val="24"/>
        </w:rPr>
        <w:t>级品</w:t>
      </w:r>
      <w:r>
        <w:rPr>
          <w:rFonts w:hint="eastAsia" w:ascii="宋体" w:hAnsi="宋体" w:cs="宋体"/>
          <w:sz w:val="24"/>
          <w:szCs w:val="24"/>
        </w:rPr>
        <w:t>As</w:t>
      </w:r>
      <w:r>
        <w:rPr>
          <w:rFonts w:hint="eastAsia" w:ascii="宋体" w:hAnsi="宋体" w:cs="宋体"/>
          <w:i w:val="0"/>
          <w:iCs w:val="0"/>
          <w:sz w:val="24"/>
          <w:szCs w:val="24"/>
          <w:lang w:eastAsia="zh-CN"/>
        </w:rPr>
        <w:t>含量不大</w:t>
      </w:r>
      <w:r>
        <w:rPr>
          <w:rFonts w:hint="eastAsia" w:ascii="宋体" w:hAnsi="宋体" w:cs="宋体"/>
          <w:i w:val="0"/>
          <w:iCs w:val="0"/>
          <w:sz w:val="24"/>
          <w:szCs w:val="24"/>
          <w:lang w:val="en-US" w:eastAsia="zh-CN"/>
        </w:rPr>
        <w:t>0.5%</w:t>
      </w:r>
      <w:r>
        <w:rPr>
          <w:rFonts w:hint="eastAsia" w:ascii="宋体" w:hAnsi="宋体"/>
          <w:i w:val="0"/>
          <w:iCs w:val="0"/>
          <w:sz w:val="24"/>
          <w:szCs w:val="24"/>
        </w:rPr>
        <w:t>。</w:t>
      </w:r>
      <w:r>
        <w:rPr>
          <w:rFonts w:hint="eastAsia" w:ascii="宋体" w:hAnsi="宋体"/>
          <w:i w:val="0"/>
          <w:iCs w:val="0"/>
          <w:sz w:val="24"/>
          <w:szCs w:val="24"/>
          <w:lang w:eastAsia="zh-CN"/>
        </w:rPr>
        <w:t>）</w:t>
      </w:r>
    </w:p>
    <w:p>
      <w:pPr>
        <w:spacing w:line="500" w:lineRule="exact"/>
        <w:ind w:firstLine="211" w:firstLineChars="100"/>
        <w:jc w:val="center"/>
        <w:rPr>
          <w:rFonts w:hint="eastAsia" w:ascii="宋体" w:hAnsi="宋体"/>
          <w:b/>
          <w:bCs/>
          <w:color w:val="auto"/>
          <w:sz w:val="18"/>
          <w:szCs w:val="18"/>
        </w:rPr>
      </w:pPr>
      <w:r>
        <w:rPr>
          <w:rFonts w:hint="eastAsia" w:ascii="宋体" w:hAnsi="宋体" w:cs="宋体"/>
          <w:b/>
          <w:bCs/>
          <w:szCs w:val="21"/>
        </w:rPr>
        <w:t>表</w:t>
      </w:r>
      <w:r>
        <w:rPr>
          <w:rFonts w:hint="eastAsia" w:ascii="宋体" w:hAnsi="宋体" w:cs="宋体"/>
          <w:b/>
          <w:bCs/>
          <w:szCs w:val="21"/>
          <w:lang w:val="en-US" w:eastAsia="zh-CN"/>
        </w:rPr>
        <w:t>7</w:t>
      </w:r>
      <w:r>
        <w:rPr>
          <w:rFonts w:hint="eastAsia" w:ascii="宋体" w:hAnsi="宋体" w:cs="宋体"/>
          <w:b/>
          <w:bCs/>
          <w:szCs w:val="21"/>
        </w:rPr>
        <w:t>“冰铜的As含量</w:t>
      </w:r>
      <w:r>
        <w:rPr>
          <w:rFonts w:hint="eastAsia" w:ascii="宋体" w:hAnsi="宋体" w:cs="宋体"/>
          <w:b/>
          <w:bCs/>
          <w:szCs w:val="21"/>
          <w:lang w:eastAsia="zh-CN"/>
        </w:rPr>
        <w:t>统计</w:t>
      </w:r>
      <w:r>
        <w:rPr>
          <w:rFonts w:hint="eastAsia" w:ascii="宋体" w:hAnsi="宋体" w:cs="宋体"/>
          <w:b/>
          <w:bCs/>
          <w:szCs w:val="21"/>
        </w:rPr>
        <w:t>表”</w:t>
      </w:r>
      <w:r>
        <w:rPr>
          <w:rFonts w:hint="eastAsia" w:ascii="宋体" w:hAnsi="宋体"/>
          <w:b/>
          <w:bCs/>
          <w:color w:val="auto"/>
          <w:sz w:val="18"/>
          <w:szCs w:val="18"/>
        </w:rPr>
        <w:t>（质量分数）/%</w:t>
      </w:r>
    </w:p>
    <w:tbl>
      <w:tblPr>
        <w:tblStyle w:val="13"/>
        <w:tblW w:w="84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5"/>
        <w:gridCol w:w="3222"/>
        <w:gridCol w:w="198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5" w:type="dxa"/>
            <w:noWrap w:val="0"/>
            <w:vAlign w:val="center"/>
          </w:tcPr>
          <w:p>
            <w:pPr>
              <w:spacing w:line="360" w:lineRule="auto"/>
              <w:jc w:val="center"/>
              <w:rPr>
                <w:rFonts w:hint="eastAsia" w:ascii="宋体" w:hAnsi="宋体" w:cs="宋体"/>
                <w:b w:val="0"/>
                <w:bCs w:val="0"/>
                <w:color w:val="auto"/>
                <w:szCs w:val="21"/>
                <w:vertAlign w:val="baseline"/>
              </w:rPr>
            </w:pPr>
            <w:r>
              <w:rPr>
                <w:rFonts w:hint="eastAsia" w:ascii="宋体" w:hAnsi="宋体"/>
                <w:color w:val="auto"/>
                <w:sz w:val="21"/>
                <w:szCs w:val="21"/>
                <w:vertAlign w:val="baseline"/>
                <w:lang w:eastAsia="zh-CN"/>
              </w:rPr>
              <w:t>品级</w:t>
            </w:r>
          </w:p>
        </w:tc>
        <w:tc>
          <w:tcPr>
            <w:tcW w:w="3222" w:type="dxa"/>
            <w:noWrap w:val="0"/>
            <w:vAlign w:val="center"/>
          </w:tcPr>
          <w:p>
            <w:pPr>
              <w:spacing w:line="500" w:lineRule="exact"/>
              <w:jc w:val="center"/>
              <w:rPr>
                <w:rFonts w:hint="eastAsia" w:ascii="宋体" w:hAnsi="宋体" w:cs="宋体"/>
                <w:b w:val="0"/>
                <w:bCs w:val="0"/>
                <w:color w:val="auto"/>
                <w:szCs w:val="21"/>
                <w:vertAlign w:val="baseline"/>
              </w:rPr>
            </w:pPr>
            <w:r>
              <w:rPr>
                <w:rFonts w:hint="eastAsia" w:ascii="宋体" w:hAnsi="宋体" w:cs="宋体"/>
                <w:szCs w:val="21"/>
              </w:rPr>
              <w:t>As</w:t>
            </w:r>
            <w:r>
              <w:rPr>
                <w:rFonts w:hint="eastAsia" w:ascii="宋体" w:hAnsi="宋体"/>
                <w:b w:val="0"/>
                <w:bCs w:val="0"/>
                <w:color w:val="auto"/>
                <w:sz w:val="21"/>
                <w:szCs w:val="21"/>
                <w:lang w:val="en-US" w:eastAsia="zh-CN"/>
              </w:rPr>
              <w:t xml:space="preserve"> </w:t>
            </w:r>
            <w:r>
              <w:rPr>
                <w:rFonts w:hint="eastAsia" w:ascii="宋体" w:hAnsi="宋体"/>
                <w:b w:val="0"/>
                <w:bCs w:val="0"/>
                <w:color w:val="auto"/>
                <w:sz w:val="18"/>
                <w:szCs w:val="18"/>
                <w:lang w:val="en-US" w:eastAsia="zh-CN"/>
              </w:rPr>
              <w:t>（范围值/均值）</w:t>
            </w:r>
          </w:p>
        </w:tc>
        <w:tc>
          <w:tcPr>
            <w:tcW w:w="1980" w:type="dxa"/>
            <w:noWrap w:val="0"/>
            <w:vAlign w:val="center"/>
          </w:tcPr>
          <w:p>
            <w:pPr>
              <w:spacing w:line="360" w:lineRule="auto"/>
              <w:jc w:val="center"/>
              <w:rPr>
                <w:rFonts w:hint="eastAsia" w:ascii="宋体" w:hAnsi="宋体"/>
                <w:color w:val="auto"/>
                <w:sz w:val="21"/>
                <w:szCs w:val="21"/>
              </w:rPr>
            </w:pPr>
            <w:r>
              <w:rPr>
                <w:rFonts w:hint="eastAsia" w:ascii="宋体" w:hAnsi="宋体"/>
                <w:color w:val="auto"/>
                <w:sz w:val="21"/>
                <w:szCs w:val="21"/>
                <w:vertAlign w:val="baseline"/>
                <w:lang w:val="en-US" w:eastAsia="zh-CN"/>
              </w:rPr>
              <w:t>2013年版</w:t>
            </w:r>
            <w:r>
              <w:rPr>
                <w:rFonts w:hint="eastAsia" w:ascii="宋体" w:hAnsi="宋体" w:cs="宋体"/>
                <w:szCs w:val="21"/>
              </w:rPr>
              <w:t>As</w:t>
            </w:r>
            <w:r>
              <w:rPr>
                <w:rFonts w:hint="eastAsia" w:ascii="宋体" w:hAnsi="宋体"/>
                <w:color w:val="auto"/>
                <w:sz w:val="18"/>
                <w:szCs w:val="18"/>
                <w:lang w:eastAsia="zh-CN"/>
              </w:rPr>
              <w:t>不大于</w:t>
            </w:r>
          </w:p>
        </w:tc>
        <w:tc>
          <w:tcPr>
            <w:tcW w:w="1980" w:type="dxa"/>
            <w:noWrap w:val="0"/>
            <w:vAlign w:val="center"/>
          </w:tcPr>
          <w:p>
            <w:pPr>
              <w:spacing w:line="240" w:lineRule="exact"/>
              <w:jc w:val="center"/>
              <w:rPr>
                <w:rFonts w:hint="eastAsia" w:ascii="宋体" w:hAnsi="宋体" w:eastAsiaTheme="minorEastAsia"/>
                <w:color w:val="auto"/>
                <w:sz w:val="21"/>
                <w:szCs w:val="21"/>
                <w:lang w:eastAsia="zh-CN"/>
              </w:rPr>
            </w:pPr>
            <w:r>
              <w:rPr>
                <w:rFonts w:hint="eastAsia" w:ascii="宋体" w:hAnsi="宋体"/>
                <w:color w:val="auto"/>
                <w:sz w:val="18"/>
                <w:szCs w:val="18"/>
                <w:lang w:val="en-US" w:eastAsia="zh-CN"/>
              </w:rPr>
              <w:t>本文件</w:t>
            </w:r>
            <w:r>
              <w:rPr>
                <w:rFonts w:hint="eastAsia" w:ascii="宋体" w:hAnsi="宋体" w:cs="宋体"/>
                <w:szCs w:val="21"/>
              </w:rPr>
              <w:t>As</w:t>
            </w:r>
            <w:r>
              <w:rPr>
                <w:rFonts w:hint="eastAsia" w:ascii="宋体" w:hAnsi="宋体"/>
                <w:color w:val="auto"/>
                <w:sz w:val="18"/>
                <w:szCs w:val="18"/>
                <w:lang w:eastAsia="zh-CN"/>
              </w:rPr>
              <w:t>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245" w:type="dxa"/>
            <w:noWrap w:val="0"/>
            <w:vAlign w:val="center"/>
          </w:tcPr>
          <w:p>
            <w:pPr>
              <w:spacing w:line="240" w:lineRule="exact"/>
              <w:jc w:val="center"/>
              <w:rPr>
                <w:rFonts w:hint="eastAsia" w:ascii="宋体" w:hAnsi="宋体" w:eastAsia="宋体"/>
                <w:color w:val="auto"/>
                <w:kern w:val="2"/>
                <w:sz w:val="21"/>
                <w:szCs w:val="21"/>
                <w:lang w:val="en-US" w:eastAsia="zh-CN" w:bidi="ar-SA"/>
              </w:rPr>
            </w:pPr>
            <w:r>
              <w:rPr>
                <w:rFonts w:hint="eastAsia" w:ascii="宋体" w:hAnsi="宋体"/>
                <w:color w:val="auto"/>
                <w:sz w:val="21"/>
                <w:szCs w:val="21"/>
              </w:rPr>
              <w:t>一级</w:t>
            </w:r>
          </w:p>
        </w:tc>
        <w:tc>
          <w:tcPr>
            <w:tcW w:w="3222" w:type="dxa"/>
            <w:noWrap w:val="0"/>
            <w:vAlign w:val="center"/>
          </w:tcPr>
          <w:p>
            <w:pPr>
              <w:spacing w:line="240" w:lineRule="exact"/>
              <w:jc w:val="center"/>
              <w:rPr>
                <w:rFonts w:hint="eastAsia" w:ascii="宋体" w:hAnsi="宋体" w:eastAsia="宋体"/>
                <w:color w:val="auto"/>
                <w:spacing w:val="0"/>
                <w:kern w:val="2"/>
                <w:sz w:val="21"/>
                <w:szCs w:val="21"/>
                <w:lang w:val="en-US" w:eastAsia="zh-CN" w:bidi="ar-SA"/>
              </w:rPr>
            </w:pPr>
            <w:r>
              <w:rPr>
                <w:rFonts w:hint="eastAsia" w:ascii="宋体" w:hAnsi="宋体" w:eastAsia="宋体" w:cs="宋体"/>
                <w:b w:val="0"/>
                <w:bCs w:val="0"/>
                <w:color w:val="auto"/>
                <w:sz w:val="21"/>
                <w:szCs w:val="21"/>
                <w:lang w:val="en-US" w:eastAsia="zh-CN"/>
              </w:rPr>
              <w:t>0.02</w:t>
            </w:r>
            <w:r>
              <w:rPr>
                <w:rFonts w:hint="eastAsia" w:ascii="宋体" w:hAnsi="宋体" w:cs="宋体"/>
                <w:b w:val="0"/>
                <w:bCs w:val="0"/>
                <w:color w:val="auto"/>
                <w:sz w:val="21"/>
                <w:szCs w:val="21"/>
                <w:lang w:val="en-US" w:eastAsia="zh-CN"/>
              </w:rPr>
              <w:t xml:space="preserve"> </w:t>
            </w:r>
            <w:r>
              <w:rPr>
                <w:rFonts w:hint="eastAsia" w:ascii="宋体" w:hAnsi="宋体" w:eastAsia="宋体" w:cs="宋体"/>
                <w:b w:val="0"/>
                <w:bCs w:val="0"/>
                <w:color w:val="auto"/>
                <w:sz w:val="21"/>
                <w:szCs w:val="21"/>
                <w:lang w:val="en-US" w:eastAsia="zh-CN"/>
              </w:rPr>
              <w:t>- 0.47 /</w:t>
            </w:r>
            <w:r>
              <w:rPr>
                <w:rFonts w:hint="eastAsia" w:ascii="宋体" w:hAnsi="宋体" w:cs="宋体"/>
                <w:b w:val="0"/>
                <w:bCs w:val="0"/>
                <w:color w:val="auto"/>
                <w:sz w:val="21"/>
                <w:szCs w:val="21"/>
                <w:lang w:val="en-US" w:eastAsia="zh-CN"/>
              </w:rPr>
              <w:t>(0.145)</w:t>
            </w:r>
          </w:p>
        </w:tc>
        <w:tc>
          <w:tcPr>
            <w:tcW w:w="1980" w:type="dxa"/>
            <w:noWrap w:val="0"/>
            <w:vAlign w:val="center"/>
          </w:tcPr>
          <w:p>
            <w:pPr>
              <w:spacing w:line="240" w:lineRule="exact"/>
              <w:jc w:val="center"/>
              <w:rPr>
                <w:rFonts w:hint="eastAsia" w:ascii="宋体" w:hAnsi="宋体" w:eastAsia="宋体" w:cs="宋体"/>
                <w:b w:val="0"/>
                <w:bCs w:val="0"/>
                <w:color w:val="auto"/>
                <w:sz w:val="21"/>
                <w:szCs w:val="21"/>
                <w:lang w:val="en-US" w:eastAsia="zh-CN"/>
              </w:rPr>
            </w:pPr>
            <w:r>
              <w:rPr>
                <w:rFonts w:hint="eastAsia" w:ascii="宋体" w:hAnsi="宋体"/>
                <w:color w:val="auto"/>
                <w:sz w:val="18"/>
                <w:szCs w:val="18"/>
              </w:rPr>
              <w:t>0.1</w:t>
            </w:r>
            <w:r>
              <w:rPr>
                <w:rFonts w:hint="eastAsia" w:ascii="宋体" w:hAnsi="宋体"/>
                <w:color w:val="auto"/>
                <w:sz w:val="18"/>
                <w:szCs w:val="18"/>
                <w:lang w:val="en-US" w:eastAsia="zh-CN"/>
              </w:rPr>
              <w:t>5</w:t>
            </w:r>
          </w:p>
        </w:tc>
        <w:tc>
          <w:tcPr>
            <w:tcW w:w="1980" w:type="dxa"/>
            <w:noWrap w:val="0"/>
            <w:vAlign w:val="center"/>
          </w:tcPr>
          <w:p>
            <w:pPr>
              <w:spacing w:line="240" w:lineRule="exact"/>
              <w:jc w:val="center"/>
              <w:rPr>
                <w:rFonts w:hint="eastAsia" w:ascii="宋体" w:hAnsi="宋体" w:eastAsia="宋体" w:cs="宋体"/>
                <w:b w:val="0"/>
                <w:bCs w:val="0"/>
                <w:color w:val="auto"/>
                <w:sz w:val="21"/>
                <w:szCs w:val="21"/>
                <w:lang w:val="en-US" w:eastAsia="zh-CN"/>
              </w:rPr>
            </w:pPr>
            <w:r>
              <w:rPr>
                <w:rFonts w:hint="eastAsia" w:ascii="宋体" w:hAnsi="宋体"/>
                <w:color w:val="auto"/>
                <w:sz w:val="18"/>
                <w:szCs w:val="18"/>
              </w:rPr>
              <w:t>0.1</w:t>
            </w:r>
            <w:r>
              <w:rPr>
                <w:rFonts w:hint="eastAsia" w:ascii="宋体" w:hAnsi="宋体"/>
                <w:color w:val="auto"/>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245" w:type="dxa"/>
            <w:noWrap w:val="0"/>
            <w:vAlign w:val="center"/>
          </w:tcPr>
          <w:p>
            <w:pPr>
              <w:spacing w:line="240" w:lineRule="exact"/>
              <w:jc w:val="center"/>
              <w:rPr>
                <w:rFonts w:hint="eastAsia" w:ascii="宋体" w:hAnsi="宋体" w:eastAsia="宋体"/>
                <w:color w:val="auto"/>
                <w:kern w:val="2"/>
                <w:sz w:val="21"/>
                <w:szCs w:val="21"/>
                <w:lang w:val="en-US" w:eastAsia="zh-CN" w:bidi="ar-SA"/>
              </w:rPr>
            </w:pPr>
            <w:r>
              <w:rPr>
                <w:rFonts w:hint="eastAsia" w:ascii="宋体" w:hAnsi="宋体"/>
                <w:color w:val="auto"/>
                <w:sz w:val="21"/>
                <w:szCs w:val="21"/>
              </w:rPr>
              <w:t>二级</w:t>
            </w:r>
          </w:p>
        </w:tc>
        <w:tc>
          <w:tcPr>
            <w:tcW w:w="3222" w:type="dxa"/>
            <w:noWrap w:val="0"/>
            <w:vAlign w:val="center"/>
          </w:tcPr>
          <w:p>
            <w:pPr>
              <w:spacing w:line="240" w:lineRule="exact"/>
              <w:jc w:val="center"/>
              <w:rPr>
                <w:rFonts w:hint="eastAsia" w:ascii="宋体" w:hAnsi="宋体" w:eastAsia="宋体"/>
                <w:color w:val="auto"/>
                <w:spacing w:val="0"/>
                <w:kern w:val="2"/>
                <w:sz w:val="21"/>
                <w:szCs w:val="21"/>
                <w:lang w:val="en-US" w:eastAsia="zh-CN" w:bidi="ar-SA"/>
              </w:rPr>
            </w:pPr>
            <w:r>
              <w:rPr>
                <w:rFonts w:hint="eastAsia" w:ascii="宋体" w:hAnsi="宋体" w:eastAsia="宋体" w:cs="宋体"/>
                <w:color w:val="auto"/>
                <w:sz w:val="21"/>
                <w:szCs w:val="21"/>
                <w:lang w:val="en-US" w:eastAsia="zh-CN"/>
              </w:rPr>
              <w:t xml:space="preserve">0.0016 - </w:t>
            </w:r>
            <w:r>
              <w:rPr>
                <w:rFonts w:hint="eastAsia" w:ascii="宋体" w:hAnsi="宋体" w:cs="宋体"/>
                <w:color w:val="auto"/>
                <w:sz w:val="21"/>
                <w:szCs w:val="21"/>
                <w:lang w:val="en-US" w:eastAsia="zh-CN"/>
              </w:rPr>
              <w:t>2.53 /</w:t>
            </w:r>
            <w:r>
              <w:rPr>
                <w:rFonts w:hint="eastAsia" w:ascii="宋体" w:hAnsi="宋体" w:eastAsia="宋体" w:cs="宋体"/>
                <w:color w:val="auto"/>
                <w:sz w:val="21"/>
                <w:szCs w:val="21"/>
                <w:lang w:val="en-US" w:eastAsia="zh-CN"/>
              </w:rPr>
              <w:t>(1.26)</w:t>
            </w:r>
          </w:p>
        </w:tc>
        <w:tc>
          <w:tcPr>
            <w:tcW w:w="1980" w:type="dxa"/>
            <w:noWrap w:val="0"/>
            <w:vAlign w:val="center"/>
          </w:tcPr>
          <w:p>
            <w:pPr>
              <w:spacing w:line="240" w:lineRule="exact"/>
              <w:jc w:val="center"/>
              <w:rPr>
                <w:rFonts w:hint="default" w:ascii="宋体" w:hAnsi="宋体" w:eastAsia="宋体" w:cs="宋体"/>
                <w:color w:val="auto"/>
                <w:sz w:val="21"/>
                <w:szCs w:val="21"/>
                <w:lang w:val="en-US" w:eastAsia="zh-CN"/>
              </w:rPr>
            </w:pPr>
            <w:r>
              <w:rPr>
                <w:rFonts w:hint="eastAsia" w:ascii="宋体" w:hAnsi="宋体"/>
                <w:color w:val="auto"/>
                <w:sz w:val="18"/>
                <w:szCs w:val="18"/>
              </w:rPr>
              <w:t>0.</w:t>
            </w:r>
            <w:r>
              <w:rPr>
                <w:rFonts w:hint="eastAsia" w:ascii="宋体" w:hAnsi="宋体"/>
                <w:color w:val="auto"/>
                <w:sz w:val="18"/>
                <w:szCs w:val="18"/>
                <w:lang w:val="en-US" w:eastAsia="zh-CN"/>
              </w:rPr>
              <w:t>3</w:t>
            </w:r>
          </w:p>
        </w:tc>
        <w:tc>
          <w:tcPr>
            <w:tcW w:w="1980" w:type="dxa"/>
            <w:noWrap w:val="0"/>
            <w:vAlign w:val="center"/>
          </w:tcPr>
          <w:p>
            <w:pPr>
              <w:spacing w:line="240" w:lineRule="exact"/>
              <w:jc w:val="center"/>
              <w:rPr>
                <w:rFonts w:hint="eastAsia" w:ascii="宋体" w:hAnsi="宋体" w:eastAsia="宋体" w:cs="宋体"/>
                <w:color w:val="auto"/>
                <w:sz w:val="21"/>
                <w:szCs w:val="21"/>
                <w:lang w:val="en-US" w:eastAsia="zh-CN"/>
              </w:rPr>
            </w:pPr>
            <w:r>
              <w:rPr>
                <w:rFonts w:hint="eastAsia" w:ascii="宋体" w:hAnsi="宋体"/>
                <w:color w:val="auto"/>
                <w:sz w:val="18"/>
                <w:szCs w:val="18"/>
              </w:rPr>
              <w:t>0.</w:t>
            </w:r>
            <w:r>
              <w:rPr>
                <w:rFonts w:hint="eastAsia" w:ascii="宋体" w:hAnsi="宋体"/>
                <w:color w:val="auto"/>
                <w:sz w:val="18"/>
                <w:szCs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245" w:type="dxa"/>
            <w:noWrap w:val="0"/>
            <w:vAlign w:val="center"/>
          </w:tcPr>
          <w:p>
            <w:pPr>
              <w:spacing w:line="240" w:lineRule="exact"/>
              <w:jc w:val="center"/>
              <w:rPr>
                <w:rFonts w:hint="eastAsia" w:ascii="宋体" w:hAnsi="宋体" w:eastAsia="宋体"/>
                <w:color w:val="auto"/>
                <w:kern w:val="2"/>
                <w:sz w:val="21"/>
                <w:szCs w:val="21"/>
                <w:lang w:val="en-US" w:eastAsia="zh-CN" w:bidi="ar-SA"/>
              </w:rPr>
            </w:pPr>
            <w:r>
              <w:rPr>
                <w:rFonts w:hint="eastAsia" w:ascii="宋体" w:hAnsi="宋体"/>
                <w:color w:val="auto"/>
                <w:sz w:val="21"/>
                <w:szCs w:val="21"/>
              </w:rPr>
              <w:t>三级</w:t>
            </w:r>
          </w:p>
        </w:tc>
        <w:tc>
          <w:tcPr>
            <w:tcW w:w="3222" w:type="dxa"/>
            <w:noWrap w:val="0"/>
            <w:vAlign w:val="center"/>
          </w:tcPr>
          <w:p>
            <w:pPr>
              <w:spacing w:line="240" w:lineRule="exact"/>
              <w:jc w:val="center"/>
              <w:rPr>
                <w:rFonts w:hint="eastAsia" w:ascii="宋体" w:hAnsi="宋体" w:eastAsia="宋体"/>
                <w:color w:val="auto"/>
                <w:spacing w:val="0"/>
                <w:kern w:val="2"/>
                <w:sz w:val="21"/>
                <w:szCs w:val="21"/>
                <w:lang w:val="en-US" w:eastAsia="zh-CN" w:bidi="ar-SA"/>
              </w:rPr>
            </w:pPr>
            <w:r>
              <w:rPr>
                <w:rFonts w:hint="eastAsia" w:ascii="宋体" w:hAnsi="宋体" w:eastAsia="宋体" w:cs="宋体"/>
                <w:color w:val="auto"/>
                <w:sz w:val="21"/>
                <w:szCs w:val="21"/>
              </w:rPr>
              <w:t>0.</w:t>
            </w:r>
            <w:r>
              <w:rPr>
                <w:rFonts w:hint="eastAsia" w:ascii="宋体" w:hAnsi="宋体" w:eastAsia="宋体" w:cs="宋体"/>
                <w:color w:val="auto"/>
                <w:sz w:val="21"/>
                <w:szCs w:val="21"/>
                <w:lang w:val="en-US" w:eastAsia="zh-CN"/>
              </w:rPr>
              <w:t>048 - 1.0 /(0.13)</w:t>
            </w:r>
          </w:p>
        </w:tc>
        <w:tc>
          <w:tcPr>
            <w:tcW w:w="1980" w:type="dxa"/>
            <w:noWrap w:val="0"/>
            <w:vAlign w:val="center"/>
          </w:tcPr>
          <w:p>
            <w:pPr>
              <w:spacing w:line="240" w:lineRule="exact"/>
              <w:jc w:val="center"/>
              <w:rPr>
                <w:rFonts w:hint="default" w:ascii="宋体" w:hAnsi="宋体" w:eastAsia="宋体" w:cs="宋体"/>
                <w:color w:val="auto"/>
                <w:sz w:val="21"/>
                <w:szCs w:val="21"/>
                <w:lang w:val="en-US" w:eastAsia="zh-CN"/>
              </w:rPr>
            </w:pPr>
            <w:r>
              <w:rPr>
                <w:rFonts w:hint="eastAsia" w:ascii="宋体" w:hAnsi="宋体"/>
                <w:color w:val="auto"/>
                <w:sz w:val="18"/>
                <w:szCs w:val="18"/>
              </w:rPr>
              <w:t>0.</w:t>
            </w:r>
            <w:r>
              <w:rPr>
                <w:rFonts w:hint="eastAsia" w:ascii="宋体" w:hAnsi="宋体"/>
                <w:color w:val="auto"/>
                <w:sz w:val="18"/>
                <w:szCs w:val="18"/>
                <w:lang w:val="en-US" w:eastAsia="zh-CN"/>
              </w:rPr>
              <w:t>5</w:t>
            </w:r>
          </w:p>
        </w:tc>
        <w:tc>
          <w:tcPr>
            <w:tcW w:w="1980" w:type="dxa"/>
            <w:noWrap w:val="0"/>
            <w:vAlign w:val="center"/>
          </w:tcPr>
          <w:p>
            <w:pPr>
              <w:spacing w:line="240" w:lineRule="exact"/>
              <w:jc w:val="center"/>
              <w:rPr>
                <w:rFonts w:hint="default" w:ascii="宋体" w:hAnsi="宋体" w:eastAsia="宋体" w:cs="宋体"/>
                <w:color w:val="auto"/>
                <w:sz w:val="21"/>
                <w:szCs w:val="21"/>
                <w:lang w:val="en-US" w:eastAsia="zh-CN"/>
              </w:rPr>
            </w:pPr>
            <w:r>
              <w:rPr>
                <w:rFonts w:hint="eastAsia" w:ascii="宋体" w:hAnsi="宋体" w:eastAsia="宋体"/>
                <w:color w:val="auto"/>
                <w:sz w:val="18"/>
                <w:szCs w:val="18"/>
                <w:lang w:val="en-US" w:eastAsia="zh-CN"/>
              </w:rPr>
              <w:t>0.5</w:t>
            </w:r>
          </w:p>
        </w:tc>
      </w:tr>
    </w:tbl>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i w:val="0"/>
          <w:iCs w:val="0"/>
          <w:sz w:val="24"/>
          <w:szCs w:val="24"/>
          <w:lang w:eastAsia="zh-CN"/>
        </w:rPr>
      </w:pPr>
      <w:r>
        <w:rPr>
          <w:rFonts w:hint="eastAsia" w:ascii="宋体" w:hAnsi="宋体" w:cs="宋体"/>
          <w:sz w:val="24"/>
          <w:szCs w:val="24"/>
          <w:lang w:val="en-US" w:eastAsia="zh-CN"/>
        </w:rPr>
        <w:t>3.3.2.5</w:t>
      </w:r>
      <w:r>
        <w:rPr>
          <w:rFonts w:hint="eastAsia" w:ascii="宋体" w:hAnsi="宋体" w:cs="宋体"/>
          <w:sz w:val="24"/>
          <w:szCs w:val="24"/>
        </w:rPr>
        <w:t>杂质</w:t>
      </w:r>
      <w:r>
        <w:rPr>
          <w:rFonts w:hint="eastAsia" w:ascii="宋体" w:hAnsi="宋体" w:cs="宋体"/>
          <w:sz w:val="24"/>
          <w:szCs w:val="24"/>
          <w:lang w:eastAsia="zh-CN"/>
        </w:rPr>
        <w:t>氧化镁</w:t>
      </w:r>
      <w:r>
        <w:rPr>
          <w:rFonts w:hint="eastAsia" w:ascii="宋体" w:hAnsi="宋体" w:cs="宋体"/>
          <w:sz w:val="24"/>
          <w:szCs w:val="24"/>
        </w:rPr>
        <w:t>范围的确定：</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i w:val="0"/>
          <w:iCs w:val="0"/>
          <w:sz w:val="24"/>
          <w:szCs w:val="24"/>
          <w:lang w:eastAsia="zh-CN"/>
        </w:rPr>
      </w:pPr>
      <w:r>
        <w:rPr>
          <w:rFonts w:hint="eastAsia" w:ascii="宋体" w:hAnsi="宋体" w:cs="宋体"/>
          <w:sz w:val="24"/>
          <w:szCs w:val="24"/>
          <w:lang w:eastAsia="zh-CN"/>
        </w:rPr>
        <w:t>MgO在冶炼过程中职业危害、炉体设备损害比较严重，根据</w:t>
      </w:r>
      <w:r>
        <w:rPr>
          <w:rFonts w:hint="eastAsia" w:ascii="宋体" w:hAnsi="宋体" w:eastAsia="宋体" w:cs="宋体"/>
          <w:sz w:val="24"/>
          <w:szCs w:val="24"/>
          <w:lang w:eastAsia="zh-CN"/>
        </w:rPr>
        <w:t>收集的部分</w:t>
      </w:r>
      <w:r>
        <w:rPr>
          <w:rFonts w:hint="eastAsia" w:ascii="宋体" w:hAnsi="宋体" w:cs="宋体"/>
          <w:sz w:val="24"/>
          <w:szCs w:val="24"/>
        </w:rPr>
        <w:t>铜冶炼生产企业</w:t>
      </w:r>
      <w:r>
        <w:rPr>
          <w:rFonts w:hint="eastAsia" w:ascii="宋体" w:hAnsi="宋体" w:cs="宋体"/>
          <w:sz w:val="24"/>
          <w:szCs w:val="24"/>
          <w:lang w:eastAsia="zh-CN"/>
        </w:rPr>
        <w:t>的数据确定，</w:t>
      </w:r>
      <w:r>
        <w:rPr>
          <w:rFonts w:hint="eastAsia" w:ascii="宋体" w:hAnsi="宋体"/>
          <w:sz w:val="24"/>
          <w:szCs w:val="24"/>
        </w:rPr>
        <w:t>冰铜一级品</w:t>
      </w:r>
      <w:r>
        <w:rPr>
          <w:rFonts w:hint="eastAsia" w:ascii="宋体" w:hAnsi="宋体" w:cs="宋体"/>
          <w:sz w:val="24"/>
          <w:szCs w:val="24"/>
          <w:lang w:eastAsia="zh-CN"/>
        </w:rPr>
        <w:t>MgO含量不大于</w:t>
      </w:r>
      <w:r>
        <w:rPr>
          <w:rFonts w:hint="eastAsia" w:ascii="宋体" w:hAnsi="宋体" w:cs="宋体"/>
          <w:sz w:val="24"/>
          <w:szCs w:val="24"/>
          <w:lang w:val="en-US" w:eastAsia="zh-CN"/>
        </w:rPr>
        <w:t>0.5%</w:t>
      </w:r>
      <w:r>
        <w:rPr>
          <w:rFonts w:hint="eastAsia" w:ascii="宋体" w:hAnsi="宋体"/>
          <w:sz w:val="24"/>
          <w:szCs w:val="24"/>
        </w:rPr>
        <w:t>、</w:t>
      </w:r>
      <w:r>
        <w:rPr>
          <w:rFonts w:hint="eastAsia" w:ascii="宋体" w:hAnsi="宋体"/>
          <w:sz w:val="24"/>
          <w:szCs w:val="24"/>
          <w:lang w:eastAsia="zh-CN"/>
        </w:rPr>
        <w:t>二</w:t>
      </w:r>
      <w:r>
        <w:rPr>
          <w:rFonts w:hint="eastAsia" w:ascii="宋体" w:hAnsi="宋体"/>
          <w:sz w:val="24"/>
          <w:szCs w:val="24"/>
        </w:rPr>
        <w:t>级品</w:t>
      </w:r>
      <w:r>
        <w:rPr>
          <w:rFonts w:hint="eastAsia" w:ascii="宋体" w:hAnsi="宋体" w:cs="宋体"/>
          <w:sz w:val="24"/>
          <w:szCs w:val="24"/>
          <w:lang w:eastAsia="zh-CN"/>
        </w:rPr>
        <w:t>MgO含量不大于</w:t>
      </w:r>
      <w:r>
        <w:rPr>
          <w:rFonts w:hint="eastAsia" w:ascii="宋体" w:hAnsi="宋体" w:cs="宋体"/>
          <w:sz w:val="24"/>
          <w:szCs w:val="24"/>
          <w:lang w:val="en-US" w:eastAsia="zh-CN"/>
        </w:rPr>
        <w:t>1%</w:t>
      </w:r>
      <w:r>
        <w:rPr>
          <w:rFonts w:hint="eastAsia" w:ascii="宋体" w:hAnsi="宋体"/>
          <w:sz w:val="24"/>
          <w:szCs w:val="24"/>
        </w:rPr>
        <w:t>、</w:t>
      </w:r>
      <w:r>
        <w:rPr>
          <w:rFonts w:hint="eastAsia" w:ascii="宋体" w:hAnsi="宋体"/>
          <w:sz w:val="24"/>
          <w:szCs w:val="24"/>
          <w:lang w:eastAsia="zh-CN"/>
        </w:rPr>
        <w:t>三</w:t>
      </w:r>
      <w:r>
        <w:rPr>
          <w:rFonts w:hint="eastAsia" w:ascii="宋体" w:hAnsi="宋体"/>
          <w:sz w:val="24"/>
          <w:szCs w:val="24"/>
        </w:rPr>
        <w:t>级品</w:t>
      </w:r>
      <w:r>
        <w:rPr>
          <w:rFonts w:hint="eastAsia" w:ascii="宋体" w:hAnsi="宋体" w:cs="宋体"/>
          <w:sz w:val="24"/>
          <w:szCs w:val="24"/>
          <w:lang w:eastAsia="zh-CN"/>
        </w:rPr>
        <w:t>MgO含量不大于</w:t>
      </w:r>
      <w:r>
        <w:rPr>
          <w:rFonts w:hint="eastAsia" w:ascii="宋体" w:hAnsi="宋体" w:cs="宋体"/>
          <w:sz w:val="24"/>
          <w:szCs w:val="24"/>
          <w:lang w:val="en-US" w:eastAsia="zh-CN"/>
        </w:rPr>
        <w:t>2%</w:t>
      </w:r>
      <w:r>
        <w:rPr>
          <w:rFonts w:hint="eastAsia" w:ascii="宋体" w:hAnsi="宋体"/>
          <w:sz w:val="24"/>
          <w:szCs w:val="24"/>
        </w:rPr>
        <w:t>。</w:t>
      </w:r>
      <w:r>
        <w:rPr>
          <w:rFonts w:hint="eastAsia" w:ascii="宋体" w:hAnsi="宋体"/>
          <w:i w:val="0"/>
          <w:iCs w:val="0"/>
          <w:sz w:val="24"/>
          <w:szCs w:val="24"/>
          <w:lang w:eastAsia="zh-CN"/>
        </w:rPr>
        <w:t>（原文件</w:t>
      </w:r>
      <w:r>
        <w:rPr>
          <w:rFonts w:hint="eastAsia" w:ascii="宋体" w:hAnsi="宋体"/>
          <w:i w:val="0"/>
          <w:iCs w:val="0"/>
          <w:color w:val="auto"/>
          <w:sz w:val="24"/>
          <w:szCs w:val="24"/>
          <w:vertAlign w:val="baseline"/>
          <w:lang w:val="en-US" w:eastAsia="zh-CN"/>
        </w:rPr>
        <w:t>2013年版，</w:t>
      </w:r>
      <w:r>
        <w:rPr>
          <w:rFonts w:hint="eastAsia" w:ascii="宋体" w:hAnsi="宋体"/>
          <w:i w:val="0"/>
          <w:iCs w:val="0"/>
          <w:sz w:val="24"/>
          <w:szCs w:val="24"/>
        </w:rPr>
        <w:t>一级品</w:t>
      </w:r>
      <w:r>
        <w:rPr>
          <w:rFonts w:hint="eastAsia" w:ascii="宋体" w:hAnsi="宋体" w:cs="宋体"/>
          <w:sz w:val="24"/>
          <w:szCs w:val="24"/>
          <w:lang w:eastAsia="zh-CN"/>
        </w:rPr>
        <w:t>MgO</w:t>
      </w:r>
      <w:r>
        <w:rPr>
          <w:rFonts w:hint="eastAsia" w:ascii="宋体" w:hAnsi="宋体" w:cs="宋体"/>
          <w:i w:val="0"/>
          <w:iCs w:val="0"/>
          <w:sz w:val="24"/>
          <w:szCs w:val="24"/>
          <w:lang w:eastAsia="zh-CN"/>
        </w:rPr>
        <w:t>含量不大于</w:t>
      </w:r>
      <w:r>
        <w:rPr>
          <w:rFonts w:hint="eastAsia" w:ascii="宋体" w:hAnsi="宋体" w:cs="宋体"/>
          <w:i w:val="0"/>
          <w:iCs w:val="0"/>
          <w:sz w:val="24"/>
          <w:szCs w:val="24"/>
          <w:lang w:val="en-US" w:eastAsia="zh-CN"/>
        </w:rPr>
        <w:t>1%</w:t>
      </w:r>
      <w:r>
        <w:rPr>
          <w:rFonts w:hint="eastAsia" w:ascii="宋体" w:hAnsi="宋体"/>
          <w:i w:val="0"/>
          <w:iCs w:val="0"/>
          <w:sz w:val="24"/>
          <w:szCs w:val="24"/>
        </w:rPr>
        <w:t>、</w:t>
      </w:r>
      <w:r>
        <w:rPr>
          <w:rFonts w:hint="eastAsia" w:ascii="宋体" w:hAnsi="宋体"/>
          <w:i w:val="0"/>
          <w:iCs w:val="0"/>
          <w:sz w:val="24"/>
          <w:szCs w:val="24"/>
          <w:lang w:eastAsia="zh-CN"/>
        </w:rPr>
        <w:t>二</w:t>
      </w:r>
      <w:r>
        <w:rPr>
          <w:rFonts w:hint="eastAsia" w:ascii="宋体" w:hAnsi="宋体"/>
          <w:i w:val="0"/>
          <w:iCs w:val="0"/>
          <w:sz w:val="24"/>
          <w:szCs w:val="24"/>
        </w:rPr>
        <w:t>级品</w:t>
      </w:r>
      <w:r>
        <w:rPr>
          <w:rFonts w:hint="eastAsia" w:ascii="宋体" w:hAnsi="宋体" w:cs="宋体"/>
          <w:sz w:val="24"/>
          <w:szCs w:val="24"/>
          <w:lang w:eastAsia="zh-CN"/>
        </w:rPr>
        <w:t>MgO</w:t>
      </w:r>
      <w:r>
        <w:rPr>
          <w:rFonts w:hint="eastAsia" w:ascii="宋体" w:hAnsi="宋体" w:cs="宋体"/>
          <w:i w:val="0"/>
          <w:iCs w:val="0"/>
          <w:sz w:val="24"/>
          <w:szCs w:val="24"/>
          <w:lang w:eastAsia="zh-CN"/>
        </w:rPr>
        <w:t>含量不大于</w:t>
      </w:r>
      <w:r>
        <w:rPr>
          <w:rFonts w:hint="eastAsia" w:ascii="宋体" w:hAnsi="宋体" w:cs="宋体"/>
          <w:i w:val="0"/>
          <w:iCs w:val="0"/>
          <w:sz w:val="24"/>
          <w:szCs w:val="24"/>
          <w:lang w:val="en-US" w:eastAsia="zh-CN"/>
        </w:rPr>
        <w:t>2%</w:t>
      </w:r>
      <w:r>
        <w:rPr>
          <w:rFonts w:hint="eastAsia" w:ascii="宋体" w:hAnsi="宋体"/>
          <w:i w:val="0"/>
          <w:iCs w:val="0"/>
          <w:sz w:val="24"/>
          <w:szCs w:val="24"/>
        </w:rPr>
        <w:t>、</w:t>
      </w:r>
      <w:r>
        <w:rPr>
          <w:rFonts w:hint="eastAsia" w:ascii="宋体" w:hAnsi="宋体"/>
          <w:i w:val="0"/>
          <w:iCs w:val="0"/>
          <w:sz w:val="24"/>
          <w:szCs w:val="24"/>
          <w:lang w:eastAsia="zh-CN"/>
        </w:rPr>
        <w:t>三</w:t>
      </w:r>
      <w:r>
        <w:rPr>
          <w:rFonts w:hint="eastAsia" w:ascii="宋体" w:hAnsi="宋体"/>
          <w:i w:val="0"/>
          <w:iCs w:val="0"/>
          <w:sz w:val="24"/>
          <w:szCs w:val="24"/>
        </w:rPr>
        <w:t>级品</w:t>
      </w:r>
      <w:r>
        <w:rPr>
          <w:rFonts w:hint="eastAsia" w:ascii="宋体" w:hAnsi="宋体" w:cs="宋体"/>
          <w:sz w:val="24"/>
          <w:szCs w:val="24"/>
          <w:lang w:eastAsia="zh-CN"/>
        </w:rPr>
        <w:t>MgO</w:t>
      </w:r>
      <w:r>
        <w:rPr>
          <w:rFonts w:hint="eastAsia" w:ascii="宋体" w:hAnsi="宋体" w:cs="宋体"/>
          <w:i w:val="0"/>
          <w:iCs w:val="0"/>
          <w:sz w:val="24"/>
          <w:szCs w:val="24"/>
          <w:lang w:eastAsia="zh-CN"/>
        </w:rPr>
        <w:t>含量不大于</w:t>
      </w:r>
      <w:r>
        <w:rPr>
          <w:rFonts w:hint="eastAsia" w:ascii="宋体" w:hAnsi="宋体" w:cs="宋体"/>
          <w:i w:val="0"/>
          <w:iCs w:val="0"/>
          <w:sz w:val="24"/>
          <w:szCs w:val="24"/>
          <w:lang w:val="en-US" w:eastAsia="zh-CN"/>
        </w:rPr>
        <w:t>3%</w:t>
      </w:r>
      <w:r>
        <w:rPr>
          <w:rFonts w:hint="eastAsia" w:ascii="宋体" w:hAnsi="宋体"/>
          <w:i w:val="0"/>
          <w:iCs w:val="0"/>
          <w:sz w:val="24"/>
          <w:szCs w:val="24"/>
        </w:rPr>
        <w:t>。</w:t>
      </w:r>
      <w:r>
        <w:rPr>
          <w:rFonts w:hint="eastAsia" w:ascii="宋体" w:hAnsi="宋体"/>
          <w:i w:val="0"/>
          <w:iCs w:val="0"/>
          <w:sz w:val="24"/>
          <w:szCs w:val="24"/>
          <w:lang w:eastAsia="zh-CN"/>
        </w:rPr>
        <w:t>）</w:t>
      </w:r>
    </w:p>
    <w:p>
      <w:pPr>
        <w:spacing w:line="500" w:lineRule="exact"/>
        <w:ind w:firstLine="211" w:firstLineChars="100"/>
        <w:jc w:val="center"/>
        <w:rPr>
          <w:rFonts w:hint="eastAsia" w:ascii="宋体" w:hAnsi="宋体"/>
          <w:b/>
          <w:bCs/>
          <w:color w:val="auto"/>
          <w:sz w:val="18"/>
          <w:szCs w:val="18"/>
        </w:rPr>
      </w:pPr>
      <w:r>
        <w:rPr>
          <w:rFonts w:hint="eastAsia" w:ascii="宋体" w:hAnsi="宋体" w:cs="宋体"/>
          <w:b/>
          <w:bCs/>
          <w:szCs w:val="21"/>
        </w:rPr>
        <w:t>表</w:t>
      </w:r>
      <w:r>
        <w:rPr>
          <w:rFonts w:hint="eastAsia" w:ascii="宋体" w:hAnsi="宋体" w:cs="宋体"/>
          <w:b/>
          <w:bCs/>
          <w:szCs w:val="21"/>
          <w:lang w:val="en-US" w:eastAsia="zh-CN"/>
        </w:rPr>
        <w:t>8</w:t>
      </w:r>
      <w:r>
        <w:rPr>
          <w:rFonts w:hint="eastAsia" w:ascii="宋体" w:hAnsi="宋体" w:cs="宋体"/>
          <w:b/>
          <w:bCs/>
          <w:szCs w:val="21"/>
        </w:rPr>
        <w:t>“冰铜的</w:t>
      </w:r>
      <w:r>
        <w:rPr>
          <w:rFonts w:hint="eastAsia" w:ascii="宋体" w:hAnsi="宋体" w:cs="宋体"/>
          <w:b/>
          <w:bCs/>
          <w:szCs w:val="21"/>
          <w:lang w:eastAsia="zh-CN"/>
        </w:rPr>
        <w:t>MgO</w:t>
      </w:r>
      <w:r>
        <w:rPr>
          <w:rFonts w:hint="eastAsia" w:ascii="宋体" w:hAnsi="宋体" w:cs="宋体"/>
          <w:b/>
          <w:bCs/>
          <w:szCs w:val="21"/>
        </w:rPr>
        <w:t>含量</w:t>
      </w:r>
      <w:r>
        <w:rPr>
          <w:rFonts w:hint="eastAsia" w:ascii="宋体" w:hAnsi="宋体" w:cs="宋体"/>
          <w:b/>
          <w:bCs/>
          <w:szCs w:val="21"/>
          <w:lang w:eastAsia="zh-CN"/>
        </w:rPr>
        <w:t>统计</w:t>
      </w:r>
      <w:r>
        <w:rPr>
          <w:rFonts w:hint="eastAsia" w:ascii="宋体" w:hAnsi="宋体" w:cs="宋体"/>
          <w:b/>
          <w:bCs/>
          <w:szCs w:val="21"/>
        </w:rPr>
        <w:t>表”</w:t>
      </w:r>
      <w:r>
        <w:rPr>
          <w:rFonts w:hint="eastAsia" w:ascii="宋体" w:hAnsi="宋体"/>
          <w:b/>
          <w:bCs/>
          <w:color w:val="auto"/>
          <w:sz w:val="18"/>
          <w:szCs w:val="18"/>
        </w:rPr>
        <w:t>（质量分数）/%</w:t>
      </w:r>
    </w:p>
    <w:tbl>
      <w:tblPr>
        <w:tblStyle w:val="13"/>
        <w:tblW w:w="84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5"/>
        <w:gridCol w:w="3067"/>
        <w:gridCol w:w="2135"/>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5" w:type="dxa"/>
            <w:noWrap w:val="0"/>
            <w:vAlign w:val="center"/>
          </w:tcPr>
          <w:p>
            <w:pPr>
              <w:spacing w:line="360" w:lineRule="auto"/>
              <w:jc w:val="center"/>
              <w:rPr>
                <w:rFonts w:hint="eastAsia" w:ascii="宋体" w:hAnsi="宋体" w:cs="宋体"/>
                <w:b w:val="0"/>
                <w:bCs w:val="0"/>
                <w:color w:val="auto"/>
                <w:szCs w:val="21"/>
                <w:vertAlign w:val="baseline"/>
              </w:rPr>
            </w:pPr>
            <w:r>
              <w:rPr>
                <w:rFonts w:hint="eastAsia" w:ascii="宋体" w:hAnsi="宋体"/>
                <w:color w:val="auto"/>
                <w:sz w:val="21"/>
                <w:szCs w:val="21"/>
                <w:vertAlign w:val="baseline"/>
                <w:lang w:eastAsia="zh-CN"/>
              </w:rPr>
              <w:t>品级</w:t>
            </w:r>
          </w:p>
        </w:tc>
        <w:tc>
          <w:tcPr>
            <w:tcW w:w="3067" w:type="dxa"/>
            <w:noWrap w:val="0"/>
            <w:vAlign w:val="center"/>
          </w:tcPr>
          <w:p>
            <w:pPr>
              <w:spacing w:line="500" w:lineRule="exact"/>
              <w:jc w:val="center"/>
              <w:rPr>
                <w:rFonts w:hint="eastAsia" w:ascii="宋体" w:hAnsi="宋体" w:cs="宋体"/>
                <w:b w:val="0"/>
                <w:bCs w:val="0"/>
                <w:color w:val="auto"/>
                <w:szCs w:val="21"/>
                <w:vertAlign w:val="baseline"/>
              </w:rPr>
            </w:pPr>
            <w:r>
              <w:rPr>
                <w:rFonts w:hint="eastAsia" w:ascii="宋体" w:hAnsi="宋体" w:cs="宋体"/>
                <w:szCs w:val="21"/>
                <w:lang w:eastAsia="zh-CN"/>
              </w:rPr>
              <w:t>MgO</w:t>
            </w:r>
            <w:r>
              <w:rPr>
                <w:rFonts w:hint="eastAsia" w:ascii="宋体" w:hAnsi="宋体"/>
                <w:b w:val="0"/>
                <w:bCs w:val="0"/>
                <w:color w:val="auto"/>
                <w:sz w:val="21"/>
                <w:szCs w:val="21"/>
                <w:lang w:val="en-US" w:eastAsia="zh-CN"/>
              </w:rPr>
              <w:t xml:space="preserve"> </w:t>
            </w:r>
            <w:r>
              <w:rPr>
                <w:rFonts w:hint="eastAsia" w:ascii="宋体" w:hAnsi="宋体"/>
                <w:b w:val="0"/>
                <w:bCs w:val="0"/>
                <w:color w:val="auto"/>
                <w:sz w:val="18"/>
                <w:szCs w:val="18"/>
                <w:lang w:val="en-US" w:eastAsia="zh-CN"/>
              </w:rPr>
              <w:t>（范围值/均值）</w:t>
            </w:r>
          </w:p>
        </w:tc>
        <w:tc>
          <w:tcPr>
            <w:tcW w:w="2135" w:type="dxa"/>
            <w:noWrap w:val="0"/>
            <w:vAlign w:val="center"/>
          </w:tcPr>
          <w:p>
            <w:pPr>
              <w:spacing w:line="360" w:lineRule="auto"/>
              <w:jc w:val="center"/>
              <w:rPr>
                <w:rFonts w:hint="eastAsia" w:ascii="宋体" w:hAnsi="宋体"/>
                <w:color w:val="auto"/>
                <w:sz w:val="21"/>
                <w:szCs w:val="21"/>
              </w:rPr>
            </w:pPr>
            <w:r>
              <w:rPr>
                <w:rFonts w:hint="eastAsia" w:ascii="宋体" w:hAnsi="宋体"/>
                <w:color w:val="auto"/>
                <w:sz w:val="21"/>
                <w:szCs w:val="21"/>
                <w:vertAlign w:val="baseline"/>
                <w:lang w:val="en-US" w:eastAsia="zh-CN"/>
              </w:rPr>
              <w:t>2013年版</w:t>
            </w:r>
            <w:r>
              <w:rPr>
                <w:rFonts w:hint="eastAsia" w:ascii="宋体" w:hAnsi="宋体" w:cs="宋体"/>
                <w:szCs w:val="21"/>
                <w:lang w:eastAsia="zh-CN"/>
              </w:rPr>
              <w:t>MgO</w:t>
            </w:r>
            <w:r>
              <w:rPr>
                <w:rFonts w:hint="eastAsia" w:ascii="宋体" w:hAnsi="宋体"/>
                <w:color w:val="auto"/>
                <w:sz w:val="18"/>
                <w:szCs w:val="18"/>
                <w:lang w:eastAsia="zh-CN"/>
              </w:rPr>
              <w:t>不大于</w:t>
            </w:r>
          </w:p>
        </w:tc>
        <w:tc>
          <w:tcPr>
            <w:tcW w:w="1980" w:type="dxa"/>
            <w:noWrap w:val="0"/>
            <w:vAlign w:val="center"/>
          </w:tcPr>
          <w:p>
            <w:pPr>
              <w:spacing w:line="240" w:lineRule="exact"/>
              <w:jc w:val="center"/>
              <w:rPr>
                <w:rFonts w:hint="eastAsia" w:ascii="宋体" w:hAnsi="宋体" w:eastAsiaTheme="minorEastAsia"/>
                <w:color w:val="auto"/>
                <w:sz w:val="21"/>
                <w:szCs w:val="21"/>
                <w:lang w:eastAsia="zh-CN"/>
              </w:rPr>
            </w:pPr>
            <w:r>
              <w:rPr>
                <w:rFonts w:hint="eastAsia" w:ascii="宋体" w:hAnsi="宋体"/>
                <w:color w:val="auto"/>
                <w:sz w:val="18"/>
                <w:szCs w:val="18"/>
                <w:lang w:val="en-US" w:eastAsia="zh-CN"/>
              </w:rPr>
              <w:t>本文件</w:t>
            </w:r>
            <w:r>
              <w:rPr>
                <w:rFonts w:hint="eastAsia" w:ascii="宋体" w:hAnsi="宋体" w:cs="宋体"/>
                <w:szCs w:val="21"/>
                <w:lang w:eastAsia="zh-CN"/>
              </w:rPr>
              <w:t>MgO</w:t>
            </w:r>
            <w:r>
              <w:rPr>
                <w:rFonts w:hint="eastAsia" w:ascii="宋体" w:hAnsi="宋体"/>
                <w:color w:val="auto"/>
                <w:sz w:val="18"/>
                <w:szCs w:val="18"/>
                <w:lang w:eastAsia="zh-CN"/>
              </w:rPr>
              <w:t>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245" w:type="dxa"/>
            <w:noWrap w:val="0"/>
            <w:vAlign w:val="center"/>
          </w:tcPr>
          <w:p>
            <w:pPr>
              <w:spacing w:line="240" w:lineRule="exact"/>
              <w:jc w:val="center"/>
              <w:rPr>
                <w:rFonts w:hint="eastAsia" w:ascii="宋体" w:hAnsi="宋体" w:eastAsia="宋体"/>
                <w:color w:val="auto"/>
                <w:kern w:val="2"/>
                <w:sz w:val="21"/>
                <w:szCs w:val="21"/>
                <w:lang w:val="en-US" w:eastAsia="zh-CN" w:bidi="ar-SA"/>
              </w:rPr>
            </w:pPr>
            <w:r>
              <w:rPr>
                <w:rFonts w:hint="eastAsia" w:ascii="宋体" w:hAnsi="宋体"/>
                <w:color w:val="auto"/>
                <w:sz w:val="21"/>
                <w:szCs w:val="21"/>
              </w:rPr>
              <w:t>一级</w:t>
            </w:r>
          </w:p>
        </w:tc>
        <w:tc>
          <w:tcPr>
            <w:tcW w:w="3067" w:type="dxa"/>
            <w:noWrap w:val="0"/>
            <w:vAlign w:val="center"/>
          </w:tcPr>
          <w:p>
            <w:pPr>
              <w:spacing w:line="240" w:lineRule="exact"/>
              <w:jc w:val="center"/>
              <w:rPr>
                <w:rFonts w:hint="eastAsia" w:ascii="宋体" w:hAnsi="宋体" w:eastAsia="宋体"/>
                <w:color w:val="auto"/>
                <w:spacing w:val="0"/>
                <w:kern w:val="2"/>
                <w:sz w:val="21"/>
                <w:szCs w:val="21"/>
                <w:lang w:val="en-US" w:eastAsia="zh-CN" w:bidi="ar-SA"/>
              </w:rPr>
            </w:pPr>
            <w:r>
              <w:rPr>
                <w:rFonts w:hint="eastAsia" w:ascii="宋体" w:hAnsi="宋体" w:eastAsia="宋体" w:cs="宋体"/>
                <w:b w:val="0"/>
                <w:bCs w:val="0"/>
                <w:color w:val="auto"/>
                <w:sz w:val="21"/>
                <w:szCs w:val="21"/>
                <w:lang w:val="en-US" w:eastAsia="zh-CN"/>
              </w:rPr>
              <w:t xml:space="preserve">0.001 - </w:t>
            </w:r>
            <w:r>
              <w:rPr>
                <w:rFonts w:hint="eastAsia" w:ascii="宋体" w:hAnsi="宋体" w:cs="宋体"/>
                <w:b w:val="0"/>
                <w:bCs w:val="0"/>
                <w:color w:val="auto"/>
                <w:sz w:val="21"/>
                <w:szCs w:val="21"/>
                <w:lang w:val="en-US" w:eastAsia="zh-CN"/>
              </w:rPr>
              <w:t>0.56 / (0.023)</w:t>
            </w:r>
          </w:p>
        </w:tc>
        <w:tc>
          <w:tcPr>
            <w:tcW w:w="2135" w:type="dxa"/>
            <w:noWrap w:val="0"/>
            <w:vAlign w:val="center"/>
          </w:tcPr>
          <w:p>
            <w:pPr>
              <w:spacing w:line="240" w:lineRule="exact"/>
              <w:jc w:val="center"/>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w:t>
            </w:r>
          </w:p>
        </w:tc>
        <w:tc>
          <w:tcPr>
            <w:tcW w:w="1980" w:type="dxa"/>
            <w:noWrap w:val="0"/>
            <w:vAlign w:val="center"/>
          </w:tcPr>
          <w:p>
            <w:pPr>
              <w:spacing w:line="240" w:lineRule="exact"/>
              <w:jc w:val="center"/>
              <w:rPr>
                <w:rFonts w:hint="eastAsia" w:ascii="宋体" w:hAnsi="宋体" w:eastAsia="宋体" w:cs="宋体"/>
                <w:b w:val="0"/>
                <w:bCs w:val="0"/>
                <w:color w:val="auto"/>
                <w:sz w:val="21"/>
                <w:szCs w:val="21"/>
                <w:lang w:val="en-US" w:eastAsia="zh-CN"/>
              </w:rPr>
            </w:pPr>
            <w:r>
              <w:rPr>
                <w:rFonts w:hint="eastAsia" w:ascii="宋体" w:hAnsi="宋体"/>
                <w:color w:val="auto"/>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245" w:type="dxa"/>
            <w:noWrap w:val="0"/>
            <w:vAlign w:val="center"/>
          </w:tcPr>
          <w:p>
            <w:pPr>
              <w:spacing w:line="240" w:lineRule="exact"/>
              <w:jc w:val="center"/>
              <w:rPr>
                <w:rFonts w:hint="eastAsia" w:ascii="宋体" w:hAnsi="宋体" w:eastAsia="宋体"/>
                <w:color w:val="auto"/>
                <w:kern w:val="2"/>
                <w:sz w:val="21"/>
                <w:szCs w:val="21"/>
                <w:lang w:val="en-US" w:eastAsia="zh-CN" w:bidi="ar-SA"/>
              </w:rPr>
            </w:pPr>
            <w:r>
              <w:rPr>
                <w:rFonts w:hint="eastAsia" w:ascii="宋体" w:hAnsi="宋体"/>
                <w:color w:val="auto"/>
                <w:sz w:val="21"/>
                <w:szCs w:val="21"/>
              </w:rPr>
              <w:t>二级</w:t>
            </w:r>
          </w:p>
        </w:tc>
        <w:tc>
          <w:tcPr>
            <w:tcW w:w="3067" w:type="dxa"/>
            <w:noWrap w:val="0"/>
            <w:vAlign w:val="center"/>
          </w:tcPr>
          <w:p>
            <w:pPr>
              <w:spacing w:line="240" w:lineRule="exact"/>
              <w:jc w:val="center"/>
              <w:rPr>
                <w:rFonts w:hint="eastAsia" w:ascii="宋体" w:hAnsi="宋体" w:eastAsia="宋体"/>
                <w:color w:val="auto"/>
                <w:spacing w:val="0"/>
                <w:kern w:val="2"/>
                <w:sz w:val="21"/>
                <w:szCs w:val="21"/>
                <w:lang w:val="en-US" w:eastAsia="zh-CN" w:bidi="ar-SA"/>
              </w:rPr>
            </w:pPr>
            <w:r>
              <w:rPr>
                <w:rFonts w:hint="eastAsia" w:ascii="宋体" w:hAnsi="宋体" w:eastAsia="宋体" w:cs="宋体"/>
                <w:color w:val="auto"/>
                <w:sz w:val="21"/>
                <w:szCs w:val="21"/>
                <w:lang w:val="en-US" w:eastAsia="zh-CN"/>
              </w:rPr>
              <w:t>0.001 - 0.56 / (0.023)</w:t>
            </w:r>
          </w:p>
        </w:tc>
        <w:tc>
          <w:tcPr>
            <w:tcW w:w="2135" w:type="dxa"/>
            <w:noWrap w:val="0"/>
            <w:vAlign w:val="center"/>
          </w:tcPr>
          <w:p>
            <w:pPr>
              <w:spacing w:line="240" w:lineRule="exact"/>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c>
          <w:tcPr>
            <w:tcW w:w="1980" w:type="dxa"/>
            <w:noWrap w:val="0"/>
            <w:vAlign w:val="center"/>
          </w:tcPr>
          <w:p>
            <w:pPr>
              <w:spacing w:line="240" w:lineRule="exact"/>
              <w:jc w:val="center"/>
              <w:rPr>
                <w:rFonts w:hint="eastAsia" w:ascii="宋体" w:hAnsi="宋体" w:eastAsia="宋体" w:cs="宋体"/>
                <w:color w:val="auto"/>
                <w:sz w:val="21"/>
                <w:szCs w:val="21"/>
                <w:lang w:val="en-US" w:eastAsia="zh-CN"/>
              </w:rPr>
            </w:pPr>
            <w:r>
              <w:rPr>
                <w:rFonts w:hint="eastAsia" w:ascii="宋体" w:hAnsi="宋体"/>
                <w:color w:val="auto"/>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245" w:type="dxa"/>
            <w:noWrap w:val="0"/>
            <w:vAlign w:val="center"/>
          </w:tcPr>
          <w:p>
            <w:pPr>
              <w:spacing w:line="240" w:lineRule="exact"/>
              <w:jc w:val="center"/>
              <w:rPr>
                <w:rFonts w:hint="eastAsia" w:ascii="宋体" w:hAnsi="宋体" w:eastAsia="宋体"/>
                <w:color w:val="auto"/>
                <w:kern w:val="2"/>
                <w:sz w:val="21"/>
                <w:szCs w:val="21"/>
                <w:lang w:val="en-US" w:eastAsia="zh-CN" w:bidi="ar-SA"/>
              </w:rPr>
            </w:pPr>
            <w:r>
              <w:rPr>
                <w:rFonts w:hint="eastAsia" w:ascii="宋体" w:hAnsi="宋体"/>
                <w:color w:val="auto"/>
                <w:sz w:val="21"/>
                <w:szCs w:val="21"/>
              </w:rPr>
              <w:t>三级</w:t>
            </w:r>
          </w:p>
        </w:tc>
        <w:tc>
          <w:tcPr>
            <w:tcW w:w="3067" w:type="dxa"/>
            <w:noWrap w:val="0"/>
            <w:vAlign w:val="center"/>
          </w:tcPr>
          <w:p>
            <w:pPr>
              <w:spacing w:line="240" w:lineRule="exact"/>
              <w:jc w:val="center"/>
              <w:rPr>
                <w:rFonts w:hint="eastAsia" w:ascii="宋体" w:hAnsi="宋体" w:eastAsia="宋体"/>
                <w:color w:val="auto"/>
                <w:spacing w:val="0"/>
                <w:kern w:val="2"/>
                <w:sz w:val="21"/>
                <w:szCs w:val="21"/>
                <w:lang w:val="en-US" w:eastAsia="zh-CN" w:bidi="ar-SA"/>
              </w:rPr>
            </w:pPr>
            <w:r>
              <w:rPr>
                <w:rFonts w:hint="eastAsia" w:ascii="宋体" w:hAnsi="宋体" w:eastAsia="宋体" w:cs="宋体"/>
                <w:color w:val="auto"/>
                <w:sz w:val="21"/>
                <w:szCs w:val="21"/>
                <w:lang w:val="en-US" w:eastAsia="zh-CN"/>
              </w:rPr>
              <w:t>0.072 - 0.57 / (0.24)</w:t>
            </w:r>
          </w:p>
        </w:tc>
        <w:tc>
          <w:tcPr>
            <w:tcW w:w="2135" w:type="dxa"/>
            <w:noWrap w:val="0"/>
            <w:vAlign w:val="center"/>
          </w:tcPr>
          <w:p>
            <w:pPr>
              <w:spacing w:line="240" w:lineRule="exact"/>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w:t>
            </w:r>
          </w:p>
        </w:tc>
        <w:tc>
          <w:tcPr>
            <w:tcW w:w="1980" w:type="dxa"/>
            <w:noWrap w:val="0"/>
            <w:vAlign w:val="center"/>
          </w:tcPr>
          <w:p>
            <w:pPr>
              <w:spacing w:line="240" w:lineRule="exact"/>
              <w:jc w:val="center"/>
              <w:rPr>
                <w:rFonts w:hint="default" w:ascii="宋体" w:hAnsi="宋体" w:eastAsia="宋体" w:cs="宋体"/>
                <w:color w:val="auto"/>
                <w:sz w:val="21"/>
                <w:szCs w:val="21"/>
                <w:lang w:val="en-US" w:eastAsia="zh-CN"/>
              </w:rPr>
            </w:pPr>
            <w:r>
              <w:rPr>
                <w:rFonts w:hint="eastAsia" w:ascii="宋体" w:hAnsi="宋体"/>
                <w:color w:val="auto"/>
                <w:sz w:val="18"/>
                <w:szCs w:val="18"/>
              </w:rPr>
              <w:t>2</w:t>
            </w:r>
          </w:p>
        </w:tc>
      </w:tr>
    </w:tbl>
    <w:p>
      <w:pPr>
        <w:spacing w:line="360" w:lineRule="auto"/>
        <w:rPr>
          <w:rFonts w:hint="eastAsia" w:ascii="宋体" w:hAnsi="宋体" w:cs="宋体"/>
          <w:sz w:val="24"/>
          <w:szCs w:val="24"/>
        </w:rPr>
      </w:pPr>
      <w:r>
        <w:rPr>
          <w:rFonts w:hint="eastAsia" w:ascii="宋体" w:hAnsi="宋体" w:cs="宋体"/>
          <w:sz w:val="24"/>
          <w:szCs w:val="24"/>
          <w:lang w:val="en-US" w:eastAsia="zh-CN"/>
        </w:rPr>
        <w:t>3.3.2.6</w:t>
      </w:r>
      <w:r>
        <w:rPr>
          <w:rFonts w:hint="eastAsia" w:ascii="宋体" w:hAnsi="宋体" w:cs="宋体"/>
          <w:sz w:val="24"/>
          <w:szCs w:val="24"/>
        </w:rPr>
        <w:t>杂质</w:t>
      </w:r>
      <w:r>
        <w:rPr>
          <w:rFonts w:hint="eastAsia" w:ascii="宋体" w:hAnsi="宋体" w:cs="宋体"/>
          <w:spacing w:val="-20"/>
          <w:sz w:val="24"/>
          <w:szCs w:val="24"/>
        </w:rPr>
        <w:t>锑</w:t>
      </w:r>
      <w:r>
        <w:rPr>
          <w:rFonts w:hint="eastAsia" w:ascii="宋体" w:hAnsi="宋体" w:cs="宋体"/>
          <w:spacing w:val="-20"/>
          <w:sz w:val="24"/>
          <w:szCs w:val="24"/>
          <w:lang w:val="en-US" w:eastAsia="zh-CN"/>
        </w:rPr>
        <w:t xml:space="preserve"> </w:t>
      </w:r>
      <w:r>
        <w:rPr>
          <w:rFonts w:hint="eastAsia" w:ascii="宋体" w:hAnsi="宋体" w:cs="宋体"/>
          <w:sz w:val="24"/>
          <w:szCs w:val="24"/>
        </w:rPr>
        <w:t>范围的确定：</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i w:val="0"/>
          <w:iCs w:val="0"/>
          <w:sz w:val="24"/>
          <w:szCs w:val="24"/>
          <w:lang w:eastAsia="zh-CN"/>
        </w:rPr>
      </w:pPr>
      <w:r>
        <w:rPr>
          <w:rFonts w:hint="eastAsia" w:ascii="宋体" w:hAnsi="宋体"/>
          <w:sz w:val="24"/>
          <w:szCs w:val="24"/>
        </w:rPr>
        <w:t>Sb</w:t>
      </w:r>
      <w:r>
        <w:rPr>
          <w:rFonts w:hint="eastAsia" w:ascii="宋体" w:hAnsi="宋体"/>
          <w:sz w:val="24"/>
          <w:szCs w:val="24"/>
          <w:lang w:eastAsia="zh-CN"/>
        </w:rPr>
        <w:t>在铜冶炼火法冶炼是较难去除，且危害性较大，</w:t>
      </w:r>
      <w:r>
        <w:rPr>
          <w:rFonts w:hint="eastAsia" w:ascii="宋体" w:hAnsi="宋体" w:cs="宋体"/>
          <w:sz w:val="24"/>
          <w:szCs w:val="24"/>
          <w:lang w:eastAsia="zh-CN"/>
        </w:rPr>
        <w:t>根据</w:t>
      </w:r>
      <w:r>
        <w:rPr>
          <w:rFonts w:hint="eastAsia" w:ascii="宋体" w:hAnsi="宋体" w:eastAsia="宋体" w:cs="宋体"/>
          <w:sz w:val="24"/>
          <w:szCs w:val="24"/>
          <w:lang w:eastAsia="zh-CN"/>
        </w:rPr>
        <w:t>收集的部分</w:t>
      </w:r>
      <w:r>
        <w:rPr>
          <w:rFonts w:hint="eastAsia" w:ascii="宋体" w:hAnsi="宋体" w:cs="宋体"/>
          <w:sz w:val="24"/>
          <w:szCs w:val="24"/>
        </w:rPr>
        <w:t>铜冶炼生产企业</w:t>
      </w:r>
      <w:r>
        <w:rPr>
          <w:rFonts w:hint="eastAsia" w:ascii="宋体" w:hAnsi="宋体" w:cs="宋体"/>
          <w:sz w:val="24"/>
          <w:szCs w:val="24"/>
          <w:lang w:eastAsia="zh-CN"/>
        </w:rPr>
        <w:t>的数据确定，</w:t>
      </w:r>
      <w:r>
        <w:rPr>
          <w:rFonts w:hint="eastAsia" w:ascii="宋体" w:hAnsi="宋体"/>
          <w:sz w:val="24"/>
          <w:szCs w:val="24"/>
        </w:rPr>
        <w:t>冰铜一级品Sb</w:t>
      </w:r>
      <w:r>
        <w:rPr>
          <w:rFonts w:hint="eastAsia" w:ascii="宋体" w:hAnsi="宋体" w:cs="宋体"/>
          <w:sz w:val="24"/>
          <w:szCs w:val="24"/>
          <w:lang w:eastAsia="zh-CN"/>
        </w:rPr>
        <w:t>含量不大于</w:t>
      </w:r>
      <w:r>
        <w:rPr>
          <w:rFonts w:hint="eastAsia" w:ascii="宋体" w:hAnsi="宋体" w:cs="宋体"/>
          <w:sz w:val="24"/>
          <w:szCs w:val="24"/>
          <w:lang w:val="en-US" w:eastAsia="zh-CN"/>
        </w:rPr>
        <w:t>0.2%</w:t>
      </w:r>
      <w:r>
        <w:rPr>
          <w:rFonts w:hint="eastAsia" w:ascii="宋体" w:hAnsi="宋体"/>
          <w:sz w:val="24"/>
          <w:szCs w:val="24"/>
        </w:rPr>
        <w:t>、</w:t>
      </w:r>
      <w:r>
        <w:rPr>
          <w:rFonts w:hint="eastAsia" w:ascii="宋体" w:hAnsi="宋体"/>
          <w:sz w:val="24"/>
          <w:szCs w:val="24"/>
          <w:lang w:eastAsia="zh-CN"/>
        </w:rPr>
        <w:t>二</w:t>
      </w:r>
      <w:r>
        <w:rPr>
          <w:rFonts w:hint="eastAsia" w:ascii="宋体" w:hAnsi="宋体"/>
          <w:sz w:val="24"/>
          <w:szCs w:val="24"/>
        </w:rPr>
        <w:t>级品Sb</w:t>
      </w:r>
      <w:r>
        <w:rPr>
          <w:rFonts w:hint="eastAsia" w:ascii="宋体" w:hAnsi="宋体" w:cs="宋体"/>
          <w:sz w:val="24"/>
          <w:szCs w:val="24"/>
          <w:lang w:eastAsia="zh-CN"/>
        </w:rPr>
        <w:t>含量不大于</w:t>
      </w:r>
      <w:r>
        <w:rPr>
          <w:rFonts w:hint="eastAsia" w:ascii="宋体" w:hAnsi="宋体" w:cs="宋体"/>
          <w:sz w:val="24"/>
          <w:szCs w:val="24"/>
          <w:lang w:val="en-US" w:eastAsia="zh-CN"/>
        </w:rPr>
        <w:t>0.3%</w:t>
      </w:r>
      <w:r>
        <w:rPr>
          <w:rFonts w:hint="eastAsia" w:ascii="宋体" w:hAnsi="宋体"/>
          <w:sz w:val="24"/>
          <w:szCs w:val="24"/>
        </w:rPr>
        <w:t>、</w:t>
      </w:r>
      <w:r>
        <w:rPr>
          <w:rFonts w:hint="eastAsia" w:ascii="宋体" w:hAnsi="宋体"/>
          <w:sz w:val="24"/>
          <w:szCs w:val="24"/>
          <w:lang w:eastAsia="zh-CN"/>
        </w:rPr>
        <w:t>三</w:t>
      </w:r>
      <w:r>
        <w:rPr>
          <w:rFonts w:hint="eastAsia" w:ascii="宋体" w:hAnsi="宋体"/>
          <w:sz w:val="24"/>
          <w:szCs w:val="24"/>
        </w:rPr>
        <w:t>级品Sb</w:t>
      </w:r>
      <w:r>
        <w:rPr>
          <w:rFonts w:hint="eastAsia" w:ascii="宋体" w:hAnsi="宋体" w:cs="宋体"/>
          <w:sz w:val="24"/>
          <w:szCs w:val="24"/>
          <w:lang w:eastAsia="zh-CN"/>
        </w:rPr>
        <w:t>含量不大于</w:t>
      </w:r>
      <w:r>
        <w:rPr>
          <w:rFonts w:hint="eastAsia" w:ascii="宋体" w:hAnsi="宋体" w:cs="宋体"/>
          <w:sz w:val="24"/>
          <w:szCs w:val="24"/>
          <w:lang w:val="en-US" w:eastAsia="zh-CN"/>
        </w:rPr>
        <w:t>0.4%</w:t>
      </w:r>
      <w:r>
        <w:rPr>
          <w:rFonts w:hint="eastAsia" w:ascii="宋体" w:hAnsi="宋体"/>
          <w:sz w:val="24"/>
          <w:szCs w:val="24"/>
        </w:rPr>
        <w:t>。</w:t>
      </w:r>
      <w:r>
        <w:rPr>
          <w:rFonts w:hint="eastAsia" w:ascii="宋体" w:hAnsi="宋体"/>
          <w:i w:val="0"/>
          <w:iCs w:val="0"/>
          <w:sz w:val="24"/>
          <w:szCs w:val="24"/>
          <w:lang w:eastAsia="zh-CN"/>
        </w:rPr>
        <w:t>（原文件</w:t>
      </w:r>
      <w:r>
        <w:rPr>
          <w:rFonts w:hint="eastAsia" w:ascii="宋体" w:hAnsi="宋体"/>
          <w:i w:val="0"/>
          <w:iCs w:val="0"/>
          <w:color w:val="auto"/>
          <w:sz w:val="24"/>
          <w:szCs w:val="24"/>
          <w:vertAlign w:val="baseline"/>
          <w:lang w:val="en-US" w:eastAsia="zh-CN"/>
        </w:rPr>
        <w:t>2013年版，</w:t>
      </w:r>
      <w:r>
        <w:rPr>
          <w:rFonts w:hint="eastAsia" w:ascii="宋体" w:hAnsi="宋体"/>
          <w:i w:val="0"/>
          <w:iCs w:val="0"/>
          <w:sz w:val="24"/>
          <w:szCs w:val="24"/>
        </w:rPr>
        <w:t>一级品</w:t>
      </w:r>
      <w:r>
        <w:rPr>
          <w:rFonts w:hint="eastAsia" w:ascii="宋体" w:hAnsi="宋体"/>
          <w:sz w:val="24"/>
          <w:szCs w:val="24"/>
        </w:rPr>
        <w:t>Sb+Bi</w:t>
      </w:r>
      <w:r>
        <w:rPr>
          <w:rFonts w:hint="eastAsia" w:ascii="宋体" w:hAnsi="宋体" w:cs="宋体"/>
          <w:i w:val="0"/>
          <w:iCs w:val="0"/>
          <w:sz w:val="24"/>
          <w:szCs w:val="24"/>
          <w:lang w:eastAsia="zh-CN"/>
        </w:rPr>
        <w:t>含量不大于</w:t>
      </w:r>
      <w:r>
        <w:rPr>
          <w:rFonts w:hint="eastAsia" w:ascii="宋体" w:hAnsi="宋体" w:cs="宋体"/>
          <w:i w:val="0"/>
          <w:iCs w:val="0"/>
          <w:sz w:val="24"/>
          <w:szCs w:val="24"/>
          <w:lang w:val="en-US" w:eastAsia="zh-CN"/>
        </w:rPr>
        <w:t>0.3%</w:t>
      </w:r>
      <w:r>
        <w:rPr>
          <w:rFonts w:hint="eastAsia" w:ascii="宋体" w:hAnsi="宋体"/>
          <w:i w:val="0"/>
          <w:iCs w:val="0"/>
          <w:sz w:val="24"/>
          <w:szCs w:val="24"/>
        </w:rPr>
        <w:t>、</w:t>
      </w:r>
      <w:r>
        <w:rPr>
          <w:rFonts w:hint="eastAsia" w:ascii="宋体" w:hAnsi="宋体"/>
          <w:i w:val="0"/>
          <w:iCs w:val="0"/>
          <w:sz w:val="24"/>
          <w:szCs w:val="24"/>
          <w:lang w:eastAsia="zh-CN"/>
        </w:rPr>
        <w:t>二</w:t>
      </w:r>
      <w:r>
        <w:rPr>
          <w:rFonts w:hint="eastAsia" w:ascii="宋体" w:hAnsi="宋体"/>
          <w:i w:val="0"/>
          <w:iCs w:val="0"/>
          <w:sz w:val="24"/>
          <w:szCs w:val="24"/>
        </w:rPr>
        <w:t>级品</w:t>
      </w:r>
      <w:r>
        <w:rPr>
          <w:rFonts w:hint="eastAsia" w:ascii="宋体" w:hAnsi="宋体"/>
          <w:sz w:val="24"/>
          <w:szCs w:val="24"/>
        </w:rPr>
        <w:t>Sb+Bi</w:t>
      </w:r>
      <w:r>
        <w:rPr>
          <w:rFonts w:hint="eastAsia" w:ascii="宋体" w:hAnsi="宋体" w:cs="宋体"/>
          <w:i w:val="0"/>
          <w:iCs w:val="0"/>
          <w:sz w:val="24"/>
          <w:szCs w:val="24"/>
          <w:lang w:eastAsia="zh-CN"/>
        </w:rPr>
        <w:t>含量不大于</w:t>
      </w:r>
      <w:r>
        <w:rPr>
          <w:rFonts w:hint="eastAsia" w:ascii="宋体" w:hAnsi="宋体" w:cs="宋体"/>
          <w:i w:val="0"/>
          <w:iCs w:val="0"/>
          <w:sz w:val="24"/>
          <w:szCs w:val="24"/>
          <w:lang w:val="en-US" w:eastAsia="zh-CN"/>
        </w:rPr>
        <w:t>0.4%</w:t>
      </w:r>
      <w:r>
        <w:rPr>
          <w:rFonts w:hint="eastAsia" w:ascii="宋体" w:hAnsi="宋体"/>
          <w:i w:val="0"/>
          <w:iCs w:val="0"/>
          <w:sz w:val="24"/>
          <w:szCs w:val="24"/>
        </w:rPr>
        <w:t>、</w:t>
      </w:r>
      <w:r>
        <w:rPr>
          <w:rFonts w:hint="eastAsia" w:ascii="宋体" w:hAnsi="宋体"/>
          <w:i w:val="0"/>
          <w:iCs w:val="0"/>
          <w:sz w:val="24"/>
          <w:szCs w:val="24"/>
          <w:lang w:eastAsia="zh-CN"/>
        </w:rPr>
        <w:t>三</w:t>
      </w:r>
      <w:r>
        <w:rPr>
          <w:rFonts w:hint="eastAsia" w:ascii="宋体" w:hAnsi="宋体"/>
          <w:i w:val="0"/>
          <w:iCs w:val="0"/>
          <w:sz w:val="24"/>
          <w:szCs w:val="24"/>
        </w:rPr>
        <w:t>级品</w:t>
      </w:r>
      <w:r>
        <w:rPr>
          <w:rFonts w:hint="eastAsia" w:ascii="宋体" w:hAnsi="宋体"/>
          <w:sz w:val="24"/>
          <w:szCs w:val="24"/>
        </w:rPr>
        <w:t>Sb+Bi</w:t>
      </w:r>
      <w:r>
        <w:rPr>
          <w:rFonts w:hint="eastAsia" w:ascii="宋体" w:hAnsi="宋体" w:cs="宋体"/>
          <w:i w:val="0"/>
          <w:iCs w:val="0"/>
          <w:sz w:val="24"/>
          <w:szCs w:val="24"/>
          <w:lang w:eastAsia="zh-CN"/>
        </w:rPr>
        <w:t>含量不大于</w:t>
      </w:r>
      <w:r>
        <w:rPr>
          <w:rFonts w:hint="eastAsia" w:ascii="宋体" w:hAnsi="宋体" w:cs="宋体"/>
          <w:i w:val="0"/>
          <w:iCs w:val="0"/>
          <w:sz w:val="24"/>
          <w:szCs w:val="24"/>
          <w:lang w:val="en-US" w:eastAsia="zh-CN"/>
        </w:rPr>
        <w:t>0.5%</w:t>
      </w:r>
      <w:r>
        <w:rPr>
          <w:rFonts w:hint="eastAsia" w:ascii="宋体" w:hAnsi="宋体"/>
          <w:i w:val="0"/>
          <w:iCs w:val="0"/>
          <w:sz w:val="24"/>
          <w:szCs w:val="24"/>
        </w:rPr>
        <w:t>。</w:t>
      </w:r>
      <w:r>
        <w:rPr>
          <w:rFonts w:hint="eastAsia" w:ascii="宋体" w:hAnsi="宋体"/>
          <w:i w:val="0"/>
          <w:iCs w:val="0"/>
          <w:sz w:val="24"/>
          <w:szCs w:val="24"/>
          <w:lang w:eastAsia="zh-CN"/>
        </w:rPr>
        <w:t>）</w:t>
      </w:r>
    </w:p>
    <w:p>
      <w:pPr>
        <w:spacing w:line="500" w:lineRule="exact"/>
        <w:ind w:firstLine="211" w:firstLineChars="100"/>
        <w:jc w:val="center"/>
        <w:rPr>
          <w:rFonts w:hint="eastAsia" w:ascii="宋体" w:hAnsi="宋体"/>
          <w:color w:val="auto"/>
          <w:sz w:val="18"/>
          <w:szCs w:val="18"/>
        </w:rPr>
      </w:pPr>
      <w:r>
        <w:rPr>
          <w:rFonts w:hint="eastAsia" w:ascii="宋体" w:hAnsi="宋体" w:cs="宋体"/>
          <w:b/>
          <w:bCs/>
          <w:szCs w:val="21"/>
        </w:rPr>
        <w:t>表</w:t>
      </w:r>
      <w:r>
        <w:rPr>
          <w:rFonts w:hint="eastAsia" w:ascii="宋体" w:hAnsi="宋体" w:cs="宋体"/>
          <w:b/>
          <w:bCs/>
          <w:szCs w:val="21"/>
          <w:lang w:val="en-US" w:eastAsia="zh-CN"/>
        </w:rPr>
        <w:t>9</w:t>
      </w:r>
      <w:r>
        <w:rPr>
          <w:rFonts w:hint="eastAsia" w:ascii="宋体" w:hAnsi="宋体" w:cs="宋体"/>
          <w:b/>
          <w:bCs/>
          <w:szCs w:val="21"/>
        </w:rPr>
        <w:t>“</w:t>
      </w:r>
      <w:r>
        <w:rPr>
          <w:rFonts w:hint="eastAsia" w:ascii="宋体" w:hAnsi="宋体" w:cs="宋体"/>
          <w:szCs w:val="21"/>
        </w:rPr>
        <w:t>冰铜的</w:t>
      </w:r>
      <w:r>
        <w:rPr>
          <w:rFonts w:hint="eastAsia" w:ascii="宋体" w:hAnsi="宋体"/>
          <w:sz w:val="21"/>
          <w:szCs w:val="21"/>
        </w:rPr>
        <w:t>Sb</w:t>
      </w:r>
      <w:r>
        <w:rPr>
          <w:rFonts w:hint="eastAsia" w:ascii="宋体" w:hAnsi="宋体" w:cs="宋体"/>
          <w:szCs w:val="21"/>
        </w:rPr>
        <w:t>含量</w:t>
      </w:r>
      <w:r>
        <w:rPr>
          <w:rFonts w:hint="eastAsia" w:ascii="宋体" w:hAnsi="宋体" w:cs="宋体"/>
          <w:szCs w:val="21"/>
          <w:lang w:eastAsia="zh-CN"/>
        </w:rPr>
        <w:t>统计</w:t>
      </w:r>
      <w:r>
        <w:rPr>
          <w:rFonts w:hint="eastAsia" w:ascii="宋体" w:hAnsi="宋体" w:cs="宋体"/>
          <w:szCs w:val="21"/>
        </w:rPr>
        <w:t>表”</w:t>
      </w:r>
      <w:r>
        <w:rPr>
          <w:rFonts w:hint="eastAsia" w:ascii="宋体" w:hAnsi="宋体"/>
          <w:color w:val="auto"/>
          <w:sz w:val="18"/>
          <w:szCs w:val="18"/>
        </w:rPr>
        <w:t>（质量分数）/%</w:t>
      </w:r>
    </w:p>
    <w:tbl>
      <w:tblPr>
        <w:tblStyle w:val="13"/>
        <w:tblW w:w="84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5"/>
        <w:gridCol w:w="2902"/>
        <w:gridCol w:w="230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5" w:type="dxa"/>
            <w:noWrap w:val="0"/>
            <w:vAlign w:val="center"/>
          </w:tcPr>
          <w:p>
            <w:pPr>
              <w:spacing w:line="360" w:lineRule="auto"/>
              <w:jc w:val="center"/>
              <w:rPr>
                <w:rFonts w:hint="eastAsia" w:ascii="宋体" w:hAnsi="宋体" w:cs="宋体"/>
                <w:b w:val="0"/>
                <w:bCs w:val="0"/>
                <w:color w:val="auto"/>
                <w:szCs w:val="21"/>
                <w:vertAlign w:val="baseline"/>
              </w:rPr>
            </w:pPr>
            <w:r>
              <w:rPr>
                <w:rFonts w:hint="eastAsia" w:ascii="宋体" w:hAnsi="宋体"/>
                <w:color w:val="auto"/>
                <w:sz w:val="21"/>
                <w:szCs w:val="21"/>
                <w:vertAlign w:val="baseline"/>
                <w:lang w:eastAsia="zh-CN"/>
              </w:rPr>
              <w:t>品级</w:t>
            </w:r>
          </w:p>
        </w:tc>
        <w:tc>
          <w:tcPr>
            <w:tcW w:w="2902" w:type="dxa"/>
            <w:noWrap w:val="0"/>
            <w:vAlign w:val="center"/>
          </w:tcPr>
          <w:p>
            <w:pPr>
              <w:spacing w:line="500" w:lineRule="exact"/>
              <w:jc w:val="center"/>
              <w:rPr>
                <w:rFonts w:hint="eastAsia" w:ascii="宋体" w:hAnsi="宋体" w:cs="宋体"/>
                <w:b w:val="0"/>
                <w:bCs w:val="0"/>
                <w:color w:val="auto"/>
                <w:szCs w:val="21"/>
                <w:vertAlign w:val="baseline"/>
              </w:rPr>
            </w:pPr>
            <w:r>
              <w:rPr>
                <w:rFonts w:hint="eastAsia" w:ascii="宋体" w:hAnsi="宋体"/>
                <w:sz w:val="21"/>
                <w:szCs w:val="21"/>
              </w:rPr>
              <w:t>Sb</w:t>
            </w:r>
            <w:r>
              <w:rPr>
                <w:rFonts w:hint="eastAsia" w:ascii="宋体" w:hAnsi="宋体"/>
                <w:b w:val="0"/>
                <w:bCs w:val="0"/>
                <w:color w:val="auto"/>
                <w:sz w:val="21"/>
                <w:szCs w:val="21"/>
                <w:lang w:val="en-US" w:eastAsia="zh-CN"/>
              </w:rPr>
              <w:t xml:space="preserve"> </w:t>
            </w:r>
            <w:r>
              <w:rPr>
                <w:rFonts w:hint="eastAsia" w:ascii="宋体" w:hAnsi="宋体"/>
                <w:b w:val="0"/>
                <w:bCs w:val="0"/>
                <w:color w:val="auto"/>
                <w:sz w:val="18"/>
                <w:szCs w:val="18"/>
                <w:lang w:val="en-US" w:eastAsia="zh-CN"/>
              </w:rPr>
              <w:t>（范围值/均值）</w:t>
            </w:r>
          </w:p>
        </w:tc>
        <w:tc>
          <w:tcPr>
            <w:tcW w:w="2300" w:type="dxa"/>
            <w:noWrap w:val="0"/>
            <w:vAlign w:val="center"/>
          </w:tcPr>
          <w:p>
            <w:pPr>
              <w:spacing w:line="360" w:lineRule="auto"/>
              <w:jc w:val="center"/>
              <w:rPr>
                <w:rFonts w:hint="eastAsia" w:ascii="宋体" w:hAnsi="宋体"/>
                <w:color w:val="auto"/>
                <w:sz w:val="21"/>
                <w:szCs w:val="21"/>
              </w:rPr>
            </w:pPr>
            <w:r>
              <w:rPr>
                <w:rFonts w:hint="eastAsia" w:ascii="宋体" w:hAnsi="宋体"/>
                <w:color w:val="auto"/>
                <w:sz w:val="21"/>
                <w:szCs w:val="21"/>
                <w:vertAlign w:val="baseline"/>
                <w:lang w:val="en-US" w:eastAsia="zh-CN"/>
              </w:rPr>
              <w:t>2013年版</w:t>
            </w:r>
            <w:r>
              <w:rPr>
                <w:rFonts w:hint="eastAsia" w:ascii="宋体" w:hAnsi="宋体"/>
                <w:sz w:val="21"/>
                <w:szCs w:val="21"/>
              </w:rPr>
              <w:t>Sb+Bi</w:t>
            </w:r>
            <w:r>
              <w:rPr>
                <w:rFonts w:hint="eastAsia" w:ascii="宋体" w:hAnsi="宋体"/>
                <w:b w:val="0"/>
                <w:bCs w:val="0"/>
                <w:color w:val="auto"/>
                <w:sz w:val="21"/>
                <w:szCs w:val="21"/>
                <w:lang w:val="en-US" w:eastAsia="zh-CN"/>
              </w:rPr>
              <w:t xml:space="preserve"> </w:t>
            </w:r>
            <w:r>
              <w:rPr>
                <w:rFonts w:hint="eastAsia" w:ascii="宋体" w:hAnsi="宋体"/>
                <w:color w:val="auto"/>
                <w:sz w:val="18"/>
                <w:szCs w:val="18"/>
                <w:lang w:eastAsia="zh-CN"/>
              </w:rPr>
              <w:t>不大于</w:t>
            </w:r>
          </w:p>
        </w:tc>
        <w:tc>
          <w:tcPr>
            <w:tcW w:w="1980" w:type="dxa"/>
            <w:noWrap w:val="0"/>
            <w:vAlign w:val="center"/>
          </w:tcPr>
          <w:p>
            <w:pPr>
              <w:spacing w:line="240" w:lineRule="exact"/>
              <w:jc w:val="center"/>
              <w:rPr>
                <w:rFonts w:hint="eastAsia" w:ascii="宋体" w:hAnsi="宋体" w:eastAsiaTheme="minorEastAsia"/>
                <w:color w:val="auto"/>
                <w:sz w:val="21"/>
                <w:szCs w:val="21"/>
                <w:lang w:eastAsia="zh-CN"/>
              </w:rPr>
            </w:pPr>
            <w:r>
              <w:rPr>
                <w:rFonts w:hint="eastAsia" w:ascii="宋体" w:hAnsi="宋体"/>
                <w:color w:val="auto"/>
                <w:sz w:val="18"/>
                <w:szCs w:val="18"/>
                <w:lang w:val="en-US" w:eastAsia="zh-CN"/>
              </w:rPr>
              <w:t>本文件</w:t>
            </w:r>
            <w:r>
              <w:rPr>
                <w:rFonts w:hint="eastAsia" w:ascii="宋体" w:hAnsi="宋体"/>
                <w:sz w:val="21"/>
                <w:szCs w:val="21"/>
              </w:rPr>
              <w:t>Sb</w:t>
            </w:r>
            <w:r>
              <w:rPr>
                <w:rFonts w:hint="eastAsia" w:ascii="宋体" w:hAnsi="宋体"/>
                <w:b w:val="0"/>
                <w:bCs w:val="0"/>
                <w:color w:val="auto"/>
                <w:sz w:val="21"/>
                <w:szCs w:val="21"/>
                <w:lang w:val="en-US" w:eastAsia="zh-CN"/>
              </w:rPr>
              <w:t xml:space="preserve"> </w:t>
            </w:r>
            <w:r>
              <w:rPr>
                <w:rFonts w:hint="eastAsia" w:ascii="宋体" w:hAnsi="宋体"/>
                <w:color w:val="auto"/>
                <w:sz w:val="18"/>
                <w:szCs w:val="18"/>
                <w:lang w:eastAsia="zh-CN"/>
              </w:rPr>
              <w:t>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245" w:type="dxa"/>
            <w:noWrap w:val="0"/>
            <w:vAlign w:val="center"/>
          </w:tcPr>
          <w:p>
            <w:pPr>
              <w:spacing w:line="240" w:lineRule="exact"/>
              <w:jc w:val="center"/>
              <w:rPr>
                <w:rFonts w:hint="eastAsia" w:ascii="宋体" w:hAnsi="宋体" w:eastAsia="宋体"/>
                <w:color w:val="auto"/>
                <w:kern w:val="2"/>
                <w:sz w:val="21"/>
                <w:szCs w:val="21"/>
                <w:lang w:val="en-US" w:eastAsia="zh-CN" w:bidi="ar-SA"/>
              </w:rPr>
            </w:pPr>
            <w:r>
              <w:rPr>
                <w:rFonts w:hint="eastAsia" w:ascii="宋体" w:hAnsi="宋体"/>
                <w:color w:val="auto"/>
                <w:sz w:val="21"/>
                <w:szCs w:val="21"/>
              </w:rPr>
              <w:t>一级</w:t>
            </w:r>
          </w:p>
        </w:tc>
        <w:tc>
          <w:tcPr>
            <w:tcW w:w="2902" w:type="dxa"/>
            <w:noWrap w:val="0"/>
            <w:vAlign w:val="center"/>
          </w:tcPr>
          <w:p>
            <w:pPr>
              <w:spacing w:line="240" w:lineRule="exact"/>
              <w:jc w:val="center"/>
              <w:rPr>
                <w:rFonts w:hint="eastAsia" w:ascii="宋体" w:hAnsi="宋体" w:eastAsia="宋体"/>
                <w:color w:val="auto"/>
                <w:spacing w:val="0"/>
                <w:kern w:val="2"/>
                <w:sz w:val="21"/>
                <w:szCs w:val="21"/>
                <w:lang w:val="en-US" w:eastAsia="zh-CN" w:bidi="ar-SA"/>
              </w:rPr>
            </w:pPr>
            <w:r>
              <w:rPr>
                <w:rFonts w:hint="eastAsia" w:ascii="宋体" w:hAnsi="宋体" w:eastAsia="宋体" w:cs="宋体"/>
                <w:b w:val="0"/>
                <w:bCs w:val="0"/>
                <w:color w:val="auto"/>
                <w:sz w:val="21"/>
                <w:szCs w:val="21"/>
                <w:lang w:val="en-US" w:eastAsia="zh-CN"/>
              </w:rPr>
              <w:t>≤0.001</w:t>
            </w:r>
          </w:p>
        </w:tc>
        <w:tc>
          <w:tcPr>
            <w:tcW w:w="2300" w:type="dxa"/>
            <w:noWrap w:val="0"/>
            <w:vAlign w:val="center"/>
          </w:tcPr>
          <w:p>
            <w:pPr>
              <w:spacing w:line="240" w:lineRule="exact"/>
              <w:jc w:val="center"/>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0.3</w:t>
            </w:r>
          </w:p>
        </w:tc>
        <w:tc>
          <w:tcPr>
            <w:tcW w:w="1980" w:type="dxa"/>
            <w:noWrap w:val="0"/>
            <w:vAlign w:val="center"/>
          </w:tcPr>
          <w:p>
            <w:pPr>
              <w:spacing w:line="240" w:lineRule="exact"/>
              <w:jc w:val="center"/>
              <w:rPr>
                <w:rFonts w:hint="eastAsia" w:ascii="宋体" w:hAnsi="宋体" w:eastAsia="宋体" w:cs="宋体"/>
                <w:b w:val="0"/>
                <w:bCs w:val="0"/>
                <w:color w:val="auto"/>
                <w:sz w:val="21"/>
                <w:szCs w:val="21"/>
                <w:lang w:val="en-US" w:eastAsia="zh-CN"/>
              </w:rPr>
            </w:pPr>
            <w:r>
              <w:rPr>
                <w:rFonts w:hint="eastAsia" w:ascii="宋体" w:hAnsi="宋体"/>
                <w:color w:val="auto"/>
                <w:sz w:val="18"/>
                <w:szCs w:val="18"/>
              </w:rPr>
              <w:t>0.</w:t>
            </w:r>
            <w:r>
              <w:rPr>
                <w:rFonts w:hint="eastAsia" w:ascii="宋体" w:hAnsi="宋体"/>
                <w:color w:val="auto"/>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245" w:type="dxa"/>
            <w:noWrap w:val="0"/>
            <w:vAlign w:val="center"/>
          </w:tcPr>
          <w:p>
            <w:pPr>
              <w:spacing w:line="240" w:lineRule="exact"/>
              <w:jc w:val="center"/>
              <w:rPr>
                <w:rFonts w:hint="eastAsia" w:ascii="宋体" w:hAnsi="宋体" w:eastAsia="宋体"/>
                <w:color w:val="auto"/>
                <w:kern w:val="2"/>
                <w:sz w:val="21"/>
                <w:szCs w:val="21"/>
                <w:lang w:val="en-US" w:eastAsia="zh-CN" w:bidi="ar-SA"/>
              </w:rPr>
            </w:pPr>
            <w:r>
              <w:rPr>
                <w:rFonts w:hint="eastAsia" w:ascii="宋体" w:hAnsi="宋体"/>
                <w:color w:val="auto"/>
                <w:sz w:val="21"/>
                <w:szCs w:val="21"/>
              </w:rPr>
              <w:t>二级</w:t>
            </w:r>
          </w:p>
        </w:tc>
        <w:tc>
          <w:tcPr>
            <w:tcW w:w="2902" w:type="dxa"/>
            <w:noWrap w:val="0"/>
            <w:vAlign w:val="center"/>
          </w:tcPr>
          <w:p>
            <w:pPr>
              <w:spacing w:line="240" w:lineRule="exact"/>
              <w:jc w:val="center"/>
              <w:rPr>
                <w:rFonts w:hint="eastAsia" w:ascii="宋体" w:hAnsi="宋体" w:eastAsia="宋体"/>
                <w:color w:val="auto"/>
                <w:spacing w:val="0"/>
                <w:kern w:val="2"/>
                <w:sz w:val="21"/>
                <w:szCs w:val="21"/>
                <w:lang w:val="en-US" w:eastAsia="zh-CN" w:bidi="ar-SA"/>
              </w:rPr>
            </w:pPr>
            <w:r>
              <w:rPr>
                <w:rFonts w:hint="eastAsia" w:ascii="宋体" w:hAnsi="宋体" w:eastAsia="宋体" w:cs="宋体"/>
                <w:color w:val="auto"/>
                <w:sz w:val="21"/>
                <w:szCs w:val="21"/>
                <w:lang w:val="en-US" w:eastAsia="zh-CN"/>
              </w:rPr>
              <w:t>0.0001 - 0.024 /(0.002)</w:t>
            </w:r>
          </w:p>
        </w:tc>
        <w:tc>
          <w:tcPr>
            <w:tcW w:w="2300" w:type="dxa"/>
            <w:noWrap w:val="0"/>
            <w:vAlign w:val="center"/>
          </w:tcPr>
          <w:p>
            <w:pPr>
              <w:spacing w:line="240" w:lineRule="exact"/>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0.4</w:t>
            </w:r>
          </w:p>
        </w:tc>
        <w:tc>
          <w:tcPr>
            <w:tcW w:w="1980" w:type="dxa"/>
            <w:noWrap w:val="0"/>
            <w:vAlign w:val="center"/>
          </w:tcPr>
          <w:p>
            <w:pPr>
              <w:spacing w:line="240" w:lineRule="exact"/>
              <w:jc w:val="center"/>
              <w:rPr>
                <w:rFonts w:hint="eastAsia" w:ascii="宋体" w:hAnsi="宋体" w:eastAsia="宋体" w:cs="宋体"/>
                <w:color w:val="auto"/>
                <w:sz w:val="21"/>
                <w:szCs w:val="21"/>
                <w:lang w:val="en-US" w:eastAsia="zh-CN"/>
              </w:rPr>
            </w:pPr>
            <w:r>
              <w:rPr>
                <w:rFonts w:hint="eastAsia" w:ascii="宋体" w:hAnsi="宋体"/>
                <w:color w:val="auto"/>
                <w:sz w:val="18"/>
                <w:szCs w:val="18"/>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245" w:type="dxa"/>
            <w:noWrap w:val="0"/>
            <w:vAlign w:val="center"/>
          </w:tcPr>
          <w:p>
            <w:pPr>
              <w:spacing w:line="240" w:lineRule="exact"/>
              <w:jc w:val="center"/>
              <w:rPr>
                <w:rFonts w:hint="eastAsia" w:ascii="宋体" w:hAnsi="宋体" w:eastAsia="宋体"/>
                <w:color w:val="auto"/>
                <w:kern w:val="2"/>
                <w:sz w:val="21"/>
                <w:szCs w:val="21"/>
                <w:lang w:val="en-US" w:eastAsia="zh-CN" w:bidi="ar-SA"/>
              </w:rPr>
            </w:pPr>
            <w:r>
              <w:rPr>
                <w:rFonts w:hint="eastAsia" w:ascii="宋体" w:hAnsi="宋体"/>
                <w:color w:val="auto"/>
                <w:sz w:val="21"/>
                <w:szCs w:val="21"/>
              </w:rPr>
              <w:t>三级</w:t>
            </w:r>
          </w:p>
        </w:tc>
        <w:tc>
          <w:tcPr>
            <w:tcW w:w="2902" w:type="dxa"/>
            <w:noWrap w:val="0"/>
            <w:vAlign w:val="center"/>
          </w:tcPr>
          <w:p>
            <w:pPr>
              <w:spacing w:line="240" w:lineRule="exact"/>
              <w:jc w:val="center"/>
              <w:rPr>
                <w:rFonts w:hint="eastAsia" w:ascii="宋体" w:hAnsi="宋体" w:eastAsia="宋体"/>
                <w:color w:val="auto"/>
                <w:spacing w:val="0"/>
                <w:kern w:val="2"/>
                <w:sz w:val="21"/>
                <w:szCs w:val="21"/>
                <w:lang w:val="en-US" w:eastAsia="zh-CN" w:bidi="ar-SA"/>
              </w:rPr>
            </w:pPr>
            <w:r>
              <w:rPr>
                <w:rFonts w:hint="eastAsia" w:ascii="宋体" w:hAnsi="宋体" w:eastAsia="宋体" w:cs="宋体"/>
                <w:color w:val="auto"/>
                <w:sz w:val="21"/>
                <w:szCs w:val="21"/>
              </w:rPr>
              <w:t>0.</w:t>
            </w:r>
            <w:r>
              <w:rPr>
                <w:rFonts w:hint="eastAsia" w:ascii="宋体" w:hAnsi="宋体" w:eastAsia="宋体" w:cs="宋体"/>
                <w:color w:val="auto"/>
                <w:sz w:val="21"/>
                <w:szCs w:val="21"/>
                <w:lang w:val="en-US" w:eastAsia="zh-CN"/>
              </w:rPr>
              <w:t>095 - 0.71 /(0.14)</w:t>
            </w:r>
          </w:p>
        </w:tc>
        <w:tc>
          <w:tcPr>
            <w:tcW w:w="2300" w:type="dxa"/>
            <w:noWrap w:val="0"/>
            <w:vAlign w:val="center"/>
          </w:tcPr>
          <w:p>
            <w:pPr>
              <w:spacing w:line="240" w:lineRule="exact"/>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0.5</w:t>
            </w:r>
          </w:p>
        </w:tc>
        <w:tc>
          <w:tcPr>
            <w:tcW w:w="1980" w:type="dxa"/>
            <w:noWrap w:val="0"/>
            <w:vAlign w:val="center"/>
          </w:tcPr>
          <w:p>
            <w:pPr>
              <w:spacing w:line="240" w:lineRule="exact"/>
              <w:jc w:val="center"/>
              <w:rPr>
                <w:rFonts w:hint="default" w:ascii="宋体" w:hAnsi="宋体" w:eastAsia="宋体" w:cs="宋体"/>
                <w:color w:val="auto"/>
                <w:sz w:val="21"/>
                <w:szCs w:val="21"/>
                <w:lang w:val="en-US" w:eastAsia="zh-CN"/>
              </w:rPr>
            </w:pPr>
            <w:r>
              <w:rPr>
                <w:rFonts w:hint="eastAsia" w:ascii="宋体" w:hAnsi="宋体"/>
                <w:color w:val="auto"/>
                <w:sz w:val="18"/>
                <w:szCs w:val="18"/>
              </w:rPr>
              <w:t>0.4</w:t>
            </w:r>
          </w:p>
        </w:tc>
      </w:tr>
    </w:tbl>
    <w:p>
      <w:pPr>
        <w:pStyle w:val="2"/>
        <w:rPr>
          <w:rFonts w:hint="eastAsia" w:ascii="宋体" w:hAnsi="宋体"/>
          <w:color w:val="auto"/>
          <w:sz w:val="18"/>
          <w:szCs w:val="18"/>
        </w:rPr>
      </w:pPr>
    </w:p>
    <w:p>
      <w:pPr>
        <w:pStyle w:val="2"/>
        <w:rPr>
          <w:rFonts w:hint="eastAsia" w:ascii="宋体" w:hAnsi="宋体"/>
          <w:color w:val="auto"/>
          <w:sz w:val="18"/>
          <w:szCs w:val="18"/>
        </w:rPr>
      </w:pPr>
    </w:p>
    <w:p>
      <w:pPr>
        <w:pStyle w:val="2"/>
        <w:rPr>
          <w:rFonts w:hint="eastAsia" w:ascii="宋体" w:hAnsi="宋体"/>
          <w:color w:val="auto"/>
          <w:sz w:val="18"/>
          <w:szCs w:val="18"/>
        </w:rPr>
      </w:pPr>
    </w:p>
    <w:p>
      <w:pPr>
        <w:spacing w:line="360" w:lineRule="auto"/>
        <w:rPr>
          <w:rFonts w:hint="eastAsia" w:ascii="宋体" w:hAnsi="宋体" w:cs="宋体"/>
          <w:sz w:val="24"/>
          <w:szCs w:val="24"/>
        </w:rPr>
      </w:pPr>
      <w:r>
        <w:rPr>
          <w:rFonts w:hint="eastAsia" w:ascii="宋体" w:hAnsi="宋体" w:cs="宋体"/>
          <w:sz w:val="24"/>
          <w:szCs w:val="24"/>
          <w:lang w:val="en-US" w:eastAsia="zh-CN"/>
        </w:rPr>
        <w:t>3.3.2.7</w:t>
      </w:r>
      <w:r>
        <w:rPr>
          <w:rFonts w:hint="eastAsia" w:ascii="宋体" w:hAnsi="宋体" w:cs="宋体"/>
          <w:sz w:val="24"/>
          <w:szCs w:val="24"/>
        </w:rPr>
        <w:t>杂质</w:t>
      </w:r>
      <w:r>
        <w:rPr>
          <w:rFonts w:hint="eastAsia" w:ascii="宋体" w:hAnsi="宋体" w:cs="宋体"/>
          <w:spacing w:val="-20"/>
          <w:sz w:val="24"/>
          <w:szCs w:val="24"/>
        </w:rPr>
        <w:t>铋</w:t>
      </w:r>
      <w:r>
        <w:rPr>
          <w:rFonts w:hint="eastAsia" w:ascii="宋体" w:hAnsi="宋体" w:cs="宋体"/>
          <w:spacing w:val="-20"/>
          <w:sz w:val="24"/>
          <w:szCs w:val="24"/>
          <w:lang w:val="en-US" w:eastAsia="zh-CN"/>
        </w:rPr>
        <w:t xml:space="preserve"> </w:t>
      </w:r>
      <w:r>
        <w:rPr>
          <w:rFonts w:hint="eastAsia" w:ascii="宋体" w:hAnsi="宋体" w:cs="宋体"/>
          <w:sz w:val="24"/>
          <w:szCs w:val="24"/>
        </w:rPr>
        <w:t>范围的确定：</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i w:val="0"/>
          <w:iCs w:val="0"/>
          <w:sz w:val="24"/>
          <w:szCs w:val="24"/>
          <w:lang w:eastAsia="zh-CN"/>
        </w:rPr>
      </w:pPr>
      <w:r>
        <w:rPr>
          <w:rFonts w:hint="eastAsia" w:ascii="宋体" w:hAnsi="宋体"/>
          <w:sz w:val="24"/>
          <w:szCs w:val="24"/>
          <w:lang w:val="en-US" w:eastAsia="zh-CN"/>
        </w:rPr>
        <w:t>铜火法冶炼原料中铋要严格限制,这种元素可导致浇铸出的阳极板拉伸性能较差,容易开裂、脆断</w:t>
      </w:r>
      <w:r>
        <w:rPr>
          <w:rFonts w:hint="eastAsia" w:ascii="宋体" w:hAnsi="宋体"/>
          <w:sz w:val="24"/>
          <w:szCs w:val="24"/>
          <w:lang w:eastAsia="zh-CN"/>
        </w:rPr>
        <w:t>。</w:t>
      </w:r>
      <w:r>
        <w:rPr>
          <w:rFonts w:hint="eastAsia" w:ascii="宋体" w:hAnsi="宋体" w:cs="宋体"/>
          <w:sz w:val="24"/>
          <w:szCs w:val="24"/>
          <w:lang w:eastAsia="zh-CN"/>
        </w:rPr>
        <w:t>根据</w:t>
      </w:r>
      <w:r>
        <w:rPr>
          <w:rFonts w:hint="eastAsia" w:ascii="宋体" w:hAnsi="宋体" w:eastAsia="宋体" w:cs="宋体"/>
          <w:sz w:val="24"/>
          <w:szCs w:val="24"/>
          <w:lang w:eastAsia="zh-CN"/>
        </w:rPr>
        <w:t>收集的部分</w:t>
      </w:r>
      <w:r>
        <w:rPr>
          <w:rFonts w:hint="eastAsia" w:ascii="宋体" w:hAnsi="宋体" w:cs="宋体"/>
          <w:sz w:val="24"/>
          <w:szCs w:val="24"/>
        </w:rPr>
        <w:t>铜冶炼生产企业</w:t>
      </w:r>
      <w:r>
        <w:rPr>
          <w:rFonts w:hint="eastAsia" w:ascii="宋体" w:hAnsi="宋体" w:cs="宋体"/>
          <w:sz w:val="24"/>
          <w:szCs w:val="24"/>
          <w:lang w:eastAsia="zh-CN"/>
        </w:rPr>
        <w:t>的数据确定，</w:t>
      </w:r>
      <w:r>
        <w:rPr>
          <w:rFonts w:hint="eastAsia" w:ascii="宋体" w:hAnsi="宋体"/>
          <w:sz w:val="24"/>
          <w:szCs w:val="24"/>
        </w:rPr>
        <w:t>冰铜一级品</w:t>
      </w:r>
      <w:r>
        <w:rPr>
          <w:rFonts w:hint="eastAsia" w:ascii="宋体" w:hAnsi="宋体"/>
          <w:sz w:val="24"/>
          <w:szCs w:val="24"/>
          <w:lang w:val="en-US" w:eastAsia="zh-CN"/>
        </w:rPr>
        <w:t>Bi</w:t>
      </w:r>
      <w:r>
        <w:rPr>
          <w:rFonts w:hint="eastAsia" w:ascii="宋体" w:hAnsi="宋体" w:cs="宋体"/>
          <w:sz w:val="24"/>
          <w:szCs w:val="24"/>
          <w:lang w:eastAsia="zh-CN"/>
        </w:rPr>
        <w:t>含量不大于</w:t>
      </w:r>
      <w:r>
        <w:rPr>
          <w:rFonts w:hint="eastAsia" w:ascii="宋体" w:hAnsi="宋体" w:cs="宋体"/>
          <w:sz w:val="24"/>
          <w:szCs w:val="24"/>
          <w:lang w:val="en-US" w:eastAsia="zh-CN"/>
        </w:rPr>
        <w:t>0.04%</w:t>
      </w:r>
      <w:r>
        <w:rPr>
          <w:rFonts w:hint="eastAsia" w:ascii="宋体" w:hAnsi="宋体"/>
          <w:sz w:val="24"/>
          <w:szCs w:val="24"/>
        </w:rPr>
        <w:t>、</w:t>
      </w:r>
      <w:r>
        <w:rPr>
          <w:rFonts w:hint="eastAsia" w:ascii="宋体" w:hAnsi="宋体"/>
          <w:sz w:val="24"/>
          <w:szCs w:val="24"/>
          <w:lang w:eastAsia="zh-CN"/>
        </w:rPr>
        <w:t>二</w:t>
      </w:r>
      <w:r>
        <w:rPr>
          <w:rFonts w:hint="eastAsia" w:ascii="宋体" w:hAnsi="宋体"/>
          <w:sz w:val="24"/>
          <w:szCs w:val="24"/>
        </w:rPr>
        <w:t>级品</w:t>
      </w:r>
      <w:r>
        <w:rPr>
          <w:rFonts w:hint="eastAsia" w:ascii="宋体" w:hAnsi="宋体"/>
          <w:sz w:val="24"/>
          <w:szCs w:val="24"/>
          <w:lang w:val="en-US" w:eastAsia="zh-CN"/>
        </w:rPr>
        <w:t>Bi</w:t>
      </w:r>
      <w:r>
        <w:rPr>
          <w:rFonts w:hint="eastAsia" w:ascii="宋体" w:hAnsi="宋体" w:cs="宋体"/>
          <w:sz w:val="24"/>
          <w:szCs w:val="24"/>
          <w:lang w:eastAsia="zh-CN"/>
        </w:rPr>
        <w:t>含量不大于</w:t>
      </w:r>
      <w:r>
        <w:rPr>
          <w:rFonts w:hint="eastAsia" w:ascii="宋体" w:hAnsi="宋体" w:cs="宋体"/>
          <w:sz w:val="24"/>
          <w:szCs w:val="24"/>
          <w:lang w:val="en-US" w:eastAsia="zh-CN"/>
        </w:rPr>
        <w:t>0.08%</w:t>
      </w:r>
      <w:r>
        <w:rPr>
          <w:rFonts w:hint="eastAsia" w:ascii="宋体" w:hAnsi="宋体"/>
          <w:sz w:val="24"/>
          <w:szCs w:val="24"/>
        </w:rPr>
        <w:t>、</w:t>
      </w:r>
      <w:r>
        <w:rPr>
          <w:rFonts w:hint="eastAsia" w:ascii="宋体" w:hAnsi="宋体"/>
          <w:sz w:val="24"/>
          <w:szCs w:val="24"/>
          <w:lang w:eastAsia="zh-CN"/>
        </w:rPr>
        <w:t>三</w:t>
      </w:r>
      <w:r>
        <w:rPr>
          <w:rFonts w:hint="eastAsia" w:ascii="宋体" w:hAnsi="宋体"/>
          <w:sz w:val="24"/>
          <w:szCs w:val="24"/>
        </w:rPr>
        <w:t>级品</w:t>
      </w:r>
      <w:r>
        <w:rPr>
          <w:rFonts w:hint="eastAsia" w:ascii="宋体" w:hAnsi="宋体"/>
          <w:sz w:val="24"/>
          <w:szCs w:val="24"/>
          <w:lang w:val="en-US" w:eastAsia="zh-CN"/>
        </w:rPr>
        <w:t>Bi</w:t>
      </w:r>
      <w:r>
        <w:rPr>
          <w:rFonts w:hint="eastAsia" w:ascii="宋体" w:hAnsi="宋体" w:cs="宋体"/>
          <w:sz w:val="24"/>
          <w:szCs w:val="24"/>
          <w:lang w:eastAsia="zh-CN"/>
        </w:rPr>
        <w:t>含量不大于</w:t>
      </w:r>
      <w:r>
        <w:rPr>
          <w:rFonts w:hint="eastAsia" w:ascii="宋体" w:hAnsi="宋体" w:cs="宋体"/>
          <w:sz w:val="24"/>
          <w:szCs w:val="24"/>
          <w:lang w:val="en-US" w:eastAsia="zh-CN"/>
        </w:rPr>
        <w:t>0.1%</w:t>
      </w:r>
      <w:r>
        <w:rPr>
          <w:rFonts w:hint="eastAsia" w:ascii="宋体" w:hAnsi="宋体"/>
          <w:sz w:val="24"/>
          <w:szCs w:val="24"/>
        </w:rPr>
        <w:t>。</w:t>
      </w:r>
      <w:r>
        <w:rPr>
          <w:rFonts w:hint="eastAsia" w:ascii="宋体" w:hAnsi="宋体"/>
          <w:i w:val="0"/>
          <w:iCs w:val="0"/>
          <w:sz w:val="24"/>
          <w:szCs w:val="24"/>
          <w:lang w:eastAsia="zh-CN"/>
        </w:rPr>
        <w:t>（原文件</w:t>
      </w:r>
      <w:r>
        <w:rPr>
          <w:rFonts w:hint="eastAsia" w:ascii="宋体" w:hAnsi="宋体"/>
          <w:i w:val="0"/>
          <w:iCs w:val="0"/>
          <w:color w:val="auto"/>
          <w:sz w:val="24"/>
          <w:szCs w:val="24"/>
          <w:vertAlign w:val="baseline"/>
          <w:lang w:val="en-US" w:eastAsia="zh-CN"/>
        </w:rPr>
        <w:t>2013年版，</w:t>
      </w:r>
      <w:r>
        <w:rPr>
          <w:rFonts w:hint="eastAsia" w:ascii="宋体" w:hAnsi="宋体"/>
          <w:i w:val="0"/>
          <w:iCs w:val="0"/>
          <w:sz w:val="24"/>
          <w:szCs w:val="24"/>
        </w:rPr>
        <w:t>一级品</w:t>
      </w:r>
      <w:r>
        <w:rPr>
          <w:rFonts w:hint="eastAsia" w:ascii="宋体" w:hAnsi="宋体"/>
          <w:sz w:val="24"/>
          <w:szCs w:val="24"/>
        </w:rPr>
        <w:t>Sb+Bi</w:t>
      </w:r>
      <w:r>
        <w:rPr>
          <w:rFonts w:hint="eastAsia" w:ascii="宋体" w:hAnsi="宋体" w:cs="宋体"/>
          <w:i w:val="0"/>
          <w:iCs w:val="0"/>
          <w:sz w:val="24"/>
          <w:szCs w:val="24"/>
          <w:lang w:eastAsia="zh-CN"/>
        </w:rPr>
        <w:t>含量不大于</w:t>
      </w:r>
      <w:r>
        <w:rPr>
          <w:rFonts w:hint="eastAsia" w:ascii="宋体" w:hAnsi="宋体" w:cs="宋体"/>
          <w:i w:val="0"/>
          <w:iCs w:val="0"/>
          <w:sz w:val="24"/>
          <w:szCs w:val="24"/>
          <w:lang w:val="en-US" w:eastAsia="zh-CN"/>
        </w:rPr>
        <w:t>0.3%</w:t>
      </w:r>
      <w:r>
        <w:rPr>
          <w:rFonts w:hint="eastAsia" w:ascii="宋体" w:hAnsi="宋体"/>
          <w:i w:val="0"/>
          <w:iCs w:val="0"/>
          <w:sz w:val="24"/>
          <w:szCs w:val="24"/>
        </w:rPr>
        <w:t>、</w:t>
      </w:r>
      <w:r>
        <w:rPr>
          <w:rFonts w:hint="eastAsia" w:ascii="宋体" w:hAnsi="宋体"/>
          <w:i w:val="0"/>
          <w:iCs w:val="0"/>
          <w:sz w:val="24"/>
          <w:szCs w:val="24"/>
          <w:lang w:eastAsia="zh-CN"/>
        </w:rPr>
        <w:t>二</w:t>
      </w:r>
      <w:r>
        <w:rPr>
          <w:rFonts w:hint="eastAsia" w:ascii="宋体" w:hAnsi="宋体"/>
          <w:i w:val="0"/>
          <w:iCs w:val="0"/>
          <w:sz w:val="24"/>
          <w:szCs w:val="24"/>
        </w:rPr>
        <w:t>级品</w:t>
      </w:r>
      <w:r>
        <w:rPr>
          <w:rFonts w:hint="eastAsia" w:ascii="宋体" w:hAnsi="宋体"/>
          <w:sz w:val="24"/>
          <w:szCs w:val="24"/>
        </w:rPr>
        <w:t>Sb+Bi</w:t>
      </w:r>
      <w:r>
        <w:rPr>
          <w:rFonts w:hint="eastAsia" w:ascii="宋体" w:hAnsi="宋体" w:cs="宋体"/>
          <w:i w:val="0"/>
          <w:iCs w:val="0"/>
          <w:sz w:val="24"/>
          <w:szCs w:val="24"/>
          <w:lang w:eastAsia="zh-CN"/>
        </w:rPr>
        <w:t>含量不大于</w:t>
      </w:r>
      <w:r>
        <w:rPr>
          <w:rFonts w:hint="eastAsia" w:ascii="宋体" w:hAnsi="宋体" w:cs="宋体"/>
          <w:i w:val="0"/>
          <w:iCs w:val="0"/>
          <w:sz w:val="24"/>
          <w:szCs w:val="24"/>
          <w:lang w:val="en-US" w:eastAsia="zh-CN"/>
        </w:rPr>
        <w:t>0.4%</w:t>
      </w:r>
      <w:r>
        <w:rPr>
          <w:rFonts w:hint="eastAsia" w:ascii="宋体" w:hAnsi="宋体"/>
          <w:i w:val="0"/>
          <w:iCs w:val="0"/>
          <w:sz w:val="24"/>
          <w:szCs w:val="24"/>
        </w:rPr>
        <w:t>、</w:t>
      </w:r>
      <w:r>
        <w:rPr>
          <w:rFonts w:hint="eastAsia" w:ascii="宋体" w:hAnsi="宋体"/>
          <w:i w:val="0"/>
          <w:iCs w:val="0"/>
          <w:sz w:val="24"/>
          <w:szCs w:val="24"/>
          <w:lang w:eastAsia="zh-CN"/>
        </w:rPr>
        <w:t>三</w:t>
      </w:r>
      <w:r>
        <w:rPr>
          <w:rFonts w:hint="eastAsia" w:ascii="宋体" w:hAnsi="宋体"/>
          <w:i w:val="0"/>
          <w:iCs w:val="0"/>
          <w:sz w:val="24"/>
          <w:szCs w:val="24"/>
        </w:rPr>
        <w:t>级品</w:t>
      </w:r>
      <w:r>
        <w:rPr>
          <w:rFonts w:hint="eastAsia" w:ascii="宋体" w:hAnsi="宋体"/>
          <w:sz w:val="24"/>
          <w:szCs w:val="24"/>
        </w:rPr>
        <w:t>Sb+Bi</w:t>
      </w:r>
      <w:r>
        <w:rPr>
          <w:rFonts w:hint="eastAsia" w:ascii="宋体" w:hAnsi="宋体" w:cs="宋体"/>
          <w:i w:val="0"/>
          <w:iCs w:val="0"/>
          <w:sz w:val="24"/>
          <w:szCs w:val="24"/>
          <w:lang w:eastAsia="zh-CN"/>
        </w:rPr>
        <w:t>含量不大于</w:t>
      </w:r>
      <w:r>
        <w:rPr>
          <w:rFonts w:hint="eastAsia" w:ascii="宋体" w:hAnsi="宋体" w:cs="宋体"/>
          <w:i w:val="0"/>
          <w:iCs w:val="0"/>
          <w:sz w:val="24"/>
          <w:szCs w:val="24"/>
          <w:lang w:val="en-US" w:eastAsia="zh-CN"/>
        </w:rPr>
        <w:t>0.5%</w:t>
      </w:r>
      <w:r>
        <w:rPr>
          <w:rFonts w:hint="eastAsia" w:ascii="宋体" w:hAnsi="宋体"/>
          <w:i w:val="0"/>
          <w:iCs w:val="0"/>
          <w:sz w:val="24"/>
          <w:szCs w:val="24"/>
        </w:rPr>
        <w:t>。</w:t>
      </w:r>
      <w:r>
        <w:rPr>
          <w:rFonts w:hint="eastAsia" w:ascii="宋体" w:hAnsi="宋体"/>
          <w:i w:val="0"/>
          <w:i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宋体" w:hAnsi="宋体"/>
          <w:i w:val="0"/>
          <w:iCs w:val="0"/>
          <w:szCs w:val="21"/>
          <w:lang w:eastAsia="zh-CN"/>
        </w:rPr>
      </w:pPr>
      <w:r>
        <w:rPr>
          <w:rFonts w:hint="eastAsia" w:ascii="宋体" w:hAnsi="宋体" w:eastAsia="宋体" w:cs="宋体"/>
          <w:szCs w:val="18"/>
          <w:lang w:eastAsia="zh-CN"/>
        </w:rPr>
        <w:t>附：</w:t>
      </w:r>
      <w:r>
        <w:rPr>
          <w:rFonts w:hint="eastAsia" w:ascii="宋体" w:hAnsi="宋体" w:cs="宋体"/>
          <w:szCs w:val="21"/>
        </w:rPr>
        <w:t>表</w:t>
      </w:r>
      <w:r>
        <w:rPr>
          <w:rFonts w:hint="eastAsia" w:ascii="宋体" w:hAnsi="宋体" w:cs="宋体"/>
          <w:szCs w:val="21"/>
          <w:lang w:val="en-US" w:eastAsia="zh-CN"/>
        </w:rPr>
        <w:t>9</w:t>
      </w:r>
      <w:r>
        <w:rPr>
          <w:rFonts w:hint="eastAsia" w:ascii="宋体" w:hAnsi="宋体" w:cs="宋体"/>
          <w:szCs w:val="21"/>
        </w:rPr>
        <w:t>“冰铜的</w:t>
      </w:r>
      <w:r>
        <w:rPr>
          <w:rFonts w:hint="eastAsia" w:ascii="宋体" w:hAnsi="宋体"/>
          <w:sz w:val="21"/>
          <w:szCs w:val="21"/>
          <w:lang w:val="en-US" w:eastAsia="zh-CN"/>
        </w:rPr>
        <w:t>Bi</w:t>
      </w:r>
      <w:r>
        <w:rPr>
          <w:rFonts w:hint="eastAsia" w:ascii="宋体" w:hAnsi="宋体" w:cs="宋体"/>
          <w:szCs w:val="21"/>
        </w:rPr>
        <w:t>含量</w:t>
      </w:r>
      <w:r>
        <w:rPr>
          <w:rFonts w:hint="eastAsia" w:ascii="宋体" w:hAnsi="宋体" w:cs="宋体"/>
          <w:szCs w:val="21"/>
          <w:lang w:eastAsia="zh-CN"/>
        </w:rPr>
        <w:t>统计</w:t>
      </w:r>
      <w:r>
        <w:rPr>
          <w:rFonts w:hint="eastAsia" w:ascii="宋体" w:hAnsi="宋体" w:cs="宋体"/>
          <w:szCs w:val="21"/>
        </w:rPr>
        <w:t>表”</w:t>
      </w:r>
    </w:p>
    <w:p>
      <w:pPr>
        <w:spacing w:line="500" w:lineRule="exact"/>
        <w:ind w:firstLine="211" w:firstLineChars="100"/>
        <w:jc w:val="center"/>
        <w:rPr>
          <w:rFonts w:hint="eastAsia" w:ascii="宋体" w:hAnsi="宋体"/>
          <w:color w:val="auto"/>
          <w:sz w:val="18"/>
          <w:szCs w:val="18"/>
        </w:rPr>
      </w:pPr>
      <w:r>
        <w:rPr>
          <w:rFonts w:hint="eastAsia" w:ascii="宋体" w:hAnsi="宋体" w:cs="宋体"/>
          <w:b/>
          <w:bCs/>
          <w:szCs w:val="21"/>
        </w:rPr>
        <w:t>表</w:t>
      </w:r>
      <w:r>
        <w:rPr>
          <w:rFonts w:hint="eastAsia" w:ascii="宋体" w:hAnsi="宋体" w:cs="宋体"/>
          <w:b/>
          <w:bCs/>
          <w:szCs w:val="21"/>
          <w:lang w:val="en-US" w:eastAsia="zh-CN"/>
        </w:rPr>
        <w:t>10</w:t>
      </w:r>
      <w:r>
        <w:rPr>
          <w:rFonts w:hint="eastAsia" w:ascii="宋体" w:hAnsi="宋体" w:cs="宋体"/>
          <w:b/>
          <w:bCs/>
          <w:szCs w:val="21"/>
        </w:rPr>
        <w:t>“</w:t>
      </w:r>
      <w:r>
        <w:rPr>
          <w:rFonts w:hint="eastAsia" w:ascii="宋体" w:hAnsi="宋体" w:cs="宋体"/>
          <w:szCs w:val="21"/>
        </w:rPr>
        <w:t>冰铜的</w:t>
      </w:r>
      <w:r>
        <w:rPr>
          <w:rFonts w:hint="eastAsia" w:ascii="宋体" w:hAnsi="宋体"/>
          <w:sz w:val="21"/>
          <w:szCs w:val="21"/>
          <w:lang w:val="en-US" w:eastAsia="zh-CN"/>
        </w:rPr>
        <w:t>Bi</w:t>
      </w:r>
      <w:r>
        <w:rPr>
          <w:rFonts w:hint="eastAsia" w:ascii="宋体" w:hAnsi="宋体" w:cs="宋体"/>
          <w:szCs w:val="21"/>
        </w:rPr>
        <w:t>含量</w:t>
      </w:r>
      <w:r>
        <w:rPr>
          <w:rFonts w:hint="eastAsia" w:ascii="宋体" w:hAnsi="宋体" w:cs="宋体"/>
          <w:szCs w:val="21"/>
          <w:lang w:eastAsia="zh-CN"/>
        </w:rPr>
        <w:t>统计</w:t>
      </w:r>
      <w:r>
        <w:rPr>
          <w:rFonts w:hint="eastAsia" w:ascii="宋体" w:hAnsi="宋体" w:cs="宋体"/>
          <w:szCs w:val="21"/>
        </w:rPr>
        <w:t>表”</w:t>
      </w:r>
      <w:r>
        <w:rPr>
          <w:rFonts w:hint="eastAsia" w:ascii="宋体" w:hAnsi="宋体"/>
          <w:color w:val="auto"/>
          <w:sz w:val="18"/>
          <w:szCs w:val="18"/>
        </w:rPr>
        <w:t>（质量分数）/%</w:t>
      </w:r>
    </w:p>
    <w:tbl>
      <w:tblPr>
        <w:tblStyle w:val="13"/>
        <w:tblW w:w="84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5"/>
        <w:gridCol w:w="2902"/>
        <w:gridCol w:w="230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5" w:type="dxa"/>
            <w:noWrap w:val="0"/>
            <w:vAlign w:val="center"/>
          </w:tcPr>
          <w:p>
            <w:pPr>
              <w:spacing w:line="360" w:lineRule="auto"/>
              <w:jc w:val="center"/>
              <w:rPr>
                <w:rFonts w:hint="eastAsia" w:ascii="宋体" w:hAnsi="宋体" w:cs="宋体"/>
                <w:b w:val="0"/>
                <w:bCs w:val="0"/>
                <w:color w:val="auto"/>
                <w:szCs w:val="21"/>
                <w:vertAlign w:val="baseline"/>
              </w:rPr>
            </w:pPr>
            <w:r>
              <w:rPr>
                <w:rFonts w:hint="eastAsia" w:ascii="宋体" w:hAnsi="宋体"/>
                <w:color w:val="auto"/>
                <w:sz w:val="21"/>
                <w:szCs w:val="21"/>
                <w:vertAlign w:val="baseline"/>
                <w:lang w:eastAsia="zh-CN"/>
              </w:rPr>
              <w:t>品级</w:t>
            </w:r>
          </w:p>
        </w:tc>
        <w:tc>
          <w:tcPr>
            <w:tcW w:w="2902" w:type="dxa"/>
            <w:noWrap w:val="0"/>
            <w:vAlign w:val="center"/>
          </w:tcPr>
          <w:p>
            <w:pPr>
              <w:spacing w:line="500" w:lineRule="exact"/>
              <w:jc w:val="center"/>
              <w:rPr>
                <w:rFonts w:hint="eastAsia" w:ascii="宋体" w:hAnsi="宋体" w:cs="宋体"/>
                <w:b w:val="0"/>
                <w:bCs w:val="0"/>
                <w:color w:val="auto"/>
                <w:szCs w:val="21"/>
                <w:vertAlign w:val="baseline"/>
              </w:rPr>
            </w:pPr>
            <w:r>
              <w:rPr>
                <w:rFonts w:hint="eastAsia" w:ascii="宋体" w:hAnsi="宋体"/>
                <w:sz w:val="21"/>
                <w:szCs w:val="21"/>
              </w:rPr>
              <w:t>Sb</w:t>
            </w:r>
            <w:r>
              <w:rPr>
                <w:rFonts w:hint="eastAsia" w:ascii="宋体" w:hAnsi="宋体"/>
                <w:b w:val="0"/>
                <w:bCs w:val="0"/>
                <w:color w:val="auto"/>
                <w:sz w:val="21"/>
                <w:szCs w:val="21"/>
                <w:lang w:val="en-US" w:eastAsia="zh-CN"/>
              </w:rPr>
              <w:t xml:space="preserve"> </w:t>
            </w:r>
            <w:r>
              <w:rPr>
                <w:rFonts w:hint="eastAsia" w:ascii="宋体" w:hAnsi="宋体"/>
                <w:b w:val="0"/>
                <w:bCs w:val="0"/>
                <w:color w:val="auto"/>
                <w:sz w:val="18"/>
                <w:szCs w:val="18"/>
                <w:lang w:val="en-US" w:eastAsia="zh-CN"/>
              </w:rPr>
              <w:t>（范围值/均值）</w:t>
            </w:r>
          </w:p>
        </w:tc>
        <w:tc>
          <w:tcPr>
            <w:tcW w:w="2300" w:type="dxa"/>
            <w:noWrap w:val="0"/>
            <w:vAlign w:val="center"/>
          </w:tcPr>
          <w:p>
            <w:pPr>
              <w:spacing w:line="360" w:lineRule="auto"/>
              <w:jc w:val="center"/>
              <w:rPr>
                <w:rFonts w:hint="eastAsia" w:ascii="宋体" w:hAnsi="宋体"/>
                <w:color w:val="auto"/>
                <w:sz w:val="21"/>
                <w:szCs w:val="21"/>
              </w:rPr>
            </w:pPr>
            <w:r>
              <w:rPr>
                <w:rFonts w:hint="eastAsia" w:ascii="宋体" w:hAnsi="宋体"/>
                <w:color w:val="auto"/>
                <w:sz w:val="21"/>
                <w:szCs w:val="21"/>
                <w:vertAlign w:val="baseline"/>
                <w:lang w:val="en-US" w:eastAsia="zh-CN"/>
              </w:rPr>
              <w:t>2013年版</w:t>
            </w:r>
            <w:r>
              <w:rPr>
                <w:rFonts w:hint="eastAsia" w:ascii="宋体" w:hAnsi="宋体"/>
                <w:sz w:val="21"/>
                <w:szCs w:val="21"/>
              </w:rPr>
              <w:t>Sb+Bi</w:t>
            </w:r>
            <w:r>
              <w:rPr>
                <w:rFonts w:hint="eastAsia" w:ascii="宋体" w:hAnsi="宋体"/>
                <w:b w:val="0"/>
                <w:bCs w:val="0"/>
                <w:color w:val="auto"/>
                <w:sz w:val="21"/>
                <w:szCs w:val="21"/>
                <w:lang w:val="en-US" w:eastAsia="zh-CN"/>
              </w:rPr>
              <w:t xml:space="preserve"> </w:t>
            </w:r>
            <w:r>
              <w:rPr>
                <w:rFonts w:hint="eastAsia" w:ascii="宋体" w:hAnsi="宋体"/>
                <w:color w:val="auto"/>
                <w:sz w:val="18"/>
                <w:szCs w:val="18"/>
                <w:lang w:eastAsia="zh-CN"/>
              </w:rPr>
              <w:t>不大于</w:t>
            </w:r>
          </w:p>
        </w:tc>
        <w:tc>
          <w:tcPr>
            <w:tcW w:w="1980" w:type="dxa"/>
            <w:noWrap w:val="0"/>
            <w:vAlign w:val="center"/>
          </w:tcPr>
          <w:p>
            <w:pPr>
              <w:spacing w:line="240" w:lineRule="exact"/>
              <w:jc w:val="center"/>
              <w:rPr>
                <w:rFonts w:hint="eastAsia" w:ascii="宋体" w:hAnsi="宋体" w:eastAsiaTheme="minorEastAsia"/>
                <w:color w:val="auto"/>
                <w:sz w:val="21"/>
                <w:szCs w:val="21"/>
                <w:lang w:eastAsia="zh-CN"/>
              </w:rPr>
            </w:pPr>
            <w:r>
              <w:rPr>
                <w:rFonts w:hint="eastAsia" w:ascii="宋体" w:hAnsi="宋体"/>
                <w:color w:val="auto"/>
                <w:sz w:val="18"/>
                <w:szCs w:val="18"/>
                <w:lang w:val="en-US" w:eastAsia="zh-CN"/>
              </w:rPr>
              <w:t>本文件</w:t>
            </w:r>
            <w:r>
              <w:rPr>
                <w:rFonts w:hint="eastAsia" w:ascii="宋体" w:hAnsi="宋体"/>
                <w:sz w:val="21"/>
                <w:szCs w:val="21"/>
              </w:rPr>
              <w:t>Sb</w:t>
            </w:r>
            <w:r>
              <w:rPr>
                <w:rFonts w:hint="eastAsia" w:ascii="宋体" w:hAnsi="宋体"/>
                <w:b w:val="0"/>
                <w:bCs w:val="0"/>
                <w:color w:val="auto"/>
                <w:sz w:val="21"/>
                <w:szCs w:val="21"/>
                <w:lang w:val="en-US" w:eastAsia="zh-CN"/>
              </w:rPr>
              <w:t xml:space="preserve"> </w:t>
            </w:r>
            <w:r>
              <w:rPr>
                <w:rFonts w:hint="eastAsia" w:ascii="宋体" w:hAnsi="宋体"/>
                <w:color w:val="auto"/>
                <w:sz w:val="18"/>
                <w:szCs w:val="18"/>
                <w:lang w:eastAsia="zh-CN"/>
              </w:rPr>
              <w:t>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245" w:type="dxa"/>
            <w:noWrap w:val="0"/>
            <w:vAlign w:val="center"/>
          </w:tcPr>
          <w:p>
            <w:pPr>
              <w:spacing w:line="240" w:lineRule="exact"/>
              <w:jc w:val="center"/>
              <w:rPr>
                <w:rFonts w:hint="eastAsia" w:ascii="宋体" w:hAnsi="宋体" w:eastAsia="宋体"/>
                <w:color w:val="auto"/>
                <w:kern w:val="2"/>
                <w:sz w:val="21"/>
                <w:szCs w:val="21"/>
                <w:lang w:val="en-US" w:eastAsia="zh-CN" w:bidi="ar-SA"/>
              </w:rPr>
            </w:pPr>
            <w:r>
              <w:rPr>
                <w:rFonts w:hint="eastAsia" w:ascii="宋体" w:hAnsi="宋体"/>
                <w:color w:val="auto"/>
                <w:sz w:val="21"/>
                <w:szCs w:val="21"/>
              </w:rPr>
              <w:t>一级</w:t>
            </w:r>
          </w:p>
        </w:tc>
        <w:tc>
          <w:tcPr>
            <w:tcW w:w="2902" w:type="dxa"/>
            <w:noWrap w:val="0"/>
            <w:vAlign w:val="center"/>
          </w:tcPr>
          <w:p>
            <w:pPr>
              <w:spacing w:line="240" w:lineRule="exact"/>
              <w:jc w:val="center"/>
              <w:rPr>
                <w:rFonts w:hint="eastAsia" w:ascii="宋体" w:hAnsi="宋体" w:eastAsia="宋体"/>
                <w:color w:val="auto"/>
                <w:spacing w:val="0"/>
                <w:kern w:val="2"/>
                <w:sz w:val="21"/>
                <w:szCs w:val="21"/>
                <w:lang w:val="en-US" w:eastAsia="zh-CN" w:bidi="ar-SA"/>
              </w:rPr>
            </w:pPr>
            <w:r>
              <w:rPr>
                <w:rFonts w:hint="eastAsia" w:ascii="宋体" w:hAnsi="宋体" w:eastAsia="宋体" w:cs="宋体"/>
                <w:b w:val="0"/>
                <w:bCs w:val="0"/>
                <w:color w:val="auto"/>
                <w:sz w:val="21"/>
                <w:szCs w:val="21"/>
                <w:lang w:val="en-US" w:eastAsia="zh-CN"/>
              </w:rPr>
              <w:t>≤0.001</w:t>
            </w:r>
          </w:p>
        </w:tc>
        <w:tc>
          <w:tcPr>
            <w:tcW w:w="2300" w:type="dxa"/>
            <w:noWrap w:val="0"/>
            <w:vAlign w:val="center"/>
          </w:tcPr>
          <w:p>
            <w:pPr>
              <w:spacing w:line="240" w:lineRule="exact"/>
              <w:jc w:val="center"/>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0.3</w:t>
            </w:r>
          </w:p>
        </w:tc>
        <w:tc>
          <w:tcPr>
            <w:tcW w:w="1980" w:type="dxa"/>
            <w:noWrap w:val="0"/>
            <w:vAlign w:val="center"/>
          </w:tcPr>
          <w:p>
            <w:pPr>
              <w:spacing w:line="240" w:lineRule="exact"/>
              <w:jc w:val="center"/>
              <w:rPr>
                <w:rFonts w:hint="eastAsia" w:ascii="宋体" w:hAnsi="宋体" w:eastAsia="宋体" w:cs="宋体"/>
                <w:b w:val="0"/>
                <w:bCs w:val="0"/>
                <w:color w:val="auto"/>
                <w:sz w:val="21"/>
                <w:szCs w:val="21"/>
                <w:lang w:val="en-US" w:eastAsia="zh-CN"/>
              </w:rPr>
            </w:pPr>
            <w:r>
              <w:rPr>
                <w:rFonts w:hint="eastAsia" w:ascii="宋体" w:hAnsi="宋体"/>
                <w:color w:val="auto"/>
                <w:sz w:val="18"/>
                <w:szCs w:val="18"/>
                <w:lang w:val="en-US" w:eastAsia="zh-CN"/>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245" w:type="dxa"/>
            <w:noWrap w:val="0"/>
            <w:vAlign w:val="center"/>
          </w:tcPr>
          <w:p>
            <w:pPr>
              <w:spacing w:line="240" w:lineRule="exact"/>
              <w:jc w:val="center"/>
              <w:rPr>
                <w:rFonts w:hint="eastAsia" w:ascii="宋体" w:hAnsi="宋体" w:eastAsia="宋体"/>
                <w:color w:val="auto"/>
                <w:kern w:val="2"/>
                <w:sz w:val="21"/>
                <w:szCs w:val="21"/>
                <w:lang w:val="en-US" w:eastAsia="zh-CN" w:bidi="ar-SA"/>
              </w:rPr>
            </w:pPr>
            <w:r>
              <w:rPr>
                <w:rFonts w:hint="eastAsia" w:ascii="宋体" w:hAnsi="宋体"/>
                <w:color w:val="auto"/>
                <w:sz w:val="21"/>
                <w:szCs w:val="21"/>
              </w:rPr>
              <w:t>二级</w:t>
            </w:r>
          </w:p>
        </w:tc>
        <w:tc>
          <w:tcPr>
            <w:tcW w:w="2902" w:type="dxa"/>
            <w:noWrap w:val="0"/>
            <w:vAlign w:val="center"/>
          </w:tcPr>
          <w:p>
            <w:pPr>
              <w:spacing w:line="240" w:lineRule="exact"/>
              <w:jc w:val="center"/>
              <w:rPr>
                <w:rFonts w:hint="eastAsia" w:ascii="宋体" w:hAnsi="宋体" w:eastAsia="宋体"/>
                <w:color w:val="auto"/>
                <w:spacing w:val="0"/>
                <w:kern w:val="2"/>
                <w:sz w:val="21"/>
                <w:szCs w:val="21"/>
                <w:lang w:val="en-US" w:eastAsia="zh-CN" w:bidi="ar-SA"/>
              </w:rPr>
            </w:pPr>
            <w:r>
              <w:rPr>
                <w:rFonts w:hint="eastAsia" w:ascii="宋体" w:hAnsi="宋体" w:eastAsia="宋体" w:cs="宋体"/>
                <w:color w:val="auto"/>
                <w:sz w:val="21"/>
                <w:szCs w:val="21"/>
                <w:lang w:val="en-US" w:eastAsia="zh-CN"/>
              </w:rPr>
              <w:t>0.0001 - 0.092 /(0.046)</w:t>
            </w:r>
          </w:p>
        </w:tc>
        <w:tc>
          <w:tcPr>
            <w:tcW w:w="2300" w:type="dxa"/>
            <w:noWrap w:val="0"/>
            <w:vAlign w:val="center"/>
          </w:tcPr>
          <w:p>
            <w:pPr>
              <w:spacing w:line="240" w:lineRule="exact"/>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0.4</w:t>
            </w:r>
          </w:p>
        </w:tc>
        <w:tc>
          <w:tcPr>
            <w:tcW w:w="1980" w:type="dxa"/>
            <w:noWrap w:val="0"/>
            <w:vAlign w:val="center"/>
          </w:tcPr>
          <w:p>
            <w:pPr>
              <w:spacing w:line="240" w:lineRule="exact"/>
              <w:jc w:val="center"/>
              <w:rPr>
                <w:rFonts w:hint="eastAsia" w:ascii="宋体" w:hAnsi="宋体" w:eastAsia="宋体" w:cs="宋体"/>
                <w:color w:val="auto"/>
                <w:sz w:val="21"/>
                <w:szCs w:val="21"/>
                <w:lang w:val="en-US" w:eastAsia="zh-CN"/>
              </w:rPr>
            </w:pPr>
            <w:r>
              <w:rPr>
                <w:rFonts w:hint="eastAsia" w:ascii="宋体" w:hAnsi="宋体"/>
                <w:color w:val="auto"/>
                <w:sz w:val="18"/>
                <w:szCs w:val="18"/>
                <w:lang w:val="en-US" w:eastAsia="zh-CN"/>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245" w:type="dxa"/>
            <w:noWrap w:val="0"/>
            <w:vAlign w:val="center"/>
          </w:tcPr>
          <w:p>
            <w:pPr>
              <w:spacing w:line="240" w:lineRule="exact"/>
              <w:jc w:val="center"/>
              <w:rPr>
                <w:rFonts w:hint="eastAsia" w:ascii="宋体" w:hAnsi="宋体" w:eastAsia="宋体"/>
                <w:color w:val="auto"/>
                <w:kern w:val="2"/>
                <w:sz w:val="21"/>
                <w:szCs w:val="21"/>
                <w:lang w:val="en-US" w:eastAsia="zh-CN" w:bidi="ar-SA"/>
              </w:rPr>
            </w:pPr>
            <w:r>
              <w:rPr>
                <w:rFonts w:hint="eastAsia" w:ascii="宋体" w:hAnsi="宋体"/>
                <w:color w:val="auto"/>
                <w:sz w:val="21"/>
                <w:szCs w:val="21"/>
              </w:rPr>
              <w:t>三级</w:t>
            </w:r>
          </w:p>
        </w:tc>
        <w:tc>
          <w:tcPr>
            <w:tcW w:w="2902" w:type="dxa"/>
            <w:noWrap w:val="0"/>
            <w:vAlign w:val="center"/>
          </w:tcPr>
          <w:p>
            <w:pPr>
              <w:spacing w:line="240" w:lineRule="exact"/>
              <w:jc w:val="center"/>
              <w:rPr>
                <w:rFonts w:hint="eastAsia" w:ascii="宋体" w:hAnsi="宋体" w:eastAsia="宋体"/>
                <w:color w:val="auto"/>
                <w:spacing w:val="0"/>
                <w:kern w:val="2"/>
                <w:sz w:val="21"/>
                <w:szCs w:val="21"/>
                <w:lang w:val="en-US" w:eastAsia="zh-CN" w:bidi="ar-SA"/>
              </w:rPr>
            </w:pPr>
            <w:r>
              <w:rPr>
                <w:rFonts w:hint="eastAsia" w:ascii="宋体" w:hAnsi="宋体" w:eastAsia="宋体" w:cs="宋体"/>
                <w:color w:val="auto"/>
                <w:sz w:val="21"/>
                <w:szCs w:val="21"/>
                <w:lang w:val="en-US" w:eastAsia="zh-CN"/>
              </w:rPr>
              <w:t>0.0001 - 0.002 /(0.001)</w:t>
            </w:r>
          </w:p>
        </w:tc>
        <w:tc>
          <w:tcPr>
            <w:tcW w:w="2300" w:type="dxa"/>
            <w:noWrap w:val="0"/>
            <w:vAlign w:val="center"/>
          </w:tcPr>
          <w:p>
            <w:pPr>
              <w:spacing w:line="240" w:lineRule="exact"/>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0.5</w:t>
            </w:r>
          </w:p>
        </w:tc>
        <w:tc>
          <w:tcPr>
            <w:tcW w:w="1980" w:type="dxa"/>
            <w:noWrap w:val="0"/>
            <w:vAlign w:val="center"/>
          </w:tcPr>
          <w:p>
            <w:pPr>
              <w:spacing w:line="240" w:lineRule="exact"/>
              <w:jc w:val="center"/>
              <w:rPr>
                <w:rFonts w:hint="default" w:ascii="宋体" w:hAnsi="宋体" w:eastAsia="宋体" w:cs="宋体"/>
                <w:color w:val="auto"/>
                <w:sz w:val="21"/>
                <w:szCs w:val="21"/>
                <w:lang w:val="en-US" w:eastAsia="zh-CN"/>
              </w:rPr>
            </w:pPr>
            <w:r>
              <w:rPr>
                <w:rFonts w:hint="eastAsia" w:ascii="宋体" w:hAnsi="宋体"/>
                <w:color w:val="auto"/>
                <w:sz w:val="18"/>
                <w:szCs w:val="18"/>
                <w:lang w:val="en-US" w:eastAsia="zh-CN"/>
              </w:rPr>
              <w:t>0.1</w:t>
            </w:r>
          </w:p>
        </w:tc>
      </w:tr>
    </w:tbl>
    <w:p>
      <w:pPr>
        <w:keepNext w:val="0"/>
        <w:keepLines w:val="0"/>
        <w:pageBreakBefore w:val="0"/>
        <w:widowControl w:val="0"/>
        <w:tabs>
          <w:tab w:val="left" w:pos="508"/>
        </w:tabs>
        <w:kinsoku/>
        <w:wordWrap/>
        <w:overflowPunct/>
        <w:topLinePunct w:val="0"/>
        <w:autoSpaceDE/>
        <w:autoSpaceDN/>
        <w:bidi w:val="0"/>
        <w:adjustRightInd/>
        <w:snapToGrid/>
        <w:spacing w:line="500" w:lineRule="exact"/>
        <w:textAlignment w:val="auto"/>
        <w:rPr>
          <w:rFonts w:hint="eastAsia" w:ascii="宋体" w:hAnsi="宋体" w:cs="宋体"/>
          <w:sz w:val="24"/>
          <w:szCs w:val="24"/>
        </w:rPr>
      </w:pPr>
      <w:r>
        <w:rPr>
          <w:rFonts w:hint="eastAsia" w:ascii="宋体" w:hAnsi="宋体" w:cs="宋体"/>
          <w:sz w:val="24"/>
          <w:szCs w:val="24"/>
          <w:lang w:val="en-US" w:eastAsia="zh-CN"/>
        </w:rPr>
        <w:t>3.3.2.8</w:t>
      </w:r>
      <w:r>
        <w:rPr>
          <w:rFonts w:hint="eastAsia" w:ascii="宋体" w:hAnsi="宋体" w:cs="宋体"/>
          <w:sz w:val="24"/>
          <w:szCs w:val="24"/>
        </w:rPr>
        <w:t>杂质</w:t>
      </w:r>
      <w:r>
        <w:rPr>
          <w:rFonts w:hint="eastAsia" w:ascii="宋体" w:hAnsi="宋体" w:cs="宋体"/>
          <w:spacing w:val="-20"/>
          <w:sz w:val="24"/>
          <w:szCs w:val="24"/>
        </w:rPr>
        <w:t>氟</w:t>
      </w:r>
      <w:r>
        <w:rPr>
          <w:rFonts w:hint="eastAsia" w:ascii="宋体" w:hAnsi="宋体"/>
          <w:sz w:val="24"/>
          <w:szCs w:val="24"/>
        </w:rPr>
        <w:t>、</w:t>
      </w:r>
      <w:r>
        <w:rPr>
          <w:rFonts w:hint="eastAsia" w:ascii="宋体" w:hAnsi="宋体"/>
          <w:sz w:val="24"/>
          <w:szCs w:val="24"/>
          <w:lang w:eastAsia="zh-CN"/>
        </w:rPr>
        <w:t>镉</w:t>
      </w:r>
      <w:r>
        <w:rPr>
          <w:rFonts w:hint="eastAsia" w:ascii="宋体" w:hAnsi="宋体"/>
          <w:sz w:val="24"/>
          <w:szCs w:val="24"/>
        </w:rPr>
        <w:t>、</w:t>
      </w:r>
      <w:r>
        <w:rPr>
          <w:rFonts w:hint="eastAsia" w:ascii="宋体" w:hAnsi="宋体"/>
          <w:sz w:val="24"/>
          <w:szCs w:val="24"/>
          <w:lang w:eastAsia="zh-CN"/>
        </w:rPr>
        <w:t>汞</w:t>
      </w:r>
      <w:r>
        <w:rPr>
          <w:rFonts w:hint="eastAsia" w:ascii="宋体" w:hAnsi="宋体" w:cs="宋体"/>
          <w:sz w:val="24"/>
          <w:szCs w:val="24"/>
        </w:rPr>
        <w:t>范围的确定：</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cs="宋体"/>
          <w:sz w:val="24"/>
          <w:szCs w:val="24"/>
        </w:rPr>
      </w:pPr>
      <w:r>
        <w:rPr>
          <w:rFonts w:hint="eastAsia" w:ascii="宋体" w:hAnsi="宋体" w:cs="宋体"/>
          <w:sz w:val="24"/>
          <w:szCs w:val="24"/>
        </w:rPr>
        <w:t>冰铜作为铜原料在冶炼过程中和铜精矿一同入炉，有害元素的危害同铜精矿中有害元素的作用一样，会危害炉体、管道及作业工人的人身安全。国家安全环保等相关理念不断要求企业更加注重环境和人的安全性。本文件从生产企业金属铜的回收以及环保角度考虑，增加对F、Cd、Hg三种杂质含量进行了规范。</w:t>
      </w:r>
      <w:r>
        <w:rPr>
          <w:rFonts w:hint="eastAsia" w:ascii="宋体" w:hAnsi="宋体" w:cs="宋体"/>
          <w:sz w:val="24"/>
          <w:szCs w:val="24"/>
          <w:lang w:eastAsia="zh-CN"/>
        </w:rPr>
        <w:t>根据</w:t>
      </w:r>
      <w:r>
        <w:rPr>
          <w:rFonts w:hint="eastAsia" w:ascii="宋体" w:hAnsi="宋体" w:cs="宋体"/>
          <w:sz w:val="24"/>
          <w:szCs w:val="24"/>
        </w:rPr>
        <w:t>GB20424-2006《重金属精矿产品中有害元素的限量规范》中铜精矿</w:t>
      </w:r>
      <w:r>
        <w:rPr>
          <w:rFonts w:hint="eastAsia" w:ascii="宋体" w:hAnsi="宋体"/>
          <w:sz w:val="24"/>
          <w:szCs w:val="24"/>
        </w:rPr>
        <w:t>F</w:t>
      </w:r>
      <w:r>
        <w:rPr>
          <w:rFonts w:hint="eastAsia" w:ascii="宋体" w:hAnsi="宋体" w:cs="宋体"/>
          <w:sz w:val="24"/>
          <w:szCs w:val="24"/>
        </w:rPr>
        <w:t>含量不大于0.</w:t>
      </w:r>
      <w:r>
        <w:rPr>
          <w:rFonts w:hint="eastAsia" w:ascii="宋体" w:hAnsi="宋体" w:cs="宋体"/>
          <w:sz w:val="24"/>
          <w:szCs w:val="24"/>
          <w:lang w:val="en-US" w:eastAsia="zh-CN"/>
        </w:rPr>
        <w:t>1</w:t>
      </w:r>
      <w:r>
        <w:rPr>
          <w:rFonts w:hint="eastAsia" w:ascii="宋体" w:hAnsi="宋体" w:cs="宋体"/>
          <w:sz w:val="24"/>
          <w:szCs w:val="24"/>
        </w:rPr>
        <w:t>%</w:t>
      </w:r>
      <w:r>
        <w:rPr>
          <w:rFonts w:hint="eastAsia" w:ascii="宋体" w:hAnsi="宋体"/>
          <w:sz w:val="24"/>
          <w:szCs w:val="24"/>
        </w:rPr>
        <w:t>、Cd</w:t>
      </w:r>
      <w:r>
        <w:rPr>
          <w:rFonts w:hint="eastAsia" w:ascii="宋体" w:hAnsi="宋体" w:cs="宋体"/>
          <w:sz w:val="24"/>
          <w:szCs w:val="24"/>
        </w:rPr>
        <w:t>含量不大于0.0</w:t>
      </w:r>
      <w:r>
        <w:rPr>
          <w:rFonts w:hint="eastAsia" w:ascii="宋体" w:hAnsi="宋体" w:cs="宋体"/>
          <w:sz w:val="24"/>
          <w:szCs w:val="24"/>
          <w:lang w:val="en-US" w:eastAsia="zh-CN"/>
        </w:rPr>
        <w:t>5</w:t>
      </w:r>
      <w:r>
        <w:rPr>
          <w:rFonts w:hint="eastAsia" w:ascii="宋体" w:hAnsi="宋体" w:cs="宋体"/>
          <w:sz w:val="24"/>
          <w:szCs w:val="24"/>
        </w:rPr>
        <w:t>%</w:t>
      </w:r>
      <w:r>
        <w:rPr>
          <w:rFonts w:hint="eastAsia" w:ascii="宋体" w:hAnsi="宋体" w:cs="宋体"/>
          <w:sz w:val="24"/>
          <w:szCs w:val="24"/>
          <w:lang w:eastAsia="zh-CN"/>
        </w:rPr>
        <w:t>、</w:t>
      </w:r>
      <w:r>
        <w:rPr>
          <w:rFonts w:hint="eastAsia" w:ascii="宋体" w:hAnsi="宋体"/>
          <w:sz w:val="24"/>
          <w:szCs w:val="24"/>
        </w:rPr>
        <w:t>Hg</w:t>
      </w:r>
      <w:r>
        <w:rPr>
          <w:rFonts w:hint="eastAsia" w:ascii="宋体" w:hAnsi="宋体" w:cs="宋体"/>
          <w:sz w:val="24"/>
          <w:szCs w:val="24"/>
        </w:rPr>
        <w:t>含量不大于0.</w:t>
      </w:r>
      <w:r>
        <w:rPr>
          <w:rFonts w:hint="eastAsia" w:ascii="宋体" w:hAnsi="宋体" w:cs="宋体"/>
          <w:sz w:val="24"/>
          <w:szCs w:val="24"/>
          <w:lang w:val="en-US" w:eastAsia="zh-CN"/>
        </w:rPr>
        <w:t>0</w:t>
      </w:r>
      <w:r>
        <w:rPr>
          <w:rFonts w:hint="eastAsia" w:ascii="宋体" w:hAnsi="宋体" w:cs="宋体"/>
          <w:sz w:val="24"/>
          <w:szCs w:val="24"/>
        </w:rPr>
        <w:t>1%</w:t>
      </w:r>
      <w:r>
        <w:rPr>
          <w:rFonts w:hint="eastAsia" w:ascii="宋体" w:hAnsi="宋体"/>
          <w:sz w:val="24"/>
          <w:szCs w:val="24"/>
        </w:rPr>
        <w:t>的要求，</w:t>
      </w:r>
      <w:r>
        <w:rPr>
          <w:rFonts w:hint="eastAsia" w:ascii="宋体" w:hAnsi="宋体"/>
          <w:sz w:val="24"/>
          <w:szCs w:val="24"/>
          <w:lang w:eastAsia="zh-CN"/>
        </w:rPr>
        <w:t>综合</w:t>
      </w:r>
      <w:r>
        <w:rPr>
          <w:rFonts w:hint="eastAsia" w:ascii="宋体" w:hAnsi="宋体" w:eastAsia="宋体" w:cs="宋体"/>
          <w:sz w:val="24"/>
          <w:szCs w:val="24"/>
          <w:lang w:eastAsia="zh-CN"/>
        </w:rPr>
        <w:t>收集的部分</w:t>
      </w:r>
      <w:r>
        <w:rPr>
          <w:rFonts w:hint="eastAsia" w:ascii="宋体" w:hAnsi="宋体" w:cs="宋体"/>
          <w:sz w:val="24"/>
          <w:szCs w:val="24"/>
        </w:rPr>
        <w:t>铜冶炼生产企业</w:t>
      </w:r>
      <w:r>
        <w:rPr>
          <w:rFonts w:hint="eastAsia" w:ascii="宋体" w:hAnsi="宋体" w:cs="宋体"/>
          <w:sz w:val="24"/>
          <w:szCs w:val="24"/>
          <w:lang w:eastAsia="zh-CN"/>
        </w:rPr>
        <w:t>的数据及反馈意见确定，</w:t>
      </w:r>
      <w:r>
        <w:rPr>
          <w:rFonts w:hint="eastAsia" w:ascii="宋体" w:hAnsi="宋体" w:cs="宋体"/>
          <w:sz w:val="24"/>
          <w:szCs w:val="24"/>
        </w:rPr>
        <w:t xml:space="preserve"> 参照执行。</w:t>
      </w:r>
    </w:p>
    <w:p>
      <w:pPr>
        <w:spacing w:line="500" w:lineRule="exact"/>
        <w:ind w:firstLine="211" w:firstLineChars="100"/>
        <w:jc w:val="center"/>
        <w:rPr>
          <w:rFonts w:hint="eastAsia" w:ascii="宋体" w:hAnsi="宋体" w:cs="宋体"/>
          <w:b/>
          <w:bCs/>
          <w:color w:val="auto"/>
          <w:szCs w:val="21"/>
        </w:rPr>
      </w:pPr>
      <w:r>
        <w:rPr>
          <w:rFonts w:hint="eastAsia" w:ascii="宋体" w:hAnsi="宋体" w:cs="宋体"/>
          <w:b/>
          <w:bCs/>
          <w:szCs w:val="21"/>
        </w:rPr>
        <w:t>表</w:t>
      </w:r>
      <w:r>
        <w:rPr>
          <w:rFonts w:hint="eastAsia" w:ascii="宋体" w:hAnsi="宋体" w:cs="宋体"/>
          <w:b/>
          <w:bCs/>
          <w:szCs w:val="21"/>
          <w:lang w:val="en-US" w:eastAsia="zh-CN"/>
        </w:rPr>
        <w:t>11</w:t>
      </w:r>
      <w:r>
        <w:rPr>
          <w:rFonts w:hint="eastAsia" w:ascii="宋体" w:hAnsi="宋体" w:cs="宋体"/>
          <w:b/>
          <w:bCs/>
          <w:szCs w:val="21"/>
        </w:rPr>
        <w:t>“冰铜的</w:t>
      </w:r>
      <w:r>
        <w:rPr>
          <w:rFonts w:hint="eastAsia" w:ascii="宋体" w:hAnsi="宋体"/>
          <w:b/>
          <w:bCs/>
          <w:szCs w:val="21"/>
        </w:rPr>
        <w:t>F、Cd、Hg</w:t>
      </w:r>
      <w:r>
        <w:rPr>
          <w:rFonts w:hint="eastAsia" w:ascii="宋体" w:hAnsi="宋体" w:cs="宋体"/>
          <w:b/>
          <w:bCs/>
          <w:szCs w:val="21"/>
        </w:rPr>
        <w:t>含量</w:t>
      </w:r>
      <w:r>
        <w:rPr>
          <w:rFonts w:hint="eastAsia" w:ascii="宋体" w:hAnsi="宋体" w:cs="宋体"/>
          <w:b/>
          <w:bCs/>
          <w:szCs w:val="21"/>
          <w:lang w:eastAsia="zh-CN"/>
        </w:rPr>
        <w:t>统计</w:t>
      </w:r>
      <w:r>
        <w:rPr>
          <w:rFonts w:hint="eastAsia" w:ascii="宋体" w:hAnsi="宋体" w:cs="宋体"/>
          <w:b/>
          <w:bCs/>
          <w:szCs w:val="21"/>
        </w:rPr>
        <w:t>表”</w:t>
      </w:r>
      <w:r>
        <w:rPr>
          <w:rFonts w:hint="eastAsia" w:ascii="宋体" w:hAnsi="宋体"/>
          <w:b/>
          <w:bCs/>
          <w:color w:val="auto"/>
          <w:sz w:val="18"/>
          <w:szCs w:val="18"/>
        </w:rPr>
        <w:t>（质量分数）/%</w:t>
      </w:r>
    </w:p>
    <w:tbl>
      <w:tblPr>
        <w:tblStyle w:val="13"/>
        <w:tblW w:w="89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6"/>
        <w:gridCol w:w="2503"/>
        <w:gridCol w:w="2503"/>
        <w:gridCol w:w="2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436" w:type="dxa"/>
            <w:noWrap w:val="0"/>
            <w:vAlign w:val="center"/>
          </w:tcPr>
          <w:p>
            <w:pPr>
              <w:spacing w:line="360" w:lineRule="auto"/>
              <w:jc w:val="center"/>
              <w:rPr>
                <w:rFonts w:hint="eastAsia" w:ascii="宋体" w:hAnsi="宋体" w:cs="宋体"/>
                <w:b w:val="0"/>
                <w:bCs w:val="0"/>
                <w:color w:val="auto"/>
                <w:szCs w:val="21"/>
                <w:vertAlign w:val="baseline"/>
              </w:rPr>
            </w:pPr>
            <w:r>
              <w:rPr>
                <w:rFonts w:hint="eastAsia" w:ascii="宋体" w:hAnsi="宋体"/>
                <w:color w:val="auto"/>
                <w:sz w:val="21"/>
                <w:szCs w:val="21"/>
                <w:vertAlign w:val="baseline"/>
                <w:lang w:eastAsia="zh-CN"/>
              </w:rPr>
              <w:t>品级</w:t>
            </w:r>
          </w:p>
        </w:tc>
        <w:tc>
          <w:tcPr>
            <w:tcW w:w="2503" w:type="dxa"/>
            <w:noWrap w:val="0"/>
            <w:vAlign w:val="center"/>
          </w:tcPr>
          <w:p>
            <w:pPr>
              <w:spacing w:line="500" w:lineRule="exact"/>
              <w:jc w:val="center"/>
              <w:rPr>
                <w:rFonts w:hint="eastAsia" w:ascii="宋体" w:hAnsi="宋体" w:cs="宋体"/>
                <w:b w:val="0"/>
                <w:bCs w:val="0"/>
                <w:color w:val="auto"/>
                <w:szCs w:val="21"/>
                <w:vertAlign w:val="baseline"/>
              </w:rPr>
            </w:pPr>
            <w:r>
              <w:rPr>
                <w:rFonts w:hint="eastAsia" w:ascii="宋体" w:hAnsi="宋体"/>
                <w:szCs w:val="21"/>
              </w:rPr>
              <w:t>F</w:t>
            </w:r>
            <w:r>
              <w:rPr>
                <w:rFonts w:hint="eastAsia" w:ascii="宋体" w:hAnsi="宋体"/>
                <w:b w:val="0"/>
                <w:bCs w:val="0"/>
                <w:color w:val="auto"/>
                <w:sz w:val="18"/>
                <w:szCs w:val="18"/>
                <w:lang w:val="en-US" w:eastAsia="zh-CN"/>
              </w:rPr>
              <w:t>（范围值/均值）</w:t>
            </w:r>
          </w:p>
        </w:tc>
        <w:tc>
          <w:tcPr>
            <w:tcW w:w="2503" w:type="dxa"/>
            <w:noWrap w:val="0"/>
            <w:vAlign w:val="center"/>
          </w:tcPr>
          <w:p>
            <w:pPr>
              <w:spacing w:line="500" w:lineRule="exact"/>
              <w:jc w:val="center"/>
              <w:rPr>
                <w:rFonts w:hint="eastAsia" w:ascii="宋体" w:hAnsi="宋体"/>
                <w:sz w:val="21"/>
                <w:szCs w:val="21"/>
                <w:lang w:val="en-US" w:eastAsia="zh-CN"/>
              </w:rPr>
            </w:pPr>
            <w:r>
              <w:rPr>
                <w:rFonts w:hint="eastAsia" w:ascii="宋体" w:hAnsi="宋体"/>
                <w:szCs w:val="21"/>
              </w:rPr>
              <w:t>Cd</w:t>
            </w:r>
            <w:r>
              <w:rPr>
                <w:rFonts w:hint="eastAsia" w:ascii="宋体" w:hAnsi="宋体"/>
                <w:b w:val="0"/>
                <w:bCs w:val="0"/>
                <w:color w:val="auto"/>
                <w:sz w:val="18"/>
                <w:szCs w:val="18"/>
                <w:lang w:val="en-US" w:eastAsia="zh-CN"/>
              </w:rPr>
              <w:t>（范围值/均值）</w:t>
            </w:r>
          </w:p>
        </w:tc>
        <w:tc>
          <w:tcPr>
            <w:tcW w:w="2503" w:type="dxa"/>
            <w:noWrap w:val="0"/>
            <w:vAlign w:val="center"/>
          </w:tcPr>
          <w:p>
            <w:pPr>
              <w:spacing w:line="500" w:lineRule="exact"/>
              <w:jc w:val="center"/>
              <w:rPr>
                <w:rFonts w:hint="eastAsia" w:ascii="宋体" w:hAnsi="宋体"/>
                <w:sz w:val="21"/>
                <w:szCs w:val="21"/>
                <w:lang w:val="en-US" w:eastAsia="zh-CN"/>
              </w:rPr>
            </w:pPr>
            <w:r>
              <w:rPr>
                <w:rFonts w:hint="eastAsia" w:ascii="宋体" w:hAnsi="宋体" w:cs="宋体"/>
                <w:szCs w:val="21"/>
              </w:rPr>
              <w:t>Hg</w:t>
            </w:r>
            <w:r>
              <w:rPr>
                <w:rFonts w:hint="eastAsia" w:ascii="宋体" w:hAnsi="宋体"/>
                <w:b w:val="0"/>
                <w:bCs w:val="0"/>
                <w:color w:val="auto"/>
                <w:sz w:val="18"/>
                <w:szCs w:val="18"/>
                <w:lang w:val="en-US" w:eastAsia="zh-CN"/>
              </w:rPr>
              <w:t>（范围值/均值）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436" w:type="dxa"/>
            <w:noWrap w:val="0"/>
            <w:vAlign w:val="center"/>
          </w:tcPr>
          <w:p>
            <w:pPr>
              <w:spacing w:line="240" w:lineRule="exact"/>
              <w:jc w:val="center"/>
              <w:rPr>
                <w:rFonts w:hint="eastAsia" w:ascii="宋体" w:hAnsi="宋体" w:eastAsia="宋体"/>
                <w:color w:val="auto"/>
                <w:kern w:val="2"/>
                <w:sz w:val="21"/>
                <w:szCs w:val="21"/>
                <w:lang w:val="en-US" w:eastAsia="zh-CN" w:bidi="ar-SA"/>
              </w:rPr>
            </w:pPr>
            <w:r>
              <w:rPr>
                <w:rFonts w:hint="eastAsia" w:ascii="宋体" w:hAnsi="宋体"/>
                <w:color w:val="auto"/>
                <w:sz w:val="21"/>
                <w:szCs w:val="21"/>
              </w:rPr>
              <w:t>一级</w:t>
            </w:r>
          </w:p>
        </w:tc>
        <w:tc>
          <w:tcPr>
            <w:tcW w:w="2503" w:type="dxa"/>
            <w:noWrap w:val="0"/>
            <w:vAlign w:val="center"/>
          </w:tcPr>
          <w:p>
            <w:pPr>
              <w:spacing w:line="240" w:lineRule="exact"/>
              <w:jc w:val="center"/>
              <w:rPr>
                <w:rFonts w:hint="eastAsia" w:ascii="宋体" w:hAnsi="宋体" w:eastAsia="宋体"/>
                <w:color w:val="auto"/>
                <w:spacing w:val="0"/>
                <w:kern w:val="2"/>
                <w:sz w:val="21"/>
                <w:szCs w:val="21"/>
                <w:lang w:val="en-US" w:eastAsia="zh-CN" w:bidi="ar-SA"/>
              </w:rPr>
            </w:pPr>
            <w:r>
              <w:rPr>
                <w:rFonts w:hint="eastAsia" w:ascii="宋体" w:hAnsi="宋体" w:eastAsia="宋体" w:cs="宋体"/>
                <w:color w:val="auto"/>
                <w:sz w:val="21"/>
                <w:szCs w:val="21"/>
                <w:lang w:val="en-US" w:eastAsia="zh-CN"/>
              </w:rPr>
              <w:t>0.011 - 0.018 /(0.014)</w:t>
            </w:r>
          </w:p>
        </w:tc>
        <w:tc>
          <w:tcPr>
            <w:tcW w:w="2503" w:type="dxa"/>
            <w:noWrap w:val="0"/>
            <w:vAlign w:val="center"/>
          </w:tcPr>
          <w:p>
            <w:pPr>
              <w:spacing w:line="240" w:lineRule="exact"/>
              <w:jc w:val="center"/>
              <w:rPr>
                <w:rFonts w:hint="eastAsia" w:ascii="宋体" w:hAnsi="宋体" w:eastAsia="宋体" w:cs="宋体"/>
                <w:b w:val="0"/>
                <w:bCs w:val="0"/>
                <w:color w:val="auto"/>
                <w:sz w:val="21"/>
                <w:szCs w:val="21"/>
                <w:lang w:val="en-US" w:eastAsia="zh-CN"/>
              </w:rPr>
            </w:pPr>
            <w:r>
              <w:rPr>
                <w:rFonts w:hint="eastAsia" w:ascii="宋体" w:hAnsi="宋体" w:eastAsia="宋体" w:cs="宋体"/>
                <w:color w:val="auto"/>
                <w:sz w:val="21"/>
                <w:szCs w:val="21"/>
                <w:lang w:val="en-US" w:eastAsia="zh-CN"/>
              </w:rPr>
              <w:t>0.003 - 0.007 /(0.005)</w:t>
            </w:r>
          </w:p>
        </w:tc>
        <w:tc>
          <w:tcPr>
            <w:tcW w:w="2503" w:type="dxa"/>
            <w:noWrap w:val="0"/>
            <w:vAlign w:val="center"/>
          </w:tcPr>
          <w:p>
            <w:pPr>
              <w:spacing w:line="240" w:lineRule="exact"/>
              <w:jc w:val="center"/>
              <w:rPr>
                <w:rFonts w:hint="eastAsia" w:ascii="宋体" w:hAnsi="宋体" w:eastAsia="宋体" w:cs="宋体"/>
                <w:b w:val="0"/>
                <w:bCs w:val="0"/>
                <w:color w:val="auto"/>
                <w:sz w:val="21"/>
                <w:szCs w:val="21"/>
                <w:lang w:val="en-US" w:eastAsia="zh-CN"/>
              </w:rPr>
            </w:pPr>
            <w:r>
              <w:rPr>
                <w:rFonts w:hint="eastAsia" w:ascii="宋体" w:hAnsi="宋体"/>
                <w:color w:val="auto"/>
                <w:szCs w:val="21"/>
                <w:vertAlign w:val="baseline"/>
                <w:lang w:val="en-US" w:eastAsia="zh-CN"/>
              </w:rPr>
              <w:t>&lt;0.001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436" w:type="dxa"/>
            <w:noWrap w:val="0"/>
            <w:vAlign w:val="center"/>
          </w:tcPr>
          <w:p>
            <w:pPr>
              <w:spacing w:line="240" w:lineRule="exact"/>
              <w:jc w:val="center"/>
              <w:rPr>
                <w:rFonts w:hint="eastAsia" w:ascii="宋体" w:hAnsi="宋体" w:eastAsia="宋体"/>
                <w:color w:val="auto"/>
                <w:kern w:val="2"/>
                <w:sz w:val="21"/>
                <w:szCs w:val="21"/>
                <w:lang w:val="en-US" w:eastAsia="zh-CN" w:bidi="ar-SA"/>
              </w:rPr>
            </w:pPr>
            <w:r>
              <w:rPr>
                <w:rFonts w:hint="eastAsia" w:ascii="宋体" w:hAnsi="宋体"/>
                <w:color w:val="auto"/>
                <w:sz w:val="21"/>
                <w:szCs w:val="21"/>
              </w:rPr>
              <w:t>二级</w:t>
            </w:r>
          </w:p>
        </w:tc>
        <w:tc>
          <w:tcPr>
            <w:tcW w:w="2503" w:type="dxa"/>
            <w:noWrap w:val="0"/>
            <w:vAlign w:val="center"/>
          </w:tcPr>
          <w:p>
            <w:pPr>
              <w:spacing w:line="240" w:lineRule="exact"/>
              <w:jc w:val="center"/>
              <w:rPr>
                <w:rFonts w:hint="eastAsia" w:ascii="宋体" w:hAnsi="宋体" w:eastAsia="宋体"/>
                <w:color w:val="auto"/>
                <w:spacing w:val="0"/>
                <w:kern w:val="2"/>
                <w:sz w:val="21"/>
                <w:szCs w:val="21"/>
                <w:lang w:val="en-US" w:eastAsia="zh-CN" w:bidi="ar-SA"/>
              </w:rPr>
            </w:pPr>
            <w:r>
              <w:rPr>
                <w:rFonts w:hint="eastAsia" w:ascii="宋体" w:hAnsi="宋体" w:eastAsia="宋体" w:cs="宋体"/>
                <w:color w:val="auto"/>
                <w:sz w:val="21"/>
                <w:szCs w:val="21"/>
                <w:lang w:val="en-US" w:eastAsia="zh-CN"/>
              </w:rPr>
              <w:t>0.013 - 0.092 /(0.018)</w:t>
            </w:r>
          </w:p>
        </w:tc>
        <w:tc>
          <w:tcPr>
            <w:tcW w:w="2503" w:type="dxa"/>
            <w:noWrap w:val="0"/>
            <w:vAlign w:val="center"/>
          </w:tcPr>
          <w:p>
            <w:pPr>
              <w:spacing w:line="24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0.001 - 0.067 /(0.032)</w:t>
            </w:r>
          </w:p>
        </w:tc>
        <w:tc>
          <w:tcPr>
            <w:tcW w:w="2503" w:type="dxa"/>
            <w:noWrap w:val="0"/>
            <w:vAlign w:val="center"/>
          </w:tcPr>
          <w:p>
            <w:pPr>
              <w:spacing w:line="240" w:lineRule="exact"/>
              <w:jc w:val="center"/>
              <w:rPr>
                <w:rFonts w:hint="eastAsia" w:ascii="宋体" w:hAnsi="宋体" w:eastAsia="宋体" w:cs="宋体"/>
                <w:color w:val="auto"/>
                <w:sz w:val="21"/>
                <w:szCs w:val="21"/>
                <w:lang w:val="en-US" w:eastAsia="zh-CN"/>
              </w:rPr>
            </w:pPr>
            <w:r>
              <w:rPr>
                <w:rFonts w:hint="eastAsia" w:ascii="宋体" w:hAnsi="宋体"/>
                <w:color w:val="auto"/>
                <w:szCs w:val="21"/>
                <w:vertAlign w:val="baseline"/>
                <w:lang w:val="en-US" w:eastAsia="zh-CN"/>
              </w:rPr>
              <w:t>&lt;0.001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436" w:type="dxa"/>
            <w:noWrap w:val="0"/>
            <w:vAlign w:val="center"/>
          </w:tcPr>
          <w:p>
            <w:pPr>
              <w:spacing w:line="240" w:lineRule="exact"/>
              <w:jc w:val="center"/>
              <w:rPr>
                <w:rFonts w:hint="eastAsia" w:ascii="宋体" w:hAnsi="宋体" w:eastAsia="宋体"/>
                <w:color w:val="auto"/>
                <w:kern w:val="2"/>
                <w:sz w:val="21"/>
                <w:szCs w:val="21"/>
                <w:lang w:val="en-US" w:eastAsia="zh-CN" w:bidi="ar-SA"/>
              </w:rPr>
            </w:pPr>
            <w:r>
              <w:rPr>
                <w:rFonts w:hint="eastAsia" w:ascii="宋体" w:hAnsi="宋体"/>
                <w:color w:val="auto"/>
                <w:sz w:val="21"/>
                <w:szCs w:val="21"/>
              </w:rPr>
              <w:t>三级</w:t>
            </w:r>
          </w:p>
        </w:tc>
        <w:tc>
          <w:tcPr>
            <w:tcW w:w="2503" w:type="dxa"/>
            <w:noWrap w:val="0"/>
            <w:vAlign w:val="center"/>
          </w:tcPr>
          <w:p>
            <w:pPr>
              <w:spacing w:line="240" w:lineRule="exact"/>
              <w:jc w:val="center"/>
              <w:rPr>
                <w:rFonts w:hint="eastAsia" w:ascii="宋体" w:hAnsi="宋体" w:eastAsia="宋体"/>
                <w:color w:val="auto"/>
                <w:spacing w:val="0"/>
                <w:kern w:val="2"/>
                <w:sz w:val="21"/>
                <w:szCs w:val="21"/>
                <w:lang w:val="en-US" w:eastAsia="zh-CN" w:bidi="ar-SA"/>
              </w:rPr>
            </w:pPr>
            <w:r>
              <w:rPr>
                <w:rFonts w:hint="eastAsia" w:ascii="宋体" w:hAnsi="宋体" w:eastAsia="宋体" w:cs="宋体"/>
                <w:color w:val="auto"/>
                <w:sz w:val="21"/>
                <w:szCs w:val="21"/>
                <w:lang w:val="en-US" w:eastAsia="zh-CN"/>
              </w:rPr>
              <w:t>0.01 - 0.10 /(0.055)</w:t>
            </w:r>
          </w:p>
        </w:tc>
        <w:tc>
          <w:tcPr>
            <w:tcW w:w="2503" w:type="dxa"/>
            <w:noWrap w:val="0"/>
            <w:vAlign w:val="center"/>
          </w:tcPr>
          <w:p>
            <w:pPr>
              <w:spacing w:line="240" w:lineRule="exact"/>
              <w:jc w:val="center"/>
              <w:rPr>
                <w:rFonts w:hint="eastAsia" w:ascii="宋体" w:hAnsi="宋体" w:eastAsia="宋体" w:cs="宋体"/>
                <w:color w:val="auto"/>
                <w:sz w:val="21"/>
                <w:szCs w:val="21"/>
                <w:lang w:val="en-US" w:eastAsia="zh-CN"/>
              </w:rPr>
            </w:pPr>
            <w:r>
              <w:rPr>
                <w:rFonts w:hint="eastAsia" w:ascii="宋体" w:hAnsi="宋体" w:cs="宋体"/>
                <w:szCs w:val="21"/>
              </w:rPr>
              <w:t>0.00</w:t>
            </w:r>
            <w:r>
              <w:rPr>
                <w:rFonts w:hint="eastAsia" w:ascii="宋体" w:hAnsi="宋体" w:cs="宋体"/>
                <w:szCs w:val="21"/>
                <w:lang w:val="en-US" w:eastAsia="zh-CN"/>
              </w:rPr>
              <w:t>18</w:t>
            </w:r>
            <w:r>
              <w:rPr>
                <w:rFonts w:hint="eastAsia" w:ascii="宋体" w:hAnsi="宋体"/>
                <w:szCs w:val="21"/>
                <w:lang w:val="en-US" w:eastAsia="zh-CN"/>
              </w:rPr>
              <w:t>-</w:t>
            </w:r>
            <w:r>
              <w:rPr>
                <w:rFonts w:hint="eastAsia" w:ascii="宋体" w:hAnsi="宋体" w:cs="宋体"/>
                <w:szCs w:val="21"/>
              </w:rPr>
              <w:t>0.00</w:t>
            </w:r>
            <w:r>
              <w:rPr>
                <w:rFonts w:hint="eastAsia" w:ascii="宋体" w:hAnsi="宋体" w:cs="宋体"/>
                <w:szCs w:val="21"/>
                <w:lang w:val="en-US" w:eastAsia="zh-CN"/>
              </w:rPr>
              <w:t>24</w:t>
            </w:r>
            <w:r>
              <w:rPr>
                <w:rFonts w:hint="eastAsia" w:ascii="宋体" w:hAnsi="宋体" w:eastAsia="宋体" w:cs="宋体"/>
                <w:color w:val="auto"/>
                <w:sz w:val="21"/>
                <w:szCs w:val="21"/>
                <w:lang w:val="en-US" w:eastAsia="zh-CN"/>
              </w:rPr>
              <w:t xml:space="preserve"> /(0.0021)</w:t>
            </w:r>
          </w:p>
        </w:tc>
        <w:tc>
          <w:tcPr>
            <w:tcW w:w="2503" w:type="dxa"/>
            <w:noWrap w:val="0"/>
            <w:vAlign w:val="center"/>
          </w:tcPr>
          <w:p>
            <w:pPr>
              <w:spacing w:line="240" w:lineRule="exact"/>
              <w:jc w:val="center"/>
              <w:rPr>
                <w:rFonts w:hint="eastAsia" w:ascii="宋体" w:hAnsi="宋体" w:eastAsia="宋体" w:cs="宋体"/>
                <w:color w:val="auto"/>
                <w:sz w:val="21"/>
                <w:szCs w:val="21"/>
                <w:lang w:val="en-US" w:eastAsia="zh-CN"/>
              </w:rPr>
            </w:pPr>
            <w:r>
              <w:rPr>
                <w:rFonts w:hint="eastAsia" w:ascii="宋体" w:hAnsi="宋体"/>
                <w:color w:val="auto"/>
                <w:szCs w:val="21"/>
                <w:vertAlign w:val="baseline"/>
                <w:lang w:val="en-US" w:eastAsia="zh-CN"/>
              </w:rPr>
              <w:t>&lt;0.001</w:t>
            </w:r>
          </w:p>
        </w:tc>
      </w:tr>
    </w:tbl>
    <w:p>
      <w:pPr>
        <w:spacing w:line="360" w:lineRule="auto"/>
        <w:ind w:firstLine="420" w:firstLineChars="200"/>
        <w:rPr>
          <w:rFonts w:hint="eastAsia" w:ascii="宋体" w:hAnsi="宋体" w:cs="宋体"/>
          <w:szCs w:val="21"/>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cs="宋体"/>
          <w:b/>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2"/>
        <w:rPr>
          <w:rFonts w:hint="eastAsia" w:ascii="宋体" w:hAnsi="宋体" w:cs="宋体"/>
          <w:b/>
          <w:sz w:val="24"/>
          <w:szCs w:val="24"/>
        </w:rPr>
      </w:pPr>
      <w:bookmarkStart w:id="20" w:name="_Toc3763"/>
      <w:r>
        <w:rPr>
          <w:rFonts w:hint="eastAsia" w:ascii="宋体" w:hAnsi="宋体" w:cs="宋体"/>
          <w:b/>
          <w:sz w:val="24"/>
          <w:szCs w:val="24"/>
          <w:lang w:val="en-US" w:eastAsia="zh-CN"/>
        </w:rPr>
        <w:t>3.3.3</w:t>
      </w:r>
      <w:r>
        <w:rPr>
          <w:rFonts w:hint="eastAsia" w:ascii="宋体" w:hAnsi="宋体" w:cs="宋体"/>
          <w:b/>
          <w:sz w:val="24"/>
          <w:szCs w:val="24"/>
        </w:rPr>
        <w:t>“物理规格”</w:t>
      </w:r>
      <w:bookmarkEnd w:id="20"/>
    </w:p>
    <w:p>
      <w:pPr>
        <w:keepNext w:val="0"/>
        <w:keepLines w:val="0"/>
        <w:pageBreakBefore w:val="0"/>
        <w:widowControl w:val="0"/>
        <w:kinsoku/>
        <w:wordWrap/>
        <w:overflowPunct/>
        <w:topLinePunct w:val="0"/>
        <w:autoSpaceDE/>
        <w:autoSpaceDN/>
        <w:bidi w:val="0"/>
        <w:adjustRightInd/>
        <w:snapToGrid/>
        <w:spacing w:line="500" w:lineRule="exact"/>
        <w:ind w:firstLine="720" w:firstLineChars="300"/>
        <w:textAlignment w:val="auto"/>
        <w:rPr>
          <w:rFonts w:hint="eastAsia" w:ascii="宋体" w:hAnsi="宋体" w:cs="宋体"/>
          <w:sz w:val="24"/>
          <w:szCs w:val="24"/>
        </w:rPr>
      </w:pPr>
      <w:r>
        <w:rPr>
          <w:rFonts w:hint="eastAsia" w:ascii="宋体" w:hAnsi="宋体" w:cs="宋体"/>
          <w:sz w:val="24"/>
          <w:szCs w:val="24"/>
          <w:lang w:val="en-US" w:eastAsia="zh-CN"/>
        </w:rPr>
        <w:t>1.</w:t>
      </w:r>
      <w:r>
        <w:rPr>
          <w:rFonts w:hint="eastAsia" w:ascii="宋体" w:hAnsi="宋体" w:cs="宋体"/>
          <w:sz w:val="24"/>
          <w:szCs w:val="24"/>
        </w:rPr>
        <w:t xml:space="preserve"> 冰铜按物理规格分为块状和粉状两种形态。</w:t>
      </w:r>
    </w:p>
    <w:p>
      <w:pPr>
        <w:keepNext w:val="0"/>
        <w:keepLines w:val="0"/>
        <w:pageBreakBefore w:val="0"/>
        <w:widowControl w:val="0"/>
        <w:kinsoku/>
        <w:wordWrap/>
        <w:overflowPunct/>
        <w:topLinePunct w:val="0"/>
        <w:autoSpaceDE/>
        <w:autoSpaceDN/>
        <w:bidi w:val="0"/>
        <w:adjustRightInd/>
        <w:snapToGrid/>
        <w:spacing w:line="500" w:lineRule="exact"/>
        <w:ind w:firstLine="720" w:firstLineChars="300"/>
        <w:textAlignment w:val="auto"/>
        <w:rPr>
          <w:rFonts w:hint="eastAsia" w:ascii="宋体" w:hAnsi="宋体" w:cs="宋体"/>
          <w:sz w:val="24"/>
          <w:szCs w:val="24"/>
          <w:lang w:eastAsia="zh-CN"/>
        </w:rPr>
      </w:pPr>
      <w:r>
        <w:rPr>
          <w:rFonts w:hint="eastAsia" w:ascii="宋体" w:hAnsi="宋体" w:cs="宋体"/>
          <w:sz w:val="24"/>
          <w:szCs w:val="24"/>
          <w:lang w:val="en-US" w:eastAsia="zh-CN"/>
        </w:rPr>
        <w:t>2.</w:t>
      </w:r>
      <w:r>
        <w:rPr>
          <w:rFonts w:hint="eastAsia" w:ascii="宋体" w:hAnsi="宋体" w:cs="宋体"/>
          <w:sz w:val="24"/>
          <w:szCs w:val="24"/>
        </w:rPr>
        <w:t>块状冰铜粒度应在3mm～80mm之间，粉状冰铜粒度不大于3mm。</w:t>
      </w:r>
      <w:r>
        <w:rPr>
          <w:rFonts w:hint="eastAsia" w:ascii="宋体" w:hAnsi="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720" w:firstLineChars="300"/>
        <w:textAlignment w:val="auto"/>
        <w:rPr>
          <w:rFonts w:hint="eastAsia" w:ascii="宋体" w:hAnsi="宋体" w:cs="宋体"/>
          <w:sz w:val="24"/>
          <w:szCs w:val="24"/>
        </w:rPr>
      </w:pPr>
      <w:r>
        <w:rPr>
          <w:rFonts w:hint="eastAsia" w:ascii="宋体" w:hAnsi="宋体" w:cs="宋体"/>
          <w:sz w:val="24"/>
          <w:szCs w:val="24"/>
        </w:rPr>
        <w:t>原文件</w:t>
      </w:r>
      <w:r>
        <w:rPr>
          <w:rFonts w:hint="eastAsia" w:ascii="宋体" w:hAnsi="宋体" w:cs="宋体"/>
          <w:sz w:val="24"/>
          <w:szCs w:val="24"/>
          <w:lang w:eastAsia="zh-CN"/>
        </w:rPr>
        <w:t>中</w:t>
      </w:r>
      <w:r>
        <w:rPr>
          <w:rFonts w:hint="eastAsia" w:ascii="宋体" w:hAnsi="宋体" w:cs="宋体"/>
          <w:sz w:val="24"/>
          <w:szCs w:val="24"/>
        </w:rPr>
        <w:t>块状冰铜粒度在3-150mm之间，冰铜的粒度对取样和制样有着较高的要求，粒度太大，取样偏差大，取样量也将成倍增加。后期制样破碎过程比较繁琐，粒度超过80mm以上品位超过50%对传统的制样设备将是不小的挑战，难以承受。因此将块状冰铜粒度上限控制在80mm以下。</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2"/>
        <w:rPr>
          <w:rFonts w:hint="eastAsia" w:ascii="宋体" w:hAnsi="宋体" w:cs="宋体"/>
          <w:b/>
          <w:sz w:val="24"/>
          <w:szCs w:val="24"/>
        </w:rPr>
      </w:pPr>
      <w:bookmarkStart w:id="21" w:name="_Toc7837"/>
      <w:r>
        <w:rPr>
          <w:rFonts w:hint="eastAsia" w:ascii="宋体" w:hAnsi="宋体" w:cs="宋体"/>
          <w:b/>
          <w:sz w:val="24"/>
          <w:szCs w:val="24"/>
          <w:lang w:val="en-US" w:eastAsia="zh-CN"/>
        </w:rPr>
        <w:t>3.3.4</w:t>
      </w:r>
      <w:r>
        <w:rPr>
          <w:rFonts w:hint="eastAsia" w:ascii="宋体" w:hAnsi="宋体" w:cs="宋体"/>
          <w:b/>
          <w:sz w:val="24"/>
          <w:szCs w:val="24"/>
        </w:rPr>
        <w:t>“外观质量”</w:t>
      </w:r>
      <w:bookmarkEnd w:id="21"/>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cs="宋体" w:eastAsiaTheme="minorEastAsia"/>
          <w:b w:val="0"/>
          <w:bCs/>
          <w:sz w:val="24"/>
          <w:szCs w:val="24"/>
          <w:lang w:eastAsia="zh-CN"/>
        </w:rPr>
      </w:pPr>
      <w:r>
        <w:rPr>
          <w:rFonts w:hint="eastAsia" w:ascii="宋体" w:hAnsi="宋体" w:cs="宋体"/>
          <w:b w:val="0"/>
          <w:bCs/>
          <w:sz w:val="24"/>
          <w:szCs w:val="24"/>
          <w:lang w:eastAsia="zh-CN"/>
        </w:rPr>
        <w:t>“冰铜中不应有外来夹杂物，同一交货批颜色、粒度应基本一致。”</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cs="宋体"/>
          <w:b w:val="0"/>
          <w:bCs/>
          <w:sz w:val="24"/>
          <w:szCs w:val="24"/>
        </w:rPr>
      </w:pPr>
      <w:r>
        <w:rPr>
          <w:rFonts w:hint="eastAsia" w:ascii="宋体" w:hAnsi="宋体" w:cs="宋体"/>
          <w:b w:val="0"/>
          <w:bCs/>
          <w:sz w:val="24"/>
          <w:szCs w:val="24"/>
        </w:rPr>
        <w:t>原文件外观质量采用目视法检测，要求“品质应基本一致”，但“品质”用目视法不能准确检测，只能对外来夹杂物，同一交货批颜色、粒度进行识别，因此做相应更改。</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2"/>
        <w:rPr>
          <w:rFonts w:hint="eastAsia" w:ascii="宋体" w:hAnsi="宋体" w:cs="宋体"/>
          <w:b/>
          <w:sz w:val="24"/>
          <w:szCs w:val="24"/>
        </w:rPr>
      </w:pPr>
      <w:bookmarkStart w:id="22" w:name="_Toc5675"/>
      <w:r>
        <w:rPr>
          <w:rFonts w:hint="eastAsia" w:ascii="宋体" w:hAnsi="宋体" w:cs="宋体"/>
          <w:b/>
          <w:sz w:val="24"/>
          <w:szCs w:val="24"/>
          <w:lang w:val="en-US" w:eastAsia="zh-CN"/>
        </w:rPr>
        <w:t>3.3.5</w:t>
      </w:r>
      <w:r>
        <w:rPr>
          <w:rFonts w:hint="eastAsia" w:ascii="宋体" w:hAnsi="宋体" w:cs="宋体"/>
          <w:b/>
          <w:sz w:val="24"/>
          <w:szCs w:val="24"/>
        </w:rPr>
        <w:t>“试验方法”</w:t>
      </w:r>
      <w:bookmarkEnd w:id="22"/>
    </w:p>
    <w:p>
      <w:pPr>
        <w:pStyle w:val="2"/>
        <w:keepNext w:val="0"/>
        <w:keepLines w:val="0"/>
        <w:pageBreakBefore w:val="0"/>
        <w:widowControl w:val="0"/>
        <w:kinsoku/>
        <w:wordWrap/>
        <w:overflowPunct/>
        <w:topLinePunct w:val="0"/>
        <w:autoSpaceDE/>
        <w:autoSpaceDN/>
        <w:bidi w:val="0"/>
        <w:adjustRightInd/>
        <w:snapToGrid/>
        <w:spacing w:after="0" w:line="500" w:lineRule="exact"/>
        <w:textAlignment w:val="auto"/>
        <w:rPr>
          <w:rFonts w:hint="eastAsia" w:ascii="宋体" w:hAnsi="宋体" w:eastAsia="宋体" w:cs="宋体"/>
          <w:b w:val="0"/>
          <w:bCs/>
          <w:sz w:val="24"/>
          <w:szCs w:val="24"/>
          <w:lang w:val="en-US" w:eastAsia="zh-CN"/>
        </w:rPr>
      </w:pPr>
      <w:r>
        <w:rPr>
          <w:rFonts w:hint="eastAsia" w:ascii="宋体" w:hAnsi="宋体" w:cs="宋体"/>
          <w:b/>
          <w:sz w:val="24"/>
          <w:szCs w:val="24"/>
          <w:lang w:val="en-US" w:eastAsia="zh-CN"/>
        </w:rPr>
        <w:t xml:space="preserve">    </w:t>
      </w:r>
      <w:r>
        <w:rPr>
          <w:rFonts w:hint="eastAsia" w:ascii="宋体" w:hAnsi="宋体" w:cs="宋体"/>
          <w:b w:val="0"/>
          <w:bCs/>
          <w:sz w:val="24"/>
          <w:szCs w:val="24"/>
          <w:lang w:val="en-US" w:eastAsia="zh-CN"/>
        </w:rPr>
        <w:t xml:space="preserve"> 1.</w:t>
      </w:r>
      <w:r>
        <w:rPr>
          <w:rFonts w:hint="eastAsia" w:ascii="宋体" w:hAnsi="宋体" w:eastAsia="宋体" w:cs="宋体"/>
          <w:b w:val="0"/>
          <w:bCs/>
          <w:sz w:val="24"/>
          <w:szCs w:val="24"/>
          <w:lang w:val="en-US" w:eastAsia="zh-CN"/>
        </w:rPr>
        <w:t>冰铜中的化学成分分析方法按YS/T 990（所有部分）的规定进行，或由供需双方协商确定。</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480" w:firstLineChars="200"/>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2.冰铜中的水分含量测定按照GB/T 2007.6的规定进行。</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480" w:firstLineChars="200"/>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3.冰铜的物理规格检验采用相应精度的测量仪器或标准筛进行检测。</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b w:val="0"/>
          <w:bCs/>
          <w:sz w:val="24"/>
          <w:szCs w:val="24"/>
          <w:lang w:val="en-US" w:eastAsia="zh-CN"/>
        </w:rPr>
        <w:t>4.冰铜的外观质量采用目视法检查。</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cs="宋体"/>
          <w:sz w:val="24"/>
          <w:szCs w:val="24"/>
        </w:rPr>
      </w:pPr>
      <w:r>
        <w:rPr>
          <w:rFonts w:hint="eastAsia" w:ascii="宋体" w:hAnsi="宋体" w:cs="宋体"/>
          <w:b w:val="0"/>
          <w:bCs/>
          <w:sz w:val="24"/>
          <w:szCs w:val="24"/>
          <w:lang w:eastAsia="zh-CN"/>
        </w:rPr>
        <w:t>在原文件</w:t>
      </w:r>
      <w:r>
        <w:rPr>
          <w:rFonts w:hint="eastAsia" w:ascii="宋体" w:hAnsi="宋体" w:cs="宋体"/>
          <w:sz w:val="24"/>
          <w:szCs w:val="24"/>
        </w:rPr>
        <w:t>2013年版《冰铜》</w:t>
      </w:r>
      <w:r>
        <w:rPr>
          <w:rFonts w:hint="eastAsia" w:ascii="宋体" w:hAnsi="宋体" w:cs="宋体"/>
          <w:sz w:val="24"/>
          <w:szCs w:val="24"/>
          <w:lang w:eastAsia="zh-CN"/>
        </w:rPr>
        <w:t>发布后，又</w:t>
      </w:r>
      <w:r>
        <w:rPr>
          <w:rFonts w:hint="eastAsia" w:ascii="宋体" w:hAnsi="宋体" w:cs="宋体"/>
          <w:sz w:val="24"/>
          <w:szCs w:val="24"/>
        </w:rPr>
        <w:t>陆续发布了YS/T 990（所有部分）一系列冰铜化学分析方法，因此冰铜中的化学成分测定方法按照YS/T 990（所有部分）或由供需双方协商确定。</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2"/>
        <w:rPr>
          <w:rFonts w:hint="eastAsia" w:ascii="宋体" w:hAnsi="宋体" w:cs="宋体"/>
          <w:b/>
          <w:sz w:val="24"/>
          <w:szCs w:val="24"/>
        </w:rPr>
      </w:pPr>
      <w:bookmarkStart w:id="23" w:name="_Toc22352"/>
      <w:r>
        <w:rPr>
          <w:rFonts w:hint="eastAsia" w:ascii="宋体" w:hAnsi="宋体" w:cs="宋体"/>
          <w:b/>
          <w:sz w:val="24"/>
          <w:szCs w:val="24"/>
          <w:lang w:val="en-US" w:eastAsia="zh-CN"/>
        </w:rPr>
        <w:t>3.3.6</w:t>
      </w:r>
      <w:r>
        <w:rPr>
          <w:rFonts w:hint="eastAsia" w:ascii="宋体" w:hAnsi="宋体" w:cs="宋体"/>
          <w:b/>
          <w:sz w:val="24"/>
          <w:szCs w:val="24"/>
        </w:rPr>
        <w:t>“料场落地混匀摊平定尺定点取样法”</w:t>
      </w:r>
      <w:bookmarkEnd w:id="23"/>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cs="宋体"/>
          <w:sz w:val="24"/>
          <w:szCs w:val="24"/>
        </w:rPr>
      </w:pPr>
      <w:r>
        <w:rPr>
          <w:rFonts w:hint="eastAsia" w:ascii="宋体" w:hAnsi="宋体" w:cs="宋体"/>
          <w:sz w:val="24"/>
          <w:szCs w:val="24"/>
          <w:lang w:val="en-US" w:eastAsia="zh-CN"/>
        </w:rPr>
        <w:t>3.3.</w:t>
      </w:r>
      <w:r>
        <w:rPr>
          <w:rFonts w:hint="eastAsia" w:ascii="宋体" w:hAnsi="宋体" w:cs="宋体"/>
          <w:sz w:val="24"/>
          <w:szCs w:val="24"/>
        </w:rPr>
        <w:t>6.1为验证冰铜在原始和混匀状态下的品质不均匀程度，标准编制组制定了品质波动试验方案，从“附件1冰铜试验验证报告”表4、表5中看出，大冶公司安排外购冰铜分别在原始和混匀状态下试验5个批次。从试验数据分析看：冰铜在原始状态的品质波动（</w:t>
      </w:r>
      <w:r>
        <w:rPr>
          <w:rFonts w:hint="eastAsia" w:ascii="宋体" w:hAnsi="宋体" w:cs="宋体"/>
          <w:position w:val="-12"/>
          <w:sz w:val="24"/>
          <w:szCs w:val="24"/>
        </w:rPr>
        <w:object>
          <v:shape id="_x0000_i1025" o:spt="75" type="#_x0000_t75" style="height:18pt;width:15.75pt;" o:ole="t" filled="f" o:preferrelative="t" stroked="f" coordsize="21600,21600">
            <v:path/>
            <v:fill on="f" focussize="0,0"/>
            <v:stroke on="f"/>
            <v:imagedata r:id="rId9" o:title=""/>
            <o:lock v:ext="edit" aspectratio="t"/>
            <w10:wrap type="none"/>
            <w10:anchorlock/>
          </v:shape>
          <o:OLEObject Type="Embed" ProgID="Equation.3" ShapeID="_x0000_i1025" DrawAspect="Content" ObjectID="_1468075725" r:id="rId8">
            <o:LockedField>false</o:LockedField>
          </o:OLEObject>
        </w:object>
      </w:r>
      <w:r>
        <w:rPr>
          <w:rFonts w:hint="eastAsia" w:ascii="宋体" w:hAnsi="宋体" w:cs="宋体"/>
          <w:sz w:val="24"/>
          <w:szCs w:val="24"/>
        </w:rPr>
        <w:t xml:space="preserve"> ）值为1.067。冰铜在混匀状态的品质波动（</w:t>
      </w:r>
      <w:r>
        <w:rPr>
          <w:rFonts w:hint="eastAsia" w:ascii="宋体" w:hAnsi="宋体" w:cs="宋体"/>
          <w:position w:val="-12"/>
          <w:sz w:val="24"/>
          <w:szCs w:val="24"/>
        </w:rPr>
        <w:object>
          <v:shape id="_x0000_i1026" o:spt="75" type="#_x0000_t75" style="height:18pt;width:15.75pt;" o:ole="t" filled="f" o:preferrelative="t" stroked="f" coordsize="21600,21600">
            <v:path/>
            <v:fill on="f" focussize="0,0"/>
            <v:stroke on="f"/>
            <v:imagedata r:id="rId9" o:title=""/>
            <o:lock v:ext="edit" aspectratio="t"/>
            <w10:wrap type="none"/>
            <w10:anchorlock/>
          </v:shape>
          <o:OLEObject Type="Embed" ProgID="Equation.3" ShapeID="_x0000_i1026" DrawAspect="Content" ObjectID="_1468075726" r:id="rId10">
            <o:LockedField>false</o:LockedField>
          </o:OLEObject>
        </w:object>
      </w:r>
      <w:r>
        <w:rPr>
          <w:rFonts w:hint="eastAsia" w:ascii="宋体" w:hAnsi="宋体" w:cs="宋体"/>
          <w:sz w:val="24"/>
          <w:szCs w:val="24"/>
        </w:rPr>
        <w:t xml:space="preserve"> ）值为0.444。因此，冰铜在原始状态的品质波动明显大于冰铜在混匀状态的品质波动，是符合现状的。</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cs="宋体"/>
          <w:sz w:val="24"/>
          <w:szCs w:val="24"/>
        </w:rPr>
      </w:pPr>
      <w:r>
        <w:rPr>
          <w:rFonts w:hint="eastAsia" w:ascii="宋体" w:hAnsi="宋体" w:cs="宋体"/>
          <w:sz w:val="24"/>
          <w:szCs w:val="24"/>
          <w:lang w:val="en-US" w:eastAsia="zh-CN"/>
        </w:rPr>
        <w:t>3.3</w:t>
      </w:r>
      <w:r>
        <w:rPr>
          <w:rFonts w:hint="eastAsia" w:ascii="宋体" w:hAnsi="宋体" w:cs="宋体"/>
          <w:sz w:val="24"/>
          <w:szCs w:val="24"/>
        </w:rPr>
        <w:t>.6.2为验证“料场落地混匀摊平定尺定点取样法”作为常规法的可行性，标准编制组制定了冰铜取样系统误差校核试验方案，采集了大冶有色原料生产单位及10种矿源进行验证试验20次，共计获得30组试验数据，从“附件1冰铜试验验证报告”中得出结论： “货车取样法”（A法）与“料场落地混匀摊平定尺定点取样”（B法）无显著性差异，“料场落地混匀摊平定尺定点取样”（B法）可做常规法使用。</w:t>
      </w:r>
    </w:p>
    <w:p>
      <w:pPr>
        <w:keepNext w:val="0"/>
        <w:keepLines w:val="0"/>
        <w:pageBreakBefore w:val="0"/>
        <w:widowControl w:val="0"/>
        <w:kinsoku/>
        <w:wordWrap/>
        <w:overflowPunct/>
        <w:topLinePunct w:val="0"/>
        <w:autoSpaceDE/>
        <w:autoSpaceDN/>
        <w:bidi w:val="0"/>
        <w:adjustRightInd/>
        <w:snapToGrid/>
        <w:spacing w:line="500" w:lineRule="exact"/>
        <w:ind w:firstLine="240" w:firstLineChars="100"/>
        <w:textAlignment w:val="auto"/>
        <w:rPr>
          <w:rFonts w:hint="eastAsia" w:ascii="宋体" w:hAnsi="宋体" w:cs="宋体"/>
          <w:sz w:val="24"/>
          <w:szCs w:val="24"/>
        </w:rPr>
      </w:pPr>
      <w:r>
        <w:rPr>
          <w:rFonts w:hint="eastAsia" w:ascii="宋体" w:hAnsi="宋体" w:cs="宋体"/>
          <w:sz w:val="24"/>
          <w:szCs w:val="24"/>
        </w:rPr>
        <w:t>鉴于上述分析，我们建议冰铜落地后机械混匀后平摊成高度不大于200mm的矿堆，采用专用取样器或样铲按照随机均匀布点方式采取份样。</w:t>
      </w:r>
    </w:p>
    <w:p>
      <w:pPr>
        <w:keepNext w:val="0"/>
        <w:keepLines w:val="0"/>
        <w:pageBreakBefore w:val="0"/>
        <w:widowControl w:val="0"/>
        <w:kinsoku/>
        <w:wordWrap/>
        <w:overflowPunct/>
        <w:topLinePunct w:val="0"/>
        <w:autoSpaceDE/>
        <w:autoSpaceDN/>
        <w:bidi w:val="0"/>
        <w:adjustRightInd/>
        <w:snapToGrid/>
        <w:spacing w:line="500" w:lineRule="exact"/>
        <w:ind w:firstLine="210" w:firstLineChars="100"/>
        <w:textAlignment w:val="auto"/>
        <w:rPr>
          <w:rFonts w:hint="eastAsia" w:ascii="宋体" w:hAnsi="宋体" w:cs="宋体"/>
          <w:szCs w:val="21"/>
          <w:lang w:eastAsia="zh-CN"/>
        </w:rPr>
      </w:pPr>
      <w:r>
        <w:rPr>
          <w:rFonts w:hint="eastAsia" w:ascii="宋体" w:hAnsi="宋体" w:cs="宋体"/>
          <w:szCs w:val="21"/>
          <w:lang w:eastAsia="zh-CN"/>
        </w:rPr>
        <w:t>图例：</w:t>
      </w:r>
    </w:p>
    <w:p>
      <w:pPr>
        <w:spacing w:line="360" w:lineRule="auto"/>
        <w:ind w:firstLine="210" w:firstLineChars="100"/>
        <w:rPr>
          <w:rFonts w:hint="eastAsia" w:ascii="宋体" w:hAnsi="宋体" w:eastAsia="宋体" w:cs="宋体"/>
          <w:szCs w:val="21"/>
          <w:lang w:eastAsia="zh-CN"/>
        </w:rPr>
      </w:pPr>
      <w:r>
        <w:rPr>
          <w:rFonts w:hint="eastAsia" w:ascii="宋体" w:hAnsi="宋体" w:eastAsia="宋体" w:cs="宋体"/>
          <w:szCs w:val="21"/>
          <w:lang w:eastAsia="zh-CN"/>
        </w:rPr>
        <w:drawing>
          <wp:inline distT="0" distB="0" distL="114300" distR="114300">
            <wp:extent cx="5664200" cy="4798060"/>
            <wp:effectExtent l="0" t="0" r="12700" b="2540"/>
            <wp:docPr id="1" name="图片 3" descr="扫描全能王 2021-09-12 15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扫描全能王 2021-09-12 15_副本"/>
                    <pic:cNvPicPr>
                      <a:picLocks noChangeAspect="1"/>
                    </pic:cNvPicPr>
                  </pic:nvPicPr>
                  <pic:blipFill>
                    <a:blip r:embed="rId11"/>
                    <a:stretch>
                      <a:fillRect/>
                    </a:stretch>
                  </pic:blipFill>
                  <pic:spPr>
                    <a:xfrm>
                      <a:off x="0" y="0"/>
                      <a:ext cx="5664200" cy="4798060"/>
                    </a:xfrm>
                    <a:prstGeom prst="rect">
                      <a:avLst/>
                    </a:prstGeom>
                    <a:noFill/>
                    <a:ln>
                      <a:noFill/>
                    </a:ln>
                  </pic:spPr>
                </pic:pic>
              </a:graphicData>
            </a:graphic>
          </wp:inline>
        </w:drawing>
      </w:r>
    </w:p>
    <w:p>
      <w:pPr>
        <w:spacing w:line="360" w:lineRule="auto"/>
        <w:ind w:firstLine="210" w:firstLineChars="100"/>
        <w:rPr>
          <w:rFonts w:hint="eastAsia" w:ascii="宋体" w:hAnsi="宋体" w:cs="宋体"/>
          <w:szCs w:val="21"/>
        </w:rPr>
      </w:pPr>
    </w:p>
    <w:p>
      <w:pPr>
        <w:spacing w:line="360" w:lineRule="auto"/>
        <w:rPr>
          <w:rFonts w:hint="eastAsia" w:ascii="宋体" w:hAnsi="宋体" w:cs="宋体"/>
          <w:b/>
          <w:sz w:val="24"/>
          <w:szCs w:val="24"/>
          <w:lang w:val="en-US" w:eastAsia="zh-CN"/>
        </w:rPr>
      </w:pPr>
    </w:p>
    <w:p>
      <w:pPr>
        <w:spacing w:line="360" w:lineRule="auto"/>
        <w:outlineLvl w:val="2"/>
        <w:rPr>
          <w:rFonts w:hint="eastAsia" w:ascii="宋体" w:hAnsi="宋体" w:cs="宋体"/>
          <w:b/>
          <w:sz w:val="24"/>
          <w:szCs w:val="24"/>
        </w:rPr>
      </w:pPr>
      <w:bookmarkStart w:id="24" w:name="_Toc873"/>
      <w:r>
        <w:rPr>
          <w:rFonts w:hint="eastAsia" w:ascii="宋体" w:hAnsi="宋体" w:cs="宋体"/>
          <w:b/>
          <w:sz w:val="24"/>
          <w:szCs w:val="24"/>
          <w:lang w:val="en-US" w:eastAsia="zh-CN"/>
        </w:rPr>
        <w:t>3.3.7</w:t>
      </w:r>
      <w:r>
        <w:rPr>
          <w:rFonts w:hint="eastAsia" w:ascii="宋体" w:hAnsi="宋体" w:cs="宋体"/>
          <w:b/>
          <w:sz w:val="24"/>
          <w:szCs w:val="24"/>
        </w:rPr>
        <w:t>“检验结果判定”</w:t>
      </w:r>
      <w:bookmarkEnd w:id="24"/>
    </w:p>
    <w:p>
      <w:pPr>
        <w:spacing w:line="360" w:lineRule="auto"/>
        <w:ind w:firstLine="480" w:firstLineChars="200"/>
        <w:rPr>
          <w:rFonts w:hint="eastAsia" w:ascii="宋体" w:hAnsi="宋体" w:eastAsia="宋体" w:cs="宋体"/>
          <w:b w:val="0"/>
          <w:bCs/>
          <w:sz w:val="24"/>
          <w:szCs w:val="24"/>
          <w:lang w:eastAsia="zh-CN"/>
        </w:rPr>
      </w:pPr>
      <w:r>
        <w:rPr>
          <w:rFonts w:hint="eastAsia" w:ascii="宋体" w:hAnsi="宋体" w:cs="宋体"/>
          <w:sz w:val="24"/>
          <w:szCs w:val="24"/>
        </w:rPr>
        <w:t>原文件</w:t>
      </w:r>
      <w:r>
        <w:rPr>
          <w:rFonts w:hint="eastAsia" w:ascii="宋体" w:hAnsi="宋体" w:cs="宋体"/>
          <w:sz w:val="24"/>
          <w:szCs w:val="24"/>
          <w:lang w:eastAsia="zh-CN"/>
        </w:rPr>
        <w:t>中“检验结果判定”条款中有“</w:t>
      </w:r>
      <w:r>
        <w:rPr>
          <w:rFonts w:hint="eastAsia" w:ascii="宋体" w:hAnsi="宋体" w:cs="宋体"/>
          <w:b w:val="0"/>
          <w:bCs/>
          <w:sz w:val="24"/>
          <w:szCs w:val="24"/>
        </w:rPr>
        <w:t>或者按较低品级作为最终结果</w:t>
      </w:r>
      <w:r>
        <w:rPr>
          <w:rFonts w:hint="eastAsia" w:ascii="宋体" w:hAnsi="宋体" w:cs="宋体"/>
          <w:b w:val="0"/>
          <w:bCs/>
          <w:sz w:val="24"/>
          <w:szCs w:val="24"/>
          <w:lang w:eastAsia="zh-CN"/>
        </w:rPr>
        <w:t>”</w:t>
      </w:r>
      <w:r>
        <w:rPr>
          <w:rFonts w:hint="eastAsia" w:ascii="宋体" w:hAnsi="宋体" w:cs="宋体"/>
          <w:b w:val="0"/>
          <w:bCs/>
          <w:sz w:val="24"/>
          <w:szCs w:val="24"/>
        </w:rPr>
        <w:t>。</w:t>
      </w:r>
      <w:r>
        <w:rPr>
          <w:rFonts w:hint="eastAsia" w:ascii="宋体" w:hAnsi="宋体" w:cs="宋体"/>
          <w:b w:val="0"/>
          <w:bCs/>
          <w:sz w:val="24"/>
          <w:szCs w:val="24"/>
          <w:lang w:eastAsia="zh-CN"/>
        </w:rPr>
        <w:t>“</w:t>
      </w:r>
      <w:r>
        <w:rPr>
          <w:rFonts w:hint="eastAsia" w:ascii="宋体" w:hAnsi="宋体" w:cs="宋体"/>
          <w:b w:val="0"/>
          <w:bCs/>
          <w:sz w:val="24"/>
          <w:szCs w:val="24"/>
        </w:rPr>
        <w:t>或者由供需双方协商予以解决</w:t>
      </w:r>
      <w:r>
        <w:rPr>
          <w:rFonts w:hint="eastAsia" w:ascii="宋体" w:hAnsi="宋体" w:cs="宋体"/>
          <w:b w:val="0"/>
          <w:bCs/>
          <w:sz w:val="24"/>
          <w:szCs w:val="24"/>
          <w:lang w:eastAsia="zh-CN"/>
        </w:rPr>
        <w:t>”</w:t>
      </w:r>
      <w:r>
        <w:rPr>
          <w:rFonts w:hint="eastAsia" w:ascii="宋体" w:hAnsi="宋体" w:cs="宋体"/>
          <w:b w:val="0"/>
          <w:bCs/>
          <w:sz w:val="24"/>
          <w:szCs w:val="24"/>
        </w:rPr>
        <w:t>。</w:t>
      </w:r>
      <w:r>
        <w:rPr>
          <w:rFonts w:hint="eastAsia" w:ascii="宋体" w:hAnsi="宋体" w:cs="宋体"/>
          <w:b w:val="0"/>
          <w:bCs/>
          <w:sz w:val="24"/>
          <w:szCs w:val="24"/>
          <w:lang w:eastAsia="zh-CN"/>
        </w:rPr>
        <w:t>的表述，这些内容可以在合同中约定，无需在文件中表述。</w:t>
      </w:r>
    </w:p>
    <w:p>
      <w:pPr>
        <w:spacing w:line="360" w:lineRule="auto"/>
        <w:outlineLvl w:val="2"/>
        <w:rPr>
          <w:rFonts w:hint="eastAsia" w:ascii="宋体" w:hAnsi="宋体" w:cs="宋体"/>
          <w:b/>
          <w:sz w:val="24"/>
          <w:szCs w:val="24"/>
        </w:rPr>
      </w:pPr>
      <w:bookmarkStart w:id="25" w:name="_Toc15283"/>
      <w:r>
        <w:rPr>
          <w:rFonts w:hint="eastAsia" w:ascii="宋体" w:hAnsi="宋体" w:cs="宋体"/>
          <w:b/>
          <w:sz w:val="24"/>
          <w:szCs w:val="24"/>
          <w:lang w:val="en-US" w:eastAsia="zh-CN"/>
        </w:rPr>
        <w:t>3.3.8</w:t>
      </w:r>
      <w:r>
        <w:rPr>
          <w:rFonts w:hint="eastAsia" w:ascii="宋体" w:hAnsi="宋体" w:cs="宋体"/>
          <w:b/>
          <w:sz w:val="24"/>
          <w:szCs w:val="24"/>
        </w:rPr>
        <w:t>“包装、运输、贮存和质量证明书”</w:t>
      </w:r>
      <w:bookmarkEnd w:id="25"/>
    </w:p>
    <w:p>
      <w:pPr>
        <w:spacing w:line="360" w:lineRule="auto"/>
        <w:ind w:firstLine="480" w:firstLineChars="200"/>
        <w:rPr>
          <w:rFonts w:hint="eastAsia" w:ascii="宋体" w:hAnsi="宋体" w:cs="宋体"/>
          <w:b/>
          <w:sz w:val="24"/>
          <w:szCs w:val="24"/>
        </w:rPr>
      </w:pPr>
      <w:r>
        <w:rPr>
          <w:rFonts w:hint="eastAsia" w:ascii="宋体" w:hAnsi="宋体" w:cs="宋体"/>
          <w:sz w:val="24"/>
          <w:szCs w:val="24"/>
        </w:rPr>
        <w:t>原文件</w:t>
      </w:r>
      <w:r>
        <w:rPr>
          <w:rFonts w:hint="eastAsia" w:ascii="宋体" w:hAnsi="宋体" w:cs="宋体"/>
          <w:sz w:val="24"/>
          <w:szCs w:val="24"/>
          <w:lang w:eastAsia="zh-CN"/>
        </w:rPr>
        <w:t>中没有“运输、贮存”的规定，文件中予以补充。</w:t>
      </w:r>
    </w:p>
    <w:p>
      <w:pPr>
        <w:keepNext w:val="0"/>
        <w:keepLines w:val="0"/>
        <w:pageBreakBefore w:val="0"/>
        <w:kinsoku/>
        <w:wordWrap/>
        <w:overflowPunct/>
        <w:topLinePunct w:val="0"/>
        <w:bidi w:val="0"/>
        <w:adjustRightInd/>
        <w:snapToGrid/>
        <w:spacing w:line="500" w:lineRule="exact"/>
        <w:textAlignment w:val="auto"/>
        <w:outlineLvl w:val="0"/>
        <w:rPr>
          <w:rFonts w:hint="eastAsia" w:ascii="黑体" w:hAnsi="宋体" w:eastAsia="黑体" w:cs="宋体"/>
          <w:bCs/>
          <w:color w:val="auto"/>
          <w:sz w:val="24"/>
          <w:szCs w:val="24"/>
          <w:lang w:val="en-US" w:eastAsia="zh-CN"/>
        </w:rPr>
      </w:pPr>
      <w:bookmarkStart w:id="26" w:name="_Toc31623"/>
      <w:r>
        <w:rPr>
          <w:rFonts w:hint="eastAsia" w:ascii="黑体" w:hAnsi="宋体" w:eastAsia="黑体" w:cs="宋体"/>
          <w:bCs/>
          <w:color w:val="auto"/>
          <w:sz w:val="24"/>
          <w:szCs w:val="24"/>
          <w:lang w:val="en-US" w:eastAsia="zh-CN"/>
        </w:rPr>
        <w:t>四、标准中涉及专利的情况</w:t>
      </w:r>
      <w:bookmarkEnd w:id="26"/>
    </w:p>
    <w:p>
      <w:pPr>
        <w:pStyle w:val="2"/>
        <w:keepNext w:val="0"/>
        <w:keepLines w:val="0"/>
        <w:pageBreakBefore w:val="0"/>
        <w:kinsoku/>
        <w:wordWrap/>
        <w:overflowPunct/>
        <w:topLinePunct w:val="0"/>
        <w:bidi w:val="0"/>
        <w:adjustRightInd/>
        <w:snapToGrid/>
        <w:spacing w:after="0" w:line="500" w:lineRule="exact"/>
        <w:ind w:firstLine="480" w:firstLineChars="200"/>
        <w:textAlignment w:val="auto"/>
        <w:rPr>
          <w:rFonts w:hint="default" w:ascii="宋体" w:hAnsi="宋体" w:eastAsiaTheme="minorEastAsia" w:cstheme="minorBidi"/>
          <w:color w:val="auto"/>
          <w:kern w:val="2"/>
          <w:sz w:val="24"/>
          <w:szCs w:val="24"/>
          <w:lang w:val="en-US" w:eastAsia="zh-CN" w:bidi="ar-SA"/>
        </w:rPr>
      </w:pPr>
      <w:r>
        <w:rPr>
          <w:rFonts w:hint="eastAsia" w:ascii="宋体" w:hAnsi="宋体" w:eastAsiaTheme="minorEastAsia" w:cstheme="minorBidi"/>
          <w:color w:val="auto"/>
          <w:kern w:val="2"/>
          <w:sz w:val="24"/>
          <w:szCs w:val="24"/>
          <w:lang w:val="en-US" w:eastAsia="zh-CN" w:bidi="ar-SA"/>
        </w:rPr>
        <w:t>无本标准不涉及专利问题。</w:t>
      </w:r>
    </w:p>
    <w:p>
      <w:pPr>
        <w:keepNext w:val="0"/>
        <w:keepLines w:val="0"/>
        <w:pageBreakBefore w:val="0"/>
        <w:numPr>
          <w:ilvl w:val="0"/>
          <w:numId w:val="1"/>
        </w:numPr>
        <w:kinsoku/>
        <w:wordWrap/>
        <w:overflowPunct/>
        <w:topLinePunct w:val="0"/>
        <w:bidi w:val="0"/>
        <w:adjustRightInd/>
        <w:snapToGrid/>
        <w:spacing w:line="500" w:lineRule="exact"/>
        <w:textAlignment w:val="auto"/>
        <w:outlineLvl w:val="0"/>
        <w:rPr>
          <w:rFonts w:hint="eastAsia" w:ascii="黑体" w:hAnsi="宋体" w:eastAsia="黑体" w:cs="宋体"/>
          <w:bCs/>
          <w:color w:val="auto"/>
          <w:sz w:val="24"/>
          <w:szCs w:val="24"/>
          <w:lang w:val="en-US" w:eastAsia="zh-CN"/>
        </w:rPr>
      </w:pPr>
      <w:bookmarkStart w:id="27" w:name="_Toc26278"/>
      <w:r>
        <w:rPr>
          <w:rFonts w:hint="eastAsia" w:ascii="黑体" w:hAnsi="宋体" w:eastAsia="黑体" w:cs="宋体"/>
          <w:bCs/>
          <w:color w:val="auto"/>
          <w:sz w:val="24"/>
          <w:szCs w:val="24"/>
          <w:lang w:val="en-US" w:eastAsia="zh-CN"/>
        </w:rPr>
        <w:t>预期达到的社会效益等情况</w:t>
      </w:r>
      <w:bookmarkEnd w:id="27"/>
    </w:p>
    <w:p>
      <w:pPr>
        <w:keepNext w:val="0"/>
        <w:keepLines w:val="0"/>
        <w:pageBreakBefore w:val="0"/>
        <w:kinsoku/>
        <w:wordWrap/>
        <w:overflowPunct/>
        <w:topLinePunct w:val="0"/>
        <w:bidi w:val="0"/>
        <w:adjustRightInd/>
        <w:snapToGrid/>
        <w:spacing w:line="500" w:lineRule="exact"/>
        <w:ind w:firstLine="480" w:firstLineChars="200"/>
        <w:textAlignment w:val="auto"/>
        <w:rPr>
          <w:rFonts w:hint="default" w:eastAsiaTheme="minorEastAsia"/>
          <w:sz w:val="24"/>
          <w:szCs w:val="24"/>
          <w:lang w:val="en-US" w:eastAsia="zh-CN"/>
        </w:rPr>
      </w:pPr>
      <w:r>
        <w:rPr>
          <w:rFonts w:hint="eastAsia" w:hAnsi="黑体" w:cs="黑体"/>
          <w:color w:val="auto"/>
          <w:sz w:val="24"/>
          <w:szCs w:val="24"/>
          <w:lang w:val="en-US" w:eastAsia="zh-CN"/>
        </w:rPr>
        <w:t>通过本标准的修订、发布、实施，推广和应用，对冰铜的要求、试验方法、检验规则、包装、运输、贮存及随行文件或订货单内容等内容进行规范，使其在冰铜的内、外部交货检验方面发挥指导作用，通过提高样品的代表性，达到控制检验风险，减少贸易纠纷的目的，推动铜冶炼中间产品和固体废料的减量化、无害化处理，实现我国铜冶炼向绿色、节能、环保和高效的方向发展。</w:t>
      </w:r>
    </w:p>
    <w:p>
      <w:pPr>
        <w:keepNext w:val="0"/>
        <w:keepLines w:val="0"/>
        <w:pageBreakBefore w:val="0"/>
        <w:numPr>
          <w:ilvl w:val="0"/>
          <w:numId w:val="1"/>
        </w:numPr>
        <w:kinsoku/>
        <w:wordWrap/>
        <w:overflowPunct/>
        <w:topLinePunct w:val="0"/>
        <w:bidi w:val="0"/>
        <w:adjustRightInd/>
        <w:snapToGrid/>
        <w:spacing w:line="500" w:lineRule="exact"/>
        <w:textAlignment w:val="auto"/>
        <w:outlineLvl w:val="0"/>
        <w:rPr>
          <w:rFonts w:ascii="黑体" w:hAnsi="宋体" w:eastAsia="黑体" w:cs="宋体"/>
          <w:bCs/>
          <w:color w:val="auto"/>
          <w:sz w:val="24"/>
          <w:szCs w:val="24"/>
        </w:rPr>
      </w:pPr>
      <w:bookmarkStart w:id="28" w:name="_Toc14181"/>
      <w:r>
        <w:rPr>
          <w:rFonts w:hint="eastAsia" w:ascii="黑体" w:hAnsi="宋体" w:eastAsia="黑体" w:cs="宋体"/>
          <w:bCs/>
          <w:color w:val="auto"/>
          <w:sz w:val="24"/>
          <w:szCs w:val="24"/>
          <w:lang w:val="en-US" w:eastAsia="zh-CN"/>
        </w:rPr>
        <w:t>采用国际标准和国外先进标准的情况</w:t>
      </w:r>
      <w:bookmarkEnd w:id="28"/>
    </w:p>
    <w:p>
      <w:pPr>
        <w:pStyle w:val="2"/>
        <w:ind w:firstLine="480" w:firstLineChars="200"/>
        <w:rPr>
          <w:rFonts w:hint="eastAsia" w:ascii="宋体" w:hAnsi="宋体" w:eastAsia="宋体" w:cs="宋体"/>
          <w:lang w:val="en-US"/>
        </w:rPr>
      </w:pPr>
      <w:r>
        <w:rPr>
          <w:rFonts w:hint="eastAsia" w:ascii="宋体" w:hAnsi="宋体" w:eastAsia="宋体" w:cs="宋体"/>
          <w:bCs/>
          <w:color w:val="auto"/>
          <w:sz w:val="24"/>
          <w:szCs w:val="24"/>
          <w:lang w:val="en-US" w:eastAsia="zh-CN"/>
        </w:rPr>
        <w:t>暂无</w:t>
      </w:r>
    </w:p>
    <w:p>
      <w:pPr>
        <w:keepNext w:val="0"/>
        <w:keepLines w:val="0"/>
        <w:pageBreakBefore w:val="0"/>
        <w:numPr>
          <w:ilvl w:val="0"/>
          <w:numId w:val="1"/>
        </w:numPr>
        <w:kinsoku/>
        <w:wordWrap/>
        <w:overflowPunct/>
        <w:topLinePunct w:val="0"/>
        <w:bidi w:val="0"/>
        <w:adjustRightInd/>
        <w:snapToGrid/>
        <w:spacing w:line="500" w:lineRule="exact"/>
        <w:textAlignment w:val="auto"/>
        <w:outlineLvl w:val="0"/>
        <w:rPr>
          <w:rFonts w:ascii="黑体" w:hAnsi="宋体" w:eastAsia="黑体" w:cs="宋体"/>
          <w:bCs/>
          <w:color w:val="auto"/>
          <w:sz w:val="24"/>
          <w:szCs w:val="24"/>
        </w:rPr>
      </w:pPr>
      <w:bookmarkStart w:id="29" w:name="_Toc6403"/>
      <w:r>
        <w:rPr>
          <w:rFonts w:hint="eastAsia" w:ascii="黑体" w:hAnsi="宋体" w:eastAsia="黑体" w:cs="宋体"/>
          <w:bCs/>
          <w:color w:val="auto"/>
          <w:sz w:val="24"/>
          <w:szCs w:val="24"/>
        </w:rPr>
        <w:t>与现行法律、法规、强制性国家标准及相关标准协调配套情况</w:t>
      </w:r>
      <w:bookmarkEnd w:id="29"/>
    </w:p>
    <w:p>
      <w:pPr>
        <w:keepNext w:val="0"/>
        <w:keepLines w:val="0"/>
        <w:pageBreakBefore w:val="0"/>
        <w:kinsoku/>
        <w:wordWrap/>
        <w:overflowPunct/>
        <w:topLinePunct w:val="0"/>
        <w:bidi w:val="0"/>
        <w:adjustRightInd/>
        <w:snapToGrid/>
        <w:spacing w:line="500" w:lineRule="exact"/>
        <w:ind w:firstLine="480" w:firstLineChars="200"/>
        <w:textAlignment w:val="auto"/>
        <w:rPr>
          <w:rFonts w:ascii="宋体" w:hAnsi="宋体"/>
          <w:color w:val="auto"/>
          <w:sz w:val="24"/>
          <w:szCs w:val="24"/>
        </w:rPr>
      </w:pPr>
      <w:r>
        <w:rPr>
          <w:rFonts w:hint="eastAsia" w:ascii="宋体" w:hAnsi="宋体"/>
          <w:color w:val="auto"/>
          <w:sz w:val="24"/>
          <w:szCs w:val="24"/>
        </w:rPr>
        <w:t>本标准符合现行法律、法规的要求，并与其他同类国家标准、国家J用标准、行业标准无冲突、重叠和不协调之处。</w:t>
      </w:r>
    </w:p>
    <w:p>
      <w:pPr>
        <w:keepNext w:val="0"/>
        <w:keepLines w:val="0"/>
        <w:pageBreakBefore w:val="0"/>
        <w:kinsoku/>
        <w:wordWrap/>
        <w:overflowPunct/>
        <w:topLinePunct w:val="0"/>
        <w:bidi w:val="0"/>
        <w:adjustRightInd/>
        <w:snapToGrid/>
        <w:spacing w:line="500" w:lineRule="exact"/>
        <w:textAlignment w:val="auto"/>
        <w:outlineLvl w:val="0"/>
        <w:rPr>
          <w:rFonts w:ascii="黑体" w:hAnsi="宋体" w:eastAsia="黑体" w:cs="宋体"/>
          <w:bCs/>
          <w:color w:val="auto"/>
          <w:sz w:val="24"/>
          <w:szCs w:val="24"/>
        </w:rPr>
      </w:pPr>
      <w:bookmarkStart w:id="30" w:name="_Toc32100"/>
      <w:bookmarkStart w:id="31" w:name="_Toc6668"/>
      <w:r>
        <w:rPr>
          <w:rFonts w:hint="eastAsia" w:ascii="黑体" w:hAnsi="宋体" w:eastAsia="黑体" w:cs="宋体"/>
          <w:bCs/>
          <w:color w:val="auto"/>
          <w:sz w:val="24"/>
          <w:szCs w:val="24"/>
          <w:lang w:val="en-US" w:eastAsia="zh-CN"/>
        </w:rPr>
        <w:t>八</w:t>
      </w:r>
      <w:r>
        <w:rPr>
          <w:rFonts w:hint="eastAsia" w:ascii="黑体" w:hAnsi="宋体" w:eastAsia="黑体" w:cs="宋体"/>
          <w:bCs/>
          <w:color w:val="auto"/>
          <w:sz w:val="24"/>
          <w:szCs w:val="24"/>
        </w:rPr>
        <w:t>、重大分歧意见的处理经过和依据</w:t>
      </w:r>
      <w:bookmarkEnd w:id="30"/>
      <w:bookmarkEnd w:id="31"/>
    </w:p>
    <w:p>
      <w:pPr>
        <w:keepNext w:val="0"/>
        <w:keepLines w:val="0"/>
        <w:pageBreakBefore w:val="0"/>
        <w:kinsoku/>
        <w:wordWrap/>
        <w:overflowPunct/>
        <w:topLinePunct w:val="0"/>
        <w:bidi w:val="0"/>
        <w:adjustRightInd/>
        <w:snapToGrid/>
        <w:spacing w:line="500" w:lineRule="exact"/>
        <w:ind w:firstLine="480" w:firstLineChars="200"/>
        <w:textAlignment w:val="auto"/>
        <w:rPr>
          <w:rFonts w:hint="eastAsia" w:ascii="宋体" w:hAnsi="宋体" w:eastAsiaTheme="minorEastAsia"/>
          <w:color w:val="auto"/>
          <w:sz w:val="24"/>
          <w:szCs w:val="24"/>
          <w:lang w:eastAsia="zh-CN"/>
        </w:rPr>
      </w:pPr>
      <w:r>
        <w:rPr>
          <w:rFonts w:hint="eastAsia" w:ascii="宋体" w:hAnsi="宋体"/>
          <w:color w:val="auto"/>
          <w:sz w:val="24"/>
          <w:szCs w:val="24"/>
        </w:rPr>
        <w:t>暂无。</w:t>
      </w:r>
    </w:p>
    <w:p>
      <w:pPr>
        <w:keepNext w:val="0"/>
        <w:keepLines w:val="0"/>
        <w:pageBreakBefore w:val="0"/>
        <w:kinsoku/>
        <w:wordWrap/>
        <w:overflowPunct/>
        <w:topLinePunct w:val="0"/>
        <w:bidi w:val="0"/>
        <w:adjustRightInd/>
        <w:snapToGrid/>
        <w:spacing w:line="500" w:lineRule="exact"/>
        <w:textAlignment w:val="auto"/>
        <w:outlineLvl w:val="0"/>
        <w:rPr>
          <w:rFonts w:ascii="黑体" w:hAnsi="宋体" w:eastAsia="黑体" w:cs="宋体"/>
          <w:bCs/>
          <w:color w:val="auto"/>
          <w:sz w:val="24"/>
          <w:szCs w:val="24"/>
        </w:rPr>
      </w:pPr>
      <w:bookmarkStart w:id="32" w:name="_Toc15989"/>
      <w:bookmarkStart w:id="33" w:name="_Toc246"/>
      <w:r>
        <w:rPr>
          <w:rFonts w:hint="eastAsia" w:ascii="黑体" w:hAnsi="宋体" w:eastAsia="黑体" w:cs="宋体"/>
          <w:bCs/>
          <w:color w:val="auto"/>
          <w:sz w:val="24"/>
          <w:szCs w:val="24"/>
          <w:lang w:val="en-US" w:eastAsia="zh-CN"/>
        </w:rPr>
        <w:t>九</w:t>
      </w:r>
      <w:r>
        <w:rPr>
          <w:rFonts w:hint="eastAsia" w:ascii="黑体" w:hAnsi="宋体" w:eastAsia="黑体" w:cs="宋体"/>
          <w:bCs/>
          <w:color w:val="auto"/>
          <w:sz w:val="24"/>
          <w:szCs w:val="24"/>
        </w:rPr>
        <w:t>、作为强制性或推荐性国家标准的建议</w:t>
      </w:r>
      <w:bookmarkEnd w:id="32"/>
      <w:bookmarkEnd w:id="33"/>
    </w:p>
    <w:p>
      <w:pPr>
        <w:keepNext w:val="0"/>
        <w:keepLines w:val="0"/>
        <w:pageBreakBefore w:val="0"/>
        <w:kinsoku/>
        <w:wordWrap/>
        <w:overflowPunct/>
        <w:topLinePunct w:val="0"/>
        <w:bidi w:val="0"/>
        <w:adjustRightInd/>
        <w:snapToGrid/>
        <w:spacing w:line="500" w:lineRule="exact"/>
        <w:ind w:firstLine="480" w:firstLineChars="200"/>
        <w:textAlignment w:val="auto"/>
        <w:rPr>
          <w:rFonts w:ascii="宋体" w:hAnsi="宋体"/>
          <w:color w:val="auto"/>
          <w:sz w:val="24"/>
          <w:szCs w:val="24"/>
        </w:rPr>
      </w:pPr>
      <w:r>
        <w:rPr>
          <w:rFonts w:hint="eastAsia" w:ascii="宋体" w:hAnsi="宋体" w:eastAsia="宋体" w:cs="宋体"/>
          <w:color w:val="auto"/>
          <w:sz w:val="24"/>
          <w:szCs w:val="24"/>
        </w:rPr>
        <w:t>本标准建议作为推荐性行业标准发布。</w:t>
      </w:r>
    </w:p>
    <w:p>
      <w:pPr>
        <w:keepNext w:val="0"/>
        <w:keepLines w:val="0"/>
        <w:pageBreakBefore w:val="0"/>
        <w:kinsoku/>
        <w:wordWrap/>
        <w:overflowPunct/>
        <w:topLinePunct w:val="0"/>
        <w:bidi w:val="0"/>
        <w:adjustRightInd/>
        <w:snapToGrid/>
        <w:spacing w:line="500" w:lineRule="exact"/>
        <w:textAlignment w:val="auto"/>
        <w:outlineLvl w:val="0"/>
        <w:rPr>
          <w:rFonts w:ascii="黑体" w:hAnsi="宋体" w:eastAsia="黑体" w:cs="宋体"/>
          <w:bCs/>
          <w:color w:val="auto"/>
          <w:sz w:val="24"/>
          <w:szCs w:val="24"/>
        </w:rPr>
      </w:pPr>
      <w:bookmarkStart w:id="34" w:name="_Toc15588"/>
      <w:bookmarkStart w:id="35" w:name="_Toc15125"/>
      <w:r>
        <w:rPr>
          <w:rFonts w:hint="eastAsia" w:ascii="黑体" w:hAnsi="宋体" w:eastAsia="黑体" w:cs="宋体"/>
          <w:bCs/>
          <w:color w:val="auto"/>
          <w:sz w:val="24"/>
          <w:szCs w:val="24"/>
          <w:lang w:val="en-US" w:eastAsia="zh-CN"/>
        </w:rPr>
        <w:t>十</w:t>
      </w:r>
      <w:r>
        <w:rPr>
          <w:rFonts w:hint="eastAsia" w:ascii="黑体" w:hAnsi="宋体" w:eastAsia="黑体" w:cs="宋体"/>
          <w:bCs/>
          <w:color w:val="auto"/>
          <w:sz w:val="24"/>
          <w:szCs w:val="24"/>
        </w:rPr>
        <w:t>、贯彻标准的要求和措施建议</w:t>
      </w:r>
      <w:bookmarkEnd w:id="34"/>
      <w:bookmarkEnd w:id="35"/>
    </w:p>
    <w:p>
      <w:pPr>
        <w:keepNext w:val="0"/>
        <w:keepLines w:val="0"/>
        <w:pageBreakBefore w:val="0"/>
        <w:kinsoku/>
        <w:wordWrap/>
        <w:overflowPunct/>
        <w:topLinePunct w:val="0"/>
        <w:bidi w:val="0"/>
        <w:adjustRightInd/>
        <w:snapToGrid/>
        <w:spacing w:line="500" w:lineRule="exact"/>
        <w:ind w:firstLine="480" w:firstLineChars="200"/>
        <w:textAlignment w:val="auto"/>
        <w:rPr>
          <w:rFonts w:hint="eastAsia" w:hAnsi="宋体" w:cs="宋体"/>
          <w:color w:val="auto"/>
          <w:sz w:val="24"/>
          <w:szCs w:val="24"/>
          <w:lang w:eastAsia="zh-CN"/>
        </w:rPr>
      </w:pPr>
      <w:bookmarkStart w:id="36" w:name="_Toc7802"/>
      <w:r>
        <w:rPr>
          <w:rFonts w:hint="eastAsia" w:hAnsi="宋体" w:cs="宋体"/>
          <w:color w:val="auto"/>
          <w:sz w:val="24"/>
          <w:szCs w:val="24"/>
          <w:lang w:eastAsia="zh-CN"/>
        </w:rPr>
        <w:t>可以向国外</w:t>
      </w:r>
      <w:r>
        <w:rPr>
          <w:rFonts w:hint="eastAsia" w:hAnsi="宋体" w:cs="宋体"/>
          <w:color w:val="auto"/>
          <w:sz w:val="24"/>
          <w:szCs w:val="24"/>
          <w:lang w:val="en-US" w:eastAsia="zh-CN"/>
        </w:rPr>
        <w:t>冰铜</w:t>
      </w:r>
      <w:r>
        <w:rPr>
          <w:rFonts w:hint="eastAsia" w:hAnsi="宋体" w:cs="宋体"/>
          <w:color w:val="auto"/>
          <w:sz w:val="24"/>
          <w:szCs w:val="24"/>
          <w:lang w:eastAsia="zh-CN"/>
        </w:rPr>
        <w:t>生产厂家推荐采用本标准。</w:t>
      </w:r>
    </w:p>
    <w:p>
      <w:pPr>
        <w:keepNext w:val="0"/>
        <w:keepLines w:val="0"/>
        <w:pageBreakBefore w:val="0"/>
        <w:kinsoku/>
        <w:wordWrap/>
        <w:overflowPunct/>
        <w:topLinePunct w:val="0"/>
        <w:bidi w:val="0"/>
        <w:adjustRightInd/>
        <w:snapToGrid/>
        <w:spacing w:line="500" w:lineRule="exact"/>
        <w:textAlignment w:val="auto"/>
        <w:outlineLvl w:val="0"/>
        <w:rPr>
          <w:rFonts w:ascii="黑体" w:hAnsi="宋体" w:eastAsia="黑体" w:cs="宋体"/>
          <w:bCs/>
          <w:color w:val="auto"/>
          <w:sz w:val="24"/>
          <w:szCs w:val="24"/>
        </w:rPr>
      </w:pPr>
      <w:bookmarkStart w:id="37" w:name="_Toc31060"/>
      <w:r>
        <w:rPr>
          <w:rFonts w:hint="eastAsia" w:ascii="黑体" w:hAnsi="宋体" w:eastAsia="黑体" w:cs="宋体"/>
          <w:bCs/>
          <w:color w:val="auto"/>
          <w:sz w:val="24"/>
          <w:szCs w:val="24"/>
          <w:lang w:val="en-US" w:eastAsia="zh-CN"/>
        </w:rPr>
        <w:t>十一</w:t>
      </w:r>
      <w:r>
        <w:rPr>
          <w:rFonts w:hint="eastAsia" w:ascii="黑体" w:hAnsi="宋体" w:eastAsia="黑体" w:cs="宋体"/>
          <w:bCs/>
          <w:color w:val="auto"/>
          <w:sz w:val="24"/>
          <w:szCs w:val="24"/>
        </w:rPr>
        <w:t>、废止现行有关标准的建议</w:t>
      </w:r>
      <w:bookmarkEnd w:id="36"/>
      <w:bookmarkEnd w:id="37"/>
    </w:p>
    <w:p>
      <w:pPr>
        <w:keepNext w:val="0"/>
        <w:keepLines w:val="0"/>
        <w:pageBreakBefore w:val="0"/>
        <w:kinsoku/>
        <w:wordWrap/>
        <w:overflowPunct/>
        <w:topLinePunct w:val="0"/>
        <w:bidi w:val="0"/>
        <w:adjustRightInd/>
        <w:snapToGrid/>
        <w:spacing w:line="500" w:lineRule="exact"/>
        <w:ind w:firstLine="480" w:firstLineChars="200"/>
        <w:textAlignment w:val="auto"/>
        <w:rPr>
          <w:rFonts w:hint="eastAsia" w:ascii="宋体" w:hAnsi="宋体" w:cs="宋体" w:eastAsiaTheme="minorEastAsia"/>
          <w:color w:val="auto"/>
          <w:sz w:val="24"/>
          <w:szCs w:val="24"/>
          <w:lang w:eastAsia="zh-CN"/>
        </w:rPr>
      </w:pPr>
      <w:r>
        <w:rPr>
          <w:rFonts w:hint="eastAsia" w:ascii="宋体" w:hAnsi="宋体" w:cs="宋体"/>
          <w:color w:val="auto"/>
          <w:sz w:val="24"/>
          <w:szCs w:val="24"/>
          <w:lang w:val="en-US" w:eastAsia="zh-CN"/>
        </w:rPr>
        <w:t>本标准发布实施之日起，代替YS/T 921—2013《冰铜》</w:t>
      </w:r>
    </w:p>
    <w:p>
      <w:pPr>
        <w:keepNext w:val="0"/>
        <w:keepLines w:val="0"/>
        <w:pageBreakBefore w:val="0"/>
        <w:kinsoku/>
        <w:wordWrap/>
        <w:overflowPunct/>
        <w:topLinePunct w:val="0"/>
        <w:bidi w:val="0"/>
        <w:adjustRightInd/>
        <w:snapToGrid/>
        <w:spacing w:line="500" w:lineRule="exact"/>
        <w:textAlignment w:val="auto"/>
        <w:outlineLvl w:val="0"/>
        <w:rPr>
          <w:rFonts w:ascii="黑体" w:hAnsi="宋体" w:eastAsia="黑体" w:cs="宋体"/>
          <w:bCs/>
          <w:color w:val="auto"/>
          <w:sz w:val="24"/>
          <w:szCs w:val="24"/>
        </w:rPr>
      </w:pPr>
      <w:bookmarkStart w:id="38" w:name="_Toc22451"/>
      <w:bookmarkStart w:id="39" w:name="_Toc3382"/>
      <w:r>
        <w:rPr>
          <w:rFonts w:hint="eastAsia" w:ascii="黑体" w:hAnsi="宋体" w:eastAsia="黑体" w:cs="宋体"/>
          <w:bCs/>
          <w:color w:val="auto"/>
          <w:sz w:val="24"/>
          <w:szCs w:val="24"/>
        </w:rPr>
        <w:t>十</w:t>
      </w:r>
      <w:r>
        <w:rPr>
          <w:rFonts w:hint="eastAsia" w:ascii="黑体" w:hAnsi="宋体" w:eastAsia="黑体" w:cs="宋体"/>
          <w:bCs/>
          <w:color w:val="auto"/>
          <w:sz w:val="24"/>
          <w:szCs w:val="24"/>
          <w:lang w:val="en-US" w:eastAsia="zh-CN"/>
        </w:rPr>
        <w:t>二</w:t>
      </w:r>
      <w:r>
        <w:rPr>
          <w:rFonts w:hint="eastAsia" w:ascii="黑体" w:hAnsi="宋体" w:eastAsia="黑体" w:cs="宋体"/>
          <w:bCs/>
          <w:color w:val="auto"/>
          <w:sz w:val="24"/>
          <w:szCs w:val="24"/>
        </w:rPr>
        <w:t>、其他主要内容的解释和其他需要说明的事项。</w:t>
      </w:r>
      <w:bookmarkEnd w:id="38"/>
      <w:bookmarkEnd w:id="39"/>
    </w:p>
    <w:p>
      <w:pPr>
        <w:keepNext w:val="0"/>
        <w:keepLines w:val="0"/>
        <w:pageBreakBefore w:val="0"/>
        <w:kinsoku/>
        <w:wordWrap/>
        <w:overflowPunct/>
        <w:topLinePunct w:val="0"/>
        <w:bidi w:val="0"/>
        <w:adjustRightInd/>
        <w:snapToGrid/>
        <w:spacing w:line="50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无。</w:t>
      </w:r>
    </w:p>
    <w:p>
      <w:pPr>
        <w:pStyle w:val="2"/>
        <w:rPr>
          <w:rFonts w:hint="eastAsia" w:ascii="宋体" w:hAnsi="宋体" w:cs="宋体"/>
          <w:color w:val="auto"/>
          <w:sz w:val="24"/>
          <w:szCs w:val="24"/>
        </w:rPr>
      </w:pPr>
    </w:p>
    <w:p>
      <w:pPr>
        <w:pStyle w:val="2"/>
        <w:rPr>
          <w:rFonts w:hint="eastAsia" w:ascii="宋体" w:hAnsi="宋体" w:cs="宋体"/>
          <w:color w:val="auto"/>
          <w:sz w:val="24"/>
          <w:szCs w:val="24"/>
        </w:rPr>
      </w:pPr>
    </w:p>
    <w:p>
      <w:pPr>
        <w:keepNext w:val="0"/>
        <w:keepLines w:val="0"/>
        <w:pageBreakBefore w:val="0"/>
        <w:kinsoku/>
        <w:wordWrap/>
        <w:overflowPunct/>
        <w:topLinePunct w:val="0"/>
        <w:bidi w:val="0"/>
        <w:adjustRightInd/>
        <w:snapToGrid/>
        <w:spacing w:line="500" w:lineRule="exact"/>
        <w:jc w:val="right"/>
        <w:textAlignment w:val="auto"/>
        <w:rPr>
          <w:rFonts w:ascii="宋体" w:hAnsi="宋体" w:eastAsia="宋体"/>
          <w:color w:val="auto"/>
          <w:sz w:val="24"/>
          <w:szCs w:val="24"/>
        </w:rPr>
      </w:pPr>
      <w:r>
        <w:rPr>
          <w:rFonts w:hint="eastAsia"/>
          <w:color w:val="auto"/>
          <w:sz w:val="24"/>
          <w:szCs w:val="24"/>
        </w:rPr>
        <w:t xml:space="preserve">                             《</w:t>
      </w:r>
      <w:r>
        <w:rPr>
          <w:rFonts w:hint="eastAsia" w:ascii="宋体" w:hAnsi="宋体" w:eastAsia="宋体"/>
          <w:color w:val="auto"/>
          <w:sz w:val="24"/>
          <w:szCs w:val="24"/>
          <w:lang w:val="en-US" w:eastAsia="zh-CN"/>
        </w:rPr>
        <w:t>冰铜</w:t>
      </w:r>
      <w:r>
        <w:rPr>
          <w:rFonts w:hint="eastAsia"/>
          <w:color w:val="auto"/>
          <w:sz w:val="24"/>
          <w:szCs w:val="24"/>
        </w:rPr>
        <w:t>》</w:t>
      </w:r>
      <w:r>
        <w:rPr>
          <w:rFonts w:hint="eastAsia" w:ascii="宋体" w:hAnsi="宋体" w:eastAsia="宋体"/>
          <w:color w:val="auto"/>
          <w:sz w:val="24"/>
          <w:szCs w:val="24"/>
        </w:rPr>
        <w:t>编制组</w:t>
      </w:r>
    </w:p>
    <w:p>
      <w:pPr>
        <w:keepNext w:val="0"/>
        <w:keepLines w:val="0"/>
        <w:pageBreakBefore w:val="0"/>
        <w:kinsoku/>
        <w:wordWrap/>
        <w:overflowPunct/>
        <w:topLinePunct w:val="0"/>
        <w:bidi w:val="0"/>
        <w:adjustRightInd/>
        <w:snapToGrid/>
        <w:spacing w:line="500" w:lineRule="exact"/>
        <w:jc w:val="right"/>
        <w:textAlignment w:val="auto"/>
        <w:rPr>
          <w:rFonts w:hint="default" w:ascii="宋体" w:hAnsi="宋体" w:eastAsia="宋体"/>
          <w:color w:val="auto"/>
          <w:sz w:val="24"/>
          <w:szCs w:val="24"/>
          <w:lang w:val="en-US" w:eastAsia="zh-CN"/>
        </w:rPr>
      </w:pPr>
      <w:r>
        <w:rPr>
          <w:rFonts w:hint="eastAsia" w:ascii="宋体" w:hAnsi="宋体" w:eastAsia="宋体"/>
          <w:color w:val="auto"/>
          <w:sz w:val="24"/>
          <w:szCs w:val="24"/>
        </w:rPr>
        <w:t xml:space="preserve">                             20</w:t>
      </w:r>
      <w:r>
        <w:rPr>
          <w:rFonts w:hint="eastAsia" w:ascii="宋体" w:hAnsi="宋体" w:eastAsia="宋体"/>
          <w:color w:val="auto"/>
          <w:sz w:val="24"/>
          <w:szCs w:val="24"/>
          <w:lang w:val="en-US" w:eastAsia="zh-CN"/>
        </w:rPr>
        <w:t>23</w:t>
      </w:r>
      <w:r>
        <w:rPr>
          <w:rFonts w:hint="eastAsia" w:ascii="宋体" w:hAnsi="宋体" w:eastAsia="宋体"/>
          <w:color w:val="auto"/>
          <w:sz w:val="24"/>
          <w:szCs w:val="24"/>
        </w:rPr>
        <w:t>年</w:t>
      </w:r>
      <w:r>
        <w:rPr>
          <w:rFonts w:hint="eastAsia" w:ascii="宋体" w:hAnsi="宋体" w:eastAsia="宋体"/>
          <w:color w:val="auto"/>
          <w:sz w:val="24"/>
          <w:szCs w:val="24"/>
          <w:lang w:val="en-US" w:eastAsia="zh-CN"/>
        </w:rPr>
        <w:t>3</w:t>
      </w:r>
      <w:r>
        <w:rPr>
          <w:rFonts w:hint="eastAsia" w:ascii="宋体" w:hAnsi="宋体" w:eastAsia="宋体"/>
          <w:color w:val="auto"/>
          <w:sz w:val="24"/>
          <w:szCs w:val="24"/>
        </w:rPr>
        <w:t>月</w:t>
      </w:r>
      <w:r>
        <w:rPr>
          <w:rFonts w:hint="eastAsia" w:ascii="宋体" w:hAnsi="宋体" w:eastAsia="宋体"/>
          <w:color w:val="auto"/>
          <w:sz w:val="24"/>
          <w:szCs w:val="24"/>
          <w:lang w:val="en-US" w:eastAsia="zh-CN"/>
        </w:rPr>
        <w:t>20</w:t>
      </w:r>
      <w:r>
        <w:rPr>
          <w:rFonts w:hint="eastAsia" w:ascii="宋体" w:hAnsi="宋体" w:eastAsia="宋体"/>
          <w:color w:val="auto"/>
          <w:sz w:val="24"/>
          <w:szCs w:val="24"/>
        </w:rPr>
        <w:t>日</w:t>
      </w:r>
    </w:p>
    <w:sectPr>
      <w:footerReference r:id="rId6" w:type="default"/>
      <w:pgSz w:w="11906" w:h="16838"/>
      <w:pgMar w:top="1440" w:right="1780" w:bottom="1440" w:left="178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61007A87" w:usb1="8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5"/>
      </w:rPr>
    </w:pPr>
    <w:r>
      <w:fldChar w:fldCharType="begin"/>
    </w:r>
    <w:r>
      <w:rPr>
        <w:rStyle w:val="15"/>
      </w:rPr>
      <w:instrText xml:space="preserve">PAGE  </w:instrTex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5"/>
        <w:sz w:val="24"/>
        <w:szCs w:val="24"/>
      </w:rPr>
    </w:pPr>
    <w:r>
      <w:rPr>
        <w:sz w:val="24"/>
        <w:szCs w:val="24"/>
      </w:rPr>
      <w:fldChar w:fldCharType="begin"/>
    </w:r>
    <w:r>
      <w:rPr>
        <w:rStyle w:val="15"/>
        <w:sz w:val="24"/>
        <w:szCs w:val="24"/>
      </w:rPr>
      <w:instrText xml:space="preserve">PAGE  </w:instrText>
    </w:r>
    <w:r>
      <w:rPr>
        <w:sz w:val="24"/>
        <w:szCs w:val="24"/>
      </w:rPr>
      <w:fldChar w:fldCharType="separate"/>
    </w:r>
    <w:r>
      <w:rPr>
        <w:rStyle w:val="15"/>
        <w:sz w:val="24"/>
        <w:szCs w:val="24"/>
      </w:rPr>
      <w:t>- 8 -</w:t>
    </w:r>
    <w:r>
      <w:rPr>
        <w:sz w:val="24"/>
        <w:szCs w:val="24"/>
      </w:rP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9F0784"/>
    <w:multiLevelType w:val="singleLevel"/>
    <w:tmpl w:val="DA9F0784"/>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4ZjM2YWJjMDAzNmVkZjQ4OTc4MGEzZTg4ZWVhNWYifQ=="/>
  </w:docVars>
  <w:rsids>
    <w:rsidRoot w:val="0049152D"/>
    <w:rsid w:val="00000899"/>
    <w:rsid w:val="00002C81"/>
    <w:rsid w:val="0000483E"/>
    <w:rsid w:val="0000533A"/>
    <w:rsid w:val="00006069"/>
    <w:rsid w:val="00007345"/>
    <w:rsid w:val="0000734E"/>
    <w:rsid w:val="000119A5"/>
    <w:rsid w:val="00011F52"/>
    <w:rsid w:val="0001287D"/>
    <w:rsid w:val="00013051"/>
    <w:rsid w:val="00013700"/>
    <w:rsid w:val="00014230"/>
    <w:rsid w:val="000142A3"/>
    <w:rsid w:val="0001434A"/>
    <w:rsid w:val="000146E1"/>
    <w:rsid w:val="00015683"/>
    <w:rsid w:val="00015B66"/>
    <w:rsid w:val="00016452"/>
    <w:rsid w:val="00016C1B"/>
    <w:rsid w:val="000174E9"/>
    <w:rsid w:val="00017703"/>
    <w:rsid w:val="00020B8D"/>
    <w:rsid w:val="00020E6C"/>
    <w:rsid w:val="0002350F"/>
    <w:rsid w:val="00025C36"/>
    <w:rsid w:val="00026B44"/>
    <w:rsid w:val="00026C0C"/>
    <w:rsid w:val="000312D7"/>
    <w:rsid w:val="00032958"/>
    <w:rsid w:val="00033C9E"/>
    <w:rsid w:val="00035A30"/>
    <w:rsid w:val="000362EA"/>
    <w:rsid w:val="0003648A"/>
    <w:rsid w:val="000370C9"/>
    <w:rsid w:val="000376FC"/>
    <w:rsid w:val="00041459"/>
    <w:rsid w:val="000425E5"/>
    <w:rsid w:val="00043943"/>
    <w:rsid w:val="00047256"/>
    <w:rsid w:val="00047897"/>
    <w:rsid w:val="00047C97"/>
    <w:rsid w:val="000538E0"/>
    <w:rsid w:val="00053978"/>
    <w:rsid w:val="000543AE"/>
    <w:rsid w:val="00056B2E"/>
    <w:rsid w:val="00057549"/>
    <w:rsid w:val="00060E9C"/>
    <w:rsid w:val="00061A95"/>
    <w:rsid w:val="00061BAC"/>
    <w:rsid w:val="00062BA9"/>
    <w:rsid w:val="000630E4"/>
    <w:rsid w:val="0006311A"/>
    <w:rsid w:val="000632D5"/>
    <w:rsid w:val="000634E4"/>
    <w:rsid w:val="00063E72"/>
    <w:rsid w:val="000647B0"/>
    <w:rsid w:val="000647D1"/>
    <w:rsid w:val="000648D5"/>
    <w:rsid w:val="00064F0E"/>
    <w:rsid w:val="0006509C"/>
    <w:rsid w:val="000661DC"/>
    <w:rsid w:val="0006634E"/>
    <w:rsid w:val="00067F99"/>
    <w:rsid w:val="0007025D"/>
    <w:rsid w:val="0007113B"/>
    <w:rsid w:val="00072938"/>
    <w:rsid w:val="00072B7E"/>
    <w:rsid w:val="00073823"/>
    <w:rsid w:val="000738A3"/>
    <w:rsid w:val="00073EA4"/>
    <w:rsid w:val="00074BD0"/>
    <w:rsid w:val="00075228"/>
    <w:rsid w:val="00076905"/>
    <w:rsid w:val="00083504"/>
    <w:rsid w:val="00083671"/>
    <w:rsid w:val="0008539E"/>
    <w:rsid w:val="0008748A"/>
    <w:rsid w:val="00087579"/>
    <w:rsid w:val="00090932"/>
    <w:rsid w:val="0009564E"/>
    <w:rsid w:val="000956AA"/>
    <w:rsid w:val="00095716"/>
    <w:rsid w:val="00095B00"/>
    <w:rsid w:val="000968E7"/>
    <w:rsid w:val="000A25DA"/>
    <w:rsid w:val="000A2674"/>
    <w:rsid w:val="000A46E3"/>
    <w:rsid w:val="000A68B0"/>
    <w:rsid w:val="000A68DC"/>
    <w:rsid w:val="000B0288"/>
    <w:rsid w:val="000B12AD"/>
    <w:rsid w:val="000B20BA"/>
    <w:rsid w:val="000C2E3D"/>
    <w:rsid w:val="000C4435"/>
    <w:rsid w:val="000C7BE6"/>
    <w:rsid w:val="000D004B"/>
    <w:rsid w:val="000D146E"/>
    <w:rsid w:val="000D255F"/>
    <w:rsid w:val="000D2968"/>
    <w:rsid w:val="000D3C54"/>
    <w:rsid w:val="000D419A"/>
    <w:rsid w:val="000D6C50"/>
    <w:rsid w:val="000E0E5D"/>
    <w:rsid w:val="000E12A2"/>
    <w:rsid w:val="000E2F2B"/>
    <w:rsid w:val="000E3BE4"/>
    <w:rsid w:val="000E5601"/>
    <w:rsid w:val="000E5B35"/>
    <w:rsid w:val="000E7291"/>
    <w:rsid w:val="000E7398"/>
    <w:rsid w:val="000E7492"/>
    <w:rsid w:val="000E75F6"/>
    <w:rsid w:val="000F0726"/>
    <w:rsid w:val="000F21CD"/>
    <w:rsid w:val="000F2931"/>
    <w:rsid w:val="000F60BA"/>
    <w:rsid w:val="000F7EE8"/>
    <w:rsid w:val="0010164F"/>
    <w:rsid w:val="00103B79"/>
    <w:rsid w:val="00103F5A"/>
    <w:rsid w:val="001043C6"/>
    <w:rsid w:val="0011080B"/>
    <w:rsid w:val="00112E27"/>
    <w:rsid w:val="001133B5"/>
    <w:rsid w:val="0011342C"/>
    <w:rsid w:val="00115E89"/>
    <w:rsid w:val="001169BC"/>
    <w:rsid w:val="001172DB"/>
    <w:rsid w:val="0011791C"/>
    <w:rsid w:val="0011799D"/>
    <w:rsid w:val="00117A27"/>
    <w:rsid w:val="00120FE8"/>
    <w:rsid w:val="001215B6"/>
    <w:rsid w:val="00122E35"/>
    <w:rsid w:val="00123CA5"/>
    <w:rsid w:val="00125817"/>
    <w:rsid w:val="00125CAC"/>
    <w:rsid w:val="00126111"/>
    <w:rsid w:val="001268D7"/>
    <w:rsid w:val="00130CC9"/>
    <w:rsid w:val="0013566C"/>
    <w:rsid w:val="001360C1"/>
    <w:rsid w:val="001421CF"/>
    <w:rsid w:val="00142C75"/>
    <w:rsid w:val="00143A39"/>
    <w:rsid w:val="00144F28"/>
    <w:rsid w:val="00145147"/>
    <w:rsid w:val="00145188"/>
    <w:rsid w:val="001455A0"/>
    <w:rsid w:val="00147858"/>
    <w:rsid w:val="001502D3"/>
    <w:rsid w:val="0015114D"/>
    <w:rsid w:val="001517E4"/>
    <w:rsid w:val="00151DFA"/>
    <w:rsid w:val="00152A50"/>
    <w:rsid w:val="00152CEE"/>
    <w:rsid w:val="00152F27"/>
    <w:rsid w:val="001531DA"/>
    <w:rsid w:val="0016143F"/>
    <w:rsid w:val="00161FB3"/>
    <w:rsid w:val="00162FCD"/>
    <w:rsid w:val="00164041"/>
    <w:rsid w:val="00164320"/>
    <w:rsid w:val="0016453D"/>
    <w:rsid w:val="00165B11"/>
    <w:rsid w:val="00167FF7"/>
    <w:rsid w:val="001710BE"/>
    <w:rsid w:val="001728AD"/>
    <w:rsid w:val="00173330"/>
    <w:rsid w:val="00175F20"/>
    <w:rsid w:val="0017788A"/>
    <w:rsid w:val="00180F34"/>
    <w:rsid w:val="00181FDF"/>
    <w:rsid w:val="00183DBE"/>
    <w:rsid w:val="00183F8C"/>
    <w:rsid w:val="00184A11"/>
    <w:rsid w:val="00185294"/>
    <w:rsid w:val="00186327"/>
    <w:rsid w:val="001866BE"/>
    <w:rsid w:val="001868B2"/>
    <w:rsid w:val="0019074F"/>
    <w:rsid w:val="001909E7"/>
    <w:rsid w:val="0019306C"/>
    <w:rsid w:val="001936E4"/>
    <w:rsid w:val="001945B5"/>
    <w:rsid w:val="00194AB3"/>
    <w:rsid w:val="00195204"/>
    <w:rsid w:val="0019675D"/>
    <w:rsid w:val="00196900"/>
    <w:rsid w:val="00196D91"/>
    <w:rsid w:val="0019747E"/>
    <w:rsid w:val="001976D2"/>
    <w:rsid w:val="00197920"/>
    <w:rsid w:val="001A0EA6"/>
    <w:rsid w:val="001A2F17"/>
    <w:rsid w:val="001A577D"/>
    <w:rsid w:val="001B1F37"/>
    <w:rsid w:val="001B2EA2"/>
    <w:rsid w:val="001B548E"/>
    <w:rsid w:val="001B6C1B"/>
    <w:rsid w:val="001B7E54"/>
    <w:rsid w:val="001C010F"/>
    <w:rsid w:val="001C1800"/>
    <w:rsid w:val="001C1A61"/>
    <w:rsid w:val="001C1C7F"/>
    <w:rsid w:val="001C3BD9"/>
    <w:rsid w:val="001C3C44"/>
    <w:rsid w:val="001C5F5B"/>
    <w:rsid w:val="001C63FA"/>
    <w:rsid w:val="001C6400"/>
    <w:rsid w:val="001C64E2"/>
    <w:rsid w:val="001D1CBF"/>
    <w:rsid w:val="001D29BF"/>
    <w:rsid w:val="001D2E17"/>
    <w:rsid w:val="001D3A88"/>
    <w:rsid w:val="001D4C7B"/>
    <w:rsid w:val="001D50AF"/>
    <w:rsid w:val="001E0750"/>
    <w:rsid w:val="001E1C8D"/>
    <w:rsid w:val="001E2613"/>
    <w:rsid w:val="001E35D2"/>
    <w:rsid w:val="001E5CB5"/>
    <w:rsid w:val="001E7143"/>
    <w:rsid w:val="001E77A0"/>
    <w:rsid w:val="001F0609"/>
    <w:rsid w:val="001F1028"/>
    <w:rsid w:val="001F18F7"/>
    <w:rsid w:val="001F21E5"/>
    <w:rsid w:val="001F3BE7"/>
    <w:rsid w:val="001F4570"/>
    <w:rsid w:val="001F64BD"/>
    <w:rsid w:val="001F7AA9"/>
    <w:rsid w:val="001F7D16"/>
    <w:rsid w:val="001F7D87"/>
    <w:rsid w:val="002007E1"/>
    <w:rsid w:val="00201957"/>
    <w:rsid w:val="002028F6"/>
    <w:rsid w:val="00202F21"/>
    <w:rsid w:val="00203916"/>
    <w:rsid w:val="00204E1B"/>
    <w:rsid w:val="00205696"/>
    <w:rsid w:val="00210806"/>
    <w:rsid w:val="00210D97"/>
    <w:rsid w:val="00211DAA"/>
    <w:rsid w:val="00212C2F"/>
    <w:rsid w:val="00213C05"/>
    <w:rsid w:val="00213CB8"/>
    <w:rsid w:val="002149D3"/>
    <w:rsid w:val="00215CF2"/>
    <w:rsid w:val="00217EB2"/>
    <w:rsid w:val="00221A02"/>
    <w:rsid w:val="00221D88"/>
    <w:rsid w:val="0022398D"/>
    <w:rsid w:val="002252C9"/>
    <w:rsid w:val="00230C35"/>
    <w:rsid w:val="00231422"/>
    <w:rsid w:val="00232045"/>
    <w:rsid w:val="002320C8"/>
    <w:rsid w:val="00233226"/>
    <w:rsid w:val="00233A1C"/>
    <w:rsid w:val="0023455B"/>
    <w:rsid w:val="00234F74"/>
    <w:rsid w:val="00234FE4"/>
    <w:rsid w:val="00235328"/>
    <w:rsid w:val="002356F0"/>
    <w:rsid w:val="00240E23"/>
    <w:rsid w:val="00246A1A"/>
    <w:rsid w:val="00251FCE"/>
    <w:rsid w:val="002531B1"/>
    <w:rsid w:val="0025380C"/>
    <w:rsid w:val="00254BF3"/>
    <w:rsid w:val="002601E8"/>
    <w:rsid w:val="00260A33"/>
    <w:rsid w:val="00260CFE"/>
    <w:rsid w:val="0026166B"/>
    <w:rsid w:val="0026175A"/>
    <w:rsid w:val="00262CCF"/>
    <w:rsid w:val="00262E37"/>
    <w:rsid w:val="0026368F"/>
    <w:rsid w:val="00263946"/>
    <w:rsid w:val="00264E80"/>
    <w:rsid w:val="002653CB"/>
    <w:rsid w:val="002662BE"/>
    <w:rsid w:val="00267B20"/>
    <w:rsid w:val="00271A24"/>
    <w:rsid w:val="002727E2"/>
    <w:rsid w:val="002727F2"/>
    <w:rsid w:val="00276418"/>
    <w:rsid w:val="002766E1"/>
    <w:rsid w:val="00277D55"/>
    <w:rsid w:val="00277DE9"/>
    <w:rsid w:val="00280742"/>
    <w:rsid w:val="00281A43"/>
    <w:rsid w:val="002870F4"/>
    <w:rsid w:val="002931B8"/>
    <w:rsid w:val="00293432"/>
    <w:rsid w:val="00293797"/>
    <w:rsid w:val="002A119B"/>
    <w:rsid w:val="002A1596"/>
    <w:rsid w:val="002A39FC"/>
    <w:rsid w:val="002A477A"/>
    <w:rsid w:val="002A52DB"/>
    <w:rsid w:val="002A5373"/>
    <w:rsid w:val="002A61D8"/>
    <w:rsid w:val="002A7451"/>
    <w:rsid w:val="002B0BEE"/>
    <w:rsid w:val="002B12B9"/>
    <w:rsid w:val="002B1C35"/>
    <w:rsid w:val="002B2BCB"/>
    <w:rsid w:val="002B33F4"/>
    <w:rsid w:val="002B351D"/>
    <w:rsid w:val="002B45E4"/>
    <w:rsid w:val="002B4A70"/>
    <w:rsid w:val="002B6C88"/>
    <w:rsid w:val="002C11C3"/>
    <w:rsid w:val="002C33FD"/>
    <w:rsid w:val="002C3F54"/>
    <w:rsid w:val="002C6308"/>
    <w:rsid w:val="002C7E20"/>
    <w:rsid w:val="002D16DB"/>
    <w:rsid w:val="002D29B7"/>
    <w:rsid w:val="002D6F42"/>
    <w:rsid w:val="002D75D7"/>
    <w:rsid w:val="002E22A3"/>
    <w:rsid w:val="002E34A8"/>
    <w:rsid w:val="002E3C9C"/>
    <w:rsid w:val="002E7402"/>
    <w:rsid w:val="002E743E"/>
    <w:rsid w:val="002F0868"/>
    <w:rsid w:val="002F0A63"/>
    <w:rsid w:val="002F18EC"/>
    <w:rsid w:val="002F3E1F"/>
    <w:rsid w:val="002F3FA9"/>
    <w:rsid w:val="002F4638"/>
    <w:rsid w:val="002F47B1"/>
    <w:rsid w:val="002F56D7"/>
    <w:rsid w:val="002F6351"/>
    <w:rsid w:val="002F6E9F"/>
    <w:rsid w:val="002F7378"/>
    <w:rsid w:val="00300AFD"/>
    <w:rsid w:val="00301047"/>
    <w:rsid w:val="00304AE0"/>
    <w:rsid w:val="003058A9"/>
    <w:rsid w:val="00306204"/>
    <w:rsid w:val="00310C92"/>
    <w:rsid w:val="00311726"/>
    <w:rsid w:val="00311A03"/>
    <w:rsid w:val="00311EF2"/>
    <w:rsid w:val="00311F46"/>
    <w:rsid w:val="00321BF3"/>
    <w:rsid w:val="003222DE"/>
    <w:rsid w:val="00323A14"/>
    <w:rsid w:val="00326E25"/>
    <w:rsid w:val="00327C26"/>
    <w:rsid w:val="0033114F"/>
    <w:rsid w:val="00332590"/>
    <w:rsid w:val="0033375D"/>
    <w:rsid w:val="003341F6"/>
    <w:rsid w:val="00334FD6"/>
    <w:rsid w:val="0033778F"/>
    <w:rsid w:val="00337C4B"/>
    <w:rsid w:val="00340915"/>
    <w:rsid w:val="00340C08"/>
    <w:rsid w:val="00340C89"/>
    <w:rsid w:val="0034101B"/>
    <w:rsid w:val="00341EAD"/>
    <w:rsid w:val="0034335F"/>
    <w:rsid w:val="0034452B"/>
    <w:rsid w:val="00344AA8"/>
    <w:rsid w:val="00345E08"/>
    <w:rsid w:val="00350386"/>
    <w:rsid w:val="003520BC"/>
    <w:rsid w:val="003530CC"/>
    <w:rsid w:val="00353342"/>
    <w:rsid w:val="00353EE8"/>
    <w:rsid w:val="0035503B"/>
    <w:rsid w:val="00357AB2"/>
    <w:rsid w:val="0036126F"/>
    <w:rsid w:val="0036236D"/>
    <w:rsid w:val="0036516E"/>
    <w:rsid w:val="0036648C"/>
    <w:rsid w:val="0036699F"/>
    <w:rsid w:val="00366FD6"/>
    <w:rsid w:val="00370D90"/>
    <w:rsid w:val="00371730"/>
    <w:rsid w:val="0037462A"/>
    <w:rsid w:val="00376214"/>
    <w:rsid w:val="003764C4"/>
    <w:rsid w:val="00376D7D"/>
    <w:rsid w:val="0038013C"/>
    <w:rsid w:val="0038064F"/>
    <w:rsid w:val="003807E6"/>
    <w:rsid w:val="003829D3"/>
    <w:rsid w:val="003854A7"/>
    <w:rsid w:val="003859E4"/>
    <w:rsid w:val="00387C73"/>
    <w:rsid w:val="00390678"/>
    <w:rsid w:val="003907CF"/>
    <w:rsid w:val="00395D8B"/>
    <w:rsid w:val="003966FD"/>
    <w:rsid w:val="003A004A"/>
    <w:rsid w:val="003A0A71"/>
    <w:rsid w:val="003A0D28"/>
    <w:rsid w:val="003A0E43"/>
    <w:rsid w:val="003A0F8D"/>
    <w:rsid w:val="003A226A"/>
    <w:rsid w:val="003A3735"/>
    <w:rsid w:val="003A3C95"/>
    <w:rsid w:val="003B0813"/>
    <w:rsid w:val="003B159B"/>
    <w:rsid w:val="003B1D01"/>
    <w:rsid w:val="003B2710"/>
    <w:rsid w:val="003B30B6"/>
    <w:rsid w:val="003B5DA9"/>
    <w:rsid w:val="003B6FED"/>
    <w:rsid w:val="003C0561"/>
    <w:rsid w:val="003C0C3F"/>
    <w:rsid w:val="003C1DF8"/>
    <w:rsid w:val="003C259D"/>
    <w:rsid w:val="003C4551"/>
    <w:rsid w:val="003C45CD"/>
    <w:rsid w:val="003C5329"/>
    <w:rsid w:val="003D00B3"/>
    <w:rsid w:val="003D078B"/>
    <w:rsid w:val="003D23D7"/>
    <w:rsid w:val="003D2D50"/>
    <w:rsid w:val="003D2E34"/>
    <w:rsid w:val="003D3021"/>
    <w:rsid w:val="003D3613"/>
    <w:rsid w:val="003D6715"/>
    <w:rsid w:val="003D697A"/>
    <w:rsid w:val="003D70CD"/>
    <w:rsid w:val="003D763B"/>
    <w:rsid w:val="003D77DA"/>
    <w:rsid w:val="003E0B81"/>
    <w:rsid w:val="003E1850"/>
    <w:rsid w:val="003E28B7"/>
    <w:rsid w:val="003E29D5"/>
    <w:rsid w:val="003E57D1"/>
    <w:rsid w:val="003E6ADF"/>
    <w:rsid w:val="003E6EF7"/>
    <w:rsid w:val="003F49C6"/>
    <w:rsid w:val="003F555E"/>
    <w:rsid w:val="003F614E"/>
    <w:rsid w:val="003F7502"/>
    <w:rsid w:val="003F7BA1"/>
    <w:rsid w:val="00406567"/>
    <w:rsid w:val="0040765C"/>
    <w:rsid w:val="004076E2"/>
    <w:rsid w:val="0040773D"/>
    <w:rsid w:val="00407C11"/>
    <w:rsid w:val="00410088"/>
    <w:rsid w:val="004116FB"/>
    <w:rsid w:val="00412931"/>
    <w:rsid w:val="00414A71"/>
    <w:rsid w:val="004153B6"/>
    <w:rsid w:val="00416FB1"/>
    <w:rsid w:val="00417CE4"/>
    <w:rsid w:val="00421809"/>
    <w:rsid w:val="00422048"/>
    <w:rsid w:val="00424370"/>
    <w:rsid w:val="00425776"/>
    <w:rsid w:val="00425D82"/>
    <w:rsid w:val="004261BD"/>
    <w:rsid w:val="00427873"/>
    <w:rsid w:val="00430126"/>
    <w:rsid w:val="004301D5"/>
    <w:rsid w:val="004304B8"/>
    <w:rsid w:val="00432144"/>
    <w:rsid w:val="00435E7B"/>
    <w:rsid w:val="0043627F"/>
    <w:rsid w:val="0043704E"/>
    <w:rsid w:val="00440278"/>
    <w:rsid w:val="004405DE"/>
    <w:rsid w:val="0044264F"/>
    <w:rsid w:val="00442AA5"/>
    <w:rsid w:val="0044332E"/>
    <w:rsid w:val="00444E84"/>
    <w:rsid w:val="0044667C"/>
    <w:rsid w:val="00446C4C"/>
    <w:rsid w:val="004514C8"/>
    <w:rsid w:val="00451F87"/>
    <w:rsid w:val="00452906"/>
    <w:rsid w:val="004529DD"/>
    <w:rsid w:val="00452DAC"/>
    <w:rsid w:val="00453850"/>
    <w:rsid w:val="00454EB1"/>
    <w:rsid w:val="004565BC"/>
    <w:rsid w:val="004576A5"/>
    <w:rsid w:val="00460FA1"/>
    <w:rsid w:val="00462143"/>
    <w:rsid w:val="0046322F"/>
    <w:rsid w:val="004666E1"/>
    <w:rsid w:val="0046734F"/>
    <w:rsid w:val="004720CB"/>
    <w:rsid w:val="004728DF"/>
    <w:rsid w:val="00473AA0"/>
    <w:rsid w:val="0047455F"/>
    <w:rsid w:val="00474C54"/>
    <w:rsid w:val="004765D1"/>
    <w:rsid w:val="004767A9"/>
    <w:rsid w:val="00476BD5"/>
    <w:rsid w:val="00480137"/>
    <w:rsid w:val="00480F80"/>
    <w:rsid w:val="00480FD3"/>
    <w:rsid w:val="00481581"/>
    <w:rsid w:val="0048184E"/>
    <w:rsid w:val="00482782"/>
    <w:rsid w:val="004840FC"/>
    <w:rsid w:val="00486195"/>
    <w:rsid w:val="004863ED"/>
    <w:rsid w:val="00486436"/>
    <w:rsid w:val="004869D0"/>
    <w:rsid w:val="00487974"/>
    <w:rsid w:val="004900F7"/>
    <w:rsid w:val="0049152D"/>
    <w:rsid w:val="00494307"/>
    <w:rsid w:val="004943AB"/>
    <w:rsid w:val="00495C7F"/>
    <w:rsid w:val="00496CFF"/>
    <w:rsid w:val="00497207"/>
    <w:rsid w:val="004A1953"/>
    <w:rsid w:val="004A28E4"/>
    <w:rsid w:val="004A2B95"/>
    <w:rsid w:val="004B0F1A"/>
    <w:rsid w:val="004B12D0"/>
    <w:rsid w:val="004C37E3"/>
    <w:rsid w:val="004C5DDC"/>
    <w:rsid w:val="004C639B"/>
    <w:rsid w:val="004C7324"/>
    <w:rsid w:val="004D0ACA"/>
    <w:rsid w:val="004D29DA"/>
    <w:rsid w:val="004D3777"/>
    <w:rsid w:val="004E166F"/>
    <w:rsid w:val="004E1E35"/>
    <w:rsid w:val="004E353D"/>
    <w:rsid w:val="004E4B54"/>
    <w:rsid w:val="004E5227"/>
    <w:rsid w:val="004E555F"/>
    <w:rsid w:val="004E6E7F"/>
    <w:rsid w:val="004F40C5"/>
    <w:rsid w:val="004F4C96"/>
    <w:rsid w:val="004F69A5"/>
    <w:rsid w:val="004F76C2"/>
    <w:rsid w:val="00500130"/>
    <w:rsid w:val="00504978"/>
    <w:rsid w:val="0050730B"/>
    <w:rsid w:val="00511BD6"/>
    <w:rsid w:val="0051428E"/>
    <w:rsid w:val="005147F3"/>
    <w:rsid w:val="00515D70"/>
    <w:rsid w:val="00517579"/>
    <w:rsid w:val="005176CE"/>
    <w:rsid w:val="005200E9"/>
    <w:rsid w:val="00522BD3"/>
    <w:rsid w:val="00523E5C"/>
    <w:rsid w:val="00524C16"/>
    <w:rsid w:val="005254B4"/>
    <w:rsid w:val="00525782"/>
    <w:rsid w:val="005267EB"/>
    <w:rsid w:val="00526A34"/>
    <w:rsid w:val="00526AAF"/>
    <w:rsid w:val="005276A6"/>
    <w:rsid w:val="00531DC8"/>
    <w:rsid w:val="00532265"/>
    <w:rsid w:val="00533A74"/>
    <w:rsid w:val="0053413C"/>
    <w:rsid w:val="00534433"/>
    <w:rsid w:val="00535449"/>
    <w:rsid w:val="00535487"/>
    <w:rsid w:val="00536839"/>
    <w:rsid w:val="00540BF2"/>
    <w:rsid w:val="0054112B"/>
    <w:rsid w:val="0054246B"/>
    <w:rsid w:val="005425CC"/>
    <w:rsid w:val="0054373A"/>
    <w:rsid w:val="005446B5"/>
    <w:rsid w:val="0054479D"/>
    <w:rsid w:val="00544E4C"/>
    <w:rsid w:val="005452B7"/>
    <w:rsid w:val="005464CA"/>
    <w:rsid w:val="00550C8A"/>
    <w:rsid w:val="00550D1E"/>
    <w:rsid w:val="00552199"/>
    <w:rsid w:val="0055331E"/>
    <w:rsid w:val="005562D8"/>
    <w:rsid w:val="00557088"/>
    <w:rsid w:val="00561B33"/>
    <w:rsid w:val="00563071"/>
    <w:rsid w:val="005652D7"/>
    <w:rsid w:val="00573390"/>
    <w:rsid w:val="005757B3"/>
    <w:rsid w:val="0057757C"/>
    <w:rsid w:val="0058145D"/>
    <w:rsid w:val="00582510"/>
    <w:rsid w:val="00582834"/>
    <w:rsid w:val="005829BF"/>
    <w:rsid w:val="00582FD9"/>
    <w:rsid w:val="00583048"/>
    <w:rsid w:val="00583845"/>
    <w:rsid w:val="00583960"/>
    <w:rsid w:val="005849A6"/>
    <w:rsid w:val="005859AF"/>
    <w:rsid w:val="00590E7B"/>
    <w:rsid w:val="00591422"/>
    <w:rsid w:val="005940E3"/>
    <w:rsid w:val="005946AF"/>
    <w:rsid w:val="005947B8"/>
    <w:rsid w:val="0059508E"/>
    <w:rsid w:val="00595137"/>
    <w:rsid w:val="00595729"/>
    <w:rsid w:val="00596591"/>
    <w:rsid w:val="005A0829"/>
    <w:rsid w:val="005A0EB2"/>
    <w:rsid w:val="005A1119"/>
    <w:rsid w:val="005A264C"/>
    <w:rsid w:val="005A3477"/>
    <w:rsid w:val="005A366C"/>
    <w:rsid w:val="005A3B0F"/>
    <w:rsid w:val="005A3B3F"/>
    <w:rsid w:val="005B1210"/>
    <w:rsid w:val="005B15F5"/>
    <w:rsid w:val="005B2378"/>
    <w:rsid w:val="005B58D2"/>
    <w:rsid w:val="005B6AD4"/>
    <w:rsid w:val="005B6B92"/>
    <w:rsid w:val="005B7284"/>
    <w:rsid w:val="005C0088"/>
    <w:rsid w:val="005C0357"/>
    <w:rsid w:val="005C0611"/>
    <w:rsid w:val="005C0980"/>
    <w:rsid w:val="005C0D65"/>
    <w:rsid w:val="005C0EE2"/>
    <w:rsid w:val="005C14A3"/>
    <w:rsid w:val="005C153A"/>
    <w:rsid w:val="005C1E43"/>
    <w:rsid w:val="005C40D0"/>
    <w:rsid w:val="005C566E"/>
    <w:rsid w:val="005D069C"/>
    <w:rsid w:val="005D179F"/>
    <w:rsid w:val="005D1EDE"/>
    <w:rsid w:val="005D489F"/>
    <w:rsid w:val="005D6DF8"/>
    <w:rsid w:val="005E200B"/>
    <w:rsid w:val="005E2355"/>
    <w:rsid w:val="005E3A3E"/>
    <w:rsid w:val="005E6CA1"/>
    <w:rsid w:val="005E702C"/>
    <w:rsid w:val="005E73C2"/>
    <w:rsid w:val="005E7C44"/>
    <w:rsid w:val="005F197A"/>
    <w:rsid w:val="005F2927"/>
    <w:rsid w:val="005F2DF7"/>
    <w:rsid w:val="005F3007"/>
    <w:rsid w:val="005F304B"/>
    <w:rsid w:val="005F5F6F"/>
    <w:rsid w:val="005F698A"/>
    <w:rsid w:val="00600538"/>
    <w:rsid w:val="00605CDD"/>
    <w:rsid w:val="00605EA7"/>
    <w:rsid w:val="0060674D"/>
    <w:rsid w:val="00606A00"/>
    <w:rsid w:val="00607A0D"/>
    <w:rsid w:val="006107CF"/>
    <w:rsid w:val="006110A4"/>
    <w:rsid w:val="0061333F"/>
    <w:rsid w:val="0061335C"/>
    <w:rsid w:val="00613FB1"/>
    <w:rsid w:val="006147B6"/>
    <w:rsid w:val="006155CA"/>
    <w:rsid w:val="0061668E"/>
    <w:rsid w:val="00616F62"/>
    <w:rsid w:val="006170F3"/>
    <w:rsid w:val="0061742C"/>
    <w:rsid w:val="006179B6"/>
    <w:rsid w:val="00621FD6"/>
    <w:rsid w:val="00624E56"/>
    <w:rsid w:val="00625A71"/>
    <w:rsid w:val="00627441"/>
    <w:rsid w:val="006316F9"/>
    <w:rsid w:val="006325B0"/>
    <w:rsid w:val="0063264C"/>
    <w:rsid w:val="006328AF"/>
    <w:rsid w:val="006331CE"/>
    <w:rsid w:val="00633980"/>
    <w:rsid w:val="00633EE8"/>
    <w:rsid w:val="006350C0"/>
    <w:rsid w:val="00636185"/>
    <w:rsid w:val="0063664A"/>
    <w:rsid w:val="0063792B"/>
    <w:rsid w:val="006425BC"/>
    <w:rsid w:val="00644904"/>
    <w:rsid w:val="00644F62"/>
    <w:rsid w:val="006451CB"/>
    <w:rsid w:val="00645383"/>
    <w:rsid w:val="00646E4E"/>
    <w:rsid w:val="0064758B"/>
    <w:rsid w:val="0064769A"/>
    <w:rsid w:val="00650546"/>
    <w:rsid w:val="006518DC"/>
    <w:rsid w:val="006519D0"/>
    <w:rsid w:val="00652836"/>
    <w:rsid w:val="0065321E"/>
    <w:rsid w:val="006533FD"/>
    <w:rsid w:val="00653D6B"/>
    <w:rsid w:val="006550B2"/>
    <w:rsid w:val="0065605D"/>
    <w:rsid w:val="006570C7"/>
    <w:rsid w:val="006577D8"/>
    <w:rsid w:val="00657B29"/>
    <w:rsid w:val="00657B50"/>
    <w:rsid w:val="006602A7"/>
    <w:rsid w:val="00660496"/>
    <w:rsid w:val="00660F14"/>
    <w:rsid w:val="0066162E"/>
    <w:rsid w:val="006617FA"/>
    <w:rsid w:val="00661B7A"/>
    <w:rsid w:val="00663325"/>
    <w:rsid w:val="006636FE"/>
    <w:rsid w:val="00664255"/>
    <w:rsid w:val="00664476"/>
    <w:rsid w:val="00664A10"/>
    <w:rsid w:val="0066541E"/>
    <w:rsid w:val="006654CA"/>
    <w:rsid w:val="00665C20"/>
    <w:rsid w:val="00673DCE"/>
    <w:rsid w:val="006749E5"/>
    <w:rsid w:val="00675C9D"/>
    <w:rsid w:val="00675DA5"/>
    <w:rsid w:val="00676165"/>
    <w:rsid w:val="00676CB1"/>
    <w:rsid w:val="00686291"/>
    <w:rsid w:val="00686FA4"/>
    <w:rsid w:val="00691E65"/>
    <w:rsid w:val="00691EA1"/>
    <w:rsid w:val="00693886"/>
    <w:rsid w:val="00694BE9"/>
    <w:rsid w:val="00696114"/>
    <w:rsid w:val="0069667F"/>
    <w:rsid w:val="00696D4A"/>
    <w:rsid w:val="006974AF"/>
    <w:rsid w:val="00697728"/>
    <w:rsid w:val="006A03C8"/>
    <w:rsid w:val="006A07EB"/>
    <w:rsid w:val="006A1279"/>
    <w:rsid w:val="006A1CD6"/>
    <w:rsid w:val="006A362D"/>
    <w:rsid w:val="006A5E39"/>
    <w:rsid w:val="006A615E"/>
    <w:rsid w:val="006A641C"/>
    <w:rsid w:val="006B048C"/>
    <w:rsid w:val="006B210C"/>
    <w:rsid w:val="006B2C4A"/>
    <w:rsid w:val="006B2D1C"/>
    <w:rsid w:val="006B35DA"/>
    <w:rsid w:val="006B53F6"/>
    <w:rsid w:val="006B655F"/>
    <w:rsid w:val="006C11BE"/>
    <w:rsid w:val="006C1F06"/>
    <w:rsid w:val="006C2DB2"/>
    <w:rsid w:val="006C43B5"/>
    <w:rsid w:val="006C5E78"/>
    <w:rsid w:val="006C615F"/>
    <w:rsid w:val="006C6E2E"/>
    <w:rsid w:val="006C773D"/>
    <w:rsid w:val="006D28A5"/>
    <w:rsid w:val="006D2F81"/>
    <w:rsid w:val="006D3518"/>
    <w:rsid w:val="006D3F0C"/>
    <w:rsid w:val="006D4494"/>
    <w:rsid w:val="006D4AFF"/>
    <w:rsid w:val="006D53EB"/>
    <w:rsid w:val="006D67E7"/>
    <w:rsid w:val="006D6A30"/>
    <w:rsid w:val="006D76DB"/>
    <w:rsid w:val="006E1599"/>
    <w:rsid w:val="006E3F66"/>
    <w:rsid w:val="006E58C8"/>
    <w:rsid w:val="006E669A"/>
    <w:rsid w:val="006E7C7B"/>
    <w:rsid w:val="006F1F44"/>
    <w:rsid w:val="006F2ADA"/>
    <w:rsid w:val="006F2AE7"/>
    <w:rsid w:val="006F2D52"/>
    <w:rsid w:val="006F3591"/>
    <w:rsid w:val="006F7B7C"/>
    <w:rsid w:val="0070002A"/>
    <w:rsid w:val="00700DAE"/>
    <w:rsid w:val="007015A1"/>
    <w:rsid w:val="0070297A"/>
    <w:rsid w:val="00704090"/>
    <w:rsid w:val="00706102"/>
    <w:rsid w:val="00711461"/>
    <w:rsid w:val="0071373D"/>
    <w:rsid w:val="00713758"/>
    <w:rsid w:val="00715907"/>
    <w:rsid w:val="00720307"/>
    <w:rsid w:val="00722D85"/>
    <w:rsid w:val="007236C0"/>
    <w:rsid w:val="00724361"/>
    <w:rsid w:val="00724564"/>
    <w:rsid w:val="007255E3"/>
    <w:rsid w:val="007265F0"/>
    <w:rsid w:val="007269E3"/>
    <w:rsid w:val="00732460"/>
    <w:rsid w:val="00733D7B"/>
    <w:rsid w:val="00735881"/>
    <w:rsid w:val="00735F13"/>
    <w:rsid w:val="007364A0"/>
    <w:rsid w:val="007408D5"/>
    <w:rsid w:val="0074154C"/>
    <w:rsid w:val="00741FDE"/>
    <w:rsid w:val="00742757"/>
    <w:rsid w:val="007430B3"/>
    <w:rsid w:val="007453E5"/>
    <w:rsid w:val="00746363"/>
    <w:rsid w:val="007464AF"/>
    <w:rsid w:val="00746C27"/>
    <w:rsid w:val="00750371"/>
    <w:rsid w:val="00750941"/>
    <w:rsid w:val="00750BF7"/>
    <w:rsid w:val="0075108D"/>
    <w:rsid w:val="007557DC"/>
    <w:rsid w:val="00760148"/>
    <w:rsid w:val="007611F3"/>
    <w:rsid w:val="00762451"/>
    <w:rsid w:val="007656EE"/>
    <w:rsid w:val="00766B87"/>
    <w:rsid w:val="00767F5A"/>
    <w:rsid w:val="00771493"/>
    <w:rsid w:val="00771A62"/>
    <w:rsid w:val="0077338A"/>
    <w:rsid w:val="00773A59"/>
    <w:rsid w:val="00774701"/>
    <w:rsid w:val="007771DC"/>
    <w:rsid w:val="00777F89"/>
    <w:rsid w:val="00782574"/>
    <w:rsid w:val="007831CE"/>
    <w:rsid w:val="0078347B"/>
    <w:rsid w:val="00784F06"/>
    <w:rsid w:val="00790B45"/>
    <w:rsid w:val="0079220D"/>
    <w:rsid w:val="00792719"/>
    <w:rsid w:val="00792749"/>
    <w:rsid w:val="007928CE"/>
    <w:rsid w:val="00792ADA"/>
    <w:rsid w:val="00793ECE"/>
    <w:rsid w:val="00796E22"/>
    <w:rsid w:val="0079778C"/>
    <w:rsid w:val="00797E1A"/>
    <w:rsid w:val="007A35C4"/>
    <w:rsid w:val="007A3CC4"/>
    <w:rsid w:val="007A4418"/>
    <w:rsid w:val="007A45F1"/>
    <w:rsid w:val="007A56FF"/>
    <w:rsid w:val="007A5B54"/>
    <w:rsid w:val="007A766F"/>
    <w:rsid w:val="007B1B31"/>
    <w:rsid w:val="007B2921"/>
    <w:rsid w:val="007B392C"/>
    <w:rsid w:val="007B4388"/>
    <w:rsid w:val="007B45BA"/>
    <w:rsid w:val="007B49CE"/>
    <w:rsid w:val="007B4E9A"/>
    <w:rsid w:val="007B5474"/>
    <w:rsid w:val="007B5E52"/>
    <w:rsid w:val="007B69A9"/>
    <w:rsid w:val="007B79BB"/>
    <w:rsid w:val="007C0298"/>
    <w:rsid w:val="007C08B0"/>
    <w:rsid w:val="007C1163"/>
    <w:rsid w:val="007C1847"/>
    <w:rsid w:val="007C2376"/>
    <w:rsid w:val="007C23F5"/>
    <w:rsid w:val="007C45B1"/>
    <w:rsid w:val="007C482F"/>
    <w:rsid w:val="007C6371"/>
    <w:rsid w:val="007C672B"/>
    <w:rsid w:val="007D2756"/>
    <w:rsid w:val="007D280C"/>
    <w:rsid w:val="007D3C02"/>
    <w:rsid w:val="007D4395"/>
    <w:rsid w:val="007D4964"/>
    <w:rsid w:val="007D49A6"/>
    <w:rsid w:val="007D4B36"/>
    <w:rsid w:val="007D70B2"/>
    <w:rsid w:val="007D7313"/>
    <w:rsid w:val="007E0FC8"/>
    <w:rsid w:val="007E12FA"/>
    <w:rsid w:val="007E1C58"/>
    <w:rsid w:val="007E1D94"/>
    <w:rsid w:val="007E29EB"/>
    <w:rsid w:val="007E2B9F"/>
    <w:rsid w:val="007E4197"/>
    <w:rsid w:val="007E59FE"/>
    <w:rsid w:val="007E5C58"/>
    <w:rsid w:val="007E6320"/>
    <w:rsid w:val="007E640E"/>
    <w:rsid w:val="007E72D7"/>
    <w:rsid w:val="007F11F4"/>
    <w:rsid w:val="007F2366"/>
    <w:rsid w:val="007F2A06"/>
    <w:rsid w:val="007F4F74"/>
    <w:rsid w:val="007F5A11"/>
    <w:rsid w:val="007F62FA"/>
    <w:rsid w:val="007F6887"/>
    <w:rsid w:val="00801520"/>
    <w:rsid w:val="008020B9"/>
    <w:rsid w:val="0080321B"/>
    <w:rsid w:val="008057DB"/>
    <w:rsid w:val="00807805"/>
    <w:rsid w:val="00810C47"/>
    <w:rsid w:val="00810DC1"/>
    <w:rsid w:val="008122E0"/>
    <w:rsid w:val="0081279E"/>
    <w:rsid w:val="008139A3"/>
    <w:rsid w:val="008139C1"/>
    <w:rsid w:val="00813A79"/>
    <w:rsid w:val="0081473C"/>
    <w:rsid w:val="0081684A"/>
    <w:rsid w:val="00816BB8"/>
    <w:rsid w:val="00817F38"/>
    <w:rsid w:val="00820E4E"/>
    <w:rsid w:val="0082207A"/>
    <w:rsid w:val="00823429"/>
    <w:rsid w:val="008309E3"/>
    <w:rsid w:val="008314BA"/>
    <w:rsid w:val="00832337"/>
    <w:rsid w:val="00832B7B"/>
    <w:rsid w:val="00832FFA"/>
    <w:rsid w:val="008347F7"/>
    <w:rsid w:val="008353FC"/>
    <w:rsid w:val="00837C2E"/>
    <w:rsid w:val="00837FDA"/>
    <w:rsid w:val="00841543"/>
    <w:rsid w:val="00841833"/>
    <w:rsid w:val="008418E3"/>
    <w:rsid w:val="00842E49"/>
    <w:rsid w:val="00843D2B"/>
    <w:rsid w:val="00843FE0"/>
    <w:rsid w:val="00844357"/>
    <w:rsid w:val="008443F9"/>
    <w:rsid w:val="00844C65"/>
    <w:rsid w:val="00845862"/>
    <w:rsid w:val="00846311"/>
    <w:rsid w:val="008470F0"/>
    <w:rsid w:val="008473F7"/>
    <w:rsid w:val="00847750"/>
    <w:rsid w:val="008478D1"/>
    <w:rsid w:val="00850C3C"/>
    <w:rsid w:val="00851A9C"/>
    <w:rsid w:val="0085300C"/>
    <w:rsid w:val="008608E6"/>
    <w:rsid w:val="00860B78"/>
    <w:rsid w:val="00860BCC"/>
    <w:rsid w:val="00861880"/>
    <w:rsid w:val="0086195A"/>
    <w:rsid w:val="00861B47"/>
    <w:rsid w:val="0086229E"/>
    <w:rsid w:val="00862CED"/>
    <w:rsid w:val="0086480A"/>
    <w:rsid w:val="00864CD8"/>
    <w:rsid w:val="00867F87"/>
    <w:rsid w:val="00870279"/>
    <w:rsid w:val="00870603"/>
    <w:rsid w:val="0087096F"/>
    <w:rsid w:val="008755BA"/>
    <w:rsid w:val="00881208"/>
    <w:rsid w:val="00884FC6"/>
    <w:rsid w:val="0089080C"/>
    <w:rsid w:val="00890C8E"/>
    <w:rsid w:val="00895D8D"/>
    <w:rsid w:val="008A172E"/>
    <w:rsid w:val="008A1F51"/>
    <w:rsid w:val="008A2695"/>
    <w:rsid w:val="008A33D5"/>
    <w:rsid w:val="008A45E8"/>
    <w:rsid w:val="008A5D75"/>
    <w:rsid w:val="008A7719"/>
    <w:rsid w:val="008A7A9A"/>
    <w:rsid w:val="008B0AFD"/>
    <w:rsid w:val="008B3B41"/>
    <w:rsid w:val="008B44DA"/>
    <w:rsid w:val="008B4D42"/>
    <w:rsid w:val="008B5CA8"/>
    <w:rsid w:val="008B6FB0"/>
    <w:rsid w:val="008C1AB9"/>
    <w:rsid w:val="008C32CD"/>
    <w:rsid w:val="008C4891"/>
    <w:rsid w:val="008C64BD"/>
    <w:rsid w:val="008C7A4C"/>
    <w:rsid w:val="008C7F9B"/>
    <w:rsid w:val="008D1583"/>
    <w:rsid w:val="008D38F1"/>
    <w:rsid w:val="008D509B"/>
    <w:rsid w:val="008D53A8"/>
    <w:rsid w:val="008D716B"/>
    <w:rsid w:val="008E047F"/>
    <w:rsid w:val="008E0678"/>
    <w:rsid w:val="008E110C"/>
    <w:rsid w:val="008E11F8"/>
    <w:rsid w:val="008E4D3C"/>
    <w:rsid w:val="008E4E14"/>
    <w:rsid w:val="008E7F39"/>
    <w:rsid w:val="008F0A69"/>
    <w:rsid w:val="008F102D"/>
    <w:rsid w:val="008F14A2"/>
    <w:rsid w:val="008F4D5D"/>
    <w:rsid w:val="008F7204"/>
    <w:rsid w:val="009047FC"/>
    <w:rsid w:val="0090530E"/>
    <w:rsid w:val="009058EC"/>
    <w:rsid w:val="00905CA5"/>
    <w:rsid w:val="009064C3"/>
    <w:rsid w:val="00906858"/>
    <w:rsid w:val="00906E4E"/>
    <w:rsid w:val="00907177"/>
    <w:rsid w:val="009071AD"/>
    <w:rsid w:val="00907A06"/>
    <w:rsid w:val="00907A43"/>
    <w:rsid w:val="009131C0"/>
    <w:rsid w:val="0091413D"/>
    <w:rsid w:val="009155A6"/>
    <w:rsid w:val="00916FAC"/>
    <w:rsid w:val="009175F1"/>
    <w:rsid w:val="00920DC1"/>
    <w:rsid w:val="00920F09"/>
    <w:rsid w:val="00922FA5"/>
    <w:rsid w:val="00923B5B"/>
    <w:rsid w:val="00923DD8"/>
    <w:rsid w:val="00924FEC"/>
    <w:rsid w:val="009250A2"/>
    <w:rsid w:val="00926375"/>
    <w:rsid w:val="00930551"/>
    <w:rsid w:val="00931EF1"/>
    <w:rsid w:val="00932C17"/>
    <w:rsid w:val="0093307B"/>
    <w:rsid w:val="009331B2"/>
    <w:rsid w:val="009351F3"/>
    <w:rsid w:val="00937229"/>
    <w:rsid w:val="00941C1D"/>
    <w:rsid w:val="00941EF0"/>
    <w:rsid w:val="009423AA"/>
    <w:rsid w:val="009423AC"/>
    <w:rsid w:val="00943218"/>
    <w:rsid w:val="009453A2"/>
    <w:rsid w:val="00946AB1"/>
    <w:rsid w:val="009504B8"/>
    <w:rsid w:val="009517F6"/>
    <w:rsid w:val="00953281"/>
    <w:rsid w:val="00953B8E"/>
    <w:rsid w:val="00956565"/>
    <w:rsid w:val="00957FDC"/>
    <w:rsid w:val="009601AB"/>
    <w:rsid w:val="00960D92"/>
    <w:rsid w:val="00961947"/>
    <w:rsid w:val="00962C7C"/>
    <w:rsid w:val="00962F2C"/>
    <w:rsid w:val="0096331D"/>
    <w:rsid w:val="00963579"/>
    <w:rsid w:val="00963C26"/>
    <w:rsid w:val="00963D08"/>
    <w:rsid w:val="00963E4F"/>
    <w:rsid w:val="00965CA7"/>
    <w:rsid w:val="00966160"/>
    <w:rsid w:val="009672AC"/>
    <w:rsid w:val="00967EDD"/>
    <w:rsid w:val="00971910"/>
    <w:rsid w:val="00972B8E"/>
    <w:rsid w:val="00973A55"/>
    <w:rsid w:val="00974C45"/>
    <w:rsid w:val="00975A1E"/>
    <w:rsid w:val="00975C75"/>
    <w:rsid w:val="00980B13"/>
    <w:rsid w:val="00980F6D"/>
    <w:rsid w:val="00982E2D"/>
    <w:rsid w:val="00982F94"/>
    <w:rsid w:val="00983EDA"/>
    <w:rsid w:val="00985422"/>
    <w:rsid w:val="009867CF"/>
    <w:rsid w:val="00986DCF"/>
    <w:rsid w:val="00991021"/>
    <w:rsid w:val="00992A6C"/>
    <w:rsid w:val="00992B39"/>
    <w:rsid w:val="00996DF4"/>
    <w:rsid w:val="009A02E4"/>
    <w:rsid w:val="009A0A3D"/>
    <w:rsid w:val="009A1442"/>
    <w:rsid w:val="009A1C7C"/>
    <w:rsid w:val="009A2D3A"/>
    <w:rsid w:val="009A3F87"/>
    <w:rsid w:val="009A4F82"/>
    <w:rsid w:val="009A5325"/>
    <w:rsid w:val="009A659A"/>
    <w:rsid w:val="009A67B4"/>
    <w:rsid w:val="009A7570"/>
    <w:rsid w:val="009B475F"/>
    <w:rsid w:val="009B4A1E"/>
    <w:rsid w:val="009C0E14"/>
    <w:rsid w:val="009C1DA6"/>
    <w:rsid w:val="009C32A2"/>
    <w:rsid w:val="009C3472"/>
    <w:rsid w:val="009C6B17"/>
    <w:rsid w:val="009D2013"/>
    <w:rsid w:val="009D203D"/>
    <w:rsid w:val="009D558F"/>
    <w:rsid w:val="009E0477"/>
    <w:rsid w:val="009E0E03"/>
    <w:rsid w:val="009E12AC"/>
    <w:rsid w:val="009E1533"/>
    <w:rsid w:val="009E196E"/>
    <w:rsid w:val="009E1CB5"/>
    <w:rsid w:val="009E32E0"/>
    <w:rsid w:val="009E40D0"/>
    <w:rsid w:val="009E4365"/>
    <w:rsid w:val="009E4C53"/>
    <w:rsid w:val="009E52D8"/>
    <w:rsid w:val="009E5AB1"/>
    <w:rsid w:val="009E5CBB"/>
    <w:rsid w:val="009F096D"/>
    <w:rsid w:val="009F394D"/>
    <w:rsid w:val="009F3CC4"/>
    <w:rsid w:val="009F43BE"/>
    <w:rsid w:val="009F44E0"/>
    <w:rsid w:val="009F571B"/>
    <w:rsid w:val="009F5B90"/>
    <w:rsid w:val="009F6357"/>
    <w:rsid w:val="009F6C02"/>
    <w:rsid w:val="009F74B2"/>
    <w:rsid w:val="009F7D94"/>
    <w:rsid w:val="00A0147C"/>
    <w:rsid w:val="00A01902"/>
    <w:rsid w:val="00A02DC2"/>
    <w:rsid w:val="00A03480"/>
    <w:rsid w:val="00A04AF7"/>
    <w:rsid w:val="00A070B7"/>
    <w:rsid w:val="00A11CA2"/>
    <w:rsid w:val="00A12756"/>
    <w:rsid w:val="00A13D77"/>
    <w:rsid w:val="00A1573B"/>
    <w:rsid w:val="00A15EFB"/>
    <w:rsid w:val="00A230A8"/>
    <w:rsid w:val="00A246A8"/>
    <w:rsid w:val="00A2660D"/>
    <w:rsid w:val="00A2730C"/>
    <w:rsid w:val="00A27CF3"/>
    <w:rsid w:val="00A30BC4"/>
    <w:rsid w:val="00A30C4E"/>
    <w:rsid w:val="00A32843"/>
    <w:rsid w:val="00A33131"/>
    <w:rsid w:val="00A40C00"/>
    <w:rsid w:val="00A4126E"/>
    <w:rsid w:val="00A42D32"/>
    <w:rsid w:val="00A43BE4"/>
    <w:rsid w:val="00A46A63"/>
    <w:rsid w:val="00A47F91"/>
    <w:rsid w:val="00A520A0"/>
    <w:rsid w:val="00A54547"/>
    <w:rsid w:val="00A547CF"/>
    <w:rsid w:val="00A54B05"/>
    <w:rsid w:val="00A55E9E"/>
    <w:rsid w:val="00A56B65"/>
    <w:rsid w:val="00A57154"/>
    <w:rsid w:val="00A574FC"/>
    <w:rsid w:val="00A60A2E"/>
    <w:rsid w:val="00A60D3C"/>
    <w:rsid w:val="00A60F66"/>
    <w:rsid w:val="00A628C6"/>
    <w:rsid w:val="00A62AB4"/>
    <w:rsid w:val="00A63BA4"/>
    <w:rsid w:val="00A653EC"/>
    <w:rsid w:val="00A6711F"/>
    <w:rsid w:val="00A67BD6"/>
    <w:rsid w:val="00A70051"/>
    <w:rsid w:val="00A72527"/>
    <w:rsid w:val="00A727F9"/>
    <w:rsid w:val="00A72AD6"/>
    <w:rsid w:val="00A72EDD"/>
    <w:rsid w:val="00A75BF2"/>
    <w:rsid w:val="00A824D5"/>
    <w:rsid w:val="00A8270A"/>
    <w:rsid w:val="00A86745"/>
    <w:rsid w:val="00A928A8"/>
    <w:rsid w:val="00A93F20"/>
    <w:rsid w:val="00A94AAE"/>
    <w:rsid w:val="00A94C7E"/>
    <w:rsid w:val="00A9692C"/>
    <w:rsid w:val="00A97F66"/>
    <w:rsid w:val="00AA324F"/>
    <w:rsid w:val="00AA539D"/>
    <w:rsid w:val="00AA56B6"/>
    <w:rsid w:val="00AA763A"/>
    <w:rsid w:val="00AA7A54"/>
    <w:rsid w:val="00AB046D"/>
    <w:rsid w:val="00AB074C"/>
    <w:rsid w:val="00AB1416"/>
    <w:rsid w:val="00AB29C1"/>
    <w:rsid w:val="00AB50CF"/>
    <w:rsid w:val="00AC0055"/>
    <w:rsid w:val="00AC007F"/>
    <w:rsid w:val="00AC0677"/>
    <w:rsid w:val="00AC2558"/>
    <w:rsid w:val="00AC2F81"/>
    <w:rsid w:val="00AC3B25"/>
    <w:rsid w:val="00AC4DB2"/>
    <w:rsid w:val="00AC5119"/>
    <w:rsid w:val="00AC59E2"/>
    <w:rsid w:val="00AC6BA8"/>
    <w:rsid w:val="00AC711A"/>
    <w:rsid w:val="00AD046A"/>
    <w:rsid w:val="00AD258F"/>
    <w:rsid w:val="00AD3BBA"/>
    <w:rsid w:val="00AD3C09"/>
    <w:rsid w:val="00AD3C7F"/>
    <w:rsid w:val="00AD48C6"/>
    <w:rsid w:val="00AD4B16"/>
    <w:rsid w:val="00AD528D"/>
    <w:rsid w:val="00AD6C53"/>
    <w:rsid w:val="00AE433E"/>
    <w:rsid w:val="00AF1E7D"/>
    <w:rsid w:val="00AF26BD"/>
    <w:rsid w:val="00AF51F2"/>
    <w:rsid w:val="00B000EC"/>
    <w:rsid w:val="00B017D4"/>
    <w:rsid w:val="00B01EA1"/>
    <w:rsid w:val="00B03376"/>
    <w:rsid w:val="00B043A6"/>
    <w:rsid w:val="00B0560D"/>
    <w:rsid w:val="00B05895"/>
    <w:rsid w:val="00B05FC1"/>
    <w:rsid w:val="00B101C3"/>
    <w:rsid w:val="00B1049D"/>
    <w:rsid w:val="00B112A3"/>
    <w:rsid w:val="00B11A4B"/>
    <w:rsid w:val="00B120FE"/>
    <w:rsid w:val="00B12BC6"/>
    <w:rsid w:val="00B17AF0"/>
    <w:rsid w:val="00B239A7"/>
    <w:rsid w:val="00B245DB"/>
    <w:rsid w:val="00B26620"/>
    <w:rsid w:val="00B27045"/>
    <w:rsid w:val="00B27C98"/>
    <w:rsid w:val="00B300F4"/>
    <w:rsid w:val="00B30765"/>
    <w:rsid w:val="00B31DD6"/>
    <w:rsid w:val="00B32630"/>
    <w:rsid w:val="00B34CAA"/>
    <w:rsid w:val="00B412DC"/>
    <w:rsid w:val="00B41CD9"/>
    <w:rsid w:val="00B41DD3"/>
    <w:rsid w:val="00B426B4"/>
    <w:rsid w:val="00B46CCD"/>
    <w:rsid w:val="00B5039F"/>
    <w:rsid w:val="00B51FC9"/>
    <w:rsid w:val="00B5314F"/>
    <w:rsid w:val="00B54DDA"/>
    <w:rsid w:val="00B54F3A"/>
    <w:rsid w:val="00B567B2"/>
    <w:rsid w:val="00B56A7D"/>
    <w:rsid w:val="00B571FF"/>
    <w:rsid w:val="00B60946"/>
    <w:rsid w:val="00B6558E"/>
    <w:rsid w:val="00B67193"/>
    <w:rsid w:val="00B67D35"/>
    <w:rsid w:val="00B67E9F"/>
    <w:rsid w:val="00B70F4B"/>
    <w:rsid w:val="00B718C4"/>
    <w:rsid w:val="00B71B75"/>
    <w:rsid w:val="00B74F18"/>
    <w:rsid w:val="00B77617"/>
    <w:rsid w:val="00B77CBF"/>
    <w:rsid w:val="00B80F2E"/>
    <w:rsid w:val="00B829AB"/>
    <w:rsid w:val="00B82F45"/>
    <w:rsid w:val="00B83405"/>
    <w:rsid w:val="00B83F20"/>
    <w:rsid w:val="00B84E6B"/>
    <w:rsid w:val="00B86A84"/>
    <w:rsid w:val="00B9018E"/>
    <w:rsid w:val="00B903A5"/>
    <w:rsid w:val="00B905C3"/>
    <w:rsid w:val="00B92054"/>
    <w:rsid w:val="00B920B7"/>
    <w:rsid w:val="00B9478E"/>
    <w:rsid w:val="00B9488C"/>
    <w:rsid w:val="00B95859"/>
    <w:rsid w:val="00B96A70"/>
    <w:rsid w:val="00B97FB6"/>
    <w:rsid w:val="00BA05ED"/>
    <w:rsid w:val="00BA062A"/>
    <w:rsid w:val="00BA46D7"/>
    <w:rsid w:val="00BA48AB"/>
    <w:rsid w:val="00BA5670"/>
    <w:rsid w:val="00BA66CE"/>
    <w:rsid w:val="00BA7712"/>
    <w:rsid w:val="00BA7B09"/>
    <w:rsid w:val="00BB2044"/>
    <w:rsid w:val="00BB432B"/>
    <w:rsid w:val="00BB4DA6"/>
    <w:rsid w:val="00BC02C5"/>
    <w:rsid w:val="00BC2CDB"/>
    <w:rsid w:val="00BC371D"/>
    <w:rsid w:val="00BC4A6E"/>
    <w:rsid w:val="00BC548D"/>
    <w:rsid w:val="00BC6356"/>
    <w:rsid w:val="00BC6621"/>
    <w:rsid w:val="00BC6D78"/>
    <w:rsid w:val="00BD0BA6"/>
    <w:rsid w:val="00BD1290"/>
    <w:rsid w:val="00BD1A8F"/>
    <w:rsid w:val="00BD24D4"/>
    <w:rsid w:val="00BD4E7A"/>
    <w:rsid w:val="00BD5E18"/>
    <w:rsid w:val="00BD6E7A"/>
    <w:rsid w:val="00BE01B3"/>
    <w:rsid w:val="00BE09B6"/>
    <w:rsid w:val="00BE3B1F"/>
    <w:rsid w:val="00BE4F7B"/>
    <w:rsid w:val="00BE5598"/>
    <w:rsid w:val="00BE5A42"/>
    <w:rsid w:val="00BE6C70"/>
    <w:rsid w:val="00BE6DA3"/>
    <w:rsid w:val="00BE7612"/>
    <w:rsid w:val="00BF109A"/>
    <w:rsid w:val="00BF3586"/>
    <w:rsid w:val="00C03BA0"/>
    <w:rsid w:val="00C078B4"/>
    <w:rsid w:val="00C07D37"/>
    <w:rsid w:val="00C1073D"/>
    <w:rsid w:val="00C123A9"/>
    <w:rsid w:val="00C131D6"/>
    <w:rsid w:val="00C13379"/>
    <w:rsid w:val="00C13F24"/>
    <w:rsid w:val="00C15DA6"/>
    <w:rsid w:val="00C165DE"/>
    <w:rsid w:val="00C214C2"/>
    <w:rsid w:val="00C25ED7"/>
    <w:rsid w:val="00C26002"/>
    <w:rsid w:val="00C26983"/>
    <w:rsid w:val="00C274C9"/>
    <w:rsid w:val="00C30622"/>
    <w:rsid w:val="00C31586"/>
    <w:rsid w:val="00C31ADD"/>
    <w:rsid w:val="00C3339F"/>
    <w:rsid w:val="00C34EA3"/>
    <w:rsid w:val="00C3551D"/>
    <w:rsid w:val="00C35FC9"/>
    <w:rsid w:val="00C3704C"/>
    <w:rsid w:val="00C377C5"/>
    <w:rsid w:val="00C43BE1"/>
    <w:rsid w:val="00C44DBD"/>
    <w:rsid w:val="00C461DC"/>
    <w:rsid w:val="00C46671"/>
    <w:rsid w:val="00C46E46"/>
    <w:rsid w:val="00C50BA4"/>
    <w:rsid w:val="00C52F3F"/>
    <w:rsid w:val="00C55615"/>
    <w:rsid w:val="00C57FA6"/>
    <w:rsid w:val="00C60DFE"/>
    <w:rsid w:val="00C611F1"/>
    <w:rsid w:val="00C616EE"/>
    <w:rsid w:val="00C63123"/>
    <w:rsid w:val="00C640E1"/>
    <w:rsid w:val="00C6449E"/>
    <w:rsid w:val="00C64727"/>
    <w:rsid w:val="00C655DD"/>
    <w:rsid w:val="00C668FA"/>
    <w:rsid w:val="00C72066"/>
    <w:rsid w:val="00C74A04"/>
    <w:rsid w:val="00C81BE8"/>
    <w:rsid w:val="00C825D1"/>
    <w:rsid w:val="00C82BDE"/>
    <w:rsid w:val="00C84386"/>
    <w:rsid w:val="00C84DA9"/>
    <w:rsid w:val="00C8690B"/>
    <w:rsid w:val="00C872CC"/>
    <w:rsid w:val="00C875A8"/>
    <w:rsid w:val="00C8771D"/>
    <w:rsid w:val="00C87997"/>
    <w:rsid w:val="00C9040C"/>
    <w:rsid w:val="00C904F3"/>
    <w:rsid w:val="00C91D12"/>
    <w:rsid w:val="00C9646E"/>
    <w:rsid w:val="00CA164D"/>
    <w:rsid w:val="00CA3BD2"/>
    <w:rsid w:val="00CA429B"/>
    <w:rsid w:val="00CA6B0F"/>
    <w:rsid w:val="00CA7768"/>
    <w:rsid w:val="00CA792E"/>
    <w:rsid w:val="00CA7EF2"/>
    <w:rsid w:val="00CB162D"/>
    <w:rsid w:val="00CB1736"/>
    <w:rsid w:val="00CB5EF9"/>
    <w:rsid w:val="00CB77E9"/>
    <w:rsid w:val="00CC0327"/>
    <w:rsid w:val="00CC1E9D"/>
    <w:rsid w:val="00CC3C57"/>
    <w:rsid w:val="00CC4EE1"/>
    <w:rsid w:val="00CC6124"/>
    <w:rsid w:val="00CC671A"/>
    <w:rsid w:val="00CC72F2"/>
    <w:rsid w:val="00CC76BC"/>
    <w:rsid w:val="00CD01B1"/>
    <w:rsid w:val="00CD07D4"/>
    <w:rsid w:val="00CD12BB"/>
    <w:rsid w:val="00CD6611"/>
    <w:rsid w:val="00CD6966"/>
    <w:rsid w:val="00CE11ED"/>
    <w:rsid w:val="00CE1291"/>
    <w:rsid w:val="00CE2583"/>
    <w:rsid w:val="00CE289E"/>
    <w:rsid w:val="00CE3A9F"/>
    <w:rsid w:val="00CE3C02"/>
    <w:rsid w:val="00CE587F"/>
    <w:rsid w:val="00CE5A82"/>
    <w:rsid w:val="00CE6ED1"/>
    <w:rsid w:val="00CE72FB"/>
    <w:rsid w:val="00CE7DF7"/>
    <w:rsid w:val="00CF16E4"/>
    <w:rsid w:val="00CF31CB"/>
    <w:rsid w:val="00CF44DA"/>
    <w:rsid w:val="00D003B0"/>
    <w:rsid w:val="00D029DE"/>
    <w:rsid w:val="00D03BD1"/>
    <w:rsid w:val="00D06D79"/>
    <w:rsid w:val="00D10277"/>
    <w:rsid w:val="00D107FE"/>
    <w:rsid w:val="00D10961"/>
    <w:rsid w:val="00D14AB0"/>
    <w:rsid w:val="00D1521D"/>
    <w:rsid w:val="00D169BB"/>
    <w:rsid w:val="00D212C5"/>
    <w:rsid w:val="00D2148D"/>
    <w:rsid w:val="00D22C7B"/>
    <w:rsid w:val="00D23904"/>
    <w:rsid w:val="00D23B55"/>
    <w:rsid w:val="00D24065"/>
    <w:rsid w:val="00D24DCE"/>
    <w:rsid w:val="00D256AC"/>
    <w:rsid w:val="00D26994"/>
    <w:rsid w:val="00D320AC"/>
    <w:rsid w:val="00D3304B"/>
    <w:rsid w:val="00D359BF"/>
    <w:rsid w:val="00D36DB4"/>
    <w:rsid w:val="00D371D3"/>
    <w:rsid w:val="00D37299"/>
    <w:rsid w:val="00D4083C"/>
    <w:rsid w:val="00D42141"/>
    <w:rsid w:val="00D42448"/>
    <w:rsid w:val="00D42D11"/>
    <w:rsid w:val="00D430A0"/>
    <w:rsid w:val="00D44EEB"/>
    <w:rsid w:val="00D45141"/>
    <w:rsid w:val="00D4564B"/>
    <w:rsid w:val="00D47251"/>
    <w:rsid w:val="00D50B05"/>
    <w:rsid w:val="00D513C2"/>
    <w:rsid w:val="00D51EB8"/>
    <w:rsid w:val="00D53469"/>
    <w:rsid w:val="00D53C4A"/>
    <w:rsid w:val="00D55B61"/>
    <w:rsid w:val="00D56420"/>
    <w:rsid w:val="00D578D6"/>
    <w:rsid w:val="00D60251"/>
    <w:rsid w:val="00D61BA1"/>
    <w:rsid w:val="00D61EC4"/>
    <w:rsid w:val="00D63B93"/>
    <w:rsid w:val="00D644F7"/>
    <w:rsid w:val="00D64D43"/>
    <w:rsid w:val="00D6533E"/>
    <w:rsid w:val="00D66304"/>
    <w:rsid w:val="00D66B6B"/>
    <w:rsid w:val="00D675A8"/>
    <w:rsid w:val="00D67794"/>
    <w:rsid w:val="00D7004B"/>
    <w:rsid w:val="00D7190C"/>
    <w:rsid w:val="00D7207F"/>
    <w:rsid w:val="00D72152"/>
    <w:rsid w:val="00D72F0A"/>
    <w:rsid w:val="00D75AFF"/>
    <w:rsid w:val="00D75EC4"/>
    <w:rsid w:val="00D7634D"/>
    <w:rsid w:val="00D830F3"/>
    <w:rsid w:val="00D84245"/>
    <w:rsid w:val="00D84264"/>
    <w:rsid w:val="00D85B2B"/>
    <w:rsid w:val="00D86727"/>
    <w:rsid w:val="00D941C7"/>
    <w:rsid w:val="00D94661"/>
    <w:rsid w:val="00D94930"/>
    <w:rsid w:val="00D95A89"/>
    <w:rsid w:val="00D95D4E"/>
    <w:rsid w:val="00D966A4"/>
    <w:rsid w:val="00D966F4"/>
    <w:rsid w:val="00D97FC7"/>
    <w:rsid w:val="00DA1558"/>
    <w:rsid w:val="00DA1891"/>
    <w:rsid w:val="00DA31A6"/>
    <w:rsid w:val="00DA3763"/>
    <w:rsid w:val="00DA6543"/>
    <w:rsid w:val="00DB0A43"/>
    <w:rsid w:val="00DB6BA8"/>
    <w:rsid w:val="00DB7F50"/>
    <w:rsid w:val="00DC0AFF"/>
    <w:rsid w:val="00DC0D5D"/>
    <w:rsid w:val="00DC0F59"/>
    <w:rsid w:val="00DC1118"/>
    <w:rsid w:val="00DC1B4D"/>
    <w:rsid w:val="00DC278C"/>
    <w:rsid w:val="00DC315C"/>
    <w:rsid w:val="00DC35F5"/>
    <w:rsid w:val="00DC3D99"/>
    <w:rsid w:val="00DC3E2F"/>
    <w:rsid w:val="00DC5106"/>
    <w:rsid w:val="00DC63B9"/>
    <w:rsid w:val="00DC7379"/>
    <w:rsid w:val="00DD08E9"/>
    <w:rsid w:val="00DD334E"/>
    <w:rsid w:val="00DD4B17"/>
    <w:rsid w:val="00DD53B0"/>
    <w:rsid w:val="00DD5B2C"/>
    <w:rsid w:val="00DD5CAA"/>
    <w:rsid w:val="00DE06BD"/>
    <w:rsid w:val="00DE1107"/>
    <w:rsid w:val="00DE2848"/>
    <w:rsid w:val="00DE3511"/>
    <w:rsid w:val="00DE3CCF"/>
    <w:rsid w:val="00DE403C"/>
    <w:rsid w:val="00DE459E"/>
    <w:rsid w:val="00DE5FE8"/>
    <w:rsid w:val="00DE66E7"/>
    <w:rsid w:val="00DE7104"/>
    <w:rsid w:val="00DF2795"/>
    <w:rsid w:val="00DF4176"/>
    <w:rsid w:val="00DF4C0F"/>
    <w:rsid w:val="00DF5045"/>
    <w:rsid w:val="00DF5BB3"/>
    <w:rsid w:val="00DF62F9"/>
    <w:rsid w:val="00DF7057"/>
    <w:rsid w:val="00DF7937"/>
    <w:rsid w:val="00E0023D"/>
    <w:rsid w:val="00E0111A"/>
    <w:rsid w:val="00E01169"/>
    <w:rsid w:val="00E02E01"/>
    <w:rsid w:val="00E04563"/>
    <w:rsid w:val="00E07309"/>
    <w:rsid w:val="00E07C98"/>
    <w:rsid w:val="00E1281A"/>
    <w:rsid w:val="00E14896"/>
    <w:rsid w:val="00E1628E"/>
    <w:rsid w:val="00E208B5"/>
    <w:rsid w:val="00E20BEE"/>
    <w:rsid w:val="00E21947"/>
    <w:rsid w:val="00E21C42"/>
    <w:rsid w:val="00E225FB"/>
    <w:rsid w:val="00E22E25"/>
    <w:rsid w:val="00E22F70"/>
    <w:rsid w:val="00E2655E"/>
    <w:rsid w:val="00E32CEB"/>
    <w:rsid w:val="00E337BC"/>
    <w:rsid w:val="00E34B24"/>
    <w:rsid w:val="00E35CAB"/>
    <w:rsid w:val="00E35CAD"/>
    <w:rsid w:val="00E37145"/>
    <w:rsid w:val="00E40019"/>
    <w:rsid w:val="00E40492"/>
    <w:rsid w:val="00E4058F"/>
    <w:rsid w:val="00E40F2A"/>
    <w:rsid w:val="00E42948"/>
    <w:rsid w:val="00E42DC1"/>
    <w:rsid w:val="00E44814"/>
    <w:rsid w:val="00E44FFF"/>
    <w:rsid w:val="00E4610E"/>
    <w:rsid w:val="00E4738F"/>
    <w:rsid w:val="00E51633"/>
    <w:rsid w:val="00E5245D"/>
    <w:rsid w:val="00E549AA"/>
    <w:rsid w:val="00E54B99"/>
    <w:rsid w:val="00E55819"/>
    <w:rsid w:val="00E560F1"/>
    <w:rsid w:val="00E6161B"/>
    <w:rsid w:val="00E61FCC"/>
    <w:rsid w:val="00E62057"/>
    <w:rsid w:val="00E6290C"/>
    <w:rsid w:val="00E62ED4"/>
    <w:rsid w:val="00E6334B"/>
    <w:rsid w:val="00E651D0"/>
    <w:rsid w:val="00E653C7"/>
    <w:rsid w:val="00E67634"/>
    <w:rsid w:val="00E701CD"/>
    <w:rsid w:val="00E731A1"/>
    <w:rsid w:val="00E81BCB"/>
    <w:rsid w:val="00E82AD6"/>
    <w:rsid w:val="00E82E2C"/>
    <w:rsid w:val="00E8477B"/>
    <w:rsid w:val="00E84C73"/>
    <w:rsid w:val="00E91F16"/>
    <w:rsid w:val="00EA0835"/>
    <w:rsid w:val="00EA12F8"/>
    <w:rsid w:val="00EA219D"/>
    <w:rsid w:val="00EA2B7E"/>
    <w:rsid w:val="00EA6CBC"/>
    <w:rsid w:val="00EB0229"/>
    <w:rsid w:val="00EB0BA2"/>
    <w:rsid w:val="00EB113C"/>
    <w:rsid w:val="00EB178D"/>
    <w:rsid w:val="00EB2177"/>
    <w:rsid w:val="00EB225D"/>
    <w:rsid w:val="00EB3C97"/>
    <w:rsid w:val="00EB497E"/>
    <w:rsid w:val="00EB658B"/>
    <w:rsid w:val="00EB69C2"/>
    <w:rsid w:val="00EB74C1"/>
    <w:rsid w:val="00EC18F1"/>
    <w:rsid w:val="00EC2B47"/>
    <w:rsid w:val="00EC2C8C"/>
    <w:rsid w:val="00EC3079"/>
    <w:rsid w:val="00EC44CD"/>
    <w:rsid w:val="00EC454B"/>
    <w:rsid w:val="00EC4D79"/>
    <w:rsid w:val="00EC511E"/>
    <w:rsid w:val="00EC5F37"/>
    <w:rsid w:val="00ED1496"/>
    <w:rsid w:val="00ED187D"/>
    <w:rsid w:val="00ED27CB"/>
    <w:rsid w:val="00ED3B99"/>
    <w:rsid w:val="00ED5530"/>
    <w:rsid w:val="00ED67F0"/>
    <w:rsid w:val="00ED7DAF"/>
    <w:rsid w:val="00ED7F88"/>
    <w:rsid w:val="00EE3498"/>
    <w:rsid w:val="00EE3BB1"/>
    <w:rsid w:val="00EE50B9"/>
    <w:rsid w:val="00EE5257"/>
    <w:rsid w:val="00EE7488"/>
    <w:rsid w:val="00EE7EA8"/>
    <w:rsid w:val="00EF04A1"/>
    <w:rsid w:val="00EF1488"/>
    <w:rsid w:val="00EF1E76"/>
    <w:rsid w:val="00EF3FF1"/>
    <w:rsid w:val="00EF4571"/>
    <w:rsid w:val="00EF564A"/>
    <w:rsid w:val="00EF778C"/>
    <w:rsid w:val="00F02D20"/>
    <w:rsid w:val="00F03EAC"/>
    <w:rsid w:val="00F0584C"/>
    <w:rsid w:val="00F05FB0"/>
    <w:rsid w:val="00F10080"/>
    <w:rsid w:val="00F113B0"/>
    <w:rsid w:val="00F1264C"/>
    <w:rsid w:val="00F1534B"/>
    <w:rsid w:val="00F16179"/>
    <w:rsid w:val="00F17F04"/>
    <w:rsid w:val="00F20246"/>
    <w:rsid w:val="00F22756"/>
    <w:rsid w:val="00F233D8"/>
    <w:rsid w:val="00F25618"/>
    <w:rsid w:val="00F2761F"/>
    <w:rsid w:val="00F312FC"/>
    <w:rsid w:val="00F31D7C"/>
    <w:rsid w:val="00F31EB6"/>
    <w:rsid w:val="00F34DC7"/>
    <w:rsid w:val="00F358A8"/>
    <w:rsid w:val="00F363B9"/>
    <w:rsid w:val="00F40BFC"/>
    <w:rsid w:val="00F41101"/>
    <w:rsid w:val="00F42C31"/>
    <w:rsid w:val="00F432B1"/>
    <w:rsid w:val="00F4350A"/>
    <w:rsid w:val="00F44A8B"/>
    <w:rsid w:val="00F45328"/>
    <w:rsid w:val="00F508A3"/>
    <w:rsid w:val="00F51096"/>
    <w:rsid w:val="00F517C3"/>
    <w:rsid w:val="00F51CD7"/>
    <w:rsid w:val="00F52075"/>
    <w:rsid w:val="00F52EEF"/>
    <w:rsid w:val="00F5330E"/>
    <w:rsid w:val="00F551D5"/>
    <w:rsid w:val="00F57548"/>
    <w:rsid w:val="00F605E4"/>
    <w:rsid w:val="00F606ED"/>
    <w:rsid w:val="00F60856"/>
    <w:rsid w:val="00F63CFD"/>
    <w:rsid w:val="00F63D21"/>
    <w:rsid w:val="00F64434"/>
    <w:rsid w:val="00F64482"/>
    <w:rsid w:val="00F64498"/>
    <w:rsid w:val="00F64579"/>
    <w:rsid w:val="00F65568"/>
    <w:rsid w:val="00F65623"/>
    <w:rsid w:val="00F65B8F"/>
    <w:rsid w:val="00F66B71"/>
    <w:rsid w:val="00F67A22"/>
    <w:rsid w:val="00F67D08"/>
    <w:rsid w:val="00F67EFB"/>
    <w:rsid w:val="00F7083B"/>
    <w:rsid w:val="00F70CBA"/>
    <w:rsid w:val="00F7168B"/>
    <w:rsid w:val="00F742F1"/>
    <w:rsid w:val="00F74832"/>
    <w:rsid w:val="00F759F4"/>
    <w:rsid w:val="00F7660E"/>
    <w:rsid w:val="00F77803"/>
    <w:rsid w:val="00F77947"/>
    <w:rsid w:val="00F805C2"/>
    <w:rsid w:val="00F810C0"/>
    <w:rsid w:val="00F81430"/>
    <w:rsid w:val="00F818E2"/>
    <w:rsid w:val="00F86DAF"/>
    <w:rsid w:val="00F90F78"/>
    <w:rsid w:val="00F92C1F"/>
    <w:rsid w:val="00F93877"/>
    <w:rsid w:val="00F93EB8"/>
    <w:rsid w:val="00F93EF3"/>
    <w:rsid w:val="00F945CD"/>
    <w:rsid w:val="00F96986"/>
    <w:rsid w:val="00FA27DF"/>
    <w:rsid w:val="00FA33A5"/>
    <w:rsid w:val="00FA4826"/>
    <w:rsid w:val="00FA4EE7"/>
    <w:rsid w:val="00FA74C7"/>
    <w:rsid w:val="00FA7CC4"/>
    <w:rsid w:val="00FB3C03"/>
    <w:rsid w:val="00FB65AE"/>
    <w:rsid w:val="00FC060E"/>
    <w:rsid w:val="00FC159E"/>
    <w:rsid w:val="00FC1EFA"/>
    <w:rsid w:val="00FC2CB8"/>
    <w:rsid w:val="00FC3698"/>
    <w:rsid w:val="00FC3E35"/>
    <w:rsid w:val="00FC429E"/>
    <w:rsid w:val="00FC42D5"/>
    <w:rsid w:val="00FC661B"/>
    <w:rsid w:val="00FC7C0C"/>
    <w:rsid w:val="00FC7FD0"/>
    <w:rsid w:val="00FD0408"/>
    <w:rsid w:val="00FD1841"/>
    <w:rsid w:val="00FD24FF"/>
    <w:rsid w:val="00FD39DE"/>
    <w:rsid w:val="00FD49D7"/>
    <w:rsid w:val="00FD6082"/>
    <w:rsid w:val="00FD69C9"/>
    <w:rsid w:val="00FD7D68"/>
    <w:rsid w:val="00FE0469"/>
    <w:rsid w:val="00FE0A11"/>
    <w:rsid w:val="00FE0D9F"/>
    <w:rsid w:val="00FE1194"/>
    <w:rsid w:val="00FE1381"/>
    <w:rsid w:val="00FE20C4"/>
    <w:rsid w:val="00FE2AF3"/>
    <w:rsid w:val="00FE3D79"/>
    <w:rsid w:val="00FE4718"/>
    <w:rsid w:val="00FE79C3"/>
    <w:rsid w:val="00FE7A1F"/>
    <w:rsid w:val="00FF1726"/>
    <w:rsid w:val="00FF34B2"/>
    <w:rsid w:val="00FF42EE"/>
    <w:rsid w:val="00FF5BB4"/>
    <w:rsid w:val="016E044A"/>
    <w:rsid w:val="03A400D9"/>
    <w:rsid w:val="04412E38"/>
    <w:rsid w:val="0BC47373"/>
    <w:rsid w:val="0C482343"/>
    <w:rsid w:val="12CA1D11"/>
    <w:rsid w:val="16D05547"/>
    <w:rsid w:val="18704CB4"/>
    <w:rsid w:val="192E28F8"/>
    <w:rsid w:val="1B5231B9"/>
    <w:rsid w:val="22C80A1D"/>
    <w:rsid w:val="23B5254F"/>
    <w:rsid w:val="28E92B74"/>
    <w:rsid w:val="2CF17ED9"/>
    <w:rsid w:val="2D491F9E"/>
    <w:rsid w:val="2DD6396D"/>
    <w:rsid w:val="2F20599A"/>
    <w:rsid w:val="2FE50BA9"/>
    <w:rsid w:val="317F0BCA"/>
    <w:rsid w:val="32832A04"/>
    <w:rsid w:val="391C28EE"/>
    <w:rsid w:val="392E09A2"/>
    <w:rsid w:val="3A6C3919"/>
    <w:rsid w:val="3B7A0F58"/>
    <w:rsid w:val="3C672EE2"/>
    <w:rsid w:val="48960B41"/>
    <w:rsid w:val="493733B5"/>
    <w:rsid w:val="4C4C62F7"/>
    <w:rsid w:val="50CE10DD"/>
    <w:rsid w:val="539F63D4"/>
    <w:rsid w:val="54347F16"/>
    <w:rsid w:val="5DF50FA4"/>
    <w:rsid w:val="6B3E697D"/>
    <w:rsid w:val="6E3C6504"/>
    <w:rsid w:val="6F3335BA"/>
    <w:rsid w:val="76A76695"/>
    <w:rsid w:val="76E521D9"/>
    <w:rsid w:val="7A241826"/>
    <w:rsid w:val="7B6663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name="toc 1"/>
    <w:lsdException w:qFormat="1" w:unhideWhenUsed="0" w:uiPriority="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rPr>
      <w:rFonts w:eastAsia="仿宋_GB2312"/>
    </w:rPr>
  </w:style>
  <w:style w:type="paragraph" w:styleId="3">
    <w:name w:val="annotation text"/>
    <w:basedOn w:val="1"/>
    <w:link w:val="22"/>
    <w:qFormat/>
    <w:uiPriority w:val="0"/>
    <w:pPr>
      <w:spacing w:line="360" w:lineRule="auto"/>
      <w:jc w:val="left"/>
    </w:pPr>
    <w:rPr>
      <w:rFonts w:ascii="宋体" w:hAnsi="宋体" w:eastAsia="宋体" w:cs="Times New Roman"/>
      <w:szCs w:val="24"/>
    </w:rPr>
  </w:style>
  <w:style w:type="paragraph" w:styleId="4">
    <w:name w:val="Body Text Indent"/>
    <w:basedOn w:val="1"/>
    <w:link w:val="21"/>
    <w:qFormat/>
    <w:uiPriority w:val="0"/>
    <w:pPr>
      <w:ind w:firstLine="420"/>
    </w:pPr>
    <w:rPr>
      <w:rFonts w:ascii="Times New Roman" w:hAnsi="Times New Roman" w:eastAsia="宋体" w:cs="Times New Roman"/>
      <w:sz w:val="24"/>
      <w:szCs w:val="24"/>
    </w:rPr>
  </w:style>
  <w:style w:type="paragraph" w:styleId="5">
    <w:name w:val="toc 3"/>
    <w:basedOn w:val="1"/>
    <w:next w:val="1"/>
    <w:semiHidden/>
    <w:unhideWhenUsed/>
    <w:uiPriority w:val="39"/>
    <w:pPr>
      <w:ind w:left="840" w:leftChars="400"/>
    </w:pPr>
  </w:style>
  <w:style w:type="paragraph" w:styleId="6">
    <w:name w:val="Balloon Text"/>
    <w:basedOn w:val="1"/>
    <w:link w:val="17"/>
    <w:semiHidden/>
    <w:unhideWhenUsed/>
    <w:qFormat/>
    <w:uiPriority w:val="99"/>
    <w:rPr>
      <w:sz w:val="18"/>
      <w:szCs w:val="18"/>
    </w:rPr>
  </w:style>
  <w:style w:type="paragraph" w:styleId="7">
    <w:name w:val="footer"/>
    <w:basedOn w:val="1"/>
    <w:link w:val="19"/>
    <w:semiHidden/>
    <w:unhideWhenUsed/>
    <w:qFormat/>
    <w:uiPriority w:val="99"/>
    <w:pPr>
      <w:tabs>
        <w:tab w:val="center" w:pos="4153"/>
        <w:tab w:val="right" w:pos="8306"/>
      </w:tabs>
      <w:snapToGrid w:val="0"/>
      <w:jc w:val="left"/>
    </w:pPr>
    <w:rPr>
      <w:sz w:val="18"/>
      <w:szCs w:val="18"/>
    </w:rPr>
  </w:style>
  <w:style w:type="paragraph" w:styleId="8">
    <w:name w:val="header"/>
    <w:basedOn w:val="1"/>
    <w:link w:val="1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semiHidden/>
    <w:uiPriority w:val="0"/>
    <w:pPr>
      <w:tabs>
        <w:tab w:val="right" w:leader="dot" w:pos="9174"/>
      </w:tabs>
      <w:spacing w:line="360" w:lineRule="auto"/>
    </w:pPr>
  </w:style>
  <w:style w:type="paragraph" w:styleId="10">
    <w:name w:val="toc 2"/>
    <w:basedOn w:val="1"/>
    <w:next w:val="1"/>
    <w:semiHidden/>
    <w:qFormat/>
    <w:uiPriority w:val="0"/>
    <w:pPr>
      <w:tabs>
        <w:tab w:val="right" w:leader="dot" w:pos="9174"/>
      </w:tabs>
      <w:spacing w:line="360" w:lineRule="exact"/>
      <w:ind w:left="420" w:leftChars="200"/>
      <w:jc w:val="left"/>
    </w:pPr>
    <w:rPr>
      <w:rFonts w:ascii="黑体" w:eastAsia="黑体"/>
    </w:rPr>
  </w:style>
  <w:style w:type="paragraph" w:styleId="11">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3">
    <w:name w:val="Table Grid"/>
    <w:basedOn w:val="1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5">
    <w:name w:val="page number"/>
    <w:basedOn w:val="14"/>
    <w:qFormat/>
    <w:uiPriority w:val="0"/>
  </w:style>
  <w:style w:type="character" w:styleId="16">
    <w:name w:val="Hyperlink"/>
    <w:basedOn w:val="14"/>
    <w:qFormat/>
    <w:uiPriority w:val="0"/>
    <w:rPr>
      <w:color w:val="0000FF"/>
      <w:u w:val="single"/>
    </w:rPr>
  </w:style>
  <w:style w:type="character" w:customStyle="1" w:styleId="17">
    <w:name w:val="批注框文本 Char"/>
    <w:basedOn w:val="14"/>
    <w:link w:val="6"/>
    <w:semiHidden/>
    <w:qFormat/>
    <w:uiPriority w:val="99"/>
    <w:rPr>
      <w:sz w:val="18"/>
      <w:szCs w:val="18"/>
    </w:rPr>
  </w:style>
  <w:style w:type="character" w:customStyle="1" w:styleId="18">
    <w:name w:val="页眉 Char"/>
    <w:basedOn w:val="14"/>
    <w:link w:val="8"/>
    <w:semiHidden/>
    <w:qFormat/>
    <w:uiPriority w:val="99"/>
    <w:rPr>
      <w:sz w:val="18"/>
      <w:szCs w:val="18"/>
    </w:rPr>
  </w:style>
  <w:style w:type="character" w:customStyle="1" w:styleId="19">
    <w:name w:val="页脚 Char"/>
    <w:basedOn w:val="14"/>
    <w:link w:val="7"/>
    <w:semiHidden/>
    <w:qFormat/>
    <w:uiPriority w:val="99"/>
    <w:rPr>
      <w:sz w:val="18"/>
      <w:szCs w:val="18"/>
    </w:rPr>
  </w:style>
  <w:style w:type="paragraph" w:customStyle="1" w:styleId="20">
    <w:name w:val="章标题"/>
    <w:next w:val="1"/>
    <w:qFormat/>
    <w:uiPriority w:val="0"/>
    <w:pPr>
      <w:spacing w:beforeLines="50" w:afterLines="50"/>
      <w:jc w:val="both"/>
      <w:outlineLvl w:val="1"/>
    </w:pPr>
    <w:rPr>
      <w:rFonts w:ascii="黑体" w:hAnsi="Times New Roman" w:eastAsia="黑体" w:cs="Times New Roman"/>
      <w:kern w:val="0"/>
      <w:sz w:val="21"/>
      <w:szCs w:val="20"/>
      <w:lang w:val="en-US" w:eastAsia="zh-CN" w:bidi="ar-SA"/>
    </w:rPr>
  </w:style>
  <w:style w:type="character" w:customStyle="1" w:styleId="21">
    <w:name w:val="正文文本缩进 Char"/>
    <w:basedOn w:val="14"/>
    <w:link w:val="4"/>
    <w:qFormat/>
    <w:uiPriority w:val="0"/>
    <w:rPr>
      <w:rFonts w:ascii="Times New Roman" w:hAnsi="Times New Roman" w:eastAsia="宋体" w:cs="Times New Roman"/>
      <w:sz w:val="24"/>
      <w:szCs w:val="24"/>
    </w:rPr>
  </w:style>
  <w:style w:type="character" w:customStyle="1" w:styleId="22">
    <w:name w:val="批注文字 Char"/>
    <w:basedOn w:val="14"/>
    <w:link w:val="3"/>
    <w:qFormat/>
    <w:uiPriority w:val="0"/>
    <w:rPr>
      <w:rFonts w:ascii="宋体" w:hAnsi="宋体" w:eastAsia="宋体" w:cs="Times New Roman"/>
      <w:szCs w:val="24"/>
    </w:rPr>
  </w:style>
  <w:style w:type="paragraph" w:styleId="23">
    <w:name w:val="List Paragraph"/>
    <w:basedOn w:val="1"/>
    <w:qFormat/>
    <w:uiPriority w:val="34"/>
    <w:pPr>
      <w:ind w:firstLine="420" w:firstLineChars="200"/>
    </w:pPr>
  </w:style>
  <w:style w:type="paragraph" w:customStyle="1" w:styleId="24">
    <w:name w:val="段"/>
    <w:link w:val="25"/>
    <w:qFormat/>
    <w:uiPriority w:val="0"/>
    <w:pPr>
      <w:autoSpaceDE w:val="0"/>
      <w:autoSpaceDN w:val="0"/>
      <w:ind w:firstLine="200" w:firstLineChars="200"/>
      <w:jc w:val="both"/>
    </w:pPr>
    <w:rPr>
      <w:rFonts w:ascii="宋体" w:hAnsi="Times New Roman" w:eastAsia="宋体" w:cs="Times New Roman"/>
      <w:kern w:val="0"/>
      <w:sz w:val="21"/>
      <w:szCs w:val="22"/>
      <w:lang w:val="en-US" w:eastAsia="zh-CN" w:bidi="ar-SA"/>
    </w:rPr>
  </w:style>
  <w:style w:type="character" w:customStyle="1" w:styleId="25">
    <w:name w:val="段 Char"/>
    <w:link w:val="24"/>
    <w:qFormat/>
    <w:uiPriority w:val="0"/>
    <w:rPr>
      <w:rFonts w:ascii="宋体" w:hAnsi="Times New Roman" w:eastAsia="宋体" w:cs="Times New Roman"/>
      <w:kern w:val="0"/>
    </w:rPr>
  </w:style>
  <w:style w:type="paragraph" w:customStyle="1" w:styleId="26">
    <w:name w:val="MTDisplayEquation"/>
    <w:basedOn w:val="1"/>
    <w:next w:val="1"/>
    <w:uiPriority w:val="0"/>
    <w:pPr>
      <w:tabs>
        <w:tab w:val="center" w:pos="4160"/>
        <w:tab w:val="right" w:pos="8300"/>
      </w:tabs>
      <w:spacing w:line="360" w:lineRule="auto"/>
      <w:jc w:val="center"/>
    </w:pPr>
    <w:rPr>
      <w:rFonts w:eastAsia="黑体"/>
      <w:sz w:val="32"/>
      <w:szCs w:val="32"/>
    </w:rPr>
  </w:style>
  <w:style w:type="paragraph" w:customStyle="1" w:styleId="27">
    <w:name w:val="WPSOffice手动目录 1"/>
    <w:uiPriority w:val="0"/>
    <w:pPr>
      <w:ind w:leftChars="0"/>
    </w:pPr>
    <w:rPr>
      <w:sz w:val="20"/>
      <w:szCs w:val="20"/>
    </w:rPr>
  </w:style>
  <w:style w:type="paragraph" w:customStyle="1" w:styleId="28">
    <w:name w:val="WPSOffice手动目录 2"/>
    <w:uiPriority w:val="0"/>
    <w:pPr>
      <w:ind w:leftChars="200"/>
    </w:pPr>
    <w:rPr>
      <w:sz w:val="20"/>
      <w:szCs w:val="20"/>
    </w:rPr>
  </w:style>
  <w:style w:type="paragraph" w:customStyle="1" w:styleId="29">
    <w:name w:val="WPSOffice手动目录 3"/>
    <w:uiPriority w:val="0"/>
    <w:pPr>
      <w:ind w:leftChars="400"/>
    </w:pPr>
    <w:rPr>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1.w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jpeg"/><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32C55B-7085-467F-ABDB-CBEB33EA7829}">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Pages>
  <Words>2282</Words>
  <Characters>2409</Characters>
  <Lines>68</Lines>
  <Paragraphs>19</Paragraphs>
  <TotalTime>1</TotalTime>
  <ScaleCrop>false</ScaleCrop>
  <LinksUpToDate>false</LinksUpToDate>
  <CharactersWithSpaces>2471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2022-08-03T02:17:00Z</dcterms:created>
  <dc:creator>Sky123.Org</dc:creator>
  <cp:lastModifiedBy>校对</cp:lastModifiedBy>
  <dcterms:modified xsi:type="dcterms:W3CDTF">2023-03-24T01:30:04Z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2997E0B0200A4B49BD766EEB06A7F441</vt:lpwstr>
  </property>
</Properties>
</file>