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0"/>
        <w:jc w:val="center"/>
        <w:sectPr>
          <w:headerReference r:id="rId5" w:type="first"/>
          <w:headerReference r:id="rId3" w:type="default"/>
          <w:footerReference r:id="rId6" w:type="default"/>
          <w:headerReference r:id="rId4" w:type="even"/>
          <w:footerReference r:id="rId7" w:type="even"/>
          <w:pgSz w:w="11907" w:h="16839"/>
          <w:pgMar w:top="567" w:right="851" w:bottom="1361" w:left="1418" w:header="0" w:footer="0" w:gutter="0"/>
          <w:pgNumType w:fmt="upperRoman" w:start="1"/>
          <w:cols w:space="720" w:num="1"/>
          <w:titlePg/>
          <w:docGrid w:type="lines" w:linePitch="312" w:charSpace="0"/>
        </w:sectPr>
      </w:pPr>
      <w:bookmarkStart w:id="0" w:name="SectionMark0"/>
      <w:r>
        <w:pict>
          <v:shape id="fmFrame8" o:spid="_x0000_s1035" o:spt="202" type="#_x0000_t202" style="position:absolute;left:0pt;margin-left:200.75pt;margin-top:8.45pt;height:56.7pt;width:250pt;mso-position-horizontal-relative:margin;mso-position-vertical-relative:margin;z-index:251668480;mso-width-relative:page;mso-height-relative:page;" stroked="f" coordsize="21600,21600">
            <v:path/>
            <v:fill focussize="0,0"/>
            <v:stroke on="f" joinstyle="miter"/>
            <v:imagedata o:title=""/>
            <o:lock v:ext="edit"/>
            <v:textbox inset="0mm,0mm,0mm,0mm">
              <w:txbxContent>
                <w:p>
                  <w:pPr>
                    <w:pStyle w:val="63"/>
                  </w:pPr>
                  <w:r>
                    <w:t>YS</w:t>
                  </w:r>
                </w:p>
              </w:txbxContent>
            </v:textbox>
            <w10:anchorlock/>
          </v:shape>
        </w:pict>
      </w:r>
      <w:r>
        <w:pict>
          <v:line id="直线 30" o:spid="_x0000_s1034" o:spt="20" style="position:absolute;left:0pt;margin-left:0pt;margin-top:700pt;height:0pt;width:482pt;z-index:251667456;mso-width-relative:page;mso-height-relative:page;" coordsize="21600,21600">
            <v:path arrowok="t"/>
            <v:fill focussize="0,0"/>
            <v:stroke weight="1pt"/>
            <v:imagedata o:title=""/>
            <o:lock v:ext="edit"/>
          </v:line>
        </w:pict>
      </w:r>
      <w:r>
        <w:pict>
          <v:line id="直线 29" o:spid="_x0000_s1033" o:spt="20" style="position:absolute;left:0pt;margin-left:0pt;margin-top:179pt;height:0pt;width:482pt;z-index:251666432;mso-width-relative:page;mso-height-relative:page;" coordsize="21600,21600">
            <v:path arrowok="t"/>
            <v:fill focussize="0,0"/>
            <v:stroke weight="1pt"/>
            <v:imagedata o:title=""/>
            <o:lock v:ext="edit"/>
          </v:line>
        </w:pict>
      </w:r>
      <w:r>
        <w:pict>
          <v:shape id="fmFrame7" o:spid="_x0000_s1032" o:spt="202" type="#_x0000_t202" style="position:absolute;left:0pt;margin-left:0pt;margin-top:717.2pt;height:28.6pt;width:481.9pt;mso-position-horizontal-relative:margin;mso-position-vertical-relative:margin;z-index:251665408;mso-width-relative:page;mso-height-relative:page;" stroked="f" coordsize="21600,21600">
            <v:path/>
            <v:fill focussize="0,0"/>
            <v:stroke on="f" joinstyle="miter"/>
            <v:imagedata o:title=""/>
            <o:lock v:ext="edit"/>
            <v:textbox inset="0mm,0mm,0mm,0mm">
              <w:txbxContent>
                <w:p>
                  <w:pPr>
                    <w:pStyle w:val="108"/>
                    <w:ind w:firstLine="301"/>
                  </w:pPr>
                  <w:r>
                    <w:rPr>
                      <w:rFonts w:hint="eastAsia" w:ascii="Times New Roman"/>
                      <w:b/>
                      <w:bCs/>
                      <w:sz w:val="30"/>
                    </w:rPr>
                    <w:t>中华人民共和国工业和信息化部</w:t>
                  </w:r>
                  <w:r>
                    <w:rPr>
                      <w:rFonts w:hint="eastAsia"/>
                    </w:rPr>
                    <w:t xml:space="preserve"> </w:t>
                  </w:r>
                  <w:r>
                    <w:rPr>
                      <w:rStyle w:val="70"/>
                      <w:rFonts w:hint="eastAsia"/>
                    </w:rPr>
                    <w:t xml:space="preserve"> 发布</w:t>
                  </w:r>
                </w:p>
              </w:txbxContent>
            </v:textbox>
            <w10:anchorlock/>
          </v:shape>
        </w:pict>
      </w:r>
      <w:r>
        <w:pict>
          <v:shape id="fmFrame6" o:spid="_x0000_s1031" o:spt="202" type="#_x0000_t202" style="position:absolute;left:0pt;margin-left:232.9pt;margin-top:674.3pt;height:24.6pt;width:249pt;mso-position-horizontal-relative:margin;mso-position-vertical-relative:margin;z-index:251664384;mso-width-relative:page;mso-height-relative:page;" stroked="f" coordsize="21600,21600">
            <v:path/>
            <v:fill focussize="0,0"/>
            <v:stroke on="f" joinstyle="miter"/>
            <v:imagedata o:title=""/>
            <o:lock v:ext="edit"/>
            <v:textbox inset="0mm,0mm,0mm,0mm">
              <w:txbxContent>
                <w:p>
                  <w:pPr>
                    <w:pStyle w:val="111"/>
                    <w:ind w:right="280" w:firstLine="1050"/>
                    <w:rPr>
                      <w:rFonts w:ascii="黑体" w:hAnsi="黑体"/>
                    </w:rPr>
                  </w:pPr>
                  <w:r>
                    <w:rPr>
                      <w:rFonts w:hint="eastAsia" w:ascii="黑体" w:hAnsi="黑体"/>
                    </w:rPr>
                    <w:t>××××-××-</w:t>
                  </w:r>
                  <w:r>
                    <w:rPr>
                      <w:rFonts w:ascii="黑体" w:hAnsi="黑体"/>
                    </w:rPr>
                    <w:t xml:space="preserve"> </w:t>
                  </w:r>
                  <w:r>
                    <w:rPr>
                      <w:rFonts w:hint="eastAsia" w:ascii="黑体" w:hAnsi="黑体"/>
                    </w:rPr>
                    <w:t>××实施</w:t>
                  </w:r>
                </w:p>
              </w:txbxContent>
            </v:textbox>
            <w10:anchorlock/>
          </v:shape>
        </w:pict>
      </w:r>
      <w:r>
        <w:pict>
          <v:shape id="fmFrame5" o:spid="_x0000_s1030" o:spt="202" type="#_x0000_t202" style="position:absolute;left:0pt;margin-left:2.25pt;margin-top:665.35pt;height:41.85pt;width:159pt;mso-position-horizontal-relative:margin;mso-position-vertical-relative:margin;z-index:251663360;mso-width-relative:page;mso-height-relative:page;" stroked="f" coordsize="21600,21600">
            <v:path/>
            <v:fill focussize="0,0"/>
            <v:stroke on="f" joinstyle="miter"/>
            <v:imagedata o:title=""/>
            <o:lock v:ext="edit"/>
            <v:textbox inset="0mm,0mm,0mm,0mm">
              <w:txbxContent>
                <w:p>
                  <w:pPr>
                    <w:pStyle w:val="72"/>
                    <w:spacing w:before="156" w:after="156"/>
                    <w:rPr>
                      <w:rFonts w:ascii="黑体" w:hAnsi="黑体"/>
                    </w:rPr>
                  </w:pPr>
                  <w:r>
                    <w:rPr>
                      <w:rFonts w:hint="eastAsia" w:ascii="黑体" w:hAnsi="黑体"/>
                    </w:rPr>
                    <w:t>××××-××-××发布</w:t>
                  </w:r>
                </w:p>
              </w:txbxContent>
            </v:textbox>
            <w10:anchorlock/>
          </v:shape>
        </w:pict>
      </w:r>
      <w:r>
        <w:pict>
          <v:shape id="fmFrame4" o:spid="_x0000_s1029" o:spt="202" type="#_x0000_t202" style="position:absolute;left:0pt;margin-left:0pt;margin-top:286.25pt;height:368.6pt;width:470pt;mso-position-horizontal-relative:margin;mso-position-vertical-relative:margin;z-index:251662336;mso-width-relative:page;mso-height-relative:page;" stroked="f" coordsize="21600,21600">
            <v:path/>
            <v:fill focussize="0,0"/>
            <v:stroke on="f" joinstyle="miter"/>
            <v:imagedata o:title=""/>
            <o:lock v:ext="edit"/>
            <v:textbox inset="0mm,0mm,0mm,0mm">
              <w:txbxContent>
                <w:p>
                  <w:pPr>
                    <w:pStyle w:val="75"/>
                  </w:pPr>
                  <w:r>
                    <w:rPr>
                      <w:rFonts w:hint="eastAsia"/>
                      <w:lang w:val="en-US" w:eastAsia="zh-CN"/>
                    </w:rPr>
                    <w:t>丁</w:t>
                  </w:r>
                  <w:r>
                    <w:rPr>
                      <w:rFonts w:hint="eastAsia"/>
                    </w:rPr>
                    <w:t>氧羰基异丁基硫代氨基甲酸酯</w:t>
                  </w:r>
                </w:p>
                <w:p>
                  <w:pPr>
                    <w:pStyle w:val="76"/>
                    <w:rPr>
                      <w:rFonts w:ascii="黑体" w:hAnsi="黑体"/>
                      <w:b/>
                      <w:bCs/>
                    </w:rPr>
                  </w:pPr>
                  <w:r>
                    <w:rPr>
                      <w:rFonts w:hint="eastAsia" w:ascii="黑体" w:hAnsi="黑体"/>
                      <w:lang w:val="en-US" w:eastAsia="zh-CN"/>
                    </w:rPr>
                    <w:t>But</w:t>
                  </w:r>
                  <w:r>
                    <w:rPr>
                      <w:rFonts w:hint="eastAsia" w:ascii="黑体" w:hAnsi="黑体"/>
                    </w:rPr>
                    <w:t>oxycarbonyl</w:t>
                  </w:r>
                  <w:r>
                    <w:rPr>
                      <w:rFonts w:ascii="黑体" w:hAnsi="黑体"/>
                    </w:rPr>
                    <w:t xml:space="preserve"> isobutyl thiocarbamate</w:t>
                  </w:r>
                </w:p>
                <w:p>
                  <w:pPr>
                    <w:pStyle w:val="77"/>
                    <w:ind w:left="840" w:hanging="420"/>
                  </w:pPr>
                  <w:r>
                    <w:rPr>
                      <w:rFonts w:hint="eastAsia"/>
                    </w:rPr>
                    <w:t xml:space="preserve"> (讨论稿)</w:t>
                  </w:r>
                </w:p>
              </w:txbxContent>
            </v:textbox>
            <w10:anchorlock/>
          </v:shape>
        </w:pict>
      </w:r>
      <w:r>
        <w:pict>
          <v:shape id="fmFrame3" o:spid="_x0000_s1028" o:spt="202" type="#_x0000_t202" style="position:absolute;left:0pt;margin-left:0pt;margin-top:110.35pt;height:67.75pt;width:456.9pt;mso-position-horizontal-relative:margin;mso-position-vertical-relative:margin;z-index:251661312;mso-width-relative:page;mso-height-relative:page;" stroked="f" coordsize="21600,21600">
            <v:path/>
            <v:fill focussize="0,0"/>
            <v:stroke on="f" joinstyle="miter"/>
            <v:imagedata o:title=""/>
            <o:lock v:ext="edit"/>
            <v:textbox inset="0mm,0mm,0mm,0mm">
              <w:txbxContent>
                <w:p>
                  <w:pPr>
                    <w:pStyle w:val="44"/>
                    <w:wordWrap w:val="0"/>
                    <w:ind w:firstLine="630"/>
                    <w:jc w:val="both"/>
                    <w:rPr>
                      <w:rFonts w:hAnsi="黑体"/>
                    </w:rPr>
                  </w:pPr>
                  <w:r>
                    <w:rPr>
                      <w:rFonts w:hint="eastAsia"/>
                    </w:rPr>
                    <w:t xml:space="preserve">                                         </w:t>
                  </w:r>
                  <w:r>
                    <w:t xml:space="preserve"> </w:t>
                  </w:r>
                  <w:r>
                    <w:rPr>
                      <w:rFonts w:hint="eastAsia"/>
                    </w:rPr>
                    <w:t xml:space="preserve"> </w:t>
                  </w:r>
                  <w:r>
                    <w:rPr>
                      <w:rFonts w:hint="eastAsia" w:hAnsi="黑体"/>
                    </w:rPr>
                    <w:t>YS</w:t>
                  </w:r>
                  <w:r>
                    <w:rPr>
                      <w:rFonts w:hAnsi="黑体"/>
                    </w:rPr>
                    <w:t>/T</w:t>
                  </w:r>
                  <w:r>
                    <w:rPr>
                      <w:rFonts w:hint="eastAsia" w:hAnsi="黑体"/>
                    </w:rPr>
                    <w:t>XXX</w:t>
                  </w:r>
                  <w:r>
                    <w:rPr>
                      <w:rFonts w:hAnsi="黑体"/>
                    </w:rPr>
                    <w:t>—</w:t>
                  </w:r>
                  <w:r>
                    <w:rPr>
                      <w:rFonts w:hint="eastAsia" w:hAnsi="黑体"/>
                    </w:rPr>
                    <w:t>××××</w:t>
                  </w:r>
                </w:p>
                <w:p>
                  <w:pPr>
                    <w:pStyle w:val="44"/>
                    <w:wordWrap w:val="0"/>
                    <w:ind w:firstLine="630"/>
                    <w:jc w:val="both"/>
                    <w:rPr>
                      <w:rFonts w:ascii="宋体" w:hAnsi="宋体"/>
                      <w:sz w:val="24"/>
                      <w:szCs w:val="24"/>
                    </w:rPr>
                  </w:pPr>
                  <w:r>
                    <w:rPr>
                      <w:rFonts w:hint="eastAsia"/>
                    </w:rPr>
                    <w:t xml:space="preserve">                   </w:t>
                  </w:r>
                </w:p>
              </w:txbxContent>
            </v:textbox>
            <w10:anchorlock/>
          </v:shape>
        </w:pict>
      </w:r>
      <w:r>
        <w:pict>
          <v:shape id="fmFrame2" o:spid="_x0000_s1027" o:spt="202" type="#_x0000_t202" style="position:absolute;left:0pt;margin-left:0pt;margin-top:79.6pt;height:30.8pt;width:481.9pt;mso-position-horizontal-relative:margin;mso-position-vertical-relative:margin;z-index:251660288;mso-width-relative:page;mso-height-relative:page;" stroked="f" coordsize="21600,21600">
            <v:path/>
            <v:fill focussize="0,0"/>
            <v:stroke on="f" joinstyle="miter"/>
            <v:imagedata o:title=""/>
            <o:lock v:ext="edit"/>
            <v:textbox inset="0mm,0mm,0mm,0mm">
              <w:txbxContent>
                <w:p>
                  <w:pPr>
                    <w:pStyle w:val="107"/>
                  </w:pPr>
                  <w:r>
                    <w:rPr>
                      <w:rFonts w:hint="eastAsia"/>
                    </w:rPr>
                    <w:t>中华人民共和国有色金属行业标准</w:t>
                  </w:r>
                </w:p>
              </w:txbxContent>
            </v:textbox>
            <w10:anchorlock/>
          </v:shape>
        </w:pict>
      </w:r>
      <w:r>
        <w:pict>
          <v:shape id="fmFrame1" o:spid="_x0000_s1026" o:spt="202" type="#_x0000_t202" style="position:absolute;left:0pt;margin-left:0pt;margin-top:0pt;height:51.8pt;width:200pt;mso-position-horizontal-relative:margin;mso-position-vertical-relative:margin;z-index:251659264;mso-width-relative:page;mso-height-relative:page;" stroked="f" coordsize="21600,21600">
            <v:path/>
            <v:fill focussize="0,0"/>
            <v:stroke on="f" joinstyle="miter"/>
            <v:imagedata o:title=""/>
            <o:lock v:ext="edit"/>
            <v:textbox inset="0mm,0mm,0mm,0mm">
              <w:txbxContent>
                <w:p>
                  <w:pPr>
                    <w:pStyle w:val="120"/>
                    <w:rPr>
                      <w:rFonts w:hAnsi="黑体"/>
                      <w:color w:val="FF0000"/>
                    </w:rPr>
                  </w:pPr>
                  <w:r>
                    <w:rPr>
                      <w:rFonts w:hint="eastAsia" w:hAnsi="黑体"/>
                      <w:color w:val="FF0000"/>
                    </w:rPr>
                    <w:t>ICS27.220</w:t>
                  </w:r>
                </w:p>
                <w:p>
                  <w:pPr>
                    <w:pStyle w:val="120"/>
                    <w:rPr>
                      <w:rFonts w:hAnsi="黑体"/>
                      <w:color w:val="FF0000"/>
                    </w:rPr>
                  </w:pPr>
                  <w:r>
                    <w:rPr>
                      <w:rFonts w:hint="eastAsia" w:hAnsi="黑体"/>
                      <w:color w:val="FF0000"/>
                    </w:rPr>
                    <w:t>F01</w:t>
                  </w:r>
                </w:p>
                <w:p>
                  <w:pPr>
                    <w:pStyle w:val="120"/>
                    <w:rPr>
                      <w:rFonts w:hAnsi="黑体"/>
                    </w:rPr>
                  </w:pPr>
                </w:p>
              </w:txbxContent>
            </v:textbox>
            <w10:anchorlock/>
          </v:shape>
        </w:pict>
      </w:r>
    </w:p>
    <w:bookmarkEnd w:id="0"/>
    <w:p>
      <w:pPr>
        <w:pStyle w:val="109"/>
        <w:rPr>
          <w:rFonts w:hAnsi="Calibri" w:cs="Calibri"/>
        </w:rPr>
      </w:pPr>
      <w:r>
        <w:rPr>
          <w:rFonts w:hint="eastAsia" w:hAnsi="Calibri" w:cs="Calibri"/>
        </w:rPr>
        <w:t xml:space="preserve">前 </w:t>
      </w:r>
      <w:r>
        <w:rPr>
          <w:rFonts w:hAnsi="Calibri" w:cs="Calibri"/>
        </w:rPr>
        <w:t xml:space="preserve"> </w:t>
      </w:r>
      <w:r>
        <w:rPr>
          <w:rFonts w:hint="eastAsia" w:hAnsi="Calibri" w:cs="Calibri"/>
        </w:rPr>
        <w:t>言</w:t>
      </w:r>
    </w:p>
    <w:p>
      <w:pPr>
        <w:spacing w:line="360" w:lineRule="auto"/>
        <w:ind w:firstLine="420" w:firstLineChars="200"/>
        <w:rPr>
          <w:rFonts w:hint="eastAsia"/>
          <w:szCs w:val="21"/>
          <w:highlight w:val="none"/>
        </w:rPr>
      </w:pPr>
      <w:r>
        <w:rPr>
          <w:szCs w:val="21"/>
          <w:highlight w:val="none"/>
        </w:rPr>
        <w:t>本文件按照GB/T1.1-2020《标准化工作导则 第1部分：标准化文件的结构和起草规则》的规定起草。</w:t>
      </w:r>
      <w:r>
        <w:rPr>
          <w:rFonts w:hint="eastAsia"/>
          <w:szCs w:val="21"/>
          <w:highlight w:val="none"/>
        </w:rPr>
        <w:t xml:space="preserve">   </w:t>
      </w:r>
    </w:p>
    <w:p>
      <w:pPr>
        <w:spacing w:line="360" w:lineRule="auto"/>
        <w:ind w:firstLine="420" w:firstLineChars="200"/>
        <w:rPr>
          <w:szCs w:val="21"/>
          <w:highlight w:val="none"/>
        </w:rPr>
      </w:pPr>
      <w:r>
        <w:rPr>
          <w:szCs w:val="21"/>
          <w:highlight w:val="none"/>
        </w:rPr>
        <w:t>请注意本文件的某些内容可能涉及专利</w:t>
      </w:r>
      <w:r>
        <w:rPr>
          <w:rFonts w:hint="eastAsia"/>
          <w:szCs w:val="21"/>
          <w:highlight w:val="none"/>
        </w:rPr>
        <w:t>，</w:t>
      </w:r>
      <w:r>
        <w:rPr>
          <w:szCs w:val="21"/>
          <w:highlight w:val="none"/>
        </w:rPr>
        <w:t>本文件的发布机构不承担识别专利的责任。</w:t>
      </w:r>
    </w:p>
    <w:p>
      <w:pPr>
        <w:spacing w:line="360" w:lineRule="auto"/>
        <w:ind w:firstLine="420" w:firstLineChars="200"/>
        <w:rPr>
          <w:szCs w:val="21"/>
          <w:highlight w:val="none"/>
        </w:rPr>
      </w:pPr>
      <w:r>
        <w:rPr>
          <w:szCs w:val="21"/>
          <w:highlight w:val="none"/>
        </w:rPr>
        <w:t>本文件由全国有色金属标准化技术委员会（SAC/TC243）</w:t>
      </w:r>
      <w:r>
        <w:rPr>
          <w:rFonts w:hint="eastAsia"/>
          <w:szCs w:val="21"/>
          <w:highlight w:val="none"/>
        </w:rPr>
        <w:t>提出并</w:t>
      </w:r>
      <w:r>
        <w:rPr>
          <w:szCs w:val="21"/>
          <w:highlight w:val="none"/>
        </w:rPr>
        <w:t>归口。</w:t>
      </w:r>
    </w:p>
    <w:p>
      <w:pPr>
        <w:spacing w:line="460" w:lineRule="exact"/>
        <w:ind w:firstLine="420" w:firstLineChars="200"/>
        <w:rPr>
          <w:rFonts w:ascii="宋体" w:hAnsi="宋体"/>
          <w:kern w:val="0"/>
          <w:szCs w:val="21"/>
        </w:rPr>
      </w:pPr>
      <w:r>
        <w:rPr>
          <w:szCs w:val="21"/>
          <w:highlight w:val="none"/>
        </w:rPr>
        <w:t>本文件起草单位：</w:t>
      </w:r>
      <w:r>
        <w:rPr>
          <w:rFonts w:hint="eastAsia" w:ascii="宋体" w:hAnsi="宋体"/>
          <w:kern w:val="0"/>
          <w:szCs w:val="21"/>
        </w:rPr>
        <w:t>沈阳有研矿物化工有限公司、铁岭选矿药剂有限公司、矿冶科技集团有限公司。</w:t>
      </w:r>
    </w:p>
    <w:p>
      <w:pPr>
        <w:spacing w:line="460" w:lineRule="exact"/>
        <w:ind w:firstLine="420" w:firstLineChars="200"/>
        <w:rPr>
          <w:rFonts w:ascii="宋体" w:hAnsi="宋体"/>
          <w:kern w:val="0"/>
          <w:szCs w:val="21"/>
        </w:rPr>
      </w:pPr>
      <w:r>
        <w:rPr>
          <w:rFonts w:hint="eastAsia" w:ascii="宋体" w:hAnsi="宋体"/>
          <w:kern w:val="0"/>
          <w:szCs w:val="21"/>
        </w:rPr>
        <w:t>本</w:t>
      </w:r>
      <w:r>
        <w:rPr>
          <w:szCs w:val="21"/>
          <w:highlight w:val="none"/>
        </w:rPr>
        <w:t>文件</w:t>
      </w:r>
      <w:r>
        <w:rPr>
          <w:rFonts w:hint="eastAsia" w:ascii="宋体" w:hAnsi="宋体"/>
          <w:kern w:val="0"/>
          <w:szCs w:val="21"/>
        </w:rPr>
        <w:t>主要起草人：</w:t>
      </w:r>
    </w:p>
    <w:p>
      <w:pPr>
        <w:pStyle w:val="22"/>
      </w:pPr>
    </w:p>
    <w:p>
      <w:pPr>
        <w:pStyle w:val="47"/>
      </w:pPr>
      <w:r>
        <w:rPr>
          <w:rFonts w:hint="eastAsia"/>
          <w:lang w:val="en-US" w:eastAsia="zh-CN"/>
        </w:rPr>
        <w:t>丁</w:t>
      </w:r>
      <w:r>
        <w:rPr>
          <w:rFonts w:hint="eastAsia"/>
        </w:rPr>
        <w:t>氧羰基异丁基硫代氨基甲酸酯</w:t>
      </w:r>
    </w:p>
    <w:p>
      <w:pPr>
        <w:pStyle w:val="42"/>
        <w:spacing w:before="312" w:after="312"/>
      </w:pPr>
      <w:r>
        <w:rPr>
          <w:rFonts w:hint="eastAsia"/>
        </w:rPr>
        <w:t>范围</w:t>
      </w:r>
    </w:p>
    <w:p>
      <w:pPr>
        <w:pStyle w:val="22"/>
        <w:rPr>
          <w:rFonts w:ascii="仿宋_GB2312"/>
        </w:rPr>
      </w:pPr>
      <w:r>
        <w:rPr>
          <w:rFonts w:hint="eastAsia"/>
        </w:rPr>
        <w:t>本文件规定了</w:t>
      </w:r>
      <w:r>
        <w:rPr>
          <w:rFonts w:hint="eastAsia"/>
          <w:u w:val="dotted"/>
          <w:lang w:val="en-US" w:eastAsia="zh-CN"/>
        </w:rPr>
        <w:t>丁氧羰基异丁基硫代氨基甲酸酯</w:t>
      </w:r>
      <w:r>
        <w:rPr>
          <w:rFonts w:hint="eastAsia"/>
        </w:rPr>
        <w:t>的要求、试验方法、检验规则和包装、标志、运输、贮存、随行文件及订货单内容。</w:t>
      </w:r>
    </w:p>
    <w:p>
      <w:r>
        <w:rPr>
          <w:rFonts w:hint="eastAsia"/>
        </w:rPr>
        <w:t xml:space="preserve">    本文件适用于以</w:t>
      </w:r>
      <w:r>
        <w:rPr>
          <w:rFonts w:hint="eastAsia"/>
          <w:lang w:val="en-US" w:eastAsia="zh-CN"/>
        </w:rPr>
        <w:t>硫氰酸钠</w:t>
      </w:r>
      <w:r>
        <w:rPr>
          <w:rFonts w:hint="eastAsia"/>
        </w:rPr>
        <w:t>、氯甲酸</w:t>
      </w:r>
      <w:r>
        <w:rPr>
          <w:rFonts w:hint="eastAsia"/>
          <w:lang w:val="en-US" w:eastAsia="zh-CN"/>
        </w:rPr>
        <w:t>正丁</w:t>
      </w:r>
      <w:r>
        <w:rPr>
          <w:rFonts w:hint="eastAsia"/>
        </w:rPr>
        <w:t>酯、</w:t>
      </w:r>
      <w:r>
        <w:rPr>
          <w:rFonts w:hint="eastAsia"/>
          <w:lang w:val="en-US" w:eastAsia="zh-CN"/>
        </w:rPr>
        <w:t>异丁醇</w:t>
      </w:r>
      <w:r>
        <w:rPr>
          <w:rFonts w:hint="eastAsia"/>
        </w:rPr>
        <w:t>为原料生产的</w:t>
      </w:r>
      <w:r>
        <w:rPr>
          <w:rFonts w:hint="eastAsia"/>
          <w:u w:val="dotted"/>
          <w:lang w:val="en-US" w:eastAsia="zh-CN"/>
        </w:rPr>
        <w:t>丁氧羰基异丁基硫代氨基甲酸酯</w:t>
      </w:r>
      <w:r>
        <w:rPr>
          <w:rFonts w:hint="eastAsia"/>
        </w:rPr>
        <w:t>产品，该产品主要用作有色金属硫化矿浮选的捕收剂。</w:t>
      </w:r>
    </w:p>
    <w:p>
      <w:pPr>
        <w:pStyle w:val="42"/>
        <w:spacing w:before="312" w:after="312"/>
      </w:pPr>
      <w:r>
        <w:rPr>
          <w:rFonts w:hint="eastAsia"/>
        </w:rPr>
        <w:t>规范性引用文件</w:t>
      </w:r>
    </w:p>
    <w:p>
      <w:pPr>
        <w:pStyle w:val="22"/>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2"/>
      </w:pPr>
      <w:r>
        <w:rPr>
          <w:rFonts w:ascii="Times New Roman"/>
        </w:rPr>
        <w:t>GB/T</w:t>
      </w:r>
      <w:r>
        <w:rPr>
          <w:rFonts w:hint="eastAsia"/>
        </w:rPr>
        <w:t xml:space="preserve"> 261  闪点的测定 宾斯基-马丁闭口杯法</w:t>
      </w:r>
    </w:p>
    <w:p>
      <w:pPr>
        <w:pStyle w:val="22"/>
      </w:pPr>
      <w:r>
        <w:rPr>
          <w:rFonts w:hint="eastAsia" w:ascii="Times New Roman"/>
        </w:rPr>
        <w:t>GB/T</w:t>
      </w:r>
      <w:r>
        <w:rPr>
          <w:rFonts w:hint="eastAsia"/>
        </w:rPr>
        <w:t xml:space="preserve"> 4472  化工产品密度、相对密度测定</w:t>
      </w:r>
    </w:p>
    <w:p>
      <w:pPr>
        <w:pStyle w:val="22"/>
      </w:pPr>
      <w:r>
        <w:rPr>
          <w:rFonts w:hint="eastAsia" w:ascii="Times New Roman"/>
        </w:rPr>
        <w:t>GB/T</w:t>
      </w:r>
      <w:r>
        <w:rPr>
          <w:rFonts w:hint="eastAsia"/>
        </w:rPr>
        <w:t xml:space="preserve"> 6678  化工产品采样总则</w:t>
      </w:r>
    </w:p>
    <w:p>
      <w:pPr>
        <w:pStyle w:val="22"/>
      </w:pPr>
      <w:r>
        <w:rPr>
          <w:rFonts w:hint="eastAsia" w:ascii="Times New Roman"/>
        </w:rPr>
        <w:t>GB/T</w:t>
      </w:r>
      <w:r>
        <w:rPr>
          <w:rFonts w:hint="eastAsia"/>
        </w:rPr>
        <w:t xml:space="preserve"> 6680  液体化工产品采样通则</w:t>
      </w:r>
    </w:p>
    <w:p>
      <w:pPr>
        <w:pStyle w:val="22"/>
      </w:pPr>
      <w:r>
        <w:rPr>
          <w:rFonts w:hint="eastAsia" w:ascii="Times New Roman"/>
        </w:rPr>
        <w:t>GB/T</w:t>
      </w:r>
      <w:r>
        <w:rPr>
          <w:rFonts w:hint="eastAsia"/>
        </w:rPr>
        <w:t xml:space="preserve"> 8170  数值修约规则与极限数值的表示和判定</w:t>
      </w:r>
    </w:p>
    <w:p>
      <w:pPr>
        <w:pStyle w:val="22"/>
      </w:pPr>
      <w:r>
        <w:rPr>
          <w:rFonts w:hint="eastAsia" w:ascii="Times New Roman"/>
        </w:rPr>
        <w:t>GB/T</w:t>
      </w:r>
      <w:r>
        <w:rPr>
          <w:rFonts w:hint="eastAsia"/>
        </w:rPr>
        <w:t xml:space="preserve"> 13508  聚乙烯吹塑桶</w:t>
      </w:r>
    </w:p>
    <w:p>
      <w:pPr>
        <w:pStyle w:val="22"/>
      </w:pPr>
      <w:r>
        <w:rPr>
          <w:rFonts w:hint="eastAsia" w:ascii="Times New Roman"/>
        </w:rPr>
        <w:t>GB/T</w:t>
      </w:r>
      <w:r>
        <w:rPr>
          <w:rFonts w:hint="eastAsia"/>
        </w:rPr>
        <w:t xml:space="preserve"> 19161 </w:t>
      </w:r>
      <w:r>
        <w:rPr>
          <w:rFonts w:hint="eastAsia" w:ascii="仿宋_GB2312"/>
        </w:rPr>
        <w:t xml:space="preserve"> </w:t>
      </w:r>
      <w:r>
        <w:rPr>
          <w:rFonts w:hint="eastAsia"/>
        </w:rPr>
        <w:t>包装容器</w:t>
      </w:r>
      <w:r>
        <w:rPr>
          <w:rFonts w:hint="eastAsia" w:ascii="仿宋_GB2312"/>
        </w:rPr>
        <w:t xml:space="preserve">  </w:t>
      </w:r>
      <w:r>
        <w:rPr>
          <w:rFonts w:hint="eastAsia"/>
        </w:rPr>
        <w:t>复合式中型散装容器</w:t>
      </w:r>
    </w:p>
    <w:p>
      <w:pPr>
        <w:pStyle w:val="42"/>
        <w:spacing w:before="312" w:after="312"/>
      </w:pPr>
      <w:r>
        <w:rPr>
          <w:rFonts w:hint="eastAsia"/>
        </w:rPr>
        <w:t>术语和定义</w:t>
      </w:r>
    </w:p>
    <w:p>
      <w:pPr>
        <w:pStyle w:val="42"/>
        <w:numPr>
          <w:ilvl w:val="0"/>
          <w:numId w:val="0"/>
        </w:numPr>
        <w:spacing w:before="312" w:after="312"/>
        <w:ind w:leftChars="0" w:firstLine="420" w:firstLineChars="200"/>
        <w:rPr>
          <w:rFonts w:hint="eastAsia" w:ascii="宋体" w:eastAsia="宋体"/>
        </w:rPr>
      </w:pPr>
      <w:r>
        <w:rPr>
          <w:rFonts w:hint="eastAsia" w:ascii="宋体" w:eastAsia="宋体"/>
        </w:rPr>
        <w:t>本文件没有需要界定的术语和定义。</w:t>
      </w:r>
    </w:p>
    <w:p>
      <w:pPr>
        <w:pStyle w:val="42"/>
        <w:spacing w:before="312" w:after="312"/>
      </w:pPr>
      <w:r>
        <w:rPr>
          <w:rFonts w:hint="eastAsia"/>
          <w:lang w:val="en-US" w:eastAsia="zh-CN"/>
        </w:rPr>
        <w:t>技术</w:t>
      </w:r>
      <w:r>
        <w:rPr>
          <w:rFonts w:hint="eastAsia"/>
        </w:rPr>
        <w:t>要求</w:t>
      </w:r>
    </w:p>
    <w:p>
      <w:pPr>
        <w:pStyle w:val="22"/>
        <w:ind w:firstLine="0" w:firstLineChars="0"/>
        <w:rPr>
          <w:rFonts w:ascii="黑体" w:eastAsia="黑体"/>
        </w:rPr>
      </w:pPr>
      <w:r>
        <w:rPr>
          <w:rFonts w:hint="eastAsia" w:ascii="黑体" w:hAnsi="宋体" w:eastAsia="黑体"/>
        </w:rPr>
        <w:t>4.1</w:t>
      </w:r>
      <w:r>
        <w:rPr>
          <w:rFonts w:ascii="黑体" w:hAnsi="宋体" w:eastAsia="黑体"/>
        </w:rPr>
        <w:t xml:space="preserve">  </w:t>
      </w:r>
      <w:r>
        <w:rPr>
          <w:rFonts w:hint="eastAsia" w:ascii="黑体" w:eastAsia="黑体"/>
        </w:rPr>
        <w:t>化学结构式、化学名称和产品状态</w:t>
      </w:r>
    </w:p>
    <w:p>
      <w:pPr>
        <w:pStyle w:val="22"/>
      </w:pPr>
      <w:r>
        <w:rPr>
          <w:rFonts w:hint="eastAsia"/>
          <w:lang w:val="en-US" w:eastAsia="zh-CN"/>
        </w:rPr>
        <w:t>丁氧羰基异丁基硫代氨基甲酸酯</w:t>
      </w:r>
      <w:r>
        <w:rPr>
          <w:rFonts w:hint="eastAsia"/>
        </w:rPr>
        <w:t>的牌号为</w:t>
      </w:r>
      <w:r>
        <w:rPr>
          <w:rFonts w:ascii="Times New Roman"/>
          <w:color w:val="auto"/>
          <w:highlight w:val="none"/>
        </w:rPr>
        <w:t>B</w:t>
      </w:r>
      <w:r>
        <w:rPr>
          <w:rFonts w:hint="eastAsia"/>
          <w:color w:val="auto"/>
          <w:highlight w:val="none"/>
        </w:rPr>
        <w:t>1-</w:t>
      </w:r>
      <w:r>
        <w:rPr>
          <w:rFonts w:hint="eastAsia"/>
          <w:color w:val="auto"/>
          <w:highlight w:val="none"/>
          <w:lang w:val="en-US" w:eastAsia="zh-CN"/>
        </w:rPr>
        <w:t>203</w:t>
      </w:r>
      <w:r>
        <w:rPr>
          <w:rFonts w:hint="eastAsia"/>
        </w:rPr>
        <w:t>，其化学结构式和产品状态应符合表1的规定。</w:t>
      </w:r>
    </w:p>
    <w:p>
      <w:pPr>
        <w:pStyle w:val="22"/>
      </w:pPr>
    </w:p>
    <w:p>
      <w:pPr>
        <w:pStyle w:val="22"/>
        <w:ind w:firstLine="0" w:firstLineChars="0"/>
        <w:jc w:val="center"/>
      </w:pPr>
      <w:r>
        <w:rPr>
          <w:rFonts w:hint="eastAsia"/>
        </w:rPr>
        <w:t>表1  产品的牌号、化学结构式、化学名称和产品状态</w:t>
      </w:r>
    </w:p>
    <w:tbl>
      <w:tblPr>
        <w:tblStyle w:val="30"/>
        <w:tblW w:w="95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4800"/>
        <w:gridCol w:w="2130"/>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tcBorders>
              <w:top w:val="single" w:color="auto" w:sz="4" w:space="0"/>
              <w:left w:val="single" w:color="auto" w:sz="4" w:space="0"/>
              <w:bottom w:val="single" w:color="auto" w:sz="4" w:space="0"/>
              <w:right w:val="single" w:color="auto" w:sz="4" w:space="0"/>
            </w:tcBorders>
            <w:vAlign w:val="center"/>
          </w:tcPr>
          <w:p>
            <w:pPr>
              <w:pStyle w:val="22"/>
              <w:ind w:firstLine="0" w:firstLineChars="0"/>
              <w:jc w:val="center"/>
            </w:pPr>
            <w:r>
              <w:rPr>
                <w:rFonts w:hint="eastAsia"/>
              </w:rPr>
              <w:t>牌号</w:t>
            </w:r>
          </w:p>
        </w:tc>
        <w:tc>
          <w:tcPr>
            <w:tcW w:w="4800" w:type="dxa"/>
            <w:tcBorders>
              <w:top w:val="single" w:color="auto" w:sz="4" w:space="0"/>
              <w:left w:val="nil"/>
              <w:bottom w:val="single" w:color="auto" w:sz="4" w:space="0"/>
              <w:right w:val="single" w:color="auto" w:sz="4" w:space="0"/>
            </w:tcBorders>
            <w:vAlign w:val="center"/>
          </w:tcPr>
          <w:p>
            <w:pPr>
              <w:pStyle w:val="22"/>
              <w:ind w:firstLine="0" w:firstLineChars="0"/>
              <w:jc w:val="center"/>
            </w:pPr>
            <w:r>
              <w:rPr>
                <w:rFonts w:hint="eastAsia"/>
              </w:rPr>
              <w:t>化学结构式</w:t>
            </w:r>
          </w:p>
        </w:tc>
        <w:tc>
          <w:tcPr>
            <w:tcW w:w="2130" w:type="dxa"/>
            <w:tcBorders>
              <w:top w:val="single" w:color="auto" w:sz="4" w:space="0"/>
              <w:left w:val="nil"/>
              <w:bottom w:val="single" w:color="auto" w:sz="4" w:space="0"/>
              <w:right w:val="single" w:color="auto" w:sz="4" w:space="0"/>
            </w:tcBorders>
            <w:vAlign w:val="center"/>
          </w:tcPr>
          <w:p>
            <w:pPr>
              <w:pStyle w:val="22"/>
              <w:ind w:firstLine="0" w:firstLineChars="0"/>
              <w:jc w:val="center"/>
            </w:pPr>
            <w:r>
              <w:rPr>
                <w:rFonts w:hint="eastAsia"/>
              </w:rPr>
              <w:t>化学名称</w:t>
            </w:r>
          </w:p>
        </w:tc>
        <w:tc>
          <w:tcPr>
            <w:tcW w:w="1571" w:type="dxa"/>
            <w:tcBorders>
              <w:top w:val="single" w:color="auto" w:sz="4" w:space="0"/>
              <w:left w:val="nil"/>
              <w:bottom w:val="single" w:color="auto" w:sz="4" w:space="0"/>
              <w:right w:val="single" w:color="auto" w:sz="4" w:space="0"/>
            </w:tcBorders>
            <w:vAlign w:val="center"/>
          </w:tcPr>
          <w:p>
            <w:pPr>
              <w:pStyle w:val="22"/>
              <w:ind w:firstLine="0" w:firstLineChars="0"/>
              <w:jc w:val="center"/>
            </w:pPr>
            <w:r>
              <w:rPr>
                <w:rFonts w:hint="eastAsia"/>
              </w:rPr>
              <w:t>产品状态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 w:type="dxa"/>
            <w:tcBorders>
              <w:top w:val="single" w:color="auto" w:sz="4" w:space="0"/>
              <w:left w:val="single" w:color="auto" w:sz="4" w:space="0"/>
              <w:bottom w:val="single" w:color="auto" w:sz="4" w:space="0"/>
              <w:right w:val="single" w:color="auto" w:sz="4" w:space="0"/>
            </w:tcBorders>
            <w:vAlign w:val="center"/>
          </w:tcPr>
          <w:p>
            <w:pPr>
              <w:pStyle w:val="22"/>
              <w:ind w:firstLine="0" w:firstLineChars="0"/>
              <w:jc w:val="center"/>
              <w:rPr>
                <w:rFonts w:hint="eastAsia" w:eastAsia="宋体"/>
                <w:lang w:val="en-US" w:eastAsia="zh-CN"/>
              </w:rPr>
            </w:pPr>
            <w:r>
              <w:rPr>
                <w:rFonts w:hint="eastAsia"/>
              </w:rPr>
              <w:t>B1-</w:t>
            </w:r>
            <w:r>
              <w:rPr>
                <w:rFonts w:hint="eastAsia"/>
                <w:lang w:val="en-US" w:eastAsia="zh-CN"/>
              </w:rPr>
              <w:t>203</w:t>
            </w:r>
          </w:p>
        </w:tc>
        <w:tc>
          <w:tcPr>
            <w:tcW w:w="4800" w:type="dxa"/>
            <w:tcBorders>
              <w:top w:val="single" w:color="auto" w:sz="4" w:space="0"/>
              <w:left w:val="nil"/>
              <w:bottom w:val="single" w:color="auto" w:sz="4" w:space="0"/>
              <w:right w:val="single" w:color="auto" w:sz="4" w:space="0"/>
            </w:tcBorders>
            <w:vAlign w:val="center"/>
          </w:tcPr>
          <w:p>
            <w:pPr>
              <w:pStyle w:val="22"/>
              <w:ind w:firstLine="105" w:firstLineChars="50"/>
              <w:textAlignment w:val="center"/>
              <w:rPr>
                <w:b/>
                <w:bCs/>
                <w:sz w:val="36"/>
                <w:szCs w:val="36"/>
                <w:u w:val="single"/>
              </w:rPr>
            </w:pPr>
            <w:r>
              <w:rPr>
                <w:rFonts w:hint="eastAsia" w:hAnsi="宋体"/>
              </w:rPr>
              <w:t>分子式：</w:t>
            </w:r>
            <w:r>
              <w:rPr>
                <w:rFonts w:hint="eastAsia"/>
                <w:sz w:val="24"/>
                <w:szCs w:val="24"/>
              </w:rPr>
              <w:t>C</w:t>
            </w:r>
            <w:r>
              <w:rPr>
                <w:rFonts w:hint="eastAsia"/>
                <w:sz w:val="24"/>
                <w:szCs w:val="24"/>
                <w:vertAlign w:val="subscript"/>
                <w:lang w:val="en-US" w:eastAsia="zh-CN"/>
              </w:rPr>
              <w:t>10</w:t>
            </w:r>
            <w:r>
              <w:rPr>
                <w:rFonts w:hint="eastAsia"/>
                <w:sz w:val="24"/>
                <w:szCs w:val="24"/>
              </w:rPr>
              <w:t>H</w:t>
            </w:r>
            <w:r>
              <w:rPr>
                <w:rFonts w:hint="eastAsia"/>
                <w:sz w:val="24"/>
                <w:szCs w:val="24"/>
                <w:vertAlign w:val="subscript"/>
              </w:rPr>
              <w:t>1</w:t>
            </w:r>
            <w:r>
              <w:rPr>
                <w:rFonts w:hint="eastAsia"/>
                <w:sz w:val="24"/>
                <w:szCs w:val="24"/>
                <w:vertAlign w:val="subscript"/>
                <w:lang w:val="en-US" w:eastAsia="zh-CN"/>
              </w:rPr>
              <w:t>9</w:t>
            </w:r>
            <w:r>
              <w:rPr>
                <w:rFonts w:hint="eastAsia"/>
                <w:sz w:val="24"/>
                <w:szCs w:val="24"/>
              </w:rPr>
              <w:t>O</w:t>
            </w:r>
            <w:r>
              <w:rPr>
                <w:rFonts w:hint="eastAsia"/>
                <w:sz w:val="24"/>
                <w:szCs w:val="24"/>
                <w:vertAlign w:val="subscript"/>
              </w:rPr>
              <w:t>3</w:t>
            </w:r>
            <w:r>
              <w:rPr>
                <w:rFonts w:hint="eastAsia"/>
                <w:sz w:val="24"/>
                <w:szCs w:val="24"/>
              </w:rPr>
              <w:t>SN</w:t>
            </w:r>
          </w:p>
          <w:p>
            <w:pPr>
              <w:pStyle w:val="22"/>
              <w:ind w:firstLine="105" w:firstLineChars="50"/>
              <w:rPr>
                <w:rFonts w:hAnsi="宋体"/>
                <w:szCs w:val="21"/>
              </w:rPr>
            </w:pPr>
            <w:r>
              <w:rPr>
                <w:rFonts w:hint="eastAsia" w:hAnsi="宋体"/>
              </w:rPr>
              <w:t>结构式：</w:t>
            </w:r>
          </w:p>
          <w:p>
            <w:pPr>
              <w:pStyle w:val="22"/>
              <w:ind w:firstLine="105" w:firstLineChars="50"/>
              <w:rPr>
                <w:rFonts w:hAnsi="宋体"/>
                <w:sz w:val="24"/>
                <w:szCs w:val="24"/>
              </w:rPr>
            </w:pPr>
            <w:r>
              <w:rPr>
                <w:rFonts w:hint="eastAsia" w:hAnsi="宋体"/>
              </w:rPr>
              <w:t xml:space="preserve">    </w:t>
            </w:r>
            <w:r>
              <w:rPr>
                <w:rFonts w:hint="eastAsia" w:hAnsi="宋体"/>
                <w:sz w:val="24"/>
                <w:szCs w:val="24"/>
              </w:rPr>
              <w:t xml:space="preserve">     </w:t>
            </w:r>
            <w:r>
              <w:rPr>
                <w:rFonts w:hint="eastAsia" w:hAnsi="宋体"/>
                <w:sz w:val="24"/>
                <w:szCs w:val="24"/>
                <w:lang w:val="en-US" w:eastAsia="zh-CN"/>
              </w:rPr>
              <w:t xml:space="preserve">  </w:t>
            </w:r>
            <w:r>
              <w:rPr>
                <w:rFonts w:hint="eastAsia" w:hAnsi="宋体"/>
                <w:sz w:val="24"/>
                <w:szCs w:val="24"/>
              </w:rPr>
              <w:t xml:space="preserve"> </w:t>
            </w:r>
            <w:r>
              <w:rPr>
                <w:rFonts w:hint="eastAsia" w:hAnsi="宋体"/>
                <w:sz w:val="24"/>
                <w:szCs w:val="24"/>
                <w:lang w:val="en-US" w:eastAsia="zh-CN"/>
              </w:rPr>
              <w:t xml:space="preserve">     </w:t>
            </w:r>
            <w:r>
              <w:rPr>
                <w:rFonts w:hAnsi="宋体"/>
                <w:sz w:val="24"/>
                <w:szCs w:val="24"/>
              </w:rPr>
              <w:t>O</w:t>
            </w:r>
            <w:r>
              <w:rPr>
                <w:rFonts w:hint="eastAsia" w:hAnsi="宋体"/>
                <w:sz w:val="24"/>
                <w:szCs w:val="24"/>
              </w:rPr>
              <w:t xml:space="preserve">  </w:t>
            </w:r>
            <w:r>
              <w:rPr>
                <w:rFonts w:hAnsi="宋体"/>
                <w:sz w:val="24"/>
                <w:szCs w:val="24"/>
              </w:rPr>
              <w:t>H</w:t>
            </w:r>
            <w:r>
              <w:rPr>
                <w:rFonts w:hint="eastAsia" w:hAnsi="宋体"/>
                <w:sz w:val="24"/>
                <w:szCs w:val="24"/>
              </w:rPr>
              <w:t xml:space="preserve">  </w:t>
            </w:r>
            <w:r>
              <w:rPr>
                <w:rFonts w:hAnsi="宋体"/>
                <w:sz w:val="24"/>
                <w:szCs w:val="24"/>
              </w:rPr>
              <w:t>S</w:t>
            </w:r>
            <w:r>
              <w:rPr>
                <w:rFonts w:hint="eastAsia" w:hAnsi="宋体"/>
                <w:sz w:val="24"/>
                <w:szCs w:val="24"/>
              </w:rPr>
              <w:t xml:space="preserve"> </w:t>
            </w:r>
            <w:r>
              <w:rPr>
                <w:rFonts w:hAnsi="宋体"/>
                <w:sz w:val="24"/>
                <w:szCs w:val="24"/>
              </w:rPr>
              <w:t xml:space="preserve">      </w:t>
            </w:r>
            <w:r>
              <w:rPr>
                <w:rFonts w:hint="eastAsia" w:hAnsi="宋体"/>
                <w:sz w:val="24"/>
                <w:szCs w:val="24"/>
              </w:rPr>
              <w:t>CH</w:t>
            </w:r>
            <w:r>
              <w:rPr>
                <w:rFonts w:hAnsi="宋体"/>
                <w:sz w:val="24"/>
                <w:szCs w:val="24"/>
                <w:vertAlign w:val="subscript"/>
              </w:rPr>
              <w:t>3</w:t>
            </w:r>
          </w:p>
          <w:p>
            <w:pPr>
              <w:pStyle w:val="22"/>
              <w:ind w:firstLine="0" w:firstLineChars="0"/>
              <w:rPr>
                <w:rFonts w:hAnsi="宋体"/>
                <w:sz w:val="24"/>
                <w:szCs w:val="24"/>
                <w:vertAlign w:val="subscript"/>
              </w:rPr>
            </w:pPr>
            <w:r>
              <w:rPr>
                <w:rFonts w:hint="eastAsia" w:hAnsi="宋体"/>
                <w:sz w:val="24"/>
                <w:szCs w:val="24"/>
              </w:rPr>
              <w:t>CH</w:t>
            </w:r>
            <w:r>
              <w:rPr>
                <w:rFonts w:hint="eastAsia" w:hAnsi="宋体"/>
                <w:sz w:val="24"/>
                <w:szCs w:val="24"/>
                <w:vertAlign w:val="subscript"/>
              </w:rPr>
              <w:t>3</w:t>
            </w:r>
            <w:r>
              <w:rPr>
                <w:rFonts w:hint="eastAsia" w:hAnsi="宋体"/>
                <w:sz w:val="24"/>
                <w:szCs w:val="24"/>
              </w:rPr>
              <w:t>-CH</w:t>
            </w:r>
            <w:r>
              <w:rPr>
                <w:rFonts w:hint="eastAsia" w:hAnsi="宋体"/>
                <w:sz w:val="24"/>
                <w:szCs w:val="24"/>
                <w:vertAlign w:val="subscript"/>
              </w:rPr>
              <w:t>2</w:t>
            </w:r>
            <w:r>
              <w:rPr>
                <w:rFonts w:hint="eastAsia" w:hAnsi="宋体"/>
                <w:sz w:val="24"/>
                <w:szCs w:val="24"/>
              </w:rPr>
              <w:t>-CH</w:t>
            </w:r>
            <w:r>
              <w:rPr>
                <w:rFonts w:hint="eastAsia" w:hAnsi="宋体"/>
                <w:sz w:val="24"/>
                <w:szCs w:val="24"/>
                <w:vertAlign w:val="subscript"/>
              </w:rPr>
              <w:t>2</w:t>
            </w:r>
            <w:r>
              <w:rPr>
                <w:rFonts w:hint="eastAsia" w:hAnsi="宋体"/>
                <w:sz w:val="24"/>
                <w:szCs w:val="24"/>
              </w:rPr>
              <w:t>-CH</w:t>
            </w:r>
            <w:r>
              <w:rPr>
                <w:rFonts w:hint="eastAsia" w:hAnsi="宋体"/>
                <w:sz w:val="24"/>
                <w:szCs w:val="24"/>
                <w:vertAlign w:val="subscript"/>
              </w:rPr>
              <w:t>2</w:t>
            </w:r>
            <w:r>
              <w:rPr>
                <w:rFonts w:hint="eastAsia" w:hAnsi="宋体"/>
                <w:sz w:val="24"/>
                <w:szCs w:val="24"/>
              </w:rPr>
              <w:t>-O-C</w:t>
            </w:r>
            <w:r>
              <w:rPr>
                <w:rFonts w:hint="eastAsia" w:hAnsi="宋体"/>
                <w:b/>
                <w:bCs/>
                <w:sz w:val="24"/>
                <w:szCs w:val="24"/>
                <w:vertAlign w:val="superscript"/>
              </w:rPr>
              <w:t>∥</w:t>
            </w:r>
            <w:r>
              <w:rPr>
                <w:rFonts w:hint="eastAsia" w:hAnsi="宋体"/>
                <w:sz w:val="24"/>
                <w:szCs w:val="24"/>
              </w:rPr>
              <w:t>-</w:t>
            </w:r>
            <w:r>
              <w:rPr>
                <w:rFonts w:hAnsi="宋体"/>
                <w:sz w:val="24"/>
                <w:szCs w:val="24"/>
              </w:rPr>
              <w:t>N</w:t>
            </w:r>
            <w:r>
              <w:rPr>
                <w:rFonts w:hAnsi="宋体"/>
                <w:b/>
                <w:bCs/>
                <w:sz w:val="24"/>
                <w:szCs w:val="24"/>
                <w:vertAlign w:val="superscript"/>
              </w:rPr>
              <w:t>/</w:t>
            </w:r>
            <w:r>
              <w:rPr>
                <w:rFonts w:hint="eastAsia" w:hAnsi="宋体"/>
                <w:sz w:val="24"/>
                <w:szCs w:val="24"/>
              </w:rPr>
              <w:t>-C</w:t>
            </w:r>
            <w:r>
              <w:rPr>
                <w:rFonts w:hint="eastAsia" w:hAnsi="宋体"/>
                <w:b/>
                <w:bCs/>
                <w:sz w:val="24"/>
                <w:szCs w:val="24"/>
                <w:vertAlign w:val="superscript"/>
              </w:rPr>
              <w:t>∥</w:t>
            </w:r>
            <w:r>
              <w:rPr>
                <w:rFonts w:hint="eastAsia" w:hAnsi="宋体"/>
                <w:sz w:val="24"/>
                <w:szCs w:val="24"/>
              </w:rPr>
              <w:t>-O-CH</w:t>
            </w:r>
            <w:r>
              <w:rPr>
                <w:rFonts w:hint="eastAsia" w:hAnsi="宋体"/>
                <w:sz w:val="24"/>
                <w:szCs w:val="24"/>
                <w:vertAlign w:val="subscript"/>
              </w:rPr>
              <w:t>2</w:t>
            </w:r>
            <w:r>
              <w:rPr>
                <w:rFonts w:hint="eastAsia" w:hAnsi="宋体"/>
                <w:sz w:val="24"/>
                <w:szCs w:val="24"/>
              </w:rPr>
              <w:t>-C</w:t>
            </w:r>
            <w:r>
              <w:rPr>
                <w:rFonts w:hAnsi="宋体"/>
                <w:b/>
                <w:bCs/>
                <w:sz w:val="24"/>
                <w:szCs w:val="24"/>
                <w:vertAlign w:val="superscript"/>
              </w:rPr>
              <w:t>/</w:t>
            </w:r>
            <w:r>
              <w:rPr>
                <w:rFonts w:hint="eastAsia" w:hAnsi="宋体"/>
                <w:sz w:val="24"/>
                <w:szCs w:val="24"/>
              </w:rPr>
              <w:t>H-CH</w:t>
            </w:r>
            <w:r>
              <w:rPr>
                <w:rFonts w:hAnsi="宋体"/>
                <w:sz w:val="24"/>
                <w:szCs w:val="24"/>
                <w:vertAlign w:val="subscript"/>
              </w:rPr>
              <w:t>3</w:t>
            </w:r>
          </w:p>
          <w:p>
            <w:pPr>
              <w:pStyle w:val="22"/>
              <w:ind w:firstLine="0" w:firstLineChars="0"/>
              <w:rPr>
                <w:rFonts w:hint="eastAsia" w:hAnsi="宋体" w:eastAsia="宋体"/>
                <w:color w:val="FF0000"/>
                <w:szCs w:val="21"/>
                <w:lang w:val="en-US" w:eastAsia="zh-CN"/>
              </w:rPr>
            </w:pPr>
            <w:r>
              <w:rPr>
                <w:rFonts w:hint="eastAsia"/>
              </w:rPr>
              <w:t>分子量（按2016年国际原子量）：</w:t>
            </w:r>
            <w:r>
              <w:t>2</w:t>
            </w:r>
            <w:r>
              <w:rPr>
                <w:rFonts w:hint="eastAsia"/>
                <w:lang w:val="en-US" w:eastAsia="zh-CN"/>
              </w:rPr>
              <w:t>33</w:t>
            </w:r>
            <w:r>
              <w:t>.3</w:t>
            </w:r>
            <w:r>
              <w:rPr>
                <w:rFonts w:hint="eastAsia"/>
                <w:lang w:val="en-US" w:eastAsia="zh-CN"/>
              </w:rPr>
              <w:t>26</w:t>
            </w:r>
          </w:p>
        </w:tc>
        <w:tc>
          <w:tcPr>
            <w:tcW w:w="2130" w:type="dxa"/>
            <w:tcBorders>
              <w:top w:val="single" w:color="auto" w:sz="4" w:space="0"/>
              <w:left w:val="nil"/>
              <w:bottom w:val="single" w:color="auto" w:sz="4" w:space="0"/>
              <w:right w:val="single" w:color="auto" w:sz="4" w:space="0"/>
            </w:tcBorders>
            <w:vAlign w:val="center"/>
          </w:tcPr>
          <w:p>
            <w:pPr>
              <w:pStyle w:val="22"/>
              <w:ind w:firstLine="0" w:firstLineChars="0"/>
              <w:jc w:val="center"/>
            </w:pPr>
            <w:r>
              <w:rPr>
                <w:rFonts w:hint="eastAsia"/>
                <w:lang w:val="en-US" w:eastAsia="zh-CN"/>
              </w:rPr>
              <w:t>丁</w:t>
            </w:r>
            <w:r>
              <w:rPr>
                <w:rFonts w:hint="eastAsia"/>
              </w:rPr>
              <w:t>氧羰基异丁基硫代氨基甲酸酯</w:t>
            </w:r>
          </w:p>
        </w:tc>
        <w:tc>
          <w:tcPr>
            <w:tcW w:w="1571" w:type="dxa"/>
            <w:tcBorders>
              <w:top w:val="single" w:color="auto" w:sz="4" w:space="0"/>
              <w:left w:val="nil"/>
              <w:bottom w:val="single" w:color="auto" w:sz="4" w:space="0"/>
              <w:right w:val="single" w:color="auto" w:sz="4" w:space="0"/>
            </w:tcBorders>
            <w:vAlign w:val="center"/>
          </w:tcPr>
          <w:p>
            <w:pPr>
              <w:pStyle w:val="22"/>
              <w:ind w:firstLine="0" w:firstLineChars="0"/>
              <w:jc w:val="center"/>
            </w:pPr>
            <w:r>
              <w:rPr>
                <w:rFonts w:hint="eastAsia"/>
              </w:rPr>
              <w:t>黄色</w:t>
            </w:r>
            <w:r>
              <w:rPr>
                <w:rFonts w:hint="eastAsia"/>
                <w:lang w:val="en-US" w:eastAsia="zh-CN"/>
              </w:rPr>
              <w:t>至琥珀色</w:t>
            </w:r>
            <w:r>
              <w:rPr>
                <w:rFonts w:hint="eastAsia"/>
              </w:rPr>
              <w:t>透明油状液体</w:t>
            </w:r>
          </w:p>
        </w:tc>
      </w:tr>
    </w:tbl>
    <w:p>
      <w:pPr>
        <w:pStyle w:val="42"/>
        <w:numPr>
          <w:ilvl w:val="0"/>
          <w:numId w:val="0"/>
        </w:numPr>
        <w:spacing w:beforeLines="0" w:after="156" w:afterLines="50"/>
        <w:ind w:right="105" w:rightChars="50"/>
        <w:jc w:val="left"/>
        <w:rPr>
          <w:rFonts w:hint="eastAsia" w:hAnsi="宋体"/>
          <w:lang w:val="en-US" w:eastAsia="zh-CN"/>
        </w:rPr>
      </w:pPr>
    </w:p>
    <w:p>
      <w:pPr>
        <w:pStyle w:val="22"/>
        <w:ind w:firstLine="0" w:firstLineChars="0"/>
        <w:rPr>
          <w:rFonts w:hint="eastAsia" w:ascii="黑体" w:hAnsi="宋体" w:eastAsia="黑体"/>
          <w:szCs w:val="22"/>
        </w:rPr>
      </w:pPr>
      <w:r>
        <w:rPr>
          <w:rFonts w:hint="eastAsia" w:ascii="黑体" w:hAnsi="宋体" w:eastAsia="黑体"/>
          <w:szCs w:val="22"/>
          <w:lang w:val="en-US" w:eastAsia="zh-CN"/>
        </w:rPr>
        <w:t>4</w:t>
      </w:r>
      <w:r>
        <w:rPr>
          <w:rFonts w:hint="eastAsia" w:ascii="黑体" w:hAnsi="宋体" w:eastAsia="黑体"/>
          <w:szCs w:val="22"/>
        </w:rPr>
        <w:t>.2</w:t>
      </w:r>
      <w:r>
        <w:rPr>
          <w:rFonts w:hint="eastAsia" w:ascii="黑体" w:hAnsi="宋体" w:eastAsia="黑体"/>
          <w:szCs w:val="22"/>
          <w:lang w:val="en-US" w:eastAsia="zh-CN"/>
        </w:rPr>
        <w:t xml:space="preserve">  </w:t>
      </w:r>
      <w:r>
        <w:rPr>
          <w:rFonts w:hint="eastAsia" w:ascii="黑体" w:hAnsi="宋体" w:eastAsia="黑体"/>
          <w:szCs w:val="22"/>
        </w:rPr>
        <w:t>化学成分</w:t>
      </w:r>
    </w:p>
    <w:p>
      <w:pPr>
        <w:pStyle w:val="22"/>
        <w:ind w:firstLine="0" w:firstLineChars="0"/>
        <w:jc w:val="left"/>
        <w:rPr>
          <w:rFonts w:hint="eastAsia" w:eastAsia="宋体"/>
          <w:sz w:val="21"/>
          <w:szCs w:val="22"/>
          <w:lang w:val="en-US" w:eastAsia="zh-CN"/>
        </w:rPr>
      </w:pPr>
      <w:r>
        <w:rPr>
          <w:rFonts w:hint="eastAsia"/>
          <w:sz w:val="21"/>
          <w:szCs w:val="22"/>
          <w:lang w:val="en-US" w:eastAsia="zh-CN"/>
        </w:rPr>
        <w:t>丁</w:t>
      </w:r>
      <w:r>
        <w:rPr>
          <w:rFonts w:hint="eastAsia"/>
          <w:sz w:val="21"/>
          <w:szCs w:val="22"/>
        </w:rPr>
        <w:t>氧羰基异丁基硫代氨基甲酸酯含量（质量分数）</w:t>
      </w:r>
      <w:r>
        <w:rPr>
          <w:rFonts w:hint="eastAsia"/>
          <w:sz w:val="21"/>
          <w:szCs w:val="22"/>
          <w:lang w:val="en-US" w:eastAsia="zh-CN"/>
        </w:rPr>
        <w:t>应该大于等于84%。</w:t>
      </w:r>
    </w:p>
    <w:p>
      <w:pPr>
        <w:pStyle w:val="22"/>
        <w:spacing w:before="0" w:beforeLines="-2147483648" w:after="0" w:afterLines="-2147483648"/>
        <w:ind w:firstLine="0" w:firstLineChars="0"/>
        <w:rPr>
          <w:rFonts w:hint="eastAsia" w:ascii="黑体" w:hAnsi="宋体" w:eastAsia="黑体"/>
          <w:szCs w:val="22"/>
          <w:lang w:val="en-US" w:eastAsia="zh-CN"/>
        </w:rPr>
      </w:pPr>
      <w:r>
        <w:rPr>
          <w:rFonts w:hint="eastAsia" w:ascii="黑体" w:hAnsi="宋体" w:eastAsia="黑体"/>
          <w:szCs w:val="22"/>
          <w:lang w:val="en-US" w:eastAsia="zh-CN"/>
        </w:rPr>
        <w:t>4</w:t>
      </w:r>
      <w:r>
        <w:rPr>
          <w:rFonts w:hint="eastAsia" w:ascii="黑体" w:hAnsi="宋体" w:eastAsia="黑体"/>
          <w:szCs w:val="22"/>
        </w:rPr>
        <w:t xml:space="preserve">.3  </w:t>
      </w:r>
      <w:r>
        <w:rPr>
          <w:rFonts w:hint="eastAsia" w:ascii="黑体" w:hAnsi="宋体" w:eastAsia="黑体"/>
          <w:szCs w:val="22"/>
          <w:lang w:val="en-US" w:eastAsia="zh-CN"/>
        </w:rPr>
        <w:t>物理性能</w:t>
      </w:r>
    </w:p>
    <w:p>
      <w:pPr>
        <w:pStyle w:val="22"/>
        <w:spacing w:before="0" w:beforeLines="-2147483648" w:after="0" w:afterLines="-2147483648"/>
        <w:ind w:firstLine="0" w:firstLineChars="0"/>
        <w:rPr>
          <w:u w:val="single"/>
        </w:rPr>
      </w:pPr>
      <w:r>
        <w:rPr>
          <w:rFonts w:hint="eastAsia" w:asciiTheme="majorEastAsia" w:hAnsiTheme="majorEastAsia" w:eastAsiaTheme="majorEastAsia" w:cstheme="majorEastAsia"/>
          <w:szCs w:val="22"/>
        </w:rPr>
        <w:t>产品为黄色</w:t>
      </w:r>
      <w:r>
        <w:rPr>
          <w:rFonts w:hint="eastAsia" w:asciiTheme="majorEastAsia" w:hAnsiTheme="majorEastAsia" w:eastAsiaTheme="majorEastAsia" w:cstheme="majorEastAsia"/>
          <w:szCs w:val="22"/>
          <w:lang w:val="en-US" w:eastAsia="zh-CN"/>
        </w:rPr>
        <w:t>至琥珀色，产品密度（</w:t>
      </w:r>
      <w:r>
        <w:rPr>
          <w:rFonts w:hint="eastAsia" w:asciiTheme="majorEastAsia" w:hAnsiTheme="majorEastAsia" w:eastAsiaTheme="majorEastAsia" w:cstheme="majorEastAsia"/>
          <w:sz w:val="21"/>
          <w:szCs w:val="22"/>
        </w:rPr>
        <w:t>20℃条件下</w:t>
      </w:r>
      <w:r>
        <w:rPr>
          <w:rFonts w:hint="eastAsia" w:asciiTheme="majorEastAsia" w:hAnsiTheme="majorEastAsia" w:eastAsiaTheme="majorEastAsia" w:cstheme="majorEastAsia"/>
          <w:szCs w:val="22"/>
          <w:lang w:val="en-US" w:eastAsia="zh-CN"/>
        </w:rPr>
        <w:t>）在</w:t>
      </w:r>
      <w:r>
        <w:rPr>
          <w:rFonts w:hint="eastAsia" w:asciiTheme="majorEastAsia" w:hAnsiTheme="majorEastAsia" w:eastAsiaTheme="majorEastAsia" w:cstheme="majorEastAsia"/>
          <w:sz w:val="21"/>
          <w:szCs w:val="22"/>
        </w:rPr>
        <w:t>1.0</w:t>
      </w:r>
      <w:r>
        <w:rPr>
          <w:rFonts w:hint="eastAsia" w:asciiTheme="majorEastAsia" w:hAnsiTheme="majorEastAsia" w:eastAsiaTheme="majorEastAsia" w:cstheme="majorEastAsia"/>
          <w:sz w:val="21"/>
          <w:szCs w:val="22"/>
          <w:lang w:val="en-US" w:eastAsia="zh-CN"/>
        </w:rPr>
        <w:t>50</w:t>
      </w:r>
      <w:r>
        <w:rPr>
          <w:rFonts w:hint="eastAsia" w:asciiTheme="majorEastAsia" w:hAnsiTheme="majorEastAsia" w:eastAsiaTheme="majorEastAsia" w:cstheme="majorEastAsia"/>
          <w:sz w:val="21"/>
          <w:szCs w:val="22"/>
        </w:rPr>
        <w:t>～1.</w:t>
      </w:r>
      <w:r>
        <w:rPr>
          <w:rFonts w:hint="eastAsia" w:asciiTheme="majorEastAsia" w:hAnsiTheme="majorEastAsia" w:eastAsiaTheme="majorEastAsia" w:cstheme="majorEastAsia"/>
          <w:sz w:val="21"/>
          <w:szCs w:val="22"/>
          <w:lang w:val="en-US" w:eastAsia="zh-CN"/>
        </w:rPr>
        <w:t>07</w:t>
      </w:r>
      <w:r>
        <w:rPr>
          <w:rFonts w:hint="eastAsia" w:asciiTheme="majorEastAsia" w:hAnsiTheme="majorEastAsia" w:eastAsiaTheme="majorEastAsia" w:cstheme="majorEastAsia"/>
          <w:sz w:val="21"/>
          <w:szCs w:val="22"/>
        </w:rPr>
        <w:t>0g/cm</w:t>
      </w:r>
      <w:r>
        <w:rPr>
          <w:rFonts w:hint="eastAsia" w:asciiTheme="majorEastAsia" w:hAnsiTheme="majorEastAsia" w:eastAsiaTheme="majorEastAsia" w:cstheme="majorEastAsia"/>
          <w:sz w:val="21"/>
          <w:szCs w:val="22"/>
          <w:vertAlign w:val="superscript"/>
        </w:rPr>
        <w:t>3</w:t>
      </w:r>
      <w:r>
        <w:rPr>
          <w:rFonts w:hint="eastAsia" w:asciiTheme="majorEastAsia" w:hAnsiTheme="majorEastAsia" w:eastAsiaTheme="majorEastAsia" w:cstheme="majorEastAsia"/>
          <w:sz w:val="21"/>
          <w:szCs w:val="22"/>
          <w:vertAlign w:val="baseline"/>
          <w:lang w:val="en-US" w:eastAsia="zh-CN"/>
        </w:rPr>
        <w:t xml:space="preserve"> 范围内，测定闭口闪点大于60</w:t>
      </w:r>
      <w:r>
        <w:rPr>
          <w:rFonts w:hint="eastAsia" w:asciiTheme="majorEastAsia" w:hAnsiTheme="majorEastAsia" w:eastAsiaTheme="majorEastAsia" w:cstheme="majorEastAsia"/>
          <w:sz w:val="21"/>
          <w:szCs w:val="22"/>
        </w:rPr>
        <w:t>℃</w:t>
      </w:r>
      <w:r>
        <w:rPr>
          <w:rFonts w:hint="eastAsia" w:asciiTheme="majorEastAsia" w:hAnsiTheme="majorEastAsia" w:eastAsiaTheme="majorEastAsia" w:cstheme="majorEastAsia"/>
          <w:sz w:val="21"/>
          <w:szCs w:val="22"/>
          <w:lang w:eastAsia="zh-CN"/>
        </w:rPr>
        <w:t>。</w:t>
      </w:r>
    </w:p>
    <w:p>
      <w:pPr>
        <w:pStyle w:val="42"/>
        <w:spacing w:before="312" w:after="312"/>
      </w:pPr>
      <w:r>
        <w:rPr>
          <w:rFonts w:hint="eastAsia"/>
        </w:rPr>
        <w:t>试验方法</w:t>
      </w:r>
    </w:p>
    <w:p>
      <w:pPr>
        <w:pStyle w:val="22"/>
        <w:ind w:left="420" w:hanging="420" w:hangingChars="200"/>
        <w:rPr>
          <w:rFonts w:hAnsi="宋体"/>
        </w:rPr>
      </w:pPr>
      <w:r>
        <w:rPr>
          <w:rFonts w:hint="eastAsia" w:ascii="黑体" w:eastAsia="黑体"/>
        </w:rPr>
        <w:t>5.1</w:t>
      </w:r>
      <w:r>
        <w:rPr>
          <w:rFonts w:hint="eastAsia"/>
          <w:b/>
          <w:bCs/>
        </w:rPr>
        <w:t xml:space="preserve">  </w:t>
      </w:r>
      <w:r>
        <w:rPr>
          <w:rFonts w:hint="eastAsia"/>
          <w:b w:val="0"/>
          <w:bCs w:val="0"/>
          <w:lang w:val="en-US" w:eastAsia="zh-CN"/>
        </w:rPr>
        <w:t>产品中</w:t>
      </w:r>
      <w:r>
        <w:rPr>
          <w:rFonts w:hint="eastAsia"/>
          <w:lang w:val="en-US" w:eastAsia="zh-CN"/>
        </w:rPr>
        <w:t>丁</w:t>
      </w:r>
      <w:r>
        <w:rPr>
          <w:rFonts w:hint="eastAsia" w:ascii="宋体"/>
        </w:rPr>
        <w:t>氧羰基异丁基硫代氨基甲酸酯</w:t>
      </w:r>
      <w:r>
        <w:rPr>
          <w:rFonts w:hint="eastAsia"/>
        </w:rPr>
        <w:t>含量的测定应</w:t>
      </w:r>
      <w:r>
        <w:rPr>
          <w:rFonts w:hint="eastAsia" w:hAnsi="宋体"/>
        </w:rPr>
        <w:t>按照附录</w:t>
      </w:r>
      <w:r>
        <w:rPr>
          <w:rFonts w:hAnsi="宋体"/>
        </w:rPr>
        <w:t>A</w:t>
      </w:r>
      <w:r>
        <w:rPr>
          <w:rFonts w:hint="eastAsia" w:hAnsi="宋体"/>
        </w:rPr>
        <w:t>的规定</w:t>
      </w:r>
      <w:r>
        <w:rPr>
          <w:rFonts w:hint="eastAsia"/>
        </w:rPr>
        <w:t>进行。</w:t>
      </w:r>
    </w:p>
    <w:p>
      <w:pPr>
        <w:pStyle w:val="22"/>
        <w:ind w:firstLine="0" w:firstLineChars="0"/>
        <w:rPr>
          <w:rFonts w:hAnsi="宋体"/>
        </w:rPr>
      </w:pPr>
      <w:r>
        <w:rPr>
          <w:rFonts w:hint="eastAsia" w:ascii="黑体" w:hAnsi="宋体" w:eastAsia="黑体"/>
        </w:rPr>
        <w:t>5.2</w:t>
      </w:r>
      <w:r>
        <w:rPr>
          <w:rFonts w:hint="eastAsia" w:hAnsi="宋体"/>
        </w:rPr>
        <w:t xml:space="preserve">  产品的密度按</w:t>
      </w:r>
      <w:r>
        <w:rPr>
          <w:rFonts w:ascii="Times New Roman"/>
        </w:rPr>
        <w:t>GB/T</w:t>
      </w:r>
      <w:r>
        <w:rPr>
          <w:rFonts w:hint="eastAsia" w:hAnsi="宋体"/>
        </w:rPr>
        <w:t xml:space="preserve"> 4472的规定测定。</w:t>
      </w:r>
    </w:p>
    <w:p>
      <w:pPr>
        <w:pStyle w:val="22"/>
        <w:ind w:firstLine="0" w:firstLineChars="0"/>
        <w:rPr>
          <w:rFonts w:hAnsi="宋体"/>
        </w:rPr>
      </w:pPr>
      <w:r>
        <w:rPr>
          <w:rFonts w:hint="eastAsia" w:ascii="黑体" w:hAnsi="宋体" w:eastAsia="黑体"/>
        </w:rPr>
        <w:t>5</w:t>
      </w:r>
      <w:r>
        <w:rPr>
          <w:rFonts w:ascii="黑体" w:hAnsi="宋体" w:eastAsia="黑体"/>
        </w:rPr>
        <w:t xml:space="preserve">.3 </w:t>
      </w:r>
      <w:r>
        <w:rPr>
          <w:rFonts w:hAnsi="宋体"/>
        </w:rPr>
        <w:t xml:space="preserve"> </w:t>
      </w:r>
      <w:r>
        <w:rPr>
          <w:rFonts w:hint="eastAsia" w:hAnsi="宋体"/>
        </w:rPr>
        <w:t>闭口闪点的测定方法按</w:t>
      </w:r>
      <w:r>
        <w:rPr>
          <w:rFonts w:ascii="Times New Roman"/>
        </w:rPr>
        <w:t>GB/T</w:t>
      </w:r>
      <w:r>
        <w:rPr>
          <w:rFonts w:hint="eastAsia" w:hAnsi="宋体"/>
        </w:rPr>
        <w:t xml:space="preserve"> 261的规定进行测定。</w:t>
      </w:r>
    </w:p>
    <w:p>
      <w:pPr>
        <w:pStyle w:val="22"/>
        <w:ind w:firstLine="0" w:firstLineChars="0"/>
        <w:rPr>
          <w:rFonts w:ascii="黑体" w:hAnsi="宋体" w:eastAsia="黑体"/>
        </w:rPr>
      </w:pPr>
      <w:r>
        <w:rPr>
          <w:rFonts w:hint="eastAsia" w:ascii="黑体" w:hAnsi="宋体" w:eastAsia="黑体"/>
        </w:rPr>
        <w:t>5.</w:t>
      </w:r>
      <w:r>
        <w:rPr>
          <w:rFonts w:ascii="黑体" w:hAnsi="宋体" w:eastAsia="黑体"/>
        </w:rPr>
        <w:t xml:space="preserve">4  </w:t>
      </w:r>
      <w:r>
        <w:rPr>
          <w:rFonts w:hint="eastAsia" w:hAnsi="宋体"/>
        </w:rPr>
        <w:t>外观质量采用目视法检验。</w:t>
      </w:r>
    </w:p>
    <w:p>
      <w:pPr>
        <w:pStyle w:val="42"/>
        <w:spacing w:before="312" w:after="312"/>
      </w:pPr>
      <w:r>
        <w:rPr>
          <w:rFonts w:hint="eastAsia"/>
        </w:rPr>
        <w:t>检验规则</w:t>
      </w:r>
    </w:p>
    <w:p>
      <w:pPr>
        <w:pStyle w:val="22"/>
        <w:ind w:firstLine="0" w:firstLineChars="0"/>
        <w:rPr>
          <w:rFonts w:ascii="黑体" w:hAnsi="宋体" w:eastAsia="黑体"/>
        </w:rPr>
      </w:pPr>
      <w:r>
        <w:rPr>
          <w:rFonts w:hint="eastAsia" w:ascii="黑体" w:hAnsi="宋体" w:eastAsia="黑体"/>
        </w:rPr>
        <w:t>6.1  检查与验收</w:t>
      </w:r>
    </w:p>
    <w:p>
      <w:pPr>
        <w:pStyle w:val="22"/>
        <w:ind w:firstLine="0" w:firstLineChars="0"/>
      </w:pPr>
      <w:r>
        <w:rPr>
          <w:rFonts w:hint="eastAsia" w:ascii="黑体" w:hAnsi="宋体" w:eastAsia="黑体"/>
        </w:rPr>
        <w:t>6.1.1</w:t>
      </w:r>
      <w:r>
        <w:rPr>
          <w:rFonts w:hint="eastAsia" w:hAnsi="宋体"/>
        </w:rPr>
        <w:t xml:space="preserve">  产品由供方或第三方进行检验，保证产品质量符合本文件及订货单的规定。</w:t>
      </w:r>
    </w:p>
    <w:p>
      <w:pPr>
        <w:pStyle w:val="22"/>
        <w:ind w:firstLine="0" w:firstLineChars="0"/>
      </w:pPr>
      <w:r>
        <w:rPr>
          <w:rFonts w:hint="eastAsia" w:ascii="黑体" w:eastAsia="黑体"/>
        </w:rPr>
        <w:t>6.1.2</w:t>
      </w:r>
      <w:r>
        <w:rPr>
          <w:rFonts w:hint="eastAsia"/>
        </w:rPr>
        <w:t xml:space="preserve">  </w:t>
      </w:r>
      <w:r>
        <w:rPr>
          <w:rFonts w:hint="eastAsia" w:hAnsi="宋体"/>
        </w:rPr>
        <w:t>需方可对收到的产品按本文件的规定进行检验。如检验结果与本文件或订货单的规定不符时，需方应以书面形式，在收到产品之日起</w:t>
      </w:r>
      <w:r>
        <w:rPr>
          <w:rFonts w:hint="eastAsia"/>
        </w:rPr>
        <w:t>15个工作日内向供方提出，由供需双方协商解决；如需仲裁，仲裁取样应由供需双方共同进行。</w:t>
      </w:r>
    </w:p>
    <w:p>
      <w:pPr>
        <w:pStyle w:val="22"/>
        <w:ind w:firstLine="0" w:firstLineChars="0"/>
        <w:rPr>
          <w:rFonts w:ascii="黑体" w:hAnsi="宋体" w:eastAsia="黑体"/>
        </w:rPr>
      </w:pPr>
      <w:r>
        <w:rPr>
          <w:rFonts w:hint="eastAsia" w:ascii="黑体" w:hAnsi="宋体" w:eastAsia="黑体"/>
        </w:rPr>
        <w:t>6.2  组批</w:t>
      </w:r>
    </w:p>
    <w:p>
      <w:pPr>
        <w:pStyle w:val="22"/>
        <w:ind w:firstLineChars="0"/>
      </w:pPr>
      <w:r>
        <w:rPr>
          <w:rFonts w:hint="eastAsia"/>
          <w:lang w:val="en-US" w:eastAsia="zh-CN"/>
        </w:rPr>
        <w:t>产品应成批提交验收，</w:t>
      </w:r>
      <w:r>
        <w:rPr>
          <w:rFonts w:hint="eastAsia"/>
        </w:rPr>
        <w:t>每批产品允许多个生产批次组成。</w:t>
      </w:r>
    </w:p>
    <w:p>
      <w:pPr>
        <w:pStyle w:val="22"/>
        <w:ind w:firstLine="0" w:firstLineChars="0"/>
        <w:rPr>
          <w:rFonts w:ascii="黑体" w:hAnsi="宋体" w:eastAsia="黑体"/>
        </w:rPr>
      </w:pPr>
      <w:r>
        <w:rPr>
          <w:rFonts w:hint="eastAsia" w:ascii="黑体" w:hAnsi="宋体" w:eastAsia="黑体"/>
        </w:rPr>
        <w:t>6.3  检验项目</w:t>
      </w:r>
    </w:p>
    <w:p>
      <w:pPr>
        <w:pStyle w:val="22"/>
        <w:ind w:firstLine="0" w:firstLineChars="0"/>
        <w:rPr>
          <w:rFonts w:hAnsi="宋体"/>
        </w:rPr>
      </w:pPr>
      <w:r>
        <w:rPr>
          <w:rFonts w:hint="eastAsia" w:ascii="仿宋_GB2312" w:hAnsi="宋体" w:eastAsia="仿宋_GB2312"/>
        </w:rPr>
        <w:t xml:space="preserve">   </w:t>
      </w:r>
      <w:r>
        <w:rPr>
          <w:rFonts w:hint="eastAsia" w:hAnsi="宋体"/>
        </w:rPr>
        <w:t xml:space="preserve"> 每批产品应进行化学成分、物理性能和外观质量的检验。</w:t>
      </w:r>
    </w:p>
    <w:p>
      <w:pPr>
        <w:pStyle w:val="22"/>
        <w:ind w:firstLine="0" w:firstLineChars="0"/>
        <w:rPr>
          <w:rFonts w:ascii="黑体" w:hAnsi="宋体" w:eastAsia="黑体"/>
        </w:rPr>
      </w:pPr>
      <w:r>
        <w:rPr>
          <w:rFonts w:hint="eastAsia" w:ascii="黑体" w:hAnsi="宋体" w:eastAsia="黑体"/>
        </w:rPr>
        <w:t>6.4  取样和制样</w:t>
      </w:r>
    </w:p>
    <w:p>
      <w:pPr>
        <w:pStyle w:val="22"/>
        <w:ind w:firstLine="0" w:firstLineChars="0"/>
        <w:rPr>
          <w:rFonts w:hint="eastAsia" w:ascii="黑体" w:hAnsi="宋体" w:eastAsia="黑体"/>
        </w:rPr>
      </w:pPr>
      <w:r>
        <w:rPr>
          <w:rFonts w:hint="eastAsia" w:ascii="黑体" w:hAnsi="宋体" w:eastAsia="黑体"/>
        </w:rPr>
        <w:t>6</w:t>
      </w:r>
      <w:r>
        <w:rPr>
          <w:rFonts w:ascii="黑体" w:hAnsi="宋体" w:eastAsia="黑体"/>
        </w:rPr>
        <w:t xml:space="preserve">.4.1  </w:t>
      </w:r>
      <w:r>
        <w:rPr>
          <w:rFonts w:hint="eastAsia" w:hAnsi="宋体"/>
        </w:rPr>
        <w:t>产品的取样方法按</w:t>
      </w:r>
      <w:r>
        <w:rPr>
          <w:rFonts w:ascii="Times New Roman"/>
        </w:rPr>
        <w:t>GB/T</w:t>
      </w:r>
      <w:r>
        <w:rPr>
          <w:rFonts w:hint="eastAsia"/>
        </w:rPr>
        <w:t xml:space="preserve"> 6680的规定进行，产品采样单元数按</w:t>
      </w:r>
      <w:r>
        <w:rPr>
          <w:rFonts w:ascii="Times New Roman"/>
        </w:rPr>
        <w:t>GB/T</w:t>
      </w:r>
      <w:r>
        <w:rPr>
          <w:rFonts w:hint="eastAsia"/>
        </w:rPr>
        <w:t xml:space="preserve"> 6678的规定进行。</w:t>
      </w:r>
    </w:p>
    <w:p>
      <w:pPr>
        <w:pStyle w:val="22"/>
        <w:ind w:firstLine="0" w:firstLineChars="0"/>
        <w:rPr>
          <w:rFonts w:ascii="仿宋_GB2312" w:hAnsi="宋体"/>
        </w:rPr>
      </w:pPr>
      <w:r>
        <w:rPr>
          <w:rFonts w:hint="eastAsia" w:ascii="黑体" w:hAnsi="宋体" w:eastAsia="黑体"/>
        </w:rPr>
        <w:t>6</w:t>
      </w:r>
      <w:r>
        <w:rPr>
          <w:rFonts w:ascii="黑体" w:hAnsi="宋体" w:eastAsia="黑体"/>
        </w:rPr>
        <w:t xml:space="preserve">.4.2  </w:t>
      </w:r>
      <w:r>
        <w:rPr>
          <w:rFonts w:hint="eastAsia" w:hAnsi="宋体"/>
        </w:rPr>
        <w:t>将所取试样混合均匀，分成两份，每份试样量不少于</w:t>
      </w:r>
      <w:r>
        <w:rPr>
          <w:rFonts w:hint="eastAsia"/>
        </w:rPr>
        <w:t>300</w:t>
      </w:r>
      <w:r>
        <w:rPr>
          <w:rFonts w:ascii="Times New Roman"/>
        </w:rPr>
        <w:t>mL</w:t>
      </w:r>
      <w:r>
        <w:rPr>
          <w:rFonts w:hint="eastAsia"/>
        </w:rPr>
        <w:t>，分别装入两个具有磨口塞清洁干燥的玻璃瓶中，做好标识。一瓶供检验用，另一瓶保存，以备查用，保存期限为</w:t>
      </w:r>
      <w:r>
        <w:rPr>
          <w:rFonts w:hint="eastAsia"/>
          <w:lang w:val="en-US" w:eastAsia="zh-CN"/>
        </w:rPr>
        <w:t>三个月</w:t>
      </w:r>
      <w:r>
        <w:rPr>
          <w:rFonts w:hint="eastAsia"/>
        </w:rPr>
        <w:t>。</w:t>
      </w:r>
      <w:bookmarkStart w:id="1" w:name="_GoBack"/>
      <w:bookmarkEnd w:id="1"/>
    </w:p>
    <w:p>
      <w:pPr>
        <w:pStyle w:val="22"/>
        <w:ind w:firstLine="0" w:firstLineChars="0"/>
        <w:rPr>
          <w:rFonts w:ascii="黑体" w:hAnsi="宋体" w:eastAsia="黑体"/>
        </w:rPr>
      </w:pPr>
      <w:r>
        <w:rPr>
          <w:rFonts w:hint="eastAsia" w:ascii="黑体" w:hAnsi="宋体" w:eastAsia="黑体"/>
        </w:rPr>
        <w:t>6.5  检验结果的判定</w:t>
      </w:r>
    </w:p>
    <w:p>
      <w:pPr>
        <w:pStyle w:val="22"/>
        <w:ind w:firstLine="0" w:firstLineChars="0"/>
      </w:pPr>
      <w:r>
        <w:rPr>
          <w:rFonts w:hint="eastAsia" w:ascii="黑体" w:hAnsi="宋体" w:eastAsia="黑体"/>
        </w:rPr>
        <w:t xml:space="preserve">6.5.1  </w:t>
      </w:r>
      <w:r>
        <w:rPr>
          <w:rFonts w:hint="eastAsia"/>
        </w:rPr>
        <w:t>检验结果的数值按</w:t>
      </w:r>
      <w:r>
        <w:rPr>
          <w:rFonts w:ascii="Times New Roman"/>
        </w:rPr>
        <w:t>GB/T</w:t>
      </w:r>
      <w:r>
        <w:t xml:space="preserve"> 8170的规定</w:t>
      </w:r>
      <w:r>
        <w:rPr>
          <w:rFonts w:hint="eastAsia"/>
        </w:rPr>
        <w:t>进行修约，并采用修约值比较法判定。</w:t>
      </w:r>
    </w:p>
    <w:p>
      <w:pPr>
        <w:pStyle w:val="22"/>
        <w:ind w:firstLine="0" w:firstLineChars="0"/>
        <w:rPr>
          <w:rFonts w:hAnsi="宋体"/>
        </w:rPr>
      </w:pPr>
      <w:r>
        <w:rPr>
          <w:rFonts w:hint="eastAsia" w:ascii="黑体" w:hAnsi="宋体" w:eastAsia="黑体"/>
        </w:rPr>
        <w:t>6.5.2</w:t>
      </w:r>
      <w:r>
        <w:rPr>
          <w:rFonts w:hint="eastAsia" w:ascii="仿宋_GB2312" w:hAnsi="宋体" w:eastAsia="仿宋_GB2312"/>
          <w:bCs/>
        </w:rPr>
        <w:t xml:space="preserve">  </w:t>
      </w:r>
      <w:r>
        <w:rPr>
          <w:rFonts w:hint="eastAsia" w:hAnsi="宋体"/>
          <w:szCs w:val="21"/>
        </w:rPr>
        <w:t>化学成分检验结果与本文件或订货单不符时，判该批产品不合格。</w:t>
      </w:r>
    </w:p>
    <w:p>
      <w:pPr>
        <w:pStyle w:val="22"/>
        <w:ind w:firstLine="0" w:firstLineChars="0"/>
        <w:rPr>
          <w:rFonts w:hAnsi="宋体"/>
        </w:rPr>
      </w:pPr>
      <w:r>
        <w:rPr>
          <w:rFonts w:hint="eastAsia" w:ascii="黑体" w:hAnsi="宋体" w:eastAsia="黑体"/>
        </w:rPr>
        <w:t>6.5.3</w:t>
      </w:r>
      <w:r>
        <w:rPr>
          <w:rFonts w:hAnsi="宋体"/>
        </w:rPr>
        <w:t xml:space="preserve">  </w:t>
      </w:r>
      <w:r>
        <w:rPr>
          <w:rFonts w:hint="eastAsia" w:hAnsi="宋体"/>
        </w:rPr>
        <w:t>物理性能检验结果与本文件或订货单不符时，应在同批产品（包括原检验不合格的那批或代表样）中抽取双倍量单元数试样进行重复试验，若重复试验结果有一项不符合本文件或订货单要求，则判该批产品不合格。</w:t>
      </w:r>
    </w:p>
    <w:p>
      <w:pPr>
        <w:pStyle w:val="22"/>
        <w:ind w:firstLine="0" w:firstLineChars="0"/>
        <w:rPr>
          <w:rFonts w:hAnsi="宋体"/>
          <w:bCs/>
        </w:rPr>
      </w:pPr>
      <w:r>
        <w:rPr>
          <w:rFonts w:hint="eastAsia" w:ascii="黑体" w:hAnsi="宋体" w:eastAsia="黑体"/>
        </w:rPr>
        <w:t>6.5.</w:t>
      </w:r>
      <w:r>
        <w:rPr>
          <w:rFonts w:ascii="黑体" w:hAnsi="宋体" w:eastAsia="黑体"/>
        </w:rPr>
        <w:t>4</w:t>
      </w:r>
      <w:r>
        <w:rPr>
          <w:rFonts w:hint="eastAsia" w:hAnsi="宋体"/>
          <w:bCs/>
        </w:rPr>
        <w:t xml:space="preserve">  外观质量与本文件或订货单不符时，判该桶（或箱）不合格。</w:t>
      </w:r>
    </w:p>
    <w:p>
      <w:pPr>
        <w:pStyle w:val="42"/>
        <w:spacing w:before="312" w:after="312"/>
      </w:pPr>
      <w:r>
        <w:rPr>
          <w:rFonts w:hint="eastAsia"/>
        </w:rPr>
        <w:t>标志、包装、运输、贮存和质量证明书</w:t>
      </w:r>
    </w:p>
    <w:p>
      <w:pPr>
        <w:pStyle w:val="22"/>
        <w:ind w:left="420" w:hanging="420" w:hangingChars="200"/>
        <w:rPr>
          <w:rFonts w:ascii="黑体" w:hAnsi="宋体" w:eastAsia="黑体"/>
        </w:rPr>
      </w:pPr>
      <w:r>
        <w:rPr>
          <w:rFonts w:hint="eastAsia" w:ascii="黑体" w:hAnsi="宋体" w:eastAsia="黑体"/>
        </w:rPr>
        <w:t>7.1  标志</w:t>
      </w:r>
    </w:p>
    <w:p>
      <w:pPr>
        <w:pStyle w:val="22"/>
        <w:ind w:firstLine="411" w:firstLineChars="196"/>
        <w:rPr>
          <w:rFonts w:hAnsi="宋体"/>
        </w:rPr>
      </w:pPr>
      <w:r>
        <w:rPr>
          <w:rFonts w:hint="eastAsia" w:hAnsi="宋体"/>
        </w:rPr>
        <w:t>每个包装容器上应用不易脱落的标识标明：</w:t>
      </w:r>
    </w:p>
    <w:p>
      <w:pPr>
        <w:pStyle w:val="22"/>
        <w:ind w:left="420" w:firstLine="0" w:firstLineChars="0"/>
        <w:rPr>
          <w:rFonts w:hAnsi="宋体"/>
        </w:rPr>
      </w:pPr>
      <w:r>
        <w:rPr>
          <w:rFonts w:hint="eastAsia" w:hAnsi="宋体"/>
        </w:rPr>
        <w:t>a)  供方名称、地址；</w:t>
      </w:r>
    </w:p>
    <w:p>
      <w:pPr>
        <w:pStyle w:val="22"/>
        <w:ind w:left="420" w:firstLine="0" w:firstLineChars="0"/>
        <w:rPr>
          <w:rFonts w:hAnsi="宋体"/>
        </w:rPr>
      </w:pPr>
      <w:r>
        <w:rPr>
          <w:rFonts w:hint="eastAsia" w:hAnsi="宋体"/>
        </w:rPr>
        <w:t>b)  产品名称和商标；</w:t>
      </w:r>
    </w:p>
    <w:p>
      <w:pPr>
        <w:pStyle w:val="22"/>
        <w:ind w:left="420" w:firstLine="0" w:firstLineChars="0"/>
        <w:rPr>
          <w:rFonts w:hAnsi="宋体"/>
        </w:rPr>
      </w:pPr>
      <w:r>
        <w:rPr>
          <w:rFonts w:hint="eastAsia" w:hAnsi="宋体"/>
        </w:rPr>
        <w:t>c)  产品批号、净重；</w:t>
      </w:r>
    </w:p>
    <w:p>
      <w:pPr>
        <w:pStyle w:val="22"/>
        <w:ind w:left="420" w:firstLine="0" w:firstLineChars="0"/>
        <w:rPr>
          <w:rFonts w:hAnsi="宋体"/>
        </w:rPr>
      </w:pPr>
      <w:r>
        <w:rPr>
          <w:rFonts w:hint="eastAsia" w:hAnsi="宋体"/>
        </w:rPr>
        <w:t>d)  “防晒、防火、防倒置”字样；</w:t>
      </w:r>
    </w:p>
    <w:p>
      <w:pPr>
        <w:pStyle w:val="22"/>
        <w:ind w:firstLine="407" w:firstLineChars="194"/>
        <w:rPr>
          <w:rFonts w:hAnsi="宋体"/>
        </w:rPr>
      </w:pPr>
      <w:r>
        <w:rPr>
          <w:rFonts w:hint="eastAsia" w:hAnsi="宋体"/>
        </w:rPr>
        <w:t>e)  本文件编号；</w:t>
      </w:r>
    </w:p>
    <w:p>
      <w:pPr>
        <w:pStyle w:val="22"/>
        <w:ind w:left="420" w:firstLine="0" w:firstLineChars="0"/>
        <w:rPr>
          <w:rFonts w:hAnsi="宋体"/>
        </w:rPr>
      </w:pPr>
      <w:r>
        <w:rPr>
          <w:rFonts w:hint="eastAsia" w:hAnsi="宋体"/>
        </w:rPr>
        <w:t>f)  生产日期；</w:t>
      </w:r>
    </w:p>
    <w:p>
      <w:pPr>
        <w:pStyle w:val="22"/>
        <w:ind w:left="420" w:firstLine="0" w:firstLineChars="0"/>
        <w:rPr>
          <w:rFonts w:ascii="仿宋_GB2312" w:hAnsi="宋体" w:eastAsia="仿宋_GB2312"/>
        </w:rPr>
      </w:pPr>
      <w:r>
        <w:rPr>
          <w:rFonts w:hint="eastAsia" w:hAnsi="宋体"/>
        </w:rPr>
        <w:t>g)  保质期。</w:t>
      </w:r>
    </w:p>
    <w:p>
      <w:pPr>
        <w:pStyle w:val="22"/>
        <w:ind w:firstLine="0" w:firstLineChars="0"/>
        <w:rPr>
          <w:rFonts w:ascii="黑体" w:hAnsi="宋体" w:eastAsia="黑体"/>
        </w:rPr>
      </w:pPr>
      <w:r>
        <w:rPr>
          <w:rFonts w:hint="eastAsia" w:ascii="黑体" w:eastAsia="黑体"/>
        </w:rPr>
        <w:t xml:space="preserve">7.2  </w:t>
      </w:r>
      <w:r>
        <w:rPr>
          <w:rFonts w:hint="eastAsia" w:ascii="黑体" w:hAnsi="宋体" w:eastAsia="黑体"/>
        </w:rPr>
        <w:t>包装</w:t>
      </w:r>
    </w:p>
    <w:p>
      <w:pPr>
        <w:pStyle w:val="22"/>
        <w:ind w:firstLine="0" w:firstLineChars="0"/>
        <w:rPr>
          <w:rFonts w:hAnsi="宋体"/>
        </w:rPr>
      </w:pPr>
      <w:r>
        <w:rPr>
          <w:rFonts w:hint="eastAsia" w:ascii="黑体" w:hAnsi="黑体" w:eastAsia="黑体"/>
        </w:rPr>
        <w:t>7</w:t>
      </w:r>
      <w:r>
        <w:rPr>
          <w:rFonts w:ascii="黑体" w:hAnsi="黑体" w:eastAsia="黑体"/>
        </w:rPr>
        <w:t xml:space="preserve">.2.1  </w:t>
      </w:r>
      <w:r>
        <w:rPr>
          <w:rFonts w:hint="eastAsia" w:ascii="黑体" w:hAnsi="黑体" w:eastAsia="黑体"/>
        </w:rPr>
        <w:t>塑料桶包装</w:t>
      </w:r>
    </w:p>
    <w:p>
      <w:pPr>
        <w:pStyle w:val="22"/>
        <w:rPr>
          <w:rFonts w:ascii="仿宋_GB2312" w:hAnsi="宋体" w:eastAsia="仿宋_GB2312"/>
        </w:rPr>
      </w:pPr>
      <w:r>
        <w:rPr>
          <w:rFonts w:hint="eastAsia" w:hAnsi="宋体"/>
        </w:rPr>
        <w:t>产品采用</w:t>
      </w:r>
      <w:r>
        <w:rPr>
          <w:rFonts w:hAnsi="宋体"/>
        </w:rPr>
        <w:t>200</w:t>
      </w:r>
      <w:r>
        <w:rPr>
          <w:rFonts w:ascii="Times New Roman"/>
          <w:szCs w:val="22"/>
        </w:rPr>
        <w:t>L</w:t>
      </w:r>
      <w:r>
        <w:rPr>
          <w:rFonts w:hAnsi="宋体"/>
        </w:rPr>
        <w:t>闭口塑料桶</w:t>
      </w:r>
      <w:r>
        <w:rPr>
          <w:rFonts w:hint="eastAsia" w:hAnsi="宋体"/>
        </w:rPr>
        <w:t>，每桶产品净重200</w:t>
      </w:r>
      <w:r>
        <w:rPr>
          <w:rFonts w:ascii="Times New Roman"/>
        </w:rPr>
        <w:t>kg</w:t>
      </w:r>
      <w:r>
        <w:rPr>
          <w:rFonts w:hint="eastAsia" w:hAnsi="宋体"/>
        </w:rPr>
        <w:t>±0.5</w:t>
      </w:r>
      <w:r>
        <w:rPr>
          <w:rFonts w:ascii="Times New Roman"/>
        </w:rPr>
        <w:t>kg</w:t>
      </w:r>
      <w:r>
        <w:rPr>
          <w:rFonts w:hint="eastAsia" w:hAnsi="宋体"/>
        </w:rPr>
        <w:t>；或采用</w:t>
      </w:r>
      <w:r>
        <w:rPr>
          <w:rFonts w:hint="eastAsia" w:ascii="Times New Roman"/>
        </w:rPr>
        <w:t>复合中型散装容器</w:t>
      </w:r>
      <w:r>
        <w:rPr>
          <w:rFonts w:hint="eastAsia" w:hAnsi="宋体"/>
        </w:rPr>
        <w:t>，每个复合中型散装容器产品净重10</w:t>
      </w:r>
      <w:r>
        <w:rPr>
          <w:rFonts w:hint="eastAsia" w:hAnsi="宋体"/>
          <w:lang w:val="en-US" w:eastAsia="zh-CN"/>
        </w:rPr>
        <w:t>00</w:t>
      </w:r>
      <w:r>
        <w:rPr>
          <w:rFonts w:ascii="Times New Roman"/>
        </w:rPr>
        <w:t>kg</w:t>
      </w:r>
      <w:r>
        <w:rPr>
          <w:rFonts w:hint="eastAsia" w:hAnsi="宋体"/>
        </w:rPr>
        <w:t>±1</w:t>
      </w:r>
      <w:r>
        <w:rPr>
          <w:rFonts w:ascii="Times New Roman"/>
        </w:rPr>
        <w:t>kg</w:t>
      </w:r>
      <w:r>
        <w:rPr>
          <w:rFonts w:hint="eastAsia" w:hAnsi="宋体"/>
        </w:rPr>
        <w:t>。</w:t>
      </w:r>
      <w:r>
        <w:rPr>
          <w:rFonts w:hAnsi="宋体"/>
        </w:rPr>
        <w:t>200</w:t>
      </w:r>
      <w:r>
        <w:rPr>
          <w:rFonts w:ascii="Times New Roman"/>
        </w:rPr>
        <w:t>L</w:t>
      </w:r>
      <w:r>
        <w:rPr>
          <w:rFonts w:hAnsi="宋体"/>
        </w:rPr>
        <w:t>闭口塑料桶</w:t>
      </w:r>
      <w:r>
        <w:rPr>
          <w:rFonts w:hint="eastAsia" w:hAnsi="宋体"/>
        </w:rPr>
        <w:t>应符合</w:t>
      </w:r>
      <w:r>
        <w:rPr>
          <w:rFonts w:ascii="Times New Roman"/>
        </w:rPr>
        <w:t>GB/T</w:t>
      </w:r>
      <w:r>
        <w:rPr>
          <w:rFonts w:hint="eastAsia" w:hAnsi="宋体"/>
        </w:rPr>
        <w:t xml:space="preserve"> 13508，</w:t>
      </w:r>
      <w:r>
        <w:rPr>
          <w:rFonts w:hint="eastAsia" w:ascii="Times New Roman"/>
        </w:rPr>
        <w:t>复合中型散装容器</w:t>
      </w:r>
      <w:r>
        <w:rPr>
          <w:rFonts w:hint="eastAsia" w:hAnsi="宋体"/>
        </w:rPr>
        <w:t>应符合</w:t>
      </w:r>
      <w:r>
        <w:rPr>
          <w:rFonts w:ascii="Times New Roman"/>
        </w:rPr>
        <w:t>GB/T</w:t>
      </w:r>
      <w:r>
        <w:rPr>
          <w:rFonts w:hint="eastAsia" w:hAnsi="宋体"/>
        </w:rPr>
        <w:t xml:space="preserve"> 19161的规定，出口产品按出口的相关规定执行。</w:t>
      </w:r>
    </w:p>
    <w:p>
      <w:pPr>
        <w:pStyle w:val="22"/>
        <w:ind w:firstLine="0" w:firstLineChars="0"/>
        <w:rPr>
          <w:rFonts w:ascii="黑体" w:hAnsi="黑体" w:eastAsia="黑体"/>
        </w:rPr>
      </w:pPr>
      <w:r>
        <w:rPr>
          <w:rFonts w:hint="eastAsia" w:ascii="黑体" w:hAnsi="黑体" w:eastAsia="黑体"/>
        </w:rPr>
        <w:t>7</w:t>
      </w:r>
      <w:r>
        <w:rPr>
          <w:rFonts w:ascii="黑体" w:hAnsi="黑体" w:eastAsia="黑体"/>
        </w:rPr>
        <w:t xml:space="preserve">.2.2  </w:t>
      </w:r>
      <w:r>
        <w:rPr>
          <w:rFonts w:hint="eastAsia" w:ascii="黑体" w:hAnsi="黑体" w:eastAsia="黑体"/>
        </w:rPr>
        <w:t>其他</w:t>
      </w:r>
      <w:r>
        <w:rPr>
          <w:rFonts w:ascii="黑体" w:hAnsi="黑体" w:eastAsia="黑体"/>
        </w:rPr>
        <w:t xml:space="preserve">  </w:t>
      </w:r>
    </w:p>
    <w:p>
      <w:pPr>
        <w:pStyle w:val="22"/>
        <w:rPr>
          <w:rFonts w:hAnsi="宋体"/>
        </w:rPr>
      </w:pPr>
      <w:r>
        <w:rPr>
          <w:rFonts w:hint="eastAsia" w:hAnsi="宋体"/>
        </w:rPr>
        <w:t>如需方对包装容器有特殊要求，由供需双方协商规定。</w:t>
      </w:r>
    </w:p>
    <w:p>
      <w:pPr>
        <w:pStyle w:val="22"/>
        <w:ind w:left="420" w:hanging="420" w:hangingChars="200"/>
        <w:rPr>
          <w:rFonts w:ascii="黑体" w:hAnsi="宋体" w:eastAsia="黑体"/>
        </w:rPr>
      </w:pPr>
      <w:r>
        <w:rPr>
          <w:rFonts w:hint="eastAsia" w:ascii="黑体" w:hAnsi="宋体" w:eastAsia="黑体"/>
        </w:rPr>
        <w:t>7.3  运输和贮存</w:t>
      </w:r>
    </w:p>
    <w:p>
      <w:pPr>
        <w:pStyle w:val="22"/>
        <w:ind w:left="420" w:leftChars="200" w:firstLine="0" w:firstLineChars="0"/>
        <w:rPr>
          <w:rFonts w:hAnsi="宋体"/>
        </w:rPr>
      </w:pPr>
      <w:r>
        <w:rPr>
          <w:rFonts w:hint="eastAsia" w:hAnsi="宋体"/>
        </w:rPr>
        <w:t>产品的运输过程应注意防晒，不能卧放或倒置。</w:t>
      </w:r>
    </w:p>
    <w:p>
      <w:pPr>
        <w:pStyle w:val="22"/>
        <w:ind w:left="420" w:leftChars="200" w:firstLine="0" w:firstLineChars="0"/>
      </w:pPr>
      <w:r>
        <w:rPr>
          <w:rFonts w:hint="eastAsia" w:hAnsi="宋体"/>
        </w:rPr>
        <w:t>产品的贮存条件应为通风、阴凉、防晒，不能卧放或倒置。</w:t>
      </w:r>
    </w:p>
    <w:p>
      <w:pPr>
        <w:pStyle w:val="22"/>
        <w:ind w:firstLine="0" w:firstLineChars="0"/>
        <w:rPr>
          <w:rFonts w:ascii="黑体" w:eastAsia="黑体"/>
        </w:rPr>
      </w:pPr>
      <w:r>
        <w:rPr>
          <w:rFonts w:hint="eastAsia" w:ascii="黑体" w:eastAsia="黑体"/>
        </w:rPr>
        <w:t>7.4</w:t>
      </w:r>
      <w:r>
        <w:rPr>
          <w:rFonts w:ascii="黑体" w:eastAsia="黑体"/>
        </w:rPr>
        <w:t xml:space="preserve"> </w:t>
      </w:r>
      <w:r>
        <w:rPr>
          <w:rFonts w:hint="eastAsia" w:ascii="黑体" w:eastAsia="黑体"/>
        </w:rPr>
        <w:t xml:space="preserve"> 随行文件</w:t>
      </w:r>
    </w:p>
    <w:p>
      <w:pPr>
        <w:pStyle w:val="22"/>
        <w:rPr>
          <w:rFonts w:hint="eastAsia" w:hAnsi="宋体"/>
        </w:rPr>
      </w:pPr>
      <w:r>
        <w:rPr>
          <w:rFonts w:hint="eastAsia" w:hAnsi="宋体"/>
        </w:rPr>
        <w:t>每批产品应附有随行文件,其中除应包括供方信息、产品信息、本文件编号、出厂日期或包装日期外，还宜包括:</w:t>
      </w:r>
    </w:p>
    <w:p>
      <w:pPr>
        <w:pStyle w:val="22"/>
        <w:numPr>
          <w:ilvl w:val="0"/>
          <w:numId w:val="18"/>
        </w:numPr>
        <w:ind w:firstLine="0" w:firstLineChars="0"/>
        <w:rPr>
          <w:rFonts w:hint="eastAsia" w:hAnsi="宋体"/>
        </w:rPr>
      </w:pPr>
      <w:r>
        <w:rPr>
          <w:rFonts w:hint="eastAsia" w:hAnsi="宋体"/>
          <w:lang w:val="en-US" w:eastAsia="zh-CN"/>
        </w:rPr>
        <w:t xml:space="preserve"> </w:t>
      </w:r>
      <w:r>
        <w:rPr>
          <w:rFonts w:hint="eastAsia" w:hAnsi="宋体"/>
        </w:rPr>
        <w:t>产品质量保证书:</w:t>
      </w:r>
    </w:p>
    <w:p>
      <w:pPr>
        <w:pStyle w:val="22"/>
        <w:rPr>
          <w:rFonts w:hint="eastAsia" w:hAnsi="宋体"/>
        </w:rPr>
      </w:pPr>
      <w:r>
        <w:rPr>
          <w:rFonts w:hint="eastAsia" w:ascii="黑体" w:hAnsi="黑体" w:eastAsia="黑体" w:cs="黑体"/>
        </w:rPr>
        <w:t>·</w:t>
      </w:r>
      <w:r>
        <w:rPr>
          <w:rFonts w:hint="eastAsia" w:hAnsi="宋体"/>
        </w:rPr>
        <w:t xml:space="preserve"> </w:t>
      </w:r>
      <w:r>
        <w:rPr>
          <w:rFonts w:hint="eastAsia" w:hAnsi="宋体"/>
          <w:lang w:val="en-US" w:eastAsia="zh-CN"/>
        </w:rPr>
        <w:t xml:space="preserve"> </w:t>
      </w:r>
      <w:r>
        <w:rPr>
          <w:rFonts w:hint="eastAsia" w:hAnsi="宋体"/>
        </w:rPr>
        <w:t>产品的主要性能及技术参数</w:t>
      </w:r>
      <w:r>
        <w:rPr>
          <w:rFonts w:hint="eastAsia" w:hAnsi="宋体"/>
          <w:lang w:eastAsia="zh-CN"/>
        </w:rPr>
        <w:t>；</w:t>
      </w:r>
    </w:p>
    <w:p>
      <w:pPr>
        <w:pStyle w:val="22"/>
        <w:rPr>
          <w:rFonts w:hint="eastAsia" w:hAnsi="宋体"/>
        </w:rPr>
      </w:pPr>
      <w:r>
        <w:rPr>
          <w:rFonts w:hint="eastAsia" w:ascii="黑体" w:hAnsi="黑体" w:eastAsia="黑体" w:cs="黑体"/>
        </w:rPr>
        <w:t>·</w:t>
      </w:r>
      <w:r>
        <w:rPr>
          <w:rFonts w:hint="eastAsia" w:hAnsi="宋体"/>
        </w:rPr>
        <w:t xml:space="preserve"> </w:t>
      </w:r>
      <w:r>
        <w:rPr>
          <w:rFonts w:hint="eastAsia" w:hAnsi="宋体"/>
          <w:lang w:val="en-US" w:eastAsia="zh-CN"/>
        </w:rPr>
        <w:t xml:space="preserve"> </w:t>
      </w:r>
      <w:r>
        <w:rPr>
          <w:rFonts w:hint="eastAsia" w:hAnsi="宋体"/>
        </w:rPr>
        <w:t>产品特点(包括制造工艺及原材料的特点)</w:t>
      </w:r>
      <w:r>
        <w:rPr>
          <w:rFonts w:hint="eastAsia" w:hAnsi="宋体"/>
          <w:lang w:eastAsia="zh-CN"/>
        </w:rPr>
        <w:t>；</w:t>
      </w:r>
    </w:p>
    <w:p>
      <w:pPr>
        <w:pStyle w:val="22"/>
        <w:rPr>
          <w:rFonts w:hint="eastAsia" w:hAnsi="宋体"/>
        </w:rPr>
      </w:pPr>
      <w:r>
        <w:rPr>
          <w:rFonts w:hint="eastAsia" w:ascii="黑体" w:hAnsi="黑体" w:eastAsia="黑体" w:cs="黑体"/>
        </w:rPr>
        <w:t>·</w:t>
      </w:r>
      <w:r>
        <w:rPr>
          <w:rFonts w:hint="eastAsia" w:hAnsi="宋体"/>
        </w:rPr>
        <w:t xml:space="preserve"> </w:t>
      </w:r>
      <w:r>
        <w:rPr>
          <w:rFonts w:hint="eastAsia" w:hAnsi="宋体"/>
          <w:lang w:val="en-US" w:eastAsia="zh-CN"/>
        </w:rPr>
        <w:t xml:space="preserve"> </w:t>
      </w:r>
      <w:r>
        <w:rPr>
          <w:rFonts w:hint="eastAsia" w:hAnsi="宋体"/>
        </w:rPr>
        <w:t>对产品质量所负的责任</w:t>
      </w:r>
      <w:r>
        <w:rPr>
          <w:rFonts w:hint="eastAsia" w:hAnsi="宋体"/>
          <w:lang w:eastAsia="zh-CN"/>
        </w:rPr>
        <w:t>；</w:t>
      </w:r>
    </w:p>
    <w:p>
      <w:pPr>
        <w:pStyle w:val="22"/>
        <w:rPr>
          <w:rFonts w:hint="eastAsia" w:hAnsi="宋体"/>
        </w:rPr>
      </w:pPr>
      <w:r>
        <w:rPr>
          <w:rFonts w:hint="eastAsia" w:ascii="黑体" w:hAnsi="黑体" w:eastAsia="黑体" w:cs="黑体"/>
        </w:rPr>
        <w:t>·</w:t>
      </w:r>
      <w:r>
        <w:rPr>
          <w:rFonts w:hint="eastAsia" w:hAnsi="宋体"/>
        </w:rPr>
        <w:t xml:space="preserve">  产品获得的质量认证及带供方技术监督部分检印的各项分析检验结果。</w:t>
      </w:r>
    </w:p>
    <w:p>
      <w:pPr>
        <w:pStyle w:val="22"/>
        <w:numPr>
          <w:ilvl w:val="0"/>
          <w:numId w:val="18"/>
        </w:numPr>
        <w:ind w:firstLine="0" w:firstLineChars="0"/>
        <w:rPr>
          <w:rFonts w:hint="eastAsia" w:hAnsi="宋体"/>
        </w:rPr>
      </w:pPr>
      <w:r>
        <w:rPr>
          <w:rFonts w:hint="eastAsia" w:hAnsi="宋体"/>
          <w:lang w:val="en-US" w:eastAsia="zh-CN"/>
        </w:rPr>
        <w:t xml:space="preserve"> </w:t>
      </w:r>
      <w:r>
        <w:rPr>
          <w:rFonts w:hint="eastAsia" w:hAnsi="宋体"/>
        </w:rPr>
        <w:t>产品合格证:</w:t>
      </w:r>
    </w:p>
    <w:p>
      <w:pPr>
        <w:pStyle w:val="22"/>
        <w:rPr>
          <w:rFonts w:hint="eastAsia" w:hAnsi="宋体"/>
        </w:rPr>
      </w:pPr>
      <w:r>
        <w:rPr>
          <w:rFonts w:hint="eastAsia" w:ascii="黑体" w:hAnsi="黑体" w:eastAsia="黑体" w:cs="黑体"/>
        </w:rPr>
        <w:t>·</w:t>
      </w:r>
      <w:r>
        <w:rPr>
          <w:rFonts w:hint="eastAsia" w:hAnsi="宋体"/>
        </w:rPr>
        <w:t xml:space="preserve">  检验项目及其结果或检验结论</w:t>
      </w:r>
      <w:r>
        <w:rPr>
          <w:rFonts w:hint="eastAsia" w:hAnsi="宋体"/>
          <w:lang w:eastAsia="zh-CN"/>
        </w:rPr>
        <w:t>；</w:t>
      </w:r>
    </w:p>
    <w:p>
      <w:pPr>
        <w:pStyle w:val="22"/>
        <w:rPr>
          <w:rFonts w:hint="eastAsia" w:hAnsi="宋体"/>
        </w:rPr>
      </w:pPr>
      <w:r>
        <w:rPr>
          <w:rFonts w:hint="eastAsia" w:ascii="黑体" w:hAnsi="黑体" w:eastAsia="黑体" w:cs="黑体"/>
        </w:rPr>
        <w:t>·</w:t>
      </w:r>
      <w:r>
        <w:rPr>
          <w:rFonts w:hint="eastAsia" w:hAnsi="宋体"/>
        </w:rPr>
        <w:t xml:space="preserve"> </w:t>
      </w:r>
      <w:r>
        <w:rPr>
          <w:rFonts w:hint="eastAsia" w:hAnsi="宋体"/>
          <w:lang w:val="en-US" w:eastAsia="zh-CN"/>
        </w:rPr>
        <w:t xml:space="preserve"> </w:t>
      </w:r>
      <w:r>
        <w:rPr>
          <w:rFonts w:hint="eastAsia" w:hAnsi="宋体"/>
        </w:rPr>
        <w:t>批量或批号</w:t>
      </w:r>
      <w:r>
        <w:rPr>
          <w:rFonts w:hint="eastAsia" w:hAnsi="宋体"/>
          <w:lang w:eastAsia="zh-CN"/>
        </w:rPr>
        <w:t>；</w:t>
      </w:r>
    </w:p>
    <w:p>
      <w:pPr>
        <w:pStyle w:val="22"/>
        <w:rPr>
          <w:rFonts w:hint="eastAsia" w:hAnsi="宋体"/>
        </w:rPr>
      </w:pPr>
      <w:r>
        <w:rPr>
          <w:rFonts w:hint="eastAsia" w:ascii="黑体" w:hAnsi="黑体" w:eastAsia="黑体" w:cs="黑体"/>
        </w:rPr>
        <w:t>·</w:t>
      </w:r>
      <w:r>
        <w:rPr>
          <w:rFonts w:hint="eastAsia" w:hAnsi="宋体"/>
        </w:rPr>
        <w:t xml:space="preserve"> </w:t>
      </w:r>
      <w:r>
        <w:rPr>
          <w:rFonts w:hint="eastAsia" w:hAnsi="宋体"/>
          <w:lang w:val="en-US" w:eastAsia="zh-CN"/>
        </w:rPr>
        <w:t xml:space="preserve"> </w:t>
      </w:r>
      <w:r>
        <w:rPr>
          <w:rFonts w:hint="eastAsia" w:hAnsi="宋体"/>
        </w:rPr>
        <w:t>检验日期</w:t>
      </w:r>
      <w:r>
        <w:rPr>
          <w:rFonts w:hint="eastAsia" w:hAnsi="宋体"/>
          <w:lang w:eastAsia="zh-CN"/>
        </w:rPr>
        <w:t>；</w:t>
      </w:r>
    </w:p>
    <w:p>
      <w:pPr>
        <w:pStyle w:val="22"/>
        <w:rPr>
          <w:rFonts w:hint="eastAsia" w:hAnsi="宋体"/>
        </w:rPr>
      </w:pPr>
      <w:r>
        <w:rPr>
          <w:rFonts w:hint="eastAsia" w:ascii="黑体" w:hAnsi="黑体" w:eastAsia="黑体" w:cs="黑体"/>
        </w:rPr>
        <w:t>·</w:t>
      </w:r>
      <w:r>
        <w:rPr>
          <w:rFonts w:hint="eastAsia" w:hAnsi="宋体"/>
        </w:rPr>
        <w:t xml:space="preserve">  检验员签名或盖章。</w:t>
      </w:r>
    </w:p>
    <w:p>
      <w:pPr>
        <w:pStyle w:val="22"/>
        <w:numPr>
          <w:ilvl w:val="0"/>
          <w:numId w:val="18"/>
        </w:numPr>
        <w:ind w:firstLine="0" w:firstLineChars="0"/>
        <w:rPr>
          <w:rFonts w:hint="eastAsia" w:hAnsi="宋体"/>
        </w:rPr>
      </w:pPr>
      <w:r>
        <w:rPr>
          <w:rFonts w:hint="eastAsia" w:hAnsi="宋体"/>
          <w:lang w:val="en-US" w:eastAsia="zh-CN"/>
        </w:rPr>
        <w:t xml:space="preserve"> </w:t>
      </w:r>
      <w:r>
        <w:rPr>
          <w:rFonts w:hint="eastAsia" w:hAnsi="宋体"/>
        </w:rPr>
        <w:t>产品质量控制过程中的检验报告及成品检验报告。</w:t>
      </w:r>
    </w:p>
    <w:p>
      <w:pPr>
        <w:pStyle w:val="22"/>
        <w:numPr>
          <w:ilvl w:val="0"/>
          <w:numId w:val="18"/>
        </w:numPr>
        <w:ind w:firstLine="0" w:firstLineChars="0"/>
        <w:rPr>
          <w:rFonts w:hint="eastAsia" w:hAnsi="宋体"/>
        </w:rPr>
      </w:pPr>
      <w:r>
        <w:rPr>
          <w:rFonts w:hint="eastAsia" w:hAnsi="宋体"/>
          <w:lang w:val="en-US" w:eastAsia="zh-CN"/>
        </w:rPr>
        <w:t xml:space="preserve"> </w:t>
      </w:r>
      <w:r>
        <w:rPr>
          <w:rFonts w:hint="eastAsia" w:hAnsi="宋体"/>
        </w:rPr>
        <w:t>产品使用说明:正确搬运、使用、贮存方法等。</w:t>
      </w:r>
    </w:p>
    <w:p>
      <w:pPr>
        <w:pStyle w:val="22"/>
        <w:numPr>
          <w:ilvl w:val="0"/>
          <w:numId w:val="18"/>
        </w:numPr>
        <w:ind w:firstLine="0" w:firstLineChars="0"/>
        <w:rPr>
          <w:rFonts w:hint="eastAsia" w:hAnsi="宋体"/>
        </w:rPr>
      </w:pPr>
      <w:r>
        <w:rPr>
          <w:rFonts w:hint="eastAsia" w:hAnsi="宋体"/>
        </w:rPr>
        <w:t xml:space="preserve"> 其他。</w:t>
      </w:r>
    </w:p>
    <w:p>
      <w:pPr>
        <w:pStyle w:val="42"/>
        <w:numPr>
          <w:ilvl w:val="0"/>
          <w:numId w:val="0"/>
        </w:numPr>
        <w:spacing w:before="312" w:after="312"/>
      </w:pPr>
      <w:r>
        <w:rPr>
          <w:rFonts w:hint="eastAsia"/>
        </w:rPr>
        <w:t>8</w:t>
      </w:r>
      <w:r>
        <w:t xml:space="preserve">  订货单内容</w:t>
      </w:r>
    </w:p>
    <w:p>
      <w:pPr>
        <w:pStyle w:val="22"/>
        <w:rPr>
          <w:rFonts w:hAnsi="宋体"/>
        </w:rPr>
      </w:pPr>
      <w:r>
        <w:rPr>
          <w:rFonts w:hint="eastAsia" w:hAnsi="宋体"/>
        </w:rPr>
        <w:t>需方可根据自身的要求，在订购本文件产品的订货单内，列出如下内容：</w:t>
      </w:r>
    </w:p>
    <w:p>
      <w:pPr>
        <w:pStyle w:val="22"/>
        <w:rPr>
          <w:rFonts w:hAnsi="宋体"/>
        </w:rPr>
      </w:pPr>
      <w:r>
        <w:rPr>
          <w:rFonts w:hint="eastAsia" w:hAnsi="宋体"/>
        </w:rPr>
        <w:t>a)  产品名称；</w:t>
      </w:r>
    </w:p>
    <w:p>
      <w:pPr>
        <w:pStyle w:val="22"/>
        <w:rPr>
          <w:rFonts w:hAnsi="宋体"/>
        </w:rPr>
      </w:pPr>
      <w:r>
        <w:rPr>
          <w:rFonts w:hint="eastAsia" w:hAnsi="宋体"/>
        </w:rPr>
        <w:t>b)  牌号；</w:t>
      </w:r>
    </w:p>
    <w:p>
      <w:pPr>
        <w:pStyle w:val="22"/>
        <w:rPr>
          <w:rFonts w:hAnsi="宋体"/>
        </w:rPr>
      </w:pPr>
      <w:r>
        <w:rPr>
          <w:rFonts w:hint="eastAsia" w:hAnsi="宋体"/>
        </w:rPr>
        <w:t>c)  件数、净重；</w:t>
      </w:r>
    </w:p>
    <w:p>
      <w:pPr>
        <w:pStyle w:val="22"/>
        <w:rPr>
          <w:rFonts w:hAnsi="宋体"/>
        </w:rPr>
      </w:pPr>
      <w:r>
        <w:rPr>
          <w:rFonts w:hint="eastAsia" w:hAnsi="宋体"/>
        </w:rPr>
        <w:t>d)  本文件编号；</w:t>
      </w:r>
    </w:p>
    <w:p>
      <w:pPr>
        <w:pStyle w:val="22"/>
        <w:ind w:firstLineChars="0"/>
        <w:rPr>
          <w:rFonts w:hAnsi="宋体"/>
        </w:rPr>
      </w:pPr>
      <w:r>
        <w:rPr>
          <w:rFonts w:hint="eastAsia" w:hAnsi="宋体"/>
        </w:rPr>
        <w:t xml:space="preserve">e)  其他。 </w:t>
      </w:r>
    </w:p>
    <w:p>
      <w:pPr>
        <w:rPr>
          <w:rFonts w:hAnsi="Calibri"/>
        </w:rPr>
      </w:pPr>
      <w:r>
        <w:t xml:space="preserve"> </w:t>
      </w:r>
    </w:p>
    <w:p>
      <w:pPr>
        <w:pStyle w:val="22"/>
      </w:pPr>
    </w:p>
    <w:p>
      <w:pPr>
        <w:pStyle w:val="22"/>
        <w:ind w:firstLine="0" w:firstLineChars="0"/>
      </w:pPr>
    </w:p>
    <w:p>
      <w:pPr>
        <w:pStyle w:val="22"/>
      </w:pPr>
    </w:p>
    <w:p>
      <w:pPr>
        <w:pStyle w:val="22"/>
        <w:ind w:firstLine="0" w:firstLineChars="0"/>
      </w:pPr>
    </w:p>
    <w:p>
      <w:pPr>
        <w:pStyle w:val="22"/>
        <w:ind w:firstLine="0" w:firstLineChars="0"/>
      </w:pPr>
    </w:p>
    <w:p>
      <w:pPr>
        <w:pStyle w:val="22"/>
        <w:ind w:firstLine="0" w:firstLineChars="0"/>
      </w:pPr>
    </w:p>
    <w:p>
      <w:pPr>
        <w:pStyle w:val="22"/>
        <w:ind w:firstLine="200" w:firstLineChars="0"/>
        <w:jc w:val="center"/>
        <w:rPr>
          <w:rFonts w:ascii="黑体" w:eastAsia="黑体"/>
        </w:rPr>
      </w:pPr>
      <w:r>
        <w:rPr>
          <w:rFonts w:hint="eastAsia" w:ascii="黑体" w:eastAsia="黑体"/>
        </w:rPr>
        <w:t>附 录 A</w:t>
      </w:r>
    </w:p>
    <w:p>
      <w:pPr>
        <w:pStyle w:val="22"/>
        <w:ind w:firstLine="200" w:firstLineChars="0"/>
        <w:jc w:val="center"/>
        <w:rPr>
          <w:rFonts w:ascii="黑体" w:eastAsia="黑体"/>
        </w:rPr>
      </w:pPr>
      <w:r>
        <w:rPr>
          <w:rFonts w:hint="eastAsia" w:ascii="黑体" w:eastAsia="黑体"/>
        </w:rPr>
        <w:t>（规范性）</w:t>
      </w:r>
    </w:p>
    <w:p>
      <w:pPr>
        <w:pStyle w:val="22"/>
        <w:ind w:firstLine="200" w:firstLineChars="0"/>
        <w:jc w:val="center"/>
        <w:rPr>
          <w:rFonts w:ascii="黑体" w:eastAsia="黑体"/>
        </w:rPr>
      </w:pPr>
      <w:r>
        <w:rPr>
          <w:rFonts w:hint="eastAsia" w:ascii="黑体" w:eastAsia="黑体"/>
          <w:lang w:val="en-US" w:eastAsia="zh-CN"/>
        </w:rPr>
        <w:t>丁</w:t>
      </w:r>
      <w:r>
        <w:rPr>
          <w:rFonts w:hint="eastAsia" w:ascii="黑体" w:eastAsia="黑体"/>
        </w:rPr>
        <w:t>氧羰基异丁基硫代氨基甲酸酯含量的测定  气相色谱法</w:t>
      </w:r>
    </w:p>
    <w:p>
      <w:pPr>
        <w:pStyle w:val="22"/>
        <w:spacing w:before="156" w:beforeLines="50" w:after="156" w:afterLines="50"/>
        <w:ind w:firstLine="0" w:firstLineChars="0"/>
        <w:rPr>
          <w:rFonts w:ascii="黑体" w:eastAsia="黑体"/>
        </w:rPr>
      </w:pPr>
      <w:r>
        <w:rPr>
          <w:rFonts w:hint="eastAsia" w:ascii="黑体" w:eastAsia="黑体"/>
        </w:rPr>
        <w:t>A.</w:t>
      </w:r>
      <w:r>
        <w:rPr>
          <w:rFonts w:hint="eastAsia" w:ascii="黑体" w:eastAsia="黑体"/>
          <w:lang w:val="en-US" w:eastAsia="zh-CN"/>
        </w:rPr>
        <w:t>1</w:t>
      </w:r>
      <w:r>
        <w:rPr>
          <w:rFonts w:hint="eastAsia" w:ascii="黑体" w:eastAsia="黑体"/>
        </w:rPr>
        <w:t xml:space="preserve">  方法摘要</w:t>
      </w:r>
    </w:p>
    <w:p>
      <w:pPr>
        <w:pStyle w:val="22"/>
        <w:spacing w:before="156" w:beforeLines="50" w:after="156" w:afterLines="50"/>
        <w:rPr>
          <w:rFonts w:ascii="黑体" w:eastAsia="黑体"/>
        </w:rPr>
      </w:pPr>
      <w:r>
        <w:rPr>
          <w:rFonts w:hint="eastAsia"/>
        </w:rPr>
        <w:t>采用气相色谱法，试样经过气相色谱仪的色谱柱，经仪器测定，用面积归一化法定量求得</w:t>
      </w:r>
      <w:r>
        <w:rPr>
          <w:rFonts w:hint="eastAsia"/>
          <w:lang w:val="en-US" w:eastAsia="zh-CN"/>
        </w:rPr>
        <w:t>产品中丁</w:t>
      </w:r>
      <w:r>
        <w:rPr>
          <w:rFonts w:hint="eastAsia"/>
        </w:rPr>
        <w:t xml:space="preserve">氧羰基异丁基硫代氨基甲酸酯的含量。 </w:t>
      </w:r>
    </w:p>
    <w:p>
      <w:pPr>
        <w:pStyle w:val="22"/>
        <w:spacing w:before="156" w:beforeLines="50" w:after="156" w:afterLines="50"/>
        <w:ind w:firstLine="0" w:firstLineChars="0"/>
        <w:rPr>
          <w:rFonts w:ascii="黑体" w:eastAsia="黑体"/>
        </w:rPr>
      </w:pPr>
      <w:r>
        <w:rPr>
          <w:rFonts w:hint="eastAsia" w:ascii="黑体" w:eastAsia="黑体"/>
        </w:rPr>
        <w:t>A.</w:t>
      </w:r>
      <w:r>
        <w:rPr>
          <w:rFonts w:hint="eastAsia" w:ascii="黑体" w:eastAsia="黑体"/>
          <w:lang w:val="en-US" w:eastAsia="zh-CN"/>
        </w:rPr>
        <w:t>2</w:t>
      </w:r>
      <w:r>
        <w:rPr>
          <w:rFonts w:hint="eastAsia" w:ascii="黑体" w:eastAsia="黑体"/>
        </w:rPr>
        <w:t xml:space="preserve"> 仪器设备及材料</w:t>
      </w:r>
    </w:p>
    <w:p>
      <w:pPr>
        <w:pStyle w:val="22"/>
        <w:ind w:firstLine="0" w:firstLineChars="0"/>
      </w:pPr>
      <w:r>
        <w:rPr>
          <w:rFonts w:hint="eastAsia" w:ascii="黑体" w:eastAsia="黑体"/>
        </w:rPr>
        <w:t>A.2.1</w:t>
      </w:r>
      <w:r>
        <w:rPr>
          <w:rFonts w:hint="eastAsia" w:ascii="仿宋_GB2312" w:eastAsia="仿宋_GB2312"/>
          <w:b/>
          <w:bCs/>
        </w:rPr>
        <w:t xml:space="preserve"> </w:t>
      </w:r>
      <w:r>
        <w:rPr>
          <w:rFonts w:hint="eastAsia" w:ascii="仿宋_GB2312" w:eastAsia="仿宋_GB2312"/>
        </w:rPr>
        <w:t xml:space="preserve"> </w:t>
      </w:r>
      <w:r>
        <w:rPr>
          <w:rFonts w:hint="eastAsia"/>
        </w:rPr>
        <w:t>气相色谱仪。</w:t>
      </w:r>
    </w:p>
    <w:p>
      <w:pPr>
        <w:pStyle w:val="22"/>
        <w:ind w:firstLine="0" w:firstLineChars="0"/>
      </w:pPr>
      <w:r>
        <w:rPr>
          <w:rFonts w:hint="eastAsia" w:ascii="黑体" w:eastAsia="黑体"/>
        </w:rPr>
        <w:t>A.2.2</w:t>
      </w:r>
      <w:r>
        <w:rPr>
          <w:rFonts w:hint="eastAsia" w:ascii="仿宋_GB2312" w:eastAsia="仿宋_GB2312"/>
        </w:rPr>
        <w:t xml:space="preserve">  </w:t>
      </w:r>
      <w:r>
        <w:rPr>
          <w:rFonts w:hint="eastAsia"/>
        </w:rPr>
        <w:t>色谱工作站。</w:t>
      </w:r>
    </w:p>
    <w:p>
      <w:pPr>
        <w:pStyle w:val="22"/>
        <w:ind w:firstLine="0" w:firstLineChars="0"/>
      </w:pPr>
      <w:r>
        <w:rPr>
          <w:rFonts w:hint="eastAsia" w:ascii="黑体" w:eastAsia="黑体"/>
        </w:rPr>
        <w:t>A.2.3</w:t>
      </w:r>
      <w:r>
        <w:rPr>
          <w:rFonts w:hint="eastAsia" w:ascii="仿宋_GB2312" w:eastAsia="仿宋_GB2312"/>
        </w:rPr>
        <w:t xml:space="preserve">  </w:t>
      </w:r>
      <w:r>
        <w:rPr>
          <w:rFonts w:hint="eastAsia"/>
        </w:rPr>
        <w:t>微量进样器：1</w:t>
      </w:r>
      <w:r>
        <w:rPr>
          <w:rFonts w:ascii="Times New Roman"/>
        </w:rPr>
        <w:t>μL</w:t>
      </w:r>
      <w:r>
        <w:rPr>
          <w:rFonts w:hint="eastAsia"/>
        </w:rPr>
        <w:t>。</w:t>
      </w:r>
    </w:p>
    <w:p>
      <w:pPr>
        <w:pStyle w:val="22"/>
        <w:ind w:firstLine="0" w:firstLineChars="0"/>
      </w:pPr>
      <w:r>
        <w:rPr>
          <w:rFonts w:hint="eastAsia" w:ascii="黑体" w:eastAsia="黑体"/>
        </w:rPr>
        <w:t>A.2.4</w:t>
      </w:r>
      <w:r>
        <w:rPr>
          <w:rFonts w:hint="eastAsia" w:ascii="仿宋_GB2312" w:eastAsia="仿宋_GB2312"/>
          <w:b/>
          <w:bCs/>
        </w:rPr>
        <w:t xml:space="preserve">  </w:t>
      </w:r>
      <w:r>
        <w:rPr>
          <w:rFonts w:hint="eastAsia"/>
        </w:rPr>
        <w:t>色谱柱：毛细管柱</w:t>
      </w:r>
      <w:r>
        <w:rPr>
          <w:rFonts w:ascii="Times New Roman"/>
        </w:rPr>
        <w:t>SE</w:t>
      </w:r>
      <w:r>
        <w:rPr>
          <w:rFonts w:hint="eastAsia"/>
        </w:rPr>
        <w:t>-30，30</w:t>
      </w:r>
      <w:r>
        <w:rPr>
          <w:rFonts w:ascii="Times New Roman"/>
        </w:rPr>
        <w:t>m</w:t>
      </w:r>
      <w:r>
        <w:rPr>
          <w:rFonts w:hint="eastAsia"/>
        </w:rPr>
        <w:t>×0.32</w:t>
      </w:r>
      <w:r>
        <w:rPr>
          <w:rFonts w:ascii="Times New Roman"/>
        </w:rPr>
        <w:t>mm</w:t>
      </w:r>
      <w:r>
        <w:rPr>
          <w:rFonts w:hint="eastAsia"/>
        </w:rPr>
        <w:t>×0.50</w:t>
      </w:r>
      <w:r>
        <w:rPr>
          <w:rFonts w:ascii="Times New Roman"/>
        </w:rPr>
        <w:t>μm</w:t>
      </w:r>
      <w:r>
        <w:rPr>
          <w:rFonts w:hint="eastAsia"/>
        </w:rPr>
        <w:t>。</w:t>
      </w:r>
    </w:p>
    <w:p>
      <w:pPr>
        <w:pStyle w:val="22"/>
        <w:ind w:firstLine="0" w:firstLineChars="0"/>
      </w:pPr>
      <w:r>
        <w:rPr>
          <w:rFonts w:hint="eastAsia" w:ascii="黑体" w:eastAsia="黑体"/>
        </w:rPr>
        <w:t xml:space="preserve">A.2.5 </w:t>
      </w:r>
      <w:r>
        <w:rPr>
          <w:rFonts w:hint="eastAsia"/>
        </w:rPr>
        <w:t xml:space="preserve"> 高纯氮气（纯度≥99.999%）。</w:t>
      </w:r>
    </w:p>
    <w:p>
      <w:pPr>
        <w:pStyle w:val="22"/>
        <w:ind w:firstLine="0" w:firstLineChars="0"/>
      </w:pPr>
      <w:r>
        <w:rPr>
          <w:rFonts w:hint="eastAsia" w:ascii="黑体" w:eastAsia="黑体"/>
        </w:rPr>
        <w:t xml:space="preserve">A.2.6 </w:t>
      </w:r>
      <w:r>
        <w:rPr>
          <w:rFonts w:hint="eastAsia"/>
        </w:rPr>
        <w:t xml:space="preserve"> 高纯氢气（纯度≥99.999%）。</w:t>
      </w:r>
    </w:p>
    <w:p>
      <w:pPr>
        <w:pStyle w:val="22"/>
        <w:ind w:firstLine="0" w:firstLineChars="0"/>
      </w:pPr>
      <w:r>
        <w:rPr>
          <w:rFonts w:hint="eastAsia" w:ascii="黑体" w:eastAsia="黑体"/>
        </w:rPr>
        <w:t xml:space="preserve">A.2.7 </w:t>
      </w:r>
      <w:r>
        <w:rPr>
          <w:rFonts w:hint="eastAsia"/>
        </w:rPr>
        <w:t xml:space="preserve"> 纯净空气。</w:t>
      </w:r>
    </w:p>
    <w:p>
      <w:pPr>
        <w:pStyle w:val="22"/>
        <w:spacing w:before="156" w:beforeLines="50" w:after="156" w:afterLines="50"/>
        <w:ind w:firstLine="0" w:firstLineChars="0"/>
        <w:rPr>
          <w:rFonts w:ascii="黑体" w:eastAsia="黑体"/>
        </w:rPr>
      </w:pPr>
      <w:r>
        <w:rPr>
          <w:rFonts w:hint="eastAsia" w:ascii="黑体" w:eastAsia="黑体"/>
        </w:rPr>
        <w:t>A.3  分析步骤</w:t>
      </w:r>
    </w:p>
    <w:p>
      <w:pPr>
        <w:pStyle w:val="22"/>
        <w:ind w:firstLine="0" w:firstLineChars="0"/>
      </w:pPr>
      <w:r>
        <w:rPr>
          <w:rFonts w:hint="eastAsia" w:ascii="黑体" w:eastAsia="黑体"/>
        </w:rPr>
        <w:t xml:space="preserve">A.3.1 </w:t>
      </w:r>
      <w:r>
        <w:rPr>
          <w:rFonts w:hint="eastAsia"/>
        </w:rPr>
        <w:t xml:space="preserve"> </w:t>
      </w:r>
      <w:r>
        <w:rPr>
          <w:rFonts w:hint="eastAsia" w:ascii="黑体" w:eastAsia="黑体"/>
        </w:rPr>
        <w:t>仪器条件</w:t>
      </w:r>
    </w:p>
    <w:p>
      <w:pPr>
        <w:pStyle w:val="22"/>
        <w:ind w:firstLineChars="0"/>
      </w:pPr>
      <w:r>
        <w:rPr>
          <w:rFonts w:hint="eastAsia"/>
        </w:rPr>
        <w:t>本附录推荐的典型分析条件见表</w:t>
      </w:r>
      <w:r>
        <w:rPr>
          <w:rFonts w:ascii="Times New Roman"/>
        </w:rPr>
        <w:t>A</w:t>
      </w:r>
      <w:r>
        <w:rPr>
          <w:rFonts w:hint="eastAsia"/>
        </w:rPr>
        <w:t>.1。</w:t>
      </w:r>
    </w:p>
    <w:p>
      <w:pPr>
        <w:pStyle w:val="22"/>
        <w:ind w:firstLineChars="0"/>
        <w:jc w:val="center"/>
        <w:rPr>
          <w:rFonts w:ascii="黑体" w:eastAsia="黑体"/>
        </w:rPr>
      </w:pPr>
      <w:r>
        <w:rPr>
          <w:rFonts w:hint="eastAsia" w:ascii="黑体" w:eastAsia="黑体"/>
        </w:rPr>
        <w:t>表 A.1 典型分析条件</w:t>
      </w:r>
    </w:p>
    <w:tbl>
      <w:tblPr>
        <w:tblStyle w:val="31"/>
        <w:tblW w:w="71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93"/>
        <w:gridCol w:w="984"/>
        <w:gridCol w:w="1134"/>
        <w:gridCol w:w="1333"/>
        <w:gridCol w:w="13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 w:hRule="atLeast"/>
          <w:jc w:val="center"/>
        </w:trPr>
        <w:tc>
          <w:tcPr>
            <w:tcW w:w="2293" w:type="dxa"/>
            <w:vMerge w:val="restart"/>
            <w:vAlign w:val="center"/>
          </w:tcPr>
          <w:p>
            <w:pPr>
              <w:pStyle w:val="22"/>
              <w:ind w:firstLine="0" w:firstLineChars="0"/>
              <w:jc w:val="center"/>
              <w:rPr>
                <w:rFonts w:hint="eastAsia"/>
                <w:sz w:val="18"/>
                <w:szCs w:val="18"/>
                <w:lang w:eastAsia="zh-CN"/>
              </w:rPr>
            </w:pPr>
            <w:r>
              <w:rPr>
                <w:rFonts w:hint="eastAsia"/>
                <w:sz w:val="18"/>
                <w:szCs w:val="18"/>
              </w:rPr>
              <w:t>柱相温度</w:t>
            </w:r>
            <w:r>
              <w:rPr>
                <w:rFonts w:hint="eastAsia"/>
                <w:sz w:val="18"/>
                <w:szCs w:val="18"/>
                <w:lang w:eastAsia="zh-CN"/>
              </w:rPr>
              <w:t>（</w:t>
            </w:r>
            <w:r>
              <w:rPr>
                <w:rFonts w:hint="eastAsia"/>
                <w:sz w:val="18"/>
                <w:szCs w:val="18"/>
                <w:lang w:val="en-US" w:eastAsia="zh-CN"/>
              </w:rPr>
              <w:t>程序升温</w:t>
            </w:r>
            <w:r>
              <w:rPr>
                <w:rFonts w:hint="eastAsia"/>
                <w:sz w:val="18"/>
                <w:szCs w:val="18"/>
                <w:lang w:eastAsia="zh-CN"/>
              </w:rPr>
              <w:t>）</w:t>
            </w:r>
          </w:p>
        </w:tc>
        <w:tc>
          <w:tcPr>
            <w:tcW w:w="984" w:type="dxa"/>
            <w:tcBorders>
              <w:bottom w:val="single" w:color="auto" w:sz="4" w:space="0"/>
              <w:right w:val="single" w:color="auto" w:sz="4" w:space="0"/>
            </w:tcBorders>
          </w:tcPr>
          <w:p>
            <w:pPr>
              <w:pStyle w:val="22"/>
              <w:ind w:firstLine="0" w:firstLineChars="0"/>
              <w:jc w:val="center"/>
              <w:rPr>
                <w:rFonts w:hint="default"/>
                <w:sz w:val="18"/>
                <w:szCs w:val="18"/>
                <w:lang w:val="en-US" w:eastAsia="zh-CN"/>
              </w:rPr>
            </w:pPr>
            <w:r>
              <w:rPr>
                <w:rFonts w:hint="eastAsia"/>
                <w:sz w:val="18"/>
                <w:szCs w:val="18"/>
                <w:lang w:val="en-US" w:eastAsia="zh-CN"/>
              </w:rPr>
              <w:t>阶数</w:t>
            </w:r>
          </w:p>
        </w:tc>
        <w:tc>
          <w:tcPr>
            <w:tcW w:w="1134" w:type="dxa"/>
            <w:tcBorders>
              <w:left w:val="single" w:color="auto" w:sz="4" w:space="0"/>
              <w:bottom w:val="single" w:color="auto" w:sz="4" w:space="0"/>
              <w:right w:val="single" w:color="auto" w:sz="4" w:space="0"/>
            </w:tcBorders>
            <w:vAlign w:val="top"/>
          </w:tcPr>
          <w:p>
            <w:pPr>
              <w:pStyle w:val="22"/>
              <w:ind w:firstLine="0" w:firstLineChars="0"/>
              <w:jc w:val="center"/>
              <w:rPr>
                <w:rFonts w:hint="eastAsia"/>
                <w:sz w:val="18"/>
                <w:szCs w:val="18"/>
                <w:lang w:val="en-US" w:eastAsia="zh-CN"/>
              </w:rPr>
            </w:pPr>
            <w:r>
              <w:rPr>
                <w:rFonts w:hint="eastAsia"/>
                <w:sz w:val="18"/>
                <w:szCs w:val="18"/>
                <w:lang w:val="en-US" w:eastAsia="zh-CN"/>
              </w:rPr>
              <w:t>升温速率</w:t>
            </w:r>
          </w:p>
        </w:tc>
        <w:tc>
          <w:tcPr>
            <w:tcW w:w="1333" w:type="dxa"/>
            <w:tcBorders>
              <w:left w:val="single" w:color="auto" w:sz="4" w:space="0"/>
              <w:bottom w:val="single" w:color="auto" w:sz="4" w:space="0"/>
              <w:right w:val="single" w:color="auto" w:sz="4" w:space="0"/>
            </w:tcBorders>
            <w:vAlign w:val="top"/>
          </w:tcPr>
          <w:p>
            <w:pPr>
              <w:pStyle w:val="22"/>
              <w:ind w:firstLine="0" w:firstLineChars="0"/>
              <w:jc w:val="center"/>
              <w:rPr>
                <w:rFonts w:hint="eastAsia"/>
                <w:sz w:val="18"/>
                <w:szCs w:val="18"/>
                <w:lang w:val="en-US" w:eastAsia="zh-CN"/>
              </w:rPr>
            </w:pPr>
            <w:r>
              <w:rPr>
                <w:rFonts w:hint="eastAsia"/>
                <w:sz w:val="18"/>
                <w:szCs w:val="18"/>
                <w:lang w:val="en-US" w:eastAsia="zh-CN"/>
              </w:rPr>
              <w:t>温度</w:t>
            </w:r>
          </w:p>
        </w:tc>
        <w:tc>
          <w:tcPr>
            <w:tcW w:w="1377" w:type="dxa"/>
            <w:tcBorders>
              <w:left w:val="single" w:color="auto" w:sz="4" w:space="0"/>
              <w:bottom w:val="single" w:color="auto" w:sz="4" w:space="0"/>
            </w:tcBorders>
            <w:vAlign w:val="top"/>
          </w:tcPr>
          <w:p>
            <w:pPr>
              <w:pStyle w:val="22"/>
              <w:ind w:firstLine="0" w:firstLineChars="0"/>
              <w:jc w:val="center"/>
              <w:rPr>
                <w:rFonts w:hint="eastAsia"/>
                <w:sz w:val="18"/>
                <w:szCs w:val="18"/>
              </w:rPr>
            </w:pPr>
            <w:r>
              <w:rPr>
                <w:rFonts w:hint="eastAsia"/>
                <w:sz w:val="18"/>
                <w:szCs w:val="18"/>
                <w:lang w:val="en-US" w:eastAsia="zh-CN"/>
              </w:rPr>
              <w:t>保温时间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 w:hRule="atLeast"/>
          <w:jc w:val="center"/>
        </w:trPr>
        <w:tc>
          <w:tcPr>
            <w:tcW w:w="2293" w:type="dxa"/>
            <w:vMerge w:val="continue"/>
          </w:tcPr>
          <w:p>
            <w:pPr>
              <w:pStyle w:val="22"/>
              <w:ind w:firstLine="0" w:firstLineChars="0"/>
              <w:jc w:val="center"/>
              <w:rPr>
                <w:rFonts w:hint="eastAsia"/>
                <w:sz w:val="18"/>
                <w:szCs w:val="18"/>
              </w:rPr>
            </w:pPr>
          </w:p>
        </w:tc>
        <w:tc>
          <w:tcPr>
            <w:tcW w:w="984" w:type="dxa"/>
            <w:tcBorders>
              <w:top w:val="single" w:color="auto" w:sz="4" w:space="0"/>
              <w:bottom w:val="single" w:color="auto" w:sz="4" w:space="0"/>
              <w:right w:val="single" w:color="auto" w:sz="4" w:space="0"/>
            </w:tcBorders>
          </w:tcPr>
          <w:p>
            <w:pPr>
              <w:pStyle w:val="22"/>
              <w:ind w:firstLine="0" w:firstLineChars="0"/>
              <w:jc w:val="center"/>
              <w:rPr>
                <w:rFonts w:hint="default"/>
                <w:sz w:val="18"/>
                <w:szCs w:val="18"/>
                <w:lang w:val="en-US" w:eastAsia="zh-CN"/>
              </w:rPr>
            </w:pPr>
            <w:r>
              <w:rPr>
                <w:rFonts w:hint="eastAsia"/>
                <w:sz w:val="18"/>
                <w:szCs w:val="18"/>
                <w:lang w:val="en-US" w:eastAsia="zh-CN"/>
              </w:rPr>
              <w:t>初始</w:t>
            </w:r>
          </w:p>
        </w:tc>
        <w:tc>
          <w:tcPr>
            <w:tcW w:w="1134" w:type="dxa"/>
            <w:tcBorders>
              <w:top w:val="single" w:color="auto" w:sz="4" w:space="0"/>
              <w:left w:val="single" w:color="auto" w:sz="4" w:space="0"/>
              <w:bottom w:val="single" w:color="auto" w:sz="4" w:space="0"/>
              <w:right w:val="single" w:color="auto" w:sz="4" w:space="0"/>
            </w:tcBorders>
            <w:vAlign w:val="top"/>
          </w:tcPr>
          <w:p>
            <w:pPr>
              <w:pStyle w:val="22"/>
              <w:ind w:firstLine="0" w:firstLineChars="0"/>
              <w:jc w:val="center"/>
              <w:rPr>
                <w:rFonts w:hint="default"/>
                <w:sz w:val="18"/>
                <w:szCs w:val="18"/>
                <w:lang w:val="en-US" w:eastAsia="zh-CN"/>
              </w:rPr>
            </w:pPr>
          </w:p>
        </w:tc>
        <w:tc>
          <w:tcPr>
            <w:tcW w:w="1333" w:type="dxa"/>
            <w:tcBorders>
              <w:top w:val="single" w:color="auto" w:sz="4" w:space="0"/>
              <w:left w:val="single" w:color="auto" w:sz="4" w:space="0"/>
              <w:bottom w:val="single" w:color="auto" w:sz="4" w:space="0"/>
              <w:right w:val="single" w:color="auto" w:sz="4" w:space="0"/>
            </w:tcBorders>
            <w:vAlign w:val="top"/>
          </w:tcPr>
          <w:p>
            <w:pPr>
              <w:pStyle w:val="22"/>
              <w:ind w:firstLine="0" w:firstLineChars="0"/>
              <w:jc w:val="center"/>
              <w:rPr>
                <w:rFonts w:hint="default"/>
                <w:sz w:val="18"/>
                <w:szCs w:val="18"/>
                <w:lang w:val="en-US" w:eastAsia="zh-CN"/>
              </w:rPr>
            </w:pPr>
            <w:r>
              <w:rPr>
                <w:rFonts w:hint="eastAsia"/>
                <w:sz w:val="18"/>
                <w:szCs w:val="18"/>
                <w:lang w:val="en-US" w:eastAsia="zh-CN"/>
              </w:rPr>
              <w:t>50</w:t>
            </w:r>
            <w:r>
              <w:rPr>
                <w:rFonts w:hint="default" w:ascii="Times New Roman" w:hAnsi="Times New Roman" w:cs="Times New Roman"/>
                <w:sz w:val="18"/>
                <w:szCs w:val="18"/>
              </w:rPr>
              <w:t>℃</w:t>
            </w:r>
          </w:p>
        </w:tc>
        <w:tc>
          <w:tcPr>
            <w:tcW w:w="1377" w:type="dxa"/>
            <w:tcBorders>
              <w:top w:val="single" w:color="auto" w:sz="4" w:space="0"/>
              <w:left w:val="single" w:color="auto" w:sz="4" w:space="0"/>
              <w:bottom w:val="single" w:color="auto" w:sz="4" w:space="0"/>
            </w:tcBorders>
            <w:vAlign w:val="top"/>
          </w:tcPr>
          <w:p>
            <w:pPr>
              <w:pStyle w:val="22"/>
              <w:ind w:firstLine="0" w:firstLineChars="0"/>
              <w:jc w:val="center"/>
              <w:rPr>
                <w:rFonts w:hint="eastAsia"/>
                <w:sz w:val="18"/>
                <w:szCs w:val="18"/>
              </w:rPr>
            </w:pPr>
            <w:r>
              <w:rPr>
                <w:rFonts w:hint="eastAsia"/>
                <w:sz w:val="18"/>
                <w:szCs w:val="18"/>
                <w:lang w:val="en-US" w:eastAsia="zh-CN"/>
              </w:rPr>
              <w:t>5</w:t>
            </w:r>
            <w:r>
              <w:rPr>
                <w:rFonts w:hint="default" w:ascii="Times New Roman" w:hAnsi="Times New Roman" w:cs="Times New Roman"/>
                <w:sz w:val="18"/>
                <w:szCs w:val="18"/>
                <w:lang w:val="en-US" w:eastAsia="zh-CN"/>
              </w:rPr>
              <w:t>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 w:hRule="atLeast"/>
          <w:jc w:val="center"/>
        </w:trPr>
        <w:tc>
          <w:tcPr>
            <w:tcW w:w="2293" w:type="dxa"/>
            <w:vMerge w:val="continue"/>
          </w:tcPr>
          <w:p>
            <w:pPr>
              <w:pStyle w:val="22"/>
              <w:ind w:firstLine="0" w:firstLineChars="0"/>
              <w:jc w:val="center"/>
              <w:rPr>
                <w:rFonts w:hint="eastAsia"/>
                <w:sz w:val="18"/>
                <w:szCs w:val="18"/>
              </w:rPr>
            </w:pPr>
          </w:p>
        </w:tc>
        <w:tc>
          <w:tcPr>
            <w:tcW w:w="984" w:type="dxa"/>
            <w:tcBorders>
              <w:top w:val="single" w:color="auto" w:sz="4" w:space="0"/>
              <w:bottom w:val="single" w:color="auto" w:sz="4" w:space="0"/>
              <w:right w:val="single" w:color="auto" w:sz="4" w:space="0"/>
            </w:tcBorders>
          </w:tcPr>
          <w:p>
            <w:pPr>
              <w:pStyle w:val="22"/>
              <w:ind w:firstLine="0" w:firstLineChars="0"/>
              <w:jc w:val="center"/>
              <w:rPr>
                <w:rFonts w:hint="default"/>
                <w:sz w:val="18"/>
                <w:szCs w:val="18"/>
                <w:lang w:val="en-US" w:eastAsia="zh-CN"/>
              </w:rPr>
            </w:pPr>
            <w:r>
              <w:rPr>
                <w:rFonts w:hint="eastAsia"/>
                <w:sz w:val="18"/>
                <w:szCs w:val="18"/>
                <w:lang w:val="en-US" w:eastAsia="zh-CN"/>
              </w:rPr>
              <w:t>一阶</w:t>
            </w:r>
          </w:p>
        </w:tc>
        <w:tc>
          <w:tcPr>
            <w:tcW w:w="1134" w:type="dxa"/>
            <w:tcBorders>
              <w:top w:val="single" w:color="auto" w:sz="4" w:space="0"/>
              <w:left w:val="single" w:color="auto" w:sz="4" w:space="0"/>
              <w:bottom w:val="single" w:color="auto" w:sz="4" w:space="0"/>
              <w:right w:val="single" w:color="auto" w:sz="4" w:space="0"/>
            </w:tcBorders>
            <w:vAlign w:val="top"/>
          </w:tcPr>
          <w:p>
            <w:pPr>
              <w:pStyle w:val="22"/>
              <w:ind w:firstLine="0" w:firstLineChars="0"/>
              <w:jc w:val="center"/>
              <w:rPr>
                <w:rFonts w:hint="eastAsia"/>
                <w:sz w:val="18"/>
                <w:szCs w:val="18"/>
                <w:lang w:val="en-US" w:eastAsia="zh-CN"/>
              </w:rPr>
            </w:pPr>
            <w:r>
              <w:rPr>
                <w:rFonts w:hint="eastAsia"/>
                <w:sz w:val="18"/>
                <w:szCs w:val="18"/>
                <w:lang w:val="en-US" w:eastAsia="zh-CN"/>
              </w:rPr>
              <w:t>40</w:t>
            </w:r>
            <w:r>
              <w:rPr>
                <w:rFonts w:hint="default" w:ascii="Times New Roman" w:hAnsi="Times New Roman" w:cs="Times New Roman"/>
                <w:sz w:val="18"/>
                <w:szCs w:val="18"/>
              </w:rPr>
              <w:t>℃</w:t>
            </w:r>
            <w:r>
              <w:rPr>
                <w:rFonts w:hint="eastAsia"/>
                <w:sz w:val="18"/>
                <w:szCs w:val="18"/>
                <w:lang w:val="en-US" w:eastAsia="zh-CN"/>
              </w:rPr>
              <w:t>/</w:t>
            </w:r>
            <w:r>
              <w:rPr>
                <w:rFonts w:hint="default" w:ascii="Times New Roman" w:hAnsi="Times New Roman" w:cs="Times New Roman"/>
                <w:sz w:val="18"/>
                <w:szCs w:val="18"/>
                <w:lang w:val="en-US" w:eastAsia="zh-CN"/>
              </w:rPr>
              <w:t>min</w:t>
            </w:r>
          </w:p>
        </w:tc>
        <w:tc>
          <w:tcPr>
            <w:tcW w:w="1333" w:type="dxa"/>
            <w:tcBorders>
              <w:top w:val="single" w:color="auto" w:sz="4" w:space="0"/>
              <w:left w:val="single" w:color="auto" w:sz="4" w:space="0"/>
              <w:bottom w:val="single" w:color="auto" w:sz="4" w:space="0"/>
              <w:right w:val="single" w:color="auto" w:sz="4" w:space="0"/>
            </w:tcBorders>
          </w:tcPr>
          <w:p>
            <w:pPr>
              <w:pStyle w:val="22"/>
              <w:ind w:firstLine="0" w:firstLineChars="0"/>
              <w:jc w:val="center"/>
              <w:rPr>
                <w:rFonts w:hint="default"/>
                <w:sz w:val="18"/>
                <w:szCs w:val="18"/>
                <w:lang w:val="en-US" w:eastAsia="zh-CN"/>
              </w:rPr>
            </w:pPr>
            <w:r>
              <w:rPr>
                <w:rFonts w:hint="eastAsia"/>
                <w:sz w:val="18"/>
                <w:szCs w:val="18"/>
                <w:lang w:val="en-US" w:eastAsia="zh-CN"/>
              </w:rPr>
              <w:t>140</w:t>
            </w:r>
            <w:r>
              <w:rPr>
                <w:rFonts w:hint="default" w:ascii="Times New Roman" w:hAnsi="Times New Roman" w:cs="Times New Roman"/>
                <w:sz w:val="18"/>
                <w:szCs w:val="18"/>
              </w:rPr>
              <w:t>℃</w:t>
            </w:r>
          </w:p>
        </w:tc>
        <w:tc>
          <w:tcPr>
            <w:tcW w:w="1377" w:type="dxa"/>
            <w:tcBorders>
              <w:top w:val="single" w:color="auto" w:sz="4" w:space="0"/>
              <w:left w:val="single" w:color="auto" w:sz="4" w:space="0"/>
              <w:bottom w:val="single" w:color="auto" w:sz="4" w:space="0"/>
            </w:tcBorders>
          </w:tcPr>
          <w:p>
            <w:pPr>
              <w:pStyle w:val="22"/>
              <w:ind w:firstLine="0" w:firstLineChars="0"/>
              <w:jc w:val="center"/>
              <w:rPr>
                <w:rFonts w:hint="default"/>
                <w:sz w:val="18"/>
                <w:szCs w:val="18"/>
                <w:lang w:val="en-US" w:eastAsia="zh-CN"/>
              </w:rPr>
            </w:pPr>
            <w:r>
              <w:rPr>
                <w:rFonts w:hint="eastAsia"/>
                <w:sz w:val="18"/>
                <w:szCs w:val="18"/>
                <w:lang w:val="en-US" w:eastAsia="zh-CN"/>
              </w:rPr>
              <w:t>10</w:t>
            </w:r>
            <w:r>
              <w:rPr>
                <w:rFonts w:hint="default" w:ascii="Times New Roman" w:hAnsi="Times New Roman" w:cs="Times New Roman"/>
                <w:sz w:val="18"/>
                <w:szCs w:val="18"/>
                <w:lang w:val="en-US" w:eastAsia="zh-CN"/>
              </w:rPr>
              <w:t>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 w:hRule="atLeast"/>
          <w:jc w:val="center"/>
        </w:trPr>
        <w:tc>
          <w:tcPr>
            <w:tcW w:w="2293" w:type="dxa"/>
            <w:vMerge w:val="continue"/>
          </w:tcPr>
          <w:p>
            <w:pPr>
              <w:pStyle w:val="22"/>
              <w:ind w:firstLine="0" w:firstLineChars="0"/>
              <w:jc w:val="center"/>
              <w:rPr>
                <w:rFonts w:hint="eastAsia"/>
                <w:sz w:val="18"/>
                <w:szCs w:val="18"/>
              </w:rPr>
            </w:pPr>
          </w:p>
        </w:tc>
        <w:tc>
          <w:tcPr>
            <w:tcW w:w="984" w:type="dxa"/>
            <w:tcBorders>
              <w:top w:val="single" w:color="auto" w:sz="4" w:space="0"/>
              <w:right w:val="single" w:color="auto" w:sz="4" w:space="0"/>
            </w:tcBorders>
          </w:tcPr>
          <w:p>
            <w:pPr>
              <w:pStyle w:val="22"/>
              <w:ind w:firstLine="0" w:firstLineChars="0"/>
              <w:jc w:val="center"/>
              <w:rPr>
                <w:rFonts w:hint="default"/>
                <w:sz w:val="18"/>
                <w:szCs w:val="18"/>
                <w:lang w:val="en-US" w:eastAsia="zh-CN"/>
              </w:rPr>
            </w:pPr>
            <w:r>
              <w:rPr>
                <w:rFonts w:hint="eastAsia"/>
                <w:sz w:val="18"/>
                <w:szCs w:val="18"/>
                <w:lang w:val="en-US" w:eastAsia="zh-CN"/>
              </w:rPr>
              <w:t>二阶</w:t>
            </w:r>
          </w:p>
        </w:tc>
        <w:tc>
          <w:tcPr>
            <w:tcW w:w="1134" w:type="dxa"/>
            <w:tcBorders>
              <w:top w:val="single" w:color="auto" w:sz="4" w:space="0"/>
              <w:left w:val="single" w:color="auto" w:sz="4" w:space="0"/>
              <w:right w:val="single" w:color="auto" w:sz="4" w:space="0"/>
            </w:tcBorders>
            <w:vAlign w:val="top"/>
          </w:tcPr>
          <w:p>
            <w:pPr>
              <w:pStyle w:val="22"/>
              <w:ind w:firstLine="0" w:firstLineChars="0"/>
              <w:jc w:val="center"/>
              <w:rPr>
                <w:rFonts w:hint="eastAsia"/>
                <w:sz w:val="18"/>
                <w:szCs w:val="18"/>
                <w:lang w:val="en-US" w:eastAsia="zh-CN"/>
              </w:rPr>
            </w:pPr>
            <w:r>
              <w:rPr>
                <w:rFonts w:hint="eastAsia"/>
                <w:sz w:val="18"/>
                <w:szCs w:val="18"/>
                <w:lang w:val="en-US" w:eastAsia="zh-CN"/>
              </w:rPr>
              <w:t>40</w:t>
            </w:r>
            <w:r>
              <w:rPr>
                <w:rFonts w:hint="default" w:ascii="Times New Roman" w:hAnsi="Times New Roman" w:cs="Times New Roman"/>
                <w:sz w:val="18"/>
                <w:szCs w:val="18"/>
              </w:rPr>
              <w:t>℃</w:t>
            </w:r>
            <w:r>
              <w:rPr>
                <w:rFonts w:hint="eastAsia"/>
                <w:sz w:val="18"/>
                <w:szCs w:val="18"/>
                <w:lang w:val="en-US" w:eastAsia="zh-CN"/>
              </w:rPr>
              <w:t>/</w:t>
            </w:r>
            <w:r>
              <w:rPr>
                <w:rFonts w:hint="default" w:ascii="Times New Roman" w:hAnsi="Times New Roman" w:cs="Times New Roman"/>
                <w:sz w:val="18"/>
                <w:szCs w:val="18"/>
                <w:lang w:val="en-US" w:eastAsia="zh-CN"/>
              </w:rPr>
              <w:t>min</w:t>
            </w:r>
          </w:p>
        </w:tc>
        <w:tc>
          <w:tcPr>
            <w:tcW w:w="1333" w:type="dxa"/>
            <w:tcBorders>
              <w:top w:val="single" w:color="auto" w:sz="4" w:space="0"/>
              <w:left w:val="single" w:color="auto" w:sz="4" w:space="0"/>
              <w:right w:val="single" w:color="auto" w:sz="4" w:space="0"/>
            </w:tcBorders>
          </w:tcPr>
          <w:p>
            <w:pPr>
              <w:pStyle w:val="22"/>
              <w:ind w:firstLine="0" w:firstLineChars="0"/>
              <w:jc w:val="center"/>
              <w:rPr>
                <w:rFonts w:hint="default"/>
                <w:sz w:val="18"/>
                <w:szCs w:val="18"/>
                <w:lang w:val="en-US" w:eastAsia="zh-CN"/>
              </w:rPr>
            </w:pPr>
            <w:r>
              <w:rPr>
                <w:rFonts w:hint="eastAsia"/>
                <w:sz w:val="18"/>
                <w:szCs w:val="18"/>
                <w:lang w:val="en-US" w:eastAsia="zh-CN"/>
              </w:rPr>
              <w:t>240</w:t>
            </w:r>
            <w:r>
              <w:rPr>
                <w:rFonts w:hint="default" w:ascii="Times New Roman" w:hAnsi="Times New Roman" w:cs="Times New Roman"/>
                <w:sz w:val="18"/>
                <w:szCs w:val="18"/>
              </w:rPr>
              <w:t>℃</w:t>
            </w:r>
          </w:p>
        </w:tc>
        <w:tc>
          <w:tcPr>
            <w:tcW w:w="1377" w:type="dxa"/>
            <w:tcBorders>
              <w:top w:val="single" w:color="auto" w:sz="4" w:space="0"/>
              <w:left w:val="single" w:color="auto" w:sz="4" w:space="0"/>
            </w:tcBorders>
          </w:tcPr>
          <w:p>
            <w:pPr>
              <w:pStyle w:val="22"/>
              <w:ind w:firstLine="0" w:firstLineChars="0"/>
              <w:jc w:val="center"/>
              <w:rPr>
                <w:rFonts w:hint="default"/>
                <w:sz w:val="18"/>
                <w:szCs w:val="18"/>
                <w:lang w:val="en-US" w:eastAsia="zh-CN"/>
              </w:rPr>
            </w:pPr>
            <w:r>
              <w:rPr>
                <w:rFonts w:hint="eastAsia"/>
                <w:sz w:val="18"/>
                <w:szCs w:val="18"/>
                <w:lang w:val="en-US" w:eastAsia="zh-CN"/>
              </w:rPr>
              <w:t>7</w:t>
            </w:r>
            <w:r>
              <w:rPr>
                <w:rFonts w:hint="default" w:ascii="Times New Roman" w:hAnsi="Times New Roman" w:cs="Times New Roman"/>
                <w:sz w:val="18"/>
                <w:szCs w:val="18"/>
                <w:lang w:val="en-US" w:eastAsia="zh-CN"/>
              </w:rPr>
              <w:t>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3" w:type="dxa"/>
          </w:tcPr>
          <w:p>
            <w:pPr>
              <w:pStyle w:val="22"/>
              <w:ind w:firstLine="0" w:firstLineChars="0"/>
              <w:jc w:val="center"/>
              <w:rPr>
                <w:rFonts w:hint="eastAsia"/>
                <w:sz w:val="18"/>
                <w:szCs w:val="18"/>
              </w:rPr>
            </w:pPr>
            <w:r>
              <w:rPr>
                <w:rFonts w:hint="eastAsia"/>
                <w:sz w:val="18"/>
                <w:szCs w:val="18"/>
              </w:rPr>
              <w:t>汽化室温度</w:t>
            </w:r>
          </w:p>
        </w:tc>
        <w:tc>
          <w:tcPr>
            <w:tcW w:w="4828" w:type="dxa"/>
            <w:gridSpan w:val="4"/>
          </w:tcPr>
          <w:p>
            <w:pPr>
              <w:pStyle w:val="22"/>
              <w:ind w:firstLine="0" w:firstLineChars="0"/>
              <w:jc w:val="center"/>
              <w:rPr>
                <w:rFonts w:hint="eastAsia"/>
                <w:sz w:val="18"/>
                <w:szCs w:val="18"/>
              </w:rPr>
            </w:pPr>
            <w:r>
              <w:rPr>
                <w:rFonts w:hint="eastAsia"/>
                <w:sz w:val="18"/>
                <w:szCs w:val="18"/>
                <w:lang w:val="en-US" w:eastAsia="zh-CN"/>
              </w:rPr>
              <w:t xml:space="preserve">140 </w:t>
            </w:r>
            <w:r>
              <w:rPr>
                <w:rFonts w:hint="default" w:ascii="Times New Roman" w:hAnsi="Times New Roman" w:cs="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3" w:type="dxa"/>
          </w:tcPr>
          <w:p>
            <w:pPr>
              <w:pStyle w:val="22"/>
              <w:ind w:firstLine="0" w:firstLineChars="0"/>
              <w:jc w:val="center"/>
              <w:rPr>
                <w:rFonts w:hint="eastAsia"/>
                <w:sz w:val="18"/>
                <w:szCs w:val="18"/>
              </w:rPr>
            </w:pPr>
            <w:r>
              <w:rPr>
                <w:rFonts w:hint="eastAsia"/>
                <w:sz w:val="18"/>
                <w:szCs w:val="18"/>
              </w:rPr>
              <w:t>检测器温度</w:t>
            </w:r>
          </w:p>
        </w:tc>
        <w:tc>
          <w:tcPr>
            <w:tcW w:w="4828" w:type="dxa"/>
            <w:gridSpan w:val="4"/>
          </w:tcPr>
          <w:p>
            <w:pPr>
              <w:pStyle w:val="22"/>
              <w:ind w:firstLine="0" w:firstLineChars="0"/>
              <w:jc w:val="center"/>
              <w:rPr>
                <w:rFonts w:hint="eastAsia"/>
                <w:sz w:val="18"/>
                <w:szCs w:val="18"/>
              </w:rPr>
            </w:pPr>
            <w:r>
              <w:rPr>
                <w:rFonts w:hint="eastAsia"/>
                <w:sz w:val="18"/>
                <w:szCs w:val="18"/>
                <w:lang w:val="en-US" w:eastAsia="zh-CN"/>
              </w:rPr>
              <w:t xml:space="preserve">280 </w:t>
            </w:r>
            <w:r>
              <w:rPr>
                <w:rFonts w:hint="default" w:ascii="Times New Roman" w:hAnsi="Times New Roman" w:cs="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3" w:type="dxa"/>
          </w:tcPr>
          <w:p>
            <w:pPr>
              <w:pStyle w:val="22"/>
              <w:ind w:firstLine="0" w:firstLineChars="0"/>
              <w:jc w:val="center"/>
              <w:rPr>
                <w:rFonts w:hint="eastAsia"/>
                <w:sz w:val="18"/>
                <w:szCs w:val="18"/>
              </w:rPr>
            </w:pPr>
            <w:r>
              <w:rPr>
                <w:rFonts w:hint="eastAsia"/>
                <w:sz w:val="18"/>
                <w:szCs w:val="18"/>
              </w:rPr>
              <w:t>载气流量</w:t>
            </w:r>
          </w:p>
        </w:tc>
        <w:tc>
          <w:tcPr>
            <w:tcW w:w="4828" w:type="dxa"/>
            <w:gridSpan w:val="4"/>
          </w:tcPr>
          <w:p>
            <w:pPr>
              <w:pStyle w:val="22"/>
              <w:ind w:firstLine="0" w:firstLineChars="0"/>
              <w:jc w:val="center"/>
              <w:rPr>
                <w:rFonts w:hint="eastAsia"/>
                <w:sz w:val="18"/>
                <w:szCs w:val="18"/>
              </w:rPr>
            </w:pPr>
            <w:r>
              <w:rPr>
                <w:rFonts w:hint="eastAsia"/>
                <w:sz w:val="18"/>
                <w:szCs w:val="18"/>
              </w:rPr>
              <w:t>30</w:t>
            </w:r>
            <w:r>
              <w:rPr>
                <w:rFonts w:hint="eastAsia"/>
                <w:sz w:val="18"/>
                <w:szCs w:val="18"/>
                <w:lang w:val="en-US" w:eastAsia="zh-CN"/>
              </w:rPr>
              <w:t xml:space="preserve"> </w:t>
            </w:r>
            <w:r>
              <w:rPr>
                <w:rFonts w:hint="default" w:ascii="Times New Roman" w:hAnsi="Times New Roman" w:cs="Times New Roman"/>
                <w:sz w:val="18"/>
                <w:szCs w:val="18"/>
              </w:rPr>
              <w:t>m</w:t>
            </w:r>
            <w:r>
              <w:rPr>
                <w:rFonts w:hint="default" w:ascii="Times New Roman" w:hAnsi="Times New Roman" w:cs="Times New Roman"/>
                <w:sz w:val="18"/>
                <w:szCs w:val="18"/>
                <w:lang w:val="en-US" w:eastAsia="zh-CN"/>
              </w:rPr>
              <w:t>L</w:t>
            </w:r>
            <w:r>
              <w:rPr>
                <w:rFonts w:hint="eastAsia" w:asciiTheme="majorEastAsia" w:hAnsiTheme="majorEastAsia" w:eastAsiaTheme="majorEastAsia" w:cstheme="majorEastAsia"/>
                <w:sz w:val="18"/>
                <w:szCs w:val="18"/>
              </w:rPr>
              <w:t>/</w:t>
            </w:r>
            <w:r>
              <w:rPr>
                <w:rFonts w:hint="default" w:ascii="Times New Roman" w:hAnsi="Times New Roman" w:cs="Times New Roman"/>
                <w:sz w:val="18"/>
                <w:szCs w:val="18"/>
              </w:rPr>
              <w:t>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3" w:type="dxa"/>
          </w:tcPr>
          <w:p>
            <w:pPr>
              <w:pStyle w:val="22"/>
              <w:ind w:firstLine="0" w:firstLineChars="0"/>
              <w:jc w:val="center"/>
              <w:rPr>
                <w:rFonts w:hint="eastAsia"/>
                <w:sz w:val="18"/>
                <w:szCs w:val="18"/>
              </w:rPr>
            </w:pPr>
            <w:r>
              <w:rPr>
                <w:rFonts w:hint="eastAsia"/>
                <w:sz w:val="18"/>
                <w:szCs w:val="18"/>
              </w:rPr>
              <w:t>助燃气流量</w:t>
            </w:r>
          </w:p>
        </w:tc>
        <w:tc>
          <w:tcPr>
            <w:tcW w:w="4828" w:type="dxa"/>
            <w:gridSpan w:val="4"/>
          </w:tcPr>
          <w:p>
            <w:pPr>
              <w:pStyle w:val="22"/>
              <w:ind w:firstLine="0" w:firstLineChars="0"/>
              <w:jc w:val="center"/>
              <w:rPr>
                <w:rFonts w:hint="eastAsia"/>
                <w:sz w:val="18"/>
                <w:szCs w:val="18"/>
              </w:rPr>
            </w:pPr>
            <w:r>
              <w:rPr>
                <w:rFonts w:hint="eastAsia"/>
                <w:sz w:val="18"/>
                <w:szCs w:val="18"/>
              </w:rPr>
              <w:t>300</w:t>
            </w:r>
            <w:r>
              <w:rPr>
                <w:rFonts w:hint="eastAsia"/>
                <w:sz w:val="18"/>
                <w:szCs w:val="18"/>
                <w:lang w:val="en-US" w:eastAsia="zh-CN"/>
              </w:rPr>
              <w:t xml:space="preserve"> </w:t>
            </w:r>
            <w:r>
              <w:rPr>
                <w:rFonts w:hint="default" w:ascii="Times New Roman" w:hAnsi="Times New Roman" w:cs="Times New Roman"/>
                <w:sz w:val="18"/>
                <w:szCs w:val="18"/>
              </w:rPr>
              <w:t>m</w:t>
            </w:r>
            <w:r>
              <w:rPr>
                <w:rFonts w:hint="default" w:ascii="Times New Roman" w:hAnsi="Times New Roman" w:cs="Times New Roman"/>
                <w:sz w:val="18"/>
                <w:szCs w:val="18"/>
                <w:lang w:val="en-US" w:eastAsia="zh-CN"/>
              </w:rPr>
              <w:t>L</w:t>
            </w:r>
            <w:r>
              <w:rPr>
                <w:rFonts w:hint="eastAsia" w:asciiTheme="majorEastAsia" w:hAnsiTheme="majorEastAsia" w:eastAsiaTheme="majorEastAsia" w:cstheme="majorEastAsia"/>
                <w:sz w:val="18"/>
                <w:szCs w:val="18"/>
              </w:rPr>
              <w:t>/</w:t>
            </w:r>
            <w:r>
              <w:rPr>
                <w:rFonts w:hint="default" w:ascii="Times New Roman" w:hAnsi="Times New Roman" w:cs="Times New Roman"/>
                <w:sz w:val="18"/>
                <w:szCs w:val="18"/>
              </w:rPr>
              <w:t>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3" w:type="dxa"/>
          </w:tcPr>
          <w:p>
            <w:pPr>
              <w:pStyle w:val="22"/>
              <w:ind w:firstLine="0" w:firstLineChars="0"/>
              <w:jc w:val="center"/>
              <w:rPr>
                <w:rFonts w:hint="eastAsia"/>
                <w:sz w:val="18"/>
                <w:szCs w:val="18"/>
              </w:rPr>
            </w:pPr>
            <w:r>
              <w:rPr>
                <w:rFonts w:hint="eastAsia"/>
                <w:sz w:val="18"/>
                <w:szCs w:val="18"/>
              </w:rPr>
              <w:t>分流比</w:t>
            </w:r>
          </w:p>
        </w:tc>
        <w:tc>
          <w:tcPr>
            <w:tcW w:w="4828" w:type="dxa"/>
            <w:gridSpan w:val="4"/>
          </w:tcPr>
          <w:p>
            <w:pPr>
              <w:pStyle w:val="22"/>
              <w:ind w:firstLine="0" w:firstLineChars="0"/>
              <w:jc w:val="center"/>
              <w:rPr>
                <w:rFonts w:hint="eastAsia"/>
                <w:sz w:val="18"/>
                <w:szCs w:val="18"/>
              </w:rPr>
            </w:pPr>
            <w:r>
              <w:rPr>
                <w:rFonts w:hint="eastAsia"/>
                <w:sz w:val="18"/>
                <w:szCs w:val="18"/>
              </w:rPr>
              <w:t>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3" w:type="dxa"/>
          </w:tcPr>
          <w:p>
            <w:pPr>
              <w:pStyle w:val="22"/>
              <w:ind w:firstLine="0" w:firstLineChars="0"/>
              <w:jc w:val="center"/>
              <w:rPr>
                <w:rFonts w:hint="eastAsia"/>
                <w:sz w:val="18"/>
                <w:szCs w:val="18"/>
              </w:rPr>
            </w:pPr>
            <w:r>
              <w:rPr>
                <w:rFonts w:hint="eastAsia"/>
                <w:sz w:val="18"/>
                <w:szCs w:val="18"/>
              </w:rPr>
              <w:t>进样量</w:t>
            </w:r>
          </w:p>
        </w:tc>
        <w:tc>
          <w:tcPr>
            <w:tcW w:w="4828" w:type="dxa"/>
            <w:gridSpan w:val="4"/>
          </w:tcPr>
          <w:p>
            <w:pPr>
              <w:pStyle w:val="22"/>
              <w:ind w:firstLine="0" w:firstLineChars="0"/>
              <w:jc w:val="center"/>
              <w:rPr>
                <w:rFonts w:hint="eastAsia" w:eastAsia="宋体"/>
                <w:sz w:val="18"/>
                <w:szCs w:val="18"/>
                <w:lang w:eastAsia="zh-CN"/>
              </w:rPr>
            </w:pPr>
            <w:r>
              <w:rPr>
                <w:rFonts w:hint="eastAsia"/>
                <w:sz w:val="18"/>
                <w:szCs w:val="18"/>
              </w:rPr>
              <w:t xml:space="preserve">0.1 </w:t>
            </w:r>
            <w:r>
              <w:rPr>
                <w:rFonts w:hint="default" w:ascii="Times New Roman" w:hAnsi="Times New Roman" w:cs="Times New Roman"/>
                <w:sz w:val="18"/>
                <w:szCs w:val="18"/>
              </w:rPr>
              <w:t>μ</w:t>
            </w:r>
            <w:r>
              <w:rPr>
                <w:rFonts w:hint="default" w:ascii="Times New Roman" w:hAnsi="Times New Roman" w:cs="Times New Roman"/>
                <w:sz w:val="18"/>
                <w:szCs w:val="18"/>
                <w:lang w:val="en-US" w:eastAsia="zh-CN"/>
              </w:rPr>
              <w:t>L</w:t>
            </w:r>
          </w:p>
        </w:tc>
      </w:tr>
    </w:tbl>
    <w:p>
      <w:pPr>
        <w:pStyle w:val="22"/>
        <w:ind w:firstLine="0" w:firstLineChars="0"/>
      </w:pPr>
      <w:r>
        <w:rPr>
          <w:rFonts w:hint="eastAsia" w:ascii="黑体" w:eastAsia="黑体"/>
        </w:rPr>
        <w:t>A.3.2</w:t>
      </w:r>
      <w:r>
        <w:rPr>
          <w:rFonts w:hint="eastAsia"/>
        </w:rPr>
        <w:t xml:space="preserve">  </w:t>
      </w:r>
      <w:r>
        <w:rPr>
          <w:rFonts w:hint="eastAsia" w:ascii="黑体" w:eastAsia="黑体"/>
        </w:rPr>
        <w:t>测定</w:t>
      </w:r>
    </w:p>
    <w:p>
      <w:pPr>
        <w:pStyle w:val="22"/>
        <w:ind w:firstLine="0" w:firstLineChars="0"/>
        <w:rPr>
          <w:sz w:val="18"/>
          <w:szCs w:val="18"/>
        </w:rPr>
      </w:pPr>
      <w:r>
        <w:rPr>
          <w:rFonts w:hint="eastAsia"/>
        </w:rPr>
        <w:t xml:space="preserve">    仪器的操作按说明书进行，待满足(</w:t>
      </w:r>
      <w:r>
        <w:rPr>
          <w:rFonts w:ascii="Times New Roman"/>
        </w:rPr>
        <w:t>A</w:t>
      </w:r>
      <w:r>
        <w:rPr>
          <w:rFonts w:hint="eastAsia"/>
        </w:rPr>
        <w:t>.</w:t>
      </w:r>
      <w:r>
        <w:t>3</w:t>
      </w:r>
      <w:r>
        <w:rPr>
          <w:rFonts w:hint="eastAsia"/>
        </w:rPr>
        <w:t>.1)条件并且仪器基线稳定后，用微量进样器（</w:t>
      </w:r>
      <w:r>
        <w:rPr>
          <w:rFonts w:hint="eastAsia" w:ascii="Times New Roman"/>
        </w:rPr>
        <w:t>A</w:t>
      </w:r>
      <w:r>
        <w:rPr>
          <w:rFonts w:hint="eastAsia"/>
        </w:rPr>
        <w:t>.2.3）进样，进样量为0</w:t>
      </w:r>
      <w:r>
        <w:t>.1</w:t>
      </w:r>
      <w:r>
        <w:rPr>
          <w:rFonts w:ascii="Times New Roman"/>
        </w:rPr>
        <w:t>μ</w:t>
      </w:r>
      <w:r>
        <w:rPr>
          <w:rFonts w:hint="eastAsia" w:ascii="Times New Roman"/>
          <w:lang w:val="en-US" w:eastAsia="zh-CN"/>
        </w:rPr>
        <w:t>L</w:t>
      </w:r>
      <w:r>
        <w:rPr>
          <w:rFonts w:hint="eastAsia"/>
          <w:sz w:val="18"/>
        </w:rPr>
        <w:t>，</w:t>
      </w:r>
      <w:r>
        <w:rPr>
          <w:rFonts w:hint="eastAsia"/>
        </w:rPr>
        <w:t>待组分全部流出后，采样结束，进行结果计算。</w:t>
      </w:r>
      <w:r>
        <w:rPr>
          <w:rFonts w:hint="eastAsia"/>
          <w:sz w:val="18"/>
          <w:szCs w:val="18"/>
        </w:rPr>
        <w:tab/>
      </w:r>
    </w:p>
    <w:p>
      <w:pPr>
        <w:pStyle w:val="22"/>
        <w:spacing w:before="156" w:beforeLines="50" w:after="156" w:afterLines="50"/>
        <w:ind w:firstLine="0" w:firstLineChars="0"/>
        <w:rPr>
          <w:rFonts w:ascii="黑体" w:eastAsia="黑体"/>
          <w:szCs w:val="21"/>
        </w:rPr>
      </w:pPr>
      <w:r>
        <w:rPr>
          <w:rFonts w:hint="eastAsia" w:ascii="黑体" w:eastAsia="黑体"/>
        </w:rPr>
        <w:t>A.4  结果计算</w:t>
      </w:r>
    </w:p>
    <w:p>
      <w:pPr>
        <w:pStyle w:val="22"/>
        <w:spacing w:before="156" w:beforeLines="50" w:after="156" w:afterLines="50"/>
      </w:pPr>
      <w:r>
        <w:rPr>
          <w:rFonts w:hint="eastAsia"/>
          <w:lang w:val="en-US" w:eastAsia="zh-CN"/>
        </w:rPr>
        <w:t>丁</w:t>
      </w:r>
      <w:r>
        <w:rPr>
          <w:rFonts w:hint="eastAsia"/>
        </w:rPr>
        <w:t>氧羰基异丁基硫代氨基甲酸酯的质量分数</w:t>
      </w:r>
      <w:r>
        <w:rPr>
          <w:rFonts w:ascii="Times New Roman"/>
          <w:i/>
        </w:rPr>
        <w:t>w</w:t>
      </w:r>
      <w:r>
        <w:rPr>
          <w:rFonts w:hint="eastAsia"/>
        </w:rPr>
        <w:t>(</w:t>
      </w:r>
      <w:r>
        <w:rPr>
          <w:rFonts w:hint="eastAsia" w:asciiTheme="majorEastAsia" w:hAnsiTheme="majorEastAsia" w:eastAsiaTheme="majorEastAsia" w:cstheme="majorEastAsia"/>
        </w:rPr>
        <w:t>%</w:t>
      </w:r>
      <w:r>
        <w:rPr>
          <w:rFonts w:hint="eastAsia"/>
        </w:rPr>
        <w:t>)，利用色谱工作站工作软件的面积归一法，直接读取结果报告，结果</w:t>
      </w:r>
      <w:r>
        <w:rPr>
          <w:rFonts w:hint="eastAsia" w:asciiTheme="majorEastAsia" w:hAnsiTheme="majorEastAsia" w:eastAsiaTheme="majorEastAsia"/>
          <w:szCs w:val="21"/>
        </w:rPr>
        <w:t>保留至小数点后两位</w:t>
      </w:r>
      <w:r>
        <w:rPr>
          <w:rFonts w:hint="eastAsia"/>
        </w:rPr>
        <w:t>。</w:t>
      </w:r>
    </w:p>
    <w:p>
      <w:pPr>
        <w:pStyle w:val="22"/>
        <w:spacing w:before="156" w:beforeLines="50" w:after="156" w:afterLines="50"/>
        <w:ind w:firstLine="0" w:firstLineChars="0"/>
        <w:rPr>
          <w:rFonts w:ascii="黑体" w:eastAsia="黑体"/>
        </w:rPr>
      </w:pPr>
      <w:r>
        <w:rPr>
          <w:rFonts w:hint="eastAsia" w:ascii="黑体" w:eastAsia="黑体"/>
        </w:rPr>
        <w:t>A.5  允许差</w:t>
      </w:r>
    </w:p>
    <w:p>
      <w:pPr>
        <w:pStyle w:val="22"/>
      </w:pPr>
      <w:r>
        <w:rPr>
          <w:rFonts w:hint="eastAsia"/>
        </w:rPr>
        <w:t>实验室间分析结果的差值不超过0.50</w:t>
      </w:r>
      <w:r>
        <w:rPr>
          <w:rFonts w:hint="eastAsia" w:asciiTheme="majorEastAsia" w:hAnsiTheme="majorEastAsia" w:eastAsiaTheme="majorEastAsia" w:cstheme="majorEastAsia"/>
        </w:rPr>
        <w:t>%</w:t>
      </w:r>
      <w:r>
        <w:rPr>
          <w:rFonts w:hint="eastAsia"/>
        </w:rPr>
        <w:t>。</w:t>
      </w:r>
    </w:p>
    <w:p>
      <w:pPr>
        <w:pStyle w:val="22"/>
        <w:ind w:firstLineChars="0"/>
        <w:jc w:val="center"/>
      </w:pPr>
      <w:r>
        <w:drawing>
          <wp:inline distT="0" distB="0" distL="0" distR="0">
            <wp:extent cx="1809115" cy="8255"/>
            <wp:effectExtent l="0" t="0" r="0" b="0"/>
            <wp:docPr id="2" name="图片 2" descr="wp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psED"/>
                    <pic:cNvPicPr>
                      <a:picLocks noChangeAspect="1" noChangeArrowheads="1"/>
                    </pic:cNvPicPr>
                  </pic:nvPicPr>
                  <pic:blipFill>
                    <a:blip r:embed="rId11"/>
                    <a:srcRect/>
                    <a:stretch>
                      <a:fillRect/>
                    </a:stretch>
                  </pic:blipFill>
                  <pic:spPr>
                    <a:xfrm>
                      <a:off x="0" y="0"/>
                      <a:ext cx="1809115" cy="8255"/>
                    </a:xfrm>
                    <a:prstGeom prst="rect">
                      <a:avLst/>
                    </a:prstGeom>
                    <a:noFill/>
                    <a:ln w="9525">
                      <a:noFill/>
                      <a:miter lim="800000"/>
                      <a:headEnd/>
                      <a:tailEnd/>
                    </a:ln>
                  </pic:spPr>
                </pic:pic>
              </a:graphicData>
            </a:graphic>
          </wp:inline>
        </w:drawing>
      </w:r>
    </w:p>
    <w:sectPr>
      <w:headerReference r:id="rId8" w:type="default"/>
      <w:footerReference r:id="rId9"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文本框 14" o:spid="_x0000_s2049" o:spt="202" type="#_x0000_t202" style="position:absolute;left:0pt;margin-top:0pt;height:144pt;width:144pt;mso-position-horizontal:right;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文本框 15" o:spid="_x0000_s2050" o:spt="202" type="#_x0000_t202" style="position:absolute;left:0pt;margin-top:0pt;height:144pt;width:144pt;mso-position-horizontal:right;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fldChar w:fldCharType="begin"/>
    </w:r>
    <w:r>
      <w:instrText xml:space="preserve"> PAGE  \* MERGEFORMAT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hAnsi="黑体"/>
      </w:rPr>
    </w:pPr>
    <w:r>
      <w:rPr>
        <w:rFonts w:hint="eastAsia" w:hAnsi="黑体"/>
      </w:rPr>
      <w:t>YS/T××××—××××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wordWrap w:val="0"/>
      <w:jc w:val="right"/>
      <w:rPr>
        <w:rFonts w:hAnsi="黑体"/>
      </w:rPr>
    </w:pPr>
    <w:r>
      <w:rPr>
        <w:rFonts w:hint="eastAsia" w:hAnsi="黑体"/>
      </w:rPr>
      <w:t>YS/T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hAnsi="黑体"/>
      </w:rPr>
    </w:pPr>
    <w:r>
      <w:rPr>
        <w:rFonts w:hint="eastAsia" w:hAnsi="黑体"/>
      </w:rPr>
      <w:t>YS/T××××—××××</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4EA6C7"/>
    <w:multiLevelType w:val="singleLevel"/>
    <w:tmpl w:val="CE4EA6C7"/>
    <w:lvl w:ilvl="0" w:tentative="0">
      <w:start w:val="1"/>
      <w:numFmt w:val="lowerLetter"/>
      <w:suff w:val="space"/>
      <w:lvlText w:val="%1)"/>
      <w:lvlJc w:val="left"/>
    </w:lvl>
  </w:abstractNum>
  <w:abstractNum w:abstractNumId="1">
    <w:nsid w:val="079102AD"/>
    <w:multiLevelType w:val="multilevel"/>
    <w:tmpl w:val="079102AD"/>
    <w:lvl w:ilvl="0" w:tentative="0">
      <w:start w:val="1"/>
      <w:numFmt w:val="decimal"/>
      <w:pStyle w:val="55"/>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113"/>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49"/>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tentative="0">
      <w:start w:val="1"/>
      <w:numFmt w:val="lowerLetter"/>
      <w:pStyle w:val="118"/>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tentative="0">
      <w:start w:val="1"/>
      <w:numFmt w:val="decimal"/>
      <w:pStyle w:val="62"/>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4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9"/>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3"/>
      <w:suff w:val="nothing"/>
      <w:lvlText w:val="%1.%2.%3　"/>
      <w:lvlJc w:val="left"/>
      <w:pPr>
        <w:ind w:left="0" w:firstLine="0"/>
      </w:pPr>
      <w:rPr>
        <w:rFonts w:hint="eastAsia" w:ascii="黑体" w:hAnsi="Times New Roman" w:eastAsia="黑体"/>
        <w:b w:val="0"/>
        <w:i w:val="0"/>
        <w:sz w:val="21"/>
      </w:rPr>
    </w:lvl>
    <w:lvl w:ilvl="3" w:tentative="0">
      <w:start w:val="1"/>
      <w:numFmt w:val="decimal"/>
      <w:pStyle w:val="48"/>
      <w:suff w:val="nothing"/>
      <w:lvlText w:val="%1.%2.%3.%4　"/>
      <w:lvlJc w:val="left"/>
      <w:pPr>
        <w:ind w:left="0" w:firstLine="0"/>
      </w:pPr>
      <w:rPr>
        <w:rFonts w:hint="eastAsia" w:ascii="黑体" w:hAnsi="Times New Roman" w:eastAsia="黑体"/>
        <w:b w:val="0"/>
        <w:i w:val="0"/>
        <w:sz w:val="21"/>
      </w:rPr>
    </w:lvl>
    <w:lvl w:ilvl="4" w:tentative="0">
      <w:start w:val="1"/>
      <w:numFmt w:val="decimal"/>
      <w:pStyle w:val="52"/>
      <w:suff w:val="nothing"/>
      <w:lvlText w:val="%1.%2.%3.%4.%5　"/>
      <w:lvlJc w:val="left"/>
      <w:pPr>
        <w:ind w:left="0" w:firstLine="0"/>
      </w:pPr>
      <w:rPr>
        <w:rFonts w:hint="eastAsia" w:ascii="黑体" w:hAnsi="Times New Roman" w:eastAsia="黑体"/>
        <w:b w:val="0"/>
        <w:i w:val="0"/>
        <w:sz w:val="21"/>
      </w:rPr>
    </w:lvl>
    <w:lvl w:ilvl="5" w:tentative="0">
      <w:start w:val="1"/>
      <w:numFmt w:val="decimal"/>
      <w:pStyle w:val="5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A8F7113"/>
    <w:multiLevelType w:val="multilevel"/>
    <w:tmpl w:val="2A8F7113"/>
    <w:lvl w:ilvl="0" w:tentative="0">
      <w:start w:val="1"/>
      <w:numFmt w:val="upperLetter"/>
      <w:pStyle w:val="95"/>
      <w:suff w:val="space"/>
      <w:lvlText w:val="%1"/>
      <w:lvlJc w:val="left"/>
      <w:pPr>
        <w:ind w:left="623" w:hanging="425"/>
      </w:pPr>
      <w:rPr>
        <w:rFonts w:hint="eastAsia"/>
      </w:rPr>
    </w:lvl>
    <w:lvl w:ilvl="1" w:tentative="0">
      <w:start w:val="1"/>
      <w:numFmt w:val="decimal"/>
      <w:pStyle w:val="96"/>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tentative="0">
      <w:start w:val="1"/>
      <w:numFmt w:val="none"/>
      <w:pStyle w:val="45"/>
      <w:suff w:val="nothing"/>
      <w:lvlText w:val="%1——"/>
      <w:lvlJc w:val="left"/>
      <w:pPr>
        <w:ind w:left="833" w:hanging="408"/>
      </w:pPr>
      <w:rPr>
        <w:rFonts w:hint="eastAsia"/>
      </w:rPr>
    </w:lvl>
    <w:lvl w:ilvl="1" w:tentative="0">
      <w:start w:val="1"/>
      <w:numFmt w:val="bullet"/>
      <w:pStyle w:val="46"/>
      <w:lvlText w:val=""/>
      <w:lvlJc w:val="left"/>
      <w:pPr>
        <w:tabs>
          <w:tab w:val="left" w:pos="760"/>
        </w:tabs>
        <w:ind w:left="1264" w:hanging="413"/>
      </w:pPr>
      <w:rPr>
        <w:rFonts w:hint="default" w:ascii="Symbol" w:hAnsi="Symbol"/>
        <w:color w:val="auto"/>
      </w:rPr>
    </w:lvl>
    <w:lvl w:ilvl="2" w:tentative="0">
      <w:start w:val="1"/>
      <w:numFmt w:val="bullet"/>
      <w:pStyle w:val="5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9">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0">
    <w:nsid w:val="44C50F90"/>
    <w:multiLevelType w:val="multilevel"/>
    <w:tmpl w:val="44C50F90"/>
    <w:lvl w:ilvl="0" w:tentative="0">
      <w:start w:val="1"/>
      <w:numFmt w:val="lowerLetter"/>
      <w:pStyle w:val="56"/>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1"/>
      <w:lvlText w:val="%2)"/>
      <w:lvlJc w:val="left"/>
      <w:pPr>
        <w:tabs>
          <w:tab w:val="left" w:pos="1260"/>
        </w:tabs>
        <w:ind w:left="1259" w:hanging="419"/>
      </w:pPr>
      <w:rPr>
        <w:rFonts w:hint="eastAsia"/>
      </w:rPr>
    </w:lvl>
    <w:lvl w:ilvl="2" w:tentative="0">
      <w:start w:val="1"/>
      <w:numFmt w:val="decimal"/>
      <w:pStyle w:val="58"/>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4B733A5F"/>
    <w:multiLevelType w:val="multilevel"/>
    <w:tmpl w:val="4B733A5F"/>
    <w:lvl w:ilvl="0" w:tentative="0">
      <w:start w:val="1"/>
      <w:numFmt w:val="decimal"/>
      <w:pStyle w:val="59"/>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557C2AF5"/>
    <w:multiLevelType w:val="multilevel"/>
    <w:tmpl w:val="557C2AF5"/>
    <w:lvl w:ilvl="0" w:tentative="0">
      <w:start w:val="1"/>
      <w:numFmt w:val="decimal"/>
      <w:pStyle w:val="12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60B55DC2"/>
    <w:multiLevelType w:val="multilevel"/>
    <w:tmpl w:val="60B55DC2"/>
    <w:lvl w:ilvl="0" w:tentative="0">
      <w:start w:val="1"/>
      <w:numFmt w:val="upperLetter"/>
      <w:pStyle w:val="83"/>
      <w:lvlText w:val="%1"/>
      <w:lvlJc w:val="left"/>
      <w:pPr>
        <w:tabs>
          <w:tab w:val="left" w:pos="0"/>
        </w:tabs>
        <w:ind w:left="0" w:hanging="425"/>
      </w:pPr>
      <w:rPr>
        <w:rFonts w:hint="eastAsia"/>
      </w:rPr>
    </w:lvl>
    <w:lvl w:ilvl="1" w:tentative="0">
      <w:start w:val="1"/>
      <w:numFmt w:val="decimal"/>
      <w:pStyle w:val="8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tentative="0">
      <w:start w:val="1"/>
      <w:numFmt w:val="decimal"/>
      <w:pStyle w:val="123"/>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57D3FBC"/>
    <w:multiLevelType w:val="multilevel"/>
    <w:tmpl w:val="657D3FBC"/>
    <w:lvl w:ilvl="0" w:tentative="0">
      <w:start w:val="1"/>
      <w:numFmt w:val="upperLetter"/>
      <w:pStyle w:val="81"/>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0"/>
      <w:suff w:val="nothing"/>
      <w:lvlText w:val="%1.%2.%3　"/>
      <w:lvlJc w:val="left"/>
      <w:pPr>
        <w:ind w:left="0" w:firstLine="0"/>
      </w:pPr>
      <w:rPr>
        <w:rFonts w:hint="eastAsia" w:ascii="黑体" w:hAnsi="Times New Roman" w:eastAsia="黑体"/>
        <w:b w:val="0"/>
        <w:i w:val="0"/>
        <w:sz w:val="21"/>
      </w:rPr>
    </w:lvl>
    <w:lvl w:ilvl="3" w:tentative="0">
      <w:start w:val="1"/>
      <w:numFmt w:val="decimal"/>
      <w:pStyle w:val="85"/>
      <w:suff w:val="nothing"/>
      <w:lvlText w:val="%1.%2.%3.%4　"/>
      <w:lvlJc w:val="left"/>
      <w:pPr>
        <w:ind w:left="0" w:firstLine="0"/>
      </w:pPr>
      <w:rPr>
        <w:rFonts w:hint="eastAsia" w:ascii="黑体" w:hAnsi="Times New Roman" w:eastAsia="黑体"/>
        <w:b w:val="0"/>
        <w:i w:val="0"/>
        <w:sz w:val="21"/>
      </w:rPr>
    </w:lvl>
    <w:lvl w:ilvl="4" w:tentative="0">
      <w:start w:val="1"/>
      <w:numFmt w:val="decimal"/>
      <w:pStyle w:val="90"/>
      <w:suff w:val="nothing"/>
      <w:lvlText w:val="%1.%2.%3.%4.%5　"/>
      <w:lvlJc w:val="left"/>
      <w:pPr>
        <w:ind w:left="0" w:firstLine="0"/>
      </w:pPr>
      <w:rPr>
        <w:rFonts w:hint="eastAsia" w:ascii="黑体" w:hAnsi="Times New Roman" w:eastAsia="黑体"/>
        <w:b w:val="0"/>
        <w:i w:val="0"/>
        <w:sz w:val="21"/>
      </w:rPr>
    </w:lvl>
    <w:lvl w:ilvl="5" w:tentative="0">
      <w:start w:val="1"/>
      <w:numFmt w:val="decimal"/>
      <w:pStyle w:val="93"/>
      <w:suff w:val="nothing"/>
      <w:lvlText w:val="%1.%2.%3.%4.%5.%6　"/>
      <w:lvlJc w:val="left"/>
      <w:pPr>
        <w:ind w:left="0" w:firstLine="0"/>
      </w:pPr>
      <w:rPr>
        <w:rFonts w:hint="eastAsia" w:ascii="黑体" w:hAnsi="Times New Roman" w:eastAsia="黑体"/>
        <w:b w:val="0"/>
        <w:i w:val="0"/>
        <w:sz w:val="21"/>
      </w:rPr>
    </w:lvl>
    <w:lvl w:ilvl="6" w:tentative="0">
      <w:start w:val="1"/>
      <w:numFmt w:val="decimal"/>
      <w:pStyle w:val="9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D6C07CD"/>
    <w:multiLevelType w:val="multilevel"/>
    <w:tmpl w:val="6D6C07CD"/>
    <w:lvl w:ilvl="0" w:tentative="0">
      <w:start w:val="1"/>
      <w:numFmt w:val="lowerLetter"/>
      <w:pStyle w:val="102"/>
      <w:lvlText w:val="%1)"/>
      <w:lvlJc w:val="left"/>
      <w:pPr>
        <w:tabs>
          <w:tab w:val="left" w:pos="839"/>
        </w:tabs>
        <w:ind w:left="839" w:hanging="419"/>
      </w:pPr>
      <w:rPr>
        <w:rFonts w:hint="eastAsia" w:ascii="宋体" w:eastAsia="宋体"/>
        <w:b w:val="0"/>
        <w:i w:val="0"/>
        <w:sz w:val="21"/>
      </w:rPr>
    </w:lvl>
    <w:lvl w:ilvl="1" w:tentative="0">
      <w:start w:val="1"/>
      <w:numFmt w:val="decimal"/>
      <w:pStyle w:val="92"/>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4"/>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9"/>
  </w:num>
  <w:num w:numId="2">
    <w:abstractNumId w:val="6"/>
  </w:num>
  <w:num w:numId="3">
    <w:abstractNumId w:val="8"/>
  </w:num>
  <w:num w:numId="4">
    <w:abstractNumId w:val="3"/>
  </w:num>
  <w:num w:numId="5">
    <w:abstractNumId w:val="10"/>
  </w:num>
  <w:num w:numId="6">
    <w:abstractNumId w:val="17"/>
  </w:num>
  <w:num w:numId="7">
    <w:abstractNumId w:val="1"/>
  </w:num>
  <w:num w:numId="8">
    <w:abstractNumId w:val="11"/>
  </w:num>
  <w:num w:numId="9">
    <w:abstractNumId w:val="5"/>
  </w:num>
  <w:num w:numId="10">
    <w:abstractNumId w:val="15"/>
  </w:num>
  <w:num w:numId="11">
    <w:abstractNumId w:val="13"/>
  </w:num>
  <w:num w:numId="12">
    <w:abstractNumId w:val="16"/>
  </w:num>
  <w:num w:numId="13">
    <w:abstractNumId w:val="7"/>
  </w:num>
  <w:num w:numId="14">
    <w:abstractNumId w:val="2"/>
  </w:num>
  <w:num w:numId="15">
    <w:abstractNumId w:val="4"/>
  </w:num>
  <w:num w:numId="16">
    <w:abstractNumId w:val="14"/>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Q2MWNhYTM0YTdjMTJkNTQ1NDU4ZDdjYjRjZDEwNjQifQ=="/>
  </w:docVars>
  <w:rsids>
    <w:rsidRoot w:val="00035925"/>
    <w:rsid w:val="00000244"/>
    <w:rsid w:val="0000185F"/>
    <w:rsid w:val="0000586F"/>
    <w:rsid w:val="00013D86"/>
    <w:rsid w:val="00013E02"/>
    <w:rsid w:val="0002143C"/>
    <w:rsid w:val="00023AE4"/>
    <w:rsid w:val="00025A65"/>
    <w:rsid w:val="00026C31"/>
    <w:rsid w:val="00027280"/>
    <w:rsid w:val="000320A7"/>
    <w:rsid w:val="00035925"/>
    <w:rsid w:val="00043C46"/>
    <w:rsid w:val="00052E92"/>
    <w:rsid w:val="00067CDF"/>
    <w:rsid w:val="00074FBE"/>
    <w:rsid w:val="00083A09"/>
    <w:rsid w:val="0009005E"/>
    <w:rsid w:val="00092857"/>
    <w:rsid w:val="000A20A9"/>
    <w:rsid w:val="000A48B1"/>
    <w:rsid w:val="000A55AB"/>
    <w:rsid w:val="000B3143"/>
    <w:rsid w:val="000C6B05"/>
    <w:rsid w:val="000C6DD6"/>
    <w:rsid w:val="000C73D4"/>
    <w:rsid w:val="000D3D4C"/>
    <w:rsid w:val="000D4F51"/>
    <w:rsid w:val="000D718B"/>
    <w:rsid w:val="000E0C46"/>
    <w:rsid w:val="000F030C"/>
    <w:rsid w:val="000F129C"/>
    <w:rsid w:val="000F30B2"/>
    <w:rsid w:val="001056DE"/>
    <w:rsid w:val="001124C0"/>
    <w:rsid w:val="0013175F"/>
    <w:rsid w:val="001512B4"/>
    <w:rsid w:val="00152587"/>
    <w:rsid w:val="001620A5"/>
    <w:rsid w:val="00164E53"/>
    <w:rsid w:val="0016699D"/>
    <w:rsid w:val="00171138"/>
    <w:rsid w:val="00175159"/>
    <w:rsid w:val="00176208"/>
    <w:rsid w:val="0018211B"/>
    <w:rsid w:val="001840D3"/>
    <w:rsid w:val="001900F8"/>
    <w:rsid w:val="00191258"/>
    <w:rsid w:val="00192680"/>
    <w:rsid w:val="00193037"/>
    <w:rsid w:val="00193A2C"/>
    <w:rsid w:val="001A288E"/>
    <w:rsid w:val="001B6DC2"/>
    <w:rsid w:val="001C03B1"/>
    <w:rsid w:val="001C149C"/>
    <w:rsid w:val="001C21AC"/>
    <w:rsid w:val="001C47BA"/>
    <w:rsid w:val="001C59EA"/>
    <w:rsid w:val="001D2904"/>
    <w:rsid w:val="001D406C"/>
    <w:rsid w:val="001D41EE"/>
    <w:rsid w:val="001E0380"/>
    <w:rsid w:val="001E13B1"/>
    <w:rsid w:val="001F3A19"/>
    <w:rsid w:val="00226F1B"/>
    <w:rsid w:val="00232BF8"/>
    <w:rsid w:val="00234467"/>
    <w:rsid w:val="00237D8D"/>
    <w:rsid w:val="00241DA2"/>
    <w:rsid w:val="00246AED"/>
    <w:rsid w:val="00247FEE"/>
    <w:rsid w:val="002508BD"/>
    <w:rsid w:val="00250E7D"/>
    <w:rsid w:val="002565D5"/>
    <w:rsid w:val="002622C0"/>
    <w:rsid w:val="00266A07"/>
    <w:rsid w:val="002778AE"/>
    <w:rsid w:val="0028269A"/>
    <w:rsid w:val="00283590"/>
    <w:rsid w:val="002868A1"/>
    <w:rsid w:val="00286973"/>
    <w:rsid w:val="00294E70"/>
    <w:rsid w:val="002A1924"/>
    <w:rsid w:val="002A7420"/>
    <w:rsid w:val="002B0F12"/>
    <w:rsid w:val="002B1308"/>
    <w:rsid w:val="002B4554"/>
    <w:rsid w:val="002C3B4B"/>
    <w:rsid w:val="002C72D8"/>
    <w:rsid w:val="002D11FA"/>
    <w:rsid w:val="002E0DDF"/>
    <w:rsid w:val="002E2906"/>
    <w:rsid w:val="002E5635"/>
    <w:rsid w:val="002E64C3"/>
    <w:rsid w:val="002E6A2C"/>
    <w:rsid w:val="002F1D8C"/>
    <w:rsid w:val="002F21DA"/>
    <w:rsid w:val="00301F39"/>
    <w:rsid w:val="00314F4A"/>
    <w:rsid w:val="00325926"/>
    <w:rsid w:val="00327A8A"/>
    <w:rsid w:val="00336610"/>
    <w:rsid w:val="00337E3E"/>
    <w:rsid w:val="00343F73"/>
    <w:rsid w:val="00344725"/>
    <w:rsid w:val="00345060"/>
    <w:rsid w:val="0035323B"/>
    <w:rsid w:val="003609D2"/>
    <w:rsid w:val="00363F22"/>
    <w:rsid w:val="00375564"/>
    <w:rsid w:val="00383191"/>
    <w:rsid w:val="00383783"/>
    <w:rsid w:val="00386DED"/>
    <w:rsid w:val="003912E7"/>
    <w:rsid w:val="00393947"/>
    <w:rsid w:val="003A2275"/>
    <w:rsid w:val="003A6A4F"/>
    <w:rsid w:val="003A7088"/>
    <w:rsid w:val="003B00DF"/>
    <w:rsid w:val="003B1275"/>
    <w:rsid w:val="003B1778"/>
    <w:rsid w:val="003C11CB"/>
    <w:rsid w:val="003C75F3"/>
    <w:rsid w:val="003C78A3"/>
    <w:rsid w:val="003E1867"/>
    <w:rsid w:val="003E5729"/>
    <w:rsid w:val="003F4EE0"/>
    <w:rsid w:val="00401656"/>
    <w:rsid w:val="00402153"/>
    <w:rsid w:val="00402FC1"/>
    <w:rsid w:val="00424825"/>
    <w:rsid w:val="00425082"/>
    <w:rsid w:val="00431DEB"/>
    <w:rsid w:val="00446B29"/>
    <w:rsid w:val="00453F9A"/>
    <w:rsid w:val="00471E91"/>
    <w:rsid w:val="00474675"/>
    <w:rsid w:val="0047470C"/>
    <w:rsid w:val="004755FF"/>
    <w:rsid w:val="004A35F9"/>
    <w:rsid w:val="004B24C1"/>
    <w:rsid w:val="004C292F"/>
    <w:rsid w:val="004F2BA3"/>
    <w:rsid w:val="00510280"/>
    <w:rsid w:val="00513296"/>
    <w:rsid w:val="00513D73"/>
    <w:rsid w:val="00514A43"/>
    <w:rsid w:val="005174E5"/>
    <w:rsid w:val="00522393"/>
    <w:rsid w:val="00522620"/>
    <w:rsid w:val="00525656"/>
    <w:rsid w:val="00534C02"/>
    <w:rsid w:val="0054264B"/>
    <w:rsid w:val="00543786"/>
    <w:rsid w:val="00547853"/>
    <w:rsid w:val="005533D7"/>
    <w:rsid w:val="005703DE"/>
    <w:rsid w:val="0058464E"/>
    <w:rsid w:val="005A01CB"/>
    <w:rsid w:val="005A58FF"/>
    <w:rsid w:val="005A5EAF"/>
    <w:rsid w:val="005A64C0"/>
    <w:rsid w:val="005B3C11"/>
    <w:rsid w:val="005C1C28"/>
    <w:rsid w:val="005C6DB5"/>
    <w:rsid w:val="005D5F05"/>
    <w:rsid w:val="005E19E7"/>
    <w:rsid w:val="00607F08"/>
    <w:rsid w:val="0061716C"/>
    <w:rsid w:val="006243A1"/>
    <w:rsid w:val="00632E56"/>
    <w:rsid w:val="00635CBA"/>
    <w:rsid w:val="0064338B"/>
    <w:rsid w:val="00646542"/>
    <w:rsid w:val="006504F4"/>
    <w:rsid w:val="00654BC9"/>
    <w:rsid w:val="006552FD"/>
    <w:rsid w:val="00663AF3"/>
    <w:rsid w:val="00666B6C"/>
    <w:rsid w:val="00675BFB"/>
    <w:rsid w:val="00682682"/>
    <w:rsid w:val="00682702"/>
    <w:rsid w:val="00692368"/>
    <w:rsid w:val="00693909"/>
    <w:rsid w:val="006A0659"/>
    <w:rsid w:val="006A2EBC"/>
    <w:rsid w:val="006A5EA0"/>
    <w:rsid w:val="006A783B"/>
    <w:rsid w:val="006A7B33"/>
    <w:rsid w:val="006B4E13"/>
    <w:rsid w:val="006B75DD"/>
    <w:rsid w:val="006C3D61"/>
    <w:rsid w:val="006C67E0"/>
    <w:rsid w:val="006C7ABA"/>
    <w:rsid w:val="006D0D60"/>
    <w:rsid w:val="006D1122"/>
    <w:rsid w:val="006D3C00"/>
    <w:rsid w:val="006E2041"/>
    <w:rsid w:val="006E3675"/>
    <w:rsid w:val="006E4A7F"/>
    <w:rsid w:val="006F3B1B"/>
    <w:rsid w:val="00704DF6"/>
    <w:rsid w:val="0070651C"/>
    <w:rsid w:val="007132A3"/>
    <w:rsid w:val="00716421"/>
    <w:rsid w:val="00724EFB"/>
    <w:rsid w:val="007372E7"/>
    <w:rsid w:val="007419C3"/>
    <w:rsid w:val="0074283B"/>
    <w:rsid w:val="007467A7"/>
    <w:rsid w:val="007469DD"/>
    <w:rsid w:val="0074741B"/>
    <w:rsid w:val="0074759E"/>
    <w:rsid w:val="007478EA"/>
    <w:rsid w:val="0075415C"/>
    <w:rsid w:val="00762191"/>
    <w:rsid w:val="00763502"/>
    <w:rsid w:val="0077252E"/>
    <w:rsid w:val="00785C42"/>
    <w:rsid w:val="007913AB"/>
    <w:rsid w:val="007914F7"/>
    <w:rsid w:val="007966C0"/>
    <w:rsid w:val="007B1625"/>
    <w:rsid w:val="007B706E"/>
    <w:rsid w:val="007B71EB"/>
    <w:rsid w:val="007C6205"/>
    <w:rsid w:val="007C686A"/>
    <w:rsid w:val="007C728E"/>
    <w:rsid w:val="007D2C53"/>
    <w:rsid w:val="007D3D60"/>
    <w:rsid w:val="007E1980"/>
    <w:rsid w:val="007E48FF"/>
    <w:rsid w:val="007E4B76"/>
    <w:rsid w:val="007E5EA8"/>
    <w:rsid w:val="007F0CF1"/>
    <w:rsid w:val="007F12A5"/>
    <w:rsid w:val="007F4CF1"/>
    <w:rsid w:val="007F758D"/>
    <w:rsid w:val="007F7D52"/>
    <w:rsid w:val="00805384"/>
    <w:rsid w:val="0080654C"/>
    <w:rsid w:val="008071C6"/>
    <w:rsid w:val="00817A00"/>
    <w:rsid w:val="00835DB3"/>
    <w:rsid w:val="0083617B"/>
    <w:rsid w:val="008371BD"/>
    <w:rsid w:val="008504A8"/>
    <w:rsid w:val="0085282E"/>
    <w:rsid w:val="00857FD9"/>
    <w:rsid w:val="0087198C"/>
    <w:rsid w:val="00872C1F"/>
    <w:rsid w:val="00872E5B"/>
    <w:rsid w:val="00873B42"/>
    <w:rsid w:val="008856D8"/>
    <w:rsid w:val="00886B8A"/>
    <w:rsid w:val="00892E82"/>
    <w:rsid w:val="008C1B58"/>
    <w:rsid w:val="008C39AE"/>
    <w:rsid w:val="008C590D"/>
    <w:rsid w:val="008D2516"/>
    <w:rsid w:val="008E031B"/>
    <w:rsid w:val="008E7029"/>
    <w:rsid w:val="008E7EF6"/>
    <w:rsid w:val="008F1F98"/>
    <w:rsid w:val="008F6758"/>
    <w:rsid w:val="00903089"/>
    <w:rsid w:val="009040DD"/>
    <w:rsid w:val="00905B47"/>
    <w:rsid w:val="009130E0"/>
    <w:rsid w:val="0091331C"/>
    <w:rsid w:val="009279DE"/>
    <w:rsid w:val="00930116"/>
    <w:rsid w:val="0094212C"/>
    <w:rsid w:val="00954689"/>
    <w:rsid w:val="009617C9"/>
    <w:rsid w:val="00961C93"/>
    <w:rsid w:val="00965324"/>
    <w:rsid w:val="0097091E"/>
    <w:rsid w:val="009760D3"/>
    <w:rsid w:val="00977132"/>
    <w:rsid w:val="00980F18"/>
    <w:rsid w:val="00981A4B"/>
    <w:rsid w:val="00982501"/>
    <w:rsid w:val="009877D3"/>
    <w:rsid w:val="00994084"/>
    <w:rsid w:val="00994E8F"/>
    <w:rsid w:val="009951DC"/>
    <w:rsid w:val="009959BB"/>
    <w:rsid w:val="00997158"/>
    <w:rsid w:val="009A3A7C"/>
    <w:rsid w:val="009B2ADB"/>
    <w:rsid w:val="009B603A"/>
    <w:rsid w:val="009C2D0E"/>
    <w:rsid w:val="009C3DAC"/>
    <w:rsid w:val="009C42E0"/>
    <w:rsid w:val="009D5362"/>
    <w:rsid w:val="009E1415"/>
    <w:rsid w:val="009E6116"/>
    <w:rsid w:val="009F411A"/>
    <w:rsid w:val="00A02E43"/>
    <w:rsid w:val="00A065F9"/>
    <w:rsid w:val="00A07F34"/>
    <w:rsid w:val="00A22154"/>
    <w:rsid w:val="00A25C38"/>
    <w:rsid w:val="00A36BBE"/>
    <w:rsid w:val="00A4307A"/>
    <w:rsid w:val="00A47EBB"/>
    <w:rsid w:val="00A51CDD"/>
    <w:rsid w:val="00A6730D"/>
    <w:rsid w:val="00A71625"/>
    <w:rsid w:val="00A71B9B"/>
    <w:rsid w:val="00A751C7"/>
    <w:rsid w:val="00A82C80"/>
    <w:rsid w:val="00A87844"/>
    <w:rsid w:val="00AA038C"/>
    <w:rsid w:val="00AA7A09"/>
    <w:rsid w:val="00AB3B50"/>
    <w:rsid w:val="00AC05B1"/>
    <w:rsid w:val="00AD356C"/>
    <w:rsid w:val="00AE2914"/>
    <w:rsid w:val="00AE6D15"/>
    <w:rsid w:val="00AE6F6A"/>
    <w:rsid w:val="00B04182"/>
    <w:rsid w:val="00B07AE3"/>
    <w:rsid w:val="00B11430"/>
    <w:rsid w:val="00B119B2"/>
    <w:rsid w:val="00B353EB"/>
    <w:rsid w:val="00B439C4"/>
    <w:rsid w:val="00B4535E"/>
    <w:rsid w:val="00B52A8C"/>
    <w:rsid w:val="00B636A8"/>
    <w:rsid w:val="00B64EBC"/>
    <w:rsid w:val="00B665C6"/>
    <w:rsid w:val="00B805AF"/>
    <w:rsid w:val="00B869EC"/>
    <w:rsid w:val="00B9397A"/>
    <w:rsid w:val="00B9633D"/>
    <w:rsid w:val="00BA28B3"/>
    <w:rsid w:val="00BA2EBE"/>
    <w:rsid w:val="00BB0F28"/>
    <w:rsid w:val="00BB458A"/>
    <w:rsid w:val="00BC0A19"/>
    <w:rsid w:val="00BC0AE6"/>
    <w:rsid w:val="00BD00D3"/>
    <w:rsid w:val="00BD1659"/>
    <w:rsid w:val="00BD3AA9"/>
    <w:rsid w:val="00BD4A18"/>
    <w:rsid w:val="00BD6DB2"/>
    <w:rsid w:val="00BE11CF"/>
    <w:rsid w:val="00BE21AB"/>
    <w:rsid w:val="00BE55CB"/>
    <w:rsid w:val="00BE6688"/>
    <w:rsid w:val="00BF617A"/>
    <w:rsid w:val="00C0379D"/>
    <w:rsid w:val="00C03931"/>
    <w:rsid w:val="00C045A4"/>
    <w:rsid w:val="00C05FE3"/>
    <w:rsid w:val="00C2136D"/>
    <w:rsid w:val="00C214EE"/>
    <w:rsid w:val="00C2314B"/>
    <w:rsid w:val="00C24971"/>
    <w:rsid w:val="00C25E22"/>
    <w:rsid w:val="00C25F11"/>
    <w:rsid w:val="00C26BE5"/>
    <w:rsid w:val="00C26E4D"/>
    <w:rsid w:val="00C27909"/>
    <w:rsid w:val="00C27B03"/>
    <w:rsid w:val="00C314E1"/>
    <w:rsid w:val="00C34397"/>
    <w:rsid w:val="00C36966"/>
    <w:rsid w:val="00C4095D"/>
    <w:rsid w:val="00C601D2"/>
    <w:rsid w:val="00C617E4"/>
    <w:rsid w:val="00C65BCC"/>
    <w:rsid w:val="00C66970"/>
    <w:rsid w:val="00C66FF2"/>
    <w:rsid w:val="00C67781"/>
    <w:rsid w:val="00C8691C"/>
    <w:rsid w:val="00CA07F2"/>
    <w:rsid w:val="00CA168A"/>
    <w:rsid w:val="00CA357E"/>
    <w:rsid w:val="00CA44F9"/>
    <w:rsid w:val="00CA4A69"/>
    <w:rsid w:val="00CB4C15"/>
    <w:rsid w:val="00CC2ABF"/>
    <w:rsid w:val="00CC3E0C"/>
    <w:rsid w:val="00CC58D3"/>
    <w:rsid w:val="00CC784D"/>
    <w:rsid w:val="00CE17F3"/>
    <w:rsid w:val="00CE19EE"/>
    <w:rsid w:val="00D01E42"/>
    <w:rsid w:val="00D0337B"/>
    <w:rsid w:val="00D079B2"/>
    <w:rsid w:val="00D114E9"/>
    <w:rsid w:val="00D15392"/>
    <w:rsid w:val="00D242FE"/>
    <w:rsid w:val="00D267F0"/>
    <w:rsid w:val="00D429C6"/>
    <w:rsid w:val="00D47748"/>
    <w:rsid w:val="00D54CC3"/>
    <w:rsid w:val="00D5546F"/>
    <w:rsid w:val="00D57F4A"/>
    <w:rsid w:val="00D6041A"/>
    <w:rsid w:val="00D633EB"/>
    <w:rsid w:val="00D66593"/>
    <w:rsid w:val="00D82FF7"/>
    <w:rsid w:val="00D847FE"/>
    <w:rsid w:val="00D964EA"/>
    <w:rsid w:val="00D966D0"/>
    <w:rsid w:val="00DA0C59"/>
    <w:rsid w:val="00DA3991"/>
    <w:rsid w:val="00DB7E6C"/>
    <w:rsid w:val="00DC4986"/>
    <w:rsid w:val="00DD5A29"/>
    <w:rsid w:val="00DD5D9D"/>
    <w:rsid w:val="00DE1189"/>
    <w:rsid w:val="00DE35CB"/>
    <w:rsid w:val="00DF21E9"/>
    <w:rsid w:val="00DF2B7C"/>
    <w:rsid w:val="00DF4165"/>
    <w:rsid w:val="00DF5CA5"/>
    <w:rsid w:val="00E00F14"/>
    <w:rsid w:val="00E05855"/>
    <w:rsid w:val="00E06386"/>
    <w:rsid w:val="00E212A2"/>
    <w:rsid w:val="00E24EB4"/>
    <w:rsid w:val="00E25547"/>
    <w:rsid w:val="00E320ED"/>
    <w:rsid w:val="00E33AFB"/>
    <w:rsid w:val="00E34218"/>
    <w:rsid w:val="00E46282"/>
    <w:rsid w:val="00E5216E"/>
    <w:rsid w:val="00E82344"/>
    <w:rsid w:val="00E83EF4"/>
    <w:rsid w:val="00E84C82"/>
    <w:rsid w:val="00E84D64"/>
    <w:rsid w:val="00E87408"/>
    <w:rsid w:val="00E90CF4"/>
    <w:rsid w:val="00E914C4"/>
    <w:rsid w:val="00E934F5"/>
    <w:rsid w:val="00E96961"/>
    <w:rsid w:val="00EA72EC"/>
    <w:rsid w:val="00EB11CB"/>
    <w:rsid w:val="00EB275A"/>
    <w:rsid w:val="00EB786A"/>
    <w:rsid w:val="00EC1578"/>
    <w:rsid w:val="00EC1C72"/>
    <w:rsid w:val="00EC3CC9"/>
    <w:rsid w:val="00EC680A"/>
    <w:rsid w:val="00EE2BED"/>
    <w:rsid w:val="00EE374B"/>
    <w:rsid w:val="00F11BB5"/>
    <w:rsid w:val="00F1417B"/>
    <w:rsid w:val="00F34B99"/>
    <w:rsid w:val="00F52DAB"/>
    <w:rsid w:val="00F543F0"/>
    <w:rsid w:val="00F73C88"/>
    <w:rsid w:val="00F74D94"/>
    <w:rsid w:val="00F81D29"/>
    <w:rsid w:val="00F90383"/>
    <w:rsid w:val="00F91C4D"/>
    <w:rsid w:val="00F92FD9"/>
    <w:rsid w:val="00FA6684"/>
    <w:rsid w:val="00FA731E"/>
    <w:rsid w:val="00FB2B38"/>
    <w:rsid w:val="00FB3F8C"/>
    <w:rsid w:val="00FC6358"/>
    <w:rsid w:val="00FD320D"/>
    <w:rsid w:val="00FE23DE"/>
    <w:rsid w:val="01F81475"/>
    <w:rsid w:val="055767E3"/>
    <w:rsid w:val="06EB79F9"/>
    <w:rsid w:val="07226D98"/>
    <w:rsid w:val="073B0BE0"/>
    <w:rsid w:val="0E583565"/>
    <w:rsid w:val="0ECA4856"/>
    <w:rsid w:val="0EE830F7"/>
    <w:rsid w:val="0FB405CB"/>
    <w:rsid w:val="111F5B89"/>
    <w:rsid w:val="12B16FFA"/>
    <w:rsid w:val="13967B46"/>
    <w:rsid w:val="13BE6683"/>
    <w:rsid w:val="141875A4"/>
    <w:rsid w:val="148B1017"/>
    <w:rsid w:val="15FF7A45"/>
    <w:rsid w:val="17134FF2"/>
    <w:rsid w:val="18BD1A99"/>
    <w:rsid w:val="19C633C0"/>
    <w:rsid w:val="1ADD6809"/>
    <w:rsid w:val="1E7E516A"/>
    <w:rsid w:val="21061E28"/>
    <w:rsid w:val="215A3514"/>
    <w:rsid w:val="2668416B"/>
    <w:rsid w:val="26E33C22"/>
    <w:rsid w:val="277F10EE"/>
    <w:rsid w:val="2BDB2C40"/>
    <w:rsid w:val="2F7C043F"/>
    <w:rsid w:val="301420DA"/>
    <w:rsid w:val="308764E5"/>
    <w:rsid w:val="31545C70"/>
    <w:rsid w:val="32B05582"/>
    <w:rsid w:val="32F52F37"/>
    <w:rsid w:val="335209F7"/>
    <w:rsid w:val="338718B8"/>
    <w:rsid w:val="33BE5D99"/>
    <w:rsid w:val="383116AB"/>
    <w:rsid w:val="38D76CE5"/>
    <w:rsid w:val="38DB5C9F"/>
    <w:rsid w:val="3B392708"/>
    <w:rsid w:val="3DA23042"/>
    <w:rsid w:val="41522216"/>
    <w:rsid w:val="41F15D56"/>
    <w:rsid w:val="46E35231"/>
    <w:rsid w:val="494E4D5C"/>
    <w:rsid w:val="4B363733"/>
    <w:rsid w:val="4E9810FE"/>
    <w:rsid w:val="50DB06D8"/>
    <w:rsid w:val="551002AF"/>
    <w:rsid w:val="55F51541"/>
    <w:rsid w:val="57D440D2"/>
    <w:rsid w:val="57DA06D2"/>
    <w:rsid w:val="582A7C98"/>
    <w:rsid w:val="5A2A3D37"/>
    <w:rsid w:val="5ABE7EE6"/>
    <w:rsid w:val="5ACE178F"/>
    <w:rsid w:val="5CB71039"/>
    <w:rsid w:val="5D067A77"/>
    <w:rsid w:val="5D4636C9"/>
    <w:rsid w:val="5DDD6255"/>
    <w:rsid w:val="5F8607F9"/>
    <w:rsid w:val="607C5E4D"/>
    <w:rsid w:val="60920B44"/>
    <w:rsid w:val="613E171B"/>
    <w:rsid w:val="630240CB"/>
    <w:rsid w:val="65066473"/>
    <w:rsid w:val="65AA1FB0"/>
    <w:rsid w:val="6A184D5C"/>
    <w:rsid w:val="6CC811E6"/>
    <w:rsid w:val="6E356D13"/>
    <w:rsid w:val="70AA1DCD"/>
    <w:rsid w:val="72FC7CB0"/>
    <w:rsid w:val="74074414"/>
    <w:rsid w:val="74A9457B"/>
    <w:rsid w:val="76C36555"/>
    <w:rsid w:val="76CE62D7"/>
    <w:rsid w:val="76F40768"/>
    <w:rsid w:val="7A071A6E"/>
    <w:rsid w:val="7A2A1946"/>
    <w:rsid w:val="7D2F3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0"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semiHidden/>
    <w:unhideWhenUsed/>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semiHidden/>
    <w:qFormat/>
    <w:uiPriority w:val="0"/>
    <w:pPr>
      <w:tabs>
        <w:tab w:val="right" w:leader="dot" w:pos="9241"/>
      </w:tabs>
      <w:ind w:firstLine="100"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Date"/>
    <w:basedOn w:val="1"/>
    <w:next w:val="1"/>
    <w:qFormat/>
    <w:uiPriority w:val="0"/>
    <w:pPr>
      <w:ind w:left="100" w:leftChars="2500"/>
    </w:pPr>
  </w:style>
  <w:style w:type="paragraph" w:styleId="15">
    <w:name w:val="endnote text"/>
    <w:basedOn w:val="1"/>
    <w:semiHidden/>
    <w:qFormat/>
    <w:uiPriority w:val="0"/>
    <w:pPr>
      <w:snapToGrid w:val="0"/>
      <w:jc w:val="left"/>
    </w:pPr>
  </w:style>
  <w:style w:type="paragraph" w:styleId="16">
    <w:name w:val="footer"/>
    <w:basedOn w:val="1"/>
    <w:qFormat/>
    <w:uiPriority w:val="0"/>
    <w:pPr>
      <w:snapToGrid w:val="0"/>
      <w:ind w:right="210" w:rightChars="100"/>
      <w:jc w:val="right"/>
    </w:pPr>
    <w:rPr>
      <w:sz w:val="18"/>
      <w:szCs w:val="18"/>
    </w:rPr>
  </w:style>
  <w:style w:type="paragraph" w:styleId="17">
    <w:name w:val="header"/>
    <w:basedOn w:val="1"/>
    <w:qFormat/>
    <w:uiPriority w:val="0"/>
    <w:pPr>
      <w:snapToGrid w:val="0"/>
      <w:jc w:val="left"/>
    </w:pPr>
    <w:rPr>
      <w:sz w:val="18"/>
      <w:szCs w:val="18"/>
    </w:rPr>
  </w:style>
  <w:style w:type="paragraph" w:styleId="18">
    <w:name w:val="toc 1"/>
    <w:basedOn w:val="1"/>
    <w:next w:val="1"/>
    <w:semiHidden/>
    <w:qFormat/>
    <w:uiPriority w:val="0"/>
    <w:pPr>
      <w:tabs>
        <w:tab w:val="right" w:leader="dot" w:pos="9242"/>
      </w:tabs>
      <w:spacing w:beforeLines="25" w:afterLines="25"/>
      <w:jc w:val="left"/>
    </w:pPr>
    <w:rPr>
      <w:rFonts w:ascii="宋体"/>
      <w:szCs w:val="21"/>
    </w:rPr>
  </w:style>
  <w:style w:type="paragraph" w:styleId="19">
    <w:name w:val="toc 4"/>
    <w:basedOn w:val="1"/>
    <w:next w:val="1"/>
    <w:semiHidden/>
    <w:qFormat/>
    <w:uiPriority w:val="0"/>
    <w:pPr>
      <w:tabs>
        <w:tab w:val="right" w:leader="dot" w:pos="9241"/>
      </w:tabs>
      <w:ind w:firstLine="200"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3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0" w:firstLineChars="400"/>
      <w:jc w:val="left"/>
    </w:pPr>
    <w:rPr>
      <w:rFonts w:ascii="宋体"/>
      <w:szCs w:val="21"/>
    </w:rPr>
  </w:style>
  <w:style w:type="paragraph" w:styleId="25">
    <w:name w:val="index 7"/>
    <w:basedOn w:val="1"/>
    <w:next w:val="1"/>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semiHidden/>
    <w:qFormat/>
    <w:uiPriority w:val="0"/>
    <w:pPr>
      <w:tabs>
        <w:tab w:val="right" w:leader="dot" w:pos="9242"/>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table" w:styleId="31">
    <w:name w:val="Table Grid"/>
    <w:basedOn w:val="30"/>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3">
    <w:name w:val="endnote reference"/>
    <w:basedOn w:val="32"/>
    <w:semiHidden/>
    <w:qFormat/>
    <w:uiPriority w:val="0"/>
    <w:rPr>
      <w:vertAlign w:val="superscript"/>
    </w:rPr>
  </w:style>
  <w:style w:type="character" w:styleId="34">
    <w:name w:val="page number"/>
    <w:basedOn w:val="32"/>
    <w:qFormat/>
    <w:uiPriority w:val="0"/>
    <w:rPr>
      <w:rFonts w:ascii="Times New Roman" w:hAnsi="Times New Roman" w:eastAsia="宋体"/>
      <w:sz w:val="18"/>
    </w:rPr>
  </w:style>
  <w:style w:type="character" w:styleId="35">
    <w:name w:val="FollowedHyperlink"/>
    <w:basedOn w:val="32"/>
    <w:qFormat/>
    <w:uiPriority w:val="0"/>
    <w:rPr>
      <w:color w:val="800080"/>
      <w:u w:val="single"/>
    </w:rPr>
  </w:style>
  <w:style w:type="character" w:styleId="36">
    <w:name w:val="Hyperlink"/>
    <w:basedOn w:val="32"/>
    <w:qFormat/>
    <w:uiPriority w:val="0"/>
    <w:rPr>
      <w:color w:val="0000FF"/>
      <w:spacing w:val="0"/>
      <w:w w:val="100"/>
      <w:szCs w:val="21"/>
      <w:u w:val="single"/>
    </w:rPr>
  </w:style>
  <w:style w:type="character" w:styleId="37">
    <w:name w:val="footnote reference"/>
    <w:basedOn w:val="32"/>
    <w:semiHidden/>
    <w:qFormat/>
    <w:uiPriority w:val="0"/>
    <w:rPr>
      <w:vertAlign w:val="superscript"/>
    </w:rPr>
  </w:style>
  <w:style w:type="character" w:customStyle="1" w:styleId="38">
    <w:name w:val="段 Char"/>
    <w:basedOn w:val="32"/>
    <w:link w:val="22"/>
    <w:qFormat/>
    <w:uiPriority w:val="0"/>
    <w:rPr>
      <w:rFonts w:ascii="宋体"/>
      <w:sz w:val="21"/>
      <w:lang w:val="en-US" w:eastAsia="zh-CN" w:bidi="ar-SA"/>
    </w:rPr>
  </w:style>
  <w:style w:type="paragraph" w:customStyle="1" w:styleId="39">
    <w:name w:val="一级条标题"/>
    <w:next w:val="22"/>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1">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2">
    <w:name w:val="章标题"/>
    <w:next w:val="22"/>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3">
    <w:name w:val="二级条标题"/>
    <w:basedOn w:val="39"/>
    <w:next w:val="22"/>
    <w:qFormat/>
    <w:uiPriority w:val="0"/>
    <w:pPr>
      <w:numPr>
        <w:ilvl w:val="2"/>
      </w:numPr>
      <w:spacing w:before="50" w:after="50"/>
      <w:outlineLvl w:val="3"/>
    </w:pPr>
  </w:style>
  <w:style w:type="paragraph" w:customStyle="1" w:styleId="4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5">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6">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7">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8">
    <w:name w:val="三级条标题"/>
    <w:basedOn w:val="43"/>
    <w:next w:val="22"/>
    <w:qFormat/>
    <w:uiPriority w:val="0"/>
    <w:pPr>
      <w:numPr>
        <w:ilvl w:val="3"/>
      </w:numPr>
      <w:outlineLvl w:val="4"/>
    </w:pPr>
  </w:style>
  <w:style w:type="paragraph" w:customStyle="1" w:styleId="49">
    <w:name w:val="示例"/>
    <w:next w:val="50"/>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0">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1">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2">
    <w:name w:val="四级条标题"/>
    <w:basedOn w:val="48"/>
    <w:next w:val="22"/>
    <w:qFormat/>
    <w:uiPriority w:val="0"/>
    <w:pPr>
      <w:numPr>
        <w:ilvl w:val="4"/>
      </w:numPr>
      <w:outlineLvl w:val="5"/>
    </w:pPr>
  </w:style>
  <w:style w:type="paragraph" w:customStyle="1" w:styleId="53">
    <w:name w:val="五级条标题"/>
    <w:basedOn w:val="52"/>
    <w:next w:val="22"/>
    <w:qFormat/>
    <w:uiPriority w:val="0"/>
    <w:pPr>
      <w:numPr>
        <w:ilvl w:val="5"/>
      </w:numPr>
      <w:outlineLvl w:val="6"/>
    </w:pPr>
  </w:style>
  <w:style w:type="paragraph" w:customStyle="1" w:styleId="54">
    <w:name w:val="注："/>
    <w:next w:val="22"/>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5">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6">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7">
    <w:name w:val="列项◆（三级）"/>
    <w:basedOn w:val="1"/>
    <w:qFormat/>
    <w:uiPriority w:val="0"/>
    <w:pPr>
      <w:numPr>
        <w:ilvl w:val="2"/>
        <w:numId w:val="3"/>
      </w:numPr>
    </w:pPr>
    <w:rPr>
      <w:rFonts w:ascii="宋体"/>
      <w:szCs w:val="21"/>
    </w:rPr>
  </w:style>
  <w:style w:type="paragraph" w:customStyle="1" w:styleId="58">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59">
    <w:name w:val="示例×："/>
    <w:basedOn w:val="42"/>
    <w:qFormat/>
    <w:uiPriority w:val="0"/>
    <w:pPr>
      <w:numPr>
        <w:numId w:val="8"/>
      </w:numPr>
      <w:spacing w:beforeLines="0" w:afterLines="0"/>
      <w:outlineLvl w:val="9"/>
    </w:pPr>
    <w:rPr>
      <w:rFonts w:ascii="宋体" w:eastAsia="宋体"/>
      <w:sz w:val="18"/>
      <w:szCs w:val="18"/>
    </w:rPr>
  </w:style>
  <w:style w:type="paragraph" w:customStyle="1" w:styleId="60">
    <w:name w:val="二级无"/>
    <w:basedOn w:val="43"/>
    <w:qFormat/>
    <w:uiPriority w:val="0"/>
    <w:pPr>
      <w:spacing w:beforeLines="0" w:afterLines="0"/>
    </w:pPr>
    <w:rPr>
      <w:rFonts w:ascii="宋体" w:eastAsia="宋体"/>
    </w:rPr>
  </w:style>
  <w:style w:type="paragraph" w:customStyle="1" w:styleId="61">
    <w:name w:val="注：（正文）"/>
    <w:basedOn w:val="54"/>
    <w:next w:val="22"/>
    <w:qFormat/>
    <w:uiPriority w:val="0"/>
  </w:style>
  <w:style w:type="paragraph" w:customStyle="1" w:styleId="62">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4">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5">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6">
    <w:name w:val="标准书眉_偶数页"/>
    <w:basedOn w:val="41"/>
    <w:next w:val="1"/>
    <w:qFormat/>
    <w:uiPriority w:val="0"/>
    <w:pPr>
      <w:jc w:val="left"/>
    </w:pPr>
  </w:style>
  <w:style w:type="paragraph" w:customStyle="1" w:styleId="67">
    <w:name w:val="标准书眉一"/>
    <w:qFormat/>
    <w:uiPriority w:val="0"/>
    <w:pPr>
      <w:jc w:val="both"/>
    </w:pPr>
    <w:rPr>
      <w:rFonts w:ascii="Times New Roman" w:hAnsi="Times New Roman" w:eastAsia="宋体" w:cs="Times New Roman"/>
      <w:lang w:val="en-US" w:eastAsia="zh-CN" w:bidi="ar-SA"/>
    </w:rPr>
  </w:style>
  <w:style w:type="paragraph" w:customStyle="1" w:styleId="68">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9">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0">
    <w:name w:val="发布"/>
    <w:basedOn w:val="32"/>
    <w:qFormat/>
    <w:uiPriority w:val="0"/>
    <w:rPr>
      <w:rFonts w:ascii="黑体" w:eastAsia="黑体"/>
      <w:spacing w:val="85"/>
      <w:w w:val="100"/>
      <w:position w:val="3"/>
      <w:sz w:val="28"/>
      <w:szCs w:val="28"/>
    </w:rPr>
  </w:style>
  <w:style w:type="paragraph" w:customStyle="1" w:styleId="71">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2">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3">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6">
    <w:name w:val="封面标准英文名称"/>
    <w:basedOn w:val="75"/>
    <w:qFormat/>
    <w:uiPriority w:val="0"/>
    <w:pPr>
      <w:spacing w:before="370" w:line="400" w:lineRule="exact"/>
    </w:pPr>
    <w:rPr>
      <w:rFonts w:ascii="Times New Roman"/>
      <w:sz w:val="28"/>
      <w:szCs w:val="28"/>
    </w:rPr>
  </w:style>
  <w:style w:type="paragraph" w:customStyle="1" w:styleId="77">
    <w:name w:val="封面一致性程度标识"/>
    <w:basedOn w:val="76"/>
    <w:qFormat/>
    <w:uiPriority w:val="0"/>
    <w:pPr>
      <w:spacing w:before="440"/>
    </w:pPr>
    <w:rPr>
      <w:rFonts w:ascii="宋体" w:eastAsia="宋体"/>
    </w:rPr>
  </w:style>
  <w:style w:type="paragraph" w:customStyle="1" w:styleId="78">
    <w:name w:val="封面标准文稿类别"/>
    <w:basedOn w:val="77"/>
    <w:qFormat/>
    <w:uiPriority w:val="0"/>
    <w:pPr>
      <w:spacing w:after="160" w:line="240" w:lineRule="auto"/>
    </w:pPr>
    <w:rPr>
      <w:sz w:val="24"/>
    </w:rPr>
  </w:style>
  <w:style w:type="paragraph" w:customStyle="1" w:styleId="79">
    <w:name w:val="封面标准文稿编辑信息"/>
    <w:basedOn w:val="78"/>
    <w:qFormat/>
    <w:uiPriority w:val="0"/>
    <w:pPr>
      <w:spacing w:before="180" w:line="180" w:lineRule="exact"/>
    </w:pPr>
    <w:rPr>
      <w:sz w:val="21"/>
    </w:rPr>
  </w:style>
  <w:style w:type="paragraph" w:customStyle="1" w:styleId="80">
    <w:name w:val="封面正文"/>
    <w:qFormat/>
    <w:uiPriority w:val="0"/>
    <w:pPr>
      <w:jc w:val="both"/>
    </w:pPr>
    <w:rPr>
      <w:rFonts w:ascii="Times New Roman" w:hAnsi="Times New Roman" w:eastAsia="宋体" w:cs="Times New Roman"/>
      <w:lang w:val="en-US" w:eastAsia="zh-CN" w:bidi="ar-SA"/>
    </w:rPr>
  </w:style>
  <w:style w:type="paragraph" w:customStyle="1" w:styleId="81">
    <w:name w:val="附录标识"/>
    <w:basedOn w:val="1"/>
    <w:next w:val="22"/>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2">
    <w:name w:val="附录标题"/>
    <w:basedOn w:val="22"/>
    <w:next w:val="22"/>
    <w:qFormat/>
    <w:uiPriority w:val="0"/>
    <w:pPr>
      <w:ind w:firstLine="0" w:firstLineChars="0"/>
      <w:jc w:val="center"/>
    </w:pPr>
    <w:rPr>
      <w:rFonts w:ascii="黑体" w:eastAsia="黑体"/>
    </w:rPr>
  </w:style>
  <w:style w:type="paragraph" w:customStyle="1" w:styleId="83">
    <w:name w:val="附录表标号"/>
    <w:basedOn w:val="1"/>
    <w:next w:val="22"/>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4">
    <w:name w:val="附录表标题"/>
    <w:basedOn w:val="1"/>
    <w:next w:val="22"/>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5">
    <w:name w:val="附录二级条标题"/>
    <w:basedOn w:val="1"/>
    <w:next w:val="22"/>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6">
    <w:name w:val="附录二级无"/>
    <w:basedOn w:val="85"/>
    <w:qFormat/>
    <w:uiPriority w:val="0"/>
    <w:pPr>
      <w:tabs>
        <w:tab w:val="clear" w:pos="360"/>
      </w:tabs>
      <w:spacing w:beforeLines="0" w:afterLines="0"/>
    </w:pPr>
    <w:rPr>
      <w:rFonts w:ascii="宋体" w:eastAsia="宋体"/>
      <w:szCs w:val="21"/>
    </w:rPr>
  </w:style>
  <w:style w:type="paragraph" w:customStyle="1" w:styleId="87">
    <w:name w:val="附录公式"/>
    <w:basedOn w:val="22"/>
    <w:next w:val="22"/>
    <w:link w:val="88"/>
    <w:qFormat/>
    <w:uiPriority w:val="0"/>
  </w:style>
  <w:style w:type="character" w:customStyle="1" w:styleId="88">
    <w:name w:val="附录公式 Char"/>
    <w:basedOn w:val="38"/>
    <w:link w:val="87"/>
    <w:qFormat/>
    <w:uiPriority w:val="0"/>
    <w:rPr>
      <w:rFonts w:ascii="宋体"/>
      <w:sz w:val="21"/>
      <w:lang w:val="en-US" w:eastAsia="zh-CN" w:bidi="ar-SA"/>
    </w:rPr>
  </w:style>
  <w:style w:type="paragraph" w:customStyle="1" w:styleId="89">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0">
    <w:name w:val="附录三级条标题"/>
    <w:basedOn w:val="85"/>
    <w:next w:val="22"/>
    <w:qFormat/>
    <w:uiPriority w:val="0"/>
    <w:pPr>
      <w:numPr>
        <w:ilvl w:val="4"/>
      </w:numPr>
      <w:outlineLvl w:val="4"/>
    </w:pPr>
  </w:style>
  <w:style w:type="paragraph" w:customStyle="1" w:styleId="91">
    <w:name w:val="附录三级无"/>
    <w:basedOn w:val="90"/>
    <w:qFormat/>
    <w:uiPriority w:val="0"/>
    <w:pPr>
      <w:tabs>
        <w:tab w:val="clear" w:pos="360"/>
      </w:tabs>
      <w:spacing w:beforeLines="0" w:afterLines="0"/>
    </w:pPr>
    <w:rPr>
      <w:rFonts w:ascii="宋体" w:eastAsia="宋体"/>
      <w:szCs w:val="21"/>
    </w:rPr>
  </w:style>
  <w:style w:type="paragraph" w:customStyle="1" w:styleId="92">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3">
    <w:name w:val="附录四级条标题"/>
    <w:basedOn w:val="90"/>
    <w:next w:val="22"/>
    <w:qFormat/>
    <w:uiPriority w:val="0"/>
    <w:pPr>
      <w:numPr>
        <w:ilvl w:val="5"/>
      </w:numPr>
      <w:outlineLvl w:val="5"/>
    </w:pPr>
  </w:style>
  <w:style w:type="paragraph" w:customStyle="1" w:styleId="94">
    <w:name w:val="附录四级无"/>
    <w:basedOn w:val="93"/>
    <w:qFormat/>
    <w:uiPriority w:val="0"/>
    <w:pPr>
      <w:tabs>
        <w:tab w:val="clear" w:pos="360"/>
      </w:tabs>
      <w:spacing w:beforeLines="0" w:afterLines="0"/>
    </w:pPr>
    <w:rPr>
      <w:rFonts w:ascii="宋体" w:eastAsia="宋体"/>
      <w:szCs w:val="21"/>
    </w:rPr>
  </w:style>
  <w:style w:type="paragraph" w:customStyle="1" w:styleId="95">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6">
    <w:name w:val="附录图标题"/>
    <w:basedOn w:val="1"/>
    <w:next w:val="22"/>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97">
    <w:name w:val="附录五级条标题"/>
    <w:basedOn w:val="93"/>
    <w:next w:val="22"/>
    <w:qFormat/>
    <w:uiPriority w:val="0"/>
    <w:pPr>
      <w:numPr>
        <w:ilvl w:val="6"/>
      </w:numPr>
      <w:outlineLvl w:val="6"/>
    </w:pPr>
  </w:style>
  <w:style w:type="paragraph" w:customStyle="1" w:styleId="98">
    <w:name w:val="附录五级无"/>
    <w:basedOn w:val="97"/>
    <w:qFormat/>
    <w:uiPriority w:val="0"/>
    <w:pPr>
      <w:tabs>
        <w:tab w:val="clear" w:pos="360"/>
      </w:tabs>
      <w:spacing w:beforeLines="0" w:afterLines="0"/>
    </w:pPr>
    <w:rPr>
      <w:rFonts w:ascii="宋体" w:eastAsia="宋体"/>
      <w:szCs w:val="21"/>
    </w:rPr>
  </w:style>
  <w:style w:type="paragraph" w:customStyle="1" w:styleId="99">
    <w:name w:val="附录章标题"/>
    <w:next w:val="22"/>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0">
    <w:name w:val="附录一级条标题"/>
    <w:basedOn w:val="99"/>
    <w:next w:val="22"/>
    <w:qFormat/>
    <w:uiPriority w:val="0"/>
    <w:pPr>
      <w:numPr>
        <w:ilvl w:val="2"/>
      </w:numPr>
      <w:autoSpaceDN w:val="0"/>
      <w:spacing w:beforeLines="50" w:afterLines="50"/>
      <w:outlineLvl w:val="2"/>
    </w:pPr>
  </w:style>
  <w:style w:type="paragraph" w:customStyle="1" w:styleId="101">
    <w:name w:val="附录一级无"/>
    <w:basedOn w:val="100"/>
    <w:qFormat/>
    <w:uiPriority w:val="0"/>
    <w:pPr>
      <w:tabs>
        <w:tab w:val="clear" w:pos="360"/>
      </w:tabs>
      <w:spacing w:beforeLines="0" w:afterLines="0"/>
    </w:pPr>
    <w:rPr>
      <w:rFonts w:ascii="宋体" w:eastAsia="宋体"/>
      <w:szCs w:val="21"/>
    </w:rPr>
  </w:style>
  <w:style w:type="paragraph" w:customStyle="1" w:styleId="102">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3">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4">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6">
    <w:name w:val="其他标准标志"/>
    <w:basedOn w:val="63"/>
    <w:qFormat/>
    <w:uiPriority w:val="0"/>
    <w:pPr>
      <w:framePr w:w="6101" w:vAnchor="page" w:hAnchor="page" w:x="4673" w:y="942"/>
    </w:pPr>
    <w:rPr>
      <w:w w:val="130"/>
    </w:rPr>
  </w:style>
  <w:style w:type="paragraph" w:customStyle="1" w:styleId="10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8">
    <w:name w:val="其他发布部门"/>
    <w:basedOn w:val="71"/>
    <w:qFormat/>
    <w:uiPriority w:val="0"/>
    <w:pPr>
      <w:framePr w:y="15310"/>
      <w:spacing w:line="0" w:lineRule="atLeast"/>
    </w:pPr>
    <w:rPr>
      <w:rFonts w:ascii="黑体" w:eastAsia="黑体"/>
      <w:b w:val="0"/>
    </w:rPr>
  </w:style>
  <w:style w:type="paragraph" w:customStyle="1" w:styleId="109">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0">
    <w:name w:val="三级无"/>
    <w:basedOn w:val="48"/>
    <w:qFormat/>
    <w:uiPriority w:val="0"/>
    <w:pPr>
      <w:spacing w:beforeLines="0" w:afterLines="0"/>
    </w:pPr>
    <w:rPr>
      <w:rFonts w:ascii="宋体" w:eastAsia="宋体"/>
    </w:rPr>
  </w:style>
  <w:style w:type="paragraph" w:customStyle="1" w:styleId="111">
    <w:name w:val="实施日期"/>
    <w:basedOn w:val="72"/>
    <w:qFormat/>
    <w:uiPriority w:val="0"/>
    <w:pPr>
      <w:framePr w:vAnchor="page" w:hAnchor="text"/>
      <w:jc w:val="right"/>
    </w:pPr>
  </w:style>
  <w:style w:type="paragraph" w:customStyle="1" w:styleId="112">
    <w:name w:val="示例后文字"/>
    <w:basedOn w:val="22"/>
    <w:next w:val="22"/>
    <w:qFormat/>
    <w:uiPriority w:val="0"/>
    <w:pPr>
      <w:ind w:firstLine="360"/>
    </w:pPr>
    <w:rPr>
      <w:sz w:val="18"/>
    </w:rPr>
  </w:style>
  <w:style w:type="paragraph" w:customStyle="1" w:styleId="113">
    <w:name w:val="首示例"/>
    <w:next w:val="22"/>
    <w:link w:val="114"/>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4">
    <w:name w:val="首示例 Char"/>
    <w:basedOn w:val="32"/>
    <w:link w:val="113"/>
    <w:qFormat/>
    <w:uiPriority w:val="0"/>
    <w:rPr>
      <w:rFonts w:ascii="宋体" w:hAnsi="宋体"/>
      <w:kern w:val="2"/>
      <w:sz w:val="18"/>
      <w:szCs w:val="18"/>
      <w:lang w:val="en-US" w:eastAsia="zh-CN" w:bidi="ar-SA"/>
    </w:rPr>
  </w:style>
  <w:style w:type="paragraph" w:customStyle="1" w:styleId="115">
    <w:name w:val="四级无"/>
    <w:basedOn w:val="52"/>
    <w:qFormat/>
    <w:uiPriority w:val="0"/>
    <w:pPr>
      <w:spacing w:beforeLines="0" w:afterLines="0"/>
    </w:pPr>
    <w:rPr>
      <w:rFonts w:ascii="宋体" w:eastAsia="宋体"/>
    </w:rPr>
  </w:style>
  <w:style w:type="paragraph" w:customStyle="1" w:styleId="116">
    <w:name w:val="条文脚注"/>
    <w:basedOn w:val="23"/>
    <w:qFormat/>
    <w:uiPriority w:val="0"/>
    <w:pPr>
      <w:numPr>
        <w:numId w:val="0"/>
      </w:numPr>
      <w:jc w:val="both"/>
    </w:pPr>
  </w:style>
  <w:style w:type="paragraph" w:customStyle="1" w:styleId="117">
    <w:name w:val="图标脚注说明"/>
    <w:basedOn w:val="22"/>
    <w:qFormat/>
    <w:uiPriority w:val="0"/>
    <w:pPr>
      <w:ind w:left="840" w:hanging="420" w:firstLineChars="0"/>
    </w:pPr>
    <w:rPr>
      <w:sz w:val="18"/>
      <w:szCs w:val="18"/>
    </w:rPr>
  </w:style>
  <w:style w:type="paragraph" w:customStyle="1" w:styleId="118">
    <w:name w:val="图表脚注说明"/>
    <w:basedOn w:val="1"/>
    <w:qFormat/>
    <w:uiPriority w:val="0"/>
    <w:pPr>
      <w:numPr>
        <w:ilvl w:val="0"/>
        <w:numId w:val="15"/>
      </w:numPr>
    </w:pPr>
    <w:rPr>
      <w:rFonts w:ascii="宋体"/>
      <w:sz w:val="18"/>
      <w:szCs w:val="18"/>
    </w:rPr>
  </w:style>
  <w:style w:type="paragraph" w:customStyle="1" w:styleId="119">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0">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1">
    <w:name w:val="五级无"/>
    <w:basedOn w:val="53"/>
    <w:qFormat/>
    <w:uiPriority w:val="0"/>
    <w:pPr>
      <w:spacing w:beforeLines="0" w:afterLines="0"/>
    </w:pPr>
    <w:rPr>
      <w:rFonts w:ascii="宋体" w:eastAsia="宋体"/>
    </w:rPr>
  </w:style>
  <w:style w:type="paragraph" w:customStyle="1" w:styleId="122">
    <w:name w:val="一级无"/>
    <w:basedOn w:val="39"/>
    <w:qFormat/>
    <w:uiPriority w:val="0"/>
    <w:pPr>
      <w:spacing w:beforeLines="0" w:afterLines="0"/>
    </w:pPr>
    <w:rPr>
      <w:rFonts w:ascii="宋体" w:eastAsia="宋体"/>
    </w:rPr>
  </w:style>
  <w:style w:type="paragraph" w:customStyle="1" w:styleId="123">
    <w:name w:val="正文表标题"/>
    <w:next w:val="22"/>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4">
    <w:name w:val="正文公式编号制表符"/>
    <w:basedOn w:val="22"/>
    <w:next w:val="22"/>
    <w:qFormat/>
    <w:uiPriority w:val="0"/>
    <w:pPr>
      <w:ind w:firstLine="0" w:firstLineChars="0"/>
    </w:pPr>
  </w:style>
  <w:style w:type="paragraph" w:customStyle="1" w:styleId="125">
    <w:name w:val="正文图标题"/>
    <w:next w:val="22"/>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6">
    <w:name w:val="终结线"/>
    <w:basedOn w:val="1"/>
    <w:qFormat/>
    <w:uiPriority w:val="0"/>
    <w:pPr>
      <w:framePr w:hSpace="181" w:vSpace="181" w:wrap="around" w:vAnchor="text" w:hAnchor="margin" w:xAlign="center" w:y="285"/>
    </w:pPr>
  </w:style>
  <w:style w:type="paragraph" w:customStyle="1" w:styleId="127">
    <w:name w:val="其他发布日期"/>
    <w:basedOn w:val="72"/>
    <w:qFormat/>
    <w:uiPriority w:val="0"/>
    <w:pPr>
      <w:framePr w:vAnchor="page" w:hAnchor="text" w:x="1419"/>
    </w:pPr>
  </w:style>
  <w:style w:type="paragraph" w:customStyle="1" w:styleId="128">
    <w:name w:val="其他实施日期"/>
    <w:basedOn w:val="111"/>
    <w:qFormat/>
    <w:uiPriority w:val="0"/>
  </w:style>
  <w:style w:type="paragraph" w:customStyle="1" w:styleId="129">
    <w:name w:val="封面标准名称2"/>
    <w:basedOn w:val="75"/>
    <w:qFormat/>
    <w:uiPriority w:val="0"/>
    <w:pPr>
      <w:framePr w:y="4469"/>
      <w:spacing w:beforeLines="630"/>
    </w:pPr>
  </w:style>
  <w:style w:type="paragraph" w:customStyle="1" w:styleId="130">
    <w:name w:val="封面标准英文名称2"/>
    <w:basedOn w:val="76"/>
    <w:qFormat/>
    <w:uiPriority w:val="0"/>
    <w:pPr>
      <w:framePr w:y="4469"/>
    </w:pPr>
  </w:style>
  <w:style w:type="paragraph" w:customStyle="1" w:styleId="131">
    <w:name w:val="封面一致性程度标识2"/>
    <w:basedOn w:val="77"/>
    <w:qFormat/>
    <w:uiPriority w:val="0"/>
    <w:pPr>
      <w:framePr w:y="4469"/>
    </w:pPr>
  </w:style>
  <w:style w:type="paragraph" w:customStyle="1" w:styleId="132">
    <w:name w:val="封面标准文稿类别2"/>
    <w:basedOn w:val="78"/>
    <w:qFormat/>
    <w:uiPriority w:val="0"/>
    <w:pPr>
      <w:framePr w:y="4469"/>
    </w:pPr>
  </w:style>
  <w:style w:type="paragraph" w:customStyle="1" w:styleId="133">
    <w:name w:val="封面标准文稿编辑信息2"/>
    <w:basedOn w:val="79"/>
    <w:qFormat/>
    <w:uiPriority w:val="0"/>
    <w:pPr>
      <w:framePr w:y="4469"/>
    </w:pPr>
  </w:style>
  <w:style w:type="character" w:styleId="134">
    <w:name w:val="Placeholder Text"/>
    <w:basedOn w:val="32"/>
    <w:semiHidden/>
    <w:qFormat/>
    <w:uiPriority w:val="99"/>
    <w:rPr>
      <w:color w:val="80808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7</Pages>
  <Words>447</Words>
  <Characters>2554</Characters>
  <Lines>21</Lines>
  <Paragraphs>5</Paragraphs>
  <TotalTime>28</TotalTime>
  <ScaleCrop>false</ScaleCrop>
  <LinksUpToDate>false</LinksUpToDate>
  <CharactersWithSpaces>2996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2020-04-08T06:46:00Z</dcterms:created>
  <dc:creator>CNIS</dc:creator>
  <cp:lastModifiedBy>ss</cp:lastModifiedBy>
  <cp:lastPrinted>2018-10-25T05:20:00Z</cp:lastPrinted>
  <dcterms:modified xsi:type="dcterms:W3CDTF">2023-03-20T08:44:34Z</dcterms:modified>
  <dc:title>标准名称</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D26C64A574D2400C89C3936E583C68CA</vt:lpwstr>
  </property>
</Properties>
</file>