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ascii="黑体" w:hAnsi="黑体" w:eastAsia="黑体" w:cs="Times New Roman"/>
          <w:color w:val="auto"/>
          <w:kern w:val="2"/>
          <w:sz w:val="30"/>
          <w:szCs w:val="30"/>
        </w:rPr>
      </w:pPr>
      <w:r>
        <w:rPr>
          <w:rFonts w:hint="eastAsia" w:ascii="黑体" w:hAnsi="黑体" w:eastAsia="黑体" w:cs="Times New Roman"/>
          <w:color w:val="auto"/>
          <w:kern w:val="2"/>
          <w:sz w:val="30"/>
          <w:szCs w:val="30"/>
        </w:rPr>
        <w:t xml:space="preserve"> 《固化型银导体浆料》行业标准修订</w:t>
      </w:r>
    </w:p>
    <w:p>
      <w:pPr>
        <w:spacing w:line="240" w:lineRule="auto"/>
        <w:jc w:val="center"/>
        <w:rPr>
          <w:rFonts w:ascii="Times New Roman" w:hAnsi="Times New Roman"/>
          <w:sz w:val="28"/>
          <w:szCs w:val="28"/>
        </w:rPr>
      </w:pPr>
      <w:r>
        <w:rPr>
          <w:rFonts w:ascii="黑体" w:hAnsi="黑体" w:eastAsia="黑体"/>
          <w:sz w:val="30"/>
          <w:szCs w:val="30"/>
        </w:rPr>
        <w:t>编制说明</w:t>
      </w:r>
    </w:p>
    <w:p>
      <w:pPr>
        <w:pStyle w:val="17"/>
        <w:numPr>
          <w:ilvl w:val="0"/>
          <w:numId w:val="2"/>
        </w:numPr>
        <w:spacing w:after="160"/>
        <w:ind w:firstLineChars="0"/>
        <w:rPr>
          <w:rFonts w:ascii="Times New Roman" w:hAnsi="Times New Roman"/>
          <w:b/>
          <w:sz w:val="28"/>
          <w:szCs w:val="28"/>
        </w:rPr>
      </w:pPr>
      <w:r>
        <w:rPr>
          <w:rFonts w:ascii="Times New Roman"/>
          <w:b/>
          <w:sz w:val="28"/>
          <w:szCs w:val="28"/>
        </w:rPr>
        <w:t>工作简况</w:t>
      </w:r>
    </w:p>
    <w:p>
      <w:pPr>
        <w:pStyle w:val="17"/>
        <w:numPr>
          <w:ilvl w:val="0"/>
          <w:numId w:val="3"/>
        </w:numPr>
        <w:spacing w:after="160"/>
        <w:ind w:firstLineChars="0"/>
        <w:rPr>
          <w:rFonts w:ascii="Times New Roman" w:hAnsi="Times New Roman"/>
          <w:b/>
          <w:sz w:val="28"/>
          <w:szCs w:val="28"/>
        </w:rPr>
      </w:pPr>
      <w:r>
        <w:rPr>
          <w:rFonts w:hint="eastAsia" w:ascii="Times New Roman" w:hAnsi="Times New Roman"/>
          <w:b/>
          <w:sz w:val="28"/>
          <w:szCs w:val="28"/>
        </w:rPr>
        <w:t>任务来源</w:t>
      </w:r>
    </w:p>
    <w:p>
      <w:pPr>
        <w:spacing w:after="160"/>
        <w:rPr>
          <w:rFonts w:ascii="Times New Roman" w:hAnsi="Times New Roman"/>
          <w:b/>
          <w:kern w:val="0"/>
          <w:sz w:val="24"/>
          <w:szCs w:val="24"/>
        </w:rPr>
      </w:pPr>
      <w:r>
        <w:rPr>
          <w:rFonts w:hint="eastAsia" w:ascii="Times New Roman" w:hAnsi="Times New Roman"/>
          <w:b/>
          <w:kern w:val="0"/>
          <w:sz w:val="24"/>
          <w:szCs w:val="24"/>
        </w:rPr>
        <w:t>1.1计划批准文件名称、文号及项目编号、项目名称、计划完成年限、项目名称更改说明、编制组成员（单位）</w:t>
      </w:r>
    </w:p>
    <w:p>
      <w:pPr>
        <w:pStyle w:val="19"/>
        <w:spacing w:after="160" w:line="360" w:lineRule="auto"/>
        <w:ind w:firstLine="480"/>
        <w:rPr>
          <w:sz w:val="24"/>
          <w:szCs w:val="24"/>
        </w:rPr>
      </w:pPr>
      <w:r>
        <w:rPr>
          <w:rFonts w:hint="eastAsia" w:ascii="Calibri" w:hAnsi="Calibri"/>
          <w:kern w:val="2"/>
          <w:sz w:val="24"/>
          <w:szCs w:val="22"/>
        </w:rPr>
        <w:t>2018</w:t>
      </w:r>
      <w:r>
        <w:rPr>
          <w:sz w:val="24"/>
          <w:szCs w:val="24"/>
        </w:rPr>
        <w:t>年</w:t>
      </w:r>
      <w:r>
        <w:rPr>
          <w:rFonts w:hint="eastAsia" w:ascii="Calibri" w:hAnsi="Calibri"/>
          <w:kern w:val="2"/>
          <w:sz w:val="24"/>
          <w:szCs w:val="22"/>
        </w:rPr>
        <w:t>10</w:t>
      </w:r>
      <w:r>
        <w:rPr>
          <w:sz w:val="24"/>
          <w:szCs w:val="24"/>
        </w:rPr>
        <w:t>月，</w:t>
      </w:r>
      <w:r>
        <w:rPr>
          <w:rFonts w:hint="eastAsia"/>
          <w:sz w:val="24"/>
          <w:szCs w:val="24"/>
        </w:rPr>
        <w:t>贵研铂业股份有限公司</w:t>
      </w:r>
      <w:r>
        <w:rPr>
          <w:sz w:val="24"/>
          <w:szCs w:val="24"/>
        </w:rPr>
        <w:t>提出</w:t>
      </w:r>
      <w:r>
        <w:rPr>
          <w:rFonts w:hint="eastAsia"/>
          <w:sz w:val="24"/>
          <w:szCs w:val="24"/>
        </w:rPr>
        <w:t>修订本行业标准的建议书。于</w:t>
      </w:r>
      <w:r>
        <w:rPr>
          <w:rFonts w:hint="eastAsia" w:ascii="Calibri" w:hAnsi="Calibri"/>
          <w:kern w:val="2"/>
          <w:sz w:val="24"/>
          <w:szCs w:val="22"/>
        </w:rPr>
        <w:t>2019</w:t>
      </w:r>
      <w:r>
        <w:rPr>
          <w:rFonts w:hint="eastAsia"/>
          <w:sz w:val="24"/>
          <w:szCs w:val="24"/>
        </w:rPr>
        <w:t>年</w:t>
      </w:r>
      <w:r>
        <w:rPr>
          <w:rFonts w:hint="eastAsia" w:ascii="Calibri" w:hAnsi="Calibri"/>
          <w:kern w:val="2"/>
          <w:sz w:val="24"/>
          <w:szCs w:val="22"/>
        </w:rPr>
        <w:t>4</w:t>
      </w:r>
      <w:r>
        <w:rPr>
          <w:rFonts w:hint="eastAsia"/>
          <w:sz w:val="24"/>
          <w:szCs w:val="24"/>
        </w:rPr>
        <w:t>月由工业和信息化部</w:t>
      </w:r>
      <w:r>
        <w:rPr>
          <w:sz w:val="24"/>
          <w:szCs w:val="24"/>
        </w:rPr>
        <w:t>下达该标准的</w:t>
      </w:r>
      <w:r>
        <w:rPr>
          <w:rFonts w:hint="eastAsia"/>
          <w:sz w:val="24"/>
          <w:szCs w:val="24"/>
        </w:rPr>
        <w:t>修订</w:t>
      </w:r>
      <w:r>
        <w:rPr>
          <w:sz w:val="24"/>
          <w:szCs w:val="24"/>
        </w:rPr>
        <w:t>任务，</w:t>
      </w:r>
      <w:r>
        <w:rPr>
          <w:rFonts w:hint="eastAsia"/>
          <w:sz w:val="24"/>
          <w:szCs w:val="24"/>
        </w:rPr>
        <w:t>计划批准文件名称：《固化型银导体浆料》，计划文工信厅科函</w:t>
      </w:r>
      <w:r>
        <w:rPr>
          <w:rFonts w:hint="eastAsia" w:ascii="Calibri" w:hAnsi="Calibri"/>
          <w:kern w:val="2"/>
          <w:sz w:val="24"/>
          <w:szCs w:val="22"/>
        </w:rPr>
        <w:t>[2021]234</w:t>
      </w:r>
      <w:r>
        <w:rPr>
          <w:rFonts w:hint="eastAsia"/>
          <w:sz w:val="24"/>
          <w:szCs w:val="24"/>
        </w:rPr>
        <w:t>号，计划号：</w:t>
      </w:r>
      <w:r>
        <w:rPr>
          <w:rFonts w:hint="eastAsia" w:ascii="Calibri" w:hAnsi="Calibri"/>
          <w:kern w:val="2"/>
          <w:sz w:val="24"/>
          <w:szCs w:val="22"/>
        </w:rPr>
        <w:t>2021-0877T-YS</w:t>
      </w:r>
      <w:r>
        <w:rPr>
          <w:rFonts w:hint="eastAsia"/>
          <w:sz w:val="24"/>
          <w:szCs w:val="24"/>
        </w:rPr>
        <w:t>。项目名称：固化型银导体浆料。项目周期</w:t>
      </w:r>
      <w:r>
        <w:rPr>
          <w:rFonts w:hint="eastAsia" w:ascii="Calibri" w:hAnsi="Calibri"/>
          <w:kern w:val="2"/>
          <w:sz w:val="24"/>
          <w:szCs w:val="22"/>
        </w:rPr>
        <w:t>18</w:t>
      </w:r>
      <w:r>
        <w:rPr>
          <w:rFonts w:hint="eastAsia"/>
          <w:sz w:val="24"/>
          <w:szCs w:val="24"/>
        </w:rPr>
        <w:t xml:space="preserve">个月。 </w:t>
      </w:r>
    </w:p>
    <w:p>
      <w:pPr>
        <w:pStyle w:val="19"/>
        <w:spacing w:after="160" w:line="360" w:lineRule="auto"/>
        <w:ind w:firstLine="480"/>
        <w:rPr>
          <w:sz w:val="24"/>
          <w:szCs w:val="24"/>
        </w:rPr>
      </w:pPr>
      <w:r>
        <w:rPr>
          <w:rFonts w:hint="eastAsia"/>
          <w:sz w:val="24"/>
          <w:szCs w:val="24"/>
        </w:rPr>
        <w:t>编制组成员：贵研铂业股份有限公司、</w:t>
      </w:r>
      <w:r>
        <w:rPr>
          <w:rFonts w:hint="eastAsia" w:hAnsi="宋体"/>
          <w:sz w:val="24"/>
          <w:szCs w:val="24"/>
        </w:rPr>
        <w:t>贵研电子材料（云南）有限公司、</w:t>
      </w:r>
      <w:r>
        <w:rPr>
          <w:rFonts w:hint="eastAsia"/>
          <w:sz w:val="24"/>
          <w:szCs w:val="24"/>
        </w:rPr>
        <w:t>云南贵金属实验室有限公司、</w:t>
      </w:r>
      <w:r>
        <w:rPr>
          <w:rFonts w:hint="eastAsia" w:hAnsi="宋体"/>
          <w:sz w:val="24"/>
          <w:szCs w:val="24"/>
        </w:rPr>
        <w:t>有研亿金新材料有限公司</w:t>
      </w:r>
      <w:r>
        <w:rPr>
          <w:rFonts w:hint="eastAsia"/>
          <w:sz w:val="24"/>
          <w:szCs w:val="24"/>
        </w:rPr>
        <w:t>。</w:t>
      </w:r>
    </w:p>
    <w:p>
      <w:pPr>
        <w:pStyle w:val="19"/>
        <w:spacing w:after="160" w:line="360" w:lineRule="auto"/>
        <w:ind w:firstLine="480"/>
        <w:rPr>
          <w:sz w:val="24"/>
          <w:szCs w:val="24"/>
        </w:rPr>
      </w:pPr>
      <w:r>
        <w:rPr>
          <w:rFonts w:hint="eastAsia"/>
          <w:sz w:val="24"/>
          <w:szCs w:val="24"/>
        </w:rPr>
        <w:t>本文件由全国有色金属标准化技术委员会</w:t>
      </w:r>
      <w:r>
        <w:rPr>
          <w:rFonts w:hint="eastAsia" w:ascii="Calibri" w:hAnsi="Calibri"/>
          <w:kern w:val="2"/>
          <w:sz w:val="24"/>
          <w:szCs w:val="22"/>
        </w:rPr>
        <w:t>（SAC/TC 243）</w:t>
      </w:r>
      <w:r>
        <w:rPr>
          <w:rFonts w:hint="eastAsia"/>
          <w:sz w:val="24"/>
          <w:szCs w:val="24"/>
        </w:rPr>
        <w:t>提出并归口。</w:t>
      </w:r>
    </w:p>
    <w:p>
      <w:pPr>
        <w:spacing w:after="160"/>
        <w:rPr>
          <w:rFonts w:ascii="Times New Roman" w:hAnsi="Times New Roman"/>
          <w:b/>
          <w:kern w:val="0"/>
          <w:sz w:val="24"/>
          <w:szCs w:val="24"/>
        </w:rPr>
      </w:pPr>
      <w:r>
        <w:rPr>
          <w:rFonts w:hint="eastAsia" w:ascii="Times New Roman" w:hAnsi="Times New Roman"/>
          <w:b/>
          <w:kern w:val="0"/>
          <w:sz w:val="24"/>
          <w:szCs w:val="24"/>
        </w:rPr>
        <w:t>1.2项目编制组单位变化情况</w:t>
      </w:r>
    </w:p>
    <w:p>
      <w:pPr>
        <w:spacing w:after="160"/>
        <w:ind w:firstLine="480" w:firstLineChars="200"/>
        <w:rPr>
          <w:rFonts w:ascii="Times New Roman" w:hAnsi="Times New Roman"/>
          <w:kern w:val="0"/>
          <w:sz w:val="24"/>
          <w:szCs w:val="24"/>
        </w:rPr>
      </w:pPr>
      <w:r>
        <w:rPr>
          <w:rFonts w:hint="eastAsia" w:ascii="Times New Roman" w:hAnsi="Times New Roman"/>
          <w:kern w:val="0"/>
          <w:sz w:val="24"/>
          <w:szCs w:val="24"/>
        </w:rPr>
        <w:t>修订过程中项目编制组单位增加了</w:t>
      </w:r>
      <w:r>
        <w:rPr>
          <w:rFonts w:hint="eastAsia" w:hAnsi="宋体"/>
          <w:sz w:val="24"/>
          <w:szCs w:val="24"/>
        </w:rPr>
        <w:t>贵研电子材料（云南）有限公司、</w:t>
      </w:r>
      <w:r>
        <w:rPr>
          <w:rFonts w:hint="eastAsia"/>
          <w:sz w:val="24"/>
          <w:szCs w:val="24"/>
        </w:rPr>
        <w:t>云南贵金属实验室有限公司、</w:t>
      </w:r>
      <w:r>
        <w:rPr>
          <w:rFonts w:hint="eastAsia" w:hAnsi="宋体"/>
          <w:sz w:val="24"/>
          <w:szCs w:val="24"/>
        </w:rPr>
        <w:t>有研亿金新材料有限公司，</w:t>
      </w:r>
      <w:r>
        <w:rPr>
          <w:rFonts w:hint="eastAsia" w:ascii="Times New Roman" w:hAnsi="Times New Roman"/>
          <w:kern w:val="0"/>
          <w:sz w:val="24"/>
          <w:szCs w:val="24"/>
        </w:rPr>
        <w:t>由</w:t>
      </w:r>
      <w:r>
        <w:rPr>
          <w:rFonts w:ascii="Times New Roman" w:hAnsi="Times New Roman"/>
          <w:kern w:val="0"/>
          <w:sz w:val="24"/>
          <w:szCs w:val="24"/>
        </w:rPr>
        <w:t>贵研铂业股份有限公司</w:t>
      </w:r>
      <w:r>
        <w:rPr>
          <w:rFonts w:hint="eastAsia" w:ascii="Times New Roman" w:hAnsi="Times New Roman"/>
          <w:kern w:val="0"/>
          <w:sz w:val="24"/>
          <w:szCs w:val="24"/>
        </w:rPr>
        <w:t>、</w:t>
      </w:r>
      <w:r>
        <w:rPr>
          <w:rFonts w:hint="eastAsia" w:hAnsi="宋体"/>
          <w:sz w:val="24"/>
          <w:szCs w:val="24"/>
        </w:rPr>
        <w:t>贵研电子材料（云南）有限公司、</w:t>
      </w:r>
      <w:r>
        <w:rPr>
          <w:rFonts w:hint="eastAsia"/>
          <w:sz w:val="24"/>
          <w:szCs w:val="24"/>
        </w:rPr>
        <w:t>云南贵金属实验室有限公司、</w:t>
      </w:r>
      <w:r>
        <w:rPr>
          <w:rFonts w:hint="eastAsia" w:hAnsi="宋体"/>
          <w:sz w:val="24"/>
          <w:szCs w:val="24"/>
        </w:rPr>
        <w:t>有研亿金新材料有限公司</w:t>
      </w:r>
      <w:r>
        <w:rPr>
          <w:rFonts w:hint="eastAsia" w:ascii="Times New Roman" w:hAnsi="Times New Roman"/>
          <w:kern w:val="0"/>
          <w:sz w:val="24"/>
          <w:szCs w:val="24"/>
        </w:rPr>
        <w:t>共同编制。</w:t>
      </w:r>
    </w:p>
    <w:p>
      <w:pPr>
        <w:pStyle w:val="17"/>
        <w:numPr>
          <w:ilvl w:val="0"/>
          <w:numId w:val="3"/>
        </w:numPr>
        <w:spacing w:after="160"/>
        <w:ind w:firstLineChars="0"/>
        <w:rPr>
          <w:rFonts w:ascii="Times New Roman" w:hAnsi="Times New Roman"/>
          <w:b/>
          <w:sz w:val="28"/>
          <w:szCs w:val="28"/>
        </w:rPr>
      </w:pPr>
      <w:r>
        <w:rPr>
          <w:rFonts w:hint="eastAsia" w:ascii="Times New Roman" w:hAnsi="Times New Roman"/>
          <w:b/>
          <w:sz w:val="28"/>
          <w:szCs w:val="28"/>
        </w:rPr>
        <w:t>主要参加单位和工作成员及其所作的工作</w:t>
      </w:r>
    </w:p>
    <w:p>
      <w:pPr>
        <w:spacing w:after="160"/>
        <w:rPr>
          <w:rFonts w:ascii="Times New Roman" w:hAnsi="Times New Roman"/>
          <w:b/>
          <w:kern w:val="0"/>
          <w:sz w:val="24"/>
          <w:szCs w:val="24"/>
        </w:rPr>
      </w:pPr>
      <w:r>
        <w:rPr>
          <w:rFonts w:hint="eastAsia" w:ascii="Times New Roman" w:hAnsi="Times New Roman"/>
          <w:b/>
          <w:kern w:val="0"/>
          <w:sz w:val="24"/>
          <w:szCs w:val="24"/>
        </w:rPr>
        <w:t>2. 1主要参加单位情况</w:t>
      </w:r>
    </w:p>
    <w:p>
      <w:pPr>
        <w:spacing w:after="160"/>
        <w:ind w:firstLine="480" w:firstLineChars="200"/>
        <w:rPr>
          <w:sz w:val="24"/>
        </w:rPr>
      </w:pPr>
      <w:r>
        <w:rPr>
          <w:rFonts w:hint="eastAsia"/>
          <w:sz w:val="24"/>
        </w:rPr>
        <w:t>贵研铂业股份有限公司（简称：贵研铂业，证券代码：600459）于2000年由中国唯一从事贵金属多学科领域综合性研究开发机构昆明贵金属研究所（简称：贵研所）发起设立，是集贵金属系列功能材料研究、开发和生产经营于一体的高新技术企业，于2003年在上海证券交易所上市。贵研铂业专注于贵金属新材料制造、资源再生、商务贸易，立足于做强产品，做大贸易，拓展资源。产品包括贵金属特种功能材料、环保及催化功能材料、信息功能材料、再生资源材料等五大类,共计390多个品种、4000多种规格，产品主要用于航空、航天、航海、国防军工、电子、能源、化工、石油、汽车、生物医药、环保能源、钢铁等行业。</w:t>
      </w:r>
    </w:p>
    <w:p>
      <w:pPr>
        <w:spacing w:after="160"/>
        <w:ind w:firstLine="480" w:firstLineChars="200"/>
        <w:rPr>
          <w:sz w:val="24"/>
        </w:rPr>
      </w:pPr>
      <w:r>
        <w:rPr>
          <w:rFonts w:hint="eastAsia"/>
          <w:sz w:val="24"/>
        </w:rPr>
        <w:t>公司以标准引领行业发展，持续保持贵金属领域标准制（修）订的优势地位。截止2022年底，贵研铂业主持制修订制修订国家军用标准41、国家标准84项、行业标准147、团体标准5项，合计277项。</w:t>
      </w:r>
    </w:p>
    <w:p>
      <w:pPr>
        <w:spacing w:after="160"/>
        <w:ind w:firstLine="480" w:firstLineChars="200"/>
        <w:rPr>
          <w:sz w:val="24"/>
        </w:rPr>
      </w:pPr>
      <w:r>
        <w:rPr>
          <w:rFonts w:hint="eastAsia"/>
          <w:sz w:val="24"/>
        </w:rPr>
        <w:t>此外，公司实施人力资源开发战略，着力打造高知识、高技能、高素质的技术开发队伍、营销商务队伍、职能管理队伍和产业工人队伍。公司员工中，技术人员占31%、本科及以上学历占62%。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供-销、产品加工到废料回收利用的一站式综合服务，在贵金属材料领域拥有系列核心技术和完整创新体系，集产学研为一体，使公司在行业竞争中占据了明显的综合竞争优势。</w:t>
      </w:r>
    </w:p>
    <w:p>
      <w:pPr>
        <w:spacing w:after="160"/>
        <w:ind w:firstLine="480" w:firstLineChars="200"/>
        <w:rPr>
          <w:sz w:val="24"/>
        </w:rPr>
      </w:pPr>
      <w:r>
        <w:rPr>
          <w:rFonts w:hint="eastAsia"/>
          <w:sz w:val="24"/>
        </w:rPr>
        <w:t>云南贵金属实验室由贵研铂业股份有限公司出资3000万元注册设立，注册名称：“云南贵金属实验室有限公司”，组织形式为有限责任公司，是集政、产、学、研、用、金为一体的新型研发机构，注册地为昆明高新技术开发区科技路988号。建设运行由贵研铂业和省财政按不低于3:1比例共同投入，首个建设周期（5年），财政支持5亿元，贵研铂业以资产使用权+现金方式匹配，包括基础研究委托开发、研究材料、研发实验场地、研发实验设施、孵化平台、人才引进培养费，合计15亿元。运行管理采取董事会领导下的实验室主任负责制，实行投资控股权与管理权分离，按董事会授权或章程独立运行；机制采用市场化的人才“引培用”机制、科技项目揭榜制、成果收益共享和跟投机制，激发研发活力与动力；内外并举，引进国内外高层次人才，组建高水平研发队伍。建立以标志性成果应用、产业发展质量和产值增长翻番等为导向的考核评价、激励约束机制。主要服务领域为：新材料技术研发、新材料技术推广服务；资源再生利用技术研发；技术服务、技术开发、技术咨询、技术交流、技术转让、技术推广；有色金属压延加工、有色金属合金制造、有色金属合金销售。</w:t>
      </w:r>
    </w:p>
    <w:p>
      <w:pPr>
        <w:spacing w:after="160"/>
        <w:ind w:firstLine="480" w:firstLineChars="200"/>
        <w:rPr>
          <w:sz w:val="24"/>
        </w:rPr>
      </w:pPr>
      <w:r>
        <w:rPr>
          <w:rFonts w:hint="eastAsia"/>
          <w:sz w:val="24"/>
        </w:rPr>
        <w:t>有研亿金主要研发、生产、销售微电子光电子用超高纯金属原材料、薄膜新材料</w:t>
      </w:r>
      <w:r>
        <w:rPr>
          <w:sz w:val="24"/>
        </w:rPr>
        <w:t>、贵金属电子浆料</w:t>
      </w:r>
      <w:r>
        <w:rPr>
          <w:rFonts w:hint="eastAsia"/>
          <w:sz w:val="24"/>
        </w:rPr>
        <w:t>，是国内材料种类齐全的高端电子信息材料、形状记忆合金材料、稀贵金属功能材料研发制造基地。其中，高端电子信息材料产品涵盖电子信息行业用的全系列高纯金属材料、溅射靶材和蒸发镀膜材料，是国内屈指可数具备从超高纯原材料到溅射靶材、蒸发膜材垂直一体化研发和生产的产业化平台。有研亿金目前拥有国家高新技术企业、国家技术创新示范企业、国家知识产权示范企业、北京市企业技术中心、北京市高纯金属溅射靶材工程技术研究中心、中国半导体材料十强企业等荣誉、资质。目前是国家集成电路封测产业链技术创新战略联盟成员单位、中关村集成电路产业联盟理事单位、中国半导体行业协会半导体支撑业分会、上海黄金交易所综合类会员、国家贵金属学术委员会副主任单位、中国有色金属工业协会铂族金属分会理事单位、中国物资再生协会贵金属产业委员会副会长单位。目前，公司现有职工400余人，汇聚了稀有和贵金属领域内众多一流的科研生产精英，高学历、高职称人才比例较高，同时拥有一支技术过硬经验丰富的技术工人队伍。</w:t>
      </w:r>
    </w:p>
    <w:p>
      <w:pPr>
        <w:spacing w:after="160"/>
        <w:ind w:firstLine="480" w:firstLineChars="200"/>
        <w:rPr>
          <w:sz w:val="24"/>
        </w:rPr>
      </w:pPr>
      <w:r>
        <w:rPr>
          <w:rFonts w:hint="eastAsia"/>
          <w:sz w:val="24"/>
        </w:rPr>
        <w:t>有研亿金历年承担国家级、省部级科技开发项目近百项，其中公司承担了国家02专项、国家国际重点合作项目、国家高技术产业化项目、国家科技支撑项目、863项目等36项国家重点项目，为我国新材料产业的发展起到巨大支撑作用。公司共获国家科技进步奖特等奖子项奖1项、国家科技进步奖3项、国家发明奖9项、全国科学大会奖2项、部级奖56项；共申报专利298项，授权188项，颁布国家/行业标准65项，国际标准2项。有研亿金公司的高纯金属溅射靶材技术开发能力居于国内领先、国际先进水平，产品在国内外市场发展前景广阔。</w:t>
      </w:r>
    </w:p>
    <w:p>
      <w:pPr>
        <w:spacing w:after="160"/>
        <w:rPr>
          <w:rFonts w:ascii="Times New Roman" w:hAnsi="Times New Roman"/>
          <w:b/>
          <w:kern w:val="0"/>
          <w:sz w:val="24"/>
          <w:szCs w:val="24"/>
        </w:rPr>
      </w:pPr>
      <w:r>
        <w:rPr>
          <w:rFonts w:hint="eastAsia" w:ascii="Times New Roman" w:hAnsi="Times New Roman"/>
          <w:b/>
          <w:kern w:val="0"/>
          <w:sz w:val="24"/>
          <w:szCs w:val="24"/>
        </w:rPr>
        <w:t>2.2主要工作成员所负责的工作情况</w:t>
      </w:r>
    </w:p>
    <w:p>
      <w:pPr>
        <w:pStyle w:val="17"/>
        <w:spacing w:after="160"/>
        <w:ind w:left="480" w:firstLine="0" w:firstLineChars="0"/>
        <w:rPr>
          <w:rFonts w:ascii="Times New Roman" w:hAnsi="Times New Roman"/>
          <w:kern w:val="0"/>
          <w:sz w:val="24"/>
          <w:szCs w:val="24"/>
        </w:rPr>
      </w:pPr>
      <w:r>
        <w:rPr>
          <w:rFonts w:hint="eastAsia" w:ascii="Times New Roman" w:hAnsi="Times New Roman"/>
          <w:kern w:val="0"/>
          <w:sz w:val="24"/>
          <w:szCs w:val="24"/>
        </w:rPr>
        <w:t>本标准主要起草人及工作职责见表1。</w:t>
      </w:r>
    </w:p>
    <w:p>
      <w:pPr>
        <w:pStyle w:val="17"/>
        <w:spacing w:after="160"/>
        <w:ind w:left="480" w:firstLine="0" w:firstLineChars="0"/>
        <w:jc w:val="center"/>
        <w:rPr>
          <w:rFonts w:ascii="Times New Roman" w:hAnsi="Times New Roman"/>
          <w:kern w:val="0"/>
          <w:sz w:val="24"/>
          <w:szCs w:val="24"/>
        </w:rPr>
      </w:pPr>
      <w:r>
        <w:rPr>
          <w:rFonts w:hint="eastAsia" w:ascii="Times New Roman" w:hAnsi="Times New Roman"/>
          <w:kern w:val="0"/>
          <w:sz w:val="24"/>
          <w:szCs w:val="24"/>
        </w:rPr>
        <w:t>表1 主要起草人及其工作职责</w:t>
      </w:r>
    </w:p>
    <w:tbl>
      <w:tblPr>
        <w:tblStyle w:val="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起草人</w:t>
            </w:r>
          </w:p>
        </w:tc>
        <w:tc>
          <w:tcPr>
            <w:tcW w:w="6004"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李章炜</w:t>
            </w:r>
          </w:p>
        </w:tc>
        <w:tc>
          <w:tcPr>
            <w:tcW w:w="6004"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负责标准的工作指导、标准的编写、试验方案确定及组织协调、试验验证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幸七四、杨博文、</w:t>
            </w:r>
          </w:p>
        </w:tc>
        <w:tc>
          <w:tcPr>
            <w:tcW w:w="6004"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标准编写材料的收集、提供理论支持、文献支持、测试参数确定及标准部分内容编写</w:t>
            </w:r>
          </w:p>
          <w:p>
            <w:pPr>
              <w:pStyle w:val="17"/>
              <w:spacing w:line="240" w:lineRule="auto"/>
              <w:ind w:firstLine="0" w:firstLineChars="0"/>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张晓杰、李燕华</w:t>
            </w:r>
          </w:p>
        </w:tc>
        <w:tc>
          <w:tcPr>
            <w:tcW w:w="6004" w:type="dxa"/>
          </w:tcPr>
          <w:p>
            <w:pPr>
              <w:pStyle w:val="17"/>
              <w:spacing w:line="240" w:lineRule="auto"/>
              <w:ind w:firstLine="0" w:firstLineChars="0"/>
              <w:rPr>
                <w:sz w:val="24"/>
              </w:rPr>
            </w:pPr>
            <w:r>
              <w:rPr>
                <w:rFonts w:hint="eastAsia"/>
                <w:sz w:val="24"/>
              </w:rPr>
              <w:t>负责提供企业的现场、产品及其及配合标准编写开展现场试验验证及数据积累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李俊鹏、罗云、</w:t>
            </w:r>
          </w:p>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莫建国、刘继松、朱武勋</w:t>
            </w:r>
          </w:p>
        </w:tc>
        <w:tc>
          <w:tcPr>
            <w:tcW w:w="6004" w:type="dxa"/>
          </w:tcPr>
          <w:p>
            <w:pPr>
              <w:pStyle w:val="17"/>
              <w:spacing w:line="240" w:lineRule="auto"/>
              <w:ind w:firstLine="0" w:firstLineChars="0"/>
              <w:rPr>
                <w:sz w:val="24"/>
              </w:rPr>
            </w:pPr>
            <w:r>
              <w:rPr>
                <w:rFonts w:hint="eastAsia" w:ascii="宋体" w:hAnsi="宋体" w:cs="宋体"/>
                <w:kern w:val="0"/>
                <w:sz w:val="24"/>
              </w:rPr>
              <w:t>技术指导及客户调研工作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7"/>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何金江、关俊卿、贺昕</w:t>
            </w:r>
          </w:p>
        </w:tc>
        <w:tc>
          <w:tcPr>
            <w:tcW w:w="6004" w:type="dxa"/>
          </w:tcPr>
          <w:p>
            <w:pPr>
              <w:pStyle w:val="17"/>
              <w:spacing w:line="240" w:lineRule="auto"/>
              <w:ind w:firstLine="0" w:firstLineChars="0"/>
              <w:rPr>
                <w:sz w:val="24"/>
              </w:rPr>
            </w:pPr>
            <w:r>
              <w:rPr>
                <w:rFonts w:hint="eastAsia" w:ascii="宋体" w:hAnsi="宋体" w:cs="宋体"/>
                <w:kern w:val="0"/>
                <w:sz w:val="24"/>
              </w:rPr>
              <w:t>市场数据的收集整理、试验测试和验证</w:t>
            </w:r>
          </w:p>
        </w:tc>
      </w:tr>
    </w:tbl>
    <w:p>
      <w:pPr>
        <w:spacing w:after="160"/>
        <w:rPr>
          <w:rFonts w:ascii="Times New Roman" w:hAnsi="Times New Roman"/>
          <w:kern w:val="0"/>
          <w:sz w:val="24"/>
          <w:szCs w:val="24"/>
        </w:rPr>
      </w:pPr>
    </w:p>
    <w:p>
      <w:pPr>
        <w:pStyle w:val="17"/>
        <w:numPr>
          <w:ilvl w:val="0"/>
          <w:numId w:val="3"/>
        </w:numPr>
        <w:spacing w:after="160"/>
        <w:ind w:firstLineChars="0"/>
        <w:rPr>
          <w:rFonts w:ascii="Times New Roman" w:hAnsi="Times New Roman"/>
          <w:b/>
          <w:sz w:val="28"/>
          <w:szCs w:val="28"/>
        </w:rPr>
      </w:pPr>
      <w:r>
        <w:rPr>
          <w:rFonts w:hint="eastAsia" w:ascii="Times New Roman" w:hAnsi="Times New Roman"/>
          <w:b/>
          <w:sz w:val="28"/>
          <w:szCs w:val="28"/>
        </w:rPr>
        <w:t>主要工作过程</w:t>
      </w:r>
    </w:p>
    <w:p>
      <w:pPr>
        <w:spacing w:after="160"/>
        <w:rPr>
          <w:rFonts w:ascii="Times New Roman" w:hAnsi="Times New Roman"/>
          <w:b/>
          <w:sz w:val="28"/>
          <w:szCs w:val="28"/>
        </w:rPr>
      </w:pPr>
      <w:r>
        <w:rPr>
          <w:rFonts w:hint="eastAsia" w:ascii="Times New Roman" w:hAnsi="Times New Roman"/>
          <w:b/>
          <w:sz w:val="28"/>
          <w:szCs w:val="28"/>
        </w:rPr>
        <w:t>1、项目确定阶段</w:t>
      </w:r>
    </w:p>
    <w:p>
      <w:pPr>
        <w:spacing w:after="160"/>
        <w:ind w:firstLine="480" w:firstLineChars="200"/>
        <w:rPr>
          <w:sz w:val="24"/>
        </w:rPr>
      </w:pPr>
      <w:r>
        <w:rPr>
          <w:sz w:val="24"/>
        </w:rPr>
        <w:t>贵研铂业股份有限公司接到标准</w:t>
      </w:r>
      <w:r>
        <w:rPr>
          <w:rFonts w:hint="eastAsia"/>
          <w:sz w:val="24"/>
        </w:rPr>
        <w:t>修订</w:t>
      </w:r>
      <w:r>
        <w:rPr>
          <w:sz w:val="24"/>
        </w:rPr>
        <w:t>任务后，组织人员查阅和检索了国内外有关技术标准和资料，并征求了使用企业的意见，作为建立本技术标准的技术依据，也考虑了国内厂家生产实际和分析水平等情况，于20</w:t>
      </w:r>
      <w:r>
        <w:rPr>
          <w:rFonts w:hint="eastAsia"/>
          <w:sz w:val="24"/>
        </w:rPr>
        <w:t>19</w:t>
      </w:r>
      <w:r>
        <w:rPr>
          <w:sz w:val="24"/>
        </w:rPr>
        <w:t>年4月由公司相关技术人员组成了《</w:t>
      </w:r>
      <w:r>
        <w:rPr>
          <w:rFonts w:hint="eastAsia"/>
          <w:sz w:val="24"/>
        </w:rPr>
        <w:t>固化型银导体浆料</w:t>
      </w:r>
      <w:r>
        <w:rPr>
          <w:sz w:val="24"/>
        </w:rPr>
        <w:t>》标准起草小组，主要进行如下工作：</w:t>
      </w:r>
    </w:p>
    <w:p>
      <w:pPr>
        <w:spacing w:after="160"/>
        <w:ind w:firstLine="480" w:firstLineChars="200"/>
        <w:rPr>
          <w:sz w:val="24"/>
        </w:rPr>
      </w:pPr>
      <w:r>
        <w:rPr>
          <w:sz w:val="24"/>
        </w:rPr>
        <w:t>1）确立《</w:t>
      </w:r>
      <w:r>
        <w:rPr>
          <w:rFonts w:hint="eastAsia"/>
          <w:sz w:val="24"/>
        </w:rPr>
        <w:t>固化型银导体浆料</w:t>
      </w:r>
      <w:r>
        <w:rPr>
          <w:sz w:val="24"/>
        </w:rPr>
        <w:t>》标准修订遵循的基本原则；</w:t>
      </w:r>
    </w:p>
    <w:p>
      <w:pPr>
        <w:spacing w:after="160"/>
        <w:ind w:firstLine="480" w:firstLineChars="200"/>
        <w:rPr>
          <w:sz w:val="24"/>
        </w:rPr>
      </w:pPr>
      <w:r>
        <w:rPr>
          <w:sz w:val="24"/>
        </w:rPr>
        <w:t>2）对生产、使用厂家进行调研、收集资料；</w:t>
      </w:r>
    </w:p>
    <w:p>
      <w:pPr>
        <w:spacing w:after="160"/>
        <w:ind w:firstLine="480" w:firstLineChars="200"/>
        <w:rPr>
          <w:sz w:val="24"/>
        </w:rPr>
      </w:pPr>
      <w:r>
        <w:rPr>
          <w:sz w:val="24"/>
        </w:rPr>
        <w:t>3）查阅相关标准；</w:t>
      </w:r>
    </w:p>
    <w:p>
      <w:pPr>
        <w:spacing w:after="160"/>
        <w:ind w:firstLine="480" w:firstLineChars="200"/>
        <w:rPr>
          <w:sz w:val="24"/>
        </w:rPr>
      </w:pPr>
      <w:r>
        <w:rPr>
          <w:sz w:val="24"/>
        </w:rPr>
        <w:t>4）确定产品主要技术内容；</w:t>
      </w:r>
    </w:p>
    <w:p>
      <w:pPr>
        <w:spacing w:after="160"/>
        <w:ind w:firstLine="480" w:firstLineChars="200"/>
        <w:rPr>
          <w:sz w:val="24"/>
        </w:rPr>
      </w:pPr>
      <w:r>
        <w:rPr>
          <w:sz w:val="24"/>
        </w:rPr>
        <w:t>5）确定建立仲裁分析方法；</w:t>
      </w:r>
    </w:p>
    <w:p>
      <w:pPr>
        <w:spacing w:after="160"/>
        <w:ind w:firstLine="480" w:firstLineChars="200"/>
        <w:rPr>
          <w:sz w:val="24"/>
        </w:rPr>
      </w:pPr>
      <w:r>
        <w:rPr>
          <w:sz w:val="24"/>
        </w:rPr>
        <w:t>6）根据测试数据确定技术指标取值范围。</w:t>
      </w:r>
    </w:p>
    <w:p>
      <w:pPr>
        <w:spacing w:after="160"/>
        <w:rPr>
          <w:rFonts w:ascii="Times New Roman" w:hAnsi="Times New Roman"/>
          <w:b/>
          <w:sz w:val="28"/>
          <w:szCs w:val="28"/>
        </w:rPr>
      </w:pPr>
      <w:r>
        <w:rPr>
          <w:rFonts w:hint="eastAsia" w:ascii="Times New Roman" w:hAnsi="Times New Roman"/>
          <w:b/>
          <w:sz w:val="28"/>
          <w:szCs w:val="28"/>
        </w:rPr>
        <w:t>2、立项阶段</w:t>
      </w:r>
    </w:p>
    <w:p>
      <w:pPr>
        <w:spacing w:after="160"/>
        <w:ind w:firstLine="480" w:firstLineChars="200"/>
        <w:rPr>
          <w:rFonts w:ascii="宋体" w:hAnsi="Times New Roman"/>
          <w:kern w:val="0"/>
          <w:sz w:val="24"/>
          <w:szCs w:val="24"/>
        </w:rPr>
      </w:pPr>
      <w:r>
        <w:rPr>
          <w:rFonts w:hint="eastAsia"/>
          <w:sz w:val="24"/>
        </w:rPr>
        <w:t>2018</w:t>
      </w:r>
      <w:r>
        <w:rPr>
          <w:rFonts w:hint="eastAsia" w:ascii="宋体" w:hAnsi="Times New Roman"/>
          <w:kern w:val="0"/>
          <w:sz w:val="24"/>
          <w:szCs w:val="24"/>
        </w:rPr>
        <w:t>年</w:t>
      </w:r>
      <w:r>
        <w:rPr>
          <w:rFonts w:hint="eastAsia"/>
          <w:sz w:val="24"/>
        </w:rPr>
        <w:t>10</w:t>
      </w:r>
      <w:r>
        <w:rPr>
          <w:rFonts w:hint="eastAsia" w:ascii="宋体" w:hAnsi="Times New Roman"/>
          <w:kern w:val="0"/>
          <w:sz w:val="24"/>
          <w:szCs w:val="24"/>
        </w:rPr>
        <w:t>月，贵研铂业股份有限公司提出修订版本标准行业标准的建议书。于</w:t>
      </w:r>
      <w:r>
        <w:rPr>
          <w:rFonts w:hint="eastAsia"/>
          <w:sz w:val="24"/>
        </w:rPr>
        <w:t>2019</w:t>
      </w:r>
      <w:r>
        <w:rPr>
          <w:rFonts w:hint="eastAsia" w:ascii="宋体" w:hAnsi="Times New Roman"/>
          <w:kern w:val="0"/>
          <w:sz w:val="24"/>
          <w:szCs w:val="24"/>
        </w:rPr>
        <w:t>年</w:t>
      </w:r>
      <w:r>
        <w:rPr>
          <w:rFonts w:hint="eastAsia"/>
          <w:sz w:val="24"/>
        </w:rPr>
        <w:t>4</w:t>
      </w:r>
      <w:r>
        <w:rPr>
          <w:rFonts w:hint="eastAsia" w:ascii="宋体" w:hAnsi="Times New Roman"/>
          <w:kern w:val="0"/>
          <w:sz w:val="24"/>
          <w:szCs w:val="24"/>
        </w:rPr>
        <w:t>月工业和信息化部下达该标准的修订任务，项目起止时间为</w:t>
      </w:r>
      <w:r>
        <w:rPr>
          <w:rFonts w:hint="eastAsia"/>
          <w:sz w:val="24"/>
        </w:rPr>
        <w:t>2021</w:t>
      </w:r>
      <w:r>
        <w:rPr>
          <w:rFonts w:hint="eastAsia" w:ascii="宋体" w:hAnsi="Times New Roman"/>
          <w:kern w:val="0"/>
          <w:sz w:val="24"/>
          <w:szCs w:val="24"/>
        </w:rPr>
        <w:t>年～</w:t>
      </w:r>
      <w:r>
        <w:rPr>
          <w:rFonts w:hint="eastAsia"/>
          <w:sz w:val="24"/>
        </w:rPr>
        <w:t>2022</w:t>
      </w:r>
      <w:r>
        <w:rPr>
          <w:rFonts w:hint="eastAsia" w:ascii="宋体" w:hAnsi="Times New Roman"/>
          <w:kern w:val="0"/>
          <w:sz w:val="24"/>
          <w:szCs w:val="24"/>
        </w:rPr>
        <w:t>年，计划文工信厅科函</w:t>
      </w:r>
      <w:r>
        <w:rPr>
          <w:rFonts w:hint="eastAsia"/>
          <w:sz w:val="24"/>
        </w:rPr>
        <w:t>[2021]234</w:t>
      </w:r>
      <w:r>
        <w:rPr>
          <w:rFonts w:hint="eastAsia" w:ascii="宋体" w:hAnsi="Times New Roman"/>
          <w:kern w:val="0"/>
          <w:sz w:val="24"/>
          <w:szCs w:val="24"/>
        </w:rPr>
        <w:t>号，计划号：</w:t>
      </w:r>
      <w:r>
        <w:rPr>
          <w:rFonts w:hint="eastAsia"/>
          <w:sz w:val="24"/>
        </w:rPr>
        <w:t>2021-0877T-YS</w:t>
      </w:r>
      <w:r>
        <w:rPr>
          <w:rFonts w:hint="eastAsia" w:ascii="宋体" w:hAnsi="Times New Roman"/>
          <w:kern w:val="0"/>
          <w:sz w:val="24"/>
          <w:szCs w:val="24"/>
        </w:rPr>
        <w:t>，项目周期为</w:t>
      </w:r>
      <w:r>
        <w:rPr>
          <w:rFonts w:hint="eastAsia"/>
          <w:sz w:val="24"/>
        </w:rPr>
        <w:t>18</w:t>
      </w:r>
      <w:r>
        <w:rPr>
          <w:rFonts w:hint="eastAsia" w:ascii="宋体" w:hAnsi="Times New Roman"/>
          <w:kern w:val="0"/>
          <w:sz w:val="24"/>
          <w:szCs w:val="24"/>
        </w:rPr>
        <w:t>个月。技术归口单位为全国有色金属标准技术委员会。</w:t>
      </w:r>
    </w:p>
    <w:p>
      <w:pPr>
        <w:spacing w:after="160"/>
        <w:rPr>
          <w:rFonts w:ascii="Times New Roman" w:hAnsi="Times New Roman"/>
          <w:b/>
          <w:sz w:val="28"/>
          <w:szCs w:val="28"/>
        </w:rPr>
      </w:pPr>
      <w:r>
        <w:rPr>
          <w:rFonts w:hint="eastAsia" w:ascii="Times New Roman" w:hAnsi="Times New Roman"/>
          <w:b/>
          <w:sz w:val="28"/>
          <w:szCs w:val="28"/>
        </w:rPr>
        <w:t>3、起草阶段</w:t>
      </w:r>
    </w:p>
    <w:p>
      <w:pPr>
        <w:spacing w:after="160"/>
        <w:rPr>
          <w:rFonts w:ascii="Times New Roman" w:hAnsi="Times New Roman"/>
          <w:b/>
          <w:kern w:val="0"/>
          <w:sz w:val="24"/>
          <w:szCs w:val="24"/>
        </w:rPr>
      </w:pPr>
      <w:r>
        <w:rPr>
          <w:rFonts w:hint="eastAsia" w:ascii="Times New Roman" w:hAnsi="Times New Roman"/>
          <w:b/>
          <w:kern w:val="0"/>
          <w:sz w:val="24"/>
          <w:szCs w:val="24"/>
        </w:rPr>
        <w:t>3. 1召开标准进度汇报及进度协调会</w:t>
      </w:r>
    </w:p>
    <w:p>
      <w:pPr>
        <w:pStyle w:val="19"/>
        <w:spacing w:after="160" w:line="360" w:lineRule="auto"/>
        <w:ind w:firstLine="480"/>
        <w:rPr>
          <w:sz w:val="24"/>
          <w:szCs w:val="24"/>
        </w:rPr>
      </w:pPr>
      <w:r>
        <w:rPr>
          <w:rFonts w:hint="eastAsia" w:ascii="Calibri" w:hAnsi="Calibri"/>
          <w:kern w:val="2"/>
          <w:sz w:val="24"/>
          <w:szCs w:val="22"/>
        </w:rPr>
        <w:t>2022</w:t>
      </w:r>
      <w:r>
        <w:rPr>
          <w:rFonts w:hint="eastAsia"/>
          <w:sz w:val="24"/>
          <w:szCs w:val="24"/>
        </w:rPr>
        <w:t>年</w:t>
      </w:r>
      <w:r>
        <w:rPr>
          <w:rFonts w:hint="eastAsia" w:ascii="Calibri" w:hAnsi="Calibri"/>
          <w:kern w:val="2"/>
          <w:sz w:val="24"/>
          <w:szCs w:val="22"/>
        </w:rPr>
        <w:t>7</w:t>
      </w:r>
      <w:r>
        <w:rPr>
          <w:rFonts w:hint="eastAsia"/>
          <w:sz w:val="24"/>
          <w:szCs w:val="24"/>
        </w:rPr>
        <w:t>月，由有色金属技术经济研究院有限责任公司主持，在河南省洛阳市召开了任务落实会，根据任务落实会会议精神、与会专家的意见和国家标准化管理委员会、工业和信息化部及中国有色金属工业协会下达的有关标准修订计划的要求，标准起草小组于</w:t>
      </w:r>
      <w:r>
        <w:rPr>
          <w:rFonts w:hint="eastAsia" w:ascii="Calibri" w:hAnsi="Calibri"/>
          <w:kern w:val="2"/>
          <w:sz w:val="24"/>
          <w:szCs w:val="22"/>
        </w:rPr>
        <w:t>2022</w:t>
      </w:r>
      <w:r>
        <w:rPr>
          <w:rFonts w:hint="eastAsia"/>
          <w:sz w:val="24"/>
          <w:szCs w:val="24"/>
        </w:rPr>
        <w:t>年</w:t>
      </w:r>
      <w:r>
        <w:rPr>
          <w:rFonts w:hint="eastAsia" w:ascii="Calibri" w:hAnsi="Calibri"/>
          <w:kern w:val="2"/>
          <w:sz w:val="24"/>
          <w:szCs w:val="22"/>
        </w:rPr>
        <w:t>9</w:t>
      </w:r>
      <w:r>
        <w:rPr>
          <w:rFonts w:hint="eastAsia"/>
          <w:sz w:val="24"/>
          <w:szCs w:val="24"/>
        </w:rPr>
        <w:t>月形成了标准预审稿《固化型银导体浆料》。</w:t>
      </w:r>
    </w:p>
    <w:p>
      <w:pPr>
        <w:spacing w:after="160"/>
        <w:rPr>
          <w:rFonts w:ascii="Times New Roman" w:hAnsi="Times New Roman"/>
          <w:b/>
          <w:sz w:val="28"/>
          <w:szCs w:val="28"/>
        </w:rPr>
      </w:pPr>
      <w:r>
        <w:rPr>
          <w:rFonts w:hint="eastAsia" w:ascii="Times New Roman" w:hAnsi="Times New Roman"/>
          <w:b/>
          <w:sz w:val="28"/>
          <w:szCs w:val="28"/>
        </w:rPr>
        <w:t>4、征求意见阶段</w:t>
      </w:r>
    </w:p>
    <w:p>
      <w:pPr>
        <w:spacing w:after="160"/>
        <w:rPr>
          <w:rFonts w:ascii="Times New Roman" w:hAnsi="Times New Roman"/>
          <w:b/>
          <w:kern w:val="0"/>
          <w:sz w:val="24"/>
          <w:szCs w:val="24"/>
        </w:rPr>
      </w:pPr>
      <w:r>
        <w:rPr>
          <w:rFonts w:hint="eastAsia" w:ascii="Times New Roman" w:hAnsi="Times New Roman"/>
          <w:b/>
          <w:kern w:val="0"/>
          <w:sz w:val="24"/>
          <w:szCs w:val="24"/>
        </w:rPr>
        <w:t>4. 1标准征求意见会议</w:t>
      </w:r>
    </w:p>
    <w:p>
      <w:pPr>
        <w:ind w:firstLine="480" w:firstLineChars="200"/>
        <w:rPr>
          <w:sz w:val="24"/>
        </w:rPr>
      </w:pPr>
      <w:r>
        <w:rPr>
          <w:rFonts w:hint="eastAsia"/>
          <w:sz w:val="24"/>
        </w:rPr>
        <w:t>2022年11月1日～11月5日全国有色金属标准化技术委员会在福建省厦门召开了《2022年度全国有色金属标准化技术委员会 及各分技术委员会年会》。会议论证了2023年度有色金属国家标准、行业标准和协会标准制修订计划项目，对多项重金属、贵金属国家、行业和协会标准进行审定、预审、讨论和任务落实。对本标准的相关技术文件进行了分析和讨论，并安排了后续工作。</w:t>
      </w:r>
    </w:p>
    <w:p>
      <w:pPr>
        <w:ind w:firstLine="480" w:firstLineChars="200"/>
        <w:rPr>
          <w:sz w:val="24"/>
        </w:rPr>
      </w:pPr>
      <w:r>
        <w:rPr>
          <w:rFonts w:hint="eastAsia"/>
          <w:sz w:val="24"/>
        </w:rPr>
        <w:t>2023年2月21日～2月23日全国有色金属标准化技术委员会在广东省佛山市召开了《“镍钴锰三元素复合氧化物”等91项有色金属标准工作会》，会议对《固化型银导体浆料》的修订进行了讨论，提出了进一步修订的具体内容。编制小组认真听取了会议的意见和建议，对标准进行进一步修订，包括增加《固化型银导体浆料》中定义部分，对本文件中涉及的粘度、细度、方阻、附着力等术语补充定义；对附录等进行相关修订，使标准内容更规范和全面。</w:t>
      </w:r>
    </w:p>
    <w:p>
      <w:pPr>
        <w:spacing w:after="160"/>
        <w:rPr>
          <w:rFonts w:ascii="Times New Roman" w:hAnsi="Times New Roman"/>
          <w:b/>
          <w:kern w:val="0"/>
          <w:sz w:val="24"/>
          <w:szCs w:val="24"/>
        </w:rPr>
      </w:pPr>
      <w:r>
        <w:rPr>
          <w:rFonts w:hint="eastAsia" w:ascii="Times New Roman" w:hAnsi="Times New Roman"/>
          <w:b/>
          <w:kern w:val="0"/>
          <w:sz w:val="24"/>
          <w:szCs w:val="24"/>
        </w:rPr>
        <w:t>4.2标准发函征求意见</w:t>
      </w:r>
    </w:p>
    <w:p>
      <w:pPr>
        <w:ind w:firstLine="480" w:firstLineChars="200"/>
        <w:rPr>
          <w:sz w:val="24"/>
        </w:rPr>
      </w:pPr>
      <w:r>
        <w:rPr>
          <w:rFonts w:hint="eastAsia"/>
          <w:sz w:val="24"/>
        </w:rPr>
        <w:t>2022年9月～11月以会议的形式召开工作会议以及通过网络、微信和电子邮件等方式在全国开展征求意见意见工作，对1</w:t>
      </w:r>
      <w:r>
        <w:rPr>
          <w:rFonts w:hint="eastAsia"/>
          <w:sz w:val="24"/>
          <w:lang w:val="en-US" w:eastAsia="zh-CN"/>
        </w:rPr>
        <w:t>4</w:t>
      </w:r>
      <w:r>
        <w:rPr>
          <w:rFonts w:hint="eastAsia"/>
          <w:sz w:val="24"/>
        </w:rPr>
        <w:t>家相关研究院所、生产企业、下游用户以及第三方检测机构进行了征求意见，发送《征求意见稿》的单位数1</w:t>
      </w:r>
      <w:r>
        <w:rPr>
          <w:rFonts w:hint="eastAsia"/>
          <w:sz w:val="24"/>
          <w:lang w:val="en-US" w:eastAsia="zh-CN"/>
        </w:rPr>
        <w:t>4</w:t>
      </w:r>
      <w:r>
        <w:rPr>
          <w:rFonts w:hint="eastAsia"/>
          <w:sz w:val="24"/>
        </w:rPr>
        <w:t>个，收到《征求意见稿》后，回函的单位数1</w:t>
      </w:r>
      <w:r>
        <w:rPr>
          <w:rFonts w:hint="eastAsia"/>
          <w:sz w:val="24"/>
          <w:lang w:val="en-US" w:eastAsia="zh-CN"/>
        </w:rPr>
        <w:t>4</w:t>
      </w:r>
      <w:r>
        <w:rPr>
          <w:rFonts w:hint="eastAsia"/>
          <w:sz w:val="24"/>
        </w:rPr>
        <w:t>个，回函并有建议或意见的单位数</w:t>
      </w:r>
      <w:r>
        <w:rPr>
          <w:rFonts w:hint="eastAsia"/>
          <w:sz w:val="24"/>
          <w:lang w:val="en-US" w:eastAsia="zh-CN"/>
        </w:rPr>
        <w:t>9</w:t>
      </w:r>
      <w:r>
        <w:rPr>
          <w:rFonts w:hint="eastAsia"/>
          <w:sz w:val="24"/>
        </w:rPr>
        <w:t>个。编制组单位根据回函意见，对标准稿进行了修改和完善，并于2022年12月形成了送审稿。</w:t>
      </w:r>
    </w:p>
    <w:p>
      <w:pPr>
        <w:ind w:firstLine="482" w:firstLineChars="200"/>
        <w:rPr>
          <w:rFonts w:ascii="Times New Roman" w:hAnsi="Times New Roman"/>
          <w:b/>
          <w:kern w:val="0"/>
          <w:sz w:val="24"/>
          <w:szCs w:val="24"/>
        </w:rPr>
      </w:pPr>
    </w:p>
    <w:p>
      <w:pPr>
        <w:numPr>
          <w:ilvl w:val="0"/>
          <w:numId w:val="4"/>
        </w:numPr>
        <w:spacing w:after="160"/>
        <w:rPr>
          <w:rFonts w:ascii="Times New Roman" w:hAnsi="Times New Roman"/>
          <w:b/>
          <w:sz w:val="28"/>
          <w:szCs w:val="28"/>
        </w:rPr>
      </w:pPr>
      <w:r>
        <w:rPr>
          <w:rFonts w:hint="eastAsia" w:ascii="Times New Roman" w:hAnsi="Times New Roman"/>
          <w:b/>
          <w:sz w:val="28"/>
          <w:szCs w:val="28"/>
        </w:rPr>
        <w:t>审查阶段</w:t>
      </w:r>
    </w:p>
    <w:p>
      <w:pPr>
        <w:numPr>
          <w:ilvl w:val="0"/>
          <w:numId w:val="5"/>
        </w:numPr>
        <w:spacing w:after="160"/>
        <w:rPr>
          <w:rFonts w:ascii="Times New Roman" w:hAnsi="Times New Roman"/>
          <w:b/>
          <w:kern w:val="0"/>
          <w:sz w:val="24"/>
          <w:szCs w:val="24"/>
        </w:rPr>
      </w:pPr>
      <w:r>
        <w:rPr>
          <w:rFonts w:hint="eastAsia" w:ascii="Times New Roman" w:hAnsi="Times New Roman"/>
          <w:b/>
          <w:kern w:val="0"/>
          <w:sz w:val="24"/>
          <w:szCs w:val="24"/>
        </w:rPr>
        <w:t>1标准技术专家审查会议</w:t>
      </w:r>
    </w:p>
    <w:p>
      <w:pPr>
        <w:spacing w:after="160"/>
        <w:rPr>
          <w:rFonts w:ascii="Times New Roman" w:hAnsi="Times New Roman"/>
          <w:b/>
          <w:kern w:val="0"/>
          <w:sz w:val="24"/>
          <w:szCs w:val="24"/>
        </w:rPr>
      </w:pPr>
    </w:p>
    <w:p>
      <w:pPr>
        <w:spacing w:after="160"/>
        <w:rPr>
          <w:rFonts w:ascii="Times New Roman" w:hAnsi="Times New Roman"/>
          <w:b/>
          <w:kern w:val="0"/>
          <w:sz w:val="24"/>
          <w:szCs w:val="24"/>
        </w:rPr>
      </w:pPr>
      <w:r>
        <w:rPr>
          <w:rFonts w:ascii="Times New Roman" w:hAnsi="Times New Roman"/>
          <w:b/>
          <w:kern w:val="0"/>
          <w:sz w:val="24"/>
          <w:szCs w:val="24"/>
        </w:rPr>
        <w:t xml:space="preserve">5. </w:t>
      </w:r>
      <w:r>
        <w:rPr>
          <w:rFonts w:hint="eastAsia" w:ascii="Times New Roman" w:hAnsi="Times New Roman"/>
          <w:b/>
          <w:kern w:val="0"/>
          <w:sz w:val="24"/>
          <w:szCs w:val="24"/>
        </w:rPr>
        <w:t>2委员审查会议</w:t>
      </w:r>
    </w:p>
    <w:p>
      <w:pPr>
        <w:spacing w:after="160"/>
        <w:rPr>
          <w:rFonts w:ascii="Times New Roman" w:hAnsi="Times New Roman"/>
          <w:b/>
          <w:kern w:val="0"/>
          <w:sz w:val="24"/>
          <w:szCs w:val="24"/>
        </w:rPr>
      </w:pPr>
    </w:p>
    <w:p>
      <w:pPr>
        <w:numPr>
          <w:ilvl w:val="0"/>
          <w:numId w:val="4"/>
        </w:numPr>
        <w:spacing w:after="160"/>
        <w:rPr>
          <w:rFonts w:ascii="Times New Roman" w:hAnsi="Times New Roman"/>
          <w:b/>
          <w:sz w:val="28"/>
          <w:szCs w:val="28"/>
        </w:rPr>
      </w:pPr>
      <w:r>
        <w:rPr>
          <w:rFonts w:hint="eastAsia" w:ascii="Times New Roman" w:hAnsi="Times New Roman"/>
          <w:b/>
          <w:sz w:val="28"/>
          <w:szCs w:val="28"/>
        </w:rPr>
        <w:t>报批阶段</w:t>
      </w:r>
    </w:p>
    <w:p>
      <w:pPr>
        <w:spacing w:after="160"/>
        <w:rPr>
          <w:rFonts w:ascii="Times New Roman" w:hAnsi="Times New Roman"/>
          <w:b/>
          <w:sz w:val="28"/>
          <w:szCs w:val="28"/>
        </w:rPr>
      </w:pPr>
    </w:p>
    <w:p>
      <w:pPr>
        <w:pStyle w:val="17"/>
        <w:numPr>
          <w:ilvl w:val="0"/>
          <w:numId w:val="2"/>
        </w:numPr>
        <w:spacing w:after="160"/>
        <w:ind w:firstLineChars="0"/>
        <w:rPr>
          <w:rFonts w:ascii="Times New Roman" w:hAnsi="Times New Roman"/>
          <w:b/>
          <w:sz w:val="28"/>
          <w:szCs w:val="28"/>
        </w:rPr>
      </w:pPr>
      <w:r>
        <w:rPr>
          <w:rFonts w:hint="eastAsia" w:ascii="Times New Roman" w:hAnsi="Times New Roman"/>
          <w:b/>
          <w:sz w:val="28"/>
          <w:szCs w:val="28"/>
        </w:rPr>
        <w:t>标准编制原则</w:t>
      </w:r>
    </w:p>
    <w:p>
      <w:pPr>
        <w:spacing w:after="160"/>
        <w:ind w:firstLine="480" w:firstLineChars="200"/>
        <w:rPr>
          <w:rFonts w:ascii="宋体" w:hAnsi="宋体"/>
          <w:sz w:val="24"/>
        </w:rPr>
      </w:pPr>
      <w:r>
        <w:rPr>
          <w:rFonts w:hint="eastAsia" w:ascii="宋体" w:hAnsi="宋体"/>
          <w:sz w:val="24"/>
        </w:rPr>
        <w:t>贵研铂业股份有限公司接到制定任务后，认真分析和研究国内外相关标准的基本内容和特点，以</w:t>
      </w:r>
      <w:r>
        <w:rPr>
          <w:rFonts w:hint="eastAsia" w:ascii="Times New Roman" w:hAnsi="Times New Roman"/>
          <w:sz w:val="24"/>
          <w:szCs w:val="24"/>
        </w:rPr>
        <w:t>YS/T 606-2006</w:t>
      </w:r>
      <w:r>
        <w:rPr>
          <w:rFonts w:hint="eastAsia" w:ascii="宋体" w:hAnsi="宋体"/>
          <w:sz w:val="24"/>
        </w:rPr>
        <w:t>为基础，参考国内外相关标准，既考虑标准的先进性，也考虑标准的适用性和可操作性，力求使该标准与国外先进标准接轨。</w:t>
      </w:r>
    </w:p>
    <w:p>
      <w:pPr>
        <w:spacing w:after="160"/>
        <w:ind w:firstLine="480" w:firstLineChars="200"/>
        <w:rPr>
          <w:rFonts w:ascii="宋体" w:hAnsi="宋体"/>
          <w:sz w:val="24"/>
        </w:rPr>
      </w:pPr>
      <w:r>
        <w:rPr>
          <w:rFonts w:hint="eastAsia" w:ascii="宋体" w:hAnsi="宋体"/>
          <w:sz w:val="24"/>
        </w:rPr>
        <w:t>该标准的制定既能体现生产方的技术水平，又能满足使用方的技术要求。</w:t>
      </w:r>
    </w:p>
    <w:p>
      <w:pPr>
        <w:spacing w:after="160"/>
        <w:ind w:firstLine="480" w:firstLineChars="200"/>
        <w:rPr>
          <w:rFonts w:ascii="Times New Roman" w:hAnsi="Times New Roman"/>
          <w:kern w:val="0"/>
          <w:sz w:val="24"/>
          <w:szCs w:val="24"/>
        </w:rPr>
      </w:pPr>
      <w:r>
        <w:rPr>
          <w:rFonts w:hint="eastAsia" w:ascii="Times New Roman" w:hAnsi="Times New Roman"/>
          <w:kern w:val="0"/>
          <w:sz w:val="24"/>
          <w:szCs w:val="24"/>
        </w:rPr>
        <w:t>修订过程严格安装标准制定和修订的标准技术路线开展工作。</w:t>
      </w:r>
      <w:r>
        <w:rPr>
          <w:rFonts w:ascii="Times New Roman" w:hAnsi="Times New Roman"/>
          <w:kern w:val="0"/>
          <w:sz w:val="24"/>
          <w:szCs w:val="24"/>
        </w:rPr>
        <w:t>该标准的修订中主要遵循了统一性、协调性、普适性和实用性原则。具体如下：</w:t>
      </w:r>
    </w:p>
    <w:p>
      <w:pPr>
        <w:autoSpaceDE w:val="0"/>
        <w:autoSpaceDN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a) 本标准按照GB/T 1.1—20</w:t>
      </w:r>
      <w:r>
        <w:rPr>
          <w:rFonts w:hint="eastAsia" w:ascii="Times New Roman" w:hAnsi="Times New Roman"/>
          <w:kern w:val="0"/>
          <w:sz w:val="24"/>
          <w:szCs w:val="24"/>
        </w:rPr>
        <w:t>20</w:t>
      </w:r>
      <w:r>
        <w:rPr>
          <w:rFonts w:ascii="Times New Roman" w:hAnsi="Times New Roman"/>
          <w:kern w:val="0"/>
          <w:sz w:val="24"/>
          <w:szCs w:val="24"/>
        </w:rPr>
        <w:t xml:space="preserve"> </w:t>
      </w:r>
      <w:r>
        <w:rPr>
          <w:rFonts w:ascii="Times New Roman" w:hAnsi="宋体"/>
          <w:kern w:val="0"/>
          <w:sz w:val="24"/>
          <w:szCs w:val="24"/>
        </w:rPr>
        <w:t>《标准化工作导则第</w:t>
      </w:r>
      <w:r>
        <w:rPr>
          <w:rFonts w:ascii="Times New Roman" w:hAnsi="Times New Roman"/>
          <w:kern w:val="0"/>
          <w:sz w:val="24"/>
          <w:szCs w:val="24"/>
        </w:rPr>
        <w:t xml:space="preserve"> 1 </w:t>
      </w:r>
      <w:r>
        <w:rPr>
          <w:rFonts w:ascii="Times New Roman" w:hAnsi="宋体"/>
          <w:kern w:val="0"/>
          <w:sz w:val="24"/>
          <w:szCs w:val="24"/>
        </w:rPr>
        <w:t>部分：标准的结构和编写》、</w:t>
      </w:r>
      <w:r>
        <w:rPr>
          <w:rFonts w:ascii="Times New Roman" w:hAnsi="Times New Roman"/>
          <w:kern w:val="0"/>
          <w:sz w:val="24"/>
          <w:szCs w:val="24"/>
        </w:rPr>
        <w:t xml:space="preserve">GB/T 20000.1 —2014 </w:t>
      </w:r>
      <w:r>
        <w:rPr>
          <w:rFonts w:ascii="Times New Roman" w:hAnsi="宋体"/>
          <w:kern w:val="0"/>
          <w:sz w:val="24"/>
          <w:szCs w:val="24"/>
        </w:rPr>
        <w:t>《标准化工作指南第</w:t>
      </w:r>
      <w:r>
        <w:rPr>
          <w:rFonts w:ascii="Times New Roman" w:hAnsi="Times New Roman"/>
          <w:kern w:val="0"/>
          <w:sz w:val="24"/>
          <w:szCs w:val="24"/>
        </w:rPr>
        <w:t xml:space="preserve">1 </w:t>
      </w:r>
      <w:r>
        <w:rPr>
          <w:rFonts w:ascii="Times New Roman" w:hAnsi="宋体"/>
          <w:kern w:val="0"/>
          <w:sz w:val="24"/>
          <w:szCs w:val="24"/>
        </w:rPr>
        <w:t>部分：标准化和相关活动的通用术语》、</w:t>
      </w:r>
      <w:r>
        <w:rPr>
          <w:rFonts w:ascii="Times New Roman" w:hAnsi="Times New Roman"/>
          <w:kern w:val="0"/>
          <w:sz w:val="24"/>
          <w:szCs w:val="24"/>
        </w:rPr>
        <w:t xml:space="preserve"> GB/T 20001.4 —2015 </w:t>
      </w:r>
      <w:r>
        <w:rPr>
          <w:rFonts w:ascii="Times New Roman" w:hAnsi="宋体"/>
          <w:kern w:val="0"/>
          <w:sz w:val="24"/>
          <w:szCs w:val="24"/>
        </w:rPr>
        <w:t>《标准编写规则第</w:t>
      </w:r>
      <w:r>
        <w:rPr>
          <w:rFonts w:ascii="Times New Roman" w:hAnsi="Times New Roman"/>
          <w:kern w:val="0"/>
          <w:sz w:val="24"/>
          <w:szCs w:val="24"/>
        </w:rPr>
        <w:t xml:space="preserve">4 </w:t>
      </w:r>
      <w:r>
        <w:rPr>
          <w:rFonts w:ascii="Times New Roman" w:hAnsi="宋体"/>
          <w:kern w:val="0"/>
          <w:sz w:val="24"/>
          <w:szCs w:val="24"/>
        </w:rPr>
        <w:t>部分：试验方法标准》</w:t>
      </w:r>
    </w:p>
    <w:p>
      <w:pPr>
        <w:autoSpaceDE w:val="0"/>
        <w:autoSpaceDN w:val="0"/>
        <w:adjustRightInd w:val="0"/>
        <w:spacing w:after="160"/>
        <w:jc w:val="left"/>
        <w:rPr>
          <w:rFonts w:ascii="Times New Roman" w:hAnsi="Times New Roman"/>
          <w:kern w:val="0"/>
          <w:sz w:val="24"/>
          <w:szCs w:val="24"/>
        </w:rPr>
      </w:pPr>
      <w:r>
        <w:rPr>
          <w:rFonts w:ascii="Times New Roman" w:hAnsi="Times New Roman"/>
          <w:kern w:val="0"/>
          <w:sz w:val="24"/>
          <w:szCs w:val="24"/>
        </w:rPr>
        <w:t>GB/T 1.1—20</w:t>
      </w:r>
      <w:r>
        <w:rPr>
          <w:rFonts w:hint="eastAsia" w:ascii="Times New Roman" w:hAnsi="Times New Roman"/>
          <w:kern w:val="0"/>
          <w:sz w:val="24"/>
          <w:szCs w:val="24"/>
        </w:rPr>
        <w:t>20</w:t>
      </w:r>
      <w:r>
        <w:rPr>
          <w:rFonts w:ascii="Times New Roman" w:hAnsi="Times New Roman"/>
          <w:kern w:val="0"/>
          <w:sz w:val="24"/>
          <w:szCs w:val="24"/>
        </w:rPr>
        <w:t>给出的规则进行修订和起草。</w:t>
      </w:r>
    </w:p>
    <w:p>
      <w:pPr>
        <w:autoSpaceDE w:val="0"/>
        <w:autoSpaceDN w:val="0"/>
        <w:adjustRightInd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b) 标准修订应考虑</w:t>
      </w:r>
      <w:r>
        <w:rPr>
          <w:rFonts w:hint="eastAsia" w:ascii="Times New Roman" w:hAnsi="Times New Roman"/>
          <w:kern w:val="0"/>
          <w:sz w:val="24"/>
          <w:szCs w:val="24"/>
        </w:rPr>
        <w:t>固化型银导体浆料</w:t>
      </w:r>
      <w:r>
        <w:rPr>
          <w:rFonts w:ascii="Times New Roman" w:hAnsi="Times New Roman"/>
          <w:kern w:val="0"/>
          <w:sz w:val="24"/>
          <w:szCs w:val="24"/>
        </w:rPr>
        <w:t>使用</w:t>
      </w:r>
      <w:r>
        <w:rPr>
          <w:rFonts w:hint="eastAsia" w:ascii="Times New Roman" w:hAnsi="Times New Roman"/>
          <w:kern w:val="0"/>
          <w:sz w:val="24"/>
          <w:szCs w:val="24"/>
        </w:rPr>
        <w:t>工艺</w:t>
      </w:r>
      <w:r>
        <w:rPr>
          <w:rFonts w:ascii="Times New Roman" w:hAnsi="Times New Roman"/>
          <w:kern w:val="0"/>
          <w:sz w:val="24"/>
          <w:szCs w:val="24"/>
        </w:rPr>
        <w:t>，实际应用的情况。</w:t>
      </w:r>
    </w:p>
    <w:p>
      <w:pPr>
        <w:autoSpaceDE w:val="0"/>
        <w:autoSpaceDN w:val="0"/>
        <w:adjustRightInd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c) 标准修订应充分考虑国内外现有标准法规的统一和协调。</w:t>
      </w:r>
    </w:p>
    <w:p>
      <w:pPr>
        <w:autoSpaceDE w:val="0"/>
        <w:autoSpaceDN w:val="0"/>
        <w:adjustRightInd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d）标准修订应充分考虑关于</w:t>
      </w:r>
      <w:r>
        <w:rPr>
          <w:rFonts w:hint="eastAsia" w:ascii="Times New Roman" w:hAnsi="Times New Roman"/>
          <w:kern w:val="0"/>
          <w:sz w:val="24"/>
          <w:szCs w:val="24"/>
        </w:rPr>
        <w:t>固化型银导体浆料</w:t>
      </w:r>
      <w:r>
        <w:rPr>
          <w:rFonts w:ascii="Times New Roman" w:hAnsi="Times New Roman"/>
          <w:kern w:val="0"/>
          <w:sz w:val="24"/>
          <w:szCs w:val="24"/>
        </w:rPr>
        <w:t>发展</w:t>
      </w:r>
      <w:r>
        <w:rPr>
          <w:rFonts w:hint="eastAsia" w:ascii="Times New Roman" w:hAnsi="Times New Roman"/>
          <w:kern w:val="0"/>
          <w:sz w:val="24"/>
          <w:szCs w:val="24"/>
        </w:rPr>
        <w:t>前景</w:t>
      </w:r>
      <w:r>
        <w:rPr>
          <w:rFonts w:ascii="Times New Roman" w:hAnsi="Times New Roman"/>
          <w:kern w:val="0"/>
          <w:sz w:val="24"/>
          <w:szCs w:val="24"/>
        </w:rPr>
        <w:t>和进步。</w:t>
      </w:r>
    </w:p>
    <w:p>
      <w:pPr>
        <w:autoSpaceDE w:val="0"/>
        <w:autoSpaceDN w:val="0"/>
        <w:adjustRightInd w:val="0"/>
        <w:spacing w:after="160"/>
        <w:ind w:firstLine="240" w:firstLineChars="100"/>
        <w:jc w:val="left"/>
        <w:rPr>
          <w:rFonts w:ascii="Times New Roman" w:hAnsi="Times New Roman"/>
          <w:kern w:val="0"/>
          <w:sz w:val="24"/>
          <w:szCs w:val="24"/>
        </w:rPr>
      </w:pPr>
    </w:p>
    <w:p>
      <w:pPr>
        <w:pStyle w:val="17"/>
        <w:numPr>
          <w:ilvl w:val="0"/>
          <w:numId w:val="2"/>
        </w:numPr>
        <w:spacing w:after="160"/>
        <w:ind w:firstLineChars="0"/>
        <w:rPr>
          <w:rFonts w:ascii="Times New Roman" w:hAnsi="Times New Roman"/>
          <w:b/>
          <w:sz w:val="28"/>
          <w:szCs w:val="28"/>
        </w:rPr>
      </w:pPr>
      <w:r>
        <w:rPr>
          <w:rFonts w:hint="eastAsia" w:ascii="Times New Roman" w:hAnsi="Times New Roman"/>
          <w:b/>
          <w:color w:val="000000"/>
          <w:sz w:val="28"/>
          <w:szCs w:val="28"/>
        </w:rPr>
        <w:t>标准</w:t>
      </w:r>
      <w:r>
        <w:rPr>
          <w:rFonts w:hint="eastAsia" w:ascii="Times New Roman" w:hAnsi="Times New Roman"/>
          <w:b/>
          <w:sz w:val="28"/>
          <w:szCs w:val="28"/>
        </w:rPr>
        <w:t>主要内容的确定依据及验证情况分析</w:t>
      </w:r>
    </w:p>
    <w:p>
      <w:pPr>
        <w:autoSpaceDE w:val="0"/>
        <w:autoSpaceDN w:val="0"/>
        <w:adjustRightInd w:val="0"/>
        <w:spacing w:after="160"/>
        <w:ind w:firstLine="480" w:firstLineChars="200"/>
        <w:jc w:val="left"/>
        <w:rPr>
          <w:rFonts w:ascii="Times New Roman" w:hAnsi="Times New Roman"/>
          <w:kern w:val="0"/>
          <w:sz w:val="24"/>
          <w:szCs w:val="24"/>
        </w:rPr>
      </w:pPr>
      <w:r>
        <w:rPr>
          <w:rFonts w:ascii="Times New Roman" w:hAnsi="Times New Roman"/>
          <w:kern w:val="0"/>
          <w:sz w:val="24"/>
          <w:szCs w:val="24"/>
        </w:rPr>
        <w:t>本标准修订主要是代替</w:t>
      </w:r>
      <w:r>
        <w:rPr>
          <w:rFonts w:hint="eastAsia" w:ascii="Times New Roman" w:hAnsi="Times New Roman"/>
          <w:kern w:val="0"/>
          <w:sz w:val="24"/>
          <w:szCs w:val="24"/>
        </w:rPr>
        <w:t>YS/T</w:t>
      </w:r>
      <w:r>
        <w:rPr>
          <w:rFonts w:ascii="Times New Roman" w:hAnsi="Times New Roman"/>
          <w:kern w:val="0"/>
          <w:sz w:val="24"/>
          <w:szCs w:val="24"/>
        </w:rPr>
        <w:t xml:space="preserve"> </w:t>
      </w:r>
      <w:r>
        <w:rPr>
          <w:rFonts w:hint="eastAsia" w:ascii="Times New Roman" w:hAnsi="Times New Roman"/>
          <w:kern w:val="0"/>
          <w:sz w:val="24"/>
          <w:szCs w:val="24"/>
        </w:rPr>
        <w:t>606-2006</w:t>
      </w:r>
      <w:r>
        <w:rPr>
          <w:rFonts w:ascii="Times New Roman" w:hAnsi="Times New Roman"/>
          <w:kern w:val="0"/>
          <w:sz w:val="24"/>
          <w:szCs w:val="24"/>
        </w:rPr>
        <w:t>《</w:t>
      </w:r>
      <w:r>
        <w:rPr>
          <w:rFonts w:hint="eastAsia" w:ascii="Times New Roman" w:hAnsi="Times New Roman"/>
          <w:kern w:val="0"/>
          <w:sz w:val="24"/>
          <w:szCs w:val="24"/>
        </w:rPr>
        <w:t>固化型银导体浆料</w:t>
      </w:r>
      <w:r>
        <w:rPr>
          <w:rFonts w:ascii="Times New Roman" w:hAnsi="Times New Roman"/>
          <w:kern w:val="0"/>
          <w:sz w:val="24"/>
          <w:szCs w:val="24"/>
        </w:rPr>
        <w:t>》，主要修订内容如下：</w:t>
      </w:r>
    </w:p>
    <w:p>
      <w:pPr>
        <w:pStyle w:val="17"/>
        <w:ind w:firstLine="480"/>
        <w:rPr>
          <w:rFonts w:ascii="宋体"/>
          <w:sz w:val="24"/>
        </w:rPr>
      </w:pPr>
      <w:r>
        <w:rPr>
          <w:rFonts w:hint="eastAsia" w:ascii="宋体" w:hAnsi="Times New Roman"/>
          <w:sz w:val="24"/>
          <w:szCs w:val="24"/>
        </w:rPr>
        <w:t>本标准修订主要是代替</w:t>
      </w:r>
      <w:r>
        <w:rPr>
          <w:rFonts w:hint="eastAsia" w:ascii="Times New Roman" w:hAnsi="Times New Roman"/>
          <w:kern w:val="0"/>
          <w:sz w:val="24"/>
          <w:szCs w:val="24"/>
        </w:rPr>
        <w:t>YS/T 606-2006</w:t>
      </w:r>
      <w:r>
        <w:rPr>
          <w:rFonts w:hint="eastAsia" w:ascii="宋体" w:hAnsi="Times New Roman"/>
          <w:sz w:val="24"/>
          <w:szCs w:val="24"/>
        </w:rPr>
        <w:t>《固化型银导体浆料》，修订本标准的原则是以国家标准</w:t>
      </w:r>
      <w:r>
        <w:rPr>
          <w:rFonts w:hint="eastAsia" w:ascii="Times New Roman" w:hAnsi="Times New Roman"/>
          <w:kern w:val="0"/>
          <w:sz w:val="24"/>
          <w:szCs w:val="24"/>
        </w:rPr>
        <w:t>GB/T 17472-2008</w:t>
      </w:r>
      <w:r>
        <w:rPr>
          <w:rFonts w:hint="eastAsia" w:ascii="宋体" w:hAnsi="Times New Roman"/>
          <w:sz w:val="24"/>
          <w:szCs w:val="24"/>
        </w:rPr>
        <w:t>《微电子技术用贵金属浆料规范》为基础，力求使本系列浆料指标与国际先进浆料指标接轨，既考虑到本浆料标准的先进性，又注重其适应性和可操作性。</w:t>
      </w:r>
    </w:p>
    <w:p>
      <w:pPr>
        <w:spacing w:after="160"/>
        <w:ind w:firstLine="484" w:firstLineChars="202"/>
        <w:rPr>
          <w:rFonts w:ascii="宋体"/>
          <w:sz w:val="24"/>
        </w:rPr>
      </w:pPr>
      <w:r>
        <w:rPr>
          <w:rFonts w:hint="eastAsia" w:ascii="宋体"/>
          <w:sz w:val="24"/>
        </w:rPr>
        <w:t>主要修订内容如下：</w:t>
      </w:r>
    </w:p>
    <w:p>
      <w:pPr>
        <w:pStyle w:val="19"/>
        <w:spacing w:line="360" w:lineRule="auto"/>
        <w:ind w:firstLine="480"/>
        <w:rPr>
          <w:rFonts w:hAnsi="Calibri"/>
          <w:kern w:val="2"/>
          <w:sz w:val="24"/>
          <w:szCs w:val="22"/>
        </w:rPr>
      </w:pPr>
      <w:r>
        <w:rPr>
          <w:rFonts w:hint="eastAsia" w:hAnsi="Calibri"/>
          <w:kern w:val="2"/>
          <w:sz w:val="24"/>
          <w:szCs w:val="22"/>
        </w:rPr>
        <w:t>（1）新增规范性引用文件“GB/T</w:t>
      </w:r>
      <w:r>
        <w:rPr>
          <w:rFonts w:ascii="Times New Roman"/>
          <w:sz w:val="24"/>
          <w:szCs w:val="24"/>
        </w:rPr>
        <w:t xml:space="preserve"> </w:t>
      </w:r>
      <w:r>
        <w:rPr>
          <w:rFonts w:hint="eastAsia" w:hAnsi="Calibri"/>
          <w:kern w:val="2"/>
          <w:sz w:val="24"/>
          <w:szCs w:val="22"/>
        </w:rPr>
        <w:t>19445 贵金属及其合金产品的包装、标志、运输、贮存”(见第2章 规范性引用文件，2006年版的第2章)；</w:t>
      </w:r>
    </w:p>
    <w:p>
      <w:pPr>
        <w:pStyle w:val="19"/>
        <w:spacing w:line="360" w:lineRule="auto"/>
        <w:ind w:firstLine="482"/>
        <w:rPr>
          <w:rFonts w:ascii="Calibri" w:hAnsi="Calibri"/>
          <w:kern w:val="2"/>
          <w:sz w:val="24"/>
          <w:szCs w:val="22"/>
        </w:rPr>
      </w:pPr>
      <w:r>
        <w:rPr>
          <w:rFonts w:hint="eastAsia" w:hAnsi="宋体"/>
          <w:b/>
          <w:bCs/>
          <w:kern w:val="2"/>
          <w:sz w:val="24"/>
          <w:szCs w:val="22"/>
        </w:rPr>
        <w:t>编制依据：</w:t>
      </w:r>
      <w:r>
        <w:rPr>
          <w:rFonts w:hint="eastAsia" w:hAnsi="Calibri"/>
          <w:kern w:val="2"/>
          <w:sz w:val="24"/>
          <w:szCs w:val="22"/>
        </w:rPr>
        <w:t>该规范文件对银导体浆料包装、标志等进行规范，</w:t>
      </w:r>
      <w:r>
        <w:rPr>
          <w:rFonts w:hint="eastAsia" w:ascii="Calibri" w:hAnsi="Calibri"/>
          <w:kern w:val="2"/>
          <w:sz w:val="24"/>
          <w:szCs w:val="22"/>
        </w:rPr>
        <w:t>参考引用国标文件，使本文件更规范。</w:t>
      </w:r>
    </w:p>
    <w:p>
      <w:pPr>
        <w:pStyle w:val="19"/>
        <w:numPr>
          <w:ilvl w:val="0"/>
          <w:numId w:val="6"/>
        </w:numPr>
        <w:spacing w:line="360" w:lineRule="auto"/>
        <w:ind w:firstLine="480" w:firstLineChars="0"/>
        <w:rPr>
          <w:rFonts w:hAnsi="Calibri"/>
          <w:kern w:val="2"/>
          <w:sz w:val="24"/>
          <w:szCs w:val="22"/>
        </w:rPr>
      </w:pPr>
      <w:r>
        <w:rPr>
          <w:rFonts w:hint="eastAsia" w:hAnsi="Calibri"/>
          <w:kern w:val="2"/>
          <w:sz w:val="24"/>
          <w:szCs w:val="22"/>
        </w:rPr>
        <w:t>增加了固化型银导体浆料及粘度、细度等性能的术语和定义(见第3章，2006年版的第3章)；</w:t>
      </w:r>
    </w:p>
    <w:p>
      <w:pPr>
        <w:pStyle w:val="19"/>
        <w:spacing w:line="360" w:lineRule="auto"/>
        <w:ind w:firstLine="482"/>
        <w:rPr>
          <w:rFonts w:ascii="Calibri" w:hAnsi="Calibri"/>
          <w:kern w:val="2"/>
          <w:sz w:val="24"/>
          <w:szCs w:val="22"/>
        </w:rPr>
      </w:pPr>
      <w:r>
        <w:rPr>
          <w:rFonts w:hint="eastAsia" w:hAnsi="宋体"/>
          <w:b/>
          <w:bCs/>
          <w:kern w:val="2"/>
          <w:sz w:val="24"/>
          <w:szCs w:val="22"/>
        </w:rPr>
        <w:t>编制依据：</w:t>
      </w:r>
      <w:r>
        <w:rPr>
          <w:rFonts w:hint="eastAsia" w:hAnsi="Calibri"/>
          <w:kern w:val="2"/>
          <w:sz w:val="24"/>
          <w:szCs w:val="22"/>
        </w:rPr>
        <w:t>随着行业快速发展，膜片开关银浆的使用条件不断拓宽，目前有快速固化和低温固化等多个发展方向，在此次标准修订工作中按用途重新划分，并在定义中对</w:t>
      </w:r>
      <w:r>
        <w:rPr>
          <w:rFonts w:hint="eastAsia" w:ascii="Calibri" w:hAnsi="Calibri"/>
          <w:kern w:val="2"/>
          <w:sz w:val="24"/>
          <w:szCs w:val="22"/>
        </w:rPr>
        <w:t>其作出规定。增加了细度、方阻、附着力、粘度的定义，使标准内容更规范和全面。</w:t>
      </w:r>
    </w:p>
    <w:p>
      <w:pPr>
        <w:pStyle w:val="19"/>
        <w:numPr>
          <w:ilvl w:val="0"/>
          <w:numId w:val="6"/>
        </w:numPr>
        <w:spacing w:line="360" w:lineRule="auto"/>
        <w:ind w:firstLine="480" w:firstLineChars="0"/>
        <w:rPr>
          <w:rFonts w:hAnsi="Calibri"/>
          <w:kern w:val="2"/>
          <w:sz w:val="24"/>
          <w:szCs w:val="22"/>
        </w:rPr>
      </w:pPr>
      <w:r>
        <w:rPr>
          <w:rFonts w:hint="eastAsia" w:ascii="Calibri" w:hAnsi="Calibri"/>
          <w:kern w:val="2"/>
          <w:sz w:val="24"/>
          <w:szCs w:val="22"/>
        </w:rPr>
        <w:t>将</w:t>
      </w:r>
      <w:r>
        <w:rPr>
          <w:rFonts w:hint="eastAsia" w:hAnsi="Calibri"/>
          <w:kern w:val="2"/>
          <w:sz w:val="24"/>
          <w:szCs w:val="22"/>
        </w:rPr>
        <w:t xml:space="preserve">4.1.2 </w:t>
      </w:r>
      <w:r>
        <w:rPr>
          <w:rFonts w:hint="eastAsia" w:ascii="Calibri" w:hAnsi="Calibri"/>
          <w:kern w:val="2"/>
          <w:sz w:val="24"/>
          <w:szCs w:val="22"/>
        </w:rPr>
        <w:t>膜</w:t>
      </w:r>
      <w:r>
        <w:rPr>
          <w:rFonts w:hint="eastAsia" w:hAnsi="Calibri"/>
          <w:kern w:val="2"/>
          <w:sz w:val="24"/>
          <w:szCs w:val="22"/>
        </w:rPr>
        <w:t>片开关用低温银浆的牌号标记方法修改为4.1.2 银浆的标记方法，删除4.1.3 碳膜电位器用银浆的牌号标记方法，删除4.1.4 银导电胶的牌号标记方法(见4.1.2，2006年版的4.1.2)；</w:t>
      </w:r>
    </w:p>
    <w:p>
      <w:pPr>
        <w:pStyle w:val="19"/>
        <w:spacing w:line="360" w:lineRule="auto"/>
        <w:ind w:firstLine="482"/>
        <w:rPr>
          <w:rFonts w:hAnsi="Calibri"/>
          <w:kern w:val="2"/>
          <w:sz w:val="24"/>
          <w:szCs w:val="22"/>
        </w:rPr>
      </w:pPr>
      <w:r>
        <w:rPr>
          <w:rFonts w:hint="eastAsia" w:hAnsi="宋体"/>
          <w:b/>
          <w:bCs/>
          <w:kern w:val="2"/>
          <w:sz w:val="24"/>
          <w:szCs w:val="22"/>
        </w:rPr>
        <w:t>编制依据：</w:t>
      </w:r>
      <w:r>
        <w:rPr>
          <w:rFonts w:hint="eastAsia"/>
          <w:sz w:val="24"/>
        </w:rPr>
        <w:t>随着技术发展，目前有多种银浆使用范围变宽，原有的标记方法中的后缀已不适用，所以将原标准的标记方法进行修改，</w:t>
      </w:r>
      <w:r>
        <w:rPr>
          <w:rFonts w:hint="eastAsia" w:ascii="Calibri" w:hAnsi="Calibri"/>
          <w:kern w:val="2"/>
          <w:sz w:val="24"/>
          <w:szCs w:val="22"/>
        </w:rPr>
        <w:t>提高适用性及先进性。</w:t>
      </w:r>
    </w:p>
    <w:p>
      <w:pPr>
        <w:pStyle w:val="19"/>
        <w:numPr>
          <w:ilvl w:val="0"/>
          <w:numId w:val="6"/>
        </w:numPr>
        <w:spacing w:line="360" w:lineRule="auto"/>
        <w:ind w:firstLine="480" w:firstLineChars="0"/>
        <w:rPr>
          <w:rFonts w:hAnsi="Calibri"/>
          <w:kern w:val="2"/>
          <w:sz w:val="24"/>
          <w:szCs w:val="22"/>
        </w:rPr>
      </w:pPr>
      <w:r>
        <w:rPr>
          <w:rFonts w:hint="eastAsia" w:ascii="Calibri" w:hAnsi="Calibri"/>
          <w:kern w:val="2"/>
          <w:sz w:val="24"/>
          <w:szCs w:val="22"/>
        </w:rPr>
        <w:t>删除原标准</w:t>
      </w:r>
      <w:r>
        <w:rPr>
          <w:rFonts w:hint="eastAsia" w:hAnsi="Calibri"/>
          <w:kern w:val="2"/>
          <w:sz w:val="24"/>
          <w:szCs w:val="22"/>
        </w:rPr>
        <w:t>“4.2银浆的组成”（见2006版的4.1）；</w:t>
      </w:r>
    </w:p>
    <w:p>
      <w:pPr>
        <w:pStyle w:val="19"/>
        <w:spacing w:line="360" w:lineRule="auto"/>
        <w:ind w:left="420" w:firstLine="0" w:firstLineChars="0"/>
        <w:rPr>
          <w:rFonts w:hAnsi="Calibri"/>
          <w:kern w:val="2"/>
          <w:sz w:val="24"/>
          <w:szCs w:val="22"/>
        </w:rPr>
      </w:pPr>
      <w:r>
        <w:rPr>
          <w:rFonts w:hint="eastAsia" w:hAnsi="宋体"/>
          <w:b/>
          <w:bCs/>
          <w:kern w:val="2"/>
          <w:sz w:val="24"/>
          <w:szCs w:val="22"/>
        </w:rPr>
        <w:t>编制依据：</w:t>
      </w:r>
      <w:r>
        <w:rPr>
          <w:rFonts w:hint="eastAsia" w:ascii="Calibri" w:hAnsi="Calibri"/>
          <w:kern w:val="2"/>
          <w:sz w:val="24"/>
          <w:szCs w:val="22"/>
        </w:rPr>
        <w:t>此处银浆的组成</w:t>
      </w:r>
      <w:r>
        <w:rPr>
          <w:rFonts w:hint="eastAsia" w:hAnsi="Calibri"/>
          <w:kern w:val="2"/>
          <w:sz w:val="24"/>
          <w:szCs w:val="22"/>
        </w:rPr>
        <w:t>与3.1固化型银导体浆料重复。</w:t>
      </w:r>
    </w:p>
    <w:p>
      <w:pPr>
        <w:pStyle w:val="19"/>
        <w:numPr>
          <w:ilvl w:val="0"/>
          <w:numId w:val="6"/>
        </w:numPr>
        <w:spacing w:line="360" w:lineRule="auto"/>
        <w:ind w:firstLine="480" w:firstLineChars="0"/>
        <w:rPr>
          <w:rFonts w:hAnsi="宋体" w:cs="宋体"/>
          <w:kern w:val="1"/>
        </w:rPr>
      </w:pPr>
      <w:r>
        <w:rPr>
          <w:rFonts w:hint="eastAsia"/>
          <w:sz w:val="24"/>
        </w:rPr>
        <w:t>删除2006年版的4.4.1银浆的细度、粘度性能表2中的产品牌号、不挥发物含量，将</w:t>
      </w:r>
      <w:r>
        <w:rPr>
          <w:rFonts w:hint="eastAsia"/>
          <w:sz w:val="24"/>
          <w:lang w:val="en-US" w:eastAsia="zh-CN"/>
        </w:rPr>
        <w:t>微电子封装用</w:t>
      </w:r>
      <w:r>
        <w:rPr>
          <w:rFonts w:hint="eastAsia"/>
          <w:sz w:val="24"/>
        </w:rPr>
        <w:t>银导电胶分为单组分银导电胶和双组分银导电胶，删除原银导电胶细度和粘度要求，新增单组分银导电胶的细度为＜15μm，新增双组分银导电胶的细度为＜10μm。将膜片开关用低温银浆的粘度修改为100-300</w:t>
      </w:r>
      <w:r>
        <w:rPr>
          <w:rFonts w:ascii="Times New Roman"/>
          <w:sz w:val="24"/>
          <w:szCs w:val="24"/>
        </w:rPr>
        <w:t xml:space="preserve"> </w:t>
      </w:r>
      <w:r>
        <w:rPr>
          <w:rFonts w:hint="eastAsia"/>
          <w:sz w:val="24"/>
        </w:rPr>
        <w:t>dPa·s，将碳膜电位器用银浆的粘度修改为50-300</w:t>
      </w:r>
      <w:r>
        <w:rPr>
          <w:rFonts w:ascii="Times New Roman"/>
          <w:sz w:val="24"/>
          <w:szCs w:val="24"/>
        </w:rPr>
        <w:t xml:space="preserve"> </w:t>
      </w:r>
      <w:r>
        <w:rPr>
          <w:rFonts w:hint="eastAsia"/>
          <w:sz w:val="24"/>
        </w:rPr>
        <w:t>dPa·s，新增单组分银导电胶的粘度为200-500</w:t>
      </w:r>
      <w:r>
        <w:rPr>
          <w:rFonts w:ascii="Times New Roman"/>
          <w:sz w:val="24"/>
          <w:szCs w:val="24"/>
        </w:rPr>
        <w:t xml:space="preserve"> </w:t>
      </w:r>
      <w:r>
        <w:rPr>
          <w:rFonts w:hint="eastAsia"/>
          <w:sz w:val="24"/>
        </w:rPr>
        <w:t>dPa·s，新增双组分银导电胶的粘度为250-500 dPa·s。修改后5.1.1性能表1如下</w:t>
      </w:r>
      <w:r>
        <w:rPr>
          <w:rFonts w:hint="eastAsia" w:hAnsi="Calibri"/>
          <w:kern w:val="2"/>
          <w:sz w:val="24"/>
          <w:szCs w:val="22"/>
        </w:rPr>
        <w:t>(见5.1.1表1，2006年版的4.1.1表2)；</w:t>
      </w:r>
    </w:p>
    <w:p>
      <w:pPr>
        <w:jc w:val="center"/>
        <w:rPr>
          <w:rFonts w:ascii="黑体" w:hAnsi="黑体" w:eastAsia="黑体" w:cs="宋体"/>
          <w:kern w:val="1"/>
        </w:rPr>
      </w:pPr>
      <w:r>
        <w:rPr>
          <w:rFonts w:ascii="黑体" w:hAnsi="黑体" w:eastAsia="黑体" w:cs="宋体"/>
          <w:kern w:val="1"/>
        </w:rPr>
        <w:t>表</w:t>
      </w:r>
      <w:r>
        <w:rPr>
          <w:rFonts w:hint="eastAsia" w:ascii="黑体" w:hAnsi="黑体" w:eastAsia="黑体" w:cs="宋体"/>
          <w:kern w:val="1"/>
        </w:rPr>
        <w:t>1</w:t>
      </w:r>
    </w:p>
    <w:tbl>
      <w:tblPr>
        <w:tblStyle w:val="7"/>
        <w:tblW w:w="9516" w:type="dxa"/>
        <w:tblInd w:w="0" w:type="dxa"/>
        <w:tblLayout w:type="autofit"/>
        <w:tblCellMar>
          <w:top w:w="0" w:type="dxa"/>
          <w:left w:w="108" w:type="dxa"/>
          <w:bottom w:w="0" w:type="dxa"/>
          <w:right w:w="108" w:type="dxa"/>
        </w:tblCellMar>
      </w:tblPr>
      <w:tblGrid>
        <w:gridCol w:w="3178"/>
        <w:gridCol w:w="3172"/>
        <w:gridCol w:w="3166"/>
      </w:tblGrid>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cs="宋体"/>
                <w:kern w:val="1"/>
                <w:sz w:val="18"/>
              </w:rPr>
              <w:t>产品标记</w:t>
            </w:r>
          </w:p>
        </w:tc>
        <w:tc>
          <w:tcPr>
            <w:tcW w:w="3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ascii="宋体" w:hAnsi="宋体" w:cs="宋体"/>
                <w:kern w:val="1"/>
                <w:sz w:val="18"/>
              </w:rPr>
              <w:t>细度</w:t>
            </w:r>
          </w:p>
          <w:p>
            <w:pPr>
              <w:jc w:val="center"/>
              <w:rPr>
                <w:rFonts w:ascii="宋体" w:hAnsi="宋体" w:cs="宋体"/>
                <w:kern w:val="1"/>
                <w:sz w:val="18"/>
              </w:rPr>
            </w:pPr>
            <w:r>
              <w:rPr>
                <w:rFonts w:ascii="Symbol" w:hAnsi="Symbol" w:cs="宋体"/>
                <w:kern w:val="1"/>
                <w:sz w:val="18"/>
              </w:rPr>
              <w:t></w:t>
            </w:r>
            <w:r>
              <w:rPr>
                <w:rFonts w:ascii="宋体" w:hAnsi="宋体" w:cs="宋体"/>
                <w:kern w:val="1"/>
                <w:sz w:val="18"/>
              </w:rPr>
              <w:t>m</w:t>
            </w:r>
          </w:p>
        </w:tc>
        <w:tc>
          <w:tcPr>
            <w:tcW w:w="3166" w:type="dxa"/>
            <w:tcBorders>
              <w:top w:val="single" w:color="000000" w:sz="4" w:space="0"/>
              <w:left w:val="single" w:color="000000" w:sz="4" w:space="0"/>
              <w:bottom w:val="single" w:color="000000" w:sz="4" w:space="0"/>
              <w:right w:val="single" w:color="000000" w:sz="4" w:space="0"/>
            </w:tcBorders>
            <w:vAlign w:val="center"/>
          </w:tcPr>
          <w:p>
            <w:pPr>
              <w:pStyle w:val="5"/>
              <w:pBdr>
                <w:bottom w:val="none" w:color="auto" w:sz="0" w:space="0"/>
              </w:pBdr>
              <w:tabs>
                <w:tab w:val="clear" w:pos="4153"/>
                <w:tab w:val="clear" w:pos="8306"/>
              </w:tabs>
              <w:rPr>
                <w:rFonts w:ascii="宋体" w:hAnsi="宋体" w:cs="宋体"/>
                <w:position w:val="-2"/>
                <w:szCs w:val="24"/>
                <w:vertAlign w:val="superscript"/>
              </w:rPr>
            </w:pPr>
            <w:r>
              <w:rPr>
                <w:rFonts w:hint="eastAsia" w:ascii="宋体" w:hAnsi="宋体" w:cs="宋体"/>
                <w:szCs w:val="24"/>
              </w:rPr>
              <w:t>粘度</w:t>
            </w:r>
          </w:p>
          <w:p>
            <w:pPr>
              <w:jc w:val="center"/>
              <w:rPr>
                <w:rFonts w:ascii="宋体" w:hAnsi="宋体" w:cs="宋体"/>
                <w:kern w:val="1"/>
                <w:sz w:val="18"/>
              </w:rPr>
            </w:pPr>
            <w:r>
              <w:rPr>
                <w:rFonts w:hint="eastAsia" w:ascii="宋体" w:hAnsi="宋体" w:cs="宋体"/>
                <w:kern w:val="1"/>
                <w:sz w:val="18"/>
              </w:rPr>
              <w:t>d</w:t>
            </w:r>
            <w:r>
              <w:rPr>
                <w:rFonts w:ascii="宋体" w:hAnsi="宋体" w:cs="宋体"/>
                <w:kern w:val="1"/>
                <w:sz w:val="18"/>
              </w:rPr>
              <w:t>Pa·</w:t>
            </w:r>
            <w:r>
              <w:rPr>
                <w:rFonts w:hint="eastAsia" w:ascii="宋体" w:hAnsi="宋体" w:cs="宋体"/>
                <w:kern w:val="1"/>
                <w:sz w:val="18"/>
              </w:rPr>
              <w:t>s</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4"/>
              </w:rPr>
            </w:pPr>
            <w:r>
              <w:rPr>
                <w:rFonts w:hint="eastAsia" w:ascii="宋体" w:hAnsi="宋体"/>
                <w:sz w:val="18"/>
              </w:rPr>
              <w:t>PC-Ag-YS/T</w:t>
            </w:r>
            <w:r>
              <w:t xml:space="preserve"> </w:t>
            </w:r>
            <w:r>
              <w:rPr>
                <w:rFonts w:hint="eastAsia" w:ascii="宋体" w:hAnsi="宋体"/>
                <w:sz w:val="18"/>
              </w:rPr>
              <w:t>606-M</w:t>
            </w:r>
          </w:p>
        </w:tc>
        <w:tc>
          <w:tcPr>
            <w:tcW w:w="3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ascii="宋体" w:hAnsi="宋体" w:cs="宋体"/>
                <w:kern w:val="1"/>
                <w:sz w:val="18"/>
              </w:rPr>
              <w:t>&lt;10</w:t>
            </w:r>
          </w:p>
        </w:tc>
        <w:tc>
          <w:tcPr>
            <w:tcW w:w="31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cs="宋体"/>
                <w:kern w:val="1"/>
                <w:sz w:val="18"/>
              </w:rPr>
              <w:t>100</w:t>
            </w:r>
            <w:r>
              <w:rPr>
                <w:rFonts w:ascii="宋体" w:hAnsi="宋体" w:cs="宋体"/>
                <w:kern w:val="1"/>
                <w:sz w:val="18"/>
              </w:rPr>
              <w:t>～</w:t>
            </w:r>
            <w:r>
              <w:rPr>
                <w:rFonts w:hint="eastAsia" w:ascii="宋体" w:hAnsi="宋体" w:cs="宋体"/>
                <w:kern w:val="1"/>
                <w:sz w:val="18"/>
              </w:rPr>
              <w:t>30</w:t>
            </w:r>
            <w:r>
              <w:rPr>
                <w:rFonts w:ascii="宋体" w:hAnsi="宋体" w:cs="宋体"/>
                <w:kern w:val="1"/>
                <w:sz w:val="18"/>
              </w:rPr>
              <w:t>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sz w:val="18"/>
              </w:rPr>
              <w:t>PC-Ag-YS/T</w:t>
            </w:r>
            <w:r>
              <w:t xml:space="preserve"> </w:t>
            </w:r>
            <w:r>
              <w:rPr>
                <w:rFonts w:hint="eastAsia" w:ascii="宋体" w:hAnsi="宋体"/>
                <w:sz w:val="18"/>
              </w:rPr>
              <w:t>606-MK</w:t>
            </w:r>
          </w:p>
        </w:tc>
        <w:tc>
          <w:tcPr>
            <w:tcW w:w="3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ascii="宋体" w:hAnsi="宋体" w:cs="宋体"/>
                <w:kern w:val="1"/>
                <w:sz w:val="18"/>
              </w:rPr>
              <w:t>&lt;10</w:t>
            </w:r>
          </w:p>
        </w:tc>
        <w:tc>
          <w:tcPr>
            <w:tcW w:w="31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cs="宋体"/>
                <w:kern w:val="1"/>
                <w:sz w:val="18"/>
              </w:rPr>
              <w:t>100</w:t>
            </w:r>
            <w:r>
              <w:rPr>
                <w:rFonts w:ascii="宋体" w:hAnsi="宋体" w:cs="宋体"/>
                <w:kern w:val="1"/>
                <w:sz w:val="18"/>
              </w:rPr>
              <w:t>～</w:t>
            </w:r>
            <w:r>
              <w:rPr>
                <w:rFonts w:hint="eastAsia" w:ascii="宋体" w:hAnsi="宋体" w:cs="宋体"/>
                <w:kern w:val="1"/>
                <w:sz w:val="18"/>
              </w:rPr>
              <w:t>30</w:t>
            </w:r>
            <w:r>
              <w:rPr>
                <w:rFonts w:ascii="宋体" w:hAnsi="宋体" w:cs="宋体"/>
                <w:kern w:val="1"/>
                <w:sz w:val="18"/>
              </w:rPr>
              <w:t>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sz w:val="18"/>
              </w:rPr>
              <w:t>PC-Ag-YS/T</w:t>
            </w:r>
            <w:r>
              <w:t xml:space="preserve"> </w:t>
            </w:r>
            <w:r>
              <w:rPr>
                <w:rFonts w:hint="eastAsia" w:ascii="宋体" w:hAnsi="宋体"/>
                <w:sz w:val="18"/>
              </w:rPr>
              <w:t>606-T</w:t>
            </w:r>
          </w:p>
        </w:tc>
        <w:tc>
          <w:tcPr>
            <w:tcW w:w="3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ascii="宋体" w:hAnsi="宋体" w:cs="宋体"/>
                <w:kern w:val="1"/>
                <w:sz w:val="18"/>
              </w:rPr>
              <w:t>&lt;30</w:t>
            </w:r>
          </w:p>
        </w:tc>
        <w:tc>
          <w:tcPr>
            <w:tcW w:w="31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cs="宋体"/>
                <w:kern w:val="1"/>
                <w:sz w:val="18"/>
              </w:rPr>
              <w:t>50</w:t>
            </w:r>
            <w:r>
              <w:rPr>
                <w:rFonts w:ascii="宋体" w:hAnsi="宋体" w:cs="宋体"/>
                <w:kern w:val="1"/>
                <w:sz w:val="18"/>
              </w:rPr>
              <w:t>～</w:t>
            </w:r>
            <w:r>
              <w:rPr>
                <w:rFonts w:hint="eastAsia" w:ascii="宋体" w:hAnsi="宋体" w:cs="宋体"/>
                <w:kern w:val="1"/>
                <w:sz w:val="18"/>
              </w:rPr>
              <w:t>300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sz w:val="18"/>
              </w:rPr>
              <w:t>PC-Ag-YS/T</w:t>
            </w:r>
            <w:r>
              <w:t xml:space="preserve"> </w:t>
            </w:r>
            <w:r>
              <w:rPr>
                <w:rFonts w:hint="eastAsia" w:ascii="宋体" w:hAnsi="宋体"/>
                <w:sz w:val="18"/>
              </w:rPr>
              <w:t>606-AS</w:t>
            </w:r>
          </w:p>
        </w:tc>
        <w:tc>
          <w:tcPr>
            <w:tcW w:w="3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ascii="宋体" w:hAnsi="宋体" w:cs="宋体"/>
                <w:kern w:val="1"/>
                <w:sz w:val="18"/>
              </w:rPr>
              <w:t>&lt;1</w:t>
            </w:r>
            <w:r>
              <w:rPr>
                <w:rFonts w:hint="eastAsia" w:ascii="宋体" w:hAnsi="宋体" w:cs="宋体"/>
                <w:kern w:val="1"/>
                <w:sz w:val="18"/>
              </w:rPr>
              <w:t>5</w:t>
            </w:r>
          </w:p>
        </w:tc>
        <w:tc>
          <w:tcPr>
            <w:tcW w:w="31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cs="宋体"/>
                <w:kern w:val="1"/>
                <w:sz w:val="18"/>
              </w:rPr>
              <w:t>200</w:t>
            </w:r>
            <w:r>
              <w:rPr>
                <w:rFonts w:ascii="宋体" w:hAnsi="宋体" w:cs="宋体"/>
                <w:kern w:val="1"/>
                <w:sz w:val="18"/>
              </w:rPr>
              <w:t>～</w:t>
            </w:r>
            <w:r>
              <w:rPr>
                <w:rFonts w:hint="eastAsia" w:ascii="宋体" w:hAnsi="宋体" w:cs="宋体"/>
                <w:kern w:val="1"/>
                <w:sz w:val="18"/>
              </w:rPr>
              <w:t>500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sz w:val="18"/>
              </w:rPr>
              <w:t>PC-Ag-YS/T</w:t>
            </w:r>
            <w:r>
              <w:t xml:space="preserve"> </w:t>
            </w:r>
            <w:r>
              <w:rPr>
                <w:rFonts w:hint="eastAsia" w:ascii="宋体" w:hAnsi="宋体"/>
                <w:sz w:val="18"/>
              </w:rPr>
              <w:t>606-AD</w:t>
            </w:r>
          </w:p>
        </w:tc>
        <w:tc>
          <w:tcPr>
            <w:tcW w:w="31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ascii="宋体" w:hAnsi="宋体" w:cs="宋体"/>
                <w:kern w:val="1"/>
                <w:sz w:val="18"/>
              </w:rPr>
              <w:t>&lt;</w:t>
            </w:r>
            <w:r>
              <w:rPr>
                <w:rFonts w:hint="eastAsia" w:ascii="宋体" w:hAnsi="宋体" w:cs="宋体"/>
                <w:kern w:val="1"/>
                <w:sz w:val="18"/>
              </w:rPr>
              <w:t>20</w:t>
            </w:r>
          </w:p>
        </w:tc>
        <w:tc>
          <w:tcPr>
            <w:tcW w:w="31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18"/>
              </w:rPr>
            </w:pPr>
            <w:r>
              <w:rPr>
                <w:rFonts w:hint="eastAsia" w:ascii="宋体" w:hAnsi="宋体" w:cs="宋体"/>
                <w:kern w:val="1"/>
                <w:sz w:val="18"/>
              </w:rPr>
              <w:t>250</w:t>
            </w:r>
            <w:r>
              <w:rPr>
                <w:rFonts w:ascii="宋体" w:hAnsi="宋体" w:cs="宋体"/>
                <w:kern w:val="1"/>
                <w:sz w:val="18"/>
              </w:rPr>
              <w:t>～</w:t>
            </w:r>
            <w:r>
              <w:rPr>
                <w:rFonts w:hint="eastAsia" w:ascii="宋体" w:hAnsi="宋体" w:cs="宋体"/>
                <w:kern w:val="1"/>
                <w:sz w:val="18"/>
              </w:rPr>
              <w:t>500</w:t>
            </w:r>
          </w:p>
        </w:tc>
      </w:tr>
    </w:tbl>
    <w:p>
      <w:pPr>
        <w:pStyle w:val="17"/>
        <w:ind w:firstLine="482"/>
        <w:rPr>
          <w:sz w:val="24"/>
        </w:rPr>
      </w:pPr>
      <w:r>
        <w:rPr>
          <w:rFonts w:hint="eastAsia" w:ascii="宋体" w:hAnsi="宋体"/>
          <w:b/>
          <w:bCs/>
          <w:sz w:val="24"/>
        </w:rPr>
        <w:t>编制依据：</w:t>
      </w:r>
      <w:r>
        <w:rPr>
          <w:rFonts w:hint="eastAsia" w:ascii="宋体"/>
          <w:sz w:val="24"/>
        </w:rPr>
        <w:t>目前固化型银导体浆料不再将不挥发物含量列入性能指标，所以删除。随着固化型银导体浆料使用领域的不断发展，现在银浆的粘度、细度性能有较大变化。粘度从喷涂所需的低粘度到精密印刷所需的高粘度，范围不断扩大，所以将膜片开关用低温银浆的粘度修改为100-300</w:t>
      </w:r>
      <w:r>
        <w:rPr>
          <w:rFonts w:hint="eastAsia" w:ascii="宋体"/>
          <w:sz w:val="32"/>
          <w:szCs w:val="32"/>
          <w:vertAlign w:val="superscript"/>
        </w:rPr>
        <w:t xml:space="preserve"> </w:t>
      </w:r>
      <w:r>
        <w:rPr>
          <w:rFonts w:hint="eastAsia" w:ascii="宋体"/>
          <w:sz w:val="24"/>
        </w:rPr>
        <w:t>dPa·s，将碳膜电位器用银浆的粘度修改为50-300</w:t>
      </w:r>
      <w:r>
        <w:rPr>
          <w:rFonts w:hint="eastAsia" w:ascii="宋体"/>
          <w:sz w:val="32"/>
          <w:szCs w:val="32"/>
          <w:vertAlign w:val="superscript"/>
        </w:rPr>
        <w:t xml:space="preserve"> </w:t>
      </w:r>
      <w:r>
        <w:rPr>
          <w:rFonts w:hint="eastAsia" w:ascii="宋体"/>
          <w:sz w:val="24"/>
        </w:rPr>
        <w:t>dPa·s，</w:t>
      </w:r>
      <w:r>
        <w:rPr>
          <w:rFonts w:hint="eastAsia" w:ascii="宋体"/>
          <w:sz w:val="24"/>
          <w:lang w:val="en-US" w:eastAsia="zh-CN"/>
        </w:rPr>
        <w:t>微电子封装用</w:t>
      </w:r>
      <w:r>
        <w:rPr>
          <w:rFonts w:hint="eastAsia" w:ascii="宋体"/>
          <w:sz w:val="24"/>
        </w:rPr>
        <w:t>银导电胶单组分和双组分之间使用工艺差别较大，原标准中没有进行区分，所以新增单组分银导电胶的粘度为200-500</w:t>
      </w:r>
      <w:r>
        <w:rPr>
          <w:rFonts w:hint="eastAsia" w:ascii="宋体"/>
          <w:sz w:val="32"/>
          <w:szCs w:val="32"/>
          <w:vertAlign w:val="superscript"/>
        </w:rPr>
        <w:t xml:space="preserve"> </w:t>
      </w:r>
      <w:r>
        <w:rPr>
          <w:rFonts w:hint="eastAsia" w:ascii="宋体"/>
          <w:sz w:val="24"/>
        </w:rPr>
        <w:t>dPa·s，新增双组分银导电胶的粘度为250-500</w:t>
      </w:r>
      <w:r>
        <w:rPr>
          <w:rFonts w:hint="eastAsia" w:ascii="宋体"/>
          <w:sz w:val="32"/>
          <w:szCs w:val="32"/>
          <w:vertAlign w:val="superscript"/>
        </w:rPr>
        <w:t xml:space="preserve"> </w:t>
      </w:r>
      <w:r>
        <w:rPr>
          <w:rFonts w:hint="eastAsia" w:ascii="宋体"/>
          <w:sz w:val="24"/>
        </w:rPr>
        <w:t>dPa·s。</w:t>
      </w:r>
    </w:p>
    <w:p>
      <w:pPr>
        <w:pStyle w:val="19"/>
        <w:numPr>
          <w:ilvl w:val="0"/>
          <w:numId w:val="6"/>
        </w:numPr>
        <w:spacing w:line="360" w:lineRule="auto"/>
        <w:ind w:firstLine="480" w:firstLineChars="0"/>
        <w:rPr>
          <w:rFonts w:ascii="黑体" w:hAnsi="黑体" w:eastAsia="黑体" w:cs="宋体"/>
          <w:kern w:val="1"/>
        </w:rPr>
      </w:pPr>
      <w:r>
        <w:rPr>
          <w:rFonts w:hint="eastAsia"/>
          <w:sz w:val="24"/>
        </w:rPr>
        <w:t>删除2006年版的4.4.2银浆固化后的主要性能表3中的产品牌号、机械耐久性，将膜片开关用低温银浆的方阻修改为≤40</w:t>
      </w:r>
      <w:r>
        <w:rPr>
          <w:rFonts w:hint="eastAsia"/>
          <w:sz w:val="32"/>
          <w:szCs w:val="32"/>
          <w:vertAlign w:val="superscript"/>
        </w:rPr>
        <w:t xml:space="preserve"> </w:t>
      </w:r>
      <w:r>
        <w:rPr>
          <w:rFonts w:hAnsi="宋体" w:cs="宋体"/>
          <w:color w:val="000000"/>
          <w:kern w:val="1"/>
          <w:sz w:val="18"/>
        </w:rPr>
        <w:t>m</w:t>
      </w:r>
      <w:r>
        <w:rPr>
          <w:rFonts w:ascii="Symbol" w:hAnsi="Symbol" w:cs="宋体"/>
          <w:color w:val="000000"/>
          <w:kern w:val="1"/>
          <w:sz w:val="18"/>
        </w:rPr>
        <w:t></w:t>
      </w:r>
      <w:r>
        <w:rPr>
          <w:rFonts w:hAnsi="宋体" w:cs="宋体"/>
          <w:color w:val="000000"/>
          <w:kern w:val="1"/>
          <w:sz w:val="18"/>
        </w:rPr>
        <w:t>/</w:t>
      </w:r>
      <w:r>
        <w:rPr>
          <w:rFonts w:hint="eastAsia" w:hAnsi="宋体" w:cs="宋体"/>
          <w:color w:val="000000"/>
          <w:kern w:val="1"/>
          <w:sz w:val="18"/>
        </w:rPr>
        <w:sym w:font="Wingdings 2" w:char="00A3"/>
      </w:r>
      <w:r>
        <w:rPr>
          <w:rFonts w:hint="eastAsia"/>
          <w:sz w:val="24"/>
        </w:rPr>
        <w:t>。将原表主要性能电阻率修改为体积电阻率。删除原银导电胶的电阻率，新增单组分银导电胶的体积电阻率为≤1×10</w:t>
      </w:r>
      <w:r>
        <w:rPr>
          <w:rFonts w:hint="eastAsia"/>
          <w:sz w:val="32"/>
          <w:szCs w:val="32"/>
          <w:vertAlign w:val="superscript"/>
        </w:rPr>
        <w:t>-4</w:t>
      </w:r>
      <w:r>
        <w:rPr>
          <w:rFonts w:hint="eastAsia" w:hAnsi="宋体"/>
          <w:kern w:val="2"/>
          <w:sz w:val="18"/>
        </w:rPr>
        <w:t xml:space="preserve"> </w:t>
      </w:r>
      <w:r>
        <w:rPr>
          <w:rFonts w:ascii="Symbol" w:hAnsi="Symbol" w:cs="宋体"/>
          <w:color w:val="000000"/>
          <w:kern w:val="1"/>
          <w:sz w:val="18"/>
        </w:rPr>
        <w:t></w:t>
      </w:r>
      <w:r>
        <w:rPr>
          <w:rFonts w:hAnsi="宋体" w:cs="宋体"/>
          <w:color w:val="000000"/>
          <w:kern w:val="1"/>
          <w:sz w:val="18"/>
        </w:rPr>
        <w:t>·cm</w:t>
      </w:r>
      <w:r>
        <w:rPr>
          <w:rFonts w:hint="eastAsia"/>
          <w:sz w:val="24"/>
        </w:rPr>
        <w:t>，新增双组分银导电胶的体积电阻率为≤1×10</w:t>
      </w:r>
      <w:r>
        <w:rPr>
          <w:rFonts w:hint="eastAsia"/>
          <w:sz w:val="32"/>
          <w:szCs w:val="32"/>
          <w:vertAlign w:val="superscript"/>
        </w:rPr>
        <w:t xml:space="preserve">-3 </w:t>
      </w:r>
      <w:r>
        <w:rPr>
          <w:rFonts w:ascii="Symbol" w:hAnsi="Symbol" w:cs="宋体"/>
          <w:color w:val="000000"/>
          <w:kern w:val="1"/>
          <w:sz w:val="18"/>
        </w:rPr>
        <w:t></w:t>
      </w:r>
      <w:r>
        <w:rPr>
          <w:rFonts w:hAnsi="宋体" w:cs="宋体"/>
          <w:color w:val="000000"/>
          <w:kern w:val="1"/>
          <w:sz w:val="18"/>
        </w:rPr>
        <w:t>·cm</w:t>
      </w:r>
      <w:r>
        <w:rPr>
          <w:rFonts w:hint="eastAsia"/>
          <w:sz w:val="24"/>
        </w:rPr>
        <w:t>。将膜片开关用低温银浆的硬度修改为≥2H，新增单组分银导电胶的硬度为≥4H，新增双组分银导电胶的硬度为≥4H。将膜片开关用低温银浆的抗挠折性修改为△R</w:t>
      </w:r>
      <w:r>
        <w:rPr>
          <w:rFonts w:hint="eastAsia"/>
          <w:sz w:val="30"/>
          <w:szCs w:val="30"/>
          <w:vertAlign w:val="subscript"/>
        </w:rPr>
        <w:t>1</w:t>
      </w:r>
      <w:r>
        <w:rPr>
          <w:rFonts w:hint="eastAsia"/>
          <w:sz w:val="24"/>
        </w:rPr>
        <w:t>≤300%。修改后5.1.2性能表2如下：</w:t>
      </w:r>
      <w:r>
        <w:rPr>
          <w:rFonts w:hint="eastAsia" w:hAnsi="Calibri"/>
          <w:kern w:val="2"/>
          <w:sz w:val="24"/>
          <w:szCs w:val="22"/>
        </w:rPr>
        <w:t>(见5.1.2表2，2006年版的4.4.2表3)；</w:t>
      </w:r>
    </w:p>
    <w:p>
      <w:pPr>
        <w:jc w:val="center"/>
        <w:rPr>
          <w:rFonts w:ascii="黑体" w:hAnsi="黑体" w:eastAsia="黑体" w:cs="宋体"/>
          <w:kern w:val="1"/>
        </w:rPr>
      </w:pPr>
    </w:p>
    <w:p>
      <w:pPr>
        <w:jc w:val="center"/>
        <w:rPr>
          <w:rFonts w:ascii="黑体" w:hAnsi="黑体" w:eastAsia="黑体" w:cs="宋体"/>
          <w:kern w:val="1"/>
        </w:rPr>
      </w:pPr>
    </w:p>
    <w:p>
      <w:pPr>
        <w:jc w:val="center"/>
        <w:rPr>
          <w:rFonts w:ascii="黑体" w:hAnsi="黑体" w:eastAsia="黑体" w:cs="宋体"/>
          <w:kern w:val="1"/>
        </w:rPr>
      </w:pPr>
    </w:p>
    <w:p>
      <w:pPr>
        <w:jc w:val="center"/>
        <w:rPr>
          <w:rFonts w:ascii="宋体"/>
          <w:sz w:val="24"/>
        </w:rPr>
      </w:pPr>
      <w:r>
        <w:rPr>
          <w:rFonts w:hint="eastAsia" w:ascii="黑体" w:hAnsi="黑体" w:eastAsia="黑体" w:cs="宋体"/>
          <w:kern w:val="1"/>
        </w:rPr>
        <w:t>表2</w:t>
      </w:r>
    </w:p>
    <w:tbl>
      <w:tblPr>
        <w:tblStyle w:val="7"/>
        <w:tblW w:w="9496" w:type="dxa"/>
        <w:tblInd w:w="0" w:type="dxa"/>
        <w:tblLayout w:type="autofit"/>
        <w:tblCellMar>
          <w:top w:w="0" w:type="dxa"/>
          <w:left w:w="108" w:type="dxa"/>
          <w:bottom w:w="0" w:type="dxa"/>
          <w:right w:w="108" w:type="dxa"/>
        </w:tblCellMar>
      </w:tblPr>
      <w:tblGrid>
        <w:gridCol w:w="2638"/>
        <w:gridCol w:w="1602"/>
        <w:gridCol w:w="1488"/>
        <w:gridCol w:w="1233"/>
        <w:gridCol w:w="979"/>
        <w:gridCol w:w="1556"/>
      </w:tblGrid>
      <w:tr>
        <w:tblPrEx>
          <w:tblCellMar>
            <w:top w:w="0" w:type="dxa"/>
            <w:left w:w="108" w:type="dxa"/>
            <w:bottom w:w="0" w:type="dxa"/>
            <w:right w:w="108" w:type="dxa"/>
          </w:tblCellMar>
        </w:tblPrEx>
        <w:trPr>
          <w:trHeight w:val="463"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cs="宋体"/>
                <w:color w:val="000000"/>
                <w:kern w:val="1"/>
                <w:sz w:val="18"/>
              </w:rPr>
              <w:t>产品标记</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方    阻</w:t>
            </w:r>
          </w:p>
          <w:p>
            <w:pPr>
              <w:jc w:val="center"/>
              <w:rPr>
                <w:rFonts w:ascii="宋体" w:hAnsi="宋体" w:cs="宋体"/>
                <w:color w:val="000000"/>
                <w:kern w:val="1"/>
                <w:sz w:val="18"/>
              </w:rPr>
            </w:pPr>
            <w:bookmarkStart w:id="0" w:name="_Hlk110427099"/>
            <w:r>
              <w:rPr>
                <w:rFonts w:ascii="宋体" w:hAnsi="宋体" w:cs="宋体"/>
                <w:color w:val="000000"/>
                <w:kern w:val="1"/>
                <w:sz w:val="18"/>
              </w:rPr>
              <w:t>m</w:t>
            </w:r>
            <w:r>
              <w:rPr>
                <w:rFonts w:ascii="Symbol" w:hAnsi="Symbol" w:cs="宋体"/>
                <w:color w:val="000000"/>
                <w:kern w:val="1"/>
                <w:sz w:val="18"/>
              </w:rPr>
              <w:t></w:t>
            </w:r>
            <w:r>
              <w:rPr>
                <w:rFonts w:ascii="宋体" w:hAnsi="宋体" w:cs="宋体"/>
                <w:color w:val="000000"/>
                <w:kern w:val="1"/>
                <w:sz w:val="18"/>
              </w:rPr>
              <w:t>/</w:t>
            </w:r>
            <w:r>
              <w:rPr>
                <w:rFonts w:hint="eastAsia" w:ascii="宋体" w:hAnsi="宋体" w:cs="宋体"/>
                <w:color w:val="000000"/>
                <w:kern w:val="1"/>
                <w:sz w:val="18"/>
              </w:rPr>
              <w:sym w:font="Wingdings 2" w:char="00A3"/>
            </w:r>
            <w:bookmarkEnd w:id="0"/>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 xml:space="preserve"> </w:t>
            </w:r>
            <w:r>
              <w:rPr>
                <w:rFonts w:hint="eastAsia" w:ascii="宋体" w:hAnsi="宋体" w:cs="宋体"/>
                <w:color w:val="000000"/>
                <w:kern w:val="1"/>
                <w:sz w:val="18"/>
              </w:rPr>
              <w:t>体积</w:t>
            </w:r>
            <w:r>
              <w:rPr>
                <w:rFonts w:ascii="宋体" w:hAnsi="宋体" w:cs="宋体"/>
                <w:color w:val="000000"/>
                <w:kern w:val="1"/>
                <w:sz w:val="18"/>
              </w:rPr>
              <w:t>电阻率</w:t>
            </w:r>
          </w:p>
          <w:p>
            <w:pPr>
              <w:jc w:val="center"/>
              <w:rPr>
                <w:rFonts w:ascii="宋体" w:hAnsi="宋体" w:cs="宋体"/>
                <w:color w:val="000000"/>
                <w:kern w:val="1"/>
                <w:sz w:val="18"/>
              </w:rPr>
            </w:pPr>
            <w:r>
              <w:rPr>
                <w:rFonts w:ascii="Symbol" w:hAnsi="Symbol" w:cs="宋体"/>
                <w:color w:val="000000"/>
                <w:kern w:val="1"/>
                <w:sz w:val="18"/>
              </w:rPr>
              <w:t></w:t>
            </w:r>
            <w:r>
              <w:rPr>
                <w:rFonts w:ascii="宋体" w:hAnsi="宋体" w:cs="宋体"/>
                <w:color w:val="000000"/>
                <w:kern w:val="1"/>
                <w:sz w:val="18"/>
              </w:rPr>
              <w:t>·cm</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cs="宋体"/>
                <w:color w:val="000000"/>
                <w:kern w:val="1"/>
                <w:sz w:val="18"/>
              </w:rPr>
              <w:t>附着力</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硬度</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cs="宋体"/>
                <w:color w:val="000000"/>
                <w:kern w:val="1"/>
                <w:sz w:val="18"/>
              </w:rPr>
              <w:t>抗挠折性</w:t>
            </w:r>
          </w:p>
        </w:tc>
      </w:tr>
      <w:tr>
        <w:trPr>
          <w:trHeight w:val="457"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sz w:val="18"/>
              </w:rPr>
              <w:t xml:space="preserve">PC-Ag-YS/T 606-M </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r>
              <w:rPr>
                <w:rFonts w:hint="eastAsia" w:ascii="宋体" w:hAnsi="宋体" w:cs="宋体"/>
                <w:color w:val="000000"/>
                <w:kern w:val="1"/>
                <w:sz w:val="18"/>
              </w:rPr>
              <w:t>40</w:t>
            </w:r>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不脱膜</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r>
              <w:rPr>
                <w:rFonts w:hint="eastAsia" w:ascii="宋体" w:hAnsi="宋体" w:cs="宋体"/>
                <w:color w:val="000000"/>
                <w:kern w:val="1"/>
                <w:sz w:val="18"/>
              </w:rPr>
              <w:t>2</w:t>
            </w:r>
            <w:r>
              <w:rPr>
                <w:rFonts w:ascii="宋体" w:hAnsi="宋体" w:cs="宋体"/>
                <w:color w:val="000000"/>
                <w:kern w:val="1"/>
                <w:sz w:val="18"/>
              </w:rPr>
              <w:t>H</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△R</w:t>
            </w:r>
            <w:r>
              <w:rPr>
                <w:rFonts w:hint="eastAsia" w:ascii="宋体" w:hAnsi="宋体" w:cs="宋体"/>
                <w:color w:val="000000"/>
                <w:kern w:val="1"/>
                <w:sz w:val="18"/>
                <w:vertAlign w:val="subscript"/>
              </w:rPr>
              <w:t>1</w:t>
            </w:r>
            <w:r>
              <w:rPr>
                <w:rFonts w:ascii="宋体" w:hAnsi="宋体" w:cs="宋体"/>
                <w:color w:val="000000"/>
                <w:kern w:val="1"/>
                <w:sz w:val="18"/>
              </w:rPr>
              <w:t>≤</w:t>
            </w:r>
            <w:r>
              <w:rPr>
                <w:rFonts w:hint="eastAsia" w:ascii="宋体" w:hAnsi="宋体" w:cs="宋体"/>
                <w:color w:val="000000"/>
                <w:kern w:val="1"/>
                <w:sz w:val="18"/>
              </w:rPr>
              <w:t>300%</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sz w:val="18"/>
              </w:rPr>
              <w:t xml:space="preserve">PC-Ag-YS/T 606-MK </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r>
              <w:rPr>
                <w:rFonts w:hint="eastAsia" w:ascii="宋体" w:hAnsi="宋体" w:cs="宋体"/>
                <w:color w:val="000000"/>
                <w:kern w:val="1"/>
                <w:sz w:val="18"/>
              </w:rPr>
              <w:t>40</w:t>
            </w:r>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不脱膜</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r>
              <w:rPr>
                <w:rFonts w:hint="eastAsia" w:ascii="宋体" w:hAnsi="宋体" w:cs="宋体"/>
                <w:color w:val="000000"/>
                <w:kern w:val="1"/>
                <w:sz w:val="18"/>
              </w:rPr>
              <w:t>2</w:t>
            </w:r>
            <w:r>
              <w:rPr>
                <w:rFonts w:ascii="宋体" w:hAnsi="宋体" w:cs="宋体"/>
                <w:color w:val="000000"/>
                <w:kern w:val="1"/>
                <w:sz w:val="18"/>
              </w:rPr>
              <w:t>H</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△R</w:t>
            </w:r>
            <w:r>
              <w:rPr>
                <w:rFonts w:hint="eastAsia" w:ascii="宋体" w:hAnsi="宋体" w:cs="宋体"/>
                <w:color w:val="000000"/>
                <w:kern w:val="1"/>
                <w:sz w:val="18"/>
                <w:vertAlign w:val="subscript"/>
              </w:rPr>
              <w:t>1</w:t>
            </w:r>
            <w:r>
              <w:rPr>
                <w:rFonts w:ascii="宋体" w:hAnsi="宋体" w:cs="宋体"/>
                <w:color w:val="000000"/>
                <w:kern w:val="1"/>
                <w:sz w:val="18"/>
              </w:rPr>
              <w:t>≤</w:t>
            </w:r>
            <w:r>
              <w:rPr>
                <w:rFonts w:hint="eastAsia" w:ascii="宋体" w:hAnsi="宋体" w:cs="宋体"/>
                <w:color w:val="000000"/>
                <w:kern w:val="1"/>
                <w:sz w:val="18"/>
              </w:rPr>
              <w:t>300%</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sz w:val="18"/>
              </w:rPr>
              <w:t xml:space="preserve">PC-Ag-YS/T 606-T </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&lt;200</w:t>
            </w:r>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不脱膜</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sz w:val="18"/>
              </w:rPr>
              <w:t xml:space="preserve">PC-Ag-YS/T 606-AS </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cs="宋体"/>
                <w:color w:val="000000"/>
                <w:kern w:val="1"/>
                <w:sz w:val="18"/>
              </w:rPr>
              <w:t>≤1×10</w:t>
            </w:r>
            <w:r>
              <w:rPr>
                <w:rFonts w:hint="eastAsia" w:ascii="宋体" w:hAnsi="宋体" w:cs="宋体"/>
                <w:color w:val="000000"/>
                <w:kern w:val="1"/>
                <w:sz w:val="28"/>
                <w:szCs w:val="28"/>
                <w:vertAlign w:val="superscript"/>
              </w:rPr>
              <w:t>-4</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不脱膜</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r>
              <w:rPr>
                <w:rFonts w:hint="eastAsia" w:ascii="宋体" w:hAnsi="宋体" w:cs="宋体"/>
                <w:color w:val="000000"/>
                <w:kern w:val="1"/>
                <w:sz w:val="18"/>
              </w:rPr>
              <w:t>4</w:t>
            </w:r>
            <w:r>
              <w:rPr>
                <w:rFonts w:ascii="宋体" w:hAnsi="宋体" w:cs="宋体"/>
                <w:color w:val="000000"/>
                <w:kern w:val="1"/>
                <w:sz w:val="18"/>
              </w:rPr>
              <w:t>H</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sz w:val="18"/>
              </w:rPr>
              <w:t xml:space="preserve">PC-Ag-YS/T 606-AD </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hint="eastAsia" w:ascii="宋体" w:hAnsi="宋体" w:cs="宋体"/>
                <w:color w:val="000000"/>
                <w:kern w:val="1"/>
                <w:sz w:val="18"/>
              </w:rPr>
              <w:t>≤1×10</w:t>
            </w:r>
            <w:r>
              <w:rPr>
                <w:rFonts w:hint="eastAsia" w:ascii="宋体" w:hAnsi="宋体" w:cs="宋体"/>
                <w:color w:val="000000"/>
                <w:kern w:val="1"/>
                <w:sz w:val="28"/>
                <w:szCs w:val="28"/>
                <w:vertAlign w:val="superscript"/>
              </w:rPr>
              <w:t>-3</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不脱膜</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r>
              <w:rPr>
                <w:rFonts w:hint="eastAsia" w:ascii="宋体" w:hAnsi="宋体" w:cs="宋体"/>
                <w:color w:val="000000"/>
                <w:kern w:val="1"/>
                <w:sz w:val="18"/>
              </w:rPr>
              <w:t>4</w:t>
            </w:r>
            <w:r>
              <w:rPr>
                <w:rFonts w:ascii="宋体" w:hAnsi="宋体" w:cs="宋体"/>
                <w:color w:val="000000"/>
                <w:kern w:val="1"/>
                <w:sz w:val="18"/>
              </w:rPr>
              <w:t>H</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1"/>
                <w:sz w:val="18"/>
              </w:rPr>
            </w:pPr>
            <w:r>
              <w:rPr>
                <w:rFonts w:ascii="宋体" w:hAnsi="宋体" w:cs="宋体"/>
                <w:color w:val="000000"/>
                <w:kern w:val="1"/>
                <w:sz w:val="18"/>
              </w:rPr>
              <w:t>——</w:t>
            </w:r>
          </w:p>
        </w:tc>
      </w:tr>
    </w:tbl>
    <w:p>
      <w:pPr>
        <w:pStyle w:val="17"/>
        <w:ind w:firstLine="482"/>
        <w:rPr>
          <w:rFonts w:ascii="宋体"/>
          <w:sz w:val="24"/>
        </w:rPr>
      </w:pPr>
      <w:r>
        <w:rPr>
          <w:rFonts w:hint="eastAsia" w:ascii="宋体" w:hAnsi="宋体"/>
          <w:b/>
          <w:bCs/>
          <w:sz w:val="24"/>
        </w:rPr>
        <w:t>编制依据：</w:t>
      </w:r>
      <w:r>
        <w:rPr>
          <w:rFonts w:hint="eastAsia" w:ascii="宋体"/>
          <w:sz w:val="24"/>
        </w:rPr>
        <w:t>经过调研，目前膜片开关银浆的方阻在40</w:t>
      </w:r>
      <w:r>
        <w:rPr>
          <w:rFonts w:hint="eastAsia" w:ascii="宋体"/>
          <w:sz w:val="32"/>
          <w:szCs w:val="32"/>
          <w:vertAlign w:val="superscript"/>
        </w:rPr>
        <w:t xml:space="preserve"> </w:t>
      </w:r>
      <w:r>
        <w:rPr>
          <w:rFonts w:ascii="宋体" w:hAnsi="宋体" w:cs="宋体"/>
          <w:color w:val="000000"/>
          <w:kern w:val="1"/>
          <w:sz w:val="18"/>
        </w:rPr>
        <w:t>m</w:t>
      </w:r>
      <w:r>
        <w:rPr>
          <w:rFonts w:ascii="Symbol" w:hAnsi="Symbol" w:cs="宋体"/>
          <w:color w:val="000000"/>
          <w:kern w:val="1"/>
          <w:sz w:val="18"/>
        </w:rPr>
        <w:t></w:t>
      </w:r>
      <w:r>
        <w:rPr>
          <w:rFonts w:ascii="宋体" w:hAnsi="宋体" w:cs="宋体"/>
          <w:color w:val="000000"/>
          <w:kern w:val="1"/>
          <w:sz w:val="18"/>
        </w:rPr>
        <w:t>/</w:t>
      </w:r>
      <w:r>
        <w:rPr>
          <w:rFonts w:hint="eastAsia" w:ascii="宋体" w:hAnsi="宋体" w:cs="宋体"/>
          <w:color w:val="000000"/>
          <w:kern w:val="1"/>
          <w:sz w:val="18"/>
        </w:rPr>
        <w:sym w:font="Wingdings 2" w:char="00A3"/>
      </w:r>
      <w:r>
        <w:rPr>
          <w:rFonts w:hint="eastAsia" w:ascii="宋体"/>
          <w:sz w:val="24"/>
        </w:rPr>
        <w:t>以内，所以将原标准中的膜片开关银浆的方阻范围进行修改。目前无卤的膜片开关银浆由于树脂变化，硬度随之降低，所以无卤膜片开关银浆的硬度要求随之下降至≥2H，故将膜片开关用低温银浆的硬度改为≥2H，新增单组分银导电胶的硬度为≥4H，新增双组分银导电胶的硬度为≥4H。抗挠折性现在测试方法有所改变，所以修改膜片开关用低温银浆的抗挠折性为△R</w:t>
      </w:r>
      <w:r>
        <w:rPr>
          <w:rFonts w:hint="eastAsia" w:ascii="宋体"/>
          <w:sz w:val="24"/>
          <w:vertAlign w:val="subscript"/>
        </w:rPr>
        <w:t>1</w:t>
      </w:r>
      <w:r>
        <w:rPr>
          <w:rFonts w:hint="eastAsia" w:ascii="宋体"/>
          <w:sz w:val="24"/>
        </w:rPr>
        <w:t>≤300%。</w:t>
      </w:r>
    </w:p>
    <w:p>
      <w:pPr>
        <w:pStyle w:val="17"/>
        <w:ind w:firstLine="480"/>
        <w:rPr>
          <w:rFonts w:ascii="宋体"/>
          <w:sz w:val="24"/>
        </w:rPr>
      </w:pPr>
      <w:r>
        <w:rPr>
          <w:rFonts w:hint="eastAsia" w:ascii="宋体"/>
          <w:sz w:val="24"/>
        </w:rPr>
        <w:t>（7）修改第6章试验方法，银浆粘度的测定按GB/T 17473.5的规定进行。粘度测试条件为剪切速率10s</w:t>
      </w:r>
      <w:r>
        <w:rPr>
          <w:rFonts w:hint="eastAsia" w:ascii="宋体"/>
          <w:sz w:val="24"/>
          <w:vertAlign w:val="superscript"/>
        </w:rPr>
        <w:t>-1</w:t>
      </w:r>
      <w:r>
        <w:rPr>
          <w:rFonts w:hint="eastAsia" w:ascii="宋体"/>
          <w:sz w:val="24"/>
        </w:rPr>
        <w:t>，温度25±0.5℃。银浆的固化条件参照附录A。（见第6章，2006版的第5章)；</w:t>
      </w:r>
    </w:p>
    <w:p>
      <w:pPr>
        <w:pStyle w:val="17"/>
        <w:ind w:firstLine="482"/>
        <w:rPr>
          <w:rFonts w:ascii="宋体"/>
          <w:sz w:val="24"/>
        </w:rPr>
      </w:pPr>
      <w:r>
        <w:rPr>
          <w:rFonts w:hint="eastAsia" w:ascii="宋体" w:hAnsi="宋体"/>
          <w:b/>
          <w:bCs/>
          <w:sz w:val="24"/>
        </w:rPr>
        <w:t>编制依据：</w:t>
      </w:r>
      <w:r>
        <w:rPr>
          <w:rFonts w:hint="eastAsia" w:ascii="宋体"/>
          <w:sz w:val="24"/>
        </w:rPr>
        <w:t>由于标准不能规定设备仪器型号，故规定银浆粘度的测定按GB/T 17473.5的规定进行且检测条件为剪切速率10</w:t>
      </w:r>
      <w:r>
        <w:rPr>
          <w:rFonts w:hint="eastAsia" w:ascii="宋体"/>
          <w:sz w:val="32"/>
          <w:szCs w:val="32"/>
          <w:vertAlign w:val="superscript"/>
        </w:rPr>
        <w:t xml:space="preserve"> </w:t>
      </w:r>
      <w:r>
        <w:rPr>
          <w:rFonts w:hint="eastAsia" w:ascii="宋体"/>
          <w:sz w:val="24"/>
        </w:rPr>
        <w:t>s</w:t>
      </w:r>
      <w:r>
        <w:rPr>
          <w:rFonts w:hint="eastAsia" w:ascii="宋体"/>
          <w:sz w:val="24"/>
          <w:vertAlign w:val="superscript"/>
        </w:rPr>
        <w:t>-1</w:t>
      </w:r>
      <w:r>
        <w:rPr>
          <w:rFonts w:hint="eastAsia" w:ascii="宋体"/>
          <w:sz w:val="24"/>
        </w:rPr>
        <w:t>，温度25±0.5</w:t>
      </w:r>
      <w:r>
        <w:rPr>
          <w:rFonts w:hint="eastAsia" w:ascii="宋体"/>
          <w:sz w:val="32"/>
          <w:szCs w:val="32"/>
          <w:vertAlign w:val="superscript"/>
        </w:rPr>
        <w:t xml:space="preserve"> </w:t>
      </w:r>
      <w:r>
        <w:rPr>
          <w:rFonts w:hint="eastAsia" w:ascii="宋体"/>
          <w:sz w:val="24"/>
        </w:rPr>
        <w:t>℃，根据各单位使用需求自行换算。</w:t>
      </w:r>
      <w:r>
        <w:rPr>
          <w:rFonts w:hint="eastAsia"/>
          <w:sz w:val="24"/>
        </w:rPr>
        <w:t>银浆的固化条件非技术要求，应在试验方法中体现，具体固化</w:t>
      </w:r>
      <w:r>
        <w:rPr>
          <w:rFonts w:hint="eastAsia" w:ascii="宋体"/>
          <w:sz w:val="24"/>
        </w:rPr>
        <w:t>条件要求在附录A中详细说明。</w:t>
      </w:r>
    </w:p>
    <w:p>
      <w:pPr>
        <w:pStyle w:val="17"/>
        <w:ind w:firstLine="480"/>
        <w:rPr>
          <w:rFonts w:ascii="宋体"/>
          <w:sz w:val="24"/>
        </w:rPr>
      </w:pPr>
      <w:r>
        <w:rPr>
          <w:rFonts w:hint="eastAsia" w:ascii="宋体"/>
          <w:sz w:val="24"/>
        </w:rPr>
        <w:t>（8）修改原标准7.1.1为银浆应由供方技术监督部门进行检验，保证产品质量符合本文件（或订货合同）的规定，并填写质量证明书。双方应在订货合同中规定产品技术性能指标波动范围，常见易波动性能为粘度、方阻等，参考数值如下：</w:t>
      </w:r>
    </w:p>
    <w:p>
      <w:pPr>
        <w:pStyle w:val="17"/>
        <w:ind w:firstLine="480"/>
        <w:rPr>
          <w:rFonts w:ascii="宋体"/>
          <w:sz w:val="24"/>
        </w:rPr>
      </w:pPr>
      <w:r>
        <w:rPr>
          <w:rFonts w:hint="eastAsia" w:ascii="宋体"/>
          <w:sz w:val="24"/>
        </w:rPr>
        <w:t>a)  粘度范围波动应不大于±10%；</w:t>
      </w:r>
    </w:p>
    <w:p>
      <w:pPr>
        <w:pStyle w:val="17"/>
        <w:ind w:firstLine="480"/>
        <w:rPr>
          <w:rFonts w:ascii="宋体"/>
          <w:sz w:val="24"/>
        </w:rPr>
      </w:pPr>
      <w:r>
        <w:rPr>
          <w:rFonts w:hint="eastAsia" w:ascii="宋体"/>
          <w:sz w:val="24"/>
        </w:rPr>
        <w:t>b)  方阻波动应不大于±1 mΩ/□；</w:t>
      </w:r>
    </w:p>
    <w:p>
      <w:pPr>
        <w:pStyle w:val="17"/>
        <w:ind w:firstLine="482"/>
        <w:rPr>
          <w:sz w:val="24"/>
        </w:rPr>
      </w:pPr>
      <w:r>
        <w:rPr>
          <w:rFonts w:hint="eastAsia" w:ascii="宋体" w:hAnsi="宋体"/>
          <w:b/>
          <w:bCs/>
          <w:sz w:val="24"/>
        </w:rPr>
        <w:t>编制依据：</w:t>
      </w:r>
      <w:r>
        <w:rPr>
          <w:rFonts w:hint="eastAsia"/>
          <w:sz w:val="24"/>
        </w:rPr>
        <w:t>本文件表1、表2中性能参数范围略大，在实际产品中约束力不强，应在订货合同中详细约束，保证产品质量及本文件的适用性。</w:t>
      </w:r>
    </w:p>
    <w:p>
      <w:pPr>
        <w:ind w:firstLine="480" w:firstLineChars="200"/>
        <w:rPr>
          <w:rFonts w:ascii="黑体" w:hAnsi="黑体" w:eastAsia="黑体" w:cs="宋体"/>
          <w:kern w:val="1"/>
        </w:rPr>
      </w:pPr>
      <w:r>
        <w:rPr>
          <w:rFonts w:hint="eastAsia" w:ascii="宋体"/>
          <w:sz w:val="24"/>
        </w:rPr>
        <w:t>（9）修改7.3检验项目为每批银浆应进行细度、粘度、方阻、体积电阻率、附着力、硬度、抗挠折性及外观的检验。其他检验要求应在订货合同中注明。检验项目及取样要求按照表3要求确定。需方提出的其它检验项目，由供需双方协商确定。</w:t>
      </w:r>
    </w:p>
    <w:p>
      <w:pPr>
        <w:jc w:val="center"/>
        <w:rPr>
          <w:rFonts w:ascii="黑体" w:hAnsi="黑体" w:eastAsia="黑体" w:cs="宋体"/>
          <w:kern w:val="1"/>
        </w:rPr>
      </w:pPr>
      <w:r>
        <w:rPr>
          <w:rFonts w:hint="eastAsia" w:ascii="黑体" w:hAnsi="黑体" w:eastAsia="黑体" w:cs="宋体"/>
          <w:kern w:val="1"/>
        </w:rPr>
        <w:t>表3</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3347"/>
        <w:gridCol w:w="173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检验项目</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取样方法</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rPr>
            </w:pPr>
            <w:r>
              <w:rPr>
                <w:rFonts w:hint="eastAsia" w:hAnsi="宋体"/>
              </w:rPr>
              <w:t>要求的章条号</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rPr>
            </w:pPr>
            <w:r>
              <w:rPr>
                <w:rFonts w:hint="eastAsia" w:hAnsi="宋体"/>
              </w:rPr>
              <w:t>检验或试验方法的章条号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ascii="Times New Roman" w:hAnsi="宋体"/>
                <w:szCs w:val="24"/>
              </w:rPr>
            </w:pPr>
            <w:r>
              <w:rPr>
                <w:rFonts w:hint="eastAsia" w:hAnsi="宋体"/>
              </w:rPr>
              <w:t>细度</w:t>
            </w:r>
          </w:p>
        </w:tc>
        <w:tc>
          <w:tcPr>
            <w:tcW w:w="3544" w:type="dxa"/>
            <w:vMerge w:val="restart"/>
            <w:tcBorders>
              <w:top w:val="single" w:color="auto" w:sz="4" w:space="0"/>
              <w:left w:val="single" w:color="auto" w:sz="4" w:space="0"/>
              <w:right w:val="single" w:color="auto" w:sz="4" w:space="0"/>
            </w:tcBorders>
            <w:shd w:val="clear" w:color="auto" w:fill="auto"/>
            <w:vAlign w:val="center"/>
          </w:tcPr>
          <w:p>
            <w:pPr>
              <w:jc w:val="left"/>
              <w:rPr>
                <w:rFonts w:hAnsi="宋体"/>
              </w:rPr>
            </w:pPr>
            <w:r>
              <w:rPr>
                <w:rFonts w:hint="eastAsia" w:hAnsi="宋体"/>
              </w:rPr>
              <w:t>随机抽取一瓶，搅拌均匀，取样</w:t>
            </w:r>
            <w:r>
              <w:rPr>
                <w:rFonts w:hAnsi="宋体"/>
              </w:rPr>
              <w:t>2g-20g</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5.1.1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ascii="Times New Roman" w:hAnsi="宋体"/>
                <w:szCs w:val="24"/>
              </w:rPr>
            </w:pPr>
            <w:r>
              <w:rPr>
                <w:rFonts w:hint="eastAsia" w:hAnsi="宋体"/>
              </w:rPr>
              <w:t>粘度</w:t>
            </w:r>
          </w:p>
        </w:tc>
        <w:tc>
          <w:tcPr>
            <w:tcW w:w="3544" w:type="dxa"/>
            <w:vMerge w:val="continue"/>
            <w:tcBorders>
              <w:left w:val="single" w:color="auto" w:sz="4" w:space="0"/>
              <w:right w:val="single" w:color="auto" w:sz="4" w:space="0"/>
            </w:tcBorders>
            <w:shd w:val="clear" w:color="auto" w:fill="auto"/>
            <w:vAlign w:val="center"/>
          </w:tcPr>
          <w:p>
            <w:pPr>
              <w:ind w:firstLine="430"/>
              <w:jc w:val="left"/>
              <w:rPr>
                <w:rFonts w:hAnsi="宋体"/>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5.1.</w:t>
            </w:r>
            <w:r>
              <w:rPr>
                <w:rFonts w:hint="eastAsia" w:hAnsi="宋体"/>
              </w:rPr>
              <w:t>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6.</w:t>
            </w: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方阻</w:t>
            </w:r>
          </w:p>
        </w:tc>
        <w:tc>
          <w:tcPr>
            <w:tcW w:w="3544" w:type="dxa"/>
            <w:vMerge w:val="continue"/>
            <w:tcBorders>
              <w:left w:val="single" w:color="auto" w:sz="4" w:space="0"/>
              <w:right w:val="single" w:color="auto" w:sz="4" w:space="0"/>
            </w:tcBorders>
            <w:shd w:val="clear" w:color="auto" w:fill="auto"/>
            <w:vAlign w:val="center"/>
          </w:tcPr>
          <w:p>
            <w:pPr>
              <w:ind w:firstLine="430"/>
              <w:jc w:val="left"/>
              <w:rPr>
                <w:rFonts w:hAnsi="宋体"/>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5.1</w:t>
            </w:r>
            <w:r>
              <w:rPr>
                <w:rFonts w:hint="eastAsia" w:hAnsi="宋体"/>
              </w:rPr>
              <w:t>.2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6.</w:t>
            </w: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附着力</w:t>
            </w:r>
          </w:p>
        </w:tc>
        <w:tc>
          <w:tcPr>
            <w:tcW w:w="3544" w:type="dxa"/>
            <w:vMerge w:val="continue"/>
            <w:tcBorders>
              <w:left w:val="single" w:color="auto" w:sz="4" w:space="0"/>
              <w:right w:val="single" w:color="auto" w:sz="4" w:space="0"/>
            </w:tcBorders>
            <w:shd w:val="clear" w:color="auto" w:fill="auto"/>
            <w:vAlign w:val="center"/>
          </w:tcPr>
          <w:p>
            <w:pPr>
              <w:ind w:firstLine="430"/>
              <w:jc w:val="left"/>
              <w:rPr>
                <w:rFonts w:hAnsi="宋体"/>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5.1.2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6.</w:t>
            </w: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硬度</w:t>
            </w:r>
          </w:p>
        </w:tc>
        <w:tc>
          <w:tcPr>
            <w:tcW w:w="3544" w:type="dxa"/>
            <w:vMerge w:val="continue"/>
            <w:tcBorders>
              <w:left w:val="single" w:color="auto" w:sz="4" w:space="0"/>
              <w:right w:val="single" w:color="auto" w:sz="4" w:space="0"/>
            </w:tcBorders>
            <w:shd w:val="clear" w:color="auto" w:fill="auto"/>
            <w:vAlign w:val="center"/>
          </w:tcPr>
          <w:p>
            <w:pPr>
              <w:ind w:firstLine="430"/>
              <w:jc w:val="left"/>
              <w:rPr>
                <w:rFonts w:hAnsi="宋体"/>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5.1.2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体积电阻率</w:t>
            </w:r>
          </w:p>
        </w:tc>
        <w:tc>
          <w:tcPr>
            <w:tcW w:w="3544" w:type="dxa"/>
            <w:vMerge w:val="continue"/>
            <w:tcBorders>
              <w:left w:val="single" w:color="auto" w:sz="4" w:space="0"/>
              <w:right w:val="single" w:color="auto" w:sz="4" w:space="0"/>
            </w:tcBorders>
            <w:shd w:val="clear" w:color="auto" w:fill="auto"/>
            <w:vAlign w:val="center"/>
          </w:tcPr>
          <w:p>
            <w:pPr>
              <w:ind w:firstLine="430"/>
              <w:jc w:val="left"/>
              <w:rPr>
                <w:rFonts w:hAnsi="宋体"/>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5.1.2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抗挠折力</w:t>
            </w:r>
          </w:p>
        </w:tc>
        <w:tc>
          <w:tcPr>
            <w:tcW w:w="3544" w:type="dxa"/>
            <w:vMerge w:val="continue"/>
            <w:tcBorders>
              <w:left w:val="single" w:color="auto" w:sz="4" w:space="0"/>
              <w:right w:val="single" w:color="auto" w:sz="4" w:space="0"/>
            </w:tcBorders>
            <w:shd w:val="clear" w:color="auto" w:fill="auto"/>
            <w:vAlign w:val="center"/>
          </w:tcPr>
          <w:p>
            <w:pPr>
              <w:ind w:firstLine="430"/>
              <w:jc w:val="left"/>
              <w:rPr>
                <w:rFonts w:hAnsi="宋体"/>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5.1.2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int="eastAsia" w:hAnsi="宋体"/>
              </w:rPr>
              <w:t>外观质量</w:t>
            </w:r>
          </w:p>
        </w:tc>
        <w:tc>
          <w:tcPr>
            <w:tcW w:w="3544" w:type="dxa"/>
            <w:tcBorders>
              <w:left w:val="single" w:color="auto" w:sz="4" w:space="0"/>
              <w:bottom w:val="single" w:color="auto" w:sz="4" w:space="0"/>
              <w:right w:val="single" w:color="auto" w:sz="4" w:space="0"/>
            </w:tcBorders>
            <w:shd w:val="clear" w:color="auto" w:fill="auto"/>
            <w:vAlign w:val="center"/>
          </w:tcPr>
          <w:p>
            <w:pPr>
              <w:ind w:firstLine="1266" w:firstLineChars="603"/>
              <w:jc w:val="left"/>
              <w:rPr>
                <w:rFonts w:hAnsi="宋体"/>
              </w:rPr>
            </w:pPr>
            <w:r>
              <w:rPr>
                <w:rFonts w:hint="eastAsia" w:hAnsi="宋体"/>
              </w:rPr>
              <w:t>逐瓶</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hAnsi="宋体"/>
              </w:rPr>
            </w:pPr>
            <w:r>
              <w:rPr>
                <w:rFonts w:hAnsi="宋体"/>
              </w:rPr>
              <w:t>5.2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0"/>
              <w:rPr>
                <w:rFonts w:hAnsi="宋体"/>
              </w:rPr>
            </w:pPr>
            <w:r>
              <w:rPr>
                <w:rFonts w:hAnsi="宋体"/>
              </w:rPr>
              <w:t>6.</w:t>
            </w:r>
            <w:r>
              <w:rPr>
                <w:rFonts w:hint="eastAsia" w:hAnsi="宋体"/>
              </w:rPr>
              <w:t>9</w:t>
            </w:r>
          </w:p>
        </w:tc>
      </w:tr>
    </w:tbl>
    <w:p>
      <w:pPr>
        <w:pStyle w:val="19"/>
        <w:ind w:firstLine="480"/>
        <w:rPr>
          <w:sz w:val="24"/>
        </w:rPr>
      </w:pPr>
    </w:p>
    <w:p>
      <w:pPr>
        <w:pStyle w:val="19"/>
        <w:spacing w:line="360" w:lineRule="auto"/>
        <w:ind w:firstLine="482"/>
        <w:rPr>
          <w:rFonts w:hAnsi="Calibri"/>
          <w:kern w:val="2"/>
          <w:sz w:val="24"/>
          <w:szCs w:val="22"/>
        </w:rPr>
      </w:pPr>
      <w:r>
        <w:rPr>
          <w:rFonts w:hint="eastAsia" w:hAnsi="宋体"/>
          <w:b/>
          <w:bCs/>
          <w:kern w:val="2"/>
          <w:sz w:val="24"/>
          <w:szCs w:val="22"/>
        </w:rPr>
        <w:t>编制依据：</w:t>
      </w:r>
      <w:r>
        <w:rPr>
          <w:rFonts w:hint="eastAsia" w:hAnsi="Calibri"/>
          <w:kern w:val="2"/>
          <w:sz w:val="24"/>
          <w:szCs w:val="22"/>
        </w:rPr>
        <w:t>增加检验项目及取样要求表方便查询检验及取样标准，将通用指标进行检测规定，非通用指标协商规定。</w:t>
      </w:r>
    </w:p>
    <w:p>
      <w:pPr>
        <w:ind w:firstLine="480" w:firstLineChars="200"/>
        <w:rPr>
          <w:sz w:val="24"/>
        </w:rPr>
      </w:pPr>
      <w:r>
        <w:rPr>
          <w:rFonts w:hint="eastAsia" w:ascii="宋体"/>
          <w:sz w:val="24"/>
        </w:rPr>
        <w:t>（10）修改原标准“7.2包装、运输、贮存”（见8.2，2006年版的7.2）</w:t>
      </w:r>
    </w:p>
    <w:p>
      <w:pPr>
        <w:pStyle w:val="17"/>
        <w:ind w:firstLine="480"/>
        <w:rPr>
          <w:rFonts w:ascii="宋体"/>
          <w:sz w:val="24"/>
        </w:rPr>
      </w:pPr>
      <w:r>
        <w:rPr>
          <w:rFonts w:hint="eastAsia" w:ascii="宋体"/>
          <w:sz w:val="24"/>
        </w:rPr>
        <w:t>将原标准修改为8.2 包装、运输和贮存</w:t>
      </w:r>
    </w:p>
    <w:p>
      <w:pPr>
        <w:pStyle w:val="17"/>
        <w:ind w:firstLine="480"/>
        <w:rPr>
          <w:rFonts w:ascii="宋体"/>
          <w:sz w:val="24"/>
        </w:rPr>
      </w:pPr>
      <w:r>
        <w:rPr>
          <w:rFonts w:hint="eastAsia" w:ascii="宋体"/>
          <w:sz w:val="24"/>
        </w:rPr>
        <w:t>8.2.1  包装瓶应耐浆料腐蚀，不易破损。瓶口应用胶带缠绕密封，然后装入包装箱中，包装瓶四周应充填安全物质。外包装参照GB/T 19445的规定进行。</w:t>
      </w:r>
    </w:p>
    <w:p>
      <w:pPr>
        <w:pStyle w:val="17"/>
        <w:ind w:firstLine="480"/>
        <w:rPr>
          <w:rFonts w:ascii="宋体"/>
          <w:sz w:val="24"/>
        </w:rPr>
      </w:pPr>
      <w:r>
        <w:rPr>
          <w:rFonts w:hint="eastAsia" w:ascii="宋体"/>
          <w:sz w:val="24"/>
        </w:rPr>
        <w:t>8.2.2  运输应防污染、防火、防潮、防热。有特殊需求时，在订货合同中注明。</w:t>
      </w:r>
    </w:p>
    <w:p>
      <w:pPr>
        <w:pStyle w:val="17"/>
        <w:ind w:firstLine="480"/>
        <w:rPr>
          <w:rFonts w:ascii="宋体"/>
          <w:sz w:val="24"/>
        </w:rPr>
      </w:pPr>
      <w:r>
        <w:rPr>
          <w:rFonts w:hint="eastAsia" w:ascii="宋体"/>
          <w:sz w:val="24"/>
        </w:rPr>
        <w:t>8.2.3  浆料一般应在5～25 ℃下贮存，保质期限为3-6个月，对于特殊要求浆料的运输及贮存条件需双方协商，并在订货合同中注明。</w:t>
      </w:r>
    </w:p>
    <w:p>
      <w:pPr>
        <w:pStyle w:val="17"/>
        <w:ind w:firstLine="482"/>
        <w:rPr>
          <w:rFonts w:ascii="Times New Roman" w:hAnsi="Times New Roman"/>
          <w:sz w:val="24"/>
          <w:szCs w:val="24"/>
        </w:rPr>
      </w:pPr>
      <w:r>
        <w:rPr>
          <w:rFonts w:hint="eastAsia" w:ascii="宋体" w:hAnsi="宋体"/>
          <w:b/>
          <w:bCs/>
          <w:sz w:val="24"/>
        </w:rPr>
        <w:t>编制依据：</w:t>
      </w:r>
      <w:r>
        <w:rPr>
          <w:rFonts w:hint="eastAsia" w:ascii="宋体"/>
          <w:sz w:val="24"/>
        </w:rPr>
        <w:t>原标准包装要求未参照国标进行规定，现参考GB/T 17472—2008、GB/T</w:t>
      </w:r>
      <w:r>
        <w:rPr>
          <w:rFonts w:hint="eastAsia" w:ascii="宋体"/>
          <w:sz w:val="32"/>
          <w:szCs w:val="32"/>
          <w:vertAlign w:val="superscript"/>
        </w:rPr>
        <w:t xml:space="preserve"> </w:t>
      </w:r>
      <w:r>
        <w:rPr>
          <w:rFonts w:hint="eastAsia" w:ascii="宋体"/>
          <w:sz w:val="24"/>
        </w:rPr>
        <w:t>19445进行修改，其他修改规定依据来自市场调研。</w:t>
      </w:r>
    </w:p>
    <w:p>
      <w:pPr>
        <w:autoSpaceDE w:val="0"/>
        <w:autoSpaceDN w:val="0"/>
        <w:adjustRightInd w:val="0"/>
        <w:spacing w:after="160"/>
        <w:ind w:firstLine="480" w:firstLineChars="200"/>
        <w:jc w:val="left"/>
        <w:rPr>
          <w:rFonts w:ascii="Times New Roman" w:hAnsi="Times New Roman"/>
          <w:sz w:val="24"/>
          <w:szCs w:val="24"/>
        </w:rPr>
      </w:pPr>
      <w:r>
        <w:rPr>
          <w:rFonts w:ascii="Times New Roman" w:hAnsi="Times New Roman"/>
          <w:sz w:val="24"/>
          <w:szCs w:val="24"/>
        </w:rPr>
        <w:t>如下为新旧标准水平对比表</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2622"/>
        <w:gridCol w:w="262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utoSpaceDE w:val="0"/>
              <w:autoSpaceDN w:val="0"/>
              <w:spacing w:line="240" w:lineRule="auto"/>
              <w:jc w:val="center"/>
              <w:rPr>
                <w:rFonts w:ascii="Times New Roman" w:hAnsi="Times New Roman"/>
                <w:szCs w:val="21"/>
              </w:rPr>
            </w:pPr>
            <w:r>
              <w:rPr>
                <w:rFonts w:ascii="Times New Roman" w:hAnsi="Times New Roman"/>
                <w:szCs w:val="21"/>
              </w:rPr>
              <w:t>项   目</w:t>
            </w:r>
          </w:p>
        </w:tc>
        <w:tc>
          <w:tcPr>
            <w:tcW w:w="2622" w:type="dxa"/>
          </w:tcPr>
          <w:p>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23" w:type="dxa"/>
          </w:tcPr>
          <w:p>
            <w:pPr>
              <w:autoSpaceDE w:val="0"/>
              <w:autoSpaceDN w:val="0"/>
              <w:spacing w:line="240" w:lineRule="auto"/>
              <w:jc w:val="center"/>
              <w:rPr>
                <w:rFonts w:ascii="Times New Roman" w:hAnsi="Times New Roman"/>
                <w:szCs w:val="21"/>
              </w:rPr>
            </w:pPr>
            <w:r>
              <w:rPr>
                <w:rFonts w:ascii="Times New Roman" w:hAnsi="Times New Roman"/>
                <w:szCs w:val="21"/>
              </w:rPr>
              <w:t>修订标准</w:t>
            </w:r>
          </w:p>
        </w:tc>
        <w:tc>
          <w:tcPr>
            <w:tcW w:w="1158" w:type="dxa"/>
          </w:tcPr>
          <w:p>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utoSpaceDE w:val="0"/>
              <w:autoSpaceDN w:val="0"/>
              <w:spacing w:line="240" w:lineRule="auto"/>
              <w:jc w:val="left"/>
              <w:rPr>
                <w:rFonts w:ascii="Times New Roman" w:hAnsi="Times New Roman"/>
                <w:szCs w:val="21"/>
              </w:rPr>
            </w:pPr>
            <w:r>
              <w:rPr>
                <w:rFonts w:hint="eastAsia" w:ascii="Times New Roman" w:hAnsi="Times New Roman"/>
                <w:szCs w:val="21"/>
              </w:rPr>
              <w:t>产品分类</w:t>
            </w:r>
          </w:p>
        </w:tc>
        <w:tc>
          <w:tcPr>
            <w:tcW w:w="2622" w:type="dxa"/>
          </w:tcPr>
          <w:p>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hint="eastAsia" w:ascii="Times New Roman" w:hAnsi="Times New Roman"/>
                <w:szCs w:val="21"/>
              </w:rPr>
              <w:t>分类不涵盖现有的产品</w:t>
            </w:r>
          </w:p>
        </w:tc>
        <w:tc>
          <w:tcPr>
            <w:tcW w:w="2623" w:type="dxa"/>
          </w:tcPr>
          <w:p>
            <w:pPr>
              <w:autoSpaceDE w:val="0"/>
              <w:autoSpaceDN w:val="0"/>
              <w:spacing w:line="240" w:lineRule="auto"/>
              <w:jc w:val="left"/>
              <w:rPr>
                <w:rFonts w:ascii="Times New Roman" w:hAnsi="Times New Roman"/>
                <w:szCs w:val="21"/>
              </w:rPr>
            </w:pPr>
            <w:r>
              <w:rPr>
                <w:rFonts w:hint="eastAsia" w:ascii="Times New Roman" w:hAnsi="Times New Roman"/>
                <w:szCs w:val="21"/>
              </w:rPr>
              <w:t>以银浆用途为划分，将新老产品全部包含在内</w:t>
            </w:r>
          </w:p>
        </w:tc>
        <w:tc>
          <w:tcPr>
            <w:tcW w:w="1158" w:type="dxa"/>
          </w:tcPr>
          <w:p>
            <w:pPr>
              <w:autoSpaceDE w:val="0"/>
              <w:autoSpaceDN w:val="0"/>
              <w:spacing w:line="240" w:lineRule="auto"/>
              <w:jc w:val="left"/>
              <w:rPr>
                <w:rFonts w:ascii="Times New Roman" w:hAnsi="Times New Roman"/>
                <w:szCs w:val="21"/>
              </w:rPr>
            </w:pPr>
            <w:r>
              <w:rPr>
                <w:rFonts w:ascii="Times New Roman" w:hAnsi="Times New Roman"/>
                <w:szCs w:val="21"/>
              </w:rPr>
              <w:t>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autoSpaceDE w:val="0"/>
              <w:autoSpaceDN w:val="0"/>
              <w:spacing w:line="240" w:lineRule="auto"/>
              <w:jc w:val="left"/>
              <w:rPr>
                <w:rFonts w:ascii="Times New Roman" w:hAnsi="Times New Roman"/>
                <w:szCs w:val="21"/>
              </w:rPr>
            </w:pPr>
            <w:r>
              <w:rPr>
                <w:rFonts w:hint="eastAsia" w:ascii="Times New Roman" w:hAnsi="Times New Roman"/>
                <w:szCs w:val="21"/>
              </w:rPr>
              <w:t>产品性能指标</w:t>
            </w:r>
          </w:p>
        </w:tc>
        <w:tc>
          <w:tcPr>
            <w:tcW w:w="2622" w:type="dxa"/>
          </w:tcPr>
          <w:p>
            <w:pPr>
              <w:autoSpaceDE w:val="0"/>
              <w:autoSpaceDN w:val="0"/>
              <w:spacing w:line="240" w:lineRule="auto"/>
              <w:jc w:val="left"/>
              <w:rPr>
                <w:rFonts w:ascii="Times New Roman" w:hAnsi="Times New Roman"/>
                <w:szCs w:val="21"/>
              </w:rPr>
            </w:pPr>
            <w:r>
              <w:rPr>
                <w:rFonts w:hint="eastAsia" w:ascii="Times New Roman" w:hAnsi="Times New Roman"/>
                <w:szCs w:val="21"/>
              </w:rPr>
              <w:t>范围窄，缺乏实际应用意义</w:t>
            </w:r>
          </w:p>
        </w:tc>
        <w:tc>
          <w:tcPr>
            <w:tcW w:w="2623" w:type="dxa"/>
          </w:tcPr>
          <w:p>
            <w:pPr>
              <w:autoSpaceDE w:val="0"/>
              <w:autoSpaceDN w:val="0"/>
              <w:spacing w:line="240" w:lineRule="auto"/>
              <w:jc w:val="left"/>
              <w:rPr>
                <w:rFonts w:ascii="Times New Roman" w:hAnsi="Times New Roman"/>
                <w:szCs w:val="21"/>
              </w:rPr>
            </w:pPr>
            <w:r>
              <w:rPr>
                <w:rFonts w:ascii="Times New Roman" w:hAnsi="Times New Roman"/>
                <w:szCs w:val="21"/>
              </w:rPr>
              <w:t>考虑全面，</w:t>
            </w:r>
            <w:r>
              <w:rPr>
                <w:rFonts w:hint="eastAsia" w:ascii="Times New Roman" w:hAnsi="Times New Roman"/>
                <w:szCs w:val="21"/>
              </w:rPr>
              <w:t>涵盖所有固化型银导体浆料</w:t>
            </w:r>
          </w:p>
        </w:tc>
        <w:tc>
          <w:tcPr>
            <w:tcW w:w="1158" w:type="dxa"/>
          </w:tcPr>
          <w:p>
            <w:pPr>
              <w:autoSpaceDE w:val="0"/>
              <w:autoSpaceDN w:val="0"/>
              <w:spacing w:line="240" w:lineRule="auto"/>
              <w:jc w:val="left"/>
              <w:rPr>
                <w:rFonts w:ascii="Times New Roman" w:hAnsi="Times New Roman"/>
                <w:szCs w:val="21"/>
              </w:rPr>
            </w:pPr>
            <w:r>
              <w:rPr>
                <w:rFonts w:ascii="Times New Roman" w:hAnsi="Times New Roman"/>
                <w:szCs w:val="21"/>
              </w:rPr>
              <w:t>先进</w:t>
            </w:r>
          </w:p>
        </w:tc>
      </w:tr>
    </w:tbl>
    <w:p>
      <w:pPr>
        <w:rPr>
          <w:rFonts w:ascii="宋体"/>
          <w:sz w:val="24"/>
        </w:rPr>
      </w:pPr>
    </w:p>
    <w:p>
      <w:pPr>
        <w:ind w:firstLine="480" w:firstLineChars="200"/>
        <w:rPr>
          <w:rFonts w:ascii="宋体"/>
          <w:sz w:val="24"/>
        </w:rPr>
      </w:pPr>
      <w:r>
        <w:rPr>
          <w:rFonts w:hint="eastAsia" w:ascii="宋体"/>
          <w:sz w:val="24"/>
        </w:rPr>
        <w:t>根据工作计划，贵研铂业股份有限公司公司于2019年4月组织相关技术人员组成了《固化型银导体浆料》标准制定起草小组，主要进行如下工作：标准起草成员深入生产现场调研生产工艺、设备、检验工艺过程，了解产品性能，建立本标准的技术依据。同时组织人员查阅和检索国内外有关该产品技术标准和资料，开展对用户的调研工作，确定了不同厂家对使用工艺的要求及性能应用的范围，相关技术指标如下表：</w:t>
      </w:r>
    </w:p>
    <w:p>
      <w:pPr>
        <w:pStyle w:val="17"/>
        <w:spacing w:line="360" w:lineRule="exact"/>
        <w:jc w:val="center"/>
        <w:rPr>
          <w:rFonts w:ascii="Times New Roman" w:hAnsi="Times New Roman"/>
        </w:rPr>
      </w:pPr>
    </w:p>
    <w:p>
      <w:pPr>
        <w:pStyle w:val="17"/>
        <w:spacing w:line="360" w:lineRule="exact"/>
        <w:jc w:val="center"/>
        <w:rPr>
          <w:rFonts w:ascii="Times New Roman" w:hAnsi="Times New Roman" w:cs="黑体"/>
          <w:bCs/>
          <w:szCs w:val="21"/>
        </w:rPr>
      </w:pPr>
      <w:r>
        <w:rPr>
          <w:rFonts w:hint="eastAsia" w:ascii="Times New Roman" w:hAnsi="Times New Roman"/>
        </w:rPr>
        <w:t>不同使用厂家技术要求</w:t>
      </w:r>
    </w:p>
    <w:tbl>
      <w:tblPr>
        <w:tblStyle w:val="8"/>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61"/>
        <w:gridCol w:w="661"/>
        <w:gridCol w:w="661"/>
        <w:gridCol w:w="661"/>
        <w:gridCol w:w="661"/>
        <w:gridCol w:w="661"/>
        <w:gridCol w:w="661"/>
        <w:gridCol w:w="661"/>
        <w:gridCol w:w="661"/>
        <w:gridCol w:w="661"/>
        <w:gridCol w:w="66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restart"/>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指</w:t>
            </w:r>
          </w:p>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标</w:t>
            </w:r>
          </w:p>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项</w:t>
            </w:r>
          </w:p>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8"/>
              </w:rPr>
              <w:t>目</w:t>
            </w:r>
          </w:p>
        </w:tc>
        <w:tc>
          <w:tcPr>
            <w:tcW w:w="7932" w:type="dxa"/>
            <w:gridSpan w:val="12"/>
          </w:tcPr>
          <w:p>
            <w:pPr>
              <w:pStyle w:val="17"/>
              <w:spacing w:line="360" w:lineRule="exact"/>
              <w:ind w:firstLine="360"/>
              <w:jc w:val="center"/>
              <w:rPr>
                <w:rFonts w:ascii="Times New Roman" w:hAnsi="Times New Roman" w:eastAsia="黑体" w:cs="黑体"/>
                <w:bCs/>
                <w:szCs w:val="21"/>
              </w:rPr>
            </w:pPr>
            <w:r>
              <w:rPr>
                <w:rFonts w:hint="eastAsia" w:ascii="宋体" w:hAnsi="宋体" w:cs="宋体"/>
                <w:kern w:val="1"/>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tcPr>
          <w:p>
            <w:pPr>
              <w:pStyle w:val="17"/>
              <w:spacing w:line="360" w:lineRule="exact"/>
              <w:rPr>
                <w:rFonts w:ascii="Times New Roman" w:hAnsi="Times New Roman" w:eastAsia="黑体" w:cs="黑体"/>
                <w:bCs/>
                <w:szCs w:val="21"/>
              </w:rPr>
            </w:pPr>
          </w:p>
        </w:tc>
        <w:tc>
          <w:tcPr>
            <w:tcW w:w="1983" w:type="dxa"/>
            <w:gridSpan w:val="3"/>
          </w:tcPr>
          <w:p>
            <w:pPr>
              <w:pStyle w:val="17"/>
              <w:spacing w:line="360" w:lineRule="exact"/>
              <w:ind w:firstLine="0" w:firstLineChars="0"/>
              <w:jc w:val="center"/>
              <w:rPr>
                <w:rFonts w:ascii="Times New Roman" w:hAnsi="Times New Roman" w:eastAsia="黑体" w:cs="黑体"/>
                <w:bCs/>
                <w:szCs w:val="21"/>
              </w:rPr>
            </w:pPr>
            <w:r>
              <w:rPr>
                <w:rFonts w:ascii="宋体" w:hAnsi="宋体" w:cs="宋体"/>
                <w:kern w:val="1"/>
                <w:sz w:val="18"/>
              </w:rPr>
              <w:t>膜片开关用低温银浆</w:t>
            </w:r>
          </w:p>
        </w:tc>
        <w:tc>
          <w:tcPr>
            <w:tcW w:w="1983" w:type="dxa"/>
            <w:gridSpan w:val="3"/>
          </w:tcPr>
          <w:p>
            <w:pPr>
              <w:pStyle w:val="17"/>
              <w:spacing w:line="360" w:lineRule="exact"/>
              <w:ind w:firstLine="0" w:firstLineChars="0"/>
              <w:jc w:val="center"/>
              <w:rPr>
                <w:rFonts w:ascii="Times New Roman" w:hAnsi="Times New Roman" w:eastAsia="黑体" w:cs="黑体"/>
                <w:bCs/>
                <w:szCs w:val="21"/>
              </w:rPr>
            </w:pPr>
            <w:r>
              <w:rPr>
                <w:rFonts w:ascii="宋体" w:hAnsi="宋体" w:cs="宋体"/>
                <w:kern w:val="1"/>
                <w:sz w:val="18"/>
              </w:rPr>
              <w:t>碳膜电位器用银浆</w:t>
            </w:r>
          </w:p>
        </w:tc>
        <w:tc>
          <w:tcPr>
            <w:tcW w:w="1983" w:type="dxa"/>
            <w:gridSpan w:val="3"/>
          </w:tcPr>
          <w:p>
            <w:pPr>
              <w:pStyle w:val="17"/>
              <w:spacing w:line="360" w:lineRule="exact"/>
              <w:ind w:firstLine="360"/>
              <w:jc w:val="center"/>
              <w:rPr>
                <w:rFonts w:ascii="Times New Roman" w:hAnsi="Times New Roman" w:eastAsia="黑体" w:cs="黑体"/>
                <w:bCs/>
                <w:szCs w:val="21"/>
              </w:rPr>
            </w:pPr>
            <w:r>
              <w:rPr>
                <w:rFonts w:hint="eastAsia" w:ascii="宋体" w:hAnsi="宋体" w:cs="宋体"/>
                <w:kern w:val="1"/>
                <w:sz w:val="18"/>
              </w:rPr>
              <w:t>单组分银导电胶</w:t>
            </w:r>
          </w:p>
        </w:tc>
        <w:tc>
          <w:tcPr>
            <w:tcW w:w="1983" w:type="dxa"/>
            <w:gridSpan w:val="3"/>
          </w:tcPr>
          <w:p>
            <w:pPr>
              <w:pStyle w:val="17"/>
              <w:spacing w:line="360" w:lineRule="exact"/>
              <w:ind w:firstLine="360"/>
              <w:jc w:val="center"/>
              <w:rPr>
                <w:rFonts w:ascii="Times New Roman" w:hAnsi="Times New Roman" w:eastAsia="黑体" w:cs="黑体"/>
                <w:bCs/>
                <w:szCs w:val="21"/>
              </w:rPr>
            </w:pPr>
            <w:r>
              <w:rPr>
                <w:rFonts w:hint="eastAsia" w:ascii="宋体" w:hAnsi="宋体" w:cs="宋体"/>
                <w:kern w:val="1"/>
                <w:sz w:val="18"/>
              </w:rPr>
              <w:t>双组分银导电胶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4" w:type="dxa"/>
            <w:vMerge w:val="continue"/>
          </w:tcPr>
          <w:p>
            <w:pPr>
              <w:pStyle w:val="17"/>
              <w:spacing w:line="360" w:lineRule="exact"/>
              <w:rPr>
                <w:rFonts w:ascii="Times New Roman" w:hAnsi="Times New Roman" w:eastAsia="黑体" w:cs="黑体"/>
                <w:bCs/>
                <w:szCs w:val="21"/>
              </w:rPr>
            </w:pP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61" w:type="dxa"/>
          </w:tcPr>
          <w:p>
            <w:pPr>
              <w:pStyle w:val="17"/>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固化温度</w:t>
            </w:r>
          </w:p>
          <w:p>
            <w:pPr>
              <w:pStyle w:val="17"/>
              <w:spacing w:line="360" w:lineRule="exact"/>
              <w:ind w:firstLine="0" w:firstLineChars="0"/>
              <w:jc w:val="center"/>
              <w:rPr>
                <w:rFonts w:ascii="Times New Roman" w:hAnsi="Times New Roman"/>
              </w:rPr>
            </w:pPr>
            <w:r>
              <w:rPr>
                <w:rFonts w:hint="eastAsia" w:ascii="Times New Roman" w:hAnsi="Times New Roman"/>
              </w:rPr>
              <w:t>(℃）</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80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160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180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210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120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150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80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150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固化时间</w:t>
            </w:r>
          </w:p>
          <w:p>
            <w:pPr>
              <w:pStyle w:val="17"/>
              <w:spacing w:line="360" w:lineRule="exact"/>
              <w:ind w:firstLine="0" w:firstLineChars="0"/>
              <w:jc w:val="center"/>
              <w:rPr>
                <w:rFonts w:ascii="Times New Roman" w:hAnsi="Times New Roman"/>
              </w:rPr>
            </w:pPr>
            <w:r>
              <w:rPr>
                <w:rFonts w:hint="eastAsia" w:ascii="Times New Roman" w:hAnsi="Times New Roman"/>
              </w:rPr>
              <w:t>(min)</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90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25</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25</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15</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60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90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720-1440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细度</w:t>
            </w:r>
          </w:p>
          <w:p>
            <w:pPr>
              <w:pStyle w:val="17"/>
              <w:spacing w:line="360" w:lineRule="exact"/>
              <w:ind w:firstLine="0" w:firstLineChars="0"/>
              <w:jc w:val="center"/>
              <w:rPr>
                <w:rFonts w:ascii="Times New Roman" w:hAnsi="Times New Roman"/>
              </w:rPr>
            </w:pPr>
            <w:r>
              <w:rPr>
                <w:rFonts w:hint="eastAsia" w:ascii="Times New Roman" w:hAnsi="Times New Roman"/>
              </w:rPr>
              <w:t>(</w:t>
            </w:r>
            <w:r>
              <w:rPr>
                <w:rFonts w:hint="eastAsia" w:ascii="微软雅黑" w:hAnsi="微软雅黑" w:eastAsia="微软雅黑" w:cs="微软雅黑"/>
              </w:rPr>
              <w:t>μ</w:t>
            </w:r>
            <w:r>
              <w:rPr>
                <w:rFonts w:hint="eastAsia" w:ascii="Times New Roman" w:hAnsi="Times New Roman"/>
              </w:rPr>
              <w:t>m)</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&lt;10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&lt;10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&lt;10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&lt;30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&lt;15</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&lt;15</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&lt;15</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&lt;20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&lt;20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74" w:type="dxa"/>
          </w:tcPr>
          <w:p>
            <w:pPr>
              <w:pStyle w:val="17"/>
              <w:spacing w:line="240" w:lineRule="auto"/>
              <w:ind w:firstLine="0" w:firstLineChars="0"/>
              <w:jc w:val="center"/>
              <w:rPr>
                <w:rFonts w:ascii="Times New Roman" w:hAnsi="Times New Roman"/>
              </w:rPr>
            </w:pPr>
            <w:r>
              <w:rPr>
                <w:rFonts w:hint="eastAsia" w:ascii="Times New Roman" w:hAnsi="Times New Roman"/>
              </w:rPr>
              <w:t>粘度</w:t>
            </w:r>
          </w:p>
          <w:p>
            <w:pPr>
              <w:pStyle w:val="17"/>
              <w:spacing w:line="240" w:lineRule="auto"/>
              <w:ind w:firstLine="0" w:firstLineChars="0"/>
              <w:jc w:val="center"/>
              <w:rPr>
                <w:rFonts w:ascii="Times New Roman" w:hAnsi="Times New Roman"/>
              </w:rPr>
            </w:pPr>
            <w:r>
              <w:rPr>
                <w:rFonts w:hint="eastAsia" w:ascii="Times New Roman" w:hAnsi="Times New Roman"/>
              </w:rPr>
              <w:t>(dPa·S)</w:t>
            </w:r>
          </w:p>
          <w:p>
            <w:pPr>
              <w:pStyle w:val="17"/>
              <w:spacing w:line="240" w:lineRule="auto"/>
              <w:ind w:firstLine="0" w:firstLineChars="0"/>
              <w:jc w:val="center"/>
              <w:rPr>
                <w:rFonts w:ascii="Times New Roman" w:hAnsi="Times New Roman"/>
              </w:rPr>
            </w:pPr>
            <w:r>
              <w:rPr>
                <w:rFonts w:hint="eastAsia" w:ascii="Times New Roman" w:hAnsi="Times New Roman"/>
                <w:sz w:val="13"/>
                <w:szCs w:val="13"/>
              </w:rPr>
              <w:t>剪切速率10</w:t>
            </w:r>
            <w:r>
              <w:rPr>
                <w:rFonts w:hint="eastAsia" w:ascii="Times New Roman" w:hAnsi="Times New Roman"/>
                <w:sz w:val="13"/>
                <w:szCs w:val="13"/>
                <w:vertAlign w:val="superscript"/>
                <w:lang w:val="en-US" w:eastAsia="zh-CN"/>
              </w:rPr>
              <w:t>-1</w:t>
            </w:r>
            <w:r>
              <w:rPr>
                <w:rFonts w:hint="eastAsia" w:ascii="Times New Roman" w:hAnsi="Times New Roman"/>
                <w:sz w:val="13"/>
                <w:szCs w:val="13"/>
              </w:rPr>
              <w:t xml:space="preserve">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180～200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250～300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100～200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160～200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50～100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200～300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200～300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250～300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400～500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250～300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450～500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方阻</w:t>
            </w:r>
          </w:p>
          <w:p>
            <w:pPr>
              <w:pStyle w:val="17"/>
              <w:spacing w:line="360" w:lineRule="exact"/>
              <w:ind w:firstLine="0" w:firstLineChars="0"/>
              <w:jc w:val="center"/>
              <w:rPr>
                <w:rFonts w:ascii="Times New Roman" w:hAnsi="Times New Roman"/>
              </w:rPr>
            </w:pPr>
            <w:r>
              <w:rPr>
                <w:rFonts w:hint="eastAsia" w:ascii="Times New Roman" w:hAnsi="Times New Roman"/>
                <w:sz w:val="15"/>
                <w:szCs w:val="15"/>
              </w:rPr>
              <w:t>(m</w:t>
            </w:r>
            <w:r>
              <w:rPr>
                <w:rFonts w:hint="eastAsia" w:ascii="微软雅黑" w:hAnsi="微软雅黑" w:eastAsia="微软雅黑" w:cs="微软雅黑"/>
                <w:sz w:val="15"/>
                <w:szCs w:val="15"/>
              </w:rPr>
              <w:t>Ω</w:t>
            </w:r>
            <w:r>
              <w:rPr>
                <w:rFonts w:hint="eastAsia" w:ascii="Times New Roman" w:hAnsi="Times New Roman"/>
                <w:sz w:val="15"/>
                <w:szCs w:val="15"/>
              </w:rPr>
              <w:t>/</w:t>
            </w:r>
            <w:r>
              <w:rPr>
                <w:rFonts w:hint="eastAsia" w:ascii="Times New Roman" w:hAnsi="Times New Roman"/>
                <w:sz w:val="15"/>
                <w:szCs w:val="15"/>
              </w:rPr>
              <w:sym w:font="Wingdings" w:char="00A8"/>
            </w:r>
            <w:r>
              <w:rPr>
                <w:rFonts w:hint="eastAsia" w:ascii="Times New Roman" w:hAnsi="Times New Roman"/>
                <w:sz w:val="15"/>
                <w:szCs w:val="15"/>
              </w:rPr>
              <w:t>)</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≤40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≤40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≤40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&lt;200</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sz w:val="15"/>
                <w:szCs w:val="15"/>
              </w:rPr>
            </w:pPr>
            <w:r>
              <w:rPr>
                <w:rFonts w:hint="eastAsia" w:ascii="宋体" w:hAnsi="宋体" w:cs="宋体"/>
                <w:kern w:val="1"/>
                <w:sz w:val="15"/>
                <w:szCs w:val="15"/>
              </w:rPr>
              <w:t>体积</w:t>
            </w:r>
            <w:r>
              <w:rPr>
                <w:rFonts w:hint="eastAsia" w:ascii="Times New Roman" w:hAnsi="Times New Roman"/>
                <w:sz w:val="15"/>
                <w:szCs w:val="15"/>
              </w:rPr>
              <w:t>电阻率</w:t>
            </w:r>
          </w:p>
          <w:p>
            <w:pPr>
              <w:pStyle w:val="17"/>
              <w:spacing w:line="360" w:lineRule="exact"/>
              <w:ind w:firstLine="0" w:firstLineChars="0"/>
              <w:jc w:val="center"/>
              <w:rPr>
                <w:rFonts w:ascii="Times New Roman" w:hAnsi="Times New Roman"/>
              </w:rPr>
            </w:pPr>
            <w:r>
              <w:rPr>
                <w:rFonts w:hint="eastAsia" w:ascii="Times New Roman" w:hAnsi="Times New Roman"/>
              </w:rPr>
              <w:t>(</w:t>
            </w:r>
            <w:r>
              <w:rPr>
                <w:rFonts w:hint="eastAsia" w:ascii="微软雅黑" w:hAnsi="微软雅黑" w:eastAsia="微软雅黑" w:cs="微软雅黑"/>
              </w:rPr>
              <w:t>Ω</w:t>
            </w:r>
            <w:r>
              <w:rPr>
                <w:rFonts w:hint="eastAsia" w:ascii="Times New Roman" w:hAnsi="Times New Roman"/>
              </w:rPr>
              <w:t>·cm)</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≤1×10</w:t>
            </w:r>
            <w:r>
              <w:rPr>
                <w:rFonts w:hint="eastAsia" w:ascii="Times New Roman" w:hAnsi="Times New Roman" w:eastAsia="黑体" w:cs="黑体"/>
                <w:bCs/>
                <w:szCs w:val="21"/>
                <w:vertAlign w:val="superscript"/>
              </w:rPr>
              <w:t>-4</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≤1×10</w:t>
            </w:r>
            <w:r>
              <w:rPr>
                <w:rFonts w:hint="eastAsia" w:ascii="Times New Roman" w:hAnsi="Times New Roman" w:eastAsia="黑体" w:cs="黑体"/>
                <w:bCs/>
                <w:szCs w:val="21"/>
                <w:vertAlign w:val="superscript"/>
              </w:rPr>
              <w:t>-4</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≤1×10</w:t>
            </w:r>
            <w:r>
              <w:rPr>
                <w:rFonts w:hint="eastAsia" w:ascii="Times New Roman" w:hAnsi="Times New Roman" w:eastAsia="黑体" w:cs="黑体"/>
                <w:bCs/>
                <w:szCs w:val="21"/>
                <w:vertAlign w:val="superscript"/>
              </w:rPr>
              <w:t>-4</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≤1×10</w:t>
            </w:r>
            <w:r>
              <w:rPr>
                <w:rFonts w:hint="eastAsia" w:ascii="Times New Roman" w:hAnsi="Times New Roman" w:eastAsia="黑体" w:cs="黑体"/>
                <w:bCs/>
                <w:szCs w:val="21"/>
                <w:vertAlign w:val="superscript"/>
              </w:rPr>
              <w:t>-3</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≤1×10</w:t>
            </w:r>
            <w:r>
              <w:rPr>
                <w:rFonts w:hint="eastAsia" w:ascii="Times New Roman" w:hAnsi="Times New Roman" w:eastAsia="黑体" w:cs="黑体"/>
                <w:bCs/>
                <w:szCs w:val="21"/>
                <w:vertAlign w:val="superscript"/>
              </w:rPr>
              <w:t>-3</w:t>
            </w:r>
          </w:p>
        </w:tc>
        <w:tc>
          <w:tcPr>
            <w:tcW w:w="661" w:type="dxa"/>
          </w:tcPr>
          <w:p>
            <w:pPr>
              <w:pStyle w:val="17"/>
              <w:spacing w:line="360" w:lineRule="exact"/>
              <w:ind w:firstLine="0" w:firstLineChars="0"/>
              <w:jc w:val="center"/>
              <w:rPr>
                <w:rFonts w:ascii="Times New Roman" w:hAnsi="Times New Roman" w:eastAsia="黑体" w:cs="黑体"/>
                <w:bCs/>
                <w:sz w:val="15"/>
                <w:szCs w:val="15"/>
              </w:rPr>
            </w:pPr>
            <w:r>
              <w:rPr>
                <w:rFonts w:hint="eastAsia" w:ascii="Times New Roman" w:hAnsi="Times New Roman" w:eastAsia="黑体" w:cs="黑体"/>
                <w:bCs/>
                <w:sz w:val="15"/>
                <w:szCs w:val="15"/>
              </w:rPr>
              <w:t>≤1×10</w:t>
            </w:r>
            <w:r>
              <w:rPr>
                <w:rFonts w:hint="eastAsia" w:ascii="Times New Roman" w:hAnsi="Times New Roman" w:eastAsia="黑体" w:cs="黑体"/>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附着力</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c>
          <w:tcPr>
            <w:tcW w:w="661" w:type="dxa"/>
          </w:tcPr>
          <w:p>
            <w:pPr>
              <w:pStyle w:val="17"/>
              <w:spacing w:line="360" w:lineRule="exact"/>
              <w:ind w:firstLine="0" w:firstLineChars="0"/>
              <w:jc w:val="center"/>
              <w:rPr>
                <w:rFonts w:ascii="宋体" w:hAnsi="宋体" w:cs="宋体"/>
                <w:kern w:val="1"/>
                <w:szCs w:val="21"/>
              </w:rPr>
            </w:pPr>
            <w:r>
              <w:rPr>
                <w:rFonts w:hint="eastAsia" w:ascii="宋体" w:hAnsi="宋体" w:cs="宋体"/>
                <w:kern w:val="1"/>
                <w:szCs w:val="21"/>
              </w:rPr>
              <w:t>不脱膜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硬度</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≥2H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≥2H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≥2H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≥4H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≥4H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≥4H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≥4H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≥4H</w:t>
            </w:r>
          </w:p>
        </w:tc>
        <w:tc>
          <w:tcPr>
            <w:tcW w:w="661" w:type="dxa"/>
          </w:tcPr>
          <w:p>
            <w:pPr>
              <w:pStyle w:val="17"/>
              <w:spacing w:line="360" w:lineRule="exact"/>
              <w:ind w:firstLine="0" w:firstLineChars="0"/>
              <w:jc w:val="center"/>
              <w:rPr>
                <w:rFonts w:ascii="宋体" w:hAnsi="宋体" w:cs="宋体"/>
                <w:kern w:val="1"/>
                <w:sz w:val="18"/>
              </w:rPr>
            </w:pPr>
            <w:r>
              <w:rPr>
                <w:rFonts w:hint="eastAsia" w:ascii="宋体" w:hAnsi="宋体" w:cs="宋体"/>
                <w:kern w:val="1"/>
                <w:sz w:val="18"/>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tcPr>
          <w:p>
            <w:pPr>
              <w:pStyle w:val="17"/>
              <w:spacing w:line="360" w:lineRule="exact"/>
              <w:ind w:firstLine="0" w:firstLineChars="0"/>
              <w:jc w:val="center"/>
              <w:rPr>
                <w:rFonts w:ascii="Times New Roman" w:hAnsi="Times New Roman"/>
              </w:rPr>
            </w:pPr>
            <w:r>
              <w:rPr>
                <w:rFonts w:hint="eastAsia" w:ascii="Times New Roman" w:hAnsi="Times New Roman"/>
              </w:rPr>
              <w:t>抗挠折性</w:t>
            </w:r>
          </w:p>
        </w:tc>
        <w:tc>
          <w:tcPr>
            <w:tcW w:w="661" w:type="dxa"/>
          </w:tcPr>
          <w:p>
            <w:pPr>
              <w:pStyle w:val="17"/>
              <w:spacing w:line="360" w:lineRule="exact"/>
              <w:ind w:firstLine="0" w:firstLineChars="0"/>
              <w:jc w:val="center"/>
              <w:rPr>
                <w:rFonts w:ascii="宋体" w:hAnsi="宋体" w:cs="宋体"/>
                <w:kern w:val="1"/>
                <w:sz w:val="13"/>
                <w:szCs w:val="13"/>
              </w:rPr>
            </w:pPr>
            <w:r>
              <w:rPr>
                <w:rFonts w:hint="eastAsia" w:ascii="宋体" w:hAnsi="宋体" w:cs="宋体"/>
                <w:kern w:val="1"/>
                <w:sz w:val="13"/>
                <w:szCs w:val="13"/>
              </w:rPr>
              <w:t>△R</w:t>
            </w:r>
            <w:r>
              <w:rPr>
                <w:rFonts w:hint="eastAsia" w:ascii="宋体" w:hAnsi="宋体" w:cs="宋体"/>
                <w:kern w:val="1"/>
                <w:sz w:val="30"/>
                <w:szCs w:val="30"/>
                <w:vertAlign w:val="subscript"/>
              </w:rPr>
              <w:t>1</w:t>
            </w:r>
            <w:r>
              <w:rPr>
                <w:rFonts w:hint="eastAsia" w:ascii="宋体" w:hAnsi="宋体" w:cs="宋体"/>
                <w:kern w:val="1"/>
                <w:sz w:val="13"/>
                <w:szCs w:val="13"/>
              </w:rPr>
              <w:t>≤300%</w:t>
            </w:r>
          </w:p>
        </w:tc>
        <w:tc>
          <w:tcPr>
            <w:tcW w:w="661" w:type="dxa"/>
          </w:tcPr>
          <w:p>
            <w:pPr>
              <w:pStyle w:val="17"/>
              <w:spacing w:line="360" w:lineRule="exact"/>
              <w:ind w:firstLine="0" w:firstLineChars="0"/>
              <w:jc w:val="center"/>
              <w:rPr>
                <w:rFonts w:ascii="宋体" w:hAnsi="宋体" w:cs="宋体"/>
                <w:kern w:val="1"/>
                <w:sz w:val="13"/>
                <w:szCs w:val="13"/>
              </w:rPr>
            </w:pPr>
            <w:r>
              <w:rPr>
                <w:rFonts w:hint="eastAsia" w:ascii="宋体" w:hAnsi="宋体" w:cs="宋体"/>
                <w:kern w:val="1"/>
                <w:sz w:val="13"/>
                <w:szCs w:val="13"/>
              </w:rPr>
              <w:t>△R</w:t>
            </w:r>
            <w:r>
              <w:rPr>
                <w:rFonts w:hint="eastAsia" w:ascii="宋体" w:hAnsi="宋体" w:cs="宋体"/>
                <w:kern w:val="1"/>
                <w:sz w:val="30"/>
                <w:szCs w:val="30"/>
                <w:vertAlign w:val="subscript"/>
              </w:rPr>
              <w:t>2</w:t>
            </w:r>
            <w:r>
              <w:rPr>
                <w:rFonts w:hint="eastAsia" w:ascii="宋体" w:hAnsi="宋体" w:cs="宋体"/>
                <w:kern w:val="1"/>
                <w:sz w:val="13"/>
                <w:szCs w:val="13"/>
              </w:rPr>
              <w:t>≤300%</w:t>
            </w:r>
          </w:p>
        </w:tc>
        <w:tc>
          <w:tcPr>
            <w:tcW w:w="661" w:type="dxa"/>
          </w:tcPr>
          <w:p>
            <w:pPr>
              <w:pStyle w:val="17"/>
              <w:spacing w:line="360" w:lineRule="exact"/>
              <w:ind w:firstLine="0" w:firstLineChars="0"/>
              <w:jc w:val="center"/>
              <w:rPr>
                <w:rFonts w:ascii="宋体" w:hAnsi="宋体" w:cs="宋体"/>
                <w:kern w:val="1"/>
                <w:sz w:val="13"/>
                <w:szCs w:val="13"/>
              </w:rPr>
            </w:pPr>
            <w:r>
              <w:rPr>
                <w:rFonts w:hint="eastAsia" w:ascii="宋体" w:hAnsi="宋体" w:cs="宋体"/>
                <w:kern w:val="1"/>
                <w:sz w:val="13"/>
                <w:szCs w:val="13"/>
              </w:rPr>
              <w:t>△R</w:t>
            </w:r>
            <w:r>
              <w:rPr>
                <w:rFonts w:hint="eastAsia" w:ascii="宋体" w:hAnsi="宋体" w:cs="宋体"/>
                <w:kern w:val="1"/>
                <w:sz w:val="30"/>
                <w:szCs w:val="30"/>
                <w:vertAlign w:val="subscript"/>
              </w:rPr>
              <w:t>3</w:t>
            </w:r>
            <w:r>
              <w:rPr>
                <w:rFonts w:hint="eastAsia" w:ascii="宋体" w:hAnsi="宋体" w:cs="宋体"/>
                <w:kern w:val="1"/>
                <w:sz w:val="13"/>
                <w:szCs w:val="13"/>
              </w:rPr>
              <w:t>≤300%</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c>
          <w:tcPr>
            <w:tcW w:w="661" w:type="dxa"/>
          </w:tcPr>
          <w:p>
            <w:pPr>
              <w:pStyle w:val="17"/>
              <w:spacing w:line="360" w:lineRule="exact"/>
              <w:ind w:firstLine="0" w:firstLineChars="0"/>
              <w:jc w:val="center"/>
              <w:rPr>
                <w:rFonts w:ascii="宋体" w:hAnsi="宋体" w:cs="宋体"/>
                <w:kern w:val="1"/>
                <w:sz w:val="18"/>
              </w:rPr>
            </w:pPr>
            <w:r>
              <w:rPr>
                <w:rFonts w:hint="eastAsia" w:ascii="Times New Roman" w:hAnsi="Times New Roman" w:eastAsia="黑体" w:cs="黑体"/>
                <w:bCs/>
                <w:sz w:val="15"/>
                <w:szCs w:val="15"/>
              </w:rPr>
              <w:t>— —</w:t>
            </w:r>
          </w:p>
        </w:tc>
      </w:tr>
    </w:tbl>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标准中涉及专利的情况</w:t>
      </w:r>
    </w:p>
    <w:p>
      <w:pPr>
        <w:pStyle w:val="17"/>
        <w:spacing w:after="160"/>
        <w:ind w:left="720" w:firstLine="0" w:firstLineChars="0"/>
        <w:rPr>
          <w:rFonts w:ascii="Times New Roman" w:hAnsi="Times New Roman"/>
          <w:kern w:val="0"/>
          <w:sz w:val="24"/>
          <w:szCs w:val="24"/>
        </w:rPr>
      </w:pPr>
      <w:r>
        <w:rPr>
          <w:rFonts w:ascii="Times New Roman" w:hAnsi="Times New Roman"/>
          <w:kern w:val="0"/>
          <w:sz w:val="24"/>
          <w:szCs w:val="24"/>
        </w:rPr>
        <w:t>本标准的主要技术内容</w:t>
      </w:r>
      <w:r>
        <w:rPr>
          <w:rFonts w:hint="eastAsia" w:ascii="Times New Roman" w:hAnsi="Times New Roman"/>
          <w:kern w:val="0"/>
          <w:sz w:val="24"/>
          <w:szCs w:val="24"/>
        </w:rPr>
        <w:t>不</w:t>
      </w:r>
      <w:r>
        <w:rPr>
          <w:rFonts w:ascii="Times New Roman" w:hAnsi="Times New Roman"/>
          <w:kern w:val="0"/>
          <w:sz w:val="24"/>
          <w:szCs w:val="24"/>
        </w:rPr>
        <w:t>涉及专利。</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预期达到的社会效益等情况</w:t>
      </w:r>
    </w:p>
    <w:p>
      <w:pPr>
        <w:pStyle w:val="17"/>
        <w:numPr>
          <w:ilvl w:val="0"/>
          <w:numId w:val="7"/>
        </w:numPr>
        <w:spacing w:after="160"/>
        <w:ind w:firstLineChars="0"/>
        <w:rPr>
          <w:rFonts w:ascii="Times New Roman" w:hAnsi="Times New Roman"/>
          <w:sz w:val="28"/>
          <w:szCs w:val="28"/>
        </w:rPr>
      </w:pPr>
      <w:r>
        <w:rPr>
          <w:rFonts w:hint="eastAsia" w:ascii="Times New Roman" w:hAnsi="Times New Roman"/>
          <w:sz w:val="28"/>
          <w:szCs w:val="28"/>
        </w:rPr>
        <w:t>项目的必要性简述</w:t>
      </w:r>
    </w:p>
    <w:p>
      <w:pPr>
        <w:spacing w:after="160"/>
        <w:ind w:firstLine="480" w:firstLineChars="200"/>
        <w:rPr>
          <w:sz w:val="24"/>
          <w:szCs w:val="24"/>
        </w:rPr>
      </w:pPr>
      <w:r>
        <w:rPr>
          <w:rFonts w:hint="eastAsia" w:ascii="宋体"/>
          <w:sz w:val="24"/>
        </w:rPr>
        <w:t>修订本标准的原则是以中华人民共和国有色金属行业标准YS/T 606-2006为基础。</w:t>
      </w:r>
      <w:r>
        <w:rPr>
          <w:rFonts w:hint="eastAsia"/>
          <w:sz w:val="24"/>
          <w:szCs w:val="24"/>
        </w:rPr>
        <w:t>随着电子浆料技术的飞速发展，浆料指标的不断优化，行业标准的不断修订，本标准已远远落后于大部分的企业标准，所以有必要对原标准进行系列修订。</w:t>
      </w:r>
    </w:p>
    <w:p>
      <w:pPr>
        <w:pStyle w:val="17"/>
        <w:numPr>
          <w:ilvl w:val="0"/>
          <w:numId w:val="7"/>
        </w:numPr>
        <w:spacing w:after="160"/>
        <w:ind w:firstLineChars="0"/>
        <w:rPr>
          <w:rFonts w:ascii="Times New Roman" w:hAnsi="Times New Roman"/>
          <w:sz w:val="28"/>
          <w:szCs w:val="28"/>
        </w:rPr>
      </w:pPr>
      <w:r>
        <w:rPr>
          <w:rFonts w:hint="eastAsia" w:ascii="Times New Roman" w:hAnsi="Times New Roman"/>
          <w:sz w:val="28"/>
          <w:szCs w:val="28"/>
        </w:rPr>
        <w:t>项目的可行性简述</w:t>
      </w:r>
    </w:p>
    <w:p>
      <w:pPr>
        <w:spacing w:before="156" w:beforeLines="50" w:after="160"/>
        <w:ind w:firstLine="480" w:firstLineChars="200"/>
        <w:rPr>
          <w:rFonts w:ascii="Times New Roman" w:hAnsi="Times New Roman"/>
          <w:kern w:val="0"/>
          <w:sz w:val="24"/>
          <w:szCs w:val="24"/>
        </w:rPr>
      </w:pPr>
      <w:r>
        <w:rPr>
          <w:rFonts w:hAnsi="宋体"/>
          <w:sz w:val="24"/>
        </w:rPr>
        <w:t>贵研铂业股份有限公司在该领域内是领先的产品供应商，标准起草人员多次参与整个生产和使用流程，且贵研铂业股份有限公司在国内贵金属及有色金属分析领域具有权威地位，其标准起草团队多次参与有色行业标准的起草、验证等工作，能够胜任标准的编制工作</w:t>
      </w:r>
      <w:r>
        <w:rPr>
          <w:rFonts w:hint="eastAsia" w:ascii="Times New Roman" w:hAnsi="Times New Roman"/>
          <w:kern w:val="0"/>
          <w:sz w:val="24"/>
          <w:szCs w:val="24"/>
        </w:rPr>
        <w:t>。所以，对于标准的修订在研发和应用方面都十分必要，同时该标准中的修订内容，也进行了试验验证和比较，修改内容切实可行。</w:t>
      </w:r>
    </w:p>
    <w:p>
      <w:pPr>
        <w:pStyle w:val="17"/>
        <w:numPr>
          <w:ilvl w:val="0"/>
          <w:numId w:val="7"/>
        </w:numPr>
        <w:spacing w:after="160"/>
        <w:ind w:firstLineChars="0"/>
        <w:rPr>
          <w:rFonts w:ascii="Times New Roman" w:hAnsi="Times New Roman"/>
          <w:kern w:val="0"/>
          <w:sz w:val="24"/>
          <w:szCs w:val="24"/>
        </w:rPr>
      </w:pPr>
      <w:r>
        <w:rPr>
          <w:rFonts w:hint="eastAsia" w:ascii="Times New Roman" w:hAnsi="Times New Roman"/>
          <w:sz w:val="28"/>
          <w:szCs w:val="28"/>
        </w:rPr>
        <w:t>标准的先进性、创新性、标准实施后预期产生的经济效益和社会效益</w:t>
      </w:r>
    </w:p>
    <w:p>
      <w:pPr>
        <w:pStyle w:val="19"/>
        <w:spacing w:line="360" w:lineRule="auto"/>
        <w:ind w:firstLine="480"/>
        <w:rPr>
          <w:rFonts w:ascii="Times New Roman"/>
          <w:sz w:val="24"/>
          <w:szCs w:val="24"/>
        </w:rPr>
      </w:pPr>
      <w:r>
        <w:rPr>
          <w:rFonts w:hint="eastAsia" w:ascii="Times New Roman"/>
          <w:sz w:val="24"/>
          <w:szCs w:val="24"/>
        </w:rPr>
        <w:t>近年来随着电子信息技术的快速发展，高集成化、轻量化、智能化、绿色化已然成为国内外电子产品的发展方向，因而对作为核心材料的电子浆料需求增大，性能要求提高，应用范围更加广泛。固化型银导体浆料现已成为国民经济发展和现代国防建设不可或缺的重要产品，也是制造各类电子元器件的关键基础材料，广泛应用于国防军工研发、民用家电制造、农业机械生产、工业自动化升级、5G信息技术产业、汽车产业等领域。</w:t>
      </w:r>
    </w:p>
    <w:p>
      <w:pPr>
        <w:pStyle w:val="19"/>
        <w:spacing w:line="360" w:lineRule="auto"/>
        <w:ind w:firstLine="480"/>
        <w:rPr>
          <w:rFonts w:ascii="Times New Roman"/>
          <w:sz w:val="24"/>
          <w:szCs w:val="24"/>
        </w:rPr>
      </w:pPr>
      <w:r>
        <w:rPr>
          <w:rFonts w:hint="eastAsia" w:ascii="Times New Roman"/>
          <w:sz w:val="24"/>
          <w:szCs w:val="24"/>
        </w:rPr>
        <w:t>在电子信息产业快速发展的过程中，固化型银导体浆料作为其基础材料扮演着重要的角色，研发新型高性能、低成本电子浆料已成为当今社会发展的必然趋势。近年来，由于电子浆料使用要求和技术创新水平的提高，固化型银导体浆料的品种急速增多，规模增大，应用领域更广，因此，不同浆料性能差异逐渐增大，尤其固化型银导体浆料的固含量和粘度性能差异较为明显。现行标准在当前环境下应用范围较窄，固化型银导体浆料分类不明确，部分性能指标不具代表性，未完全涵盖当前应用领域下的新型固化型银导体浆料，无法有效提供规范性指导意义，因此需要在现有行业标准的基础上对相关内容进行修订和完善，以便为固化型银导体浆料行业产品的生产和应用提供更加科学、规范和有效的指导。</w:t>
      </w:r>
    </w:p>
    <w:p>
      <w:pPr>
        <w:pStyle w:val="19"/>
        <w:spacing w:line="360" w:lineRule="auto"/>
        <w:ind w:firstLine="480"/>
        <w:rPr>
          <w:rFonts w:ascii="Times New Roman"/>
          <w:sz w:val="24"/>
          <w:szCs w:val="24"/>
        </w:rPr>
      </w:pPr>
      <w:r>
        <w:rPr>
          <w:rFonts w:hint="eastAsia" w:ascii="Times New Roman"/>
          <w:sz w:val="24"/>
          <w:szCs w:val="24"/>
        </w:rPr>
        <w:t>本标准的修订是充分考虑了当前市场不同产品现状和应用领域的实际需要，从而对原标准中不完善及不明确的内容做出慎重修订，修订后的标准符合当前市场发展的要求和应用方向，具有可操作性和普遍适用性。</w:t>
      </w:r>
    </w:p>
    <w:p>
      <w:pPr>
        <w:spacing w:after="160"/>
        <w:ind w:firstLine="480" w:firstLineChars="200"/>
        <w:rPr>
          <w:rFonts w:ascii="Times New Roman" w:hAnsi="Times New Roman"/>
          <w:kern w:val="0"/>
          <w:sz w:val="24"/>
          <w:szCs w:val="24"/>
        </w:rPr>
      </w:pPr>
      <w:r>
        <w:rPr>
          <w:rFonts w:hint="eastAsia" w:ascii="Times New Roman" w:hAnsi="Times New Roman"/>
          <w:kern w:val="0"/>
          <w:sz w:val="24"/>
          <w:szCs w:val="24"/>
        </w:rPr>
        <w:t>通过本标准的重新修订，可以完善现阶段固化型银导体浆料的分类、应用领域和性能指标等信息，使行业标准更加符合现阶段固化型银导体浆料的发展需要，并对产品生产、应用和交付提供切实可行的指导意义，从而更好的促进该行业的发展。</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采用国际标准和国外先进标准的情况</w:t>
      </w:r>
    </w:p>
    <w:p>
      <w:pPr>
        <w:pStyle w:val="19"/>
        <w:spacing w:line="360" w:lineRule="auto"/>
        <w:ind w:firstLine="480"/>
        <w:rPr>
          <w:rFonts w:ascii="Times New Roman"/>
          <w:sz w:val="24"/>
          <w:szCs w:val="24"/>
        </w:rPr>
      </w:pPr>
      <w:r>
        <w:rPr>
          <w:rFonts w:hint="eastAsia" w:ascii="Times New Roman"/>
          <w:sz w:val="24"/>
          <w:szCs w:val="24"/>
        </w:rPr>
        <w:t>贵研铂业股份有限公司接到制定任务后，认真分析和研究国内外相关标准的基本内容和特点，以</w:t>
      </w:r>
      <w:r>
        <w:rPr>
          <w:rFonts w:asciiTheme="minorHAnsi" w:hAnsiTheme="minorHAnsi"/>
          <w:kern w:val="2"/>
          <w:sz w:val="24"/>
          <w:szCs w:val="22"/>
        </w:rPr>
        <w:t>YS/T</w:t>
      </w:r>
      <w:r>
        <w:rPr>
          <w:rFonts w:asciiTheme="minorHAnsi" w:hAnsiTheme="minorHAnsi"/>
          <w:sz w:val="32"/>
          <w:szCs w:val="32"/>
          <w:vertAlign w:val="superscript"/>
        </w:rPr>
        <w:t xml:space="preserve"> </w:t>
      </w:r>
      <w:r>
        <w:rPr>
          <w:rFonts w:asciiTheme="minorHAnsi" w:hAnsiTheme="minorHAnsi"/>
          <w:kern w:val="2"/>
          <w:sz w:val="24"/>
          <w:szCs w:val="22"/>
        </w:rPr>
        <w:t>606-2006</w:t>
      </w:r>
      <w:r>
        <w:rPr>
          <w:rFonts w:hint="eastAsia" w:ascii="Times New Roman"/>
          <w:sz w:val="24"/>
          <w:szCs w:val="24"/>
        </w:rPr>
        <w:t>《固化型银导体浆料》为基础，参考国内外相关标准，既考虑标准的先进性，也考虑标准的适用性和可操作性，并根据我国原材料加工能力、分析水平等实际情况，力求使该标准与国外先进标准接轨。</w:t>
      </w:r>
    </w:p>
    <w:p>
      <w:pPr>
        <w:pStyle w:val="19"/>
        <w:spacing w:line="360" w:lineRule="auto"/>
        <w:ind w:firstLine="480"/>
        <w:rPr>
          <w:rFonts w:ascii="Times New Roman"/>
          <w:sz w:val="24"/>
          <w:szCs w:val="24"/>
        </w:rPr>
      </w:pPr>
      <w:r>
        <w:rPr>
          <w:rFonts w:hint="eastAsia" w:ascii="Times New Roman"/>
          <w:sz w:val="24"/>
          <w:szCs w:val="24"/>
        </w:rPr>
        <w:t>该标准的制定既能体现生产方的技术水平，又能满足使用方的技术要求。</w:t>
      </w:r>
    </w:p>
    <w:p>
      <w:pPr>
        <w:pStyle w:val="19"/>
        <w:spacing w:line="360" w:lineRule="auto"/>
        <w:ind w:firstLine="480"/>
        <w:rPr>
          <w:rFonts w:ascii="Times New Roman"/>
          <w:sz w:val="24"/>
          <w:szCs w:val="24"/>
        </w:rPr>
      </w:pPr>
      <w:r>
        <w:rPr>
          <w:rFonts w:hint="eastAsia" w:ascii="Times New Roman"/>
          <w:sz w:val="24"/>
          <w:szCs w:val="24"/>
        </w:rPr>
        <w:t>本标准严格按</w:t>
      </w:r>
      <w:r>
        <w:rPr>
          <w:rFonts w:hint="eastAsia" w:hAnsi="Calibri"/>
          <w:kern w:val="2"/>
          <w:sz w:val="24"/>
          <w:szCs w:val="22"/>
        </w:rPr>
        <w:t>照</w:t>
      </w:r>
      <w:r>
        <w:rPr>
          <w:rFonts w:hint="eastAsia" w:asciiTheme="minorHAnsi" w:hAnsiTheme="minorHAnsi"/>
          <w:kern w:val="2"/>
          <w:sz w:val="24"/>
          <w:szCs w:val="22"/>
        </w:rPr>
        <w:t>GB/T 1.1-2020</w:t>
      </w:r>
      <w:r>
        <w:rPr>
          <w:rFonts w:hint="eastAsia" w:hAnsi="Calibri"/>
          <w:kern w:val="2"/>
          <w:sz w:val="24"/>
          <w:szCs w:val="22"/>
        </w:rPr>
        <w:t>《标</w:t>
      </w:r>
      <w:r>
        <w:rPr>
          <w:rFonts w:hint="eastAsia" w:ascii="Times New Roman"/>
          <w:sz w:val="24"/>
          <w:szCs w:val="24"/>
        </w:rPr>
        <w:t>准化工作导则》的《国家标准规范编写示例》进行编写，以范围—规范性引用文件—要求等内容的顺序编写，内容规范。</w:t>
      </w:r>
    </w:p>
    <w:p>
      <w:pPr>
        <w:spacing w:after="160"/>
        <w:ind w:firstLine="480" w:firstLineChars="200"/>
        <w:rPr>
          <w:bCs/>
          <w:sz w:val="24"/>
        </w:rPr>
      </w:pPr>
      <w:bookmarkStart w:id="1" w:name="_GoBack"/>
      <w:bookmarkEnd w:id="1"/>
      <w:r>
        <w:rPr>
          <w:rFonts w:hint="eastAsia" w:asciiTheme="minorHAnsi" w:hAnsiTheme="minorHAnsi"/>
          <w:sz w:val="24"/>
        </w:rPr>
        <w:t>YS/T 606-2006</w:t>
      </w:r>
      <w:r>
        <w:rPr>
          <w:rFonts w:hint="eastAsia" w:ascii="宋体"/>
          <w:sz w:val="24"/>
        </w:rPr>
        <w:t>《固化型银导体浆料》</w:t>
      </w:r>
      <w:r>
        <w:rPr>
          <w:rFonts w:hint="eastAsia" w:ascii="宋体" w:hAnsi="宋体"/>
          <w:sz w:val="24"/>
        </w:rPr>
        <w:t>从发布至今已有十多年，在这期间为规范整个行业起到了巨大的作用，带来了非常大的经济效益。</w:t>
      </w:r>
      <w:r>
        <w:rPr>
          <w:rFonts w:hAnsi="宋体"/>
          <w:sz w:val="24"/>
        </w:rPr>
        <w:t>结合生产实践，拟订具有实用性、可操作性，能够满足生产和使用需要的</w:t>
      </w:r>
      <w:r>
        <w:rPr>
          <w:rFonts w:hint="eastAsia" w:ascii="宋体"/>
          <w:sz w:val="24"/>
        </w:rPr>
        <w:t>固化型银导体浆料</w:t>
      </w:r>
      <w:r>
        <w:rPr>
          <w:rFonts w:hAnsi="宋体"/>
          <w:sz w:val="24"/>
        </w:rPr>
        <w:t>具体技术指标。</w:t>
      </w:r>
    </w:p>
    <w:p>
      <w:pPr>
        <w:pStyle w:val="17"/>
        <w:numPr>
          <w:ilvl w:val="0"/>
          <w:numId w:val="2"/>
        </w:numPr>
        <w:spacing w:after="160"/>
        <w:ind w:firstLineChars="0"/>
        <w:rPr>
          <w:rFonts w:ascii="Times New Roman"/>
          <w:b/>
          <w:bCs/>
          <w:sz w:val="24"/>
        </w:rPr>
      </w:pPr>
      <w:r>
        <w:rPr>
          <w:rFonts w:hint="eastAsia" w:ascii="Times New Roman" w:hAnsi="Times New Roman"/>
          <w:b/>
          <w:bCs/>
          <w:sz w:val="28"/>
          <w:szCs w:val="28"/>
        </w:rPr>
        <w:t>与现有相关法律、法规、规章及相关标准，特别是强制性国家标准的协调配套情况</w:t>
      </w:r>
    </w:p>
    <w:p>
      <w:pPr>
        <w:pStyle w:val="19"/>
        <w:spacing w:line="360" w:lineRule="auto"/>
        <w:ind w:firstLine="480"/>
        <w:rPr>
          <w:rFonts w:ascii="Times New Roman"/>
          <w:sz w:val="24"/>
        </w:rPr>
      </w:pPr>
      <w:r>
        <w:rPr>
          <w:rFonts w:hint="eastAsia" w:ascii="Times New Roman" w:hAnsi="Calibri"/>
          <w:kern w:val="2"/>
          <w:sz w:val="24"/>
          <w:szCs w:val="22"/>
        </w:rPr>
        <w:t>本标准属于其它有色金属标准体系“贵金属”类。本标准修订时，考虑到与国际标准和规范接轨，在规范性引用文件上按我国标准体系作了调整和编辑， 新修订的《固化型银导体浆料》在安全性方面直接引用和贯彻执行了国家强制性标准，从技术上保证了方法使用的安全和可靠性，条文精炼表达清楚，技术要求全面、准确、科学、合理，标准的格式和表达方式等方面完全执行了现行的国家标准和有关法规，符合GB/T 1.1的有关要求。本标准完全满足现行国家法规的要求，与现行标准相比，技术参数要求更合理，格式更规范，可取代原标准。</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重大分歧意见的处理经过和依据</w:t>
      </w:r>
    </w:p>
    <w:p>
      <w:pPr>
        <w:pStyle w:val="17"/>
        <w:spacing w:after="160"/>
        <w:ind w:firstLine="480"/>
        <w:rPr>
          <w:rFonts w:ascii="Times New Roman" w:hAnsi="Times New Roman"/>
          <w:sz w:val="28"/>
          <w:szCs w:val="28"/>
        </w:rPr>
      </w:pPr>
      <w:r>
        <w:rPr>
          <w:rFonts w:ascii="Times New Roman" w:hAnsi="Times New Roman"/>
          <w:kern w:val="0"/>
          <w:sz w:val="24"/>
          <w:szCs w:val="24"/>
        </w:rPr>
        <w:t>该标准编制过程中，无重大分歧意见。</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标志性质的建议说明</w:t>
      </w:r>
    </w:p>
    <w:p>
      <w:pPr>
        <w:spacing w:after="160"/>
        <w:ind w:firstLine="480" w:firstLineChars="200"/>
        <w:rPr>
          <w:rFonts w:ascii="Times New Roman" w:hAnsi="Times New Roman"/>
          <w:sz w:val="28"/>
          <w:szCs w:val="28"/>
        </w:rPr>
      </w:pPr>
      <w:r>
        <w:rPr>
          <w:rFonts w:hint="eastAsia" w:ascii="Times New Roman"/>
          <w:sz w:val="24"/>
        </w:rPr>
        <w:t>根据标准化法和有关规定，建议本标准的性质为推荐性国家行业标准。</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贯彻标准的要求和措施建议</w:t>
      </w:r>
    </w:p>
    <w:p>
      <w:pPr>
        <w:pStyle w:val="17"/>
        <w:spacing w:after="160"/>
        <w:ind w:firstLine="480"/>
        <w:rPr>
          <w:rFonts w:ascii="Times New Roman"/>
          <w:sz w:val="24"/>
        </w:rPr>
      </w:pPr>
      <w:r>
        <w:rPr>
          <w:rFonts w:hint="eastAsia" w:ascii="Times New Roman"/>
          <w:sz w:val="24"/>
        </w:rPr>
        <w:t>建议本标准批准发布6个月后实施。</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废止现行相关标准的建议</w:t>
      </w:r>
    </w:p>
    <w:p>
      <w:pPr>
        <w:spacing w:after="160"/>
        <w:ind w:firstLine="480" w:firstLineChars="200"/>
        <w:jc w:val="left"/>
        <w:rPr>
          <w:rFonts w:ascii="Times New Roman" w:hAnsi="Times New Roman"/>
          <w:sz w:val="28"/>
          <w:szCs w:val="28"/>
        </w:rPr>
      </w:pPr>
      <w:r>
        <w:rPr>
          <w:rFonts w:ascii="Times New Roman" w:hAnsi="宋体"/>
          <w:sz w:val="24"/>
          <w:szCs w:val="24"/>
        </w:rPr>
        <w:t>本标准</w:t>
      </w:r>
      <w:r>
        <w:rPr>
          <w:rFonts w:hint="eastAsia" w:ascii="Times New Roman" w:hAnsi="宋体"/>
          <w:sz w:val="24"/>
          <w:szCs w:val="24"/>
        </w:rPr>
        <w:t>发布实施之日，</w:t>
      </w:r>
      <w:r>
        <w:rPr>
          <w:rFonts w:ascii="Times New Roman" w:hAnsi="宋体"/>
          <w:sz w:val="24"/>
          <w:szCs w:val="24"/>
        </w:rPr>
        <w:t>代替</w:t>
      </w:r>
      <w:r>
        <w:rPr>
          <w:rFonts w:asciiTheme="minorHAnsi" w:hAnsiTheme="minorHAnsi"/>
          <w:sz w:val="24"/>
        </w:rPr>
        <w:t>YS/T</w:t>
      </w:r>
      <w:r>
        <w:rPr>
          <w:rFonts w:asciiTheme="minorHAnsi" w:hAnsiTheme="minorHAnsi"/>
          <w:sz w:val="32"/>
          <w:szCs w:val="32"/>
          <w:vertAlign w:val="superscript"/>
        </w:rPr>
        <w:t xml:space="preserve"> </w:t>
      </w:r>
      <w:r>
        <w:rPr>
          <w:rFonts w:asciiTheme="minorHAnsi" w:hAnsiTheme="minorHAnsi"/>
          <w:sz w:val="24"/>
        </w:rPr>
        <w:t>606-2006</w:t>
      </w:r>
      <w:r>
        <w:rPr>
          <w:rFonts w:hint="eastAsia" w:ascii="宋体"/>
          <w:sz w:val="24"/>
        </w:rPr>
        <w:t>《固化型银导体浆料》</w:t>
      </w:r>
      <w:r>
        <w:rPr>
          <w:rFonts w:ascii="Times New Roman" w:hAnsi="宋体"/>
          <w:sz w:val="24"/>
          <w:szCs w:val="24"/>
        </w:rPr>
        <w:t>。</w:t>
      </w:r>
    </w:p>
    <w:p>
      <w:pPr>
        <w:pStyle w:val="17"/>
        <w:numPr>
          <w:ilvl w:val="0"/>
          <w:numId w:val="2"/>
        </w:numPr>
        <w:spacing w:after="160"/>
        <w:ind w:firstLineChars="0"/>
        <w:rPr>
          <w:rFonts w:ascii="Times New Roman" w:hAnsi="Times New Roman"/>
          <w:b/>
          <w:bCs/>
          <w:sz w:val="28"/>
          <w:szCs w:val="28"/>
        </w:rPr>
      </w:pPr>
      <w:r>
        <w:rPr>
          <w:rFonts w:hint="eastAsia" w:ascii="Times New Roman" w:hAnsi="Times New Roman"/>
          <w:b/>
          <w:bCs/>
          <w:sz w:val="28"/>
          <w:szCs w:val="28"/>
        </w:rPr>
        <w:t>其它应予说明的事项</w:t>
      </w:r>
    </w:p>
    <w:p>
      <w:pPr>
        <w:spacing w:after="160"/>
        <w:ind w:firstLine="480" w:firstLineChars="200"/>
        <w:rPr>
          <w:rFonts w:ascii="Times New Roman" w:hAnsi="Times New Roman"/>
          <w:sz w:val="28"/>
          <w:szCs w:val="28"/>
        </w:rPr>
      </w:pPr>
      <w:r>
        <w:rPr>
          <w:rFonts w:ascii="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pPr>
        <w:spacing w:after="160"/>
        <w:ind w:firstLine="140" w:firstLineChars="50"/>
        <w:jc w:val="right"/>
        <w:rPr>
          <w:rFonts w:ascii="Times New Roman" w:hAnsi="Times New Roman"/>
          <w:sz w:val="24"/>
          <w:szCs w:val="24"/>
        </w:rPr>
      </w:pPr>
      <w:r>
        <w:rPr>
          <w:rFonts w:ascii="Times New Roman" w:hAnsi="Times New Roman"/>
          <w:sz w:val="28"/>
          <w:szCs w:val="28"/>
        </w:rPr>
        <w:tab/>
      </w:r>
      <w:r>
        <w:rPr>
          <w:rFonts w:ascii="Times New Roman"/>
          <w:sz w:val="24"/>
          <w:szCs w:val="24"/>
        </w:rPr>
        <w:t>贵研铂业股份有限公司</w:t>
      </w:r>
    </w:p>
    <w:p>
      <w:pPr>
        <w:spacing w:after="160"/>
        <w:ind w:firstLine="120" w:firstLineChars="50"/>
        <w:jc w:val="right"/>
        <w:rPr>
          <w:rFonts w:ascii="Times New Roman" w:hAnsi="Times New Roman"/>
          <w:sz w:val="28"/>
          <w:szCs w:val="28"/>
        </w:rPr>
      </w:pPr>
      <w:r>
        <w:rPr>
          <w:rFonts w:ascii="Times New Roman"/>
          <w:sz w:val="24"/>
          <w:szCs w:val="24"/>
        </w:rPr>
        <w:t>《</w:t>
      </w:r>
      <w:r>
        <w:rPr>
          <w:rFonts w:hint="eastAsia" w:ascii="宋体"/>
          <w:sz w:val="24"/>
        </w:rPr>
        <w:t>固化型银导体浆料</w:t>
      </w:r>
      <w:r>
        <w:rPr>
          <w:rFonts w:ascii="Times New Roman"/>
          <w:sz w:val="24"/>
          <w:szCs w:val="24"/>
        </w:rPr>
        <w:t>》</w:t>
      </w:r>
      <w:r>
        <w:rPr>
          <w:rFonts w:hint="eastAsia" w:ascii="Times New Roman"/>
          <w:sz w:val="24"/>
          <w:szCs w:val="24"/>
        </w:rPr>
        <w:t>行业</w:t>
      </w:r>
      <w:r>
        <w:rPr>
          <w:rFonts w:ascii="Times New Roman"/>
          <w:sz w:val="24"/>
          <w:szCs w:val="24"/>
        </w:rPr>
        <w:t>标准起草小组</w:t>
      </w:r>
      <w:r>
        <w:rPr>
          <w:rFonts w:ascii="Times New Roman" w:hAnsi="Times New Roman"/>
          <w:sz w:val="28"/>
          <w:szCs w:val="28"/>
        </w:rPr>
        <w:tab/>
      </w:r>
    </w:p>
    <w:p>
      <w:pPr>
        <w:pStyle w:val="17"/>
        <w:spacing w:after="160"/>
        <w:ind w:left="780" w:firstLine="0" w:firstLineChars="0"/>
        <w:jc w:val="right"/>
        <w:rPr>
          <w:rFonts w:ascii="Times New Roman" w:hAnsi="Times New Roman"/>
          <w:color w:val="000000"/>
          <w:sz w:val="28"/>
          <w:szCs w:val="28"/>
        </w:rPr>
      </w:pPr>
      <w:r>
        <w:rPr>
          <w:rFonts w:hint="eastAsia" w:ascii="Times New Roman" w:hAnsi="Times New Roman"/>
          <w:color w:val="000000"/>
          <w:sz w:val="28"/>
          <w:szCs w:val="28"/>
        </w:rPr>
        <w:t>2023</w:t>
      </w:r>
      <w:r>
        <w:rPr>
          <w:rFonts w:ascii="Times New Roman"/>
          <w:color w:val="000000"/>
          <w:sz w:val="28"/>
          <w:szCs w:val="28"/>
        </w:rPr>
        <w:t>年</w:t>
      </w:r>
      <w:r>
        <w:rPr>
          <w:rFonts w:hint="eastAsia" w:ascii="Times New Roman"/>
          <w:color w:val="000000"/>
          <w:sz w:val="28"/>
          <w:szCs w:val="28"/>
        </w:rPr>
        <w:t>3</w:t>
      </w:r>
      <w:r>
        <w:rPr>
          <w:rFonts w:ascii="Times New Roman"/>
          <w:color w:val="000000"/>
          <w:sz w:val="28"/>
          <w:szCs w:val="28"/>
        </w:rPr>
        <w:t>月</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B62F1"/>
    <w:multiLevelType w:val="singleLevel"/>
    <w:tmpl w:val="EB9B62F1"/>
    <w:lvl w:ilvl="0" w:tentative="0">
      <w:start w:val="5"/>
      <w:numFmt w:val="decimal"/>
      <w:suff w:val="space"/>
      <w:lvlText w:val="%1."/>
      <w:lvlJc w:val="left"/>
    </w:lvl>
  </w:abstractNum>
  <w:abstractNum w:abstractNumId="1">
    <w:nsid w:val="22B53D6F"/>
    <w:multiLevelType w:val="multilevel"/>
    <w:tmpl w:val="22B53D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583B28"/>
    <w:multiLevelType w:val="singleLevel"/>
    <w:tmpl w:val="32583B28"/>
    <w:lvl w:ilvl="0" w:tentative="0">
      <w:start w:val="5"/>
      <w:numFmt w:val="decimal"/>
      <w:suff w:val="nothing"/>
      <w:lvlText w:val="%1、"/>
      <w:lvlJc w:val="left"/>
    </w:lvl>
  </w:abstractNum>
  <w:abstractNum w:abstractNumId="3">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210" w:firstLine="0"/>
      </w:pPr>
      <w:rPr>
        <w:rFonts w:hint="default" w:ascii="Times New Roman" w:hAnsi="Times New Roman" w:eastAsia="黑体" w:cs="Times New Roman"/>
        <w:b w:val="0"/>
        <w:i w:val="0"/>
        <w:sz w:val="21"/>
      </w:rPr>
    </w:lvl>
    <w:lvl w:ilvl="3" w:tentative="0">
      <w:start w:val="1"/>
      <w:numFmt w:val="decimal"/>
      <w:pStyle w:val="23"/>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24"/>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F136D27"/>
    <w:multiLevelType w:val="multilevel"/>
    <w:tmpl w:val="6F136D2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8610F9"/>
    <w:multiLevelType w:val="multilevel"/>
    <w:tmpl w:val="7B8610F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D0AAC1"/>
    <w:multiLevelType w:val="singleLevel"/>
    <w:tmpl w:val="7CD0AAC1"/>
    <w:lvl w:ilvl="0" w:tentative="0">
      <w:start w:val="2"/>
      <w:numFmt w:val="decimal"/>
      <w:suff w:val="nothing"/>
      <w:lvlText w:val="（%1）"/>
      <w:lvlJc w:val="left"/>
      <w:pPr>
        <w:ind w:left="-6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NDJkMDM2ZGU5ZjAyMTc5MzRhZmM0NDBkYTVmNzQifQ=="/>
  </w:docVars>
  <w:rsids>
    <w:rsidRoot w:val="00D62B07"/>
    <w:rsid w:val="00002D54"/>
    <w:rsid w:val="0000606A"/>
    <w:rsid w:val="00006EC5"/>
    <w:rsid w:val="00007734"/>
    <w:rsid w:val="000214F2"/>
    <w:rsid w:val="00025D34"/>
    <w:rsid w:val="00044D19"/>
    <w:rsid w:val="00067E34"/>
    <w:rsid w:val="00073BB3"/>
    <w:rsid w:val="000741DE"/>
    <w:rsid w:val="0008087C"/>
    <w:rsid w:val="00087B8E"/>
    <w:rsid w:val="000C0043"/>
    <w:rsid w:val="000C387B"/>
    <w:rsid w:val="000C59FC"/>
    <w:rsid w:val="000C69AB"/>
    <w:rsid w:val="000D0926"/>
    <w:rsid w:val="000F65B6"/>
    <w:rsid w:val="0010290B"/>
    <w:rsid w:val="00103A4C"/>
    <w:rsid w:val="00104CA3"/>
    <w:rsid w:val="00111396"/>
    <w:rsid w:val="00114EA5"/>
    <w:rsid w:val="001172D1"/>
    <w:rsid w:val="00127F36"/>
    <w:rsid w:val="00153706"/>
    <w:rsid w:val="00166E5F"/>
    <w:rsid w:val="001812BD"/>
    <w:rsid w:val="00182A6B"/>
    <w:rsid w:val="00191E9C"/>
    <w:rsid w:val="001A0104"/>
    <w:rsid w:val="001A4295"/>
    <w:rsid w:val="001C1512"/>
    <w:rsid w:val="001D1964"/>
    <w:rsid w:val="001D1CB2"/>
    <w:rsid w:val="001D46C0"/>
    <w:rsid w:val="00207BF2"/>
    <w:rsid w:val="00221755"/>
    <w:rsid w:val="002230BD"/>
    <w:rsid w:val="002246FA"/>
    <w:rsid w:val="00231F96"/>
    <w:rsid w:val="002338DB"/>
    <w:rsid w:val="0024625A"/>
    <w:rsid w:val="00247CE2"/>
    <w:rsid w:val="00250440"/>
    <w:rsid w:val="00250628"/>
    <w:rsid w:val="00255C8E"/>
    <w:rsid w:val="0026046D"/>
    <w:rsid w:val="00263178"/>
    <w:rsid w:val="00267674"/>
    <w:rsid w:val="0028073F"/>
    <w:rsid w:val="00284E69"/>
    <w:rsid w:val="00287508"/>
    <w:rsid w:val="00290AE7"/>
    <w:rsid w:val="002959B3"/>
    <w:rsid w:val="002B2EA9"/>
    <w:rsid w:val="002B51F4"/>
    <w:rsid w:val="002B7D03"/>
    <w:rsid w:val="002D5B0C"/>
    <w:rsid w:val="002E38D4"/>
    <w:rsid w:val="00313566"/>
    <w:rsid w:val="00341D4E"/>
    <w:rsid w:val="003635B0"/>
    <w:rsid w:val="003716BC"/>
    <w:rsid w:val="00380DE8"/>
    <w:rsid w:val="003820B5"/>
    <w:rsid w:val="00383767"/>
    <w:rsid w:val="003864FC"/>
    <w:rsid w:val="003B3F5E"/>
    <w:rsid w:val="003C57A6"/>
    <w:rsid w:val="003E0801"/>
    <w:rsid w:val="003E1F77"/>
    <w:rsid w:val="0041036A"/>
    <w:rsid w:val="00423414"/>
    <w:rsid w:val="00423684"/>
    <w:rsid w:val="00424BD7"/>
    <w:rsid w:val="00444207"/>
    <w:rsid w:val="004517D7"/>
    <w:rsid w:val="00454AF5"/>
    <w:rsid w:val="00465DF6"/>
    <w:rsid w:val="00475914"/>
    <w:rsid w:val="00480C91"/>
    <w:rsid w:val="004918C3"/>
    <w:rsid w:val="00497636"/>
    <w:rsid w:val="004A05D8"/>
    <w:rsid w:val="004E1870"/>
    <w:rsid w:val="004F3ED8"/>
    <w:rsid w:val="004F72EB"/>
    <w:rsid w:val="00501188"/>
    <w:rsid w:val="00501E4C"/>
    <w:rsid w:val="00510772"/>
    <w:rsid w:val="00512DC7"/>
    <w:rsid w:val="00517EFB"/>
    <w:rsid w:val="0052440F"/>
    <w:rsid w:val="00525E8C"/>
    <w:rsid w:val="0054654F"/>
    <w:rsid w:val="00551F98"/>
    <w:rsid w:val="005653A1"/>
    <w:rsid w:val="00565EC3"/>
    <w:rsid w:val="00567C61"/>
    <w:rsid w:val="00571D33"/>
    <w:rsid w:val="0057330E"/>
    <w:rsid w:val="00573415"/>
    <w:rsid w:val="00593ECC"/>
    <w:rsid w:val="005A0441"/>
    <w:rsid w:val="005B63D9"/>
    <w:rsid w:val="005C1FB3"/>
    <w:rsid w:val="005C2A50"/>
    <w:rsid w:val="005C6796"/>
    <w:rsid w:val="005D1C52"/>
    <w:rsid w:val="005E7C2D"/>
    <w:rsid w:val="00602A54"/>
    <w:rsid w:val="006209F2"/>
    <w:rsid w:val="006325FA"/>
    <w:rsid w:val="006402A5"/>
    <w:rsid w:val="006540CF"/>
    <w:rsid w:val="00667E04"/>
    <w:rsid w:val="0067722D"/>
    <w:rsid w:val="00687F7A"/>
    <w:rsid w:val="006A1DC9"/>
    <w:rsid w:val="006A2383"/>
    <w:rsid w:val="006B23F9"/>
    <w:rsid w:val="006B3390"/>
    <w:rsid w:val="006C1131"/>
    <w:rsid w:val="006C3D43"/>
    <w:rsid w:val="006E29A3"/>
    <w:rsid w:val="006E47CC"/>
    <w:rsid w:val="006F1BE0"/>
    <w:rsid w:val="006F1EA6"/>
    <w:rsid w:val="00704F16"/>
    <w:rsid w:val="0072512A"/>
    <w:rsid w:val="00725D30"/>
    <w:rsid w:val="00741BA7"/>
    <w:rsid w:val="0074536F"/>
    <w:rsid w:val="00764F47"/>
    <w:rsid w:val="007659F4"/>
    <w:rsid w:val="00767A0E"/>
    <w:rsid w:val="007911B5"/>
    <w:rsid w:val="00791F11"/>
    <w:rsid w:val="007A1149"/>
    <w:rsid w:val="007B002D"/>
    <w:rsid w:val="007B1A1B"/>
    <w:rsid w:val="007D052C"/>
    <w:rsid w:val="007D12B9"/>
    <w:rsid w:val="007D73EA"/>
    <w:rsid w:val="007E072B"/>
    <w:rsid w:val="007E2243"/>
    <w:rsid w:val="007E69B9"/>
    <w:rsid w:val="007E7B16"/>
    <w:rsid w:val="007F3087"/>
    <w:rsid w:val="007F4D8F"/>
    <w:rsid w:val="007F5471"/>
    <w:rsid w:val="007F6A21"/>
    <w:rsid w:val="00800892"/>
    <w:rsid w:val="00821F6B"/>
    <w:rsid w:val="00822D51"/>
    <w:rsid w:val="008231DA"/>
    <w:rsid w:val="00827338"/>
    <w:rsid w:val="00827A2F"/>
    <w:rsid w:val="00843540"/>
    <w:rsid w:val="00846B9B"/>
    <w:rsid w:val="00852DCF"/>
    <w:rsid w:val="00860B94"/>
    <w:rsid w:val="00865BB4"/>
    <w:rsid w:val="008678D5"/>
    <w:rsid w:val="00870F43"/>
    <w:rsid w:val="00880D58"/>
    <w:rsid w:val="0089633D"/>
    <w:rsid w:val="008B04A3"/>
    <w:rsid w:val="008B14C6"/>
    <w:rsid w:val="008C445D"/>
    <w:rsid w:val="008C7DAD"/>
    <w:rsid w:val="008E5E66"/>
    <w:rsid w:val="008E7490"/>
    <w:rsid w:val="008F6756"/>
    <w:rsid w:val="00900F12"/>
    <w:rsid w:val="00905B62"/>
    <w:rsid w:val="0092210A"/>
    <w:rsid w:val="009352C4"/>
    <w:rsid w:val="009415BB"/>
    <w:rsid w:val="00950D29"/>
    <w:rsid w:val="00955C05"/>
    <w:rsid w:val="00972D6B"/>
    <w:rsid w:val="009754DB"/>
    <w:rsid w:val="00975AEB"/>
    <w:rsid w:val="009816F7"/>
    <w:rsid w:val="00983ACD"/>
    <w:rsid w:val="00986C29"/>
    <w:rsid w:val="00995048"/>
    <w:rsid w:val="00995B8C"/>
    <w:rsid w:val="009A462E"/>
    <w:rsid w:val="009A59ED"/>
    <w:rsid w:val="009B0C5E"/>
    <w:rsid w:val="009C185D"/>
    <w:rsid w:val="009C5A40"/>
    <w:rsid w:val="009D31AD"/>
    <w:rsid w:val="009F4172"/>
    <w:rsid w:val="00A00193"/>
    <w:rsid w:val="00A07880"/>
    <w:rsid w:val="00A15E6D"/>
    <w:rsid w:val="00A26452"/>
    <w:rsid w:val="00A278B2"/>
    <w:rsid w:val="00A31A04"/>
    <w:rsid w:val="00A349CE"/>
    <w:rsid w:val="00A4073D"/>
    <w:rsid w:val="00A4461A"/>
    <w:rsid w:val="00A45559"/>
    <w:rsid w:val="00A474A1"/>
    <w:rsid w:val="00A57A0B"/>
    <w:rsid w:val="00A60065"/>
    <w:rsid w:val="00A61895"/>
    <w:rsid w:val="00A62FFA"/>
    <w:rsid w:val="00A72804"/>
    <w:rsid w:val="00A735EB"/>
    <w:rsid w:val="00A811D7"/>
    <w:rsid w:val="00A91A10"/>
    <w:rsid w:val="00A94497"/>
    <w:rsid w:val="00A94859"/>
    <w:rsid w:val="00A963F2"/>
    <w:rsid w:val="00A97B34"/>
    <w:rsid w:val="00AA0FBE"/>
    <w:rsid w:val="00AA50D5"/>
    <w:rsid w:val="00AB5D03"/>
    <w:rsid w:val="00AD1975"/>
    <w:rsid w:val="00AD24FA"/>
    <w:rsid w:val="00AE5AB6"/>
    <w:rsid w:val="00AF29D4"/>
    <w:rsid w:val="00B02F59"/>
    <w:rsid w:val="00B05E39"/>
    <w:rsid w:val="00B07E34"/>
    <w:rsid w:val="00B11182"/>
    <w:rsid w:val="00B235B5"/>
    <w:rsid w:val="00B32A9E"/>
    <w:rsid w:val="00B45358"/>
    <w:rsid w:val="00B45EFC"/>
    <w:rsid w:val="00B51C8A"/>
    <w:rsid w:val="00B54D03"/>
    <w:rsid w:val="00B62E82"/>
    <w:rsid w:val="00B7070B"/>
    <w:rsid w:val="00B82568"/>
    <w:rsid w:val="00B92372"/>
    <w:rsid w:val="00B946C4"/>
    <w:rsid w:val="00BA0C20"/>
    <w:rsid w:val="00BA0EBC"/>
    <w:rsid w:val="00BB3D1D"/>
    <w:rsid w:val="00BB71B7"/>
    <w:rsid w:val="00BC04BE"/>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4236D"/>
    <w:rsid w:val="00C61A41"/>
    <w:rsid w:val="00C64D13"/>
    <w:rsid w:val="00C828D6"/>
    <w:rsid w:val="00C870A8"/>
    <w:rsid w:val="00C91636"/>
    <w:rsid w:val="00CA1801"/>
    <w:rsid w:val="00CA2480"/>
    <w:rsid w:val="00CA5F21"/>
    <w:rsid w:val="00CB188B"/>
    <w:rsid w:val="00CC1A36"/>
    <w:rsid w:val="00CC3074"/>
    <w:rsid w:val="00CC6AC4"/>
    <w:rsid w:val="00CF2F04"/>
    <w:rsid w:val="00D017CA"/>
    <w:rsid w:val="00D04BF6"/>
    <w:rsid w:val="00D161DD"/>
    <w:rsid w:val="00D21BAE"/>
    <w:rsid w:val="00D305D7"/>
    <w:rsid w:val="00D62B07"/>
    <w:rsid w:val="00D6449B"/>
    <w:rsid w:val="00D84E21"/>
    <w:rsid w:val="00D97F30"/>
    <w:rsid w:val="00DB09CD"/>
    <w:rsid w:val="00DB2459"/>
    <w:rsid w:val="00DB2E6A"/>
    <w:rsid w:val="00DC46A9"/>
    <w:rsid w:val="00DD4AE1"/>
    <w:rsid w:val="00DD525E"/>
    <w:rsid w:val="00DD6A4C"/>
    <w:rsid w:val="00DF3A5B"/>
    <w:rsid w:val="00E149AB"/>
    <w:rsid w:val="00E328B4"/>
    <w:rsid w:val="00E37A30"/>
    <w:rsid w:val="00E447CD"/>
    <w:rsid w:val="00E46D4C"/>
    <w:rsid w:val="00E55170"/>
    <w:rsid w:val="00E61062"/>
    <w:rsid w:val="00E62693"/>
    <w:rsid w:val="00E62708"/>
    <w:rsid w:val="00E6379C"/>
    <w:rsid w:val="00E645F8"/>
    <w:rsid w:val="00E676B0"/>
    <w:rsid w:val="00E67EC4"/>
    <w:rsid w:val="00E71F1D"/>
    <w:rsid w:val="00E74E82"/>
    <w:rsid w:val="00E77158"/>
    <w:rsid w:val="00E8588C"/>
    <w:rsid w:val="00E92B55"/>
    <w:rsid w:val="00E93630"/>
    <w:rsid w:val="00EC70C7"/>
    <w:rsid w:val="00EC788D"/>
    <w:rsid w:val="00ED4002"/>
    <w:rsid w:val="00EE273B"/>
    <w:rsid w:val="00EE3B6E"/>
    <w:rsid w:val="00EF6501"/>
    <w:rsid w:val="00F05F8F"/>
    <w:rsid w:val="00F12F2B"/>
    <w:rsid w:val="00F14114"/>
    <w:rsid w:val="00F1697D"/>
    <w:rsid w:val="00F276B7"/>
    <w:rsid w:val="00F304C6"/>
    <w:rsid w:val="00F33872"/>
    <w:rsid w:val="00F50F49"/>
    <w:rsid w:val="00F76FCA"/>
    <w:rsid w:val="00F8529C"/>
    <w:rsid w:val="00F92D09"/>
    <w:rsid w:val="00F93A52"/>
    <w:rsid w:val="00FA06AC"/>
    <w:rsid w:val="00FA7B94"/>
    <w:rsid w:val="00FB166C"/>
    <w:rsid w:val="00FB1695"/>
    <w:rsid w:val="00FB17FF"/>
    <w:rsid w:val="00FB45B3"/>
    <w:rsid w:val="00FB6E30"/>
    <w:rsid w:val="00FB7730"/>
    <w:rsid w:val="00FC64BD"/>
    <w:rsid w:val="00FC7F59"/>
    <w:rsid w:val="00FD07EC"/>
    <w:rsid w:val="00FE0573"/>
    <w:rsid w:val="00FF08D3"/>
    <w:rsid w:val="00FF7B99"/>
    <w:rsid w:val="02C777C2"/>
    <w:rsid w:val="040F6EDD"/>
    <w:rsid w:val="051200B1"/>
    <w:rsid w:val="06B6049E"/>
    <w:rsid w:val="079E4B1B"/>
    <w:rsid w:val="08BA60DD"/>
    <w:rsid w:val="097D4F4D"/>
    <w:rsid w:val="0A3D172D"/>
    <w:rsid w:val="0A5F1BF8"/>
    <w:rsid w:val="0B884C29"/>
    <w:rsid w:val="0C0D1AA4"/>
    <w:rsid w:val="0C236700"/>
    <w:rsid w:val="0E322EAB"/>
    <w:rsid w:val="0FF23309"/>
    <w:rsid w:val="112371A2"/>
    <w:rsid w:val="130B0266"/>
    <w:rsid w:val="1323348A"/>
    <w:rsid w:val="138E4DA7"/>
    <w:rsid w:val="177C13BA"/>
    <w:rsid w:val="1B3F60DB"/>
    <w:rsid w:val="1BC05D1A"/>
    <w:rsid w:val="1BE86AE7"/>
    <w:rsid w:val="1DA63574"/>
    <w:rsid w:val="1E0B5246"/>
    <w:rsid w:val="1ED46E92"/>
    <w:rsid w:val="1F053D85"/>
    <w:rsid w:val="1FB65DB1"/>
    <w:rsid w:val="1FCD30FB"/>
    <w:rsid w:val="1FE34E1E"/>
    <w:rsid w:val="212A61FF"/>
    <w:rsid w:val="21616459"/>
    <w:rsid w:val="22022C36"/>
    <w:rsid w:val="228C251D"/>
    <w:rsid w:val="22981310"/>
    <w:rsid w:val="23B00D6A"/>
    <w:rsid w:val="242E5942"/>
    <w:rsid w:val="24BB5C18"/>
    <w:rsid w:val="252F3F10"/>
    <w:rsid w:val="257458CE"/>
    <w:rsid w:val="26154EB4"/>
    <w:rsid w:val="26C77F87"/>
    <w:rsid w:val="27271C7A"/>
    <w:rsid w:val="27711465"/>
    <w:rsid w:val="29F85218"/>
    <w:rsid w:val="2CC87124"/>
    <w:rsid w:val="2E552C39"/>
    <w:rsid w:val="3032290D"/>
    <w:rsid w:val="30470360"/>
    <w:rsid w:val="32544FB6"/>
    <w:rsid w:val="345D2848"/>
    <w:rsid w:val="34AE1832"/>
    <w:rsid w:val="34B325FB"/>
    <w:rsid w:val="34BA1A48"/>
    <w:rsid w:val="34BB3BAA"/>
    <w:rsid w:val="35753BC1"/>
    <w:rsid w:val="36B575C2"/>
    <w:rsid w:val="38602906"/>
    <w:rsid w:val="39A556DB"/>
    <w:rsid w:val="3A0B7F12"/>
    <w:rsid w:val="3A461308"/>
    <w:rsid w:val="3A6048DF"/>
    <w:rsid w:val="3B9D6010"/>
    <w:rsid w:val="3BC44F5A"/>
    <w:rsid w:val="3D077A7C"/>
    <w:rsid w:val="3D27441B"/>
    <w:rsid w:val="3D48738A"/>
    <w:rsid w:val="3D5D5666"/>
    <w:rsid w:val="3DC56D68"/>
    <w:rsid w:val="3E594080"/>
    <w:rsid w:val="40D163ED"/>
    <w:rsid w:val="42C63750"/>
    <w:rsid w:val="43505326"/>
    <w:rsid w:val="44E2437A"/>
    <w:rsid w:val="44F83DE3"/>
    <w:rsid w:val="45C85647"/>
    <w:rsid w:val="4645313C"/>
    <w:rsid w:val="46CE7F14"/>
    <w:rsid w:val="46DA3884"/>
    <w:rsid w:val="46FE4EBC"/>
    <w:rsid w:val="47A735E5"/>
    <w:rsid w:val="484F16A2"/>
    <w:rsid w:val="48D37A56"/>
    <w:rsid w:val="493E5198"/>
    <w:rsid w:val="49777AB0"/>
    <w:rsid w:val="497A08FD"/>
    <w:rsid w:val="4B9366F7"/>
    <w:rsid w:val="4BFC604B"/>
    <w:rsid w:val="4C6471E3"/>
    <w:rsid w:val="4CEE62DB"/>
    <w:rsid w:val="4D2068B4"/>
    <w:rsid w:val="4DCE5621"/>
    <w:rsid w:val="4DE07366"/>
    <w:rsid w:val="4F2C30EB"/>
    <w:rsid w:val="4F960564"/>
    <w:rsid w:val="507C2E9C"/>
    <w:rsid w:val="509727E6"/>
    <w:rsid w:val="518F5E34"/>
    <w:rsid w:val="52795D45"/>
    <w:rsid w:val="52C05FB8"/>
    <w:rsid w:val="53955177"/>
    <w:rsid w:val="55180713"/>
    <w:rsid w:val="56293A3C"/>
    <w:rsid w:val="566C201F"/>
    <w:rsid w:val="570606C5"/>
    <w:rsid w:val="57AD74C8"/>
    <w:rsid w:val="58C223CA"/>
    <w:rsid w:val="5963606A"/>
    <w:rsid w:val="5B803D2F"/>
    <w:rsid w:val="5BC539F0"/>
    <w:rsid w:val="5CF12435"/>
    <w:rsid w:val="5D3410FD"/>
    <w:rsid w:val="5E237475"/>
    <w:rsid w:val="5E92366A"/>
    <w:rsid w:val="62064552"/>
    <w:rsid w:val="62E54C1F"/>
    <w:rsid w:val="635B36EB"/>
    <w:rsid w:val="6368579A"/>
    <w:rsid w:val="660E4EA0"/>
    <w:rsid w:val="66B80B8D"/>
    <w:rsid w:val="67A91325"/>
    <w:rsid w:val="6800471E"/>
    <w:rsid w:val="6804655B"/>
    <w:rsid w:val="6B5C3A3B"/>
    <w:rsid w:val="6BC4730D"/>
    <w:rsid w:val="6C30790B"/>
    <w:rsid w:val="6CA4030D"/>
    <w:rsid w:val="6D7C226B"/>
    <w:rsid w:val="6DDE4BD0"/>
    <w:rsid w:val="6E922B12"/>
    <w:rsid w:val="6F54601A"/>
    <w:rsid w:val="6F8601ED"/>
    <w:rsid w:val="6FC17DAE"/>
    <w:rsid w:val="705F04DC"/>
    <w:rsid w:val="70716DA6"/>
    <w:rsid w:val="72F773E8"/>
    <w:rsid w:val="735A34D3"/>
    <w:rsid w:val="73EC0A0D"/>
    <w:rsid w:val="740706A3"/>
    <w:rsid w:val="74E120FE"/>
    <w:rsid w:val="7621652A"/>
    <w:rsid w:val="7693567A"/>
    <w:rsid w:val="777131EB"/>
    <w:rsid w:val="78A82F32"/>
    <w:rsid w:val="7A1C14E2"/>
    <w:rsid w:val="7ABF39A2"/>
    <w:rsid w:val="7AC322A6"/>
    <w:rsid w:val="7B4038F6"/>
    <w:rsid w:val="7B67534D"/>
    <w:rsid w:val="7BBB1E8A"/>
    <w:rsid w:val="7C2255C2"/>
    <w:rsid w:val="7C8415C1"/>
    <w:rsid w:val="7D4B53C7"/>
    <w:rsid w:val="7F9622B7"/>
    <w:rsid w:val="7FB9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annotation reference"/>
    <w:basedOn w:val="9"/>
    <w:unhideWhenUsed/>
    <w:qFormat/>
    <w:uiPriority w:val="99"/>
    <w:rPr>
      <w:sz w:val="21"/>
      <w:szCs w:val="21"/>
    </w:rPr>
  </w:style>
  <w:style w:type="character" w:customStyle="1" w:styleId="12">
    <w:name w:val="批注文字 字符"/>
    <w:basedOn w:val="9"/>
    <w:link w:val="2"/>
    <w:semiHidden/>
    <w:qFormat/>
    <w:uiPriority w:val="99"/>
    <w:rPr>
      <w:kern w:val="2"/>
      <w:sz w:val="21"/>
      <w:szCs w:val="22"/>
    </w:rPr>
  </w:style>
  <w:style w:type="character" w:customStyle="1" w:styleId="13">
    <w:name w:val="批注框文本 字符"/>
    <w:basedOn w:val="9"/>
    <w:link w:val="3"/>
    <w:semiHidden/>
    <w:qFormat/>
    <w:uiPriority w:val="99"/>
    <w:rPr>
      <w:sz w:val="18"/>
      <w:szCs w:val="18"/>
    </w:rPr>
  </w:style>
  <w:style w:type="character" w:customStyle="1" w:styleId="14">
    <w:name w:val="页脚 字符"/>
    <w:basedOn w:val="9"/>
    <w:link w:val="4"/>
    <w:qFormat/>
    <w:uiPriority w:val="99"/>
    <w:rPr>
      <w:kern w:val="2"/>
      <w:sz w:val="18"/>
      <w:szCs w:val="18"/>
    </w:rPr>
  </w:style>
  <w:style w:type="character" w:customStyle="1" w:styleId="15">
    <w:name w:val="页眉 字符"/>
    <w:basedOn w:val="9"/>
    <w:link w:val="5"/>
    <w:qFormat/>
    <w:uiPriority w:val="0"/>
    <w:rPr>
      <w:kern w:val="2"/>
      <w:sz w:val="18"/>
      <w:szCs w:val="18"/>
    </w:rPr>
  </w:style>
  <w:style w:type="character" w:customStyle="1" w:styleId="16">
    <w:name w:val="批注主题 字符"/>
    <w:basedOn w:val="12"/>
    <w:link w:val="6"/>
    <w:semiHidden/>
    <w:qFormat/>
    <w:uiPriority w:val="99"/>
    <w:rPr>
      <w:b/>
      <w:bCs/>
      <w:kern w:val="2"/>
      <w:sz w:val="21"/>
      <w:szCs w:val="22"/>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1">
    <w:name w:val="章标题"/>
    <w:next w:val="1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一级条标题"/>
    <w:basedOn w:val="21"/>
    <w:next w:val="19"/>
    <w:qFormat/>
    <w:uiPriority w:val="0"/>
    <w:pPr>
      <w:numPr>
        <w:ilvl w:val="2"/>
      </w:numPr>
      <w:spacing w:beforeLines="0" w:afterLines="0"/>
      <w:outlineLvl w:val="2"/>
    </w:pPr>
  </w:style>
  <w:style w:type="paragraph" w:customStyle="1" w:styleId="23">
    <w:name w:val="二级条标题"/>
    <w:basedOn w:val="22"/>
    <w:next w:val="19"/>
    <w:qFormat/>
    <w:uiPriority w:val="0"/>
    <w:pPr>
      <w:numPr>
        <w:ilvl w:val="3"/>
      </w:numPr>
      <w:outlineLvl w:val="3"/>
    </w:pPr>
  </w:style>
  <w:style w:type="paragraph" w:customStyle="1" w:styleId="24">
    <w:name w:val="三级条标题"/>
    <w:basedOn w:val="23"/>
    <w:next w:val="19"/>
    <w:qFormat/>
    <w:uiPriority w:val="0"/>
    <w:pPr>
      <w:numPr>
        <w:ilvl w:val="4"/>
      </w:numPr>
      <w:tabs>
        <w:tab w:val="left" w:pos="360"/>
      </w:tabs>
      <w:outlineLvl w:val="4"/>
    </w:pPr>
  </w:style>
  <w:style w:type="paragraph" w:customStyle="1" w:styleId="25">
    <w:name w:val="四级条标题"/>
    <w:basedOn w:val="24"/>
    <w:next w:val="19"/>
    <w:qFormat/>
    <w:uiPriority w:val="0"/>
    <w:pPr>
      <w:numPr>
        <w:ilvl w:val="5"/>
      </w:numPr>
      <w:outlineLvl w:val="5"/>
    </w:pPr>
  </w:style>
  <w:style w:type="paragraph" w:customStyle="1" w:styleId="26">
    <w:name w:val="五级条标题"/>
    <w:basedOn w:val="25"/>
    <w:next w:val="19"/>
    <w:qFormat/>
    <w:uiPriority w:val="0"/>
    <w:pPr>
      <w:numPr>
        <w:ilvl w:val="6"/>
      </w:numPr>
      <w:outlineLvl w:val="6"/>
    </w:pPr>
  </w:style>
  <w:style w:type="paragraph" w:styleId="2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styleId="29">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9066</Words>
  <Characters>10106</Characters>
  <Lines>75</Lines>
  <Paragraphs>21</Paragraphs>
  <TotalTime>7</TotalTime>
  <ScaleCrop>false</ScaleCrop>
  <LinksUpToDate>false</LinksUpToDate>
  <CharactersWithSpaces>10230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2023-03-13T07:48:00Z</dcterms:created>
  <dc:creator>Administrator</dc:creator>
  <cp:lastModifiedBy>李章炜</cp:lastModifiedBy>
  <cp:lastPrinted>2022-10-25T01:05:00Z</cp:lastPrinted>
  <dcterms:modified xsi:type="dcterms:W3CDTF">2023-03-14T08:11:15Z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9CB2E05C570D4C70A5A35B6A310BD2C0</vt:lpwstr>
  </property>
</Properties>
</file>