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int="default" w:ascii="Times New Roman"/>
          <w:b w:val="0"/>
          <w:spacing w:val="0"/>
          <w:w w:val="100"/>
          <w:sz w:val="24"/>
          <w:szCs w:val="24"/>
        </w:rPr>
      </w:pPr>
      <w:r>
        <w:rPr>
          <w:rFonts w:hint="default" w:ascii="Times New Roman" w:eastAsia="黑体"/>
          <w:b w:val="0"/>
          <w:color w:val="0000FF"/>
          <w:spacing w:val="0"/>
          <w:w w:val="100"/>
          <w:sz w:val="24"/>
          <w:szCs w:val="24"/>
        </w:rPr>
        <w:t>ICSXXXX</w:t>
      </w:r>
    </w:p>
    <w:p>
      <w:pPr>
        <w:pStyle w:val="15"/>
        <w:ind w:firstLine="6743" w:firstLineChars="442"/>
        <w:jc w:val="both"/>
        <w:rPr>
          <w:rFonts w:hint="default" w:ascii="Times New Roman"/>
          <w:spacing w:val="40"/>
          <w:w w:val="100"/>
          <w:sz w:val="144"/>
          <w:szCs w:val="144"/>
        </w:rPr>
      </w:pPr>
      <w:r>
        <w:rPr>
          <w:rFonts w:ascii="Times New Roman"/>
          <w:spacing w:val="40"/>
          <w:w w:val="100"/>
          <w:sz w:val="144"/>
          <w:szCs w:val="144"/>
        </w:rPr>
        <w:t>YS</w:t>
      </w:r>
    </w:p>
    <w:p>
      <w:pPr>
        <w:pStyle w:val="15"/>
        <w:jc w:val="center"/>
        <w:rPr>
          <w:rFonts w:hint="default"/>
          <w:spacing w:val="40"/>
          <w:w w:val="100"/>
          <w:szCs w:val="52"/>
        </w:rPr>
      </w:pPr>
      <w:r>
        <w:rPr>
          <w:spacing w:val="40"/>
          <w:w w:val="100"/>
          <w:szCs w:val="52"/>
        </w:rPr>
        <w:t>中华人民共和国有色金属行业标准</w:t>
      </w:r>
    </w:p>
    <w:p>
      <w:pPr>
        <w:tabs>
          <w:tab w:val="right" w:pos="9978"/>
        </w:tabs>
        <w:ind w:left="5520" w:hanging="5520" w:hangingChars="2300"/>
        <w:rPr>
          <w:sz w:val="28"/>
          <w:szCs w:val="28"/>
        </w:rPr>
      </w:pPr>
      <w:r>
        <w:rPr>
          <w:rFonts w:hint="eastAsia" w:ascii="仿宋_GB2312" w:eastAsia="仿宋_GB2312"/>
          <w:sz w:val="24"/>
        </w:rPr>
        <w:t xml:space="preserve">                              </w:t>
      </w:r>
      <w:r>
        <w:rPr>
          <w:rFonts w:hint="eastAsia" w:ascii="仿宋_GB2312" w:eastAsia="仿宋_GB2312"/>
          <w:sz w:val="28"/>
          <w:szCs w:val="28"/>
        </w:rPr>
        <w:t xml:space="preserve">                           </w:t>
      </w:r>
      <w:r>
        <w:rPr>
          <w:rFonts w:hint="eastAsia" w:eastAsia="仿宋_GB2312"/>
          <w:sz w:val="28"/>
          <w:szCs w:val="28"/>
        </w:rPr>
        <w:t>YS/TXXX</w:t>
      </w:r>
      <w:r>
        <w:rPr>
          <w:rFonts w:eastAsia="仿宋_GB2312"/>
          <w:sz w:val="28"/>
          <w:szCs w:val="28"/>
        </w:rPr>
        <w:tab/>
      </w:r>
    </w:p>
    <w:p>
      <w:pPr>
        <w:rPr>
          <w:szCs w:val="21"/>
        </w:rPr>
      </w:pPr>
      <w:r>
        <w:rPr>
          <w:rFonts w:hint="eastAsia"/>
          <w:szCs w:val="21"/>
        </w:rPr>
        <w:t xml:space="preserve">                                                                       _________________________________________________________________________________________________</w:t>
      </w:r>
    </w:p>
    <w:p>
      <w:pPr>
        <w:rPr>
          <w:sz w:val="28"/>
          <w:szCs w:val="28"/>
        </w:rPr>
      </w:pPr>
    </w:p>
    <w:p>
      <w:pPr>
        <w:rPr>
          <w:sz w:val="28"/>
          <w:szCs w:val="28"/>
        </w:rPr>
      </w:pPr>
    </w:p>
    <w:p>
      <w:pPr>
        <w:jc w:val="center"/>
        <w:rPr>
          <w:b/>
          <w:sz w:val="48"/>
          <w:szCs w:val="48"/>
        </w:rPr>
      </w:pPr>
    </w:p>
    <w:p>
      <w:pPr>
        <w:jc w:val="center"/>
        <w:rPr>
          <w:b/>
          <w:sz w:val="48"/>
          <w:szCs w:val="48"/>
        </w:rPr>
      </w:pPr>
    </w:p>
    <w:p>
      <w:pPr>
        <w:jc w:val="center"/>
        <w:rPr>
          <w:b/>
          <w:sz w:val="48"/>
          <w:szCs w:val="48"/>
        </w:rPr>
      </w:pPr>
      <w:r>
        <w:rPr>
          <w:rFonts w:hint="eastAsia"/>
          <w:b/>
          <w:sz w:val="48"/>
          <w:szCs w:val="48"/>
        </w:rPr>
        <w:t>乙二醇锑化学分析方法</w:t>
      </w:r>
    </w:p>
    <w:p>
      <w:pPr>
        <w:jc w:val="center"/>
        <w:rPr>
          <w:b/>
          <w:sz w:val="48"/>
          <w:szCs w:val="48"/>
        </w:rPr>
      </w:pPr>
      <w:r>
        <w:rPr>
          <w:rFonts w:hint="eastAsia"/>
          <w:b/>
          <w:sz w:val="48"/>
          <w:szCs w:val="48"/>
        </w:rPr>
        <w:t>第1部分：锑含量的测定</w:t>
      </w:r>
      <w:r>
        <w:rPr>
          <w:b/>
          <w:sz w:val="48"/>
          <w:szCs w:val="48"/>
        </w:rPr>
        <w:t xml:space="preserve">  </w:t>
      </w:r>
      <w:r>
        <w:rPr>
          <w:rFonts w:hint="eastAsia"/>
          <w:b/>
          <w:sz w:val="48"/>
          <w:szCs w:val="48"/>
        </w:rPr>
        <w:t>溴酸钾滴定法</w:t>
      </w:r>
    </w:p>
    <w:p>
      <w:pPr>
        <w:jc w:val="center"/>
        <w:rPr>
          <w:sz w:val="28"/>
          <w:szCs w:val="28"/>
        </w:rPr>
      </w:pPr>
      <w:r>
        <w:rPr>
          <w:rFonts w:hint="eastAsia"/>
          <w:sz w:val="28"/>
          <w:szCs w:val="28"/>
        </w:rPr>
        <w:t xml:space="preserve">Methods for chemical </w:t>
      </w:r>
      <w:r>
        <w:rPr>
          <w:rFonts w:hint="eastAsia"/>
          <w:sz w:val="32"/>
          <w:szCs w:val="32"/>
        </w:rPr>
        <w:t>analysis</w:t>
      </w:r>
      <w:r>
        <w:rPr>
          <w:rFonts w:hint="eastAsia"/>
          <w:sz w:val="28"/>
          <w:szCs w:val="28"/>
        </w:rPr>
        <w:t xml:space="preserve"> of ethylene glycol antimony —</w:t>
      </w:r>
    </w:p>
    <w:p>
      <w:pPr>
        <w:jc w:val="center"/>
        <w:rPr>
          <w:sz w:val="28"/>
          <w:szCs w:val="28"/>
        </w:rPr>
      </w:pPr>
      <w:r>
        <w:rPr>
          <w:rFonts w:hint="eastAsia"/>
          <w:sz w:val="28"/>
          <w:szCs w:val="28"/>
        </w:rPr>
        <w:t>Part1: Determination of antimony content —</w:t>
      </w:r>
    </w:p>
    <w:p>
      <w:pPr>
        <w:ind w:firstLine="3500" w:firstLineChars="1250"/>
        <w:rPr>
          <w:sz w:val="28"/>
          <w:szCs w:val="28"/>
        </w:rPr>
      </w:pPr>
      <w:r>
        <w:rPr>
          <w:rFonts w:hint="eastAsia"/>
          <w:color w:val="000000"/>
          <w:kern w:val="0"/>
          <w:sz w:val="28"/>
          <w:szCs w:val="28"/>
        </w:rPr>
        <w:t>Potassium bromate</w:t>
      </w:r>
      <w:r>
        <w:rPr>
          <w:rFonts w:hint="eastAsia" w:ascii="Courier New" w:hAnsi="Courier New" w:cs="Courier New"/>
          <w:color w:val="000000"/>
          <w:kern w:val="0"/>
          <w:sz w:val="20"/>
          <w:szCs w:val="20"/>
        </w:rPr>
        <w:t xml:space="preserve"> </w:t>
      </w:r>
      <w:r>
        <w:rPr>
          <w:rFonts w:hint="eastAsia"/>
          <w:sz w:val="28"/>
          <w:szCs w:val="28"/>
        </w:rPr>
        <w:t>titration method</w:t>
      </w:r>
    </w:p>
    <w:p>
      <w:pPr>
        <w:rPr>
          <w:sz w:val="48"/>
          <w:szCs w:val="48"/>
        </w:rPr>
      </w:pPr>
    </w:p>
    <w:p>
      <w:pPr>
        <w:rPr>
          <w:rFonts w:ascii="Courier New" w:hAnsi="Courier New" w:cs="Courier New"/>
          <w:color w:val="000000"/>
          <w:kern w:val="0"/>
          <w:sz w:val="20"/>
          <w:szCs w:val="20"/>
        </w:rPr>
      </w:pPr>
    </w:p>
    <w:p>
      <w:pPr>
        <w:adjustRightInd w:val="0"/>
        <w:snapToGrid w:val="0"/>
        <w:spacing w:line="600" w:lineRule="exact"/>
        <w:jc w:val="center"/>
        <w:rPr>
          <w:sz w:val="32"/>
          <w:szCs w:val="32"/>
        </w:rPr>
      </w:pPr>
    </w:p>
    <w:p>
      <w:pPr>
        <w:jc w:val="center"/>
        <w:rPr>
          <w:sz w:val="28"/>
          <w:szCs w:val="28"/>
        </w:rPr>
      </w:pPr>
      <w:r>
        <w:rPr>
          <w:rFonts w:hint="eastAsia"/>
          <w:sz w:val="28"/>
          <w:szCs w:val="28"/>
        </w:rPr>
        <w:t>（草稿）</w:t>
      </w:r>
    </w:p>
    <w:p>
      <w:pPr>
        <w:jc w:val="center"/>
        <w:rPr>
          <w:rFonts w:ascii="黑体" w:eastAsia="黑体"/>
          <w:b/>
          <w:sz w:val="32"/>
          <w:szCs w:val="32"/>
        </w:rPr>
      </w:pPr>
    </w:p>
    <w:p>
      <w:pPr>
        <w:jc w:val="center"/>
        <w:rPr>
          <w:rFonts w:ascii="黑体" w:eastAsia="黑体"/>
          <w:b/>
          <w:sz w:val="32"/>
          <w:szCs w:val="32"/>
        </w:rPr>
      </w:pPr>
    </w:p>
    <w:p>
      <w:pPr>
        <w:pStyle w:val="12"/>
        <w:numPr>
          <w:ilvl w:val="0"/>
          <w:numId w:val="0"/>
        </w:numPr>
        <w:ind w:right="560"/>
        <w:jc w:val="both"/>
      </w:pPr>
    </w:p>
    <w:p>
      <w:pPr>
        <w:pStyle w:val="16"/>
        <w:spacing w:line="400" w:lineRule="exact"/>
      </w:pPr>
      <w:r>
        <w:rPr>
          <w:rFonts w:hint="eastAsia"/>
        </w:rPr>
        <w:t>××××-××-××发布                           ××××-××-××实施</w:t>
      </w:r>
    </w:p>
    <w:p>
      <w:pPr>
        <w:spacing w:line="400" w:lineRule="exact"/>
        <w:rPr>
          <w:rFonts w:ascii="黑体" w:eastAsia="黑体"/>
          <w:b/>
          <w:sz w:val="32"/>
          <w:szCs w:val="32"/>
          <w:u w:val="single"/>
        </w:rPr>
      </w:pPr>
      <w:r>
        <w:rPr>
          <w:rFonts w:hint="eastAsia" w:ascii="黑体" w:eastAsia="黑体"/>
          <w:b/>
          <w:sz w:val="32"/>
          <w:szCs w:val="32"/>
        </w:rPr>
        <w:t>_______________________________________________________________</w:t>
      </w:r>
    </w:p>
    <w:p>
      <w:pPr>
        <w:pStyle w:val="17"/>
        <w:rPr>
          <w:rFonts w:hint="default"/>
          <w:sz w:val="30"/>
          <w:szCs w:val="30"/>
        </w:rPr>
      </w:pPr>
      <w:r>
        <w:rPr>
          <w:sz w:val="44"/>
          <w:szCs w:val="44"/>
        </w:rPr>
        <w:t>中华人民共和国工业和信息化部</w:t>
      </w:r>
      <w:r>
        <w:t xml:space="preserve"> </w:t>
      </w:r>
      <w:r>
        <w:rPr>
          <w:sz w:val="30"/>
          <w:szCs w:val="30"/>
        </w:rPr>
        <w:t>发布</w:t>
      </w:r>
    </w:p>
    <w:p>
      <w:pPr>
        <w:pStyle w:val="6"/>
        <w:numPr>
          <w:ilvl w:val="0"/>
          <w:numId w:val="0"/>
        </w:numPr>
        <w:spacing w:before="0" w:after="0"/>
        <w:outlineLvl w:val="2"/>
        <w:rPr>
          <w:rFonts w:hint="default"/>
          <w:sz w:val="36"/>
          <w:szCs w:val="36"/>
        </w:rPr>
      </w:pPr>
    </w:p>
    <w:p>
      <w:pPr>
        <w:pStyle w:val="6"/>
        <w:numPr>
          <w:ilvl w:val="0"/>
          <w:numId w:val="0"/>
        </w:numPr>
        <w:spacing w:before="0" w:after="0"/>
        <w:outlineLvl w:val="2"/>
        <w:rPr>
          <w:rFonts w:hint="default"/>
          <w:sz w:val="36"/>
          <w:szCs w:val="36"/>
        </w:rPr>
      </w:pPr>
      <w:r>
        <w:rPr>
          <w:sz w:val="36"/>
          <w:szCs w:val="36"/>
        </w:rPr>
        <w:t>前    言</w:t>
      </w:r>
    </w:p>
    <w:p/>
    <w:p/>
    <w:p/>
    <w:p>
      <w:pPr>
        <w:pStyle w:val="7"/>
        <w:ind w:firstLine="420"/>
        <w:rPr>
          <w:szCs w:val="21"/>
        </w:rPr>
      </w:pPr>
      <w:r>
        <w:rPr>
          <w:szCs w:val="21"/>
        </w:rPr>
        <w:t>YS/T XXXX 《乙二醇</w:t>
      </w:r>
      <w:r>
        <w:t>锑分析检测方法</w:t>
      </w:r>
      <w:r>
        <w:rPr>
          <w:szCs w:val="21"/>
        </w:rPr>
        <w:t>》共有4个部分：</w:t>
      </w:r>
    </w:p>
    <w:p>
      <w:pPr>
        <w:pStyle w:val="7"/>
        <w:ind w:firstLine="420"/>
        <w:rPr>
          <w:szCs w:val="21"/>
        </w:rPr>
      </w:pPr>
      <w:r>
        <w:rPr>
          <w:szCs w:val="21"/>
        </w:rPr>
        <w:t>本部分为第1部分。</w:t>
      </w:r>
    </w:p>
    <w:p>
      <w:pPr>
        <w:pStyle w:val="7"/>
        <w:ind w:firstLine="420"/>
        <w:rPr>
          <w:szCs w:val="21"/>
        </w:rPr>
      </w:pPr>
      <w:r>
        <w:rPr>
          <w:szCs w:val="21"/>
        </w:rPr>
        <w:t xml:space="preserve">本标准由中国有色金属工业协会提出。 </w:t>
      </w:r>
    </w:p>
    <w:p>
      <w:pPr>
        <w:pStyle w:val="7"/>
        <w:ind w:firstLine="420"/>
        <w:rPr>
          <w:szCs w:val="21"/>
        </w:rPr>
      </w:pPr>
      <w:r>
        <w:rPr>
          <w:szCs w:val="21"/>
        </w:rPr>
        <w:t>本标准由全国有色金属标准化技术委员会归口。</w:t>
      </w:r>
    </w:p>
    <w:p>
      <w:pPr>
        <w:pStyle w:val="7"/>
        <w:ind w:firstLine="420"/>
        <w:rPr>
          <w:szCs w:val="21"/>
        </w:rPr>
      </w:pPr>
      <w:r>
        <w:rPr>
          <w:szCs w:val="21"/>
        </w:rPr>
        <w:t>本标准由锡矿山闪星锑业有限责任公司负责起草。</w:t>
      </w:r>
    </w:p>
    <w:p>
      <w:pPr>
        <w:ind w:firstLine="420" w:firstLineChars="200"/>
      </w:pPr>
    </w:p>
    <w:p>
      <w:pPr>
        <w:pStyle w:val="11"/>
        <w:numPr>
          <w:ilvl w:val="0"/>
          <w:numId w:val="0"/>
        </w:numPr>
        <w:rPr>
          <w:rFonts w:hint="default"/>
          <w:b/>
          <w:szCs w:val="32"/>
        </w:rPr>
      </w:pPr>
    </w:p>
    <w:p>
      <w:pPr>
        <w:pStyle w:val="11"/>
        <w:numPr>
          <w:ilvl w:val="0"/>
          <w:numId w:val="0"/>
        </w:numPr>
        <w:rPr>
          <w:rFonts w:hint="default"/>
          <w:b/>
          <w:szCs w:val="32"/>
        </w:rPr>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11"/>
        <w:numPr>
          <w:ilvl w:val="0"/>
          <w:numId w:val="0"/>
        </w:numPr>
        <w:spacing w:before="0" w:after="0"/>
        <w:rPr>
          <w:rFonts w:hint="default"/>
          <w:b/>
          <w:szCs w:val="32"/>
        </w:rPr>
      </w:pPr>
    </w:p>
    <w:p>
      <w:pPr>
        <w:pStyle w:val="11"/>
        <w:numPr>
          <w:ilvl w:val="0"/>
          <w:numId w:val="0"/>
        </w:numPr>
        <w:spacing w:before="0" w:after="0"/>
        <w:rPr>
          <w:rFonts w:hint="default"/>
          <w:b/>
          <w:szCs w:val="32"/>
        </w:rPr>
      </w:pPr>
    </w:p>
    <w:p>
      <w:pPr>
        <w:pStyle w:val="7"/>
        <w:ind w:firstLine="420"/>
      </w:pPr>
    </w:p>
    <w:p>
      <w:pPr>
        <w:pStyle w:val="7"/>
        <w:ind w:firstLine="420"/>
      </w:pPr>
    </w:p>
    <w:p>
      <w:pPr>
        <w:pStyle w:val="11"/>
        <w:numPr>
          <w:ilvl w:val="0"/>
          <w:numId w:val="0"/>
        </w:numPr>
        <w:spacing w:before="0" w:after="0"/>
        <w:rPr>
          <w:rFonts w:hint="eastAsia" w:eastAsia="黑体"/>
          <w:b/>
          <w:szCs w:val="32"/>
          <w:lang w:eastAsia="zh-CN"/>
        </w:rPr>
      </w:pPr>
      <w:r>
        <w:rPr>
          <w:b/>
          <w:szCs w:val="32"/>
        </w:rPr>
        <w:t>乙二醇锑分析检测方法</w:t>
      </w:r>
    </w:p>
    <w:p>
      <w:pPr>
        <w:pStyle w:val="11"/>
        <w:numPr>
          <w:ilvl w:val="0"/>
          <w:numId w:val="0"/>
        </w:numPr>
        <w:spacing w:before="0" w:after="0"/>
        <w:rPr>
          <w:rFonts w:hint="default"/>
          <w:szCs w:val="32"/>
        </w:rPr>
      </w:pPr>
      <w:r>
        <w:rPr>
          <w:rFonts w:ascii="Times New Roman"/>
        </w:rPr>
        <w:t>锑量的测定  溴酸钾滴定法</w:t>
      </w:r>
    </w:p>
    <w:p>
      <w:pPr>
        <w:tabs>
          <w:tab w:val="left" w:pos="8745"/>
        </w:tabs>
        <w:rPr>
          <w:rFonts w:ascii="宋体"/>
          <w:szCs w:val="21"/>
        </w:rPr>
      </w:pPr>
      <w:r>
        <w:rPr>
          <w:rFonts w:ascii="宋体"/>
          <w:szCs w:val="21"/>
        </w:rPr>
        <w:tab/>
      </w:r>
    </w:p>
    <w:p>
      <w:pPr>
        <w:autoSpaceDE w:val="0"/>
        <w:autoSpaceDN w:val="0"/>
        <w:adjustRightInd w:val="0"/>
        <w:jc w:val="left"/>
        <w:rPr>
          <w:rFonts w:ascii="黑体" w:hAnsi="黑体" w:eastAsia="黑体"/>
          <w:szCs w:val="21"/>
        </w:rPr>
      </w:pPr>
      <w:r>
        <w:rPr>
          <w:rFonts w:hint="eastAsia" w:ascii="黑体" w:hAnsi="黑体" w:eastAsia="黑体"/>
          <w:szCs w:val="21"/>
        </w:rPr>
        <w:t>1  范围</w:t>
      </w:r>
    </w:p>
    <w:p>
      <w:pPr>
        <w:autoSpaceDE w:val="0"/>
        <w:autoSpaceDN w:val="0"/>
        <w:adjustRightInd w:val="0"/>
        <w:ind w:firstLine="411" w:firstLineChars="196"/>
        <w:jc w:val="left"/>
        <w:rPr>
          <w:rFonts w:ascii="宋体" w:cs="宋体"/>
          <w:kern w:val="0"/>
          <w:lang w:val="zh-CN"/>
        </w:rPr>
      </w:pPr>
    </w:p>
    <w:p>
      <w:pPr>
        <w:autoSpaceDE w:val="0"/>
        <w:autoSpaceDN w:val="0"/>
        <w:adjustRightInd w:val="0"/>
        <w:ind w:firstLine="411" w:firstLineChars="196"/>
        <w:jc w:val="left"/>
        <w:rPr>
          <w:rFonts w:ascii="宋体"/>
          <w:kern w:val="0"/>
          <w:lang w:val="zh-CN"/>
        </w:rPr>
      </w:pPr>
      <w:r>
        <w:rPr>
          <w:rFonts w:hint="eastAsia" w:ascii="宋体" w:cs="宋体"/>
          <w:kern w:val="0"/>
          <w:lang w:val="zh-CN"/>
        </w:rPr>
        <w:t>本标准规定了乙二醇锑中锑量的测定方法。</w:t>
      </w:r>
    </w:p>
    <w:p>
      <w:pPr>
        <w:autoSpaceDE w:val="0"/>
        <w:autoSpaceDN w:val="0"/>
        <w:adjustRightInd w:val="0"/>
        <w:ind w:firstLine="420"/>
        <w:jc w:val="left"/>
        <w:rPr>
          <w:rFonts w:ascii="宋体"/>
          <w:kern w:val="0"/>
          <w:lang w:val="zh-CN"/>
        </w:rPr>
      </w:pPr>
      <w:r>
        <w:rPr>
          <w:rFonts w:hint="eastAsia" w:ascii="宋体" w:cs="宋体"/>
          <w:kern w:val="0"/>
          <w:lang w:val="zh-CN"/>
        </w:rPr>
        <w:t>本标准适用于乙二醇锑中锑量的测定。测定范围：50.00%～60.00%。</w:t>
      </w:r>
      <w:r>
        <w:rPr>
          <w:rFonts w:hint="eastAsia" w:cs="宋体"/>
        </w:rPr>
        <w:t xml:space="preserve">                                                                                                                                                                                                                                                                                                                                                                                                                                                                                                                                                                                                                                                                          </w:t>
      </w:r>
    </w:p>
    <w:p>
      <w:pPr>
        <w:rPr>
          <w:rFonts w:ascii="宋体" w:hAnsi="宋体"/>
          <w:szCs w:val="21"/>
        </w:rPr>
      </w:pPr>
    </w:p>
    <w:p>
      <w:pPr>
        <w:rPr>
          <w:rFonts w:ascii="黑体" w:hAnsi="黑体" w:eastAsia="黑体"/>
          <w:szCs w:val="21"/>
        </w:rPr>
      </w:pPr>
      <w:r>
        <w:rPr>
          <w:rFonts w:hint="eastAsia" w:ascii="黑体" w:hAnsi="黑体" w:eastAsia="黑体"/>
          <w:szCs w:val="21"/>
        </w:rPr>
        <w:t>2  规范性引用文件</w:t>
      </w:r>
    </w:p>
    <w:p>
      <w:pPr>
        <w:ind w:left="360"/>
        <w:rPr>
          <w:rFonts w:ascii="黑体" w:hAnsi="黑体" w:eastAsia="黑体"/>
          <w:szCs w:val="21"/>
        </w:rPr>
      </w:pPr>
    </w:p>
    <w:p>
      <w:pPr>
        <w:pStyle w:val="7"/>
        <w:tabs>
          <w:tab w:val="center" w:pos="4201"/>
          <w:tab w:val="right" w:leader="dot" w:pos="9298"/>
        </w:tabs>
        <w:ind w:firstLine="420"/>
      </w:pPr>
      <w:r>
        <w:t>下列文件中的内容通过文中的规范性引用而构成本文件必不可少的条款。其中，注日期的引用文件，仅该注日期对应的版本适用于本文件；不注日期的引用文件，其最新版本（包括所有的修改单）适用于本文件。</w:t>
      </w:r>
    </w:p>
    <w:p>
      <w:pPr>
        <w:pStyle w:val="7"/>
        <w:tabs>
          <w:tab w:val="center" w:pos="4201"/>
          <w:tab w:val="right" w:leader="dot" w:pos="9298"/>
        </w:tabs>
        <w:ind w:firstLine="420"/>
        <w:rPr>
          <w:rFonts w:ascii="Times New Roman"/>
        </w:rPr>
      </w:pPr>
      <w:r>
        <w:rPr>
          <w:rFonts w:ascii="Times New Roman"/>
        </w:rPr>
        <w:t>GB/T 6682 分析实验室用水规格和试验方法</w:t>
      </w:r>
    </w:p>
    <w:p>
      <w:pPr>
        <w:ind w:left="360"/>
        <w:rPr>
          <w:rFonts w:ascii="黑体" w:hAnsi="黑体" w:eastAsia="黑体"/>
          <w:szCs w:val="21"/>
        </w:rPr>
      </w:pPr>
    </w:p>
    <w:p>
      <w:pPr>
        <w:rPr>
          <w:rFonts w:ascii="黑体" w:hAnsi="黑体" w:eastAsia="黑体"/>
          <w:szCs w:val="21"/>
        </w:rPr>
      </w:pPr>
      <w:r>
        <w:rPr>
          <w:rFonts w:hint="eastAsia" w:ascii="黑体" w:hAnsi="黑体" w:eastAsia="黑体"/>
          <w:szCs w:val="21"/>
        </w:rPr>
        <w:t>3  术语和定义</w:t>
      </w:r>
    </w:p>
    <w:p>
      <w:pPr>
        <w:ind w:left="360"/>
        <w:rPr>
          <w:rFonts w:ascii="宋体" w:hAnsi="宋体"/>
          <w:szCs w:val="21"/>
        </w:rPr>
      </w:pPr>
    </w:p>
    <w:p>
      <w:pPr>
        <w:pStyle w:val="7"/>
        <w:tabs>
          <w:tab w:val="center" w:pos="4201"/>
          <w:tab w:val="right" w:leader="dot" w:pos="9298"/>
        </w:tabs>
        <w:ind w:firstLine="420"/>
      </w:pPr>
      <w:r>
        <w:rPr>
          <w:rFonts w:hint="eastAsia" w:hAnsi="宋体"/>
          <w:szCs w:val="21"/>
        </w:rPr>
        <w:t xml:space="preserve">    </w:t>
      </w:r>
      <w:r>
        <w:t>本文件没有需要界定的术语和定义。</w:t>
      </w:r>
    </w:p>
    <w:p>
      <w:pPr>
        <w:rPr>
          <w:rFonts w:ascii="宋体" w:hAnsi="宋体"/>
          <w:szCs w:val="21"/>
        </w:rPr>
      </w:pPr>
    </w:p>
    <w:p>
      <w:pPr>
        <w:rPr>
          <w:rFonts w:ascii="黑体" w:hAnsi="黑体" w:eastAsia="黑体"/>
          <w:szCs w:val="21"/>
        </w:rPr>
      </w:pPr>
      <w:r>
        <w:rPr>
          <w:rFonts w:hint="eastAsia" w:ascii="黑体" w:hAnsi="黑体" w:eastAsia="黑体"/>
          <w:bCs/>
          <w:szCs w:val="21"/>
        </w:rPr>
        <w:t>4  原理</w:t>
      </w:r>
    </w:p>
    <w:p>
      <w:pPr>
        <w:pStyle w:val="7"/>
        <w:ind w:firstLine="420"/>
        <w:rPr>
          <w:rFonts w:hAnsi="宋体"/>
          <w:szCs w:val="21"/>
        </w:rPr>
      </w:pPr>
    </w:p>
    <w:p>
      <w:pPr>
        <w:pStyle w:val="7"/>
        <w:ind w:firstLine="420"/>
        <w:rPr>
          <w:szCs w:val="21"/>
        </w:rPr>
      </w:pPr>
      <w:r>
        <w:rPr>
          <w:rFonts w:hAnsi="宋体"/>
          <w:szCs w:val="21"/>
        </w:rPr>
        <w:t>试料用盐酸溶解</w:t>
      </w:r>
      <w:r>
        <w:rPr>
          <w:spacing w:val="6"/>
          <w:szCs w:val="21"/>
        </w:rPr>
        <w:t>，在</w:t>
      </w:r>
      <w:r>
        <w:rPr>
          <w:rFonts w:hAnsi="宋体"/>
          <w:szCs w:val="21"/>
        </w:rPr>
        <w:t>盐酸介质中，</w:t>
      </w:r>
      <w:r>
        <w:rPr>
          <w:spacing w:val="6"/>
          <w:szCs w:val="21"/>
        </w:rPr>
        <w:t>以甲基橙为指示剂，</w:t>
      </w:r>
      <w:r>
        <w:rPr>
          <w:szCs w:val="21"/>
        </w:rPr>
        <w:t>用溴酸钾标准滴定溶液滴定至溶液红色消失为终点，根据溴酸钾标准滴定溶液的消耗量</w:t>
      </w:r>
      <w:r>
        <w:rPr>
          <w:rFonts w:hAnsi="宋体"/>
          <w:szCs w:val="21"/>
        </w:rPr>
        <w:t>计算锑含量。</w:t>
      </w:r>
    </w:p>
    <w:p>
      <w:pPr>
        <w:rPr>
          <w:b/>
          <w:bCs/>
          <w:szCs w:val="21"/>
        </w:rPr>
      </w:pPr>
    </w:p>
    <w:p>
      <w:pPr>
        <w:rPr>
          <w:rFonts w:ascii="黑体" w:hAnsi="黑体" w:eastAsia="黑体"/>
          <w:bCs/>
          <w:szCs w:val="21"/>
        </w:rPr>
      </w:pPr>
      <w:r>
        <w:rPr>
          <w:rFonts w:hint="eastAsia" w:ascii="黑体" w:hAnsi="黑体" w:eastAsia="黑体"/>
          <w:bCs/>
          <w:szCs w:val="21"/>
        </w:rPr>
        <w:t>5  试剂</w:t>
      </w:r>
    </w:p>
    <w:p>
      <w:pPr>
        <w:pStyle w:val="18"/>
        <w:ind w:left="360" w:firstLine="0" w:firstLineChars="0"/>
      </w:pPr>
    </w:p>
    <w:p>
      <w:pPr>
        <w:pStyle w:val="18"/>
        <w:ind w:left="360" w:firstLine="0" w:firstLineChars="0"/>
        <w:rPr>
          <w:b/>
          <w:bCs/>
          <w:szCs w:val="21"/>
        </w:rPr>
      </w:pPr>
      <w:r>
        <w:rPr>
          <w:rFonts w:hint="eastAsia"/>
        </w:rPr>
        <w:t>本部分所用试剂和水均指分析纯试剂和三级水</w:t>
      </w:r>
      <w:r>
        <w:rPr>
          <w:rFonts w:hint="eastAsia"/>
          <w:b/>
          <w:bCs/>
          <w:szCs w:val="21"/>
        </w:rPr>
        <w:t>：</w:t>
      </w:r>
    </w:p>
    <w:p>
      <w:pPr>
        <w:rPr>
          <w:bCs/>
          <w:szCs w:val="21"/>
        </w:rPr>
      </w:pPr>
      <w:r>
        <w:rPr>
          <w:rFonts w:hint="eastAsia" w:ascii="黑体" w:hAnsi="黑体" w:eastAsia="黑体"/>
          <w:bCs/>
          <w:szCs w:val="21"/>
        </w:rPr>
        <w:t>5.1</w:t>
      </w:r>
      <w:r>
        <w:rPr>
          <w:rFonts w:hint="eastAsia" w:ascii="宋体"/>
          <w:szCs w:val="21"/>
        </w:rPr>
        <w:t>盐酸（</w:t>
      </w:r>
      <w:r>
        <w:rPr>
          <w:rFonts w:hint="eastAsia" w:ascii="宋体"/>
          <w:i/>
          <w:szCs w:val="21"/>
        </w:rPr>
        <w:t>ρ</w:t>
      </w:r>
      <w:r>
        <w:rPr>
          <w:rFonts w:hint="eastAsia" w:ascii="宋体"/>
          <w:szCs w:val="21"/>
        </w:rPr>
        <w:t>1.19 g/mL）</w:t>
      </w:r>
      <w:r>
        <w:rPr>
          <w:rFonts w:hint="eastAsia"/>
          <w:bCs/>
          <w:szCs w:val="21"/>
        </w:rPr>
        <w:t>。</w:t>
      </w:r>
    </w:p>
    <w:p>
      <w:pPr>
        <w:rPr>
          <w:bCs/>
          <w:szCs w:val="21"/>
        </w:rPr>
      </w:pPr>
      <w:r>
        <w:rPr>
          <w:rFonts w:hint="eastAsia" w:ascii="黑体" w:hAnsi="黑体" w:eastAsia="黑体"/>
          <w:bCs/>
          <w:szCs w:val="21"/>
        </w:rPr>
        <w:t>5.2</w:t>
      </w:r>
      <w:r>
        <w:rPr>
          <w:rFonts w:hint="eastAsia" w:ascii="宋体"/>
          <w:szCs w:val="21"/>
        </w:rPr>
        <w:t>盐酸（1+1）。</w:t>
      </w:r>
    </w:p>
    <w:p>
      <w:pPr>
        <w:rPr>
          <w:bCs/>
          <w:szCs w:val="21"/>
        </w:rPr>
      </w:pPr>
      <w:r>
        <w:rPr>
          <w:rFonts w:hint="eastAsia" w:ascii="黑体" w:hAnsi="黑体" w:eastAsia="黑体"/>
          <w:bCs/>
          <w:szCs w:val="21"/>
        </w:rPr>
        <w:t>5.3</w:t>
      </w:r>
      <w:r>
        <w:rPr>
          <w:rFonts w:hint="eastAsia"/>
          <w:szCs w:val="21"/>
        </w:rPr>
        <w:t>溴酸钾标准滴定</w:t>
      </w:r>
      <w:r>
        <w:rPr>
          <w:rFonts w:hint="eastAsia"/>
          <w:bCs/>
          <w:szCs w:val="21"/>
        </w:rPr>
        <w:t>溶液</w:t>
      </w:r>
      <w:r>
        <w:rPr>
          <w:rFonts w:hint="eastAsia" w:ascii="宋体" w:hAnsi="宋体"/>
          <w:szCs w:val="21"/>
        </w:rPr>
        <w:t>[</w:t>
      </w:r>
      <w:r>
        <w:rPr>
          <w:rFonts w:hint="eastAsia" w:ascii="宋体" w:hAnsi="宋体"/>
          <w:i/>
          <w:szCs w:val="21"/>
        </w:rPr>
        <w:t>c</w:t>
      </w:r>
      <w:r>
        <w:rPr>
          <w:rFonts w:hint="eastAsia" w:ascii="宋体" w:hAnsi="宋体"/>
          <w:color w:val="auto"/>
          <w:szCs w:val="21"/>
        </w:rPr>
        <w:t>（1/6</w:t>
      </w:r>
      <w:r>
        <w:rPr>
          <w:rFonts w:hint="eastAsia"/>
          <w:color w:val="auto"/>
          <w:szCs w:val="21"/>
        </w:rPr>
        <w:t>KBr</w:t>
      </w:r>
      <w:r>
        <w:rPr>
          <w:color w:val="auto"/>
          <w:szCs w:val="21"/>
        </w:rPr>
        <w:t>O</w:t>
      </w:r>
      <w:r>
        <w:rPr>
          <w:rFonts w:hint="eastAsia"/>
          <w:color w:val="auto"/>
          <w:szCs w:val="21"/>
          <w:vertAlign w:val="subscript"/>
        </w:rPr>
        <w:t>3</w:t>
      </w:r>
      <w:r>
        <w:rPr>
          <w:color w:val="auto"/>
          <w:szCs w:val="21"/>
        </w:rPr>
        <w:t>)</w:t>
      </w:r>
      <w:r>
        <w:rPr>
          <w:rFonts w:hint="eastAsia" w:ascii="宋体" w:hAnsi="宋体"/>
          <w:color w:val="auto"/>
          <w:szCs w:val="21"/>
        </w:rPr>
        <w:t>约</w:t>
      </w:r>
      <w:r>
        <w:rPr>
          <w:color w:val="auto"/>
          <w:szCs w:val="21"/>
        </w:rPr>
        <w:t>0.1</w:t>
      </w:r>
      <w:r>
        <w:rPr>
          <w:rFonts w:hint="eastAsia" w:ascii="宋体" w:hAnsi="宋体"/>
          <w:color w:val="auto"/>
          <w:szCs w:val="21"/>
        </w:rPr>
        <w:t>mol/L]：</w:t>
      </w:r>
      <w:r>
        <w:rPr>
          <w:rFonts w:hAnsi="宋体"/>
          <w:color w:val="auto"/>
          <w:szCs w:val="21"/>
        </w:rPr>
        <w:t>称</w:t>
      </w:r>
      <w:r>
        <w:rPr>
          <w:rFonts w:hAnsi="宋体"/>
          <w:szCs w:val="21"/>
        </w:rPr>
        <w:t>取</w:t>
      </w:r>
      <w:r>
        <w:rPr>
          <w:rFonts w:hint="eastAsia"/>
          <w:szCs w:val="21"/>
        </w:rPr>
        <w:t>2</w:t>
      </w:r>
      <w:r>
        <w:rPr>
          <w:szCs w:val="21"/>
        </w:rPr>
        <w:t>.</w:t>
      </w:r>
      <w:r>
        <w:rPr>
          <w:rFonts w:hint="eastAsia"/>
          <w:szCs w:val="21"/>
        </w:rPr>
        <w:t xml:space="preserve">8 </w:t>
      </w:r>
      <w:r>
        <w:rPr>
          <w:szCs w:val="21"/>
        </w:rPr>
        <w:t>g</w:t>
      </w:r>
      <w:r>
        <w:rPr>
          <w:rFonts w:hint="eastAsia"/>
          <w:szCs w:val="21"/>
        </w:rPr>
        <w:t>溴酸钾基准物质（预先于180</w:t>
      </w:r>
      <w:r>
        <w:rPr>
          <w:rFonts w:hint="eastAsia" w:ascii="宋体"/>
          <w:szCs w:val="21"/>
        </w:rPr>
        <w:t>℃烘干1h</w:t>
      </w:r>
      <w:r>
        <w:rPr>
          <w:rFonts w:hint="eastAsia"/>
          <w:szCs w:val="21"/>
        </w:rPr>
        <w:t>）于1000</w:t>
      </w:r>
      <w:r>
        <w:rPr>
          <w:szCs w:val="21"/>
        </w:rPr>
        <w:t xml:space="preserve"> mL</w:t>
      </w:r>
      <w:r>
        <w:rPr>
          <w:rFonts w:hint="eastAsia"/>
          <w:szCs w:val="21"/>
        </w:rPr>
        <w:t>容量瓶中，加少量水溶解，</w:t>
      </w:r>
      <w:r>
        <w:rPr>
          <w:rFonts w:hAnsi="宋体"/>
          <w:szCs w:val="21"/>
        </w:rPr>
        <w:t>以水稀释至刻度，混匀。</w:t>
      </w:r>
    </w:p>
    <w:p>
      <w:pPr>
        <w:rPr>
          <w:bCs/>
          <w:szCs w:val="21"/>
        </w:rPr>
      </w:pPr>
      <w:r>
        <w:rPr>
          <w:rFonts w:hint="eastAsia" w:ascii="黑体" w:hAnsi="黑体" w:eastAsia="黑体"/>
          <w:bCs/>
          <w:szCs w:val="21"/>
        </w:rPr>
        <w:t>5.4</w:t>
      </w:r>
      <w:r>
        <w:rPr>
          <w:rFonts w:hint="eastAsia"/>
          <w:szCs w:val="21"/>
        </w:rPr>
        <w:t>甲基橙指示剂(1g/L)。</w:t>
      </w:r>
    </w:p>
    <w:p>
      <w:pPr>
        <w:rPr>
          <w:rFonts w:ascii="宋体"/>
          <w:b/>
        </w:rPr>
      </w:pPr>
    </w:p>
    <w:p>
      <w:pPr>
        <w:rPr>
          <w:rFonts w:ascii="黑体" w:hAnsi="黑体" w:eastAsia="黑体"/>
          <w:bCs/>
          <w:szCs w:val="21"/>
        </w:rPr>
      </w:pPr>
      <w:r>
        <w:rPr>
          <w:rFonts w:hint="eastAsia" w:ascii="黑体" w:hAnsi="黑体" w:eastAsia="黑体"/>
          <w:bCs/>
          <w:szCs w:val="21"/>
        </w:rPr>
        <w:t>6  样品</w:t>
      </w:r>
    </w:p>
    <w:p>
      <w:pPr>
        <w:ind w:left="360"/>
        <w:rPr>
          <w:rFonts w:asciiTheme="minorEastAsia" w:hAnsiTheme="minorEastAsia" w:eastAsiaTheme="minorEastAsia"/>
          <w:bCs/>
          <w:szCs w:val="21"/>
        </w:rPr>
      </w:pPr>
    </w:p>
    <w:p>
      <w:pPr>
        <w:ind w:left="360"/>
        <w:rPr>
          <w:rFonts w:asciiTheme="minorEastAsia" w:hAnsiTheme="minorEastAsia" w:eastAsiaTheme="minorEastAsia"/>
          <w:bCs/>
          <w:szCs w:val="21"/>
        </w:rPr>
      </w:pPr>
      <w:r>
        <w:rPr>
          <w:rFonts w:hint="eastAsia" w:asciiTheme="minorEastAsia" w:hAnsiTheme="minorEastAsia" w:eastAsiaTheme="minorEastAsia"/>
          <w:bCs/>
          <w:szCs w:val="21"/>
        </w:rPr>
        <w:t>样品应抽真空并保存于干燥器中。</w:t>
      </w:r>
    </w:p>
    <w:p>
      <w:pPr>
        <w:rPr>
          <w:rFonts w:ascii="黑体" w:hAnsi="黑体" w:eastAsia="黑体"/>
          <w:bCs/>
          <w:szCs w:val="21"/>
        </w:rPr>
      </w:pPr>
    </w:p>
    <w:p>
      <w:pPr>
        <w:rPr>
          <w:rFonts w:ascii="黑体" w:hAnsi="黑体" w:eastAsia="黑体"/>
          <w:bCs/>
          <w:szCs w:val="21"/>
        </w:rPr>
      </w:pPr>
      <w:r>
        <w:rPr>
          <w:rFonts w:hint="eastAsia" w:ascii="黑体" w:hAnsi="黑体" w:eastAsia="黑体"/>
        </w:rPr>
        <w:t>7  试验步骤</w:t>
      </w:r>
    </w:p>
    <w:p>
      <w:pPr>
        <w:rPr>
          <w:b/>
        </w:rPr>
      </w:pPr>
    </w:p>
    <w:p>
      <w:pPr>
        <w:spacing w:before="100" w:beforeAutospacing="1" w:after="100" w:afterAutospacing="1"/>
        <w:rPr>
          <w:szCs w:val="21"/>
        </w:rPr>
      </w:pPr>
      <w:r>
        <w:rPr>
          <w:rFonts w:ascii="黑体" w:hAnsi="黑体" w:eastAsia="黑体"/>
          <w:szCs w:val="21"/>
        </w:rPr>
        <w:t>7.1</w:t>
      </w:r>
      <w:r>
        <w:rPr>
          <w:szCs w:val="21"/>
        </w:rPr>
        <w:t xml:space="preserve">  </w:t>
      </w:r>
      <w:r>
        <w:rPr>
          <w:rFonts w:ascii="黑体" w:hAnsi="黑体" w:eastAsia="黑体"/>
          <w:szCs w:val="21"/>
        </w:rPr>
        <w:t>试料</w:t>
      </w:r>
    </w:p>
    <w:p>
      <w:pPr>
        <w:ind w:firstLine="420" w:firstLineChars="200"/>
        <w:rPr>
          <w:rFonts w:hint="eastAsia" w:ascii="宋体" w:hAnsi="宋体" w:eastAsia="宋体" w:cs="宋体"/>
          <w:sz w:val="21"/>
          <w:szCs w:val="21"/>
          <w:lang w:val="en-US" w:eastAsia="zh-CN"/>
        </w:rPr>
      </w:pPr>
      <w:r>
        <w:rPr>
          <w:szCs w:val="21"/>
        </w:rPr>
        <w:t>称取0.25g~</w:t>
      </w:r>
      <w:r>
        <w:rPr>
          <w:rFonts w:hint="eastAsia"/>
          <w:szCs w:val="21"/>
        </w:rPr>
        <w:t>0.</w:t>
      </w:r>
      <w:r>
        <w:rPr>
          <w:szCs w:val="21"/>
        </w:rPr>
        <w:t>30 g</w:t>
      </w:r>
      <w:r>
        <w:rPr>
          <w:rFonts w:hint="eastAsia"/>
          <w:szCs w:val="21"/>
        </w:rPr>
        <w:t>样品（6）</w:t>
      </w:r>
      <w:r>
        <w:rPr>
          <w:szCs w:val="21"/>
        </w:rPr>
        <w:t>，精确至0.0001g</w:t>
      </w:r>
      <w:r>
        <w:rPr>
          <w:rFonts w:hint="eastAsia"/>
          <w:szCs w:val="21"/>
          <w:lang w:eastAsia="zh-CN"/>
        </w:rPr>
        <w:t>，</w:t>
      </w:r>
      <w:r>
        <w:rPr>
          <w:rFonts w:hint="eastAsia" w:ascii="宋体" w:hAnsi="宋体" w:eastAsia="宋体" w:cs="宋体"/>
          <w:sz w:val="21"/>
          <w:szCs w:val="21"/>
          <w:lang w:eastAsia="zh-CN"/>
        </w:rPr>
        <w:t>使用约</w:t>
      </w:r>
      <w:r>
        <w:rPr>
          <w:rFonts w:hint="eastAsia" w:ascii="宋体" w:hAnsi="宋体" w:eastAsia="宋体" w:cs="宋体"/>
          <w:sz w:val="21"/>
          <w:szCs w:val="21"/>
          <w:lang w:val="en-US" w:eastAsia="zh-CN"/>
        </w:rPr>
        <w:t>0.2mm</w:t>
      </w:r>
      <w:r>
        <w:rPr>
          <w:rFonts w:hint="eastAsia" w:ascii="宋体" w:hAnsi="宋体" w:eastAsia="宋体" w:cs="宋体"/>
          <w:sz w:val="21"/>
          <w:szCs w:val="21"/>
          <w:lang w:eastAsia="zh-CN"/>
        </w:rPr>
        <w:t>厚的耐温塑料片制成中间</w:t>
      </w:r>
      <w:r>
        <w:rPr>
          <w:rFonts w:hint="eastAsia" w:ascii="宋体" w:hAnsi="宋体" w:cs="宋体"/>
          <w:sz w:val="21"/>
          <w:szCs w:val="21"/>
          <w:lang w:eastAsia="zh-CN"/>
        </w:rPr>
        <w:t>具有一尺寸</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2cm</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X</w:t>
      </w:r>
      <w:r>
        <w:rPr>
          <w:rFonts w:hint="eastAsia" w:ascii="宋体" w:hAnsi="宋体" w:cs="宋体"/>
          <w:sz w:val="21"/>
          <w:szCs w:val="21"/>
          <w:lang w:val="en-US" w:eastAsia="zh-CN"/>
        </w:rPr>
        <w:t xml:space="preserve"> 3.5</w:t>
      </w:r>
      <w:r>
        <w:rPr>
          <w:rFonts w:hint="eastAsia" w:ascii="宋体" w:hAnsi="宋体" w:eastAsia="宋体" w:cs="宋体"/>
          <w:sz w:val="21"/>
          <w:szCs w:val="21"/>
          <w:lang w:val="en-US" w:eastAsia="zh-CN"/>
        </w:rPr>
        <w:t>cm的凹型小皿，试样加在小皿上称量。</w:t>
      </w:r>
    </w:p>
    <w:p>
      <w:pPr>
        <w:ind w:firstLine="420" w:firstLineChars="200"/>
        <w:rPr>
          <w:rFonts w:hint="eastAsia" w:eastAsia="宋体"/>
          <w:szCs w:val="21"/>
          <w:lang w:eastAsia="zh-CN"/>
        </w:rPr>
      </w:pPr>
    </w:p>
    <w:p>
      <w:pPr>
        <w:rPr>
          <w:rFonts w:ascii="黑体" w:hAnsi="黑体" w:eastAsia="黑体"/>
          <w:szCs w:val="21"/>
        </w:rPr>
      </w:pPr>
    </w:p>
    <w:p>
      <w:pPr>
        <w:rPr>
          <w:rFonts w:ascii="黑体" w:hAnsi="黑体" w:eastAsia="黑体"/>
          <w:szCs w:val="21"/>
        </w:rPr>
      </w:pPr>
      <w:r>
        <w:rPr>
          <w:rFonts w:hint="eastAsia" w:ascii="黑体" w:hAnsi="黑体" w:eastAsia="黑体"/>
          <w:szCs w:val="21"/>
        </w:rPr>
        <w:t>7</w:t>
      </w:r>
      <w:r>
        <w:rPr>
          <w:rFonts w:ascii="黑体" w:hAnsi="黑体" w:eastAsia="黑体"/>
          <w:szCs w:val="21"/>
        </w:rPr>
        <w:t>.2</w:t>
      </w:r>
      <w:r>
        <w:rPr>
          <w:rFonts w:hint="eastAsia" w:ascii="黑体" w:hAnsi="黑体" w:eastAsia="黑体"/>
          <w:szCs w:val="21"/>
        </w:rPr>
        <w:t xml:space="preserve">  平</w:t>
      </w:r>
      <w:r>
        <w:rPr>
          <w:rFonts w:hint="eastAsia" w:ascii="黑体" w:hAnsi="黑体" w:eastAsia="黑体"/>
          <w:szCs w:val="21"/>
          <w:lang w:val="en-US" w:eastAsia="zh-CN"/>
        </w:rPr>
        <w:t>行</w:t>
      </w:r>
      <w:r>
        <w:rPr>
          <w:rFonts w:hint="eastAsia" w:ascii="黑体" w:hAnsi="黑体" w:eastAsia="黑体"/>
          <w:szCs w:val="21"/>
        </w:rPr>
        <w:t>试验</w:t>
      </w:r>
    </w:p>
    <w:p>
      <w:pPr>
        <w:ind w:firstLine="420" w:firstLineChars="200"/>
        <w:rPr>
          <w:rFonts w:ascii="宋体"/>
          <w:szCs w:val="21"/>
        </w:rPr>
      </w:pPr>
    </w:p>
    <w:p>
      <w:pPr>
        <w:ind w:firstLine="437"/>
      </w:pPr>
      <w:r>
        <w:rPr>
          <w:rFonts w:hint="eastAsia"/>
        </w:rPr>
        <w:t>平行做两份试验，取其</w:t>
      </w:r>
      <w:r>
        <w:t>平均值。</w:t>
      </w:r>
    </w:p>
    <w:p>
      <w:pPr>
        <w:rPr>
          <w:szCs w:val="21"/>
        </w:rPr>
      </w:pPr>
    </w:p>
    <w:p>
      <w:pPr>
        <w:rPr>
          <w:rFonts w:ascii="黑体" w:hAnsi="黑体" w:eastAsia="黑体"/>
          <w:szCs w:val="21"/>
        </w:rPr>
      </w:pPr>
      <w:r>
        <w:rPr>
          <w:rFonts w:hint="eastAsia" w:ascii="黑体" w:hAnsi="黑体" w:eastAsia="黑体"/>
          <w:szCs w:val="21"/>
        </w:rPr>
        <w:t>7</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 xml:space="preserve"> 空白试验</w:t>
      </w:r>
    </w:p>
    <w:p>
      <w:pPr>
        <w:ind w:firstLine="420" w:firstLineChars="200"/>
        <w:rPr>
          <w:rFonts w:ascii="宋体"/>
          <w:szCs w:val="21"/>
        </w:rPr>
      </w:pPr>
    </w:p>
    <w:p>
      <w:pPr>
        <w:ind w:firstLine="420" w:firstLineChars="200"/>
        <w:rPr>
          <w:rFonts w:ascii="宋体"/>
          <w:szCs w:val="21"/>
        </w:rPr>
      </w:pPr>
      <w:r>
        <w:rPr>
          <w:rFonts w:hint="eastAsia" w:ascii="宋体"/>
          <w:szCs w:val="21"/>
        </w:rPr>
        <w:t>随同试料做空白试验。</w:t>
      </w:r>
    </w:p>
    <w:p>
      <w:pPr>
        <w:rPr>
          <w:rFonts w:ascii="黑体" w:hAnsi="黑体" w:eastAsia="黑体"/>
          <w:szCs w:val="21"/>
        </w:rPr>
      </w:pPr>
    </w:p>
    <w:p>
      <w:pPr>
        <w:rPr>
          <w:rFonts w:ascii="黑体" w:hAnsi="黑体" w:eastAsia="黑体"/>
          <w:szCs w:val="21"/>
        </w:rPr>
      </w:pPr>
      <w:r>
        <w:rPr>
          <w:rFonts w:hint="eastAsia" w:ascii="黑体" w:hAnsi="黑体" w:eastAsia="黑体"/>
          <w:szCs w:val="21"/>
        </w:rPr>
        <w:t>7</w:t>
      </w:r>
      <w:r>
        <w:rPr>
          <w:rFonts w:ascii="黑体" w:hAnsi="黑体" w:eastAsia="黑体"/>
          <w:szCs w:val="21"/>
        </w:rPr>
        <w:t>.</w:t>
      </w:r>
      <w:r>
        <w:rPr>
          <w:rFonts w:hint="eastAsia" w:ascii="黑体" w:hAnsi="黑体" w:eastAsia="黑体"/>
          <w:szCs w:val="21"/>
        </w:rPr>
        <w:t>4  测定</w:t>
      </w:r>
    </w:p>
    <w:p>
      <w:pPr>
        <w:rPr>
          <w:szCs w:val="21"/>
        </w:rPr>
      </w:pPr>
    </w:p>
    <w:p>
      <w:pPr>
        <w:rPr>
          <w:rFonts w:hint="eastAsia" w:eastAsia="宋体"/>
          <w:szCs w:val="21"/>
          <w:lang w:eastAsia="zh-CN"/>
        </w:rPr>
      </w:pPr>
      <w:r>
        <w:rPr>
          <w:rFonts w:hint="eastAsia"/>
          <w:szCs w:val="21"/>
        </w:rPr>
        <w:t>7.4.1</w:t>
      </w:r>
      <w:r>
        <w:rPr>
          <w:rFonts w:hint="eastAsia" w:ascii="宋体"/>
          <w:szCs w:val="21"/>
        </w:rPr>
        <w:t xml:space="preserve">  </w:t>
      </w:r>
      <w:r>
        <w:rPr>
          <w:szCs w:val="21"/>
        </w:rPr>
        <w:t>将试料（7.1）置于300mL锥形瓶中，</w:t>
      </w:r>
      <w:r>
        <w:rPr>
          <w:rFonts w:hint="eastAsia"/>
          <w:szCs w:val="21"/>
          <w:lang w:eastAsia="zh-CN"/>
        </w:rPr>
        <w:t>用约</w:t>
      </w:r>
      <w:r>
        <w:rPr>
          <w:rFonts w:hint="eastAsia"/>
          <w:szCs w:val="21"/>
          <w:lang w:val="en-US" w:eastAsia="zh-CN"/>
        </w:rPr>
        <w:t>5mL</w:t>
      </w:r>
      <w:r>
        <w:rPr>
          <w:szCs w:val="21"/>
        </w:rPr>
        <w:t>盐酸（</w:t>
      </w:r>
      <w:r>
        <w:rPr>
          <w:rFonts w:hint="eastAsia"/>
          <w:szCs w:val="21"/>
          <w:lang w:val="en-US" w:eastAsia="zh-CN"/>
        </w:rPr>
        <w:t>5.2</w:t>
      </w:r>
      <w:r>
        <w:rPr>
          <w:szCs w:val="21"/>
        </w:rPr>
        <w:t>）</w:t>
      </w:r>
      <w:r>
        <w:rPr>
          <w:rFonts w:hint="eastAsia"/>
          <w:szCs w:val="21"/>
          <w:lang w:eastAsia="zh-CN"/>
        </w:rPr>
        <w:t>吹洗</w:t>
      </w:r>
      <w:r>
        <w:rPr>
          <w:szCs w:val="21"/>
        </w:rPr>
        <w:t>锥形瓶</w:t>
      </w:r>
      <w:r>
        <w:rPr>
          <w:rFonts w:hint="eastAsia"/>
          <w:szCs w:val="21"/>
          <w:lang w:eastAsia="zh-CN"/>
        </w:rPr>
        <w:t>内壁，沿杯内壁</w:t>
      </w:r>
      <w:r>
        <w:rPr>
          <w:szCs w:val="21"/>
        </w:rPr>
        <w:t>加入</w:t>
      </w:r>
      <w:r>
        <w:rPr>
          <w:rFonts w:hint="eastAsia"/>
          <w:bCs/>
          <w:szCs w:val="21"/>
          <w:lang w:val="en-US" w:eastAsia="zh-CN"/>
        </w:rPr>
        <w:t>4</w:t>
      </w:r>
      <w:r>
        <w:rPr>
          <w:bCs/>
          <w:szCs w:val="21"/>
        </w:rPr>
        <w:t>0</w:t>
      </w:r>
      <w:r>
        <w:rPr>
          <w:szCs w:val="21"/>
        </w:rPr>
        <w:t xml:space="preserve"> mL盐酸（</w:t>
      </w:r>
      <w:r>
        <w:rPr>
          <w:rFonts w:hint="eastAsia"/>
          <w:szCs w:val="21"/>
          <w:lang w:val="en-US" w:eastAsia="zh-CN"/>
        </w:rPr>
        <w:t>5.2</w:t>
      </w:r>
      <w:r>
        <w:rPr>
          <w:szCs w:val="21"/>
        </w:rPr>
        <w:t>），充分摇</w:t>
      </w:r>
      <w:r>
        <w:rPr>
          <w:rFonts w:hint="eastAsia"/>
          <w:szCs w:val="21"/>
          <w:lang w:eastAsia="zh-CN"/>
        </w:rPr>
        <w:t>动</w:t>
      </w:r>
      <w:r>
        <w:rPr>
          <w:szCs w:val="21"/>
        </w:rPr>
        <w:t>，</w:t>
      </w:r>
      <w:r>
        <w:rPr>
          <w:rFonts w:hint="eastAsia"/>
          <w:szCs w:val="21"/>
          <w:lang w:eastAsia="zh-CN"/>
        </w:rPr>
        <w:t>使样品</w:t>
      </w:r>
      <w:r>
        <w:rPr>
          <w:szCs w:val="21"/>
        </w:rPr>
        <w:t>溶解</w:t>
      </w:r>
      <w:r>
        <w:rPr>
          <w:rFonts w:hint="eastAsia"/>
          <w:szCs w:val="21"/>
          <w:lang w:eastAsia="zh-CN"/>
        </w:rPr>
        <w:t>完全。</w:t>
      </w:r>
    </w:p>
    <w:p>
      <w:pPr>
        <w:rPr>
          <w:rFonts w:ascii="宋体"/>
          <w:szCs w:val="21"/>
        </w:rPr>
      </w:pPr>
      <w:r>
        <w:rPr>
          <w:rFonts w:hint="eastAsia"/>
          <w:szCs w:val="21"/>
          <w:lang w:val="en-US" w:eastAsia="zh-CN"/>
        </w:rPr>
        <w:t>7.4.2</w:t>
      </w:r>
      <w:r>
        <w:rPr>
          <w:rFonts w:hint="eastAsia" w:ascii="宋体"/>
          <w:szCs w:val="21"/>
        </w:rPr>
        <w:t xml:space="preserve"> </w:t>
      </w:r>
      <w:r>
        <w:rPr>
          <w:szCs w:val="21"/>
        </w:rPr>
        <w:t>加入</w:t>
      </w:r>
      <w:r>
        <w:rPr>
          <w:rFonts w:hint="eastAsia"/>
          <w:szCs w:val="21"/>
          <w:lang w:val="en-US" w:eastAsia="zh-CN"/>
        </w:rPr>
        <w:t>3</w:t>
      </w:r>
      <w:r>
        <w:rPr>
          <w:szCs w:val="21"/>
        </w:rPr>
        <w:t>0mL水，摇匀</w:t>
      </w:r>
      <w:r>
        <w:rPr>
          <w:rFonts w:hint="eastAsia"/>
          <w:szCs w:val="21"/>
          <w:lang w:eastAsia="zh-CN"/>
        </w:rPr>
        <w:t>，至电炉上加热至近</w:t>
      </w:r>
      <w:r>
        <w:rPr>
          <w:szCs w:val="21"/>
        </w:rPr>
        <w:t>沸。</w:t>
      </w:r>
    </w:p>
    <w:p>
      <w:pPr>
        <w:rPr>
          <w:rFonts w:ascii="宋体"/>
          <w:szCs w:val="21"/>
        </w:rPr>
      </w:pPr>
      <w:r>
        <w:rPr>
          <w:rFonts w:hint="eastAsia"/>
          <w:szCs w:val="21"/>
          <w:lang w:val="en-US" w:eastAsia="zh-CN"/>
        </w:rPr>
        <w:t>7.4.</w:t>
      </w:r>
      <w:r>
        <w:rPr>
          <w:rFonts w:hint="eastAsia"/>
          <w:szCs w:val="21"/>
        </w:rPr>
        <w:t>3</w:t>
      </w:r>
      <w:r>
        <w:rPr>
          <w:rFonts w:hint="eastAsia" w:ascii="宋体"/>
          <w:szCs w:val="21"/>
        </w:rPr>
        <w:t xml:space="preserve"> 加入两滴甲基橙指示剂（</w:t>
      </w:r>
      <w:r>
        <w:rPr>
          <w:rFonts w:hint="eastAsia"/>
          <w:szCs w:val="21"/>
          <w:lang w:val="en-US" w:eastAsia="zh-CN"/>
        </w:rPr>
        <w:t>5.</w:t>
      </w:r>
      <w:r>
        <w:rPr>
          <w:rFonts w:hint="eastAsia"/>
          <w:szCs w:val="21"/>
        </w:rPr>
        <w:t>4</w:t>
      </w:r>
      <w:r>
        <w:rPr>
          <w:rFonts w:hint="eastAsia" w:ascii="宋体"/>
          <w:szCs w:val="21"/>
        </w:rPr>
        <w:t>），在保持溶液</w:t>
      </w:r>
      <w:r>
        <w:rPr>
          <w:rFonts w:hint="eastAsia"/>
          <w:color w:val="auto"/>
          <w:spacing w:val="6"/>
          <w:szCs w:val="21"/>
          <w:lang w:val="en-US" w:eastAsia="zh-CN"/>
        </w:rPr>
        <w:t>8</w:t>
      </w:r>
      <w:r>
        <w:rPr>
          <w:color w:val="auto"/>
          <w:spacing w:val="6"/>
          <w:szCs w:val="21"/>
        </w:rPr>
        <w:t>0</w:t>
      </w:r>
      <w:r>
        <w:rPr>
          <w:rFonts w:hint="eastAsia" w:ascii="宋体"/>
          <w:color w:val="auto"/>
          <w:szCs w:val="21"/>
        </w:rPr>
        <w:t>℃</w:t>
      </w:r>
      <w:r>
        <w:rPr>
          <w:rFonts w:hint="eastAsia" w:ascii="宋体"/>
          <w:color w:val="auto"/>
          <w:spacing w:val="6"/>
          <w:szCs w:val="21"/>
        </w:rPr>
        <w:t>～</w:t>
      </w:r>
      <w:r>
        <w:rPr>
          <w:rFonts w:hint="eastAsia"/>
          <w:color w:val="auto"/>
          <w:spacing w:val="6"/>
          <w:szCs w:val="21"/>
          <w:lang w:val="en-US" w:eastAsia="zh-CN"/>
        </w:rPr>
        <w:t>9</w:t>
      </w:r>
      <w:r>
        <w:rPr>
          <w:rFonts w:hint="eastAsia"/>
          <w:color w:val="auto"/>
          <w:spacing w:val="6"/>
          <w:szCs w:val="21"/>
        </w:rPr>
        <w:t>0</w:t>
      </w:r>
      <w:r>
        <w:rPr>
          <w:rFonts w:hint="eastAsia" w:ascii="宋体"/>
          <w:color w:val="auto"/>
          <w:szCs w:val="21"/>
        </w:rPr>
        <w:t>℃</w:t>
      </w:r>
      <w:r>
        <w:rPr>
          <w:rFonts w:hint="eastAsia" w:ascii="宋体"/>
          <w:szCs w:val="21"/>
        </w:rPr>
        <w:t>的温度</w:t>
      </w:r>
      <w:r>
        <w:rPr>
          <w:rFonts w:hint="eastAsia" w:ascii="宋体"/>
          <w:szCs w:val="21"/>
          <w:lang w:eastAsia="zh-CN"/>
        </w:rPr>
        <w:t>下，</w:t>
      </w:r>
      <w:r>
        <w:rPr>
          <w:rFonts w:hint="eastAsia" w:ascii="宋体"/>
          <w:szCs w:val="21"/>
        </w:rPr>
        <w:t>用溴酸钾标准滴定溶液（</w:t>
      </w:r>
      <w:r>
        <w:rPr>
          <w:rFonts w:hint="eastAsia"/>
          <w:szCs w:val="21"/>
          <w:lang w:val="en-US" w:eastAsia="zh-CN"/>
        </w:rPr>
        <w:t>5</w:t>
      </w:r>
      <w:r>
        <w:rPr>
          <w:rFonts w:hint="eastAsia"/>
          <w:szCs w:val="21"/>
        </w:rPr>
        <w:t>.3</w:t>
      </w:r>
      <w:r>
        <w:rPr>
          <w:rFonts w:hint="eastAsia" w:ascii="宋体"/>
          <w:szCs w:val="21"/>
        </w:rPr>
        <w:t>）滴</w:t>
      </w:r>
      <w:r>
        <w:rPr>
          <w:rFonts w:hint="eastAsia" w:ascii="宋体"/>
          <w:szCs w:val="21"/>
          <w:lang w:eastAsia="zh-CN"/>
        </w:rPr>
        <w:t>定</w:t>
      </w:r>
      <w:r>
        <w:rPr>
          <w:rFonts w:hint="eastAsia" w:ascii="宋体"/>
          <w:szCs w:val="21"/>
        </w:rPr>
        <w:t>至溶液的红色恰好消失，即为终点。</w:t>
      </w:r>
    </w:p>
    <w:p>
      <w:pPr>
        <w:rPr>
          <w:rFonts w:ascii="宋体"/>
          <w:szCs w:val="21"/>
        </w:rPr>
      </w:pPr>
    </w:p>
    <w:p>
      <w:pPr>
        <w:rPr>
          <w:rFonts w:ascii="黑体" w:hAnsi="黑体" w:eastAsia="黑体"/>
          <w:szCs w:val="21"/>
        </w:rPr>
      </w:pPr>
      <w:r>
        <w:rPr>
          <w:rFonts w:hint="eastAsia" w:ascii="黑体" w:hAnsi="黑体" w:eastAsia="黑体"/>
          <w:szCs w:val="21"/>
        </w:rPr>
        <w:t>8</w:t>
      </w:r>
      <w:r>
        <w:rPr>
          <w:rFonts w:ascii="黑体" w:hAnsi="黑体" w:eastAsia="黑体"/>
          <w:szCs w:val="21"/>
        </w:rPr>
        <w:t xml:space="preserve"> </w:t>
      </w:r>
      <w:r>
        <w:rPr>
          <w:rFonts w:hint="eastAsia" w:ascii="黑体" w:hAnsi="黑体" w:eastAsia="黑体"/>
          <w:szCs w:val="21"/>
        </w:rPr>
        <w:t xml:space="preserve"> 试验数据处理</w:t>
      </w:r>
    </w:p>
    <w:p>
      <w:pPr>
        <w:ind w:firstLine="420" w:firstLineChars="200"/>
        <w:rPr>
          <w:rFonts w:ascii="宋体"/>
          <w:szCs w:val="21"/>
        </w:rPr>
      </w:pPr>
    </w:p>
    <w:p>
      <w:pPr>
        <w:ind w:firstLine="420" w:firstLineChars="200"/>
        <w:rPr>
          <w:rFonts w:ascii="宋体"/>
          <w:szCs w:val="21"/>
        </w:rPr>
      </w:pPr>
      <w:r>
        <w:rPr>
          <w:rFonts w:hint="eastAsia" w:ascii="宋体"/>
          <w:szCs w:val="21"/>
        </w:rPr>
        <w:t>按式（</w:t>
      </w:r>
      <w:r>
        <w:rPr>
          <w:rFonts w:hint="eastAsia" w:ascii="宋体"/>
          <w:szCs w:val="21"/>
          <w:lang w:val="en-US" w:eastAsia="zh-CN"/>
        </w:rPr>
        <w:t>1</w:t>
      </w:r>
      <w:r>
        <w:rPr>
          <w:rFonts w:hint="eastAsia" w:ascii="宋体"/>
          <w:szCs w:val="21"/>
        </w:rPr>
        <w:t>）计算锑的质量分数</w:t>
      </w:r>
      <w:r>
        <w:rPr>
          <w:rFonts w:hint="eastAsia" w:ascii="宋体" w:hAnsi="宋体"/>
          <w:i/>
          <w:sz w:val="28"/>
          <w:szCs w:val="28"/>
        </w:rPr>
        <w:t>w</w:t>
      </w:r>
      <w:r>
        <w:rPr>
          <w:rFonts w:hint="eastAsia"/>
          <w:sz w:val="28"/>
          <w:szCs w:val="28"/>
          <w:vertAlign w:val="subscript"/>
        </w:rPr>
        <w:t>Sb</w:t>
      </w:r>
      <w:r>
        <w:rPr>
          <w:rFonts w:hint="eastAsia" w:ascii="宋体"/>
          <w:szCs w:val="21"/>
        </w:rPr>
        <w:t>，数值以</w:t>
      </w:r>
      <w:r>
        <w:rPr>
          <w:rFonts w:hint="eastAsia" w:ascii="宋体"/>
          <w:sz w:val="24"/>
          <w:szCs w:val="24"/>
        </w:rPr>
        <w:t>%</w:t>
      </w:r>
      <w:r>
        <w:rPr>
          <w:rFonts w:hint="eastAsia" w:ascii="宋体"/>
          <w:szCs w:val="21"/>
        </w:rPr>
        <w:t>表示：</w:t>
      </w:r>
    </w:p>
    <w:p>
      <w:pPr>
        <w:ind w:firstLine="2520" w:firstLineChars="1200"/>
      </w:pPr>
      <w:r>
        <w:rPr>
          <w:position w:val="-30"/>
        </w:rPr>
        <w:object>
          <v:shape id="_x0000_i1025" o:spt="75" type="#_x0000_t75" style="height:34.5pt;width:140.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rPr>
        <w:t>----------------------（</w:t>
      </w:r>
      <w:r>
        <w:rPr>
          <w:rFonts w:hint="eastAsia"/>
          <w:lang w:val="en-US" w:eastAsia="zh-CN"/>
        </w:rPr>
        <w:t>1</w:t>
      </w:r>
      <w:bookmarkStart w:id="5" w:name="_GoBack"/>
      <w:bookmarkEnd w:id="5"/>
      <w:r>
        <w:rPr>
          <w:rFonts w:hint="eastAsia"/>
        </w:rPr>
        <w:t>）</w:t>
      </w:r>
    </w:p>
    <w:p>
      <w:pPr>
        <w:pStyle w:val="7"/>
        <w:ind w:firstLine="420"/>
        <w:rPr>
          <w:szCs w:val="21"/>
        </w:rPr>
      </w:pPr>
      <w:r>
        <w:t>式中：</w:t>
      </w:r>
      <w:r>
        <w:rPr>
          <w:rFonts w:ascii="Times New Roman"/>
          <w:i/>
        </w:rPr>
        <w:t>c</w:t>
      </w:r>
      <w:r>
        <w:t>-----</w:t>
      </w:r>
      <w:r>
        <w:rPr>
          <w:rFonts w:hint="eastAsia"/>
          <w:szCs w:val="21"/>
        </w:rPr>
        <w:t>溴酸钾</w:t>
      </w:r>
      <w:r>
        <w:t>标准滴定溶液（</w:t>
      </w:r>
      <w:r>
        <w:rPr>
          <w:rFonts w:hint="eastAsia" w:ascii="Times New Roman"/>
          <w:szCs w:val="21"/>
        </w:rPr>
        <w:t>5</w:t>
      </w:r>
      <w:r>
        <w:rPr>
          <w:rFonts w:ascii="Times New Roman"/>
          <w:szCs w:val="21"/>
        </w:rPr>
        <w:t>.</w:t>
      </w:r>
      <w:r>
        <w:rPr>
          <w:rFonts w:hint="eastAsia" w:ascii="Times New Roman"/>
          <w:szCs w:val="21"/>
        </w:rPr>
        <w:t>3</w:t>
      </w:r>
      <w:r>
        <w:rPr>
          <w:szCs w:val="21"/>
        </w:rPr>
        <w:t>）的实际浓度，单位为摩尔每升（mol/L）；</w:t>
      </w:r>
    </w:p>
    <w:p>
      <w:pPr>
        <w:pStyle w:val="7"/>
        <w:ind w:firstLine="1050" w:firstLineChars="500"/>
        <w:rPr>
          <w:szCs w:val="21"/>
        </w:rPr>
      </w:pPr>
      <w:r>
        <w:rPr>
          <w:i/>
          <w:szCs w:val="21"/>
        </w:rPr>
        <w:t>V</w:t>
      </w:r>
      <w:r>
        <w:rPr>
          <w:i/>
          <w:szCs w:val="21"/>
          <w:vertAlign w:val="subscript"/>
        </w:rPr>
        <w:t>2</w:t>
      </w:r>
      <w:r>
        <w:rPr>
          <w:szCs w:val="21"/>
        </w:rPr>
        <w:t>-----滴定试液消耗</w:t>
      </w:r>
      <w:r>
        <w:rPr>
          <w:rFonts w:hint="eastAsia"/>
          <w:szCs w:val="21"/>
        </w:rPr>
        <w:t>溴酸钾</w:t>
      </w:r>
      <w:r>
        <w:rPr>
          <w:szCs w:val="21"/>
        </w:rPr>
        <w:t>标准滴定溶液</w:t>
      </w:r>
      <w:r>
        <w:t>（</w:t>
      </w:r>
      <w:r>
        <w:rPr>
          <w:rFonts w:hint="eastAsia" w:ascii="Times New Roman"/>
          <w:szCs w:val="21"/>
        </w:rPr>
        <w:t>5</w:t>
      </w:r>
      <w:r>
        <w:rPr>
          <w:rFonts w:ascii="Times New Roman"/>
          <w:szCs w:val="21"/>
        </w:rPr>
        <w:t>.</w:t>
      </w:r>
      <w:r>
        <w:rPr>
          <w:rFonts w:hint="eastAsia" w:ascii="Times New Roman"/>
          <w:szCs w:val="21"/>
        </w:rPr>
        <w:t>3</w:t>
      </w:r>
      <w:r>
        <w:rPr>
          <w:szCs w:val="21"/>
        </w:rPr>
        <w:t>）的体积，单位为毫升（mL）；</w:t>
      </w:r>
    </w:p>
    <w:p>
      <w:pPr>
        <w:pStyle w:val="7"/>
        <w:ind w:firstLine="1050" w:firstLineChars="500"/>
        <w:rPr>
          <w:szCs w:val="21"/>
        </w:rPr>
      </w:pPr>
      <w:r>
        <w:rPr>
          <w:i/>
          <w:szCs w:val="21"/>
        </w:rPr>
        <w:t>V</w:t>
      </w:r>
      <w:r>
        <w:rPr>
          <w:i/>
          <w:szCs w:val="21"/>
          <w:vertAlign w:val="subscript"/>
        </w:rPr>
        <w:t>3</w:t>
      </w:r>
      <w:r>
        <w:rPr>
          <w:szCs w:val="21"/>
        </w:rPr>
        <w:t>-----标定中空白溶液消耗</w:t>
      </w:r>
      <w:r>
        <w:rPr>
          <w:rFonts w:hint="eastAsia"/>
          <w:szCs w:val="21"/>
        </w:rPr>
        <w:t>溴酸钾</w:t>
      </w:r>
      <w:r>
        <w:rPr>
          <w:szCs w:val="21"/>
        </w:rPr>
        <w:t>标准滴定溶液</w:t>
      </w:r>
      <w:r>
        <w:t>（</w:t>
      </w:r>
      <w:r>
        <w:rPr>
          <w:rFonts w:hint="eastAsia" w:ascii="Times New Roman"/>
          <w:szCs w:val="21"/>
        </w:rPr>
        <w:t>5</w:t>
      </w:r>
      <w:r>
        <w:rPr>
          <w:rFonts w:ascii="Times New Roman"/>
          <w:szCs w:val="21"/>
        </w:rPr>
        <w:t>.</w:t>
      </w:r>
      <w:r>
        <w:rPr>
          <w:rFonts w:hint="eastAsia" w:ascii="Times New Roman"/>
          <w:szCs w:val="21"/>
        </w:rPr>
        <w:t>3</w:t>
      </w:r>
      <w:r>
        <w:rPr>
          <w:szCs w:val="21"/>
        </w:rPr>
        <w:t>）的体积，单位为毫升（mL）；</w:t>
      </w:r>
    </w:p>
    <w:p>
      <w:pPr>
        <w:pStyle w:val="7"/>
        <w:ind w:firstLine="1050" w:firstLineChars="500"/>
        <w:rPr>
          <w:szCs w:val="21"/>
        </w:rPr>
      </w:pPr>
      <w:r>
        <w:rPr>
          <w:rFonts w:ascii="Times New Roman"/>
          <w:i/>
          <w:szCs w:val="21"/>
        </w:rPr>
        <w:t>m</w:t>
      </w:r>
      <w:r>
        <w:rPr>
          <w:rFonts w:ascii="Times New Roman"/>
          <w:i/>
          <w:szCs w:val="21"/>
          <w:vertAlign w:val="subscript"/>
        </w:rPr>
        <w:t>0</w:t>
      </w:r>
      <w:r>
        <w:rPr>
          <w:szCs w:val="21"/>
        </w:rPr>
        <w:t>-----试料的质量，单位为克（g）；</w:t>
      </w:r>
    </w:p>
    <w:p>
      <w:pPr>
        <w:pStyle w:val="7"/>
        <w:ind w:firstLine="1029" w:firstLineChars="490"/>
        <w:rPr>
          <w:szCs w:val="21"/>
        </w:rPr>
      </w:pPr>
      <w:r>
        <w:rPr>
          <w:rFonts w:hint="eastAsia" w:ascii="Times New Roman"/>
          <w:szCs w:val="21"/>
        </w:rPr>
        <w:t xml:space="preserve">60.88 </w:t>
      </w:r>
      <w:r>
        <w:rPr>
          <w:rFonts w:ascii="Times New Roman"/>
          <w:szCs w:val="21"/>
        </w:rPr>
        <w:t>-----</w:t>
      </w:r>
      <w:r>
        <w:rPr>
          <w:rFonts w:hint="eastAsia" w:ascii="Times New Roman"/>
          <w:szCs w:val="21"/>
        </w:rPr>
        <w:t xml:space="preserve"> </w:t>
      </w:r>
      <w:r>
        <w:rPr>
          <w:rFonts w:ascii="Times New Roman"/>
          <w:color w:val="000000"/>
        </w:rPr>
        <w:t>锑（1/2</w:t>
      </w:r>
      <w:r>
        <w:rPr>
          <w:rFonts w:hint="eastAsia" w:ascii="Times New Roman"/>
          <w:color w:val="000000"/>
        </w:rPr>
        <w:t xml:space="preserve"> </w:t>
      </w:r>
      <w:r>
        <w:rPr>
          <w:rFonts w:ascii="Times New Roman"/>
          <w:color w:val="000000"/>
        </w:rPr>
        <w:t>Sb）的摩尔质量，单位</w:t>
      </w:r>
      <w:r>
        <w:rPr>
          <w:rFonts w:ascii="Times New Roman" w:hAnsi="宋体"/>
          <w:color w:val="000000"/>
        </w:rPr>
        <w:t>为克每摩尔（</w:t>
      </w:r>
      <w:r>
        <w:rPr>
          <w:rFonts w:ascii="Times New Roman"/>
          <w:color w:val="000000"/>
        </w:rPr>
        <w:t>g/mol</w:t>
      </w:r>
      <w:r>
        <w:rPr>
          <w:rFonts w:ascii="Times New Roman" w:hAnsi="宋体"/>
          <w:color w:val="000000"/>
        </w:rPr>
        <w:t>）</w:t>
      </w:r>
      <w:r>
        <w:rPr>
          <w:szCs w:val="21"/>
        </w:rPr>
        <w:t>。</w:t>
      </w:r>
    </w:p>
    <w:p>
      <w:pPr>
        <w:ind w:firstLine="420" w:firstLineChars="200"/>
        <w:rPr>
          <w:rFonts w:ascii="宋体"/>
          <w:szCs w:val="21"/>
        </w:rPr>
      </w:pPr>
      <w:r>
        <w:rPr>
          <w:rFonts w:hint="eastAsia" w:ascii="宋体"/>
          <w:szCs w:val="21"/>
        </w:rPr>
        <w:t>所得结果应表示至小数点后第二位。</w:t>
      </w:r>
    </w:p>
    <w:p>
      <w:pPr>
        <w:pStyle w:val="8"/>
        <w:numPr>
          <w:ilvl w:val="0"/>
          <w:numId w:val="0"/>
        </w:numPr>
        <w:spacing w:beforeLines="0" w:afterLines="0"/>
        <w:rPr>
          <w:rFonts w:hint="default" w:hAnsi="黑体"/>
        </w:rPr>
      </w:pPr>
    </w:p>
    <w:p>
      <w:pPr>
        <w:pStyle w:val="8"/>
        <w:numPr>
          <w:ilvl w:val="0"/>
          <w:numId w:val="0"/>
        </w:numPr>
        <w:spacing w:beforeLines="0" w:afterLines="0"/>
        <w:rPr>
          <w:rFonts w:hint="default" w:hAnsi="黑体"/>
        </w:rPr>
      </w:pPr>
      <w:r>
        <w:rPr>
          <w:rFonts w:hAnsi="黑体"/>
        </w:rPr>
        <w:t>9  精密度</w:t>
      </w:r>
    </w:p>
    <w:p>
      <w:pPr>
        <w:pStyle w:val="8"/>
        <w:numPr>
          <w:ilvl w:val="0"/>
          <w:numId w:val="0"/>
        </w:numPr>
        <w:spacing w:beforeLines="0" w:afterLines="0" w:line="280" w:lineRule="exact"/>
        <w:rPr>
          <w:rFonts w:hint="default" w:hAnsi="黑体"/>
        </w:rPr>
      </w:pPr>
    </w:p>
    <w:p>
      <w:pPr>
        <w:pStyle w:val="8"/>
        <w:numPr>
          <w:ilvl w:val="0"/>
          <w:numId w:val="0"/>
        </w:numPr>
        <w:spacing w:beforeLines="0" w:afterLines="0" w:line="280" w:lineRule="exact"/>
        <w:rPr>
          <w:rFonts w:hint="default" w:hAnsi="黑体"/>
        </w:rPr>
      </w:pPr>
      <w:r>
        <w:rPr>
          <w:rFonts w:hAnsi="黑体"/>
        </w:rPr>
        <w:t>9.1  重复性</w:t>
      </w:r>
    </w:p>
    <w:p>
      <w:pPr>
        <w:pStyle w:val="8"/>
        <w:numPr>
          <w:ilvl w:val="0"/>
          <w:numId w:val="0"/>
        </w:numPr>
        <w:spacing w:beforeLines="0" w:afterLines="0" w:line="280" w:lineRule="exact"/>
        <w:ind w:firstLine="420" w:firstLineChars="200"/>
        <w:rPr>
          <w:rFonts w:hint="default" w:ascii="宋体" w:eastAsia="宋体"/>
        </w:rPr>
      </w:pPr>
    </w:p>
    <w:p>
      <w:pPr>
        <w:pStyle w:val="8"/>
        <w:numPr>
          <w:ilvl w:val="0"/>
          <w:numId w:val="0"/>
        </w:numPr>
        <w:spacing w:beforeLines="0" w:afterLines="0" w:line="280" w:lineRule="exact"/>
        <w:ind w:firstLine="420" w:firstLineChars="200"/>
        <w:rPr>
          <w:rFonts w:hint="default" w:ascii="宋体" w:eastAsia="宋体"/>
        </w:rPr>
      </w:pPr>
      <w:r>
        <w:rPr>
          <w:rFonts w:ascii="宋体" w:eastAsia="宋体"/>
        </w:rPr>
        <w:t>在重复性条件下获得的两次独立测试结果的测定值，在以下给出的平均值范围内，这两个测试结果的绝对差值不超过重复性限（</w:t>
      </w:r>
      <w:r>
        <w:rPr>
          <w:rFonts w:ascii="宋体" w:eastAsia="宋体"/>
          <w:i/>
          <w:iCs/>
        </w:rPr>
        <w:t>r</w:t>
      </w:r>
      <w:r>
        <w:rPr>
          <w:rFonts w:ascii="宋体" w:eastAsia="宋体"/>
        </w:rPr>
        <w:t>），超过重复性限（</w:t>
      </w:r>
      <w:r>
        <w:rPr>
          <w:rFonts w:ascii="宋体" w:eastAsia="宋体"/>
          <w:i/>
          <w:iCs/>
        </w:rPr>
        <w:t>r</w:t>
      </w:r>
      <w:r>
        <w:rPr>
          <w:rFonts w:ascii="宋体" w:eastAsia="宋体"/>
        </w:rPr>
        <w:t>）的情况不超过5%，重复性限（</w:t>
      </w:r>
      <w:r>
        <w:rPr>
          <w:rFonts w:ascii="宋体" w:eastAsia="宋体"/>
          <w:i/>
          <w:iCs/>
        </w:rPr>
        <w:t>r</w:t>
      </w:r>
      <w:r>
        <w:rPr>
          <w:rFonts w:ascii="宋体" w:eastAsia="宋体"/>
        </w:rPr>
        <w:t>）按表2数据采用线性内插法求得：</w:t>
      </w:r>
    </w:p>
    <w:p>
      <w:pPr>
        <w:pStyle w:val="8"/>
        <w:numPr>
          <w:ilvl w:val="0"/>
          <w:numId w:val="0"/>
        </w:numPr>
        <w:spacing w:beforeLines="0" w:afterLines="0"/>
        <w:rPr>
          <w:rFonts w:hint="default" w:ascii="宋体" w:eastAsia="宋体"/>
        </w:rPr>
      </w:pPr>
    </w:p>
    <w:p>
      <w:pPr>
        <w:pStyle w:val="13"/>
        <w:tabs>
          <w:tab w:val="left" w:pos="420"/>
          <w:tab w:val="clear" w:pos="720"/>
        </w:tabs>
        <w:ind w:left="0" w:firstLine="0"/>
        <w:rPr>
          <w:rFonts w:hint="default" w:ascii="宋体" w:eastAsia="宋体"/>
        </w:rPr>
      </w:pPr>
      <w:r>
        <w:rPr>
          <w:rFonts w:ascii="宋体" w:eastAsia="宋体"/>
        </w:rPr>
        <w:t>表2 重复性限</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15"/>
        <w:gridCol w:w="1728"/>
        <w:gridCol w:w="1730"/>
        <w:gridCol w:w="1730"/>
        <w:gridCol w:w="173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87"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rFonts w:ascii="宋体"/>
                <w:spacing w:val="6"/>
                <w:szCs w:val="21"/>
              </w:rPr>
            </w:pPr>
            <w:r>
              <w:rPr>
                <w:rFonts w:hint="eastAsia" w:ascii="宋体"/>
                <w:i/>
              </w:rPr>
              <w:t>w</w:t>
            </w:r>
            <w:r>
              <w:rPr>
                <w:rFonts w:hint="eastAsia" w:ascii="宋体"/>
                <w:vertAlign w:val="subscript"/>
              </w:rPr>
              <w:t>Sb</w:t>
            </w:r>
            <w:r>
              <w:rPr>
                <w:rFonts w:hint="eastAsia" w:ascii="宋体"/>
                <w:spacing w:val="6"/>
                <w:szCs w:val="21"/>
              </w:rPr>
              <w:t>／%</w:t>
            </w:r>
          </w:p>
        </w:tc>
        <w:tc>
          <w:tcPr>
            <w:tcW w:w="842"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c>
          <w:tcPr>
            <w:tcW w:w="841"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87"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rFonts w:ascii="宋体"/>
                <w:spacing w:val="6"/>
                <w:szCs w:val="21"/>
                <w:lang w:val="en-GB" w:eastAsia="en-GB"/>
              </w:rPr>
            </w:pPr>
            <w:r>
              <w:rPr>
                <w:rFonts w:hint="eastAsia" w:ascii="宋体"/>
                <w:i/>
                <w:iCs/>
                <w:spacing w:val="6"/>
                <w:szCs w:val="21"/>
              </w:rPr>
              <w:t>r</w:t>
            </w:r>
            <w:r>
              <w:rPr>
                <w:rFonts w:hint="eastAsia" w:ascii="宋体"/>
                <w:spacing w:val="6"/>
                <w:szCs w:val="21"/>
                <w:lang w:val="en-GB" w:eastAsia="en-GB"/>
              </w:rPr>
              <w:t>／</w:t>
            </w:r>
            <w:r>
              <w:rPr>
                <w:rFonts w:hint="eastAsia" w:ascii="宋体"/>
                <w:spacing w:val="6"/>
                <w:szCs w:val="21"/>
              </w:rPr>
              <w:t>%</w:t>
            </w:r>
          </w:p>
        </w:tc>
        <w:tc>
          <w:tcPr>
            <w:tcW w:w="842"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c>
          <w:tcPr>
            <w:tcW w:w="841"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r>
    </w:tbl>
    <w:p>
      <w:pPr>
        <w:pStyle w:val="9"/>
        <w:numPr>
          <w:ilvl w:val="0"/>
          <w:numId w:val="0"/>
        </w:numPr>
        <w:tabs>
          <w:tab w:val="left" w:pos="420"/>
        </w:tabs>
        <w:rPr>
          <w:rFonts w:ascii="宋体" w:hAnsi="宋体"/>
        </w:rPr>
      </w:pPr>
    </w:p>
    <w:p>
      <w:pPr>
        <w:pStyle w:val="9"/>
        <w:numPr>
          <w:ilvl w:val="0"/>
          <w:numId w:val="0"/>
        </w:numPr>
        <w:tabs>
          <w:tab w:val="left" w:pos="420"/>
        </w:tabs>
        <w:rPr>
          <w:rFonts w:ascii="黑体" w:hAnsi="黑体"/>
        </w:rPr>
      </w:pPr>
      <w:r>
        <w:rPr>
          <w:rFonts w:hint="eastAsia" w:ascii="黑体" w:hAnsi="黑体"/>
        </w:rPr>
        <w:t>9.2  再现性</w:t>
      </w:r>
    </w:p>
    <w:p>
      <w:pPr>
        <w:pStyle w:val="7"/>
        <w:ind w:firstLine="420"/>
      </w:pPr>
    </w:p>
    <w:p>
      <w:pPr>
        <w:pStyle w:val="7"/>
        <w:ind w:firstLine="420"/>
      </w:pPr>
      <w:r>
        <w:t>在再现性条件下获得的两次独立测试结果的测定值，在以下给出的平均值范围内，这两个测试结果的绝对差值不超过再现性限（</w:t>
      </w:r>
      <w:r>
        <w:rPr>
          <w:i/>
          <w:iCs/>
        </w:rPr>
        <w:t>R</w:t>
      </w:r>
      <w:r>
        <w:t>），超过再现性限（</w:t>
      </w:r>
      <w:r>
        <w:rPr>
          <w:i/>
          <w:iCs/>
        </w:rPr>
        <w:t>R</w:t>
      </w:r>
      <w:r>
        <w:t>）的情况不超过5%，再现性限（</w:t>
      </w:r>
      <w:r>
        <w:rPr>
          <w:i/>
          <w:iCs/>
        </w:rPr>
        <w:t>R</w:t>
      </w:r>
      <w:r>
        <w:t>）按表3数据采用线性内插法求得：</w:t>
      </w:r>
    </w:p>
    <w:p>
      <w:pPr>
        <w:pStyle w:val="14"/>
        <w:tabs>
          <w:tab w:val="clear" w:pos="2520"/>
        </w:tabs>
        <w:ind w:left="0" w:leftChars="0" w:firstLine="0" w:firstLineChars="0"/>
        <w:jc w:val="center"/>
        <w:rPr>
          <w:sz w:val="21"/>
          <w:szCs w:val="21"/>
        </w:rPr>
      </w:pPr>
    </w:p>
    <w:p>
      <w:pPr>
        <w:pStyle w:val="14"/>
        <w:tabs>
          <w:tab w:val="clear" w:pos="2520"/>
        </w:tabs>
        <w:ind w:left="0" w:leftChars="0" w:firstLine="0" w:firstLineChars="0"/>
        <w:jc w:val="center"/>
        <w:rPr>
          <w:sz w:val="21"/>
          <w:szCs w:val="21"/>
        </w:rPr>
      </w:pPr>
    </w:p>
    <w:p>
      <w:pPr>
        <w:pStyle w:val="14"/>
        <w:tabs>
          <w:tab w:val="clear" w:pos="2520"/>
        </w:tabs>
        <w:ind w:left="0" w:leftChars="0" w:firstLine="0" w:firstLineChars="0"/>
        <w:jc w:val="center"/>
        <w:rPr>
          <w:rFonts w:hint="default"/>
          <w:sz w:val="21"/>
          <w:szCs w:val="21"/>
        </w:rPr>
      </w:pPr>
      <w:r>
        <w:rPr>
          <w:sz w:val="21"/>
          <w:szCs w:val="21"/>
        </w:rPr>
        <w:t>表3 再现性限</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15"/>
        <w:gridCol w:w="1728"/>
        <w:gridCol w:w="1730"/>
        <w:gridCol w:w="1730"/>
        <w:gridCol w:w="173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87"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rFonts w:ascii="宋体"/>
                <w:spacing w:val="6"/>
                <w:szCs w:val="21"/>
              </w:rPr>
            </w:pPr>
            <w:r>
              <w:rPr>
                <w:rFonts w:hint="eastAsia" w:ascii="宋体"/>
                <w:i/>
              </w:rPr>
              <w:t>w</w:t>
            </w:r>
            <w:r>
              <w:rPr>
                <w:rFonts w:hint="eastAsia" w:ascii="宋体"/>
                <w:vertAlign w:val="subscript"/>
              </w:rPr>
              <w:t>Sb</w:t>
            </w:r>
            <w:r>
              <w:rPr>
                <w:rFonts w:hint="eastAsia" w:ascii="宋体"/>
                <w:spacing w:val="6"/>
                <w:szCs w:val="21"/>
              </w:rPr>
              <w:t>／%</w:t>
            </w:r>
          </w:p>
        </w:tc>
        <w:tc>
          <w:tcPr>
            <w:tcW w:w="842"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rFonts w:ascii="宋体"/>
                <w:spacing w:val="6"/>
                <w:lang w:val="en-GB" w:eastAsia="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c>
          <w:tcPr>
            <w:tcW w:w="841"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87"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rFonts w:ascii="宋体"/>
                <w:spacing w:val="6"/>
                <w:szCs w:val="21"/>
                <w:lang w:val="en-GB" w:eastAsia="en-GB"/>
              </w:rPr>
            </w:pPr>
            <w:r>
              <w:rPr>
                <w:rFonts w:hint="eastAsia" w:ascii="宋体"/>
                <w:i/>
                <w:iCs/>
                <w:spacing w:val="6"/>
                <w:szCs w:val="21"/>
              </w:rPr>
              <w:t>R</w:t>
            </w:r>
            <w:r>
              <w:rPr>
                <w:rFonts w:hint="eastAsia" w:ascii="宋体"/>
                <w:spacing w:val="6"/>
                <w:szCs w:val="21"/>
                <w:lang w:val="en-GB" w:eastAsia="en-GB"/>
              </w:rPr>
              <w:t>／</w:t>
            </w:r>
            <w:r>
              <w:rPr>
                <w:rFonts w:hint="eastAsia" w:ascii="宋体"/>
                <w:spacing w:val="6"/>
                <w:szCs w:val="21"/>
              </w:rPr>
              <w:t>%</w:t>
            </w:r>
          </w:p>
        </w:tc>
        <w:tc>
          <w:tcPr>
            <w:tcW w:w="842"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lang w:val="en-GB"/>
              </w:rPr>
            </w:pPr>
          </w:p>
        </w:tc>
        <w:tc>
          <w:tcPr>
            <w:tcW w:w="843"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c>
          <w:tcPr>
            <w:tcW w:w="841" w:type="pct"/>
            <w:tcBorders>
              <w:top w:val="single" w:color="auto" w:sz="4" w:space="0"/>
              <w:left w:val="single" w:color="auto" w:sz="4" w:space="0"/>
              <w:bottom w:val="single" w:color="auto" w:sz="4" w:space="0"/>
              <w:right w:val="single" w:color="auto" w:sz="4" w:space="0"/>
            </w:tcBorders>
          </w:tcPr>
          <w:p>
            <w:pPr>
              <w:spacing w:before="50" w:after="50" w:line="300" w:lineRule="exact"/>
              <w:jc w:val="center"/>
              <w:rPr>
                <w:spacing w:val="6"/>
                <w:szCs w:val="21"/>
              </w:rPr>
            </w:pPr>
          </w:p>
        </w:tc>
      </w:tr>
    </w:tbl>
    <w:p>
      <w:pPr>
        <w:pStyle w:val="8"/>
        <w:numPr>
          <w:ilvl w:val="0"/>
          <w:numId w:val="0"/>
        </w:numPr>
        <w:spacing w:beforeLines="0" w:beforeAutospacing="1" w:afterLines="0" w:afterAutospacing="1"/>
        <w:rPr>
          <w:rFonts w:hint="default" w:hAnsi="黑体"/>
        </w:rPr>
      </w:pPr>
      <w:r>
        <w:rPr>
          <w:rFonts w:hAnsi="黑体"/>
          <w:b/>
        </w:rPr>
        <w:t xml:space="preserve">10  </w:t>
      </w:r>
      <w:r>
        <w:rPr>
          <w:rFonts w:hAnsi="黑体"/>
        </w:rPr>
        <w:t>试验报告</w:t>
      </w:r>
    </w:p>
    <w:p>
      <w:pPr>
        <w:widowControl/>
        <w:autoSpaceDE w:val="0"/>
        <w:autoSpaceDN w:val="0"/>
        <w:ind w:firstLine="420" w:firstLineChars="200"/>
        <w:rPr>
          <w:color w:val="000000"/>
          <w:kern w:val="0"/>
          <w:szCs w:val="20"/>
        </w:rPr>
      </w:pPr>
      <w:r>
        <w:rPr>
          <w:rFonts w:hint="eastAsia"/>
          <w:color w:val="000000"/>
          <w:kern w:val="0"/>
          <w:szCs w:val="20"/>
        </w:rPr>
        <w:t>试验</w:t>
      </w:r>
      <w:r>
        <w:rPr>
          <w:color w:val="000000"/>
          <w:kern w:val="0"/>
          <w:szCs w:val="20"/>
        </w:rPr>
        <w:t>报告</w:t>
      </w:r>
      <w:r>
        <w:rPr>
          <w:rFonts w:hint="eastAsia"/>
          <w:color w:val="000000"/>
          <w:kern w:val="0"/>
          <w:szCs w:val="20"/>
        </w:rPr>
        <w:t>所</w:t>
      </w:r>
      <w:r>
        <w:rPr>
          <w:color w:val="000000"/>
          <w:kern w:val="0"/>
          <w:szCs w:val="20"/>
        </w:rPr>
        <w:t>包括的内容至少</w:t>
      </w:r>
      <w:r>
        <w:rPr>
          <w:rFonts w:hint="eastAsia"/>
          <w:color w:val="000000"/>
          <w:kern w:val="0"/>
          <w:szCs w:val="20"/>
        </w:rPr>
        <w:t>应</w:t>
      </w:r>
      <w:r>
        <w:rPr>
          <w:color w:val="000000"/>
          <w:kern w:val="0"/>
          <w:szCs w:val="20"/>
        </w:rPr>
        <w:t>给出以下几个</w:t>
      </w:r>
      <w:r>
        <w:rPr>
          <w:rFonts w:hint="eastAsia"/>
          <w:color w:val="000000"/>
          <w:kern w:val="0"/>
          <w:szCs w:val="20"/>
        </w:rPr>
        <w:t>方面：</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试验对象；</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使用的标准（YS/TXXX）；</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分析结果及其表示；</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与基本分析步骤的差异；</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观察到的异常现象；</w:t>
      </w:r>
    </w:p>
    <w:p>
      <w:pPr>
        <w:ind w:firstLine="420" w:firstLineChars="200"/>
        <w:rPr>
          <w:color w:val="000000"/>
        </w:rPr>
      </w:pPr>
      <w:r>
        <w:rPr>
          <w:color w:val="000000"/>
        </w:rPr>
        <w:t>——</w:t>
      </w:r>
      <w:r>
        <w:rPr>
          <w:rFonts w:hint="eastAsia"/>
          <w:color w:val="000000"/>
        </w:rPr>
        <w:t>试验日期。</w:t>
      </w:r>
    </w:p>
    <w:p>
      <w:pPr>
        <w:rPr>
          <w:b/>
          <w:bCs/>
          <w:szCs w:val="21"/>
        </w:rPr>
      </w:pPr>
    </w:p>
    <w:p>
      <w:pPr>
        <w:pStyle w:val="11"/>
        <w:numPr>
          <w:ilvl w:val="0"/>
          <w:numId w:val="0"/>
        </w:numPr>
        <w:rPr>
          <w:rFonts w:hint="default"/>
        </w:rPr>
      </w:pPr>
      <w:r>
        <w:t>————————</w:t>
      </w:r>
    </w:p>
    <w:p/>
    <w:sectPr>
      <w:headerReference r:id="rId3" w:type="default"/>
      <w:pgSz w:w="11906" w:h="16838"/>
      <w:pgMar w:top="964" w:right="851" w:bottom="96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eastAsia="黑体"/>
        <w:b/>
        <w:szCs w:val="21"/>
      </w:rPr>
    </w:pPr>
    <w:r>
      <w:rPr>
        <w:rFonts w:hint="eastAsia"/>
      </w:rPr>
      <w:t xml:space="preserve">                                </w:t>
    </w:r>
    <w:bookmarkStart w:id="0" w:name="OLE_LINK7"/>
    <w:bookmarkStart w:id="1" w:name="OLE_LINK8"/>
    <w:bookmarkStart w:id="2" w:name="_Hlk46733274"/>
    <w:bookmarkStart w:id="3" w:name="OLE_LINK1"/>
    <w:bookmarkStart w:id="4" w:name="OLE_LINK2"/>
    <w:r>
      <w:rPr>
        <w:rFonts w:eastAsia="黑体"/>
        <w:b/>
        <w:szCs w:val="21"/>
      </w:rPr>
      <w:t>YS/T</w:t>
    </w:r>
    <w:bookmarkEnd w:id="0"/>
    <w:bookmarkEnd w:id="1"/>
    <w:r>
      <w:rPr>
        <w:rFonts w:eastAsia="黑体"/>
        <w:b/>
        <w:szCs w:val="21"/>
      </w:rPr>
      <w:t xml:space="preserve"> </w:t>
    </w:r>
    <w:r>
      <w:rPr>
        <w:rFonts w:ascii="黑体" w:hAnsi="黑体" w:eastAsia="黑体"/>
        <w:b/>
        <w:szCs w:val="21"/>
      </w:rPr>
      <w:t>××××.</w:t>
    </w:r>
    <w:r>
      <w:rPr>
        <w:rFonts w:hint="eastAsia" w:ascii="黑体" w:hAnsi="黑体" w:eastAsia="黑体"/>
        <w:b/>
        <w:szCs w:val="21"/>
      </w:rPr>
      <w:t>1</w:t>
    </w:r>
    <w:r>
      <w:rPr>
        <w:rFonts w:ascii="黑体" w:hAnsi="黑体" w:eastAsia="黑体"/>
        <w:b/>
        <w:szCs w:val="21"/>
      </w:rPr>
      <w:t>—20××</w:t>
    </w:r>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6"/>
      <w:suff w:val="nothing"/>
      <w:lvlText w:val="%1"/>
      <w:lvlJc w:val="left"/>
      <w:pPr>
        <w:tabs>
          <w:tab w:val="left" w:pos="0"/>
        </w:tabs>
        <w:ind w:left="0" w:firstLine="0"/>
      </w:pPr>
      <w:rPr>
        <w:rFonts w:hint="default" w:ascii="Times New Roman" w:hAnsi="Times New Roman" w:cs="Times New Roman"/>
        <w:b/>
        <w:i w:val="0"/>
        <w:sz w:val="21"/>
      </w:rPr>
    </w:lvl>
    <w:lvl w:ilvl="1" w:tentative="0">
      <w:start w:val="0"/>
      <w:numFmt w:val="none"/>
      <w:pStyle w:val="8"/>
      <w:lvlText w:val=""/>
      <w:lvlJc w:val="left"/>
      <w:pPr>
        <w:tabs>
          <w:tab w:val="left" w:pos="360"/>
        </w:tabs>
      </w:pPr>
    </w:lvl>
    <w:lvl w:ilvl="2" w:tentative="0">
      <w:start w:val="0"/>
      <w:numFmt w:val="none"/>
      <w:pStyle w:val="9"/>
      <w:lvlText w:val=""/>
      <w:lvlJc w:val="left"/>
      <w:pPr>
        <w:tabs>
          <w:tab w:val="left" w:pos="360"/>
        </w:tabs>
      </w:pPr>
    </w:lvl>
    <w:lvl w:ilvl="3" w:tentative="0">
      <w:start w:val="0"/>
      <w:numFmt w:val="none"/>
      <w:pStyle w:val="10"/>
      <w:lvlText w:val=""/>
      <w:lvlJc w:val="left"/>
      <w:pPr>
        <w:tabs>
          <w:tab w:val="left" w:pos="360"/>
        </w:tabs>
      </w:pPr>
    </w:lvl>
    <w:lvl w:ilvl="4" w:tentative="0">
      <w:start w:val="0"/>
      <w:numFmt w:val="none"/>
      <w:pStyle w:val="11"/>
      <w:lvlText w:val=""/>
      <w:lvlJc w:val="left"/>
      <w:pPr>
        <w:tabs>
          <w:tab w:val="left" w:pos="360"/>
        </w:tabs>
      </w:pPr>
    </w:lvl>
    <w:lvl w:ilvl="5" w:tentative="0">
      <w:start w:val="0"/>
      <w:numFmt w:val="none"/>
      <w:pStyle w:val="12"/>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jZWFhZjFlYjNiYTY0MjdlMDM2MjA5YzAyZDZlZWIifQ=="/>
  </w:docVars>
  <w:rsids>
    <w:rsidRoot w:val="005959AD"/>
    <w:rsid w:val="000871EF"/>
    <w:rsid w:val="000E255E"/>
    <w:rsid w:val="000F7835"/>
    <w:rsid w:val="002071E5"/>
    <w:rsid w:val="00314AA4"/>
    <w:rsid w:val="00366BAD"/>
    <w:rsid w:val="003728B2"/>
    <w:rsid w:val="003C46F2"/>
    <w:rsid w:val="005959AD"/>
    <w:rsid w:val="00663891"/>
    <w:rsid w:val="00747EB9"/>
    <w:rsid w:val="00772639"/>
    <w:rsid w:val="007C65FF"/>
    <w:rsid w:val="009258AC"/>
    <w:rsid w:val="00976C22"/>
    <w:rsid w:val="00B52795"/>
    <w:rsid w:val="00B952D1"/>
    <w:rsid w:val="00D72057"/>
    <w:rsid w:val="00E802A6"/>
    <w:rsid w:val="00F46570"/>
    <w:rsid w:val="00F61C4F"/>
    <w:rsid w:val="02AD352C"/>
    <w:rsid w:val="045768E7"/>
    <w:rsid w:val="045B5207"/>
    <w:rsid w:val="0A6549F7"/>
    <w:rsid w:val="0ADB7DE9"/>
    <w:rsid w:val="127E4779"/>
    <w:rsid w:val="1839691D"/>
    <w:rsid w:val="2F4D1B62"/>
    <w:rsid w:val="378F0A64"/>
    <w:rsid w:val="4B753A52"/>
    <w:rsid w:val="4D5438C5"/>
    <w:rsid w:val="57DC7AC1"/>
    <w:rsid w:val="5C841FC5"/>
    <w:rsid w:val="66E410C4"/>
    <w:rsid w:val="70E035D7"/>
    <w:rsid w:val="777A05E8"/>
    <w:rsid w:val="788F3AFB"/>
    <w:rsid w:val="7CEA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jc w:val="left"/>
    </w:pPr>
    <w:rPr>
      <w:sz w:val="18"/>
      <w:szCs w:val="18"/>
    </w:rPr>
  </w:style>
  <w:style w:type="paragraph" w:styleId="3">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customStyle="1" w:styleId="6">
    <w:name w:val="前言、引言标题"/>
    <w:next w:val="1"/>
    <w:qFormat/>
    <w:uiPriority w:val="0"/>
    <w:pPr>
      <w:numPr>
        <w:ilvl w:val="0"/>
        <w:numId w:val="1"/>
      </w:numPr>
      <w:shd w:val="clear" w:color="auto" w:fill="FFFFFF"/>
      <w:spacing w:before="640" w:after="560"/>
      <w:jc w:val="center"/>
      <w:outlineLvl w:val="0"/>
    </w:pPr>
    <w:rPr>
      <w:rFonts w:hint="eastAsia" w:ascii="黑体" w:hAnsi="Times New Roman" w:eastAsia="黑体" w:cs="Times New Roman"/>
      <w:kern w:val="0"/>
      <w:sz w:val="32"/>
      <w:szCs w:val="20"/>
      <w:lang w:val="en-US" w:eastAsia="zh-CN" w:bidi="ar-SA"/>
    </w:rPr>
  </w:style>
  <w:style w:type="paragraph" w:customStyle="1" w:styleId="7">
    <w:name w:val="段"/>
    <w:link w:val="19"/>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
    <w:name w:val="章标题"/>
    <w:next w:val="7"/>
    <w:qFormat/>
    <w:uiPriority w:val="0"/>
    <w:pPr>
      <w:numPr>
        <w:ilvl w:val="1"/>
        <w:numId w:val="1"/>
      </w:numPr>
      <w:spacing w:beforeLines="50" w:afterLines="50"/>
      <w:ind w:left="360"/>
      <w:jc w:val="both"/>
      <w:outlineLvl w:val="1"/>
    </w:pPr>
    <w:rPr>
      <w:rFonts w:hint="eastAsia" w:ascii="黑体" w:hAnsi="Times New Roman" w:eastAsia="黑体" w:cs="Times New Roman"/>
      <w:kern w:val="0"/>
      <w:sz w:val="21"/>
      <w:szCs w:val="20"/>
      <w:lang w:val="en-US" w:eastAsia="zh-CN" w:bidi="ar-SA"/>
    </w:rPr>
  </w:style>
  <w:style w:type="paragraph" w:customStyle="1" w:styleId="9">
    <w:name w:val="一级条标题"/>
    <w:next w:val="7"/>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10">
    <w:name w:val="二级条标题"/>
    <w:basedOn w:val="9"/>
    <w:next w:val="7"/>
    <w:qFormat/>
    <w:uiPriority w:val="0"/>
    <w:pPr>
      <w:numPr>
        <w:ilvl w:val="3"/>
      </w:numPr>
      <w:outlineLvl w:val="3"/>
    </w:pPr>
  </w:style>
  <w:style w:type="paragraph" w:customStyle="1" w:styleId="11">
    <w:name w:val="目次、标准名称标题"/>
    <w:basedOn w:val="6"/>
    <w:next w:val="7"/>
    <w:uiPriority w:val="0"/>
    <w:pPr>
      <w:numPr>
        <w:ilvl w:val="4"/>
      </w:numPr>
      <w:spacing w:line="460" w:lineRule="exact"/>
    </w:pPr>
  </w:style>
  <w:style w:type="paragraph" w:customStyle="1" w:styleId="12">
    <w:name w:val="实施日期"/>
    <w:basedOn w:val="1"/>
    <w:uiPriority w:val="0"/>
    <w:pPr>
      <w:widowControl/>
      <w:numPr>
        <w:ilvl w:val="5"/>
        <w:numId w:val="1"/>
      </w:numPr>
      <w:ind w:left="2880"/>
      <w:jc w:val="right"/>
    </w:pPr>
    <w:rPr>
      <w:rFonts w:eastAsia="黑体"/>
      <w:kern w:val="0"/>
      <w:sz w:val="28"/>
      <w:szCs w:val="20"/>
    </w:rPr>
  </w:style>
  <w:style w:type="paragraph" w:customStyle="1" w:styleId="13">
    <w:name w:val="正文表标题"/>
    <w:next w:val="7"/>
    <w:uiPriority w:val="0"/>
    <w:pPr>
      <w:tabs>
        <w:tab w:val="left" w:pos="720"/>
      </w:tabs>
      <w:ind w:left="720" w:hanging="720"/>
      <w:jc w:val="center"/>
    </w:pPr>
    <w:rPr>
      <w:rFonts w:hint="eastAsia" w:ascii="黑体" w:hAnsi="Times New Roman" w:eastAsia="黑体" w:cs="Times New Roman"/>
      <w:kern w:val="0"/>
      <w:sz w:val="21"/>
      <w:szCs w:val="20"/>
      <w:lang w:val="en-US" w:eastAsia="zh-CN" w:bidi="ar-SA"/>
    </w:rPr>
  </w:style>
  <w:style w:type="paragraph" w:customStyle="1" w:styleId="14">
    <w:name w:val="图表脚注"/>
    <w:next w:val="7"/>
    <w:qFormat/>
    <w:uiPriority w:val="0"/>
    <w:pPr>
      <w:tabs>
        <w:tab w:val="left" w:pos="2520"/>
        <w:tab w:val="left" w:pos="4320"/>
      </w:tabs>
      <w:ind w:left="300" w:leftChars="200" w:hanging="100" w:hangingChars="100"/>
      <w:jc w:val="both"/>
    </w:pPr>
    <w:rPr>
      <w:rFonts w:hint="eastAsia" w:ascii="宋体" w:hAnsi="Times New Roman" w:eastAsia="宋体" w:cs="Times New Roman"/>
      <w:kern w:val="0"/>
      <w:sz w:val="18"/>
      <w:szCs w:val="20"/>
      <w:lang w:val="en-US" w:eastAsia="zh-CN" w:bidi="ar-SA"/>
    </w:rPr>
  </w:style>
  <w:style w:type="paragraph" w:customStyle="1" w:styleId="15">
    <w:name w:val="标准称谓"/>
    <w:next w:val="1"/>
    <w:uiPriority w:val="0"/>
    <w:pPr>
      <w:widowControl w:val="0"/>
      <w:kinsoku w:val="0"/>
      <w:overflowPunct w:val="0"/>
      <w:autoSpaceDE w:val="0"/>
      <w:autoSpaceDN w:val="0"/>
      <w:spacing w:line="0" w:lineRule="atLeast"/>
      <w:jc w:val="distribute"/>
    </w:pPr>
    <w:rPr>
      <w:rFonts w:hint="eastAsia" w:ascii="宋体" w:hAnsi="Times New Roman" w:eastAsia="宋体" w:cs="Times New Roman"/>
      <w:b/>
      <w:bCs/>
      <w:spacing w:val="20"/>
      <w:w w:val="148"/>
      <w:kern w:val="0"/>
      <w:sz w:val="52"/>
      <w:szCs w:val="20"/>
      <w:lang w:val="en-US" w:eastAsia="zh-CN" w:bidi="ar-SA"/>
    </w:rPr>
  </w:style>
  <w:style w:type="paragraph" w:customStyle="1" w:styleId="16">
    <w:name w:val="发布日期"/>
    <w:next w:val="12"/>
    <w:uiPriority w:val="0"/>
    <w:rPr>
      <w:rFonts w:ascii="Times New Roman" w:hAnsi="Times New Roman" w:eastAsia="黑体" w:cs="Times New Roman"/>
      <w:kern w:val="0"/>
      <w:sz w:val="28"/>
      <w:szCs w:val="20"/>
      <w:lang w:val="en-US" w:eastAsia="zh-CN" w:bidi="ar-SA"/>
    </w:rPr>
  </w:style>
  <w:style w:type="paragraph" w:customStyle="1" w:styleId="17">
    <w:name w:val="发布部门"/>
    <w:next w:val="1"/>
    <w:qFormat/>
    <w:uiPriority w:val="0"/>
    <w:pPr>
      <w:jc w:val="center"/>
    </w:pPr>
    <w:rPr>
      <w:rFonts w:hint="eastAsia" w:ascii="宋体" w:hAnsi="Times New Roman" w:eastAsia="宋体" w:cs="Times New Roman"/>
      <w:b/>
      <w:spacing w:val="20"/>
      <w:w w:val="135"/>
      <w:kern w:val="2"/>
      <w:sz w:val="36"/>
      <w:szCs w:val="24"/>
      <w:lang w:val="en-US" w:eastAsia="zh-CN" w:bidi="ar-SA"/>
    </w:rPr>
  </w:style>
  <w:style w:type="paragraph" w:styleId="18">
    <w:name w:val="List Paragraph"/>
    <w:basedOn w:val="1"/>
    <w:qFormat/>
    <w:uiPriority w:val="34"/>
    <w:pPr>
      <w:ind w:firstLine="420" w:firstLineChars="200"/>
    </w:pPr>
    <w:rPr>
      <w:szCs w:val="20"/>
    </w:rPr>
  </w:style>
  <w:style w:type="character" w:customStyle="1" w:styleId="19">
    <w:name w:val="段 Char"/>
    <w:link w:val="7"/>
    <w:qFormat/>
    <w:uiPriority w:val="0"/>
    <w:rPr>
      <w:rFonts w:ascii="宋体" w:hAnsi="Times New Roman" w:eastAsia="宋体" w:cs="Times New Roman"/>
      <w:kern w:val="0"/>
      <w:szCs w:val="20"/>
      <w:lang w:val="en-US" w:eastAsia="zh-CN"/>
    </w:rPr>
  </w:style>
  <w:style w:type="character" w:customStyle="1" w:styleId="20">
    <w:name w:val="页眉 字符"/>
    <w:basedOn w:val="5"/>
    <w:link w:val="3"/>
    <w:semiHidden/>
    <w:qFormat/>
    <w:uiPriority w:val="99"/>
    <w:rPr>
      <w:rFonts w:ascii="Times New Roman" w:hAnsi="Times New Roman" w:eastAsia="宋体" w:cs="Times New Roman"/>
      <w:sz w:val="18"/>
      <w:szCs w:val="18"/>
    </w:rPr>
  </w:style>
  <w:style w:type="character" w:customStyle="1" w:styleId="21">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1357</Words>
  <Characters>1862</Characters>
  <Lines>20</Lines>
  <Paragraphs>5</Paragraphs>
  <TotalTime>19</TotalTime>
  <ScaleCrop>false</ScaleCrop>
  <LinksUpToDate>false</LinksUpToDate>
  <CharactersWithSpaces>2751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2023-02-22T02:55:00Z</dcterms:created>
  <dc:creator>宋应球</dc:creator>
  <cp:lastModifiedBy>檀香一缕</cp:lastModifiedBy>
  <dcterms:modified xsi:type="dcterms:W3CDTF">2023-03-05T06:22:03Z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6B384A02887C486398E678C30AF397F7</vt:lpwstr>
  </property>
</Properties>
</file>