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rPr>
          <w:color w:val="000000"/>
          <w:kern w:val="2"/>
          <w:sz w:val="15"/>
          <w:szCs w:val="15"/>
        </w:rPr>
      </w:pPr>
      <w:bookmarkStart w:id="0" w:name="SectionMark0"/>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2079625</wp:posOffset>
                </wp:positionV>
                <wp:extent cx="6121400" cy="0"/>
                <wp:effectExtent l="0" t="0" r="0" b="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id="_x0000_s1026" o:spid="_x0000_s1026" o:spt="20" style="position:absolute;left:0pt;margin-left:0pt;margin-top:163.75pt;height:0pt;width:482pt;z-index:251666432;mso-width-relative:page;mso-height-relative:page;" filled="f" stroked="t" coordsize="21600,21600" o:gfxdata="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IzQTo1AAAAAgBAAAP&#10;AAAAAAAAAAEAIAAAACIAAABkcnMvZG93bnJldi54bWxQSwECFAAUAAAACACHTuJATVgsfeMBAACt&#10;AwAADgAAAAAAAAABACAAAAAjAQAAZHJzL2Uyb0RvYy54bWxQSwUGAAAAAAYABgBZAQAAeAU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8889365</wp:posOffset>
                </wp:positionV>
                <wp:extent cx="6121400" cy="0"/>
                <wp:effectExtent l="0" t="0" r="0" b="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id="_x0000_s1026" o:spid="_x0000_s1026" o:spt="20" style="position:absolute;left:0pt;margin-left:0pt;margin-top:699.95pt;height:0pt;width:482pt;z-index:251667456;mso-width-relative:page;mso-height-relative:page;" filled="f" stroked="t" coordsize="21600,21600" o:gfxdata="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BnjuzUAAAACgEA&#10;AA8AAAAAAAAAAQAgAAAAIgAAAGRycy9kb3ducmV2LnhtbFBLAQIUABQAAAAIAIdO4kBz5sv/5QEA&#10;AK0DAAAOAAAAAAAAAAEAIAAAACMBAABkcnMvZTJvRG9jLnhtbFBLBQYAAAAABgAGAFkBAAB6BQAA&#10;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5408" behindDoc="0" locked="1" layoutInCell="1" allowOverlap="1">
                <wp:simplePos x="0" y="0"/>
                <wp:positionH relativeFrom="margin">
                  <wp:posOffset>4100830</wp:posOffset>
                </wp:positionH>
                <wp:positionV relativeFrom="margin">
                  <wp:posOffset>8563610</wp:posOffset>
                </wp:positionV>
                <wp:extent cx="2019300" cy="312420"/>
                <wp:effectExtent l="0" t="0" r="0" b="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21"/>
                              <w:rPr>
                                <w:rFonts w:ascii="黑体"/>
                              </w:rPr>
                            </w:pPr>
                            <w:r>
                              <w:rPr>
                                <w:rFonts w:hint="eastAsia" w:ascii="黑体"/>
                              </w:rPr>
                              <w:t>××××</w:t>
                            </w:r>
                            <w:r>
                              <w:rPr>
                                <w:rFonts w:ascii="黑体"/>
                              </w:rPr>
                              <w:t>-</w:t>
                            </w:r>
                            <w:r>
                              <w:rPr>
                                <w:rFonts w:hint="eastAsia" w:ascii="黑体"/>
                              </w:rPr>
                              <w:t>××</w:t>
                            </w:r>
                            <w:r>
                              <w:rPr>
                                <w:rFonts w:ascii="黑体"/>
                              </w:rPr>
                              <w:t>-</w:t>
                            </w:r>
                            <w:r>
                              <w:rPr>
                                <w:rFonts w:hint="eastAsia" w:ascii="黑体"/>
                              </w:rPr>
                              <w:t>××实施</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22.9pt;margin-top:674.3pt;height:24.6pt;width:159pt;mso-position-horizontal-relative:margin;mso-position-vertical-relative:margin;z-index:251665408;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C/arX&#10;2gAAAA0BAAAPAAAAAAAAAAEAIAAAACIAAABkcnMvZG93bnJldi54bWxQSwECFAAUAAAACACHTuJA&#10;cwNAih8CAAAwBAAADgAAAAAAAAABACAAAAApAQAAZHJzL2Uyb0RvYy54bWxQSwUGAAAAAAYABgBZ&#10;AQAAugUAAAAA&#10;">
                <v:fill on="t" focussize="0,0"/>
                <v:stroke on="f"/>
                <v:imagedata o:title=""/>
                <o:lock v:ext="edit" aspectratio="f"/>
                <v:textbox inset="0mm,0mm,0mm,0mm">
                  <w:txbxContent>
                    <w:p>
                      <w:pPr>
                        <w:pStyle w:val="21"/>
                        <w:rPr>
                          <w:rFonts w:ascii="黑体"/>
                        </w:rPr>
                      </w:pPr>
                      <w:r>
                        <w:rPr>
                          <w:rFonts w:hint="eastAsia" w:ascii="黑体"/>
                        </w:rPr>
                        <w:t>××××</w:t>
                      </w:r>
                      <w:r>
                        <w:rPr>
                          <w:rFonts w:ascii="黑体"/>
                        </w:rPr>
                        <w:t>-</w:t>
                      </w:r>
                      <w:r>
                        <w:rPr>
                          <w:rFonts w:hint="eastAsia" w:ascii="黑体"/>
                        </w:rPr>
                        <w:t>××</w:t>
                      </w:r>
                      <w:r>
                        <w:rPr>
                          <w:rFonts w:ascii="黑体"/>
                        </w:rPr>
                        <w:t>-</w:t>
                      </w:r>
                      <w:r>
                        <w:rPr>
                          <w:rFonts w:hint="eastAsia" w:ascii="黑体"/>
                        </w:rPr>
                        <w:t>××实施</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8563610</wp:posOffset>
                </wp:positionV>
                <wp:extent cx="2019300" cy="312420"/>
                <wp:effectExtent l="0" t="0" r="0" b="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22"/>
                              <w:rPr>
                                <w:rFonts w:ascii="黑体"/>
                              </w:rPr>
                            </w:pPr>
                            <w:r>
                              <w:rPr>
                                <w:rFonts w:hint="eastAsia" w:ascii="黑体"/>
                              </w:rPr>
                              <w:t>××××</w:t>
                            </w:r>
                            <w:r>
                              <w:rPr>
                                <w:rFonts w:ascii="黑体"/>
                              </w:rPr>
                              <w:t>-</w:t>
                            </w:r>
                            <w:r>
                              <w:rPr>
                                <w:rFonts w:hint="eastAsia" w:ascii="黑体"/>
                              </w:rPr>
                              <w:t>××</w:t>
                            </w:r>
                            <w:r>
                              <w:rPr>
                                <w:rFonts w:ascii="黑体"/>
                              </w:rPr>
                              <w:t>-</w:t>
                            </w:r>
                            <w:r>
                              <w:rPr>
                                <w:rFonts w:hint="eastAsia" w:ascii="黑体"/>
                              </w:rPr>
                              <w:t>××发布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XzbKiNgA&#10;AAAKAQAADwAAAAAAAAABACAAAAAiAAAAZHJzL2Rvd25yZXYueG1sUEsBAhQAFAAAAAgAh07iQKTU&#10;3kUfAgAALgQAAA4AAAAAAAAAAQAgAAAAJwEAAGRycy9lMm9Eb2MueG1sUEsFBgAAAAAGAAYAWQEA&#10;ALgFAAAAAA==&#10;">
                <v:fill on="t" focussize="0,0"/>
                <v:stroke on="f"/>
                <v:imagedata o:title=""/>
                <o:lock v:ext="edit" aspectratio="f"/>
                <v:textbox inset="0mm,0mm,0mm,0mm">
                  <w:txbxContent>
                    <w:p>
                      <w:pPr>
                        <w:pStyle w:val="22"/>
                        <w:rPr>
                          <w:rFonts w:ascii="黑体"/>
                        </w:rPr>
                      </w:pPr>
                      <w:r>
                        <w:rPr>
                          <w:rFonts w:hint="eastAsia" w:ascii="黑体"/>
                        </w:rPr>
                        <w:t>××××</w:t>
                      </w:r>
                      <w:r>
                        <w:rPr>
                          <w:rFonts w:ascii="黑体"/>
                        </w:rPr>
                        <w:t>-</w:t>
                      </w:r>
                      <w:r>
                        <w:rPr>
                          <w:rFonts w:hint="eastAsia" w:ascii="黑体"/>
                        </w:rPr>
                        <w:t>××</w:t>
                      </w:r>
                      <w:r>
                        <w:rPr>
                          <w:rFonts w:ascii="黑体"/>
                        </w:rPr>
                        <w:t>-</w:t>
                      </w:r>
                      <w:r>
                        <w:rPr>
                          <w:rFonts w:hint="eastAsia" w:ascii="黑体"/>
                        </w:rPr>
                        <w:t>××发布</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2992755</wp:posOffset>
                </wp:positionV>
                <wp:extent cx="5969000" cy="532384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969000" cy="5323840"/>
                        </a:xfrm>
                        <a:prstGeom prst="rect">
                          <a:avLst/>
                        </a:prstGeom>
                        <a:solidFill>
                          <a:srgbClr val="FFFFFF"/>
                        </a:solidFill>
                        <a:ln>
                          <a:noFill/>
                        </a:ln>
                      </wps:spPr>
                      <wps:txbx>
                        <w:txbxContent>
                          <w:p>
                            <w:pPr>
                              <w:pStyle w:val="26"/>
                              <w:ind w:firstLine="0" w:firstLineChars="0"/>
                              <w:jc w:val="center"/>
                              <w:rPr>
                                <w:rFonts w:ascii="黑体" w:eastAsia="黑体"/>
                                <w:bCs/>
                                <w:kern w:val="2"/>
                                <w:sz w:val="52"/>
                                <w:szCs w:val="52"/>
                              </w:rPr>
                            </w:pPr>
                            <w:bookmarkStart w:id="4" w:name="OLE_LINK6"/>
                            <w:bookmarkStart w:id="5" w:name="OLE_LINK1"/>
                            <w:bookmarkStart w:id="6" w:name="OLE_LINK2"/>
                            <w:bookmarkStart w:id="7" w:name="OLE_LINK127"/>
                            <w:r>
                              <w:rPr>
                                <w:rFonts w:hint="eastAsia" w:ascii="黑体" w:eastAsia="黑体"/>
                                <w:bCs/>
                                <w:kern w:val="2"/>
                                <w:sz w:val="52"/>
                                <w:szCs w:val="52"/>
                              </w:rPr>
                              <w:t xml:space="preserve">镍合金化学分析方法 </w:t>
                            </w:r>
                          </w:p>
                          <w:p>
                            <w:pPr>
                              <w:pStyle w:val="26"/>
                              <w:ind w:firstLine="0" w:firstLineChars="0"/>
                              <w:jc w:val="center"/>
                              <w:rPr>
                                <w:rFonts w:eastAsia="黑体"/>
                                <w:sz w:val="52"/>
                              </w:rPr>
                            </w:pPr>
                            <w:r>
                              <w:rPr>
                                <w:rFonts w:hint="eastAsia" w:ascii="黑体" w:eastAsia="黑体"/>
                                <w:bCs/>
                                <w:kern w:val="2"/>
                                <w:sz w:val="52"/>
                                <w:szCs w:val="52"/>
                              </w:rPr>
                              <w:t>第2部分:磷含量</w:t>
                            </w:r>
                            <w:r>
                              <w:rPr>
                                <w:rFonts w:hint="eastAsia" w:ascii="黑体" w:eastAsia="黑体"/>
                                <w:bCs/>
                                <w:kern w:val="2"/>
                                <w:sz w:val="52"/>
                                <w:szCs w:val="52"/>
                                <w:lang w:val="en-US" w:eastAsia="zh-CN"/>
                              </w:rPr>
                              <w:t>的</w:t>
                            </w:r>
                            <w:r>
                              <w:rPr>
                                <w:rFonts w:hint="eastAsia" w:ascii="黑体" w:eastAsia="黑体"/>
                                <w:bCs/>
                                <w:kern w:val="2"/>
                                <w:sz w:val="52"/>
                                <w:szCs w:val="52"/>
                              </w:rPr>
                              <w:t xml:space="preserve">测定 </w:t>
                            </w:r>
                            <w:bookmarkEnd w:id="4"/>
                            <w:bookmarkEnd w:id="5"/>
                            <w:bookmarkEnd w:id="6"/>
                            <w:bookmarkEnd w:id="7"/>
                          </w:p>
                          <w:p>
                            <w:pPr>
                              <w:pStyle w:val="29"/>
                              <w:spacing w:before="0" w:line="700" w:lineRule="exact"/>
                              <w:rPr>
                                <w:rFonts w:eastAsia="黑体"/>
                                <w:color w:val="000000"/>
                                <w:sz w:val="52"/>
                              </w:rPr>
                            </w:pPr>
                            <w:r>
                              <w:rPr>
                                <w:rFonts w:hint="eastAsia" w:eastAsia="黑体"/>
                                <w:color w:val="000000"/>
                                <w:sz w:val="52"/>
                              </w:rPr>
                              <w:t>钼蓝分光光度法</w:t>
                            </w:r>
                          </w:p>
                          <w:p>
                            <w:pPr>
                              <w:pStyle w:val="29"/>
                              <w:spacing w:before="0" w:line="360" w:lineRule="auto"/>
                              <w:rPr>
                                <w:rFonts w:eastAsia="黑体"/>
                                <w:sz w:val="52"/>
                              </w:rPr>
                            </w:pPr>
                          </w:p>
                          <w:p>
                            <w:pPr>
                              <w:pStyle w:val="40"/>
                              <w:spacing w:before="0" w:after="0" w:line="360" w:lineRule="auto"/>
                              <w:rPr>
                                <w:rFonts w:ascii="黑体" w:hAnsi="黑体" w:eastAsia="黑体" w:cs="黑体"/>
                                <w:sz w:val="28"/>
                                <w:szCs w:val="24"/>
                              </w:rPr>
                            </w:pPr>
                            <w:r>
                              <w:rPr>
                                <w:rFonts w:ascii="黑体" w:hAnsi="黑体" w:eastAsia="黑体" w:cs="黑体"/>
                                <w:sz w:val="28"/>
                                <w:szCs w:val="24"/>
                              </w:rPr>
                              <w:t xml:space="preserve">Methods for chemical analysis of nickel alloys – </w:t>
                            </w:r>
                          </w:p>
                          <w:p>
                            <w:pPr>
                              <w:pStyle w:val="40"/>
                              <w:spacing w:before="0" w:after="0" w:line="360" w:lineRule="auto"/>
                              <w:rPr>
                                <w:rFonts w:ascii="黑体" w:hAnsi="黑体" w:eastAsia="黑体" w:cs="黑体"/>
                                <w:sz w:val="28"/>
                                <w:szCs w:val="24"/>
                              </w:rPr>
                            </w:pPr>
                            <w:r>
                              <w:rPr>
                                <w:rFonts w:ascii="黑体" w:hAnsi="黑体" w:eastAsia="黑体" w:cs="黑体"/>
                                <w:sz w:val="28"/>
                                <w:szCs w:val="24"/>
                              </w:rPr>
                              <w:t xml:space="preserve">Part </w:t>
                            </w:r>
                            <w:r>
                              <w:rPr>
                                <w:rFonts w:hint="eastAsia" w:ascii="黑体" w:hAnsi="黑体" w:eastAsia="黑体" w:cs="黑体"/>
                                <w:sz w:val="28"/>
                                <w:szCs w:val="24"/>
                              </w:rPr>
                              <w:t>2</w:t>
                            </w:r>
                            <w:r>
                              <w:rPr>
                                <w:rFonts w:ascii="黑体" w:hAnsi="黑体" w:eastAsia="黑体" w:cs="黑体"/>
                                <w:sz w:val="28"/>
                                <w:szCs w:val="24"/>
                              </w:rPr>
                              <w:t xml:space="preserve">: Determination of phosphorus content – </w:t>
                            </w:r>
                          </w:p>
                          <w:p>
                            <w:pPr>
                              <w:pStyle w:val="40"/>
                              <w:spacing w:before="0" w:after="0" w:line="360" w:lineRule="auto"/>
                              <w:rPr>
                                <w:rFonts w:ascii="黑体" w:hAnsi="黑体" w:eastAsia="黑体" w:cs="黑体"/>
                                <w:sz w:val="28"/>
                                <w:szCs w:val="24"/>
                              </w:rPr>
                            </w:pPr>
                            <w:r>
                              <w:rPr>
                                <w:rFonts w:ascii="黑体" w:hAnsi="黑体" w:eastAsia="黑体" w:cs="黑体"/>
                                <w:sz w:val="28"/>
                                <w:szCs w:val="24"/>
                              </w:rPr>
                              <w:t>Molybdenum blue molecular absorption spectrometric method</w:t>
                            </w:r>
                          </w:p>
                          <w:p>
                            <w:pPr>
                              <w:pStyle w:val="40"/>
                              <w:spacing w:before="0" w:after="0" w:line="360" w:lineRule="auto"/>
                              <w:rPr>
                                <w:rFonts w:ascii="黑体" w:hAnsi="黑体" w:eastAsia="黑体" w:cs="黑体"/>
                                <w:sz w:val="28"/>
                                <w:szCs w:val="24"/>
                              </w:rPr>
                            </w:pPr>
                            <w:r>
                              <w:rPr>
                                <w:rFonts w:hint="eastAsia" w:ascii="黑体" w:hAnsi="黑体" w:eastAsia="黑体" w:cs="黑体"/>
                                <w:sz w:val="28"/>
                                <w:szCs w:val="24"/>
                              </w:rPr>
                              <w:t xml:space="preserve"> (</w:t>
                            </w:r>
                            <w:r>
                              <w:rPr>
                                <w:rFonts w:ascii="黑体" w:hAnsi="黑体" w:eastAsia="黑体" w:cs="黑体"/>
                                <w:sz w:val="28"/>
                                <w:szCs w:val="24"/>
                              </w:rPr>
                              <w:t xml:space="preserve">ISO </w:t>
                            </w:r>
                            <w:r>
                              <w:rPr>
                                <w:rFonts w:hint="eastAsia" w:ascii="黑体" w:hAnsi="黑体" w:eastAsia="黑体" w:cs="黑体"/>
                                <w:sz w:val="28"/>
                                <w:szCs w:val="24"/>
                              </w:rPr>
                              <w:t>9388</w:t>
                            </w:r>
                            <w:r>
                              <w:rPr>
                                <w:rFonts w:ascii="黑体" w:hAnsi="黑体" w:eastAsia="黑体" w:cs="黑体"/>
                                <w:sz w:val="28"/>
                                <w:szCs w:val="24"/>
                              </w:rPr>
                              <w:t>:</w:t>
                            </w:r>
                            <w:r>
                              <w:rPr>
                                <w:rFonts w:hint="eastAsia" w:ascii="黑体" w:hAnsi="黑体" w:eastAsia="黑体" w:cs="黑体"/>
                                <w:sz w:val="28"/>
                                <w:szCs w:val="24"/>
                              </w:rPr>
                              <w:t>1992</w:t>
                            </w:r>
                            <w:r>
                              <w:rPr>
                                <w:rFonts w:ascii="黑体" w:hAnsi="黑体" w:eastAsia="黑体" w:cs="黑体"/>
                                <w:sz w:val="28"/>
                                <w:szCs w:val="24"/>
                              </w:rPr>
                              <w:t>, Nickel alloys - Determination of phosphorus content - Molybdenum blue molecular absorption spectrometric method,</w:t>
                            </w:r>
                            <w:r>
                              <w:rPr>
                                <w:rFonts w:hint="eastAsia" w:ascii="黑体" w:hAnsi="黑体" w:eastAsia="黑体" w:cs="黑体"/>
                                <w:sz w:val="28"/>
                                <w:szCs w:val="24"/>
                              </w:rPr>
                              <w:t>MOD</w:t>
                            </w:r>
                            <w:r>
                              <w:rPr>
                                <w:rFonts w:ascii="黑体" w:hAnsi="黑体" w:eastAsia="黑体" w:cs="黑体"/>
                                <w:sz w:val="28"/>
                                <w:szCs w:val="24"/>
                              </w:rPr>
                              <w:t>)</w:t>
                            </w:r>
                          </w:p>
                          <w:p>
                            <w:pPr>
                              <w:pStyle w:val="29"/>
                              <w:spacing w:before="0" w:line="240" w:lineRule="auto"/>
                              <w:rPr>
                                <w:rFonts w:ascii="宋体"/>
                                <w:kern w:val="2"/>
                              </w:rPr>
                            </w:pPr>
                            <w:r>
                              <w:rPr>
                                <w:rFonts w:hint="eastAsia" w:ascii="宋体" w:hAnsi="宋体"/>
                                <w:kern w:val="2"/>
                              </w:rPr>
                              <w:t>（送审稿）</w:t>
                            </w:r>
                          </w:p>
                          <w:p>
                            <w:pPr>
                              <w:pStyle w:val="36"/>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235.65pt;height:419.2pt;width:470pt;mso-position-horizontal-relative:margin;mso-position-vertical-relative:margin;z-index:251662336;mso-width-relative:page;mso-height-relative:page;" fillcolor="#FFFFFF" filled="t" stroked="f" coordsize="21600,21600" o:gfxdata="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NvD&#10;0dgAAAAJAQAADwAAAAAAAAABACAAAAAiAAAAZHJzL2Rvd25yZXYueG1sUEsBAhQAFAAAAAgAh07i&#10;QP7SeOQiAgAALwQAAA4AAAAAAAAAAQAgAAAAJwEAAGRycy9lMm9Eb2MueG1sUEsFBgAAAAAGAAYA&#10;WQEAALsFAAAAAA==&#10;">
                <v:fill on="t" focussize="0,0"/>
                <v:stroke on="f"/>
                <v:imagedata o:title=""/>
                <o:lock v:ext="edit" aspectratio="f"/>
                <v:textbox inset="0mm,0mm,0mm,0mm">
                  <w:txbxContent>
                    <w:p>
                      <w:pPr>
                        <w:pStyle w:val="26"/>
                        <w:ind w:firstLine="0" w:firstLineChars="0"/>
                        <w:jc w:val="center"/>
                        <w:rPr>
                          <w:rFonts w:ascii="黑体" w:eastAsia="黑体"/>
                          <w:bCs/>
                          <w:kern w:val="2"/>
                          <w:sz w:val="52"/>
                          <w:szCs w:val="52"/>
                        </w:rPr>
                      </w:pPr>
                      <w:bookmarkStart w:id="4" w:name="OLE_LINK6"/>
                      <w:bookmarkStart w:id="5" w:name="OLE_LINK1"/>
                      <w:bookmarkStart w:id="6" w:name="OLE_LINK2"/>
                      <w:bookmarkStart w:id="7" w:name="OLE_LINK127"/>
                      <w:r>
                        <w:rPr>
                          <w:rFonts w:hint="eastAsia" w:ascii="黑体" w:eastAsia="黑体"/>
                          <w:bCs/>
                          <w:kern w:val="2"/>
                          <w:sz w:val="52"/>
                          <w:szCs w:val="52"/>
                        </w:rPr>
                        <w:t xml:space="preserve">镍合金化学分析方法 </w:t>
                      </w:r>
                    </w:p>
                    <w:p>
                      <w:pPr>
                        <w:pStyle w:val="26"/>
                        <w:ind w:firstLine="0" w:firstLineChars="0"/>
                        <w:jc w:val="center"/>
                        <w:rPr>
                          <w:rFonts w:eastAsia="黑体"/>
                          <w:sz w:val="52"/>
                        </w:rPr>
                      </w:pPr>
                      <w:r>
                        <w:rPr>
                          <w:rFonts w:hint="eastAsia" w:ascii="黑体" w:eastAsia="黑体"/>
                          <w:bCs/>
                          <w:kern w:val="2"/>
                          <w:sz w:val="52"/>
                          <w:szCs w:val="52"/>
                        </w:rPr>
                        <w:t>第2部分:磷含量</w:t>
                      </w:r>
                      <w:r>
                        <w:rPr>
                          <w:rFonts w:hint="eastAsia" w:ascii="黑体" w:eastAsia="黑体"/>
                          <w:bCs/>
                          <w:kern w:val="2"/>
                          <w:sz w:val="52"/>
                          <w:szCs w:val="52"/>
                          <w:lang w:val="en-US" w:eastAsia="zh-CN"/>
                        </w:rPr>
                        <w:t>的</w:t>
                      </w:r>
                      <w:r>
                        <w:rPr>
                          <w:rFonts w:hint="eastAsia" w:ascii="黑体" w:eastAsia="黑体"/>
                          <w:bCs/>
                          <w:kern w:val="2"/>
                          <w:sz w:val="52"/>
                          <w:szCs w:val="52"/>
                        </w:rPr>
                        <w:t xml:space="preserve">测定 </w:t>
                      </w:r>
                      <w:bookmarkEnd w:id="4"/>
                      <w:bookmarkEnd w:id="5"/>
                      <w:bookmarkEnd w:id="6"/>
                      <w:bookmarkEnd w:id="7"/>
                    </w:p>
                    <w:p>
                      <w:pPr>
                        <w:pStyle w:val="29"/>
                        <w:spacing w:before="0" w:line="700" w:lineRule="exact"/>
                        <w:rPr>
                          <w:rFonts w:eastAsia="黑体"/>
                          <w:color w:val="000000"/>
                          <w:sz w:val="52"/>
                        </w:rPr>
                      </w:pPr>
                      <w:r>
                        <w:rPr>
                          <w:rFonts w:hint="eastAsia" w:eastAsia="黑体"/>
                          <w:color w:val="000000"/>
                          <w:sz w:val="52"/>
                        </w:rPr>
                        <w:t>钼蓝分光光度法</w:t>
                      </w:r>
                    </w:p>
                    <w:p>
                      <w:pPr>
                        <w:pStyle w:val="29"/>
                        <w:spacing w:before="0" w:line="360" w:lineRule="auto"/>
                        <w:rPr>
                          <w:rFonts w:eastAsia="黑体"/>
                          <w:sz w:val="52"/>
                        </w:rPr>
                      </w:pPr>
                    </w:p>
                    <w:p>
                      <w:pPr>
                        <w:pStyle w:val="40"/>
                        <w:spacing w:before="0" w:after="0" w:line="360" w:lineRule="auto"/>
                        <w:rPr>
                          <w:rFonts w:ascii="黑体" w:hAnsi="黑体" w:eastAsia="黑体" w:cs="黑体"/>
                          <w:sz w:val="28"/>
                          <w:szCs w:val="24"/>
                        </w:rPr>
                      </w:pPr>
                      <w:r>
                        <w:rPr>
                          <w:rFonts w:ascii="黑体" w:hAnsi="黑体" w:eastAsia="黑体" w:cs="黑体"/>
                          <w:sz w:val="28"/>
                          <w:szCs w:val="24"/>
                        </w:rPr>
                        <w:t xml:space="preserve">Methods for chemical analysis of nickel alloys – </w:t>
                      </w:r>
                    </w:p>
                    <w:p>
                      <w:pPr>
                        <w:pStyle w:val="40"/>
                        <w:spacing w:before="0" w:after="0" w:line="360" w:lineRule="auto"/>
                        <w:rPr>
                          <w:rFonts w:ascii="黑体" w:hAnsi="黑体" w:eastAsia="黑体" w:cs="黑体"/>
                          <w:sz w:val="28"/>
                          <w:szCs w:val="24"/>
                        </w:rPr>
                      </w:pPr>
                      <w:r>
                        <w:rPr>
                          <w:rFonts w:ascii="黑体" w:hAnsi="黑体" w:eastAsia="黑体" w:cs="黑体"/>
                          <w:sz w:val="28"/>
                          <w:szCs w:val="24"/>
                        </w:rPr>
                        <w:t xml:space="preserve">Part </w:t>
                      </w:r>
                      <w:r>
                        <w:rPr>
                          <w:rFonts w:hint="eastAsia" w:ascii="黑体" w:hAnsi="黑体" w:eastAsia="黑体" w:cs="黑体"/>
                          <w:sz w:val="28"/>
                          <w:szCs w:val="24"/>
                        </w:rPr>
                        <w:t>2</w:t>
                      </w:r>
                      <w:r>
                        <w:rPr>
                          <w:rFonts w:ascii="黑体" w:hAnsi="黑体" w:eastAsia="黑体" w:cs="黑体"/>
                          <w:sz w:val="28"/>
                          <w:szCs w:val="24"/>
                        </w:rPr>
                        <w:t xml:space="preserve">: Determination of phosphorus content – </w:t>
                      </w:r>
                    </w:p>
                    <w:p>
                      <w:pPr>
                        <w:pStyle w:val="40"/>
                        <w:spacing w:before="0" w:after="0" w:line="360" w:lineRule="auto"/>
                        <w:rPr>
                          <w:rFonts w:ascii="黑体" w:hAnsi="黑体" w:eastAsia="黑体" w:cs="黑体"/>
                          <w:sz w:val="28"/>
                          <w:szCs w:val="24"/>
                        </w:rPr>
                      </w:pPr>
                      <w:r>
                        <w:rPr>
                          <w:rFonts w:ascii="黑体" w:hAnsi="黑体" w:eastAsia="黑体" w:cs="黑体"/>
                          <w:sz w:val="28"/>
                          <w:szCs w:val="24"/>
                        </w:rPr>
                        <w:t>Molybdenum blue molecular absorption spectrometric method</w:t>
                      </w:r>
                    </w:p>
                    <w:p>
                      <w:pPr>
                        <w:pStyle w:val="40"/>
                        <w:spacing w:before="0" w:after="0" w:line="360" w:lineRule="auto"/>
                        <w:rPr>
                          <w:rFonts w:ascii="黑体" w:hAnsi="黑体" w:eastAsia="黑体" w:cs="黑体"/>
                          <w:sz w:val="28"/>
                          <w:szCs w:val="24"/>
                        </w:rPr>
                      </w:pPr>
                      <w:r>
                        <w:rPr>
                          <w:rFonts w:hint="eastAsia" w:ascii="黑体" w:hAnsi="黑体" w:eastAsia="黑体" w:cs="黑体"/>
                          <w:sz w:val="28"/>
                          <w:szCs w:val="24"/>
                        </w:rPr>
                        <w:t xml:space="preserve"> (</w:t>
                      </w:r>
                      <w:r>
                        <w:rPr>
                          <w:rFonts w:ascii="黑体" w:hAnsi="黑体" w:eastAsia="黑体" w:cs="黑体"/>
                          <w:sz w:val="28"/>
                          <w:szCs w:val="24"/>
                        </w:rPr>
                        <w:t xml:space="preserve">ISO </w:t>
                      </w:r>
                      <w:r>
                        <w:rPr>
                          <w:rFonts w:hint="eastAsia" w:ascii="黑体" w:hAnsi="黑体" w:eastAsia="黑体" w:cs="黑体"/>
                          <w:sz w:val="28"/>
                          <w:szCs w:val="24"/>
                        </w:rPr>
                        <w:t>9388</w:t>
                      </w:r>
                      <w:r>
                        <w:rPr>
                          <w:rFonts w:ascii="黑体" w:hAnsi="黑体" w:eastAsia="黑体" w:cs="黑体"/>
                          <w:sz w:val="28"/>
                          <w:szCs w:val="24"/>
                        </w:rPr>
                        <w:t>:</w:t>
                      </w:r>
                      <w:r>
                        <w:rPr>
                          <w:rFonts w:hint="eastAsia" w:ascii="黑体" w:hAnsi="黑体" w:eastAsia="黑体" w:cs="黑体"/>
                          <w:sz w:val="28"/>
                          <w:szCs w:val="24"/>
                        </w:rPr>
                        <w:t>1992</w:t>
                      </w:r>
                      <w:r>
                        <w:rPr>
                          <w:rFonts w:ascii="黑体" w:hAnsi="黑体" w:eastAsia="黑体" w:cs="黑体"/>
                          <w:sz w:val="28"/>
                          <w:szCs w:val="24"/>
                        </w:rPr>
                        <w:t>, Nickel alloys - Determination of phosphorus content - Molybdenum blue molecular absorption spectrometric method,</w:t>
                      </w:r>
                      <w:r>
                        <w:rPr>
                          <w:rFonts w:hint="eastAsia" w:ascii="黑体" w:hAnsi="黑体" w:eastAsia="黑体" w:cs="黑体"/>
                          <w:sz w:val="28"/>
                          <w:szCs w:val="24"/>
                        </w:rPr>
                        <w:t>MOD</w:t>
                      </w:r>
                      <w:r>
                        <w:rPr>
                          <w:rFonts w:ascii="黑体" w:hAnsi="黑体" w:eastAsia="黑体" w:cs="黑体"/>
                          <w:sz w:val="28"/>
                          <w:szCs w:val="24"/>
                        </w:rPr>
                        <w:t>)</w:t>
                      </w:r>
                    </w:p>
                    <w:p>
                      <w:pPr>
                        <w:pStyle w:val="29"/>
                        <w:spacing w:before="0" w:line="240" w:lineRule="auto"/>
                        <w:rPr>
                          <w:rFonts w:ascii="宋体"/>
                          <w:kern w:val="2"/>
                        </w:rPr>
                      </w:pPr>
                      <w:r>
                        <w:rPr>
                          <w:rFonts w:hint="eastAsia" w:ascii="宋体" w:hAnsi="宋体"/>
                          <w:kern w:val="2"/>
                        </w:rPr>
                        <w:t>（送审稿）</w:t>
                      </w:r>
                    </w:p>
                    <w:p>
                      <w:pPr>
                        <w:pStyle w:val="36"/>
                      </w:pP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333375</wp:posOffset>
                </wp:positionH>
                <wp:positionV relativeFrom="margin">
                  <wp:posOffset>1485900</wp:posOffset>
                </wp:positionV>
                <wp:extent cx="5800725" cy="77787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800725" cy="777875"/>
                        </a:xfrm>
                        <a:prstGeom prst="rect">
                          <a:avLst/>
                        </a:prstGeom>
                        <a:solidFill>
                          <a:srgbClr val="FFFFFF"/>
                        </a:solidFill>
                        <a:ln>
                          <a:noFill/>
                        </a:ln>
                      </wps:spPr>
                      <wps:txbx>
                        <w:txbxContent>
                          <w:p>
                            <w:pPr>
                              <w:pStyle w:val="35"/>
                              <w:spacing w:before="0"/>
                              <w:rPr>
                                <w:rFonts w:ascii="黑体" w:hAnsi="黑体" w:eastAsia="黑体"/>
                              </w:rPr>
                            </w:pPr>
                            <w:r>
                              <w:rPr>
                                <w:rFonts w:ascii="黑体" w:hAnsi="黑体" w:eastAsia="黑体"/>
                              </w:rPr>
                              <w:t xml:space="preserve">GB/T </w:t>
                            </w:r>
                            <w:r>
                              <w:rPr>
                                <w:rFonts w:hint="eastAsia" w:ascii="黑体" w:hAnsi="黑体" w:eastAsia="黑体"/>
                              </w:rPr>
                              <w:t>XXXX</w:t>
                            </w:r>
                            <w:r>
                              <w:rPr>
                                <w:rFonts w:ascii="黑体" w:hAnsi="黑体" w:eastAsia="黑体"/>
                              </w:rPr>
                              <w:t>.</w:t>
                            </w:r>
                            <w:r>
                              <w:rPr>
                                <w:rFonts w:hint="eastAsia" w:ascii="黑体" w:hAnsi="黑体" w:eastAsia="黑体"/>
                              </w:rPr>
                              <w:t>2</w:t>
                            </w:r>
                            <w:r>
                              <w:rPr>
                                <w:rFonts w:ascii="黑体" w:hAnsi="黑体" w:eastAsia="黑体"/>
                              </w:rPr>
                              <w:t>—20</w:t>
                            </w:r>
                            <w:r>
                              <w:rPr>
                                <w:rFonts w:hint="eastAsia" w:ascii="黑体" w:hAnsi="黑体" w:eastAsia="黑体"/>
                              </w:rPr>
                              <w:t>2×</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6.25pt;margin-top:117pt;height:61.25pt;width:456.75pt;mso-position-horizontal-relative:margin;mso-position-vertical-relative:margin;z-index:251661312;mso-width-relative:page;mso-height-relative:page;" fillcolor="#FFFFFF" filled="t" stroked="f" coordsize="21600,21600" o:gfxdata="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4Ny&#10;wNkAAAAKAQAADwAAAAAAAAABACAAAAAiAAAAZHJzL2Rvd25yZXYueG1sUEsBAhQAFAAAAAgAh07i&#10;QN8ugcwhAgAALgQAAA4AAAAAAAAAAQAgAAAAKAEAAGRycy9lMm9Eb2MueG1sUEsFBgAAAAAGAAYA&#10;WQEAALsFAAAAAA==&#10;">
                <v:fill on="t" focussize="0,0"/>
                <v:stroke on="f"/>
                <v:imagedata o:title=""/>
                <o:lock v:ext="edit" aspectratio="f"/>
                <v:textbox inset="0mm,0mm,0mm,0mm">
                  <w:txbxContent>
                    <w:p>
                      <w:pPr>
                        <w:pStyle w:val="35"/>
                        <w:spacing w:before="0"/>
                        <w:rPr>
                          <w:rFonts w:ascii="黑体" w:hAnsi="黑体" w:eastAsia="黑体"/>
                        </w:rPr>
                      </w:pPr>
                      <w:r>
                        <w:rPr>
                          <w:rFonts w:ascii="黑体" w:hAnsi="黑体" w:eastAsia="黑体"/>
                        </w:rPr>
                        <w:t xml:space="preserve">GB/T </w:t>
                      </w:r>
                      <w:r>
                        <w:rPr>
                          <w:rFonts w:hint="eastAsia" w:ascii="黑体" w:hAnsi="黑体" w:eastAsia="黑体"/>
                        </w:rPr>
                        <w:t>XXXX</w:t>
                      </w:r>
                      <w:r>
                        <w:rPr>
                          <w:rFonts w:ascii="黑体" w:hAnsi="黑体" w:eastAsia="黑体"/>
                        </w:rPr>
                        <w:t>.</w:t>
                      </w:r>
                      <w:r>
                        <w:rPr>
                          <w:rFonts w:hint="eastAsia" w:ascii="黑体" w:hAnsi="黑体" w:eastAsia="黑体"/>
                        </w:rPr>
                        <w:t>2</w:t>
                      </w:r>
                      <w:r>
                        <w:rPr>
                          <w:rFonts w:ascii="黑体" w:hAnsi="黑体" w:eastAsia="黑体"/>
                        </w:rPr>
                        <w:t>—20</w:t>
                      </w:r>
                      <w:r>
                        <w:rPr>
                          <w:rFonts w:hint="eastAsia" w:ascii="黑体" w:hAnsi="黑体" w:eastAsia="黑体"/>
                        </w:rPr>
                        <w:t>2×</w:t>
                      </w:r>
                    </w:p>
                  </w:txbxContent>
                </v:textbox>
                <w10:anchorlock/>
              </v:shape>
            </w:pict>
          </mc:Fallback>
        </mc:AlternateContent>
      </w:r>
      <w:r>
        <w:drawing>
          <wp:anchor distT="0" distB="0" distL="114300" distR="114300" simplePos="0" relativeHeight="251664384" behindDoc="0" locked="1" layoutInCell="1" allowOverlap="1">
            <wp:simplePos x="0" y="0"/>
            <wp:positionH relativeFrom="margin">
              <wp:posOffset>4284345</wp:posOffset>
            </wp:positionH>
            <wp:positionV relativeFrom="margin">
              <wp:posOffset>107315</wp:posOffset>
            </wp:positionV>
            <wp:extent cx="1403350" cy="720090"/>
            <wp:effectExtent l="0" t="0" r="6350" b="3810"/>
            <wp:wrapNone/>
            <wp:docPr id="8"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BPicture" desc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pic:spPr>
                </pic:pic>
              </a:graphicData>
            </a:graphic>
          </wp:anchor>
        </w:drawing>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51879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6120130" cy="518795"/>
                        </a:xfrm>
                        <a:prstGeom prst="rect">
                          <a:avLst/>
                        </a:prstGeom>
                        <a:solidFill>
                          <a:srgbClr val="FFFFFF"/>
                        </a:solidFill>
                        <a:ln>
                          <a:noFill/>
                        </a:ln>
                      </wps:spPr>
                      <wps:txbx>
                        <w:txbxContent>
                          <w:p>
                            <w:pPr>
                              <w:pStyle w:val="34"/>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79.6pt;height:40.85pt;width:481.9pt;mso-position-horizontal-relative:margin;mso-position-vertical-relative:margin;z-index:251660288;mso-width-relative:page;mso-height-relative:page;" fillcolor="#FFFFFF" filled="t" stroked="f" coordsize="21600,21600" o:gfxdata="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2IuYJNcA&#10;AAAIAQAADwAAAAAAAAABACAAAAAiAAAAZHJzL2Rvd25yZXYueG1sUEsBAhQAFAAAAAgAh07iQDrt&#10;HRAgAgAALgQAAA4AAAAAAAAAAQAgAAAAJgEAAGRycy9lMm9Eb2MueG1sUEsFBgAAAAAGAAYAWQEA&#10;ALgFAAAAAA==&#10;">
                <v:fill on="t" focussize="0,0"/>
                <v:stroke on="f"/>
                <v:imagedata o:title=""/>
                <o:lock v:ext="edit" aspectratio="f"/>
                <v:textbox inset="0mm,0mm,0mm,0mm">
                  <w:txbxContent>
                    <w:p>
                      <w:pPr>
                        <w:pStyle w:val="34"/>
                      </w:pPr>
                      <w:r>
                        <w:rPr>
                          <w:rFonts w:hint="eastAsia"/>
                        </w:rPr>
                        <w:t>中华人民共和国国家标准</w:t>
                      </w: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pPr>
                              <w:rPr>
                                <w:rFonts w:ascii="黑体" w:eastAsia="黑体"/>
                              </w:rPr>
                            </w:pPr>
                            <w:r>
                              <w:rPr>
                                <w:rFonts w:ascii="黑体" w:eastAsia="黑体"/>
                              </w:rPr>
                              <w:t>ICS 77.120.</w:t>
                            </w:r>
                            <w:r>
                              <w:rPr>
                                <w:rFonts w:hint="eastAsia" w:ascii="黑体" w:eastAsia="黑体"/>
                                <w:lang w:val="en-US" w:eastAsia="zh-CN"/>
                              </w:rPr>
                              <w:t>40</w:t>
                            </w:r>
                          </w:p>
                          <w:p>
                            <w:pPr>
                              <w:pStyle w:val="23"/>
                            </w:pPr>
                            <w:r>
                              <w:rPr>
                                <w:rFonts w:ascii="黑体"/>
                              </w:rPr>
                              <w:t>CCS H 1</w:t>
                            </w:r>
                            <w:r>
                              <w:rPr>
                                <w:rFonts w:hint="eastAsia" w:ascii="黑体"/>
                              </w:rPr>
                              <w:t>3</w:t>
                            </w:r>
                          </w:p>
                          <w:p>
                            <w:pPr>
                              <w:pStyle w:val="23"/>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F7Mvg0wAAAAUB&#10;AAAPAAAAAAAAAAEAIAAAACIAAABkcnMvZG93bnJldi54bWxQSwECFAAUAAAACACHTuJA0xcQUiAC&#10;AAAuBAAADgAAAAAAAAABACAAAAAiAQAAZHJzL2Uyb0RvYy54bWxQSwUGAAAAAAYABgBZAQAAtAUA&#10;AAAA&#10;">
                <v:fill on="t" focussize="0,0"/>
                <v:stroke on="f"/>
                <v:imagedata o:title=""/>
                <o:lock v:ext="edit" aspectratio="f"/>
                <v:textbox inset="0mm,0mm,0mm,0mm">
                  <w:txbxContent>
                    <w:p>
                      <w:pPr>
                        <w:rPr>
                          <w:rFonts w:ascii="黑体" w:eastAsia="黑体"/>
                        </w:rPr>
                      </w:pPr>
                      <w:r>
                        <w:rPr>
                          <w:rFonts w:ascii="黑体" w:eastAsia="黑体"/>
                        </w:rPr>
                        <w:t>ICS 77.120.</w:t>
                      </w:r>
                      <w:r>
                        <w:rPr>
                          <w:rFonts w:hint="eastAsia" w:ascii="黑体" w:eastAsia="黑体"/>
                          <w:lang w:val="en-US" w:eastAsia="zh-CN"/>
                        </w:rPr>
                        <w:t>40</w:t>
                      </w:r>
                    </w:p>
                    <w:p>
                      <w:pPr>
                        <w:pStyle w:val="23"/>
                      </w:pPr>
                      <w:r>
                        <w:rPr>
                          <w:rFonts w:ascii="黑体"/>
                        </w:rPr>
                        <w:t>CCS H 1</w:t>
                      </w:r>
                      <w:r>
                        <w:rPr>
                          <w:rFonts w:hint="eastAsia" w:ascii="黑体"/>
                        </w:rPr>
                        <w:t>3</w:t>
                      </w:r>
                    </w:p>
                    <w:p>
                      <w:pPr>
                        <w:pStyle w:val="23"/>
                      </w:pPr>
                    </w:p>
                  </w:txbxContent>
                </v:textbox>
                <w10:anchorlock/>
              </v:shape>
            </w:pict>
          </mc:Fallback>
        </mc:AlternateContent>
      </w:r>
    </w:p>
    <w:p>
      <w:pPr>
        <w:rPr>
          <w:color w:val="000000"/>
          <w:sz w:val="15"/>
          <w:szCs w:val="15"/>
        </w:rPr>
      </w:pPr>
      <w:r>
        <w:rPr>
          <w:color w:val="000000"/>
          <w:sz w:val="15"/>
          <w:szCs w:val="15"/>
        </w:rPr>
        <w:t>CCSCC</w:t>
      </w:r>
      <w:r>
        <w:rPr>
          <w:rFonts w:hint="eastAsia"/>
          <w:color w:val="000000"/>
          <w:sz w:val="15"/>
          <w:szCs w:val="15"/>
        </w:rPr>
        <w:t>霜</w:t>
      </w:r>
      <w:r>
        <w:rPr>
          <w:color w:val="000000"/>
          <w:sz w:val="15"/>
          <w:szCs w:val="15"/>
        </w:rPr>
        <w:t>ccccs</w:t>
      </w:r>
    </w:p>
    <w:p>
      <w:pPr>
        <w:rPr>
          <w:color w:val="000000"/>
          <w:sz w:val="15"/>
          <w:szCs w:val="15"/>
        </w:rPr>
      </w:pPr>
    </w:p>
    <w:p>
      <w:pPr>
        <w:rPr>
          <w:color w:val="000000"/>
          <w:sz w:val="15"/>
          <w:szCs w:val="15"/>
        </w:rPr>
      </w:pPr>
    </w:p>
    <w:p>
      <w:pPr>
        <w:rPr>
          <w:color w:val="000000"/>
          <w:sz w:val="15"/>
          <w:szCs w:val="15"/>
        </w:rPr>
      </w:pPr>
    </w:p>
    <w:p>
      <w:pPr>
        <w:rPr>
          <w:color w:val="000000"/>
          <w:sz w:val="15"/>
          <w:szCs w:val="15"/>
        </w:rPr>
      </w:pPr>
    </w:p>
    <w:p>
      <w:pPr>
        <w:rPr>
          <w:color w:val="000000"/>
          <w:sz w:val="15"/>
          <w:szCs w:val="15"/>
        </w:rPr>
      </w:pPr>
    </w:p>
    <w:p>
      <w:pPr>
        <w:rPr>
          <w:color w:val="000000"/>
          <w:sz w:val="15"/>
          <w:szCs w:val="15"/>
        </w:rPr>
      </w:pPr>
      <w:r>
        <mc:AlternateContent>
          <mc:Choice Requires="wpg">
            <w:drawing>
              <wp:anchor distT="0" distB="0" distL="114300" distR="114300" simplePos="0" relativeHeight="251668480" behindDoc="0" locked="0" layoutInCell="1" allowOverlap="1">
                <wp:simplePos x="0" y="0"/>
                <wp:positionH relativeFrom="column">
                  <wp:posOffset>812800</wp:posOffset>
                </wp:positionH>
                <wp:positionV relativeFrom="paragraph">
                  <wp:posOffset>7663815</wp:posOffset>
                </wp:positionV>
                <wp:extent cx="4432300" cy="484505"/>
                <wp:effectExtent l="0" t="0" r="6350" b="0"/>
                <wp:wrapNone/>
                <wp:docPr id="1" name="组合 1"/>
                <wp:cNvGraphicFramePr/>
                <a:graphic xmlns:a="http://schemas.openxmlformats.org/drawingml/2006/main">
                  <a:graphicData uri="http://schemas.microsoft.com/office/word/2010/wordprocessingGroup">
                    <wpg:wgp>
                      <wpg:cNvGrpSpPr/>
                      <wpg:grpSpPr>
                        <a:xfrm>
                          <a:off x="0" y="0"/>
                          <a:ext cx="4432300" cy="484505"/>
                          <a:chOff x="2698" y="14820"/>
                          <a:chExt cx="6980" cy="763"/>
                        </a:xfrm>
                      </wpg:grpSpPr>
                      <wps:wsp>
                        <wps:cNvPr id="3" name="fmFrame7"/>
                        <wps:cNvSpPr txBox="1">
                          <a:spLocks noChangeArrowheads="1"/>
                        </wps:cNvSpPr>
                        <wps:spPr bwMode="auto">
                          <a:xfrm>
                            <a:off x="2698" y="14820"/>
                            <a:ext cx="5582" cy="763"/>
                          </a:xfrm>
                          <a:prstGeom prst="rect">
                            <a:avLst/>
                          </a:prstGeom>
                          <a:solidFill>
                            <a:srgbClr val="FFFFFF"/>
                          </a:solidFill>
                          <a:ln>
                            <a:noFill/>
                          </a:ln>
                        </wps:spPr>
                        <wps:txbx>
                          <w:txbxContent>
                            <w:p>
                              <w:pPr>
                                <w:pStyle w:val="24"/>
                                <w:spacing w:line="360" w:lineRule="exact"/>
                                <w:jc w:val="distribute"/>
                                <w:rPr>
                                  <w:rFonts w:hAnsi="新宋体"/>
                                  <w:spacing w:val="-20"/>
                                  <w:sz w:val="32"/>
                                  <w:szCs w:val="32"/>
                                </w:rPr>
                              </w:pPr>
                              <w:r>
                                <w:rPr>
                                  <w:rFonts w:hint="eastAsia" w:hAnsi="新宋体"/>
                                  <w:spacing w:val="-20"/>
                                  <w:sz w:val="32"/>
                                  <w:szCs w:val="32"/>
                                </w:rPr>
                                <w:t>国家市场监督管理总局</w:t>
                              </w:r>
                            </w:p>
                            <w:p>
                              <w:pPr>
                                <w:pStyle w:val="24"/>
                                <w:spacing w:line="360" w:lineRule="exact"/>
                                <w:jc w:val="distribute"/>
                                <w:rPr>
                                  <w:spacing w:val="0"/>
                                  <w:sz w:val="28"/>
                                </w:rPr>
                              </w:pPr>
                              <w:r>
                                <w:rPr>
                                  <w:rFonts w:hint="eastAsia" w:hAnsi="新宋体"/>
                                  <w:spacing w:val="0"/>
                                  <w:sz w:val="32"/>
                                  <w:szCs w:val="32"/>
                                </w:rPr>
                                <w:t>国家标准化管理委员会</w:t>
                              </w:r>
                            </w:p>
                            <w:p/>
                          </w:txbxContent>
                        </wps:txbx>
                        <wps:bodyPr rot="0" vert="horz" wrap="square" lIns="0" tIns="0" rIns="0" bIns="0" anchor="t" anchorCtr="0" upright="1">
                          <a:noAutofit/>
                        </wps:bodyPr>
                      </wps:wsp>
                      <wps:wsp>
                        <wps:cNvPr id="4" name="Text Box 2"/>
                        <wps:cNvSpPr txBox="1">
                          <a:spLocks noChangeArrowheads="1"/>
                        </wps:cNvSpPr>
                        <wps:spPr bwMode="auto">
                          <a:xfrm>
                            <a:off x="8468" y="14820"/>
                            <a:ext cx="1210" cy="633"/>
                          </a:xfrm>
                          <a:prstGeom prst="rect">
                            <a:avLst/>
                          </a:prstGeom>
                          <a:solidFill>
                            <a:srgbClr val="FFFFFF"/>
                          </a:solidFill>
                          <a:ln w="9525">
                            <a:solidFill>
                              <a:srgbClr val="FFFFFF"/>
                            </a:solidFill>
                            <a:miter lim="800000"/>
                          </a:ln>
                        </wps:spPr>
                        <wps:txbx>
                          <w:txbxContent>
                            <w:p>
                              <w:pPr>
                                <w:jc w:val="center"/>
                              </w:pPr>
                              <w:r>
                                <w:rPr>
                                  <w:rStyle w:val="20"/>
                                  <w:rFonts w:hint="eastAsia"/>
                                </w:rPr>
                                <w:t>发布</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64pt;margin-top:603.45pt;height:38.15pt;width:349pt;z-index:251668480;mso-width-relative:page;mso-height-relative:page;" coordorigin="2698,14820" coordsize="6980,763" o:gfxdata="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F2DNStkAAAANAQAADwAAAAAAAAABACAAAAAiAAAAZHJzL2Rvd25y&#10;ZXYueG1sUEsBAhQAFAAAAAgAh07iQA92LDvhAgAABQgAAA4AAAAAAAAAAQAgAAAAKAEAAGRycy9l&#10;Mm9Eb2MueG1sUEsFBgAAAAAGAAYAWQEAAHsGAAAAAA==&#10;">
                <o:lock v:ext="edit" aspectratio="f"/>
                <v:shape id="fmFrame7" o:spid="_x0000_s1026" o:spt="202" type="#_x0000_t202" style="position:absolute;left:2698;top:14820;height:763;width:5582;" fillcolor="#FFFFFF" filled="t" stroked="f" coordsize="21600,21600" o:gfxdata="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UEaGvQAA&#10;ANo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pStyle w:val="24"/>
                          <w:spacing w:line="360" w:lineRule="exact"/>
                          <w:jc w:val="distribute"/>
                          <w:rPr>
                            <w:rFonts w:hAnsi="新宋体"/>
                            <w:spacing w:val="-20"/>
                            <w:sz w:val="32"/>
                            <w:szCs w:val="32"/>
                          </w:rPr>
                        </w:pPr>
                        <w:r>
                          <w:rPr>
                            <w:rFonts w:hint="eastAsia" w:hAnsi="新宋体"/>
                            <w:spacing w:val="-20"/>
                            <w:sz w:val="32"/>
                            <w:szCs w:val="32"/>
                          </w:rPr>
                          <w:t>国家市场监督管理总局</w:t>
                        </w:r>
                      </w:p>
                      <w:p>
                        <w:pPr>
                          <w:pStyle w:val="24"/>
                          <w:spacing w:line="360" w:lineRule="exact"/>
                          <w:jc w:val="distribute"/>
                          <w:rPr>
                            <w:spacing w:val="0"/>
                            <w:sz w:val="28"/>
                          </w:rPr>
                        </w:pPr>
                        <w:r>
                          <w:rPr>
                            <w:rFonts w:hint="eastAsia" w:hAnsi="新宋体"/>
                            <w:spacing w:val="0"/>
                            <w:sz w:val="32"/>
                            <w:szCs w:val="32"/>
                          </w:rPr>
                          <w:t>国家标准化管理委员会</w:t>
                        </w:r>
                      </w:p>
                      <w:p/>
                    </w:txbxContent>
                  </v:textbox>
                </v:shape>
                <v:shape id="Text Box 2" o:spid="_x0000_s1026" o:spt="202" type="#_x0000_t202" style="position:absolute;left:8468;top:14820;height:633;width:1210;" fillcolor="#FFFFFF" filled="t" stroked="t" coordsize="21600,21600" o:gfxdata="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UDsj28AAAA&#10;2gAAAA8AAAAAAAAAAQAgAAAAIgAAAGRycy9kb3ducmV2LnhtbFBLAQIUABQAAAAIAIdO4kAzLwWe&#10;OwAAADkAAAAQAAAAAAAAAAEAIAAAAAsBAABkcnMvc2hhcGV4bWwueG1sUEsFBgAAAAAGAAYAWwEA&#10;ALUDAAAAAA==&#10;">
                  <v:fill on="t" focussize="0,0"/>
                  <v:stroke color="#FFFFFF" miterlimit="8" joinstyle="miter"/>
                  <v:imagedata o:title=""/>
                  <o:lock v:ext="edit" aspectratio="f"/>
                  <v:textbox>
                    <w:txbxContent>
                      <w:p>
                        <w:pPr>
                          <w:jc w:val="center"/>
                        </w:pPr>
                        <w:r>
                          <w:rPr>
                            <w:rStyle w:val="20"/>
                            <w:rFonts w:hint="eastAsia"/>
                          </w:rPr>
                          <w:t>发布</w:t>
                        </w:r>
                      </w:p>
                    </w:txbxContent>
                  </v:textbox>
                </v:shape>
              </v:group>
            </w:pict>
          </mc:Fallback>
        </mc:AlternateContent>
      </w:r>
    </w:p>
    <w:p>
      <w:pPr>
        <w:ind w:right="105"/>
        <w:jc w:val="right"/>
        <w:rPr>
          <w:color w:val="000000"/>
          <w:sz w:val="15"/>
          <w:szCs w:val="15"/>
        </w:rPr>
        <w:sectPr>
          <w:headerReference r:id="rId3" w:type="default"/>
          <w:footerReference r:id="rId5" w:type="default"/>
          <w:headerReference r:id="rId4" w:type="even"/>
          <w:footerReference r:id="rId6" w:type="even"/>
          <w:pgSz w:w="11907" w:h="16839"/>
          <w:pgMar w:top="567" w:right="851" w:bottom="1361" w:left="1418" w:header="0" w:footer="0" w:gutter="0"/>
          <w:pgNumType w:start="1"/>
          <w:cols w:space="720" w:num="1"/>
          <w:titlePg/>
          <w:docGrid w:type="lines" w:linePitch="312" w:charSpace="0"/>
        </w:sectPr>
      </w:pPr>
      <w:r>
        <w:rPr>
          <w:color w:val="000000"/>
          <w:sz w:val="15"/>
          <w:szCs w:val="15"/>
        </w:rPr>
        <w:t>×</w:t>
      </w:r>
    </w:p>
    <w:bookmarkEnd w:id="0"/>
    <w:p>
      <w:pPr>
        <w:pStyle w:val="19"/>
        <w:rPr>
          <w:rFonts w:hAnsi="黑体"/>
          <w:color w:val="000000"/>
          <w:szCs w:val="32"/>
        </w:rPr>
      </w:pPr>
      <w:r>
        <w:rPr>
          <w:rFonts w:hint="eastAsia" w:hAnsi="黑体"/>
          <w:color w:val="000000"/>
          <w:szCs w:val="32"/>
        </w:rPr>
        <w:t>前言</w:t>
      </w:r>
    </w:p>
    <w:p>
      <w:pPr>
        <w:ind w:firstLine="420" w:firstLineChars="200"/>
        <w:rPr>
          <w:rFonts w:ascii="宋体"/>
          <w:color w:val="000000"/>
          <w:szCs w:val="21"/>
        </w:rPr>
      </w:pPr>
      <w:r>
        <w:rPr>
          <w:rFonts w:hint="eastAsia" w:ascii="宋体" w:hAnsi="宋体"/>
          <w:color w:val="000000"/>
          <w:szCs w:val="21"/>
        </w:rPr>
        <w:t>本文件按照</w:t>
      </w:r>
      <w:r>
        <w:rPr>
          <w:rFonts w:ascii="宋体" w:hAnsi="宋体"/>
          <w:color w:val="000000"/>
          <w:szCs w:val="21"/>
        </w:rPr>
        <w:t>GB/T 1.1-2020</w:t>
      </w:r>
      <w:r>
        <w:rPr>
          <w:rFonts w:hint="eastAsia" w:ascii="宋体" w:hAnsi="宋体"/>
          <w:color w:val="000000"/>
          <w:szCs w:val="21"/>
        </w:rPr>
        <w:t>《标准化工作导则第</w:t>
      </w:r>
      <w:r>
        <w:rPr>
          <w:rFonts w:ascii="宋体" w:hAnsi="宋体"/>
          <w:color w:val="000000"/>
          <w:szCs w:val="21"/>
        </w:rPr>
        <w:t>1</w:t>
      </w:r>
      <w:r>
        <w:rPr>
          <w:rFonts w:hint="eastAsia" w:ascii="宋体" w:hAnsi="宋体"/>
          <w:color w:val="000000"/>
          <w:szCs w:val="21"/>
        </w:rPr>
        <w:t>部分：标准化文件的结构和起草规则》的规定起草。</w:t>
      </w:r>
    </w:p>
    <w:p>
      <w:pPr>
        <w:ind w:firstLine="435"/>
        <w:rPr>
          <w:rFonts w:ascii="宋体" w:hAnsi="宋体"/>
          <w:szCs w:val="21"/>
        </w:rPr>
      </w:pPr>
      <w:r>
        <w:rPr>
          <w:rFonts w:hint="eastAsia" w:ascii="宋体" w:hAnsi="宋体"/>
          <w:szCs w:val="21"/>
        </w:rPr>
        <w:t>本文件是G</w:t>
      </w:r>
      <w:r>
        <w:rPr>
          <w:rFonts w:ascii="宋体" w:hAnsi="宋体"/>
          <w:szCs w:val="21"/>
        </w:rPr>
        <w:t>B/T XXXX</w:t>
      </w:r>
      <w:r>
        <w:rPr>
          <w:rFonts w:hint="eastAsia" w:ascii="宋体" w:hAnsi="宋体"/>
          <w:szCs w:val="21"/>
        </w:rPr>
        <w:t>《镍合金化学分析方法》的第2部分。GB/TXXXX已经发布了以下部分；</w:t>
      </w:r>
    </w:p>
    <w:p>
      <w:pPr>
        <w:ind w:firstLine="420" w:firstLineChars="200"/>
        <w:rPr>
          <w:rFonts w:hint="eastAsia" w:ascii="宋体" w:hAnsi="宋体" w:cs="宋体"/>
          <w:color w:val="000000"/>
        </w:rPr>
      </w:pPr>
      <w:r>
        <w:rPr>
          <w:color w:val="000000"/>
        </w:rPr>
        <w:t>——</w:t>
      </w:r>
      <w:r>
        <w:rPr>
          <w:rFonts w:hint="eastAsia" w:ascii="宋体" w:hAnsi="宋体" w:cs="宋体"/>
          <w:color w:val="000000"/>
        </w:rPr>
        <w:t>第1部分：铬含量的测定 硫酸亚铁铵电位滴定法；</w:t>
      </w:r>
    </w:p>
    <w:p>
      <w:pPr>
        <w:ind w:firstLine="420" w:firstLineChars="200"/>
        <w:rPr>
          <w:rFonts w:hint="eastAsia" w:ascii="宋体" w:hAnsi="宋体" w:cs="宋体"/>
          <w:color w:val="000000"/>
          <w:szCs w:val="21"/>
        </w:rPr>
      </w:pPr>
      <w:r>
        <w:rPr>
          <w:color w:val="000000"/>
        </w:rPr>
        <w:t>——</w:t>
      </w:r>
      <w:r>
        <w:rPr>
          <w:rFonts w:hint="eastAsia" w:ascii="宋体" w:hAnsi="宋体" w:cs="宋体"/>
          <w:color w:val="000000"/>
        </w:rPr>
        <w:t>第2部分：磷含量的测定 钼蓝分光光度法；</w:t>
      </w:r>
    </w:p>
    <w:p>
      <w:pPr>
        <w:ind w:firstLine="420" w:firstLineChars="200"/>
        <w:rPr>
          <w:rFonts w:hint="eastAsia" w:ascii="宋体" w:hAnsi="宋体" w:cs="宋体"/>
          <w:color w:val="000000"/>
          <w:szCs w:val="21"/>
        </w:rPr>
      </w:pPr>
      <w:r>
        <w:rPr>
          <w:color w:val="000000"/>
        </w:rPr>
        <w:t>——</w:t>
      </w:r>
      <w:r>
        <w:rPr>
          <w:rFonts w:hint="eastAsia" w:ascii="宋体" w:hAnsi="宋体" w:cs="宋体"/>
          <w:color w:val="000000"/>
        </w:rPr>
        <w:t>第3部分：硅含量测定</w:t>
      </w:r>
      <w:r>
        <w:rPr>
          <w:rFonts w:ascii="宋体" w:hAnsi="宋体" w:cs="宋体"/>
          <w:color w:val="000000"/>
        </w:rPr>
        <w:t xml:space="preserve"> </w:t>
      </w:r>
      <w:r>
        <w:rPr>
          <w:rFonts w:hint="eastAsia" w:ascii="宋体" w:hAnsi="宋体" w:cs="宋体"/>
          <w:color w:val="000000"/>
        </w:rPr>
        <w:t>氧化亚氮-火焰原子吸收光谱法和钼蓝分光光度法；</w:t>
      </w:r>
    </w:p>
    <w:p>
      <w:pPr>
        <w:ind w:firstLine="420" w:firstLineChars="200"/>
        <w:rPr>
          <w:rFonts w:hint="eastAsia" w:ascii="宋体" w:hAnsi="宋体" w:cs="宋体"/>
          <w:color w:val="000000"/>
          <w:szCs w:val="21"/>
        </w:rPr>
      </w:pPr>
      <w:r>
        <w:rPr>
          <w:rFonts w:hint="eastAsia" w:ascii="宋体" w:hAnsi="宋体" w:cs="宋体"/>
          <w:color w:val="000000"/>
        </w:rPr>
        <w:t>——第4部分：钒含量测定 氧化亚氮-火焰原子吸收光谱法和电感耦合等离子体原子发射光谱法；</w:t>
      </w:r>
    </w:p>
    <w:p>
      <w:pPr>
        <w:ind w:firstLine="420" w:firstLineChars="200"/>
        <w:rPr>
          <w:rFonts w:hint="eastAsia" w:ascii="宋体" w:hAnsi="宋体" w:cs="宋体"/>
          <w:color w:val="000000"/>
          <w:szCs w:val="21"/>
          <w:lang w:val="en-GB"/>
        </w:rPr>
      </w:pPr>
      <w:r>
        <w:rPr>
          <w:color w:val="000000"/>
        </w:rPr>
        <w:t>——</w:t>
      </w:r>
      <w:r>
        <w:rPr>
          <w:rFonts w:hint="eastAsia" w:ascii="宋体" w:hAnsi="宋体" w:cs="宋体"/>
          <w:color w:val="000000"/>
        </w:rPr>
        <w:t>第5部分：</w:t>
      </w:r>
      <w:r>
        <w:rPr>
          <w:rFonts w:hint="eastAsia"/>
        </w:rPr>
        <w:t>铝含量的测定 氧化亚氮-火焰原子吸收光谱分析法和电感耦合等离子体原子发射光谱法。</w:t>
      </w:r>
    </w:p>
    <w:p>
      <w:pPr>
        <w:ind w:firstLine="420" w:firstLineChars="200"/>
        <w:rPr>
          <w:rFonts w:ascii="宋体"/>
          <w:kern w:val="0"/>
          <w:szCs w:val="21"/>
        </w:rPr>
      </w:pPr>
      <w:r>
        <w:rPr>
          <w:rFonts w:hint="eastAsia" w:ascii="宋体" w:hAnsi="宋体"/>
          <w:color w:val="000000"/>
          <w:szCs w:val="21"/>
        </w:rPr>
        <w:t>本文件修改采</w:t>
      </w:r>
      <w:r>
        <w:rPr>
          <w:rFonts w:hint="eastAsia" w:ascii="宋体"/>
          <w:kern w:val="0"/>
          <w:szCs w:val="21"/>
        </w:rPr>
        <w:t>用</w:t>
      </w:r>
      <w:r>
        <w:rPr>
          <w:rFonts w:ascii="宋体"/>
          <w:kern w:val="0"/>
          <w:szCs w:val="21"/>
        </w:rPr>
        <w:t>ISO 9388:1992</w:t>
      </w:r>
      <w:r>
        <w:rPr>
          <w:rFonts w:hint="eastAsia" w:ascii="宋体"/>
          <w:kern w:val="0"/>
          <w:szCs w:val="21"/>
        </w:rPr>
        <w:t>《镍合金</w:t>
      </w:r>
      <w:r>
        <w:rPr>
          <w:rFonts w:hint="eastAsia" w:ascii="宋体"/>
          <w:kern w:val="0"/>
          <w:szCs w:val="21"/>
          <w:lang w:val="en-US" w:eastAsia="zh-CN"/>
        </w:rPr>
        <w:t xml:space="preserve"> </w:t>
      </w:r>
      <w:r>
        <w:rPr>
          <w:rFonts w:hint="eastAsia" w:ascii="宋体"/>
          <w:kern w:val="0"/>
          <w:szCs w:val="21"/>
        </w:rPr>
        <w:t>磷含量的测定</w:t>
      </w:r>
      <w:r>
        <w:rPr>
          <w:rFonts w:hint="eastAsia" w:ascii="宋体"/>
          <w:kern w:val="0"/>
          <w:szCs w:val="21"/>
          <w:lang w:val="en-US" w:eastAsia="zh-CN"/>
        </w:rPr>
        <w:t xml:space="preserve"> </w:t>
      </w:r>
      <w:r>
        <w:rPr>
          <w:rFonts w:hint="eastAsia" w:ascii="宋体"/>
          <w:kern w:val="0"/>
          <w:szCs w:val="21"/>
        </w:rPr>
        <w:t>钼蓝分光光度法》。 本文件与I</w:t>
      </w:r>
      <w:r>
        <w:rPr>
          <w:rFonts w:ascii="宋体"/>
          <w:kern w:val="0"/>
          <w:szCs w:val="21"/>
        </w:rPr>
        <w:t xml:space="preserve">SO </w:t>
      </w:r>
      <w:r>
        <w:rPr>
          <w:rFonts w:hint="eastAsia" w:ascii="宋体"/>
          <w:kern w:val="0"/>
          <w:szCs w:val="21"/>
        </w:rPr>
        <w:t>9388</w:t>
      </w:r>
      <w:r>
        <w:rPr>
          <w:rFonts w:ascii="宋体"/>
          <w:kern w:val="0"/>
          <w:szCs w:val="21"/>
        </w:rPr>
        <w:t>:</w:t>
      </w:r>
      <w:r>
        <w:rPr>
          <w:rFonts w:hint="eastAsia" w:ascii="宋体"/>
          <w:kern w:val="0"/>
          <w:szCs w:val="21"/>
        </w:rPr>
        <w:t>1992 相比在结构上有较多调整，附录A中列出了本文件与ISO 9388:1992 的章条编号对照一览表。</w:t>
      </w:r>
    </w:p>
    <w:p>
      <w:pPr>
        <w:ind w:firstLine="420" w:firstLineChars="200"/>
        <w:rPr>
          <w:rFonts w:ascii="宋体"/>
          <w:kern w:val="0"/>
          <w:szCs w:val="21"/>
        </w:rPr>
      </w:pPr>
      <w:r>
        <w:rPr>
          <w:rFonts w:ascii="宋体"/>
          <w:kern w:val="0"/>
          <w:szCs w:val="21"/>
        </w:rPr>
        <w:t>本文件与ISO 9388:1992 相比存在技术性差异，</w:t>
      </w:r>
      <w:r>
        <w:rPr>
          <w:rFonts w:hint="eastAsia"/>
        </w:rPr>
        <w:t>在所涉及的条款的外侧页边空白位置用垂直单线（|）进行了标示。</w:t>
      </w:r>
      <w:r>
        <w:rPr>
          <w:rFonts w:ascii="宋体"/>
          <w:kern w:val="0"/>
          <w:szCs w:val="21"/>
        </w:rPr>
        <w:t xml:space="preserve">附录 B 给出了相应技术性差异及其原因。 </w:t>
      </w:r>
    </w:p>
    <w:p>
      <w:pPr>
        <w:pStyle w:val="26"/>
        <w:ind w:firstLine="420"/>
        <w:rPr>
          <w:sz w:val="21"/>
          <w:szCs w:val="21"/>
        </w:rPr>
      </w:pPr>
      <w:r>
        <w:rPr>
          <w:rFonts w:hint="eastAsia"/>
          <w:sz w:val="21"/>
          <w:szCs w:val="21"/>
        </w:rPr>
        <w:t>本文件做了下列编辑性改动：</w:t>
      </w:r>
    </w:p>
    <w:p>
      <w:pPr>
        <w:ind w:firstLine="420" w:firstLineChars="200"/>
        <w:rPr>
          <w:rFonts w:hint="eastAsia"/>
          <w:sz w:val="21"/>
          <w:szCs w:val="21"/>
        </w:rPr>
      </w:pPr>
      <w:r>
        <w:rPr>
          <w:sz w:val="21"/>
          <w:szCs w:val="20"/>
        </w:rPr>
        <w:t>——</w:t>
      </w:r>
      <w:r>
        <w:rPr>
          <w:rFonts w:hint="eastAsia"/>
          <w:sz w:val="21"/>
          <w:szCs w:val="20"/>
        </w:rPr>
        <w:t>为与现有标准协调，将标准名称改为《镍合金化学分析方法 第</w:t>
      </w:r>
      <w:r>
        <w:rPr>
          <w:rFonts w:hint="eastAsia"/>
          <w:sz w:val="21"/>
          <w:szCs w:val="20"/>
          <w:lang w:val="en-US" w:eastAsia="zh-CN"/>
        </w:rPr>
        <w:t>2</w:t>
      </w:r>
      <w:r>
        <w:rPr>
          <w:rFonts w:hint="eastAsia"/>
          <w:sz w:val="21"/>
          <w:szCs w:val="20"/>
        </w:rPr>
        <w:t>部分：</w:t>
      </w:r>
      <w:r>
        <w:rPr>
          <w:rFonts w:hint="eastAsia"/>
          <w:szCs w:val="20"/>
        </w:rPr>
        <w:t>磷含量的测定 钼蓝分光光度法</w:t>
      </w:r>
      <w:r>
        <w:rPr>
          <w:rFonts w:hint="eastAsia"/>
          <w:sz w:val="21"/>
          <w:szCs w:val="20"/>
        </w:rPr>
        <w:t>》</w:t>
      </w:r>
      <w:r>
        <w:rPr>
          <w:rFonts w:hint="eastAsia"/>
          <w:sz w:val="21"/>
          <w:szCs w:val="21"/>
        </w:rPr>
        <w:t>。</w:t>
      </w:r>
    </w:p>
    <w:p>
      <w:pPr>
        <w:ind w:firstLine="420" w:firstLineChars="200"/>
        <w:rPr>
          <w:rFonts w:ascii="宋体"/>
          <w:kern w:val="0"/>
          <w:szCs w:val="21"/>
        </w:rPr>
      </w:pPr>
      <w:r>
        <w:rPr>
          <w:sz w:val="21"/>
          <w:szCs w:val="20"/>
        </w:rPr>
        <w:t>——</w:t>
      </w:r>
    </w:p>
    <w:p>
      <w:pPr>
        <w:pStyle w:val="26"/>
        <w:ind w:firstLine="420"/>
        <w:rPr>
          <w:szCs w:val="21"/>
        </w:rPr>
      </w:pPr>
      <w:r>
        <w:rPr>
          <w:szCs w:val="21"/>
        </w:rPr>
        <w:t>请注意本文件的某些内容可能涉及专利，本文件的发布机构不承担识别专利的责任。</w:t>
      </w:r>
    </w:p>
    <w:p>
      <w:pPr>
        <w:ind w:firstLine="435"/>
        <w:rPr>
          <w:rFonts w:ascii="宋体"/>
          <w:kern w:val="0"/>
          <w:szCs w:val="21"/>
        </w:rPr>
      </w:pPr>
      <w:r>
        <w:rPr>
          <w:rFonts w:ascii="宋体"/>
          <w:kern w:val="0"/>
          <w:szCs w:val="21"/>
        </w:rPr>
        <w:t>本文件由中国有色金属工业协会提出。</w:t>
      </w:r>
    </w:p>
    <w:p>
      <w:pPr>
        <w:ind w:firstLine="435"/>
        <w:rPr>
          <w:rFonts w:ascii="宋体"/>
          <w:kern w:val="0"/>
          <w:szCs w:val="21"/>
        </w:rPr>
      </w:pPr>
      <w:r>
        <w:rPr>
          <w:rFonts w:ascii="宋体"/>
          <w:kern w:val="0"/>
          <w:szCs w:val="21"/>
        </w:rPr>
        <w:t>本文件由全国有色金属标准化技术委员会（SAC/TC 243）归口。</w:t>
      </w:r>
    </w:p>
    <w:p>
      <w:pPr>
        <w:ind w:firstLine="435"/>
        <w:rPr>
          <w:rFonts w:ascii="宋体"/>
          <w:kern w:val="0"/>
          <w:szCs w:val="21"/>
        </w:rPr>
      </w:pPr>
      <w:r>
        <w:rPr>
          <w:rFonts w:hint="eastAsia" w:ascii="宋体"/>
          <w:kern w:val="0"/>
          <w:szCs w:val="21"/>
        </w:rPr>
        <w:t>本文件起草单位：广东省科学院工业分析检测中心、</w:t>
      </w:r>
      <w:r>
        <w:rPr>
          <w:rFonts w:hint="eastAsia" w:hAnsi="宋体"/>
          <w:szCs w:val="21"/>
        </w:rPr>
        <w:t>深圳中金岭南有色金属股份有限公司、北矿检测技术有限公司、中国检验认证集团广西有限公司、福建紫金矿冶测试技术有限公司、金川集团股份有限公司、甘肃精普检测科技有限公司、国标（北京）检验认证有限公司、国合通用（青岛）测试评价有限有限公司、酒泉钢铁（集团）股份有限公司、呼伦贝尔驰宏矿业有限公司、中国有色桂林矿产地质研究院有限公司</w:t>
      </w:r>
      <w:r>
        <w:rPr>
          <w:rFonts w:hint="eastAsia" w:ascii="宋体"/>
          <w:kern w:val="0"/>
          <w:szCs w:val="21"/>
        </w:rPr>
        <w:t>。</w:t>
      </w:r>
    </w:p>
    <w:p>
      <w:pPr>
        <w:ind w:firstLine="435"/>
        <w:rPr>
          <w:rFonts w:hAnsi="宋体"/>
          <w:szCs w:val="21"/>
        </w:rPr>
      </w:pPr>
      <w:r>
        <w:rPr>
          <w:rFonts w:hint="eastAsia" w:ascii="宋体"/>
          <w:kern w:val="0"/>
          <w:szCs w:val="21"/>
        </w:rPr>
        <w:t>本文件主要起草人：</w:t>
      </w:r>
      <w:r>
        <w:rPr>
          <w:rFonts w:hint="eastAsia" w:hAnsi="宋体"/>
          <w:szCs w:val="21"/>
        </w:rPr>
        <w:t>XXX、XXX、</w:t>
      </w:r>
      <w:r>
        <w:rPr>
          <w:rFonts w:hAnsi="宋体"/>
          <w:szCs w:val="21"/>
        </w:rPr>
        <w:t>XXX</w:t>
      </w:r>
      <w:r>
        <w:rPr>
          <w:rFonts w:hint="eastAsia" w:hAnsi="宋体"/>
          <w:szCs w:val="21"/>
        </w:rPr>
        <w:t>、XXX、XXX、</w:t>
      </w:r>
      <w:r>
        <w:rPr>
          <w:rFonts w:hAnsi="宋体"/>
          <w:szCs w:val="21"/>
        </w:rPr>
        <w:t>XXX</w:t>
      </w:r>
      <w:r>
        <w:rPr>
          <w:rFonts w:hint="eastAsia" w:hAnsi="宋体"/>
          <w:szCs w:val="21"/>
        </w:rPr>
        <w:t>、蒯丽君、郝俊、黄世明，唐国进、张</w:t>
      </w:r>
      <w:r>
        <w:rPr>
          <w:rFonts w:hAnsi="宋体"/>
          <w:szCs w:val="21"/>
        </w:rPr>
        <w:t>顺娘、龙秀甲、</w:t>
      </w:r>
      <w:r>
        <w:rPr>
          <w:rFonts w:hint="eastAsia" w:hAnsi="宋体"/>
          <w:szCs w:val="21"/>
        </w:rPr>
        <w:t>王玮、敏勇、张力久、薛婷婷、</w:t>
      </w:r>
      <w:r>
        <w:rPr>
          <w:rFonts w:hAnsi="宋体"/>
          <w:szCs w:val="21"/>
        </w:rPr>
        <w:t>庄丽丽、</w:t>
      </w:r>
      <w:r>
        <w:rPr>
          <w:rFonts w:hint="eastAsia" w:hAnsi="宋体"/>
          <w:szCs w:val="21"/>
        </w:rPr>
        <w:t>杨</w:t>
      </w:r>
      <w:r>
        <w:rPr>
          <w:rFonts w:hAnsi="宋体"/>
          <w:szCs w:val="21"/>
        </w:rPr>
        <w:t>志伟、</w:t>
      </w:r>
      <w:r>
        <w:rPr>
          <w:rFonts w:hint="eastAsia" w:hAnsi="宋体"/>
          <w:szCs w:val="21"/>
        </w:rPr>
        <w:t>吕</w:t>
      </w:r>
      <w:r>
        <w:rPr>
          <w:rFonts w:hAnsi="宋体"/>
          <w:szCs w:val="21"/>
        </w:rPr>
        <w:t>长宽</w:t>
      </w:r>
    </w:p>
    <w:p>
      <w:pPr>
        <w:ind w:firstLine="435"/>
        <w:rPr>
          <w:rFonts w:ascii="宋体"/>
          <w:kern w:val="0"/>
          <w:szCs w:val="21"/>
        </w:rPr>
      </w:pPr>
    </w:p>
    <w:p>
      <w:pPr>
        <w:ind w:firstLine="435"/>
        <w:rPr>
          <w:rFonts w:ascii="宋体" w:hAnsi="宋体"/>
          <w:color w:val="000000"/>
          <w:szCs w:val="21"/>
        </w:rPr>
      </w:pPr>
    </w:p>
    <w:p>
      <w:pPr>
        <w:ind w:firstLine="420" w:firstLineChars="200"/>
        <w:rPr>
          <w:rFonts w:ascii="宋体"/>
          <w:color w:val="000000"/>
          <w:szCs w:val="21"/>
        </w:rPr>
      </w:pPr>
    </w:p>
    <w:p>
      <w:pPr>
        <w:rPr>
          <w:rFonts w:ascii="宋体"/>
          <w:color w:val="000000"/>
          <w:szCs w:val="21"/>
        </w:rPr>
      </w:pPr>
    </w:p>
    <w:p>
      <w:pPr>
        <w:ind w:firstLine="2415" w:firstLineChars="1150"/>
        <w:rPr>
          <w:rFonts w:ascii="宋体"/>
          <w:color w:val="000000"/>
          <w:szCs w:val="21"/>
        </w:rPr>
      </w:pPr>
    </w:p>
    <w:p>
      <w:pPr>
        <w:ind w:firstLine="2415" w:firstLineChars="1150"/>
        <w:rPr>
          <w:rFonts w:ascii="宋体"/>
          <w:color w:val="000000"/>
          <w:szCs w:val="21"/>
        </w:rPr>
      </w:pPr>
    </w:p>
    <w:p>
      <w:pPr>
        <w:ind w:firstLine="2415" w:firstLineChars="1150"/>
        <w:rPr>
          <w:rFonts w:ascii="宋体"/>
          <w:color w:val="000000"/>
          <w:szCs w:val="21"/>
        </w:rPr>
      </w:pPr>
    </w:p>
    <w:p>
      <w:pPr>
        <w:ind w:firstLine="2415" w:firstLineChars="1150"/>
        <w:rPr>
          <w:rFonts w:ascii="宋体"/>
          <w:color w:val="000000"/>
          <w:szCs w:val="21"/>
        </w:rPr>
      </w:pPr>
    </w:p>
    <w:p>
      <w:pPr>
        <w:ind w:firstLine="2415" w:firstLineChars="1150"/>
        <w:rPr>
          <w:rFonts w:ascii="宋体"/>
          <w:color w:val="000000"/>
          <w:szCs w:val="21"/>
        </w:rPr>
      </w:pPr>
    </w:p>
    <w:p>
      <w:pPr>
        <w:ind w:firstLine="2415" w:firstLineChars="1150"/>
        <w:rPr>
          <w:rFonts w:ascii="宋体"/>
          <w:color w:val="000000"/>
          <w:szCs w:val="21"/>
        </w:rPr>
      </w:pPr>
    </w:p>
    <w:p>
      <w:pPr>
        <w:ind w:firstLine="2415" w:firstLineChars="1150"/>
        <w:rPr>
          <w:rFonts w:ascii="宋体"/>
          <w:color w:val="000000"/>
          <w:szCs w:val="21"/>
        </w:rPr>
      </w:pPr>
    </w:p>
    <w:p>
      <w:pPr>
        <w:ind w:firstLine="2415" w:firstLineChars="1150"/>
        <w:rPr>
          <w:rFonts w:ascii="宋体"/>
          <w:color w:val="000000"/>
          <w:szCs w:val="21"/>
        </w:rPr>
      </w:pPr>
    </w:p>
    <w:p>
      <w:pPr>
        <w:pStyle w:val="19"/>
        <w:shd w:val="clear" w:color="FFFFFF" w:fill="auto"/>
        <w:rPr>
          <w:rFonts w:hAnsi="黑体" w:cs="黑体"/>
        </w:rPr>
      </w:pPr>
      <w:r>
        <w:rPr>
          <w:rFonts w:hint="eastAsia" w:hAnsi="黑体" w:cs="黑体"/>
        </w:rPr>
        <w:t>引  言</w:t>
      </w:r>
    </w:p>
    <w:p>
      <w:pPr>
        <w:rPr>
          <w:rFonts w:ascii="宋体"/>
          <w:kern w:val="0"/>
          <w:szCs w:val="21"/>
          <w:highlight w:val="yellow"/>
        </w:rPr>
      </w:pPr>
      <w:r>
        <w:rPr>
          <w:rFonts w:hint="eastAsia"/>
        </w:rPr>
        <w:t xml:space="preserve"> </w:t>
      </w:r>
      <w:r>
        <w:t xml:space="preserve">  </w:t>
      </w:r>
      <w:r>
        <w:rPr>
          <w:rFonts w:hint="eastAsia"/>
        </w:rPr>
        <w:t xml:space="preserve"> </w:t>
      </w:r>
      <w:r>
        <w:rPr>
          <w:rFonts w:hint="eastAsia" w:ascii="宋体"/>
          <w:kern w:val="0"/>
          <w:szCs w:val="21"/>
        </w:rPr>
        <w:t>镍合金普遍用于仪器仪表、电子通讯、压力容器、耐蚀装置，广泛用于航天航空以及高端特殊用途的机器设备制造等工业，是工业发展重要的金属原料之一。磷是镍合金中的重要成分，磷的加入可显著提高镍合金的持久寿命，增强合金的机械加工性和硬度，镍合金中磷含量的测定对镍合金的生产使用具有重要意义。镍合金化学分析方法国际标准已经存在数十年，随着我国工业进步，对高端金属材料镍合金的生产和进出口需求增大，为此，将国际标准转化为国家标准对助力有色工业发展升级和国内制造业发展具有重要意义</w:t>
      </w:r>
      <w:r>
        <w:rPr>
          <w:kern w:val="0"/>
          <w:szCs w:val="21"/>
        </w:rPr>
        <w:t>。GB/T XXXX旨在建立一套完整且切实可行的检验镍合金中铬、磷、铌、钼、铝、钒、硅、钴、铜等元素的标准方法，转化以下国际标准：</w:t>
      </w:r>
    </w:p>
    <w:p>
      <w:pPr>
        <w:ind w:firstLine="435"/>
        <w:rPr>
          <w:kern w:val="0"/>
          <w:szCs w:val="21"/>
        </w:rPr>
      </w:pPr>
      <w:r>
        <w:rPr>
          <w:kern w:val="0"/>
          <w:szCs w:val="21"/>
        </w:rPr>
        <w:t>——ISO 7592:2017</w:t>
      </w:r>
      <w:r>
        <w:t xml:space="preserve">镍合金 铬含量的测定 </w:t>
      </w:r>
      <w:r>
        <w:rPr>
          <w:szCs w:val="21"/>
        </w:rPr>
        <w:t>硫酸亚铁铵电位滴定法</w:t>
      </w:r>
      <w:r>
        <w:t>；</w:t>
      </w:r>
    </w:p>
    <w:p>
      <w:pPr>
        <w:ind w:firstLine="435"/>
        <w:rPr>
          <w:kern w:val="0"/>
          <w:szCs w:val="21"/>
        </w:rPr>
      </w:pPr>
      <w:r>
        <w:rPr>
          <w:kern w:val="0"/>
          <w:szCs w:val="21"/>
        </w:rPr>
        <w:t>——ISO 9388:1992镍合金 磷含量的测定 钼蓝分子吸收光谱法；</w:t>
      </w:r>
    </w:p>
    <w:p>
      <w:pPr>
        <w:ind w:firstLine="435"/>
        <w:rPr>
          <w:kern w:val="0"/>
          <w:szCs w:val="21"/>
        </w:rPr>
      </w:pPr>
      <w:r>
        <w:rPr>
          <w:kern w:val="0"/>
          <w:szCs w:val="21"/>
        </w:rPr>
        <w:t>——ISO 7530</w:t>
      </w:r>
      <w:r>
        <w:rPr>
          <w:rFonts w:hint="eastAsia"/>
          <w:kern w:val="0"/>
          <w:szCs w:val="21"/>
          <w:lang w:val="en-US" w:eastAsia="zh-CN"/>
        </w:rPr>
        <w:t>-1</w:t>
      </w:r>
      <w:r>
        <w:rPr>
          <w:kern w:val="0"/>
          <w:szCs w:val="21"/>
        </w:rPr>
        <w:t>:2015镍合金 火焰原子吸收光谱分析 第1部分：钴、铬、铜、铁和锰的测定；</w:t>
      </w:r>
    </w:p>
    <w:p>
      <w:pPr>
        <w:ind w:firstLine="435"/>
        <w:rPr>
          <w:kern w:val="0"/>
          <w:szCs w:val="21"/>
        </w:rPr>
      </w:pPr>
      <w:r>
        <w:rPr>
          <w:kern w:val="0"/>
          <w:szCs w:val="21"/>
        </w:rPr>
        <w:t>——ISO 11435:2011镍合金 钼含量的测定 电感耦合等离子体/原子发射光谱法</w:t>
      </w:r>
      <w:r>
        <w:rPr>
          <w:szCs w:val="21"/>
        </w:rPr>
        <w:t>；</w:t>
      </w:r>
    </w:p>
    <w:p>
      <w:pPr>
        <w:ind w:firstLine="435"/>
        <w:rPr>
          <w:kern w:val="0"/>
          <w:szCs w:val="21"/>
        </w:rPr>
      </w:pPr>
      <w:r>
        <w:rPr>
          <w:kern w:val="0"/>
          <w:szCs w:val="21"/>
        </w:rPr>
        <w:t>——ISO 7530-7:1992镍合金 火焰原子吸收光谱分析第7部分：铝含量的测定；</w:t>
      </w:r>
    </w:p>
    <w:p>
      <w:pPr>
        <w:ind w:firstLine="435"/>
        <w:rPr>
          <w:kern w:val="0"/>
          <w:szCs w:val="21"/>
        </w:rPr>
      </w:pPr>
      <w:r>
        <w:rPr>
          <w:kern w:val="0"/>
          <w:szCs w:val="21"/>
        </w:rPr>
        <w:t>——ISO 7530-8:1992镍合金 火焰原子吸收光谱分析第8部分：硅含量的测定；</w:t>
      </w:r>
    </w:p>
    <w:p>
      <w:pPr>
        <w:ind w:firstLine="435"/>
        <w:rPr>
          <w:kern w:val="0"/>
          <w:szCs w:val="21"/>
        </w:rPr>
      </w:pPr>
      <w:r>
        <w:rPr>
          <w:kern w:val="0"/>
          <w:szCs w:val="21"/>
        </w:rPr>
        <w:t>——ISO 7530-9:1993镍合金 火焰原子吸收光谱分析第9部分：钒含量的测定；</w:t>
      </w:r>
    </w:p>
    <w:p>
      <w:pPr>
        <w:ind w:firstLine="435"/>
        <w:rPr>
          <w:kern w:val="0"/>
          <w:szCs w:val="21"/>
        </w:rPr>
      </w:pPr>
      <w:r>
        <w:rPr>
          <w:kern w:val="0"/>
          <w:szCs w:val="21"/>
        </w:rPr>
        <w:t>——ISO 22033:2011镍合金 铌含量的测定 电感耦合等离子体/原子发射光谱法；</w:t>
      </w:r>
    </w:p>
    <w:p>
      <w:pPr>
        <w:ind w:firstLine="435"/>
        <w:rPr>
          <w:kern w:val="0"/>
          <w:szCs w:val="21"/>
        </w:rPr>
      </w:pPr>
      <w:r>
        <w:rPr>
          <w:kern w:val="0"/>
          <w:szCs w:val="21"/>
        </w:rPr>
        <w:t>——ISO 11436:1993镍和镍合金 总硼含量的测定 姜黄分子吸收光谱法。</w:t>
      </w:r>
    </w:p>
    <w:p>
      <w:pPr>
        <w:pStyle w:val="26"/>
        <w:ind w:firstLine="420" w:firstLineChars="0"/>
        <w:rPr>
          <w:rFonts w:ascii="Times New Roman"/>
          <w:szCs w:val="21"/>
        </w:rPr>
      </w:pPr>
      <w:r>
        <w:rPr>
          <w:rFonts w:ascii="Times New Roman"/>
          <w:szCs w:val="21"/>
        </w:rPr>
        <w:t>GB/T XXXX拟由9个部分组成：</w:t>
      </w:r>
    </w:p>
    <w:p>
      <w:pPr>
        <w:ind w:firstLine="420" w:firstLineChars="200"/>
      </w:pPr>
      <w:r>
        <w:t>——第1部分：铬含量的测定 硫酸亚铁铵电位滴定法；</w:t>
      </w:r>
    </w:p>
    <w:p>
      <w:pPr>
        <w:ind w:firstLine="420" w:firstLineChars="200"/>
      </w:pPr>
      <w:r>
        <w:t>——第2部分：磷含量的测定 钼蓝分光光度法；</w:t>
      </w:r>
    </w:p>
    <w:p>
      <w:pPr>
        <w:ind w:firstLine="420" w:firstLineChars="200"/>
      </w:pPr>
      <w:r>
        <w:t xml:space="preserve">——第3部分：硅含量测定  </w:t>
      </w:r>
      <w:r>
        <w:rPr>
          <w:rFonts w:hint="eastAsia"/>
        </w:rPr>
        <w:t>氧化亚氮</w:t>
      </w:r>
      <w:r>
        <w:t>-火焰原子吸收光谱法和钼蓝分光光度法；</w:t>
      </w:r>
    </w:p>
    <w:p>
      <w:pPr>
        <w:ind w:firstLine="420" w:firstLineChars="200"/>
      </w:pPr>
      <w:r>
        <w:t xml:space="preserve">——第4部分：钒含量测定 </w:t>
      </w:r>
      <w:r>
        <w:rPr>
          <w:rFonts w:hint="eastAsia"/>
        </w:rPr>
        <w:t>氧化亚氮</w:t>
      </w:r>
      <w:r>
        <w:t>-火焰原子吸收光谱法和电感耦合等离子体原子发射光谱法；</w:t>
      </w:r>
    </w:p>
    <w:p>
      <w:pPr>
        <w:ind w:firstLine="420" w:firstLineChars="200"/>
      </w:pPr>
      <w:r>
        <w:t xml:space="preserve">——第5部分：铝含量测定  </w:t>
      </w:r>
      <w:r>
        <w:rPr>
          <w:rFonts w:hint="eastAsia"/>
        </w:rPr>
        <w:t>氧化亚氮</w:t>
      </w:r>
      <w:r>
        <w:t>-火焰原子吸收光谱法和电感耦合等离子体原子发射光谱法；</w:t>
      </w:r>
    </w:p>
    <w:p>
      <w:pPr>
        <w:ind w:firstLine="420" w:firstLineChars="200"/>
      </w:pPr>
      <w:r>
        <w:t>——第6部分：钼含量的测定 电感耦合等离子体原子发射光谱法；</w:t>
      </w:r>
    </w:p>
    <w:p>
      <w:pPr>
        <w:ind w:firstLine="420" w:firstLineChars="200"/>
        <w:rPr>
          <w:rFonts w:hint="eastAsia"/>
        </w:rPr>
      </w:pPr>
      <w:r>
        <w:t>——第7部分：钴、铬、铜、铁和锰含量的测定 火焰原子吸收光谱法</w:t>
      </w:r>
      <w:r>
        <w:rPr>
          <w:rFonts w:hint="eastAsia"/>
        </w:rPr>
        <w:t>；</w:t>
      </w:r>
    </w:p>
    <w:p>
      <w:pPr>
        <w:ind w:firstLine="420" w:firstLineChars="200"/>
      </w:pPr>
      <w:r>
        <w:t>——第8部分：铌含量的测定 电感耦合等离子体原子发射光谱法；</w:t>
      </w:r>
    </w:p>
    <w:p>
      <w:pPr>
        <w:ind w:firstLine="420" w:firstLineChars="200"/>
        <w:rPr>
          <w:rFonts w:hint="eastAsia"/>
        </w:rPr>
      </w:pPr>
      <w:r>
        <w:t>——第9部分：总硼含量的测定 姜黄素分光光度法</w:t>
      </w:r>
      <w:r>
        <w:rPr>
          <w:rFonts w:hint="eastAsia"/>
        </w:rPr>
        <w:t>。</w:t>
      </w:r>
    </w:p>
    <w:p>
      <w:pPr>
        <w:pStyle w:val="26"/>
        <w:ind w:firstLine="420"/>
      </w:pPr>
      <w:r>
        <w:rPr>
          <w:rFonts w:hint="eastAsia"/>
          <w:szCs w:val="21"/>
        </w:rPr>
        <w:t>本文件可以确保国家标准的先进性，促进我国镍合金检测技术的进步，保证行业从业人员在生产、应用、科研、检测过程中有标准可依，填补我国在镍合金中</w:t>
      </w:r>
      <w:r>
        <w:rPr>
          <w:rFonts w:hint="eastAsia"/>
          <w:szCs w:val="21"/>
          <w:lang w:val="en-US" w:eastAsia="zh-CN"/>
        </w:rPr>
        <w:t>磷</w:t>
      </w:r>
      <w:r>
        <w:rPr>
          <w:rFonts w:hint="eastAsia"/>
          <w:szCs w:val="21"/>
        </w:rPr>
        <w:t>含量的测定化学分析方法的空白。</w:t>
      </w:r>
    </w:p>
    <w:p>
      <w:pPr>
        <w:ind w:firstLine="2415" w:firstLineChars="1150"/>
        <w:rPr>
          <w:rFonts w:ascii="宋体"/>
          <w:color w:val="000000"/>
          <w:szCs w:val="21"/>
        </w:rPr>
      </w:pPr>
    </w:p>
    <w:p>
      <w:pPr>
        <w:ind w:firstLine="2415" w:firstLineChars="1150"/>
        <w:rPr>
          <w:rFonts w:ascii="宋体"/>
          <w:color w:val="000000"/>
          <w:szCs w:val="21"/>
        </w:rPr>
      </w:pPr>
    </w:p>
    <w:p>
      <w:pPr>
        <w:spacing w:line="360" w:lineRule="auto"/>
        <w:rPr>
          <w:color w:val="000000"/>
          <w:szCs w:val="21"/>
        </w:rPr>
        <w:sectPr>
          <w:headerReference r:id="rId7" w:type="default"/>
          <w:footerReference r:id="rId9" w:type="default"/>
          <w:headerReference r:id="rId8" w:type="even"/>
          <w:footerReference r:id="rId10" w:type="even"/>
          <w:pgSz w:w="11907" w:h="16839"/>
          <w:pgMar w:top="1418" w:right="1134" w:bottom="1134" w:left="1418" w:header="1418" w:footer="1134" w:gutter="0"/>
          <w:pgNumType w:fmt="upperRoman" w:start="1"/>
          <w:cols w:space="720" w:num="1"/>
          <w:docGrid w:type="lines" w:linePitch="312" w:charSpace="0"/>
        </w:sectPr>
      </w:pPr>
    </w:p>
    <w:p>
      <w:pPr>
        <w:pStyle w:val="26"/>
        <w:spacing w:line="500" w:lineRule="exact"/>
        <w:ind w:firstLine="0" w:firstLineChars="0"/>
        <w:jc w:val="center"/>
        <w:rPr>
          <w:rFonts w:ascii="黑体" w:eastAsia="黑体"/>
          <w:bCs/>
          <w:kern w:val="2"/>
          <w:sz w:val="36"/>
          <w:szCs w:val="36"/>
        </w:rPr>
      </w:pPr>
      <w:bookmarkStart w:id="1" w:name="_Toc231057302"/>
      <w:r>
        <w:rPr>
          <w:rFonts w:hint="eastAsia" w:ascii="黑体" w:eastAsia="黑体"/>
          <w:bCs/>
          <w:kern w:val="2"/>
          <w:sz w:val="36"/>
          <w:szCs w:val="36"/>
        </w:rPr>
        <w:t xml:space="preserve">镍合金化学分析方法 </w:t>
      </w:r>
    </w:p>
    <w:p>
      <w:pPr>
        <w:pStyle w:val="26"/>
        <w:spacing w:line="500" w:lineRule="exact"/>
        <w:ind w:firstLine="0" w:firstLineChars="0"/>
        <w:jc w:val="center"/>
        <w:rPr>
          <w:rFonts w:eastAsia="黑体"/>
          <w:sz w:val="36"/>
          <w:szCs w:val="36"/>
        </w:rPr>
      </w:pPr>
      <w:r>
        <w:rPr>
          <w:rFonts w:hint="eastAsia" w:ascii="黑体" w:eastAsia="黑体"/>
          <w:bCs/>
          <w:kern w:val="2"/>
          <w:sz w:val="36"/>
          <w:szCs w:val="36"/>
        </w:rPr>
        <w:t>第2部分</w:t>
      </w:r>
      <w:r>
        <w:rPr>
          <w:rFonts w:hint="eastAsia" w:ascii="黑体" w:eastAsia="黑体"/>
          <w:bCs/>
          <w:kern w:val="2"/>
          <w:sz w:val="36"/>
          <w:szCs w:val="36"/>
          <w:lang w:eastAsia="zh-CN"/>
        </w:rPr>
        <w:t>：</w:t>
      </w:r>
      <w:r>
        <w:rPr>
          <w:rFonts w:hint="eastAsia" w:ascii="黑体" w:eastAsia="黑体"/>
          <w:bCs/>
          <w:kern w:val="2"/>
          <w:sz w:val="36"/>
          <w:szCs w:val="36"/>
        </w:rPr>
        <w:t>磷含量</w:t>
      </w:r>
      <w:r>
        <w:rPr>
          <w:rFonts w:hint="eastAsia" w:ascii="黑体" w:eastAsia="黑体"/>
          <w:bCs/>
          <w:kern w:val="2"/>
          <w:sz w:val="36"/>
          <w:szCs w:val="36"/>
          <w:lang w:val="en-US" w:eastAsia="zh-CN"/>
        </w:rPr>
        <w:t>的</w:t>
      </w:r>
      <w:r>
        <w:rPr>
          <w:rFonts w:hint="eastAsia" w:ascii="黑体" w:eastAsia="黑体"/>
          <w:bCs/>
          <w:kern w:val="2"/>
          <w:sz w:val="36"/>
          <w:szCs w:val="36"/>
        </w:rPr>
        <w:t xml:space="preserve">测定 </w:t>
      </w:r>
    </w:p>
    <w:p>
      <w:pPr>
        <w:pStyle w:val="29"/>
        <w:spacing w:before="0" w:line="500" w:lineRule="exact"/>
        <w:rPr>
          <w:rFonts w:eastAsia="黑体"/>
          <w:color w:val="000000"/>
          <w:sz w:val="36"/>
          <w:szCs w:val="36"/>
        </w:rPr>
      </w:pPr>
      <w:r>
        <w:rPr>
          <w:rFonts w:hint="eastAsia" w:eastAsia="黑体"/>
          <w:color w:val="000000"/>
          <w:sz w:val="36"/>
          <w:szCs w:val="36"/>
        </w:rPr>
        <w:t>钼蓝分光光度法</w:t>
      </w:r>
    </w:p>
    <w:p>
      <w:pPr>
        <w:pStyle w:val="29"/>
        <w:spacing w:before="0" w:line="500" w:lineRule="exact"/>
        <w:rPr>
          <w:spacing w:val="6"/>
          <w:sz w:val="21"/>
          <w:szCs w:val="21"/>
        </w:rPr>
      </w:pPr>
    </w:p>
    <w:p>
      <w:pPr>
        <w:pStyle w:val="29"/>
        <w:spacing w:before="0" w:line="500" w:lineRule="exact"/>
        <w:rPr>
          <w:rFonts w:ascii="黑体" w:hAnsi="黑体" w:eastAsia="黑体"/>
          <w:color w:val="000000"/>
          <w:sz w:val="36"/>
          <w:szCs w:val="36"/>
        </w:rPr>
      </w:pPr>
      <w:r>
        <w:rPr>
          <w:rFonts w:hint="eastAsia" w:ascii="黑体" w:hAnsi="黑体" w:eastAsia="黑体"/>
          <w:spacing w:val="6"/>
          <w:sz w:val="21"/>
          <w:szCs w:val="21"/>
        </w:rPr>
        <w:t>警告——使用本文件的人员应有正规实验室工作实践经验。本文件并未指出所有可能的安全问题。使用者有责任采取适当的安全和健康措施，并保证符合国家有关法规规定的条件。</w:t>
      </w:r>
    </w:p>
    <w:p>
      <w:pPr>
        <w:adjustRightInd w:val="0"/>
        <w:snapToGrid w:val="0"/>
        <w:jc w:val="center"/>
        <w:rPr>
          <w:rFonts w:ascii="黑体" w:hAnsi="黑体" w:eastAsia="黑体"/>
          <w:color w:val="000000"/>
          <w:sz w:val="32"/>
          <w:szCs w:val="32"/>
        </w:rPr>
      </w:pPr>
    </w:p>
    <w:bookmarkEnd w:id="1"/>
    <w:p>
      <w:pPr>
        <w:widowControl/>
        <w:numPr>
          <w:ilvl w:val="1"/>
          <w:numId w:val="0"/>
        </w:numPr>
        <w:spacing w:before="312" w:beforeLines="100" w:after="312" w:afterLines="100"/>
        <w:outlineLvl w:val="1"/>
        <w:rPr>
          <w:rFonts w:ascii="宋体" w:hAnsi="宋体" w:eastAsia="黑体"/>
          <w:kern w:val="0"/>
          <w:szCs w:val="20"/>
        </w:rPr>
      </w:pPr>
      <w:r>
        <w:rPr>
          <w:rFonts w:ascii="黑体" w:hAnsi="宋体" w:eastAsia="黑体"/>
          <w:kern w:val="0"/>
          <w:szCs w:val="20"/>
        </w:rPr>
        <w:t xml:space="preserve">1  </w:t>
      </w:r>
      <w:r>
        <w:rPr>
          <w:rFonts w:hint="eastAsia" w:ascii="黑体" w:hAnsi="宋体" w:eastAsia="黑体"/>
          <w:kern w:val="0"/>
          <w:szCs w:val="20"/>
        </w:rPr>
        <w:t>范</w:t>
      </w:r>
      <w:r>
        <w:rPr>
          <w:rFonts w:hint="eastAsia" w:ascii="宋体" w:hAnsi="宋体" w:eastAsia="黑体"/>
          <w:kern w:val="0"/>
          <w:szCs w:val="20"/>
        </w:rPr>
        <w:t>围</w:t>
      </w:r>
    </w:p>
    <w:p>
      <w:pPr>
        <w:ind w:firstLine="420" w:firstLineChars="200"/>
        <w:jc w:val="left"/>
        <w:rPr>
          <w:rFonts w:ascii="宋体"/>
          <w:kern w:val="0"/>
          <w:szCs w:val="20"/>
        </w:rPr>
      </w:pPr>
      <w:r>
        <w:rPr>
          <w:rFonts w:hint="eastAsia" w:ascii="宋体" w:hAnsi="宋体"/>
          <w:kern w:val="0"/>
          <w:szCs w:val="21"/>
        </w:rPr>
        <w:t>本文件</w:t>
      </w:r>
      <w:r>
        <w:rPr>
          <w:rFonts w:hint="eastAsia" w:ascii="宋体" w:hAnsi="宋体"/>
          <w:kern w:val="0"/>
          <w:szCs w:val="21"/>
          <w:lang w:val="en-US" w:eastAsia="zh-CN"/>
        </w:rPr>
        <w:t>描述</w:t>
      </w:r>
      <w:r>
        <w:rPr>
          <w:rFonts w:hint="eastAsia" w:ascii="宋体" w:hAnsi="宋体"/>
          <w:kern w:val="0"/>
          <w:szCs w:val="21"/>
        </w:rPr>
        <w:t>了</w:t>
      </w:r>
      <w:r>
        <w:rPr>
          <w:rFonts w:hint="eastAsia" w:ascii="宋体" w:hAnsi="宋体"/>
          <w:szCs w:val="21"/>
        </w:rPr>
        <w:t>镍合金中磷含量的</w:t>
      </w:r>
      <w:r>
        <w:rPr>
          <w:rFonts w:hint="eastAsia" w:ascii="宋体" w:hAnsi="宋体"/>
          <w:kern w:val="0"/>
          <w:szCs w:val="20"/>
        </w:rPr>
        <w:t>测定方法。</w:t>
      </w:r>
    </w:p>
    <w:p>
      <w:pPr>
        <w:ind w:firstLine="420" w:firstLineChars="200"/>
        <w:jc w:val="left"/>
        <w:rPr>
          <w:rFonts w:ascii="宋体"/>
          <w:kern w:val="0"/>
          <w:szCs w:val="20"/>
        </w:rPr>
      </w:pPr>
      <w:r>
        <w:rPr>
          <w:rFonts w:hint="eastAsia" w:ascii="宋体" w:hAnsi="宋体"/>
          <w:kern w:val="0"/>
          <w:szCs w:val="20"/>
        </w:rPr>
        <w:t>本文件适用于</w:t>
      </w:r>
      <w:r>
        <w:rPr>
          <w:rFonts w:hint="eastAsia" w:ascii="宋体" w:hAnsi="宋体"/>
          <w:szCs w:val="21"/>
        </w:rPr>
        <w:t>镍合金中磷含量的测定。</w:t>
      </w:r>
      <w:r>
        <w:rPr>
          <w:rFonts w:hint="eastAsia" w:ascii="宋体" w:hAnsi="宋体"/>
          <w:kern w:val="0"/>
          <w:szCs w:val="20"/>
        </w:rPr>
        <w:t>测定范围：</w:t>
      </w:r>
      <w:r>
        <w:t>0.001</w:t>
      </w:r>
      <w:r>
        <w:rPr>
          <w:rFonts w:hint="eastAsia"/>
        </w:rPr>
        <w:t>0</w:t>
      </w:r>
      <w:r>
        <w:t>%~0.025%。</w:t>
      </w:r>
    </w:p>
    <w:p>
      <w:pPr>
        <w:widowControl/>
        <w:numPr>
          <w:ilvl w:val="1"/>
          <w:numId w:val="0"/>
        </w:numPr>
        <w:spacing w:before="312" w:beforeLines="100" w:after="312" w:afterLines="100"/>
        <w:outlineLvl w:val="1"/>
        <w:rPr>
          <w:rFonts w:ascii="黑体" w:hAnsi="黑体" w:eastAsia="黑体"/>
          <w:kern w:val="0"/>
          <w:szCs w:val="20"/>
        </w:rPr>
      </w:pPr>
      <w:r>
        <w:rPr>
          <w:rFonts w:ascii="黑体" w:hAnsi="黑体" w:eastAsia="黑体"/>
          <w:kern w:val="0"/>
          <w:szCs w:val="20"/>
        </w:rPr>
        <w:t xml:space="preserve">2  </w:t>
      </w:r>
      <w:r>
        <w:rPr>
          <w:rFonts w:hint="eastAsia" w:ascii="黑体" w:hAnsi="黑体" w:eastAsia="黑体"/>
          <w:kern w:val="0"/>
          <w:szCs w:val="20"/>
        </w:rPr>
        <w:t>规范性引用文件</w:t>
      </w:r>
    </w:p>
    <w:p>
      <w:pPr>
        <w:ind w:firstLine="420" w:firstLineChars="200"/>
        <w:jc w:val="left"/>
        <w:rPr>
          <w:rFonts w:ascii="宋体"/>
          <w:kern w:val="0"/>
          <w:szCs w:val="20"/>
        </w:rPr>
      </w:pPr>
      <w:r>
        <w:rPr>
          <w:rFonts w:hint="eastAsia" w:ascii="宋体" w:hAnsi="宋体"/>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37"/>
        <w:jc w:val="left"/>
        <w:outlineLvl w:val="0"/>
        <w:rPr>
          <w:bCs/>
          <w:szCs w:val="21"/>
        </w:rPr>
      </w:pPr>
      <w:r>
        <w:rPr>
          <w:rFonts w:hint="eastAsia"/>
          <w:bCs/>
          <w:szCs w:val="21"/>
        </w:rPr>
        <w:t>GB/T</w:t>
      </w:r>
      <w:r>
        <w:rPr>
          <w:bCs/>
          <w:szCs w:val="21"/>
        </w:rPr>
        <w:t xml:space="preserve"> 12806 </w:t>
      </w:r>
      <w:r>
        <w:rPr>
          <w:rFonts w:hint="eastAsia"/>
          <w:bCs/>
          <w:szCs w:val="21"/>
        </w:rPr>
        <w:t>实验室玻璃仪器单标线容量瓶管（GB/T</w:t>
      </w:r>
      <w:r>
        <w:rPr>
          <w:bCs/>
          <w:szCs w:val="21"/>
        </w:rPr>
        <w:t xml:space="preserve"> 12806</w:t>
      </w:r>
      <w:r>
        <w:rPr>
          <w:rFonts w:hint="eastAsia"/>
          <w:bCs/>
          <w:szCs w:val="21"/>
        </w:rPr>
        <w:t>—2</w:t>
      </w:r>
      <w:r>
        <w:rPr>
          <w:bCs/>
          <w:szCs w:val="21"/>
        </w:rPr>
        <w:t>011</w:t>
      </w:r>
      <w:r>
        <w:rPr>
          <w:rFonts w:hint="eastAsia"/>
          <w:bCs/>
          <w:szCs w:val="21"/>
        </w:rPr>
        <w:t>，ISO 1042:1998，NEQ）</w:t>
      </w:r>
    </w:p>
    <w:p>
      <w:pPr>
        <w:widowControl/>
        <w:numPr>
          <w:ilvl w:val="1"/>
          <w:numId w:val="0"/>
        </w:numPr>
        <w:spacing w:before="312" w:beforeLines="100" w:after="312" w:afterLines="100"/>
        <w:outlineLvl w:val="1"/>
        <w:rPr>
          <w:rFonts w:ascii="黑体" w:hAnsi="黑体" w:eastAsia="黑体"/>
          <w:kern w:val="0"/>
          <w:szCs w:val="20"/>
        </w:rPr>
      </w:pPr>
      <w:r>
        <w:rPr>
          <w:rFonts w:ascii="黑体" w:hAnsi="黑体" w:eastAsia="黑体"/>
          <w:kern w:val="0"/>
          <w:szCs w:val="20"/>
        </w:rPr>
        <w:t xml:space="preserve">3  </w:t>
      </w:r>
      <w:r>
        <w:rPr>
          <w:rFonts w:hint="eastAsia" w:ascii="黑体" w:hAnsi="黑体" w:eastAsia="黑体"/>
          <w:kern w:val="0"/>
          <w:szCs w:val="20"/>
        </w:rPr>
        <w:t>术语和定义</w:t>
      </w:r>
    </w:p>
    <w:p>
      <w:pPr>
        <w:ind w:firstLine="420" w:firstLineChars="200"/>
        <w:jc w:val="left"/>
        <w:rPr>
          <w:rFonts w:ascii="宋体"/>
          <w:kern w:val="0"/>
          <w:szCs w:val="20"/>
        </w:rPr>
      </w:pPr>
      <w:r>
        <w:rPr>
          <w:rFonts w:hint="eastAsia" w:ascii="宋体" w:hAnsi="宋体"/>
          <w:kern w:val="0"/>
          <w:szCs w:val="20"/>
        </w:rPr>
        <w:t>本文件没有需要界定的术语和定义。</w:t>
      </w:r>
    </w:p>
    <w:p>
      <w:pPr>
        <w:widowControl/>
        <w:numPr>
          <w:ilvl w:val="1"/>
          <w:numId w:val="0"/>
        </w:numPr>
        <w:spacing w:before="312" w:beforeLines="100" w:after="312" w:afterLines="100"/>
        <w:outlineLvl w:val="1"/>
        <w:rPr>
          <w:rFonts w:ascii="黑体" w:hAnsi="黑体" w:eastAsia="黑体"/>
          <w:kern w:val="0"/>
          <w:szCs w:val="20"/>
        </w:rPr>
      </w:pPr>
      <w:r>
        <w:rPr>
          <w:rFonts w:ascii="黑体" w:hAnsi="黑体" w:eastAsia="黑体"/>
          <w:kern w:val="0"/>
          <w:szCs w:val="20"/>
        </w:rPr>
        <w:t xml:space="preserve">4  </w:t>
      </w:r>
      <w:r>
        <w:rPr>
          <w:rFonts w:hint="eastAsia" w:ascii="黑体" w:hAnsi="黑体" w:eastAsia="黑体"/>
          <w:kern w:val="0"/>
          <w:szCs w:val="20"/>
        </w:rPr>
        <w:t>原理</w:t>
      </w:r>
    </w:p>
    <w:p>
      <w:pPr>
        <w:ind w:firstLine="420" w:firstLineChars="200"/>
        <w:jc w:val="left"/>
        <w:rPr>
          <w:rFonts w:ascii="宋体"/>
          <w:kern w:val="0"/>
          <w:szCs w:val="20"/>
        </w:rPr>
      </w:pPr>
      <w:r>
        <w:t>样品经盐酸和硝酸分解，溶解于盐酸中，硫酸冒烟赶尽盐酸。Cr</w:t>
      </w:r>
      <w:r>
        <w:rPr>
          <w:vertAlign w:val="superscript"/>
        </w:rPr>
        <w:t>3+</w:t>
      </w:r>
      <w:r>
        <w:t>被过硫酸铵氧化成Cr</w:t>
      </w:r>
      <w:r>
        <w:rPr>
          <w:vertAlign w:val="superscript"/>
        </w:rPr>
        <w:t>6+</w:t>
      </w:r>
      <w:r>
        <w:t>。磷与三价铁反应生成磷酸铁沉淀，过滤后即可与铬分离。正磷酸铁沉淀</w:t>
      </w:r>
      <w:r>
        <w:rPr>
          <w:rFonts w:hint="eastAsia"/>
          <w:lang w:val="en-US" w:eastAsia="zh-CN"/>
        </w:rPr>
        <w:t>在</w:t>
      </w:r>
      <w:r>
        <w:t>氢氟酸-硝酸混合酸</w:t>
      </w:r>
      <w:r>
        <w:rPr>
          <w:rFonts w:hint="eastAsia"/>
          <w:lang w:val="en-US" w:eastAsia="zh-CN"/>
        </w:rPr>
        <w:t>中</w:t>
      </w:r>
      <w:r>
        <w:t>溶解。硼酸、酒石酸和硫酸的加入，络合游离的氟离子，消除砷的干扰，并除去氮氧化物。用异丁醇提取磷钼杂多酸，还原磷钼杂多酸为</w:t>
      </w:r>
      <w:r>
        <w:rPr>
          <w:rFonts w:hint="eastAsia"/>
          <w:color w:val="000000"/>
          <w:szCs w:val="21"/>
        </w:rPr>
        <w:t>磷钼蓝</w:t>
      </w:r>
      <w:r>
        <w:t>，并在水相中反萃。于分光光度计700nm处测量吸光度</w:t>
      </w:r>
      <w:r>
        <w:rPr>
          <w:rFonts w:hint="eastAsia"/>
        </w:rPr>
        <w:t>，</w:t>
      </w:r>
      <w:r>
        <w:rPr>
          <w:rFonts w:hint="eastAsia"/>
          <w:color w:val="000000"/>
          <w:szCs w:val="21"/>
        </w:rPr>
        <w:t>计算磷的质量分数。</w:t>
      </w:r>
    </w:p>
    <w:p>
      <w:pPr>
        <w:widowControl/>
        <w:numPr>
          <w:ilvl w:val="1"/>
          <w:numId w:val="0"/>
        </w:numPr>
        <w:spacing w:before="312" w:beforeLines="100" w:after="312" w:afterLines="100"/>
        <w:outlineLvl w:val="1"/>
        <w:rPr>
          <w:rFonts w:ascii="黑体" w:hAnsi="黑体" w:eastAsia="黑体"/>
          <w:kern w:val="0"/>
          <w:szCs w:val="20"/>
        </w:rPr>
      </w:pPr>
      <w:r>
        <w:rPr>
          <w:rFonts w:ascii="黑体" w:hAnsi="黑体" w:eastAsia="黑体"/>
          <w:kern w:val="0"/>
          <w:szCs w:val="20"/>
        </w:rPr>
        <w:t xml:space="preserve">5  </w:t>
      </w:r>
      <w:r>
        <w:rPr>
          <w:rFonts w:hint="eastAsia" w:ascii="黑体" w:hAnsi="黑体" w:eastAsia="黑体"/>
          <w:kern w:val="0"/>
          <w:szCs w:val="20"/>
        </w:rPr>
        <w:t>试剂或材料</w:t>
      </w:r>
    </w:p>
    <w:p>
      <w:pPr>
        <w:pStyle w:val="37"/>
        <w:ind w:firstLine="424" w:firstLineChars="202"/>
        <w:jc w:val="left"/>
      </w:pPr>
      <w:r>
        <w:t>除非另有说明，在分析过程中</w:t>
      </w:r>
      <w:r>
        <w:rPr>
          <w:rFonts w:hint="eastAsia"/>
        </w:rPr>
        <w:t>仅</w:t>
      </w:r>
      <w:r>
        <w:t>使用</w:t>
      </w:r>
      <w:r>
        <w:rPr>
          <w:rFonts w:hint="eastAsia"/>
        </w:rPr>
        <w:t>认可的</w:t>
      </w:r>
      <w:r>
        <w:t>分析纯试剂</w:t>
      </w:r>
      <w:r>
        <w:rPr>
          <w:rFonts w:hint="eastAsia"/>
        </w:rPr>
        <w:t>以及蒸馏水或相当纯度的水。</w:t>
      </w:r>
    </w:p>
    <w:p>
      <w:pPr>
        <w:widowControl/>
        <w:numPr>
          <w:ilvl w:val="2"/>
          <w:numId w:val="0"/>
        </w:numPr>
        <w:jc w:val="left"/>
        <w:outlineLvl w:val="2"/>
        <w:rPr>
          <w:rFonts w:ascii="宋体" w:hAnsi="宋体"/>
          <w:kern w:val="0"/>
          <w:szCs w:val="20"/>
        </w:rPr>
      </w:pPr>
      <w:r>
        <w:rPr>
          <w:rFonts w:ascii="黑体" w:hAnsi="黑体" w:eastAsia="黑体"/>
          <w:kern w:val="0"/>
          <w:szCs w:val="20"/>
        </w:rPr>
        <w:t xml:space="preserve">5.1 </w:t>
      </w:r>
      <w:r>
        <w:rPr>
          <w:rFonts w:hint="eastAsia" w:ascii="宋体" w:hAnsi="宋体"/>
          <w:kern w:val="0"/>
          <w:szCs w:val="20"/>
        </w:rPr>
        <w:t>盐酸（</w:t>
      </w:r>
      <w:r>
        <w:rPr>
          <w:rFonts w:hint="eastAsia" w:ascii="宋体"/>
          <w:i/>
          <w:kern w:val="0"/>
          <w:szCs w:val="20"/>
        </w:rPr>
        <w:t>ρ</w:t>
      </w:r>
      <w:r>
        <w:rPr>
          <w:rFonts w:ascii="宋体" w:hAnsi="宋体"/>
          <w:kern w:val="0"/>
          <w:szCs w:val="20"/>
        </w:rPr>
        <w:t>=1.1</w:t>
      </w:r>
      <w:r>
        <w:rPr>
          <w:rFonts w:hint="eastAsia" w:ascii="宋体" w:hAnsi="宋体"/>
          <w:kern w:val="0"/>
          <w:szCs w:val="20"/>
          <w:lang w:val="en-US" w:eastAsia="zh-CN"/>
        </w:rPr>
        <w:t>8</w:t>
      </w:r>
      <w:r>
        <w:rPr>
          <w:rFonts w:ascii="宋体" w:hAnsi="宋体"/>
          <w:kern w:val="0"/>
          <w:szCs w:val="20"/>
        </w:rPr>
        <w:t xml:space="preserve"> g/mL</w:t>
      </w:r>
      <w:r>
        <w:rPr>
          <w:rFonts w:hint="eastAsia" w:ascii="宋体" w:hAnsi="宋体"/>
          <w:kern w:val="0"/>
          <w:szCs w:val="20"/>
        </w:rPr>
        <w:t>）。</w:t>
      </w:r>
    </w:p>
    <w:p>
      <w:pPr>
        <w:widowControl/>
        <w:autoSpaceDE w:val="0"/>
        <w:autoSpaceDN w:val="0"/>
        <w:jc w:val="left"/>
        <w:rPr>
          <w:rFonts w:ascii="宋体"/>
          <w:kern w:val="0"/>
          <w:szCs w:val="20"/>
        </w:rPr>
      </w:pPr>
      <w:r>
        <w:rPr>
          <w:rFonts w:ascii="黑体" w:hAnsi="黑体" w:eastAsia="黑体"/>
          <w:kern w:val="0"/>
          <w:szCs w:val="20"/>
        </w:rPr>
        <w:t xml:space="preserve">5.2 </w:t>
      </w:r>
      <w:r>
        <w:rPr>
          <w:rFonts w:hint="eastAsia" w:ascii="宋体" w:hAnsi="宋体"/>
          <w:kern w:val="0"/>
          <w:szCs w:val="20"/>
        </w:rPr>
        <w:t>硝酸（</w:t>
      </w:r>
      <w:r>
        <w:rPr>
          <w:rFonts w:hint="eastAsia" w:ascii="宋体"/>
          <w:i/>
          <w:kern w:val="0"/>
          <w:szCs w:val="20"/>
        </w:rPr>
        <w:t>ρ</w:t>
      </w:r>
      <w:r>
        <w:rPr>
          <w:rFonts w:ascii="宋体" w:hAnsi="宋体"/>
          <w:i/>
          <w:kern w:val="0"/>
          <w:szCs w:val="20"/>
        </w:rPr>
        <w:t>=</w:t>
      </w:r>
      <w:r>
        <w:rPr>
          <w:rFonts w:ascii="宋体" w:hAnsi="宋体"/>
          <w:kern w:val="0"/>
          <w:szCs w:val="20"/>
        </w:rPr>
        <w:t>1.4</w:t>
      </w:r>
      <w:r>
        <w:rPr>
          <w:rFonts w:hint="eastAsia" w:ascii="宋体" w:hAnsi="宋体"/>
          <w:kern w:val="0"/>
          <w:szCs w:val="20"/>
          <w:lang w:val="en-US" w:eastAsia="zh-CN"/>
        </w:rPr>
        <w:t>1</w:t>
      </w:r>
      <w:r>
        <w:rPr>
          <w:rFonts w:ascii="宋体" w:hAnsi="宋体"/>
          <w:kern w:val="0"/>
          <w:szCs w:val="20"/>
        </w:rPr>
        <w:t xml:space="preserve"> g/mL</w:t>
      </w:r>
      <w:r>
        <w:rPr>
          <w:rFonts w:hint="eastAsia" w:ascii="宋体" w:hAnsi="宋体"/>
          <w:kern w:val="0"/>
          <w:szCs w:val="20"/>
        </w:rPr>
        <w:t>）。</w:t>
      </w:r>
    </w:p>
    <w:p>
      <w:pPr>
        <w:widowControl/>
        <w:numPr>
          <w:ilvl w:val="2"/>
          <w:numId w:val="0"/>
        </w:numPr>
        <w:jc w:val="left"/>
        <w:outlineLvl w:val="2"/>
        <w:rPr>
          <w:rFonts w:ascii="宋体" w:hAnsi="宋体"/>
          <w:kern w:val="0"/>
          <w:szCs w:val="20"/>
        </w:rPr>
      </w:pPr>
      <w:r>
        <w:rPr>
          <w:rFonts w:ascii="黑体" w:hAnsi="黑体" w:eastAsia="黑体"/>
          <w:kern w:val="0"/>
          <w:szCs w:val="20"/>
        </w:rPr>
        <w:t xml:space="preserve">5.3 </w:t>
      </w:r>
      <w:r>
        <w:rPr>
          <w:rFonts w:hint="eastAsia" w:ascii="宋体" w:hAnsi="宋体"/>
          <w:kern w:val="0"/>
          <w:szCs w:val="20"/>
        </w:rPr>
        <w:t>硫酸（</w:t>
      </w:r>
      <w:r>
        <w:rPr>
          <w:rFonts w:hint="eastAsia" w:ascii="宋体"/>
          <w:i/>
          <w:kern w:val="0"/>
          <w:szCs w:val="20"/>
        </w:rPr>
        <w:t>ρ</w:t>
      </w:r>
      <w:r>
        <w:rPr>
          <w:rFonts w:ascii="宋体" w:hAnsi="宋体"/>
          <w:i/>
          <w:kern w:val="0"/>
          <w:szCs w:val="20"/>
        </w:rPr>
        <w:t>=</w:t>
      </w:r>
      <w:r>
        <w:rPr>
          <w:rFonts w:ascii="宋体" w:hAnsi="宋体"/>
          <w:kern w:val="0"/>
          <w:szCs w:val="20"/>
        </w:rPr>
        <w:t>1.84 g/mL</w:t>
      </w:r>
      <w:r>
        <w:rPr>
          <w:rFonts w:hint="eastAsia" w:ascii="宋体" w:hAnsi="宋体"/>
          <w:kern w:val="0"/>
          <w:szCs w:val="20"/>
        </w:rPr>
        <w:t>）。</w:t>
      </w:r>
    </w:p>
    <w:p>
      <w:pPr>
        <w:widowControl/>
        <w:numPr>
          <w:ilvl w:val="2"/>
          <w:numId w:val="0"/>
        </w:numPr>
        <w:jc w:val="left"/>
        <w:outlineLvl w:val="2"/>
        <w:rPr>
          <w:rFonts w:ascii="宋体" w:hAnsi="宋体"/>
          <w:kern w:val="0"/>
          <w:szCs w:val="20"/>
        </w:rPr>
      </w:pPr>
      <w:r>
        <w:rPr>
          <w:rFonts w:ascii="黑体" w:hAnsi="黑体" w:eastAsia="黑体"/>
          <w:kern w:val="0"/>
          <w:szCs w:val="20"/>
        </w:rPr>
        <w:t xml:space="preserve">5.4 </w:t>
      </w:r>
      <w:r>
        <w:rPr>
          <w:rFonts w:hint="eastAsia" w:ascii="宋体" w:hAnsi="宋体"/>
          <w:kern w:val="0"/>
          <w:szCs w:val="20"/>
        </w:rPr>
        <w:t>氢氟酸（</w:t>
      </w:r>
      <w:r>
        <w:rPr>
          <w:rFonts w:hint="eastAsia" w:ascii="宋体"/>
          <w:i/>
          <w:kern w:val="0"/>
          <w:szCs w:val="20"/>
        </w:rPr>
        <w:t>ρ</w:t>
      </w:r>
      <w:r>
        <w:rPr>
          <w:rFonts w:ascii="宋体" w:hAnsi="宋体"/>
          <w:i/>
          <w:kern w:val="0"/>
          <w:szCs w:val="20"/>
        </w:rPr>
        <w:t>=</w:t>
      </w:r>
      <w:r>
        <w:rPr>
          <w:rFonts w:ascii="宋体" w:hAnsi="宋体"/>
          <w:kern w:val="0"/>
          <w:szCs w:val="20"/>
        </w:rPr>
        <w:t>1.1</w:t>
      </w:r>
      <w:r>
        <w:rPr>
          <w:rFonts w:hint="eastAsia" w:ascii="宋体" w:hAnsi="宋体"/>
          <w:kern w:val="0"/>
          <w:szCs w:val="20"/>
          <w:lang w:val="en-US" w:eastAsia="zh-CN"/>
        </w:rPr>
        <w:t>5</w:t>
      </w:r>
      <w:r>
        <w:rPr>
          <w:rFonts w:ascii="宋体" w:hAnsi="宋体"/>
          <w:kern w:val="0"/>
          <w:szCs w:val="20"/>
        </w:rPr>
        <w:t xml:space="preserve"> g/mL</w:t>
      </w:r>
      <w:r>
        <w:rPr>
          <w:rFonts w:hint="eastAsia" w:ascii="宋体" w:hAnsi="宋体"/>
          <w:kern w:val="0"/>
          <w:szCs w:val="20"/>
          <w:lang w:eastAsia="zh-CN"/>
        </w:rPr>
        <w:t>，</w:t>
      </w:r>
      <w:r>
        <w:rPr>
          <w:rFonts w:hint="eastAsia" w:ascii="宋体" w:hAnsi="宋体"/>
          <w:kern w:val="0"/>
          <w:szCs w:val="20"/>
          <w:lang w:val="en-US" w:eastAsia="zh-CN"/>
        </w:rPr>
        <w:t>48%（</w:t>
      </w:r>
      <w:r>
        <w:rPr>
          <w:rFonts w:hint="eastAsia" w:ascii="宋体" w:hAnsi="宋体"/>
          <w:i/>
          <w:iCs/>
          <w:kern w:val="0"/>
          <w:szCs w:val="20"/>
          <w:lang w:val="en-US" w:eastAsia="zh-CN"/>
        </w:rPr>
        <w:t>m</w:t>
      </w:r>
      <w:r>
        <w:rPr>
          <w:rFonts w:hint="eastAsia" w:ascii="宋体" w:hAnsi="宋体"/>
          <w:kern w:val="0"/>
          <w:szCs w:val="20"/>
          <w:lang w:val="en-US" w:eastAsia="zh-CN"/>
        </w:rPr>
        <w:t>/</w:t>
      </w:r>
      <w:r>
        <w:rPr>
          <w:rFonts w:hint="eastAsia" w:ascii="宋体" w:hAnsi="宋体"/>
          <w:i/>
          <w:iCs/>
          <w:kern w:val="0"/>
          <w:szCs w:val="20"/>
          <w:lang w:val="en-US" w:eastAsia="zh-CN"/>
        </w:rPr>
        <w:t>m</w:t>
      </w:r>
      <w:r>
        <w:rPr>
          <w:rFonts w:hint="eastAsia" w:ascii="宋体" w:hAnsi="宋体"/>
          <w:kern w:val="0"/>
          <w:szCs w:val="20"/>
          <w:lang w:val="en-US" w:eastAsia="zh-CN"/>
        </w:rPr>
        <w:t>）HF</w:t>
      </w:r>
      <w:r>
        <w:rPr>
          <w:rFonts w:hint="eastAsia" w:ascii="宋体" w:hAnsi="宋体"/>
          <w:kern w:val="0"/>
          <w:szCs w:val="20"/>
        </w:rPr>
        <w:t>）。</w:t>
      </w:r>
    </w:p>
    <w:p>
      <w:pPr>
        <w:widowControl/>
        <w:numPr>
          <w:ilvl w:val="2"/>
          <w:numId w:val="0"/>
        </w:numPr>
        <w:jc w:val="left"/>
        <w:outlineLvl w:val="2"/>
        <w:rPr>
          <w:rFonts w:ascii="宋体"/>
          <w:kern w:val="0"/>
          <w:szCs w:val="20"/>
        </w:rPr>
      </w:pPr>
      <w:r>
        <w:rPr>
          <w:rFonts w:hint="eastAsia" w:ascii="黑体" w:hAnsi="黑体" w:eastAsia="黑体"/>
          <w:kern w:val="0"/>
          <w:szCs w:val="20"/>
        </w:rPr>
        <w:t>5.</w:t>
      </w:r>
      <w:r>
        <w:rPr>
          <w:rFonts w:ascii="黑体" w:hAnsi="黑体" w:eastAsia="黑体"/>
          <w:kern w:val="0"/>
          <w:szCs w:val="20"/>
        </w:rPr>
        <w:t xml:space="preserve">5 </w:t>
      </w:r>
      <w:r>
        <w:rPr>
          <w:rFonts w:hint="eastAsia" w:ascii="宋体"/>
          <w:kern w:val="0"/>
          <w:szCs w:val="20"/>
        </w:rPr>
        <w:t>氨水</w:t>
      </w:r>
      <w:r>
        <w:rPr>
          <w:rFonts w:hint="eastAsia" w:ascii="宋体"/>
          <w:kern w:val="0"/>
          <w:szCs w:val="20"/>
          <w:lang w:val="en-US" w:eastAsia="zh-CN"/>
        </w:rPr>
        <w:t>溶液</w:t>
      </w:r>
      <w:r>
        <w:rPr>
          <w:rFonts w:hint="eastAsia" w:ascii="宋体"/>
          <w:kern w:val="0"/>
          <w:szCs w:val="20"/>
        </w:rPr>
        <w:t>（ρ</w:t>
      </w:r>
      <w:r>
        <w:rPr>
          <w:rFonts w:ascii="宋体"/>
          <w:kern w:val="0"/>
          <w:szCs w:val="20"/>
        </w:rPr>
        <w:t>=</w:t>
      </w:r>
      <w:r>
        <w:rPr>
          <w:rFonts w:hint="eastAsia" w:ascii="宋体"/>
          <w:kern w:val="0"/>
          <w:szCs w:val="20"/>
        </w:rPr>
        <w:t>0.89g/mL）。</w:t>
      </w:r>
    </w:p>
    <w:p>
      <w:pPr>
        <w:pStyle w:val="26"/>
        <w:ind w:firstLine="0" w:firstLineChars="0"/>
        <w:rPr>
          <w:rFonts w:ascii="Times New Roman"/>
          <w:bCs/>
          <w:kern w:val="2"/>
          <w:szCs w:val="24"/>
        </w:rPr>
      </w:pPr>
      <w:r>
        <w:rPr>
          <w:rFonts w:ascii="黑体" w:hAnsi="黑体" w:eastAsia="黑体"/>
        </w:rPr>
        <w:t xml:space="preserve">5.6 </w:t>
      </w:r>
      <w:r>
        <w:rPr>
          <w:rFonts w:ascii="Times New Roman"/>
          <w:bCs/>
          <w:kern w:val="2"/>
          <w:szCs w:val="24"/>
        </w:rPr>
        <w:t>三氯甲烷</w:t>
      </w:r>
    </w:p>
    <w:p>
      <w:pPr>
        <w:pStyle w:val="26"/>
        <w:ind w:firstLine="0" w:firstLineChars="0"/>
        <w:rPr>
          <w:rFonts w:ascii="Times New Roman"/>
          <w:bCs/>
          <w:kern w:val="2"/>
          <w:szCs w:val="24"/>
        </w:rPr>
      </w:pPr>
      <w:r>
        <w:rPr>
          <w:rFonts w:ascii="黑体" w:hAnsi="黑体" w:eastAsia="黑体"/>
        </w:rPr>
        <w:t xml:space="preserve">5.7 </w:t>
      </w:r>
      <w:r>
        <w:rPr>
          <w:rFonts w:ascii="Times New Roman"/>
          <w:bCs/>
          <w:kern w:val="2"/>
          <w:szCs w:val="24"/>
        </w:rPr>
        <w:t>异丁醇</w:t>
      </w:r>
    </w:p>
    <w:p>
      <w:pPr>
        <w:pStyle w:val="25"/>
        <w:numPr>
          <w:ilvl w:val="0"/>
          <w:numId w:val="0"/>
        </w:numPr>
        <w:rPr>
          <w:rFonts w:asciiTheme="minorEastAsia" w:hAnsiTheme="minorEastAsia" w:eastAsiaTheme="minorEastAsia"/>
        </w:rPr>
      </w:pPr>
      <w:r>
        <w:rPr>
          <w:rFonts w:hAnsi="黑体"/>
          <w:kern w:val="0"/>
        </w:rPr>
        <w:t xml:space="preserve">5.8 </w:t>
      </w:r>
      <w:r>
        <w:rPr>
          <w:rFonts w:ascii="Times New Roman" w:eastAsia="宋体"/>
          <w:kern w:val="2"/>
          <w:szCs w:val="24"/>
        </w:rPr>
        <w:t>硝酸</w:t>
      </w:r>
      <w:r>
        <w:rPr>
          <w:rFonts w:hint="eastAsia" w:ascii="Times New Roman" w:eastAsia="宋体"/>
          <w:kern w:val="2"/>
          <w:szCs w:val="24"/>
          <w:lang w:val="en-US" w:eastAsia="zh-CN"/>
        </w:rPr>
        <w:t>-</w:t>
      </w:r>
      <w:r>
        <w:rPr>
          <w:rFonts w:ascii="Times New Roman" w:eastAsia="宋体"/>
          <w:kern w:val="2"/>
          <w:szCs w:val="24"/>
        </w:rPr>
        <w:t>盐酸混合</w:t>
      </w:r>
      <w:r>
        <w:rPr>
          <w:rFonts w:hint="eastAsia" w:ascii="Times New Roman" w:eastAsia="宋体"/>
          <w:kern w:val="2"/>
          <w:szCs w:val="24"/>
        </w:rPr>
        <w:t>酸（1</w:t>
      </w:r>
      <w:r>
        <w:rPr>
          <w:rFonts w:ascii="Times New Roman" w:eastAsia="宋体"/>
          <w:kern w:val="2"/>
          <w:szCs w:val="24"/>
        </w:rPr>
        <w:t>+5</w:t>
      </w:r>
      <w:r>
        <w:rPr>
          <w:rFonts w:hint="eastAsia" w:ascii="Times New Roman" w:eastAsia="宋体"/>
          <w:kern w:val="2"/>
          <w:szCs w:val="24"/>
        </w:rPr>
        <w:t>）</w:t>
      </w:r>
      <w:r>
        <w:rPr>
          <w:rFonts w:hint="eastAsia" w:asciiTheme="minorEastAsia" w:hAnsiTheme="minorEastAsia" w:eastAsiaTheme="minorEastAsia"/>
          <w:kern w:val="2"/>
          <w:szCs w:val="24"/>
        </w:rPr>
        <w:t>，将25 mL硝酸(5.</w:t>
      </w:r>
      <w:r>
        <w:rPr>
          <w:rFonts w:hint="eastAsia" w:asciiTheme="minorEastAsia" w:hAnsiTheme="minorEastAsia" w:eastAsiaTheme="minorEastAsia"/>
          <w:kern w:val="2"/>
          <w:szCs w:val="24"/>
          <w:lang w:val="en-US" w:eastAsia="zh-CN"/>
        </w:rPr>
        <w:t>2</w:t>
      </w:r>
      <w:r>
        <w:rPr>
          <w:rFonts w:hint="eastAsia" w:asciiTheme="minorEastAsia" w:hAnsiTheme="minorEastAsia" w:eastAsiaTheme="minorEastAsia"/>
          <w:kern w:val="2"/>
          <w:szCs w:val="24"/>
        </w:rPr>
        <w:t>)和</w:t>
      </w:r>
      <w:r>
        <w:rPr>
          <w:rFonts w:hint="eastAsia" w:asciiTheme="minorEastAsia" w:hAnsiTheme="minorEastAsia" w:eastAsiaTheme="minorEastAsia"/>
          <w:kern w:val="2"/>
          <w:szCs w:val="24"/>
          <w:lang w:val="en-US" w:eastAsia="zh-CN"/>
        </w:rPr>
        <w:t>125</w:t>
      </w:r>
      <w:r>
        <w:rPr>
          <w:rFonts w:hint="eastAsia" w:asciiTheme="minorEastAsia" w:hAnsiTheme="minorEastAsia" w:eastAsiaTheme="minorEastAsia"/>
          <w:kern w:val="2"/>
          <w:szCs w:val="24"/>
        </w:rPr>
        <w:t xml:space="preserve"> mL盐酸(5.</w:t>
      </w:r>
      <w:r>
        <w:rPr>
          <w:rFonts w:hint="eastAsia" w:asciiTheme="minorEastAsia" w:hAnsiTheme="minorEastAsia" w:eastAsiaTheme="minorEastAsia"/>
          <w:kern w:val="2"/>
          <w:szCs w:val="24"/>
          <w:lang w:val="en-US" w:eastAsia="zh-CN"/>
        </w:rPr>
        <w:t>1</w:t>
      </w:r>
      <w:r>
        <w:rPr>
          <w:rFonts w:hint="eastAsia" w:asciiTheme="minorEastAsia" w:hAnsiTheme="minorEastAsia" w:eastAsiaTheme="minorEastAsia"/>
          <w:kern w:val="2"/>
          <w:szCs w:val="24"/>
        </w:rPr>
        <w:t>)小心混合，</w:t>
      </w:r>
      <w:r>
        <w:rPr>
          <w:rFonts w:hint="eastAsia" w:asciiTheme="minorEastAsia" w:hAnsiTheme="minorEastAsia" w:eastAsiaTheme="minorEastAsia"/>
        </w:rPr>
        <w:t>用时现配。</w:t>
      </w:r>
    </w:p>
    <w:p>
      <w:pPr>
        <w:pStyle w:val="26"/>
        <w:ind w:firstLine="0" w:firstLineChars="0"/>
        <w:rPr>
          <w:b/>
          <w:bCs/>
        </w:rPr>
      </w:pPr>
      <w:r>
        <w:rPr>
          <w:rFonts w:hint="eastAsia"/>
          <w:b/>
          <w:bCs/>
        </w:rPr>
        <w:t>警示：混合酸性质不稳定且具有高腐蚀性。静置时会释放有毒气体（氯气），配置时</w:t>
      </w:r>
      <w:r>
        <w:rPr>
          <w:rFonts w:hint="eastAsia"/>
          <w:b/>
          <w:bCs/>
          <w:lang w:val="en-US" w:eastAsia="zh-CN"/>
        </w:rPr>
        <w:t>应</w:t>
      </w:r>
      <w:r>
        <w:rPr>
          <w:rFonts w:hint="eastAsia"/>
          <w:b/>
          <w:bCs/>
        </w:rPr>
        <w:t>在通风橱内进行，且不</w:t>
      </w:r>
      <w:r>
        <w:rPr>
          <w:rFonts w:hint="eastAsia"/>
          <w:b/>
          <w:bCs/>
          <w:lang w:val="en-US" w:eastAsia="zh-CN"/>
        </w:rPr>
        <w:t>应</w:t>
      </w:r>
      <w:r>
        <w:rPr>
          <w:rFonts w:hint="eastAsia"/>
          <w:b/>
          <w:bCs/>
        </w:rPr>
        <w:t>贮存于密闭容器中。</w:t>
      </w:r>
    </w:p>
    <w:p>
      <w:pPr>
        <w:pStyle w:val="26"/>
        <w:ind w:firstLine="0" w:firstLineChars="0"/>
        <w:rPr>
          <w:rFonts w:hint="eastAsia" w:ascii="Times New Roman" w:eastAsia="宋体"/>
          <w:kern w:val="2"/>
          <w:szCs w:val="24"/>
          <w:lang w:eastAsia="zh-CN"/>
        </w:rPr>
      </w:pPr>
      <w:r>
        <w:rPr>
          <w:rFonts w:ascii="黑体" w:hAnsi="黑体" w:eastAsia="黑体"/>
        </w:rPr>
        <w:t xml:space="preserve">5.9 </w:t>
      </w:r>
      <w:r>
        <w:rPr>
          <w:rFonts w:hint="eastAsia" w:hAnsi="宋体"/>
        </w:rPr>
        <w:t>盐酸</w:t>
      </w:r>
      <w:r>
        <w:rPr>
          <w:rFonts w:hint="eastAsia" w:hAnsi="宋体"/>
          <w:lang w:val="en-US" w:eastAsia="zh-CN"/>
        </w:rPr>
        <w:t>溶液</w:t>
      </w:r>
      <w:r>
        <w:rPr>
          <w:rFonts w:hint="eastAsia" w:ascii="Times New Roman"/>
          <w:kern w:val="2"/>
          <w:szCs w:val="24"/>
        </w:rPr>
        <w:t>（1</w:t>
      </w:r>
      <w:r>
        <w:rPr>
          <w:rFonts w:ascii="Times New Roman"/>
          <w:kern w:val="2"/>
          <w:szCs w:val="24"/>
        </w:rPr>
        <w:t>+1</w:t>
      </w:r>
      <w:r>
        <w:rPr>
          <w:rFonts w:hint="eastAsia" w:ascii="Times New Roman"/>
          <w:kern w:val="2"/>
          <w:szCs w:val="24"/>
        </w:rPr>
        <w:t>）</w:t>
      </w:r>
      <w:r>
        <w:rPr>
          <w:rFonts w:hint="eastAsia" w:ascii="Times New Roman"/>
          <w:kern w:val="2"/>
          <w:szCs w:val="24"/>
          <w:lang w:eastAsia="zh-CN"/>
        </w:rPr>
        <w:t>。</w:t>
      </w:r>
    </w:p>
    <w:p>
      <w:pPr>
        <w:pStyle w:val="26"/>
        <w:ind w:firstLine="0" w:firstLineChars="0"/>
        <w:rPr>
          <w:rFonts w:hint="eastAsia" w:ascii="Times New Roman" w:eastAsia="宋体"/>
          <w:lang w:eastAsia="zh-CN"/>
        </w:rPr>
      </w:pPr>
      <w:r>
        <w:rPr>
          <w:rFonts w:ascii="黑体" w:hAnsi="黑体" w:eastAsia="黑体"/>
        </w:rPr>
        <w:t>5.</w:t>
      </w:r>
      <w:r>
        <w:rPr>
          <w:rFonts w:hint="eastAsia" w:ascii="黑体" w:hAnsi="黑体" w:eastAsia="黑体"/>
        </w:rPr>
        <w:t>1</w:t>
      </w:r>
      <w:r>
        <w:rPr>
          <w:rFonts w:ascii="黑体" w:hAnsi="黑体" w:eastAsia="黑体"/>
        </w:rPr>
        <w:t xml:space="preserve">0 </w:t>
      </w:r>
      <w:r>
        <w:rPr>
          <w:rFonts w:ascii="Times New Roman" w:hAnsi="宋体"/>
          <w:bCs/>
          <w:kern w:val="2"/>
          <w:szCs w:val="24"/>
        </w:rPr>
        <w:t>硝酸</w:t>
      </w:r>
      <w:r>
        <w:rPr>
          <w:rFonts w:hint="eastAsia" w:hAnsi="宋体"/>
          <w:lang w:val="en-US" w:eastAsia="zh-CN"/>
        </w:rPr>
        <w:t>溶液</w:t>
      </w:r>
      <w:r>
        <w:rPr>
          <w:rFonts w:ascii="Times New Roman" w:hAnsi="宋体"/>
          <w:bCs/>
          <w:kern w:val="2"/>
          <w:szCs w:val="24"/>
        </w:rPr>
        <w:t>（</w:t>
      </w:r>
      <w:r>
        <w:rPr>
          <w:rFonts w:ascii="Times New Roman"/>
          <w:bCs/>
          <w:kern w:val="2"/>
          <w:szCs w:val="24"/>
        </w:rPr>
        <w:t>1+1</w:t>
      </w:r>
      <w:r>
        <w:rPr>
          <w:rFonts w:ascii="Times New Roman" w:hAnsi="宋体"/>
          <w:bCs/>
          <w:kern w:val="2"/>
          <w:szCs w:val="24"/>
        </w:rPr>
        <w:t>）</w:t>
      </w:r>
      <w:r>
        <w:rPr>
          <w:rFonts w:hint="eastAsia" w:ascii="Times New Roman" w:hAnsi="宋体"/>
          <w:bCs/>
          <w:kern w:val="2"/>
          <w:szCs w:val="24"/>
          <w:lang w:eastAsia="zh-CN"/>
        </w:rPr>
        <w:t>。</w:t>
      </w:r>
    </w:p>
    <w:p>
      <w:pPr>
        <w:pStyle w:val="26"/>
        <w:ind w:firstLine="0" w:firstLineChars="0"/>
        <w:rPr>
          <w:rFonts w:ascii="Times New Roman"/>
          <w:kern w:val="2"/>
          <w:szCs w:val="24"/>
        </w:rPr>
      </w:pPr>
      <w:r>
        <w:rPr>
          <w:rFonts w:ascii="黑体" w:hAnsi="黑体" w:eastAsia="黑体"/>
        </w:rPr>
        <w:t xml:space="preserve">5.11 </w:t>
      </w:r>
      <w:r>
        <w:rPr>
          <w:rFonts w:ascii="Times New Roman"/>
          <w:kern w:val="2"/>
          <w:szCs w:val="24"/>
        </w:rPr>
        <w:t>硫酸</w:t>
      </w:r>
      <w:r>
        <w:rPr>
          <w:rFonts w:hint="eastAsia" w:hAnsi="宋体"/>
          <w:lang w:val="en-US" w:eastAsia="zh-CN"/>
        </w:rPr>
        <w:t>溶液</w:t>
      </w:r>
      <w:r>
        <w:rPr>
          <w:rFonts w:ascii="Times New Roman"/>
          <w:kern w:val="2"/>
          <w:szCs w:val="24"/>
        </w:rPr>
        <w:t>（1+1）</w:t>
      </w:r>
      <w:r>
        <w:rPr>
          <w:rFonts w:hint="eastAsia" w:ascii="Times New Roman"/>
          <w:kern w:val="2"/>
          <w:szCs w:val="24"/>
          <w:lang w:eastAsia="zh-CN"/>
        </w:rPr>
        <w:t>：</w:t>
      </w:r>
      <w:r>
        <w:rPr>
          <w:rFonts w:ascii="Times New Roman"/>
          <w:kern w:val="2"/>
          <w:szCs w:val="24"/>
        </w:rPr>
        <w:t>边搅拌边缓慢</w:t>
      </w:r>
      <w:r>
        <w:rPr>
          <w:rFonts w:hint="eastAsia" w:ascii="Times New Roman"/>
          <w:kern w:val="2"/>
          <w:szCs w:val="24"/>
          <w:lang w:val="en-US" w:eastAsia="zh-CN"/>
        </w:rPr>
        <w:t>向</w:t>
      </w:r>
      <w:r>
        <w:rPr>
          <w:rFonts w:ascii="Times New Roman"/>
          <w:kern w:val="2"/>
          <w:szCs w:val="24"/>
        </w:rPr>
        <w:t>100mL水中加入100mL硫酸。</w:t>
      </w:r>
    </w:p>
    <w:p>
      <w:pPr>
        <w:pStyle w:val="26"/>
        <w:ind w:firstLine="0" w:firstLineChars="0"/>
        <w:rPr>
          <w:rFonts w:ascii="Times New Roman"/>
          <w:bCs/>
          <w:kern w:val="2"/>
          <w:szCs w:val="24"/>
        </w:rPr>
      </w:pPr>
      <w:r>
        <w:rPr>
          <w:rFonts w:ascii="黑体" w:hAnsi="黑体" w:eastAsia="黑体"/>
        </w:rPr>
        <w:t xml:space="preserve">5.12 </w:t>
      </w:r>
      <w:r>
        <w:rPr>
          <w:rFonts w:ascii="Times New Roman"/>
          <w:bCs/>
          <w:kern w:val="2"/>
          <w:szCs w:val="24"/>
        </w:rPr>
        <w:t>硼酸溶液</w:t>
      </w:r>
      <w:r>
        <w:rPr>
          <w:rFonts w:ascii="Times New Roman"/>
          <w:kern w:val="2"/>
          <w:szCs w:val="24"/>
        </w:rPr>
        <w:t>（</w:t>
      </w:r>
      <w:r>
        <w:rPr>
          <w:rFonts w:ascii="Times New Roman"/>
        </w:rPr>
        <w:t>40 g/L</w:t>
      </w:r>
      <w:r>
        <w:rPr>
          <w:rFonts w:ascii="Times New Roman"/>
          <w:kern w:val="2"/>
          <w:szCs w:val="24"/>
        </w:rPr>
        <w:t>）</w:t>
      </w:r>
      <w:r>
        <w:rPr>
          <w:rFonts w:hint="eastAsia" w:ascii="Times New Roman"/>
          <w:kern w:val="2"/>
          <w:szCs w:val="24"/>
          <w:lang w:eastAsia="zh-CN"/>
        </w:rPr>
        <w:t>：</w:t>
      </w:r>
      <w:r>
        <w:rPr>
          <w:rFonts w:hint="eastAsia" w:ascii="Times New Roman"/>
          <w:kern w:val="2"/>
          <w:szCs w:val="24"/>
          <w:lang w:val="en-US" w:eastAsia="zh-CN"/>
        </w:rPr>
        <w:t>将</w:t>
      </w:r>
      <w:r>
        <w:rPr>
          <w:rFonts w:hint="eastAsia" w:ascii="Times New Roman"/>
          <w:kern w:val="2"/>
          <w:szCs w:val="24"/>
        </w:rPr>
        <w:t>40克</w:t>
      </w:r>
      <w:r>
        <w:rPr>
          <w:rFonts w:ascii="Times New Roman"/>
          <w:kern w:val="2"/>
          <w:szCs w:val="24"/>
        </w:rPr>
        <w:t>硼酸溶</w:t>
      </w:r>
      <w:r>
        <w:rPr>
          <w:rFonts w:hint="eastAsia" w:ascii="Times New Roman"/>
          <w:kern w:val="2"/>
          <w:szCs w:val="24"/>
          <w:lang w:val="en-US" w:eastAsia="zh-CN"/>
        </w:rPr>
        <w:t>解</w:t>
      </w:r>
      <w:r>
        <w:rPr>
          <w:rFonts w:ascii="Times New Roman"/>
          <w:kern w:val="2"/>
          <w:szCs w:val="24"/>
        </w:rPr>
        <w:t>于</w:t>
      </w:r>
      <w:r>
        <w:rPr>
          <w:rFonts w:hint="eastAsia" w:ascii="Times New Roman"/>
          <w:kern w:val="2"/>
          <w:szCs w:val="24"/>
        </w:rPr>
        <w:t>1</w:t>
      </w:r>
      <w:r>
        <w:rPr>
          <w:rFonts w:hint="eastAsia" w:ascii="Times New Roman"/>
          <w:kern w:val="2"/>
          <w:szCs w:val="24"/>
          <w:lang w:val="en-US" w:eastAsia="zh-CN"/>
        </w:rPr>
        <w:t>L</w:t>
      </w:r>
      <w:r>
        <w:rPr>
          <w:rFonts w:ascii="Times New Roman"/>
          <w:kern w:val="2"/>
          <w:szCs w:val="24"/>
        </w:rPr>
        <w:t>水中，混匀</w:t>
      </w:r>
      <w:r>
        <w:rPr>
          <w:rFonts w:ascii="Times New Roman"/>
          <w:bCs/>
          <w:kern w:val="2"/>
          <w:szCs w:val="24"/>
        </w:rPr>
        <w:t>。</w:t>
      </w:r>
    </w:p>
    <w:p>
      <w:pPr>
        <w:pStyle w:val="26"/>
        <w:ind w:firstLine="0" w:firstLineChars="0"/>
        <w:rPr>
          <w:rFonts w:ascii="Times New Roman"/>
          <w:bCs/>
          <w:kern w:val="2"/>
          <w:szCs w:val="24"/>
        </w:rPr>
      </w:pPr>
      <w:r>
        <w:rPr>
          <w:rFonts w:ascii="黑体" w:hAnsi="黑体" w:eastAsia="黑体"/>
        </w:rPr>
        <w:t xml:space="preserve">5.13 </w:t>
      </w:r>
      <w:r>
        <w:rPr>
          <w:rFonts w:ascii="Times New Roman"/>
          <w:bCs/>
          <w:kern w:val="2"/>
          <w:szCs w:val="24"/>
        </w:rPr>
        <w:t>草酸溶液</w:t>
      </w:r>
      <w:r>
        <w:rPr>
          <w:rFonts w:ascii="Times New Roman"/>
          <w:kern w:val="2"/>
          <w:szCs w:val="24"/>
        </w:rPr>
        <w:t>（</w:t>
      </w:r>
      <w:r>
        <w:rPr>
          <w:rFonts w:ascii="Times New Roman"/>
        </w:rPr>
        <w:t>10 g/L</w:t>
      </w:r>
      <w:r>
        <w:rPr>
          <w:rFonts w:ascii="Times New Roman"/>
          <w:kern w:val="2"/>
          <w:szCs w:val="24"/>
        </w:rPr>
        <w:t>）</w:t>
      </w:r>
      <w:r>
        <w:rPr>
          <w:rFonts w:hint="eastAsia" w:ascii="Times New Roman"/>
          <w:kern w:val="2"/>
          <w:szCs w:val="24"/>
          <w:lang w:eastAsia="zh-CN"/>
        </w:rPr>
        <w:t>：</w:t>
      </w:r>
      <w:r>
        <w:rPr>
          <w:rFonts w:hint="eastAsia" w:ascii="Times New Roman"/>
          <w:bCs/>
          <w:kern w:val="2"/>
          <w:szCs w:val="24"/>
          <w:lang w:val="en-US" w:eastAsia="zh-CN"/>
        </w:rPr>
        <w:t>将</w:t>
      </w:r>
      <w:r>
        <w:rPr>
          <w:rFonts w:ascii="Times New Roman"/>
          <w:kern w:val="2"/>
          <w:szCs w:val="24"/>
        </w:rPr>
        <w:t>1</w:t>
      </w:r>
      <w:r>
        <w:rPr>
          <w:rFonts w:hint="eastAsia" w:ascii="Times New Roman"/>
          <w:kern w:val="2"/>
          <w:szCs w:val="24"/>
        </w:rPr>
        <w:t>克草</w:t>
      </w:r>
      <w:r>
        <w:rPr>
          <w:rFonts w:ascii="Times New Roman"/>
          <w:kern w:val="2"/>
          <w:szCs w:val="24"/>
        </w:rPr>
        <w:t>酸</w:t>
      </w:r>
      <w:r>
        <w:rPr>
          <w:rFonts w:hint="eastAsia" w:ascii="Times New Roman"/>
          <w:kern w:val="2"/>
          <w:szCs w:val="24"/>
          <w:lang w:val="en-US" w:eastAsia="zh-CN"/>
        </w:rPr>
        <w:t>[(COOH)</w:t>
      </w:r>
      <w:r>
        <w:rPr>
          <w:rFonts w:hint="eastAsia" w:ascii="Times New Roman"/>
          <w:kern w:val="2"/>
          <w:szCs w:val="24"/>
          <w:vertAlign w:val="subscript"/>
          <w:lang w:val="en-US" w:eastAsia="zh-CN"/>
        </w:rPr>
        <w:t>2</w:t>
      </w:r>
      <w:r>
        <w:rPr>
          <w:rFonts w:hint="eastAsia" w:ascii="Times New Roman"/>
          <w:kern w:val="2"/>
          <w:szCs w:val="24"/>
          <w:lang w:val="en-US" w:eastAsia="zh-CN"/>
        </w:rPr>
        <w:t>·H</w:t>
      </w:r>
      <w:r>
        <w:rPr>
          <w:rFonts w:hint="eastAsia" w:ascii="Times New Roman"/>
          <w:kern w:val="2"/>
          <w:szCs w:val="24"/>
          <w:vertAlign w:val="subscript"/>
          <w:lang w:val="en-US" w:eastAsia="zh-CN"/>
        </w:rPr>
        <w:t>2</w:t>
      </w:r>
      <w:r>
        <w:rPr>
          <w:rFonts w:hint="eastAsia" w:ascii="Times New Roman"/>
          <w:kern w:val="2"/>
          <w:szCs w:val="24"/>
          <w:lang w:val="en-US" w:eastAsia="zh-CN"/>
        </w:rPr>
        <w:t>O]</w:t>
      </w:r>
      <w:r>
        <w:rPr>
          <w:rFonts w:ascii="Times New Roman"/>
          <w:kern w:val="2"/>
          <w:szCs w:val="24"/>
        </w:rPr>
        <w:t>溶</w:t>
      </w:r>
      <w:r>
        <w:rPr>
          <w:rFonts w:hint="eastAsia" w:ascii="Times New Roman"/>
          <w:kern w:val="2"/>
          <w:szCs w:val="24"/>
          <w:lang w:val="en-US" w:eastAsia="zh-CN"/>
        </w:rPr>
        <w:t>解</w:t>
      </w:r>
      <w:r>
        <w:rPr>
          <w:rFonts w:ascii="Times New Roman"/>
          <w:kern w:val="2"/>
          <w:szCs w:val="24"/>
        </w:rPr>
        <w:t>于</w:t>
      </w:r>
      <w:r>
        <w:rPr>
          <w:rFonts w:hint="eastAsia" w:ascii="Times New Roman"/>
          <w:kern w:val="2"/>
          <w:szCs w:val="24"/>
        </w:rPr>
        <w:t>1</w:t>
      </w:r>
      <w:r>
        <w:rPr>
          <w:rFonts w:ascii="Times New Roman"/>
          <w:kern w:val="2"/>
          <w:szCs w:val="24"/>
        </w:rPr>
        <w:t>00mL水中，混匀</w:t>
      </w:r>
      <w:r>
        <w:rPr>
          <w:rFonts w:ascii="Times New Roman"/>
          <w:bCs/>
          <w:kern w:val="2"/>
          <w:szCs w:val="24"/>
        </w:rPr>
        <w:t>。</w:t>
      </w:r>
    </w:p>
    <w:p>
      <w:pPr>
        <w:pStyle w:val="26"/>
        <w:ind w:firstLine="0" w:firstLineChars="0"/>
        <w:rPr>
          <w:rFonts w:ascii="Times New Roman"/>
          <w:bCs/>
          <w:kern w:val="2"/>
          <w:szCs w:val="24"/>
        </w:rPr>
      </w:pPr>
      <w:r>
        <w:rPr>
          <w:rFonts w:ascii="黑体" w:hAnsi="黑体" w:eastAsia="黑体"/>
        </w:rPr>
        <w:t xml:space="preserve">5.14 </w:t>
      </w:r>
      <w:r>
        <w:rPr>
          <w:rFonts w:hint="eastAsia" w:ascii="Times New Roman"/>
          <w:bCs/>
          <w:kern w:val="2"/>
          <w:szCs w:val="24"/>
        </w:rPr>
        <w:t>氨</w:t>
      </w:r>
      <w:r>
        <w:rPr>
          <w:rFonts w:ascii="Times New Roman"/>
          <w:bCs/>
          <w:kern w:val="2"/>
          <w:szCs w:val="24"/>
        </w:rPr>
        <w:t>基磺酸溶液</w:t>
      </w:r>
      <w:r>
        <w:rPr>
          <w:rFonts w:ascii="Times New Roman"/>
          <w:kern w:val="2"/>
          <w:szCs w:val="24"/>
        </w:rPr>
        <w:t>（</w:t>
      </w:r>
      <w:r>
        <w:rPr>
          <w:rFonts w:ascii="Times New Roman"/>
        </w:rPr>
        <w:t>50 g/L</w:t>
      </w:r>
      <w:r>
        <w:rPr>
          <w:rFonts w:ascii="Times New Roman"/>
          <w:kern w:val="2"/>
          <w:szCs w:val="24"/>
        </w:rPr>
        <w:t>）</w:t>
      </w:r>
      <w:r>
        <w:rPr>
          <w:rFonts w:hint="eastAsia" w:ascii="Times New Roman"/>
          <w:kern w:val="2"/>
          <w:szCs w:val="24"/>
          <w:lang w:eastAsia="zh-CN"/>
        </w:rPr>
        <w:t>：</w:t>
      </w:r>
      <w:r>
        <w:rPr>
          <w:rFonts w:hint="eastAsia" w:ascii="Times New Roman"/>
          <w:kern w:val="2"/>
          <w:szCs w:val="24"/>
          <w:lang w:val="en-US" w:eastAsia="zh-CN"/>
        </w:rPr>
        <w:t>将</w:t>
      </w:r>
      <w:r>
        <w:rPr>
          <w:rFonts w:ascii="Times New Roman"/>
          <w:kern w:val="2"/>
          <w:szCs w:val="24"/>
        </w:rPr>
        <w:t>5</w:t>
      </w:r>
      <w:r>
        <w:rPr>
          <w:rFonts w:hint="eastAsia" w:ascii="Times New Roman"/>
          <w:kern w:val="2"/>
          <w:szCs w:val="24"/>
        </w:rPr>
        <w:t>克</w:t>
      </w:r>
      <w:r>
        <w:rPr>
          <w:rFonts w:hint="eastAsia" w:ascii="Times New Roman"/>
          <w:bCs/>
          <w:kern w:val="2"/>
          <w:szCs w:val="24"/>
        </w:rPr>
        <w:t>氨</w:t>
      </w:r>
      <w:r>
        <w:rPr>
          <w:rFonts w:ascii="Times New Roman"/>
          <w:bCs/>
          <w:kern w:val="2"/>
          <w:szCs w:val="24"/>
        </w:rPr>
        <w:t>基磺酸</w:t>
      </w:r>
      <w:r>
        <w:rPr>
          <w:rFonts w:hint="eastAsia" w:ascii="Times New Roman"/>
          <w:bCs/>
          <w:kern w:val="2"/>
          <w:szCs w:val="24"/>
          <w:lang w:val="en-US" w:eastAsia="zh-CN"/>
        </w:rPr>
        <w:t>(NH</w:t>
      </w:r>
      <w:r>
        <w:rPr>
          <w:rFonts w:hint="eastAsia" w:ascii="Times New Roman"/>
          <w:bCs/>
          <w:kern w:val="2"/>
          <w:szCs w:val="24"/>
          <w:vertAlign w:val="subscript"/>
          <w:lang w:val="en-US" w:eastAsia="zh-CN"/>
        </w:rPr>
        <w:t>2</w:t>
      </w:r>
      <w:r>
        <w:rPr>
          <w:rFonts w:hint="eastAsia" w:ascii="Times New Roman"/>
          <w:bCs/>
          <w:kern w:val="2"/>
          <w:szCs w:val="24"/>
          <w:lang w:val="en-US" w:eastAsia="zh-CN"/>
        </w:rPr>
        <w:t>SO</w:t>
      </w:r>
      <w:r>
        <w:rPr>
          <w:rFonts w:hint="eastAsia" w:ascii="Times New Roman"/>
          <w:bCs/>
          <w:kern w:val="2"/>
          <w:szCs w:val="24"/>
          <w:vertAlign w:val="subscript"/>
          <w:lang w:val="en-US" w:eastAsia="zh-CN"/>
        </w:rPr>
        <w:t>3</w:t>
      </w:r>
      <w:r>
        <w:rPr>
          <w:rFonts w:hint="eastAsia" w:ascii="Times New Roman"/>
          <w:bCs/>
          <w:kern w:val="2"/>
          <w:szCs w:val="24"/>
          <w:lang w:val="en-US" w:eastAsia="zh-CN"/>
        </w:rPr>
        <w:t>H)</w:t>
      </w:r>
      <w:r>
        <w:rPr>
          <w:rFonts w:ascii="Times New Roman"/>
          <w:kern w:val="2"/>
          <w:szCs w:val="24"/>
        </w:rPr>
        <w:t>溶</w:t>
      </w:r>
      <w:r>
        <w:rPr>
          <w:rFonts w:hint="eastAsia" w:ascii="Times New Roman"/>
          <w:kern w:val="2"/>
          <w:szCs w:val="24"/>
          <w:lang w:val="en-US" w:eastAsia="zh-CN"/>
        </w:rPr>
        <w:t>解</w:t>
      </w:r>
      <w:r>
        <w:rPr>
          <w:rFonts w:ascii="Times New Roman"/>
          <w:kern w:val="2"/>
          <w:szCs w:val="24"/>
        </w:rPr>
        <w:t>于</w:t>
      </w:r>
      <w:r>
        <w:rPr>
          <w:rFonts w:hint="eastAsia" w:ascii="Times New Roman"/>
          <w:kern w:val="2"/>
          <w:szCs w:val="24"/>
        </w:rPr>
        <w:t>1</w:t>
      </w:r>
      <w:r>
        <w:rPr>
          <w:rFonts w:ascii="Times New Roman"/>
          <w:kern w:val="2"/>
          <w:szCs w:val="24"/>
        </w:rPr>
        <w:t>00mL水中，混匀</w:t>
      </w:r>
      <w:r>
        <w:rPr>
          <w:rFonts w:ascii="Times New Roman"/>
          <w:bCs/>
          <w:kern w:val="2"/>
          <w:szCs w:val="24"/>
        </w:rPr>
        <w:t>。</w:t>
      </w:r>
    </w:p>
    <w:p>
      <w:pPr>
        <w:pStyle w:val="26"/>
        <w:ind w:firstLine="0" w:firstLineChars="0"/>
        <w:rPr>
          <w:rFonts w:ascii="Times New Roman"/>
          <w:bCs/>
          <w:kern w:val="2"/>
          <w:szCs w:val="24"/>
        </w:rPr>
      </w:pPr>
      <w:r>
        <w:rPr>
          <w:rFonts w:ascii="黑体" w:hAnsi="黑体" w:eastAsia="黑体"/>
        </w:rPr>
        <w:t xml:space="preserve">5.15 </w:t>
      </w:r>
      <w:r>
        <w:rPr>
          <w:rFonts w:ascii="Times New Roman"/>
          <w:bCs/>
          <w:kern w:val="2"/>
          <w:szCs w:val="24"/>
        </w:rPr>
        <w:t>酒石酸溶液</w:t>
      </w:r>
      <w:r>
        <w:rPr>
          <w:rFonts w:ascii="Times New Roman"/>
          <w:kern w:val="2"/>
          <w:szCs w:val="24"/>
        </w:rPr>
        <w:t>（</w:t>
      </w:r>
      <w:r>
        <w:rPr>
          <w:rFonts w:ascii="Times New Roman"/>
        </w:rPr>
        <w:t>100 g/L</w:t>
      </w:r>
      <w:r>
        <w:rPr>
          <w:rFonts w:ascii="Times New Roman"/>
          <w:kern w:val="2"/>
          <w:szCs w:val="24"/>
        </w:rPr>
        <w:t>）</w:t>
      </w:r>
      <w:r>
        <w:rPr>
          <w:rFonts w:hint="eastAsia" w:ascii="Times New Roman"/>
          <w:kern w:val="2"/>
          <w:szCs w:val="24"/>
          <w:lang w:eastAsia="zh-CN"/>
        </w:rPr>
        <w:t>：</w:t>
      </w:r>
      <w:r>
        <w:rPr>
          <w:rFonts w:hint="eastAsia" w:ascii="Times New Roman"/>
          <w:kern w:val="2"/>
          <w:szCs w:val="24"/>
          <w:lang w:val="en-US" w:eastAsia="zh-CN"/>
        </w:rPr>
        <w:t>将</w:t>
      </w:r>
      <w:r>
        <w:rPr>
          <w:rFonts w:ascii="Times New Roman"/>
          <w:kern w:val="2"/>
          <w:szCs w:val="24"/>
        </w:rPr>
        <w:t>10</w:t>
      </w:r>
      <w:r>
        <w:rPr>
          <w:rFonts w:hint="eastAsia" w:ascii="Times New Roman"/>
          <w:kern w:val="2"/>
          <w:szCs w:val="24"/>
        </w:rPr>
        <w:t>克</w:t>
      </w:r>
      <w:r>
        <w:rPr>
          <w:rFonts w:ascii="Times New Roman"/>
          <w:bCs/>
          <w:kern w:val="2"/>
          <w:szCs w:val="24"/>
        </w:rPr>
        <w:t>酒石酸</w:t>
      </w:r>
      <w:r>
        <w:rPr>
          <w:rFonts w:ascii="Times New Roman"/>
          <w:kern w:val="2"/>
          <w:szCs w:val="24"/>
        </w:rPr>
        <w:t>溶</w:t>
      </w:r>
      <w:r>
        <w:rPr>
          <w:rFonts w:hint="eastAsia" w:ascii="Times New Roman"/>
          <w:kern w:val="2"/>
          <w:szCs w:val="24"/>
          <w:lang w:val="en-US" w:eastAsia="zh-CN"/>
        </w:rPr>
        <w:t>解</w:t>
      </w:r>
      <w:r>
        <w:rPr>
          <w:rFonts w:ascii="Times New Roman"/>
          <w:kern w:val="2"/>
          <w:szCs w:val="24"/>
        </w:rPr>
        <w:t>于</w:t>
      </w:r>
      <w:r>
        <w:rPr>
          <w:rFonts w:hint="eastAsia" w:ascii="Times New Roman"/>
          <w:kern w:val="2"/>
          <w:szCs w:val="24"/>
        </w:rPr>
        <w:t>1</w:t>
      </w:r>
      <w:r>
        <w:rPr>
          <w:rFonts w:ascii="Times New Roman"/>
          <w:kern w:val="2"/>
          <w:szCs w:val="24"/>
        </w:rPr>
        <w:t>00mL水中，混匀</w:t>
      </w:r>
      <w:r>
        <w:rPr>
          <w:rFonts w:ascii="Times New Roman"/>
          <w:bCs/>
          <w:kern w:val="2"/>
          <w:szCs w:val="24"/>
        </w:rPr>
        <w:t>。</w:t>
      </w:r>
    </w:p>
    <w:p>
      <w:pPr>
        <w:pStyle w:val="26"/>
        <w:ind w:firstLine="0" w:firstLineChars="0"/>
        <w:rPr>
          <w:rFonts w:ascii="Times New Roman"/>
          <w:bCs/>
          <w:kern w:val="2"/>
          <w:szCs w:val="24"/>
        </w:rPr>
      </w:pPr>
      <w:r>
        <w:rPr>
          <w:rFonts w:ascii="黑体" w:hAnsi="黑体" w:eastAsia="黑体"/>
        </w:rPr>
        <w:t xml:space="preserve">5.16 </w:t>
      </w:r>
      <w:r>
        <w:rPr>
          <w:rFonts w:ascii="Times New Roman"/>
        </w:rPr>
        <w:t>硝</w:t>
      </w:r>
      <w:r>
        <w:rPr>
          <w:rFonts w:hint="eastAsia" w:ascii="Times New Roman"/>
        </w:rPr>
        <w:t>酸钠</w:t>
      </w:r>
      <w:r>
        <w:rPr>
          <w:rFonts w:ascii="Times New Roman"/>
        </w:rPr>
        <w:t>溶液</w:t>
      </w:r>
      <w:r>
        <w:rPr>
          <w:rFonts w:hint="eastAsia" w:ascii="Times New Roman"/>
        </w:rPr>
        <w:t>（10 g/L）</w:t>
      </w:r>
      <w:r>
        <w:rPr>
          <w:rFonts w:hint="eastAsia" w:ascii="Times New Roman"/>
          <w:lang w:eastAsia="zh-CN"/>
        </w:rPr>
        <w:t>：</w:t>
      </w:r>
      <w:r>
        <w:rPr>
          <w:rFonts w:hint="eastAsia" w:ascii="Times New Roman"/>
          <w:lang w:val="en-US" w:eastAsia="zh-CN"/>
        </w:rPr>
        <w:t>将</w:t>
      </w:r>
      <w:r>
        <w:rPr>
          <w:rFonts w:ascii="Times New Roman"/>
          <w:kern w:val="2"/>
          <w:szCs w:val="24"/>
        </w:rPr>
        <w:t>5</w:t>
      </w:r>
      <w:r>
        <w:rPr>
          <w:rFonts w:hint="eastAsia" w:ascii="Times New Roman"/>
          <w:kern w:val="2"/>
          <w:szCs w:val="24"/>
        </w:rPr>
        <w:t>克</w:t>
      </w:r>
      <w:r>
        <w:rPr>
          <w:rFonts w:ascii="Times New Roman"/>
        </w:rPr>
        <w:t>硝</w:t>
      </w:r>
      <w:r>
        <w:rPr>
          <w:rFonts w:hint="eastAsia" w:ascii="Times New Roman"/>
        </w:rPr>
        <w:t>酸钠</w:t>
      </w:r>
      <w:r>
        <w:rPr>
          <w:rFonts w:ascii="Times New Roman"/>
          <w:kern w:val="2"/>
          <w:szCs w:val="24"/>
        </w:rPr>
        <w:t>溶</w:t>
      </w:r>
      <w:r>
        <w:rPr>
          <w:rFonts w:hint="eastAsia" w:ascii="Times New Roman"/>
          <w:kern w:val="2"/>
          <w:szCs w:val="24"/>
          <w:lang w:val="en-US" w:eastAsia="zh-CN"/>
        </w:rPr>
        <w:t>解</w:t>
      </w:r>
      <w:r>
        <w:rPr>
          <w:rFonts w:ascii="Times New Roman"/>
          <w:kern w:val="2"/>
          <w:szCs w:val="24"/>
        </w:rPr>
        <w:t>于500mL水中，混匀</w:t>
      </w:r>
      <w:r>
        <w:rPr>
          <w:rFonts w:ascii="Times New Roman"/>
          <w:bCs/>
          <w:kern w:val="2"/>
          <w:szCs w:val="24"/>
        </w:rPr>
        <w:t>。</w:t>
      </w:r>
    </w:p>
    <w:p>
      <w:pPr>
        <w:pStyle w:val="26"/>
        <w:ind w:firstLine="0" w:firstLineChars="0"/>
        <w:rPr>
          <w:rFonts w:ascii="Times New Roman"/>
          <w:bCs/>
          <w:kern w:val="2"/>
          <w:szCs w:val="24"/>
        </w:rPr>
      </w:pPr>
      <w:r>
        <w:rPr>
          <w:rFonts w:ascii="黑体" w:hAnsi="黑体" w:eastAsia="黑体"/>
        </w:rPr>
        <w:t xml:space="preserve">5.17 </w:t>
      </w:r>
      <w:r>
        <w:rPr>
          <w:rFonts w:ascii="Times New Roman"/>
        </w:rPr>
        <w:t>过硫酸铵溶液</w:t>
      </w:r>
      <w:r>
        <w:rPr>
          <w:rFonts w:hint="eastAsia" w:ascii="Times New Roman"/>
        </w:rPr>
        <w:t>（10</w:t>
      </w:r>
      <w:r>
        <w:rPr>
          <w:rFonts w:ascii="Times New Roman"/>
        </w:rPr>
        <w:t>0</w:t>
      </w:r>
      <w:r>
        <w:rPr>
          <w:rFonts w:hint="eastAsia" w:ascii="Times New Roman"/>
        </w:rPr>
        <w:t xml:space="preserve"> g/L）</w:t>
      </w:r>
      <w:r>
        <w:rPr>
          <w:rFonts w:hint="eastAsia" w:ascii="Times New Roman"/>
          <w:lang w:eastAsia="zh-CN"/>
        </w:rPr>
        <w:t>：</w:t>
      </w:r>
      <w:r>
        <w:rPr>
          <w:rFonts w:hint="eastAsia" w:ascii="Times New Roman"/>
          <w:lang w:val="en-US" w:eastAsia="zh-CN"/>
        </w:rPr>
        <w:t>将</w:t>
      </w:r>
      <w:r>
        <w:rPr>
          <w:rFonts w:ascii="Times New Roman"/>
          <w:kern w:val="2"/>
          <w:szCs w:val="24"/>
        </w:rPr>
        <w:t>20</w:t>
      </w:r>
      <w:r>
        <w:rPr>
          <w:rFonts w:hint="eastAsia" w:ascii="Times New Roman"/>
          <w:kern w:val="2"/>
          <w:szCs w:val="24"/>
        </w:rPr>
        <w:t>克</w:t>
      </w:r>
      <w:r>
        <w:rPr>
          <w:rFonts w:ascii="Times New Roman"/>
        </w:rPr>
        <w:t>过硫酸铵</w:t>
      </w:r>
      <w:r>
        <w:rPr>
          <w:rFonts w:hint="eastAsia" w:ascii="Times New Roman"/>
          <w:lang w:val="en-US" w:eastAsia="zh-CN"/>
        </w:rPr>
        <w:t>[(NH</w:t>
      </w:r>
      <w:r>
        <w:rPr>
          <w:rFonts w:hint="eastAsia" w:ascii="Times New Roman"/>
          <w:vertAlign w:val="subscript"/>
          <w:lang w:val="en-US" w:eastAsia="zh-CN"/>
        </w:rPr>
        <w:t>4</w:t>
      </w:r>
      <w:r>
        <w:rPr>
          <w:rFonts w:hint="eastAsia" w:ascii="Times New Roman"/>
          <w:lang w:val="en-US" w:eastAsia="zh-CN"/>
        </w:rPr>
        <w:t>)2S</w:t>
      </w:r>
      <w:r>
        <w:rPr>
          <w:rFonts w:hint="eastAsia" w:ascii="Times New Roman"/>
          <w:vertAlign w:val="subscript"/>
          <w:lang w:val="en-US" w:eastAsia="zh-CN"/>
        </w:rPr>
        <w:t>2</w:t>
      </w:r>
      <w:r>
        <w:rPr>
          <w:rFonts w:hint="eastAsia" w:ascii="Times New Roman"/>
          <w:lang w:val="en-US" w:eastAsia="zh-CN"/>
        </w:rPr>
        <w:t>O</w:t>
      </w:r>
      <w:r>
        <w:rPr>
          <w:rFonts w:hint="eastAsia" w:ascii="Times New Roman"/>
          <w:vertAlign w:val="subscript"/>
          <w:lang w:val="en-US" w:eastAsia="zh-CN"/>
        </w:rPr>
        <w:t>8</w:t>
      </w:r>
      <w:r>
        <w:rPr>
          <w:rFonts w:hint="eastAsia" w:ascii="Times New Roman"/>
          <w:lang w:val="en-US" w:eastAsia="zh-CN"/>
        </w:rPr>
        <w:t>]</w:t>
      </w:r>
      <w:r>
        <w:rPr>
          <w:rFonts w:ascii="Times New Roman"/>
          <w:kern w:val="2"/>
          <w:szCs w:val="24"/>
        </w:rPr>
        <w:t>溶</w:t>
      </w:r>
      <w:r>
        <w:rPr>
          <w:rFonts w:hint="eastAsia" w:ascii="Times New Roman"/>
          <w:kern w:val="2"/>
          <w:szCs w:val="24"/>
          <w:lang w:val="en-US" w:eastAsia="zh-CN"/>
        </w:rPr>
        <w:t>解</w:t>
      </w:r>
      <w:r>
        <w:rPr>
          <w:rFonts w:ascii="Times New Roman"/>
          <w:kern w:val="2"/>
          <w:szCs w:val="24"/>
        </w:rPr>
        <w:t>于200mL水中，混匀</w:t>
      </w:r>
      <w:r>
        <w:rPr>
          <w:rFonts w:ascii="Times New Roman"/>
          <w:bCs/>
          <w:kern w:val="2"/>
          <w:szCs w:val="24"/>
        </w:rPr>
        <w:t>。每隔三天重新配置。</w:t>
      </w:r>
    </w:p>
    <w:p>
      <w:pPr>
        <w:pStyle w:val="26"/>
        <w:ind w:firstLine="0" w:firstLineChars="0"/>
        <w:rPr>
          <w:rFonts w:ascii="Times New Roman"/>
        </w:rPr>
      </w:pPr>
      <w:r>
        <w:rPr>
          <w:rFonts w:ascii="黑体" w:hAnsi="黑体" w:eastAsia="黑体"/>
        </w:rPr>
        <w:t xml:space="preserve">5.18 </w:t>
      </w:r>
      <w:r>
        <w:rPr>
          <w:rFonts w:ascii="Times New Roman"/>
        </w:rPr>
        <w:t>硝酸铁溶液</w:t>
      </w:r>
      <w:r>
        <w:rPr>
          <w:rFonts w:hint="eastAsia" w:ascii="Times New Roman"/>
        </w:rPr>
        <w:t>（</w:t>
      </w:r>
      <w:r>
        <w:rPr>
          <w:rFonts w:ascii="Times New Roman"/>
        </w:rPr>
        <w:t>0.18</w:t>
      </w:r>
      <w:r>
        <w:rPr>
          <w:rFonts w:hint="eastAsia" w:ascii="Times New Roman"/>
        </w:rPr>
        <w:t>mo</w:t>
      </w:r>
      <w:r>
        <w:rPr>
          <w:rFonts w:ascii="Times New Roman"/>
        </w:rPr>
        <w:t>l</w:t>
      </w:r>
      <w:r>
        <w:rPr>
          <w:rFonts w:hint="eastAsia" w:ascii="Times New Roman"/>
        </w:rPr>
        <w:t>/L）</w:t>
      </w:r>
      <w:r>
        <w:rPr>
          <w:rFonts w:hint="eastAsia" w:ascii="Times New Roman"/>
          <w:lang w:eastAsia="zh-CN"/>
        </w:rPr>
        <w:t>：</w:t>
      </w:r>
      <w:r>
        <w:rPr>
          <w:rFonts w:hint="eastAsia" w:ascii="Times New Roman"/>
          <w:bCs/>
          <w:kern w:val="2"/>
          <w:szCs w:val="24"/>
        </w:rPr>
        <w:t>将</w:t>
      </w:r>
      <w:r>
        <w:rPr>
          <w:rFonts w:ascii="Times New Roman"/>
          <w:bCs/>
          <w:kern w:val="2"/>
          <w:szCs w:val="24"/>
        </w:rPr>
        <w:t>7.2</w:t>
      </w:r>
      <w:r>
        <w:rPr>
          <w:rFonts w:hint="eastAsia" w:ascii="Times New Roman"/>
          <w:bCs/>
          <w:kern w:val="2"/>
          <w:szCs w:val="24"/>
        </w:rPr>
        <w:t>克</w:t>
      </w:r>
      <w:r>
        <w:rPr>
          <w:rFonts w:ascii="Times New Roman"/>
          <w:bCs/>
          <w:kern w:val="2"/>
          <w:szCs w:val="24"/>
        </w:rPr>
        <w:t>[Fe(NO</w:t>
      </w:r>
      <w:r>
        <w:rPr>
          <w:rFonts w:ascii="Times New Roman"/>
          <w:bCs/>
          <w:kern w:val="2"/>
          <w:szCs w:val="24"/>
          <w:vertAlign w:val="subscript"/>
        </w:rPr>
        <w:t>3</w:t>
      </w:r>
      <w:r>
        <w:rPr>
          <w:rFonts w:ascii="Times New Roman"/>
          <w:bCs/>
          <w:kern w:val="2"/>
          <w:szCs w:val="24"/>
        </w:rPr>
        <w:t>)</w:t>
      </w:r>
      <w:r>
        <w:rPr>
          <w:rFonts w:ascii="Times New Roman"/>
          <w:bCs/>
          <w:kern w:val="2"/>
          <w:szCs w:val="24"/>
          <w:vertAlign w:val="subscript"/>
        </w:rPr>
        <w:t>3</w:t>
      </w:r>
      <w:r>
        <w:rPr>
          <w:rFonts w:ascii="Times New Roman"/>
        </w:rPr>
        <w:t>·</w:t>
      </w:r>
      <w:r>
        <w:rPr>
          <w:rFonts w:ascii="Times New Roman"/>
          <w:bCs/>
          <w:kern w:val="2"/>
          <w:szCs w:val="24"/>
        </w:rPr>
        <w:t>9H</w:t>
      </w:r>
      <w:r>
        <w:rPr>
          <w:rFonts w:ascii="Times New Roman"/>
          <w:bCs/>
          <w:kern w:val="2"/>
          <w:szCs w:val="24"/>
          <w:vertAlign w:val="subscript"/>
        </w:rPr>
        <w:t>2</w:t>
      </w:r>
      <w:r>
        <w:rPr>
          <w:rFonts w:ascii="Times New Roman"/>
          <w:bCs/>
          <w:kern w:val="2"/>
          <w:szCs w:val="24"/>
        </w:rPr>
        <w:t>O]</w:t>
      </w:r>
      <w:r>
        <w:rPr>
          <w:rFonts w:hint="eastAsia" w:ascii="Times New Roman"/>
          <w:bCs/>
          <w:kern w:val="2"/>
          <w:szCs w:val="24"/>
        </w:rPr>
        <w:t>溶</w:t>
      </w:r>
      <w:r>
        <w:rPr>
          <w:rFonts w:hint="eastAsia" w:ascii="Times New Roman"/>
          <w:kern w:val="2"/>
          <w:szCs w:val="24"/>
          <w:lang w:val="en-US" w:eastAsia="zh-CN"/>
        </w:rPr>
        <w:t>解</w:t>
      </w:r>
      <w:r>
        <w:rPr>
          <w:rFonts w:ascii="Times New Roman"/>
          <w:bCs/>
          <w:kern w:val="2"/>
          <w:szCs w:val="24"/>
        </w:rPr>
        <w:t xml:space="preserve">于含有3 mL </w:t>
      </w:r>
      <w:r>
        <w:rPr>
          <w:rFonts w:hint="eastAsia" w:ascii="Times New Roman"/>
          <w:bCs/>
          <w:kern w:val="2"/>
          <w:szCs w:val="24"/>
          <w:lang w:val="en-US" w:eastAsia="zh-CN"/>
        </w:rPr>
        <w:t>硝酸</w:t>
      </w:r>
      <w:r>
        <w:rPr>
          <w:rFonts w:ascii="Times New Roman"/>
          <w:kern w:val="2"/>
          <w:szCs w:val="24"/>
        </w:rPr>
        <w:t>（</w:t>
      </w:r>
      <w:r>
        <w:rPr>
          <w:rFonts w:ascii="Times New Roman"/>
        </w:rPr>
        <w:t>5.</w:t>
      </w:r>
      <w:r>
        <w:rPr>
          <w:rFonts w:hint="eastAsia" w:ascii="Times New Roman"/>
          <w:lang w:val="en-US" w:eastAsia="zh-CN"/>
        </w:rPr>
        <w:t>2</w:t>
      </w:r>
      <w:r>
        <w:rPr>
          <w:rFonts w:ascii="Times New Roman"/>
          <w:kern w:val="2"/>
          <w:szCs w:val="24"/>
        </w:rPr>
        <w:t>）</w:t>
      </w:r>
      <w:r>
        <w:rPr>
          <w:rFonts w:ascii="Times New Roman"/>
          <w:bCs/>
          <w:kern w:val="2"/>
          <w:szCs w:val="24"/>
        </w:rPr>
        <w:t>的</w:t>
      </w:r>
      <w:r>
        <w:rPr>
          <w:rFonts w:hint="eastAsia" w:ascii="Times New Roman"/>
          <w:bCs/>
          <w:kern w:val="2"/>
          <w:szCs w:val="24"/>
          <w:lang w:val="en-US" w:eastAsia="zh-CN"/>
        </w:rPr>
        <w:t>约</w:t>
      </w:r>
      <w:r>
        <w:rPr>
          <w:rFonts w:ascii="Times New Roman"/>
          <w:bCs/>
          <w:kern w:val="2"/>
          <w:szCs w:val="24"/>
        </w:rPr>
        <w:t>75mL水中，稀释至100 mL</w:t>
      </w:r>
      <w:r>
        <w:rPr>
          <w:rFonts w:hint="eastAsia" w:ascii="Times New Roman"/>
          <w:bCs/>
          <w:kern w:val="2"/>
          <w:szCs w:val="24"/>
        </w:rPr>
        <w:t>，</w:t>
      </w:r>
      <w:r>
        <w:rPr>
          <w:rFonts w:ascii="Times New Roman"/>
          <w:bCs/>
          <w:kern w:val="2"/>
          <w:szCs w:val="24"/>
        </w:rPr>
        <w:t>混匀。</w:t>
      </w:r>
    </w:p>
    <w:p>
      <w:pPr>
        <w:pStyle w:val="26"/>
        <w:ind w:firstLine="0" w:firstLineChars="0"/>
        <w:rPr>
          <w:rFonts w:ascii="Times New Roman"/>
        </w:rPr>
      </w:pPr>
      <w:r>
        <w:rPr>
          <w:rFonts w:ascii="黑体" w:hAnsi="黑体" w:eastAsia="黑体"/>
        </w:rPr>
        <w:t xml:space="preserve">5.19 </w:t>
      </w:r>
      <w:r>
        <w:rPr>
          <w:rFonts w:ascii="Times New Roman"/>
        </w:rPr>
        <w:t>硝酸银溶液</w:t>
      </w:r>
      <w:r>
        <w:rPr>
          <w:rFonts w:hint="eastAsia" w:ascii="Times New Roman"/>
        </w:rPr>
        <w:t>（</w:t>
      </w:r>
      <w:r>
        <w:rPr>
          <w:rFonts w:ascii="Times New Roman"/>
        </w:rPr>
        <w:t>15</w:t>
      </w:r>
      <w:r>
        <w:rPr>
          <w:rFonts w:hint="eastAsia" w:ascii="Times New Roman"/>
        </w:rPr>
        <w:t xml:space="preserve"> g/L）</w:t>
      </w:r>
      <w:r>
        <w:rPr>
          <w:rFonts w:hint="eastAsia" w:ascii="Times New Roman"/>
          <w:lang w:eastAsia="zh-CN"/>
        </w:rPr>
        <w:t>：</w:t>
      </w:r>
      <w:r>
        <w:rPr>
          <w:rFonts w:hint="eastAsia" w:ascii="Times New Roman"/>
          <w:bCs/>
          <w:kern w:val="2"/>
          <w:szCs w:val="24"/>
        </w:rPr>
        <w:t>将</w:t>
      </w:r>
      <w:r>
        <w:rPr>
          <w:rFonts w:ascii="Times New Roman"/>
          <w:bCs/>
          <w:kern w:val="2"/>
          <w:szCs w:val="24"/>
        </w:rPr>
        <w:t>3</w:t>
      </w:r>
      <w:r>
        <w:rPr>
          <w:rFonts w:hint="eastAsia" w:ascii="Times New Roman"/>
          <w:bCs/>
          <w:kern w:val="2"/>
          <w:szCs w:val="24"/>
        </w:rPr>
        <w:t>克硝酸银溶</w:t>
      </w:r>
      <w:r>
        <w:rPr>
          <w:rFonts w:ascii="Times New Roman"/>
          <w:bCs/>
          <w:kern w:val="2"/>
          <w:szCs w:val="24"/>
        </w:rPr>
        <w:t>于含有200 mL水中，稀释至100 mL</w:t>
      </w:r>
      <w:r>
        <w:rPr>
          <w:rFonts w:hint="eastAsia" w:ascii="Times New Roman"/>
          <w:bCs/>
          <w:kern w:val="2"/>
          <w:szCs w:val="24"/>
        </w:rPr>
        <w:t>，</w:t>
      </w:r>
      <w:r>
        <w:rPr>
          <w:rFonts w:ascii="Times New Roman"/>
          <w:bCs/>
          <w:kern w:val="2"/>
          <w:szCs w:val="24"/>
        </w:rPr>
        <w:t>混匀</w:t>
      </w:r>
      <w:r>
        <w:rPr>
          <w:rFonts w:hint="eastAsia" w:ascii="Times New Roman"/>
          <w:bCs/>
          <w:kern w:val="2"/>
          <w:szCs w:val="24"/>
        </w:rPr>
        <w:t>，贮存于棕色玻璃瓶中。</w:t>
      </w:r>
    </w:p>
    <w:p>
      <w:pPr>
        <w:pStyle w:val="26"/>
        <w:ind w:firstLine="0" w:firstLineChars="0"/>
        <w:rPr>
          <w:rFonts w:ascii="Times New Roman"/>
          <w:bCs/>
          <w:kern w:val="2"/>
          <w:szCs w:val="24"/>
        </w:rPr>
      </w:pPr>
      <w:r>
        <w:rPr>
          <w:rFonts w:ascii="黑体" w:hAnsi="黑体" w:eastAsia="黑体"/>
        </w:rPr>
        <w:t>5.</w:t>
      </w:r>
      <w:r>
        <w:rPr>
          <w:rFonts w:hint="eastAsia" w:ascii="黑体" w:hAnsi="黑体" w:eastAsia="黑体"/>
        </w:rPr>
        <w:t>2</w:t>
      </w:r>
      <w:r>
        <w:rPr>
          <w:rFonts w:ascii="黑体" w:hAnsi="黑体" w:eastAsia="黑体"/>
        </w:rPr>
        <w:t xml:space="preserve">0 </w:t>
      </w:r>
      <w:r>
        <w:rPr>
          <w:rFonts w:ascii="Times New Roman"/>
        </w:rPr>
        <w:t>钼酸钠溶液</w:t>
      </w:r>
      <w:r>
        <w:rPr>
          <w:rFonts w:hint="eastAsia" w:ascii="Times New Roman"/>
        </w:rPr>
        <w:t>（</w:t>
      </w:r>
      <w:r>
        <w:rPr>
          <w:rFonts w:ascii="Times New Roman"/>
        </w:rPr>
        <w:t>50</w:t>
      </w:r>
      <w:r>
        <w:rPr>
          <w:rFonts w:hint="eastAsia" w:ascii="Times New Roman"/>
        </w:rPr>
        <w:t xml:space="preserve"> g/L）</w:t>
      </w:r>
      <w:r>
        <w:rPr>
          <w:rFonts w:hint="eastAsia" w:ascii="Times New Roman"/>
          <w:lang w:eastAsia="zh-CN"/>
        </w:rPr>
        <w:t>：</w:t>
      </w:r>
      <w:r>
        <w:rPr>
          <w:rFonts w:hint="eastAsia" w:ascii="Times New Roman"/>
          <w:bCs/>
          <w:kern w:val="2"/>
          <w:szCs w:val="24"/>
        </w:rPr>
        <w:t>将</w:t>
      </w:r>
      <w:r>
        <w:rPr>
          <w:rFonts w:ascii="Times New Roman"/>
          <w:bCs/>
          <w:kern w:val="2"/>
          <w:szCs w:val="24"/>
        </w:rPr>
        <w:t>50</w:t>
      </w:r>
      <w:r>
        <w:rPr>
          <w:rFonts w:hint="eastAsia" w:ascii="Times New Roman"/>
          <w:bCs/>
          <w:kern w:val="2"/>
          <w:szCs w:val="24"/>
        </w:rPr>
        <w:t>克</w:t>
      </w:r>
      <w:r>
        <w:rPr>
          <w:rFonts w:ascii="Times New Roman"/>
          <w:bCs/>
          <w:kern w:val="2"/>
          <w:szCs w:val="24"/>
        </w:rPr>
        <w:t>二水</w:t>
      </w:r>
      <w:r>
        <w:rPr>
          <w:rFonts w:ascii="Times New Roman"/>
        </w:rPr>
        <w:t>钼酸钠（Na</w:t>
      </w:r>
      <w:r>
        <w:rPr>
          <w:rFonts w:ascii="Times New Roman"/>
          <w:vertAlign w:val="subscript"/>
        </w:rPr>
        <w:t>2</w:t>
      </w:r>
      <w:r>
        <w:rPr>
          <w:rFonts w:ascii="Times New Roman"/>
        </w:rPr>
        <w:t>MoO</w:t>
      </w:r>
      <w:r>
        <w:rPr>
          <w:rFonts w:ascii="Times New Roman"/>
          <w:vertAlign w:val="subscript"/>
        </w:rPr>
        <w:t>4</w:t>
      </w:r>
      <w:r>
        <w:rPr>
          <w:rFonts w:ascii="Times New Roman"/>
        </w:rPr>
        <w:t>·2H</w:t>
      </w:r>
      <w:r>
        <w:rPr>
          <w:rFonts w:ascii="Times New Roman"/>
          <w:vertAlign w:val="subscript"/>
        </w:rPr>
        <w:t>2</w:t>
      </w:r>
      <w:r>
        <w:rPr>
          <w:rFonts w:ascii="Times New Roman"/>
        </w:rPr>
        <w:t xml:space="preserve">O）和40 </w:t>
      </w:r>
      <w:r>
        <w:rPr>
          <w:rFonts w:ascii="Times New Roman"/>
          <w:bCs/>
          <w:kern w:val="2"/>
          <w:szCs w:val="24"/>
        </w:rPr>
        <w:t>g氢氧化钠</w:t>
      </w:r>
      <w:r>
        <w:rPr>
          <w:rFonts w:hint="eastAsia" w:ascii="Times New Roman"/>
          <w:bCs/>
          <w:kern w:val="2"/>
          <w:szCs w:val="24"/>
        </w:rPr>
        <w:t>溶</w:t>
      </w:r>
      <w:r>
        <w:rPr>
          <w:rFonts w:hint="eastAsia" w:ascii="Times New Roman"/>
          <w:bCs/>
          <w:kern w:val="2"/>
          <w:szCs w:val="24"/>
          <w:lang w:val="en-US" w:eastAsia="zh-CN"/>
        </w:rPr>
        <w:t>解</w:t>
      </w:r>
      <w:r>
        <w:rPr>
          <w:rFonts w:ascii="Times New Roman"/>
          <w:bCs/>
          <w:kern w:val="2"/>
          <w:szCs w:val="24"/>
        </w:rPr>
        <w:t>于200 mL水中，</w:t>
      </w:r>
      <w:r>
        <w:rPr>
          <w:rFonts w:hint="eastAsia" w:ascii="Times New Roman"/>
          <w:bCs/>
          <w:kern w:val="2"/>
          <w:szCs w:val="24"/>
        </w:rPr>
        <w:t>稀释至</w:t>
      </w:r>
      <w:r>
        <w:rPr>
          <w:rFonts w:ascii="Times New Roman"/>
          <w:bCs/>
          <w:kern w:val="2"/>
          <w:szCs w:val="24"/>
        </w:rPr>
        <w:t>1000 mL。</w:t>
      </w:r>
    </w:p>
    <w:p>
      <w:pPr>
        <w:pStyle w:val="26"/>
        <w:ind w:firstLine="0" w:firstLineChars="0"/>
        <w:rPr>
          <w:rFonts w:ascii="Times New Roman"/>
        </w:rPr>
      </w:pPr>
      <w:r>
        <w:rPr>
          <w:rFonts w:ascii="黑体" w:hAnsi="黑体" w:eastAsia="黑体"/>
        </w:rPr>
        <w:t xml:space="preserve">5.21 </w:t>
      </w:r>
      <w:r>
        <w:rPr>
          <w:rFonts w:ascii="Times New Roman"/>
        </w:rPr>
        <w:t>氯化钠</w:t>
      </w:r>
      <w:r>
        <w:rPr>
          <w:rFonts w:ascii="Times New Roman"/>
          <w:kern w:val="2"/>
          <w:szCs w:val="24"/>
        </w:rPr>
        <w:t>+</w:t>
      </w:r>
      <w:r>
        <w:rPr>
          <w:rFonts w:ascii="Times New Roman"/>
          <w:bCs/>
          <w:kern w:val="2"/>
          <w:szCs w:val="24"/>
        </w:rPr>
        <w:t>异丁醇</w:t>
      </w:r>
      <w:r>
        <w:rPr>
          <w:rFonts w:ascii="Times New Roman"/>
        </w:rPr>
        <w:t>洗液</w:t>
      </w:r>
    </w:p>
    <w:p>
      <w:pPr>
        <w:pStyle w:val="26"/>
        <w:ind w:firstLine="420"/>
        <w:rPr>
          <w:rFonts w:ascii="Times New Roman"/>
          <w:bCs/>
          <w:kern w:val="2"/>
          <w:szCs w:val="24"/>
        </w:rPr>
      </w:pPr>
      <w:r>
        <w:rPr>
          <w:rFonts w:ascii="Times New Roman"/>
          <w:bCs/>
          <w:kern w:val="2"/>
          <w:szCs w:val="24"/>
        </w:rPr>
        <w:t>称取23</w:t>
      </w:r>
      <w:r>
        <w:rPr>
          <w:rFonts w:hint="eastAsia" w:ascii="Times New Roman"/>
          <w:bCs/>
          <w:kern w:val="2"/>
          <w:szCs w:val="24"/>
        </w:rPr>
        <w:t>克</w:t>
      </w:r>
      <w:r>
        <w:rPr>
          <w:rFonts w:ascii="Times New Roman"/>
        </w:rPr>
        <w:t>氯化钠</w:t>
      </w:r>
      <w:r>
        <w:rPr>
          <w:rFonts w:ascii="Times New Roman"/>
          <w:bCs/>
          <w:kern w:val="2"/>
          <w:szCs w:val="24"/>
        </w:rPr>
        <w:t>于烧杯中，用少量水溶解，加入50 mL盐酸</w:t>
      </w:r>
      <w:r>
        <w:rPr>
          <w:rFonts w:ascii="Times New Roman"/>
          <w:kern w:val="2"/>
          <w:szCs w:val="24"/>
        </w:rPr>
        <w:t>（</w:t>
      </w:r>
      <w:r>
        <w:rPr>
          <w:rFonts w:ascii="Times New Roman"/>
        </w:rPr>
        <w:t>5.</w:t>
      </w:r>
      <w:r>
        <w:rPr>
          <w:rFonts w:hint="eastAsia" w:ascii="Times New Roman"/>
          <w:lang w:val="en-US" w:eastAsia="zh-CN"/>
        </w:rPr>
        <w:t>1</w:t>
      </w:r>
      <w:r>
        <w:rPr>
          <w:rFonts w:ascii="Times New Roman"/>
          <w:kern w:val="2"/>
          <w:szCs w:val="24"/>
        </w:rPr>
        <w:t>）</w:t>
      </w:r>
      <w:r>
        <w:rPr>
          <w:rFonts w:ascii="Times New Roman"/>
          <w:bCs/>
          <w:kern w:val="2"/>
          <w:szCs w:val="24"/>
        </w:rPr>
        <w:t>，稀释至约900 mL</w:t>
      </w:r>
      <w:r>
        <w:rPr>
          <w:rFonts w:hint="eastAsia" w:ascii="Times New Roman"/>
          <w:bCs/>
          <w:kern w:val="2"/>
          <w:szCs w:val="24"/>
        </w:rPr>
        <w:t>，</w:t>
      </w:r>
      <w:r>
        <w:rPr>
          <w:rFonts w:ascii="Times New Roman"/>
          <w:bCs/>
          <w:kern w:val="2"/>
          <w:szCs w:val="24"/>
        </w:rPr>
        <w:t>加入60mL异丁醇</w:t>
      </w:r>
      <w:r>
        <w:rPr>
          <w:rFonts w:hint="eastAsia" w:ascii="Times New Roman"/>
          <w:bCs/>
          <w:kern w:val="2"/>
          <w:szCs w:val="24"/>
        </w:rPr>
        <w:t>(</w:t>
      </w:r>
      <w:r>
        <w:rPr>
          <w:rFonts w:ascii="Times New Roman"/>
        </w:rPr>
        <w:t>5.</w:t>
      </w:r>
      <w:r>
        <w:rPr>
          <w:rFonts w:hint="eastAsia" w:ascii="Times New Roman"/>
          <w:lang w:val="en-US" w:eastAsia="zh-CN"/>
        </w:rPr>
        <w:t>7</w:t>
      </w:r>
      <w:r>
        <w:rPr>
          <w:rFonts w:hint="eastAsia" w:ascii="Times New Roman"/>
          <w:bCs/>
          <w:kern w:val="2"/>
          <w:szCs w:val="24"/>
        </w:rPr>
        <w:t>)</w:t>
      </w:r>
      <w:r>
        <w:rPr>
          <w:rFonts w:ascii="Times New Roman"/>
          <w:bCs/>
          <w:kern w:val="2"/>
          <w:szCs w:val="24"/>
        </w:rPr>
        <w:t>，</w:t>
      </w:r>
      <w:r>
        <w:rPr>
          <w:rFonts w:hint="eastAsia" w:ascii="Times New Roman"/>
          <w:bCs/>
          <w:kern w:val="2"/>
          <w:szCs w:val="24"/>
          <w:lang w:val="en-US" w:eastAsia="zh-CN"/>
        </w:rPr>
        <w:t>摇晃溶解</w:t>
      </w:r>
      <w:r>
        <w:rPr>
          <w:rFonts w:hint="eastAsia" w:ascii="Times New Roman"/>
          <w:bCs/>
          <w:kern w:val="2"/>
          <w:szCs w:val="24"/>
          <w:lang w:eastAsia="zh-CN"/>
        </w:rPr>
        <w:t>。</w:t>
      </w:r>
      <w:r>
        <w:rPr>
          <w:rFonts w:hint="eastAsia" w:ascii="Times New Roman"/>
          <w:bCs/>
          <w:kern w:val="2"/>
          <w:szCs w:val="24"/>
        </w:rPr>
        <w:t>稀释至</w:t>
      </w:r>
      <w:r>
        <w:rPr>
          <w:rFonts w:ascii="Times New Roman"/>
          <w:bCs/>
          <w:kern w:val="2"/>
          <w:szCs w:val="24"/>
        </w:rPr>
        <w:t>1000mL</w:t>
      </w:r>
      <w:r>
        <w:rPr>
          <w:rFonts w:hint="eastAsia" w:ascii="Times New Roman"/>
          <w:bCs/>
          <w:kern w:val="2"/>
          <w:szCs w:val="24"/>
          <w:lang w:eastAsia="zh-CN"/>
        </w:rPr>
        <w:t>，</w:t>
      </w:r>
      <w:r>
        <w:rPr>
          <w:rFonts w:hint="eastAsia" w:ascii="Times New Roman"/>
          <w:bCs/>
          <w:kern w:val="2"/>
          <w:szCs w:val="24"/>
        </w:rPr>
        <w:t>混匀</w:t>
      </w:r>
      <w:r>
        <w:rPr>
          <w:rFonts w:ascii="Times New Roman"/>
          <w:bCs/>
          <w:kern w:val="2"/>
          <w:szCs w:val="24"/>
        </w:rPr>
        <w:t>。</w:t>
      </w:r>
    </w:p>
    <w:p>
      <w:pPr>
        <w:pStyle w:val="26"/>
        <w:ind w:firstLine="0" w:firstLineChars="0"/>
        <w:rPr>
          <w:rFonts w:ascii="Times New Roman"/>
          <w:bCs/>
          <w:kern w:val="2"/>
          <w:szCs w:val="24"/>
        </w:rPr>
      </w:pPr>
      <w:r>
        <w:rPr>
          <w:rFonts w:ascii="黑体" w:hAnsi="黑体" w:eastAsia="黑体"/>
        </w:rPr>
        <w:t xml:space="preserve">5.22 </w:t>
      </w:r>
      <w:r>
        <w:rPr>
          <w:rFonts w:ascii="Times New Roman"/>
        </w:rPr>
        <w:t>还原溶液</w:t>
      </w:r>
    </w:p>
    <w:p>
      <w:pPr>
        <w:pStyle w:val="26"/>
        <w:ind w:firstLine="0" w:firstLineChars="0"/>
        <w:rPr>
          <w:rFonts w:ascii="Times New Roman"/>
        </w:rPr>
      </w:pPr>
      <w:r>
        <w:rPr>
          <w:rFonts w:ascii="黑体" w:hAnsi="黑体" w:eastAsia="黑体"/>
        </w:rPr>
        <w:t xml:space="preserve">5.22.1 </w:t>
      </w:r>
      <w:r>
        <w:rPr>
          <w:rFonts w:ascii="Times New Roman"/>
          <w:bCs/>
          <w:kern w:val="2"/>
          <w:szCs w:val="24"/>
        </w:rPr>
        <w:t>称取10</w:t>
      </w:r>
      <w:r>
        <w:rPr>
          <w:rFonts w:hint="eastAsia" w:ascii="Times New Roman"/>
          <w:bCs/>
          <w:kern w:val="2"/>
          <w:szCs w:val="24"/>
        </w:rPr>
        <w:t>克</w:t>
      </w:r>
      <w:r>
        <w:rPr>
          <w:rFonts w:ascii="Times New Roman"/>
        </w:rPr>
        <w:t>氯化亚锡（SnCl</w:t>
      </w:r>
      <w:r>
        <w:rPr>
          <w:rFonts w:ascii="Times New Roman"/>
          <w:vertAlign w:val="subscript"/>
        </w:rPr>
        <w:t>2</w:t>
      </w:r>
      <w:r>
        <w:rPr>
          <w:rFonts w:ascii="Times New Roman"/>
        </w:rPr>
        <w:t>·2H</w:t>
      </w:r>
      <w:r>
        <w:rPr>
          <w:rFonts w:ascii="Times New Roman"/>
          <w:vertAlign w:val="subscript"/>
        </w:rPr>
        <w:t>2</w:t>
      </w:r>
      <w:r>
        <w:rPr>
          <w:rFonts w:ascii="Times New Roman"/>
        </w:rPr>
        <w:t>O）</w:t>
      </w:r>
      <w:r>
        <w:rPr>
          <w:rFonts w:ascii="Times New Roman"/>
          <w:bCs/>
          <w:kern w:val="2"/>
          <w:szCs w:val="24"/>
        </w:rPr>
        <w:t>于150mL烧杯中，加入25mL盐酸</w:t>
      </w:r>
      <w:r>
        <w:rPr>
          <w:rFonts w:ascii="Times New Roman"/>
          <w:kern w:val="2"/>
          <w:szCs w:val="24"/>
        </w:rPr>
        <w:t>（</w:t>
      </w:r>
      <w:r>
        <w:rPr>
          <w:rFonts w:ascii="Times New Roman"/>
        </w:rPr>
        <w:t>5.</w:t>
      </w:r>
      <w:r>
        <w:rPr>
          <w:rFonts w:hint="eastAsia" w:ascii="Times New Roman"/>
          <w:lang w:val="en-US" w:eastAsia="zh-CN"/>
        </w:rPr>
        <w:t>1</w:t>
      </w:r>
      <w:r>
        <w:rPr>
          <w:rFonts w:ascii="Times New Roman"/>
          <w:kern w:val="2"/>
          <w:szCs w:val="24"/>
        </w:rPr>
        <w:t>）</w:t>
      </w:r>
      <w:r>
        <w:rPr>
          <w:rFonts w:ascii="Times New Roman"/>
          <w:bCs/>
          <w:kern w:val="2"/>
          <w:szCs w:val="24"/>
        </w:rPr>
        <w:t>，加热溶解。冷却</w:t>
      </w:r>
      <w:r>
        <w:rPr>
          <w:rFonts w:hint="eastAsia" w:ascii="Times New Roman"/>
          <w:bCs/>
          <w:kern w:val="2"/>
          <w:szCs w:val="24"/>
        </w:rPr>
        <w:t>至室温后</w:t>
      </w:r>
      <w:r>
        <w:rPr>
          <w:rFonts w:ascii="Times New Roman"/>
          <w:bCs/>
          <w:kern w:val="2"/>
          <w:szCs w:val="24"/>
        </w:rPr>
        <w:t>，用水稀释至50mL。溶液贮存于磨口试剂瓶中可稳定</w:t>
      </w:r>
      <w:r>
        <w:rPr>
          <w:rFonts w:hint="eastAsia" w:ascii="Times New Roman"/>
          <w:bCs/>
          <w:kern w:val="2"/>
          <w:szCs w:val="24"/>
          <w:lang w:val="en-US" w:eastAsia="zh-CN"/>
        </w:rPr>
        <w:t>至少</w:t>
      </w:r>
      <w:r>
        <w:rPr>
          <w:rFonts w:ascii="Times New Roman"/>
          <w:bCs/>
          <w:kern w:val="2"/>
          <w:szCs w:val="24"/>
        </w:rPr>
        <w:t>一周时间。</w:t>
      </w:r>
    </w:p>
    <w:p>
      <w:pPr>
        <w:pStyle w:val="26"/>
        <w:ind w:firstLine="0" w:firstLineChars="0"/>
        <w:rPr>
          <w:rFonts w:ascii="Times New Roman"/>
        </w:rPr>
      </w:pPr>
      <w:r>
        <w:rPr>
          <w:rFonts w:ascii="黑体" w:hAnsi="黑体" w:eastAsia="黑体"/>
        </w:rPr>
        <w:t xml:space="preserve">5.22.2 </w:t>
      </w:r>
      <w:r>
        <w:rPr>
          <w:rFonts w:hint="eastAsia" w:ascii="Times New Roman"/>
        </w:rPr>
        <w:t>移取</w:t>
      </w:r>
      <w:r>
        <w:rPr>
          <w:rFonts w:ascii="Times New Roman"/>
        </w:rPr>
        <w:t>5.0mL氯化亚锡溶液（5</w:t>
      </w:r>
      <w:r>
        <w:rPr>
          <w:rFonts w:hint="eastAsia" w:ascii="Times New Roman"/>
        </w:rPr>
        <w:t>.</w:t>
      </w:r>
      <w:r>
        <w:rPr>
          <w:rFonts w:ascii="Times New Roman"/>
        </w:rPr>
        <w:t>2</w:t>
      </w:r>
      <w:r>
        <w:rPr>
          <w:rFonts w:hint="eastAsia" w:ascii="Times New Roman"/>
          <w:lang w:val="en-US" w:eastAsia="zh-CN"/>
        </w:rPr>
        <w:t>2</w:t>
      </w:r>
      <w:r>
        <w:rPr>
          <w:rFonts w:hint="eastAsia" w:ascii="Times New Roman"/>
        </w:rPr>
        <w:t>.1</w:t>
      </w:r>
      <w:r>
        <w:rPr>
          <w:rFonts w:ascii="Times New Roman"/>
        </w:rPr>
        <w:t>）至250mL容量瓶中，加入10mL</w:t>
      </w:r>
      <w:r>
        <w:rPr>
          <w:rFonts w:hint="eastAsia" w:ascii="Times New Roman"/>
        </w:rPr>
        <w:t>硫酸</w:t>
      </w:r>
      <w:r>
        <w:rPr>
          <w:rFonts w:ascii="Times New Roman"/>
        </w:rPr>
        <w:t>（5.1</w:t>
      </w:r>
      <w:r>
        <w:rPr>
          <w:rFonts w:hint="eastAsia" w:ascii="Times New Roman"/>
          <w:lang w:val="en-US" w:eastAsia="zh-CN"/>
        </w:rPr>
        <w:t>1</w:t>
      </w:r>
      <w:r>
        <w:rPr>
          <w:rFonts w:hint="eastAsia" w:ascii="Times New Roman"/>
        </w:rPr>
        <w:t>）</w:t>
      </w:r>
      <w:r>
        <w:rPr>
          <w:rFonts w:ascii="Times New Roman"/>
        </w:rPr>
        <w:t>，用水稀释至刻度，混匀。用时现配。</w:t>
      </w:r>
    </w:p>
    <w:p>
      <w:pPr>
        <w:pStyle w:val="26"/>
        <w:ind w:firstLine="0" w:firstLineChars="0"/>
        <w:rPr>
          <w:rFonts w:ascii="Times New Roman"/>
        </w:rPr>
      </w:pPr>
      <w:r>
        <w:rPr>
          <w:rFonts w:ascii="黑体" w:hAnsi="黑体" w:eastAsia="黑体"/>
        </w:rPr>
        <w:t>5.23</w:t>
      </w:r>
      <w:r>
        <w:rPr>
          <w:rFonts w:ascii="Times New Roman"/>
        </w:rPr>
        <w:t>磷标准</w:t>
      </w:r>
      <w:r>
        <w:rPr>
          <w:rFonts w:hint="eastAsia" w:ascii="Times New Roman"/>
        </w:rPr>
        <w:t>贮存</w:t>
      </w:r>
      <w:r>
        <w:rPr>
          <w:rFonts w:ascii="Times New Roman"/>
        </w:rPr>
        <w:t>溶液</w:t>
      </w:r>
      <w:r>
        <w:rPr>
          <w:rFonts w:hint="eastAsia"/>
          <w:color w:val="000000"/>
          <w:szCs w:val="21"/>
          <w:lang w:eastAsia="zh-CN"/>
        </w:rPr>
        <w:t>（</w:t>
      </w:r>
      <w:r>
        <w:rPr>
          <w:rFonts w:hint="eastAsia"/>
          <w:color w:val="000000"/>
          <w:szCs w:val="21"/>
          <w:lang w:val="en-US" w:eastAsia="zh-CN"/>
        </w:rPr>
        <w:t>*mg/L）</w:t>
      </w:r>
    </w:p>
    <w:p>
      <w:pPr>
        <w:pStyle w:val="26"/>
        <w:ind w:firstLine="420"/>
        <w:rPr>
          <w:rFonts w:ascii="Times New Roman"/>
        </w:rPr>
      </w:pPr>
      <w:r>
        <w:rPr>
          <w:rFonts w:ascii="Times New Roman"/>
        </w:rPr>
        <w:t>称</w:t>
      </w:r>
      <w:r>
        <w:rPr>
          <w:rFonts w:hint="eastAsia"/>
          <w:color w:val="000000"/>
          <w:szCs w:val="21"/>
        </w:rPr>
        <w:t xml:space="preserve">取预先经105 </w:t>
      </w:r>
      <w:r>
        <w:rPr>
          <w:color w:val="000000"/>
          <w:szCs w:val="21"/>
        </w:rPr>
        <w:t>℃</w:t>
      </w:r>
      <w:r>
        <w:rPr>
          <w:rFonts w:hint="eastAsia"/>
          <w:color w:val="000000"/>
          <w:szCs w:val="21"/>
        </w:rPr>
        <w:t xml:space="preserve">～110 </w:t>
      </w:r>
      <w:r>
        <w:rPr>
          <w:color w:val="000000"/>
          <w:szCs w:val="21"/>
        </w:rPr>
        <w:t>℃</w:t>
      </w:r>
      <w:r>
        <w:rPr>
          <w:rFonts w:hint="eastAsia"/>
          <w:color w:val="000000"/>
          <w:szCs w:val="21"/>
        </w:rPr>
        <w:t>烘干的</w:t>
      </w:r>
      <w:r>
        <w:rPr>
          <w:rFonts w:ascii="Times New Roman"/>
        </w:rPr>
        <w:t>0.4394g磷酸二氢钾</w:t>
      </w:r>
      <w:r>
        <w:rPr>
          <w:rFonts w:hint="eastAsia" w:ascii="Times New Roman"/>
          <w:highlight w:val="yellow"/>
        </w:rPr>
        <w:t>（</w:t>
      </w:r>
      <w:r>
        <w:rPr>
          <w:rFonts w:hint="eastAsia" w:hAnsi="宋体"/>
          <w:color w:val="000000" w:themeColor="text1"/>
          <w:szCs w:val="21"/>
          <w:highlight w:val="yellow"/>
          <w14:textFill>
            <w14:solidFill>
              <w14:schemeClr w14:val="tx1"/>
            </w14:solidFill>
          </w14:textFill>
        </w:rPr>
        <w:t>ω</w:t>
      </w:r>
      <w:r>
        <w:rPr>
          <w:rFonts w:ascii="Arial" w:hAnsi="Arial" w:cs="Arial"/>
          <w:color w:val="333333"/>
          <w:szCs w:val="21"/>
          <w:highlight w:val="yellow"/>
          <w:shd w:val="clear" w:color="auto" w:fill="FFFFFF"/>
          <w:vertAlign w:val="subscript"/>
        </w:rPr>
        <w:t>KH2p04</w:t>
      </w:r>
      <w:r>
        <w:rPr>
          <w:rFonts w:hint="eastAsia" w:asciiTheme="minorEastAsia" w:hAnsiTheme="minorEastAsia" w:eastAsiaTheme="minorEastAsia"/>
          <w:color w:val="000000" w:themeColor="text1"/>
          <w:szCs w:val="21"/>
          <w:highlight w:val="yellow"/>
          <w14:textFill>
            <w14:solidFill>
              <w14:schemeClr w14:val="tx1"/>
            </w14:solidFill>
          </w14:textFill>
        </w:rPr>
        <w:t>≥99.99 %</w:t>
      </w:r>
      <w:r>
        <w:rPr>
          <w:rFonts w:hint="eastAsia" w:ascii="Times New Roman"/>
          <w:highlight w:val="yellow"/>
        </w:rPr>
        <w:t>）</w:t>
      </w:r>
      <w:r>
        <w:rPr>
          <w:rFonts w:ascii="Times New Roman"/>
        </w:rPr>
        <w:t>于烧杯中，加入5mL硝酸（5.1</w:t>
      </w:r>
      <w:r>
        <w:rPr>
          <w:rFonts w:hint="eastAsia" w:ascii="Times New Roman"/>
          <w:lang w:val="en-US" w:eastAsia="zh-CN"/>
        </w:rPr>
        <w:t>0</w:t>
      </w:r>
      <w:r>
        <w:rPr>
          <w:rFonts w:ascii="Times New Roman"/>
        </w:rPr>
        <w:t>），</w:t>
      </w:r>
      <w:r>
        <w:rPr>
          <w:rFonts w:hint="eastAsia"/>
          <w:color w:val="000000"/>
          <w:szCs w:val="21"/>
        </w:rPr>
        <w:t>加入100 mL水，盖上表面皿，低温溶解。待溶解完全后，移入</w:t>
      </w:r>
      <w:r>
        <w:rPr>
          <w:rFonts w:ascii="Times New Roman"/>
        </w:rPr>
        <w:t>1000mL容量瓶中，用水稀释至刻度，混匀。此溶液1mL含</w:t>
      </w:r>
      <w:r>
        <w:rPr>
          <w:color w:val="000000"/>
          <w:szCs w:val="21"/>
        </w:rPr>
        <w:t>10</w:t>
      </w:r>
      <w:r>
        <w:rPr>
          <w:rFonts w:hint="eastAsia"/>
          <w:color w:val="000000"/>
          <w:szCs w:val="21"/>
        </w:rPr>
        <w:t xml:space="preserve">0 </w:t>
      </w:r>
      <w:r>
        <w:rPr>
          <w:color w:val="000000"/>
          <w:szCs w:val="21"/>
        </w:rPr>
        <w:t>µ</w:t>
      </w:r>
      <w:r>
        <w:rPr>
          <w:rFonts w:hint="eastAsia"/>
          <w:color w:val="000000"/>
          <w:szCs w:val="21"/>
        </w:rPr>
        <w:t>g</w:t>
      </w:r>
      <w:r>
        <w:rPr>
          <w:rFonts w:ascii="Times New Roman"/>
        </w:rPr>
        <w:t>磷。</w:t>
      </w:r>
    </w:p>
    <w:p>
      <w:pPr>
        <w:tabs>
          <w:tab w:val="left" w:pos="1215"/>
        </w:tabs>
        <w:jc w:val="left"/>
        <w:outlineLvl w:val="1"/>
        <w:rPr>
          <w:color w:val="000000"/>
          <w:szCs w:val="21"/>
        </w:rPr>
      </w:pPr>
      <w:r>
        <w:rPr>
          <w:rFonts w:ascii="黑体" w:hAnsi="黑体" w:eastAsia="黑体"/>
        </w:rPr>
        <w:t>5.24</w:t>
      </w:r>
      <w:r>
        <w:rPr>
          <w:rFonts w:hint="eastAsia"/>
          <w:color w:val="000000"/>
          <w:szCs w:val="21"/>
        </w:rPr>
        <w:t>磷标准溶液</w:t>
      </w:r>
      <w:r>
        <w:rPr>
          <w:rFonts w:hint="eastAsia"/>
          <w:color w:val="000000"/>
          <w:szCs w:val="21"/>
          <w:lang w:eastAsia="zh-CN"/>
        </w:rPr>
        <w:t>（</w:t>
      </w:r>
      <w:r>
        <w:rPr>
          <w:rFonts w:hint="eastAsia"/>
          <w:color w:val="000000"/>
          <w:szCs w:val="21"/>
          <w:lang w:val="en-US" w:eastAsia="zh-CN"/>
        </w:rPr>
        <w:t>*mg/L）</w:t>
      </w:r>
    </w:p>
    <w:p>
      <w:pPr>
        <w:tabs>
          <w:tab w:val="left" w:pos="1215"/>
        </w:tabs>
        <w:ind w:firstLine="420" w:firstLineChars="200"/>
        <w:jc w:val="left"/>
        <w:outlineLvl w:val="1"/>
        <w:rPr>
          <w:color w:val="000000"/>
          <w:szCs w:val="21"/>
        </w:rPr>
      </w:pPr>
      <w:r>
        <w:rPr>
          <w:rFonts w:hint="eastAsia"/>
          <w:color w:val="000000"/>
          <w:szCs w:val="21"/>
        </w:rPr>
        <w:t>移取</w:t>
      </w:r>
      <w:r>
        <w:rPr>
          <w:color w:val="000000"/>
          <w:szCs w:val="21"/>
        </w:rPr>
        <w:t>1</w:t>
      </w:r>
      <w:r>
        <w:rPr>
          <w:rFonts w:hint="eastAsia"/>
          <w:color w:val="000000"/>
          <w:szCs w:val="21"/>
        </w:rPr>
        <w:t>0.00 mL磷标准贮存溶液（5.</w:t>
      </w:r>
      <w:r>
        <w:rPr>
          <w:color w:val="000000"/>
          <w:szCs w:val="21"/>
        </w:rPr>
        <w:t>2</w:t>
      </w:r>
      <w:r>
        <w:rPr>
          <w:rFonts w:hint="eastAsia"/>
          <w:color w:val="000000"/>
          <w:szCs w:val="21"/>
          <w:lang w:val="en-US" w:eastAsia="zh-CN"/>
        </w:rPr>
        <w:t>3</w:t>
      </w:r>
      <w:r>
        <w:rPr>
          <w:rFonts w:hint="eastAsia"/>
          <w:color w:val="000000"/>
          <w:szCs w:val="21"/>
        </w:rPr>
        <w:t xml:space="preserve">）于100 mL容量瓶中，用水稀释至刻度，混匀。此溶液1 mL含10 </w:t>
      </w:r>
      <w:r>
        <w:rPr>
          <w:color w:val="000000"/>
          <w:szCs w:val="21"/>
        </w:rPr>
        <w:t>µ</w:t>
      </w:r>
      <w:r>
        <w:rPr>
          <w:rFonts w:hint="eastAsia"/>
          <w:color w:val="000000"/>
          <w:szCs w:val="21"/>
        </w:rPr>
        <w:t>g磷。</w:t>
      </w:r>
    </w:p>
    <w:p>
      <w:pPr>
        <w:widowControl/>
        <w:numPr>
          <w:ilvl w:val="1"/>
          <w:numId w:val="0"/>
        </w:numPr>
        <w:spacing w:before="312" w:beforeLines="100" w:after="312" w:afterLines="100"/>
        <w:outlineLvl w:val="1"/>
        <w:rPr>
          <w:rFonts w:ascii="黑体" w:hAnsi="黑体" w:eastAsia="黑体"/>
          <w:kern w:val="0"/>
          <w:szCs w:val="20"/>
        </w:rPr>
      </w:pPr>
      <w:r>
        <w:rPr>
          <w:rFonts w:ascii="黑体" w:hAnsi="黑体" w:eastAsia="黑体"/>
          <w:kern w:val="0"/>
          <w:szCs w:val="20"/>
        </w:rPr>
        <w:t xml:space="preserve">6  </w:t>
      </w:r>
      <w:r>
        <w:rPr>
          <w:rFonts w:hint="eastAsia" w:ascii="黑体" w:hAnsi="黑体" w:eastAsia="黑体"/>
          <w:kern w:val="0"/>
          <w:szCs w:val="20"/>
        </w:rPr>
        <w:t>仪器设备</w:t>
      </w:r>
    </w:p>
    <w:p>
      <w:pPr>
        <w:pStyle w:val="37"/>
        <w:ind w:firstLine="210" w:firstLineChars="100"/>
        <w:jc w:val="left"/>
        <w:outlineLvl w:val="0"/>
        <w:rPr>
          <w:rFonts w:eastAsiaTheme="minorEastAsia"/>
          <w:bCs/>
        </w:rPr>
      </w:pPr>
      <w:r>
        <w:rPr>
          <w:rFonts w:hint="eastAsia" w:ascii="黑体" w:hAnsi="黑体" w:eastAsia="黑体"/>
          <w:kern w:val="0"/>
          <w:szCs w:val="20"/>
        </w:rPr>
        <w:t xml:space="preserve"> </w:t>
      </w:r>
      <w:r>
        <w:rPr>
          <w:rFonts w:ascii="黑体" w:hAnsi="黑体" w:eastAsia="黑体"/>
          <w:kern w:val="0"/>
          <w:szCs w:val="20"/>
        </w:rPr>
        <w:t xml:space="preserve"> </w:t>
      </w:r>
      <w:r>
        <w:rPr>
          <w:rFonts w:eastAsiaTheme="minorEastAsia"/>
          <w:kern w:val="0"/>
          <w:szCs w:val="20"/>
        </w:rPr>
        <w:t xml:space="preserve"> </w:t>
      </w:r>
      <w:r>
        <w:rPr>
          <w:rFonts w:hAnsiTheme="minorEastAsia" w:eastAsiaTheme="minorEastAsia"/>
          <w:bCs/>
        </w:rPr>
        <w:t>除普通的实验玻璃器皿，还应具备下列仪器设备：</w:t>
      </w:r>
    </w:p>
    <w:p>
      <w:pPr>
        <w:widowControl/>
        <w:numPr>
          <w:ilvl w:val="1"/>
          <w:numId w:val="0"/>
        </w:numPr>
        <w:outlineLvl w:val="1"/>
        <w:rPr>
          <w:rFonts w:eastAsiaTheme="minorEastAsia"/>
          <w:szCs w:val="21"/>
        </w:rPr>
      </w:pPr>
      <w:r>
        <w:rPr>
          <w:rFonts w:hint="eastAsia" w:ascii="黑体" w:hAnsi="黑体" w:eastAsia="黑体" w:cs="黑体"/>
          <w:szCs w:val="21"/>
        </w:rPr>
        <w:t xml:space="preserve">6.1 </w:t>
      </w:r>
      <w:r>
        <w:rPr>
          <w:rFonts w:eastAsiaTheme="minorEastAsia"/>
          <w:szCs w:val="21"/>
        </w:rPr>
        <w:t xml:space="preserve">250 mL塑料烧杯。可加热至150 </w:t>
      </w:r>
      <w:r>
        <w:rPr>
          <w:rFonts w:eastAsiaTheme="minorEastAsia"/>
          <w:color w:val="000000"/>
          <w:szCs w:val="21"/>
        </w:rPr>
        <w:t>℃</w:t>
      </w:r>
      <w:r>
        <w:rPr>
          <w:rFonts w:eastAsiaTheme="minorEastAsia"/>
          <w:szCs w:val="21"/>
        </w:rPr>
        <w:t>，PMP或碳氟聚合物较为推荐。</w:t>
      </w:r>
    </w:p>
    <w:p>
      <w:pPr>
        <w:widowControl/>
        <w:numPr>
          <w:ilvl w:val="1"/>
          <w:numId w:val="0"/>
        </w:numPr>
        <w:outlineLvl w:val="1"/>
        <w:rPr>
          <w:rFonts w:eastAsiaTheme="minorEastAsia"/>
          <w:szCs w:val="21"/>
        </w:rPr>
      </w:pPr>
      <w:r>
        <w:rPr>
          <w:rFonts w:hint="eastAsia" w:ascii="黑体" w:hAnsi="黑体" w:eastAsia="黑体" w:cs="黑体"/>
          <w:szCs w:val="21"/>
        </w:rPr>
        <w:t>6.2</w:t>
      </w:r>
      <w:r>
        <w:rPr>
          <w:rFonts w:eastAsiaTheme="minorEastAsia"/>
          <w:szCs w:val="21"/>
        </w:rPr>
        <w:t xml:space="preserve"> 塑料漏斗。</w:t>
      </w:r>
    </w:p>
    <w:p>
      <w:pPr>
        <w:widowControl/>
        <w:numPr>
          <w:ilvl w:val="1"/>
          <w:numId w:val="0"/>
        </w:numPr>
        <w:outlineLvl w:val="1"/>
        <w:rPr>
          <w:rFonts w:eastAsiaTheme="minorEastAsia"/>
          <w:szCs w:val="21"/>
        </w:rPr>
      </w:pPr>
      <w:r>
        <w:rPr>
          <w:rFonts w:hint="eastAsia" w:ascii="黑体" w:hAnsi="黑体" w:eastAsia="黑体" w:cs="黑体"/>
          <w:szCs w:val="21"/>
        </w:rPr>
        <w:t xml:space="preserve">6.3 </w:t>
      </w:r>
      <w:r>
        <w:rPr>
          <w:rFonts w:eastAsiaTheme="minorEastAsia"/>
          <w:szCs w:val="21"/>
        </w:rPr>
        <w:t>250 mL的分液漏斗。每个样品的测定需要两个分液漏斗。推荐使用带有聚四氟乙烯活塞或塑料活塞的漏斗。</w:t>
      </w:r>
    </w:p>
    <w:p>
      <w:pPr>
        <w:widowControl/>
        <w:numPr>
          <w:ilvl w:val="1"/>
          <w:numId w:val="0"/>
        </w:numPr>
        <w:outlineLvl w:val="1"/>
        <w:rPr>
          <w:rFonts w:eastAsiaTheme="minorEastAsia"/>
          <w:szCs w:val="21"/>
        </w:rPr>
      </w:pPr>
      <w:r>
        <w:rPr>
          <w:rFonts w:hint="eastAsia" w:ascii="黑体" w:hAnsi="黑体" w:eastAsia="黑体" w:cs="黑体"/>
          <w:szCs w:val="21"/>
        </w:rPr>
        <w:t xml:space="preserve">6.4 </w:t>
      </w:r>
      <w:r>
        <w:rPr>
          <w:rFonts w:eastAsiaTheme="minorEastAsia"/>
          <w:szCs w:val="21"/>
        </w:rPr>
        <w:t>容量瓶</w:t>
      </w:r>
      <w:r>
        <w:rPr>
          <w:rFonts w:hint="eastAsia" w:eastAsiaTheme="minorEastAsia"/>
          <w:szCs w:val="21"/>
        </w:rPr>
        <w:t>：</w:t>
      </w:r>
      <w:r>
        <w:rPr>
          <w:rFonts w:eastAsiaTheme="minorEastAsia"/>
          <w:szCs w:val="21"/>
          <w:shd w:val="clear" w:color="auto" w:fill="FFFFFF"/>
        </w:rPr>
        <w:t>符合</w:t>
      </w:r>
      <w:r>
        <w:rPr>
          <w:rFonts w:hint="eastAsia"/>
          <w:bCs/>
          <w:szCs w:val="21"/>
        </w:rPr>
        <w:t>GB/T 1280</w:t>
      </w:r>
      <w:r>
        <w:rPr>
          <w:rFonts w:hint="eastAsia"/>
          <w:bCs/>
          <w:szCs w:val="21"/>
          <w:lang w:val="en-US" w:eastAsia="zh-CN"/>
        </w:rPr>
        <w:t>6</w:t>
      </w:r>
      <w:r>
        <w:rPr>
          <w:rFonts w:eastAsiaTheme="minorEastAsia"/>
          <w:szCs w:val="21"/>
          <w:shd w:val="clear" w:color="auto" w:fill="FFFFFF"/>
        </w:rPr>
        <w:t>的A级要求。</w:t>
      </w:r>
    </w:p>
    <w:p>
      <w:pPr>
        <w:widowControl/>
        <w:numPr>
          <w:ilvl w:val="1"/>
          <w:numId w:val="0"/>
        </w:numPr>
        <w:outlineLvl w:val="1"/>
        <w:rPr>
          <w:rFonts w:eastAsiaTheme="minorEastAsia"/>
          <w:szCs w:val="21"/>
        </w:rPr>
      </w:pPr>
      <w:r>
        <w:rPr>
          <w:rFonts w:eastAsiaTheme="minorEastAsia"/>
          <w:szCs w:val="21"/>
        </w:rPr>
        <w:t>6.5 紫外可见分光光度计</w:t>
      </w:r>
      <w:r>
        <w:rPr>
          <w:rFonts w:hint="eastAsia" w:eastAsiaTheme="minorEastAsia"/>
          <w:szCs w:val="21"/>
        </w:rPr>
        <w:t>：</w:t>
      </w:r>
      <w:r>
        <w:rPr>
          <w:rFonts w:hint="eastAsia" w:hAnsiTheme="minorEastAsia" w:eastAsiaTheme="minorEastAsia"/>
          <w:bCs/>
        </w:rPr>
        <w:t>配有</w:t>
      </w:r>
      <w:r>
        <w:rPr>
          <w:rFonts w:eastAsiaTheme="minorEastAsia"/>
          <w:bCs/>
        </w:rPr>
        <w:t>1 cm</w:t>
      </w:r>
      <w:r>
        <w:rPr>
          <w:rFonts w:hint="eastAsia" w:eastAsiaTheme="minorEastAsia"/>
          <w:bCs/>
          <w:lang w:val="en-US" w:eastAsia="zh-CN"/>
        </w:rPr>
        <w:t>或2cm</w:t>
      </w:r>
      <w:r>
        <w:rPr>
          <w:rFonts w:hAnsiTheme="minorEastAsia" w:eastAsiaTheme="minorEastAsia"/>
          <w:bCs/>
        </w:rPr>
        <w:t>的吸收皿。</w:t>
      </w:r>
    </w:p>
    <w:p>
      <w:pPr>
        <w:widowControl/>
        <w:numPr>
          <w:ilvl w:val="1"/>
          <w:numId w:val="0"/>
        </w:numPr>
        <w:spacing w:before="156" w:beforeLines="50" w:after="156" w:afterLines="50"/>
        <w:outlineLvl w:val="1"/>
        <w:rPr>
          <w:rFonts w:ascii="黑体" w:hAnsi="黑体" w:eastAsia="黑体" w:cs="黑体"/>
          <w:kern w:val="0"/>
          <w:szCs w:val="21"/>
        </w:rPr>
      </w:pPr>
      <w:r>
        <w:rPr>
          <w:rFonts w:hint="eastAsia" w:ascii="黑体" w:hAnsi="黑体" w:eastAsia="黑体" w:cs="黑体"/>
          <w:kern w:val="0"/>
          <w:szCs w:val="21"/>
        </w:rPr>
        <w:t>7 取样及制样</w:t>
      </w:r>
    </w:p>
    <w:p>
      <w:pPr>
        <w:widowControl/>
        <w:tabs>
          <w:tab w:val="center" w:pos="4201"/>
          <w:tab w:val="right" w:leader="dot" w:pos="9298"/>
        </w:tabs>
        <w:autoSpaceDE w:val="0"/>
        <w:autoSpaceDN w:val="0"/>
        <w:rPr>
          <w:kern w:val="0"/>
          <w:sz w:val="22"/>
          <w:szCs w:val="21"/>
        </w:rPr>
      </w:pPr>
      <w:r>
        <w:rPr>
          <w:rFonts w:hint="eastAsia"/>
          <w:kern w:val="0"/>
          <w:szCs w:val="21"/>
          <w:shd w:val="clear" w:color="auto" w:fill="FFFFFF"/>
        </w:rPr>
        <w:t>7.1样品</w:t>
      </w:r>
      <w:r>
        <w:rPr>
          <w:kern w:val="0"/>
          <w:szCs w:val="21"/>
          <w:shd w:val="clear" w:color="auto" w:fill="FFFFFF"/>
        </w:rPr>
        <w:t>的取样和制备应按</w:t>
      </w:r>
      <w:r>
        <w:rPr>
          <w:rFonts w:hint="eastAsia"/>
          <w:kern w:val="0"/>
          <w:szCs w:val="21"/>
          <w:shd w:val="clear" w:color="auto" w:fill="FFFFFF"/>
        </w:rPr>
        <w:t>买卖双方的协议</w:t>
      </w:r>
      <w:r>
        <w:rPr>
          <w:kern w:val="0"/>
          <w:szCs w:val="21"/>
          <w:shd w:val="clear" w:color="auto" w:fill="FFFFFF"/>
        </w:rPr>
        <w:t>程序进行，在发生争议时，按</w:t>
      </w:r>
      <w:r>
        <w:rPr>
          <w:rFonts w:hint="eastAsia"/>
          <w:kern w:val="0"/>
          <w:szCs w:val="21"/>
          <w:shd w:val="clear" w:color="auto" w:fill="FFFFFF"/>
        </w:rPr>
        <w:t>相应</w:t>
      </w:r>
      <w:r>
        <w:rPr>
          <w:kern w:val="0"/>
          <w:szCs w:val="21"/>
          <w:shd w:val="clear" w:color="auto" w:fill="FFFFFF"/>
        </w:rPr>
        <w:t>的国家标准进行</w:t>
      </w:r>
      <w:r>
        <w:rPr>
          <w:kern w:val="0"/>
          <w:sz w:val="22"/>
          <w:szCs w:val="21"/>
        </w:rPr>
        <w:t>。</w:t>
      </w:r>
    </w:p>
    <w:p>
      <w:pPr>
        <w:widowControl/>
        <w:tabs>
          <w:tab w:val="center" w:pos="4201"/>
          <w:tab w:val="right" w:leader="dot" w:pos="9298"/>
        </w:tabs>
        <w:autoSpaceDE w:val="0"/>
        <w:autoSpaceDN w:val="0"/>
        <w:rPr>
          <w:kern w:val="0"/>
          <w:szCs w:val="21"/>
        </w:rPr>
      </w:pPr>
      <w:r>
        <w:rPr>
          <w:kern w:val="0"/>
          <w:szCs w:val="21"/>
          <w:shd w:val="clear" w:color="auto" w:fill="FFFFFF"/>
        </w:rPr>
        <w:t>7.2</w:t>
      </w:r>
      <w:r>
        <w:rPr>
          <w:rFonts w:hint="eastAsia"/>
          <w:kern w:val="0"/>
          <w:szCs w:val="21"/>
          <w:shd w:val="clear" w:color="auto" w:fill="FFFFFF"/>
        </w:rPr>
        <w:t>样品</w:t>
      </w:r>
      <w:r>
        <w:rPr>
          <w:kern w:val="0"/>
          <w:szCs w:val="21"/>
        </w:rPr>
        <w:t>以铣或钻加工而成，不需要进一步的制备。</w:t>
      </w:r>
    </w:p>
    <w:p>
      <w:pPr>
        <w:widowControl/>
        <w:tabs>
          <w:tab w:val="center" w:pos="4201"/>
          <w:tab w:val="right" w:leader="dot" w:pos="9298"/>
        </w:tabs>
        <w:autoSpaceDE w:val="0"/>
        <w:autoSpaceDN w:val="0"/>
        <w:rPr>
          <w:kern w:val="0"/>
          <w:sz w:val="22"/>
          <w:szCs w:val="21"/>
        </w:rPr>
      </w:pPr>
      <w:r>
        <w:rPr>
          <w:kern w:val="0"/>
          <w:szCs w:val="21"/>
          <w:shd w:val="clear" w:color="auto" w:fill="FFFFFF"/>
        </w:rPr>
        <w:t>7.3</w:t>
      </w:r>
      <w:r>
        <w:rPr>
          <w:rFonts w:hint="eastAsia"/>
          <w:kern w:val="0"/>
          <w:szCs w:val="21"/>
          <w:shd w:val="clear" w:color="auto" w:fill="FFFFFF"/>
        </w:rPr>
        <w:t>若样品</w:t>
      </w:r>
      <w:r>
        <w:rPr>
          <w:kern w:val="0"/>
          <w:szCs w:val="21"/>
          <w:shd w:val="clear" w:color="auto" w:fill="FFFFFF"/>
        </w:rPr>
        <w:t>被铣或钻孔过程中产生的油或油脂污染，应用高纯度丙酮清洗，然后在空气中干燥。</w:t>
      </w:r>
    </w:p>
    <w:p>
      <w:pPr>
        <w:widowControl/>
        <w:tabs>
          <w:tab w:val="center" w:pos="4201"/>
          <w:tab w:val="right" w:leader="dot" w:pos="9298"/>
        </w:tabs>
        <w:autoSpaceDE w:val="0"/>
        <w:autoSpaceDN w:val="0"/>
        <w:rPr>
          <w:kern w:val="0"/>
          <w:sz w:val="22"/>
          <w:szCs w:val="21"/>
        </w:rPr>
      </w:pPr>
      <w:r>
        <w:rPr>
          <w:kern w:val="0"/>
          <w:szCs w:val="21"/>
        </w:rPr>
        <w:t>7.4</w:t>
      </w:r>
      <w:r>
        <w:rPr>
          <w:rFonts w:hint="eastAsia"/>
          <w:kern w:val="0"/>
          <w:szCs w:val="21"/>
        </w:rPr>
        <w:t>若</w:t>
      </w:r>
      <w:r>
        <w:rPr>
          <w:rFonts w:hint="eastAsia"/>
          <w:kern w:val="0"/>
          <w:szCs w:val="21"/>
          <w:shd w:val="clear" w:color="auto" w:fill="FFFFFF"/>
        </w:rPr>
        <w:t>样品</w:t>
      </w:r>
      <w:r>
        <w:rPr>
          <w:kern w:val="0"/>
          <w:szCs w:val="21"/>
        </w:rPr>
        <w:t>中含有颗粒或颗粒大小相差较大的碎片，则测试样品</w:t>
      </w:r>
      <w:r>
        <w:rPr>
          <w:rFonts w:hint="eastAsia"/>
          <w:kern w:val="0"/>
          <w:szCs w:val="21"/>
          <w:lang w:val="en-US" w:eastAsia="zh-CN"/>
        </w:rPr>
        <w:t>宜</w:t>
      </w:r>
      <w:r>
        <w:rPr>
          <w:kern w:val="0"/>
          <w:szCs w:val="21"/>
        </w:rPr>
        <w:t>采用随机分样器分取</w:t>
      </w:r>
      <w:r>
        <w:rPr>
          <w:kern w:val="0"/>
          <w:sz w:val="22"/>
          <w:szCs w:val="21"/>
        </w:rPr>
        <w:t>。</w:t>
      </w:r>
    </w:p>
    <w:p>
      <w:pPr>
        <w:widowControl/>
        <w:numPr>
          <w:ilvl w:val="1"/>
          <w:numId w:val="0"/>
        </w:numPr>
        <w:spacing w:before="312" w:beforeLines="100" w:after="312" w:afterLines="100"/>
        <w:outlineLvl w:val="1"/>
        <w:rPr>
          <w:rFonts w:ascii="黑体" w:hAnsi="黑体" w:eastAsia="黑体"/>
          <w:kern w:val="0"/>
          <w:szCs w:val="20"/>
        </w:rPr>
      </w:pPr>
      <w:r>
        <w:rPr>
          <w:rFonts w:ascii="黑体" w:hAnsi="黑体" w:eastAsia="黑体"/>
          <w:kern w:val="0"/>
          <w:szCs w:val="20"/>
        </w:rPr>
        <w:t xml:space="preserve">8  </w:t>
      </w:r>
      <w:r>
        <w:rPr>
          <w:rFonts w:hint="eastAsia" w:ascii="黑体" w:hAnsi="黑体" w:eastAsia="黑体"/>
          <w:kern w:val="0"/>
          <w:szCs w:val="20"/>
        </w:rPr>
        <w:t>试验步骤</w:t>
      </w:r>
    </w:p>
    <w:p>
      <w:pPr>
        <w:widowControl/>
        <w:numPr>
          <w:ilvl w:val="1"/>
          <w:numId w:val="0"/>
        </w:numPr>
        <w:spacing w:before="156" w:beforeLines="50" w:after="156" w:afterLines="50"/>
        <w:outlineLvl w:val="1"/>
        <w:rPr>
          <w:rFonts w:ascii="黑体" w:hAnsi="黑体" w:eastAsia="黑体"/>
          <w:kern w:val="0"/>
          <w:szCs w:val="20"/>
        </w:rPr>
      </w:pPr>
      <w:r>
        <w:rPr>
          <w:rFonts w:ascii="黑体" w:hAnsi="黑体" w:eastAsia="黑体"/>
          <w:kern w:val="0"/>
          <w:szCs w:val="20"/>
        </w:rPr>
        <w:t xml:space="preserve">8.1  </w:t>
      </w:r>
      <w:r>
        <w:rPr>
          <w:rFonts w:hint="eastAsia" w:ascii="黑体" w:hAnsi="黑体" w:eastAsia="黑体"/>
          <w:kern w:val="0"/>
          <w:szCs w:val="20"/>
        </w:rPr>
        <w:t>试料</w:t>
      </w:r>
    </w:p>
    <w:p>
      <w:pPr>
        <w:ind w:firstLine="420" w:firstLineChars="200"/>
        <w:jc w:val="left"/>
        <w:rPr>
          <w:rFonts w:ascii="宋体"/>
          <w:kern w:val="0"/>
          <w:szCs w:val="20"/>
        </w:rPr>
      </w:pPr>
      <w:r>
        <w:rPr>
          <w:rFonts w:hint="eastAsia" w:ascii="宋体" w:hAnsi="宋体"/>
          <w:kern w:val="0"/>
          <w:szCs w:val="20"/>
        </w:rPr>
        <w:t>按表</w:t>
      </w:r>
      <w:r>
        <w:rPr>
          <w:rFonts w:ascii="宋体" w:hAnsi="宋体"/>
          <w:kern w:val="0"/>
          <w:szCs w:val="20"/>
        </w:rPr>
        <w:t>1</w:t>
      </w:r>
      <w:r>
        <w:rPr>
          <w:rFonts w:hint="eastAsia" w:ascii="宋体" w:hAnsi="宋体"/>
          <w:kern w:val="0"/>
          <w:szCs w:val="20"/>
        </w:rPr>
        <w:t>称取样</w:t>
      </w:r>
      <w:r>
        <w:rPr>
          <w:rFonts w:hint="eastAsia" w:ascii="宋体" w:hAnsi="宋体"/>
          <w:color w:val="000000"/>
          <w:kern w:val="0"/>
          <w:szCs w:val="20"/>
        </w:rPr>
        <w:t>品（</w:t>
      </w:r>
      <w:r>
        <w:rPr>
          <w:rFonts w:ascii="宋体" w:hAnsi="宋体"/>
          <w:color w:val="000000"/>
          <w:kern w:val="0"/>
          <w:szCs w:val="20"/>
        </w:rPr>
        <w:t>7</w:t>
      </w:r>
      <w:r>
        <w:rPr>
          <w:rFonts w:hint="eastAsia" w:ascii="宋体" w:hAnsi="宋体"/>
          <w:color w:val="000000"/>
          <w:kern w:val="0"/>
          <w:szCs w:val="20"/>
        </w:rPr>
        <w:t>）</w:t>
      </w:r>
      <w:r>
        <w:rPr>
          <w:rFonts w:hint="eastAsia" w:ascii="宋体" w:hAnsi="宋体"/>
          <w:kern w:val="0"/>
          <w:szCs w:val="20"/>
        </w:rPr>
        <w:t>，精确至</w:t>
      </w:r>
      <w:r>
        <w:rPr>
          <w:rFonts w:ascii="宋体" w:hAnsi="宋体"/>
          <w:kern w:val="0"/>
          <w:szCs w:val="20"/>
        </w:rPr>
        <w:t>0.0001g</w:t>
      </w:r>
      <w:r>
        <w:rPr>
          <w:rFonts w:hint="eastAsia" w:ascii="宋体" w:hAnsi="宋体"/>
          <w:kern w:val="0"/>
          <w:szCs w:val="20"/>
        </w:rPr>
        <w:t>。</w:t>
      </w:r>
    </w:p>
    <w:p>
      <w:pPr>
        <w:spacing w:before="50" w:after="50"/>
        <w:ind w:firstLine="420" w:firstLineChars="200"/>
        <w:jc w:val="center"/>
        <w:rPr>
          <w:rFonts w:ascii="黑体" w:hAnsi="黑体" w:eastAsia="黑体"/>
          <w:kern w:val="0"/>
          <w:szCs w:val="21"/>
        </w:rPr>
      </w:pPr>
      <w:r>
        <w:rPr>
          <w:rFonts w:hint="eastAsia" w:ascii="黑体" w:hAnsi="黑体" w:eastAsia="黑体"/>
          <w:kern w:val="0"/>
          <w:szCs w:val="21"/>
        </w:rPr>
        <w:t>表</w:t>
      </w:r>
      <w:r>
        <w:rPr>
          <w:rFonts w:ascii="黑体" w:hAnsi="黑体" w:eastAsia="黑体"/>
          <w:kern w:val="0"/>
          <w:szCs w:val="21"/>
        </w:rPr>
        <w:t>1</w:t>
      </w:r>
      <w:r>
        <w:rPr>
          <w:rFonts w:hint="eastAsia" w:ascii="黑体" w:hAnsi="黑体" w:eastAsia="黑体"/>
          <w:kern w:val="0"/>
          <w:szCs w:val="21"/>
        </w:rPr>
        <w:t>试料量</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500" w:type="pct"/>
            <w:tcBorders>
              <w:top w:val="single" w:color="auto" w:sz="8" w:space="0"/>
              <w:left w:val="single" w:color="auto" w:sz="8" w:space="0"/>
              <w:bottom w:val="single" w:color="auto" w:sz="8" w:space="0"/>
            </w:tcBorders>
            <w:noWrap/>
            <w:vAlign w:val="center"/>
          </w:tcPr>
          <w:p>
            <w:pPr>
              <w:widowControl/>
              <w:jc w:val="center"/>
              <w:rPr>
                <w:rFonts w:ascii="宋体"/>
                <w:kern w:val="0"/>
                <w:sz w:val="18"/>
                <w:szCs w:val="18"/>
              </w:rPr>
            </w:pPr>
            <w:r>
              <w:rPr>
                <w:rFonts w:hint="eastAsia" w:ascii="宋体" w:hAnsi="宋体"/>
                <w:kern w:val="0"/>
                <w:sz w:val="18"/>
                <w:szCs w:val="18"/>
              </w:rPr>
              <w:t>质量分数</w:t>
            </w:r>
            <w:r>
              <w:rPr>
                <w:rFonts w:ascii="宋体" w:hAnsi="宋体"/>
                <w:kern w:val="0"/>
                <w:sz w:val="18"/>
                <w:szCs w:val="18"/>
              </w:rPr>
              <w:t>/%</w:t>
            </w:r>
          </w:p>
        </w:tc>
        <w:tc>
          <w:tcPr>
            <w:tcW w:w="2500" w:type="pct"/>
            <w:tcBorders>
              <w:top w:val="single" w:color="auto" w:sz="8" w:space="0"/>
              <w:bottom w:val="single" w:color="auto" w:sz="8" w:space="0"/>
              <w:right w:val="single" w:color="auto" w:sz="8" w:space="0"/>
            </w:tcBorders>
            <w:noWrap/>
            <w:vAlign w:val="center"/>
          </w:tcPr>
          <w:p>
            <w:pPr>
              <w:widowControl/>
              <w:jc w:val="center"/>
              <w:rPr>
                <w:rFonts w:ascii="宋体"/>
                <w:kern w:val="0"/>
                <w:sz w:val="18"/>
                <w:szCs w:val="18"/>
              </w:rPr>
            </w:pPr>
            <w:r>
              <w:rPr>
                <w:rFonts w:hint="eastAsia" w:ascii="宋体" w:hAnsi="宋体"/>
                <w:kern w:val="0"/>
                <w:sz w:val="18"/>
                <w:szCs w:val="18"/>
              </w:rPr>
              <w:t>试料量</w:t>
            </w:r>
            <w:r>
              <w:rPr>
                <w:rFonts w:ascii="宋体" w:hAnsi="宋体"/>
                <w:kern w:val="0"/>
                <w:sz w:val="18"/>
                <w:szCs w:val="18"/>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500" w:type="pct"/>
            <w:tcBorders>
              <w:top w:val="single" w:color="auto" w:sz="8" w:space="0"/>
              <w:left w:val="single" w:color="auto" w:sz="8" w:space="0"/>
            </w:tcBorders>
            <w:noWrap/>
            <w:vAlign w:val="center"/>
          </w:tcPr>
          <w:p>
            <w:pPr>
              <w:widowControl/>
              <w:jc w:val="center"/>
              <w:rPr>
                <w:rFonts w:ascii="宋体"/>
                <w:kern w:val="0"/>
                <w:sz w:val="18"/>
                <w:szCs w:val="18"/>
              </w:rPr>
            </w:pPr>
            <w:r>
              <w:rPr>
                <w:rFonts w:ascii="宋体" w:hAnsi="宋体"/>
                <w:kern w:val="0"/>
                <w:sz w:val="18"/>
                <w:szCs w:val="18"/>
              </w:rPr>
              <w:t>0.001</w:t>
            </w:r>
            <w:r>
              <w:rPr>
                <w:rFonts w:hint="eastAsia" w:ascii="宋体" w:hAnsi="宋体"/>
                <w:kern w:val="0"/>
                <w:sz w:val="18"/>
                <w:szCs w:val="18"/>
              </w:rPr>
              <w:t>0～</w:t>
            </w:r>
            <w:r>
              <w:rPr>
                <w:rFonts w:ascii="宋体" w:hAnsi="宋体"/>
                <w:kern w:val="0"/>
                <w:sz w:val="18"/>
                <w:szCs w:val="18"/>
              </w:rPr>
              <w:t>0.</w:t>
            </w:r>
            <w:r>
              <w:rPr>
                <w:rFonts w:hint="eastAsia" w:ascii="宋体" w:hAnsi="宋体"/>
                <w:kern w:val="0"/>
                <w:sz w:val="18"/>
                <w:szCs w:val="18"/>
              </w:rPr>
              <w:t>0</w:t>
            </w:r>
            <w:r>
              <w:rPr>
                <w:rFonts w:ascii="宋体" w:hAnsi="宋体"/>
                <w:kern w:val="0"/>
                <w:sz w:val="18"/>
                <w:szCs w:val="18"/>
              </w:rPr>
              <w:t>10</w:t>
            </w:r>
          </w:p>
        </w:tc>
        <w:tc>
          <w:tcPr>
            <w:tcW w:w="2500" w:type="pct"/>
            <w:tcBorders>
              <w:top w:val="single" w:color="auto" w:sz="8" w:space="0"/>
              <w:right w:val="single" w:color="auto" w:sz="8" w:space="0"/>
            </w:tcBorders>
            <w:noWrap/>
            <w:vAlign w:val="center"/>
          </w:tcPr>
          <w:p>
            <w:pPr>
              <w:widowControl/>
              <w:jc w:val="center"/>
              <w:rPr>
                <w:rFonts w:ascii="宋体"/>
                <w:kern w:val="0"/>
                <w:sz w:val="18"/>
                <w:szCs w:val="18"/>
              </w:rPr>
            </w:pPr>
            <w:r>
              <w:rPr>
                <w:rFonts w:ascii="宋体" w:hAnsi="宋体"/>
                <w:sz w:val="18"/>
                <w:szCs w:val="18"/>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500" w:type="pct"/>
            <w:tcBorders>
              <w:left w:val="single" w:color="auto" w:sz="8" w:space="0"/>
              <w:bottom w:val="single" w:color="auto" w:sz="8" w:space="0"/>
            </w:tcBorders>
            <w:noWrap/>
            <w:vAlign w:val="center"/>
          </w:tcPr>
          <w:p>
            <w:pPr>
              <w:widowControl/>
              <w:jc w:val="center"/>
              <w:rPr>
                <w:rFonts w:ascii="宋体"/>
                <w:kern w:val="0"/>
                <w:sz w:val="18"/>
                <w:szCs w:val="18"/>
              </w:rPr>
            </w:pPr>
            <w:r>
              <w:rPr>
                <w:rFonts w:hint="eastAsia" w:ascii="宋体" w:hAnsi="宋体"/>
                <w:kern w:val="0"/>
                <w:sz w:val="18"/>
                <w:szCs w:val="18"/>
              </w:rPr>
              <w:t>＞</w:t>
            </w:r>
            <w:r>
              <w:rPr>
                <w:rFonts w:ascii="宋体" w:hAnsi="宋体"/>
                <w:kern w:val="0"/>
                <w:sz w:val="18"/>
                <w:szCs w:val="18"/>
              </w:rPr>
              <w:t>0.01</w:t>
            </w:r>
            <w:r>
              <w:rPr>
                <w:rFonts w:hint="eastAsia" w:ascii="宋体" w:hAnsi="宋体"/>
                <w:kern w:val="0"/>
                <w:sz w:val="18"/>
                <w:szCs w:val="18"/>
              </w:rPr>
              <w:t>0～</w:t>
            </w:r>
            <w:r>
              <w:rPr>
                <w:rFonts w:ascii="宋体" w:hAnsi="宋体"/>
                <w:kern w:val="0"/>
                <w:sz w:val="18"/>
                <w:szCs w:val="18"/>
              </w:rPr>
              <w:t>0.025</w:t>
            </w:r>
          </w:p>
        </w:tc>
        <w:tc>
          <w:tcPr>
            <w:tcW w:w="2500" w:type="pct"/>
            <w:tcBorders>
              <w:bottom w:val="single" w:color="auto" w:sz="8" w:space="0"/>
              <w:right w:val="single" w:color="auto" w:sz="8" w:space="0"/>
            </w:tcBorders>
            <w:noWrap/>
            <w:vAlign w:val="center"/>
          </w:tcPr>
          <w:p>
            <w:pPr>
              <w:widowControl/>
              <w:jc w:val="center"/>
              <w:rPr>
                <w:rFonts w:ascii="宋体"/>
                <w:kern w:val="0"/>
                <w:sz w:val="18"/>
                <w:szCs w:val="18"/>
              </w:rPr>
            </w:pPr>
            <w:r>
              <w:rPr>
                <w:rFonts w:ascii="宋体" w:hAnsi="宋体"/>
                <w:sz w:val="18"/>
                <w:szCs w:val="18"/>
              </w:rPr>
              <w:t>0.20</w:t>
            </w:r>
          </w:p>
        </w:tc>
      </w:tr>
    </w:tbl>
    <w:p>
      <w:pPr>
        <w:widowControl/>
        <w:numPr>
          <w:ilvl w:val="1"/>
          <w:numId w:val="0"/>
        </w:numPr>
        <w:spacing w:before="156" w:beforeLines="50" w:after="156" w:afterLines="50"/>
        <w:outlineLvl w:val="1"/>
        <w:rPr>
          <w:rFonts w:ascii="黑体" w:hAnsi="黑体" w:eastAsia="黑体"/>
          <w:kern w:val="0"/>
          <w:szCs w:val="20"/>
        </w:rPr>
      </w:pPr>
      <w:r>
        <w:rPr>
          <w:rFonts w:ascii="黑体" w:hAnsi="黑体" w:eastAsia="黑体"/>
          <w:kern w:val="0"/>
          <w:szCs w:val="20"/>
        </w:rPr>
        <w:t xml:space="preserve">8.2  </w:t>
      </w:r>
      <w:r>
        <w:rPr>
          <w:rFonts w:hint="eastAsia" w:ascii="黑体" w:hAnsi="黑体" w:eastAsia="黑体"/>
          <w:kern w:val="0"/>
          <w:szCs w:val="20"/>
        </w:rPr>
        <w:t>空白试验</w:t>
      </w:r>
    </w:p>
    <w:p>
      <w:pPr>
        <w:ind w:firstLine="420" w:firstLineChars="200"/>
        <w:jc w:val="left"/>
        <w:rPr>
          <w:rFonts w:ascii="宋体" w:hAnsi="宋体"/>
          <w:kern w:val="0"/>
          <w:szCs w:val="20"/>
        </w:rPr>
      </w:pPr>
      <w:r>
        <w:rPr>
          <w:rFonts w:hint="eastAsia" w:ascii="宋体" w:hAnsi="宋体"/>
          <w:kern w:val="0"/>
          <w:szCs w:val="20"/>
        </w:rPr>
        <w:t>随同试料做空白试验。</w:t>
      </w:r>
    </w:p>
    <w:p>
      <w:pPr>
        <w:pStyle w:val="26"/>
        <w:tabs>
          <w:tab w:val="center" w:pos="4201"/>
          <w:tab w:val="right" w:leader="dot" w:pos="9298"/>
        </w:tabs>
        <w:ind w:firstLine="0" w:firstLineChars="0"/>
        <w:rPr>
          <w:rFonts w:ascii="Times New Roman"/>
          <w:b/>
          <w:bCs/>
          <w:szCs w:val="21"/>
        </w:rPr>
      </w:pPr>
      <w:r>
        <w:rPr>
          <w:rFonts w:hint="eastAsia" w:ascii="黑体" w:hAnsi="黑体" w:eastAsia="黑体" w:cs="黑体"/>
          <w:bCs/>
          <w:kern w:val="2"/>
          <w:szCs w:val="24"/>
        </w:rPr>
        <w:t xml:space="preserve">8.3 </w:t>
      </w:r>
      <w:r>
        <w:rPr>
          <w:rFonts w:hint="eastAsia" w:ascii="Times New Roman"/>
          <w:b/>
          <w:bCs/>
          <w:szCs w:val="21"/>
        </w:rPr>
        <w:t>测定次数</w:t>
      </w:r>
    </w:p>
    <w:p>
      <w:pPr>
        <w:pStyle w:val="26"/>
        <w:tabs>
          <w:tab w:val="center" w:pos="4201"/>
          <w:tab w:val="right" w:leader="dot" w:pos="9298"/>
        </w:tabs>
        <w:ind w:firstLine="420"/>
        <w:rPr>
          <w:rFonts w:ascii="Times New Roman"/>
          <w:b/>
          <w:bCs/>
          <w:szCs w:val="21"/>
        </w:rPr>
      </w:pPr>
      <w:r>
        <w:rPr>
          <w:rFonts w:hint="eastAsia"/>
        </w:rPr>
        <w:t>独立地进行两次测定，取其平均值。</w:t>
      </w:r>
    </w:p>
    <w:p>
      <w:pPr>
        <w:widowControl/>
        <w:numPr>
          <w:ilvl w:val="1"/>
          <w:numId w:val="0"/>
        </w:numPr>
        <w:spacing w:before="156" w:beforeLines="50" w:after="156" w:afterLines="50"/>
        <w:outlineLvl w:val="1"/>
        <w:rPr>
          <w:rFonts w:ascii="黑体" w:hAnsi="黑体" w:eastAsia="黑体"/>
          <w:kern w:val="0"/>
          <w:szCs w:val="20"/>
        </w:rPr>
      </w:pPr>
      <w:r>
        <w:rPr>
          <w:rFonts w:ascii="黑体" w:hAnsi="黑体" w:eastAsia="黑体"/>
          <w:kern w:val="0"/>
          <w:szCs w:val="20"/>
        </w:rPr>
        <w:t xml:space="preserve">8.4  </w:t>
      </w:r>
      <w:r>
        <w:rPr>
          <w:rFonts w:hint="eastAsia" w:ascii="黑体" w:hAnsi="黑体" w:eastAsia="黑体"/>
          <w:kern w:val="0"/>
          <w:szCs w:val="20"/>
        </w:rPr>
        <w:t>测定</w:t>
      </w:r>
    </w:p>
    <w:p>
      <w:pPr>
        <w:pStyle w:val="25"/>
        <w:numPr>
          <w:ilvl w:val="0"/>
          <w:numId w:val="0"/>
        </w:numPr>
        <w:rPr>
          <w:rFonts w:ascii="Times New Roman" w:eastAsia="宋体"/>
          <w:bCs/>
          <w:kern w:val="2"/>
          <w:szCs w:val="24"/>
        </w:rPr>
      </w:pPr>
      <w:r>
        <w:rPr>
          <w:rFonts w:hAnsi="黑体"/>
          <w:kern w:val="0"/>
        </w:rPr>
        <w:t>8.4</w:t>
      </w:r>
      <w:r>
        <w:rPr>
          <w:rFonts w:hint="eastAsia" w:hAnsi="黑体"/>
          <w:kern w:val="0"/>
        </w:rPr>
        <w:t>.1</w:t>
      </w:r>
      <w:r>
        <w:rPr>
          <w:rFonts w:ascii="Times New Roman" w:hAnsi="宋体" w:eastAsia="宋体"/>
          <w:bCs/>
          <w:kern w:val="2"/>
          <w:szCs w:val="24"/>
        </w:rPr>
        <w:t>将试料</w:t>
      </w:r>
      <w:r>
        <w:rPr>
          <w:rFonts w:hint="eastAsia" w:ascii="Times New Roman" w:hAnsi="宋体" w:eastAsia="宋体"/>
          <w:bCs/>
          <w:kern w:val="2"/>
          <w:szCs w:val="24"/>
          <w:lang w:eastAsia="zh-CN"/>
        </w:rPr>
        <w:t>（</w:t>
      </w:r>
      <w:r>
        <w:rPr>
          <w:rFonts w:hint="eastAsia" w:ascii="Times New Roman" w:hAnsi="宋体" w:eastAsia="宋体"/>
          <w:bCs/>
          <w:kern w:val="2"/>
          <w:szCs w:val="24"/>
          <w:lang w:val="en-US" w:eastAsia="zh-CN"/>
        </w:rPr>
        <w:t>8.1）</w:t>
      </w:r>
      <w:r>
        <w:rPr>
          <w:rFonts w:ascii="Times New Roman" w:hAnsi="宋体" w:eastAsia="宋体"/>
          <w:bCs/>
          <w:kern w:val="2"/>
          <w:szCs w:val="24"/>
        </w:rPr>
        <w:t>置于</w:t>
      </w:r>
      <w:r>
        <w:rPr>
          <w:rFonts w:ascii="Times New Roman" w:eastAsia="宋体"/>
          <w:bCs/>
          <w:kern w:val="2"/>
          <w:szCs w:val="24"/>
        </w:rPr>
        <w:t>150mL</w:t>
      </w:r>
      <w:r>
        <w:rPr>
          <w:rFonts w:ascii="Times New Roman" w:hAnsi="宋体" w:eastAsia="宋体"/>
          <w:bCs/>
          <w:kern w:val="2"/>
          <w:szCs w:val="24"/>
        </w:rPr>
        <w:t>烧杯中，加入</w:t>
      </w:r>
      <w:r>
        <w:rPr>
          <w:rFonts w:ascii="Times New Roman" w:eastAsia="宋体"/>
          <w:bCs/>
          <w:kern w:val="2"/>
          <w:szCs w:val="24"/>
        </w:rPr>
        <w:t>7mL</w:t>
      </w:r>
      <w:r>
        <w:rPr>
          <w:rFonts w:ascii="Times New Roman" w:eastAsia="宋体"/>
          <w:kern w:val="2"/>
          <w:szCs w:val="24"/>
        </w:rPr>
        <w:t>硝酸</w:t>
      </w:r>
      <w:r>
        <w:rPr>
          <w:rFonts w:hint="eastAsia" w:ascii="Times New Roman" w:eastAsia="宋体"/>
          <w:kern w:val="2"/>
          <w:szCs w:val="24"/>
          <w:lang w:val="en-US" w:eastAsia="zh-CN"/>
        </w:rPr>
        <w:t>-</w:t>
      </w:r>
      <w:r>
        <w:rPr>
          <w:rFonts w:ascii="Times New Roman" w:eastAsia="宋体"/>
          <w:kern w:val="2"/>
          <w:szCs w:val="24"/>
        </w:rPr>
        <w:t>盐酸混合</w:t>
      </w:r>
      <w:r>
        <w:rPr>
          <w:rFonts w:hint="eastAsia" w:ascii="Times New Roman" w:eastAsia="宋体"/>
          <w:kern w:val="2"/>
          <w:szCs w:val="24"/>
        </w:rPr>
        <w:t>酸</w:t>
      </w:r>
      <w:r>
        <w:rPr>
          <w:rFonts w:ascii="Times New Roman" w:hAnsi="宋体" w:eastAsia="宋体"/>
          <w:bCs/>
          <w:kern w:val="2"/>
          <w:szCs w:val="24"/>
        </w:rPr>
        <w:t>（</w:t>
      </w:r>
      <w:r>
        <w:rPr>
          <w:rFonts w:ascii="Times New Roman" w:eastAsia="宋体"/>
          <w:bCs/>
          <w:kern w:val="2"/>
          <w:szCs w:val="24"/>
        </w:rPr>
        <w:t>5.8</w:t>
      </w:r>
      <w:r>
        <w:rPr>
          <w:rFonts w:ascii="Times New Roman" w:hAnsi="宋体" w:eastAsia="宋体"/>
          <w:bCs/>
          <w:kern w:val="2"/>
          <w:szCs w:val="24"/>
        </w:rPr>
        <w:t>），盖上表皿，加热片刻。把烧杯从电炉上取下，待反应平静后，再次加热直至完全溶解。加入</w:t>
      </w:r>
      <w:r>
        <w:rPr>
          <w:rFonts w:ascii="Times New Roman" w:eastAsia="宋体"/>
          <w:bCs/>
          <w:kern w:val="2"/>
          <w:szCs w:val="24"/>
        </w:rPr>
        <w:t xml:space="preserve">5 mL </w:t>
      </w:r>
      <w:r>
        <w:rPr>
          <w:rFonts w:hint="eastAsia" w:ascii="Times New Roman" w:eastAsia="宋体"/>
          <w:bCs/>
          <w:kern w:val="2"/>
          <w:szCs w:val="24"/>
          <w:lang w:val="en-US" w:eastAsia="zh-CN"/>
        </w:rPr>
        <w:t>硫酸溶液</w:t>
      </w:r>
      <w:r>
        <w:rPr>
          <w:rFonts w:ascii="Times New Roman" w:eastAsia="宋体"/>
          <w:bCs/>
          <w:kern w:val="2"/>
          <w:szCs w:val="24"/>
        </w:rPr>
        <w:t>(5.11)</w:t>
      </w:r>
      <w:r>
        <w:rPr>
          <w:rFonts w:hint="eastAsia" w:ascii="Times New Roman" w:eastAsia="宋体"/>
          <w:bCs/>
          <w:kern w:val="2"/>
          <w:szCs w:val="24"/>
          <w:lang w:eastAsia="zh-CN"/>
        </w:rPr>
        <w:t>，</w:t>
      </w:r>
      <w:r>
        <w:rPr>
          <w:rFonts w:ascii="Times New Roman" w:hAnsi="宋体" w:eastAsia="宋体"/>
          <w:bCs/>
          <w:kern w:val="2"/>
          <w:szCs w:val="24"/>
        </w:rPr>
        <w:t>加热至冒硫酸烟，不能蒸干。取下冷却至室温，加入</w:t>
      </w:r>
      <w:r>
        <w:rPr>
          <w:rFonts w:ascii="Times New Roman" w:eastAsia="宋体"/>
          <w:bCs/>
          <w:kern w:val="2"/>
          <w:szCs w:val="24"/>
        </w:rPr>
        <w:t>5 mL</w:t>
      </w:r>
      <w:r>
        <w:rPr>
          <w:rFonts w:ascii="Times New Roman" w:hAnsi="宋体" w:eastAsia="宋体"/>
          <w:bCs/>
          <w:kern w:val="2"/>
          <w:szCs w:val="24"/>
        </w:rPr>
        <w:t>硝酸（</w:t>
      </w:r>
      <w:r>
        <w:rPr>
          <w:rFonts w:ascii="Times New Roman" w:eastAsia="宋体"/>
          <w:bCs/>
          <w:kern w:val="2"/>
          <w:szCs w:val="24"/>
        </w:rPr>
        <w:t>5.2)</w:t>
      </w:r>
      <w:r>
        <w:rPr>
          <w:rFonts w:ascii="Times New Roman" w:hAnsi="宋体" w:eastAsia="宋体"/>
          <w:bCs/>
          <w:kern w:val="2"/>
          <w:szCs w:val="24"/>
        </w:rPr>
        <w:t>和</w:t>
      </w:r>
      <w:r>
        <w:rPr>
          <w:rFonts w:ascii="Times New Roman" w:eastAsia="宋体"/>
          <w:bCs/>
          <w:kern w:val="2"/>
          <w:szCs w:val="24"/>
        </w:rPr>
        <w:t>30 mL</w:t>
      </w:r>
      <w:r>
        <w:rPr>
          <w:rFonts w:ascii="Times New Roman" w:hAnsi="宋体" w:eastAsia="宋体"/>
          <w:bCs/>
          <w:kern w:val="2"/>
          <w:szCs w:val="24"/>
        </w:rPr>
        <w:t>水使盐类溶解。将溶液转移至</w:t>
      </w:r>
      <w:r>
        <w:rPr>
          <w:rFonts w:ascii="Times New Roman" w:eastAsia="宋体"/>
          <w:bCs/>
          <w:kern w:val="2"/>
          <w:szCs w:val="24"/>
        </w:rPr>
        <w:t>400 mL</w:t>
      </w:r>
      <w:r>
        <w:rPr>
          <w:rFonts w:ascii="Times New Roman" w:hAnsi="宋体" w:eastAsia="宋体"/>
          <w:bCs/>
          <w:kern w:val="2"/>
          <w:szCs w:val="24"/>
        </w:rPr>
        <w:t>烧杯中（</w:t>
      </w:r>
      <w:r>
        <w:rPr>
          <w:rFonts w:hint="eastAsia" w:ascii="Times New Roman" w:hAnsi="宋体" w:eastAsia="宋体"/>
          <w:bCs/>
          <w:kern w:val="2"/>
          <w:szCs w:val="24"/>
          <w:lang w:val="en-US" w:eastAsia="zh-CN"/>
        </w:rPr>
        <w:t>将</w:t>
      </w:r>
      <w:r>
        <w:rPr>
          <w:rFonts w:ascii="Times New Roman" w:hAnsi="宋体" w:eastAsia="宋体"/>
          <w:bCs/>
          <w:kern w:val="2"/>
          <w:szCs w:val="24"/>
        </w:rPr>
        <w:t>溶液中可能含有难溶金属的水解物</w:t>
      </w:r>
      <w:r>
        <w:rPr>
          <w:rFonts w:hint="eastAsia" w:ascii="Times New Roman" w:hAnsi="宋体" w:eastAsia="宋体"/>
          <w:bCs/>
          <w:kern w:val="2"/>
          <w:szCs w:val="24"/>
        </w:rPr>
        <w:t>全部转移入烧杯中，如有必要，可使用橡胶刮勺</w:t>
      </w:r>
      <w:r>
        <w:rPr>
          <w:rFonts w:ascii="Times New Roman" w:hAnsi="宋体" w:eastAsia="宋体"/>
          <w:bCs/>
          <w:kern w:val="2"/>
          <w:szCs w:val="24"/>
        </w:rPr>
        <w:t>）。</w:t>
      </w:r>
    </w:p>
    <w:p>
      <w:pPr>
        <w:pStyle w:val="25"/>
        <w:numPr>
          <w:ilvl w:val="0"/>
          <w:numId w:val="0"/>
        </w:numPr>
        <w:ind w:firstLine="540" w:firstLineChars="300"/>
        <w:rPr>
          <w:rFonts w:ascii="Times New Roman" w:hAnsi="宋体" w:eastAsia="宋体"/>
          <w:bCs/>
          <w:kern w:val="2"/>
          <w:sz w:val="18"/>
          <w:szCs w:val="18"/>
        </w:rPr>
      </w:pPr>
      <w:r>
        <w:rPr>
          <w:rFonts w:ascii="Times New Roman" w:hAnsi="宋体" w:eastAsia="宋体"/>
          <w:bCs/>
          <w:kern w:val="2"/>
          <w:sz w:val="18"/>
          <w:szCs w:val="18"/>
        </w:rPr>
        <w:t>注</w:t>
      </w:r>
      <w:r>
        <w:rPr>
          <w:rFonts w:ascii="Times New Roman" w:eastAsia="宋体"/>
          <w:bCs/>
          <w:kern w:val="2"/>
          <w:sz w:val="18"/>
          <w:szCs w:val="18"/>
        </w:rPr>
        <w:t>1</w:t>
      </w:r>
      <w:r>
        <w:rPr>
          <w:rFonts w:ascii="Times New Roman" w:hAnsi="宋体" w:eastAsia="宋体"/>
          <w:bCs/>
          <w:kern w:val="2"/>
          <w:sz w:val="18"/>
          <w:szCs w:val="18"/>
        </w:rPr>
        <w:t>：通常试样的分解过程较剧烈，不需要</w:t>
      </w:r>
      <w:r>
        <w:rPr>
          <w:rFonts w:hint="eastAsia" w:ascii="Times New Roman" w:hAnsi="宋体" w:eastAsia="宋体"/>
          <w:bCs/>
          <w:kern w:val="2"/>
          <w:sz w:val="18"/>
          <w:szCs w:val="18"/>
        </w:rPr>
        <w:t>过长的</w:t>
      </w:r>
      <w:r>
        <w:rPr>
          <w:rFonts w:ascii="Times New Roman" w:hAnsi="宋体" w:eastAsia="宋体"/>
          <w:bCs/>
          <w:kern w:val="2"/>
          <w:sz w:val="18"/>
          <w:szCs w:val="18"/>
        </w:rPr>
        <w:t>加热</w:t>
      </w:r>
      <w:r>
        <w:rPr>
          <w:rFonts w:hint="eastAsia" w:ascii="Times New Roman" w:hAnsi="宋体" w:eastAsia="宋体"/>
          <w:bCs/>
          <w:kern w:val="2"/>
          <w:sz w:val="18"/>
          <w:szCs w:val="18"/>
        </w:rPr>
        <w:t>时间</w:t>
      </w:r>
      <w:r>
        <w:rPr>
          <w:rFonts w:ascii="Times New Roman" w:eastAsiaTheme="minorEastAsia"/>
          <w:bCs/>
          <w:kern w:val="2"/>
          <w:sz w:val="18"/>
          <w:szCs w:val="18"/>
        </w:rPr>
        <w:t>。</w:t>
      </w:r>
      <w:r>
        <w:rPr>
          <w:rFonts w:ascii="Times New Roman" w:eastAsiaTheme="minorEastAsia"/>
          <w:sz w:val="18"/>
          <w:szCs w:val="18"/>
        </w:rPr>
        <w:t>难溶的镍基高温合金，可适量增加硝酸</w:t>
      </w:r>
      <w:r>
        <w:rPr>
          <w:rFonts w:hint="eastAsia" w:ascii="Times New Roman" w:eastAsiaTheme="minorEastAsia"/>
          <w:sz w:val="18"/>
          <w:szCs w:val="18"/>
          <w:lang w:val="en-US" w:eastAsia="zh-CN"/>
        </w:rPr>
        <w:t>-</w:t>
      </w:r>
      <w:r>
        <w:rPr>
          <w:rFonts w:ascii="Times New Roman" w:eastAsiaTheme="minorEastAsia"/>
          <w:sz w:val="18"/>
          <w:szCs w:val="18"/>
        </w:rPr>
        <w:t>盐酸混合酸</w:t>
      </w:r>
      <w:r>
        <w:rPr>
          <w:rFonts w:ascii="Times New Roman" w:hAnsi="宋体" w:eastAsia="宋体"/>
          <w:bCs/>
          <w:kern w:val="2"/>
          <w:sz w:val="18"/>
          <w:szCs w:val="18"/>
        </w:rPr>
        <w:t>（</w:t>
      </w:r>
      <w:r>
        <w:rPr>
          <w:rFonts w:ascii="Times New Roman" w:eastAsia="宋体"/>
          <w:bCs/>
          <w:kern w:val="2"/>
          <w:sz w:val="18"/>
          <w:szCs w:val="18"/>
        </w:rPr>
        <w:t>5.8</w:t>
      </w:r>
      <w:r>
        <w:rPr>
          <w:rFonts w:ascii="Times New Roman" w:hAnsi="宋体" w:eastAsia="宋体"/>
          <w:bCs/>
          <w:kern w:val="2"/>
          <w:sz w:val="18"/>
          <w:szCs w:val="18"/>
        </w:rPr>
        <w:t>）</w:t>
      </w:r>
      <w:r>
        <w:rPr>
          <w:rFonts w:ascii="Times New Roman" w:eastAsiaTheme="minorEastAsia"/>
          <w:sz w:val="18"/>
          <w:szCs w:val="18"/>
        </w:rPr>
        <w:t>用量至15 mL～20 mL。</w:t>
      </w:r>
      <w:r>
        <w:rPr>
          <w:rFonts w:ascii="Times New Roman" w:eastAsiaTheme="minorEastAsia"/>
          <w:bCs/>
          <w:kern w:val="2"/>
          <w:sz w:val="18"/>
          <w:szCs w:val="18"/>
        </w:rPr>
        <w:t>铜含量高的合金</w:t>
      </w:r>
      <w:r>
        <w:rPr>
          <w:rFonts w:ascii="Times New Roman" w:hAnsi="宋体" w:eastAsia="宋体"/>
          <w:bCs/>
          <w:kern w:val="2"/>
          <w:sz w:val="18"/>
          <w:szCs w:val="18"/>
        </w:rPr>
        <w:t>，应加入</w:t>
      </w:r>
      <w:r>
        <w:rPr>
          <w:rFonts w:ascii="Times New Roman" w:eastAsia="宋体"/>
          <w:bCs/>
          <w:kern w:val="2"/>
          <w:sz w:val="18"/>
          <w:szCs w:val="18"/>
        </w:rPr>
        <w:t>7mL</w:t>
      </w:r>
      <w:r>
        <w:rPr>
          <w:rFonts w:ascii="Times New Roman" w:hAnsi="宋体" w:eastAsia="宋体"/>
          <w:bCs/>
          <w:kern w:val="2"/>
          <w:sz w:val="18"/>
          <w:szCs w:val="18"/>
        </w:rPr>
        <w:t>硝酸</w:t>
      </w:r>
      <w:r>
        <w:rPr>
          <w:rFonts w:hint="eastAsia" w:ascii="Times New Roman" w:hAnsi="宋体" w:eastAsia="宋体"/>
          <w:bCs/>
          <w:kern w:val="2"/>
          <w:sz w:val="18"/>
          <w:szCs w:val="18"/>
          <w:lang w:val="en-US" w:eastAsia="zh-CN"/>
        </w:rPr>
        <w:t>溶液</w:t>
      </w:r>
      <w:r>
        <w:rPr>
          <w:rFonts w:ascii="Times New Roman" w:hAnsi="宋体" w:eastAsia="宋体"/>
          <w:bCs/>
          <w:kern w:val="2"/>
          <w:sz w:val="18"/>
          <w:szCs w:val="18"/>
        </w:rPr>
        <w:t>（</w:t>
      </w:r>
      <w:r>
        <w:rPr>
          <w:rFonts w:ascii="Times New Roman" w:eastAsia="宋体"/>
          <w:bCs/>
          <w:kern w:val="2"/>
          <w:sz w:val="18"/>
          <w:szCs w:val="18"/>
        </w:rPr>
        <w:t>5.10</w:t>
      </w:r>
      <w:r>
        <w:rPr>
          <w:rFonts w:ascii="Times New Roman" w:hAnsi="宋体" w:eastAsia="宋体"/>
          <w:bCs/>
          <w:kern w:val="2"/>
          <w:sz w:val="18"/>
          <w:szCs w:val="18"/>
        </w:rPr>
        <w:t>）。这种情况下，省略步骤</w:t>
      </w:r>
      <w:r>
        <w:rPr>
          <w:rFonts w:ascii="Times New Roman" w:eastAsia="宋体"/>
          <w:bCs/>
          <w:kern w:val="2"/>
          <w:sz w:val="18"/>
          <w:szCs w:val="18"/>
        </w:rPr>
        <w:t>8.4.1</w:t>
      </w:r>
      <w:r>
        <w:rPr>
          <w:rFonts w:ascii="Times New Roman" w:hAnsi="宋体" w:eastAsia="宋体"/>
          <w:bCs/>
          <w:kern w:val="2"/>
          <w:sz w:val="18"/>
          <w:szCs w:val="18"/>
        </w:rPr>
        <w:t>，直接按</w:t>
      </w:r>
      <w:r>
        <w:rPr>
          <w:rFonts w:ascii="Times New Roman" w:eastAsia="宋体"/>
          <w:bCs/>
          <w:kern w:val="2"/>
          <w:sz w:val="18"/>
          <w:szCs w:val="18"/>
        </w:rPr>
        <w:t>8.4.2</w:t>
      </w:r>
      <w:r>
        <w:rPr>
          <w:rFonts w:ascii="Times New Roman" w:hAnsi="宋体" w:eastAsia="宋体"/>
          <w:bCs/>
          <w:kern w:val="2"/>
          <w:sz w:val="18"/>
          <w:szCs w:val="18"/>
        </w:rPr>
        <w:t>进行</w:t>
      </w:r>
      <w:r>
        <w:rPr>
          <w:rFonts w:hint="eastAsia" w:ascii="Times New Roman" w:hAnsi="宋体" w:eastAsia="宋体"/>
          <w:bCs/>
          <w:kern w:val="2"/>
          <w:sz w:val="18"/>
          <w:szCs w:val="18"/>
        </w:rPr>
        <w:t>。</w:t>
      </w:r>
    </w:p>
    <w:p>
      <w:pPr>
        <w:pStyle w:val="25"/>
        <w:numPr>
          <w:ilvl w:val="0"/>
          <w:numId w:val="0"/>
        </w:numPr>
        <w:rPr>
          <w:rFonts w:ascii="Times New Roman" w:eastAsia="宋体"/>
          <w:bCs/>
          <w:kern w:val="2"/>
          <w:szCs w:val="24"/>
        </w:rPr>
      </w:pPr>
      <w:r>
        <w:rPr>
          <w:rFonts w:hAnsi="黑体"/>
          <w:kern w:val="0"/>
        </w:rPr>
        <w:t>8.4</w:t>
      </w:r>
      <w:r>
        <w:rPr>
          <w:rFonts w:hint="eastAsia" w:hAnsi="黑体"/>
          <w:kern w:val="0"/>
        </w:rPr>
        <w:t>.</w:t>
      </w:r>
      <w:r>
        <w:rPr>
          <w:rFonts w:hAnsi="黑体"/>
          <w:kern w:val="0"/>
        </w:rPr>
        <w:t>2</w:t>
      </w:r>
      <w:r>
        <w:rPr>
          <w:rFonts w:ascii="Times New Roman" w:hAnsi="宋体" w:eastAsia="宋体"/>
          <w:bCs/>
          <w:kern w:val="2"/>
          <w:szCs w:val="24"/>
        </w:rPr>
        <w:t>把溶液稀释至</w:t>
      </w:r>
      <w:r>
        <w:rPr>
          <w:rFonts w:ascii="Times New Roman" w:eastAsia="宋体"/>
          <w:bCs/>
          <w:kern w:val="2"/>
          <w:szCs w:val="24"/>
        </w:rPr>
        <w:t>150 mL</w:t>
      </w:r>
      <w:r>
        <w:rPr>
          <w:rFonts w:ascii="Times New Roman" w:hAnsi="宋体" w:eastAsia="宋体"/>
          <w:bCs/>
          <w:kern w:val="2"/>
          <w:szCs w:val="24"/>
        </w:rPr>
        <w:t>，加入</w:t>
      </w:r>
      <w:r>
        <w:rPr>
          <w:rFonts w:ascii="Times New Roman" w:eastAsia="宋体"/>
          <w:bCs/>
          <w:kern w:val="2"/>
          <w:szCs w:val="24"/>
        </w:rPr>
        <w:t>3mL</w:t>
      </w:r>
      <w:r>
        <w:rPr>
          <w:rFonts w:ascii="Times New Roman" w:hAnsi="宋体" w:eastAsia="宋体"/>
          <w:bCs/>
          <w:kern w:val="2"/>
          <w:szCs w:val="24"/>
        </w:rPr>
        <w:t>硝酸铁溶液（</w:t>
      </w:r>
      <w:r>
        <w:rPr>
          <w:rFonts w:ascii="Times New Roman" w:eastAsia="宋体"/>
          <w:bCs/>
          <w:kern w:val="2"/>
          <w:szCs w:val="24"/>
        </w:rPr>
        <w:t>5.18</w:t>
      </w:r>
      <w:r>
        <w:rPr>
          <w:rFonts w:ascii="Times New Roman" w:hAnsi="宋体" w:eastAsia="宋体"/>
          <w:bCs/>
          <w:kern w:val="2"/>
          <w:szCs w:val="24"/>
        </w:rPr>
        <w:t>），加热至近沸。加入</w:t>
      </w:r>
      <w:r>
        <w:rPr>
          <w:rFonts w:ascii="Times New Roman" w:eastAsia="宋体"/>
          <w:bCs/>
          <w:kern w:val="2"/>
          <w:szCs w:val="24"/>
        </w:rPr>
        <w:t>10 mL</w:t>
      </w:r>
      <w:r>
        <w:rPr>
          <w:rFonts w:ascii="Times New Roman" w:hAnsi="宋体" w:eastAsia="宋体"/>
          <w:bCs/>
          <w:kern w:val="2"/>
          <w:szCs w:val="24"/>
        </w:rPr>
        <w:t>硝酸银溶液（</w:t>
      </w:r>
      <w:r>
        <w:rPr>
          <w:rFonts w:ascii="Times New Roman" w:eastAsia="宋体"/>
          <w:bCs/>
          <w:kern w:val="2"/>
          <w:szCs w:val="24"/>
        </w:rPr>
        <w:t>5.19</w:t>
      </w:r>
      <w:r>
        <w:rPr>
          <w:rFonts w:ascii="Times New Roman" w:hAnsi="宋体" w:eastAsia="宋体"/>
          <w:bCs/>
          <w:kern w:val="2"/>
          <w:szCs w:val="24"/>
        </w:rPr>
        <w:t>）和</w:t>
      </w:r>
      <w:r>
        <w:rPr>
          <w:rFonts w:ascii="Times New Roman" w:eastAsia="宋体"/>
          <w:bCs/>
          <w:kern w:val="2"/>
          <w:szCs w:val="24"/>
        </w:rPr>
        <w:t>30mL</w:t>
      </w:r>
      <w:r>
        <w:rPr>
          <w:rFonts w:ascii="Times New Roman" w:hAnsi="宋体" w:eastAsia="宋体"/>
          <w:bCs/>
          <w:kern w:val="2"/>
          <w:szCs w:val="24"/>
        </w:rPr>
        <w:t>过硫酸铵溶液（</w:t>
      </w:r>
      <w:r>
        <w:rPr>
          <w:rFonts w:ascii="Times New Roman" w:eastAsia="宋体"/>
          <w:bCs/>
          <w:kern w:val="2"/>
          <w:szCs w:val="24"/>
        </w:rPr>
        <w:t>5.17</w:t>
      </w:r>
      <w:r>
        <w:rPr>
          <w:rFonts w:ascii="Times New Roman" w:hAnsi="宋体" w:eastAsia="宋体"/>
          <w:bCs/>
          <w:kern w:val="2"/>
          <w:szCs w:val="24"/>
        </w:rPr>
        <w:t>）。加热</w:t>
      </w:r>
      <w:r>
        <w:rPr>
          <w:rFonts w:hint="eastAsia" w:ascii="Times New Roman" w:hAnsi="宋体" w:eastAsia="宋体"/>
          <w:bCs/>
          <w:kern w:val="2"/>
          <w:szCs w:val="24"/>
          <w:lang w:val="en-US" w:eastAsia="zh-CN"/>
        </w:rPr>
        <w:t>沸腾</w:t>
      </w:r>
      <w:r>
        <w:rPr>
          <w:rFonts w:ascii="Times New Roman" w:eastAsia="宋体"/>
          <w:bCs/>
          <w:kern w:val="2"/>
          <w:szCs w:val="24"/>
        </w:rPr>
        <w:t>10min</w:t>
      </w:r>
      <w:r>
        <w:rPr>
          <w:rFonts w:ascii="Times New Roman"/>
        </w:rPr>
        <w:t>~</w:t>
      </w:r>
      <w:r>
        <w:rPr>
          <w:rFonts w:ascii="Times New Roman" w:eastAsia="宋体"/>
          <w:bCs/>
          <w:kern w:val="2"/>
          <w:szCs w:val="24"/>
        </w:rPr>
        <w:t>15min</w:t>
      </w:r>
      <w:r>
        <w:rPr>
          <w:rFonts w:hint="eastAsia" w:ascii="Times New Roman" w:eastAsia="宋体"/>
          <w:bCs/>
          <w:kern w:val="2"/>
          <w:szCs w:val="24"/>
        </w:rPr>
        <w:t>，分解过量的过硫酸铵，</w:t>
      </w:r>
      <w:r>
        <w:rPr>
          <w:rFonts w:ascii="Times New Roman" w:hAnsi="宋体" w:eastAsia="宋体"/>
          <w:bCs/>
          <w:kern w:val="2"/>
          <w:szCs w:val="24"/>
        </w:rPr>
        <w:t>用水稀释至</w:t>
      </w:r>
      <w:r>
        <w:rPr>
          <w:rFonts w:ascii="Times New Roman" w:eastAsia="宋体"/>
          <w:bCs/>
          <w:kern w:val="2"/>
          <w:szCs w:val="24"/>
        </w:rPr>
        <w:t>250 mL</w:t>
      </w:r>
      <w:r>
        <w:rPr>
          <w:rFonts w:ascii="Times New Roman" w:hAnsi="宋体" w:eastAsia="宋体"/>
          <w:bCs/>
          <w:kern w:val="2"/>
          <w:szCs w:val="24"/>
        </w:rPr>
        <w:t>。边搅拌边加入</w:t>
      </w:r>
      <w:r>
        <w:rPr>
          <w:rFonts w:ascii="Times New Roman" w:eastAsia="宋体"/>
          <w:bCs/>
          <w:kern w:val="2"/>
          <w:szCs w:val="24"/>
        </w:rPr>
        <w:t>10 mL</w:t>
      </w:r>
      <w:r>
        <w:rPr>
          <w:rFonts w:ascii="Times New Roman" w:hAnsi="宋体" w:eastAsia="宋体"/>
          <w:bCs/>
          <w:kern w:val="2"/>
          <w:szCs w:val="24"/>
        </w:rPr>
        <w:t>氨水</w:t>
      </w:r>
      <w:r>
        <w:rPr>
          <w:rFonts w:hint="eastAsia" w:ascii="Times New Roman" w:hAnsi="宋体" w:eastAsia="宋体"/>
          <w:bCs/>
          <w:kern w:val="2"/>
          <w:szCs w:val="24"/>
          <w:lang w:val="en-US" w:eastAsia="zh-CN"/>
        </w:rPr>
        <w:t>溶液</w:t>
      </w:r>
      <w:r>
        <w:rPr>
          <w:rFonts w:ascii="Times New Roman" w:hAnsi="宋体" w:eastAsia="宋体"/>
          <w:bCs/>
          <w:kern w:val="2"/>
          <w:szCs w:val="24"/>
        </w:rPr>
        <w:t>（</w:t>
      </w:r>
      <w:r>
        <w:rPr>
          <w:rFonts w:ascii="Times New Roman" w:eastAsia="宋体"/>
          <w:bCs/>
          <w:kern w:val="2"/>
          <w:szCs w:val="24"/>
        </w:rPr>
        <w:t>5.5</w:t>
      </w:r>
      <w:r>
        <w:rPr>
          <w:rFonts w:ascii="Times New Roman" w:hAnsi="宋体" w:eastAsia="宋体"/>
          <w:bCs/>
          <w:kern w:val="2"/>
          <w:szCs w:val="24"/>
        </w:rPr>
        <w:t>），至沉淀不再消失并过量</w:t>
      </w:r>
      <w:r>
        <w:rPr>
          <w:rFonts w:ascii="Times New Roman" w:eastAsia="宋体"/>
          <w:bCs/>
          <w:kern w:val="2"/>
          <w:szCs w:val="24"/>
        </w:rPr>
        <w:t>15 mL</w:t>
      </w:r>
      <w:r>
        <w:rPr>
          <w:rFonts w:ascii="Times New Roman" w:hAnsi="宋体" w:eastAsia="宋体"/>
          <w:bCs/>
          <w:kern w:val="2"/>
          <w:szCs w:val="24"/>
        </w:rPr>
        <w:t>，沉淀静置</w:t>
      </w:r>
      <w:r>
        <w:rPr>
          <w:rFonts w:ascii="Times New Roman" w:eastAsia="宋体"/>
          <w:bCs/>
          <w:kern w:val="2"/>
          <w:szCs w:val="24"/>
        </w:rPr>
        <w:t>15 min</w:t>
      </w:r>
      <w:r>
        <w:rPr>
          <w:rFonts w:ascii="Times New Roman" w:hAnsi="宋体" w:eastAsia="宋体"/>
          <w:bCs/>
          <w:kern w:val="2"/>
          <w:szCs w:val="24"/>
        </w:rPr>
        <w:t>。沉淀用快速滤纸过滤，加入少量纸浆。用硝酸</w:t>
      </w:r>
      <w:r>
        <w:rPr>
          <w:rFonts w:hint="eastAsia" w:ascii="Times New Roman" w:hAnsi="宋体" w:eastAsia="宋体"/>
          <w:bCs/>
          <w:kern w:val="2"/>
          <w:szCs w:val="24"/>
        </w:rPr>
        <w:t>钠</w:t>
      </w:r>
      <w:r>
        <w:rPr>
          <w:rFonts w:ascii="Times New Roman" w:hAnsi="宋体" w:eastAsia="宋体"/>
          <w:bCs/>
          <w:kern w:val="2"/>
          <w:szCs w:val="24"/>
        </w:rPr>
        <w:t>溶液（</w:t>
      </w:r>
      <w:r>
        <w:rPr>
          <w:rFonts w:ascii="Times New Roman" w:eastAsia="宋体"/>
          <w:bCs/>
          <w:kern w:val="2"/>
          <w:szCs w:val="24"/>
        </w:rPr>
        <w:t>5.16</w:t>
      </w:r>
      <w:r>
        <w:rPr>
          <w:rFonts w:ascii="Times New Roman" w:hAnsi="宋体" w:eastAsia="宋体"/>
          <w:bCs/>
          <w:kern w:val="2"/>
          <w:szCs w:val="24"/>
        </w:rPr>
        <w:t>）洗至</w:t>
      </w:r>
      <w:r>
        <w:rPr>
          <w:rFonts w:hint="eastAsia" w:ascii="Times New Roman" w:hAnsi="宋体" w:eastAsia="宋体"/>
          <w:bCs/>
          <w:kern w:val="2"/>
          <w:szCs w:val="24"/>
        </w:rPr>
        <w:t>滤液中</w:t>
      </w:r>
      <w:r>
        <w:rPr>
          <w:rFonts w:ascii="Times New Roman" w:hAnsi="宋体" w:eastAsia="宋体"/>
          <w:bCs/>
          <w:kern w:val="2"/>
          <w:szCs w:val="24"/>
        </w:rPr>
        <w:t>无黄色的</w:t>
      </w:r>
      <w:r>
        <w:rPr>
          <w:rFonts w:ascii="Times New Roman" w:eastAsia="宋体"/>
          <w:bCs/>
          <w:kern w:val="2"/>
          <w:szCs w:val="24"/>
        </w:rPr>
        <w:t>Cr</w:t>
      </w:r>
      <w:r>
        <w:rPr>
          <w:rFonts w:ascii="Times New Roman" w:eastAsia="宋体"/>
          <w:bCs/>
          <w:kern w:val="2"/>
          <w:szCs w:val="24"/>
          <w:vertAlign w:val="superscript"/>
        </w:rPr>
        <w:t>6+</w:t>
      </w:r>
      <w:r>
        <w:rPr>
          <w:rFonts w:ascii="Times New Roman" w:hAnsi="宋体" w:eastAsia="宋体"/>
          <w:bCs/>
          <w:kern w:val="2"/>
          <w:szCs w:val="24"/>
        </w:rPr>
        <w:t>。</w:t>
      </w:r>
    </w:p>
    <w:p>
      <w:pPr>
        <w:pStyle w:val="25"/>
        <w:numPr>
          <w:ilvl w:val="0"/>
          <w:numId w:val="0"/>
        </w:numPr>
        <w:rPr>
          <w:rFonts w:ascii="Times New Roman" w:eastAsia="宋体"/>
          <w:bCs/>
          <w:kern w:val="2"/>
          <w:szCs w:val="24"/>
        </w:rPr>
      </w:pPr>
      <w:r>
        <w:rPr>
          <w:rFonts w:hAnsi="黑体"/>
          <w:kern w:val="0"/>
        </w:rPr>
        <w:t>8.4</w:t>
      </w:r>
      <w:r>
        <w:rPr>
          <w:rFonts w:hint="eastAsia" w:hAnsi="黑体"/>
          <w:kern w:val="0"/>
        </w:rPr>
        <w:t>.</w:t>
      </w:r>
      <w:r>
        <w:rPr>
          <w:rFonts w:hAnsi="黑体"/>
          <w:kern w:val="0"/>
        </w:rPr>
        <w:t xml:space="preserve">3 </w:t>
      </w:r>
      <w:r>
        <w:rPr>
          <w:rFonts w:ascii="Times New Roman" w:hAnsi="宋体" w:eastAsia="宋体"/>
          <w:bCs/>
          <w:kern w:val="2"/>
          <w:szCs w:val="24"/>
        </w:rPr>
        <w:t>把沉淀和滤纸转移至已预先加入</w:t>
      </w:r>
      <w:r>
        <w:rPr>
          <w:rFonts w:ascii="Times New Roman" w:eastAsia="宋体"/>
          <w:bCs/>
          <w:kern w:val="2"/>
          <w:szCs w:val="24"/>
        </w:rPr>
        <w:t>2mL</w:t>
      </w:r>
      <w:r>
        <w:rPr>
          <w:rFonts w:ascii="Times New Roman" w:hAnsi="宋体" w:eastAsia="宋体"/>
          <w:bCs/>
          <w:kern w:val="2"/>
          <w:szCs w:val="24"/>
        </w:rPr>
        <w:t>氢氟酸（</w:t>
      </w:r>
      <w:r>
        <w:rPr>
          <w:rFonts w:ascii="Times New Roman" w:eastAsia="宋体"/>
          <w:bCs/>
          <w:kern w:val="2"/>
          <w:szCs w:val="24"/>
        </w:rPr>
        <w:t>5.4</w:t>
      </w:r>
      <w:r>
        <w:rPr>
          <w:rFonts w:ascii="Times New Roman" w:hAnsi="宋体" w:eastAsia="宋体"/>
          <w:bCs/>
          <w:kern w:val="2"/>
          <w:szCs w:val="24"/>
        </w:rPr>
        <w:t>）的聚四氟乙烯烧杯中，用</w:t>
      </w:r>
      <w:r>
        <w:rPr>
          <w:rFonts w:ascii="Times New Roman" w:eastAsia="宋体"/>
          <w:bCs/>
          <w:kern w:val="2"/>
          <w:szCs w:val="24"/>
        </w:rPr>
        <w:t>10mL</w:t>
      </w:r>
      <w:r>
        <w:rPr>
          <w:rFonts w:hint="eastAsia" w:ascii="Times New Roman" w:eastAsia="宋体"/>
          <w:bCs/>
          <w:kern w:val="2"/>
          <w:szCs w:val="24"/>
        </w:rPr>
        <w:t>硝酸</w:t>
      </w:r>
      <w:r>
        <w:rPr>
          <w:rFonts w:hint="eastAsia" w:ascii="Times New Roman" w:eastAsia="宋体"/>
          <w:bCs/>
          <w:kern w:val="2"/>
          <w:szCs w:val="24"/>
          <w:lang w:val="en-US" w:eastAsia="zh-CN"/>
        </w:rPr>
        <w:t>溶液</w:t>
      </w:r>
      <w:r>
        <w:rPr>
          <w:rFonts w:ascii="Times New Roman" w:eastAsia="宋体"/>
          <w:bCs/>
          <w:kern w:val="2"/>
          <w:szCs w:val="24"/>
        </w:rPr>
        <w:t>(5.</w:t>
      </w:r>
      <w:r>
        <w:rPr>
          <w:rFonts w:hint="eastAsia" w:ascii="Times New Roman" w:eastAsia="宋体"/>
          <w:bCs/>
          <w:kern w:val="2"/>
          <w:szCs w:val="24"/>
        </w:rPr>
        <w:t>1</w:t>
      </w:r>
      <w:r>
        <w:rPr>
          <w:rFonts w:ascii="Times New Roman" w:eastAsia="宋体"/>
          <w:bCs/>
          <w:kern w:val="2"/>
          <w:szCs w:val="24"/>
        </w:rPr>
        <w:t>0)</w:t>
      </w:r>
      <w:r>
        <w:rPr>
          <w:rFonts w:ascii="Times New Roman" w:hAnsi="宋体" w:eastAsia="宋体"/>
          <w:bCs/>
          <w:kern w:val="2"/>
          <w:szCs w:val="24"/>
        </w:rPr>
        <w:t>洗原沉淀用烧杯，合并溶液于聚四氟乙烯烧杯中。</w:t>
      </w:r>
      <w:r>
        <w:rPr>
          <w:rFonts w:hint="eastAsia" w:ascii="Times New Roman" w:hAnsi="宋体" w:eastAsia="宋体"/>
          <w:bCs/>
          <w:kern w:val="2"/>
          <w:szCs w:val="24"/>
        </w:rPr>
        <w:t>小心</w:t>
      </w:r>
      <w:r>
        <w:rPr>
          <w:rFonts w:ascii="Times New Roman" w:hAnsi="宋体" w:eastAsia="宋体"/>
          <w:bCs/>
          <w:kern w:val="2"/>
          <w:szCs w:val="24"/>
        </w:rPr>
        <w:t>加热</w:t>
      </w:r>
      <w:r>
        <w:rPr>
          <w:rFonts w:hint="eastAsia" w:ascii="Times New Roman" w:hAnsi="宋体" w:eastAsia="宋体"/>
          <w:bCs/>
          <w:kern w:val="2"/>
          <w:szCs w:val="24"/>
        </w:rPr>
        <w:t>至</w:t>
      </w:r>
      <w:r>
        <w:rPr>
          <w:rFonts w:ascii="Times New Roman" w:hAnsi="宋体" w:eastAsia="宋体"/>
          <w:bCs/>
          <w:kern w:val="2"/>
          <w:szCs w:val="24"/>
        </w:rPr>
        <w:t>沉淀</w:t>
      </w:r>
      <w:r>
        <w:rPr>
          <w:rFonts w:hint="eastAsia" w:ascii="Times New Roman" w:hAnsi="宋体" w:eastAsia="宋体"/>
          <w:bCs/>
          <w:kern w:val="2"/>
          <w:szCs w:val="24"/>
        </w:rPr>
        <w:t>溶解</w:t>
      </w:r>
      <w:r>
        <w:rPr>
          <w:rFonts w:ascii="Times New Roman" w:hAnsi="宋体" w:eastAsia="宋体"/>
          <w:bCs/>
          <w:kern w:val="2"/>
          <w:szCs w:val="24"/>
        </w:rPr>
        <w:t>，用塑料棒把滤纸搅散。用塑料漏斗，</w:t>
      </w:r>
      <w:r>
        <w:rPr>
          <w:rFonts w:ascii="Times New Roman" w:eastAsia="宋体"/>
          <w:bCs/>
          <w:kern w:val="2"/>
          <w:szCs w:val="24"/>
        </w:rPr>
        <w:t>11cm</w:t>
      </w:r>
      <w:r>
        <w:rPr>
          <w:rFonts w:ascii="Times New Roman" w:hAnsi="宋体" w:eastAsia="宋体"/>
          <w:bCs/>
          <w:kern w:val="2"/>
          <w:szCs w:val="24"/>
        </w:rPr>
        <w:t>的中速滤纸过滤，滤液用</w:t>
      </w:r>
      <w:r>
        <w:rPr>
          <w:rFonts w:ascii="Times New Roman" w:eastAsia="宋体"/>
          <w:bCs/>
          <w:kern w:val="2"/>
          <w:szCs w:val="24"/>
        </w:rPr>
        <w:t xml:space="preserve">100mL </w:t>
      </w:r>
      <w:r>
        <w:rPr>
          <w:rFonts w:ascii="Times New Roman" w:hAnsi="宋体" w:eastAsia="宋体"/>
          <w:bCs/>
          <w:kern w:val="2"/>
          <w:szCs w:val="24"/>
        </w:rPr>
        <w:t>聚四氟乙烯烧杯收集。用</w:t>
      </w:r>
      <w:r>
        <w:rPr>
          <w:rFonts w:ascii="Times New Roman" w:eastAsia="宋体"/>
          <w:bCs/>
          <w:kern w:val="2"/>
          <w:szCs w:val="24"/>
        </w:rPr>
        <w:t>5mL</w:t>
      </w:r>
      <w:r>
        <w:rPr>
          <w:rFonts w:ascii="Times New Roman" w:hAnsi="宋体" w:eastAsia="宋体"/>
          <w:bCs/>
          <w:kern w:val="2"/>
          <w:szCs w:val="24"/>
        </w:rPr>
        <w:t>水洗沉淀两次，</w:t>
      </w:r>
      <w:r>
        <w:rPr>
          <w:rFonts w:hint="eastAsia" w:ascii="Times New Roman" w:hAnsi="宋体" w:eastAsia="宋体"/>
          <w:bCs/>
          <w:kern w:val="2"/>
          <w:szCs w:val="24"/>
        </w:rPr>
        <w:t>再</w:t>
      </w:r>
      <w:r>
        <w:rPr>
          <w:rFonts w:ascii="Times New Roman" w:hAnsi="宋体" w:eastAsia="宋体"/>
          <w:bCs/>
          <w:kern w:val="2"/>
          <w:szCs w:val="24"/>
        </w:rPr>
        <w:t>用</w:t>
      </w:r>
      <w:r>
        <w:rPr>
          <w:rFonts w:ascii="Times New Roman" w:eastAsia="宋体"/>
          <w:bCs/>
          <w:kern w:val="2"/>
          <w:szCs w:val="24"/>
        </w:rPr>
        <w:t>30mL</w:t>
      </w:r>
      <w:r>
        <w:rPr>
          <w:rFonts w:ascii="Times New Roman" w:hAnsi="宋体" w:eastAsia="宋体"/>
          <w:bCs/>
          <w:kern w:val="2"/>
          <w:szCs w:val="24"/>
        </w:rPr>
        <w:t>硼酸溶液（</w:t>
      </w:r>
      <w:r>
        <w:rPr>
          <w:rFonts w:ascii="Times New Roman" w:eastAsia="宋体"/>
          <w:bCs/>
          <w:kern w:val="2"/>
          <w:szCs w:val="24"/>
        </w:rPr>
        <w:t>5.12</w:t>
      </w:r>
      <w:r>
        <w:rPr>
          <w:rFonts w:ascii="Times New Roman" w:hAnsi="宋体" w:eastAsia="宋体"/>
          <w:bCs/>
          <w:kern w:val="2"/>
          <w:szCs w:val="24"/>
        </w:rPr>
        <w:t>）洗一次。继续用水洗至滤液为</w:t>
      </w:r>
      <w:r>
        <w:rPr>
          <w:rFonts w:ascii="Times New Roman" w:eastAsia="宋体"/>
          <w:bCs/>
          <w:kern w:val="2"/>
          <w:szCs w:val="24"/>
        </w:rPr>
        <w:t>60mL</w:t>
      </w:r>
      <w:r>
        <w:rPr>
          <w:rFonts w:ascii="Times New Roman"/>
        </w:rPr>
        <w:t>~</w:t>
      </w:r>
      <w:r>
        <w:rPr>
          <w:rFonts w:ascii="Times New Roman" w:eastAsia="宋体"/>
          <w:bCs/>
          <w:kern w:val="2"/>
          <w:szCs w:val="24"/>
        </w:rPr>
        <w:t>70mL</w:t>
      </w:r>
      <w:r>
        <w:rPr>
          <w:rFonts w:ascii="Times New Roman" w:hAnsi="宋体" w:eastAsia="宋体"/>
          <w:bCs/>
          <w:kern w:val="2"/>
          <w:szCs w:val="24"/>
        </w:rPr>
        <w:t>。</w:t>
      </w:r>
    </w:p>
    <w:p>
      <w:pPr>
        <w:pStyle w:val="26"/>
        <w:ind w:firstLine="360"/>
        <w:rPr>
          <w:rFonts w:ascii="Times New Roman"/>
          <w:sz w:val="18"/>
          <w:szCs w:val="18"/>
        </w:rPr>
      </w:pPr>
      <w:r>
        <w:rPr>
          <w:rFonts w:ascii="Times New Roman" w:hAnsi="宋体"/>
          <w:sz w:val="18"/>
          <w:szCs w:val="18"/>
        </w:rPr>
        <w:t>注</w:t>
      </w:r>
      <w:r>
        <w:rPr>
          <w:rFonts w:ascii="Times New Roman"/>
          <w:sz w:val="18"/>
          <w:szCs w:val="18"/>
        </w:rPr>
        <w:t>2</w:t>
      </w:r>
      <w:r>
        <w:rPr>
          <w:rFonts w:ascii="Times New Roman" w:hAnsi="宋体"/>
          <w:sz w:val="18"/>
          <w:szCs w:val="18"/>
        </w:rPr>
        <w:t>：</w:t>
      </w:r>
      <w:r>
        <w:rPr>
          <w:rFonts w:hint="eastAsia" w:ascii="Times New Roman" w:hAnsi="宋体"/>
          <w:sz w:val="18"/>
          <w:szCs w:val="18"/>
          <w:lang w:val="en-US" w:eastAsia="zh-CN"/>
        </w:rPr>
        <w:t>重要的是</w:t>
      </w:r>
      <w:r>
        <w:rPr>
          <w:rFonts w:ascii="Times New Roman" w:hAnsi="宋体"/>
          <w:sz w:val="18"/>
          <w:szCs w:val="18"/>
        </w:rPr>
        <w:t>保证在沉淀前所有的铬离子都被氧化成六价铬离子，且洗沉淀和滤纸至</w:t>
      </w:r>
      <w:r>
        <w:rPr>
          <w:rFonts w:hint="eastAsia" w:ascii="Times New Roman" w:hAnsi="宋体"/>
          <w:sz w:val="18"/>
          <w:szCs w:val="18"/>
        </w:rPr>
        <w:t>滤液中</w:t>
      </w:r>
      <w:r>
        <w:rPr>
          <w:rFonts w:ascii="Times New Roman" w:hAnsi="宋体"/>
          <w:sz w:val="18"/>
          <w:szCs w:val="18"/>
        </w:rPr>
        <w:t>无六价铬离子。水合氧化物可在滤纸浆的存在下被快速过滤和洗涤。</w:t>
      </w:r>
    </w:p>
    <w:p>
      <w:pPr>
        <w:pStyle w:val="26"/>
        <w:ind w:firstLine="0" w:firstLineChars="0"/>
        <w:rPr>
          <w:rFonts w:ascii="Times New Roman"/>
          <w:bCs/>
          <w:kern w:val="2"/>
          <w:szCs w:val="21"/>
        </w:rPr>
      </w:pPr>
      <w:r>
        <w:rPr>
          <w:rFonts w:ascii="黑体" w:hAnsi="黑体" w:eastAsia="黑体"/>
        </w:rPr>
        <w:t>8.4</w:t>
      </w:r>
      <w:r>
        <w:rPr>
          <w:rFonts w:hint="eastAsia" w:ascii="黑体" w:hAnsi="黑体" w:eastAsia="黑体"/>
        </w:rPr>
        <w:t>.</w:t>
      </w:r>
      <w:r>
        <w:rPr>
          <w:rFonts w:ascii="黑体" w:hAnsi="黑体" w:eastAsia="黑体"/>
        </w:rPr>
        <w:t>4</w:t>
      </w:r>
      <w:r>
        <w:rPr>
          <w:rFonts w:ascii="Times New Roman"/>
          <w:bCs/>
          <w:kern w:val="2"/>
          <w:szCs w:val="21"/>
        </w:rPr>
        <w:t>把滤液转移至</w:t>
      </w:r>
      <w:r>
        <w:rPr>
          <w:rFonts w:hint="eastAsia" w:ascii="Times New Roman"/>
          <w:bCs/>
          <w:kern w:val="2"/>
          <w:szCs w:val="21"/>
        </w:rPr>
        <w:t>2</w:t>
      </w:r>
      <w:r>
        <w:rPr>
          <w:rFonts w:ascii="Times New Roman"/>
          <w:bCs/>
          <w:kern w:val="2"/>
          <w:szCs w:val="21"/>
        </w:rPr>
        <w:t>50</w:t>
      </w:r>
      <w:r>
        <w:rPr>
          <w:rFonts w:ascii="Times New Roman"/>
          <w:bCs/>
          <w:kern w:val="2"/>
          <w:szCs w:val="24"/>
        </w:rPr>
        <w:t>mL</w:t>
      </w:r>
      <w:r>
        <w:rPr>
          <w:rFonts w:ascii="Times New Roman"/>
          <w:bCs/>
          <w:kern w:val="2"/>
          <w:szCs w:val="21"/>
        </w:rPr>
        <w:t>分液漏斗</w:t>
      </w:r>
      <w:r>
        <w:rPr>
          <w:rFonts w:hint="eastAsia" w:ascii="Times New Roman"/>
          <w:bCs/>
          <w:kern w:val="2"/>
          <w:szCs w:val="21"/>
        </w:rPr>
        <w:t>(最好带有四氟乙烯活塞</w:t>
      </w:r>
      <w:r>
        <w:rPr>
          <w:rFonts w:ascii="Times New Roman"/>
          <w:bCs/>
          <w:kern w:val="2"/>
          <w:szCs w:val="21"/>
        </w:rPr>
        <w:t>)中。加入2 mL酒石酸溶液（5.15），1mL氨基磺酸溶液（5.14）和10 mL</w:t>
      </w:r>
      <w:r>
        <w:rPr>
          <w:rFonts w:ascii="Times New Roman"/>
          <w:szCs w:val="21"/>
        </w:rPr>
        <w:t>钼酸钠溶液（5.</w:t>
      </w:r>
      <w:r>
        <w:rPr>
          <w:rFonts w:hint="eastAsia" w:ascii="Times New Roman"/>
          <w:szCs w:val="21"/>
        </w:rPr>
        <w:t>2</w:t>
      </w:r>
      <w:r>
        <w:rPr>
          <w:rFonts w:ascii="Times New Roman"/>
          <w:szCs w:val="21"/>
        </w:rPr>
        <w:t>0）。混匀，加入20</w:t>
      </w:r>
      <w:r>
        <w:rPr>
          <w:rFonts w:ascii="Times New Roman"/>
          <w:bCs/>
          <w:kern w:val="2"/>
          <w:szCs w:val="21"/>
        </w:rPr>
        <w:t xml:space="preserve"> mL异丁醇（5.7），强烈振荡2 min。静置分层后，下层水相移入另外一个分液漏斗中。向该分液漏斗中加入5 mL</w:t>
      </w:r>
      <w:r>
        <w:rPr>
          <w:rFonts w:ascii="Times New Roman"/>
          <w:szCs w:val="21"/>
        </w:rPr>
        <w:t>钼酸钠溶液（5.</w:t>
      </w:r>
      <w:r>
        <w:rPr>
          <w:rFonts w:hint="eastAsia" w:ascii="Times New Roman"/>
          <w:szCs w:val="21"/>
        </w:rPr>
        <w:t>21</w:t>
      </w:r>
      <w:r>
        <w:rPr>
          <w:rFonts w:ascii="Times New Roman"/>
          <w:szCs w:val="21"/>
        </w:rPr>
        <w:t>）和</w:t>
      </w:r>
      <w:r>
        <w:rPr>
          <w:rFonts w:ascii="Times New Roman"/>
          <w:bCs/>
          <w:kern w:val="2"/>
          <w:szCs w:val="21"/>
        </w:rPr>
        <w:t>10 mL异丁醇（5.7）。强烈振荡2 min，静置分层后弃去下层水相。把两次萃取的有机相合并，振摇片刻，静置后，弃去可能残留的水相。用20mL</w:t>
      </w:r>
      <w:r>
        <w:rPr>
          <w:rFonts w:ascii="Times New Roman"/>
        </w:rPr>
        <w:t>氯化钠</w:t>
      </w:r>
      <w:r>
        <w:rPr>
          <w:rFonts w:ascii="Times New Roman"/>
          <w:kern w:val="2"/>
          <w:szCs w:val="24"/>
        </w:rPr>
        <w:t>+</w:t>
      </w:r>
      <w:r>
        <w:rPr>
          <w:rFonts w:ascii="Times New Roman"/>
          <w:bCs/>
          <w:kern w:val="2"/>
          <w:szCs w:val="24"/>
        </w:rPr>
        <w:t>异丁醇</w:t>
      </w:r>
      <w:r>
        <w:rPr>
          <w:rFonts w:ascii="Times New Roman"/>
        </w:rPr>
        <w:t>洗液</w:t>
      </w:r>
      <w:r>
        <w:rPr>
          <w:rFonts w:ascii="Times New Roman"/>
          <w:bCs/>
          <w:kern w:val="2"/>
          <w:szCs w:val="21"/>
        </w:rPr>
        <w:t xml:space="preserve">（5.21）洗涤有机相，振荡30 s。弃去水相，用20mL </w:t>
      </w:r>
      <w:r>
        <w:rPr>
          <w:rFonts w:ascii="Times New Roman"/>
        </w:rPr>
        <w:t>氯化钠</w:t>
      </w:r>
      <w:r>
        <w:rPr>
          <w:rFonts w:ascii="Times New Roman"/>
          <w:kern w:val="2"/>
          <w:szCs w:val="24"/>
        </w:rPr>
        <w:t>+</w:t>
      </w:r>
      <w:r>
        <w:rPr>
          <w:rFonts w:ascii="Times New Roman"/>
          <w:bCs/>
          <w:kern w:val="2"/>
          <w:szCs w:val="24"/>
        </w:rPr>
        <w:t>异丁醇</w:t>
      </w:r>
      <w:r>
        <w:rPr>
          <w:rFonts w:ascii="Times New Roman"/>
        </w:rPr>
        <w:t>洗液</w:t>
      </w:r>
      <w:r>
        <w:rPr>
          <w:rFonts w:ascii="Times New Roman"/>
          <w:bCs/>
          <w:kern w:val="2"/>
          <w:szCs w:val="21"/>
        </w:rPr>
        <w:t>（5.21）重复洗涤有机相两次，弃去洗涤液。</w:t>
      </w:r>
    </w:p>
    <w:p>
      <w:pPr>
        <w:pStyle w:val="26"/>
        <w:ind w:firstLine="0" w:firstLineChars="0"/>
        <w:rPr>
          <w:rFonts w:ascii="Times New Roman"/>
          <w:bCs/>
          <w:kern w:val="2"/>
          <w:szCs w:val="21"/>
        </w:rPr>
      </w:pPr>
      <w:r>
        <w:rPr>
          <w:rFonts w:ascii="黑体" w:hAnsi="黑体" w:eastAsia="黑体"/>
        </w:rPr>
        <w:t>8.4</w:t>
      </w:r>
      <w:r>
        <w:rPr>
          <w:rFonts w:hint="eastAsia" w:ascii="黑体" w:hAnsi="黑体" w:eastAsia="黑体"/>
        </w:rPr>
        <w:t>.</w:t>
      </w:r>
      <w:r>
        <w:rPr>
          <w:rFonts w:ascii="黑体" w:hAnsi="黑体" w:eastAsia="黑体"/>
        </w:rPr>
        <w:t>5</w:t>
      </w:r>
      <w:r>
        <w:rPr>
          <w:rFonts w:ascii="Times New Roman"/>
          <w:bCs/>
          <w:kern w:val="2"/>
          <w:szCs w:val="21"/>
        </w:rPr>
        <w:t>向有机相中，依次加入40mL三氯甲烷</w:t>
      </w:r>
      <w:r>
        <w:rPr>
          <w:rFonts w:hint="eastAsia" w:ascii="Times New Roman"/>
          <w:bCs/>
          <w:kern w:val="2"/>
          <w:szCs w:val="21"/>
        </w:rPr>
        <w:t>（</w:t>
      </w:r>
      <w:r>
        <w:rPr>
          <w:rFonts w:ascii="Times New Roman"/>
          <w:bCs/>
          <w:kern w:val="2"/>
          <w:szCs w:val="21"/>
        </w:rPr>
        <w:t>5</w:t>
      </w:r>
      <w:r>
        <w:rPr>
          <w:rFonts w:hint="eastAsia" w:ascii="Times New Roman"/>
          <w:bCs/>
          <w:kern w:val="2"/>
          <w:szCs w:val="21"/>
        </w:rPr>
        <w:t>.</w:t>
      </w:r>
      <w:r>
        <w:rPr>
          <w:rFonts w:ascii="Times New Roman"/>
          <w:bCs/>
          <w:kern w:val="2"/>
          <w:szCs w:val="21"/>
        </w:rPr>
        <w:t>6</w:t>
      </w:r>
      <w:r>
        <w:rPr>
          <w:rFonts w:hint="eastAsia" w:ascii="Times New Roman"/>
          <w:bCs/>
          <w:kern w:val="2"/>
          <w:szCs w:val="21"/>
        </w:rPr>
        <w:t>）</w:t>
      </w:r>
      <w:r>
        <w:rPr>
          <w:rFonts w:ascii="Times New Roman"/>
          <w:bCs/>
          <w:kern w:val="2"/>
          <w:szCs w:val="21"/>
        </w:rPr>
        <w:t>，30mL水，10mL</w:t>
      </w:r>
      <w:r>
        <w:rPr>
          <w:rFonts w:ascii="Times New Roman"/>
          <w:szCs w:val="21"/>
        </w:rPr>
        <w:t>氯化亚锡溶液（5.22.2）和2 mL</w:t>
      </w:r>
      <w:r>
        <w:rPr>
          <w:rFonts w:ascii="Times New Roman"/>
          <w:bCs/>
          <w:kern w:val="2"/>
          <w:szCs w:val="21"/>
        </w:rPr>
        <w:t>草酸溶液(5.13)。立刻振荡1 min，静置分层后，弃去下层有机相。把水相移入已预先加入5 mL</w:t>
      </w:r>
      <w:r>
        <w:rPr>
          <w:rFonts w:hint="eastAsia" w:ascii="Times New Roman"/>
          <w:bCs/>
          <w:kern w:val="2"/>
          <w:szCs w:val="21"/>
        </w:rPr>
        <w:t>盐酸</w:t>
      </w:r>
      <w:r>
        <w:rPr>
          <w:rFonts w:hint="eastAsia" w:ascii="Times New Roman"/>
          <w:bCs/>
          <w:kern w:val="2"/>
          <w:szCs w:val="21"/>
          <w:lang w:val="en-US" w:eastAsia="zh-CN"/>
        </w:rPr>
        <w:t>溶液</w:t>
      </w:r>
      <w:r>
        <w:rPr>
          <w:rFonts w:ascii="Times New Roman"/>
          <w:bCs/>
          <w:kern w:val="2"/>
          <w:szCs w:val="21"/>
        </w:rPr>
        <w:t>(</w:t>
      </w:r>
      <w:r>
        <w:rPr>
          <w:rFonts w:ascii="Times New Roman"/>
          <w:szCs w:val="21"/>
        </w:rPr>
        <w:t>5.9</w:t>
      </w:r>
      <w:r>
        <w:rPr>
          <w:rFonts w:ascii="Times New Roman"/>
          <w:bCs/>
          <w:kern w:val="2"/>
          <w:szCs w:val="21"/>
        </w:rPr>
        <w:t>)的100 mL容量瓶中，用水冲洗分液漏斗并</w:t>
      </w:r>
      <w:r>
        <w:rPr>
          <w:rFonts w:hint="eastAsia" w:ascii="Times New Roman"/>
          <w:bCs/>
          <w:kern w:val="2"/>
          <w:szCs w:val="21"/>
        </w:rPr>
        <w:t>合并</w:t>
      </w:r>
      <w:r>
        <w:rPr>
          <w:rFonts w:ascii="Times New Roman"/>
          <w:bCs/>
          <w:kern w:val="2"/>
          <w:szCs w:val="21"/>
        </w:rPr>
        <w:t>入容量瓶中，用水稀释至刻度，混匀。放置</w:t>
      </w:r>
      <w:r>
        <w:rPr>
          <w:rFonts w:hint="eastAsia" w:ascii="Times New Roman"/>
          <w:bCs/>
          <w:kern w:val="2"/>
          <w:szCs w:val="21"/>
          <w:lang w:val="en-US" w:eastAsia="zh-CN"/>
        </w:rPr>
        <w:t>至少</w:t>
      </w:r>
      <w:r>
        <w:rPr>
          <w:rFonts w:ascii="Times New Roman"/>
          <w:bCs/>
          <w:kern w:val="2"/>
          <w:szCs w:val="21"/>
        </w:rPr>
        <w:t>20 min。</w:t>
      </w:r>
    </w:p>
    <w:p>
      <w:pPr>
        <w:pStyle w:val="26"/>
        <w:adjustRightInd w:val="0"/>
        <w:snapToGrid w:val="0"/>
        <w:ind w:firstLine="360"/>
        <w:rPr>
          <w:rFonts w:ascii="Times New Roman"/>
          <w:bCs/>
          <w:kern w:val="2"/>
          <w:sz w:val="18"/>
          <w:szCs w:val="18"/>
        </w:rPr>
      </w:pPr>
      <w:r>
        <w:rPr>
          <w:rFonts w:ascii="Times New Roman"/>
          <w:bCs/>
          <w:kern w:val="2"/>
          <w:sz w:val="18"/>
          <w:szCs w:val="18"/>
        </w:rPr>
        <w:t>注3：氯化</w:t>
      </w:r>
      <w:r>
        <w:rPr>
          <w:rFonts w:ascii="Times New Roman"/>
          <w:sz w:val="18"/>
          <w:szCs w:val="18"/>
        </w:rPr>
        <w:t>亚锡溶液和</w:t>
      </w:r>
      <w:r>
        <w:rPr>
          <w:rFonts w:ascii="Times New Roman"/>
          <w:bCs/>
          <w:kern w:val="2"/>
          <w:sz w:val="18"/>
          <w:szCs w:val="18"/>
        </w:rPr>
        <w:t>草酸溶液加入后，应立即摇匀。至少放置20 min才可显色完全。显色完全后的溶液可至少稳定20 h。</w:t>
      </w:r>
    </w:p>
    <w:p>
      <w:pPr>
        <w:widowControl/>
        <w:numPr>
          <w:ilvl w:val="1"/>
          <w:numId w:val="0"/>
        </w:numPr>
        <w:adjustRightInd w:val="0"/>
        <w:snapToGrid w:val="0"/>
        <w:outlineLvl w:val="1"/>
        <w:rPr>
          <w:rFonts w:ascii="黑体" w:hAnsi="黑体" w:eastAsia="黑体"/>
          <w:kern w:val="0"/>
          <w:szCs w:val="20"/>
        </w:rPr>
      </w:pPr>
      <w:r>
        <w:rPr>
          <w:rFonts w:ascii="黑体" w:hAnsi="黑体" w:eastAsia="黑体"/>
          <w:kern w:val="0"/>
          <w:szCs w:val="20"/>
        </w:rPr>
        <w:t>8.4</w:t>
      </w:r>
      <w:r>
        <w:rPr>
          <w:rFonts w:hint="eastAsia" w:ascii="黑体" w:hAnsi="黑体" w:eastAsia="黑体"/>
          <w:kern w:val="0"/>
        </w:rPr>
        <w:t>.</w:t>
      </w:r>
      <w:r>
        <w:rPr>
          <w:rFonts w:ascii="黑体" w:hAnsi="黑体" w:eastAsia="黑体"/>
        </w:rPr>
        <w:t>6</w:t>
      </w:r>
      <w:r>
        <w:rPr>
          <w:bCs/>
          <w:szCs w:val="21"/>
        </w:rPr>
        <w:t>将部分溶液移入2 cm吸收皿中，以水为参比，于分光光度计700 nm处测量吸光度。</w:t>
      </w:r>
    </w:p>
    <w:p>
      <w:pPr>
        <w:widowControl/>
        <w:numPr>
          <w:ilvl w:val="1"/>
          <w:numId w:val="0"/>
        </w:numPr>
        <w:spacing w:before="156" w:beforeLines="50" w:after="156" w:afterLines="50"/>
        <w:outlineLvl w:val="1"/>
        <w:rPr>
          <w:rFonts w:ascii="黑体" w:hAnsi="黑体" w:eastAsia="黑体"/>
          <w:kern w:val="0"/>
          <w:szCs w:val="20"/>
        </w:rPr>
      </w:pPr>
      <w:r>
        <w:rPr>
          <w:rFonts w:ascii="黑体" w:hAnsi="黑体" w:eastAsia="黑体"/>
          <w:kern w:val="0"/>
          <w:szCs w:val="20"/>
        </w:rPr>
        <w:t xml:space="preserve">8.5  </w:t>
      </w:r>
      <w:r>
        <w:rPr>
          <w:rFonts w:hint="eastAsia" w:ascii="黑体" w:hAnsi="黑体" w:eastAsia="黑体"/>
          <w:kern w:val="0"/>
          <w:szCs w:val="20"/>
        </w:rPr>
        <w:t>工作曲线的绘制</w:t>
      </w:r>
    </w:p>
    <w:p>
      <w:pPr>
        <w:pStyle w:val="26"/>
        <w:ind w:firstLine="0" w:firstLineChars="0"/>
        <w:rPr>
          <w:rFonts w:ascii="Times New Roman"/>
          <w:bCs/>
          <w:kern w:val="2"/>
          <w:szCs w:val="21"/>
        </w:rPr>
      </w:pPr>
      <w:r>
        <w:rPr>
          <w:rFonts w:ascii="黑体" w:hAnsi="黑体" w:eastAsia="黑体"/>
        </w:rPr>
        <w:t>8.5</w:t>
      </w:r>
      <w:r>
        <w:rPr>
          <w:rFonts w:hint="eastAsia" w:ascii="黑体" w:hAnsi="黑体" w:eastAsia="黑体"/>
        </w:rPr>
        <w:t>.</w:t>
      </w:r>
      <w:r>
        <w:rPr>
          <w:rFonts w:ascii="黑体" w:hAnsi="黑体" w:eastAsia="黑体"/>
        </w:rPr>
        <w:t>1</w:t>
      </w:r>
      <w:r>
        <w:rPr>
          <w:rFonts w:ascii="Times New Roman" w:hAnsi="宋体"/>
          <w:bCs/>
          <w:szCs w:val="21"/>
        </w:rPr>
        <w:t>分</w:t>
      </w:r>
      <w:r>
        <w:rPr>
          <w:rFonts w:ascii="Times New Roman"/>
          <w:bCs/>
          <w:szCs w:val="21"/>
        </w:rPr>
        <w:t>别移取</w:t>
      </w:r>
      <w:r>
        <w:rPr>
          <w:rFonts w:ascii="Times New Roman"/>
          <w:szCs w:val="21"/>
        </w:rPr>
        <w:t>0 mL、</w:t>
      </w:r>
      <w:r>
        <w:rPr>
          <w:rFonts w:hint="eastAsia" w:ascii="Times New Roman"/>
          <w:szCs w:val="21"/>
        </w:rPr>
        <w:t>0.50</w:t>
      </w:r>
      <w:r>
        <w:rPr>
          <w:rFonts w:ascii="Times New Roman"/>
          <w:szCs w:val="21"/>
        </w:rPr>
        <w:t xml:space="preserve"> mL</w:t>
      </w:r>
      <w:r>
        <w:rPr>
          <w:rFonts w:hint="eastAsia" w:ascii="Times New Roman"/>
          <w:szCs w:val="21"/>
        </w:rPr>
        <w:t>，</w:t>
      </w:r>
      <w:r>
        <w:rPr>
          <w:rFonts w:ascii="Times New Roman"/>
          <w:szCs w:val="21"/>
        </w:rPr>
        <w:t>1.00 mL、2.00 mL、3.00 mL、4.00 mL、5.00 mL</w:t>
      </w:r>
      <w:r>
        <w:rPr>
          <w:rFonts w:ascii="Times New Roman"/>
          <w:bCs/>
          <w:szCs w:val="21"/>
        </w:rPr>
        <w:t>磷标准</w:t>
      </w:r>
      <w:r>
        <w:rPr>
          <w:rFonts w:ascii="Times New Roman" w:hAnsi="宋体"/>
          <w:bCs/>
          <w:szCs w:val="21"/>
        </w:rPr>
        <w:t>溶液（</w:t>
      </w:r>
      <w:r>
        <w:rPr>
          <w:rFonts w:ascii="Times New Roman"/>
          <w:bCs/>
          <w:szCs w:val="21"/>
        </w:rPr>
        <w:t>5.24</w:t>
      </w:r>
      <w:r>
        <w:rPr>
          <w:rFonts w:ascii="Times New Roman" w:hAnsi="宋体"/>
          <w:bCs/>
          <w:szCs w:val="21"/>
        </w:rPr>
        <w:t>）</w:t>
      </w:r>
      <w:r>
        <w:rPr>
          <w:rFonts w:hint="eastAsia" w:ascii="Times New Roman" w:hAnsi="宋体"/>
          <w:bCs/>
          <w:szCs w:val="21"/>
        </w:rPr>
        <w:t>于一组4</w:t>
      </w:r>
      <w:r>
        <w:rPr>
          <w:rFonts w:ascii="Times New Roman" w:hAnsi="宋体"/>
          <w:bCs/>
          <w:szCs w:val="21"/>
        </w:rPr>
        <w:t xml:space="preserve">00 </w:t>
      </w:r>
      <w:r>
        <w:rPr>
          <w:rFonts w:ascii="Times New Roman"/>
          <w:bCs/>
          <w:szCs w:val="21"/>
        </w:rPr>
        <w:t>mL</w:t>
      </w:r>
      <w:r>
        <w:rPr>
          <w:rFonts w:hint="eastAsia" w:ascii="Times New Roman"/>
          <w:bCs/>
          <w:szCs w:val="21"/>
        </w:rPr>
        <w:t>烧杯中，</w:t>
      </w:r>
      <w:r>
        <w:rPr>
          <w:rFonts w:hint="eastAsia" w:ascii="Times New Roman" w:hAnsi="宋体"/>
          <w:bCs/>
          <w:szCs w:val="21"/>
        </w:rPr>
        <w:t>再</w:t>
      </w:r>
      <w:r>
        <w:rPr>
          <w:rFonts w:ascii="Times New Roman" w:hAnsi="宋体"/>
          <w:bCs/>
          <w:szCs w:val="21"/>
        </w:rPr>
        <w:t>加入</w:t>
      </w:r>
      <w:r>
        <w:rPr>
          <w:rFonts w:ascii="Times New Roman"/>
          <w:bCs/>
          <w:szCs w:val="21"/>
        </w:rPr>
        <w:t>5 mL</w:t>
      </w:r>
      <w:r>
        <w:rPr>
          <w:rFonts w:ascii="Times New Roman" w:hAnsi="宋体"/>
          <w:bCs/>
          <w:szCs w:val="21"/>
        </w:rPr>
        <w:t>硝酸（</w:t>
      </w:r>
      <w:r>
        <w:rPr>
          <w:rFonts w:ascii="Times New Roman"/>
          <w:bCs/>
          <w:szCs w:val="21"/>
        </w:rPr>
        <w:t>5.2</w:t>
      </w:r>
      <w:r>
        <w:rPr>
          <w:rFonts w:ascii="Times New Roman" w:hAnsi="宋体"/>
          <w:bCs/>
          <w:szCs w:val="21"/>
        </w:rPr>
        <w:t>），以下按</w:t>
      </w:r>
      <w:r>
        <w:rPr>
          <w:rFonts w:ascii="Times New Roman"/>
          <w:bCs/>
          <w:szCs w:val="21"/>
        </w:rPr>
        <w:t>8.3.2</w:t>
      </w:r>
      <w:r>
        <w:rPr>
          <w:rFonts w:ascii="Times New Roman" w:hAnsi="宋体"/>
          <w:bCs/>
          <w:szCs w:val="21"/>
        </w:rPr>
        <w:t>至</w:t>
      </w:r>
      <w:r>
        <w:rPr>
          <w:rFonts w:ascii="Times New Roman"/>
          <w:bCs/>
          <w:szCs w:val="21"/>
        </w:rPr>
        <w:t>8.3.5</w:t>
      </w:r>
      <w:r>
        <w:rPr>
          <w:rFonts w:ascii="Times New Roman" w:hAnsi="宋体"/>
          <w:bCs/>
          <w:szCs w:val="21"/>
        </w:rPr>
        <w:t>进行。</w:t>
      </w:r>
    </w:p>
    <w:p>
      <w:pPr>
        <w:pStyle w:val="26"/>
        <w:ind w:firstLine="0" w:firstLineChars="0"/>
        <w:rPr>
          <w:rFonts w:ascii="Times New Roman"/>
          <w:bCs/>
          <w:kern w:val="2"/>
          <w:szCs w:val="21"/>
        </w:rPr>
      </w:pPr>
      <w:r>
        <w:rPr>
          <w:rFonts w:ascii="黑体" w:hAnsi="黑体" w:eastAsia="黑体"/>
        </w:rPr>
        <w:t>8.5</w:t>
      </w:r>
      <w:r>
        <w:rPr>
          <w:rFonts w:hint="eastAsia" w:ascii="黑体" w:hAnsi="黑体" w:eastAsia="黑体"/>
        </w:rPr>
        <w:t>.</w:t>
      </w:r>
      <w:r>
        <w:rPr>
          <w:rFonts w:ascii="黑体" w:hAnsi="黑体" w:eastAsia="黑体"/>
        </w:rPr>
        <w:t xml:space="preserve">2 </w:t>
      </w:r>
      <w:r>
        <w:rPr>
          <w:rFonts w:ascii="Times New Roman"/>
          <w:bCs/>
          <w:kern w:val="2"/>
          <w:szCs w:val="21"/>
        </w:rPr>
        <w:t>将部分溶液移入2 cm吸收皿中，</w:t>
      </w:r>
      <w:r>
        <w:rPr>
          <w:szCs w:val="21"/>
        </w:rPr>
        <w:t>以</w:t>
      </w:r>
      <w:r>
        <w:rPr>
          <w:rFonts w:hint="eastAsia"/>
          <w:szCs w:val="21"/>
        </w:rPr>
        <w:t>系列标准溶液中零浓度溶液为参比</w:t>
      </w:r>
      <w:r>
        <w:rPr>
          <w:rFonts w:ascii="Times New Roman"/>
          <w:bCs/>
          <w:kern w:val="2"/>
          <w:szCs w:val="21"/>
        </w:rPr>
        <w:t>，于分光光度计700 nm处，测量吸光度，以磷的质量为横坐标，吸光度为纵坐标绘制工作曲线。</w:t>
      </w:r>
    </w:p>
    <w:p>
      <w:pPr>
        <w:widowControl/>
        <w:numPr>
          <w:ilvl w:val="1"/>
          <w:numId w:val="0"/>
        </w:numPr>
        <w:spacing w:before="312" w:beforeLines="100" w:after="312" w:afterLines="100"/>
        <w:outlineLvl w:val="1"/>
        <w:rPr>
          <w:rFonts w:ascii="黑体" w:hAnsi="黑体" w:eastAsia="黑体"/>
          <w:kern w:val="0"/>
          <w:szCs w:val="20"/>
        </w:rPr>
      </w:pPr>
      <w:r>
        <w:rPr>
          <w:rFonts w:ascii="黑体" w:hAnsi="黑体" w:eastAsia="黑体"/>
          <w:kern w:val="0"/>
          <w:szCs w:val="20"/>
        </w:rPr>
        <w:t xml:space="preserve">9  </w:t>
      </w:r>
      <w:r>
        <w:rPr>
          <w:rFonts w:hint="eastAsia" w:ascii="黑体" w:hAnsi="黑体" w:eastAsia="黑体"/>
          <w:kern w:val="0"/>
          <w:szCs w:val="20"/>
        </w:rPr>
        <w:t>试验数据处理</w:t>
      </w:r>
    </w:p>
    <w:p>
      <w:pPr>
        <w:widowControl/>
        <w:autoSpaceDE w:val="0"/>
        <w:autoSpaceDN w:val="0"/>
        <w:ind w:firstLine="420" w:firstLineChars="200"/>
        <w:rPr>
          <w:rFonts w:ascii="宋体"/>
          <w:kern w:val="0"/>
          <w:szCs w:val="20"/>
        </w:rPr>
      </w:pPr>
      <w:r>
        <w:rPr>
          <w:rFonts w:hint="eastAsia" w:ascii="宋体" w:hAnsi="宋体"/>
          <w:kern w:val="0"/>
          <w:szCs w:val="20"/>
        </w:rPr>
        <w:t>磷含量以质量分数</w:t>
      </w:r>
      <w:r>
        <w:rPr>
          <w:rFonts w:ascii="宋体" w:hAnsi="宋体"/>
          <w:i/>
          <w:kern w:val="0"/>
          <w:szCs w:val="20"/>
        </w:rPr>
        <w:t>w</w:t>
      </w:r>
      <w:r>
        <w:rPr>
          <w:rFonts w:ascii="宋体" w:hAnsi="宋体"/>
          <w:kern w:val="0"/>
          <w:szCs w:val="20"/>
          <w:vertAlign w:val="subscript"/>
        </w:rPr>
        <w:t>P</w:t>
      </w:r>
      <w:r>
        <w:rPr>
          <w:rFonts w:hint="eastAsia" w:ascii="宋体" w:hAnsi="宋体"/>
          <w:kern w:val="0"/>
          <w:szCs w:val="20"/>
        </w:rPr>
        <w:t>计，按公式（</w:t>
      </w:r>
      <w:r>
        <w:rPr>
          <w:rFonts w:ascii="宋体" w:hAnsi="宋体"/>
          <w:kern w:val="0"/>
          <w:szCs w:val="20"/>
        </w:rPr>
        <w:t>1</w:t>
      </w:r>
      <w:r>
        <w:rPr>
          <w:rFonts w:hint="eastAsia" w:ascii="宋体" w:hAnsi="宋体"/>
          <w:kern w:val="0"/>
          <w:szCs w:val="20"/>
        </w:rPr>
        <w:t>）计算：</w:t>
      </w:r>
    </w:p>
    <w:p>
      <w:pPr>
        <w:widowControl/>
        <w:autoSpaceDE w:val="0"/>
        <w:autoSpaceDN w:val="0"/>
        <w:ind w:firstLine="2100" w:firstLineChars="1000"/>
        <w:rPr>
          <w:rFonts w:ascii="宋体"/>
        </w:rPr>
      </w:pPr>
      <w:r>
        <w:rPr>
          <w:rFonts w:hint="eastAsia" w:ascii="宋体" w:hAnsi="宋体"/>
          <w:position w:val="-30"/>
        </w:rPr>
        <w:object>
          <v:shape id="_x0000_i1025" o:spt="75" type="#_x0000_t75" style="height:33.5pt;width:138.5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r>
        <w:rPr>
          <w:rFonts w:hint="eastAsia" w:ascii="宋体" w:hAnsi="宋体"/>
          <w:kern w:val="0"/>
          <w:szCs w:val="20"/>
        </w:rPr>
        <w:t>……………………………（1）</w:t>
      </w:r>
    </w:p>
    <w:p>
      <w:pPr>
        <w:widowControl/>
        <w:autoSpaceDE w:val="0"/>
        <w:autoSpaceDN w:val="0"/>
        <w:ind w:firstLine="420" w:firstLineChars="200"/>
        <w:rPr>
          <w:rFonts w:ascii="宋体"/>
          <w:kern w:val="0"/>
          <w:szCs w:val="20"/>
        </w:rPr>
      </w:pPr>
      <w:r>
        <w:rPr>
          <w:rFonts w:hint="eastAsia" w:ascii="宋体" w:hAnsi="宋体"/>
          <w:kern w:val="0"/>
          <w:szCs w:val="20"/>
        </w:rPr>
        <w:t>式中：</w:t>
      </w:r>
    </w:p>
    <w:p>
      <w:pPr>
        <w:widowControl/>
        <w:autoSpaceDE w:val="0"/>
        <w:autoSpaceDN w:val="0"/>
        <w:ind w:firstLine="420" w:firstLineChars="200"/>
        <w:rPr>
          <w:rFonts w:ascii="宋体"/>
          <w:kern w:val="0"/>
          <w:szCs w:val="20"/>
        </w:rPr>
      </w:pPr>
      <w:r>
        <w:rPr>
          <w:rFonts w:ascii="宋体"/>
          <w:i/>
          <w:kern w:val="0"/>
          <w:szCs w:val="21"/>
        </w:rPr>
        <w:t>m</w:t>
      </w:r>
      <w:r>
        <w:rPr>
          <w:rFonts w:ascii="宋体" w:hAnsi="宋体"/>
          <w:kern w:val="0"/>
          <w:szCs w:val="21"/>
          <w:vertAlign w:val="subscript"/>
        </w:rPr>
        <w:t>1</w:t>
      </w:r>
      <w:r>
        <w:rPr>
          <w:rFonts w:ascii="宋体" w:hAnsi="宋体"/>
          <w:kern w:val="0"/>
          <w:szCs w:val="21"/>
        </w:rPr>
        <w:t>——</w:t>
      </w:r>
      <w:r>
        <w:rPr>
          <w:rFonts w:hint="eastAsia" w:ascii="宋体" w:hAnsi="宋体"/>
          <w:kern w:val="0"/>
          <w:szCs w:val="21"/>
        </w:rPr>
        <w:t>自工作曲线上查得的磷量，</w:t>
      </w:r>
      <w:r>
        <w:rPr>
          <w:rFonts w:hint="eastAsia" w:ascii="宋体" w:hAnsi="宋体"/>
          <w:kern w:val="0"/>
          <w:szCs w:val="20"/>
        </w:rPr>
        <w:t>单位为毫克（</w:t>
      </w:r>
      <w:r>
        <w:rPr>
          <w:rFonts w:hint="eastAsia" w:ascii="宋体"/>
          <w:kern w:val="0"/>
          <w:szCs w:val="20"/>
        </w:rPr>
        <w:t>m</w:t>
      </w:r>
      <w:r>
        <w:rPr>
          <w:rFonts w:ascii="宋体"/>
          <w:kern w:val="0"/>
          <w:szCs w:val="20"/>
        </w:rPr>
        <w:t>g</w:t>
      </w:r>
      <w:r>
        <w:rPr>
          <w:rFonts w:hint="eastAsia" w:ascii="宋体" w:hAnsi="宋体"/>
          <w:kern w:val="0"/>
          <w:szCs w:val="20"/>
        </w:rPr>
        <w:t>）；</w:t>
      </w:r>
    </w:p>
    <w:p>
      <w:pPr>
        <w:widowControl/>
        <w:autoSpaceDE w:val="0"/>
        <w:autoSpaceDN w:val="0"/>
        <w:ind w:firstLine="420" w:firstLineChars="200"/>
        <w:rPr>
          <w:rFonts w:ascii="宋体"/>
          <w:kern w:val="0"/>
          <w:szCs w:val="20"/>
        </w:rPr>
      </w:pPr>
      <w:r>
        <w:rPr>
          <w:rFonts w:ascii="宋体"/>
          <w:i/>
          <w:kern w:val="0"/>
          <w:szCs w:val="21"/>
        </w:rPr>
        <w:t>m</w:t>
      </w:r>
      <w:r>
        <w:rPr>
          <w:rFonts w:ascii="宋体" w:hAnsi="宋体"/>
          <w:kern w:val="0"/>
          <w:szCs w:val="21"/>
          <w:vertAlign w:val="subscript"/>
        </w:rPr>
        <w:t>0</w:t>
      </w:r>
      <w:r>
        <w:rPr>
          <w:rFonts w:ascii="宋体" w:hAnsi="宋体"/>
          <w:kern w:val="0"/>
          <w:szCs w:val="21"/>
        </w:rPr>
        <w:t>——</w:t>
      </w:r>
      <w:r>
        <w:rPr>
          <w:rFonts w:hint="eastAsia" w:ascii="宋体" w:hAnsi="宋体"/>
          <w:kern w:val="0"/>
          <w:szCs w:val="21"/>
        </w:rPr>
        <w:t>自工作曲线上查得的试剂空白中的磷量，</w:t>
      </w:r>
      <w:r>
        <w:rPr>
          <w:rFonts w:hint="eastAsia" w:ascii="宋体" w:hAnsi="宋体"/>
          <w:kern w:val="0"/>
          <w:szCs w:val="20"/>
        </w:rPr>
        <w:t>单位为毫克（</w:t>
      </w:r>
      <w:r>
        <w:rPr>
          <w:rFonts w:hint="eastAsia" w:ascii="宋体"/>
          <w:kern w:val="0"/>
          <w:szCs w:val="20"/>
        </w:rPr>
        <w:t>m</w:t>
      </w:r>
      <w:r>
        <w:rPr>
          <w:rFonts w:ascii="宋体"/>
          <w:kern w:val="0"/>
          <w:szCs w:val="20"/>
        </w:rPr>
        <w:t>g</w:t>
      </w:r>
      <w:r>
        <w:rPr>
          <w:rFonts w:hint="eastAsia" w:ascii="宋体" w:hAnsi="宋体"/>
          <w:kern w:val="0"/>
          <w:szCs w:val="20"/>
        </w:rPr>
        <w:t>）；</w:t>
      </w:r>
    </w:p>
    <w:p>
      <w:pPr>
        <w:widowControl/>
        <w:autoSpaceDE w:val="0"/>
        <w:autoSpaceDN w:val="0"/>
        <w:ind w:firstLine="420" w:firstLineChars="200"/>
        <w:rPr>
          <w:rFonts w:ascii="宋体"/>
          <w:kern w:val="0"/>
          <w:szCs w:val="21"/>
        </w:rPr>
      </w:pPr>
      <w:r>
        <w:rPr>
          <w:rFonts w:ascii="宋体" w:hAnsi="宋体"/>
          <w:i/>
          <w:kern w:val="0"/>
          <w:szCs w:val="21"/>
        </w:rPr>
        <w:t>m</w:t>
      </w:r>
      <w:r>
        <w:rPr>
          <w:rFonts w:ascii="宋体" w:hAnsi="宋体"/>
          <w:kern w:val="0"/>
          <w:szCs w:val="21"/>
        </w:rPr>
        <w:t>——</w:t>
      </w:r>
      <w:r>
        <w:rPr>
          <w:rFonts w:hint="eastAsia" w:ascii="宋体" w:hAnsi="宋体"/>
          <w:kern w:val="0"/>
          <w:szCs w:val="21"/>
        </w:rPr>
        <w:t>试料的质量，单位为克（</w:t>
      </w:r>
      <w:r>
        <w:rPr>
          <w:rFonts w:ascii="宋体" w:hAnsi="宋体"/>
          <w:kern w:val="0"/>
          <w:szCs w:val="21"/>
        </w:rPr>
        <w:t>g</w:t>
      </w:r>
      <w:r>
        <w:rPr>
          <w:rFonts w:hint="eastAsia" w:ascii="宋体" w:hAnsi="宋体"/>
          <w:kern w:val="0"/>
          <w:szCs w:val="21"/>
        </w:rPr>
        <w:t>）。</w:t>
      </w:r>
    </w:p>
    <w:p>
      <w:pPr>
        <w:widowControl/>
        <w:autoSpaceDE w:val="0"/>
        <w:autoSpaceDN w:val="0"/>
        <w:ind w:firstLine="420" w:firstLineChars="200"/>
        <w:rPr>
          <w:rFonts w:ascii="宋体"/>
          <w:kern w:val="0"/>
          <w:szCs w:val="21"/>
        </w:rPr>
      </w:pPr>
      <w:r>
        <w:rPr>
          <w:rFonts w:hint="eastAsia" w:ascii="宋体" w:hAnsi="宋体"/>
          <w:kern w:val="0"/>
          <w:szCs w:val="21"/>
        </w:rPr>
        <w:t>结果保留两位有效数字。</w:t>
      </w:r>
    </w:p>
    <w:p>
      <w:pPr>
        <w:widowControl/>
        <w:numPr>
          <w:ilvl w:val="1"/>
          <w:numId w:val="0"/>
        </w:numPr>
        <w:spacing w:before="312" w:beforeLines="100" w:after="312" w:afterLines="100"/>
        <w:outlineLvl w:val="1"/>
        <w:rPr>
          <w:rFonts w:ascii="黑体" w:hAnsi="黑体" w:eastAsia="黑体"/>
          <w:kern w:val="0"/>
          <w:szCs w:val="20"/>
        </w:rPr>
      </w:pPr>
      <w:r>
        <w:rPr>
          <w:rFonts w:ascii="黑体" w:hAnsi="黑体" w:eastAsia="黑体"/>
          <w:kern w:val="0"/>
          <w:szCs w:val="20"/>
        </w:rPr>
        <w:t xml:space="preserve">10  </w:t>
      </w:r>
      <w:r>
        <w:rPr>
          <w:rFonts w:hint="eastAsia" w:ascii="黑体" w:hAnsi="黑体" w:eastAsia="黑体"/>
          <w:kern w:val="0"/>
          <w:szCs w:val="20"/>
        </w:rPr>
        <w:t>精密度</w:t>
      </w:r>
    </w:p>
    <w:p>
      <w:pPr>
        <w:widowControl/>
        <w:numPr>
          <w:ilvl w:val="1"/>
          <w:numId w:val="0"/>
        </w:numPr>
        <w:spacing w:before="156" w:beforeLines="50" w:after="156" w:afterLines="50"/>
        <w:outlineLvl w:val="1"/>
        <w:rPr>
          <w:rFonts w:ascii="黑体" w:hAnsi="黑体" w:eastAsia="黑体"/>
          <w:kern w:val="0"/>
          <w:szCs w:val="20"/>
        </w:rPr>
      </w:pPr>
      <w:r>
        <w:rPr>
          <w:rFonts w:ascii="黑体" w:hAnsi="黑体" w:eastAsia="黑体"/>
          <w:kern w:val="0"/>
          <w:szCs w:val="20"/>
        </w:rPr>
        <w:t xml:space="preserve">10.1  </w:t>
      </w:r>
      <w:r>
        <w:rPr>
          <w:rFonts w:hint="eastAsia" w:ascii="黑体" w:hAnsi="黑体" w:eastAsia="黑体"/>
          <w:kern w:val="0"/>
          <w:szCs w:val="20"/>
        </w:rPr>
        <w:t>重复性</w:t>
      </w:r>
    </w:p>
    <w:p>
      <w:pPr>
        <w:ind w:firstLine="420" w:firstLineChars="200"/>
        <w:rPr>
          <w:rFonts w:ascii="宋体"/>
        </w:rPr>
      </w:pPr>
      <w:r>
        <w:rPr>
          <w:rFonts w:hint="eastAsia" w:ascii="宋体" w:hAnsi="宋体"/>
        </w:rPr>
        <w:t>在重复性条件下获得的两次独立测试结果的测定值，在以下给出的平均值范围内，这两个测试结果的绝对差值不超过重复性限（</w:t>
      </w:r>
      <w:r>
        <w:rPr>
          <w:rFonts w:ascii="宋体" w:hAnsi="宋体"/>
          <w:i/>
        </w:rPr>
        <w:t>r</w:t>
      </w:r>
      <w:r>
        <w:rPr>
          <w:rFonts w:hint="eastAsia" w:ascii="宋体" w:hAnsi="宋体"/>
        </w:rPr>
        <w:t>），超过重复性限（</w:t>
      </w:r>
      <w:r>
        <w:rPr>
          <w:rFonts w:ascii="宋体" w:hAnsi="宋体"/>
          <w:i/>
        </w:rPr>
        <w:t>r</w:t>
      </w:r>
      <w:r>
        <w:rPr>
          <w:rFonts w:hint="eastAsia" w:ascii="宋体" w:hAnsi="宋体"/>
        </w:rPr>
        <w:t>）情况不超过</w:t>
      </w:r>
      <w:r>
        <w:rPr>
          <w:rFonts w:ascii="宋体" w:hAnsi="宋体"/>
        </w:rPr>
        <w:t>5 %</w:t>
      </w:r>
      <w:r>
        <w:rPr>
          <w:rFonts w:hint="eastAsia" w:ascii="宋体" w:hAnsi="宋体"/>
        </w:rPr>
        <w:t>。重复性限（</w:t>
      </w:r>
      <w:r>
        <w:rPr>
          <w:rFonts w:ascii="宋体" w:hAnsi="宋体"/>
          <w:i/>
        </w:rPr>
        <w:t>r</w:t>
      </w:r>
      <w:r>
        <w:rPr>
          <w:rFonts w:hint="eastAsia" w:ascii="宋体" w:hAnsi="宋体"/>
        </w:rPr>
        <w:t>）按表</w:t>
      </w:r>
      <w:r>
        <w:rPr>
          <w:rFonts w:ascii="宋体" w:hAnsi="宋体"/>
        </w:rPr>
        <w:t>2</w:t>
      </w:r>
      <w:r>
        <w:rPr>
          <w:rFonts w:hint="eastAsia" w:ascii="宋体" w:hAnsi="宋体"/>
        </w:rPr>
        <w:t>数据采用线性内插法或外延法求得。</w:t>
      </w:r>
    </w:p>
    <w:p>
      <w:pPr>
        <w:jc w:val="center"/>
        <w:rPr>
          <w:rFonts w:ascii="黑体" w:hAnsi="黑体" w:eastAsia="黑体"/>
          <w:szCs w:val="21"/>
        </w:rPr>
      </w:pPr>
      <w:bookmarkStart w:id="2" w:name="_Hlk82718503"/>
      <w:r>
        <w:rPr>
          <w:rFonts w:hint="eastAsia" w:ascii="黑体" w:hAnsi="黑体" w:eastAsia="黑体"/>
          <w:szCs w:val="21"/>
        </w:rPr>
        <w:t>表</w:t>
      </w:r>
      <w:r>
        <w:rPr>
          <w:rFonts w:ascii="黑体" w:hAnsi="黑体" w:eastAsia="黑体"/>
          <w:szCs w:val="21"/>
        </w:rPr>
        <w:t>2</w:t>
      </w:r>
      <w:r>
        <w:rPr>
          <w:rFonts w:hint="eastAsia" w:ascii="黑体" w:hAnsi="黑体" w:eastAsia="黑体"/>
          <w:szCs w:val="21"/>
        </w:rPr>
        <w:t>重复性限</w:t>
      </w:r>
    </w:p>
    <w:tbl>
      <w:tblPr>
        <w:tblStyle w:val="1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16"/>
        <w:gridCol w:w="1914"/>
        <w:gridCol w:w="1914"/>
        <w:gridCol w:w="1914"/>
        <w:gridCol w:w="19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01" w:type="pct"/>
            <w:vAlign w:val="center"/>
          </w:tcPr>
          <w:p>
            <w:pPr>
              <w:jc w:val="center"/>
              <w:rPr>
                <w:sz w:val="18"/>
                <w:szCs w:val="18"/>
              </w:rPr>
            </w:pPr>
            <w:r>
              <w:rPr>
                <w:rFonts w:hint="eastAsia"/>
                <w:i/>
                <w:sz w:val="18"/>
                <w:szCs w:val="18"/>
                <w:lang w:val="en-US" w:eastAsia="zh-CN"/>
              </w:rPr>
              <w:t>w</w:t>
            </w:r>
            <w:r>
              <w:rPr>
                <w:sz w:val="18"/>
                <w:szCs w:val="18"/>
                <w:vertAlign w:val="subscript"/>
              </w:rPr>
              <w:t>P</w:t>
            </w:r>
            <w:r>
              <w:rPr>
                <w:sz w:val="18"/>
                <w:szCs w:val="18"/>
              </w:rPr>
              <w:t>/%</w:t>
            </w:r>
          </w:p>
        </w:tc>
        <w:tc>
          <w:tcPr>
            <w:tcW w:w="1000" w:type="pct"/>
            <w:shd w:val="clear" w:color="auto" w:fill="auto"/>
            <w:vAlign w:val="center"/>
          </w:tcPr>
          <w:p>
            <w:pPr>
              <w:jc w:val="center"/>
              <w:rPr>
                <w:sz w:val="18"/>
                <w:szCs w:val="18"/>
              </w:rPr>
            </w:pPr>
            <w:r>
              <w:rPr>
                <w:rFonts w:hint="eastAsia"/>
                <w:sz w:val="18"/>
                <w:szCs w:val="18"/>
              </w:rPr>
              <w:t>0.001</w:t>
            </w:r>
            <w:r>
              <w:rPr>
                <w:sz w:val="18"/>
                <w:szCs w:val="18"/>
              </w:rPr>
              <w:t>5</w:t>
            </w:r>
          </w:p>
        </w:tc>
        <w:tc>
          <w:tcPr>
            <w:tcW w:w="1000" w:type="pct"/>
            <w:shd w:val="clear" w:color="auto" w:fill="auto"/>
            <w:vAlign w:val="center"/>
          </w:tcPr>
          <w:p>
            <w:pPr>
              <w:jc w:val="center"/>
              <w:rPr>
                <w:sz w:val="18"/>
                <w:szCs w:val="18"/>
              </w:rPr>
            </w:pPr>
            <w:r>
              <w:rPr>
                <w:rFonts w:hint="eastAsia"/>
                <w:sz w:val="18"/>
                <w:szCs w:val="18"/>
              </w:rPr>
              <w:t>0.006</w:t>
            </w:r>
            <w:r>
              <w:rPr>
                <w:sz w:val="18"/>
                <w:szCs w:val="18"/>
              </w:rPr>
              <w:t>2</w:t>
            </w:r>
          </w:p>
        </w:tc>
        <w:tc>
          <w:tcPr>
            <w:tcW w:w="1000" w:type="pct"/>
            <w:shd w:val="clear" w:color="auto" w:fill="auto"/>
            <w:vAlign w:val="center"/>
          </w:tcPr>
          <w:p>
            <w:pPr>
              <w:jc w:val="center"/>
              <w:rPr>
                <w:sz w:val="18"/>
                <w:szCs w:val="18"/>
              </w:rPr>
            </w:pPr>
            <w:r>
              <w:rPr>
                <w:rFonts w:hint="eastAsia"/>
                <w:sz w:val="18"/>
                <w:szCs w:val="18"/>
              </w:rPr>
              <w:t>0.01</w:t>
            </w:r>
            <w:r>
              <w:rPr>
                <w:sz w:val="18"/>
                <w:szCs w:val="18"/>
              </w:rPr>
              <w:t>1</w:t>
            </w:r>
          </w:p>
        </w:tc>
        <w:tc>
          <w:tcPr>
            <w:tcW w:w="999" w:type="pct"/>
            <w:vAlign w:val="center"/>
          </w:tcPr>
          <w:p>
            <w:pPr>
              <w:jc w:val="center"/>
              <w:rPr>
                <w:sz w:val="18"/>
                <w:szCs w:val="18"/>
              </w:rPr>
            </w:pPr>
            <w:r>
              <w:rPr>
                <w:rFonts w:hint="eastAsia"/>
                <w:sz w:val="18"/>
                <w:szCs w:val="18"/>
              </w:rPr>
              <w:t>0.02</w:t>
            </w:r>
            <w:r>
              <w:rPr>
                <w:sz w:val="18"/>
                <w:szCs w:val="1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01" w:type="pct"/>
            <w:vAlign w:val="center"/>
          </w:tcPr>
          <w:p>
            <w:pPr>
              <w:jc w:val="center"/>
              <w:rPr>
                <w:i/>
                <w:iCs/>
                <w:sz w:val="18"/>
                <w:szCs w:val="18"/>
              </w:rPr>
            </w:pPr>
            <w:r>
              <w:rPr>
                <w:i/>
                <w:iCs/>
                <w:sz w:val="18"/>
                <w:szCs w:val="18"/>
              </w:rPr>
              <w:t>r/</w:t>
            </w:r>
            <w:r>
              <w:rPr>
                <w:sz w:val="18"/>
                <w:szCs w:val="18"/>
              </w:rPr>
              <w:t>%</w:t>
            </w:r>
          </w:p>
        </w:tc>
        <w:tc>
          <w:tcPr>
            <w:tcW w:w="1000" w:type="pct"/>
            <w:shd w:val="clear" w:color="auto" w:fill="auto"/>
            <w:vAlign w:val="center"/>
          </w:tcPr>
          <w:p>
            <w:pPr>
              <w:jc w:val="center"/>
              <w:rPr>
                <w:sz w:val="18"/>
                <w:szCs w:val="18"/>
              </w:rPr>
            </w:pPr>
            <w:r>
              <w:rPr>
                <w:rFonts w:hint="eastAsia"/>
                <w:sz w:val="18"/>
                <w:szCs w:val="18"/>
              </w:rPr>
              <w:t>0.0003</w:t>
            </w:r>
          </w:p>
        </w:tc>
        <w:tc>
          <w:tcPr>
            <w:tcW w:w="1000" w:type="pct"/>
            <w:shd w:val="clear" w:color="auto" w:fill="auto"/>
            <w:vAlign w:val="center"/>
          </w:tcPr>
          <w:p>
            <w:pPr>
              <w:jc w:val="center"/>
              <w:rPr>
                <w:sz w:val="18"/>
                <w:szCs w:val="18"/>
              </w:rPr>
            </w:pPr>
            <w:r>
              <w:rPr>
                <w:rFonts w:hint="eastAsia"/>
                <w:sz w:val="18"/>
                <w:szCs w:val="18"/>
              </w:rPr>
              <w:t>0.0004</w:t>
            </w:r>
          </w:p>
        </w:tc>
        <w:tc>
          <w:tcPr>
            <w:tcW w:w="1000" w:type="pct"/>
            <w:shd w:val="clear" w:color="auto" w:fill="auto"/>
            <w:vAlign w:val="center"/>
          </w:tcPr>
          <w:p>
            <w:pPr>
              <w:jc w:val="center"/>
              <w:rPr>
                <w:sz w:val="18"/>
                <w:szCs w:val="18"/>
              </w:rPr>
            </w:pPr>
            <w:r>
              <w:rPr>
                <w:rFonts w:hint="eastAsia"/>
                <w:sz w:val="18"/>
                <w:szCs w:val="18"/>
              </w:rPr>
              <w:t>0.0013</w:t>
            </w:r>
          </w:p>
        </w:tc>
        <w:tc>
          <w:tcPr>
            <w:tcW w:w="999" w:type="pct"/>
            <w:vAlign w:val="center"/>
          </w:tcPr>
          <w:p>
            <w:pPr>
              <w:jc w:val="center"/>
              <w:rPr>
                <w:sz w:val="18"/>
                <w:szCs w:val="18"/>
              </w:rPr>
            </w:pPr>
            <w:r>
              <w:rPr>
                <w:rFonts w:hint="eastAsia"/>
                <w:sz w:val="18"/>
                <w:szCs w:val="18"/>
              </w:rPr>
              <w:t>0.0016</w:t>
            </w:r>
          </w:p>
        </w:tc>
      </w:tr>
      <w:bookmarkEnd w:id="2"/>
    </w:tbl>
    <w:p>
      <w:pPr>
        <w:widowControl/>
        <w:numPr>
          <w:ilvl w:val="1"/>
          <w:numId w:val="0"/>
        </w:numPr>
        <w:spacing w:before="156" w:beforeLines="50" w:after="156" w:afterLines="50"/>
        <w:outlineLvl w:val="1"/>
        <w:rPr>
          <w:rFonts w:ascii="黑体" w:hAnsi="黑体" w:eastAsia="黑体"/>
          <w:kern w:val="0"/>
          <w:szCs w:val="20"/>
        </w:rPr>
      </w:pPr>
      <w:r>
        <w:rPr>
          <w:rFonts w:ascii="黑体" w:hAnsi="黑体" w:eastAsia="黑体"/>
          <w:kern w:val="0"/>
          <w:szCs w:val="20"/>
        </w:rPr>
        <w:t xml:space="preserve">10.2  </w:t>
      </w:r>
      <w:r>
        <w:rPr>
          <w:rFonts w:hint="eastAsia" w:ascii="黑体" w:hAnsi="黑体" w:eastAsia="黑体"/>
          <w:kern w:val="0"/>
          <w:szCs w:val="20"/>
        </w:rPr>
        <w:t>再现性</w:t>
      </w:r>
    </w:p>
    <w:p>
      <w:pPr>
        <w:ind w:firstLine="420" w:firstLineChars="200"/>
        <w:rPr>
          <w:rFonts w:ascii="宋体"/>
        </w:rPr>
      </w:pPr>
      <w:r>
        <w:rPr>
          <w:rFonts w:hint="eastAsia" w:ascii="宋体" w:hAnsi="宋体"/>
        </w:rPr>
        <w:t>在再现性条件下获得的两次独立测试结果的测定值，在以下给出的平均值范围内，这两个测试结果的绝对差值不超过再现性限（</w:t>
      </w:r>
      <w:r>
        <w:rPr>
          <w:rFonts w:ascii="宋体" w:hAnsi="宋体"/>
          <w:i/>
          <w:iCs/>
        </w:rPr>
        <w:t>R</w:t>
      </w:r>
      <w:r>
        <w:rPr>
          <w:rFonts w:hint="eastAsia" w:ascii="宋体" w:hAnsi="宋体"/>
        </w:rPr>
        <w:t>），超过再现性限（</w:t>
      </w:r>
      <w:r>
        <w:rPr>
          <w:rFonts w:ascii="宋体" w:hAnsi="宋体"/>
          <w:i/>
          <w:iCs/>
        </w:rPr>
        <w:t>R</w:t>
      </w:r>
      <w:r>
        <w:rPr>
          <w:rFonts w:hint="eastAsia" w:ascii="宋体" w:hAnsi="宋体"/>
        </w:rPr>
        <w:t>）的情况不超过</w:t>
      </w:r>
      <w:r>
        <w:rPr>
          <w:rFonts w:ascii="宋体" w:hAnsi="宋体"/>
        </w:rPr>
        <w:t>5 %</w:t>
      </w:r>
      <w:r>
        <w:rPr>
          <w:rFonts w:hint="eastAsia" w:ascii="宋体" w:hAnsi="宋体"/>
        </w:rPr>
        <w:t>，再现性限（</w:t>
      </w:r>
      <w:r>
        <w:rPr>
          <w:rFonts w:ascii="宋体" w:hAnsi="宋体"/>
          <w:i/>
          <w:iCs/>
        </w:rPr>
        <w:t>R</w:t>
      </w:r>
      <w:r>
        <w:rPr>
          <w:rFonts w:hint="eastAsia" w:ascii="宋体" w:hAnsi="宋体"/>
        </w:rPr>
        <w:t>）按表</w:t>
      </w:r>
      <w:r>
        <w:rPr>
          <w:rFonts w:ascii="宋体" w:hAnsi="宋体"/>
        </w:rPr>
        <w:t>3</w:t>
      </w:r>
      <w:r>
        <w:rPr>
          <w:rFonts w:hint="eastAsia" w:ascii="宋体" w:hAnsi="宋体"/>
        </w:rPr>
        <w:t>数据采用线性内插法或外延法求得。</w:t>
      </w:r>
    </w:p>
    <w:p>
      <w:pPr>
        <w:jc w:val="center"/>
        <w:rPr>
          <w:rFonts w:ascii="黑体" w:hAnsi="黑体" w:eastAsia="黑体"/>
          <w:szCs w:val="21"/>
        </w:rPr>
      </w:pPr>
      <w:bookmarkStart w:id="3" w:name="_Hlk82719634"/>
      <w:r>
        <w:rPr>
          <w:rFonts w:hint="eastAsia" w:ascii="黑体" w:hAnsi="黑体" w:eastAsia="黑体"/>
          <w:szCs w:val="21"/>
        </w:rPr>
        <w:t>表3</w:t>
      </w:r>
      <w:r>
        <w:rPr>
          <w:rFonts w:ascii="黑体" w:hAnsi="黑体" w:eastAsia="黑体"/>
          <w:szCs w:val="21"/>
        </w:rPr>
        <w:t xml:space="preserve"> </w:t>
      </w:r>
      <w:r>
        <w:rPr>
          <w:rFonts w:hint="eastAsia" w:ascii="黑体" w:hAnsi="黑体" w:eastAsia="黑体"/>
          <w:szCs w:val="21"/>
        </w:rPr>
        <w:t>再现性限</w:t>
      </w:r>
    </w:p>
    <w:tbl>
      <w:tblPr>
        <w:tblStyle w:val="1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16"/>
        <w:gridCol w:w="1914"/>
        <w:gridCol w:w="1914"/>
        <w:gridCol w:w="1914"/>
        <w:gridCol w:w="19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01" w:type="pct"/>
            <w:vAlign w:val="center"/>
          </w:tcPr>
          <w:p>
            <w:pPr>
              <w:jc w:val="center"/>
              <w:rPr>
                <w:sz w:val="18"/>
                <w:szCs w:val="18"/>
              </w:rPr>
            </w:pPr>
            <w:r>
              <w:rPr>
                <w:rFonts w:hint="eastAsia"/>
                <w:i/>
                <w:sz w:val="18"/>
                <w:szCs w:val="18"/>
                <w:lang w:val="en-US" w:eastAsia="zh-CN"/>
              </w:rPr>
              <w:t>w</w:t>
            </w:r>
            <w:r>
              <w:rPr>
                <w:sz w:val="18"/>
                <w:szCs w:val="18"/>
                <w:vertAlign w:val="subscript"/>
              </w:rPr>
              <w:t>P</w:t>
            </w:r>
            <w:r>
              <w:rPr>
                <w:sz w:val="18"/>
                <w:szCs w:val="18"/>
              </w:rPr>
              <w:t>/%</w:t>
            </w:r>
          </w:p>
        </w:tc>
        <w:tc>
          <w:tcPr>
            <w:tcW w:w="1000" w:type="pct"/>
            <w:shd w:val="clear" w:color="auto" w:fill="auto"/>
            <w:vAlign w:val="center"/>
          </w:tcPr>
          <w:p>
            <w:pPr>
              <w:jc w:val="center"/>
              <w:rPr>
                <w:sz w:val="18"/>
                <w:szCs w:val="18"/>
              </w:rPr>
            </w:pPr>
            <w:r>
              <w:rPr>
                <w:rFonts w:hint="eastAsia"/>
                <w:sz w:val="18"/>
                <w:szCs w:val="18"/>
              </w:rPr>
              <w:t>0.001</w:t>
            </w:r>
            <w:r>
              <w:rPr>
                <w:sz w:val="18"/>
                <w:szCs w:val="18"/>
              </w:rPr>
              <w:t>5</w:t>
            </w:r>
          </w:p>
        </w:tc>
        <w:tc>
          <w:tcPr>
            <w:tcW w:w="1000" w:type="pct"/>
            <w:shd w:val="clear" w:color="auto" w:fill="auto"/>
            <w:vAlign w:val="center"/>
          </w:tcPr>
          <w:p>
            <w:pPr>
              <w:jc w:val="center"/>
              <w:rPr>
                <w:sz w:val="18"/>
                <w:szCs w:val="18"/>
              </w:rPr>
            </w:pPr>
            <w:r>
              <w:rPr>
                <w:rFonts w:hint="eastAsia"/>
                <w:sz w:val="18"/>
                <w:szCs w:val="18"/>
              </w:rPr>
              <w:t>0.006</w:t>
            </w:r>
            <w:r>
              <w:rPr>
                <w:sz w:val="18"/>
                <w:szCs w:val="18"/>
              </w:rPr>
              <w:t>2</w:t>
            </w:r>
          </w:p>
        </w:tc>
        <w:tc>
          <w:tcPr>
            <w:tcW w:w="1000" w:type="pct"/>
            <w:shd w:val="clear" w:color="auto" w:fill="auto"/>
            <w:vAlign w:val="center"/>
          </w:tcPr>
          <w:p>
            <w:pPr>
              <w:jc w:val="center"/>
              <w:rPr>
                <w:sz w:val="18"/>
                <w:szCs w:val="18"/>
              </w:rPr>
            </w:pPr>
            <w:r>
              <w:rPr>
                <w:rFonts w:hint="eastAsia"/>
                <w:sz w:val="18"/>
                <w:szCs w:val="18"/>
              </w:rPr>
              <w:t>0.01</w:t>
            </w:r>
            <w:r>
              <w:rPr>
                <w:sz w:val="18"/>
                <w:szCs w:val="18"/>
              </w:rPr>
              <w:t>1</w:t>
            </w:r>
          </w:p>
        </w:tc>
        <w:tc>
          <w:tcPr>
            <w:tcW w:w="999" w:type="pct"/>
            <w:vAlign w:val="center"/>
          </w:tcPr>
          <w:p>
            <w:pPr>
              <w:jc w:val="center"/>
              <w:rPr>
                <w:sz w:val="18"/>
                <w:szCs w:val="18"/>
              </w:rPr>
            </w:pPr>
            <w:r>
              <w:rPr>
                <w:rFonts w:hint="eastAsia"/>
                <w:sz w:val="18"/>
                <w:szCs w:val="18"/>
              </w:rPr>
              <w:t>0.02</w:t>
            </w:r>
            <w:r>
              <w:rPr>
                <w:sz w:val="18"/>
                <w:szCs w:val="1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01" w:type="pct"/>
            <w:vAlign w:val="center"/>
          </w:tcPr>
          <w:p>
            <w:pPr>
              <w:jc w:val="center"/>
              <w:rPr>
                <w:i/>
                <w:iCs/>
                <w:sz w:val="18"/>
                <w:szCs w:val="18"/>
              </w:rPr>
            </w:pPr>
            <w:r>
              <w:rPr>
                <w:i/>
                <w:iCs/>
                <w:sz w:val="18"/>
                <w:szCs w:val="18"/>
              </w:rPr>
              <w:t>R/</w:t>
            </w:r>
            <w:r>
              <w:rPr>
                <w:sz w:val="18"/>
                <w:szCs w:val="18"/>
              </w:rPr>
              <w:t>%</w:t>
            </w:r>
          </w:p>
        </w:tc>
        <w:tc>
          <w:tcPr>
            <w:tcW w:w="1000" w:type="pct"/>
            <w:shd w:val="clear" w:color="auto" w:fill="auto"/>
            <w:vAlign w:val="center"/>
          </w:tcPr>
          <w:p>
            <w:pPr>
              <w:jc w:val="center"/>
              <w:rPr>
                <w:sz w:val="18"/>
                <w:szCs w:val="18"/>
              </w:rPr>
            </w:pPr>
            <w:r>
              <w:rPr>
                <w:rFonts w:hint="eastAsia"/>
                <w:sz w:val="18"/>
                <w:szCs w:val="18"/>
              </w:rPr>
              <w:t>0.0005</w:t>
            </w:r>
          </w:p>
        </w:tc>
        <w:tc>
          <w:tcPr>
            <w:tcW w:w="1000" w:type="pct"/>
            <w:shd w:val="clear" w:color="auto" w:fill="auto"/>
            <w:vAlign w:val="center"/>
          </w:tcPr>
          <w:p>
            <w:pPr>
              <w:jc w:val="center"/>
              <w:rPr>
                <w:sz w:val="18"/>
                <w:szCs w:val="18"/>
              </w:rPr>
            </w:pPr>
            <w:r>
              <w:rPr>
                <w:rFonts w:hint="eastAsia"/>
                <w:sz w:val="18"/>
                <w:szCs w:val="18"/>
              </w:rPr>
              <w:t>0.0006</w:t>
            </w:r>
          </w:p>
        </w:tc>
        <w:tc>
          <w:tcPr>
            <w:tcW w:w="1000" w:type="pct"/>
            <w:shd w:val="clear" w:color="auto" w:fill="auto"/>
            <w:vAlign w:val="center"/>
          </w:tcPr>
          <w:p>
            <w:pPr>
              <w:jc w:val="center"/>
              <w:rPr>
                <w:sz w:val="18"/>
                <w:szCs w:val="18"/>
              </w:rPr>
            </w:pPr>
            <w:r>
              <w:rPr>
                <w:rFonts w:hint="eastAsia"/>
                <w:sz w:val="18"/>
                <w:szCs w:val="18"/>
              </w:rPr>
              <w:t>0.003</w:t>
            </w:r>
          </w:p>
        </w:tc>
        <w:tc>
          <w:tcPr>
            <w:tcW w:w="999" w:type="pct"/>
            <w:vAlign w:val="center"/>
          </w:tcPr>
          <w:p>
            <w:pPr>
              <w:jc w:val="center"/>
              <w:rPr>
                <w:sz w:val="18"/>
                <w:szCs w:val="18"/>
              </w:rPr>
            </w:pPr>
            <w:r>
              <w:rPr>
                <w:rFonts w:hint="eastAsia"/>
                <w:sz w:val="18"/>
                <w:szCs w:val="18"/>
              </w:rPr>
              <w:t>0.004</w:t>
            </w:r>
          </w:p>
        </w:tc>
      </w:tr>
      <w:bookmarkEnd w:id="3"/>
    </w:tbl>
    <w:p>
      <w:pPr>
        <w:widowControl/>
        <w:numPr>
          <w:ilvl w:val="1"/>
          <w:numId w:val="0"/>
        </w:numPr>
        <w:spacing w:before="156" w:beforeLines="50" w:after="156" w:afterLines="50"/>
        <w:outlineLvl w:val="1"/>
        <w:rPr>
          <w:rFonts w:ascii="黑体" w:hAnsi="黑体" w:eastAsia="黑体" w:cs="黑体"/>
          <w:kern w:val="0"/>
          <w:szCs w:val="21"/>
        </w:rPr>
      </w:pPr>
    </w:p>
    <w:p>
      <w:pPr>
        <w:widowControl/>
        <w:numPr>
          <w:ilvl w:val="1"/>
          <w:numId w:val="0"/>
        </w:numPr>
        <w:spacing w:before="156" w:beforeLines="50" w:after="156" w:afterLines="50"/>
        <w:outlineLvl w:val="1"/>
        <w:rPr>
          <w:rFonts w:eastAsia="黑体"/>
          <w:kern w:val="0"/>
          <w:szCs w:val="21"/>
        </w:rPr>
      </w:pPr>
      <w:r>
        <w:rPr>
          <w:rFonts w:hint="eastAsia" w:ascii="黑体" w:hAnsi="黑体" w:eastAsia="黑体" w:cs="黑体"/>
          <w:kern w:val="0"/>
          <w:szCs w:val="21"/>
        </w:rPr>
        <w:t>11</w:t>
      </w:r>
      <w:r>
        <w:rPr>
          <w:rFonts w:eastAsia="黑体"/>
          <w:kern w:val="0"/>
          <w:szCs w:val="21"/>
        </w:rPr>
        <w:t>试验报告</w:t>
      </w:r>
    </w:p>
    <w:p>
      <w:pPr>
        <w:widowControl/>
        <w:spacing w:line="380" w:lineRule="exact"/>
        <w:ind w:firstLine="400" w:firstLineChars="200"/>
        <w:jc w:val="left"/>
      </w:pPr>
      <w:r>
        <w:rPr>
          <w:rFonts w:hint="eastAsia" w:ascii="宋体" w:hAnsi="宋体" w:cs="宋体"/>
          <w:kern w:val="0"/>
          <w:sz w:val="20"/>
          <w:szCs w:val="20"/>
          <w:lang w:bidi="ar"/>
        </w:rPr>
        <w:t xml:space="preserve">试验报告应至少给出以下几个方面的内容： </w:t>
      </w:r>
    </w:p>
    <w:p>
      <w:pPr>
        <w:widowControl/>
        <w:spacing w:line="380" w:lineRule="exact"/>
        <w:ind w:firstLine="400" w:firstLineChars="200"/>
        <w:jc w:val="left"/>
      </w:pPr>
      <w:r>
        <w:rPr>
          <w:rFonts w:hint="eastAsia" w:ascii="宋体" w:hAnsi="宋体" w:cs="宋体"/>
          <w:kern w:val="0"/>
          <w:sz w:val="20"/>
          <w:szCs w:val="20"/>
          <w:lang w:bidi="ar"/>
        </w:rPr>
        <w:t xml:space="preserve">──试验对象； </w:t>
      </w:r>
    </w:p>
    <w:p>
      <w:pPr>
        <w:widowControl/>
        <w:spacing w:line="380" w:lineRule="exact"/>
        <w:ind w:firstLine="400" w:firstLineChars="200"/>
        <w:jc w:val="left"/>
      </w:pPr>
      <w:r>
        <w:rPr>
          <w:rFonts w:hint="eastAsia" w:ascii="宋体" w:hAnsi="宋体" w:cs="宋体"/>
          <w:kern w:val="0"/>
          <w:sz w:val="20"/>
          <w:szCs w:val="20"/>
          <w:lang w:bidi="ar"/>
        </w:rPr>
        <w:t>──本文</w:t>
      </w:r>
      <w:r>
        <w:rPr>
          <w:rFonts w:hint="eastAsia" w:ascii="宋体" w:hAnsi="宋体" w:eastAsia="宋体" w:cs="宋体"/>
          <w:kern w:val="0"/>
          <w:sz w:val="20"/>
          <w:szCs w:val="20"/>
          <w:lang w:bidi="ar"/>
        </w:rPr>
        <w:t>件编号</w:t>
      </w:r>
      <w:r>
        <w:rPr>
          <w:rFonts w:hint="eastAsia" w:ascii="宋体" w:hAnsi="宋体" w:cs="宋体"/>
          <w:kern w:val="0"/>
          <w:sz w:val="20"/>
          <w:szCs w:val="20"/>
          <w:lang w:bidi="ar"/>
        </w:rPr>
        <w:t xml:space="preserve">； </w:t>
      </w:r>
    </w:p>
    <w:p>
      <w:pPr>
        <w:widowControl/>
        <w:spacing w:line="380" w:lineRule="exact"/>
        <w:ind w:firstLine="400" w:firstLineChars="200"/>
        <w:jc w:val="left"/>
      </w:pPr>
      <w:r>
        <w:rPr>
          <w:rFonts w:hint="eastAsia" w:ascii="宋体" w:hAnsi="宋体" w:cs="宋体"/>
          <w:kern w:val="0"/>
          <w:sz w:val="20"/>
          <w:szCs w:val="20"/>
          <w:lang w:bidi="ar"/>
        </w:rPr>
        <w:t xml:space="preserve">──分析结果及其表示； </w:t>
      </w:r>
    </w:p>
    <w:p>
      <w:pPr>
        <w:widowControl/>
        <w:spacing w:line="380" w:lineRule="exact"/>
        <w:ind w:firstLine="400" w:firstLineChars="200"/>
        <w:jc w:val="left"/>
      </w:pPr>
      <w:r>
        <w:rPr>
          <w:rFonts w:hint="eastAsia" w:ascii="宋体" w:hAnsi="宋体" w:cs="宋体"/>
          <w:kern w:val="0"/>
          <w:sz w:val="20"/>
          <w:szCs w:val="20"/>
          <w:lang w:bidi="ar"/>
        </w:rPr>
        <w:t xml:space="preserve">──与基本分析步骤的差异； </w:t>
      </w:r>
    </w:p>
    <w:p>
      <w:pPr>
        <w:widowControl/>
        <w:spacing w:line="380" w:lineRule="exact"/>
        <w:ind w:firstLine="400" w:firstLineChars="200"/>
        <w:jc w:val="left"/>
      </w:pPr>
      <w:r>
        <w:rPr>
          <w:rFonts w:hint="eastAsia" w:ascii="宋体" w:hAnsi="宋体" w:cs="宋体"/>
          <w:kern w:val="0"/>
          <w:sz w:val="20"/>
          <w:szCs w:val="20"/>
          <w:lang w:bidi="ar"/>
        </w:rPr>
        <w:t xml:space="preserve">──观察到的异常现象； </w:t>
      </w:r>
    </w:p>
    <w:p>
      <w:pPr>
        <w:widowControl/>
        <w:spacing w:line="380" w:lineRule="exact"/>
        <w:ind w:firstLine="400" w:firstLineChars="200"/>
        <w:jc w:val="left"/>
      </w:pPr>
      <w:r>
        <w:rPr>
          <w:rFonts w:hint="eastAsia" w:ascii="宋体" w:hAnsi="宋体" w:cs="宋体"/>
          <w:kern w:val="0"/>
          <w:sz w:val="20"/>
          <w:szCs w:val="20"/>
          <w:lang w:bidi="ar"/>
        </w:rPr>
        <w:t>──试验日期。</w:t>
      </w:r>
    </w:p>
    <w:p>
      <w:pPr>
        <w:widowControl/>
        <w:tabs>
          <w:tab w:val="center" w:pos="4201"/>
          <w:tab w:val="right" w:leader="dot" w:pos="9298"/>
        </w:tabs>
        <w:autoSpaceDE w:val="0"/>
        <w:autoSpaceDN w:val="0"/>
        <w:ind w:firstLine="440" w:firstLineChars="200"/>
        <w:rPr>
          <w:kern w:val="0"/>
          <w:sz w:val="22"/>
          <w:szCs w:val="22"/>
        </w:rPr>
      </w:pPr>
    </w:p>
    <w:p>
      <w:pPr>
        <w:pageBreakBefore/>
        <w:widowControl/>
        <w:autoSpaceDE w:val="0"/>
        <w:autoSpaceDN w:val="0"/>
        <w:jc w:val="center"/>
        <w:rPr>
          <w:rFonts w:ascii="黑体" w:hAnsi="黑体" w:eastAsia="黑体" w:cs="黑体"/>
          <w:kern w:val="0"/>
          <w:szCs w:val="21"/>
        </w:rPr>
      </w:pPr>
      <w:r>
        <w:rPr>
          <w:rFonts w:hint="eastAsia" w:ascii="黑体" w:hAnsi="黑体" w:eastAsia="黑体" w:cs="黑体"/>
          <w:kern w:val="0"/>
          <w:szCs w:val="21"/>
        </w:rPr>
        <w:t>附录A</w:t>
      </w:r>
    </w:p>
    <w:p>
      <w:pPr>
        <w:widowControl/>
        <w:autoSpaceDE w:val="0"/>
        <w:autoSpaceDN w:val="0"/>
        <w:jc w:val="center"/>
        <w:rPr>
          <w:rFonts w:ascii="黑体" w:hAnsi="黑体" w:eastAsia="黑体" w:cs="黑体"/>
          <w:kern w:val="0"/>
          <w:szCs w:val="21"/>
        </w:rPr>
      </w:pPr>
      <w:r>
        <w:rPr>
          <w:rFonts w:hint="eastAsia" w:ascii="黑体" w:hAnsi="黑体" w:eastAsia="黑体" w:cs="黑体"/>
          <w:kern w:val="0"/>
          <w:szCs w:val="21"/>
        </w:rPr>
        <w:t>（资料性）</w:t>
      </w:r>
    </w:p>
    <w:p>
      <w:pPr>
        <w:widowControl/>
        <w:autoSpaceDE w:val="0"/>
        <w:autoSpaceDN w:val="0"/>
        <w:jc w:val="center"/>
        <w:rPr>
          <w:rFonts w:ascii="黑体" w:hAnsi="黑体" w:eastAsia="黑体" w:cs="黑体"/>
          <w:kern w:val="0"/>
          <w:szCs w:val="21"/>
        </w:rPr>
      </w:pPr>
      <w:r>
        <w:rPr>
          <w:rFonts w:hint="eastAsia" w:ascii="黑体" w:hAnsi="黑体" w:eastAsia="黑体" w:cs="黑体"/>
          <w:kern w:val="0"/>
          <w:szCs w:val="21"/>
        </w:rPr>
        <w:t>本文件与ISO 9388：1992结构编号对照一览表</w:t>
      </w:r>
    </w:p>
    <w:p>
      <w:pPr>
        <w:widowControl/>
        <w:autoSpaceDE w:val="0"/>
        <w:autoSpaceDN w:val="0"/>
        <w:ind w:firstLine="420" w:firstLineChars="200"/>
        <w:rPr>
          <w:rFonts w:ascii="宋体" w:hAnsi="宋体" w:cs="宋体"/>
          <w:kern w:val="0"/>
          <w:szCs w:val="21"/>
        </w:rPr>
      </w:pPr>
    </w:p>
    <w:p>
      <w:pPr>
        <w:widowControl/>
        <w:autoSpaceDE w:val="0"/>
        <w:autoSpaceDN w:val="0"/>
        <w:ind w:firstLine="420" w:firstLineChars="200"/>
        <w:rPr>
          <w:rFonts w:ascii="宋体" w:hAnsi="宋体" w:cs="宋体"/>
          <w:kern w:val="0"/>
          <w:szCs w:val="21"/>
        </w:rPr>
      </w:pPr>
      <w:r>
        <w:rPr>
          <w:rFonts w:hint="eastAsia" w:ascii="宋体" w:hAnsi="宋体" w:cs="宋体"/>
          <w:kern w:val="0"/>
          <w:szCs w:val="21"/>
        </w:rPr>
        <w:t>表A.1给出了本文件与ISO 9388：1992结构编号对照一览表。</w:t>
      </w:r>
    </w:p>
    <w:p>
      <w:pPr>
        <w:widowControl/>
        <w:autoSpaceDE w:val="0"/>
        <w:autoSpaceDN w:val="0"/>
        <w:ind w:firstLine="420" w:firstLineChars="200"/>
        <w:jc w:val="center"/>
        <w:rPr>
          <w:rFonts w:ascii="黑体" w:hAnsi="黑体" w:eastAsia="黑体" w:cs="黑体"/>
          <w:kern w:val="0"/>
          <w:szCs w:val="21"/>
        </w:rPr>
      </w:pPr>
      <w:r>
        <w:rPr>
          <w:rFonts w:hint="eastAsia" w:ascii="黑体" w:hAnsi="黑体" w:eastAsia="黑体" w:cs="黑体"/>
          <w:kern w:val="0"/>
          <w:szCs w:val="21"/>
        </w:rPr>
        <w:t>表A.1 本文件与ISO 9388：1992结构编号对照情况</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0"/>
        <w:gridCol w:w="4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0" w:type="dxa"/>
            <w:tcBorders>
              <w:top w:val="single" w:color="auto" w:sz="12" w:space="0"/>
              <w:left w:val="single" w:color="auto" w:sz="12" w:space="0"/>
              <w:bottom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本文件结构编号</w:t>
            </w:r>
          </w:p>
        </w:tc>
        <w:tc>
          <w:tcPr>
            <w:tcW w:w="4664" w:type="dxa"/>
            <w:tcBorders>
              <w:top w:val="single" w:color="auto" w:sz="12" w:space="0"/>
              <w:bottom w:val="single" w:color="auto" w:sz="12" w:space="0"/>
              <w:righ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ISO 9388：1992 结构编号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0" w:type="dxa"/>
            <w:tcBorders>
              <w:top w:val="single" w:color="auto" w:sz="12" w:space="0"/>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1</w:t>
            </w:r>
          </w:p>
        </w:tc>
        <w:tc>
          <w:tcPr>
            <w:tcW w:w="4664" w:type="dxa"/>
            <w:tcBorders>
              <w:top w:val="single" w:color="auto" w:sz="12" w:space="0"/>
              <w:righ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0" w:type="dxa"/>
            <w:tcBorders>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2</w:t>
            </w:r>
          </w:p>
        </w:tc>
        <w:tc>
          <w:tcPr>
            <w:tcW w:w="4664" w:type="dxa"/>
            <w:tcBorders>
              <w:righ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0" w:type="dxa"/>
            <w:tcBorders>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3</w:t>
            </w:r>
          </w:p>
        </w:tc>
        <w:tc>
          <w:tcPr>
            <w:tcW w:w="4664" w:type="dxa"/>
            <w:tcBorders>
              <w:righ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0" w:type="dxa"/>
            <w:tcBorders>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4</w:t>
            </w:r>
          </w:p>
        </w:tc>
        <w:tc>
          <w:tcPr>
            <w:tcW w:w="4664" w:type="dxa"/>
            <w:tcBorders>
              <w:righ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ascii="宋体" w:hAnsi="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0" w:type="dxa"/>
            <w:tcBorders>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5</w:t>
            </w:r>
          </w:p>
        </w:tc>
        <w:tc>
          <w:tcPr>
            <w:tcW w:w="4664" w:type="dxa"/>
            <w:tcBorders>
              <w:righ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ascii="宋体" w:hAnsi="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0" w:type="dxa"/>
            <w:tcBorders>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5.1</w:t>
            </w:r>
          </w:p>
        </w:tc>
        <w:tc>
          <w:tcPr>
            <w:tcW w:w="4664" w:type="dxa"/>
            <w:tcBorders>
              <w:right w:val="single" w:color="auto" w:sz="12" w:space="0"/>
            </w:tcBorders>
          </w:tcPr>
          <w:p>
            <w:pPr>
              <w:widowControl/>
              <w:autoSpaceDE w:val="0"/>
              <w:autoSpaceDN w:val="0"/>
              <w:ind w:firstLine="360" w:firstLineChars="200"/>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0" w:type="dxa"/>
            <w:tcBorders>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5.2</w:t>
            </w:r>
          </w:p>
        </w:tc>
        <w:tc>
          <w:tcPr>
            <w:tcW w:w="4664" w:type="dxa"/>
            <w:tcBorders>
              <w:right w:val="single" w:color="auto" w:sz="12" w:space="0"/>
            </w:tcBorders>
          </w:tcPr>
          <w:p>
            <w:pPr>
              <w:widowControl/>
              <w:autoSpaceDE w:val="0"/>
              <w:autoSpaceDN w:val="0"/>
              <w:ind w:firstLine="360" w:firstLineChars="200"/>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0" w:type="dxa"/>
            <w:tcBorders>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5.3</w:t>
            </w:r>
          </w:p>
        </w:tc>
        <w:tc>
          <w:tcPr>
            <w:tcW w:w="4664" w:type="dxa"/>
            <w:tcBorders>
              <w:righ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0" w:type="dxa"/>
            <w:tcBorders>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5.4</w:t>
            </w:r>
          </w:p>
        </w:tc>
        <w:tc>
          <w:tcPr>
            <w:tcW w:w="4664" w:type="dxa"/>
            <w:tcBorders>
              <w:righ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w:t>
            </w:r>
            <w:r>
              <w:rPr>
                <w:rFonts w:ascii="宋体" w:hAnsi="宋体" w:cs="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0" w:type="dxa"/>
            <w:tcBorders>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5.5</w:t>
            </w:r>
          </w:p>
        </w:tc>
        <w:tc>
          <w:tcPr>
            <w:tcW w:w="4664" w:type="dxa"/>
            <w:tcBorders>
              <w:righ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w:t>
            </w:r>
            <w:r>
              <w:rPr>
                <w:rFonts w:ascii="宋体" w:hAnsi="宋体" w:cs="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0" w:type="dxa"/>
            <w:tcBorders>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5.6</w:t>
            </w:r>
          </w:p>
        </w:tc>
        <w:tc>
          <w:tcPr>
            <w:tcW w:w="4664" w:type="dxa"/>
            <w:tcBorders>
              <w:righ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ascii="宋体" w:hAnsi="宋体" w:cs="宋体"/>
                <w:kern w:val="0"/>
                <w:sz w:val="18"/>
                <w:szCs w:val="18"/>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0" w:type="dxa"/>
            <w:tcBorders>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5.7</w:t>
            </w:r>
          </w:p>
        </w:tc>
        <w:tc>
          <w:tcPr>
            <w:tcW w:w="4664" w:type="dxa"/>
            <w:tcBorders>
              <w:righ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w:t>
            </w:r>
            <w:r>
              <w:rPr>
                <w:rFonts w:ascii="宋体" w:hAnsi="宋体" w:cs="宋体"/>
                <w:kern w:val="0"/>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0" w:type="dxa"/>
            <w:tcBorders>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5.8</w:t>
            </w:r>
          </w:p>
        </w:tc>
        <w:tc>
          <w:tcPr>
            <w:tcW w:w="4664" w:type="dxa"/>
            <w:tcBorders>
              <w:righ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w:t>
            </w:r>
            <w:r>
              <w:rPr>
                <w:rFonts w:ascii="宋体" w:hAnsi="宋体" w:cs="宋体"/>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0" w:type="dxa"/>
            <w:tcBorders>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5.9</w:t>
            </w:r>
          </w:p>
        </w:tc>
        <w:tc>
          <w:tcPr>
            <w:tcW w:w="4664" w:type="dxa"/>
            <w:tcBorders>
              <w:righ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0" w:type="dxa"/>
            <w:tcBorders>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5.10</w:t>
            </w:r>
          </w:p>
        </w:tc>
        <w:tc>
          <w:tcPr>
            <w:tcW w:w="4664" w:type="dxa"/>
            <w:tcBorders>
              <w:righ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0" w:type="dxa"/>
            <w:tcBorders>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5.11</w:t>
            </w:r>
          </w:p>
        </w:tc>
        <w:tc>
          <w:tcPr>
            <w:tcW w:w="4664" w:type="dxa"/>
            <w:tcBorders>
              <w:righ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0" w:type="dxa"/>
            <w:tcBorders>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5.12</w:t>
            </w:r>
          </w:p>
        </w:tc>
        <w:tc>
          <w:tcPr>
            <w:tcW w:w="4664" w:type="dxa"/>
            <w:tcBorders>
              <w:righ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ascii="宋体" w:hAnsi="宋体" w:cs="宋体"/>
                <w:kern w:val="0"/>
                <w:sz w:val="18"/>
                <w:szCs w:val="18"/>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0" w:type="dxa"/>
            <w:tcBorders>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5.13</w:t>
            </w:r>
          </w:p>
        </w:tc>
        <w:tc>
          <w:tcPr>
            <w:tcW w:w="4664" w:type="dxa"/>
            <w:tcBorders>
              <w:righ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ascii="宋体" w:hAnsi="宋体" w:cs="宋体"/>
                <w:kern w:val="0"/>
                <w:sz w:val="18"/>
                <w:szCs w:val="1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60" w:type="dxa"/>
            <w:tcBorders>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5.1</w:t>
            </w:r>
            <w:r>
              <w:rPr>
                <w:rFonts w:ascii="宋体" w:hAnsi="宋体" w:cs="宋体"/>
                <w:kern w:val="0"/>
                <w:sz w:val="18"/>
                <w:szCs w:val="18"/>
              </w:rPr>
              <w:t>4</w:t>
            </w:r>
          </w:p>
        </w:tc>
        <w:tc>
          <w:tcPr>
            <w:tcW w:w="4664" w:type="dxa"/>
            <w:tcBorders>
              <w:righ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ascii="宋体" w:hAnsi="宋体" w:cs="宋体"/>
                <w:kern w:val="0"/>
                <w:sz w:val="18"/>
                <w:szCs w:val="18"/>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0" w:type="dxa"/>
            <w:tcBorders>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5.1</w:t>
            </w:r>
            <w:r>
              <w:rPr>
                <w:rFonts w:ascii="宋体" w:hAnsi="宋体" w:cs="宋体"/>
                <w:kern w:val="0"/>
                <w:sz w:val="18"/>
                <w:szCs w:val="18"/>
              </w:rPr>
              <w:t>5</w:t>
            </w:r>
          </w:p>
        </w:tc>
        <w:tc>
          <w:tcPr>
            <w:tcW w:w="4664" w:type="dxa"/>
            <w:tcBorders>
              <w:righ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ascii="宋体" w:hAnsi="宋体" w:cs="宋体"/>
                <w:kern w:val="0"/>
                <w:sz w:val="18"/>
                <w:szCs w:val="18"/>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0" w:type="dxa"/>
            <w:tcBorders>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5.1</w:t>
            </w:r>
            <w:r>
              <w:rPr>
                <w:rFonts w:ascii="宋体" w:hAnsi="宋体" w:cs="宋体"/>
                <w:kern w:val="0"/>
                <w:sz w:val="18"/>
                <w:szCs w:val="18"/>
              </w:rPr>
              <w:t>6</w:t>
            </w:r>
          </w:p>
        </w:tc>
        <w:tc>
          <w:tcPr>
            <w:tcW w:w="4664" w:type="dxa"/>
            <w:tcBorders>
              <w:righ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0" w:type="dxa"/>
            <w:tcBorders>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5.1</w:t>
            </w:r>
            <w:r>
              <w:rPr>
                <w:rFonts w:ascii="宋体" w:hAnsi="宋体" w:cs="宋体"/>
                <w:kern w:val="0"/>
                <w:sz w:val="18"/>
                <w:szCs w:val="18"/>
              </w:rPr>
              <w:t>7</w:t>
            </w:r>
          </w:p>
        </w:tc>
        <w:tc>
          <w:tcPr>
            <w:tcW w:w="4664" w:type="dxa"/>
            <w:tcBorders>
              <w:righ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ascii="宋体" w:hAnsi="宋体" w:cs="宋体"/>
                <w:kern w:val="0"/>
                <w:sz w:val="18"/>
                <w:szCs w:val="18"/>
              </w:rPr>
              <w:t>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0" w:type="dxa"/>
            <w:tcBorders>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5.1</w:t>
            </w:r>
            <w:r>
              <w:rPr>
                <w:rFonts w:ascii="宋体" w:hAnsi="宋体" w:cs="宋体"/>
                <w:kern w:val="0"/>
                <w:sz w:val="18"/>
                <w:szCs w:val="18"/>
              </w:rPr>
              <w:t>8</w:t>
            </w:r>
          </w:p>
        </w:tc>
        <w:tc>
          <w:tcPr>
            <w:tcW w:w="4664" w:type="dxa"/>
            <w:tcBorders>
              <w:righ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ascii="宋体" w:hAnsi="宋体" w:cs="宋体"/>
                <w:kern w:val="0"/>
                <w:sz w:val="18"/>
                <w:szCs w:val="18"/>
              </w:rPr>
              <w:t>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60" w:type="dxa"/>
            <w:tcBorders>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5.1</w:t>
            </w:r>
            <w:r>
              <w:rPr>
                <w:rFonts w:ascii="宋体" w:hAnsi="宋体" w:cs="宋体"/>
                <w:kern w:val="0"/>
                <w:sz w:val="18"/>
                <w:szCs w:val="18"/>
              </w:rPr>
              <w:t>9</w:t>
            </w:r>
          </w:p>
        </w:tc>
        <w:tc>
          <w:tcPr>
            <w:tcW w:w="4664" w:type="dxa"/>
            <w:tcBorders>
              <w:righ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ascii="宋体" w:hAnsi="宋体" w:cs="宋体"/>
                <w:kern w:val="0"/>
                <w:sz w:val="18"/>
                <w:szCs w:val="18"/>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0" w:type="dxa"/>
            <w:tcBorders>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5.</w:t>
            </w:r>
            <w:r>
              <w:rPr>
                <w:rFonts w:ascii="宋体" w:hAnsi="宋体" w:cs="宋体"/>
                <w:kern w:val="0"/>
                <w:sz w:val="18"/>
                <w:szCs w:val="18"/>
              </w:rPr>
              <w:t>20</w:t>
            </w:r>
          </w:p>
        </w:tc>
        <w:tc>
          <w:tcPr>
            <w:tcW w:w="4664" w:type="dxa"/>
            <w:tcBorders>
              <w:righ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ascii="宋体" w:hAnsi="宋体" w:cs="宋体"/>
                <w:kern w:val="0"/>
                <w:sz w:val="18"/>
                <w:szCs w:val="18"/>
              </w:rPr>
              <w:t>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0" w:type="dxa"/>
            <w:tcBorders>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5.</w:t>
            </w:r>
            <w:r>
              <w:rPr>
                <w:rFonts w:ascii="宋体" w:hAnsi="宋体" w:cs="宋体"/>
                <w:kern w:val="0"/>
                <w:sz w:val="18"/>
                <w:szCs w:val="18"/>
              </w:rPr>
              <w:t>21</w:t>
            </w:r>
          </w:p>
        </w:tc>
        <w:tc>
          <w:tcPr>
            <w:tcW w:w="4664" w:type="dxa"/>
            <w:tcBorders>
              <w:righ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ascii="宋体" w:hAnsi="宋体" w:cs="宋体"/>
                <w:kern w:val="0"/>
                <w:sz w:val="18"/>
                <w:szCs w:val="18"/>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0" w:type="dxa"/>
            <w:tcBorders>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5</w:t>
            </w:r>
            <w:r>
              <w:rPr>
                <w:rFonts w:ascii="宋体" w:hAnsi="宋体" w:cs="宋体"/>
                <w:kern w:val="0"/>
                <w:sz w:val="18"/>
                <w:szCs w:val="18"/>
              </w:rPr>
              <w:t>.22</w:t>
            </w:r>
          </w:p>
        </w:tc>
        <w:tc>
          <w:tcPr>
            <w:tcW w:w="4664" w:type="dxa"/>
            <w:tcBorders>
              <w:righ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ascii="宋体" w:hAnsi="宋体" w:cs="宋体"/>
                <w:kern w:val="0"/>
                <w:sz w:val="18"/>
                <w:szCs w:val="18"/>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0" w:type="dxa"/>
            <w:tcBorders>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5</w:t>
            </w:r>
            <w:r>
              <w:rPr>
                <w:rFonts w:ascii="宋体" w:hAnsi="宋体" w:cs="宋体"/>
                <w:kern w:val="0"/>
                <w:sz w:val="18"/>
                <w:szCs w:val="18"/>
              </w:rPr>
              <w:t>.22.1</w:t>
            </w:r>
          </w:p>
        </w:tc>
        <w:tc>
          <w:tcPr>
            <w:tcW w:w="4664" w:type="dxa"/>
            <w:tcBorders>
              <w:righ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ascii="宋体" w:hAnsi="宋体" w:cs="宋体"/>
                <w:kern w:val="0"/>
                <w:sz w:val="18"/>
                <w:szCs w:val="18"/>
              </w:rPr>
              <w:t>4.17.1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0" w:type="dxa"/>
            <w:tcBorders>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5</w:t>
            </w:r>
            <w:r>
              <w:rPr>
                <w:rFonts w:ascii="宋体" w:hAnsi="宋体" w:cs="宋体"/>
                <w:kern w:val="0"/>
                <w:sz w:val="18"/>
                <w:szCs w:val="18"/>
              </w:rPr>
              <w:t>.22.2</w:t>
            </w:r>
          </w:p>
        </w:tc>
        <w:tc>
          <w:tcPr>
            <w:tcW w:w="4664" w:type="dxa"/>
            <w:tcBorders>
              <w:righ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ascii="宋体" w:hAnsi="宋体" w:cs="宋体"/>
                <w:kern w:val="0"/>
                <w:sz w:val="18"/>
                <w:szCs w:val="18"/>
              </w:rPr>
              <w:t>4.17.2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0" w:type="dxa"/>
            <w:tcBorders>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5</w:t>
            </w:r>
            <w:r>
              <w:rPr>
                <w:rFonts w:ascii="宋体" w:hAnsi="宋体" w:cs="宋体"/>
                <w:kern w:val="0"/>
                <w:sz w:val="18"/>
                <w:szCs w:val="18"/>
              </w:rPr>
              <w:t>.23</w:t>
            </w:r>
          </w:p>
        </w:tc>
        <w:tc>
          <w:tcPr>
            <w:tcW w:w="4664" w:type="dxa"/>
            <w:tcBorders>
              <w:righ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ascii="宋体" w:hAnsi="宋体" w:cs="宋体"/>
                <w:kern w:val="0"/>
                <w:sz w:val="18"/>
                <w:szCs w:val="18"/>
              </w:rPr>
              <w:t>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0" w:type="dxa"/>
            <w:tcBorders>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5</w:t>
            </w:r>
            <w:r>
              <w:rPr>
                <w:rFonts w:ascii="宋体" w:hAnsi="宋体" w:cs="宋体"/>
                <w:kern w:val="0"/>
                <w:sz w:val="18"/>
                <w:szCs w:val="18"/>
              </w:rPr>
              <w:t>.24</w:t>
            </w:r>
          </w:p>
        </w:tc>
        <w:tc>
          <w:tcPr>
            <w:tcW w:w="4664" w:type="dxa"/>
            <w:tcBorders>
              <w:righ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60" w:type="dxa"/>
            <w:tcBorders>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6</w:t>
            </w:r>
          </w:p>
        </w:tc>
        <w:tc>
          <w:tcPr>
            <w:tcW w:w="4664" w:type="dxa"/>
            <w:tcBorders>
              <w:righ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ascii="宋体" w:hAnsi="宋体" w:cs="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0" w:type="dxa"/>
            <w:tcBorders>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6</w:t>
            </w:r>
            <w:r>
              <w:rPr>
                <w:rFonts w:ascii="宋体" w:hAnsi="宋体" w:cs="宋体"/>
                <w:kern w:val="0"/>
                <w:sz w:val="18"/>
                <w:szCs w:val="18"/>
              </w:rPr>
              <w:t>.1</w:t>
            </w:r>
          </w:p>
        </w:tc>
        <w:tc>
          <w:tcPr>
            <w:tcW w:w="4664" w:type="dxa"/>
            <w:tcBorders>
              <w:righ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5</w:t>
            </w:r>
            <w:r>
              <w:rPr>
                <w:rFonts w:ascii="宋体" w:hAnsi="宋体" w:cs="宋体"/>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60" w:type="dxa"/>
            <w:tcBorders>
              <w:left w:val="single" w:color="auto" w:sz="12" w:space="0"/>
            </w:tcBorders>
          </w:tcPr>
          <w:p>
            <w:pPr>
              <w:widowControl/>
              <w:autoSpaceDE w:val="0"/>
              <w:autoSpaceDN w:val="0"/>
              <w:jc w:val="center"/>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6</w:t>
            </w:r>
            <w:r>
              <w:rPr>
                <w:rFonts w:ascii="宋体" w:hAnsi="宋体" w:cs="宋体"/>
                <w:kern w:val="0"/>
                <w:sz w:val="18"/>
                <w:szCs w:val="18"/>
              </w:rPr>
              <w:t>.2</w:t>
            </w:r>
          </w:p>
        </w:tc>
        <w:tc>
          <w:tcPr>
            <w:tcW w:w="4664" w:type="dxa"/>
            <w:tcBorders>
              <w:righ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5</w:t>
            </w:r>
            <w:r>
              <w:rPr>
                <w:rFonts w:ascii="宋体" w:hAnsi="宋体" w:cs="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60" w:type="dxa"/>
            <w:tcBorders>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6</w:t>
            </w:r>
            <w:r>
              <w:rPr>
                <w:rFonts w:ascii="宋体" w:hAnsi="宋体" w:cs="宋体"/>
                <w:kern w:val="0"/>
                <w:sz w:val="18"/>
                <w:szCs w:val="18"/>
              </w:rPr>
              <w:t>.3</w:t>
            </w:r>
          </w:p>
        </w:tc>
        <w:tc>
          <w:tcPr>
            <w:tcW w:w="4664" w:type="dxa"/>
            <w:tcBorders>
              <w:righ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5</w:t>
            </w:r>
            <w:r>
              <w:rPr>
                <w:rFonts w:ascii="宋体" w:hAnsi="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0" w:type="dxa"/>
            <w:tcBorders>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6</w:t>
            </w:r>
            <w:r>
              <w:rPr>
                <w:rFonts w:ascii="宋体" w:hAnsi="宋体" w:cs="宋体"/>
                <w:kern w:val="0"/>
                <w:sz w:val="18"/>
                <w:szCs w:val="18"/>
              </w:rPr>
              <w:t>.4</w:t>
            </w:r>
          </w:p>
        </w:tc>
        <w:tc>
          <w:tcPr>
            <w:tcW w:w="4664" w:type="dxa"/>
            <w:tcBorders>
              <w:righ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5</w:t>
            </w:r>
            <w:r>
              <w:rPr>
                <w:rFonts w:ascii="宋体" w:hAnsi="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0" w:type="dxa"/>
            <w:tcBorders>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6</w:t>
            </w:r>
            <w:r>
              <w:rPr>
                <w:rFonts w:ascii="宋体" w:hAnsi="宋体" w:cs="宋体"/>
                <w:kern w:val="0"/>
                <w:sz w:val="18"/>
                <w:szCs w:val="18"/>
              </w:rPr>
              <w:t>.5</w:t>
            </w:r>
          </w:p>
        </w:tc>
        <w:tc>
          <w:tcPr>
            <w:tcW w:w="4664" w:type="dxa"/>
            <w:tcBorders>
              <w:righ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5</w:t>
            </w:r>
            <w:r>
              <w:rPr>
                <w:rFonts w:ascii="宋体" w:hAnsi="宋体" w:cs="宋体"/>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0" w:type="dxa"/>
            <w:tcBorders>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7</w:t>
            </w:r>
          </w:p>
        </w:tc>
        <w:tc>
          <w:tcPr>
            <w:tcW w:w="4664" w:type="dxa"/>
            <w:tcBorders>
              <w:righ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0" w:type="dxa"/>
            <w:tcBorders>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8</w:t>
            </w:r>
            <w:r>
              <w:rPr>
                <w:rFonts w:ascii="宋体" w:hAnsi="宋体" w:cs="宋体"/>
                <w:kern w:val="0"/>
                <w:sz w:val="18"/>
                <w:szCs w:val="18"/>
              </w:rPr>
              <w:t>.1</w:t>
            </w:r>
          </w:p>
        </w:tc>
        <w:tc>
          <w:tcPr>
            <w:tcW w:w="4664" w:type="dxa"/>
            <w:tcBorders>
              <w:righ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7</w:t>
            </w:r>
            <w:r>
              <w:rPr>
                <w:rFonts w:ascii="宋体" w:hAnsi="宋体" w:cs="宋体"/>
                <w:kern w:val="0"/>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0" w:type="dxa"/>
            <w:tcBorders>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ascii="宋体" w:hAnsi="宋体" w:cs="宋体"/>
                <w:kern w:val="0"/>
                <w:sz w:val="18"/>
                <w:szCs w:val="18"/>
              </w:rPr>
              <w:t>8.2</w:t>
            </w:r>
          </w:p>
        </w:tc>
        <w:tc>
          <w:tcPr>
            <w:tcW w:w="4664" w:type="dxa"/>
            <w:tcBorders>
              <w:righ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lang w:val="en-US"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0" w:type="dxa"/>
            <w:tcBorders>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8</w:t>
            </w:r>
            <w:r>
              <w:rPr>
                <w:rFonts w:ascii="宋体" w:hAnsi="宋体" w:cs="宋体"/>
                <w:kern w:val="0"/>
                <w:sz w:val="18"/>
                <w:szCs w:val="18"/>
              </w:rPr>
              <w:t>.3</w:t>
            </w:r>
          </w:p>
        </w:tc>
        <w:tc>
          <w:tcPr>
            <w:tcW w:w="4664" w:type="dxa"/>
            <w:tcBorders>
              <w:righ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7</w:t>
            </w:r>
            <w:r>
              <w:rPr>
                <w:rFonts w:ascii="宋体" w:hAnsi="宋体" w:cs="宋体"/>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0" w:type="dxa"/>
            <w:tcBorders>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8</w:t>
            </w:r>
            <w:r>
              <w:rPr>
                <w:rFonts w:ascii="宋体" w:hAnsi="宋体" w:cs="宋体"/>
                <w:kern w:val="0"/>
                <w:sz w:val="18"/>
                <w:szCs w:val="18"/>
              </w:rPr>
              <w:t>.4</w:t>
            </w:r>
          </w:p>
        </w:tc>
        <w:tc>
          <w:tcPr>
            <w:tcW w:w="4664" w:type="dxa"/>
            <w:tcBorders>
              <w:righ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0" w:type="dxa"/>
            <w:tcBorders>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ascii="宋体" w:hAnsi="宋体" w:cs="宋体"/>
                <w:kern w:val="0"/>
                <w:sz w:val="18"/>
                <w:szCs w:val="18"/>
              </w:rPr>
              <w:t>8.4.1</w:t>
            </w:r>
          </w:p>
        </w:tc>
        <w:tc>
          <w:tcPr>
            <w:tcW w:w="4664" w:type="dxa"/>
            <w:tcBorders>
              <w:righ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7</w:t>
            </w:r>
            <w:r>
              <w:rPr>
                <w:rFonts w:ascii="宋体" w:hAnsi="宋体" w:cs="宋体"/>
                <w:kern w:val="0"/>
                <w:sz w:val="18"/>
                <w:szCs w:val="18"/>
              </w:rPr>
              <w:t>.1.2</w:t>
            </w:r>
            <w:r>
              <w:rPr>
                <w:rFonts w:hint="eastAsia" w:ascii="宋体" w:hAnsi="宋体" w:cs="宋体"/>
                <w:kern w:val="0"/>
                <w:sz w:val="18"/>
                <w:szCs w:val="18"/>
              </w:rPr>
              <w:t>-</w:t>
            </w:r>
            <w:r>
              <w:rPr>
                <w:rFonts w:ascii="宋体" w:hAnsi="宋体" w:cs="宋体"/>
                <w:kern w:val="0"/>
                <w:sz w:val="18"/>
                <w:szCs w:val="18"/>
              </w:rPr>
              <w:t>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0" w:type="dxa"/>
            <w:tcBorders>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ascii="宋体" w:hAnsi="宋体" w:cs="宋体"/>
                <w:kern w:val="0"/>
                <w:sz w:val="18"/>
                <w:szCs w:val="18"/>
              </w:rPr>
              <w:t>8.4.2</w:t>
            </w:r>
          </w:p>
        </w:tc>
        <w:tc>
          <w:tcPr>
            <w:tcW w:w="4664" w:type="dxa"/>
            <w:tcBorders>
              <w:righ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7</w:t>
            </w:r>
            <w:r>
              <w:rPr>
                <w:rFonts w:ascii="宋体" w:hAnsi="宋体" w:cs="宋体"/>
                <w:kern w:val="0"/>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60" w:type="dxa"/>
            <w:tcBorders>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ascii="宋体" w:hAnsi="宋体" w:cs="宋体"/>
                <w:kern w:val="0"/>
                <w:sz w:val="18"/>
                <w:szCs w:val="18"/>
              </w:rPr>
              <w:t>8.4.3</w:t>
            </w:r>
          </w:p>
        </w:tc>
        <w:tc>
          <w:tcPr>
            <w:tcW w:w="4664" w:type="dxa"/>
            <w:tcBorders>
              <w:righ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7</w:t>
            </w:r>
            <w:r>
              <w:rPr>
                <w:rFonts w:ascii="宋体" w:hAnsi="宋体" w:cs="宋体"/>
                <w:kern w:val="0"/>
                <w:sz w:val="18"/>
                <w:szCs w:val="1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0" w:type="dxa"/>
            <w:tcBorders>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ascii="宋体" w:hAnsi="宋体" w:cs="宋体"/>
                <w:kern w:val="0"/>
                <w:sz w:val="18"/>
                <w:szCs w:val="18"/>
              </w:rPr>
              <w:t>8.4.4</w:t>
            </w:r>
          </w:p>
        </w:tc>
        <w:tc>
          <w:tcPr>
            <w:tcW w:w="4664" w:type="dxa"/>
            <w:tcBorders>
              <w:righ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7</w:t>
            </w:r>
            <w:r>
              <w:rPr>
                <w:rFonts w:ascii="宋体" w:hAnsi="宋体" w:cs="宋体"/>
                <w:kern w:val="0"/>
                <w:sz w:val="18"/>
                <w:szCs w:val="18"/>
              </w:rPr>
              <w:t>.3.1-7.3.2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0" w:type="dxa"/>
            <w:tcBorders>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ascii="宋体" w:hAnsi="宋体" w:cs="宋体"/>
                <w:kern w:val="0"/>
                <w:sz w:val="18"/>
                <w:szCs w:val="18"/>
              </w:rPr>
              <w:t>8.4.5</w:t>
            </w:r>
          </w:p>
        </w:tc>
        <w:tc>
          <w:tcPr>
            <w:tcW w:w="4664" w:type="dxa"/>
            <w:tcBorders>
              <w:righ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7</w:t>
            </w:r>
            <w:r>
              <w:rPr>
                <w:rFonts w:ascii="宋体" w:hAnsi="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60" w:type="dxa"/>
            <w:tcBorders>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ascii="宋体" w:hAnsi="宋体" w:cs="宋体"/>
                <w:kern w:val="0"/>
                <w:sz w:val="18"/>
                <w:szCs w:val="18"/>
              </w:rPr>
              <w:t>8.4.6</w:t>
            </w:r>
          </w:p>
        </w:tc>
        <w:tc>
          <w:tcPr>
            <w:tcW w:w="4664" w:type="dxa"/>
            <w:tcBorders>
              <w:righ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ascii="宋体" w:hAnsi="宋体" w:cs="宋体"/>
                <w:kern w:val="0"/>
                <w:sz w:val="18"/>
                <w:szCs w:val="1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0" w:type="dxa"/>
            <w:tcBorders>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8</w:t>
            </w:r>
            <w:r>
              <w:rPr>
                <w:rFonts w:ascii="宋体" w:hAnsi="宋体" w:cs="宋体"/>
                <w:kern w:val="0"/>
                <w:sz w:val="18"/>
                <w:szCs w:val="18"/>
              </w:rPr>
              <w:t>.5.1</w:t>
            </w:r>
          </w:p>
        </w:tc>
        <w:tc>
          <w:tcPr>
            <w:tcW w:w="4664" w:type="dxa"/>
            <w:tcBorders>
              <w:righ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lang w:val="en-US" w:eastAsia="zh-CN"/>
              </w:rPr>
              <w:t>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0" w:type="dxa"/>
            <w:tcBorders>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8</w:t>
            </w:r>
            <w:r>
              <w:rPr>
                <w:rFonts w:ascii="宋体" w:hAnsi="宋体" w:cs="宋体"/>
                <w:kern w:val="0"/>
                <w:sz w:val="18"/>
                <w:szCs w:val="18"/>
              </w:rPr>
              <w:t>.5.2</w:t>
            </w:r>
          </w:p>
        </w:tc>
        <w:tc>
          <w:tcPr>
            <w:tcW w:w="4664" w:type="dxa"/>
            <w:tcBorders>
              <w:righ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lang w:val="en-US" w:eastAsia="zh-CN"/>
              </w:rPr>
              <w:t>7.7.2-7.7.3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0" w:type="dxa"/>
            <w:tcBorders>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9</w:t>
            </w:r>
          </w:p>
        </w:tc>
        <w:tc>
          <w:tcPr>
            <w:tcW w:w="4664" w:type="dxa"/>
            <w:tcBorders>
              <w:righ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8</w:t>
            </w:r>
            <w:r>
              <w:rPr>
                <w:rFonts w:ascii="宋体" w:hAnsi="宋体" w:cs="宋体"/>
                <w:kern w:val="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0" w:type="dxa"/>
            <w:tcBorders>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4664" w:type="dxa"/>
            <w:tcBorders>
              <w:right w:val="single" w:color="auto" w:sz="12" w:space="0"/>
            </w:tcBorders>
          </w:tcPr>
          <w:p>
            <w:pPr>
              <w:widowControl/>
              <w:autoSpaceDE w:val="0"/>
              <w:autoSpaceDN w:val="0"/>
              <w:ind w:firstLine="360" w:firstLineChars="20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0" w:type="dxa"/>
            <w:tcBorders>
              <w:left w:val="single" w:color="auto" w:sz="12" w:space="0"/>
            </w:tcBorders>
          </w:tcPr>
          <w:p>
            <w:pPr>
              <w:widowControl/>
              <w:autoSpaceDE w:val="0"/>
              <w:autoSpaceDN w:val="0"/>
              <w:ind w:firstLine="360" w:firstLineChars="20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4664" w:type="dxa"/>
            <w:tcBorders>
              <w:right w:val="single" w:color="auto" w:sz="12" w:space="0"/>
            </w:tcBorders>
          </w:tcPr>
          <w:p>
            <w:pPr>
              <w:widowControl/>
              <w:autoSpaceDE w:val="0"/>
              <w:autoSpaceDN w:val="0"/>
              <w:ind w:firstLine="360" w:firstLineChars="20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660" w:type="dxa"/>
            <w:tcBorders>
              <w:lef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附录A</w:t>
            </w:r>
          </w:p>
        </w:tc>
        <w:tc>
          <w:tcPr>
            <w:tcW w:w="4664" w:type="dxa"/>
            <w:tcBorders>
              <w:right w:val="single" w:color="auto"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660" w:type="dxa"/>
            <w:tcBorders>
              <w:left w:val="single" w:color="auto" w:sz="12" w:space="0"/>
            </w:tcBorders>
          </w:tcPr>
          <w:p>
            <w:pPr>
              <w:widowControl/>
              <w:autoSpaceDE w:val="0"/>
              <w:autoSpaceDN w:val="0"/>
              <w:ind w:firstLine="360" w:firstLineChars="200"/>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w:t>
            </w:r>
          </w:p>
        </w:tc>
        <w:tc>
          <w:tcPr>
            <w:tcW w:w="4664" w:type="dxa"/>
            <w:tcBorders>
              <w:right w:val="single" w:color="auto" w:sz="12" w:space="0"/>
            </w:tcBorders>
          </w:tcPr>
          <w:p>
            <w:pPr>
              <w:widowControl/>
              <w:autoSpaceDE w:val="0"/>
              <w:autoSpaceDN w:val="0"/>
              <w:ind w:firstLine="360" w:firstLineChars="20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4.11,5.5,8.2.2,9,附录A</w:t>
            </w:r>
          </w:p>
        </w:tc>
      </w:tr>
    </w:tbl>
    <w:p>
      <w:pPr>
        <w:widowControl/>
        <w:autoSpaceDE w:val="0"/>
        <w:autoSpaceDN w:val="0"/>
        <w:ind w:firstLine="420" w:firstLineChars="200"/>
        <w:jc w:val="center"/>
        <w:rPr>
          <w:rFonts w:ascii="黑体" w:hAnsi="黑体" w:eastAsia="黑体" w:cs="黑体"/>
          <w:kern w:val="0"/>
          <w:szCs w:val="21"/>
        </w:rPr>
        <w:sectPr>
          <w:pgSz w:w="11906" w:h="16838"/>
          <w:pgMar w:top="1418" w:right="1134" w:bottom="1440" w:left="1418" w:header="851" w:footer="992" w:gutter="0"/>
          <w:pgNumType w:start="1"/>
          <w:cols w:space="0" w:num="1"/>
          <w:docGrid w:type="lines" w:linePitch="312" w:charSpace="0"/>
        </w:sectPr>
      </w:pPr>
    </w:p>
    <w:p>
      <w:pPr>
        <w:widowControl/>
        <w:autoSpaceDE w:val="0"/>
        <w:autoSpaceDN w:val="0"/>
        <w:jc w:val="center"/>
        <w:rPr>
          <w:rFonts w:ascii="黑体" w:hAnsi="黑体" w:eastAsia="黑体" w:cs="黑体"/>
          <w:kern w:val="0"/>
          <w:szCs w:val="21"/>
        </w:rPr>
      </w:pPr>
      <w:r>
        <w:rPr>
          <w:rFonts w:hint="eastAsia" w:ascii="黑体" w:hAnsi="黑体" w:eastAsia="黑体" w:cs="黑体"/>
          <w:kern w:val="0"/>
          <w:szCs w:val="21"/>
        </w:rPr>
        <w:t>附录B</w:t>
      </w:r>
    </w:p>
    <w:p>
      <w:pPr>
        <w:widowControl/>
        <w:autoSpaceDE w:val="0"/>
        <w:autoSpaceDN w:val="0"/>
        <w:jc w:val="center"/>
        <w:rPr>
          <w:rFonts w:ascii="黑体" w:hAnsi="黑体" w:eastAsia="黑体" w:cs="黑体"/>
          <w:kern w:val="0"/>
          <w:szCs w:val="21"/>
        </w:rPr>
      </w:pPr>
      <w:r>
        <w:rPr>
          <w:rFonts w:hint="eastAsia" w:ascii="黑体" w:hAnsi="黑体" w:eastAsia="黑体" w:cs="黑体"/>
          <w:kern w:val="0"/>
          <w:szCs w:val="21"/>
        </w:rPr>
        <w:t>（资料性）</w:t>
      </w:r>
    </w:p>
    <w:p>
      <w:pPr>
        <w:widowControl/>
        <w:autoSpaceDE w:val="0"/>
        <w:autoSpaceDN w:val="0"/>
        <w:jc w:val="center"/>
        <w:rPr>
          <w:rFonts w:ascii="宋体" w:hAnsi="宋体" w:cs="宋体"/>
          <w:kern w:val="0"/>
          <w:szCs w:val="21"/>
        </w:rPr>
      </w:pPr>
      <w:r>
        <w:rPr>
          <w:rFonts w:hint="eastAsia" w:ascii="黑体" w:hAnsi="黑体" w:eastAsia="黑体" w:cs="黑体"/>
          <w:kern w:val="0"/>
          <w:szCs w:val="21"/>
        </w:rPr>
        <w:t>本文件与ISO 9388：1992技术差异及其原因</w:t>
      </w:r>
    </w:p>
    <w:p>
      <w:pPr>
        <w:widowControl/>
        <w:autoSpaceDE w:val="0"/>
        <w:autoSpaceDN w:val="0"/>
        <w:ind w:firstLine="420" w:firstLineChars="200"/>
        <w:rPr>
          <w:rFonts w:ascii="宋体" w:hAnsi="宋体" w:cs="宋体"/>
          <w:kern w:val="0"/>
          <w:szCs w:val="21"/>
        </w:rPr>
      </w:pPr>
      <w:r>
        <w:rPr>
          <w:rFonts w:hint="eastAsia" w:ascii="宋体" w:hAnsi="宋体" w:cs="宋体"/>
          <w:kern w:val="0"/>
          <w:szCs w:val="21"/>
        </w:rPr>
        <w:t>表B.1给出了本文件与ISO 9388：1992技术差异及其原因一览表。</w:t>
      </w:r>
    </w:p>
    <w:p>
      <w:pPr>
        <w:widowControl/>
        <w:autoSpaceDE w:val="0"/>
        <w:autoSpaceDN w:val="0"/>
        <w:ind w:firstLine="420" w:firstLineChars="200"/>
        <w:jc w:val="center"/>
        <w:rPr>
          <w:rFonts w:ascii="黑体" w:hAnsi="黑体" w:eastAsia="黑体" w:cs="黑体"/>
          <w:kern w:val="0"/>
          <w:szCs w:val="21"/>
        </w:rPr>
      </w:pPr>
      <w:r>
        <w:rPr>
          <w:rFonts w:hint="eastAsia" w:ascii="黑体" w:hAnsi="黑体" w:eastAsia="黑体" w:cs="黑体"/>
          <w:kern w:val="0"/>
          <w:szCs w:val="21"/>
        </w:rPr>
        <w:t>表B.1 本文件与ISO 9388：1992技术差异及其原因</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47"/>
        <w:gridCol w:w="3925"/>
        <w:gridCol w:w="3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2047" w:type="dxa"/>
            <w:tcBorders>
              <w:top w:val="single" w:color="000000" w:sz="12" w:space="0"/>
              <w:left w:val="single" w:color="000000" w:sz="12" w:space="0"/>
              <w:bottom w:val="single" w:color="000000"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本文件结构编号</w:t>
            </w:r>
          </w:p>
        </w:tc>
        <w:tc>
          <w:tcPr>
            <w:tcW w:w="3925" w:type="dxa"/>
            <w:tcBorders>
              <w:top w:val="single" w:color="000000" w:sz="12" w:space="0"/>
              <w:bottom w:val="single" w:color="000000"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技术差异</w:t>
            </w:r>
          </w:p>
        </w:tc>
        <w:tc>
          <w:tcPr>
            <w:tcW w:w="3598" w:type="dxa"/>
            <w:tcBorders>
              <w:top w:val="single" w:color="000000" w:sz="12" w:space="0"/>
              <w:bottom w:val="single" w:color="000000" w:sz="12" w:space="0"/>
              <w:right w:val="single" w:color="000000" w:sz="12" w:space="0"/>
            </w:tcBorders>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7" w:type="dxa"/>
            <w:tcBorders>
              <w:top w:val="single" w:color="000000" w:sz="12" w:space="0"/>
              <w:left w:val="single" w:color="000000" w:sz="12" w:space="0"/>
            </w:tcBorders>
            <w:vAlign w:val="center"/>
          </w:tcPr>
          <w:p>
            <w:pPr>
              <w:widowControl/>
              <w:autoSpaceDE w:val="0"/>
              <w:autoSpaceDN w:val="0"/>
              <w:ind w:firstLine="360" w:firstLineChars="200"/>
              <w:jc w:val="center"/>
              <w:rPr>
                <w:rFonts w:ascii="宋体" w:hAnsi="宋体" w:cs="宋体"/>
                <w:kern w:val="0"/>
                <w:sz w:val="18"/>
                <w:szCs w:val="18"/>
              </w:rPr>
            </w:pPr>
            <w:r>
              <w:rPr>
                <w:rFonts w:ascii="宋体" w:hAnsi="宋体" w:cs="宋体"/>
                <w:kern w:val="0"/>
                <w:sz w:val="18"/>
                <w:szCs w:val="18"/>
              </w:rPr>
              <w:t>5</w:t>
            </w:r>
          </w:p>
        </w:tc>
        <w:tc>
          <w:tcPr>
            <w:tcW w:w="3925" w:type="dxa"/>
            <w:tcBorders>
              <w:top w:val="single" w:color="000000" w:sz="12" w:space="0"/>
            </w:tcBorders>
            <w:vAlign w:val="center"/>
          </w:tcPr>
          <w:p>
            <w:pPr>
              <w:jc w:val="left"/>
              <w:rPr>
                <w:rFonts w:hAnsi="宋体" w:cs="宋体"/>
                <w:kern w:val="0"/>
                <w:sz w:val="18"/>
                <w:szCs w:val="18"/>
              </w:rPr>
            </w:pPr>
            <w:r>
              <w:rPr>
                <w:rFonts w:hint="eastAsia" w:hAnsi="宋体" w:cs="宋体"/>
                <w:kern w:val="0"/>
                <w:sz w:val="18"/>
                <w:szCs w:val="18"/>
              </w:rPr>
              <w:t>试剂增加了盐酸和硝酸</w:t>
            </w:r>
          </w:p>
        </w:tc>
        <w:tc>
          <w:tcPr>
            <w:tcW w:w="3598" w:type="dxa"/>
            <w:tcBorders>
              <w:top w:val="single" w:color="000000" w:sz="12" w:space="0"/>
              <w:right w:val="single" w:color="000000" w:sz="12" w:space="0"/>
            </w:tcBorders>
            <w:vAlign w:val="center"/>
          </w:tcPr>
          <w:p>
            <w:pPr>
              <w:widowControl/>
              <w:autoSpaceDE w:val="0"/>
              <w:autoSpaceDN w:val="0"/>
              <w:jc w:val="left"/>
              <w:rPr>
                <w:rFonts w:ascii="宋体" w:hAnsi="宋体" w:cs="宋体"/>
                <w:kern w:val="0"/>
                <w:sz w:val="18"/>
                <w:szCs w:val="18"/>
              </w:rPr>
            </w:pPr>
            <w:r>
              <w:rPr>
                <w:rFonts w:hint="eastAsia" w:ascii="宋体" w:hAnsi="宋体" w:cs="宋体"/>
                <w:kern w:val="0"/>
                <w:sz w:val="18"/>
                <w:szCs w:val="18"/>
              </w:rPr>
              <w:t>原国际标准中只有盐酸/硝酸混合酸，根据国内标准的习惯，增加了盐酸和硝酸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7" w:type="dxa"/>
            <w:tcBorders>
              <w:left w:val="single" w:color="000000" w:sz="12" w:space="0"/>
            </w:tcBorders>
            <w:vAlign w:val="center"/>
          </w:tcPr>
          <w:p>
            <w:pPr>
              <w:widowControl/>
              <w:autoSpaceDE w:val="0"/>
              <w:autoSpaceDN w:val="0"/>
              <w:ind w:firstLine="360" w:firstLineChars="200"/>
              <w:jc w:val="center"/>
              <w:rPr>
                <w:rFonts w:ascii="宋体" w:hAnsi="宋体" w:cs="宋体"/>
                <w:kern w:val="0"/>
                <w:sz w:val="18"/>
                <w:szCs w:val="18"/>
              </w:rPr>
            </w:pPr>
            <w:r>
              <w:rPr>
                <w:rFonts w:ascii="宋体" w:hAnsi="宋体" w:cs="宋体"/>
                <w:kern w:val="0"/>
                <w:sz w:val="18"/>
                <w:szCs w:val="18"/>
              </w:rPr>
              <w:t>5</w:t>
            </w:r>
          </w:p>
        </w:tc>
        <w:tc>
          <w:tcPr>
            <w:tcW w:w="3925" w:type="dxa"/>
            <w:vAlign w:val="center"/>
          </w:tcPr>
          <w:p>
            <w:pPr>
              <w:jc w:val="left"/>
              <w:rPr>
                <w:rFonts w:hAnsi="宋体" w:cs="宋体"/>
                <w:kern w:val="0"/>
                <w:sz w:val="18"/>
                <w:szCs w:val="18"/>
              </w:rPr>
            </w:pPr>
            <w:r>
              <w:rPr>
                <w:rFonts w:hint="eastAsia" w:ascii="宋体" w:hAnsi="宋体" w:cs="宋体"/>
                <w:kern w:val="0"/>
                <w:sz w:val="18"/>
                <w:szCs w:val="18"/>
              </w:rPr>
              <w:t>删除了原标准中的硝酸铵</w:t>
            </w:r>
            <w:r>
              <w:rPr>
                <w:rFonts w:hint="eastAsia" w:ascii="宋体" w:hAnsi="宋体" w:cs="宋体"/>
                <w:kern w:val="0"/>
                <w:sz w:val="18"/>
                <w:szCs w:val="18"/>
                <w:lang w:val="en-US" w:eastAsia="zh-CN"/>
              </w:rPr>
              <w:t>溶液</w:t>
            </w:r>
            <w:r>
              <w:rPr>
                <w:rFonts w:hint="eastAsia" w:ascii="宋体" w:hAnsi="宋体" w:cs="宋体"/>
                <w:kern w:val="0"/>
                <w:sz w:val="18"/>
                <w:szCs w:val="18"/>
              </w:rPr>
              <w:t>（4</w:t>
            </w:r>
            <w:r>
              <w:rPr>
                <w:rFonts w:ascii="宋体" w:hAnsi="宋体" w:cs="宋体"/>
                <w:kern w:val="0"/>
                <w:sz w:val="18"/>
                <w:szCs w:val="18"/>
              </w:rPr>
              <w:t>.11</w:t>
            </w:r>
            <w:r>
              <w:rPr>
                <w:rFonts w:hint="eastAsia" w:ascii="宋体" w:hAnsi="宋体" w:cs="宋体"/>
                <w:kern w:val="0"/>
                <w:sz w:val="18"/>
                <w:szCs w:val="18"/>
              </w:rPr>
              <w:t>），改为硝酸钠</w:t>
            </w:r>
            <w:r>
              <w:rPr>
                <w:rFonts w:hint="eastAsia" w:ascii="宋体" w:hAnsi="宋体" w:cs="宋体"/>
                <w:kern w:val="0"/>
                <w:sz w:val="18"/>
                <w:szCs w:val="18"/>
                <w:lang w:val="en-US" w:eastAsia="zh-CN"/>
              </w:rPr>
              <w:t>溶液</w:t>
            </w:r>
            <w:r>
              <w:rPr>
                <w:rFonts w:hint="eastAsia" w:ascii="宋体" w:hAnsi="宋体" w:cs="宋体"/>
                <w:kern w:val="0"/>
                <w:sz w:val="18"/>
                <w:szCs w:val="18"/>
                <w:lang w:eastAsia="zh-CN"/>
              </w:rPr>
              <w:t>（</w:t>
            </w:r>
            <w:r>
              <w:rPr>
                <w:rFonts w:hint="eastAsia" w:ascii="宋体" w:hAnsi="宋体" w:cs="宋体"/>
                <w:kern w:val="0"/>
                <w:sz w:val="18"/>
                <w:szCs w:val="18"/>
                <w:lang w:val="en-US" w:eastAsia="zh-CN"/>
              </w:rPr>
              <w:t>5.16）</w:t>
            </w:r>
          </w:p>
        </w:tc>
        <w:tc>
          <w:tcPr>
            <w:tcW w:w="3598" w:type="dxa"/>
            <w:tcBorders>
              <w:right w:val="single" w:color="000000" w:sz="12" w:space="0"/>
            </w:tcBorders>
            <w:vAlign w:val="center"/>
          </w:tcPr>
          <w:p>
            <w:pPr>
              <w:widowControl/>
              <w:autoSpaceDE w:val="0"/>
              <w:autoSpaceDN w:val="0"/>
              <w:jc w:val="left"/>
              <w:rPr>
                <w:rFonts w:ascii="宋体" w:hAnsi="宋体" w:cs="宋体"/>
                <w:kern w:val="0"/>
                <w:sz w:val="18"/>
                <w:szCs w:val="18"/>
              </w:rPr>
            </w:pPr>
            <w:r>
              <w:rPr>
                <w:rFonts w:hint="eastAsia" w:ascii="宋体" w:hAnsi="宋体" w:cs="宋体"/>
                <w:kern w:val="0"/>
                <w:sz w:val="18"/>
                <w:szCs w:val="18"/>
              </w:rPr>
              <w:t>硝酸铵在我国属于管控试剂，且易燃易爆，实验室无法获得，通过试验，证实了硝酸钠具有同样的效果且易于获得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7" w:type="dxa"/>
            <w:tcBorders>
              <w:left w:val="single" w:color="000000" w:sz="12" w:space="0"/>
            </w:tcBorders>
            <w:vAlign w:val="center"/>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5</w:t>
            </w:r>
          </w:p>
        </w:tc>
        <w:tc>
          <w:tcPr>
            <w:tcW w:w="3925" w:type="dxa"/>
            <w:vAlign w:val="center"/>
          </w:tcPr>
          <w:p>
            <w:pPr>
              <w:tabs>
                <w:tab w:val="left" w:pos="1215"/>
              </w:tabs>
              <w:jc w:val="left"/>
              <w:outlineLvl w:val="1"/>
              <w:rPr>
                <w:kern w:val="0"/>
                <w:sz w:val="20"/>
                <w:szCs w:val="21"/>
              </w:rPr>
            </w:pPr>
            <w:r>
              <w:rPr>
                <w:rFonts w:hint="eastAsia" w:ascii="宋体" w:hAnsi="宋体" w:cs="宋体"/>
                <w:kern w:val="0"/>
                <w:sz w:val="18"/>
                <w:szCs w:val="18"/>
              </w:rPr>
              <w:t>原国际标准中使用移液枪移取</w:t>
            </w:r>
            <w:r>
              <w:rPr>
                <w:kern w:val="0"/>
                <w:sz w:val="20"/>
                <w:szCs w:val="21"/>
              </w:rPr>
              <w:t>10</w:t>
            </w:r>
            <w:r>
              <w:rPr>
                <w:rFonts w:hint="eastAsia"/>
                <w:kern w:val="0"/>
                <w:sz w:val="20"/>
                <w:szCs w:val="21"/>
              </w:rPr>
              <w:t xml:space="preserve">0 </w:t>
            </w:r>
            <w:r>
              <w:rPr>
                <w:kern w:val="0"/>
                <w:sz w:val="20"/>
                <w:szCs w:val="21"/>
              </w:rPr>
              <w:t>µ</w:t>
            </w:r>
            <w:r>
              <w:rPr>
                <w:rFonts w:hint="eastAsia"/>
                <w:kern w:val="0"/>
                <w:sz w:val="20"/>
                <w:szCs w:val="21"/>
              </w:rPr>
              <w:t>g/</w:t>
            </w:r>
            <w:r>
              <w:rPr>
                <w:kern w:val="0"/>
                <w:sz w:val="20"/>
                <w:szCs w:val="21"/>
              </w:rPr>
              <w:t>mL</w:t>
            </w:r>
            <w:r>
              <w:rPr>
                <w:rFonts w:hint="eastAsia"/>
                <w:kern w:val="0"/>
                <w:sz w:val="20"/>
                <w:szCs w:val="21"/>
              </w:rPr>
              <w:t>的磷标准溶液配置工作曲线，修改为增加</w:t>
            </w:r>
            <w:r>
              <w:rPr>
                <w:rFonts w:ascii="黑体" w:hAnsi="黑体" w:eastAsia="黑体"/>
                <w:kern w:val="0"/>
                <w:sz w:val="18"/>
                <w:szCs w:val="18"/>
              </w:rPr>
              <w:t>5.24</w:t>
            </w:r>
            <w:r>
              <w:rPr>
                <w:rFonts w:hint="eastAsia"/>
                <w:kern w:val="0"/>
                <w:sz w:val="18"/>
                <w:szCs w:val="18"/>
              </w:rPr>
              <w:t>磷标准溶液</w:t>
            </w:r>
            <w:r>
              <w:rPr>
                <w:kern w:val="0"/>
                <w:sz w:val="20"/>
                <w:szCs w:val="21"/>
              </w:rPr>
              <w:t>1</w:t>
            </w:r>
            <w:r>
              <w:rPr>
                <w:rFonts w:hint="eastAsia"/>
                <w:kern w:val="0"/>
                <w:sz w:val="20"/>
                <w:szCs w:val="21"/>
              </w:rPr>
              <w:t xml:space="preserve">0 </w:t>
            </w:r>
            <w:r>
              <w:rPr>
                <w:kern w:val="0"/>
                <w:sz w:val="20"/>
                <w:szCs w:val="21"/>
              </w:rPr>
              <w:t>µ</w:t>
            </w:r>
            <w:r>
              <w:rPr>
                <w:rFonts w:hint="eastAsia"/>
                <w:kern w:val="0"/>
                <w:sz w:val="20"/>
                <w:szCs w:val="21"/>
              </w:rPr>
              <w:t>g/</w:t>
            </w:r>
            <w:r>
              <w:rPr>
                <w:kern w:val="0"/>
                <w:sz w:val="20"/>
                <w:szCs w:val="21"/>
              </w:rPr>
              <w:t>mL</w:t>
            </w:r>
            <w:r>
              <w:rPr>
                <w:rFonts w:hint="eastAsia"/>
                <w:kern w:val="0"/>
                <w:sz w:val="20"/>
                <w:szCs w:val="21"/>
              </w:rPr>
              <w:t>，并用移液管移取</w:t>
            </w:r>
            <w:r>
              <w:rPr>
                <w:rFonts w:hint="eastAsia"/>
                <w:kern w:val="0"/>
                <w:sz w:val="18"/>
                <w:szCs w:val="18"/>
              </w:rPr>
              <w:t>磷标准溶液</w:t>
            </w:r>
            <w:r>
              <w:rPr>
                <w:rFonts w:hint="eastAsia"/>
                <w:kern w:val="0"/>
                <w:sz w:val="20"/>
                <w:szCs w:val="21"/>
              </w:rPr>
              <w:t>。</w:t>
            </w:r>
          </w:p>
        </w:tc>
        <w:tc>
          <w:tcPr>
            <w:tcW w:w="3598" w:type="dxa"/>
            <w:tcBorders>
              <w:right w:val="single" w:color="000000" w:sz="12" w:space="0"/>
            </w:tcBorders>
            <w:vAlign w:val="center"/>
          </w:tcPr>
          <w:p>
            <w:pPr>
              <w:widowControl/>
              <w:autoSpaceDE w:val="0"/>
              <w:autoSpaceDN w:val="0"/>
              <w:jc w:val="left"/>
              <w:rPr>
                <w:rFonts w:ascii="宋体"/>
                <w:kern w:val="0"/>
                <w:sz w:val="18"/>
                <w:szCs w:val="18"/>
              </w:rPr>
            </w:pPr>
            <w:r>
              <w:rPr>
                <w:rFonts w:hint="eastAsia" w:ascii="宋体"/>
                <w:kern w:val="0"/>
                <w:sz w:val="18"/>
                <w:szCs w:val="18"/>
              </w:rPr>
              <w:t>移液管更符合国内实验室的使用习惯，因而修改为磷标准贮存溶液，增加磷标准溶液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7" w:type="dxa"/>
            <w:tcBorders>
              <w:left w:val="single" w:color="000000" w:sz="12" w:space="0"/>
            </w:tcBorders>
            <w:vAlign w:val="center"/>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5</w:t>
            </w:r>
          </w:p>
        </w:tc>
        <w:tc>
          <w:tcPr>
            <w:tcW w:w="3925" w:type="dxa"/>
            <w:vAlign w:val="center"/>
          </w:tcPr>
          <w:p>
            <w:pPr>
              <w:widowControl/>
              <w:autoSpaceDE w:val="0"/>
              <w:autoSpaceDN w:val="0"/>
              <w:jc w:val="left"/>
              <w:rPr>
                <w:rFonts w:ascii="宋体" w:hAnsi="宋体" w:cs="宋体"/>
                <w:kern w:val="0"/>
                <w:sz w:val="18"/>
                <w:szCs w:val="18"/>
              </w:rPr>
            </w:pPr>
            <w:r>
              <w:rPr>
                <w:rFonts w:hint="eastAsia" w:ascii="宋体" w:hAnsi="宋体" w:cs="宋体"/>
                <w:kern w:val="0"/>
                <w:sz w:val="18"/>
                <w:szCs w:val="18"/>
              </w:rPr>
              <w:t>调整各试剂的顺序</w:t>
            </w:r>
          </w:p>
        </w:tc>
        <w:tc>
          <w:tcPr>
            <w:tcW w:w="3598" w:type="dxa"/>
            <w:tcBorders>
              <w:right w:val="single" w:color="000000" w:sz="12" w:space="0"/>
            </w:tcBorders>
            <w:vAlign w:val="center"/>
          </w:tcPr>
          <w:p>
            <w:pPr>
              <w:widowControl/>
              <w:autoSpaceDE w:val="0"/>
              <w:autoSpaceDN w:val="0"/>
              <w:jc w:val="left"/>
              <w:rPr>
                <w:rFonts w:ascii="宋体"/>
                <w:strike/>
                <w:kern w:val="0"/>
                <w:sz w:val="18"/>
                <w:szCs w:val="18"/>
              </w:rPr>
            </w:pPr>
            <w:r>
              <w:rPr>
                <w:rFonts w:hint="eastAsia" w:ascii="宋体" w:hAnsi="宋体" w:cs="宋体"/>
                <w:kern w:val="0"/>
                <w:sz w:val="18"/>
                <w:szCs w:val="18"/>
              </w:rPr>
              <w:t>适应我国标准文件编制要求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47" w:type="dxa"/>
            <w:tcBorders>
              <w:left w:val="single" w:color="000000" w:sz="12" w:space="0"/>
            </w:tcBorders>
            <w:vAlign w:val="center"/>
          </w:tcPr>
          <w:p>
            <w:pPr>
              <w:widowControl/>
              <w:autoSpaceDE w:val="0"/>
              <w:autoSpaceDN w:val="0"/>
              <w:ind w:firstLine="360" w:firstLineChars="200"/>
              <w:jc w:val="center"/>
              <w:rPr>
                <w:rFonts w:ascii="宋体" w:hAnsi="宋体" w:cs="宋体"/>
                <w:kern w:val="0"/>
                <w:sz w:val="18"/>
                <w:szCs w:val="18"/>
              </w:rPr>
            </w:pPr>
            <w:r>
              <w:rPr>
                <w:rFonts w:ascii="宋体" w:hAnsi="宋体" w:cs="宋体"/>
                <w:kern w:val="0"/>
                <w:sz w:val="18"/>
                <w:szCs w:val="18"/>
              </w:rPr>
              <w:t>6</w:t>
            </w:r>
          </w:p>
        </w:tc>
        <w:tc>
          <w:tcPr>
            <w:tcW w:w="3925" w:type="dxa"/>
            <w:vAlign w:val="center"/>
          </w:tcPr>
          <w:p>
            <w:pPr>
              <w:widowControl/>
              <w:autoSpaceDE w:val="0"/>
              <w:autoSpaceDN w:val="0"/>
              <w:jc w:val="left"/>
              <w:rPr>
                <w:rFonts w:ascii="宋体" w:hAnsi="宋体" w:cs="宋体"/>
                <w:kern w:val="0"/>
                <w:sz w:val="18"/>
                <w:szCs w:val="18"/>
              </w:rPr>
            </w:pPr>
            <w:r>
              <w:rPr>
                <w:rFonts w:hint="eastAsia" w:ascii="宋体" w:hAnsi="宋体" w:cs="宋体"/>
                <w:kern w:val="0"/>
                <w:sz w:val="18"/>
                <w:szCs w:val="18"/>
              </w:rPr>
              <w:t>删除了原国际标准中的微量洗液管（5</w:t>
            </w:r>
            <w:r>
              <w:rPr>
                <w:rFonts w:ascii="宋体" w:hAnsi="宋体" w:cs="宋体"/>
                <w:kern w:val="0"/>
                <w:sz w:val="18"/>
                <w:szCs w:val="18"/>
              </w:rPr>
              <w:t>.5</w:t>
            </w:r>
            <w:r>
              <w:rPr>
                <w:rFonts w:hint="eastAsia" w:ascii="宋体" w:hAnsi="宋体" w:cs="宋体"/>
                <w:kern w:val="0"/>
                <w:sz w:val="18"/>
                <w:szCs w:val="18"/>
              </w:rPr>
              <w:t>）</w:t>
            </w:r>
          </w:p>
        </w:tc>
        <w:tc>
          <w:tcPr>
            <w:tcW w:w="3598" w:type="dxa"/>
            <w:tcBorders>
              <w:right w:val="single" w:color="000000" w:sz="12" w:space="0"/>
            </w:tcBorders>
            <w:vAlign w:val="center"/>
          </w:tcPr>
          <w:p>
            <w:pPr>
              <w:widowControl/>
              <w:autoSpaceDE w:val="0"/>
              <w:autoSpaceDN w:val="0"/>
              <w:jc w:val="left"/>
              <w:rPr>
                <w:rFonts w:ascii="宋体" w:hAnsi="宋体" w:cs="宋体"/>
                <w:kern w:val="0"/>
                <w:sz w:val="18"/>
                <w:szCs w:val="18"/>
              </w:rPr>
            </w:pPr>
            <w:r>
              <w:rPr>
                <w:rFonts w:hint="eastAsia" w:ascii="宋体" w:hAnsi="宋体" w:cs="宋体"/>
                <w:kern w:val="0"/>
                <w:sz w:val="18"/>
                <w:szCs w:val="18"/>
              </w:rPr>
              <w:t>在国内实验室中，移液管更为常用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47" w:type="dxa"/>
            <w:tcBorders>
              <w:left w:val="single" w:color="000000" w:sz="12" w:space="0"/>
            </w:tcBorders>
            <w:vAlign w:val="center"/>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6</w:t>
            </w:r>
          </w:p>
        </w:tc>
        <w:tc>
          <w:tcPr>
            <w:tcW w:w="3925" w:type="dxa"/>
            <w:vAlign w:val="center"/>
          </w:tcPr>
          <w:p>
            <w:pPr>
              <w:widowControl/>
              <w:autoSpaceDE w:val="0"/>
              <w:autoSpaceDN w:val="0"/>
              <w:jc w:val="left"/>
              <w:rPr>
                <w:rFonts w:ascii="宋体" w:hAnsi="宋体" w:cs="宋体"/>
                <w:kern w:val="0"/>
                <w:sz w:val="18"/>
                <w:szCs w:val="18"/>
              </w:rPr>
            </w:pPr>
            <w:r>
              <w:rPr>
                <w:rFonts w:hint="eastAsia" w:ascii="宋体" w:hAnsi="宋体" w:cs="宋体"/>
                <w:kern w:val="0"/>
                <w:sz w:val="18"/>
                <w:szCs w:val="18"/>
              </w:rPr>
              <w:t>将原国际标准中的</w:t>
            </w:r>
            <w:r>
              <w:rPr>
                <w:kern w:val="0"/>
                <w:sz w:val="18"/>
                <w:szCs w:val="18"/>
              </w:rPr>
              <w:t>125</w:t>
            </w:r>
            <w:r>
              <w:rPr>
                <w:color w:val="000000"/>
                <w:kern w:val="0"/>
                <w:sz w:val="20"/>
                <w:szCs w:val="21"/>
              </w:rPr>
              <w:t xml:space="preserve"> mL</w:t>
            </w:r>
            <w:r>
              <w:rPr>
                <w:rFonts w:hint="eastAsia" w:ascii="宋体" w:hAnsi="宋体" w:cs="宋体"/>
                <w:kern w:val="0"/>
                <w:sz w:val="18"/>
                <w:szCs w:val="18"/>
              </w:rPr>
              <w:t>分液漏斗更改为</w:t>
            </w:r>
            <w:r>
              <w:rPr>
                <w:kern w:val="0"/>
                <w:sz w:val="18"/>
                <w:szCs w:val="18"/>
              </w:rPr>
              <w:t>250</w:t>
            </w:r>
            <w:r>
              <w:rPr>
                <w:color w:val="000000"/>
                <w:kern w:val="0"/>
                <w:sz w:val="20"/>
                <w:szCs w:val="21"/>
              </w:rPr>
              <w:t xml:space="preserve"> mL</w:t>
            </w:r>
            <w:r>
              <w:rPr>
                <w:rFonts w:hint="eastAsia" w:ascii="宋体" w:hAnsi="宋体" w:cs="宋体"/>
                <w:kern w:val="0"/>
                <w:sz w:val="18"/>
                <w:szCs w:val="18"/>
              </w:rPr>
              <w:t>分液漏斗</w:t>
            </w:r>
          </w:p>
        </w:tc>
        <w:tc>
          <w:tcPr>
            <w:tcW w:w="3598" w:type="dxa"/>
            <w:tcBorders>
              <w:right w:val="single" w:color="000000" w:sz="12" w:space="0"/>
            </w:tcBorders>
            <w:vAlign w:val="center"/>
          </w:tcPr>
          <w:p>
            <w:pPr>
              <w:widowControl/>
              <w:autoSpaceDE w:val="0"/>
              <w:autoSpaceDN w:val="0"/>
              <w:jc w:val="left"/>
              <w:rPr>
                <w:rFonts w:ascii="宋体" w:hAnsi="宋体" w:cs="宋体"/>
                <w:kern w:val="0"/>
                <w:sz w:val="18"/>
                <w:szCs w:val="18"/>
              </w:rPr>
            </w:pPr>
            <w:r>
              <w:rPr>
                <w:rFonts w:hint="eastAsia" w:ascii="宋体" w:hAnsi="宋体" w:cs="宋体"/>
                <w:kern w:val="0"/>
                <w:sz w:val="18"/>
                <w:szCs w:val="18"/>
              </w:rPr>
              <w:t>在后续试验的萃取过程中，溶液体积较大，</w:t>
            </w:r>
            <w:r>
              <w:rPr>
                <w:kern w:val="0"/>
                <w:sz w:val="18"/>
                <w:szCs w:val="18"/>
              </w:rPr>
              <w:t>250</w:t>
            </w:r>
            <w:r>
              <w:rPr>
                <w:color w:val="000000"/>
                <w:kern w:val="0"/>
                <w:sz w:val="20"/>
                <w:szCs w:val="21"/>
              </w:rPr>
              <w:t xml:space="preserve"> mL</w:t>
            </w:r>
            <w:r>
              <w:rPr>
                <w:rFonts w:hint="eastAsia" w:ascii="宋体" w:hAnsi="宋体" w:cs="宋体"/>
                <w:kern w:val="0"/>
                <w:sz w:val="18"/>
                <w:szCs w:val="18"/>
              </w:rPr>
              <w:t>分液漏斗更适用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7" w:type="dxa"/>
            <w:tcBorders>
              <w:left w:val="single" w:color="000000" w:sz="12" w:space="0"/>
            </w:tcBorders>
            <w:vAlign w:val="center"/>
          </w:tcPr>
          <w:p>
            <w:pPr>
              <w:widowControl/>
              <w:autoSpaceDE w:val="0"/>
              <w:autoSpaceDN w:val="0"/>
              <w:ind w:firstLine="360" w:firstLineChars="200"/>
              <w:jc w:val="center"/>
              <w:rPr>
                <w:rFonts w:ascii="宋体" w:hAnsi="宋体" w:cs="宋体"/>
                <w:kern w:val="0"/>
                <w:sz w:val="18"/>
                <w:szCs w:val="18"/>
              </w:rPr>
            </w:pPr>
            <w:r>
              <w:rPr>
                <w:rFonts w:ascii="宋体" w:hAnsi="宋体" w:cs="宋体"/>
                <w:kern w:val="0"/>
                <w:sz w:val="18"/>
                <w:szCs w:val="18"/>
              </w:rPr>
              <w:t>8</w:t>
            </w:r>
          </w:p>
        </w:tc>
        <w:tc>
          <w:tcPr>
            <w:tcW w:w="3925" w:type="dxa"/>
            <w:vAlign w:val="center"/>
          </w:tcPr>
          <w:p>
            <w:pPr>
              <w:widowControl/>
              <w:autoSpaceDE w:val="0"/>
              <w:autoSpaceDN w:val="0"/>
              <w:jc w:val="left"/>
              <w:rPr>
                <w:kern w:val="0"/>
                <w:sz w:val="18"/>
                <w:szCs w:val="18"/>
              </w:rPr>
            </w:pPr>
            <w:r>
              <w:rPr>
                <w:kern w:val="0"/>
                <w:sz w:val="18"/>
                <w:szCs w:val="18"/>
              </w:rPr>
              <w:t>更改称样量为0.30 g和0.20 g。</w:t>
            </w:r>
          </w:p>
        </w:tc>
        <w:tc>
          <w:tcPr>
            <w:tcW w:w="3598" w:type="dxa"/>
            <w:tcBorders>
              <w:right w:val="single" w:color="000000" w:sz="12" w:space="0"/>
            </w:tcBorders>
            <w:vAlign w:val="center"/>
          </w:tcPr>
          <w:p>
            <w:pPr>
              <w:widowControl/>
              <w:autoSpaceDE w:val="0"/>
              <w:autoSpaceDN w:val="0"/>
              <w:jc w:val="left"/>
              <w:rPr>
                <w:rFonts w:ascii="宋体"/>
                <w:strike/>
                <w:kern w:val="0"/>
                <w:sz w:val="18"/>
                <w:szCs w:val="18"/>
              </w:rPr>
            </w:pPr>
            <w:r>
              <w:rPr>
                <w:rFonts w:hint="eastAsia" w:ascii="宋体" w:hAnsi="宋体" w:cs="宋体"/>
                <w:kern w:val="0"/>
                <w:sz w:val="18"/>
                <w:szCs w:val="18"/>
              </w:rPr>
              <w:t>适应我国标准文件编制要求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47" w:type="dxa"/>
            <w:tcBorders>
              <w:left w:val="single" w:color="000000" w:sz="12" w:space="0"/>
            </w:tcBorders>
            <w:vAlign w:val="center"/>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8</w:t>
            </w:r>
          </w:p>
        </w:tc>
        <w:tc>
          <w:tcPr>
            <w:tcW w:w="3925" w:type="dxa"/>
            <w:vAlign w:val="center"/>
          </w:tcPr>
          <w:p>
            <w:pPr>
              <w:widowControl/>
              <w:autoSpaceDE w:val="0"/>
              <w:autoSpaceDN w:val="0"/>
              <w:jc w:val="left"/>
              <w:rPr>
                <w:kern w:val="0"/>
                <w:sz w:val="18"/>
                <w:szCs w:val="18"/>
              </w:rPr>
            </w:pPr>
            <w:r>
              <w:rPr>
                <w:rFonts w:hint="eastAsia"/>
                <w:kern w:val="0"/>
                <w:sz w:val="18"/>
                <w:szCs w:val="18"/>
              </w:rPr>
              <w:t>原先国际标准中1</w:t>
            </w:r>
            <w:r>
              <w:rPr>
                <w:kern w:val="0"/>
                <w:sz w:val="18"/>
                <w:szCs w:val="18"/>
              </w:rPr>
              <w:t>cm</w:t>
            </w:r>
            <w:r>
              <w:rPr>
                <w:rFonts w:hint="eastAsia"/>
                <w:kern w:val="0"/>
                <w:sz w:val="18"/>
                <w:szCs w:val="18"/>
              </w:rPr>
              <w:t>或2</w:t>
            </w:r>
            <w:r>
              <w:rPr>
                <w:kern w:val="0"/>
                <w:sz w:val="18"/>
                <w:szCs w:val="18"/>
              </w:rPr>
              <w:t>cm</w:t>
            </w:r>
            <w:r>
              <w:rPr>
                <w:rFonts w:hint="eastAsia"/>
                <w:kern w:val="0"/>
                <w:sz w:val="18"/>
                <w:szCs w:val="18"/>
              </w:rPr>
              <w:t>比色皿改为2cm</w:t>
            </w:r>
          </w:p>
        </w:tc>
        <w:tc>
          <w:tcPr>
            <w:tcW w:w="3598" w:type="dxa"/>
            <w:tcBorders>
              <w:right w:val="single" w:color="000000" w:sz="12" w:space="0"/>
            </w:tcBorders>
            <w:vAlign w:val="center"/>
          </w:tcPr>
          <w:p>
            <w:pPr>
              <w:widowControl/>
              <w:autoSpaceDE w:val="0"/>
              <w:autoSpaceDN w:val="0"/>
              <w:jc w:val="left"/>
              <w:rPr>
                <w:rFonts w:ascii="宋体" w:hAnsi="宋体" w:cs="宋体"/>
                <w:kern w:val="0"/>
                <w:sz w:val="18"/>
                <w:szCs w:val="18"/>
              </w:rPr>
            </w:pPr>
            <w:r>
              <w:rPr>
                <w:rFonts w:hint="eastAsia"/>
                <w:kern w:val="0"/>
                <w:sz w:val="18"/>
                <w:szCs w:val="18"/>
              </w:rPr>
              <w:t>通过试验，对于两段含量范围的磷，用2cm比色皿都可得到满意的结果，为提高操作性，更改为2cm比色皿</w:t>
            </w:r>
            <w:bookmarkStart w:id="8" w:name="_GoBack"/>
            <w:bookmarkEnd w:id="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7" w:type="dxa"/>
            <w:tcBorders>
              <w:left w:val="single" w:color="000000" w:sz="12" w:space="0"/>
            </w:tcBorders>
            <w:vAlign w:val="center"/>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8</w:t>
            </w:r>
          </w:p>
        </w:tc>
        <w:tc>
          <w:tcPr>
            <w:tcW w:w="3925" w:type="dxa"/>
            <w:vAlign w:val="center"/>
          </w:tcPr>
          <w:p>
            <w:pPr>
              <w:widowControl/>
              <w:autoSpaceDE w:val="0"/>
              <w:autoSpaceDN w:val="0"/>
              <w:jc w:val="left"/>
              <w:rPr>
                <w:kern w:val="0"/>
                <w:sz w:val="18"/>
                <w:szCs w:val="18"/>
              </w:rPr>
            </w:pPr>
            <w:r>
              <w:rPr>
                <w:rFonts w:hint="eastAsia" w:ascii="宋体" w:hAnsi="宋体" w:cs="宋体"/>
                <w:kern w:val="0"/>
                <w:sz w:val="18"/>
                <w:szCs w:val="18"/>
              </w:rPr>
              <w:t>调整本节内容顺序</w:t>
            </w:r>
          </w:p>
        </w:tc>
        <w:tc>
          <w:tcPr>
            <w:tcW w:w="3598" w:type="dxa"/>
            <w:tcBorders>
              <w:right w:val="single" w:color="000000" w:sz="12" w:space="0"/>
            </w:tcBorders>
            <w:vAlign w:val="center"/>
          </w:tcPr>
          <w:p>
            <w:pPr>
              <w:widowControl/>
              <w:autoSpaceDE w:val="0"/>
              <w:autoSpaceDN w:val="0"/>
              <w:jc w:val="left"/>
              <w:rPr>
                <w:kern w:val="0"/>
                <w:sz w:val="18"/>
                <w:szCs w:val="18"/>
              </w:rPr>
            </w:pPr>
            <w:r>
              <w:rPr>
                <w:rFonts w:hint="eastAsia" w:ascii="宋体" w:hAnsi="宋体" w:cs="宋体"/>
                <w:kern w:val="0"/>
                <w:sz w:val="18"/>
                <w:szCs w:val="18"/>
              </w:rPr>
              <w:t>适合我国标准文件编制要求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7" w:type="dxa"/>
            <w:tcBorders>
              <w:left w:val="single" w:color="000000" w:sz="12" w:space="0"/>
            </w:tcBorders>
            <w:vAlign w:val="center"/>
          </w:tcPr>
          <w:p>
            <w:pPr>
              <w:widowControl/>
              <w:autoSpaceDE w:val="0"/>
              <w:autoSpaceDN w:val="0"/>
              <w:ind w:firstLine="360" w:firstLineChars="200"/>
              <w:jc w:val="center"/>
              <w:rPr>
                <w:rFonts w:ascii="宋体" w:hAnsi="宋体" w:cs="宋体"/>
                <w:kern w:val="0"/>
                <w:sz w:val="18"/>
                <w:szCs w:val="18"/>
              </w:rPr>
            </w:pPr>
            <w:r>
              <w:rPr>
                <w:rFonts w:ascii="宋体" w:hAnsi="宋体" w:cs="宋体"/>
                <w:kern w:val="0"/>
                <w:sz w:val="18"/>
                <w:szCs w:val="18"/>
              </w:rPr>
              <w:t>9</w:t>
            </w:r>
          </w:p>
        </w:tc>
        <w:tc>
          <w:tcPr>
            <w:tcW w:w="3925" w:type="dxa"/>
            <w:vAlign w:val="center"/>
          </w:tcPr>
          <w:p>
            <w:pPr>
              <w:widowControl/>
              <w:autoSpaceDE w:val="0"/>
              <w:autoSpaceDN w:val="0"/>
              <w:jc w:val="left"/>
              <w:rPr>
                <w:rFonts w:ascii="宋体" w:hAnsi="宋体" w:cs="宋体"/>
                <w:kern w:val="0"/>
                <w:sz w:val="18"/>
                <w:szCs w:val="18"/>
              </w:rPr>
            </w:pPr>
            <w:r>
              <w:rPr>
                <w:rFonts w:hint="eastAsia" w:ascii="宋体" w:hAnsi="宋体" w:cs="宋体"/>
                <w:kern w:val="0"/>
                <w:sz w:val="18"/>
                <w:szCs w:val="18"/>
              </w:rPr>
              <w:t>更改了公式中1</w:t>
            </w:r>
            <w:r>
              <w:rPr>
                <w:rFonts w:ascii="宋体" w:hAnsi="宋体" w:cs="宋体"/>
                <w:kern w:val="0"/>
                <w:sz w:val="18"/>
                <w:szCs w:val="18"/>
              </w:rPr>
              <w:t>0</w:t>
            </w:r>
            <w:r>
              <w:rPr>
                <w:rFonts w:ascii="宋体" w:hAnsi="宋体" w:cs="宋体"/>
                <w:kern w:val="0"/>
                <w:sz w:val="18"/>
                <w:szCs w:val="18"/>
                <w:vertAlign w:val="superscript"/>
              </w:rPr>
              <w:t>-4</w:t>
            </w:r>
            <w:r>
              <w:rPr>
                <w:rFonts w:hint="eastAsia" w:ascii="宋体" w:hAnsi="宋体" w:cs="宋体"/>
                <w:kern w:val="0"/>
                <w:sz w:val="18"/>
                <w:szCs w:val="18"/>
              </w:rPr>
              <w:t>为1</w:t>
            </w:r>
            <w:r>
              <w:rPr>
                <w:rFonts w:ascii="宋体" w:hAnsi="宋体" w:cs="宋体"/>
                <w:kern w:val="0"/>
                <w:sz w:val="18"/>
                <w:szCs w:val="18"/>
              </w:rPr>
              <w:t>0</w:t>
            </w:r>
            <w:r>
              <w:rPr>
                <w:rFonts w:ascii="宋体" w:hAnsi="宋体" w:cs="宋体"/>
                <w:kern w:val="0"/>
                <w:sz w:val="18"/>
                <w:szCs w:val="18"/>
                <w:vertAlign w:val="superscript"/>
              </w:rPr>
              <w:t>-3</w:t>
            </w:r>
            <m:oMath>
              <m:r>
                <m:rPr/>
                <w:rPr>
                  <w:rFonts w:ascii="Cambria Math" w:hAnsi="Cambria Math" w:cs="宋体"/>
                  <w:kern w:val="0"/>
                  <w:sz w:val="18"/>
                  <w:szCs w:val="18"/>
                  <w:vertAlign w:val="superscript"/>
                </w:rPr>
                <m:t>×</m:t>
              </m:r>
            </m:oMath>
            <w:r>
              <w:rPr>
                <w:rFonts w:hint="eastAsia" w:ascii="宋体" w:hAnsi="宋体" w:cs="宋体"/>
                <w:kern w:val="0"/>
                <w:sz w:val="18"/>
                <w:szCs w:val="18"/>
              </w:rPr>
              <w:t>1</w:t>
            </w:r>
            <w:r>
              <w:rPr>
                <w:rFonts w:ascii="宋体" w:hAnsi="宋体" w:cs="宋体"/>
                <w:kern w:val="0"/>
                <w:sz w:val="18"/>
                <w:szCs w:val="18"/>
              </w:rPr>
              <w:t>00%</w:t>
            </w:r>
          </w:p>
        </w:tc>
        <w:tc>
          <w:tcPr>
            <w:tcW w:w="3598" w:type="dxa"/>
            <w:tcBorders>
              <w:right w:val="single" w:color="000000" w:sz="12" w:space="0"/>
            </w:tcBorders>
            <w:vAlign w:val="center"/>
          </w:tcPr>
          <w:p>
            <w:pPr>
              <w:widowControl/>
              <w:autoSpaceDE w:val="0"/>
              <w:autoSpaceDN w:val="0"/>
              <w:jc w:val="left"/>
              <w:rPr>
                <w:rFonts w:ascii="宋体"/>
                <w:kern w:val="0"/>
                <w:sz w:val="18"/>
                <w:szCs w:val="18"/>
              </w:rPr>
            </w:pPr>
            <w:r>
              <w:rPr>
                <w:rFonts w:hint="eastAsia" w:ascii="宋体" w:hAnsi="宋体" w:cs="宋体"/>
                <w:kern w:val="0"/>
                <w:sz w:val="18"/>
                <w:szCs w:val="18"/>
              </w:rPr>
              <w:t>适应我国标准文件编制要求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7" w:type="dxa"/>
            <w:tcBorders>
              <w:left w:val="single" w:color="000000" w:sz="12" w:space="0"/>
            </w:tcBorders>
            <w:vAlign w:val="center"/>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9</w:t>
            </w:r>
          </w:p>
        </w:tc>
        <w:tc>
          <w:tcPr>
            <w:tcW w:w="3925" w:type="dxa"/>
            <w:vAlign w:val="center"/>
          </w:tcPr>
          <w:p>
            <w:pPr>
              <w:widowControl/>
              <w:autoSpaceDE w:val="0"/>
              <w:autoSpaceDN w:val="0"/>
              <w:jc w:val="left"/>
              <w:rPr>
                <w:rFonts w:ascii="宋体" w:hAnsi="宋体" w:cs="宋体"/>
                <w:kern w:val="0"/>
                <w:sz w:val="18"/>
                <w:szCs w:val="18"/>
              </w:rPr>
            </w:pPr>
            <w:r>
              <w:rPr>
                <w:rFonts w:hint="eastAsia" w:ascii="宋体" w:hAnsi="宋体" w:cs="宋体"/>
                <w:kern w:val="0"/>
                <w:sz w:val="18"/>
                <w:szCs w:val="18"/>
              </w:rPr>
              <w:t>将结果与表述改为试验数据的处理</w:t>
            </w:r>
          </w:p>
        </w:tc>
        <w:tc>
          <w:tcPr>
            <w:tcW w:w="3598" w:type="dxa"/>
            <w:tcBorders>
              <w:right w:val="single" w:color="000000" w:sz="12" w:space="0"/>
            </w:tcBorders>
            <w:vAlign w:val="center"/>
          </w:tcPr>
          <w:p>
            <w:pPr>
              <w:widowControl/>
              <w:autoSpaceDE w:val="0"/>
              <w:autoSpaceDN w:val="0"/>
              <w:jc w:val="left"/>
              <w:rPr>
                <w:rFonts w:ascii="宋体" w:hAnsi="宋体" w:cs="宋体"/>
                <w:kern w:val="0"/>
                <w:sz w:val="18"/>
                <w:szCs w:val="18"/>
              </w:rPr>
            </w:pPr>
            <w:r>
              <w:rPr>
                <w:rFonts w:hint="eastAsia" w:ascii="宋体" w:hAnsi="宋体" w:cs="宋体"/>
                <w:kern w:val="0"/>
                <w:sz w:val="18"/>
                <w:szCs w:val="18"/>
              </w:rPr>
              <w:t>适应我国标准文件编制要求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7" w:type="dxa"/>
            <w:tcBorders>
              <w:left w:val="single" w:color="000000" w:sz="12" w:space="0"/>
            </w:tcBorders>
            <w:vAlign w:val="center"/>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10</w:t>
            </w:r>
          </w:p>
        </w:tc>
        <w:tc>
          <w:tcPr>
            <w:tcW w:w="3925" w:type="dxa"/>
            <w:vAlign w:val="center"/>
          </w:tcPr>
          <w:p>
            <w:pPr>
              <w:widowControl/>
              <w:autoSpaceDE w:val="0"/>
              <w:autoSpaceDN w:val="0"/>
              <w:jc w:val="left"/>
              <w:rPr>
                <w:rFonts w:ascii="宋体" w:hAnsi="宋体" w:cs="宋体"/>
                <w:kern w:val="0"/>
                <w:sz w:val="18"/>
                <w:szCs w:val="18"/>
              </w:rPr>
            </w:pPr>
            <w:r>
              <w:rPr>
                <w:rFonts w:hint="eastAsia" w:ascii="宋体" w:hAnsi="宋体" w:cs="宋体"/>
                <w:kern w:val="0"/>
                <w:sz w:val="18"/>
                <w:szCs w:val="18"/>
              </w:rPr>
              <w:t>精密度数据修改</w:t>
            </w:r>
          </w:p>
        </w:tc>
        <w:tc>
          <w:tcPr>
            <w:tcW w:w="3598" w:type="dxa"/>
            <w:tcBorders>
              <w:right w:val="single" w:color="000000" w:sz="12" w:space="0"/>
            </w:tcBorders>
            <w:vAlign w:val="center"/>
          </w:tcPr>
          <w:p>
            <w:pPr>
              <w:widowControl/>
              <w:autoSpaceDE w:val="0"/>
              <w:autoSpaceDN w:val="0"/>
              <w:jc w:val="left"/>
              <w:rPr>
                <w:rFonts w:ascii="宋体" w:hAnsi="宋体" w:cs="宋体"/>
                <w:kern w:val="0"/>
                <w:sz w:val="18"/>
                <w:szCs w:val="18"/>
              </w:rPr>
            </w:pPr>
            <w:r>
              <w:rPr>
                <w:rFonts w:hint="eastAsia" w:ascii="宋体" w:hAnsi="宋体" w:cs="宋体"/>
                <w:kern w:val="0"/>
                <w:sz w:val="18"/>
                <w:szCs w:val="18"/>
              </w:rPr>
              <w:t>重新组织国内精密度试验，用国内实际验证数据确定方法精密度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7" w:type="dxa"/>
            <w:tcBorders>
              <w:left w:val="single" w:color="000000" w:sz="12" w:space="0"/>
            </w:tcBorders>
            <w:vAlign w:val="center"/>
          </w:tcPr>
          <w:p>
            <w:pPr>
              <w:widowControl/>
              <w:autoSpaceDE w:val="0"/>
              <w:autoSpaceDN w:val="0"/>
              <w:ind w:firstLine="360" w:firstLineChars="200"/>
              <w:jc w:val="center"/>
              <w:rPr>
                <w:rFonts w:ascii="宋体" w:hAnsi="宋体" w:cs="宋体"/>
                <w:kern w:val="0"/>
                <w:sz w:val="18"/>
                <w:szCs w:val="18"/>
              </w:rPr>
            </w:pPr>
            <w:r>
              <w:rPr>
                <w:rFonts w:hint="eastAsia" w:ascii="宋体" w:hAnsi="宋体" w:cs="宋体"/>
                <w:kern w:val="0"/>
                <w:sz w:val="18"/>
                <w:szCs w:val="18"/>
              </w:rPr>
              <w:t>11</w:t>
            </w:r>
          </w:p>
        </w:tc>
        <w:tc>
          <w:tcPr>
            <w:tcW w:w="3925" w:type="dxa"/>
            <w:vAlign w:val="center"/>
          </w:tcPr>
          <w:p>
            <w:pPr>
              <w:widowControl/>
              <w:autoSpaceDE w:val="0"/>
              <w:autoSpaceDN w:val="0"/>
              <w:jc w:val="left"/>
              <w:rPr>
                <w:rFonts w:ascii="宋体" w:hAnsi="宋体" w:cs="宋体"/>
                <w:kern w:val="0"/>
                <w:sz w:val="18"/>
                <w:szCs w:val="18"/>
              </w:rPr>
            </w:pPr>
            <w:r>
              <w:rPr>
                <w:rFonts w:hint="eastAsia" w:ascii="宋体" w:hAnsi="宋体" w:cs="宋体"/>
                <w:kern w:val="0"/>
                <w:sz w:val="18"/>
                <w:szCs w:val="18"/>
              </w:rPr>
              <w:t>修改实验报告内容</w:t>
            </w:r>
          </w:p>
        </w:tc>
        <w:tc>
          <w:tcPr>
            <w:tcW w:w="3598" w:type="dxa"/>
            <w:tcBorders>
              <w:right w:val="single" w:color="000000" w:sz="12" w:space="0"/>
            </w:tcBorders>
            <w:vAlign w:val="center"/>
          </w:tcPr>
          <w:p>
            <w:pPr>
              <w:widowControl/>
              <w:autoSpaceDE w:val="0"/>
              <w:autoSpaceDN w:val="0"/>
              <w:jc w:val="left"/>
              <w:rPr>
                <w:rFonts w:ascii="宋体" w:hAnsi="宋体" w:cs="宋体"/>
                <w:kern w:val="0"/>
                <w:sz w:val="18"/>
                <w:szCs w:val="18"/>
              </w:rPr>
            </w:pPr>
            <w:r>
              <w:rPr>
                <w:rFonts w:hint="eastAsia" w:ascii="宋体" w:hAnsi="宋体" w:cs="宋体"/>
                <w:kern w:val="0"/>
                <w:sz w:val="18"/>
                <w:szCs w:val="18"/>
              </w:rPr>
              <w:t>符合我国标准文件编制要求</w:t>
            </w:r>
          </w:p>
        </w:tc>
      </w:tr>
    </w:tbl>
    <w:p>
      <w:pPr>
        <w:widowControl/>
        <w:autoSpaceDE w:val="0"/>
        <w:autoSpaceDN w:val="0"/>
        <w:ind w:firstLine="420" w:firstLineChars="200"/>
        <w:jc w:val="center"/>
        <w:rPr>
          <w:rFonts w:ascii="黑体" w:hAnsi="黑体" w:eastAsia="黑体" w:cs="黑体"/>
          <w:kern w:val="0"/>
          <w:szCs w:val="21"/>
        </w:rPr>
      </w:pPr>
    </w:p>
    <w:p>
      <w:pPr>
        <w:widowControl/>
        <w:autoSpaceDE w:val="0"/>
        <w:autoSpaceDN w:val="0"/>
        <w:ind w:firstLine="420" w:firstLineChars="200"/>
        <w:jc w:val="center"/>
        <w:rPr>
          <w:rFonts w:ascii="黑体" w:hAnsi="黑体" w:eastAsia="黑体" w:cs="黑体"/>
          <w:kern w:val="0"/>
          <w:szCs w:val="21"/>
        </w:rPr>
      </w:pPr>
    </w:p>
    <w:p>
      <w:pPr>
        <w:widowControl/>
        <w:autoSpaceDE w:val="0"/>
        <w:autoSpaceDN w:val="0"/>
        <w:ind w:firstLine="420" w:firstLineChars="200"/>
        <w:jc w:val="center"/>
        <w:rPr>
          <w:rFonts w:ascii="黑体" w:hAnsi="黑体" w:eastAsia="黑体" w:cs="黑体"/>
          <w:kern w:val="0"/>
          <w:szCs w:val="21"/>
        </w:rPr>
      </w:pPr>
    </w:p>
    <w:p>
      <w:pPr>
        <w:widowControl/>
        <w:autoSpaceDE w:val="0"/>
        <w:autoSpaceDN w:val="0"/>
        <w:ind w:firstLine="420" w:firstLineChars="200"/>
        <w:jc w:val="center"/>
        <w:rPr>
          <w:rFonts w:ascii="黑体" w:hAnsi="黑体" w:eastAsia="黑体" w:cs="黑体"/>
          <w:kern w:val="0"/>
          <w:szCs w:val="21"/>
        </w:rPr>
      </w:pPr>
    </w:p>
    <w:p>
      <w:pPr>
        <w:widowControl/>
        <w:numPr>
          <w:ilvl w:val="1"/>
          <w:numId w:val="0"/>
        </w:numPr>
        <w:spacing w:before="312" w:beforeLines="100" w:after="312" w:afterLines="100"/>
        <w:outlineLvl w:val="1"/>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Style w:val="17"/>
      </w:rPr>
    </w:pPr>
    <w:r>
      <w:rPr>
        <w:rStyle w:val="17"/>
      </w:rPr>
      <w:fldChar w:fldCharType="begin"/>
    </w:r>
    <w:r>
      <w:rPr>
        <w:rStyle w:val="17"/>
      </w:rPr>
      <w:instrText xml:space="preserve">PAGE  </w:instrText>
    </w:r>
    <w:r>
      <w:rPr>
        <w:rStyle w:val="17"/>
      </w:rPr>
      <w:fldChar w:fldCharType="separate"/>
    </w:r>
    <w:r>
      <w:rPr>
        <w:rStyle w:val="17"/>
      </w:rPr>
      <w:t>1</w:t>
    </w:r>
    <w:r>
      <w:rPr>
        <w:rStyle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Style w:val="17"/>
      </w:rPr>
    </w:pPr>
    <w:r>
      <w:rPr>
        <w:rStyle w:val="17"/>
      </w:rPr>
      <w:fldChar w:fldCharType="begin"/>
    </w:r>
    <w:r>
      <w:rPr>
        <w:rStyle w:val="17"/>
      </w:rPr>
      <w:instrText xml:space="preserve">PAGE  </w:instrText>
    </w:r>
    <w:r>
      <w:rPr>
        <w:rStyle w:val="1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840" w:hanging="420"/>
    </w:pPr>
    <w:r>
      <w:fldChar w:fldCharType="begin"/>
    </w:r>
    <w:r>
      <w:instrText xml:space="preserve"> PAGE   \* MERGEFORMAT </w:instrText>
    </w:r>
    <w:r>
      <w:fldChar w:fldCharType="separate"/>
    </w:r>
    <w:r>
      <w:rPr>
        <w:lang w:val="zh-CN"/>
      </w:rPr>
      <w:t>8</w:t>
    </w:r>
    <w:r>
      <w:rPr>
        <w:lang w:val="zh-CN"/>
      </w:rPr>
      <w:fldChar w:fldCharType="end"/>
    </w:r>
  </w:p>
  <w:p>
    <w:pPr>
      <w:pStyle w:val="27"/>
      <w:ind w:right="720"/>
      <w:jc w:val="both"/>
      <w:rPr>
        <w:rStyle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page" w:x="1602" w:y="113"/>
      <w:rPr>
        <w:rStyle w:val="17"/>
        <w:rFonts w:ascii="宋体"/>
      </w:rPr>
    </w:pPr>
    <w:r>
      <w:rPr>
        <w:rStyle w:val="17"/>
        <w:rFonts w:ascii="宋体" w:hAnsi="宋体"/>
      </w:rPr>
      <w:fldChar w:fldCharType="begin"/>
    </w:r>
    <w:r>
      <w:rPr>
        <w:rStyle w:val="17"/>
        <w:rFonts w:ascii="宋体" w:hAnsi="宋体"/>
      </w:rPr>
      <w:instrText xml:space="preserve">PAGE  </w:instrText>
    </w:r>
    <w:r>
      <w:rPr>
        <w:rStyle w:val="17"/>
        <w:rFonts w:ascii="宋体" w:hAnsi="宋体"/>
      </w:rPr>
      <w:fldChar w:fldCharType="separate"/>
    </w:r>
    <w:r>
      <w:rPr>
        <w:rStyle w:val="17"/>
        <w:rFonts w:ascii="宋体" w:hAnsi="宋体"/>
      </w:rPr>
      <w:t>4</w:t>
    </w:r>
    <w:r>
      <w:rPr>
        <w:rStyle w:val="17"/>
        <w:rFonts w:ascii="宋体" w:hAnsi="宋体"/>
      </w:rPr>
      <w:fldChar w:fldCharType="end"/>
    </w:r>
  </w:p>
  <w:p>
    <w:pPr>
      <w:pStyle w:val="31"/>
      <w:ind w:right="360" w:firstLine="360"/>
      <w:rPr>
        <w:rStyle w:val="1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t>GB/T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t>GB/T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ascii="黑体" w:eastAsia="黑体"/>
      </w:rPr>
    </w:pPr>
    <w:r>
      <w:rPr>
        <w:rFonts w:ascii="黑体" w:eastAsia="黑体"/>
      </w:rPr>
      <w:t xml:space="preserve">GB/T </w:t>
    </w:r>
    <w:r>
      <w:rPr>
        <w:rFonts w:hint="eastAsia" w:ascii="黑体" w:eastAsia="黑体"/>
      </w:rPr>
      <w:t>XXXX</w:t>
    </w:r>
    <w:r>
      <w:rPr>
        <w:rFonts w:ascii="黑体" w:eastAsia="黑体"/>
      </w:rPr>
      <w:t>.2—20</w:t>
    </w:r>
    <w:r>
      <w:rPr>
        <w:rFonts w:hint="eastAsia" w:ascii="黑体" w:eastAsia="黑体"/>
      </w:rPr>
      <w:t>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7350" w:firstLineChars="3500"/>
    </w:pPr>
    <w:r>
      <w:t>GB/T</w:t>
    </w:r>
    <w:r>
      <w:rPr>
        <w:rFonts w:hint="eastAsia"/>
      </w:rPr>
      <w:t>XXXX</w:t>
    </w:r>
    <w:r>
      <w:t>.2—20</w:t>
    </w:r>
    <w:r>
      <w:rPr>
        <w:rFonts w:hint="eastAsia"/>
      </w:rPr>
      <w:t>2</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jMDRmZWZmMjRhMTE4MGFlODc1OTg4NjRiMzBkYjAifQ=="/>
  </w:docVars>
  <w:rsids>
    <w:rsidRoot w:val="00B219BF"/>
    <w:rsid w:val="0001085A"/>
    <w:rsid w:val="0001373A"/>
    <w:rsid w:val="00020B78"/>
    <w:rsid w:val="00041AA8"/>
    <w:rsid w:val="00074B21"/>
    <w:rsid w:val="00084516"/>
    <w:rsid w:val="000B5D64"/>
    <w:rsid w:val="000C24AC"/>
    <w:rsid w:val="000E17BF"/>
    <w:rsid w:val="000E3F72"/>
    <w:rsid w:val="001006A9"/>
    <w:rsid w:val="00113878"/>
    <w:rsid w:val="001432AF"/>
    <w:rsid w:val="00146B82"/>
    <w:rsid w:val="001D45EB"/>
    <w:rsid w:val="001F0607"/>
    <w:rsid w:val="00220621"/>
    <w:rsid w:val="00293287"/>
    <w:rsid w:val="002C4497"/>
    <w:rsid w:val="002D2172"/>
    <w:rsid w:val="002F20FA"/>
    <w:rsid w:val="002F583D"/>
    <w:rsid w:val="002F6804"/>
    <w:rsid w:val="003026EB"/>
    <w:rsid w:val="003270BE"/>
    <w:rsid w:val="003560A3"/>
    <w:rsid w:val="00360842"/>
    <w:rsid w:val="00367A10"/>
    <w:rsid w:val="00393C9A"/>
    <w:rsid w:val="003A2113"/>
    <w:rsid w:val="003B307A"/>
    <w:rsid w:val="003C09E6"/>
    <w:rsid w:val="00410109"/>
    <w:rsid w:val="00421133"/>
    <w:rsid w:val="00425FA9"/>
    <w:rsid w:val="004A0FEA"/>
    <w:rsid w:val="004B6DFC"/>
    <w:rsid w:val="004C27AC"/>
    <w:rsid w:val="004D255F"/>
    <w:rsid w:val="004D7D12"/>
    <w:rsid w:val="004F20A5"/>
    <w:rsid w:val="005071A0"/>
    <w:rsid w:val="005414D7"/>
    <w:rsid w:val="00561122"/>
    <w:rsid w:val="005869AC"/>
    <w:rsid w:val="005A497B"/>
    <w:rsid w:val="005B73BD"/>
    <w:rsid w:val="00601849"/>
    <w:rsid w:val="0061765F"/>
    <w:rsid w:val="00630873"/>
    <w:rsid w:val="00637DFD"/>
    <w:rsid w:val="00640D88"/>
    <w:rsid w:val="00641B9F"/>
    <w:rsid w:val="00696B8C"/>
    <w:rsid w:val="006A6CD0"/>
    <w:rsid w:val="006E668F"/>
    <w:rsid w:val="00703BDA"/>
    <w:rsid w:val="00713693"/>
    <w:rsid w:val="00721FA4"/>
    <w:rsid w:val="00725EB3"/>
    <w:rsid w:val="007974C6"/>
    <w:rsid w:val="007B3DD5"/>
    <w:rsid w:val="007B7BAC"/>
    <w:rsid w:val="007F2337"/>
    <w:rsid w:val="007F6080"/>
    <w:rsid w:val="0081230D"/>
    <w:rsid w:val="008209DA"/>
    <w:rsid w:val="00824798"/>
    <w:rsid w:val="00862EC8"/>
    <w:rsid w:val="00871600"/>
    <w:rsid w:val="00873A17"/>
    <w:rsid w:val="00877418"/>
    <w:rsid w:val="00890CB1"/>
    <w:rsid w:val="00897237"/>
    <w:rsid w:val="008B5112"/>
    <w:rsid w:val="008B7EF3"/>
    <w:rsid w:val="008D4D09"/>
    <w:rsid w:val="008E2468"/>
    <w:rsid w:val="009017C2"/>
    <w:rsid w:val="00907D69"/>
    <w:rsid w:val="00915C09"/>
    <w:rsid w:val="00917BC0"/>
    <w:rsid w:val="00927F19"/>
    <w:rsid w:val="00936A0C"/>
    <w:rsid w:val="00960995"/>
    <w:rsid w:val="009B4506"/>
    <w:rsid w:val="009C6233"/>
    <w:rsid w:val="009C793C"/>
    <w:rsid w:val="009D2E45"/>
    <w:rsid w:val="00A1193D"/>
    <w:rsid w:val="00A11E41"/>
    <w:rsid w:val="00A15292"/>
    <w:rsid w:val="00A222C6"/>
    <w:rsid w:val="00A3309A"/>
    <w:rsid w:val="00A826B8"/>
    <w:rsid w:val="00A8533E"/>
    <w:rsid w:val="00A9274D"/>
    <w:rsid w:val="00AC1BF2"/>
    <w:rsid w:val="00B01C1B"/>
    <w:rsid w:val="00B219BF"/>
    <w:rsid w:val="00B37D0A"/>
    <w:rsid w:val="00B534E7"/>
    <w:rsid w:val="00B551AF"/>
    <w:rsid w:val="00B67726"/>
    <w:rsid w:val="00B759A8"/>
    <w:rsid w:val="00BD6906"/>
    <w:rsid w:val="00C02298"/>
    <w:rsid w:val="00C14F59"/>
    <w:rsid w:val="00C22906"/>
    <w:rsid w:val="00C24BE4"/>
    <w:rsid w:val="00C44390"/>
    <w:rsid w:val="00C50422"/>
    <w:rsid w:val="00C73F3B"/>
    <w:rsid w:val="00D03575"/>
    <w:rsid w:val="00D06E23"/>
    <w:rsid w:val="00D12A49"/>
    <w:rsid w:val="00D240D2"/>
    <w:rsid w:val="00D33D1D"/>
    <w:rsid w:val="00D5513D"/>
    <w:rsid w:val="00D726A9"/>
    <w:rsid w:val="00DB3688"/>
    <w:rsid w:val="00E258B8"/>
    <w:rsid w:val="00E9321B"/>
    <w:rsid w:val="00EB1CA7"/>
    <w:rsid w:val="00EC34F2"/>
    <w:rsid w:val="00EC772E"/>
    <w:rsid w:val="00EF1760"/>
    <w:rsid w:val="00F00B09"/>
    <w:rsid w:val="00F54201"/>
    <w:rsid w:val="00F95771"/>
    <w:rsid w:val="00FC4333"/>
    <w:rsid w:val="21635647"/>
    <w:rsid w:val="649213FF"/>
    <w:rsid w:val="67757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43"/>
    <w:qFormat/>
    <w:uiPriority w:val="99"/>
    <w:pPr>
      <w:keepNext/>
      <w:keepLines/>
      <w:spacing w:before="260" w:after="260" w:line="416" w:lineRule="auto"/>
      <w:outlineLvl w:val="2"/>
    </w:pPr>
    <w:rPr>
      <w:b/>
      <w:bCs/>
      <w:kern w:val="0"/>
      <w:sz w:val="32"/>
      <w:szCs w:val="32"/>
    </w:rPr>
  </w:style>
  <w:style w:type="paragraph" w:styleId="3">
    <w:name w:val="heading 4"/>
    <w:basedOn w:val="1"/>
    <w:next w:val="1"/>
    <w:link w:val="44"/>
    <w:qFormat/>
    <w:uiPriority w:val="99"/>
    <w:pPr>
      <w:keepNext/>
      <w:keepLines/>
      <w:spacing w:before="280" w:after="290" w:line="376" w:lineRule="auto"/>
      <w:outlineLvl w:val="3"/>
    </w:pPr>
    <w:rPr>
      <w:rFonts w:ascii="Arial" w:hAnsi="Arial" w:eastAsia="黑体"/>
      <w:b/>
      <w:bCs/>
      <w:kern w:val="0"/>
      <w:sz w:val="28"/>
      <w:szCs w:val="28"/>
    </w:rPr>
  </w:style>
  <w:style w:type="paragraph" w:styleId="4">
    <w:name w:val="heading 5"/>
    <w:basedOn w:val="1"/>
    <w:next w:val="1"/>
    <w:link w:val="45"/>
    <w:qFormat/>
    <w:uiPriority w:val="99"/>
    <w:pPr>
      <w:keepNext/>
      <w:keepLines/>
      <w:spacing w:before="280" w:after="290" w:line="376" w:lineRule="auto"/>
      <w:outlineLvl w:val="4"/>
    </w:pPr>
    <w:rPr>
      <w:b/>
      <w:bCs/>
      <w:kern w:val="0"/>
      <w:sz w:val="28"/>
      <w:szCs w:val="28"/>
    </w:rPr>
  </w:style>
  <w:style w:type="paragraph" w:styleId="5">
    <w:name w:val="heading 6"/>
    <w:basedOn w:val="1"/>
    <w:next w:val="1"/>
    <w:link w:val="46"/>
    <w:qFormat/>
    <w:uiPriority w:val="99"/>
    <w:pPr>
      <w:keepNext/>
      <w:keepLines/>
      <w:spacing w:before="240" w:after="64" w:line="320" w:lineRule="auto"/>
      <w:outlineLvl w:val="5"/>
    </w:pPr>
    <w:rPr>
      <w:rFonts w:ascii="Arial" w:hAnsi="Arial" w:eastAsia="黑体"/>
      <w:b/>
      <w:bCs/>
      <w:kern w:val="0"/>
      <w:sz w:val="24"/>
    </w:rPr>
  </w:style>
  <w:style w:type="paragraph" w:styleId="6">
    <w:name w:val="heading 7"/>
    <w:basedOn w:val="1"/>
    <w:next w:val="1"/>
    <w:link w:val="47"/>
    <w:qFormat/>
    <w:uiPriority w:val="99"/>
    <w:pPr>
      <w:keepNext/>
      <w:keepLines/>
      <w:spacing w:before="240" w:after="64" w:line="320" w:lineRule="auto"/>
      <w:outlineLvl w:val="6"/>
    </w:pPr>
    <w:rPr>
      <w:b/>
      <w:bCs/>
      <w:kern w:val="0"/>
      <w:sz w:val="24"/>
    </w:rPr>
  </w:style>
  <w:style w:type="paragraph" w:styleId="7">
    <w:name w:val="heading 8"/>
    <w:basedOn w:val="1"/>
    <w:next w:val="1"/>
    <w:link w:val="48"/>
    <w:qFormat/>
    <w:uiPriority w:val="99"/>
    <w:pPr>
      <w:keepNext/>
      <w:keepLines/>
      <w:spacing w:before="240" w:after="64" w:line="320" w:lineRule="auto"/>
      <w:outlineLvl w:val="7"/>
    </w:pPr>
    <w:rPr>
      <w:rFonts w:ascii="Arial" w:hAnsi="Arial" w:eastAsia="黑体"/>
      <w:kern w:val="0"/>
      <w:sz w:val="24"/>
    </w:rPr>
  </w:style>
  <w:style w:type="paragraph" w:styleId="8">
    <w:name w:val="heading 9"/>
    <w:basedOn w:val="1"/>
    <w:next w:val="1"/>
    <w:link w:val="49"/>
    <w:qFormat/>
    <w:uiPriority w:val="99"/>
    <w:pPr>
      <w:keepNext/>
      <w:keepLines/>
      <w:spacing w:before="240" w:after="64" w:line="320" w:lineRule="auto"/>
      <w:outlineLvl w:val="8"/>
    </w:pPr>
    <w:rPr>
      <w:rFonts w:ascii="Arial" w:hAnsi="Arial" w:eastAsia="黑体"/>
      <w:kern w:val="0"/>
      <w:sz w:val="20"/>
      <w:szCs w:val="21"/>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9">
    <w:name w:val="Normal Indent"/>
    <w:basedOn w:val="1"/>
    <w:qFormat/>
    <w:uiPriority w:val="99"/>
    <w:pPr>
      <w:adjustRightInd w:val="0"/>
      <w:spacing w:line="360" w:lineRule="atLeast"/>
      <w:ind w:firstLine="420"/>
      <w:jc w:val="left"/>
      <w:textAlignment w:val="baseline"/>
    </w:pPr>
    <w:rPr>
      <w:kern w:val="0"/>
      <w:sz w:val="24"/>
      <w:szCs w:val="20"/>
    </w:rPr>
  </w:style>
  <w:style w:type="paragraph" w:styleId="10">
    <w:name w:val="annotation text"/>
    <w:basedOn w:val="1"/>
    <w:link w:val="41"/>
    <w:semiHidden/>
    <w:qFormat/>
    <w:uiPriority w:val="99"/>
    <w:pPr>
      <w:jc w:val="left"/>
    </w:pPr>
  </w:style>
  <w:style w:type="paragraph" w:styleId="11">
    <w:name w:val="Balloon Text"/>
    <w:basedOn w:val="1"/>
    <w:link w:val="42"/>
    <w:semiHidden/>
    <w:unhideWhenUsed/>
    <w:qFormat/>
    <w:uiPriority w:val="99"/>
    <w:rPr>
      <w:sz w:val="18"/>
      <w:szCs w:val="18"/>
    </w:rPr>
  </w:style>
  <w:style w:type="paragraph" w:styleId="12">
    <w:name w:val="footer"/>
    <w:basedOn w:val="1"/>
    <w:link w:val="33"/>
    <w:qFormat/>
    <w:uiPriority w:val="99"/>
    <w:pPr>
      <w:tabs>
        <w:tab w:val="center" w:pos="4153"/>
        <w:tab w:val="right" w:pos="8306"/>
      </w:tabs>
      <w:snapToGrid w:val="0"/>
      <w:ind w:right="210" w:rightChars="100"/>
      <w:jc w:val="right"/>
    </w:pPr>
    <w:rPr>
      <w:sz w:val="18"/>
      <w:szCs w:val="20"/>
    </w:rPr>
  </w:style>
  <w:style w:type="paragraph" w:styleId="13">
    <w:name w:val="header"/>
    <w:basedOn w:val="1"/>
    <w:link w:val="39"/>
    <w:semiHidden/>
    <w:unhideWhenUsed/>
    <w:uiPriority w:val="99"/>
    <w:pPr>
      <w:pBdr>
        <w:bottom w:val="single" w:color="auto" w:sz="6" w:space="1"/>
      </w:pBdr>
      <w:tabs>
        <w:tab w:val="center" w:pos="4153"/>
        <w:tab w:val="right" w:pos="8306"/>
      </w:tabs>
      <w:snapToGrid w:val="0"/>
      <w:jc w:val="center"/>
    </w:pPr>
    <w:rPr>
      <w:sz w:val="18"/>
      <w:szCs w:val="18"/>
    </w:rPr>
  </w:style>
  <w:style w:type="table" w:styleId="15">
    <w:name w:val="Table Grid"/>
    <w:basedOn w:val="14"/>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99"/>
    <w:rPr>
      <w:rFonts w:ascii="Times New Roman" w:hAnsi="Times New Roman" w:eastAsia="宋体" w:cs="Times New Roman"/>
      <w:sz w:val="18"/>
    </w:rPr>
  </w:style>
  <w:style w:type="character" w:customStyle="1" w:styleId="18">
    <w:name w:val="前言、引言标题 Char"/>
    <w:link w:val="19"/>
    <w:qFormat/>
    <w:locked/>
    <w:uiPriority w:val="99"/>
    <w:rPr>
      <w:rFonts w:ascii="黑体" w:eastAsia="黑体"/>
      <w:sz w:val="32"/>
      <w:shd w:val="clear" w:color="FFFFFF" w:fill="FFFFFF"/>
    </w:rPr>
  </w:style>
  <w:style w:type="paragraph" w:customStyle="1" w:styleId="19">
    <w:name w:val="前言、引言标题"/>
    <w:next w:val="1"/>
    <w:link w:val="18"/>
    <w:qFormat/>
    <w:uiPriority w:val="99"/>
    <w:pPr>
      <w:shd w:val="clear" w:color="FFFFFF" w:fill="FFFFFF"/>
      <w:spacing w:before="640" w:after="560"/>
      <w:jc w:val="center"/>
      <w:outlineLvl w:val="0"/>
    </w:pPr>
    <w:rPr>
      <w:rFonts w:ascii="黑体" w:eastAsia="黑体" w:hAnsiTheme="minorHAnsi" w:cstheme="minorBidi"/>
      <w:kern w:val="2"/>
      <w:sz w:val="32"/>
      <w:szCs w:val="22"/>
      <w:lang w:val="en-US" w:eastAsia="zh-CN" w:bidi="ar-SA"/>
    </w:rPr>
  </w:style>
  <w:style w:type="character" w:customStyle="1" w:styleId="20">
    <w:name w:val="发布"/>
    <w:uiPriority w:val="99"/>
    <w:rPr>
      <w:rFonts w:ascii="黑体" w:eastAsia="黑体"/>
      <w:spacing w:val="22"/>
      <w:w w:val="100"/>
      <w:position w:val="3"/>
      <w:sz w:val="28"/>
    </w:rPr>
  </w:style>
  <w:style w:type="paragraph" w:customStyle="1" w:styleId="21">
    <w:name w:val="实施日期"/>
    <w:basedOn w:val="22"/>
    <w:uiPriority w:val="99"/>
    <w:pPr>
      <w:framePr w:hSpace="0" w:wrap="around" w:xAlign="right"/>
      <w:jc w:val="right"/>
    </w:pPr>
  </w:style>
  <w:style w:type="paragraph" w:customStyle="1" w:styleId="22">
    <w:name w:val="发布日期"/>
    <w:qFormat/>
    <w:uiPriority w:val="99"/>
    <w:pPr>
      <w:framePr w:w="4000" w:h="473" w:hRule="exact" w:hSpace="180" w:vSpace="180" w:wrap="around" w:vAnchor="margin" w:hAnchor="margin" w:y="13511" w:anchorLock="1"/>
    </w:pPr>
    <w:rPr>
      <w:rFonts w:ascii="Times New Roman" w:hAnsi="Times New Roman" w:eastAsia="黑体" w:cs="Times New Roman"/>
      <w:kern w:val="0"/>
      <w:sz w:val="28"/>
      <w:szCs w:val="20"/>
      <w:lang w:val="en-US" w:eastAsia="zh-CN" w:bidi="ar-SA"/>
    </w:rPr>
  </w:style>
  <w:style w:type="paragraph" w:customStyle="1" w:styleId="23">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kern w:val="0"/>
      <w:sz w:val="21"/>
      <w:szCs w:val="20"/>
      <w:lang w:val="en-US" w:eastAsia="zh-CN" w:bidi="ar-SA"/>
    </w:rPr>
  </w:style>
  <w:style w:type="paragraph" w:customStyle="1" w:styleId="24">
    <w:name w:val="发布部门"/>
    <w:next w:val="1"/>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kern w:val="0"/>
      <w:sz w:val="36"/>
      <w:szCs w:val="20"/>
      <w:lang w:val="en-US" w:eastAsia="zh-CN" w:bidi="ar-SA"/>
    </w:rPr>
  </w:style>
  <w:style w:type="paragraph" w:customStyle="1" w:styleId="25">
    <w:name w:val="附录二级条标题"/>
    <w:basedOn w:val="1"/>
    <w:next w:val="26"/>
    <w:qFormat/>
    <w:uiPriority w:val="99"/>
    <w:pPr>
      <w:widowControl/>
      <w:wordWrap w:val="0"/>
      <w:overflowPunct w:val="0"/>
      <w:autoSpaceDE w:val="0"/>
      <w:autoSpaceDN w:val="0"/>
      <w:textAlignment w:val="baseline"/>
      <w:outlineLvl w:val="3"/>
    </w:pPr>
    <w:rPr>
      <w:rFonts w:ascii="黑体" w:eastAsia="黑体"/>
      <w:kern w:val="21"/>
      <w:szCs w:val="20"/>
    </w:rPr>
  </w:style>
  <w:style w:type="paragraph" w:customStyle="1" w:styleId="26">
    <w:name w:val="段"/>
    <w:link w:val="38"/>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7">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28">
    <w:name w:val="封面正文"/>
    <w:uiPriority w:val="99"/>
    <w:pPr>
      <w:jc w:val="both"/>
    </w:pPr>
    <w:rPr>
      <w:rFonts w:ascii="Times New Roman" w:hAnsi="Times New Roman" w:eastAsia="宋体" w:cs="Times New Roman"/>
      <w:kern w:val="0"/>
      <w:sz w:val="20"/>
      <w:szCs w:val="20"/>
      <w:lang w:val="en-US" w:eastAsia="zh-CN" w:bidi="ar-SA"/>
    </w:rPr>
  </w:style>
  <w:style w:type="paragraph" w:customStyle="1" w:styleId="29">
    <w:name w:val="封面标准英文名称"/>
    <w:qFormat/>
    <w:uiPriority w:val="99"/>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30">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31">
    <w:name w:val="标准书脚_偶数页"/>
    <w:uiPriority w:val="99"/>
    <w:pPr>
      <w:spacing w:before="120"/>
    </w:pPr>
    <w:rPr>
      <w:rFonts w:ascii="Times New Roman" w:hAnsi="Times New Roman" w:eastAsia="宋体" w:cs="Times New Roman"/>
      <w:kern w:val="0"/>
      <w:sz w:val="18"/>
      <w:szCs w:val="20"/>
      <w:lang w:val="en-US" w:eastAsia="zh-CN" w:bidi="ar-SA"/>
    </w:rPr>
  </w:style>
  <w:style w:type="paragraph" w:customStyle="1" w:styleId="32">
    <w:name w:val="标准书眉_偶数页"/>
    <w:basedOn w:val="30"/>
    <w:next w:val="1"/>
    <w:uiPriority w:val="99"/>
    <w:pPr>
      <w:jc w:val="left"/>
    </w:pPr>
  </w:style>
  <w:style w:type="character" w:customStyle="1" w:styleId="33">
    <w:name w:val="页脚 字符"/>
    <w:basedOn w:val="16"/>
    <w:link w:val="12"/>
    <w:qFormat/>
    <w:uiPriority w:val="99"/>
    <w:rPr>
      <w:rFonts w:ascii="Times New Roman" w:hAnsi="Times New Roman" w:eastAsia="宋体" w:cs="Times New Roman"/>
      <w:sz w:val="18"/>
      <w:szCs w:val="20"/>
    </w:rPr>
  </w:style>
  <w:style w:type="paragraph" w:customStyle="1" w:styleId="34">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kern w:val="0"/>
      <w:sz w:val="52"/>
      <w:szCs w:val="20"/>
      <w:lang w:val="en-US" w:eastAsia="zh-CN" w:bidi="ar-SA"/>
    </w:rPr>
  </w:style>
  <w:style w:type="paragraph" w:customStyle="1" w:styleId="35">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36">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styleId="37">
    <w:name w:val="List Paragraph"/>
    <w:basedOn w:val="1"/>
    <w:qFormat/>
    <w:uiPriority w:val="99"/>
    <w:pPr>
      <w:ind w:firstLine="420" w:firstLineChars="200"/>
    </w:pPr>
  </w:style>
  <w:style w:type="character" w:customStyle="1" w:styleId="38">
    <w:name w:val="段 Char"/>
    <w:link w:val="26"/>
    <w:qFormat/>
    <w:uiPriority w:val="99"/>
    <w:rPr>
      <w:rFonts w:ascii="宋体" w:hAnsi="Times New Roman" w:eastAsia="宋体" w:cs="Times New Roman"/>
      <w:kern w:val="0"/>
      <w:szCs w:val="20"/>
    </w:rPr>
  </w:style>
  <w:style w:type="character" w:customStyle="1" w:styleId="39">
    <w:name w:val="页眉 字符"/>
    <w:basedOn w:val="16"/>
    <w:link w:val="13"/>
    <w:semiHidden/>
    <w:qFormat/>
    <w:uiPriority w:val="99"/>
    <w:rPr>
      <w:rFonts w:ascii="Times New Roman" w:hAnsi="Times New Roman" w:eastAsia="宋体" w:cs="Times New Roman"/>
      <w:sz w:val="18"/>
      <w:szCs w:val="18"/>
    </w:rPr>
  </w:style>
  <w:style w:type="paragraph" w:customStyle="1" w:styleId="40">
    <w:name w:val="封面标准文稿类别"/>
    <w:qFormat/>
    <w:uiPriority w:val="99"/>
    <w:pPr>
      <w:spacing w:before="440" w:after="200" w:line="400" w:lineRule="exact"/>
      <w:jc w:val="center"/>
    </w:pPr>
    <w:rPr>
      <w:rFonts w:ascii="宋体" w:hAnsi="宋体" w:eastAsia="宋体" w:cs="宋体"/>
      <w:color w:val="000000"/>
      <w:kern w:val="0"/>
      <w:sz w:val="24"/>
      <w:szCs w:val="22"/>
      <w:lang w:val="en-US" w:eastAsia="zh-CN" w:bidi="ar-SA"/>
    </w:rPr>
  </w:style>
  <w:style w:type="character" w:customStyle="1" w:styleId="41">
    <w:name w:val="批注文字 字符"/>
    <w:basedOn w:val="16"/>
    <w:link w:val="10"/>
    <w:semiHidden/>
    <w:qFormat/>
    <w:uiPriority w:val="99"/>
    <w:rPr>
      <w:rFonts w:ascii="Times New Roman" w:hAnsi="Times New Roman" w:eastAsia="宋体" w:cs="Times New Roman"/>
      <w:szCs w:val="24"/>
    </w:rPr>
  </w:style>
  <w:style w:type="character" w:customStyle="1" w:styleId="42">
    <w:name w:val="批注框文本 字符"/>
    <w:basedOn w:val="16"/>
    <w:link w:val="11"/>
    <w:semiHidden/>
    <w:qFormat/>
    <w:uiPriority w:val="99"/>
    <w:rPr>
      <w:rFonts w:ascii="Times New Roman" w:hAnsi="Times New Roman" w:eastAsia="宋体" w:cs="Times New Roman"/>
      <w:sz w:val="18"/>
      <w:szCs w:val="18"/>
    </w:rPr>
  </w:style>
  <w:style w:type="character" w:customStyle="1" w:styleId="43">
    <w:name w:val="标题 3 字符"/>
    <w:basedOn w:val="16"/>
    <w:link w:val="2"/>
    <w:qFormat/>
    <w:uiPriority w:val="99"/>
    <w:rPr>
      <w:rFonts w:ascii="Times New Roman" w:hAnsi="Times New Roman" w:eastAsia="宋体" w:cs="Times New Roman"/>
      <w:b/>
      <w:bCs/>
      <w:kern w:val="0"/>
      <w:sz w:val="32"/>
      <w:szCs w:val="32"/>
    </w:rPr>
  </w:style>
  <w:style w:type="character" w:customStyle="1" w:styleId="44">
    <w:name w:val="标题 4 字符"/>
    <w:basedOn w:val="16"/>
    <w:link w:val="3"/>
    <w:qFormat/>
    <w:uiPriority w:val="99"/>
    <w:rPr>
      <w:rFonts w:ascii="Arial" w:hAnsi="Arial" w:eastAsia="黑体" w:cs="Times New Roman"/>
      <w:b/>
      <w:bCs/>
      <w:kern w:val="0"/>
      <w:sz w:val="28"/>
      <w:szCs w:val="28"/>
    </w:rPr>
  </w:style>
  <w:style w:type="character" w:customStyle="1" w:styleId="45">
    <w:name w:val="标题 5 字符"/>
    <w:basedOn w:val="16"/>
    <w:link w:val="4"/>
    <w:qFormat/>
    <w:uiPriority w:val="99"/>
    <w:rPr>
      <w:rFonts w:ascii="Times New Roman" w:hAnsi="Times New Roman" w:eastAsia="宋体" w:cs="Times New Roman"/>
      <w:b/>
      <w:bCs/>
      <w:kern w:val="0"/>
      <w:sz w:val="28"/>
      <w:szCs w:val="28"/>
    </w:rPr>
  </w:style>
  <w:style w:type="character" w:customStyle="1" w:styleId="46">
    <w:name w:val="标题 6 字符"/>
    <w:basedOn w:val="16"/>
    <w:link w:val="5"/>
    <w:qFormat/>
    <w:uiPriority w:val="99"/>
    <w:rPr>
      <w:rFonts w:ascii="Arial" w:hAnsi="Arial" w:eastAsia="黑体" w:cs="Times New Roman"/>
      <w:b/>
      <w:bCs/>
      <w:kern w:val="0"/>
      <w:sz w:val="24"/>
      <w:szCs w:val="24"/>
    </w:rPr>
  </w:style>
  <w:style w:type="character" w:customStyle="1" w:styleId="47">
    <w:name w:val="标题 7 字符"/>
    <w:basedOn w:val="16"/>
    <w:link w:val="6"/>
    <w:qFormat/>
    <w:uiPriority w:val="99"/>
    <w:rPr>
      <w:rFonts w:ascii="Times New Roman" w:hAnsi="Times New Roman" w:eastAsia="宋体" w:cs="Times New Roman"/>
      <w:b/>
      <w:bCs/>
      <w:kern w:val="0"/>
      <w:sz w:val="24"/>
      <w:szCs w:val="24"/>
    </w:rPr>
  </w:style>
  <w:style w:type="character" w:customStyle="1" w:styleId="48">
    <w:name w:val="标题 8 字符"/>
    <w:basedOn w:val="16"/>
    <w:link w:val="7"/>
    <w:qFormat/>
    <w:uiPriority w:val="99"/>
    <w:rPr>
      <w:rFonts w:ascii="Arial" w:hAnsi="Arial" w:eastAsia="黑体" w:cs="Times New Roman"/>
      <w:kern w:val="0"/>
      <w:sz w:val="24"/>
      <w:szCs w:val="24"/>
    </w:rPr>
  </w:style>
  <w:style w:type="character" w:customStyle="1" w:styleId="49">
    <w:name w:val="标题 9 字符"/>
    <w:basedOn w:val="16"/>
    <w:link w:val="8"/>
    <w:qFormat/>
    <w:uiPriority w:val="99"/>
    <w:rPr>
      <w:rFonts w:ascii="Arial" w:hAnsi="Arial" w:eastAsia="黑体" w:cs="Times New Roman"/>
      <w:kern w:val="0"/>
      <w:sz w:val="20"/>
      <w:szCs w:val="21"/>
    </w:rPr>
  </w:style>
  <w:style w:type="paragraph" w:customStyle="1" w:styleId="50">
    <w:name w:val="章标题"/>
    <w:next w:val="26"/>
    <w:qFormat/>
    <w:uiPriority w:val="99"/>
    <w:pPr>
      <w:spacing w:beforeLines="50" w:afterLines="50"/>
      <w:jc w:val="both"/>
      <w:outlineLvl w:val="1"/>
    </w:pPr>
    <w:rPr>
      <w:rFonts w:ascii="黑体" w:hAnsi="Times New Roman" w:eastAsia="黑体" w:cs="Times New Roman"/>
      <w:kern w:val="0"/>
      <w:sz w:val="22"/>
      <w:szCs w:val="22"/>
      <w:lang w:val="en-US" w:eastAsia="zh-CN" w:bidi="ar-SA"/>
    </w:rPr>
  </w:style>
  <w:style w:type="character" w:customStyle="1" w:styleId="51">
    <w:name w:val="一级条标题 Char"/>
    <w:link w:val="52"/>
    <w:qFormat/>
    <w:locked/>
    <w:uiPriority w:val="99"/>
    <w:rPr>
      <w:rFonts w:ascii="黑体" w:hAnsi="Times New Roman" w:eastAsia="黑体"/>
      <w:kern w:val="0"/>
      <w:sz w:val="20"/>
    </w:rPr>
  </w:style>
  <w:style w:type="paragraph" w:customStyle="1" w:styleId="52">
    <w:name w:val="一级条标题"/>
    <w:basedOn w:val="50"/>
    <w:next w:val="26"/>
    <w:link w:val="51"/>
    <w:qFormat/>
    <w:uiPriority w:val="99"/>
    <w:pPr>
      <w:tabs>
        <w:tab w:val="left" w:pos="360"/>
      </w:tabs>
      <w:spacing w:beforeLines="0" w:afterLines="0"/>
      <w:outlineLvl w:val="2"/>
    </w:pPr>
    <w:rPr>
      <w:rFonts w:cstheme="minorBidi"/>
      <w:sz w:val="20"/>
    </w:rPr>
  </w:style>
  <w:style w:type="character" w:styleId="53">
    <w:name w:val="Placeholder Text"/>
    <w:basedOn w:val="16"/>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2.wmf"/><Relationship Id="rId13" Type="http://schemas.openxmlformats.org/officeDocument/2006/relationships/oleObject" Target="embeddings/oleObject1.bin"/><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1212</Words>
  <Characters>6915</Characters>
  <Lines>57</Lines>
  <Paragraphs>16</Paragraphs>
  <TotalTime>3</TotalTime>
  <ScaleCrop>false</ScaleCrop>
  <LinksUpToDate>false</LinksUpToDate>
  <CharactersWithSpaces>8111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2023-02-28T06:45:00Z</dcterms:created>
  <dc:creator>xxy</dc:creator>
  <cp:lastModifiedBy>ss</cp:lastModifiedBy>
  <cp:lastPrinted>2023-02-14T00:28:00Z</cp:lastPrinted>
  <dcterms:modified xsi:type="dcterms:W3CDTF">2023-03-01T06:23:56Z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9E4C283BDDB44B508DDA10AE83263346</vt:lpwstr>
  </property>
</Properties>
</file>