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DF128" w14:textId="77777777" w:rsidR="00BB261B" w:rsidRDefault="00000000">
      <w:pPr>
        <w:spacing w:line="480" w:lineRule="auto"/>
        <w:jc w:val="center"/>
        <w:rPr>
          <w:rFonts w:ascii="黑体" w:eastAsia="黑体" w:hAnsi="黑体" w:cs="黑体"/>
          <w:b/>
          <w:bCs/>
          <w:w w:val="90"/>
          <w:sz w:val="32"/>
          <w:szCs w:val="32"/>
        </w:rPr>
      </w:pPr>
      <w:bookmarkStart w:id="0" w:name="_Hlk82435718"/>
      <w:r>
        <w:rPr>
          <w:rFonts w:ascii="黑体" w:eastAsia="黑体" w:hAnsi="黑体" w:cs="黑体" w:hint="eastAsia"/>
          <w:b/>
          <w:bCs/>
          <w:w w:val="90"/>
          <w:sz w:val="32"/>
          <w:szCs w:val="32"/>
        </w:rPr>
        <w:t>稀土行业标准</w:t>
      </w:r>
      <w:r>
        <w:rPr>
          <w:rFonts w:ascii="黑体" w:eastAsia="黑体" w:hAnsi="黑体" w:cs="黑体"/>
          <w:b/>
          <w:bCs/>
          <w:w w:val="90"/>
          <w:sz w:val="32"/>
          <w:szCs w:val="32"/>
        </w:rPr>
        <w:t>《</w:t>
      </w:r>
      <w:r>
        <w:rPr>
          <w:rFonts w:ascii="黑体" w:eastAsia="黑体" w:hAnsi="黑体" w:cs="黑体" w:hint="eastAsia"/>
          <w:b/>
          <w:bCs/>
          <w:w w:val="90"/>
          <w:sz w:val="32"/>
          <w:szCs w:val="32"/>
        </w:rPr>
        <w:t>高纯钇靶</w:t>
      </w:r>
      <w:r>
        <w:rPr>
          <w:rFonts w:ascii="黑体" w:eastAsia="黑体" w:hAnsi="黑体" w:cs="黑体"/>
          <w:b/>
          <w:bCs/>
          <w:w w:val="90"/>
          <w:sz w:val="32"/>
          <w:szCs w:val="32"/>
        </w:rPr>
        <w:t>》</w:t>
      </w:r>
      <w:bookmarkEnd w:id="0"/>
      <w:r>
        <w:rPr>
          <w:rFonts w:ascii="黑体" w:eastAsia="黑体" w:hAnsi="黑体" w:cs="黑体" w:hint="eastAsia"/>
          <w:b/>
          <w:bCs/>
          <w:w w:val="90"/>
          <w:sz w:val="32"/>
          <w:szCs w:val="32"/>
        </w:rPr>
        <w:t>送审稿</w:t>
      </w:r>
    </w:p>
    <w:p w14:paraId="1D894CCC" w14:textId="77777777" w:rsidR="00BB261B" w:rsidRDefault="00000000">
      <w:pPr>
        <w:spacing w:line="480" w:lineRule="auto"/>
        <w:jc w:val="center"/>
        <w:rPr>
          <w:rFonts w:ascii="黑体" w:eastAsia="黑体" w:hAnsi="黑体" w:cs="黑体"/>
          <w:b/>
          <w:bCs/>
          <w:w w:val="90"/>
          <w:sz w:val="32"/>
          <w:szCs w:val="32"/>
        </w:rPr>
      </w:pPr>
      <w:r>
        <w:rPr>
          <w:rFonts w:ascii="黑体" w:eastAsia="黑体" w:hAnsi="黑体" w:cs="黑体"/>
          <w:b/>
          <w:bCs/>
          <w:w w:val="90"/>
          <w:sz w:val="32"/>
          <w:szCs w:val="32"/>
        </w:rPr>
        <w:t>编制说明</w:t>
      </w:r>
    </w:p>
    <w:p w14:paraId="3753E99A" w14:textId="77777777" w:rsidR="00BB261B" w:rsidRDefault="00000000">
      <w:pPr>
        <w:spacing w:beforeLines="50" w:before="156" w:afterLines="50" w:after="156" w:line="312" w:lineRule="auto"/>
        <w:rPr>
          <w:rFonts w:ascii="黑体" w:eastAsia="黑体" w:hAnsi="宋体"/>
          <w:b/>
          <w:sz w:val="24"/>
        </w:rPr>
      </w:pPr>
      <w:r>
        <w:rPr>
          <w:rFonts w:ascii="黑体" w:eastAsia="黑体" w:hAnsi="宋体" w:hint="eastAsia"/>
          <w:b/>
          <w:sz w:val="24"/>
        </w:rPr>
        <w:t>一、工作简况</w:t>
      </w:r>
    </w:p>
    <w:p w14:paraId="29359B54" w14:textId="77777777" w:rsidR="00BB261B" w:rsidRDefault="00000000">
      <w:pPr>
        <w:pStyle w:val="afffff0"/>
        <w:tabs>
          <w:tab w:val="clear" w:pos="675"/>
        </w:tabs>
        <w:spacing w:beforeLines="50" w:before="156" w:afterLines="50" w:after="156" w:line="360" w:lineRule="auto"/>
        <w:ind w:left="0" w:firstLine="0"/>
        <w:rPr>
          <w:rFonts w:hAnsi="黑体"/>
          <w:b/>
          <w:sz w:val="24"/>
          <w:szCs w:val="22"/>
        </w:rPr>
      </w:pPr>
      <w:r>
        <w:rPr>
          <w:rFonts w:hAnsi="黑体" w:hint="eastAsia"/>
          <w:b/>
          <w:sz w:val="24"/>
          <w:szCs w:val="22"/>
        </w:rPr>
        <w:t>（一）</w:t>
      </w:r>
      <w:r>
        <w:rPr>
          <w:rFonts w:hAnsi="黑体"/>
          <w:b/>
          <w:sz w:val="24"/>
          <w:szCs w:val="22"/>
        </w:rPr>
        <w:t>任务来源</w:t>
      </w:r>
    </w:p>
    <w:p w14:paraId="0894ABF4" w14:textId="77777777" w:rsidR="00BB261B" w:rsidRDefault="00000000">
      <w:pPr>
        <w:spacing w:line="360" w:lineRule="auto"/>
        <w:ind w:firstLineChars="200" w:firstLine="420"/>
      </w:pPr>
      <w:r>
        <w:rPr>
          <w:rFonts w:hint="eastAsia"/>
        </w:rPr>
        <w:t>根据《</w:t>
      </w:r>
      <w:r>
        <w:rPr>
          <w:rFonts w:hint="eastAsia"/>
        </w:rPr>
        <w:t>2021</w:t>
      </w:r>
      <w:r>
        <w:rPr>
          <w:rFonts w:hint="eastAsia"/>
        </w:rPr>
        <w:t>年全国稀土标准工作会议标准计划任务落实情况的通知》（稀土标委〔</w:t>
      </w:r>
      <w:r>
        <w:rPr>
          <w:rFonts w:hint="eastAsia"/>
        </w:rPr>
        <w:t>2021</w:t>
      </w:r>
      <w:r>
        <w:rPr>
          <w:rFonts w:hint="eastAsia"/>
        </w:rPr>
        <w:t>〕</w:t>
      </w:r>
      <w:r>
        <w:rPr>
          <w:rFonts w:hint="eastAsia"/>
        </w:rPr>
        <w:t>53</w:t>
      </w:r>
      <w:r>
        <w:rPr>
          <w:rFonts w:hint="eastAsia"/>
        </w:rPr>
        <w:t>号）和主管部门相关工作安排，《高纯钇靶》行业标准制定计划正式下达，计划号为</w:t>
      </w:r>
      <w:r>
        <w:t>2021-0537T-XB</w:t>
      </w:r>
      <w:r>
        <w:rPr>
          <w:rFonts w:hint="eastAsia"/>
        </w:rPr>
        <w:t>，完成年限为</w:t>
      </w:r>
      <w:r>
        <w:rPr>
          <w:rFonts w:hint="eastAsia"/>
        </w:rPr>
        <w:t>2023</w:t>
      </w:r>
      <w:r>
        <w:rPr>
          <w:rFonts w:hint="eastAsia"/>
        </w:rPr>
        <w:t>年。</w:t>
      </w:r>
    </w:p>
    <w:p w14:paraId="4A95593A" w14:textId="77777777" w:rsidR="00BB261B" w:rsidRDefault="00000000">
      <w:pPr>
        <w:spacing w:line="360" w:lineRule="auto"/>
        <w:ind w:firstLineChars="200" w:firstLine="420"/>
      </w:pPr>
      <w:r>
        <w:t>本文件由全国稀土标准化技术委员会（</w:t>
      </w:r>
      <w:r>
        <w:t>SAC/TC 229</w:t>
      </w:r>
      <w:r>
        <w:t>）提出并归口，由</w:t>
      </w:r>
      <w:r>
        <w:rPr>
          <w:rFonts w:hint="eastAsia"/>
        </w:rPr>
        <w:t>有研稀土新材料股份有限公司、有研稀土高技术有限公司、包头稀土研究院、虔东稀土集团股份有限公司、湖南稀土金属材料研究院有限责任公司、福建省长汀金龙稀土有限公司、</w:t>
      </w:r>
      <w:r>
        <w:rPr>
          <w:rFonts w:ascii="宋体" w:hAnsi="宋体" w:hint="eastAsia"/>
          <w:szCs w:val="21"/>
          <w:lang w:val="zh-CN"/>
        </w:rPr>
        <w:t>赣州晨光稀土新材料有限公司</w:t>
      </w:r>
      <w:r>
        <w:t>等</w:t>
      </w:r>
      <w:r>
        <w:rPr>
          <w:rFonts w:hint="eastAsia"/>
        </w:rPr>
        <w:t>多家生产</w:t>
      </w:r>
      <w:r>
        <w:t>单位</w:t>
      </w:r>
      <w:r>
        <w:rPr>
          <w:rFonts w:hint="eastAsia"/>
        </w:rPr>
        <w:t>共同修订</w:t>
      </w:r>
      <w:r>
        <w:t>。</w:t>
      </w:r>
    </w:p>
    <w:p w14:paraId="5E8CD8A4" w14:textId="77777777" w:rsidR="00BB261B" w:rsidRDefault="00000000">
      <w:pPr>
        <w:pStyle w:val="afffff0"/>
        <w:tabs>
          <w:tab w:val="clear" w:pos="675"/>
        </w:tabs>
        <w:spacing w:beforeLines="50" w:before="156" w:afterLines="50" w:after="156" w:line="360" w:lineRule="auto"/>
        <w:ind w:left="0" w:firstLine="0"/>
        <w:rPr>
          <w:rFonts w:hAnsi="黑体"/>
          <w:b/>
          <w:bCs/>
          <w:sz w:val="22"/>
          <w:szCs w:val="21"/>
        </w:rPr>
      </w:pPr>
      <w:r>
        <w:rPr>
          <w:rFonts w:hAnsi="黑体" w:hint="eastAsia"/>
          <w:b/>
          <w:bCs/>
          <w:sz w:val="22"/>
          <w:szCs w:val="21"/>
        </w:rPr>
        <w:t>（二）</w:t>
      </w:r>
      <w:bookmarkStart w:id="1" w:name="_Toc451633880"/>
      <w:r>
        <w:rPr>
          <w:rFonts w:hAnsi="黑体" w:hint="eastAsia"/>
          <w:b/>
          <w:bCs/>
          <w:sz w:val="22"/>
          <w:szCs w:val="21"/>
        </w:rPr>
        <w:t>主要参加单位和工作成员及其所做的工作</w:t>
      </w:r>
      <w:bookmarkEnd w:id="1"/>
    </w:p>
    <w:p w14:paraId="5C5FEBDC" w14:textId="2722859E" w:rsidR="00BB261B" w:rsidRDefault="00000000">
      <w:pPr>
        <w:spacing w:line="360" w:lineRule="auto"/>
        <w:ind w:firstLineChars="200" w:firstLine="420"/>
      </w:pPr>
      <w:r>
        <w:rPr>
          <w:rFonts w:hint="eastAsia"/>
        </w:rPr>
        <w:t>标准牵头起草单位有研稀土新材料股份有限公司（简称“有研稀土”）</w:t>
      </w:r>
      <w:r>
        <w:t>负责</w:t>
      </w:r>
      <w:r>
        <w:rPr>
          <w:rFonts w:hint="eastAsia"/>
        </w:rPr>
        <w:t>组织标准</w:t>
      </w:r>
      <w:r>
        <w:t>调研、验证、标准起草</w:t>
      </w:r>
      <w:r>
        <w:rPr>
          <w:rFonts w:hint="eastAsia"/>
        </w:rPr>
        <w:t>、</w:t>
      </w:r>
      <w:r>
        <w:t>预审、审定报批工作</w:t>
      </w:r>
      <w:r>
        <w:rPr>
          <w:rFonts w:hint="eastAsia"/>
        </w:rPr>
        <w:t>。</w:t>
      </w:r>
      <w:r w:rsidR="0002184F" w:rsidRPr="0002184F">
        <w:rPr>
          <w:rFonts w:hint="eastAsia"/>
        </w:rPr>
        <w:t>有研稀土是</w:t>
      </w:r>
      <w:r w:rsidR="0002184F" w:rsidRPr="0002184F">
        <w:t>2001</w:t>
      </w:r>
      <w:r w:rsidR="0002184F" w:rsidRPr="0002184F">
        <w:rPr>
          <w:rFonts w:hint="eastAsia"/>
        </w:rPr>
        <w:t>年由中国有研科技集团有限公司（原北京有色金属研究总院）作为主发起人对“稀土国家工程研究中心”进行整体改制而设立的股份公司</w:t>
      </w:r>
      <w:r>
        <w:rPr>
          <w:rFonts w:hint="eastAsia"/>
        </w:rPr>
        <w:t>，是首家在中关村科技园区德胜科技园的注册高新技术企业，被评为中关村国家自主创新示范区“十百千工程”重点培育企业。有研稀土一直积极参与标准的制修订工作，牵头</w:t>
      </w:r>
      <w:r>
        <w:t>/</w:t>
      </w:r>
      <w:r>
        <w:rPr>
          <w:rFonts w:hint="eastAsia"/>
        </w:rPr>
        <w:t>参与制定了《氟化镝》、《氟化钕》、《稀土术语</w:t>
      </w:r>
      <w:r>
        <w:t>-</w:t>
      </w:r>
      <w:r>
        <w:rPr>
          <w:rFonts w:hint="eastAsia"/>
        </w:rPr>
        <w:t>稀土金属及合金》、《稀土术语</w:t>
      </w:r>
      <w:r>
        <w:t>-</w:t>
      </w:r>
      <w:r>
        <w:rPr>
          <w:rFonts w:hint="eastAsia"/>
        </w:rPr>
        <w:t>稀土矿产品及化合物》、《快淬钕铁硼永磁粉》、《粘结钕铁硼永磁材料》、《钕铁硼速凝薄片合金》、《金属钬》、《高纯金属镝》、《高纯金属铽》等</w:t>
      </w:r>
      <w:r>
        <w:t>60</w:t>
      </w:r>
      <w:r>
        <w:rPr>
          <w:rFonts w:hint="eastAsia"/>
        </w:rPr>
        <w:t>多项稀土国际标准</w:t>
      </w:r>
      <w:r>
        <w:rPr>
          <w:rFonts w:hint="eastAsia"/>
        </w:rPr>
        <w:t>/</w:t>
      </w:r>
      <w:r>
        <w:rPr>
          <w:rFonts w:hint="eastAsia"/>
        </w:rPr>
        <w:t>国家标准</w:t>
      </w:r>
      <w:r>
        <w:rPr>
          <w:rFonts w:hint="eastAsia"/>
        </w:rPr>
        <w:t>/</w:t>
      </w:r>
      <w:r>
        <w:rPr>
          <w:rFonts w:hint="eastAsia"/>
        </w:rPr>
        <w:t>行业标准。多次参与制修订国务院新闻办《中国的稀土状况与政策》白皮书，工信部《稀土行业发展规划（</w:t>
      </w:r>
      <w:r>
        <w:rPr>
          <w:rFonts w:hint="eastAsia"/>
        </w:rPr>
        <w:t>2016-2020</w:t>
      </w:r>
      <w:r>
        <w:rPr>
          <w:rFonts w:hint="eastAsia"/>
        </w:rPr>
        <w:t>年）》、《稀土行业规范条件》、科技部《稀土化合物及金属技术发展战略研究报告》，中国工程院科技咨询项目《稀土功能材料及应用发展战略研究》等稀土政策以及重点报告，为稀土行业发展献言献策。</w:t>
      </w:r>
    </w:p>
    <w:p w14:paraId="66E8406B" w14:textId="77777777" w:rsidR="00BB261B" w:rsidRDefault="00000000">
      <w:pPr>
        <w:spacing w:line="360" w:lineRule="auto"/>
        <w:ind w:firstLineChars="200" w:firstLine="420"/>
      </w:pPr>
      <w:r>
        <w:rPr>
          <w:rFonts w:hint="eastAsia"/>
        </w:rPr>
        <w:t>标准参与起草由有研稀土高技术有限公司、包头稀土研究院、虔东稀土集团股份有限公司、湖南稀土金属材料研究院有限责任公司、福建省长汀金龙稀土有限公司等多家单位组成，均为国内钇靶材产品生产企业，向标准牵头制定单位提供各单位高纯钇靶产品生产情况或产品需求技术指标情况，共同</w:t>
      </w:r>
      <w:r>
        <w:rPr>
          <w:szCs w:val="21"/>
        </w:rPr>
        <w:t>参与标准起草</w:t>
      </w:r>
      <w:r>
        <w:rPr>
          <w:rFonts w:hint="eastAsia"/>
          <w:szCs w:val="21"/>
        </w:rPr>
        <w:t>。</w:t>
      </w:r>
    </w:p>
    <w:p w14:paraId="76FC3F7B" w14:textId="77777777" w:rsidR="00BB261B" w:rsidRDefault="00000000">
      <w:pPr>
        <w:pStyle w:val="afffd"/>
        <w:numPr>
          <w:ilvl w:val="255"/>
          <w:numId w:val="0"/>
        </w:numPr>
        <w:adjustRightInd w:val="0"/>
        <w:snapToGrid w:val="0"/>
        <w:spacing w:before="0" w:beforeAutospacing="0" w:after="0" w:afterAutospacing="0" w:line="360" w:lineRule="auto"/>
        <w:ind w:firstLineChars="200" w:firstLine="420"/>
        <w:jc w:val="both"/>
        <w:rPr>
          <w:rFonts w:ascii="Times New Roman" w:cs="Times New Roman"/>
          <w:kern w:val="2"/>
          <w:sz w:val="21"/>
        </w:rPr>
      </w:pPr>
      <w:r>
        <w:rPr>
          <w:rFonts w:ascii="Times New Roman" w:cs="Times New Roman" w:hint="eastAsia"/>
          <w:kern w:val="2"/>
          <w:sz w:val="21"/>
        </w:rPr>
        <w:t>本标准共同起草单位及参与标准制定人的情况见表</w:t>
      </w:r>
      <w:r>
        <w:rPr>
          <w:rFonts w:ascii="Times New Roman" w:cs="Times New Roman" w:hint="eastAsia"/>
          <w:kern w:val="2"/>
          <w:sz w:val="21"/>
        </w:rPr>
        <w:t>1</w:t>
      </w:r>
      <w:r>
        <w:rPr>
          <w:rFonts w:ascii="Times New Roman" w:cs="Times New Roman" w:hint="eastAsia"/>
          <w:kern w:val="2"/>
          <w:sz w:val="21"/>
        </w:rPr>
        <w:t>。</w:t>
      </w:r>
    </w:p>
    <w:p w14:paraId="461C4021" w14:textId="77777777" w:rsidR="00BB261B" w:rsidRDefault="00000000">
      <w:pPr>
        <w:spacing w:line="360" w:lineRule="auto"/>
        <w:ind w:firstLine="435"/>
        <w:jc w:val="center"/>
        <w:rPr>
          <w:rFonts w:ascii="黑体" w:eastAsia="黑体" w:hAnsi="黑体"/>
          <w:szCs w:val="21"/>
        </w:rPr>
      </w:pPr>
      <w:r>
        <w:rPr>
          <w:rFonts w:ascii="黑体" w:eastAsia="黑体" w:hAnsi="黑体" w:hint="eastAsia"/>
          <w:szCs w:val="21"/>
        </w:rPr>
        <w:t>表1 主要起草人及工作职责</w:t>
      </w:r>
    </w:p>
    <w:tbl>
      <w:tblPr>
        <w:tblStyle w:val="affff4"/>
        <w:tblW w:w="0" w:type="auto"/>
        <w:jc w:val="center"/>
        <w:tblLook w:val="04A0" w:firstRow="1" w:lastRow="0" w:firstColumn="1" w:lastColumn="0" w:noHBand="0" w:noVBand="1"/>
      </w:tblPr>
      <w:tblGrid>
        <w:gridCol w:w="4390"/>
        <w:gridCol w:w="5243"/>
      </w:tblGrid>
      <w:tr w:rsidR="0002184F" w14:paraId="1BF6BBFA" w14:textId="77777777" w:rsidTr="0002184F">
        <w:trPr>
          <w:trHeight w:val="406"/>
          <w:jc w:val="center"/>
        </w:trPr>
        <w:tc>
          <w:tcPr>
            <w:tcW w:w="4390" w:type="dxa"/>
          </w:tcPr>
          <w:p w14:paraId="3AB826C2" w14:textId="77777777" w:rsidR="0002184F" w:rsidRDefault="0002184F" w:rsidP="0002184F">
            <w:pPr>
              <w:spacing w:line="312" w:lineRule="auto"/>
              <w:jc w:val="center"/>
              <w:rPr>
                <w:rFonts w:hAnsi="宋体"/>
                <w:szCs w:val="21"/>
              </w:rPr>
            </w:pPr>
            <w:r>
              <w:rPr>
                <w:szCs w:val="21"/>
              </w:rPr>
              <w:t>单位</w:t>
            </w:r>
            <w:r>
              <w:rPr>
                <w:rFonts w:hint="eastAsia"/>
                <w:szCs w:val="21"/>
              </w:rPr>
              <w:t>名称</w:t>
            </w:r>
          </w:p>
        </w:tc>
        <w:tc>
          <w:tcPr>
            <w:tcW w:w="5243" w:type="dxa"/>
          </w:tcPr>
          <w:p w14:paraId="45B3C0C2" w14:textId="77777777" w:rsidR="0002184F" w:rsidRDefault="0002184F" w:rsidP="0002184F">
            <w:pPr>
              <w:spacing w:line="312" w:lineRule="auto"/>
              <w:jc w:val="center"/>
              <w:rPr>
                <w:rFonts w:hAnsi="宋体"/>
                <w:szCs w:val="21"/>
              </w:rPr>
            </w:pPr>
            <w:r>
              <w:rPr>
                <w:rFonts w:hAnsi="宋体" w:hint="eastAsia"/>
                <w:szCs w:val="21"/>
              </w:rPr>
              <w:t>工作职责</w:t>
            </w:r>
          </w:p>
        </w:tc>
      </w:tr>
      <w:tr w:rsidR="0002184F" w14:paraId="2DA57BFB" w14:textId="77777777" w:rsidTr="0002184F">
        <w:trPr>
          <w:trHeight w:val="696"/>
          <w:jc w:val="center"/>
        </w:trPr>
        <w:tc>
          <w:tcPr>
            <w:tcW w:w="4390" w:type="dxa"/>
            <w:vAlign w:val="center"/>
          </w:tcPr>
          <w:p w14:paraId="14A518A0" w14:textId="77777777" w:rsidR="0002184F" w:rsidRDefault="0002184F">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Pr>
                <w:rFonts w:ascii="Times New Roman" w:cs="Times New Roman" w:hint="eastAsia"/>
                <w:kern w:val="2"/>
                <w:sz w:val="21"/>
                <w:szCs w:val="21"/>
              </w:rPr>
              <w:t>有研稀土新材料股份有限公司</w:t>
            </w:r>
          </w:p>
        </w:tc>
        <w:tc>
          <w:tcPr>
            <w:tcW w:w="5243" w:type="dxa"/>
            <w:vAlign w:val="center"/>
          </w:tcPr>
          <w:p w14:paraId="1CAE5B90" w14:textId="77777777" w:rsidR="0002184F" w:rsidRDefault="0002184F">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kern w:val="2"/>
                <w:sz w:val="21"/>
                <w:szCs w:val="21"/>
              </w:rPr>
              <w:t>1</w:t>
            </w:r>
            <w:r>
              <w:rPr>
                <w:rFonts w:ascii="Times New Roman" w:cs="Times New Roman" w:hint="eastAsia"/>
                <w:kern w:val="2"/>
                <w:sz w:val="21"/>
                <w:szCs w:val="21"/>
              </w:rPr>
              <w:t>）牵头制定高纯钇靶标准，负责任务的落实、执行；</w:t>
            </w:r>
          </w:p>
          <w:p w14:paraId="67FB67F2" w14:textId="77777777" w:rsidR="0002184F" w:rsidRDefault="0002184F">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2</w:t>
            </w:r>
            <w:r>
              <w:rPr>
                <w:rFonts w:ascii="Times New Roman" w:cs="Times New Roman" w:hint="eastAsia"/>
                <w:kern w:val="2"/>
                <w:sz w:val="21"/>
                <w:szCs w:val="21"/>
              </w:rPr>
              <w:t>）成立高纯钇靶编制修订项目组；</w:t>
            </w:r>
          </w:p>
          <w:p w14:paraId="32CF9771" w14:textId="77777777" w:rsidR="0002184F" w:rsidRDefault="0002184F">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Pr>
                <w:rFonts w:ascii="Times New Roman" w:cs="Times New Roman" w:hint="eastAsia"/>
                <w:kern w:val="2"/>
                <w:sz w:val="21"/>
                <w:szCs w:val="21"/>
              </w:rPr>
              <w:lastRenderedPageBreak/>
              <w:t>（</w:t>
            </w:r>
            <w:r>
              <w:rPr>
                <w:rFonts w:ascii="Times New Roman" w:cs="Times New Roman"/>
                <w:kern w:val="2"/>
                <w:sz w:val="21"/>
                <w:szCs w:val="21"/>
              </w:rPr>
              <w:t>3</w:t>
            </w:r>
            <w:r>
              <w:rPr>
                <w:rFonts w:ascii="Times New Roman" w:cs="Times New Roman" w:hint="eastAsia"/>
                <w:kern w:val="2"/>
                <w:sz w:val="21"/>
                <w:szCs w:val="21"/>
              </w:rPr>
              <w:t>）负责编制高纯钇靶标准征求意见稿、编制说明等文件；</w:t>
            </w:r>
          </w:p>
          <w:p w14:paraId="60F18C70" w14:textId="77777777" w:rsidR="0002184F" w:rsidRDefault="0002184F">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4</w:t>
            </w:r>
            <w:r>
              <w:rPr>
                <w:rFonts w:ascii="Times New Roman" w:cs="Times New Roman" w:hint="eastAsia"/>
                <w:kern w:val="2"/>
                <w:sz w:val="21"/>
                <w:szCs w:val="21"/>
              </w:rPr>
              <w:t>）以线上方式组织项目成员的标准讨论会议。</w:t>
            </w:r>
          </w:p>
        </w:tc>
      </w:tr>
      <w:tr w:rsidR="0002184F" w14:paraId="51AA592A" w14:textId="77777777" w:rsidTr="0002184F">
        <w:trPr>
          <w:trHeight w:val="1761"/>
          <w:jc w:val="center"/>
        </w:trPr>
        <w:tc>
          <w:tcPr>
            <w:tcW w:w="4390" w:type="dxa"/>
            <w:vAlign w:val="center"/>
          </w:tcPr>
          <w:p w14:paraId="3F8D7F96" w14:textId="77777777" w:rsidR="0002184F" w:rsidRDefault="0002184F">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Pr>
                <w:rFonts w:ascii="Times New Roman" w:cs="Times New Roman" w:hint="eastAsia"/>
                <w:kern w:val="2"/>
                <w:sz w:val="21"/>
                <w:szCs w:val="21"/>
              </w:rPr>
              <w:lastRenderedPageBreak/>
              <w:t>有研稀土高技术有限公司、包头稀土研究院、虔东稀土集团股份有限公司、湖南稀土金属材料研究院有限责任公司、福建省长汀金龙稀土有限公司、赣州晨光稀土新材料有限公司</w:t>
            </w:r>
          </w:p>
        </w:tc>
        <w:tc>
          <w:tcPr>
            <w:tcW w:w="5243" w:type="dxa"/>
            <w:vAlign w:val="center"/>
          </w:tcPr>
          <w:p w14:paraId="32648558" w14:textId="77777777" w:rsidR="0002184F" w:rsidRDefault="0002184F">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1</w:t>
            </w:r>
            <w:r>
              <w:rPr>
                <w:rFonts w:ascii="Times New Roman" w:cs="Times New Roman" w:hint="eastAsia"/>
                <w:kern w:val="2"/>
                <w:sz w:val="21"/>
                <w:szCs w:val="21"/>
              </w:rPr>
              <w:t>）高纯钇靶生产企业提供各单位产品生产情况及产品质量情况，以及提供下游对产品技术指标需求情况；</w:t>
            </w:r>
          </w:p>
          <w:p w14:paraId="555C515E" w14:textId="120309C4" w:rsidR="0002184F" w:rsidRDefault="0002184F">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2</w:t>
            </w:r>
            <w:r>
              <w:rPr>
                <w:rFonts w:ascii="Times New Roman" w:cs="Times New Roman" w:hint="eastAsia"/>
                <w:kern w:val="2"/>
                <w:sz w:val="21"/>
                <w:szCs w:val="21"/>
              </w:rPr>
              <w:t>）参与征求意见稿的制定。</w:t>
            </w:r>
          </w:p>
        </w:tc>
      </w:tr>
    </w:tbl>
    <w:p w14:paraId="0F2B8E2E" w14:textId="77777777" w:rsidR="00BB261B" w:rsidRDefault="00000000">
      <w:pPr>
        <w:pStyle w:val="afffff0"/>
        <w:tabs>
          <w:tab w:val="clear" w:pos="675"/>
        </w:tabs>
        <w:spacing w:beforeLines="50" w:before="156" w:afterLines="50" w:after="156" w:line="360" w:lineRule="auto"/>
        <w:ind w:left="0" w:firstLine="0"/>
        <w:rPr>
          <w:rFonts w:hAnsi="黑体"/>
          <w:b/>
          <w:bCs/>
          <w:sz w:val="24"/>
          <w:szCs w:val="22"/>
        </w:rPr>
      </w:pPr>
      <w:r>
        <w:rPr>
          <w:rFonts w:hAnsi="黑体" w:hint="eastAsia"/>
          <w:b/>
          <w:bCs/>
          <w:sz w:val="24"/>
          <w:szCs w:val="22"/>
        </w:rPr>
        <w:t>（三）研制背景</w:t>
      </w:r>
    </w:p>
    <w:p w14:paraId="14FA4019" w14:textId="77777777" w:rsidR="00BB261B" w:rsidRDefault="00000000">
      <w:pPr>
        <w:spacing w:line="360" w:lineRule="auto"/>
        <w:rPr>
          <w:b/>
          <w:bCs/>
          <w:sz w:val="24"/>
          <w:szCs w:val="32"/>
        </w:rPr>
      </w:pPr>
      <w:r>
        <w:rPr>
          <w:b/>
          <w:bCs/>
          <w:sz w:val="24"/>
          <w:szCs w:val="32"/>
        </w:rPr>
        <w:t>1</w:t>
      </w:r>
      <w:r>
        <w:rPr>
          <w:rFonts w:hint="eastAsia"/>
          <w:b/>
          <w:bCs/>
          <w:sz w:val="24"/>
          <w:szCs w:val="32"/>
        </w:rPr>
        <w:t>、项目的必要性简述</w:t>
      </w:r>
    </w:p>
    <w:p w14:paraId="5F79BA33" w14:textId="64645041" w:rsidR="00BB261B" w:rsidRDefault="00000000">
      <w:pPr>
        <w:spacing w:line="360" w:lineRule="auto"/>
        <w:ind w:firstLine="420"/>
        <w:rPr>
          <w:color w:val="000000"/>
          <w:kern w:val="0"/>
          <w:szCs w:val="21"/>
        </w:rPr>
      </w:pPr>
      <w:r>
        <w:rPr>
          <w:rFonts w:hint="eastAsia"/>
          <w:color w:val="000000"/>
          <w:kern w:val="0"/>
          <w:szCs w:val="21"/>
        </w:rPr>
        <w:t>近年来，随着稀土功能材料的开发，我国稀土金属的深度提纯技术获得重大突破，实现绝对纯度</w:t>
      </w:r>
      <w:r>
        <w:rPr>
          <w:rFonts w:hint="eastAsia"/>
          <w:color w:val="000000"/>
          <w:kern w:val="0"/>
          <w:szCs w:val="21"/>
        </w:rPr>
        <w:t>99.99 wt.%</w:t>
      </w:r>
      <w:r>
        <w:rPr>
          <w:rFonts w:hint="eastAsia"/>
          <w:color w:val="000000"/>
          <w:kern w:val="0"/>
          <w:szCs w:val="21"/>
        </w:rPr>
        <w:t>级、相对纯度</w:t>
      </w:r>
      <w:r>
        <w:rPr>
          <w:rFonts w:hint="eastAsia"/>
          <w:color w:val="000000"/>
          <w:kern w:val="0"/>
          <w:szCs w:val="21"/>
        </w:rPr>
        <w:t>99.999 wt.%</w:t>
      </w:r>
      <w:r>
        <w:rPr>
          <w:rFonts w:hint="eastAsia"/>
          <w:color w:val="000000"/>
          <w:kern w:val="0"/>
          <w:szCs w:val="21"/>
        </w:rPr>
        <w:t>级超高纯稀土金属钇的批量、稳定制备，且该类高纯产品被科技部评为国家重点新产品，产品指标和制备技术达到国际先进水平，为我国高纯钇靶材产品的制备提供了关键原材料保障，提高了国际竞争力，全球需求量达吨级以上。随着国内外薄膜技术的发展，高纯钇靶成为高新技术产业发展的核心关键材料。</w:t>
      </w:r>
    </w:p>
    <w:p w14:paraId="5BE91C6E" w14:textId="2623CCA8" w:rsidR="00BB261B" w:rsidRDefault="00000000">
      <w:pPr>
        <w:spacing w:line="360" w:lineRule="auto"/>
        <w:ind w:firstLine="420"/>
        <w:rPr>
          <w:color w:val="000000"/>
          <w:kern w:val="0"/>
          <w:szCs w:val="21"/>
        </w:rPr>
      </w:pPr>
      <w:r>
        <w:rPr>
          <w:rFonts w:hint="eastAsia"/>
          <w:color w:val="000000"/>
          <w:kern w:val="0"/>
          <w:szCs w:val="21"/>
        </w:rPr>
        <w:t>由于氧化钇薄膜的高稳定性、较大的介电常数、与硅匹配度好等优良特性，作为溅射镀膜材料高纯钇靶材需求呈现快速增长趋势，广泛应用于电子信息材料、涂层和显示材料等领域，</w:t>
      </w:r>
      <w:r>
        <w:rPr>
          <w:rFonts w:hint="eastAsia"/>
          <w:color w:val="000000"/>
          <w:kern w:val="0"/>
          <w:szCs w:val="21"/>
        </w:rPr>
        <w:t>8</w:t>
      </w:r>
      <w:r>
        <w:rPr>
          <w:rFonts w:hint="eastAsia"/>
          <w:color w:val="000000"/>
          <w:kern w:val="0"/>
          <w:szCs w:val="21"/>
        </w:rPr>
        <w:t>英寸年需求超过百片，预计</w:t>
      </w:r>
      <w:r>
        <w:rPr>
          <w:rFonts w:hint="eastAsia"/>
          <w:color w:val="000000"/>
          <w:kern w:val="0"/>
          <w:szCs w:val="21"/>
        </w:rPr>
        <w:t>5</w:t>
      </w:r>
      <w:r>
        <w:rPr>
          <w:rFonts w:hint="eastAsia"/>
          <w:color w:val="000000"/>
          <w:kern w:val="0"/>
          <w:szCs w:val="21"/>
        </w:rPr>
        <w:t>年内</w:t>
      </w:r>
      <w:r>
        <w:rPr>
          <w:rFonts w:hint="eastAsia"/>
          <w:color w:val="000000"/>
          <w:kern w:val="0"/>
          <w:szCs w:val="21"/>
        </w:rPr>
        <w:t>12~20</w:t>
      </w:r>
      <w:r>
        <w:rPr>
          <w:rFonts w:hint="eastAsia"/>
          <w:color w:val="000000"/>
          <w:kern w:val="0"/>
          <w:szCs w:val="21"/>
        </w:rPr>
        <w:t>英寸超过千片。电子信息行业对产品的要求越来越高，不仅要求纯度高、不同用途对某些关键杂质种类和含量有严苛要求，而且还对晶粒尺寸、表面粗糙度、公差、致密度、外观和内部质量等方面有严格要求。然而，由于我国高纯钇靶标准尚未建立，现有金属钇靶的纯度偏低，采用相对纯度已难以满足新的应用要求，市售金属钇靶产品的纯度、杂质种类、含量、晶粒尺寸等性能悬殊，其质量参差不齐，不利于行业推广，主要体现在两方面：</w:t>
      </w:r>
    </w:p>
    <w:p w14:paraId="18F48300" w14:textId="466F11DD" w:rsidR="00BB261B" w:rsidRDefault="00000000">
      <w:pPr>
        <w:spacing w:line="360" w:lineRule="auto"/>
        <w:ind w:firstLine="420"/>
        <w:rPr>
          <w:color w:val="000000"/>
          <w:kern w:val="0"/>
          <w:szCs w:val="21"/>
        </w:rPr>
      </w:pPr>
      <w:r>
        <w:rPr>
          <w:rFonts w:hint="eastAsia"/>
          <w:color w:val="000000"/>
          <w:kern w:val="0"/>
          <w:szCs w:val="21"/>
        </w:rPr>
        <w:t>一是靶材行业通常采用绝对纯度表示，且调研多家稀土靶材制造企业和靶材应用企业，要求</w:t>
      </w:r>
      <w:r>
        <w:rPr>
          <w:rFonts w:hint="eastAsia"/>
          <w:color w:val="000000"/>
          <w:kern w:val="0"/>
          <w:szCs w:val="21"/>
        </w:rPr>
        <w:t>Th</w:t>
      </w:r>
      <w:r>
        <w:rPr>
          <w:rFonts w:hint="eastAsia"/>
          <w:color w:val="000000"/>
          <w:kern w:val="0"/>
          <w:szCs w:val="21"/>
        </w:rPr>
        <w:t>、</w:t>
      </w:r>
      <w:r>
        <w:rPr>
          <w:rFonts w:hint="eastAsia"/>
          <w:color w:val="000000"/>
          <w:kern w:val="0"/>
          <w:szCs w:val="21"/>
        </w:rPr>
        <w:t>U</w:t>
      </w:r>
      <w:r>
        <w:rPr>
          <w:rFonts w:hint="eastAsia"/>
          <w:color w:val="000000"/>
          <w:kern w:val="0"/>
          <w:szCs w:val="21"/>
        </w:rPr>
        <w:t>均不大于</w:t>
      </w:r>
      <w:r>
        <w:rPr>
          <w:rFonts w:hint="eastAsia"/>
          <w:color w:val="000000"/>
          <w:kern w:val="0"/>
          <w:szCs w:val="21"/>
        </w:rPr>
        <w:t>1ppm</w:t>
      </w:r>
      <w:r>
        <w:rPr>
          <w:rFonts w:hint="eastAsia"/>
          <w:color w:val="000000"/>
          <w:kern w:val="0"/>
          <w:szCs w:val="21"/>
        </w:rPr>
        <w:t>，</w:t>
      </w:r>
      <w:r>
        <w:rPr>
          <w:rFonts w:hint="eastAsia"/>
          <w:color w:val="000000"/>
          <w:kern w:val="0"/>
          <w:szCs w:val="21"/>
        </w:rPr>
        <w:t>Ta+ Nb + Mo + W</w:t>
      </w:r>
      <w:r>
        <w:rPr>
          <w:rFonts w:hint="eastAsia"/>
          <w:color w:val="000000"/>
          <w:kern w:val="0"/>
          <w:szCs w:val="21"/>
        </w:rPr>
        <w:t>合量不大于</w:t>
      </w:r>
      <w:r>
        <w:rPr>
          <w:rFonts w:hint="eastAsia"/>
          <w:color w:val="000000"/>
          <w:kern w:val="0"/>
          <w:szCs w:val="21"/>
        </w:rPr>
        <w:t>1</w:t>
      </w:r>
      <w:r>
        <w:rPr>
          <w:color w:val="000000"/>
          <w:kern w:val="0"/>
          <w:szCs w:val="21"/>
        </w:rPr>
        <w:t>00</w:t>
      </w:r>
      <w:r>
        <w:rPr>
          <w:rFonts w:hint="eastAsia"/>
          <w:color w:val="000000"/>
          <w:kern w:val="0"/>
          <w:szCs w:val="21"/>
        </w:rPr>
        <w:t>ppm</w:t>
      </w:r>
      <w:r>
        <w:rPr>
          <w:rFonts w:hint="eastAsia"/>
          <w:color w:val="000000"/>
          <w:kern w:val="0"/>
          <w:szCs w:val="21"/>
        </w:rPr>
        <w:t>，更为严苛需不大于</w:t>
      </w:r>
      <w:r>
        <w:rPr>
          <w:rFonts w:hint="eastAsia"/>
          <w:color w:val="000000"/>
          <w:kern w:val="0"/>
          <w:szCs w:val="21"/>
        </w:rPr>
        <w:t>5ppm</w:t>
      </w:r>
      <w:r>
        <w:rPr>
          <w:rFonts w:hint="eastAsia"/>
          <w:color w:val="000000"/>
          <w:kern w:val="0"/>
          <w:szCs w:val="21"/>
        </w:rPr>
        <w:t>，</w:t>
      </w:r>
      <w:r>
        <w:rPr>
          <w:rFonts w:hint="eastAsia"/>
          <w:color w:val="000000"/>
          <w:kern w:val="0"/>
          <w:szCs w:val="21"/>
        </w:rPr>
        <w:t>Fe</w:t>
      </w:r>
      <w:r>
        <w:rPr>
          <w:rFonts w:hint="eastAsia"/>
          <w:color w:val="000000"/>
          <w:kern w:val="0"/>
          <w:szCs w:val="21"/>
        </w:rPr>
        <w:t>、</w:t>
      </w:r>
      <w:r>
        <w:rPr>
          <w:rFonts w:hint="eastAsia"/>
          <w:color w:val="000000"/>
          <w:kern w:val="0"/>
          <w:szCs w:val="21"/>
        </w:rPr>
        <w:t>Ni</w:t>
      </w:r>
      <w:r>
        <w:rPr>
          <w:rFonts w:hint="eastAsia"/>
          <w:color w:val="000000"/>
          <w:kern w:val="0"/>
          <w:szCs w:val="21"/>
        </w:rPr>
        <w:t>、</w:t>
      </w:r>
      <w:r>
        <w:rPr>
          <w:rFonts w:hint="eastAsia"/>
          <w:color w:val="000000"/>
          <w:kern w:val="0"/>
          <w:szCs w:val="21"/>
        </w:rPr>
        <w:t>Al</w:t>
      </w:r>
      <w:r>
        <w:rPr>
          <w:rFonts w:hint="eastAsia"/>
          <w:color w:val="000000"/>
          <w:kern w:val="0"/>
          <w:szCs w:val="21"/>
        </w:rPr>
        <w:t>、</w:t>
      </w:r>
      <w:r>
        <w:rPr>
          <w:rFonts w:hint="eastAsia"/>
          <w:color w:val="000000"/>
          <w:kern w:val="0"/>
          <w:szCs w:val="21"/>
        </w:rPr>
        <w:t>Cu</w:t>
      </w:r>
      <w:r>
        <w:rPr>
          <w:rFonts w:hint="eastAsia"/>
          <w:color w:val="000000"/>
          <w:kern w:val="0"/>
          <w:szCs w:val="21"/>
        </w:rPr>
        <w:t>等杂质均不大于</w:t>
      </w:r>
      <w:r>
        <w:rPr>
          <w:rFonts w:hint="eastAsia"/>
          <w:color w:val="000000"/>
          <w:kern w:val="0"/>
          <w:szCs w:val="21"/>
        </w:rPr>
        <w:t>1</w:t>
      </w:r>
      <w:r>
        <w:rPr>
          <w:color w:val="000000"/>
          <w:kern w:val="0"/>
          <w:szCs w:val="21"/>
        </w:rPr>
        <w:t>00</w:t>
      </w:r>
      <w:r>
        <w:rPr>
          <w:rFonts w:hint="eastAsia"/>
          <w:color w:val="000000"/>
          <w:kern w:val="0"/>
          <w:szCs w:val="21"/>
        </w:rPr>
        <w:t>ppm</w:t>
      </w:r>
      <w:r>
        <w:rPr>
          <w:rFonts w:hint="eastAsia"/>
          <w:color w:val="000000"/>
          <w:kern w:val="0"/>
          <w:szCs w:val="21"/>
        </w:rPr>
        <w:t>；靶材除对金属杂质有规定外，同时对气体杂质有要求，其中</w:t>
      </w:r>
      <w:r>
        <w:rPr>
          <w:rFonts w:hint="eastAsia"/>
          <w:color w:val="000000"/>
          <w:kern w:val="0"/>
          <w:szCs w:val="21"/>
        </w:rPr>
        <w:t>N</w:t>
      </w:r>
      <w:r>
        <w:rPr>
          <w:rFonts w:hint="eastAsia"/>
          <w:color w:val="000000"/>
          <w:kern w:val="0"/>
          <w:szCs w:val="21"/>
        </w:rPr>
        <w:t>、</w:t>
      </w:r>
      <w:r>
        <w:rPr>
          <w:rFonts w:hint="eastAsia"/>
          <w:color w:val="000000"/>
          <w:kern w:val="0"/>
          <w:szCs w:val="21"/>
        </w:rPr>
        <w:t>S</w:t>
      </w:r>
      <w:r>
        <w:rPr>
          <w:rFonts w:hint="eastAsia"/>
          <w:color w:val="000000"/>
          <w:kern w:val="0"/>
          <w:szCs w:val="21"/>
        </w:rPr>
        <w:t>不大于</w:t>
      </w:r>
      <w:r>
        <w:rPr>
          <w:rFonts w:hint="eastAsia"/>
          <w:color w:val="000000"/>
          <w:kern w:val="0"/>
          <w:szCs w:val="21"/>
        </w:rPr>
        <w:t>1</w:t>
      </w:r>
      <w:r>
        <w:rPr>
          <w:color w:val="000000"/>
          <w:kern w:val="0"/>
          <w:szCs w:val="21"/>
        </w:rPr>
        <w:t>0</w:t>
      </w:r>
      <w:r>
        <w:rPr>
          <w:rFonts w:hint="eastAsia"/>
          <w:color w:val="000000"/>
          <w:kern w:val="0"/>
          <w:szCs w:val="21"/>
        </w:rPr>
        <w:t>ppm</w:t>
      </w:r>
      <w:r>
        <w:rPr>
          <w:rFonts w:hint="eastAsia"/>
          <w:color w:val="000000"/>
          <w:kern w:val="0"/>
          <w:szCs w:val="21"/>
        </w:rPr>
        <w:t>，</w:t>
      </w:r>
      <w:r>
        <w:rPr>
          <w:rFonts w:hint="eastAsia"/>
          <w:color w:val="000000"/>
          <w:kern w:val="0"/>
          <w:szCs w:val="21"/>
        </w:rPr>
        <w:t>C</w:t>
      </w:r>
      <w:r>
        <w:rPr>
          <w:rFonts w:hint="eastAsia"/>
          <w:color w:val="000000"/>
          <w:kern w:val="0"/>
          <w:szCs w:val="21"/>
        </w:rPr>
        <w:t>不得大于</w:t>
      </w:r>
      <w:r>
        <w:rPr>
          <w:rFonts w:hint="eastAsia"/>
          <w:color w:val="000000"/>
          <w:kern w:val="0"/>
          <w:szCs w:val="21"/>
        </w:rPr>
        <w:t>1</w:t>
      </w:r>
      <w:r>
        <w:rPr>
          <w:color w:val="000000"/>
          <w:kern w:val="0"/>
          <w:szCs w:val="21"/>
        </w:rPr>
        <w:t>00</w:t>
      </w:r>
      <w:r>
        <w:rPr>
          <w:rFonts w:hint="eastAsia"/>
          <w:color w:val="000000"/>
          <w:kern w:val="0"/>
          <w:szCs w:val="21"/>
        </w:rPr>
        <w:t>ppm</w:t>
      </w:r>
      <w:r>
        <w:rPr>
          <w:rFonts w:hint="eastAsia"/>
          <w:color w:val="000000"/>
          <w:kern w:val="0"/>
          <w:szCs w:val="21"/>
        </w:rPr>
        <w:t>或</w:t>
      </w:r>
      <w:r>
        <w:rPr>
          <w:rFonts w:hint="eastAsia"/>
          <w:color w:val="000000"/>
          <w:kern w:val="0"/>
          <w:szCs w:val="21"/>
        </w:rPr>
        <w:t>2</w:t>
      </w:r>
      <w:r>
        <w:rPr>
          <w:color w:val="000000"/>
          <w:kern w:val="0"/>
          <w:szCs w:val="21"/>
        </w:rPr>
        <w:t>00</w:t>
      </w:r>
      <w:r>
        <w:rPr>
          <w:rFonts w:hint="eastAsia"/>
          <w:color w:val="000000"/>
          <w:kern w:val="0"/>
          <w:szCs w:val="21"/>
        </w:rPr>
        <w:t>ppm</w:t>
      </w:r>
      <w:r>
        <w:rPr>
          <w:rFonts w:hint="eastAsia"/>
          <w:color w:val="000000"/>
          <w:kern w:val="0"/>
          <w:szCs w:val="21"/>
        </w:rPr>
        <w:t>，</w:t>
      </w:r>
      <w:r>
        <w:rPr>
          <w:rFonts w:hint="eastAsia"/>
          <w:color w:val="000000"/>
          <w:kern w:val="0"/>
          <w:szCs w:val="21"/>
        </w:rPr>
        <w:t>O</w:t>
      </w:r>
      <w:r>
        <w:rPr>
          <w:rFonts w:hint="eastAsia"/>
          <w:color w:val="000000"/>
          <w:kern w:val="0"/>
          <w:szCs w:val="21"/>
        </w:rPr>
        <w:t>含量不大于</w:t>
      </w:r>
      <w:r>
        <w:rPr>
          <w:rFonts w:hint="eastAsia"/>
          <w:color w:val="000000"/>
          <w:kern w:val="0"/>
          <w:szCs w:val="21"/>
        </w:rPr>
        <w:t>1</w:t>
      </w:r>
      <w:r>
        <w:rPr>
          <w:color w:val="000000"/>
          <w:kern w:val="0"/>
          <w:szCs w:val="21"/>
        </w:rPr>
        <w:t>500</w:t>
      </w:r>
      <w:r>
        <w:rPr>
          <w:rFonts w:hint="eastAsia"/>
          <w:color w:val="000000"/>
          <w:kern w:val="0"/>
          <w:szCs w:val="21"/>
        </w:rPr>
        <w:t>ppm</w:t>
      </w:r>
      <w:r>
        <w:rPr>
          <w:rFonts w:hint="eastAsia"/>
          <w:color w:val="000000"/>
          <w:kern w:val="0"/>
          <w:szCs w:val="21"/>
        </w:rPr>
        <w:t>，对于</w:t>
      </w:r>
      <w:r>
        <w:rPr>
          <w:color w:val="000000"/>
          <w:kern w:val="0"/>
          <w:szCs w:val="21"/>
        </w:rPr>
        <w:t>4</w:t>
      </w:r>
      <w:r>
        <w:rPr>
          <w:rFonts w:hint="eastAsia"/>
          <w:color w:val="000000"/>
          <w:kern w:val="0"/>
          <w:szCs w:val="21"/>
        </w:rPr>
        <w:t>N</w:t>
      </w:r>
      <w:r>
        <w:rPr>
          <w:rFonts w:hint="eastAsia"/>
          <w:color w:val="000000"/>
          <w:kern w:val="0"/>
          <w:szCs w:val="21"/>
        </w:rPr>
        <w:t>的</w:t>
      </w:r>
      <w:r>
        <w:rPr>
          <w:rFonts w:hint="eastAsia"/>
          <w:color w:val="000000"/>
          <w:kern w:val="0"/>
          <w:szCs w:val="21"/>
        </w:rPr>
        <w:t>Y</w:t>
      </w:r>
      <w:r>
        <w:rPr>
          <w:rFonts w:hint="eastAsia"/>
          <w:color w:val="000000"/>
          <w:kern w:val="0"/>
          <w:szCs w:val="21"/>
        </w:rPr>
        <w:t>靶，</w:t>
      </w:r>
      <w:r>
        <w:rPr>
          <w:rFonts w:hint="eastAsia"/>
          <w:color w:val="000000"/>
          <w:kern w:val="0"/>
          <w:szCs w:val="21"/>
        </w:rPr>
        <w:t>O</w:t>
      </w:r>
      <w:r>
        <w:rPr>
          <w:rFonts w:hint="eastAsia"/>
          <w:color w:val="000000"/>
          <w:kern w:val="0"/>
          <w:szCs w:val="21"/>
        </w:rPr>
        <w:t>含量不大于</w:t>
      </w:r>
      <w:r>
        <w:rPr>
          <w:rFonts w:hint="eastAsia"/>
          <w:color w:val="000000"/>
          <w:kern w:val="0"/>
          <w:szCs w:val="21"/>
        </w:rPr>
        <w:t>5</w:t>
      </w:r>
      <w:r>
        <w:rPr>
          <w:color w:val="000000"/>
          <w:kern w:val="0"/>
          <w:szCs w:val="21"/>
        </w:rPr>
        <w:t>00</w:t>
      </w:r>
      <w:r>
        <w:rPr>
          <w:rFonts w:hint="eastAsia"/>
          <w:color w:val="000000"/>
          <w:kern w:val="0"/>
          <w:szCs w:val="21"/>
        </w:rPr>
        <w:t>ppm</w:t>
      </w:r>
      <w:r>
        <w:rPr>
          <w:rFonts w:hint="eastAsia"/>
          <w:color w:val="000000"/>
          <w:kern w:val="0"/>
          <w:szCs w:val="21"/>
        </w:rPr>
        <w:t>；此外还要求焊接的钇靶材焊合率不低于</w:t>
      </w:r>
      <w:r>
        <w:rPr>
          <w:rFonts w:hint="eastAsia"/>
          <w:color w:val="000000"/>
          <w:kern w:val="0"/>
          <w:szCs w:val="21"/>
        </w:rPr>
        <w:t>9</w:t>
      </w:r>
      <w:r>
        <w:rPr>
          <w:color w:val="000000"/>
          <w:kern w:val="0"/>
          <w:szCs w:val="21"/>
        </w:rPr>
        <w:t>5%</w:t>
      </w:r>
      <w:r>
        <w:rPr>
          <w:rFonts w:hint="eastAsia"/>
          <w:color w:val="000000"/>
          <w:kern w:val="0"/>
          <w:szCs w:val="21"/>
        </w:rPr>
        <w:t>；</w:t>
      </w:r>
    </w:p>
    <w:p w14:paraId="77526512" w14:textId="4EB903ED" w:rsidR="00BB261B" w:rsidRDefault="00000000">
      <w:pPr>
        <w:spacing w:line="360" w:lineRule="auto"/>
        <w:ind w:firstLine="420"/>
        <w:rPr>
          <w:color w:val="000000"/>
          <w:kern w:val="0"/>
          <w:szCs w:val="21"/>
        </w:rPr>
      </w:pPr>
      <w:r>
        <w:rPr>
          <w:rFonts w:hint="eastAsia"/>
          <w:color w:val="000000"/>
          <w:kern w:val="0"/>
          <w:szCs w:val="21"/>
        </w:rPr>
        <w:t>二是现行金属钇（</w:t>
      </w:r>
      <w:r>
        <w:rPr>
          <w:rFonts w:hint="eastAsia"/>
          <w:color w:val="000000"/>
          <w:kern w:val="0"/>
          <w:szCs w:val="21"/>
        </w:rPr>
        <w:t>XB</w:t>
      </w:r>
      <w:r>
        <w:rPr>
          <w:rFonts w:hint="eastAsia"/>
          <w:color w:val="000000"/>
          <w:kern w:val="0"/>
          <w:szCs w:val="21"/>
        </w:rPr>
        <w:t>∕</w:t>
      </w:r>
      <w:r>
        <w:rPr>
          <w:rFonts w:hint="eastAsia"/>
          <w:color w:val="000000"/>
          <w:kern w:val="0"/>
          <w:szCs w:val="21"/>
        </w:rPr>
        <w:t>T 218</w:t>
      </w:r>
      <w:r>
        <w:rPr>
          <w:rFonts w:hint="eastAsia"/>
          <w:color w:val="000000"/>
          <w:kern w:val="0"/>
          <w:szCs w:val="21"/>
        </w:rPr>
        <w:t>）标准采用相对纯度表示，且最高纯度</w:t>
      </w:r>
      <w:r>
        <w:rPr>
          <w:rFonts w:hint="eastAsia"/>
          <w:color w:val="000000"/>
          <w:kern w:val="0"/>
          <w:szCs w:val="21"/>
        </w:rPr>
        <w:t>Y-4N</w:t>
      </w:r>
      <w:r>
        <w:rPr>
          <w:rFonts w:hint="eastAsia"/>
          <w:color w:val="000000"/>
          <w:kern w:val="0"/>
          <w:szCs w:val="21"/>
        </w:rPr>
        <w:t>中稀土杂质≤</w:t>
      </w:r>
      <w:r>
        <w:rPr>
          <w:rFonts w:hint="eastAsia"/>
          <w:color w:val="000000"/>
          <w:kern w:val="0"/>
          <w:szCs w:val="21"/>
        </w:rPr>
        <w:t>1</w:t>
      </w:r>
      <w:r>
        <w:rPr>
          <w:color w:val="000000"/>
          <w:kern w:val="0"/>
          <w:szCs w:val="21"/>
        </w:rPr>
        <w:t>00</w:t>
      </w:r>
      <w:r>
        <w:rPr>
          <w:rFonts w:hint="eastAsia"/>
          <w:color w:val="000000"/>
          <w:kern w:val="0"/>
          <w:szCs w:val="21"/>
        </w:rPr>
        <w:t xml:space="preserve"> ppm</w:t>
      </w:r>
      <w:r>
        <w:rPr>
          <w:rFonts w:hint="eastAsia"/>
          <w:color w:val="000000"/>
          <w:kern w:val="0"/>
          <w:szCs w:val="21"/>
        </w:rPr>
        <w:t>、</w:t>
      </w:r>
      <w:r>
        <w:rPr>
          <w:rFonts w:hint="eastAsia"/>
          <w:color w:val="000000"/>
          <w:kern w:val="0"/>
          <w:szCs w:val="21"/>
        </w:rPr>
        <w:t>Si</w:t>
      </w:r>
      <w:r>
        <w:rPr>
          <w:rFonts w:hint="eastAsia"/>
          <w:color w:val="000000"/>
          <w:kern w:val="0"/>
          <w:szCs w:val="21"/>
        </w:rPr>
        <w:t>≤</w:t>
      </w:r>
      <w:r>
        <w:rPr>
          <w:color w:val="000000"/>
          <w:kern w:val="0"/>
          <w:szCs w:val="21"/>
        </w:rPr>
        <w:t>100</w:t>
      </w:r>
      <w:r>
        <w:rPr>
          <w:rFonts w:hint="eastAsia"/>
          <w:color w:val="000000"/>
          <w:kern w:val="0"/>
          <w:szCs w:val="21"/>
        </w:rPr>
        <w:t>ppm</w:t>
      </w:r>
      <w:r>
        <w:rPr>
          <w:rFonts w:hint="eastAsia"/>
          <w:color w:val="000000"/>
          <w:kern w:val="0"/>
          <w:szCs w:val="21"/>
        </w:rPr>
        <w:t>、</w:t>
      </w:r>
      <w:r>
        <w:rPr>
          <w:rFonts w:hint="eastAsia"/>
          <w:color w:val="000000"/>
          <w:kern w:val="0"/>
          <w:szCs w:val="21"/>
        </w:rPr>
        <w:t>Ca</w:t>
      </w:r>
      <w:r>
        <w:rPr>
          <w:rFonts w:hint="eastAsia"/>
          <w:color w:val="000000"/>
          <w:kern w:val="0"/>
          <w:szCs w:val="21"/>
        </w:rPr>
        <w:t>≤</w:t>
      </w:r>
      <w:r>
        <w:rPr>
          <w:color w:val="000000"/>
          <w:kern w:val="0"/>
          <w:szCs w:val="21"/>
        </w:rPr>
        <w:t>100</w:t>
      </w:r>
      <w:r>
        <w:rPr>
          <w:rFonts w:hint="eastAsia"/>
          <w:color w:val="000000"/>
          <w:kern w:val="0"/>
          <w:szCs w:val="21"/>
        </w:rPr>
        <w:t xml:space="preserve"> ppm</w:t>
      </w:r>
      <w:r>
        <w:rPr>
          <w:rFonts w:hint="eastAsia"/>
          <w:color w:val="000000"/>
          <w:kern w:val="0"/>
          <w:szCs w:val="21"/>
        </w:rPr>
        <w:t>、</w:t>
      </w:r>
      <w:r>
        <w:rPr>
          <w:rFonts w:hint="eastAsia"/>
          <w:color w:val="000000"/>
          <w:kern w:val="0"/>
          <w:szCs w:val="21"/>
        </w:rPr>
        <w:t>Fe</w:t>
      </w:r>
      <w:r>
        <w:rPr>
          <w:rFonts w:hint="eastAsia"/>
          <w:color w:val="000000"/>
          <w:kern w:val="0"/>
          <w:szCs w:val="21"/>
        </w:rPr>
        <w:t>≤</w:t>
      </w:r>
      <w:r>
        <w:rPr>
          <w:rFonts w:hint="eastAsia"/>
          <w:color w:val="000000"/>
          <w:kern w:val="0"/>
          <w:szCs w:val="21"/>
        </w:rPr>
        <w:t>1</w:t>
      </w:r>
      <w:r>
        <w:rPr>
          <w:color w:val="000000"/>
          <w:kern w:val="0"/>
          <w:szCs w:val="21"/>
        </w:rPr>
        <w:t>00</w:t>
      </w:r>
      <w:r>
        <w:rPr>
          <w:rFonts w:hint="eastAsia"/>
          <w:color w:val="000000"/>
          <w:kern w:val="0"/>
          <w:szCs w:val="21"/>
        </w:rPr>
        <w:t>ppm</w:t>
      </w:r>
      <w:r>
        <w:rPr>
          <w:rFonts w:hint="eastAsia"/>
          <w:color w:val="000000"/>
          <w:kern w:val="0"/>
          <w:szCs w:val="21"/>
        </w:rPr>
        <w:t>、</w:t>
      </w:r>
      <w:r>
        <w:rPr>
          <w:rFonts w:hint="eastAsia"/>
          <w:color w:val="000000"/>
          <w:kern w:val="0"/>
          <w:szCs w:val="21"/>
        </w:rPr>
        <w:t>Ni</w:t>
      </w:r>
      <w:r>
        <w:rPr>
          <w:rFonts w:hint="eastAsia"/>
          <w:color w:val="000000"/>
          <w:kern w:val="0"/>
          <w:szCs w:val="21"/>
        </w:rPr>
        <w:t>≤</w:t>
      </w:r>
      <w:r>
        <w:rPr>
          <w:color w:val="000000"/>
          <w:kern w:val="0"/>
          <w:szCs w:val="21"/>
        </w:rPr>
        <w:t>100ppm</w:t>
      </w:r>
      <w:r>
        <w:rPr>
          <w:rFonts w:hint="eastAsia"/>
          <w:color w:val="000000"/>
          <w:kern w:val="0"/>
          <w:szCs w:val="21"/>
        </w:rPr>
        <w:t>、</w:t>
      </w:r>
      <w:r>
        <w:rPr>
          <w:rFonts w:hint="eastAsia"/>
          <w:color w:val="000000"/>
          <w:kern w:val="0"/>
          <w:szCs w:val="21"/>
        </w:rPr>
        <w:t>Mg</w:t>
      </w:r>
      <w:r>
        <w:rPr>
          <w:rFonts w:hint="eastAsia"/>
          <w:color w:val="000000"/>
          <w:kern w:val="0"/>
          <w:szCs w:val="21"/>
        </w:rPr>
        <w:t>≤</w:t>
      </w:r>
      <w:r>
        <w:rPr>
          <w:color w:val="000000"/>
          <w:kern w:val="0"/>
          <w:szCs w:val="21"/>
        </w:rPr>
        <w:t>100ppm</w:t>
      </w:r>
      <w:r>
        <w:rPr>
          <w:rFonts w:hint="eastAsia"/>
          <w:color w:val="000000"/>
          <w:kern w:val="0"/>
          <w:szCs w:val="21"/>
        </w:rPr>
        <w:t>、（</w:t>
      </w:r>
      <w:proofErr w:type="spellStart"/>
      <w:r>
        <w:rPr>
          <w:rFonts w:hint="eastAsia"/>
          <w:color w:val="000000"/>
          <w:kern w:val="0"/>
          <w:szCs w:val="21"/>
        </w:rPr>
        <w:t>W+Ta+Mo+Nb</w:t>
      </w:r>
      <w:proofErr w:type="spellEnd"/>
      <w:r>
        <w:rPr>
          <w:rFonts w:hint="eastAsia"/>
          <w:color w:val="000000"/>
          <w:kern w:val="0"/>
          <w:szCs w:val="21"/>
        </w:rPr>
        <w:t>）≤</w:t>
      </w:r>
      <w:r>
        <w:rPr>
          <w:color w:val="000000"/>
          <w:kern w:val="0"/>
          <w:szCs w:val="21"/>
        </w:rPr>
        <w:t>1000ppm</w:t>
      </w:r>
      <w:r>
        <w:rPr>
          <w:rFonts w:hint="eastAsia"/>
          <w:color w:val="000000"/>
          <w:kern w:val="0"/>
          <w:szCs w:val="21"/>
        </w:rPr>
        <w:t>、</w:t>
      </w:r>
      <w:r>
        <w:rPr>
          <w:rFonts w:hint="eastAsia"/>
          <w:color w:val="000000"/>
          <w:kern w:val="0"/>
          <w:szCs w:val="21"/>
        </w:rPr>
        <w:t>C</w:t>
      </w:r>
      <w:r>
        <w:rPr>
          <w:rFonts w:hint="eastAsia"/>
          <w:color w:val="000000"/>
          <w:kern w:val="0"/>
          <w:szCs w:val="21"/>
        </w:rPr>
        <w:t>≤</w:t>
      </w:r>
      <w:r>
        <w:rPr>
          <w:color w:val="000000"/>
          <w:kern w:val="0"/>
          <w:szCs w:val="21"/>
        </w:rPr>
        <w:t>200ppm</w:t>
      </w:r>
      <w:r>
        <w:rPr>
          <w:rFonts w:hint="eastAsia"/>
          <w:color w:val="000000"/>
          <w:kern w:val="0"/>
          <w:szCs w:val="21"/>
        </w:rPr>
        <w:t>、</w:t>
      </w:r>
      <w:r>
        <w:rPr>
          <w:rFonts w:hint="eastAsia"/>
          <w:color w:val="000000"/>
          <w:kern w:val="0"/>
          <w:szCs w:val="21"/>
        </w:rPr>
        <w:t>O</w:t>
      </w:r>
      <w:r>
        <w:rPr>
          <w:rFonts w:hint="eastAsia"/>
          <w:color w:val="000000"/>
          <w:kern w:val="0"/>
          <w:szCs w:val="21"/>
        </w:rPr>
        <w:t>≤</w:t>
      </w:r>
      <w:r>
        <w:rPr>
          <w:color w:val="000000"/>
          <w:kern w:val="0"/>
          <w:szCs w:val="21"/>
        </w:rPr>
        <w:t>1000ppm</w:t>
      </w:r>
      <w:r>
        <w:rPr>
          <w:rFonts w:hint="eastAsia"/>
          <w:color w:val="000000"/>
          <w:kern w:val="0"/>
          <w:szCs w:val="21"/>
        </w:rPr>
        <w:t>，与实际应用要求相差较大，如本标准中的最低牌号</w:t>
      </w:r>
      <w:r>
        <w:rPr>
          <w:rFonts w:hint="eastAsia"/>
          <w:color w:val="000000"/>
          <w:kern w:val="0"/>
          <w:szCs w:val="21"/>
        </w:rPr>
        <w:t>HT</w:t>
      </w:r>
      <w:r>
        <w:rPr>
          <w:color w:val="000000"/>
          <w:kern w:val="0"/>
          <w:szCs w:val="21"/>
        </w:rPr>
        <w:t>-</w:t>
      </w:r>
      <w:r>
        <w:rPr>
          <w:rFonts w:hint="eastAsia"/>
          <w:color w:val="000000"/>
          <w:kern w:val="0"/>
          <w:szCs w:val="21"/>
        </w:rPr>
        <w:t>Y</w:t>
      </w:r>
      <w:r>
        <w:rPr>
          <w:color w:val="000000"/>
          <w:kern w:val="0"/>
          <w:szCs w:val="21"/>
        </w:rPr>
        <w:t>-3</w:t>
      </w:r>
      <w:r>
        <w:rPr>
          <w:rFonts w:hint="eastAsia"/>
          <w:color w:val="000000"/>
          <w:kern w:val="0"/>
          <w:szCs w:val="21"/>
        </w:rPr>
        <w:t>N</w:t>
      </w:r>
      <w:r>
        <w:rPr>
          <w:rFonts w:hint="eastAsia"/>
          <w:color w:val="000000"/>
          <w:kern w:val="0"/>
          <w:szCs w:val="21"/>
        </w:rPr>
        <w:t>，杂质合量不大于</w:t>
      </w:r>
      <w:r>
        <w:rPr>
          <w:rFonts w:hint="eastAsia"/>
          <w:color w:val="000000"/>
          <w:kern w:val="0"/>
          <w:szCs w:val="21"/>
        </w:rPr>
        <w:t>1</w:t>
      </w:r>
      <w:r>
        <w:rPr>
          <w:color w:val="000000"/>
          <w:kern w:val="0"/>
          <w:szCs w:val="21"/>
        </w:rPr>
        <w:t>000</w:t>
      </w:r>
      <w:r>
        <w:rPr>
          <w:rFonts w:hint="eastAsia"/>
          <w:color w:val="000000"/>
          <w:kern w:val="0"/>
          <w:szCs w:val="21"/>
        </w:rPr>
        <w:t>ppm</w:t>
      </w:r>
      <w:r>
        <w:rPr>
          <w:rFonts w:hint="eastAsia"/>
          <w:color w:val="000000"/>
          <w:kern w:val="0"/>
          <w:szCs w:val="21"/>
        </w:rPr>
        <w:t>，稀土杂质合量不大于</w:t>
      </w:r>
      <w:r>
        <w:rPr>
          <w:color w:val="000000"/>
          <w:kern w:val="0"/>
          <w:szCs w:val="21"/>
        </w:rPr>
        <w:t>100</w:t>
      </w:r>
      <w:r>
        <w:rPr>
          <w:rFonts w:hint="eastAsia"/>
          <w:color w:val="000000"/>
          <w:kern w:val="0"/>
          <w:szCs w:val="21"/>
        </w:rPr>
        <w:t>ppm</w:t>
      </w:r>
      <w:r>
        <w:rPr>
          <w:rFonts w:hint="eastAsia"/>
          <w:color w:val="000000"/>
          <w:kern w:val="0"/>
          <w:szCs w:val="21"/>
        </w:rPr>
        <w:t>，（</w:t>
      </w:r>
      <w:proofErr w:type="spellStart"/>
      <w:r>
        <w:rPr>
          <w:rFonts w:hint="eastAsia"/>
          <w:color w:val="000000"/>
          <w:kern w:val="0"/>
          <w:szCs w:val="21"/>
        </w:rPr>
        <w:t>W+Ta+Mo+Nb</w:t>
      </w:r>
      <w:proofErr w:type="spellEnd"/>
      <w:r>
        <w:rPr>
          <w:rFonts w:hint="eastAsia"/>
          <w:color w:val="000000"/>
          <w:kern w:val="0"/>
          <w:szCs w:val="21"/>
        </w:rPr>
        <w:t>）≤</w:t>
      </w:r>
      <w:r>
        <w:rPr>
          <w:color w:val="000000"/>
          <w:kern w:val="0"/>
          <w:szCs w:val="21"/>
        </w:rPr>
        <w:t>100</w:t>
      </w:r>
      <w:r>
        <w:rPr>
          <w:rFonts w:hint="eastAsia"/>
          <w:color w:val="000000"/>
          <w:kern w:val="0"/>
          <w:szCs w:val="21"/>
        </w:rPr>
        <w:t>ppm</w:t>
      </w:r>
      <w:r>
        <w:rPr>
          <w:rFonts w:hint="eastAsia"/>
          <w:color w:val="000000"/>
          <w:kern w:val="0"/>
          <w:szCs w:val="21"/>
        </w:rPr>
        <w:t>，</w:t>
      </w:r>
      <w:r>
        <w:rPr>
          <w:rFonts w:hint="eastAsia"/>
          <w:color w:val="000000"/>
          <w:kern w:val="0"/>
          <w:szCs w:val="21"/>
        </w:rPr>
        <w:t>HT</w:t>
      </w:r>
      <w:r>
        <w:rPr>
          <w:color w:val="000000"/>
          <w:kern w:val="0"/>
          <w:szCs w:val="21"/>
        </w:rPr>
        <w:t>-</w:t>
      </w:r>
      <w:r>
        <w:rPr>
          <w:rFonts w:hint="eastAsia"/>
          <w:color w:val="000000"/>
          <w:kern w:val="0"/>
          <w:szCs w:val="21"/>
        </w:rPr>
        <w:t>Y</w:t>
      </w:r>
      <w:r>
        <w:rPr>
          <w:color w:val="000000"/>
          <w:kern w:val="0"/>
          <w:szCs w:val="21"/>
        </w:rPr>
        <w:t>-3</w:t>
      </w:r>
      <w:r>
        <w:rPr>
          <w:rFonts w:hint="eastAsia"/>
          <w:color w:val="000000"/>
          <w:kern w:val="0"/>
          <w:szCs w:val="21"/>
        </w:rPr>
        <w:t>N</w:t>
      </w:r>
      <w:r>
        <w:rPr>
          <w:color w:val="000000"/>
          <w:kern w:val="0"/>
          <w:szCs w:val="21"/>
        </w:rPr>
        <w:t>5</w:t>
      </w:r>
      <w:r>
        <w:rPr>
          <w:rFonts w:hint="eastAsia"/>
          <w:color w:val="000000"/>
          <w:kern w:val="0"/>
          <w:szCs w:val="21"/>
        </w:rPr>
        <w:t>，稀土杂质合量不大于</w:t>
      </w:r>
      <w:r>
        <w:rPr>
          <w:rFonts w:hint="eastAsia"/>
          <w:color w:val="000000"/>
          <w:kern w:val="0"/>
          <w:szCs w:val="21"/>
        </w:rPr>
        <w:t>5</w:t>
      </w:r>
      <w:r>
        <w:rPr>
          <w:color w:val="000000"/>
          <w:kern w:val="0"/>
          <w:szCs w:val="21"/>
        </w:rPr>
        <w:t>0</w:t>
      </w:r>
      <w:r>
        <w:rPr>
          <w:rFonts w:hint="eastAsia"/>
          <w:color w:val="000000"/>
          <w:kern w:val="0"/>
          <w:szCs w:val="21"/>
        </w:rPr>
        <w:t>ppm</w:t>
      </w:r>
      <w:r>
        <w:rPr>
          <w:rFonts w:hint="eastAsia"/>
          <w:color w:val="000000"/>
          <w:kern w:val="0"/>
          <w:szCs w:val="21"/>
        </w:rPr>
        <w:t>，（</w:t>
      </w:r>
      <w:proofErr w:type="spellStart"/>
      <w:r>
        <w:rPr>
          <w:rFonts w:hint="eastAsia"/>
          <w:color w:val="000000"/>
          <w:kern w:val="0"/>
          <w:szCs w:val="21"/>
        </w:rPr>
        <w:t>W+Ta+Mo+Nb</w:t>
      </w:r>
      <w:proofErr w:type="spellEnd"/>
      <w:r>
        <w:rPr>
          <w:rFonts w:hint="eastAsia"/>
          <w:color w:val="000000"/>
          <w:kern w:val="0"/>
          <w:szCs w:val="21"/>
        </w:rPr>
        <w:t>）≤</w:t>
      </w:r>
      <w:r>
        <w:rPr>
          <w:color w:val="000000"/>
          <w:kern w:val="0"/>
          <w:szCs w:val="21"/>
        </w:rPr>
        <w:t>50</w:t>
      </w:r>
      <w:r>
        <w:rPr>
          <w:rFonts w:hint="eastAsia"/>
          <w:color w:val="000000"/>
          <w:kern w:val="0"/>
          <w:szCs w:val="21"/>
        </w:rPr>
        <w:t>ppm</w:t>
      </w:r>
      <w:r>
        <w:rPr>
          <w:rFonts w:hint="eastAsia"/>
          <w:color w:val="000000"/>
          <w:kern w:val="0"/>
          <w:szCs w:val="21"/>
        </w:rPr>
        <w:t>、</w:t>
      </w:r>
      <w:r>
        <w:rPr>
          <w:rFonts w:hint="eastAsia"/>
          <w:color w:val="000000"/>
          <w:kern w:val="0"/>
          <w:szCs w:val="21"/>
        </w:rPr>
        <w:t>Al</w:t>
      </w:r>
      <w:r>
        <w:rPr>
          <w:rFonts w:hint="eastAsia"/>
          <w:color w:val="000000"/>
          <w:kern w:val="0"/>
          <w:szCs w:val="21"/>
        </w:rPr>
        <w:t>、</w:t>
      </w:r>
      <w:r>
        <w:rPr>
          <w:rFonts w:hint="eastAsia"/>
          <w:color w:val="000000"/>
          <w:kern w:val="0"/>
          <w:szCs w:val="21"/>
        </w:rPr>
        <w:t>Fe</w:t>
      </w:r>
      <w:r>
        <w:rPr>
          <w:rFonts w:hint="eastAsia"/>
          <w:color w:val="000000"/>
          <w:kern w:val="0"/>
          <w:szCs w:val="21"/>
        </w:rPr>
        <w:t>、</w:t>
      </w:r>
      <w:r>
        <w:rPr>
          <w:rFonts w:hint="eastAsia"/>
          <w:color w:val="000000"/>
          <w:kern w:val="0"/>
          <w:szCs w:val="21"/>
        </w:rPr>
        <w:t>Ni</w:t>
      </w:r>
      <w:r>
        <w:rPr>
          <w:rFonts w:hint="eastAsia"/>
          <w:color w:val="000000"/>
          <w:kern w:val="0"/>
          <w:szCs w:val="21"/>
        </w:rPr>
        <w:t>等均不大于</w:t>
      </w:r>
      <w:r>
        <w:rPr>
          <w:rFonts w:hint="eastAsia"/>
          <w:color w:val="000000"/>
          <w:kern w:val="0"/>
          <w:szCs w:val="21"/>
        </w:rPr>
        <w:t>5</w:t>
      </w:r>
      <w:r>
        <w:rPr>
          <w:color w:val="000000"/>
          <w:kern w:val="0"/>
          <w:szCs w:val="21"/>
        </w:rPr>
        <w:t>0</w:t>
      </w:r>
      <w:r>
        <w:rPr>
          <w:rFonts w:hint="eastAsia"/>
          <w:color w:val="000000"/>
          <w:kern w:val="0"/>
          <w:szCs w:val="21"/>
        </w:rPr>
        <w:t>ppm</w:t>
      </w:r>
      <w:r>
        <w:rPr>
          <w:rFonts w:hint="eastAsia"/>
          <w:color w:val="000000"/>
          <w:kern w:val="0"/>
          <w:szCs w:val="21"/>
        </w:rPr>
        <w:t>。</w:t>
      </w:r>
    </w:p>
    <w:p w14:paraId="2EFC6E15" w14:textId="2AD886FF" w:rsidR="00BB261B" w:rsidRDefault="00000000">
      <w:pPr>
        <w:spacing w:line="360" w:lineRule="auto"/>
        <w:ind w:firstLine="420"/>
        <w:rPr>
          <w:color w:val="000000"/>
          <w:kern w:val="0"/>
          <w:szCs w:val="21"/>
        </w:rPr>
      </w:pPr>
      <w:r>
        <w:rPr>
          <w:rFonts w:hint="eastAsia"/>
          <w:color w:val="000000"/>
          <w:kern w:val="0"/>
          <w:szCs w:val="21"/>
        </w:rPr>
        <w:lastRenderedPageBreak/>
        <w:t>高纯钇靶是我国稀土新材料领域重点新产品，符合我国标准制定政策鼓励的范畴。《重点新材料首批次应用示范指导目录（</w:t>
      </w:r>
      <w:r>
        <w:rPr>
          <w:rFonts w:hint="eastAsia"/>
          <w:color w:val="000000"/>
          <w:kern w:val="0"/>
          <w:szCs w:val="21"/>
        </w:rPr>
        <w:t>2018</w:t>
      </w:r>
      <w:r>
        <w:rPr>
          <w:rFonts w:hint="eastAsia"/>
          <w:color w:val="000000"/>
          <w:kern w:val="0"/>
          <w:szCs w:val="21"/>
        </w:rPr>
        <w:t>版）》中第</w:t>
      </w:r>
      <w:r>
        <w:rPr>
          <w:rFonts w:hint="eastAsia"/>
          <w:color w:val="000000"/>
          <w:kern w:val="0"/>
          <w:szCs w:val="21"/>
        </w:rPr>
        <w:t>136</w:t>
      </w:r>
      <w:r>
        <w:rPr>
          <w:rFonts w:hint="eastAsia"/>
          <w:color w:val="000000"/>
          <w:kern w:val="0"/>
          <w:szCs w:val="21"/>
        </w:rPr>
        <w:t>条明确提到要发展电子信息用高纯稀土型材（靶材）。国务院办公厅于</w:t>
      </w:r>
      <w:r>
        <w:rPr>
          <w:rFonts w:hint="eastAsia"/>
          <w:color w:val="000000"/>
          <w:kern w:val="0"/>
          <w:szCs w:val="21"/>
        </w:rPr>
        <w:t>2015</w:t>
      </w:r>
      <w:r>
        <w:rPr>
          <w:rFonts w:hint="eastAsia"/>
          <w:color w:val="000000"/>
          <w:kern w:val="0"/>
          <w:szCs w:val="21"/>
        </w:rPr>
        <w:t>年</w:t>
      </w:r>
      <w:r>
        <w:rPr>
          <w:rFonts w:hint="eastAsia"/>
          <w:color w:val="000000"/>
          <w:kern w:val="0"/>
          <w:szCs w:val="21"/>
        </w:rPr>
        <w:t>12</w:t>
      </w:r>
      <w:r>
        <w:rPr>
          <w:rFonts w:hint="eastAsia"/>
          <w:color w:val="000000"/>
          <w:kern w:val="0"/>
          <w:szCs w:val="21"/>
        </w:rPr>
        <w:t>月发布了《国家标准化体系建设发展规划（</w:t>
      </w:r>
      <w:r>
        <w:rPr>
          <w:rFonts w:hint="eastAsia"/>
          <w:color w:val="000000"/>
          <w:kern w:val="0"/>
          <w:szCs w:val="21"/>
        </w:rPr>
        <w:t>2016-2020</w:t>
      </w:r>
      <w:r>
        <w:rPr>
          <w:rFonts w:hint="eastAsia"/>
          <w:color w:val="000000"/>
          <w:kern w:val="0"/>
          <w:szCs w:val="21"/>
        </w:rPr>
        <w:t>年）》，着重健全战略性新兴产业标准体系，加大关键技术标准研制力度，完善钢铁、有色金属、石化、化工、建材、黄金、稀土等原材料工业标准，重点开展新型功能材料、先进结构材料和高性能复合材料等标准研制，积极开展前沿新材料领域标准预研，有效保障新材料推广应用，促进材料工业结构调整。</w:t>
      </w:r>
    </w:p>
    <w:p w14:paraId="2517EFED" w14:textId="046A8529" w:rsidR="00BB261B" w:rsidRDefault="00000000">
      <w:pPr>
        <w:spacing w:line="360" w:lineRule="auto"/>
        <w:ind w:firstLine="420"/>
        <w:rPr>
          <w:color w:val="000000"/>
          <w:kern w:val="0"/>
          <w:szCs w:val="21"/>
        </w:rPr>
      </w:pPr>
      <w:r>
        <w:rPr>
          <w:rFonts w:hint="eastAsia"/>
          <w:color w:val="000000"/>
          <w:kern w:val="0"/>
          <w:szCs w:val="21"/>
        </w:rPr>
        <w:t>综上所述，</w:t>
      </w:r>
      <w:r>
        <w:rPr>
          <w:rFonts w:hint="eastAsia"/>
          <w:color w:val="000000"/>
          <w:kern w:val="0"/>
          <w:szCs w:val="21"/>
        </w:rPr>
        <w:t xml:space="preserve"> </w:t>
      </w:r>
      <w:r>
        <w:rPr>
          <w:rFonts w:hint="eastAsia"/>
          <w:color w:val="000000"/>
          <w:kern w:val="0"/>
          <w:szCs w:val="21"/>
        </w:rPr>
        <w:t>《高纯钇靶》行业标准的制定，有助于更好地引导、规范和监督国内外高纯钇靶材产品的生产和销售，有利于促进稀土产业的健康发展；有助于完善我国关键战略型稀土材料标准体系建设，推动建设制造强国、质量强国。</w:t>
      </w:r>
    </w:p>
    <w:p w14:paraId="225C17D6" w14:textId="77777777" w:rsidR="00BB261B" w:rsidRDefault="00000000">
      <w:pPr>
        <w:spacing w:line="360" w:lineRule="auto"/>
        <w:rPr>
          <w:b/>
          <w:bCs/>
          <w:sz w:val="24"/>
          <w:szCs w:val="32"/>
        </w:rPr>
      </w:pPr>
      <w:r>
        <w:rPr>
          <w:b/>
          <w:bCs/>
          <w:sz w:val="24"/>
          <w:szCs w:val="32"/>
        </w:rPr>
        <w:t>2</w:t>
      </w:r>
      <w:r>
        <w:rPr>
          <w:rFonts w:hint="eastAsia"/>
          <w:b/>
          <w:bCs/>
          <w:sz w:val="24"/>
          <w:szCs w:val="32"/>
        </w:rPr>
        <w:t>、项目的可行性简述</w:t>
      </w:r>
    </w:p>
    <w:p w14:paraId="420B442F" w14:textId="7B5CC640" w:rsidR="00BB261B" w:rsidRDefault="00000000">
      <w:pPr>
        <w:spacing w:line="360" w:lineRule="auto"/>
        <w:ind w:firstLine="420"/>
        <w:rPr>
          <w:color w:val="000000"/>
          <w:kern w:val="0"/>
          <w:szCs w:val="21"/>
        </w:rPr>
      </w:pPr>
      <w:r>
        <w:rPr>
          <w:rFonts w:hint="eastAsia"/>
          <w:color w:val="000000"/>
          <w:kern w:val="0"/>
          <w:szCs w:val="21"/>
        </w:rPr>
        <w:t>项目牵头单位和参与单位涵盖了国内主要高纯钇靶的生产单位，建立了完整的生产工艺技术条件和相应的分析检测制度，为标准技术指标的合理设定提供了良好的基础</w:t>
      </w:r>
      <w:r>
        <w:rPr>
          <w:rFonts w:hint="eastAsia"/>
          <w:szCs w:val="21"/>
        </w:rPr>
        <w:t>。</w:t>
      </w:r>
      <w:r w:rsidR="009F163E">
        <w:rPr>
          <w:rFonts w:hint="eastAsia"/>
          <w:szCs w:val="21"/>
        </w:rPr>
        <w:t>此外，</w:t>
      </w:r>
      <w:r w:rsidR="009F163E">
        <w:rPr>
          <w:rFonts w:hint="eastAsia"/>
        </w:rPr>
        <w:t>有研稀土新材料股份有限公司成立</w:t>
      </w:r>
      <w:r w:rsidR="009F163E">
        <w:rPr>
          <w:rFonts w:hint="eastAsia"/>
        </w:rPr>
        <w:t>2</w:t>
      </w:r>
      <w:r w:rsidR="009F163E">
        <w:t>0</w:t>
      </w:r>
      <w:r w:rsidR="009F163E">
        <w:rPr>
          <w:rFonts w:hint="eastAsia"/>
        </w:rPr>
        <w:t>多年来</w:t>
      </w:r>
      <w:r>
        <w:rPr>
          <w:rFonts w:hint="eastAsia"/>
        </w:rPr>
        <w:t>一直积极参与标准的制修订工作，牵头</w:t>
      </w:r>
      <w:r>
        <w:t>/</w:t>
      </w:r>
      <w:r>
        <w:rPr>
          <w:rFonts w:hint="eastAsia"/>
        </w:rPr>
        <w:t>参与制定了《氟化镝》、《氟化钕》、《稀土术语</w:t>
      </w:r>
      <w:r>
        <w:t>-</w:t>
      </w:r>
      <w:r>
        <w:rPr>
          <w:rFonts w:hint="eastAsia"/>
        </w:rPr>
        <w:t>稀土金属及合金》、《稀土术语</w:t>
      </w:r>
      <w:r>
        <w:t>-</w:t>
      </w:r>
      <w:r>
        <w:rPr>
          <w:rFonts w:hint="eastAsia"/>
        </w:rPr>
        <w:t>稀土矿产品及化合物》、《快淬钕铁硼永磁粉》、《粘结钕铁硼永磁材料》、《钕铁硼速凝薄片合金》、《金属钬》、《高纯金属镝》、《高纯金属铽》等</w:t>
      </w:r>
      <w:r>
        <w:t>60</w:t>
      </w:r>
      <w:r>
        <w:rPr>
          <w:rFonts w:hint="eastAsia"/>
        </w:rPr>
        <w:t>多项稀土国际标准</w:t>
      </w:r>
      <w:r>
        <w:rPr>
          <w:rFonts w:hint="eastAsia"/>
        </w:rPr>
        <w:t>/</w:t>
      </w:r>
      <w:r>
        <w:rPr>
          <w:rFonts w:hint="eastAsia"/>
        </w:rPr>
        <w:t>国家标准</w:t>
      </w:r>
      <w:r>
        <w:rPr>
          <w:rFonts w:hint="eastAsia"/>
        </w:rPr>
        <w:t>/</w:t>
      </w:r>
      <w:r>
        <w:rPr>
          <w:rFonts w:hint="eastAsia"/>
        </w:rPr>
        <w:t>行业标准，具备承担标准制修订任务的能力。</w:t>
      </w:r>
    </w:p>
    <w:p w14:paraId="454397F0" w14:textId="77777777" w:rsidR="00BB261B" w:rsidRDefault="00000000">
      <w:pPr>
        <w:pStyle w:val="afffff0"/>
        <w:tabs>
          <w:tab w:val="clear" w:pos="675"/>
        </w:tabs>
        <w:spacing w:before="312" w:afterLines="50" w:after="156" w:line="312" w:lineRule="auto"/>
        <w:ind w:left="0" w:firstLine="0"/>
        <w:rPr>
          <w:rFonts w:hAnsi="黑体"/>
        </w:rPr>
      </w:pPr>
      <w:r>
        <w:rPr>
          <w:rFonts w:hAnsi="黑体" w:hint="eastAsia"/>
        </w:rPr>
        <w:t>（四）主要工作过程</w:t>
      </w:r>
    </w:p>
    <w:p w14:paraId="4D28BC5C" w14:textId="77777777" w:rsidR="00BB261B" w:rsidRDefault="00000000">
      <w:pPr>
        <w:spacing w:beforeLines="50" w:before="156" w:afterLines="50" w:after="156" w:line="312" w:lineRule="auto"/>
        <w:rPr>
          <w:rFonts w:ascii="黑体" w:eastAsia="黑体" w:hAnsi="黑体"/>
        </w:rPr>
      </w:pPr>
      <w:r>
        <w:rPr>
          <w:rFonts w:ascii="黑体" w:eastAsia="黑体" w:hAnsi="黑体" w:hint="eastAsia"/>
        </w:rPr>
        <w:t>1、起草阶段</w:t>
      </w:r>
    </w:p>
    <w:p w14:paraId="2ECEFE06" w14:textId="77777777" w:rsidR="00BB261B" w:rsidRDefault="00000000">
      <w:pPr>
        <w:spacing w:line="360" w:lineRule="auto"/>
        <w:ind w:firstLine="420"/>
        <w:rPr>
          <w:color w:val="000000"/>
          <w:kern w:val="0"/>
          <w:szCs w:val="21"/>
        </w:rPr>
      </w:pPr>
      <w:r>
        <w:rPr>
          <w:rFonts w:hint="eastAsia"/>
          <w:color w:val="000000"/>
          <w:kern w:val="0"/>
          <w:szCs w:val="21"/>
        </w:rPr>
        <w:t>根据任务落实会议精神，我公司牵头组建了高纯钇靶编制工作组，建立了相应工作交流群，成员涵盖了项目牵头单位和参与单位生产部门、质管办、市场部技术人员。主要进行了如下工作。</w:t>
      </w:r>
    </w:p>
    <w:p w14:paraId="55F3F589" w14:textId="77777777" w:rsidR="00BB261B" w:rsidRDefault="00000000">
      <w:pPr>
        <w:pStyle w:val="afffff2"/>
        <w:numPr>
          <w:ilvl w:val="0"/>
          <w:numId w:val="2"/>
        </w:numPr>
        <w:tabs>
          <w:tab w:val="left" w:pos="720"/>
        </w:tabs>
        <w:spacing w:line="360" w:lineRule="auto"/>
        <w:ind w:firstLineChars="0"/>
        <w:rPr>
          <w:color w:val="000000"/>
          <w:kern w:val="0"/>
          <w:szCs w:val="21"/>
        </w:rPr>
      </w:pPr>
      <w:r>
        <w:rPr>
          <w:rFonts w:hint="eastAsia"/>
          <w:color w:val="000000"/>
          <w:kern w:val="0"/>
          <w:szCs w:val="21"/>
        </w:rPr>
        <w:t>确立《高纯钇靶》行标起草遵循的基本原则；</w:t>
      </w:r>
      <w:r>
        <w:rPr>
          <w:rFonts w:hint="eastAsia"/>
          <w:color w:val="000000"/>
          <w:kern w:val="0"/>
          <w:szCs w:val="21"/>
        </w:rPr>
        <w:t xml:space="preserve"> </w:t>
      </w:r>
    </w:p>
    <w:p w14:paraId="0B1F5BF2" w14:textId="77777777" w:rsidR="00BB261B" w:rsidRDefault="00000000">
      <w:pPr>
        <w:pStyle w:val="afffff2"/>
        <w:numPr>
          <w:ilvl w:val="0"/>
          <w:numId w:val="2"/>
        </w:numPr>
        <w:tabs>
          <w:tab w:val="left" w:pos="720"/>
        </w:tabs>
        <w:spacing w:line="360" w:lineRule="auto"/>
        <w:ind w:firstLineChars="0"/>
        <w:rPr>
          <w:color w:val="000000"/>
          <w:kern w:val="0"/>
          <w:szCs w:val="21"/>
        </w:rPr>
      </w:pPr>
      <w:r>
        <w:rPr>
          <w:rFonts w:hint="eastAsia"/>
          <w:color w:val="000000"/>
          <w:kern w:val="0"/>
          <w:szCs w:val="21"/>
        </w:rPr>
        <w:t>对生产厂家进行调研取样、收集资料；</w:t>
      </w:r>
    </w:p>
    <w:p w14:paraId="4D16F7DA" w14:textId="77777777" w:rsidR="00BB261B" w:rsidRDefault="00000000">
      <w:pPr>
        <w:pStyle w:val="afffff2"/>
        <w:numPr>
          <w:ilvl w:val="0"/>
          <w:numId w:val="2"/>
        </w:numPr>
        <w:tabs>
          <w:tab w:val="left" w:pos="720"/>
        </w:tabs>
        <w:spacing w:line="360" w:lineRule="auto"/>
        <w:ind w:firstLineChars="0"/>
        <w:rPr>
          <w:color w:val="000000"/>
          <w:kern w:val="0"/>
          <w:szCs w:val="21"/>
        </w:rPr>
      </w:pPr>
      <w:r>
        <w:rPr>
          <w:rFonts w:hint="eastAsia"/>
          <w:color w:val="000000"/>
          <w:kern w:val="0"/>
          <w:szCs w:val="21"/>
        </w:rPr>
        <w:t>查阅相关标准；</w:t>
      </w:r>
    </w:p>
    <w:p w14:paraId="052F5518" w14:textId="77777777" w:rsidR="00BB261B" w:rsidRDefault="00000000">
      <w:pPr>
        <w:pStyle w:val="afffff2"/>
        <w:numPr>
          <w:ilvl w:val="0"/>
          <w:numId w:val="2"/>
        </w:numPr>
        <w:tabs>
          <w:tab w:val="left" w:pos="720"/>
        </w:tabs>
        <w:spacing w:line="360" w:lineRule="auto"/>
        <w:ind w:firstLineChars="0"/>
        <w:rPr>
          <w:color w:val="000000"/>
          <w:kern w:val="0"/>
          <w:szCs w:val="21"/>
        </w:rPr>
      </w:pPr>
      <w:r>
        <w:rPr>
          <w:rFonts w:hint="eastAsia"/>
          <w:color w:val="000000"/>
          <w:kern w:val="0"/>
          <w:szCs w:val="21"/>
        </w:rPr>
        <w:t>确定产品主要技术内容；</w:t>
      </w:r>
    </w:p>
    <w:p w14:paraId="03E0269B" w14:textId="77777777" w:rsidR="00BB261B" w:rsidRDefault="00000000">
      <w:pPr>
        <w:pStyle w:val="afffff2"/>
        <w:numPr>
          <w:ilvl w:val="0"/>
          <w:numId w:val="2"/>
        </w:numPr>
        <w:tabs>
          <w:tab w:val="left" w:pos="720"/>
        </w:tabs>
        <w:spacing w:line="360" w:lineRule="auto"/>
        <w:ind w:firstLineChars="0"/>
        <w:rPr>
          <w:color w:val="000000"/>
          <w:kern w:val="0"/>
          <w:szCs w:val="21"/>
        </w:rPr>
      </w:pPr>
      <w:r>
        <w:rPr>
          <w:rFonts w:hint="eastAsia"/>
          <w:color w:val="000000"/>
          <w:kern w:val="0"/>
          <w:szCs w:val="21"/>
        </w:rPr>
        <w:t>确定建立仲裁方法；</w:t>
      </w:r>
    </w:p>
    <w:p w14:paraId="4935B437" w14:textId="77777777" w:rsidR="00BB261B" w:rsidRDefault="00000000">
      <w:pPr>
        <w:pStyle w:val="afffff2"/>
        <w:numPr>
          <w:ilvl w:val="0"/>
          <w:numId w:val="2"/>
        </w:numPr>
        <w:tabs>
          <w:tab w:val="left" w:pos="720"/>
        </w:tabs>
        <w:spacing w:line="360" w:lineRule="auto"/>
        <w:ind w:firstLineChars="0"/>
        <w:rPr>
          <w:color w:val="000000"/>
          <w:kern w:val="0"/>
          <w:szCs w:val="21"/>
        </w:rPr>
      </w:pPr>
      <w:r>
        <w:rPr>
          <w:rFonts w:hint="eastAsia"/>
          <w:color w:val="000000"/>
          <w:kern w:val="0"/>
          <w:szCs w:val="21"/>
        </w:rPr>
        <w:t>对产品进行分析测试；</w:t>
      </w:r>
    </w:p>
    <w:p w14:paraId="2C4F8CC1" w14:textId="77777777" w:rsidR="00BB261B" w:rsidRDefault="00000000">
      <w:pPr>
        <w:pStyle w:val="afffff2"/>
        <w:numPr>
          <w:ilvl w:val="0"/>
          <w:numId w:val="2"/>
        </w:numPr>
        <w:tabs>
          <w:tab w:val="left" w:pos="720"/>
        </w:tabs>
        <w:spacing w:line="360" w:lineRule="auto"/>
        <w:ind w:firstLineChars="0"/>
        <w:rPr>
          <w:color w:val="000000"/>
          <w:kern w:val="0"/>
          <w:szCs w:val="21"/>
        </w:rPr>
      </w:pPr>
      <w:r>
        <w:rPr>
          <w:rFonts w:hint="eastAsia"/>
          <w:color w:val="000000"/>
          <w:kern w:val="0"/>
          <w:szCs w:val="21"/>
        </w:rPr>
        <w:t>根据目前国内高纯钇靶的具体情况，结合用户的要求及应用技术的发展趋势，力求做到标准的合理性、实用性，与时俱进；</w:t>
      </w:r>
    </w:p>
    <w:p w14:paraId="02D79BBD" w14:textId="77777777" w:rsidR="00BB261B" w:rsidRDefault="00000000">
      <w:pPr>
        <w:pStyle w:val="afffff2"/>
        <w:numPr>
          <w:ilvl w:val="0"/>
          <w:numId w:val="2"/>
        </w:numPr>
        <w:tabs>
          <w:tab w:val="left" w:pos="720"/>
        </w:tabs>
        <w:spacing w:line="360" w:lineRule="auto"/>
        <w:ind w:firstLineChars="0"/>
        <w:rPr>
          <w:color w:val="000000"/>
          <w:kern w:val="0"/>
          <w:szCs w:val="21"/>
        </w:rPr>
      </w:pPr>
      <w:r>
        <w:rPr>
          <w:rFonts w:hint="eastAsia"/>
          <w:color w:val="000000"/>
          <w:kern w:val="0"/>
          <w:szCs w:val="21"/>
        </w:rPr>
        <w:t>编写征求意见稿草案。</w:t>
      </w:r>
    </w:p>
    <w:p w14:paraId="247E4A0C" w14:textId="77777777" w:rsidR="00BB261B" w:rsidRDefault="00000000">
      <w:pPr>
        <w:pStyle w:val="afffff2"/>
        <w:numPr>
          <w:ilvl w:val="0"/>
          <w:numId w:val="2"/>
        </w:numPr>
        <w:spacing w:line="360" w:lineRule="auto"/>
        <w:ind w:firstLineChars="0"/>
        <w:rPr>
          <w:color w:val="000000"/>
          <w:kern w:val="0"/>
          <w:szCs w:val="21"/>
        </w:rPr>
      </w:pPr>
      <w:r>
        <w:rPr>
          <w:rFonts w:hint="eastAsia"/>
          <w:color w:val="000000"/>
          <w:kern w:val="0"/>
          <w:szCs w:val="21"/>
        </w:rPr>
        <w:t>电话咨询几家高纯钇靶生产厂家，认真听取了用户和专家对产品的意见，汇总后编写征求意见稿。</w:t>
      </w:r>
    </w:p>
    <w:p w14:paraId="1BEB8488" w14:textId="77777777" w:rsidR="00BB261B" w:rsidRDefault="00000000">
      <w:pPr>
        <w:spacing w:beforeLines="50" w:before="156" w:afterLines="50" w:after="156" w:line="312" w:lineRule="auto"/>
        <w:rPr>
          <w:rFonts w:ascii="黑体" w:eastAsia="黑体" w:hAnsi="黑体"/>
        </w:rPr>
      </w:pPr>
      <w:r>
        <w:rPr>
          <w:rFonts w:ascii="黑体" w:eastAsia="黑体" w:hAnsi="黑体" w:hint="eastAsia"/>
        </w:rPr>
        <w:lastRenderedPageBreak/>
        <w:t>2、征求意见阶段</w:t>
      </w:r>
    </w:p>
    <w:p w14:paraId="35481B8A" w14:textId="0B796C71" w:rsidR="00BB261B" w:rsidRDefault="00000000">
      <w:pPr>
        <w:spacing w:line="312" w:lineRule="auto"/>
        <w:ind w:firstLine="420"/>
        <w:rPr>
          <w:color w:val="000000" w:themeColor="text1"/>
          <w:szCs w:val="21"/>
        </w:rPr>
      </w:pPr>
      <w:r>
        <w:rPr>
          <w:rFonts w:hint="eastAsia"/>
          <w:color w:val="000000" w:themeColor="text1"/>
        </w:rPr>
        <w:t>2</w:t>
      </w:r>
      <w:r>
        <w:rPr>
          <w:color w:val="000000" w:themeColor="text1"/>
        </w:rPr>
        <w:t>022</w:t>
      </w:r>
      <w:r>
        <w:rPr>
          <w:rFonts w:hint="eastAsia"/>
          <w:color w:val="000000" w:themeColor="text1"/>
        </w:rPr>
        <w:t>年</w:t>
      </w:r>
      <w:r>
        <w:rPr>
          <w:color w:val="000000" w:themeColor="text1"/>
        </w:rPr>
        <w:t>9</w:t>
      </w:r>
      <w:r>
        <w:rPr>
          <w:rFonts w:hint="eastAsia"/>
          <w:color w:val="000000" w:themeColor="text1"/>
        </w:rPr>
        <w:t>月，编制组通过邮件形式对《高纯钇靶）征求意见稿。本标准发送</w:t>
      </w:r>
      <w:r>
        <w:rPr>
          <w:rFonts w:ascii="宋体" w:hAnsi="宋体" w:hint="eastAsia"/>
          <w:color w:val="000000" w:themeColor="text1"/>
        </w:rPr>
        <w:t>《征求意见稿》的单</w:t>
      </w:r>
      <w:r>
        <w:rPr>
          <w:rFonts w:hint="eastAsia"/>
          <w:color w:val="000000" w:themeColor="text1"/>
        </w:rPr>
        <w:t>位数</w:t>
      </w:r>
      <w:r>
        <w:rPr>
          <w:color w:val="000000" w:themeColor="text1"/>
        </w:rPr>
        <w:t>17</w:t>
      </w:r>
      <w:r>
        <w:rPr>
          <w:rFonts w:hint="eastAsia"/>
          <w:color w:val="000000" w:themeColor="text1"/>
        </w:rPr>
        <w:t>个，回函的单位数</w:t>
      </w:r>
      <w:r>
        <w:rPr>
          <w:color w:val="000000" w:themeColor="text1"/>
        </w:rPr>
        <w:t>11</w:t>
      </w:r>
      <w:r>
        <w:rPr>
          <w:rFonts w:hint="eastAsia"/>
          <w:color w:val="000000" w:themeColor="text1"/>
        </w:rPr>
        <w:t>个，函并有建议或意见的单位数</w:t>
      </w:r>
      <w:r>
        <w:rPr>
          <w:color w:val="000000" w:themeColor="text1"/>
        </w:rPr>
        <w:t>9</w:t>
      </w:r>
      <w:r>
        <w:rPr>
          <w:rFonts w:hint="eastAsia"/>
          <w:color w:val="000000" w:themeColor="text1"/>
        </w:rPr>
        <w:t>个。</w:t>
      </w:r>
      <w:r>
        <w:rPr>
          <w:rFonts w:hint="eastAsia"/>
          <w:color w:val="000000" w:themeColor="text1"/>
          <w:szCs w:val="21"/>
        </w:rPr>
        <w:t>专家提反馈的主要意见如下：</w:t>
      </w:r>
    </w:p>
    <w:p w14:paraId="2A555793" w14:textId="77777777" w:rsidR="00BB261B" w:rsidRDefault="00000000">
      <w:pPr>
        <w:spacing w:line="312" w:lineRule="auto"/>
        <w:ind w:firstLine="420"/>
        <w:rPr>
          <w:szCs w:val="21"/>
        </w:rPr>
      </w:pPr>
      <w:r>
        <w:rPr>
          <w:rFonts w:hint="eastAsia"/>
          <w:szCs w:val="21"/>
        </w:rPr>
        <w:t>1</w:t>
      </w:r>
      <w:r>
        <w:rPr>
          <w:rFonts w:hint="eastAsia"/>
          <w:szCs w:val="21"/>
        </w:rPr>
        <w:t>、增加化学成分术语，删除靶材、靶坯、背板术语；</w:t>
      </w:r>
    </w:p>
    <w:p w14:paraId="270D5F19" w14:textId="77777777" w:rsidR="00BB261B" w:rsidRDefault="00000000">
      <w:pPr>
        <w:spacing w:line="312" w:lineRule="auto"/>
        <w:ind w:firstLine="420"/>
        <w:rPr>
          <w:szCs w:val="21"/>
        </w:rPr>
      </w:pPr>
      <w:r>
        <w:rPr>
          <w:rFonts w:hint="eastAsia"/>
          <w:szCs w:val="21"/>
        </w:rPr>
        <w:t>2</w:t>
      </w:r>
      <w:r>
        <w:rPr>
          <w:rFonts w:hint="eastAsia"/>
          <w:szCs w:val="21"/>
        </w:rPr>
        <w:t>、高纯产品统一编号，如有研现采用的</w:t>
      </w:r>
      <w:r>
        <w:rPr>
          <w:rFonts w:hint="eastAsia"/>
          <w:szCs w:val="21"/>
        </w:rPr>
        <w:t>HT</w:t>
      </w:r>
      <w:r>
        <w:rPr>
          <w:rFonts w:hint="eastAsia"/>
          <w:szCs w:val="21"/>
        </w:rPr>
        <w:t>表示高纯靶；</w:t>
      </w:r>
    </w:p>
    <w:p w14:paraId="4705FA81" w14:textId="77777777" w:rsidR="00BB261B" w:rsidRDefault="00000000">
      <w:pPr>
        <w:spacing w:line="312" w:lineRule="auto"/>
        <w:ind w:firstLine="420"/>
        <w:rPr>
          <w:szCs w:val="21"/>
        </w:rPr>
      </w:pPr>
      <w:r>
        <w:rPr>
          <w:rFonts w:hint="eastAsia"/>
          <w:szCs w:val="21"/>
        </w:rPr>
        <w:t>3</w:t>
      </w:r>
      <w:r>
        <w:rPr>
          <w:rFonts w:hint="eastAsia"/>
          <w:szCs w:val="21"/>
        </w:rPr>
        <w:t>、删除绝对纯度；</w:t>
      </w:r>
    </w:p>
    <w:p w14:paraId="4B67F816" w14:textId="77777777" w:rsidR="00BB261B" w:rsidRDefault="00000000">
      <w:pPr>
        <w:spacing w:line="312" w:lineRule="auto"/>
        <w:ind w:firstLine="420"/>
        <w:rPr>
          <w:szCs w:val="21"/>
        </w:rPr>
      </w:pPr>
      <w:r>
        <w:rPr>
          <w:rFonts w:hint="eastAsia"/>
          <w:szCs w:val="21"/>
        </w:rPr>
        <w:t>4</w:t>
      </w:r>
      <w:r>
        <w:rPr>
          <w:rFonts w:hint="eastAsia"/>
          <w:szCs w:val="21"/>
        </w:rPr>
        <w:t>、铜铝杂质微调；</w:t>
      </w:r>
      <w:r>
        <w:rPr>
          <w:rFonts w:hint="eastAsia"/>
          <w:szCs w:val="21"/>
        </w:rPr>
        <w:t>O</w:t>
      </w:r>
      <w:r>
        <w:rPr>
          <w:rFonts w:hint="eastAsia"/>
          <w:szCs w:val="21"/>
        </w:rPr>
        <w:t>、</w:t>
      </w:r>
      <w:r>
        <w:rPr>
          <w:rFonts w:hint="eastAsia"/>
          <w:szCs w:val="21"/>
        </w:rPr>
        <w:t>W</w:t>
      </w:r>
      <w:r>
        <w:rPr>
          <w:rFonts w:hint="eastAsia"/>
          <w:szCs w:val="21"/>
        </w:rPr>
        <w:t>、</w:t>
      </w:r>
      <w:r>
        <w:rPr>
          <w:rFonts w:hint="eastAsia"/>
          <w:szCs w:val="21"/>
        </w:rPr>
        <w:t>Ta</w:t>
      </w:r>
      <w:r>
        <w:rPr>
          <w:rFonts w:hint="eastAsia"/>
          <w:szCs w:val="21"/>
        </w:rPr>
        <w:t>、</w:t>
      </w:r>
      <w:r>
        <w:rPr>
          <w:rFonts w:hint="eastAsia"/>
          <w:szCs w:val="21"/>
        </w:rPr>
        <w:t>Mo</w:t>
      </w:r>
      <w:r>
        <w:rPr>
          <w:rFonts w:hint="eastAsia"/>
          <w:szCs w:val="21"/>
        </w:rPr>
        <w:t>、</w:t>
      </w:r>
      <w:r>
        <w:rPr>
          <w:rFonts w:hint="eastAsia"/>
          <w:szCs w:val="21"/>
        </w:rPr>
        <w:t>Nb</w:t>
      </w:r>
      <w:r>
        <w:rPr>
          <w:rFonts w:hint="eastAsia"/>
          <w:szCs w:val="21"/>
        </w:rPr>
        <w:t>杂质大幅调高，产品化学成分</w:t>
      </w:r>
      <w:r>
        <w:rPr>
          <w:rFonts w:hint="eastAsia"/>
          <w:szCs w:val="21"/>
        </w:rPr>
        <w:t>HT-Y-3N</w:t>
      </w:r>
      <w:r>
        <w:rPr>
          <w:rFonts w:hint="eastAsia"/>
          <w:szCs w:val="21"/>
        </w:rPr>
        <w:t>中建议</w:t>
      </w:r>
      <w:r>
        <w:rPr>
          <w:rFonts w:hint="eastAsia"/>
          <w:szCs w:val="21"/>
        </w:rPr>
        <w:t>O</w:t>
      </w:r>
      <w:r>
        <w:rPr>
          <w:rFonts w:hint="eastAsia"/>
          <w:szCs w:val="21"/>
        </w:rPr>
        <w:t>小于</w:t>
      </w:r>
      <w:r>
        <w:rPr>
          <w:rFonts w:hint="eastAsia"/>
          <w:szCs w:val="21"/>
        </w:rPr>
        <w:t>0.3</w:t>
      </w:r>
      <w:r>
        <w:rPr>
          <w:rFonts w:hint="eastAsia"/>
          <w:szCs w:val="21"/>
        </w:rPr>
        <w:t>，</w:t>
      </w:r>
      <w:r>
        <w:rPr>
          <w:rFonts w:hint="eastAsia"/>
          <w:szCs w:val="21"/>
        </w:rPr>
        <w:t>Ta+ Nb + Mo + W</w:t>
      </w:r>
      <w:r>
        <w:rPr>
          <w:rFonts w:hint="eastAsia"/>
          <w:szCs w:val="21"/>
        </w:rPr>
        <w:t>合量小于</w:t>
      </w:r>
      <w:r>
        <w:rPr>
          <w:rFonts w:hint="eastAsia"/>
          <w:szCs w:val="21"/>
        </w:rPr>
        <w:t>0.02</w:t>
      </w:r>
      <w:r>
        <w:rPr>
          <w:rFonts w:hint="eastAsia"/>
          <w:szCs w:val="21"/>
        </w:rPr>
        <w:t>；建议增加</w:t>
      </w:r>
      <w:r>
        <w:rPr>
          <w:rFonts w:hint="eastAsia"/>
          <w:szCs w:val="21"/>
        </w:rPr>
        <w:t>F</w:t>
      </w:r>
      <w:r>
        <w:rPr>
          <w:rFonts w:hint="eastAsia"/>
          <w:szCs w:val="21"/>
        </w:rPr>
        <w:t>含量指标；</w:t>
      </w:r>
      <w:r>
        <w:rPr>
          <w:rFonts w:hint="eastAsia"/>
          <w:szCs w:val="21"/>
        </w:rPr>
        <w:t>U</w:t>
      </w:r>
      <w:r>
        <w:rPr>
          <w:rFonts w:hint="eastAsia"/>
          <w:szCs w:val="21"/>
        </w:rPr>
        <w:t>和</w:t>
      </w:r>
      <w:r>
        <w:rPr>
          <w:rFonts w:hint="eastAsia"/>
          <w:szCs w:val="21"/>
        </w:rPr>
        <w:t>Th</w:t>
      </w:r>
      <w:r>
        <w:rPr>
          <w:rFonts w:hint="eastAsia"/>
          <w:szCs w:val="21"/>
        </w:rPr>
        <w:t>的指标是否需要；</w:t>
      </w:r>
    </w:p>
    <w:p w14:paraId="6EA539EF" w14:textId="77777777" w:rsidR="00BB261B" w:rsidRDefault="00000000">
      <w:pPr>
        <w:spacing w:line="312" w:lineRule="auto"/>
        <w:ind w:firstLine="420"/>
        <w:rPr>
          <w:szCs w:val="21"/>
        </w:rPr>
      </w:pPr>
      <w:r>
        <w:rPr>
          <w:rFonts w:hint="eastAsia"/>
          <w:szCs w:val="21"/>
        </w:rPr>
        <w:t>5</w:t>
      </w:r>
      <w:r>
        <w:rPr>
          <w:rFonts w:hint="eastAsia"/>
          <w:szCs w:val="21"/>
        </w:rPr>
        <w:t>、纯度是否计入气体杂质，是否与金属纯度一起；</w:t>
      </w:r>
    </w:p>
    <w:p w14:paraId="53AC6CC6" w14:textId="77777777" w:rsidR="00BB261B" w:rsidRDefault="00000000">
      <w:pPr>
        <w:spacing w:line="312" w:lineRule="auto"/>
        <w:ind w:firstLine="420"/>
        <w:rPr>
          <w:szCs w:val="21"/>
        </w:rPr>
      </w:pPr>
      <w:r>
        <w:rPr>
          <w:rFonts w:hint="eastAsia"/>
          <w:szCs w:val="21"/>
        </w:rPr>
        <w:t>6</w:t>
      </w:r>
      <w:r>
        <w:rPr>
          <w:rFonts w:hint="eastAsia"/>
          <w:szCs w:val="21"/>
        </w:rPr>
        <w:t>、焊合率由</w:t>
      </w:r>
      <w:r>
        <w:rPr>
          <w:rFonts w:hint="eastAsia"/>
          <w:szCs w:val="21"/>
        </w:rPr>
        <w:t>9</w:t>
      </w:r>
      <w:r>
        <w:rPr>
          <w:szCs w:val="21"/>
        </w:rPr>
        <w:t>5%</w:t>
      </w:r>
      <w:r>
        <w:rPr>
          <w:rFonts w:hint="eastAsia"/>
          <w:szCs w:val="21"/>
        </w:rPr>
        <w:t>调整至</w:t>
      </w:r>
      <w:r>
        <w:rPr>
          <w:rFonts w:hint="eastAsia"/>
          <w:szCs w:val="21"/>
        </w:rPr>
        <w:t>98%</w:t>
      </w:r>
      <w:r>
        <w:rPr>
          <w:rFonts w:hint="eastAsia"/>
          <w:szCs w:val="21"/>
        </w:rPr>
        <w:t>以上，局部未焊合率由</w:t>
      </w:r>
      <w:r>
        <w:rPr>
          <w:rFonts w:hint="eastAsia"/>
          <w:szCs w:val="21"/>
        </w:rPr>
        <w:t>2</w:t>
      </w:r>
      <w:r>
        <w:rPr>
          <w:szCs w:val="21"/>
        </w:rPr>
        <w:t>%</w:t>
      </w:r>
      <w:r>
        <w:rPr>
          <w:rFonts w:hint="eastAsia"/>
          <w:szCs w:val="21"/>
        </w:rPr>
        <w:t>调整至</w:t>
      </w:r>
      <w:r>
        <w:rPr>
          <w:rFonts w:hint="eastAsia"/>
          <w:szCs w:val="21"/>
        </w:rPr>
        <w:t>5%</w:t>
      </w:r>
      <w:r>
        <w:rPr>
          <w:rFonts w:hint="eastAsia"/>
          <w:szCs w:val="21"/>
        </w:rPr>
        <w:t>以下；</w:t>
      </w:r>
    </w:p>
    <w:p w14:paraId="18D5D7F3" w14:textId="77777777" w:rsidR="00BB261B" w:rsidRDefault="00000000">
      <w:pPr>
        <w:spacing w:line="312" w:lineRule="auto"/>
        <w:ind w:firstLine="420"/>
        <w:rPr>
          <w:szCs w:val="21"/>
        </w:rPr>
      </w:pPr>
      <w:r>
        <w:rPr>
          <w:rFonts w:hint="eastAsia"/>
          <w:szCs w:val="21"/>
        </w:rPr>
        <w:t>7</w:t>
      </w:r>
      <w:r>
        <w:rPr>
          <w:rFonts w:hint="eastAsia"/>
          <w:szCs w:val="21"/>
        </w:rPr>
        <w:t>、明确取样位置及方法；</w:t>
      </w:r>
    </w:p>
    <w:p w14:paraId="5ECA4DF5" w14:textId="77777777" w:rsidR="00BB261B" w:rsidRDefault="00000000" w:rsidP="00CD3304">
      <w:pPr>
        <w:spacing w:line="312" w:lineRule="auto"/>
        <w:rPr>
          <w:szCs w:val="21"/>
        </w:rPr>
      </w:pPr>
      <w:r>
        <w:rPr>
          <w:rFonts w:hint="eastAsia"/>
          <w:szCs w:val="21"/>
        </w:rPr>
        <w:t>3</w:t>
      </w:r>
      <w:r>
        <w:rPr>
          <w:rFonts w:hint="eastAsia"/>
          <w:szCs w:val="21"/>
        </w:rPr>
        <w:t>、预审会</w:t>
      </w:r>
    </w:p>
    <w:p w14:paraId="121D9130" w14:textId="4C41DBC1" w:rsidR="00BB261B" w:rsidRDefault="00000000">
      <w:pPr>
        <w:spacing w:line="312" w:lineRule="auto"/>
        <w:ind w:firstLine="420"/>
        <w:rPr>
          <w:szCs w:val="21"/>
        </w:rPr>
      </w:pPr>
      <w:r>
        <w:rPr>
          <w:szCs w:val="21"/>
        </w:rPr>
        <w:t>1</w:t>
      </w:r>
      <w:r>
        <w:rPr>
          <w:rFonts w:hint="eastAsia"/>
          <w:szCs w:val="21"/>
        </w:rPr>
        <w:t>、修改表</w:t>
      </w:r>
      <w:r>
        <w:rPr>
          <w:rFonts w:hint="eastAsia"/>
          <w:szCs w:val="21"/>
        </w:rPr>
        <w:t>1</w:t>
      </w:r>
      <w:r>
        <w:rPr>
          <w:rFonts w:hint="eastAsia"/>
          <w:szCs w:val="21"/>
        </w:rPr>
        <w:t>中</w:t>
      </w:r>
      <w:r>
        <w:rPr>
          <w:rFonts w:hint="eastAsia"/>
          <w:szCs w:val="21"/>
        </w:rPr>
        <w:t>Al</w:t>
      </w:r>
      <w:r>
        <w:rPr>
          <w:rFonts w:hint="eastAsia"/>
          <w:szCs w:val="21"/>
        </w:rPr>
        <w:t>、</w:t>
      </w:r>
      <w:r>
        <w:rPr>
          <w:rFonts w:hint="eastAsia"/>
          <w:szCs w:val="21"/>
        </w:rPr>
        <w:t>Cu</w:t>
      </w:r>
      <w:r>
        <w:rPr>
          <w:rFonts w:hint="eastAsia"/>
          <w:szCs w:val="21"/>
        </w:rPr>
        <w:t>、</w:t>
      </w:r>
      <w:r>
        <w:rPr>
          <w:rFonts w:hint="eastAsia"/>
          <w:szCs w:val="21"/>
        </w:rPr>
        <w:t>Fe</w:t>
      </w:r>
      <w:r>
        <w:rPr>
          <w:rFonts w:hint="eastAsia"/>
          <w:szCs w:val="21"/>
        </w:rPr>
        <w:t>杂质范围，产品牌号</w:t>
      </w:r>
      <w:r>
        <w:rPr>
          <w:rFonts w:hint="eastAsia"/>
          <w:szCs w:val="21"/>
        </w:rPr>
        <w:t>HT-Y-3N5</w:t>
      </w:r>
      <w:r>
        <w:rPr>
          <w:rFonts w:hint="eastAsia"/>
          <w:szCs w:val="21"/>
        </w:rPr>
        <w:t>中</w:t>
      </w:r>
      <w:r>
        <w:rPr>
          <w:rFonts w:hint="eastAsia"/>
          <w:szCs w:val="21"/>
        </w:rPr>
        <w:t>Al</w:t>
      </w:r>
      <w:r>
        <w:rPr>
          <w:rFonts w:hint="eastAsia"/>
          <w:szCs w:val="21"/>
        </w:rPr>
        <w:t>、</w:t>
      </w:r>
      <w:r>
        <w:rPr>
          <w:rFonts w:hint="eastAsia"/>
          <w:szCs w:val="21"/>
        </w:rPr>
        <w:t>Cu</w:t>
      </w:r>
      <w:r>
        <w:rPr>
          <w:rFonts w:hint="eastAsia"/>
          <w:szCs w:val="21"/>
        </w:rPr>
        <w:t>、</w:t>
      </w:r>
      <w:r>
        <w:rPr>
          <w:rFonts w:hint="eastAsia"/>
          <w:szCs w:val="21"/>
        </w:rPr>
        <w:t>Fe</w:t>
      </w:r>
      <w:r>
        <w:rPr>
          <w:rFonts w:hint="eastAsia"/>
          <w:szCs w:val="21"/>
        </w:rPr>
        <w:t>含量均“</w:t>
      </w:r>
      <w:r>
        <w:rPr>
          <w:rFonts w:hint="eastAsia"/>
          <w:szCs w:val="21"/>
        </w:rPr>
        <w:t>0.0100</w:t>
      </w:r>
      <w:r>
        <w:rPr>
          <w:rFonts w:hint="eastAsia"/>
          <w:szCs w:val="21"/>
        </w:rPr>
        <w:t>”修改“</w:t>
      </w:r>
      <w:r>
        <w:rPr>
          <w:rFonts w:hint="eastAsia"/>
          <w:szCs w:val="21"/>
        </w:rPr>
        <w:t>0.0050</w:t>
      </w:r>
      <w:r>
        <w:rPr>
          <w:rFonts w:hint="eastAsia"/>
          <w:szCs w:val="21"/>
        </w:rPr>
        <w:t>”，</w:t>
      </w:r>
      <w:r>
        <w:rPr>
          <w:rFonts w:hint="eastAsia"/>
          <w:szCs w:val="21"/>
        </w:rPr>
        <w:t>HT-Y-3N</w:t>
      </w:r>
      <w:r>
        <w:rPr>
          <w:rFonts w:hint="eastAsia"/>
          <w:szCs w:val="21"/>
        </w:rPr>
        <w:t>中</w:t>
      </w:r>
      <w:r>
        <w:rPr>
          <w:rFonts w:hint="eastAsia"/>
          <w:szCs w:val="21"/>
        </w:rPr>
        <w:t>Al</w:t>
      </w:r>
      <w:r>
        <w:rPr>
          <w:rFonts w:hint="eastAsia"/>
          <w:szCs w:val="21"/>
        </w:rPr>
        <w:t>、</w:t>
      </w:r>
      <w:r>
        <w:rPr>
          <w:rFonts w:hint="eastAsia"/>
          <w:szCs w:val="21"/>
        </w:rPr>
        <w:t>Cu</w:t>
      </w:r>
      <w:r>
        <w:rPr>
          <w:rFonts w:hint="eastAsia"/>
          <w:szCs w:val="21"/>
        </w:rPr>
        <w:t>、</w:t>
      </w:r>
      <w:r>
        <w:rPr>
          <w:rFonts w:hint="eastAsia"/>
          <w:szCs w:val="21"/>
        </w:rPr>
        <w:t>Fe</w:t>
      </w:r>
      <w:r>
        <w:rPr>
          <w:rFonts w:hint="eastAsia"/>
          <w:szCs w:val="21"/>
        </w:rPr>
        <w:t>含量均“</w:t>
      </w:r>
      <w:r>
        <w:rPr>
          <w:rFonts w:hint="eastAsia"/>
          <w:szCs w:val="21"/>
        </w:rPr>
        <w:t>0.0150</w:t>
      </w:r>
      <w:r>
        <w:rPr>
          <w:rFonts w:hint="eastAsia"/>
          <w:szCs w:val="21"/>
        </w:rPr>
        <w:t>”修改“</w:t>
      </w:r>
      <w:r>
        <w:rPr>
          <w:rFonts w:hint="eastAsia"/>
          <w:szCs w:val="21"/>
        </w:rPr>
        <w:t>0.0100</w:t>
      </w:r>
      <w:r>
        <w:rPr>
          <w:rFonts w:hint="eastAsia"/>
          <w:szCs w:val="21"/>
        </w:rPr>
        <w:t>”；</w:t>
      </w:r>
      <w:r>
        <w:rPr>
          <w:rFonts w:hint="eastAsia"/>
          <w:szCs w:val="21"/>
        </w:rPr>
        <w:t xml:space="preserve">  </w:t>
      </w:r>
    </w:p>
    <w:p w14:paraId="1357A878" w14:textId="15985781" w:rsidR="00BB261B" w:rsidRDefault="00000000">
      <w:pPr>
        <w:spacing w:line="312" w:lineRule="auto"/>
        <w:ind w:firstLine="420"/>
        <w:rPr>
          <w:szCs w:val="21"/>
        </w:rPr>
      </w:pPr>
      <w:r>
        <w:rPr>
          <w:szCs w:val="21"/>
        </w:rPr>
        <w:t>2</w:t>
      </w:r>
      <w:r>
        <w:rPr>
          <w:rFonts w:hint="eastAsia"/>
          <w:szCs w:val="21"/>
        </w:rPr>
        <w:t>、编制说明中补充靶材纯度、关键杂质与现有金属钇和其它稀土靶材标准中技术指标的区别；</w:t>
      </w:r>
    </w:p>
    <w:p w14:paraId="24E6C8C1" w14:textId="1061A1EB" w:rsidR="00BB261B" w:rsidRDefault="00000000">
      <w:pPr>
        <w:spacing w:line="312" w:lineRule="auto"/>
        <w:ind w:firstLine="420"/>
        <w:rPr>
          <w:szCs w:val="21"/>
        </w:rPr>
      </w:pPr>
      <w:r>
        <w:rPr>
          <w:szCs w:val="21"/>
        </w:rPr>
        <w:t>3</w:t>
      </w:r>
      <w:r>
        <w:rPr>
          <w:rFonts w:hint="eastAsia"/>
          <w:szCs w:val="21"/>
        </w:rPr>
        <w:t>、编制说明中补充高纯钇靶生产企业产品调研情况；</w:t>
      </w:r>
    </w:p>
    <w:p w14:paraId="44B060B1" w14:textId="0C8D74BD" w:rsidR="00BB261B" w:rsidRDefault="00000000">
      <w:pPr>
        <w:spacing w:line="312" w:lineRule="auto"/>
        <w:ind w:firstLine="420"/>
        <w:rPr>
          <w:szCs w:val="21"/>
        </w:rPr>
      </w:pPr>
      <w:r>
        <w:rPr>
          <w:szCs w:val="21"/>
        </w:rPr>
        <w:t>4</w:t>
      </w:r>
      <w:r>
        <w:rPr>
          <w:rFonts w:hint="eastAsia"/>
          <w:szCs w:val="21"/>
        </w:rPr>
        <w:t>、文本中“产品致密度</w:t>
      </w:r>
      <w:r>
        <w:rPr>
          <w:rFonts w:hint="eastAsia"/>
          <w:szCs w:val="21"/>
        </w:rPr>
        <w:t>99%</w:t>
      </w:r>
      <w:r>
        <w:rPr>
          <w:rFonts w:hint="eastAsia"/>
          <w:szCs w:val="21"/>
        </w:rPr>
        <w:t>以上”修改为“产品致密度不小于</w:t>
      </w:r>
      <w:r>
        <w:rPr>
          <w:rFonts w:hint="eastAsia"/>
          <w:szCs w:val="21"/>
        </w:rPr>
        <w:t>99%</w:t>
      </w:r>
      <w:r>
        <w:rPr>
          <w:rFonts w:hint="eastAsia"/>
          <w:szCs w:val="21"/>
        </w:rPr>
        <w:t>”，其它</w:t>
      </w:r>
      <w:r>
        <w:rPr>
          <w:rFonts w:hint="eastAsia"/>
          <w:szCs w:val="21"/>
        </w:rPr>
        <w:t>5.3</w:t>
      </w:r>
      <w:r>
        <w:rPr>
          <w:rFonts w:hint="eastAsia"/>
          <w:szCs w:val="21"/>
        </w:rPr>
        <w:t>、</w:t>
      </w:r>
      <w:r>
        <w:rPr>
          <w:rFonts w:hint="eastAsia"/>
          <w:szCs w:val="21"/>
        </w:rPr>
        <w:t>5.5</w:t>
      </w:r>
      <w:r>
        <w:rPr>
          <w:rFonts w:hint="eastAsia"/>
          <w:szCs w:val="21"/>
        </w:rPr>
        <w:t>、</w:t>
      </w:r>
      <w:r>
        <w:rPr>
          <w:rFonts w:hint="eastAsia"/>
          <w:szCs w:val="21"/>
        </w:rPr>
        <w:t>5.8</w:t>
      </w:r>
      <w:r>
        <w:rPr>
          <w:rFonts w:hint="eastAsia"/>
          <w:szCs w:val="21"/>
        </w:rPr>
        <w:t>等内容修改同以上建议；</w:t>
      </w:r>
    </w:p>
    <w:p w14:paraId="3D7A3234" w14:textId="29C42B43" w:rsidR="00BB261B" w:rsidRDefault="00000000">
      <w:pPr>
        <w:spacing w:line="312" w:lineRule="auto"/>
        <w:ind w:firstLine="420"/>
        <w:rPr>
          <w:szCs w:val="21"/>
        </w:rPr>
      </w:pPr>
      <w:r>
        <w:rPr>
          <w:szCs w:val="21"/>
        </w:rPr>
        <w:t>5</w:t>
      </w:r>
      <w:r>
        <w:rPr>
          <w:rFonts w:hint="eastAsia"/>
          <w:szCs w:val="21"/>
        </w:rPr>
        <w:t>、外观质量修改为“</w:t>
      </w:r>
      <w:r>
        <w:rPr>
          <w:rFonts w:hint="eastAsia"/>
          <w:szCs w:val="21"/>
        </w:rPr>
        <w:t>5.7.1</w:t>
      </w:r>
      <w:r>
        <w:rPr>
          <w:rFonts w:hint="eastAsia"/>
          <w:szCs w:val="21"/>
        </w:rPr>
        <w:t>产品为银灰色”和“</w:t>
      </w:r>
      <w:r>
        <w:rPr>
          <w:rFonts w:hint="eastAsia"/>
          <w:szCs w:val="21"/>
        </w:rPr>
        <w:t>5.7.2</w:t>
      </w:r>
      <w:r>
        <w:rPr>
          <w:rFonts w:hint="eastAsia"/>
          <w:szCs w:val="21"/>
        </w:rPr>
        <w:t>产品表面应清洁光滑，无指痕，无油污和锈蚀，应无拉伸润滑痕迹，颗粒附加物和其他玷污，应无凹坑、划痕、裂纹、凸起等缺陷”两条来说明。</w:t>
      </w:r>
    </w:p>
    <w:p w14:paraId="13E4CECF" w14:textId="65BC7072" w:rsidR="00BB261B" w:rsidRDefault="00000000">
      <w:pPr>
        <w:spacing w:line="312" w:lineRule="auto"/>
        <w:ind w:firstLine="420"/>
        <w:rPr>
          <w:szCs w:val="21"/>
        </w:rPr>
      </w:pPr>
      <w:r>
        <w:rPr>
          <w:szCs w:val="21"/>
        </w:rPr>
        <w:t>6</w:t>
      </w:r>
      <w:r>
        <w:rPr>
          <w:rFonts w:hint="eastAsia"/>
          <w:szCs w:val="21"/>
        </w:rPr>
        <w:t>、编制说明中补充本次专家意见和建议。</w:t>
      </w:r>
    </w:p>
    <w:p w14:paraId="4BDE8D7A" w14:textId="77777777" w:rsidR="00BB261B" w:rsidRDefault="00000000">
      <w:pPr>
        <w:spacing w:line="312" w:lineRule="auto"/>
        <w:rPr>
          <w:szCs w:val="21"/>
        </w:rPr>
      </w:pPr>
      <w:r>
        <w:rPr>
          <w:szCs w:val="21"/>
        </w:rPr>
        <w:t>4</w:t>
      </w:r>
      <w:r>
        <w:rPr>
          <w:rFonts w:hint="eastAsia"/>
          <w:szCs w:val="21"/>
        </w:rPr>
        <w:t>、送审稿征求意见</w:t>
      </w:r>
    </w:p>
    <w:p w14:paraId="33E65697" w14:textId="17886B5F" w:rsidR="00BB261B" w:rsidRDefault="00C94299" w:rsidP="00C94299">
      <w:pPr>
        <w:spacing w:line="312" w:lineRule="auto"/>
        <w:ind w:firstLineChars="200" w:firstLine="420"/>
        <w:rPr>
          <w:szCs w:val="21"/>
        </w:rPr>
      </w:pPr>
      <w:r>
        <w:rPr>
          <w:rFonts w:hint="eastAsia"/>
          <w:color w:val="000000" w:themeColor="text1"/>
        </w:rPr>
        <w:t>2</w:t>
      </w:r>
      <w:r>
        <w:rPr>
          <w:color w:val="000000" w:themeColor="text1"/>
        </w:rPr>
        <w:t>023</w:t>
      </w:r>
      <w:r>
        <w:rPr>
          <w:rFonts w:hint="eastAsia"/>
          <w:color w:val="000000" w:themeColor="text1"/>
        </w:rPr>
        <w:t>年</w:t>
      </w:r>
      <w:r>
        <w:rPr>
          <w:color w:val="000000" w:themeColor="text1"/>
        </w:rPr>
        <w:t>2</w:t>
      </w:r>
      <w:r>
        <w:rPr>
          <w:rFonts w:hint="eastAsia"/>
          <w:color w:val="000000" w:themeColor="text1"/>
        </w:rPr>
        <w:t>月，编制组通过邮件形式对《高纯钇靶）征求意见稿。本标准发送</w:t>
      </w:r>
      <w:r>
        <w:rPr>
          <w:rFonts w:ascii="宋体" w:hAnsi="宋体" w:hint="eastAsia"/>
          <w:color w:val="000000" w:themeColor="text1"/>
        </w:rPr>
        <w:t>《征求意见稿》的单</w:t>
      </w:r>
      <w:r>
        <w:rPr>
          <w:rFonts w:hint="eastAsia"/>
          <w:color w:val="000000" w:themeColor="text1"/>
        </w:rPr>
        <w:t>位数</w:t>
      </w:r>
      <w:r>
        <w:rPr>
          <w:color w:val="000000" w:themeColor="text1"/>
        </w:rPr>
        <w:t>20</w:t>
      </w:r>
      <w:r>
        <w:rPr>
          <w:rFonts w:hint="eastAsia"/>
          <w:color w:val="000000" w:themeColor="text1"/>
        </w:rPr>
        <w:t>个，回函的单位数</w:t>
      </w:r>
      <w:r>
        <w:rPr>
          <w:color w:val="000000" w:themeColor="text1"/>
        </w:rPr>
        <w:t>8</w:t>
      </w:r>
      <w:r>
        <w:rPr>
          <w:rFonts w:hint="eastAsia"/>
          <w:color w:val="000000" w:themeColor="text1"/>
        </w:rPr>
        <w:t>个，函并有建议或意见的单位数</w:t>
      </w:r>
      <w:r>
        <w:rPr>
          <w:color w:val="000000" w:themeColor="text1"/>
        </w:rPr>
        <w:t>6</w:t>
      </w:r>
      <w:r>
        <w:rPr>
          <w:rFonts w:hint="eastAsia"/>
          <w:color w:val="000000" w:themeColor="text1"/>
        </w:rPr>
        <w:t>个。</w:t>
      </w:r>
    </w:p>
    <w:p w14:paraId="2694AD75" w14:textId="77777777" w:rsidR="00BB261B" w:rsidRDefault="00000000">
      <w:pPr>
        <w:spacing w:beforeLines="50" w:before="156" w:afterLines="50" w:after="156" w:line="312" w:lineRule="auto"/>
        <w:rPr>
          <w:rFonts w:ascii="黑体" w:eastAsia="黑体" w:hAnsi="宋体"/>
          <w:bCs/>
          <w:sz w:val="24"/>
        </w:rPr>
      </w:pPr>
      <w:r>
        <w:rPr>
          <w:rFonts w:ascii="黑体" w:eastAsia="黑体" w:hAnsi="宋体" w:hint="eastAsia"/>
          <w:bCs/>
          <w:sz w:val="24"/>
        </w:rPr>
        <w:t>二、标准编制原则、主要内容及其确定依据</w:t>
      </w:r>
    </w:p>
    <w:p w14:paraId="30CF29BC" w14:textId="77777777" w:rsidR="00BB261B" w:rsidRDefault="00000000">
      <w:pPr>
        <w:spacing w:beforeLines="50" w:before="156" w:afterLines="50" w:after="156" w:line="312" w:lineRule="auto"/>
        <w:rPr>
          <w:rFonts w:ascii="黑体" w:eastAsia="黑体" w:hAnsi="宋体"/>
          <w:bCs/>
          <w:sz w:val="24"/>
        </w:rPr>
      </w:pPr>
      <w:r>
        <w:rPr>
          <w:rFonts w:ascii="黑体" w:eastAsia="黑体" w:hAnsi="宋体" w:hint="eastAsia"/>
          <w:bCs/>
          <w:sz w:val="24"/>
        </w:rPr>
        <w:t>1、本标准起草过程中遵循以下原则：</w:t>
      </w:r>
    </w:p>
    <w:p w14:paraId="1680EF09" w14:textId="77777777" w:rsidR="00BB261B" w:rsidRDefault="00000000">
      <w:pPr>
        <w:spacing w:line="360" w:lineRule="auto"/>
        <w:ind w:firstLineChars="200" w:firstLine="420"/>
        <w:rPr>
          <w:color w:val="000000"/>
          <w:kern w:val="0"/>
          <w:szCs w:val="21"/>
        </w:rPr>
      </w:pPr>
      <w:r>
        <w:rPr>
          <w:rFonts w:hint="eastAsia"/>
          <w:color w:val="000000"/>
          <w:kern w:val="0"/>
          <w:szCs w:val="21"/>
        </w:rPr>
        <w:t>（</w:t>
      </w:r>
      <w:r>
        <w:rPr>
          <w:rFonts w:hint="eastAsia"/>
          <w:color w:val="000000"/>
          <w:kern w:val="0"/>
          <w:szCs w:val="21"/>
        </w:rPr>
        <w:t>1</w:t>
      </w:r>
      <w:r>
        <w:rPr>
          <w:rFonts w:hint="eastAsia"/>
          <w:color w:val="000000"/>
          <w:kern w:val="0"/>
          <w:szCs w:val="21"/>
        </w:rPr>
        <w:t>）</w:t>
      </w:r>
      <w:r>
        <w:rPr>
          <w:color w:val="000000"/>
          <w:kern w:val="0"/>
          <w:szCs w:val="21"/>
        </w:rPr>
        <w:t>本标准是根据</w:t>
      </w:r>
      <w:r>
        <w:rPr>
          <w:color w:val="000000"/>
          <w:kern w:val="0"/>
          <w:szCs w:val="21"/>
        </w:rPr>
        <w:t>GB/T</w:t>
      </w:r>
      <w:r>
        <w:rPr>
          <w:rFonts w:hint="eastAsia"/>
          <w:color w:val="000000"/>
          <w:kern w:val="0"/>
          <w:szCs w:val="21"/>
        </w:rPr>
        <w:t xml:space="preserve"> </w:t>
      </w:r>
      <w:r>
        <w:rPr>
          <w:color w:val="000000"/>
          <w:kern w:val="0"/>
          <w:szCs w:val="21"/>
        </w:rPr>
        <w:t>1.1-2020</w:t>
      </w:r>
      <w:r>
        <w:rPr>
          <w:color w:val="000000"/>
          <w:kern w:val="0"/>
          <w:szCs w:val="21"/>
        </w:rPr>
        <w:t>《标准化工作导则</w:t>
      </w:r>
      <w:r>
        <w:rPr>
          <w:color w:val="000000"/>
          <w:kern w:val="0"/>
          <w:szCs w:val="21"/>
        </w:rPr>
        <w:t xml:space="preserve"> </w:t>
      </w:r>
      <w:r>
        <w:rPr>
          <w:color w:val="000000"/>
          <w:kern w:val="0"/>
          <w:szCs w:val="21"/>
        </w:rPr>
        <w:t>第</w:t>
      </w:r>
      <w:r>
        <w:rPr>
          <w:color w:val="000000"/>
          <w:kern w:val="0"/>
          <w:szCs w:val="21"/>
        </w:rPr>
        <w:t>1</w:t>
      </w:r>
      <w:r>
        <w:rPr>
          <w:color w:val="000000"/>
          <w:kern w:val="0"/>
          <w:szCs w:val="21"/>
        </w:rPr>
        <w:t>部分</w:t>
      </w:r>
      <w:r>
        <w:rPr>
          <w:color w:val="000000"/>
          <w:kern w:val="0"/>
          <w:szCs w:val="21"/>
        </w:rPr>
        <w:t>:</w:t>
      </w:r>
      <w:r>
        <w:rPr>
          <w:color w:val="000000"/>
          <w:kern w:val="0"/>
          <w:szCs w:val="21"/>
        </w:rPr>
        <w:t>标准化文件的结构和起草规则》和</w:t>
      </w:r>
      <w:r>
        <w:rPr>
          <w:color w:val="000000"/>
          <w:kern w:val="0"/>
          <w:szCs w:val="21"/>
        </w:rPr>
        <w:t>GB/T</w:t>
      </w:r>
      <w:r>
        <w:rPr>
          <w:rFonts w:hint="eastAsia"/>
          <w:color w:val="000000"/>
          <w:kern w:val="0"/>
          <w:szCs w:val="21"/>
        </w:rPr>
        <w:t xml:space="preserve"> </w:t>
      </w:r>
      <w:r>
        <w:rPr>
          <w:color w:val="000000"/>
          <w:kern w:val="0"/>
          <w:szCs w:val="21"/>
        </w:rPr>
        <w:t>20001.4-20</w:t>
      </w:r>
      <w:r>
        <w:rPr>
          <w:rFonts w:hint="eastAsia"/>
          <w:color w:val="000000"/>
          <w:kern w:val="0"/>
          <w:szCs w:val="21"/>
        </w:rPr>
        <w:t>15</w:t>
      </w:r>
      <w:r>
        <w:rPr>
          <w:color w:val="000000"/>
          <w:kern w:val="0"/>
          <w:szCs w:val="21"/>
        </w:rPr>
        <w:t>《标准编写规则</w:t>
      </w:r>
      <w:r>
        <w:rPr>
          <w:color w:val="000000"/>
          <w:kern w:val="0"/>
          <w:szCs w:val="21"/>
        </w:rPr>
        <w:t xml:space="preserve"> </w:t>
      </w:r>
      <w:r>
        <w:rPr>
          <w:color w:val="000000"/>
          <w:kern w:val="0"/>
          <w:szCs w:val="21"/>
        </w:rPr>
        <w:t>第</w:t>
      </w:r>
      <w:r>
        <w:rPr>
          <w:color w:val="000000"/>
          <w:kern w:val="0"/>
          <w:szCs w:val="21"/>
        </w:rPr>
        <w:t>4</w:t>
      </w:r>
      <w:r>
        <w:rPr>
          <w:color w:val="000000"/>
          <w:kern w:val="0"/>
          <w:szCs w:val="21"/>
        </w:rPr>
        <w:t>部分：</w:t>
      </w:r>
      <w:r>
        <w:rPr>
          <w:rFonts w:hint="eastAsia"/>
          <w:color w:val="000000"/>
          <w:kern w:val="0"/>
          <w:szCs w:val="21"/>
        </w:rPr>
        <w:t>试验方法标准</w:t>
      </w:r>
      <w:r>
        <w:rPr>
          <w:color w:val="000000"/>
          <w:kern w:val="0"/>
          <w:szCs w:val="21"/>
        </w:rPr>
        <w:t>》的要求进行编写的</w:t>
      </w:r>
      <w:r>
        <w:rPr>
          <w:rFonts w:hint="eastAsia"/>
          <w:color w:val="000000"/>
          <w:kern w:val="0"/>
          <w:szCs w:val="21"/>
        </w:rPr>
        <w:t>；</w:t>
      </w:r>
    </w:p>
    <w:p w14:paraId="6B5EE8A9" w14:textId="77777777" w:rsidR="00BB261B" w:rsidRDefault="00000000">
      <w:pPr>
        <w:spacing w:line="360" w:lineRule="auto"/>
        <w:ind w:firstLineChars="200" w:firstLine="420"/>
        <w:rPr>
          <w:color w:val="000000"/>
          <w:kern w:val="0"/>
          <w:szCs w:val="21"/>
        </w:rPr>
      </w:pPr>
      <w:r>
        <w:rPr>
          <w:rFonts w:hint="eastAsia"/>
          <w:color w:val="000000"/>
          <w:kern w:val="0"/>
          <w:szCs w:val="21"/>
        </w:rPr>
        <w:t>（</w:t>
      </w:r>
      <w:r>
        <w:rPr>
          <w:rFonts w:hint="eastAsia"/>
          <w:color w:val="000000"/>
          <w:kern w:val="0"/>
          <w:szCs w:val="21"/>
        </w:rPr>
        <w:t>2</w:t>
      </w:r>
      <w:r>
        <w:rPr>
          <w:rFonts w:hint="eastAsia"/>
          <w:color w:val="000000"/>
          <w:kern w:val="0"/>
          <w:szCs w:val="21"/>
        </w:rPr>
        <w:t>）充分满足市场要求的原则；</w:t>
      </w:r>
    </w:p>
    <w:p w14:paraId="331084AB" w14:textId="77777777" w:rsidR="00BB261B" w:rsidRDefault="00000000">
      <w:pPr>
        <w:spacing w:line="360" w:lineRule="auto"/>
        <w:ind w:firstLineChars="200" w:firstLine="420"/>
        <w:rPr>
          <w:color w:val="000000"/>
          <w:kern w:val="0"/>
          <w:szCs w:val="21"/>
        </w:rPr>
      </w:pPr>
      <w:r>
        <w:rPr>
          <w:rFonts w:hint="eastAsia"/>
          <w:color w:val="000000"/>
          <w:kern w:val="0"/>
          <w:szCs w:val="21"/>
        </w:rPr>
        <w:t>（</w:t>
      </w:r>
      <w:r>
        <w:rPr>
          <w:rFonts w:hint="eastAsia"/>
          <w:color w:val="000000"/>
          <w:kern w:val="0"/>
          <w:szCs w:val="21"/>
        </w:rPr>
        <w:t>3</w:t>
      </w:r>
      <w:r>
        <w:rPr>
          <w:rFonts w:hint="eastAsia"/>
          <w:color w:val="000000"/>
          <w:kern w:val="0"/>
          <w:szCs w:val="21"/>
        </w:rPr>
        <w:t>）划繁就简的原则；</w:t>
      </w:r>
    </w:p>
    <w:p w14:paraId="1BBE75E8" w14:textId="77777777" w:rsidR="00BB261B" w:rsidRDefault="00000000">
      <w:pPr>
        <w:spacing w:line="360" w:lineRule="auto"/>
        <w:ind w:firstLineChars="200" w:firstLine="420"/>
        <w:rPr>
          <w:color w:val="000000"/>
          <w:kern w:val="0"/>
          <w:szCs w:val="21"/>
        </w:rPr>
      </w:pPr>
      <w:r>
        <w:rPr>
          <w:rFonts w:hint="eastAsia"/>
          <w:color w:val="000000"/>
          <w:kern w:val="0"/>
          <w:szCs w:val="21"/>
        </w:rPr>
        <w:t>（</w:t>
      </w:r>
      <w:r>
        <w:rPr>
          <w:rFonts w:hint="eastAsia"/>
          <w:color w:val="000000"/>
          <w:kern w:val="0"/>
          <w:szCs w:val="21"/>
        </w:rPr>
        <w:t>4</w:t>
      </w:r>
      <w:r>
        <w:rPr>
          <w:rFonts w:hint="eastAsia"/>
          <w:color w:val="000000"/>
          <w:kern w:val="0"/>
          <w:szCs w:val="21"/>
        </w:rPr>
        <w:t>）有利于创新发展的原则。</w:t>
      </w:r>
    </w:p>
    <w:p w14:paraId="74BDFA54" w14:textId="77777777" w:rsidR="00BB261B" w:rsidRDefault="00000000">
      <w:pPr>
        <w:spacing w:beforeLines="50" w:before="156" w:afterLines="50" w:after="156" w:line="312" w:lineRule="auto"/>
        <w:rPr>
          <w:rFonts w:ascii="黑体" w:eastAsia="黑体" w:hAnsi="宋体"/>
          <w:bCs/>
          <w:sz w:val="24"/>
        </w:rPr>
      </w:pPr>
      <w:r>
        <w:rPr>
          <w:rFonts w:ascii="黑体" w:eastAsia="黑体" w:hAnsi="宋体" w:hint="eastAsia"/>
          <w:bCs/>
          <w:sz w:val="24"/>
        </w:rPr>
        <w:t>2、主要技术内容及</w:t>
      </w:r>
      <w:r w:rsidRPr="00C31A7D">
        <w:rPr>
          <w:rFonts w:ascii="黑体" w:eastAsia="黑体" w:hAnsi="宋体" w:hint="eastAsia"/>
          <w:bCs/>
          <w:sz w:val="24"/>
        </w:rPr>
        <w:t>其确定的依据</w:t>
      </w:r>
      <w:r>
        <w:rPr>
          <w:rFonts w:ascii="黑体" w:eastAsia="黑体" w:hAnsi="宋体" w:hint="eastAsia"/>
          <w:bCs/>
          <w:sz w:val="24"/>
        </w:rPr>
        <w:t>：</w:t>
      </w:r>
    </w:p>
    <w:p w14:paraId="6D661B84" w14:textId="77777777" w:rsidR="00BB261B" w:rsidRDefault="00000000">
      <w:pPr>
        <w:spacing w:line="360" w:lineRule="exact"/>
        <w:ind w:firstLineChars="200" w:firstLine="420"/>
        <w:rPr>
          <w:rFonts w:ascii="宋体" w:hAnsi="宋体"/>
          <w:color w:val="000000"/>
        </w:rPr>
      </w:pPr>
      <w:r>
        <w:rPr>
          <w:rFonts w:ascii="宋体" w:hAnsi="宋体" w:hint="eastAsia"/>
          <w:color w:val="000000"/>
        </w:rPr>
        <w:lastRenderedPageBreak/>
        <w:t>本标准适用于真空熔铸、粉末冶金方法制备的高纯钇锭，再经变形加工、热处理、机械加工、焊接等方法制造的高纯钇靶，主要用于电子信息材料、涂层和显示材料等领域。</w:t>
      </w:r>
    </w:p>
    <w:p w14:paraId="013A87B9" w14:textId="77777777" w:rsidR="00BB261B"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根据国内外用户需求及目前我国市场流通高纯钇靶</w:t>
      </w:r>
      <w:r>
        <w:rPr>
          <w:rFonts w:hint="eastAsia"/>
          <w:szCs w:val="21"/>
        </w:rPr>
        <w:t>产品实际情况</w:t>
      </w:r>
      <w:r>
        <w:rPr>
          <w:rFonts w:asciiTheme="minorEastAsia" w:eastAsiaTheme="minorEastAsia" w:hAnsiTheme="minorEastAsia" w:hint="eastAsia"/>
          <w:szCs w:val="21"/>
        </w:rPr>
        <w:t>制定了《高纯钇靶》标准，主要依据如下：</w:t>
      </w:r>
    </w:p>
    <w:p w14:paraId="3D7585EB" w14:textId="77777777" w:rsidR="00BB261B"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（1）高纯钇靶与现有金属钇标准的纯度区别详见项目必要性；</w:t>
      </w:r>
    </w:p>
    <w:p w14:paraId="609F6DAC" w14:textId="77777777" w:rsidR="00BB261B"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（2）高纯钇靶中关键杂质的确定主要是根据高纯钇的特点、制备流程以及借鉴现有电子行业靶材的标准来确定了；此外，还参考了湖南稀土院等稀土靶材制造企业和国内外靶材使用企业的调研情况；</w:t>
      </w:r>
    </w:p>
    <w:p w14:paraId="5F3F5AF7" w14:textId="77777777" w:rsidR="00BB261B"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（3）晶粒尺寸对溅射薄膜的制备和性能有显著影响，结合电子行业靶材标准（一般≤200μm）、用户要求及钇靶的特点（铸造晶粒达到厘米级，变形难度大），确定其晶粒尺寸不大于300μm；</w:t>
      </w:r>
    </w:p>
    <w:p w14:paraId="1C919CC2" w14:textId="77777777" w:rsidR="00BB261B"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焊合率直接影响溅射是否能正常进行和靶材的使用寿命，焊合率不足容易导致靶材过热，从而导致靶材脱焊，结合电子行业靶材的焊合率要求以及客户要求，焊合率要求不小于95%，局部最大未焊合率不大于2%；</w:t>
      </w:r>
    </w:p>
    <w:p w14:paraId="19378EF4" w14:textId="77777777" w:rsidR="00BB261B"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（5）外观、内部质量、表面粗糙度等指标主要参考了电子行业靶材标准的一般要求，并结合用户要求。</w:t>
      </w:r>
    </w:p>
    <w:p w14:paraId="0373DD44" w14:textId="27BB68CF" w:rsidR="00BB261B"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标准的主要内容说明如下：</w:t>
      </w:r>
    </w:p>
    <w:p w14:paraId="0EFC3D24" w14:textId="77777777" w:rsidR="00BB261B"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——规定了高纯钇靶的</w:t>
      </w:r>
      <w:r>
        <w:rPr>
          <w:rFonts w:asciiTheme="minorEastAsia" w:eastAsiaTheme="minorEastAsia" w:hAnsiTheme="minorEastAsia"/>
          <w:szCs w:val="21"/>
        </w:rPr>
        <w:t>3</w:t>
      </w:r>
      <w:r>
        <w:rPr>
          <w:rFonts w:asciiTheme="minorEastAsia" w:eastAsiaTheme="minorEastAsia" w:hAnsiTheme="minorEastAsia" w:hint="eastAsia"/>
          <w:szCs w:val="21"/>
        </w:rPr>
        <w:t>个牌号、牌号命名方式及关键杂质种类、含量等化学纯度指标。</w:t>
      </w:r>
    </w:p>
    <w:p w14:paraId="7DC253D5" w14:textId="55314233" w:rsidR="00BB261B" w:rsidRDefault="00000000">
      <w:pPr>
        <w:adjustRightInd w:val="0"/>
        <w:snapToGrid w:val="0"/>
        <w:spacing w:line="360" w:lineRule="auto"/>
        <w:jc w:val="center"/>
        <w:rPr>
          <w:sz w:val="18"/>
          <w:szCs w:val="18"/>
        </w:rPr>
      </w:pPr>
      <w:r>
        <w:rPr>
          <w:sz w:val="18"/>
          <w:szCs w:val="18"/>
        </w:rPr>
        <w:t>表</w:t>
      </w:r>
      <w:r>
        <w:rPr>
          <w:sz w:val="18"/>
          <w:szCs w:val="18"/>
        </w:rPr>
        <w:t xml:space="preserve">1 </w:t>
      </w:r>
      <w:r>
        <w:rPr>
          <w:rFonts w:hint="eastAsia"/>
          <w:sz w:val="18"/>
          <w:szCs w:val="18"/>
        </w:rPr>
        <w:t>高纯钇靶的化学纯度指标</w:t>
      </w:r>
    </w:p>
    <w:tbl>
      <w:tblPr>
        <w:tblW w:w="4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038"/>
        <w:gridCol w:w="614"/>
        <w:gridCol w:w="1678"/>
        <w:gridCol w:w="1641"/>
        <w:gridCol w:w="1641"/>
        <w:gridCol w:w="1764"/>
      </w:tblGrid>
      <w:tr w:rsidR="00321FE3" w14:paraId="7E127EC1" w14:textId="77777777" w:rsidTr="00C31A7D">
        <w:trPr>
          <w:trHeight w:val="19"/>
          <w:tblHeader/>
          <w:jc w:val="center"/>
        </w:trPr>
        <w:tc>
          <w:tcPr>
            <w:tcW w:w="2288" w:type="pct"/>
            <w:gridSpan w:val="4"/>
            <w:shd w:val="clear" w:color="auto" w:fill="auto"/>
            <w:noWrap/>
            <w:vAlign w:val="center"/>
          </w:tcPr>
          <w:p w14:paraId="0ECF2966"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产品牌号</w:t>
            </w:r>
          </w:p>
        </w:tc>
        <w:tc>
          <w:tcPr>
            <w:tcW w:w="882" w:type="pct"/>
            <w:shd w:val="clear" w:color="auto" w:fill="auto"/>
            <w:vAlign w:val="center"/>
          </w:tcPr>
          <w:p w14:paraId="3C73D40B"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H</w:t>
            </w:r>
            <w:r w:rsidRPr="00503DE6">
              <w:rPr>
                <w:rFonts w:ascii="宋体" w:hAnsi="宋体" w:hint="eastAsia"/>
                <w:color w:val="000000"/>
                <w:kern w:val="0"/>
                <w:sz w:val="18"/>
                <w:szCs w:val="18"/>
              </w:rPr>
              <w:t>T</w:t>
            </w:r>
            <w:r w:rsidRPr="00503DE6">
              <w:rPr>
                <w:rFonts w:ascii="宋体" w:hAnsi="宋体"/>
                <w:color w:val="000000"/>
                <w:kern w:val="0"/>
                <w:sz w:val="18"/>
                <w:szCs w:val="18"/>
              </w:rPr>
              <w:t>-</w:t>
            </w:r>
            <w:r w:rsidRPr="00503DE6">
              <w:rPr>
                <w:rFonts w:ascii="宋体" w:hAnsi="宋体" w:hint="eastAsia"/>
                <w:color w:val="000000"/>
                <w:kern w:val="0"/>
                <w:sz w:val="18"/>
                <w:szCs w:val="18"/>
              </w:rPr>
              <w:t>Y</w:t>
            </w:r>
            <w:r w:rsidRPr="00503DE6">
              <w:rPr>
                <w:rFonts w:ascii="宋体" w:hAnsi="宋体"/>
                <w:color w:val="000000"/>
                <w:kern w:val="0"/>
                <w:sz w:val="18"/>
                <w:szCs w:val="18"/>
              </w:rPr>
              <w:t>-4N</w:t>
            </w:r>
            <w:r w:rsidRPr="0088105E">
              <w:rPr>
                <w:rFonts w:ascii="宋体" w:hAnsi="宋体" w:hint="eastAsia"/>
                <w:color w:val="000000"/>
                <w:kern w:val="0"/>
                <w:sz w:val="18"/>
                <w:szCs w:val="18"/>
                <w:vertAlign w:val="superscript"/>
              </w:rPr>
              <w:t>a</w:t>
            </w:r>
          </w:p>
        </w:tc>
        <w:tc>
          <w:tcPr>
            <w:tcW w:w="882" w:type="pct"/>
            <w:shd w:val="clear" w:color="auto" w:fill="auto"/>
            <w:vAlign w:val="center"/>
          </w:tcPr>
          <w:p w14:paraId="429A875B"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H</w:t>
            </w:r>
            <w:r w:rsidRPr="00503DE6">
              <w:rPr>
                <w:rFonts w:ascii="宋体" w:hAnsi="宋体" w:hint="eastAsia"/>
                <w:color w:val="000000"/>
                <w:kern w:val="0"/>
                <w:sz w:val="18"/>
                <w:szCs w:val="18"/>
              </w:rPr>
              <w:t>T</w:t>
            </w:r>
            <w:r w:rsidRPr="00503DE6">
              <w:rPr>
                <w:rFonts w:ascii="宋体" w:hAnsi="宋体"/>
                <w:color w:val="000000"/>
                <w:kern w:val="0"/>
                <w:sz w:val="18"/>
                <w:szCs w:val="18"/>
              </w:rPr>
              <w:t>-</w:t>
            </w:r>
            <w:r w:rsidRPr="00503DE6">
              <w:rPr>
                <w:rFonts w:ascii="宋体" w:hAnsi="宋体" w:hint="eastAsia"/>
                <w:color w:val="000000"/>
                <w:kern w:val="0"/>
                <w:sz w:val="18"/>
                <w:szCs w:val="18"/>
              </w:rPr>
              <w:t>Y</w:t>
            </w:r>
            <w:r>
              <w:rPr>
                <w:rFonts w:ascii="宋体" w:hAnsi="宋体"/>
                <w:color w:val="000000"/>
                <w:kern w:val="0"/>
                <w:sz w:val="18"/>
                <w:szCs w:val="18"/>
              </w:rPr>
              <w:t>-</w:t>
            </w:r>
            <w:r w:rsidRPr="00503DE6">
              <w:rPr>
                <w:rFonts w:ascii="宋体" w:hAnsi="宋体"/>
                <w:color w:val="000000"/>
                <w:kern w:val="0"/>
                <w:sz w:val="18"/>
                <w:szCs w:val="18"/>
              </w:rPr>
              <w:t>3N5</w:t>
            </w:r>
            <w:r w:rsidRPr="0088105E">
              <w:rPr>
                <w:rFonts w:ascii="宋体" w:hAnsi="宋体"/>
                <w:color w:val="000000"/>
                <w:kern w:val="0"/>
                <w:sz w:val="18"/>
                <w:szCs w:val="18"/>
                <w:vertAlign w:val="superscript"/>
              </w:rPr>
              <w:t>a</w:t>
            </w:r>
          </w:p>
        </w:tc>
        <w:tc>
          <w:tcPr>
            <w:tcW w:w="948" w:type="pct"/>
            <w:shd w:val="clear" w:color="auto" w:fill="auto"/>
            <w:vAlign w:val="center"/>
          </w:tcPr>
          <w:p w14:paraId="3D479456"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H</w:t>
            </w:r>
            <w:r w:rsidRPr="00503DE6">
              <w:rPr>
                <w:rFonts w:ascii="宋体" w:hAnsi="宋体" w:hint="eastAsia"/>
                <w:color w:val="000000"/>
                <w:kern w:val="0"/>
                <w:sz w:val="18"/>
                <w:szCs w:val="18"/>
              </w:rPr>
              <w:t>T</w:t>
            </w:r>
            <w:r w:rsidRPr="00503DE6">
              <w:rPr>
                <w:rFonts w:ascii="宋体" w:hAnsi="宋体"/>
                <w:color w:val="000000"/>
                <w:kern w:val="0"/>
                <w:sz w:val="18"/>
                <w:szCs w:val="18"/>
              </w:rPr>
              <w:t>-</w:t>
            </w:r>
            <w:r w:rsidRPr="00503DE6">
              <w:rPr>
                <w:rFonts w:ascii="宋体" w:hAnsi="宋体" w:hint="eastAsia"/>
                <w:color w:val="000000"/>
                <w:kern w:val="0"/>
                <w:sz w:val="18"/>
                <w:szCs w:val="18"/>
              </w:rPr>
              <w:t>Y</w:t>
            </w:r>
            <w:r w:rsidRPr="00503DE6">
              <w:rPr>
                <w:rFonts w:ascii="宋体" w:hAnsi="宋体"/>
                <w:color w:val="000000"/>
                <w:kern w:val="0"/>
                <w:sz w:val="18"/>
                <w:szCs w:val="18"/>
              </w:rPr>
              <w:t>-3N</w:t>
            </w:r>
            <w:r w:rsidRPr="0088105E">
              <w:rPr>
                <w:rFonts w:ascii="宋体" w:hAnsi="宋体"/>
                <w:color w:val="000000"/>
                <w:kern w:val="0"/>
                <w:sz w:val="18"/>
                <w:szCs w:val="18"/>
                <w:vertAlign w:val="superscript"/>
              </w:rPr>
              <w:t>a</w:t>
            </w:r>
          </w:p>
        </w:tc>
      </w:tr>
      <w:tr w:rsidR="00321FE3" w14:paraId="6F8945E0" w14:textId="77777777" w:rsidTr="00C31A7D">
        <w:trPr>
          <w:trHeight w:val="19"/>
          <w:jc w:val="center"/>
        </w:trPr>
        <w:tc>
          <w:tcPr>
            <w:tcW w:w="498" w:type="pct"/>
            <w:vMerge w:val="restart"/>
            <w:shd w:val="clear" w:color="auto" w:fill="auto"/>
            <w:vAlign w:val="center"/>
          </w:tcPr>
          <w:p w14:paraId="2695B850" w14:textId="77777777" w:rsidR="00321FE3" w:rsidRPr="00503DE6" w:rsidRDefault="00321FE3" w:rsidP="0088105E">
            <w:pPr>
              <w:widowControl/>
              <w:adjustRightInd w:val="0"/>
              <w:snapToGrid w:val="0"/>
              <w:rPr>
                <w:rFonts w:ascii="宋体" w:hAnsi="宋体"/>
                <w:color w:val="000000"/>
                <w:kern w:val="0"/>
                <w:sz w:val="18"/>
                <w:szCs w:val="18"/>
              </w:rPr>
            </w:pPr>
            <w:r w:rsidRPr="00503DE6">
              <w:rPr>
                <w:rFonts w:ascii="宋体" w:hAnsi="宋体"/>
                <w:color w:val="000000"/>
                <w:kern w:val="0"/>
                <w:sz w:val="18"/>
                <w:szCs w:val="18"/>
              </w:rPr>
              <w:t>化学成分（质量分数）/%</w:t>
            </w:r>
          </w:p>
        </w:tc>
        <w:tc>
          <w:tcPr>
            <w:tcW w:w="1790" w:type="pct"/>
            <w:gridSpan w:val="3"/>
            <w:shd w:val="clear" w:color="auto" w:fill="auto"/>
            <w:vAlign w:val="center"/>
          </w:tcPr>
          <w:p w14:paraId="58CC94D3" w14:textId="77777777" w:rsidR="00321FE3" w:rsidRPr="00503DE6" w:rsidRDefault="00321FE3" w:rsidP="0088105E">
            <w:pPr>
              <w:widowControl/>
              <w:adjustRightInd w:val="0"/>
              <w:snapToGrid w:val="0"/>
              <w:jc w:val="center"/>
              <w:rPr>
                <w:rFonts w:ascii="宋体" w:hAnsi="宋体"/>
                <w:color w:val="000000"/>
                <w:kern w:val="0"/>
                <w:sz w:val="18"/>
                <w:szCs w:val="18"/>
              </w:rPr>
            </w:pPr>
            <w:proofErr w:type="spellStart"/>
            <w:r w:rsidRPr="00503DE6">
              <w:rPr>
                <w:rFonts w:ascii="宋体" w:hAnsi="宋体" w:hint="eastAsia"/>
                <w:color w:val="000000"/>
                <w:kern w:val="0"/>
                <w:sz w:val="18"/>
                <w:szCs w:val="18"/>
              </w:rPr>
              <w:t>Y</w:t>
            </w:r>
            <w:r w:rsidRPr="0088105E">
              <w:rPr>
                <w:rFonts w:ascii="宋体" w:hAnsi="宋体" w:hint="eastAsia"/>
                <w:color w:val="000000"/>
                <w:kern w:val="0"/>
                <w:sz w:val="18"/>
                <w:szCs w:val="18"/>
                <w:vertAlign w:val="superscript"/>
              </w:rPr>
              <w:t>x</w:t>
            </w:r>
            <w:proofErr w:type="spellEnd"/>
            <w:r>
              <w:rPr>
                <w:rFonts w:ascii="宋体" w:hAnsi="宋体" w:hint="eastAsia"/>
                <w:color w:val="000000"/>
                <w:kern w:val="0"/>
                <w:sz w:val="18"/>
                <w:szCs w:val="18"/>
              </w:rPr>
              <w:t>，</w:t>
            </w:r>
            <w:r w:rsidRPr="00503DE6">
              <w:rPr>
                <w:rFonts w:ascii="宋体" w:hAnsi="宋体"/>
                <w:color w:val="000000"/>
                <w:kern w:val="0"/>
                <w:sz w:val="18"/>
                <w:szCs w:val="18"/>
              </w:rPr>
              <w:t>不小于</w:t>
            </w:r>
          </w:p>
        </w:tc>
        <w:tc>
          <w:tcPr>
            <w:tcW w:w="882" w:type="pct"/>
            <w:shd w:val="clear" w:color="auto" w:fill="auto"/>
            <w:vAlign w:val="center"/>
          </w:tcPr>
          <w:p w14:paraId="3B765299"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99.99</w:t>
            </w:r>
          </w:p>
        </w:tc>
        <w:tc>
          <w:tcPr>
            <w:tcW w:w="882" w:type="pct"/>
            <w:shd w:val="clear" w:color="auto" w:fill="auto"/>
            <w:vAlign w:val="center"/>
          </w:tcPr>
          <w:p w14:paraId="454B794B"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99.95</w:t>
            </w:r>
          </w:p>
        </w:tc>
        <w:tc>
          <w:tcPr>
            <w:tcW w:w="948" w:type="pct"/>
            <w:shd w:val="clear" w:color="auto" w:fill="auto"/>
            <w:vAlign w:val="center"/>
          </w:tcPr>
          <w:p w14:paraId="7B79178C"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99.9</w:t>
            </w:r>
          </w:p>
        </w:tc>
      </w:tr>
      <w:tr w:rsidR="00321FE3" w14:paraId="61406F65" w14:textId="77777777" w:rsidTr="00C31A7D">
        <w:trPr>
          <w:trHeight w:val="19"/>
          <w:jc w:val="center"/>
        </w:trPr>
        <w:tc>
          <w:tcPr>
            <w:tcW w:w="498" w:type="pct"/>
            <w:vMerge/>
            <w:vAlign w:val="center"/>
          </w:tcPr>
          <w:p w14:paraId="004A917F"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558" w:type="pct"/>
            <w:vMerge w:val="restart"/>
            <w:shd w:val="clear" w:color="auto" w:fill="auto"/>
            <w:vAlign w:val="center"/>
          </w:tcPr>
          <w:p w14:paraId="47BC7700" w14:textId="77777777" w:rsidR="00321FE3" w:rsidRPr="00503DE6" w:rsidRDefault="00321FE3" w:rsidP="0088105E">
            <w:pPr>
              <w:widowControl/>
              <w:tabs>
                <w:tab w:val="center" w:pos="4153"/>
                <w:tab w:val="right" w:pos="8306"/>
              </w:tabs>
              <w:adjustRightInd w:val="0"/>
              <w:snapToGrid w:val="0"/>
              <w:jc w:val="center"/>
              <w:rPr>
                <w:rFonts w:ascii="宋体" w:hAnsi="宋体"/>
                <w:color w:val="000000"/>
                <w:kern w:val="0"/>
                <w:sz w:val="18"/>
                <w:szCs w:val="18"/>
              </w:rPr>
            </w:pPr>
            <w:r w:rsidRPr="00503DE6">
              <w:rPr>
                <w:rFonts w:ascii="宋体" w:hAnsi="宋体"/>
                <w:color w:val="000000"/>
                <w:kern w:val="0"/>
                <w:sz w:val="18"/>
                <w:szCs w:val="18"/>
              </w:rPr>
              <w:t>杂质含量，不大于</w:t>
            </w:r>
          </w:p>
        </w:tc>
        <w:tc>
          <w:tcPr>
            <w:tcW w:w="1232" w:type="pct"/>
            <w:gridSpan w:val="2"/>
            <w:shd w:val="clear" w:color="auto" w:fill="auto"/>
            <w:vAlign w:val="center"/>
          </w:tcPr>
          <w:p w14:paraId="242E07E1" w14:textId="77777777" w:rsidR="00321FE3" w:rsidRPr="00503DE6" w:rsidRDefault="00321FE3" w:rsidP="0088105E">
            <w:pPr>
              <w:widowControl/>
              <w:tabs>
                <w:tab w:val="center" w:pos="4153"/>
                <w:tab w:val="right" w:pos="8306"/>
              </w:tabs>
              <w:adjustRightInd w:val="0"/>
              <w:snapToGrid w:val="0"/>
              <w:jc w:val="center"/>
              <w:rPr>
                <w:rFonts w:ascii="宋体" w:hAnsi="宋体"/>
                <w:color w:val="000000"/>
                <w:kern w:val="0"/>
                <w:sz w:val="18"/>
                <w:szCs w:val="18"/>
              </w:rPr>
            </w:pPr>
            <w:r w:rsidRPr="00503DE6">
              <w:rPr>
                <w:rFonts w:ascii="宋体" w:hAnsi="宋体"/>
                <w:color w:val="000000"/>
                <w:kern w:val="0"/>
                <w:sz w:val="18"/>
                <w:szCs w:val="18"/>
              </w:rPr>
              <w:t>稀土杂质合量</w:t>
            </w:r>
          </w:p>
        </w:tc>
        <w:tc>
          <w:tcPr>
            <w:tcW w:w="882" w:type="pct"/>
            <w:shd w:val="clear" w:color="auto" w:fill="auto"/>
            <w:noWrap/>
            <w:vAlign w:val="center"/>
          </w:tcPr>
          <w:p w14:paraId="14F1128A" w14:textId="77777777" w:rsidR="00321FE3" w:rsidRPr="00503DE6" w:rsidRDefault="00321FE3" w:rsidP="0088105E">
            <w:pPr>
              <w:widowControl/>
              <w:tabs>
                <w:tab w:val="center" w:pos="4153"/>
                <w:tab w:val="right" w:pos="8306"/>
              </w:tabs>
              <w:adjustRightInd w:val="0"/>
              <w:snapToGrid w:val="0"/>
              <w:jc w:val="center"/>
              <w:rPr>
                <w:rFonts w:ascii="宋体" w:hAnsi="宋体"/>
                <w:color w:val="000000"/>
                <w:kern w:val="0"/>
                <w:sz w:val="18"/>
                <w:szCs w:val="18"/>
              </w:rPr>
            </w:pPr>
            <w:r w:rsidRPr="00503DE6">
              <w:rPr>
                <w:rFonts w:ascii="宋体" w:hAnsi="宋体"/>
                <w:color w:val="000000"/>
                <w:kern w:val="0"/>
                <w:sz w:val="18"/>
                <w:szCs w:val="18"/>
              </w:rPr>
              <w:t>0.001</w:t>
            </w:r>
          </w:p>
        </w:tc>
        <w:tc>
          <w:tcPr>
            <w:tcW w:w="882" w:type="pct"/>
            <w:shd w:val="clear" w:color="auto" w:fill="auto"/>
            <w:vAlign w:val="center"/>
          </w:tcPr>
          <w:p w14:paraId="7F60FCC3" w14:textId="77777777" w:rsidR="00321FE3" w:rsidRPr="00503DE6" w:rsidRDefault="00321FE3" w:rsidP="0088105E">
            <w:pPr>
              <w:widowControl/>
              <w:tabs>
                <w:tab w:val="center" w:pos="4153"/>
                <w:tab w:val="right" w:pos="8306"/>
              </w:tabs>
              <w:adjustRightInd w:val="0"/>
              <w:snapToGrid w:val="0"/>
              <w:jc w:val="center"/>
              <w:rPr>
                <w:rFonts w:ascii="宋体" w:hAnsi="宋体"/>
                <w:color w:val="000000"/>
                <w:kern w:val="0"/>
                <w:sz w:val="18"/>
                <w:szCs w:val="18"/>
              </w:rPr>
            </w:pPr>
            <w:r w:rsidRPr="00503DE6">
              <w:rPr>
                <w:rFonts w:ascii="宋体" w:hAnsi="宋体"/>
                <w:color w:val="000000"/>
                <w:kern w:val="0"/>
                <w:sz w:val="18"/>
                <w:szCs w:val="18"/>
              </w:rPr>
              <w:t>0.005</w:t>
            </w:r>
          </w:p>
        </w:tc>
        <w:tc>
          <w:tcPr>
            <w:tcW w:w="948" w:type="pct"/>
            <w:shd w:val="clear" w:color="auto" w:fill="auto"/>
            <w:vAlign w:val="center"/>
          </w:tcPr>
          <w:p w14:paraId="46CDD3BA" w14:textId="77777777" w:rsidR="00321FE3" w:rsidRPr="00503DE6" w:rsidRDefault="00321FE3" w:rsidP="0088105E">
            <w:pPr>
              <w:widowControl/>
              <w:tabs>
                <w:tab w:val="center" w:pos="4153"/>
                <w:tab w:val="right" w:pos="8306"/>
              </w:tabs>
              <w:adjustRightInd w:val="0"/>
              <w:snapToGrid w:val="0"/>
              <w:jc w:val="center"/>
              <w:rPr>
                <w:rFonts w:ascii="宋体" w:hAnsi="宋体"/>
                <w:color w:val="000000"/>
                <w:kern w:val="0"/>
                <w:sz w:val="18"/>
                <w:szCs w:val="18"/>
              </w:rPr>
            </w:pPr>
            <w:r w:rsidRPr="00503DE6">
              <w:rPr>
                <w:rFonts w:ascii="宋体" w:hAnsi="宋体"/>
                <w:color w:val="000000"/>
                <w:kern w:val="0"/>
                <w:sz w:val="18"/>
                <w:szCs w:val="18"/>
              </w:rPr>
              <w:t>0.01</w:t>
            </w:r>
          </w:p>
        </w:tc>
      </w:tr>
      <w:tr w:rsidR="00321FE3" w14:paraId="755AC8EE" w14:textId="77777777" w:rsidTr="00C31A7D">
        <w:trPr>
          <w:trHeight w:val="19"/>
          <w:jc w:val="center"/>
        </w:trPr>
        <w:tc>
          <w:tcPr>
            <w:tcW w:w="498" w:type="pct"/>
            <w:vMerge/>
            <w:vAlign w:val="center"/>
          </w:tcPr>
          <w:p w14:paraId="7FFE53F3"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558" w:type="pct"/>
            <w:vMerge/>
            <w:vAlign w:val="center"/>
          </w:tcPr>
          <w:p w14:paraId="5AE77E72" w14:textId="77777777" w:rsidR="00321FE3" w:rsidRPr="00503DE6" w:rsidRDefault="00321FE3" w:rsidP="0088105E">
            <w:pPr>
              <w:widowControl/>
              <w:adjustRightInd w:val="0"/>
              <w:snapToGrid w:val="0"/>
              <w:jc w:val="center"/>
              <w:rPr>
                <w:rFonts w:ascii="宋体" w:hAnsi="宋体"/>
                <w:color w:val="000000"/>
                <w:kern w:val="0"/>
                <w:sz w:val="18"/>
                <w:szCs w:val="18"/>
              </w:rPr>
            </w:pPr>
          </w:p>
        </w:tc>
        <w:tc>
          <w:tcPr>
            <w:tcW w:w="330" w:type="pct"/>
            <w:vMerge w:val="restart"/>
            <w:shd w:val="clear" w:color="auto" w:fill="auto"/>
            <w:vAlign w:val="center"/>
          </w:tcPr>
          <w:p w14:paraId="7DEACE47"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非稀土杂质</w:t>
            </w:r>
          </w:p>
        </w:tc>
        <w:tc>
          <w:tcPr>
            <w:tcW w:w="902" w:type="pct"/>
            <w:shd w:val="clear" w:color="auto" w:fill="auto"/>
            <w:vAlign w:val="center"/>
          </w:tcPr>
          <w:p w14:paraId="33F86517"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hint="eastAsia"/>
                <w:color w:val="000000"/>
                <w:kern w:val="0"/>
                <w:sz w:val="18"/>
                <w:szCs w:val="18"/>
              </w:rPr>
              <w:t>Li</w:t>
            </w:r>
          </w:p>
        </w:tc>
        <w:tc>
          <w:tcPr>
            <w:tcW w:w="882" w:type="pct"/>
            <w:shd w:val="clear" w:color="auto" w:fill="auto"/>
            <w:noWrap/>
          </w:tcPr>
          <w:p w14:paraId="5B4B0164"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hint="eastAsia"/>
                <w:color w:val="000000"/>
                <w:kern w:val="0"/>
                <w:sz w:val="18"/>
                <w:szCs w:val="18"/>
              </w:rPr>
              <w:t>0.0001</w:t>
            </w:r>
          </w:p>
        </w:tc>
        <w:tc>
          <w:tcPr>
            <w:tcW w:w="882" w:type="pct"/>
            <w:shd w:val="clear" w:color="auto" w:fill="auto"/>
          </w:tcPr>
          <w:p w14:paraId="67813197"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hint="eastAsia"/>
                <w:color w:val="000000"/>
                <w:kern w:val="0"/>
                <w:sz w:val="18"/>
                <w:szCs w:val="18"/>
              </w:rPr>
              <w:t>0.0001</w:t>
            </w:r>
          </w:p>
        </w:tc>
        <w:tc>
          <w:tcPr>
            <w:tcW w:w="948" w:type="pct"/>
            <w:shd w:val="clear" w:color="auto" w:fill="auto"/>
            <w:vAlign w:val="center"/>
          </w:tcPr>
          <w:p w14:paraId="62586D02" w14:textId="77777777" w:rsidR="00321FE3" w:rsidRPr="00503DE6" w:rsidRDefault="00321FE3" w:rsidP="0088105E">
            <w:pPr>
              <w:widowControl/>
              <w:tabs>
                <w:tab w:val="center" w:pos="4153"/>
                <w:tab w:val="right" w:pos="8306"/>
              </w:tabs>
              <w:adjustRightInd w:val="0"/>
              <w:snapToGrid w:val="0"/>
              <w:jc w:val="center"/>
              <w:rPr>
                <w:rFonts w:ascii="宋体" w:hAnsi="宋体"/>
                <w:color w:val="000000"/>
                <w:kern w:val="0"/>
                <w:sz w:val="18"/>
                <w:szCs w:val="18"/>
              </w:rPr>
            </w:pPr>
            <w:r w:rsidRPr="00503DE6">
              <w:rPr>
                <w:rFonts w:ascii="宋体" w:hAnsi="宋体" w:hint="eastAsia"/>
                <w:color w:val="000000"/>
                <w:kern w:val="0"/>
                <w:sz w:val="18"/>
                <w:szCs w:val="18"/>
              </w:rPr>
              <w:t>0.001</w:t>
            </w:r>
          </w:p>
        </w:tc>
      </w:tr>
      <w:tr w:rsidR="00321FE3" w14:paraId="56998B7F" w14:textId="77777777" w:rsidTr="00C31A7D">
        <w:trPr>
          <w:trHeight w:val="19"/>
          <w:jc w:val="center"/>
        </w:trPr>
        <w:tc>
          <w:tcPr>
            <w:tcW w:w="498" w:type="pct"/>
            <w:vMerge/>
            <w:vAlign w:val="center"/>
          </w:tcPr>
          <w:p w14:paraId="36DB3F2F"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558" w:type="pct"/>
            <w:vMerge/>
            <w:vAlign w:val="center"/>
          </w:tcPr>
          <w:p w14:paraId="1413B722" w14:textId="77777777" w:rsidR="00321FE3" w:rsidRPr="00503DE6" w:rsidRDefault="00321FE3" w:rsidP="0088105E">
            <w:pPr>
              <w:widowControl/>
              <w:adjustRightInd w:val="0"/>
              <w:snapToGrid w:val="0"/>
              <w:jc w:val="center"/>
              <w:rPr>
                <w:rFonts w:ascii="宋体" w:hAnsi="宋体"/>
                <w:color w:val="000000"/>
                <w:kern w:val="0"/>
                <w:sz w:val="18"/>
                <w:szCs w:val="18"/>
              </w:rPr>
            </w:pPr>
          </w:p>
        </w:tc>
        <w:tc>
          <w:tcPr>
            <w:tcW w:w="330" w:type="pct"/>
            <w:vMerge/>
            <w:shd w:val="clear" w:color="auto" w:fill="auto"/>
            <w:vAlign w:val="center"/>
          </w:tcPr>
          <w:p w14:paraId="53654AA6" w14:textId="77777777" w:rsidR="00321FE3" w:rsidRPr="00503DE6" w:rsidRDefault="00321FE3" w:rsidP="0088105E">
            <w:pPr>
              <w:widowControl/>
              <w:adjustRightInd w:val="0"/>
              <w:snapToGrid w:val="0"/>
              <w:jc w:val="center"/>
              <w:rPr>
                <w:rFonts w:ascii="宋体" w:hAnsi="宋体"/>
                <w:color w:val="000000"/>
                <w:kern w:val="0"/>
                <w:sz w:val="18"/>
                <w:szCs w:val="18"/>
              </w:rPr>
            </w:pPr>
          </w:p>
        </w:tc>
        <w:tc>
          <w:tcPr>
            <w:tcW w:w="902" w:type="pct"/>
            <w:shd w:val="clear" w:color="auto" w:fill="auto"/>
            <w:vAlign w:val="center"/>
          </w:tcPr>
          <w:p w14:paraId="6FED9E17"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hint="eastAsia"/>
                <w:color w:val="000000"/>
                <w:kern w:val="0"/>
                <w:sz w:val="18"/>
                <w:szCs w:val="18"/>
              </w:rPr>
              <w:t>Na</w:t>
            </w:r>
          </w:p>
        </w:tc>
        <w:tc>
          <w:tcPr>
            <w:tcW w:w="882" w:type="pct"/>
            <w:shd w:val="clear" w:color="auto" w:fill="auto"/>
            <w:noWrap/>
          </w:tcPr>
          <w:p w14:paraId="09D6C5C1"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hint="eastAsia"/>
                <w:color w:val="000000"/>
                <w:kern w:val="0"/>
                <w:sz w:val="18"/>
                <w:szCs w:val="18"/>
              </w:rPr>
              <w:t>0.0001</w:t>
            </w:r>
          </w:p>
        </w:tc>
        <w:tc>
          <w:tcPr>
            <w:tcW w:w="882" w:type="pct"/>
            <w:shd w:val="clear" w:color="auto" w:fill="auto"/>
          </w:tcPr>
          <w:p w14:paraId="0F6D3816"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hint="eastAsia"/>
                <w:color w:val="000000"/>
                <w:kern w:val="0"/>
                <w:sz w:val="18"/>
                <w:szCs w:val="18"/>
              </w:rPr>
              <w:t>0.0001</w:t>
            </w:r>
          </w:p>
        </w:tc>
        <w:tc>
          <w:tcPr>
            <w:tcW w:w="948" w:type="pct"/>
            <w:shd w:val="clear" w:color="auto" w:fill="auto"/>
            <w:vAlign w:val="center"/>
          </w:tcPr>
          <w:p w14:paraId="6C0D5598" w14:textId="77777777" w:rsidR="00321FE3" w:rsidRPr="00503DE6" w:rsidRDefault="00321FE3" w:rsidP="0088105E">
            <w:pPr>
              <w:widowControl/>
              <w:tabs>
                <w:tab w:val="center" w:pos="4153"/>
                <w:tab w:val="right" w:pos="8306"/>
              </w:tabs>
              <w:adjustRightInd w:val="0"/>
              <w:snapToGrid w:val="0"/>
              <w:jc w:val="center"/>
              <w:rPr>
                <w:rFonts w:ascii="宋体" w:hAnsi="宋体"/>
                <w:color w:val="000000"/>
                <w:kern w:val="0"/>
                <w:sz w:val="18"/>
                <w:szCs w:val="18"/>
              </w:rPr>
            </w:pPr>
            <w:r w:rsidRPr="00503DE6">
              <w:rPr>
                <w:rFonts w:ascii="宋体" w:hAnsi="宋体" w:hint="eastAsia"/>
                <w:color w:val="000000"/>
                <w:kern w:val="0"/>
                <w:sz w:val="18"/>
                <w:szCs w:val="18"/>
              </w:rPr>
              <w:t>0.001</w:t>
            </w:r>
          </w:p>
        </w:tc>
      </w:tr>
      <w:tr w:rsidR="00321FE3" w14:paraId="3B51FF4F" w14:textId="77777777" w:rsidTr="00C31A7D">
        <w:trPr>
          <w:trHeight w:val="19"/>
          <w:jc w:val="center"/>
        </w:trPr>
        <w:tc>
          <w:tcPr>
            <w:tcW w:w="498" w:type="pct"/>
            <w:vMerge/>
            <w:vAlign w:val="center"/>
          </w:tcPr>
          <w:p w14:paraId="5B897AE6"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558" w:type="pct"/>
            <w:vMerge/>
            <w:vAlign w:val="center"/>
          </w:tcPr>
          <w:p w14:paraId="443CBBBF" w14:textId="77777777" w:rsidR="00321FE3" w:rsidRPr="00503DE6" w:rsidRDefault="00321FE3" w:rsidP="0088105E">
            <w:pPr>
              <w:widowControl/>
              <w:adjustRightInd w:val="0"/>
              <w:snapToGrid w:val="0"/>
              <w:jc w:val="center"/>
              <w:rPr>
                <w:rFonts w:ascii="宋体" w:hAnsi="宋体"/>
                <w:color w:val="000000"/>
                <w:kern w:val="0"/>
                <w:sz w:val="18"/>
                <w:szCs w:val="18"/>
              </w:rPr>
            </w:pPr>
          </w:p>
        </w:tc>
        <w:tc>
          <w:tcPr>
            <w:tcW w:w="330" w:type="pct"/>
            <w:vMerge/>
            <w:shd w:val="clear" w:color="auto" w:fill="auto"/>
            <w:vAlign w:val="center"/>
          </w:tcPr>
          <w:p w14:paraId="68FB6155" w14:textId="77777777" w:rsidR="00321FE3" w:rsidRPr="00503DE6" w:rsidRDefault="00321FE3" w:rsidP="0088105E">
            <w:pPr>
              <w:widowControl/>
              <w:adjustRightInd w:val="0"/>
              <w:snapToGrid w:val="0"/>
              <w:jc w:val="center"/>
              <w:rPr>
                <w:rFonts w:ascii="宋体" w:hAnsi="宋体"/>
                <w:color w:val="000000"/>
                <w:kern w:val="0"/>
                <w:sz w:val="18"/>
                <w:szCs w:val="18"/>
              </w:rPr>
            </w:pPr>
          </w:p>
        </w:tc>
        <w:tc>
          <w:tcPr>
            <w:tcW w:w="902" w:type="pct"/>
            <w:shd w:val="clear" w:color="auto" w:fill="auto"/>
            <w:vAlign w:val="center"/>
          </w:tcPr>
          <w:p w14:paraId="0ED1D6A5"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hint="eastAsia"/>
                <w:color w:val="000000"/>
                <w:kern w:val="0"/>
                <w:sz w:val="18"/>
                <w:szCs w:val="18"/>
              </w:rPr>
              <w:t>K</w:t>
            </w:r>
          </w:p>
        </w:tc>
        <w:tc>
          <w:tcPr>
            <w:tcW w:w="882" w:type="pct"/>
            <w:shd w:val="clear" w:color="auto" w:fill="auto"/>
            <w:noWrap/>
          </w:tcPr>
          <w:p w14:paraId="23242679"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hint="eastAsia"/>
                <w:color w:val="000000"/>
                <w:kern w:val="0"/>
                <w:sz w:val="18"/>
                <w:szCs w:val="18"/>
              </w:rPr>
              <w:t>0.0001</w:t>
            </w:r>
          </w:p>
        </w:tc>
        <w:tc>
          <w:tcPr>
            <w:tcW w:w="882" w:type="pct"/>
            <w:shd w:val="clear" w:color="auto" w:fill="auto"/>
          </w:tcPr>
          <w:p w14:paraId="3CE4C214"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hint="eastAsia"/>
                <w:color w:val="000000"/>
                <w:kern w:val="0"/>
                <w:sz w:val="18"/>
                <w:szCs w:val="18"/>
              </w:rPr>
              <w:t>0.0001</w:t>
            </w:r>
          </w:p>
        </w:tc>
        <w:tc>
          <w:tcPr>
            <w:tcW w:w="948" w:type="pct"/>
            <w:shd w:val="clear" w:color="auto" w:fill="auto"/>
            <w:vAlign w:val="center"/>
          </w:tcPr>
          <w:p w14:paraId="2EF6561A" w14:textId="77777777" w:rsidR="00321FE3" w:rsidRPr="00503DE6" w:rsidRDefault="00321FE3" w:rsidP="0088105E">
            <w:pPr>
              <w:widowControl/>
              <w:tabs>
                <w:tab w:val="center" w:pos="4153"/>
                <w:tab w:val="right" w:pos="8306"/>
              </w:tabs>
              <w:adjustRightInd w:val="0"/>
              <w:snapToGrid w:val="0"/>
              <w:jc w:val="center"/>
              <w:rPr>
                <w:rFonts w:ascii="宋体" w:hAnsi="宋体"/>
                <w:color w:val="000000"/>
                <w:kern w:val="0"/>
                <w:sz w:val="18"/>
                <w:szCs w:val="18"/>
              </w:rPr>
            </w:pPr>
            <w:r w:rsidRPr="00503DE6">
              <w:rPr>
                <w:rFonts w:ascii="宋体" w:hAnsi="宋体" w:hint="eastAsia"/>
                <w:color w:val="000000"/>
                <w:kern w:val="0"/>
                <w:sz w:val="18"/>
                <w:szCs w:val="18"/>
              </w:rPr>
              <w:t>0.001</w:t>
            </w:r>
          </w:p>
        </w:tc>
      </w:tr>
      <w:tr w:rsidR="00321FE3" w14:paraId="681EBB3E" w14:textId="77777777" w:rsidTr="00C31A7D">
        <w:trPr>
          <w:trHeight w:val="19"/>
          <w:jc w:val="center"/>
        </w:trPr>
        <w:tc>
          <w:tcPr>
            <w:tcW w:w="498" w:type="pct"/>
            <w:vMerge/>
            <w:vAlign w:val="center"/>
          </w:tcPr>
          <w:p w14:paraId="53BC47B3"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558" w:type="pct"/>
            <w:vMerge/>
            <w:vAlign w:val="center"/>
          </w:tcPr>
          <w:p w14:paraId="79177B3C" w14:textId="77777777" w:rsidR="00321FE3" w:rsidRPr="00503DE6" w:rsidRDefault="00321FE3" w:rsidP="0088105E">
            <w:pPr>
              <w:widowControl/>
              <w:adjustRightInd w:val="0"/>
              <w:snapToGrid w:val="0"/>
              <w:jc w:val="center"/>
              <w:rPr>
                <w:rFonts w:ascii="宋体" w:hAnsi="宋体"/>
                <w:color w:val="000000"/>
                <w:kern w:val="0"/>
                <w:sz w:val="18"/>
                <w:szCs w:val="18"/>
              </w:rPr>
            </w:pPr>
          </w:p>
        </w:tc>
        <w:tc>
          <w:tcPr>
            <w:tcW w:w="330" w:type="pct"/>
            <w:vMerge/>
            <w:shd w:val="clear" w:color="auto" w:fill="auto"/>
            <w:vAlign w:val="center"/>
          </w:tcPr>
          <w:p w14:paraId="14DFAB81" w14:textId="77777777" w:rsidR="00321FE3" w:rsidRPr="00503DE6" w:rsidRDefault="00321FE3" w:rsidP="0088105E">
            <w:pPr>
              <w:widowControl/>
              <w:adjustRightInd w:val="0"/>
              <w:snapToGrid w:val="0"/>
              <w:jc w:val="center"/>
              <w:rPr>
                <w:rFonts w:ascii="宋体" w:hAnsi="宋体"/>
                <w:color w:val="000000"/>
                <w:kern w:val="0"/>
                <w:sz w:val="18"/>
                <w:szCs w:val="18"/>
              </w:rPr>
            </w:pPr>
          </w:p>
        </w:tc>
        <w:tc>
          <w:tcPr>
            <w:tcW w:w="902" w:type="pct"/>
            <w:shd w:val="clear" w:color="auto" w:fill="auto"/>
            <w:vAlign w:val="center"/>
          </w:tcPr>
          <w:p w14:paraId="63C32D55"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Fe</w:t>
            </w:r>
          </w:p>
        </w:tc>
        <w:tc>
          <w:tcPr>
            <w:tcW w:w="882" w:type="pct"/>
            <w:shd w:val="clear" w:color="auto" w:fill="auto"/>
            <w:noWrap/>
          </w:tcPr>
          <w:p w14:paraId="51AEFBEE"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sz w:val="18"/>
                <w:szCs w:val="18"/>
              </w:rPr>
              <w:t>0.001</w:t>
            </w:r>
          </w:p>
        </w:tc>
        <w:tc>
          <w:tcPr>
            <w:tcW w:w="882" w:type="pct"/>
            <w:shd w:val="clear" w:color="auto" w:fill="auto"/>
          </w:tcPr>
          <w:p w14:paraId="4103C270"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sz w:val="18"/>
                <w:szCs w:val="18"/>
              </w:rPr>
              <w:t>0.0</w:t>
            </w:r>
            <w:r>
              <w:rPr>
                <w:rFonts w:ascii="宋体" w:hAnsi="宋体"/>
                <w:sz w:val="18"/>
                <w:szCs w:val="18"/>
              </w:rPr>
              <w:t>05</w:t>
            </w:r>
          </w:p>
        </w:tc>
        <w:tc>
          <w:tcPr>
            <w:tcW w:w="948" w:type="pct"/>
            <w:shd w:val="clear" w:color="auto" w:fill="auto"/>
            <w:vAlign w:val="center"/>
          </w:tcPr>
          <w:p w14:paraId="48470885" w14:textId="77777777" w:rsidR="00321FE3" w:rsidRPr="00503DE6" w:rsidRDefault="00321FE3" w:rsidP="0088105E">
            <w:pPr>
              <w:widowControl/>
              <w:tabs>
                <w:tab w:val="center" w:pos="4153"/>
                <w:tab w:val="right" w:pos="8306"/>
              </w:tabs>
              <w:adjustRightInd w:val="0"/>
              <w:snapToGrid w:val="0"/>
              <w:jc w:val="center"/>
              <w:rPr>
                <w:rFonts w:ascii="宋体" w:hAnsi="宋体"/>
                <w:color w:val="000000"/>
                <w:kern w:val="0"/>
                <w:sz w:val="18"/>
                <w:szCs w:val="18"/>
              </w:rPr>
            </w:pPr>
            <w:r w:rsidRPr="00503DE6">
              <w:rPr>
                <w:rFonts w:ascii="宋体" w:hAnsi="宋体"/>
                <w:sz w:val="18"/>
                <w:szCs w:val="18"/>
              </w:rPr>
              <w:t>0.01</w:t>
            </w:r>
          </w:p>
        </w:tc>
      </w:tr>
      <w:tr w:rsidR="00321FE3" w14:paraId="42022A4F" w14:textId="77777777" w:rsidTr="00C31A7D">
        <w:trPr>
          <w:trHeight w:val="19"/>
          <w:jc w:val="center"/>
        </w:trPr>
        <w:tc>
          <w:tcPr>
            <w:tcW w:w="498" w:type="pct"/>
            <w:vMerge/>
            <w:vAlign w:val="center"/>
          </w:tcPr>
          <w:p w14:paraId="7E022D0F"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558" w:type="pct"/>
            <w:vMerge/>
            <w:vAlign w:val="center"/>
          </w:tcPr>
          <w:p w14:paraId="34879C19"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330" w:type="pct"/>
            <w:vMerge/>
            <w:vAlign w:val="center"/>
          </w:tcPr>
          <w:p w14:paraId="517C4A77"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902" w:type="pct"/>
            <w:shd w:val="clear" w:color="auto" w:fill="auto"/>
            <w:vAlign w:val="center"/>
          </w:tcPr>
          <w:p w14:paraId="284199D6"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Si</w:t>
            </w:r>
          </w:p>
        </w:tc>
        <w:tc>
          <w:tcPr>
            <w:tcW w:w="882" w:type="pct"/>
            <w:shd w:val="clear" w:color="auto" w:fill="auto"/>
            <w:noWrap/>
          </w:tcPr>
          <w:p w14:paraId="77B78214"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sz w:val="18"/>
                <w:szCs w:val="18"/>
              </w:rPr>
              <w:t>0.00</w:t>
            </w:r>
            <w:r>
              <w:rPr>
                <w:rFonts w:ascii="宋体" w:hAnsi="宋体"/>
                <w:sz w:val="18"/>
                <w:szCs w:val="18"/>
              </w:rPr>
              <w:t>1</w:t>
            </w:r>
          </w:p>
        </w:tc>
        <w:tc>
          <w:tcPr>
            <w:tcW w:w="882" w:type="pct"/>
            <w:shd w:val="clear" w:color="auto" w:fill="auto"/>
          </w:tcPr>
          <w:p w14:paraId="56062337"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sz w:val="18"/>
                <w:szCs w:val="18"/>
              </w:rPr>
              <w:t>0.003</w:t>
            </w:r>
          </w:p>
        </w:tc>
        <w:tc>
          <w:tcPr>
            <w:tcW w:w="948" w:type="pct"/>
            <w:shd w:val="clear" w:color="auto" w:fill="auto"/>
          </w:tcPr>
          <w:p w14:paraId="4481C8D3"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sz w:val="18"/>
                <w:szCs w:val="18"/>
              </w:rPr>
              <w:t>0.005</w:t>
            </w:r>
          </w:p>
        </w:tc>
      </w:tr>
      <w:tr w:rsidR="00321FE3" w14:paraId="42231B2F" w14:textId="77777777" w:rsidTr="00C31A7D">
        <w:trPr>
          <w:trHeight w:val="19"/>
          <w:jc w:val="center"/>
        </w:trPr>
        <w:tc>
          <w:tcPr>
            <w:tcW w:w="498" w:type="pct"/>
            <w:vMerge/>
            <w:vAlign w:val="center"/>
          </w:tcPr>
          <w:p w14:paraId="681DE280"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558" w:type="pct"/>
            <w:vMerge/>
            <w:vAlign w:val="center"/>
          </w:tcPr>
          <w:p w14:paraId="5D87457B"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330" w:type="pct"/>
            <w:vMerge/>
            <w:vAlign w:val="center"/>
          </w:tcPr>
          <w:p w14:paraId="298158A0"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902" w:type="pct"/>
            <w:shd w:val="clear" w:color="auto" w:fill="auto"/>
            <w:vAlign w:val="center"/>
          </w:tcPr>
          <w:p w14:paraId="6231BCE7"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Ca</w:t>
            </w:r>
          </w:p>
        </w:tc>
        <w:tc>
          <w:tcPr>
            <w:tcW w:w="882" w:type="pct"/>
            <w:shd w:val="clear" w:color="auto" w:fill="auto"/>
            <w:noWrap/>
          </w:tcPr>
          <w:p w14:paraId="2928CE66"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sz w:val="18"/>
                <w:szCs w:val="18"/>
              </w:rPr>
              <w:t>0.001</w:t>
            </w:r>
          </w:p>
        </w:tc>
        <w:tc>
          <w:tcPr>
            <w:tcW w:w="882" w:type="pct"/>
            <w:shd w:val="clear" w:color="auto" w:fill="auto"/>
          </w:tcPr>
          <w:p w14:paraId="1D82E8C9"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sz w:val="18"/>
                <w:szCs w:val="18"/>
              </w:rPr>
              <w:t>0.003</w:t>
            </w:r>
          </w:p>
        </w:tc>
        <w:tc>
          <w:tcPr>
            <w:tcW w:w="948" w:type="pct"/>
            <w:shd w:val="clear" w:color="auto" w:fill="auto"/>
          </w:tcPr>
          <w:p w14:paraId="422936AB"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sz w:val="18"/>
                <w:szCs w:val="18"/>
              </w:rPr>
              <w:t>0.005</w:t>
            </w:r>
          </w:p>
        </w:tc>
      </w:tr>
      <w:tr w:rsidR="00321FE3" w14:paraId="5874FF71" w14:textId="77777777" w:rsidTr="00C31A7D">
        <w:trPr>
          <w:trHeight w:val="19"/>
          <w:jc w:val="center"/>
        </w:trPr>
        <w:tc>
          <w:tcPr>
            <w:tcW w:w="498" w:type="pct"/>
            <w:vMerge/>
            <w:vAlign w:val="center"/>
          </w:tcPr>
          <w:p w14:paraId="57D6A47A"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558" w:type="pct"/>
            <w:vMerge/>
            <w:vAlign w:val="center"/>
          </w:tcPr>
          <w:p w14:paraId="6070C452"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330" w:type="pct"/>
            <w:vMerge/>
            <w:vAlign w:val="center"/>
          </w:tcPr>
          <w:p w14:paraId="61285C1F"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902" w:type="pct"/>
            <w:shd w:val="clear" w:color="auto" w:fill="auto"/>
            <w:vAlign w:val="center"/>
          </w:tcPr>
          <w:p w14:paraId="64630566"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Mg</w:t>
            </w:r>
          </w:p>
        </w:tc>
        <w:tc>
          <w:tcPr>
            <w:tcW w:w="882" w:type="pct"/>
            <w:shd w:val="clear" w:color="auto" w:fill="auto"/>
            <w:noWrap/>
          </w:tcPr>
          <w:p w14:paraId="45D308B9"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sz w:val="18"/>
                <w:szCs w:val="18"/>
              </w:rPr>
              <w:t>0.0005</w:t>
            </w:r>
          </w:p>
        </w:tc>
        <w:tc>
          <w:tcPr>
            <w:tcW w:w="882" w:type="pct"/>
            <w:shd w:val="clear" w:color="auto" w:fill="auto"/>
          </w:tcPr>
          <w:p w14:paraId="4C0285E9"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sz w:val="18"/>
                <w:szCs w:val="18"/>
              </w:rPr>
              <w:t>0.00</w:t>
            </w:r>
            <w:r w:rsidRPr="00503DE6">
              <w:rPr>
                <w:rFonts w:ascii="宋体" w:hAnsi="宋体" w:hint="eastAsia"/>
                <w:sz w:val="18"/>
                <w:szCs w:val="18"/>
              </w:rPr>
              <w:t>0</w:t>
            </w:r>
            <w:r>
              <w:rPr>
                <w:rFonts w:ascii="宋体" w:hAnsi="宋体"/>
                <w:sz w:val="18"/>
                <w:szCs w:val="18"/>
              </w:rPr>
              <w:t>5</w:t>
            </w:r>
          </w:p>
        </w:tc>
        <w:tc>
          <w:tcPr>
            <w:tcW w:w="948" w:type="pct"/>
            <w:shd w:val="clear" w:color="auto" w:fill="auto"/>
          </w:tcPr>
          <w:p w14:paraId="17D81A48"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sz w:val="18"/>
                <w:szCs w:val="18"/>
              </w:rPr>
              <w:t>0.001</w:t>
            </w:r>
          </w:p>
        </w:tc>
      </w:tr>
      <w:tr w:rsidR="00321FE3" w14:paraId="424A6805" w14:textId="77777777" w:rsidTr="00C31A7D">
        <w:trPr>
          <w:trHeight w:val="19"/>
          <w:jc w:val="center"/>
        </w:trPr>
        <w:tc>
          <w:tcPr>
            <w:tcW w:w="498" w:type="pct"/>
            <w:vMerge/>
            <w:vAlign w:val="center"/>
          </w:tcPr>
          <w:p w14:paraId="1B78703D"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558" w:type="pct"/>
            <w:vMerge/>
            <w:vAlign w:val="center"/>
          </w:tcPr>
          <w:p w14:paraId="767693FF"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330" w:type="pct"/>
            <w:vMerge/>
            <w:vAlign w:val="center"/>
          </w:tcPr>
          <w:p w14:paraId="3E18948C"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902" w:type="pct"/>
            <w:shd w:val="clear" w:color="auto" w:fill="auto"/>
            <w:vAlign w:val="center"/>
          </w:tcPr>
          <w:p w14:paraId="5007A2E3"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Al</w:t>
            </w:r>
          </w:p>
        </w:tc>
        <w:tc>
          <w:tcPr>
            <w:tcW w:w="882" w:type="pct"/>
            <w:shd w:val="clear" w:color="auto" w:fill="auto"/>
            <w:noWrap/>
          </w:tcPr>
          <w:p w14:paraId="5000CB1C"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sz w:val="18"/>
                <w:szCs w:val="18"/>
              </w:rPr>
              <w:t>0.00</w:t>
            </w:r>
            <w:r>
              <w:rPr>
                <w:rFonts w:ascii="宋体" w:hAnsi="宋体"/>
                <w:sz w:val="18"/>
                <w:szCs w:val="18"/>
              </w:rPr>
              <w:t>1</w:t>
            </w:r>
          </w:p>
        </w:tc>
        <w:tc>
          <w:tcPr>
            <w:tcW w:w="882" w:type="pct"/>
            <w:shd w:val="clear" w:color="auto" w:fill="auto"/>
          </w:tcPr>
          <w:p w14:paraId="497CD98C"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sz w:val="18"/>
                <w:szCs w:val="18"/>
              </w:rPr>
              <w:t>0.0</w:t>
            </w:r>
            <w:r>
              <w:rPr>
                <w:rFonts w:ascii="宋体" w:hAnsi="宋体"/>
                <w:sz w:val="18"/>
                <w:szCs w:val="18"/>
              </w:rPr>
              <w:t>05</w:t>
            </w:r>
          </w:p>
        </w:tc>
        <w:tc>
          <w:tcPr>
            <w:tcW w:w="948" w:type="pct"/>
            <w:shd w:val="clear" w:color="auto" w:fill="auto"/>
          </w:tcPr>
          <w:p w14:paraId="55B2AAAC"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sz w:val="18"/>
                <w:szCs w:val="18"/>
              </w:rPr>
              <w:t>0.0</w:t>
            </w:r>
            <w:r w:rsidRPr="00503DE6">
              <w:rPr>
                <w:rFonts w:ascii="宋体" w:hAnsi="宋体" w:hint="eastAsia"/>
                <w:sz w:val="18"/>
                <w:szCs w:val="18"/>
              </w:rPr>
              <w:t>1</w:t>
            </w:r>
          </w:p>
        </w:tc>
      </w:tr>
      <w:tr w:rsidR="00321FE3" w14:paraId="5937DB42" w14:textId="77777777" w:rsidTr="00C31A7D">
        <w:trPr>
          <w:trHeight w:val="19"/>
          <w:jc w:val="center"/>
        </w:trPr>
        <w:tc>
          <w:tcPr>
            <w:tcW w:w="498" w:type="pct"/>
            <w:vMerge/>
            <w:vAlign w:val="center"/>
          </w:tcPr>
          <w:p w14:paraId="3B8551FF"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558" w:type="pct"/>
            <w:vMerge/>
            <w:vAlign w:val="center"/>
          </w:tcPr>
          <w:p w14:paraId="04A776BC"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330" w:type="pct"/>
            <w:vMerge/>
            <w:vAlign w:val="center"/>
          </w:tcPr>
          <w:p w14:paraId="2782CEA2"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902" w:type="pct"/>
            <w:shd w:val="clear" w:color="auto" w:fill="auto"/>
            <w:vAlign w:val="center"/>
          </w:tcPr>
          <w:p w14:paraId="603DE980"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Ni</w:t>
            </w:r>
          </w:p>
        </w:tc>
        <w:tc>
          <w:tcPr>
            <w:tcW w:w="882" w:type="pct"/>
            <w:shd w:val="clear" w:color="auto" w:fill="auto"/>
            <w:noWrap/>
          </w:tcPr>
          <w:p w14:paraId="4233CCBC"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sz w:val="18"/>
                <w:szCs w:val="18"/>
              </w:rPr>
              <w:t>0.00</w:t>
            </w:r>
            <w:r>
              <w:rPr>
                <w:rFonts w:ascii="宋体" w:hAnsi="宋体"/>
                <w:sz w:val="18"/>
                <w:szCs w:val="18"/>
              </w:rPr>
              <w:t>1</w:t>
            </w:r>
          </w:p>
        </w:tc>
        <w:tc>
          <w:tcPr>
            <w:tcW w:w="882" w:type="pct"/>
            <w:shd w:val="clear" w:color="auto" w:fill="auto"/>
          </w:tcPr>
          <w:p w14:paraId="58421E17"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sz w:val="18"/>
                <w:szCs w:val="18"/>
              </w:rPr>
              <w:t>0.00</w:t>
            </w:r>
            <w:r>
              <w:rPr>
                <w:rFonts w:ascii="宋体" w:hAnsi="宋体"/>
                <w:sz w:val="18"/>
                <w:szCs w:val="18"/>
              </w:rPr>
              <w:t>5</w:t>
            </w:r>
          </w:p>
        </w:tc>
        <w:tc>
          <w:tcPr>
            <w:tcW w:w="948" w:type="pct"/>
            <w:shd w:val="clear" w:color="auto" w:fill="auto"/>
          </w:tcPr>
          <w:p w14:paraId="7B89315E"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sz w:val="18"/>
                <w:szCs w:val="18"/>
              </w:rPr>
              <w:t>0.0</w:t>
            </w:r>
            <w:r w:rsidRPr="00503DE6">
              <w:rPr>
                <w:rFonts w:ascii="宋体" w:hAnsi="宋体" w:hint="eastAsia"/>
                <w:sz w:val="18"/>
                <w:szCs w:val="18"/>
              </w:rPr>
              <w:t>1</w:t>
            </w:r>
          </w:p>
        </w:tc>
      </w:tr>
      <w:tr w:rsidR="00321FE3" w14:paraId="1AB19909" w14:textId="77777777" w:rsidTr="00C31A7D">
        <w:trPr>
          <w:trHeight w:val="19"/>
          <w:jc w:val="center"/>
        </w:trPr>
        <w:tc>
          <w:tcPr>
            <w:tcW w:w="498" w:type="pct"/>
            <w:vMerge/>
            <w:vAlign w:val="center"/>
          </w:tcPr>
          <w:p w14:paraId="4EE35369"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558" w:type="pct"/>
            <w:vMerge/>
            <w:vAlign w:val="center"/>
          </w:tcPr>
          <w:p w14:paraId="0203B439"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330" w:type="pct"/>
            <w:vMerge/>
            <w:vAlign w:val="center"/>
          </w:tcPr>
          <w:p w14:paraId="63259059"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902" w:type="pct"/>
            <w:shd w:val="clear" w:color="auto" w:fill="auto"/>
            <w:vAlign w:val="center"/>
          </w:tcPr>
          <w:p w14:paraId="331F9587" w14:textId="77777777" w:rsidR="00321FE3" w:rsidRPr="00503DE6" w:rsidRDefault="00321FE3" w:rsidP="0088105E">
            <w:pPr>
              <w:widowControl/>
              <w:adjustRightInd w:val="0"/>
              <w:snapToGrid w:val="0"/>
              <w:jc w:val="center"/>
              <w:rPr>
                <w:rFonts w:ascii="宋体" w:hAnsi="宋体"/>
                <w:color w:val="000000"/>
                <w:kern w:val="0"/>
                <w:sz w:val="18"/>
                <w:szCs w:val="18"/>
              </w:rPr>
            </w:pPr>
            <w:proofErr w:type="spellStart"/>
            <w:r w:rsidRPr="00503DE6">
              <w:rPr>
                <w:rFonts w:ascii="宋体" w:hAnsi="宋体"/>
                <w:color w:val="000000"/>
                <w:kern w:val="0"/>
                <w:sz w:val="18"/>
                <w:szCs w:val="18"/>
              </w:rPr>
              <w:t>Ti</w:t>
            </w:r>
            <w:proofErr w:type="spellEnd"/>
          </w:p>
        </w:tc>
        <w:tc>
          <w:tcPr>
            <w:tcW w:w="882" w:type="pct"/>
            <w:shd w:val="clear" w:color="auto" w:fill="auto"/>
            <w:noWrap/>
          </w:tcPr>
          <w:p w14:paraId="5DB83BCD"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sz w:val="18"/>
                <w:szCs w:val="18"/>
              </w:rPr>
              <w:t>0.0005</w:t>
            </w:r>
          </w:p>
        </w:tc>
        <w:tc>
          <w:tcPr>
            <w:tcW w:w="882" w:type="pct"/>
            <w:shd w:val="clear" w:color="auto" w:fill="auto"/>
          </w:tcPr>
          <w:p w14:paraId="7FDB068E"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sz w:val="18"/>
                <w:szCs w:val="18"/>
              </w:rPr>
              <w:t>0.00</w:t>
            </w:r>
            <w:r>
              <w:rPr>
                <w:rFonts w:ascii="宋体" w:hAnsi="宋体"/>
                <w:sz w:val="18"/>
                <w:szCs w:val="18"/>
              </w:rPr>
              <w:t>5</w:t>
            </w:r>
          </w:p>
        </w:tc>
        <w:tc>
          <w:tcPr>
            <w:tcW w:w="948" w:type="pct"/>
            <w:shd w:val="clear" w:color="auto" w:fill="auto"/>
          </w:tcPr>
          <w:p w14:paraId="109762AF"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sz w:val="18"/>
                <w:szCs w:val="18"/>
              </w:rPr>
              <w:t>0.01</w:t>
            </w:r>
          </w:p>
        </w:tc>
      </w:tr>
      <w:tr w:rsidR="00321FE3" w14:paraId="5F401B14" w14:textId="77777777" w:rsidTr="00C31A7D">
        <w:trPr>
          <w:trHeight w:val="19"/>
          <w:jc w:val="center"/>
        </w:trPr>
        <w:tc>
          <w:tcPr>
            <w:tcW w:w="498" w:type="pct"/>
            <w:vMerge/>
            <w:vAlign w:val="center"/>
          </w:tcPr>
          <w:p w14:paraId="2A48B05C"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558" w:type="pct"/>
            <w:vMerge/>
            <w:vAlign w:val="center"/>
          </w:tcPr>
          <w:p w14:paraId="41A274D7"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330" w:type="pct"/>
            <w:vMerge/>
            <w:vAlign w:val="center"/>
          </w:tcPr>
          <w:p w14:paraId="10693785"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902" w:type="pct"/>
            <w:shd w:val="clear" w:color="auto" w:fill="auto"/>
            <w:vAlign w:val="center"/>
          </w:tcPr>
          <w:p w14:paraId="2F83B3DF"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Mn</w:t>
            </w:r>
          </w:p>
        </w:tc>
        <w:tc>
          <w:tcPr>
            <w:tcW w:w="882" w:type="pct"/>
            <w:shd w:val="clear" w:color="auto" w:fill="auto"/>
            <w:noWrap/>
          </w:tcPr>
          <w:p w14:paraId="6A984195"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sz w:val="18"/>
                <w:szCs w:val="18"/>
              </w:rPr>
              <w:t>0.0005</w:t>
            </w:r>
          </w:p>
        </w:tc>
        <w:tc>
          <w:tcPr>
            <w:tcW w:w="882" w:type="pct"/>
            <w:shd w:val="clear" w:color="auto" w:fill="auto"/>
          </w:tcPr>
          <w:p w14:paraId="6E18ED95"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sz w:val="18"/>
                <w:szCs w:val="18"/>
              </w:rPr>
              <w:t>0.001</w:t>
            </w:r>
          </w:p>
        </w:tc>
        <w:tc>
          <w:tcPr>
            <w:tcW w:w="948" w:type="pct"/>
            <w:shd w:val="clear" w:color="auto" w:fill="auto"/>
          </w:tcPr>
          <w:p w14:paraId="4D5F6204"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sz w:val="18"/>
                <w:szCs w:val="18"/>
              </w:rPr>
              <w:t>0.002</w:t>
            </w:r>
          </w:p>
        </w:tc>
      </w:tr>
      <w:tr w:rsidR="00321FE3" w14:paraId="17629365" w14:textId="77777777" w:rsidTr="00C31A7D">
        <w:trPr>
          <w:trHeight w:val="19"/>
          <w:jc w:val="center"/>
        </w:trPr>
        <w:tc>
          <w:tcPr>
            <w:tcW w:w="498" w:type="pct"/>
            <w:vMerge/>
            <w:vAlign w:val="center"/>
          </w:tcPr>
          <w:p w14:paraId="395BB01F"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558" w:type="pct"/>
            <w:vMerge/>
            <w:vAlign w:val="center"/>
          </w:tcPr>
          <w:p w14:paraId="0D8077A5"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330" w:type="pct"/>
            <w:vMerge/>
            <w:vAlign w:val="center"/>
          </w:tcPr>
          <w:p w14:paraId="147ABB61"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902" w:type="pct"/>
            <w:shd w:val="clear" w:color="auto" w:fill="auto"/>
            <w:vAlign w:val="center"/>
          </w:tcPr>
          <w:p w14:paraId="437321D3"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Zn</w:t>
            </w:r>
          </w:p>
        </w:tc>
        <w:tc>
          <w:tcPr>
            <w:tcW w:w="882" w:type="pct"/>
            <w:shd w:val="clear" w:color="auto" w:fill="auto"/>
            <w:noWrap/>
          </w:tcPr>
          <w:p w14:paraId="32E56E39"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sz w:val="18"/>
                <w:szCs w:val="18"/>
              </w:rPr>
              <w:t>0.0005</w:t>
            </w:r>
          </w:p>
        </w:tc>
        <w:tc>
          <w:tcPr>
            <w:tcW w:w="882" w:type="pct"/>
            <w:shd w:val="clear" w:color="auto" w:fill="auto"/>
          </w:tcPr>
          <w:p w14:paraId="26C260FE"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sz w:val="18"/>
                <w:szCs w:val="18"/>
              </w:rPr>
              <w:t>0.001</w:t>
            </w:r>
          </w:p>
        </w:tc>
        <w:tc>
          <w:tcPr>
            <w:tcW w:w="948" w:type="pct"/>
            <w:shd w:val="clear" w:color="auto" w:fill="auto"/>
          </w:tcPr>
          <w:p w14:paraId="0A0FB36A"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sz w:val="18"/>
                <w:szCs w:val="18"/>
              </w:rPr>
              <w:t>0.001</w:t>
            </w:r>
          </w:p>
        </w:tc>
      </w:tr>
      <w:tr w:rsidR="00321FE3" w14:paraId="40B018A8" w14:textId="77777777" w:rsidTr="00C31A7D">
        <w:trPr>
          <w:trHeight w:val="19"/>
          <w:jc w:val="center"/>
        </w:trPr>
        <w:tc>
          <w:tcPr>
            <w:tcW w:w="498" w:type="pct"/>
            <w:vMerge/>
            <w:vAlign w:val="center"/>
          </w:tcPr>
          <w:p w14:paraId="3BBD51C6"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558" w:type="pct"/>
            <w:vMerge/>
            <w:vAlign w:val="center"/>
          </w:tcPr>
          <w:p w14:paraId="68F6E8BA"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330" w:type="pct"/>
            <w:vMerge/>
            <w:vAlign w:val="center"/>
          </w:tcPr>
          <w:p w14:paraId="634B1291"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902" w:type="pct"/>
            <w:shd w:val="clear" w:color="auto" w:fill="auto"/>
            <w:vAlign w:val="center"/>
          </w:tcPr>
          <w:p w14:paraId="52142D33"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Pb</w:t>
            </w:r>
          </w:p>
        </w:tc>
        <w:tc>
          <w:tcPr>
            <w:tcW w:w="882" w:type="pct"/>
            <w:shd w:val="clear" w:color="auto" w:fill="auto"/>
            <w:noWrap/>
          </w:tcPr>
          <w:p w14:paraId="6B16E646"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sz w:val="18"/>
                <w:szCs w:val="18"/>
              </w:rPr>
              <w:t>0.0005</w:t>
            </w:r>
          </w:p>
        </w:tc>
        <w:tc>
          <w:tcPr>
            <w:tcW w:w="882" w:type="pct"/>
            <w:shd w:val="clear" w:color="auto" w:fill="auto"/>
          </w:tcPr>
          <w:p w14:paraId="688D0915"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sz w:val="18"/>
                <w:szCs w:val="18"/>
              </w:rPr>
              <w:t>0.001</w:t>
            </w:r>
          </w:p>
        </w:tc>
        <w:tc>
          <w:tcPr>
            <w:tcW w:w="948" w:type="pct"/>
            <w:shd w:val="clear" w:color="auto" w:fill="auto"/>
          </w:tcPr>
          <w:p w14:paraId="05A25C00"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sz w:val="18"/>
                <w:szCs w:val="18"/>
              </w:rPr>
              <w:t>0.001</w:t>
            </w:r>
          </w:p>
        </w:tc>
      </w:tr>
      <w:tr w:rsidR="00321FE3" w14:paraId="45C1D08C" w14:textId="77777777" w:rsidTr="00C31A7D">
        <w:trPr>
          <w:trHeight w:val="19"/>
          <w:jc w:val="center"/>
        </w:trPr>
        <w:tc>
          <w:tcPr>
            <w:tcW w:w="498" w:type="pct"/>
            <w:vMerge/>
            <w:vAlign w:val="center"/>
          </w:tcPr>
          <w:p w14:paraId="3EAEC8C3"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558" w:type="pct"/>
            <w:vMerge/>
            <w:vAlign w:val="center"/>
          </w:tcPr>
          <w:p w14:paraId="5258B19D"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330" w:type="pct"/>
            <w:vMerge/>
            <w:vAlign w:val="center"/>
          </w:tcPr>
          <w:p w14:paraId="2FA2A688"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902" w:type="pct"/>
            <w:shd w:val="clear" w:color="auto" w:fill="auto"/>
            <w:vAlign w:val="center"/>
          </w:tcPr>
          <w:p w14:paraId="0DDB88B9"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Cu</w:t>
            </w:r>
          </w:p>
        </w:tc>
        <w:tc>
          <w:tcPr>
            <w:tcW w:w="882" w:type="pct"/>
            <w:shd w:val="clear" w:color="auto" w:fill="auto"/>
            <w:noWrap/>
          </w:tcPr>
          <w:p w14:paraId="3A18E877"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sz w:val="18"/>
                <w:szCs w:val="18"/>
              </w:rPr>
              <w:t>0.002</w:t>
            </w:r>
          </w:p>
        </w:tc>
        <w:tc>
          <w:tcPr>
            <w:tcW w:w="882" w:type="pct"/>
            <w:shd w:val="clear" w:color="auto" w:fill="auto"/>
          </w:tcPr>
          <w:p w14:paraId="689AED1A"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sz w:val="18"/>
                <w:szCs w:val="18"/>
              </w:rPr>
              <w:t>0.0</w:t>
            </w:r>
            <w:r>
              <w:rPr>
                <w:rFonts w:ascii="宋体" w:hAnsi="宋体"/>
                <w:sz w:val="18"/>
                <w:szCs w:val="18"/>
              </w:rPr>
              <w:t>050</w:t>
            </w:r>
          </w:p>
        </w:tc>
        <w:tc>
          <w:tcPr>
            <w:tcW w:w="948" w:type="pct"/>
            <w:shd w:val="clear" w:color="auto" w:fill="auto"/>
          </w:tcPr>
          <w:p w14:paraId="1A86F06A"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sz w:val="18"/>
                <w:szCs w:val="18"/>
              </w:rPr>
              <w:t>0.01</w:t>
            </w:r>
          </w:p>
        </w:tc>
      </w:tr>
      <w:tr w:rsidR="00321FE3" w14:paraId="0FBB7968" w14:textId="77777777" w:rsidTr="00C31A7D">
        <w:trPr>
          <w:trHeight w:val="19"/>
          <w:jc w:val="center"/>
        </w:trPr>
        <w:tc>
          <w:tcPr>
            <w:tcW w:w="498" w:type="pct"/>
            <w:vMerge/>
            <w:vAlign w:val="center"/>
          </w:tcPr>
          <w:p w14:paraId="376A73FC"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558" w:type="pct"/>
            <w:vMerge/>
            <w:vAlign w:val="center"/>
          </w:tcPr>
          <w:p w14:paraId="09F05E52"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330" w:type="pct"/>
            <w:vMerge/>
            <w:vAlign w:val="center"/>
          </w:tcPr>
          <w:p w14:paraId="655F261C"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902" w:type="pct"/>
            <w:shd w:val="clear" w:color="auto" w:fill="auto"/>
            <w:vAlign w:val="center"/>
          </w:tcPr>
          <w:p w14:paraId="0E45F477"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hint="eastAsia"/>
                <w:color w:val="000000"/>
                <w:kern w:val="0"/>
                <w:sz w:val="18"/>
                <w:szCs w:val="18"/>
              </w:rPr>
              <w:t>U</w:t>
            </w:r>
          </w:p>
        </w:tc>
        <w:tc>
          <w:tcPr>
            <w:tcW w:w="882" w:type="pct"/>
            <w:shd w:val="clear" w:color="auto" w:fill="auto"/>
            <w:noWrap/>
          </w:tcPr>
          <w:p w14:paraId="2CC0291C" w14:textId="77777777" w:rsidR="00321FE3" w:rsidRPr="00503DE6" w:rsidRDefault="00321FE3" w:rsidP="0088105E">
            <w:pPr>
              <w:widowControl/>
              <w:adjustRightInd w:val="0"/>
              <w:snapToGrid w:val="0"/>
              <w:jc w:val="center"/>
              <w:rPr>
                <w:rFonts w:ascii="宋体" w:hAnsi="宋体"/>
                <w:sz w:val="18"/>
                <w:szCs w:val="18"/>
              </w:rPr>
            </w:pPr>
            <w:r w:rsidRPr="00503DE6">
              <w:rPr>
                <w:rFonts w:ascii="宋体" w:hAnsi="宋体" w:hint="eastAsia"/>
                <w:sz w:val="18"/>
                <w:szCs w:val="18"/>
              </w:rPr>
              <w:t>0.0001</w:t>
            </w:r>
          </w:p>
        </w:tc>
        <w:tc>
          <w:tcPr>
            <w:tcW w:w="882" w:type="pct"/>
            <w:shd w:val="clear" w:color="auto" w:fill="auto"/>
          </w:tcPr>
          <w:p w14:paraId="62F5F3A2" w14:textId="77777777" w:rsidR="00321FE3" w:rsidRPr="00503DE6" w:rsidRDefault="00321FE3" w:rsidP="0088105E">
            <w:pPr>
              <w:widowControl/>
              <w:adjustRightInd w:val="0"/>
              <w:snapToGrid w:val="0"/>
              <w:jc w:val="center"/>
              <w:rPr>
                <w:rFonts w:ascii="宋体" w:hAnsi="宋体"/>
                <w:sz w:val="18"/>
                <w:szCs w:val="18"/>
              </w:rPr>
            </w:pPr>
            <w:r w:rsidRPr="00503DE6">
              <w:rPr>
                <w:rFonts w:ascii="宋体" w:hAnsi="宋体" w:hint="eastAsia"/>
                <w:sz w:val="18"/>
                <w:szCs w:val="18"/>
              </w:rPr>
              <w:t>0.0001</w:t>
            </w:r>
          </w:p>
        </w:tc>
        <w:tc>
          <w:tcPr>
            <w:tcW w:w="948" w:type="pct"/>
            <w:shd w:val="clear" w:color="auto" w:fill="auto"/>
          </w:tcPr>
          <w:p w14:paraId="10906D3D" w14:textId="77777777" w:rsidR="00321FE3" w:rsidRPr="00503DE6" w:rsidRDefault="00321FE3" w:rsidP="0088105E">
            <w:pPr>
              <w:widowControl/>
              <w:adjustRightInd w:val="0"/>
              <w:snapToGrid w:val="0"/>
              <w:jc w:val="center"/>
              <w:rPr>
                <w:rFonts w:ascii="宋体" w:hAnsi="宋体"/>
                <w:sz w:val="18"/>
                <w:szCs w:val="18"/>
              </w:rPr>
            </w:pPr>
            <w:r w:rsidRPr="00503DE6">
              <w:rPr>
                <w:rFonts w:ascii="宋体" w:hAnsi="宋体" w:hint="eastAsia"/>
                <w:sz w:val="18"/>
                <w:szCs w:val="18"/>
              </w:rPr>
              <w:t>0.0001</w:t>
            </w:r>
          </w:p>
        </w:tc>
      </w:tr>
      <w:tr w:rsidR="00321FE3" w14:paraId="02162949" w14:textId="77777777" w:rsidTr="00C31A7D">
        <w:trPr>
          <w:trHeight w:val="19"/>
          <w:jc w:val="center"/>
        </w:trPr>
        <w:tc>
          <w:tcPr>
            <w:tcW w:w="498" w:type="pct"/>
            <w:vMerge/>
            <w:vAlign w:val="center"/>
          </w:tcPr>
          <w:p w14:paraId="262D3FC2"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558" w:type="pct"/>
            <w:vMerge/>
            <w:vAlign w:val="center"/>
          </w:tcPr>
          <w:p w14:paraId="30F3B910"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330" w:type="pct"/>
            <w:vMerge/>
            <w:vAlign w:val="center"/>
          </w:tcPr>
          <w:p w14:paraId="110F6E83"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902" w:type="pct"/>
            <w:shd w:val="clear" w:color="auto" w:fill="auto"/>
            <w:vAlign w:val="center"/>
          </w:tcPr>
          <w:p w14:paraId="180F46F3"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hint="eastAsia"/>
                <w:color w:val="000000"/>
                <w:kern w:val="0"/>
                <w:sz w:val="18"/>
                <w:szCs w:val="18"/>
              </w:rPr>
              <w:t>Th</w:t>
            </w:r>
          </w:p>
        </w:tc>
        <w:tc>
          <w:tcPr>
            <w:tcW w:w="882" w:type="pct"/>
            <w:shd w:val="clear" w:color="auto" w:fill="auto"/>
            <w:noWrap/>
          </w:tcPr>
          <w:p w14:paraId="1D2183F7" w14:textId="77777777" w:rsidR="00321FE3" w:rsidRPr="00503DE6" w:rsidRDefault="00321FE3" w:rsidP="0088105E">
            <w:pPr>
              <w:widowControl/>
              <w:adjustRightInd w:val="0"/>
              <w:snapToGrid w:val="0"/>
              <w:jc w:val="center"/>
              <w:rPr>
                <w:rFonts w:ascii="宋体" w:hAnsi="宋体"/>
                <w:sz w:val="18"/>
                <w:szCs w:val="18"/>
              </w:rPr>
            </w:pPr>
            <w:r w:rsidRPr="00503DE6">
              <w:rPr>
                <w:rFonts w:ascii="宋体" w:hAnsi="宋体" w:hint="eastAsia"/>
                <w:sz w:val="18"/>
                <w:szCs w:val="18"/>
              </w:rPr>
              <w:t>0.0001</w:t>
            </w:r>
          </w:p>
        </w:tc>
        <w:tc>
          <w:tcPr>
            <w:tcW w:w="882" w:type="pct"/>
            <w:shd w:val="clear" w:color="auto" w:fill="auto"/>
          </w:tcPr>
          <w:p w14:paraId="29D04A3D" w14:textId="77777777" w:rsidR="00321FE3" w:rsidRPr="00503DE6" w:rsidRDefault="00321FE3" w:rsidP="0088105E">
            <w:pPr>
              <w:widowControl/>
              <w:adjustRightInd w:val="0"/>
              <w:snapToGrid w:val="0"/>
              <w:jc w:val="center"/>
              <w:rPr>
                <w:rFonts w:ascii="宋体" w:hAnsi="宋体"/>
                <w:sz w:val="18"/>
                <w:szCs w:val="18"/>
              </w:rPr>
            </w:pPr>
            <w:r w:rsidRPr="00503DE6">
              <w:rPr>
                <w:rFonts w:ascii="宋体" w:hAnsi="宋体" w:hint="eastAsia"/>
                <w:sz w:val="18"/>
                <w:szCs w:val="18"/>
              </w:rPr>
              <w:t>0.0001</w:t>
            </w:r>
          </w:p>
        </w:tc>
        <w:tc>
          <w:tcPr>
            <w:tcW w:w="948" w:type="pct"/>
            <w:shd w:val="clear" w:color="auto" w:fill="auto"/>
          </w:tcPr>
          <w:p w14:paraId="36BCBFC8" w14:textId="77777777" w:rsidR="00321FE3" w:rsidRPr="00503DE6" w:rsidRDefault="00321FE3" w:rsidP="0088105E">
            <w:pPr>
              <w:widowControl/>
              <w:adjustRightInd w:val="0"/>
              <w:snapToGrid w:val="0"/>
              <w:jc w:val="center"/>
              <w:rPr>
                <w:rFonts w:ascii="宋体" w:hAnsi="宋体"/>
                <w:sz w:val="18"/>
                <w:szCs w:val="18"/>
              </w:rPr>
            </w:pPr>
            <w:r w:rsidRPr="00503DE6">
              <w:rPr>
                <w:rFonts w:ascii="宋体" w:hAnsi="宋体" w:hint="eastAsia"/>
                <w:sz w:val="18"/>
                <w:szCs w:val="18"/>
              </w:rPr>
              <w:t>0.0001</w:t>
            </w:r>
          </w:p>
        </w:tc>
      </w:tr>
      <w:tr w:rsidR="00321FE3" w14:paraId="44C87C87" w14:textId="77777777" w:rsidTr="00C31A7D">
        <w:trPr>
          <w:trHeight w:val="587"/>
          <w:jc w:val="center"/>
        </w:trPr>
        <w:tc>
          <w:tcPr>
            <w:tcW w:w="498" w:type="pct"/>
            <w:vMerge/>
            <w:vAlign w:val="center"/>
          </w:tcPr>
          <w:p w14:paraId="273A8FE4"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558" w:type="pct"/>
            <w:vMerge/>
            <w:vAlign w:val="center"/>
          </w:tcPr>
          <w:p w14:paraId="0CAEE46B"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330" w:type="pct"/>
            <w:vMerge/>
            <w:vAlign w:val="center"/>
          </w:tcPr>
          <w:p w14:paraId="2C7D8509"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902" w:type="pct"/>
            <w:shd w:val="clear" w:color="auto" w:fill="auto"/>
            <w:vAlign w:val="center"/>
          </w:tcPr>
          <w:p w14:paraId="66656B88" w14:textId="77777777" w:rsidR="00321FE3" w:rsidRPr="00503DE6" w:rsidRDefault="00321FE3" w:rsidP="0088105E">
            <w:pPr>
              <w:widowControl/>
              <w:adjustRightInd w:val="0"/>
              <w:snapToGrid w:val="0"/>
              <w:jc w:val="center"/>
              <w:rPr>
                <w:rFonts w:ascii="宋体" w:hAnsi="宋体"/>
                <w:color w:val="000000"/>
                <w:kern w:val="0"/>
                <w:sz w:val="18"/>
                <w:szCs w:val="18"/>
                <w:lang w:val="zh-CN"/>
              </w:rPr>
            </w:pPr>
            <w:r w:rsidRPr="00503DE6">
              <w:rPr>
                <w:rFonts w:ascii="宋体" w:hAnsi="宋体"/>
                <w:color w:val="000000"/>
                <w:kern w:val="0"/>
                <w:sz w:val="18"/>
                <w:szCs w:val="18"/>
              </w:rPr>
              <w:t>Ta</w:t>
            </w:r>
            <w:r w:rsidRPr="00503DE6">
              <w:rPr>
                <w:rFonts w:ascii="宋体" w:hAnsi="宋体" w:hint="eastAsia"/>
                <w:color w:val="000000"/>
                <w:kern w:val="0"/>
                <w:sz w:val="18"/>
                <w:szCs w:val="18"/>
              </w:rPr>
              <w:t>+</w:t>
            </w:r>
            <w:r w:rsidRPr="00503DE6">
              <w:rPr>
                <w:rFonts w:ascii="宋体" w:hAnsi="宋体"/>
                <w:color w:val="000000"/>
                <w:kern w:val="0"/>
                <w:sz w:val="18"/>
                <w:szCs w:val="18"/>
              </w:rPr>
              <w:t xml:space="preserve"> Nb</w:t>
            </w:r>
            <w:r w:rsidRPr="00503DE6">
              <w:rPr>
                <w:rFonts w:ascii="宋体" w:hAnsi="宋体" w:hint="eastAsia"/>
                <w:color w:val="000000"/>
                <w:kern w:val="0"/>
                <w:sz w:val="18"/>
                <w:szCs w:val="18"/>
              </w:rPr>
              <w:t xml:space="preserve"> +</w:t>
            </w:r>
            <w:r w:rsidRPr="00503DE6">
              <w:rPr>
                <w:rFonts w:ascii="宋体" w:hAnsi="宋体"/>
                <w:color w:val="000000"/>
                <w:kern w:val="0"/>
                <w:sz w:val="18"/>
                <w:szCs w:val="18"/>
              </w:rPr>
              <w:t xml:space="preserve"> Mo</w:t>
            </w:r>
            <w:r w:rsidRPr="00503DE6">
              <w:rPr>
                <w:rFonts w:ascii="宋体" w:hAnsi="宋体" w:hint="eastAsia"/>
                <w:color w:val="000000"/>
                <w:kern w:val="0"/>
                <w:sz w:val="18"/>
                <w:szCs w:val="18"/>
              </w:rPr>
              <w:t xml:space="preserve"> +</w:t>
            </w:r>
            <w:r w:rsidRPr="00503DE6">
              <w:rPr>
                <w:rFonts w:ascii="宋体" w:hAnsi="宋体"/>
                <w:color w:val="000000"/>
                <w:kern w:val="0"/>
                <w:sz w:val="18"/>
                <w:szCs w:val="18"/>
              </w:rPr>
              <w:t xml:space="preserve"> W</w:t>
            </w:r>
            <w:r w:rsidRPr="00503DE6">
              <w:rPr>
                <w:rFonts w:ascii="宋体" w:hAnsi="宋体" w:hint="eastAsia"/>
                <w:color w:val="000000"/>
                <w:kern w:val="0"/>
                <w:sz w:val="18"/>
                <w:szCs w:val="18"/>
              </w:rPr>
              <w:t>合量</w:t>
            </w:r>
          </w:p>
        </w:tc>
        <w:tc>
          <w:tcPr>
            <w:tcW w:w="882" w:type="pct"/>
            <w:shd w:val="clear" w:color="auto" w:fill="auto"/>
            <w:noWrap/>
            <w:vAlign w:val="center"/>
          </w:tcPr>
          <w:p w14:paraId="5BDB2243"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0.0005</w:t>
            </w:r>
          </w:p>
        </w:tc>
        <w:tc>
          <w:tcPr>
            <w:tcW w:w="882" w:type="pct"/>
            <w:shd w:val="clear" w:color="auto" w:fill="auto"/>
            <w:vAlign w:val="center"/>
          </w:tcPr>
          <w:p w14:paraId="00BE46BA"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0.00</w:t>
            </w:r>
            <w:r w:rsidRPr="00503DE6">
              <w:rPr>
                <w:rFonts w:ascii="宋体" w:hAnsi="宋体" w:hint="eastAsia"/>
                <w:color w:val="000000"/>
                <w:kern w:val="0"/>
                <w:sz w:val="18"/>
                <w:szCs w:val="18"/>
              </w:rPr>
              <w:t>5</w:t>
            </w:r>
          </w:p>
        </w:tc>
        <w:tc>
          <w:tcPr>
            <w:tcW w:w="948" w:type="pct"/>
            <w:shd w:val="clear" w:color="auto" w:fill="auto"/>
            <w:vAlign w:val="center"/>
          </w:tcPr>
          <w:p w14:paraId="1EABEDA4"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0.0</w:t>
            </w:r>
            <w:r>
              <w:rPr>
                <w:rFonts w:ascii="宋体" w:hAnsi="宋体"/>
                <w:color w:val="000000"/>
                <w:kern w:val="0"/>
                <w:sz w:val="18"/>
                <w:szCs w:val="18"/>
              </w:rPr>
              <w:t>1</w:t>
            </w:r>
          </w:p>
        </w:tc>
      </w:tr>
      <w:tr w:rsidR="00321FE3" w14:paraId="0639E807" w14:textId="77777777" w:rsidTr="00C31A7D">
        <w:trPr>
          <w:trHeight w:val="19"/>
          <w:jc w:val="center"/>
        </w:trPr>
        <w:tc>
          <w:tcPr>
            <w:tcW w:w="498" w:type="pct"/>
            <w:vMerge/>
            <w:vAlign w:val="center"/>
          </w:tcPr>
          <w:p w14:paraId="5A5E251D"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558" w:type="pct"/>
            <w:vMerge/>
            <w:vAlign w:val="center"/>
          </w:tcPr>
          <w:p w14:paraId="68C2B86D" w14:textId="77777777" w:rsidR="00321FE3" w:rsidRPr="00503DE6" w:rsidRDefault="00321FE3" w:rsidP="0088105E">
            <w:pPr>
              <w:widowControl/>
              <w:adjustRightInd w:val="0"/>
              <w:snapToGrid w:val="0"/>
              <w:jc w:val="center"/>
              <w:rPr>
                <w:rFonts w:ascii="宋体" w:hAnsi="宋体"/>
                <w:color w:val="000000"/>
                <w:kern w:val="0"/>
                <w:sz w:val="18"/>
                <w:szCs w:val="18"/>
              </w:rPr>
            </w:pPr>
          </w:p>
        </w:tc>
        <w:tc>
          <w:tcPr>
            <w:tcW w:w="330" w:type="pct"/>
            <w:vMerge/>
            <w:vAlign w:val="center"/>
          </w:tcPr>
          <w:p w14:paraId="112A2736" w14:textId="77777777" w:rsidR="00321FE3" w:rsidRPr="00503DE6" w:rsidRDefault="00321FE3" w:rsidP="0088105E">
            <w:pPr>
              <w:widowControl/>
              <w:adjustRightInd w:val="0"/>
              <w:snapToGrid w:val="0"/>
              <w:jc w:val="center"/>
              <w:rPr>
                <w:rFonts w:ascii="宋体" w:hAnsi="宋体"/>
                <w:color w:val="000000"/>
                <w:kern w:val="0"/>
                <w:sz w:val="18"/>
                <w:szCs w:val="18"/>
              </w:rPr>
            </w:pPr>
          </w:p>
        </w:tc>
        <w:tc>
          <w:tcPr>
            <w:tcW w:w="902" w:type="pct"/>
            <w:vAlign w:val="center"/>
          </w:tcPr>
          <w:p w14:paraId="192EEE87"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C</w:t>
            </w:r>
          </w:p>
        </w:tc>
        <w:tc>
          <w:tcPr>
            <w:tcW w:w="882" w:type="pct"/>
            <w:shd w:val="clear" w:color="auto" w:fill="auto"/>
            <w:noWrap/>
            <w:vAlign w:val="center"/>
          </w:tcPr>
          <w:p w14:paraId="38817574"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0.0</w:t>
            </w:r>
            <w:r>
              <w:rPr>
                <w:rFonts w:ascii="宋体" w:hAnsi="宋体"/>
                <w:color w:val="000000"/>
                <w:kern w:val="0"/>
                <w:sz w:val="18"/>
                <w:szCs w:val="18"/>
              </w:rPr>
              <w:t>1</w:t>
            </w:r>
          </w:p>
        </w:tc>
        <w:tc>
          <w:tcPr>
            <w:tcW w:w="882" w:type="pct"/>
            <w:shd w:val="clear" w:color="auto" w:fill="auto"/>
          </w:tcPr>
          <w:p w14:paraId="5983B6C2"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sz w:val="18"/>
                <w:szCs w:val="18"/>
              </w:rPr>
              <w:t>0.0</w:t>
            </w:r>
            <w:r w:rsidRPr="00503DE6">
              <w:rPr>
                <w:rFonts w:ascii="宋体" w:hAnsi="宋体" w:hint="eastAsia"/>
                <w:sz w:val="18"/>
                <w:szCs w:val="18"/>
              </w:rPr>
              <w:t>2</w:t>
            </w:r>
          </w:p>
        </w:tc>
        <w:tc>
          <w:tcPr>
            <w:tcW w:w="948" w:type="pct"/>
            <w:shd w:val="clear" w:color="auto" w:fill="auto"/>
          </w:tcPr>
          <w:p w14:paraId="2D072597"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sz w:val="18"/>
                <w:szCs w:val="18"/>
              </w:rPr>
              <w:t>0.0</w:t>
            </w:r>
            <w:r w:rsidRPr="00503DE6">
              <w:rPr>
                <w:rFonts w:ascii="宋体" w:hAnsi="宋体" w:hint="eastAsia"/>
                <w:sz w:val="18"/>
                <w:szCs w:val="18"/>
              </w:rPr>
              <w:t>2</w:t>
            </w:r>
          </w:p>
        </w:tc>
      </w:tr>
      <w:tr w:rsidR="00321FE3" w14:paraId="0C703348" w14:textId="77777777" w:rsidTr="00C31A7D">
        <w:trPr>
          <w:trHeight w:val="19"/>
          <w:jc w:val="center"/>
        </w:trPr>
        <w:tc>
          <w:tcPr>
            <w:tcW w:w="498" w:type="pct"/>
            <w:vMerge/>
            <w:vAlign w:val="center"/>
          </w:tcPr>
          <w:p w14:paraId="768703AB"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558" w:type="pct"/>
            <w:vMerge/>
            <w:vAlign w:val="center"/>
          </w:tcPr>
          <w:p w14:paraId="34A4C0FD" w14:textId="77777777" w:rsidR="00321FE3" w:rsidRPr="00503DE6" w:rsidRDefault="00321FE3" w:rsidP="0088105E">
            <w:pPr>
              <w:widowControl/>
              <w:adjustRightInd w:val="0"/>
              <w:snapToGrid w:val="0"/>
              <w:jc w:val="center"/>
              <w:rPr>
                <w:rFonts w:ascii="宋体" w:hAnsi="宋体"/>
                <w:color w:val="000000"/>
                <w:kern w:val="0"/>
                <w:sz w:val="18"/>
                <w:szCs w:val="18"/>
              </w:rPr>
            </w:pPr>
          </w:p>
        </w:tc>
        <w:tc>
          <w:tcPr>
            <w:tcW w:w="330" w:type="pct"/>
            <w:vMerge/>
            <w:vAlign w:val="center"/>
          </w:tcPr>
          <w:p w14:paraId="2F8C8C24" w14:textId="77777777" w:rsidR="00321FE3" w:rsidRPr="00503DE6" w:rsidRDefault="00321FE3" w:rsidP="0088105E">
            <w:pPr>
              <w:widowControl/>
              <w:adjustRightInd w:val="0"/>
              <w:snapToGrid w:val="0"/>
              <w:jc w:val="center"/>
              <w:rPr>
                <w:rFonts w:ascii="宋体" w:hAnsi="宋体"/>
                <w:color w:val="000000"/>
                <w:kern w:val="0"/>
                <w:sz w:val="18"/>
                <w:szCs w:val="18"/>
              </w:rPr>
            </w:pPr>
          </w:p>
        </w:tc>
        <w:tc>
          <w:tcPr>
            <w:tcW w:w="902" w:type="pct"/>
            <w:vAlign w:val="center"/>
          </w:tcPr>
          <w:p w14:paraId="3DE91FF0"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O</w:t>
            </w:r>
          </w:p>
        </w:tc>
        <w:tc>
          <w:tcPr>
            <w:tcW w:w="882" w:type="pct"/>
            <w:shd w:val="clear" w:color="auto" w:fill="auto"/>
            <w:noWrap/>
            <w:vAlign w:val="center"/>
          </w:tcPr>
          <w:p w14:paraId="337B1261" w14:textId="77777777" w:rsidR="00321FE3" w:rsidRPr="00503DE6" w:rsidRDefault="00321FE3" w:rsidP="0088105E">
            <w:pPr>
              <w:widowControl/>
              <w:adjustRightInd w:val="0"/>
              <w:snapToGrid w:val="0"/>
              <w:jc w:val="center"/>
              <w:rPr>
                <w:rFonts w:ascii="宋体" w:hAnsi="宋体"/>
                <w:color w:val="000000"/>
                <w:kern w:val="0"/>
                <w:sz w:val="18"/>
                <w:szCs w:val="18"/>
              </w:rPr>
            </w:pPr>
            <w:r>
              <w:rPr>
                <w:rFonts w:ascii="宋体" w:hAnsi="宋体" w:hint="eastAsia"/>
                <w:color w:val="000000"/>
                <w:kern w:val="0"/>
                <w:sz w:val="18"/>
                <w:szCs w:val="18"/>
              </w:rPr>
              <w:t>0</w:t>
            </w:r>
            <w:r>
              <w:rPr>
                <w:rFonts w:ascii="宋体" w:hAnsi="宋体"/>
                <w:color w:val="000000"/>
                <w:kern w:val="0"/>
                <w:sz w:val="18"/>
                <w:szCs w:val="18"/>
              </w:rPr>
              <w:t>.05</w:t>
            </w:r>
          </w:p>
        </w:tc>
        <w:tc>
          <w:tcPr>
            <w:tcW w:w="882" w:type="pct"/>
            <w:shd w:val="clear" w:color="auto" w:fill="auto"/>
          </w:tcPr>
          <w:p w14:paraId="137CE510"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sz w:val="18"/>
                <w:szCs w:val="18"/>
              </w:rPr>
              <w:t>0.</w:t>
            </w:r>
            <w:r w:rsidRPr="00503DE6">
              <w:rPr>
                <w:rFonts w:ascii="宋体" w:hAnsi="宋体" w:hint="eastAsia"/>
                <w:sz w:val="18"/>
                <w:szCs w:val="18"/>
              </w:rPr>
              <w:t>1</w:t>
            </w:r>
          </w:p>
        </w:tc>
        <w:tc>
          <w:tcPr>
            <w:tcW w:w="948" w:type="pct"/>
            <w:shd w:val="clear" w:color="auto" w:fill="auto"/>
          </w:tcPr>
          <w:p w14:paraId="396C57C7"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hint="eastAsia"/>
                <w:sz w:val="18"/>
                <w:szCs w:val="18"/>
              </w:rPr>
              <w:t>0.</w:t>
            </w:r>
            <w:r>
              <w:rPr>
                <w:rFonts w:ascii="宋体" w:hAnsi="宋体"/>
                <w:sz w:val="18"/>
                <w:szCs w:val="18"/>
              </w:rPr>
              <w:t>15</w:t>
            </w:r>
          </w:p>
        </w:tc>
      </w:tr>
      <w:tr w:rsidR="00321FE3" w14:paraId="1D545063" w14:textId="77777777" w:rsidTr="00C31A7D">
        <w:trPr>
          <w:trHeight w:val="19"/>
          <w:jc w:val="center"/>
        </w:trPr>
        <w:tc>
          <w:tcPr>
            <w:tcW w:w="498" w:type="pct"/>
            <w:vMerge/>
            <w:vAlign w:val="center"/>
          </w:tcPr>
          <w:p w14:paraId="476BF74B"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558" w:type="pct"/>
            <w:vMerge/>
            <w:vAlign w:val="center"/>
          </w:tcPr>
          <w:p w14:paraId="13FAE38C" w14:textId="77777777" w:rsidR="00321FE3" w:rsidRPr="00503DE6" w:rsidRDefault="00321FE3" w:rsidP="0088105E">
            <w:pPr>
              <w:widowControl/>
              <w:adjustRightInd w:val="0"/>
              <w:snapToGrid w:val="0"/>
              <w:jc w:val="center"/>
              <w:rPr>
                <w:rFonts w:ascii="宋体" w:hAnsi="宋体"/>
                <w:color w:val="000000"/>
                <w:kern w:val="0"/>
                <w:sz w:val="18"/>
                <w:szCs w:val="18"/>
              </w:rPr>
            </w:pPr>
          </w:p>
        </w:tc>
        <w:tc>
          <w:tcPr>
            <w:tcW w:w="330" w:type="pct"/>
            <w:vMerge/>
            <w:vAlign w:val="center"/>
          </w:tcPr>
          <w:p w14:paraId="1AF82989" w14:textId="77777777" w:rsidR="00321FE3" w:rsidRPr="00503DE6" w:rsidRDefault="00321FE3" w:rsidP="0088105E">
            <w:pPr>
              <w:widowControl/>
              <w:adjustRightInd w:val="0"/>
              <w:snapToGrid w:val="0"/>
              <w:jc w:val="center"/>
              <w:rPr>
                <w:rFonts w:ascii="宋体" w:hAnsi="宋体"/>
                <w:color w:val="000000"/>
                <w:kern w:val="0"/>
                <w:sz w:val="18"/>
                <w:szCs w:val="18"/>
              </w:rPr>
            </w:pPr>
          </w:p>
        </w:tc>
        <w:tc>
          <w:tcPr>
            <w:tcW w:w="902" w:type="pct"/>
            <w:vAlign w:val="center"/>
          </w:tcPr>
          <w:p w14:paraId="3D5E1EAC"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N</w:t>
            </w:r>
          </w:p>
        </w:tc>
        <w:tc>
          <w:tcPr>
            <w:tcW w:w="882" w:type="pct"/>
            <w:shd w:val="clear" w:color="auto" w:fill="auto"/>
            <w:noWrap/>
          </w:tcPr>
          <w:p w14:paraId="5ECB8546"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sz w:val="18"/>
                <w:szCs w:val="18"/>
              </w:rPr>
              <w:t>0.00</w:t>
            </w:r>
            <w:r w:rsidRPr="00503DE6">
              <w:rPr>
                <w:rFonts w:ascii="宋体" w:hAnsi="宋体" w:hint="eastAsia"/>
                <w:sz w:val="18"/>
                <w:szCs w:val="18"/>
              </w:rPr>
              <w:t>1</w:t>
            </w:r>
          </w:p>
        </w:tc>
        <w:tc>
          <w:tcPr>
            <w:tcW w:w="882" w:type="pct"/>
            <w:shd w:val="clear" w:color="auto" w:fill="auto"/>
          </w:tcPr>
          <w:p w14:paraId="40C4B1A3"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sz w:val="18"/>
                <w:szCs w:val="18"/>
              </w:rPr>
              <w:t>0.00</w:t>
            </w:r>
            <w:r w:rsidRPr="00503DE6">
              <w:rPr>
                <w:rFonts w:ascii="宋体" w:hAnsi="宋体" w:hint="eastAsia"/>
                <w:sz w:val="18"/>
                <w:szCs w:val="18"/>
              </w:rPr>
              <w:t>1</w:t>
            </w:r>
          </w:p>
        </w:tc>
        <w:tc>
          <w:tcPr>
            <w:tcW w:w="948" w:type="pct"/>
            <w:shd w:val="clear" w:color="auto" w:fill="auto"/>
          </w:tcPr>
          <w:p w14:paraId="54DF8092"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sz w:val="18"/>
                <w:szCs w:val="18"/>
              </w:rPr>
              <w:t>0.00</w:t>
            </w:r>
            <w:r w:rsidRPr="00503DE6">
              <w:rPr>
                <w:rFonts w:ascii="宋体" w:hAnsi="宋体" w:hint="eastAsia"/>
                <w:sz w:val="18"/>
                <w:szCs w:val="18"/>
              </w:rPr>
              <w:t>1</w:t>
            </w:r>
          </w:p>
        </w:tc>
      </w:tr>
      <w:tr w:rsidR="00321FE3" w14:paraId="724C6AD5" w14:textId="77777777" w:rsidTr="00C31A7D">
        <w:trPr>
          <w:trHeight w:val="19"/>
          <w:jc w:val="center"/>
        </w:trPr>
        <w:tc>
          <w:tcPr>
            <w:tcW w:w="498" w:type="pct"/>
            <w:vMerge/>
            <w:vAlign w:val="center"/>
          </w:tcPr>
          <w:p w14:paraId="469C964B"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558" w:type="pct"/>
            <w:vMerge/>
            <w:vAlign w:val="center"/>
          </w:tcPr>
          <w:p w14:paraId="003E9B29" w14:textId="77777777" w:rsidR="00321FE3" w:rsidRPr="00503DE6" w:rsidRDefault="00321FE3" w:rsidP="0088105E">
            <w:pPr>
              <w:widowControl/>
              <w:adjustRightInd w:val="0"/>
              <w:snapToGrid w:val="0"/>
              <w:jc w:val="center"/>
              <w:rPr>
                <w:rFonts w:ascii="宋体" w:hAnsi="宋体"/>
                <w:color w:val="000000"/>
                <w:kern w:val="0"/>
                <w:sz w:val="18"/>
                <w:szCs w:val="18"/>
              </w:rPr>
            </w:pPr>
          </w:p>
        </w:tc>
        <w:tc>
          <w:tcPr>
            <w:tcW w:w="330" w:type="pct"/>
            <w:vMerge/>
            <w:vAlign w:val="center"/>
          </w:tcPr>
          <w:p w14:paraId="7CD3142F" w14:textId="77777777" w:rsidR="00321FE3" w:rsidRPr="00503DE6" w:rsidRDefault="00321FE3" w:rsidP="0088105E">
            <w:pPr>
              <w:widowControl/>
              <w:adjustRightInd w:val="0"/>
              <w:snapToGrid w:val="0"/>
              <w:jc w:val="center"/>
              <w:rPr>
                <w:rFonts w:ascii="宋体" w:hAnsi="宋体"/>
                <w:color w:val="000000"/>
                <w:kern w:val="0"/>
                <w:sz w:val="18"/>
                <w:szCs w:val="18"/>
              </w:rPr>
            </w:pPr>
          </w:p>
        </w:tc>
        <w:tc>
          <w:tcPr>
            <w:tcW w:w="902" w:type="pct"/>
            <w:vAlign w:val="center"/>
          </w:tcPr>
          <w:p w14:paraId="48BA5A4B"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S</w:t>
            </w:r>
          </w:p>
        </w:tc>
        <w:tc>
          <w:tcPr>
            <w:tcW w:w="882" w:type="pct"/>
            <w:shd w:val="clear" w:color="auto" w:fill="auto"/>
            <w:noWrap/>
          </w:tcPr>
          <w:p w14:paraId="3026C3D7" w14:textId="77777777" w:rsidR="00321FE3" w:rsidRPr="00503DE6" w:rsidRDefault="00321FE3" w:rsidP="0088105E">
            <w:pPr>
              <w:widowControl/>
              <w:adjustRightInd w:val="0"/>
              <w:snapToGrid w:val="0"/>
              <w:jc w:val="center"/>
              <w:rPr>
                <w:rFonts w:ascii="宋体" w:hAnsi="宋体"/>
                <w:color w:val="000000"/>
                <w:sz w:val="18"/>
                <w:szCs w:val="18"/>
              </w:rPr>
            </w:pPr>
            <w:r w:rsidRPr="00503DE6">
              <w:rPr>
                <w:rFonts w:ascii="宋体" w:hAnsi="宋体"/>
                <w:sz w:val="18"/>
                <w:szCs w:val="18"/>
              </w:rPr>
              <w:t>0.00</w:t>
            </w:r>
            <w:r w:rsidRPr="00503DE6">
              <w:rPr>
                <w:rFonts w:ascii="宋体" w:hAnsi="宋体" w:hint="eastAsia"/>
                <w:sz w:val="18"/>
                <w:szCs w:val="18"/>
              </w:rPr>
              <w:t>1</w:t>
            </w:r>
          </w:p>
        </w:tc>
        <w:tc>
          <w:tcPr>
            <w:tcW w:w="882" w:type="pct"/>
            <w:shd w:val="clear" w:color="auto" w:fill="auto"/>
          </w:tcPr>
          <w:p w14:paraId="5A33EBB7"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sz w:val="18"/>
                <w:szCs w:val="18"/>
              </w:rPr>
              <w:t>0.00</w:t>
            </w:r>
            <w:r w:rsidRPr="00503DE6">
              <w:rPr>
                <w:rFonts w:ascii="宋体" w:hAnsi="宋体" w:hint="eastAsia"/>
                <w:sz w:val="18"/>
                <w:szCs w:val="18"/>
              </w:rPr>
              <w:t>1</w:t>
            </w:r>
          </w:p>
        </w:tc>
        <w:tc>
          <w:tcPr>
            <w:tcW w:w="948" w:type="pct"/>
            <w:shd w:val="clear" w:color="auto" w:fill="auto"/>
          </w:tcPr>
          <w:p w14:paraId="14E6B8CE"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sz w:val="18"/>
                <w:szCs w:val="18"/>
              </w:rPr>
              <w:t>0.00</w:t>
            </w:r>
            <w:r w:rsidRPr="00503DE6">
              <w:rPr>
                <w:rFonts w:ascii="宋体" w:hAnsi="宋体" w:hint="eastAsia"/>
                <w:sz w:val="18"/>
                <w:szCs w:val="18"/>
              </w:rPr>
              <w:t>1</w:t>
            </w:r>
          </w:p>
        </w:tc>
      </w:tr>
      <w:tr w:rsidR="00321FE3" w14:paraId="4EB8D2B6" w14:textId="77777777" w:rsidTr="00C31A7D">
        <w:trPr>
          <w:trHeight w:val="19"/>
          <w:jc w:val="center"/>
        </w:trPr>
        <w:tc>
          <w:tcPr>
            <w:tcW w:w="498" w:type="pct"/>
            <w:vMerge/>
            <w:vAlign w:val="center"/>
          </w:tcPr>
          <w:p w14:paraId="78AB6FD3" w14:textId="77777777" w:rsidR="00321FE3" w:rsidRPr="00503DE6" w:rsidRDefault="00321FE3" w:rsidP="0088105E">
            <w:pPr>
              <w:widowControl/>
              <w:adjustRightInd w:val="0"/>
              <w:snapToGrid w:val="0"/>
              <w:jc w:val="left"/>
              <w:rPr>
                <w:rFonts w:ascii="宋体" w:hAnsi="宋体"/>
                <w:color w:val="000000"/>
                <w:kern w:val="0"/>
                <w:sz w:val="18"/>
                <w:szCs w:val="18"/>
              </w:rPr>
            </w:pPr>
          </w:p>
        </w:tc>
        <w:tc>
          <w:tcPr>
            <w:tcW w:w="1790" w:type="pct"/>
            <w:gridSpan w:val="3"/>
            <w:vAlign w:val="center"/>
          </w:tcPr>
          <w:p w14:paraId="63EDFAFE"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杂质合量</w:t>
            </w:r>
            <w:r w:rsidRPr="008A4DD9">
              <w:rPr>
                <w:rFonts w:ascii="宋体" w:hAnsi="宋体" w:hint="eastAsia"/>
                <w:color w:val="000000"/>
                <w:kern w:val="0"/>
                <w:sz w:val="18"/>
                <w:szCs w:val="18"/>
                <w:vertAlign w:val="superscript"/>
              </w:rPr>
              <w:t>y</w:t>
            </w:r>
            <w:r w:rsidRPr="00503DE6">
              <w:rPr>
                <w:rFonts w:ascii="宋体" w:hAnsi="宋体"/>
                <w:color w:val="000000"/>
                <w:kern w:val="0"/>
                <w:sz w:val="18"/>
                <w:szCs w:val="18"/>
              </w:rPr>
              <w:t>，不大于</w:t>
            </w:r>
          </w:p>
        </w:tc>
        <w:tc>
          <w:tcPr>
            <w:tcW w:w="882" w:type="pct"/>
            <w:shd w:val="clear" w:color="auto" w:fill="auto"/>
            <w:noWrap/>
            <w:vAlign w:val="center"/>
          </w:tcPr>
          <w:p w14:paraId="3BC2E087"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color w:val="000000"/>
                <w:sz w:val="18"/>
                <w:szCs w:val="18"/>
              </w:rPr>
              <w:t>0.01</w:t>
            </w:r>
          </w:p>
        </w:tc>
        <w:tc>
          <w:tcPr>
            <w:tcW w:w="882" w:type="pct"/>
            <w:shd w:val="clear" w:color="auto" w:fill="auto"/>
            <w:vAlign w:val="center"/>
          </w:tcPr>
          <w:p w14:paraId="3E2C775B"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color w:val="000000"/>
                <w:sz w:val="18"/>
                <w:szCs w:val="18"/>
              </w:rPr>
              <w:t>0.05</w:t>
            </w:r>
          </w:p>
        </w:tc>
        <w:tc>
          <w:tcPr>
            <w:tcW w:w="948" w:type="pct"/>
            <w:shd w:val="clear" w:color="auto" w:fill="auto"/>
            <w:vAlign w:val="center"/>
          </w:tcPr>
          <w:p w14:paraId="4AEBAF81" w14:textId="77777777" w:rsidR="00321FE3" w:rsidRPr="00503DE6" w:rsidRDefault="00321FE3" w:rsidP="0088105E">
            <w:pPr>
              <w:widowControl/>
              <w:adjustRightInd w:val="0"/>
              <w:snapToGrid w:val="0"/>
              <w:jc w:val="center"/>
              <w:rPr>
                <w:rFonts w:ascii="宋体" w:hAnsi="宋体"/>
                <w:color w:val="000000"/>
                <w:kern w:val="0"/>
                <w:sz w:val="18"/>
                <w:szCs w:val="18"/>
              </w:rPr>
            </w:pPr>
            <w:r w:rsidRPr="00503DE6">
              <w:rPr>
                <w:rFonts w:ascii="宋体" w:hAnsi="宋体"/>
                <w:sz w:val="18"/>
                <w:szCs w:val="18"/>
              </w:rPr>
              <w:t>0.</w:t>
            </w:r>
            <w:r>
              <w:rPr>
                <w:rFonts w:ascii="宋体" w:hAnsi="宋体"/>
                <w:sz w:val="18"/>
                <w:szCs w:val="18"/>
              </w:rPr>
              <w:t>1</w:t>
            </w:r>
          </w:p>
        </w:tc>
      </w:tr>
      <w:tr w:rsidR="00321FE3" w:rsidRPr="00503DE6" w14:paraId="3B24C225" w14:textId="77777777" w:rsidTr="00C31A7D">
        <w:trPr>
          <w:trHeight w:val="617"/>
          <w:jc w:val="center"/>
        </w:trPr>
        <w:tc>
          <w:tcPr>
            <w:tcW w:w="5000" w:type="pct"/>
            <w:gridSpan w:val="7"/>
            <w:vAlign w:val="center"/>
          </w:tcPr>
          <w:p w14:paraId="23786AB5" w14:textId="77777777" w:rsidR="00321FE3" w:rsidRDefault="00321FE3" w:rsidP="0088105E">
            <w:pPr>
              <w:widowControl/>
              <w:adjustRightInd w:val="0"/>
              <w:snapToGrid w:val="0"/>
              <w:ind w:leftChars="100" w:left="210" w:firstLineChars="100" w:firstLine="180"/>
              <w:jc w:val="left"/>
              <w:rPr>
                <w:rFonts w:ascii="宋体" w:hAnsi="宋体"/>
                <w:kern w:val="0"/>
                <w:sz w:val="18"/>
                <w:szCs w:val="18"/>
              </w:rPr>
            </w:pPr>
            <w:r w:rsidRPr="00A43B58">
              <w:rPr>
                <w:rFonts w:ascii="宋体" w:hAnsi="宋体" w:hint="eastAsia"/>
                <w:kern w:val="0"/>
                <w:sz w:val="18"/>
                <w:szCs w:val="18"/>
              </w:rPr>
              <w:t>注：</w:t>
            </w:r>
            <w:r w:rsidRPr="005771F1">
              <w:rPr>
                <w:rFonts w:ascii="宋体" w:hAnsi="宋体"/>
                <w:kern w:val="0"/>
                <w:sz w:val="18"/>
                <w:szCs w:val="18"/>
                <w:vertAlign w:val="superscript"/>
              </w:rPr>
              <w:t>x</w:t>
            </w:r>
            <w:r w:rsidRPr="005771F1">
              <w:rPr>
                <w:rFonts w:ascii="宋体" w:hAnsi="宋体" w:hint="eastAsia"/>
                <w:kern w:val="0"/>
                <w:sz w:val="18"/>
                <w:szCs w:val="18"/>
              </w:rPr>
              <w:t>高纯</w:t>
            </w:r>
            <w:r>
              <w:rPr>
                <w:rFonts w:ascii="宋体" w:hAnsi="宋体" w:hint="eastAsia"/>
                <w:kern w:val="0"/>
                <w:sz w:val="18"/>
                <w:szCs w:val="18"/>
              </w:rPr>
              <w:t>钇靶</w:t>
            </w:r>
            <w:r w:rsidRPr="005771F1">
              <w:rPr>
                <w:rFonts w:ascii="宋体" w:hAnsi="宋体" w:hint="eastAsia"/>
                <w:kern w:val="0"/>
                <w:sz w:val="18"/>
                <w:szCs w:val="18"/>
              </w:rPr>
              <w:t>的</w:t>
            </w:r>
            <w:r>
              <w:rPr>
                <w:rFonts w:ascii="宋体" w:hAnsi="宋体"/>
                <w:kern w:val="0"/>
                <w:sz w:val="18"/>
                <w:szCs w:val="18"/>
              </w:rPr>
              <w:t>Y</w:t>
            </w:r>
            <w:r w:rsidRPr="005771F1">
              <w:rPr>
                <w:rFonts w:ascii="宋体" w:hAnsi="宋体" w:hint="eastAsia"/>
                <w:kern w:val="0"/>
                <w:sz w:val="18"/>
                <w:szCs w:val="18"/>
              </w:rPr>
              <w:t>含量</w:t>
            </w:r>
            <w:r>
              <w:rPr>
                <w:rFonts w:ascii="宋体" w:hAnsi="宋体" w:hint="eastAsia"/>
                <w:kern w:val="0"/>
                <w:sz w:val="18"/>
                <w:szCs w:val="18"/>
              </w:rPr>
              <w:t>为</w:t>
            </w:r>
            <w:r w:rsidRPr="005771F1">
              <w:rPr>
                <w:rFonts w:ascii="宋体" w:hAnsi="宋体" w:hint="eastAsia"/>
                <w:kern w:val="0"/>
                <w:sz w:val="18"/>
                <w:szCs w:val="18"/>
              </w:rPr>
              <w:t>100%减去杂质元素含量总和的余量</w:t>
            </w:r>
          </w:p>
          <w:p w14:paraId="5DA26C62" w14:textId="77777777" w:rsidR="00321FE3" w:rsidRPr="00503DE6" w:rsidRDefault="00321FE3" w:rsidP="0088105E">
            <w:pPr>
              <w:widowControl/>
              <w:adjustRightInd w:val="0"/>
              <w:snapToGrid w:val="0"/>
              <w:ind w:firstLineChars="400" w:firstLine="720"/>
              <w:rPr>
                <w:rFonts w:ascii="宋体" w:hAnsi="宋体"/>
                <w:sz w:val="18"/>
                <w:szCs w:val="18"/>
              </w:rPr>
            </w:pPr>
            <w:r>
              <w:rPr>
                <w:rFonts w:ascii="宋体" w:hAnsi="宋体"/>
                <w:kern w:val="0"/>
                <w:sz w:val="18"/>
                <w:szCs w:val="18"/>
                <w:vertAlign w:val="superscript"/>
              </w:rPr>
              <w:t xml:space="preserve"> </w:t>
            </w:r>
            <w:r w:rsidRPr="00A43B58">
              <w:rPr>
                <w:rFonts w:ascii="宋体" w:hAnsi="宋体" w:hint="eastAsia"/>
                <w:kern w:val="0"/>
                <w:sz w:val="18"/>
                <w:szCs w:val="18"/>
                <w:vertAlign w:val="superscript"/>
              </w:rPr>
              <w:t>y</w:t>
            </w:r>
            <w:r w:rsidRPr="005771F1">
              <w:rPr>
                <w:rFonts w:ascii="宋体" w:hAnsi="宋体" w:hint="eastAsia"/>
                <w:kern w:val="0"/>
                <w:sz w:val="18"/>
                <w:szCs w:val="18"/>
              </w:rPr>
              <w:t>杂质</w:t>
            </w:r>
            <w:r>
              <w:rPr>
                <w:rFonts w:ascii="宋体" w:hAnsi="宋体" w:hint="eastAsia"/>
                <w:kern w:val="0"/>
                <w:sz w:val="18"/>
                <w:szCs w:val="18"/>
              </w:rPr>
              <w:t>合量</w:t>
            </w:r>
            <w:r w:rsidRPr="005771F1">
              <w:rPr>
                <w:rFonts w:ascii="宋体" w:hAnsi="宋体" w:hint="eastAsia"/>
                <w:kern w:val="0"/>
                <w:sz w:val="18"/>
                <w:szCs w:val="18"/>
              </w:rPr>
              <w:t>为表中所列但不限于表中所列杂质元素实测值总和</w:t>
            </w:r>
            <w:r>
              <w:rPr>
                <w:rFonts w:ascii="宋体" w:hAnsi="宋体" w:hint="eastAsia"/>
                <w:kern w:val="0"/>
                <w:sz w:val="18"/>
                <w:szCs w:val="18"/>
              </w:rPr>
              <w:t>（</w:t>
            </w:r>
            <w:r w:rsidRPr="005771F1">
              <w:rPr>
                <w:rFonts w:ascii="宋体" w:hAnsi="宋体" w:hint="eastAsia"/>
                <w:kern w:val="0"/>
                <w:sz w:val="18"/>
                <w:szCs w:val="18"/>
              </w:rPr>
              <w:t>不包含C、</w:t>
            </w:r>
            <w:r>
              <w:rPr>
                <w:rFonts w:ascii="宋体" w:hAnsi="宋体"/>
                <w:kern w:val="0"/>
                <w:sz w:val="18"/>
                <w:szCs w:val="18"/>
              </w:rPr>
              <w:t>N</w:t>
            </w:r>
            <w:r w:rsidRPr="005771F1">
              <w:rPr>
                <w:rFonts w:ascii="宋体" w:hAnsi="宋体" w:hint="eastAsia"/>
                <w:kern w:val="0"/>
                <w:sz w:val="18"/>
                <w:szCs w:val="18"/>
              </w:rPr>
              <w:t>、O、S气体</w:t>
            </w:r>
            <w:r>
              <w:rPr>
                <w:rFonts w:ascii="宋体" w:hAnsi="宋体" w:hint="eastAsia"/>
                <w:kern w:val="0"/>
                <w:sz w:val="18"/>
                <w:szCs w:val="18"/>
              </w:rPr>
              <w:t>元素）</w:t>
            </w:r>
          </w:p>
        </w:tc>
      </w:tr>
    </w:tbl>
    <w:p w14:paraId="5DC574D8" w14:textId="3E6FEE9C" w:rsidR="00321FE3" w:rsidRPr="00321FE3" w:rsidRDefault="00321FE3">
      <w:pPr>
        <w:adjustRightInd w:val="0"/>
        <w:snapToGrid w:val="0"/>
        <w:spacing w:line="360" w:lineRule="auto"/>
        <w:jc w:val="center"/>
        <w:rPr>
          <w:sz w:val="18"/>
          <w:szCs w:val="18"/>
        </w:rPr>
      </w:pPr>
    </w:p>
    <w:p w14:paraId="1C2AD77C" w14:textId="77777777" w:rsidR="00BB261B" w:rsidRDefault="00000000">
      <w:pPr>
        <w:spacing w:line="360" w:lineRule="auto"/>
        <w:ind w:firstLineChars="200" w:firstLine="420"/>
        <w:rPr>
          <w:rFonts w:asciiTheme="minorEastAsia" w:eastAsiaTheme="minorEastAsia" w:hAnsiTheme="minorEastAsia"/>
          <w:szCs w:val="21"/>
          <w:highlight w:val="yellow"/>
        </w:rPr>
      </w:pPr>
      <w:r>
        <w:rPr>
          <w:rFonts w:asciiTheme="minorEastAsia" w:eastAsiaTheme="minorEastAsia" w:hAnsiTheme="minorEastAsia" w:hint="eastAsia"/>
          <w:szCs w:val="21"/>
        </w:rPr>
        <w:lastRenderedPageBreak/>
        <w:t>——规定了</w:t>
      </w:r>
      <w:bookmarkStart w:id="2" w:name="_Hlk109283738"/>
      <w:r>
        <w:rPr>
          <w:rFonts w:asciiTheme="minorEastAsia" w:eastAsiaTheme="minorEastAsia" w:hAnsiTheme="minorEastAsia" w:hint="eastAsia"/>
          <w:szCs w:val="21"/>
        </w:rPr>
        <w:t>高纯钇靶致密度、平均晶粒尺寸、表面粗糙度、焊接质量等主要性能指标</w:t>
      </w:r>
      <w:bookmarkEnd w:id="2"/>
      <w:r>
        <w:rPr>
          <w:rFonts w:asciiTheme="minorEastAsia" w:eastAsiaTheme="minorEastAsia" w:hAnsiTheme="minorEastAsia" w:hint="eastAsia"/>
          <w:szCs w:val="21"/>
        </w:rPr>
        <w:t>。</w:t>
      </w:r>
    </w:p>
    <w:p w14:paraId="329962D9" w14:textId="77777777" w:rsidR="00BB261B" w:rsidRDefault="00000000">
      <w:pPr>
        <w:adjustRightInd w:val="0"/>
        <w:snapToGrid w:val="0"/>
        <w:spacing w:line="360" w:lineRule="auto"/>
        <w:jc w:val="center"/>
        <w:rPr>
          <w:sz w:val="18"/>
          <w:szCs w:val="18"/>
        </w:rPr>
      </w:pPr>
      <w:r>
        <w:rPr>
          <w:rFonts w:hint="eastAsia"/>
          <w:sz w:val="18"/>
          <w:szCs w:val="18"/>
        </w:rPr>
        <w:t>表</w:t>
      </w:r>
      <w:r>
        <w:rPr>
          <w:sz w:val="18"/>
          <w:szCs w:val="18"/>
        </w:rPr>
        <w:t>2</w:t>
      </w:r>
      <w:r>
        <w:rPr>
          <w:rFonts w:hint="eastAsia"/>
          <w:sz w:val="18"/>
          <w:szCs w:val="18"/>
        </w:rPr>
        <w:t>高纯钇靶主要性能指标</w:t>
      </w:r>
    </w:p>
    <w:tbl>
      <w:tblPr>
        <w:tblStyle w:val="affff4"/>
        <w:tblW w:w="4729" w:type="pct"/>
        <w:tblInd w:w="279" w:type="dxa"/>
        <w:tblLook w:val="04A0" w:firstRow="1" w:lastRow="0" w:firstColumn="1" w:lastColumn="0" w:noHBand="0" w:noVBand="1"/>
      </w:tblPr>
      <w:tblGrid>
        <w:gridCol w:w="5825"/>
        <w:gridCol w:w="3389"/>
      </w:tblGrid>
      <w:tr w:rsidR="00BB261B" w14:paraId="5AB00B64" w14:textId="77777777" w:rsidTr="00C31A7D">
        <w:tc>
          <w:tcPr>
            <w:tcW w:w="3161" w:type="pct"/>
            <w:vAlign w:val="center"/>
          </w:tcPr>
          <w:p w14:paraId="4171FE84" w14:textId="77777777" w:rsidR="00BB261B" w:rsidRDefault="00000000" w:rsidP="005A028C">
            <w:pPr>
              <w:adjustRightInd w:val="0"/>
              <w:snapToGrid w:val="0"/>
              <w:spacing w:line="360" w:lineRule="auto"/>
              <w:jc w:val="center"/>
              <w:rPr>
                <w:sz w:val="18"/>
                <w:szCs w:val="18"/>
              </w:rPr>
            </w:pPr>
            <w:r>
              <w:rPr>
                <w:rFonts w:hint="eastAsia"/>
                <w:sz w:val="18"/>
                <w:szCs w:val="18"/>
              </w:rPr>
              <w:t>指标名称</w:t>
            </w:r>
          </w:p>
        </w:tc>
        <w:tc>
          <w:tcPr>
            <w:tcW w:w="1839" w:type="pct"/>
            <w:vAlign w:val="center"/>
          </w:tcPr>
          <w:p w14:paraId="4D3DE611" w14:textId="77777777" w:rsidR="00BB261B" w:rsidRDefault="00000000" w:rsidP="005A028C">
            <w:pPr>
              <w:adjustRightInd w:val="0"/>
              <w:snapToGrid w:val="0"/>
              <w:spacing w:line="360" w:lineRule="auto"/>
              <w:jc w:val="center"/>
              <w:rPr>
                <w:sz w:val="18"/>
                <w:szCs w:val="18"/>
              </w:rPr>
            </w:pPr>
            <w:r>
              <w:rPr>
                <w:rFonts w:hint="eastAsia"/>
                <w:sz w:val="18"/>
                <w:szCs w:val="18"/>
              </w:rPr>
              <w:t>规定值</w:t>
            </w:r>
          </w:p>
        </w:tc>
      </w:tr>
      <w:tr w:rsidR="00BB261B" w14:paraId="668DDEF0" w14:textId="77777777" w:rsidTr="00C31A7D">
        <w:tc>
          <w:tcPr>
            <w:tcW w:w="3161" w:type="pct"/>
            <w:vAlign w:val="center"/>
          </w:tcPr>
          <w:p w14:paraId="2EB1E6C7" w14:textId="77777777" w:rsidR="00BB261B" w:rsidRDefault="00000000" w:rsidP="005A028C">
            <w:pPr>
              <w:adjustRightInd w:val="0"/>
              <w:snapToGrid w:val="0"/>
              <w:spacing w:line="360" w:lineRule="auto"/>
              <w:jc w:val="center"/>
              <w:rPr>
                <w:sz w:val="18"/>
                <w:szCs w:val="18"/>
              </w:rPr>
            </w:pPr>
            <w:r>
              <w:rPr>
                <w:rFonts w:hint="eastAsia"/>
                <w:sz w:val="18"/>
                <w:szCs w:val="18"/>
              </w:rPr>
              <w:t>致密度</w:t>
            </w:r>
          </w:p>
        </w:tc>
        <w:tc>
          <w:tcPr>
            <w:tcW w:w="1839" w:type="pct"/>
            <w:vAlign w:val="center"/>
          </w:tcPr>
          <w:p w14:paraId="79EF25E6" w14:textId="77777777" w:rsidR="00BB261B" w:rsidRDefault="00000000" w:rsidP="005A028C">
            <w:pPr>
              <w:adjustRightInd w:val="0"/>
              <w:snapToGrid w:val="0"/>
              <w:spacing w:line="360" w:lineRule="auto"/>
              <w:jc w:val="center"/>
              <w:rPr>
                <w:sz w:val="18"/>
                <w:szCs w:val="18"/>
              </w:rPr>
            </w:pPr>
            <w:r>
              <w:rPr>
                <w:rFonts w:hint="eastAsia"/>
                <w:sz w:val="18"/>
                <w:szCs w:val="18"/>
              </w:rPr>
              <w:t>≥</w:t>
            </w:r>
            <w:r>
              <w:rPr>
                <w:sz w:val="18"/>
                <w:szCs w:val="18"/>
              </w:rPr>
              <w:t>99%</w:t>
            </w:r>
          </w:p>
        </w:tc>
      </w:tr>
      <w:tr w:rsidR="00BB261B" w14:paraId="74A34CF9" w14:textId="77777777" w:rsidTr="00C31A7D">
        <w:tc>
          <w:tcPr>
            <w:tcW w:w="3161" w:type="pct"/>
            <w:vAlign w:val="center"/>
          </w:tcPr>
          <w:p w14:paraId="6BAE9D16" w14:textId="77777777" w:rsidR="00BB261B" w:rsidRDefault="00000000" w:rsidP="005A028C">
            <w:pPr>
              <w:adjustRightInd w:val="0"/>
              <w:snapToGrid w:val="0"/>
              <w:spacing w:line="360" w:lineRule="auto"/>
              <w:jc w:val="center"/>
              <w:rPr>
                <w:sz w:val="18"/>
                <w:szCs w:val="18"/>
              </w:rPr>
            </w:pPr>
            <w:r>
              <w:rPr>
                <w:rFonts w:hint="eastAsia"/>
                <w:sz w:val="18"/>
                <w:szCs w:val="18"/>
              </w:rPr>
              <w:t>平均晶粒尺寸</w:t>
            </w:r>
          </w:p>
        </w:tc>
        <w:tc>
          <w:tcPr>
            <w:tcW w:w="1839" w:type="pct"/>
            <w:vAlign w:val="center"/>
          </w:tcPr>
          <w:p w14:paraId="24CD5785" w14:textId="77777777" w:rsidR="00BB261B" w:rsidRDefault="00000000" w:rsidP="005A028C">
            <w:pPr>
              <w:adjustRightInd w:val="0"/>
              <w:snapToGrid w:val="0"/>
              <w:spacing w:line="360" w:lineRule="auto"/>
              <w:jc w:val="center"/>
              <w:rPr>
                <w:sz w:val="18"/>
                <w:szCs w:val="18"/>
              </w:rPr>
            </w:pPr>
            <w:r>
              <w:rPr>
                <w:rFonts w:hint="eastAsia"/>
                <w:sz w:val="18"/>
                <w:szCs w:val="18"/>
              </w:rPr>
              <w:t>≤</w:t>
            </w:r>
            <w:r>
              <w:rPr>
                <w:rFonts w:hint="eastAsia"/>
                <w:sz w:val="18"/>
                <w:szCs w:val="18"/>
              </w:rPr>
              <w:t>3</w:t>
            </w:r>
            <w:r>
              <w:rPr>
                <w:sz w:val="18"/>
                <w:szCs w:val="18"/>
              </w:rPr>
              <w:t>00</w:t>
            </w:r>
            <w:r>
              <w:rPr>
                <w:rFonts w:hint="eastAsia"/>
                <w:sz w:val="18"/>
                <w:szCs w:val="18"/>
              </w:rPr>
              <w:t>μ</w:t>
            </w:r>
            <w:r>
              <w:rPr>
                <w:rFonts w:hint="eastAsia"/>
                <w:sz w:val="18"/>
                <w:szCs w:val="18"/>
              </w:rPr>
              <w:t>m</w:t>
            </w:r>
          </w:p>
        </w:tc>
      </w:tr>
      <w:tr w:rsidR="00BB261B" w14:paraId="0C966F1B" w14:textId="77777777" w:rsidTr="00C31A7D">
        <w:tc>
          <w:tcPr>
            <w:tcW w:w="3161" w:type="pct"/>
            <w:vAlign w:val="center"/>
          </w:tcPr>
          <w:p w14:paraId="37CCED7C" w14:textId="77777777" w:rsidR="00BB261B" w:rsidRDefault="00000000" w:rsidP="005A028C">
            <w:pPr>
              <w:adjustRightInd w:val="0"/>
              <w:snapToGrid w:val="0"/>
              <w:spacing w:line="360" w:lineRule="auto"/>
              <w:jc w:val="center"/>
              <w:rPr>
                <w:sz w:val="18"/>
                <w:szCs w:val="18"/>
              </w:rPr>
            </w:pPr>
            <w:r>
              <w:rPr>
                <w:rFonts w:hint="eastAsia"/>
                <w:sz w:val="18"/>
                <w:szCs w:val="18"/>
              </w:rPr>
              <w:t>表面粗糙度</w:t>
            </w:r>
          </w:p>
        </w:tc>
        <w:tc>
          <w:tcPr>
            <w:tcW w:w="1839" w:type="pct"/>
            <w:vAlign w:val="center"/>
          </w:tcPr>
          <w:p w14:paraId="4BBF7FCB" w14:textId="77777777" w:rsidR="00BB261B" w:rsidRDefault="00000000" w:rsidP="005A028C">
            <w:pPr>
              <w:adjustRightInd w:val="0"/>
              <w:snapToGrid w:val="0"/>
              <w:spacing w:line="360" w:lineRule="auto"/>
              <w:jc w:val="center"/>
              <w:rPr>
                <w:sz w:val="18"/>
                <w:szCs w:val="18"/>
              </w:rPr>
            </w:pPr>
            <w:r>
              <w:rPr>
                <w:rFonts w:hint="eastAsia"/>
                <w:sz w:val="18"/>
                <w:szCs w:val="18"/>
              </w:rPr>
              <w:t>≤</w:t>
            </w:r>
            <w:r>
              <w:rPr>
                <w:sz w:val="18"/>
                <w:szCs w:val="18"/>
              </w:rPr>
              <w:t>2</w:t>
            </w:r>
            <w:r>
              <w:rPr>
                <w:rFonts w:hint="eastAsia"/>
                <w:sz w:val="18"/>
                <w:szCs w:val="18"/>
              </w:rPr>
              <w:t>μ</w:t>
            </w:r>
            <w:r>
              <w:rPr>
                <w:rFonts w:hint="eastAsia"/>
                <w:sz w:val="18"/>
                <w:szCs w:val="18"/>
              </w:rPr>
              <w:t>m</w:t>
            </w:r>
          </w:p>
        </w:tc>
      </w:tr>
      <w:tr w:rsidR="00BB261B" w14:paraId="7163B82C" w14:textId="77777777" w:rsidTr="00C31A7D">
        <w:tc>
          <w:tcPr>
            <w:tcW w:w="3161" w:type="pct"/>
            <w:vAlign w:val="center"/>
          </w:tcPr>
          <w:p w14:paraId="023128EB" w14:textId="77777777" w:rsidR="00BB261B" w:rsidRDefault="00000000" w:rsidP="005A028C">
            <w:pPr>
              <w:adjustRightInd w:val="0"/>
              <w:snapToGrid w:val="0"/>
              <w:spacing w:line="360" w:lineRule="auto"/>
              <w:jc w:val="center"/>
              <w:rPr>
                <w:sz w:val="18"/>
                <w:szCs w:val="18"/>
              </w:rPr>
            </w:pPr>
            <w:r>
              <w:rPr>
                <w:rFonts w:hint="eastAsia"/>
                <w:sz w:val="18"/>
                <w:szCs w:val="18"/>
              </w:rPr>
              <w:t>焊合率</w:t>
            </w:r>
          </w:p>
        </w:tc>
        <w:tc>
          <w:tcPr>
            <w:tcW w:w="1839" w:type="pct"/>
            <w:vAlign w:val="center"/>
          </w:tcPr>
          <w:p w14:paraId="32FB6523" w14:textId="77777777" w:rsidR="00BB261B" w:rsidRDefault="00000000" w:rsidP="005A028C">
            <w:pPr>
              <w:adjustRightInd w:val="0"/>
              <w:snapToGrid w:val="0"/>
              <w:spacing w:line="360" w:lineRule="auto"/>
              <w:jc w:val="center"/>
              <w:rPr>
                <w:sz w:val="18"/>
                <w:szCs w:val="18"/>
              </w:rPr>
            </w:pPr>
            <w:r>
              <w:rPr>
                <w:rFonts w:hint="eastAsia"/>
                <w:sz w:val="18"/>
                <w:szCs w:val="18"/>
              </w:rPr>
              <w:t>≥</w:t>
            </w:r>
            <w:r>
              <w:rPr>
                <w:sz w:val="18"/>
                <w:szCs w:val="18"/>
              </w:rPr>
              <w:t>95%</w:t>
            </w:r>
          </w:p>
        </w:tc>
      </w:tr>
      <w:tr w:rsidR="00BB261B" w14:paraId="0BEC48A4" w14:textId="77777777" w:rsidTr="00C31A7D">
        <w:tc>
          <w:tcPr>
            <w:tcW w:w="3161" w:type="pct"/>
            <w:vAlign w:val="center"/>
          </w:tcPr>
          <w:p w14:paraId="199D5344" w14:textId="77777777" w:rsidR="00BB261B" w:rsidRDefault="00000000" w:rsidP="005A028C">
            <w:pPr>
              <w:adjustRightInd w:val="0"/>
              <w:snapToGrid w:val="0"/>
              <w:spacing w:line="360" w:lineRule="auto"/>
              <w:jc w:val="center"/>
              <w:rPr>
                <w:sz w:val="18"/>
                <w:szCs w:val="18"/>
              </w:rPr>
            </w:pPr>
            <w:r>
              <w:rPr>
                <w:rFonts w:hint="eastAsia"/>
                <w:sz w:val="18"/>
                <w:szCs w:val="18"/>
              </w:rPr>
              <w:t>局部最大未焊合率</w:t>
            </w:r>
          </w:p>
        </w:tc>
        <w:tc>
          <w:tcPr>
            <w:tcW w:w="1839" w:type="pct"/>
            <w:vAlign w:val="center"/>
          </w:tcPr>
          <w:p w14:paraId="4390251B" w14:textId="77777777" w:rsidR="00BB261B" w:rsidRDefault="00000000" w:rsidP="005A028C">
            <w:pPr>
              <w:adjustRightInd w:val="0"/>
              <w:snapToGrid w:val="0"/>
              <w:spacing w:line="360" w:lineRule="auto"/>
              <w:jc w:val="center"/>
              <w:rPr>
                <w:sz w:val="18"/>
                <w:szCs w:val="18"/>
              </w:rPr>
            </w:pPr>
            <w:r>
              <w:rPr>
                <w:rFonts w:hint="eastAsia"/>
                <w:sz w:val="18"/>
                <w:szCs w:val="18"/>
              </w:rPr>
              <w:t>≤</w:t>
            </w:r>
            <w:r>
              <w:rPr>
                <w:sz w:val="18"/>
                <w:szCs w:val="18"/>
              </w:rPr>
              <w:t>2%</w:t>
            </w:r>
          </w:p>
        </w:tc>
      </w:tr>
    </w:tbl>
    <w:p w14:paraId="02AB682A" w14:textId="77777777" w:rsidR="00BB261B"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——明确了高纯钇靶内部质量、外观质量、几何尺寸和公差等要求。</w:t>
      </w:r>
    </w:p>
    <w:p w14:paraId="04C7C9A9" w14:textId="77777777" w:rsidR="00BB261B"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——规定了</w:t>
      </w:r>
      <w:r>
        <w:rPr>
          <w:rFonts w:ascii="宋体" w:hAnsi="宋体" w:hint="eastAsia"/>
          <w:szCs w:val="21"/>
        </w:rPr>
        <w:t>高纯钇靶的化学成分、致密度、平均晶粒尺寸、内部质量、表面粗糙度、几何尺寸、公差及外观质量、焊接质量试验方法以及包装、运输要求</w:t>
      </w:r>
      <w:r>
        <w:rPr>
          <w:rFonts w:asciiTheme="minorEastAsia" w:eastAsiaTheme="minorEastAsia" w:hAnsiTheme="minorEastAsia" w:hint="eastAsia"/>
          <w:szCs w:val="21"/>
        </w:rPr>
        <w:t>。</w:t>
      </w:r>
    </w:p>
    <w:p w14:paraId="7F9006EC" w14:textId="77777777" w:rsidR="00BB261B"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——明确了高纯钇靶检测项目、取样及数量。</w:t>
      </w:r>
    </w:p>
    <w:p w14:paraId="53669B36" w14:textId="77777777" w:rsidR="00BB261B" w:rsidRDefault="00000000">
      <w:pPr>
        <w:spacing w:beforeLines="50" w:before="156" w:afterLines="50" w:after="156" w:line="312" w:lineRule="auto"/>
        <w:rPr>
          <w:rFonts w:ascii="黑体" w:eastAsia="黑体" w:hAnsi="宋体"/>
          <w:bCs/>
          <w:sz w:val="24"/>
        </w:rPr>
      </w:pPr>
      <w:r>
        <w:rPr>
          <w:rFonts w:ascii="黑体" w:eastAsia="黑体" w:hAnsi="宋体" w:hint="eastAsia"/>
          <w:bCs/>
          <w:sz w:val="24"/>
        </w:rPr>
        <w:t>三、试验验证的分析、综述报告，预期达到的社会效益</w:t>
      </w:r>
    </w:p>
    <w:p w14:paraId="225D518B" w14:textId="20A397B9" w:rsidR="00BB261B" w:rsidRDefault="00000000">
      <w:pPr>
        <w:spacing w:line="360" w:lineRule="auto"/>
        <w:ind w:firstLineChars="200" w:firstLine="420"/>
        <w:rPr>
          <w:szCs w:val="21"/>
        </w:rPr>
      </w:pPr>
      <w:r>
        <w:rPr>
          <w:rFonts w:hint="eastAsia"/>
          <w:szCs w:val="21"/>
        </w:rPr>
        <w:t>本标准明确了高纯钇靶标准，有助于指导和规范我国高纯钇靶的生产和销售，加速推动我国溅射稀土靶材产业的快速健康发展，为我国半导体、显示等领域提供技术支撑，实现稀土的高质量发展；有助于完善我国关键战略型稀土材料标准体系建设，推动建设制造强国、质量强国。</w:t>
      </w:r>
    </w:p>
    <w:p w14:paraId="710DFCB0" w14:textId="3F0064E8" w:rsidR="00BB261B" w:rsidRDefault="00000000">
      <w:pPr>
        <w:spacing w:line="360" w:lineRule="auto"/>
        <w:ind w:firstLineChars="200" w:firstLine="420"/>
        <w:rPr>
          <w:szCs w:val="21"/>
        </w:rPr>
      </w:pPr>
      <w:r>
        <w:rPr>
          <w:rFonts w:hint="eastAsia"/>
          <w:szCs w:val="21"/>
        </w:rPr>
        <w:t>此外，本标准制定将会带来技术进步的竞争局面，对国内稀土靶材生产企业及相关行业的技术进步将产生积极的推动作用，对高纯钇靶的质量指标控制具有重要指导意义。另外，本标准制定还有利于规范我国高纯钇靶的生产和销售，建立良性市场竞争环境，促进我国稀土靶材档次和附加值的升级，增强国内稀土行业在全球的核心竞争力。</w:t>
      </w:r>
    </w:p>
    <w:p w14:paraId="40A3D8CF" w14:textId="77777777" w:rsidR="00BB261B" w:rsidRDefault="00000000">
      <w:pPr>
        <w:spacing w:beforeLines="50" w:before="156" w:afterLines="50" w:after="156" w:line="312" w:lineRule="auto"/>
        <w:rPr>
          <w:rFonts w:ascii="黑体" w:eastAsia="黑体" w:hAnsi="宋体"/>
          <w:bCs/>
          <w:sz w:val="24"/>
        </w:rPr>
      </w:pPr>
      <w:r>
        <w:rPr>
          <w:rFonts w:ascii="黑体" w:eastAsia="黑体" w:hAnsi="宋体" w:hint="eastAsia"/>
          <w:bCs/>
          <w:sz w:val="24"/>
        </w:rPr>
        <w:t>四、与国际、国外同类标准技术内容的对比情况</w:t>
      </w:r>
    </w:p>
    <w:p w14:paraId="68C15430" w14:textId="77777777" w:rsidR="00BB261B" w:rsidRDefault="00000000">
      <w:pPr>
        <w:spacing w:line="360" w:lineRule="auto"/>
        <w:ind w:firstLineChars="200" w:firstLine="420"/>
        <w:rPr>
          <w:szCs w:val="21"/>
        </w:rPr>
      </w:pPr>
      <w:r>
        <w:rPr>
          <w:rFonts w:hint="eastAsia"/>
          <w:szCs w:val="21"/>
        </w:rPr>
        <w:t>目前，国外还没有高纯钇靶相应标准。本标准是根据我国实际生产使用情况制定的，其整体内容达到国际先进水平。建议作为推荐性行业标准发布实施。</w:t>
      </w:r>
    </w:p>
    <w:p w14:paraId="5BC7B138" w14:textId="77777777" w:rsidR="00BB261B" w:rsidRDefault="00000000">
      <w:pPr>
        <w:spacing w:beforeLines="50" w:before="156" w:afterLines="50" w:after="156" w:line="312" w:lineRule="auto"/>
        <w:rPr>
          <w:rFonts w:ascii="黑体" w:eastAsia="黑体" w:hAnsi="宋体"/>
          <w:bCs/>
          <w:sz w:val="24"/>
        </w:rPr>
      </w:pPr>
      <w:r>
        <w:rPr>
          <w:rFonts w:ascii="黑体" w:eastAsia="黑体" w:hAnsi="宋体" w:hint="eastAsia"/>
          <w:bCs/>
          <w:sz w:val="24"/>
        </w:rPr>
        <w:t>五、采标情况，以及是否合规引用或采用国际国外标准</w:t>
      </w:r>
    </w:p>
    <w:p w14:paraId="16E68DE2" w14:textId="77777777" w:rsidR="00BB261B" w:rsidRDefault="00000000">
      <w:pPr>
        <w:spacing w:beforeLines="50" w:before="156" w:afterLines="50" w:after="156" w:line="312" w:lineRule="auto"/>
        <w:ind w:firstLineChars="200" w:firstLine="420"/>
        <w:rPr>
          <w:rFonts w:hAnsi="宋体"/>
        </w:rPr>
      </w:pPr>
      <w:r>
        <w:rPr>
          <w:rFonts w:hAnsi="宋体" w:hint="eastAsia"/>
        </w:rPr>
        <w:t>经查</w:t>
      </w:r>
      <w:r>
        <w:rPr>
          <w:rFonts w:hAnsi="宋体"/>
        </w:rPr>
        <w:t>，</w:t>
      </w:r>
      <w:r>
        <w:rPr>
          <w:rFonts w:hAnsi="宋体" w:hint="eastAsia"/>
        </w:rPr>
        <w:t>本标准的制订与现有的标准及制订中的标准协调配套，无重复交叉现象。</w:t>
      </w:r>
    </w:p>
    <w:p w14:paraId="25DDD718" w14:textId="77777777" w:rsidR="00BB261B" w:rsidRDefault="00000000">
      <w:pPr>
        <w:spacing w:line="360" w:lineRule="auto"/>
        <w:rPr>
          <w:rFonts w:ascii="黑体" w:eastAsia="黑体" w:hAnsi="宋体"/>
          <w:bCs/>
          <w:sz w:val="24"/>
        </w:rPr>
      </w:pPr>
      <w:r>
        <w:rPr>
          <w:rFonts w:ascii="黑体" w:eastAsia="黑体" w:hAnsi="宋体" w:hint="eastAsia"/>
          <w:bCs/>
          <w:sz w:val="24"/>
        </w:rPr>
        <w:t>六、与有关法律、法规的关系</w:t>
      </w:r>
    </w:p>
    <w:p w14:paraId="4A916BD7" w14:textId="77777777" w:rsidR="00BB261B" w:rsidRDefault="00000000">
      <w:pPr>
        <w:spacing w:beforeLines="50" w:before="156" w:afterLines="50" w:after="156" w:line="312" w:lineRule="auto"/>
        <w:ind w:firstLineChars="200" w:firstLine="420"/>
        <w:rPr>
          <w:rFonts w:hAnsi="宋体"/>
        </w:rPr>
      </w:pPr>
      <w:r>
        <w:rPr>
          <w:rFonts w:hint="eastAsia"/>
          <w:szCs w:val="21"/>
        </w:rPr>
        <w:t>本标准本文件按照</w:t>
      </w:r>
      <w:r>
        <w:rPr>
          <w:rFonts w:hint="eastAsia"/>
          <w:szCs w:val="21"/>
        </w:rPr>
        <w:t>GB/T 1.1-2020</w:t>
      </w:r>
      <w:r>
        <w:rPr>
          <w:rFonts w:hint="eastAsia"/>
          <w:szCs w:val="21"/>
        </w:rPr>
        <w:t>《标准化工作导则</w:t>
      </w:r>
      <w:r>
        <w:rPr>
          <w:rFonts w:hint="eastAsia"/>
          <w:szCs w:val="21"/>
        </w:rPr>
        <w:t xml:space="preserve"> </w:t>
      </w:r>
      <w:r>
        <w:rPr>
          <w:rFonts w:hint="eastAsia"/>
          <w:szCs w:val="21"/>
        </w:rPr>
        <w:t>第</w:t>
      </w:r>
      <w:r>
        <w:rPr>
          <w:rFonts w:hint="eastAsia"/>
          <w:szCs w:val="21"/>
        </w:rPr>
        <w:t>1</w:t>
      </w:r>
      <w:r>
        <w:rPr>
          <w:rFonts w:hint="eastAsia"/>
          <w:szCs w:val="21"/>
        </w:rPr>
        <w:t>部分：标准化文件的结构和起草规则》的规定起草。</w:t>
      </w:r>
      <w:r>
        <w:rPr>
          <w:rFonts w:hAnsi="宋体" w:hint="eastAsia"/>
        </w:rPr>
        <w:t>本标准与现行法律、法规和相关标准相协调、无冲突。</w:t>
      </w:r>
    </w:p>
    <w:p w14:paraId="47E2F2D1" w14:textId="77777777" w:rsidR="00BB261B" w:rsidRDefault="00000000">
      <w:pPr>
        <w:spacing w:line="360" w:lineRule="auto"/>
        <w:rPr>
          <w:rFonts w:ascii="黑体" w:eastAsia="黑体" w:hAnsi="宋体"/>
          <w:bCs/>
          <w:sz w:val="24"/>
        </w:rPr>
      </w:pPr>
      <w:r>
        <w:rPr>
          <w:rFonts w:ascii="黑体" w:eastAsia="黑体" w:hAnsi="宋体" w:hint="eastAsia"/>
          <w:bCs/>
          <w:sz w:val="24"/>
        </w:rPr>
        <w:t>七、重大分歧意见的处理经过和依据</w:t>
      </w:r>
    </w:p>
    <w:p w14:paraId="688A225A" w14:textId="77777777" w:rsidR="00BB261B" w:rsidRDefault="00000000">
      <w:pPr>
        <w:spacing w:beforeLines="50" w:before="156" w:afterLines="50" w:after="156" w:line="312" w:lineRule="auto"/>
        <w:ind w:firstLineChars="200" w:firstLine="420"/>
        <w:rPr>
          <w:rFonts w:hAnsi="宋体"/>
        </w:rPr>
      </w:pPr>
      <w:r>
        <w:rPr>
          <w:rFonts w:hAnsi="宋体" w:hint="eastAsia"/>
        </w:rPr>
        <w:t>无重大分歧。</w:t>
      </w:r>
    </w:p>
    <w:p w14:paraId="1654BC27" w14:textId="77777777" w:rsidR="00BB261B" w:rsidRDefault="00000000">
      <w:pPr>
        <w:spacing w:line="360" w:lineRule="auto"/>
        <w:rPr>
          <w:rFonts w:ascii="黑体" w:eastAsia="黑体" w:hAnsi="宋体"/>
          <w:bCs/>
          <w:sz w:val="24"/>
        </w:rPr>
      </w:pPr>
      <w:r>
        <w:rPr>
          <w:rFonts w:ascii="黑体" w:eastAsia="黑体" w:hAnsi="宋体" w:hint="eastAsia"/>
          <w:bCs/>
          <w:sz w:val="24"/>
        </w:rPr>
        <w:lastRenderedPageBreak/>
        <w:t>八、涉及专利的有关说明</w:t>
      </w:r>
    </w:p>
    <w:p w14:paraId="4BC2D565" w14:textId="77777777" w:rsidR="00BB261B" w:rsidRDefault="00000000">
      <w:pPr>
        <w:spacing w:line="360" w:lineRule="auto"/>
        <w:ind w:firstLine="482"/>
        <w:rPr>
          <w:szCs w:val="21"/>
        </w:rPr>
      </w:pPr>
      <w:r>
        <w:rPr>
          <w:rFonts w:hint="eastAsia"/>
          <w:szCs w:val="21"/>
        </w:rPr>
        <w:t>本标准未涉及相关知识产权。</w:t>
      </w:r>
    </w:p>
    <w:p w14:paraId="0C816A7F" w14:textId="77777777" w:rsidR="00BB261B" w:rsidRDefault="00000000">
      <w:pPr>
        <w:spacing w:line="360" w:lineRule="auto"/>
        <w:rPr>
          <w:rFonts w:ascii="黑体" w:eastAsia="黑体" w:hAnsi="宋体"/>
          <w:bCs/>
          <w:sz w:val="24"/>
        </w:rPr>
      </w:pPr>
      <w:r>
        <w:rPr>
          <w:rFonts w:ascii="黑体" w:eastAsia="黑体" w:hAnsi="宋体" w:hint="eastAsia"/>
          <w:bCs/>
          <w:sz w:val="24"/>
        </w:rPr>
        <w:t>九、贯彻国家标准的要求，以及组织措施、技术措施、过渡期和实施日期的建议等措施建议</w:t>
      </w:r>
    </w:p>
    <w:p w14:paraId="3162B2E0" w14:textId="5AAB10F5" w:rsidR="007F047E" w:rsidRDefault="007F047E">
      <w:pPr>
        <w:spacing w:line="360" w:lineRule="auto"/>
        <w:rPr>
          <w:rFonts w:ascii="黑体" w:eastAsia="黑体" w:hAnsi="宋体"/>
          <w:bCs/>
          <w:sz w:val="24"/>
        </w:rPr>
      </w:pPr>
      <w:r>
        <w:rPr>
          <w:rFonts w:ascii="黑体" w:eastAsia="黑体" w:hAnsi="宋体" w:hint="eastAsia"/>
          <w:bCs/>
          <w:sz w:val="24"/>
        </w:rPr>
        <w:t xml:space="preserve"> </w:t>
      </w:r>
      <w:r>
        <w:rPr>
          <w:rFonts w:ascii="黑体" w:eastAsia="黑体" w:hAnsi="宋体"/>
          <w:bCs/>
          <w:sz w:val="24"/>
        </w:rPr>
        <w:t xml:space="preserve">   </w:t>
      </w:r>
      <w:r w:rsidRPr="00CD3304">
        <w:rPr>
          <w:rFonts w:hint="eastAsia"/>
          <w:szCs w:val="21"/>
        </w:rPr>
        <w:t>发布后需要撰写宣贯推广材料，可以选择公众号、网站或其他方式进行宣贯推广。</w:t>
      </w:r>
    </w:p>
    <w:p w14:paraId="5BDF45B4" w14:textId="7E08C461" w:rsidR="00BB261B" w:rsidRDefault="00000000">
      <w:pPr>
        <w:spacing w:line="360" w:lineRule="auto"/>
        <w:rPr>
          <w:rFonts w:ascii="黑体" w:eastAsia="黑体" w:hAnsi="宋体"/>
          <w:bCs/>
          <w:sz w:val="24"/>
        </w:rPr>
      </w:pPr>
      <w:r>
        <w:rPr>
          <w:rFonts w:ascii="黑体" w:eastAsia="黑体" w:hAnsi="宋体" w:hint="eastAsia"/>
          <w:bCs/>
          <w:sz w:val="24"/>
        </w:rPr>
        <w:t>十、其他应当说明的事项</w:t>
      </w:r>
    </w:p>
    <w:p w14:paraId="1F81F3BE" w14:textId="77777777" w:rsidR="00BB261B" w:rsidRDefault="00000000">
      <w:pPr>
        <w:pStyle w:val="afffff1"/>
        <w:tabs>
          <w:tab w:val="center" w:pos="4201"/>
          <w:tab w:val="right" w:leader="dot" w:pos="9298"/>
        </w:tabs>
        <w:spacing w:line="312" w:lineRule="auto"/>
        <w:ind w:firstLine="420"/>
      </w:pPr>
      <w:r>
        <w:rPr>
          <w:rFonts w:hint="eastAsia"/>
        </w:rPr>
        <w:t>无。</w:t>
      </w:r>
    </w:p>
    <w:p w14:paraId="57708255" w14:textId="77777777" w:rsidR="00BB261B" w:rsidRDefault="00BB261B">
      <w:pPr>
        <w:spacing w:line="312" w:lineRule="auto"/>
        <w:rPr>
          <w:rFonts w:ascii="黑体" w:eastAsia="黑体"/>
          <w:sz w:val="24"/>
        </w:rPr>
      </w:pPr>
    </w:p>
    <w:p w14:paraId="1244ED92" w14:textId="77777777" w:rsidR="00BB261B" w:rsidRDefault="00000000">
      <w:pPr>
        <w:spacing w:line="360" w:lineRule="auto"/>
        <w:ind w:firstLineChars="200" w:firstLine="480"/>
        <w:jc w:val="center"/>
        <w:rPr>
          <w:szCs w:val="21"/>
        </w:rPr>
      </w:pPr>
      <w:r>
        <w:rPr>
          <w:rFonts w:hint="eastAsia"/>
          <w:sz w:val="24"/>
        </w:rPr>
        <w:t xml:space="preserve"> </w:t>
      </w:r>
      <w:r>
        <w:rPr>
          <w:sz w:val="24"/>
        </w:rPr>
        <w:t xml:space="preserve">             </w:t>
      </w:r>
      <w:r>
        <w:rPr>
          <w:szCs w:val="21"/>
        </w:rPr>
        <w:t xml:space="preserve">             </w:t>
      </w:r>
      <w:r>
        <w:rPr>
          <w:rFonts w:hint="eastAsia"/>
        </w:rPr>
        <w:t>标准编制工作组</w:t>
      </w:r>
    </w:p>
    <w:p w14:paraId="795AA2B9" w14:textId="58FEC387" w:rsidR="00BB261B" w:rsidRDefault="007F23D2">
      <w:pPr>
        <w:pStyle w:val="affffe"/>
        <w:spacing w:before="0" w:line="312" w:lineRule="auto"/>
        <w:ind w:leftChars="2500" w:left="5250" w:firstLineChars="300" w:firstLine="630"/>
        <w:jc w:val="both"/>
        <w:rPr>
          <w:sz w:val="21"/>
          <w:szCs w:val="21"/>
        </w:rPr>
      </w:pPr>
      <w:r>
        <w:rPr>
          <w:sz w:val="21"/>
          <w:szCs w:val="21"/>
        </w:rPr>
        <w:t>2023</w:t>
      </w:r>
      <w:r>
        <w:rPr>
          <w:sz w:val="21"/>
          <w:szCs w:val="21"/>
        </w:rPr>
        <w:t>年</w:t>
      </w:r>
      <w:r>
        <w:rPr>
          <w:sz w:val="21"/>
          <w:szCs w:val="21"/>
        </w:rPr>
        <w:t>2</w:t>
      </w:r>
      <w:r>
        <w:rPr>
          <w:sz w:val="21"/>
          <w:szCs w:val="21"/>
        </w:rPr>
        <w:t>月</w:t>
      </w:r>
      <w:r>
        <w:rPr>
          <w:sz w:val="21"/>
          <w:szCs w:val="21"/>
        </w:rPr>
        <w:t>20</w:t>
      </w:r>
      <w:r>
        <w:rPr>
          <w:rFonts w:hint="eastAsia"/>
          <w:sz w:val="21"/>
          <w:szCs w:val="21"/>
        </w:rPr>
        <w:t>日</w:t>
      </w:r>
    </w:p>
    <w:sectPr w:rsidR="00BB261B">
      <w:footerReference w:type="default" r:id="rId8"/>
      <w:pgSz w:w="11906" w:h="16838"/>
      <w:pgMar w:top="1134" w:right="1077" w:bottom="1213"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8BAE7" w14:textId="77777777" w:rsidR="00F4503B" w:rsidRDefault="00F4503B">
      <w:r>
        <w:separator/>
      </w:r>
    </w:p>
  </w:endnote>
  <w:endnote w:type="continuationSeparator" w:id="0">
    <w:p w14:paraId="6DF7B0F6" w14:textId="77777777" w:rsidR="00F4503B" w:rsidRDefault="00F45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06084" w14:textId="77777777" w:rsidR="00BB261B" w:rsidRDefault="00000000">
    <w:pPr>
      <w:pStyle w:val="affd"/>
      <w:jc w:val="center"/>
    </w:pPr>
    <w:r>
      <w:fldChar w:fldCharType="begin"/>
    </w:r>
    <w:r>
      <w:instrText xml:space="preserve"> PAGE   \* MERGEFORMAT </w:instrText>
    </w:r>
    <w:r>
      <w:fldChar w:fldCharType="separate"/>
    </w:r>
    <w:r>
      <w:rPr>
        <w:lang w:val="zh-CN"/>
      </w:rPr>
      <w:t>2</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D92F2" w14:textId="77777777" w:rsidR="00F4503B" w:rsidRDefault="00F4503B">
      <w:r>
        <w:separator/>
      </w:r>
    </w:p>
  </w:footnote>
  <w:footnote w:type="continuationSeparator" w:id="0">
    <w:p w14:paraId="446D3144" w14:textId="77777777" w:rsidR="00F4503B" w:rsidRDefault="00F45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1B3A3746"/>
    <w:multiLevelType w:val="multilevel"/>
    <w:tmpl w:val="1B3A3746"/>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27165346">
    <w:abstractNumId w:val="0"/>
  </w:num>
  <w:num w:numId="2" w16cid:durableId="374354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QwZjQzOTY3MDQwY2UwZTk5ZTNiMDQ1ZWRmZmM4ZTQifQ=="/>
  </w:docVars>
  <w:rsids>
    <w:rsidRoot w:val="00B623AB"/>
    <w:rsid w:val="00000843"/>
    <w:rsid w:val="000046B0"/>
    <w:rsid w:val="00006A40"/>
    <w:rsid w:val="00010180"/>
    <w:rsid w:val="00012DB2"/>
    <w:rsid w:val="00014853"/>
    <w:rsid w:val="0002096F"/>
    <w:rsid w:val="0002184F"/>
    <w:rsid w:val="00022FF0"/>
    <w:rsid w:val="00024B42"/>
    <w:rsid w:val="00026D78"/>
    <w:rsid w:val="00032195"/>
    <w:rsid w:val="000332A6"/>
    <w:rsid w:val="00033691"/>
    <w:rsid w:val="000346F7"/>
    <w:rsid w:val="00035035"/>
    <w:rsid w:val="00036C57"/>
    <w:rsid w:val="00046620"/>
    <w:rsid w:val="00047D95"/>
    <w:rsid w:val="00050085"/>
    <w:rsid w:val="0005146E"/>
    <w:rsid w:val="000526A0"/>
    <w:rsid w:val="0005350B"/>
    <w:rsid w:val="00061D34"/>
    <w:rsid w:val="00061D46"/>
    <w:rsid w:val="00062070"/>
    <w:rsid w:val="0006432D"/>
    <w:rsid w:val="0006477B"/>
    <w:rsid w:val="00072756"/>
    <w:rsid w:val="00073C3A"/>
    <w:rsid w:val="000747A8"/>
    <w:rsid w:val="00076C45"/>
    <w:rsid w:val="00081A9E"/>
    <w:rsid w:val="00083A57"/>
    <w:rsid w:val="000842C3"/>
    <w:rsid w:val="00085404"/>
    <w:rsid w:val="00091BB7"/>
    <w:rsid w:val="00091DD9"/>
    <w:rsid w:val="000A0C8C"/>
    <w:rsid w:val="000A0CA9"/>
    <w:rsid w:val="000A180E"/>
    <w:rsid w:val="000A1CC0"/>
    <w:rsid w:val="000A1DCD"/>
    <w:rsid w:val="000A2986"/>
    <w:rsid w:val="000A54AC"/>
    <w:rsid w:val="000A569E"/>
    <w:rsid w:val="000A5CC2"/>
    <w:rsid w:val="000A7FF3"/>
    <w:rsid w:val="000B14A6"/>
    <w:rsid w:val="000B3127"/>
    <w:rsid w:val="000B605E"/>
    <w:rsid w:val="000C44B2"/>
    <w:rsid w:val="000C44E3"/>
    <w:rsid w:val="000C7808"/>
    <w:rsid w:val="000D3889"/>
    <w:rsid w:val="000D6334"/>
    <w:rsid w:val="000D7360"/>
    <w:rsid w:val="000E068C"/>
    <w:rsid w:val="000E34D5"/>
    <w:rsid w:val="000E3741"/>
    <w:rsid w:val="000E37CA"/>
    <w:rsid w:val="000E5B60"/>
    <w:rsid w:val="000E636D"/>
    <w:rsid w:val="000E6E9C"/>
    <w:rsid w:val="000E7ED5"/>
    <w:rsid w:val="000E7EDF"/>
    <w:rsid w:val="000F1FD1"/>
    <w:rsid w:val="000F224C"/>
    <w:rsid w:val="000F3489"/>
    <w:rsid w:val="0010034F"/>
    <w:rsid w:val="00100D28"/>
    <w:rsid w:val="00100E6F"/>
    <w:rsid w:val="00101BCE"/>
    <w:rsid w:val="001074F0"/>
    <w:rsid w:val="00110508"/>
    <w:rsid w:val="001115A6"/>
    <w:rsid w:val="00112CBC"/>
    <w:rsid w:val="001139D5"/>
    <w:rsid w:val="0011570F"/>
    <w:rsid w:val="00116D8F"/>
    <w:rsid w:val="00122903"/>
    <w:rsid w:val="001241A8"/>
    <w:rsid w:val="0012792A"/>
    <w:rsid w:val="001345DA"/>
    <w:rsid w:val="00134E2D"/>
    <w:rsid w:val="00135E64"/>
    <w:rsid w:val="00136064"/>
    <w:rsid w:val="00137D4C"/>
    <w:rsid w:val="001424D5"/>
    <w:rsid w:val="001438F6"/>
    <w:rsid w:val="001500C3"/>
    <w:rsid w:val="001514AB"/>
    <w:rsid w:val="0015171C"/>
    <w:rsid w:val="00151F1C"/>
    <w:rsid w:val="00152747"/>
    <w:rsid w:val="00154608"/>
    <w:rsid w:val="00156452"/>
    <w:rsid w:val="00160901"/>
    <w:rsid w:val="00163B6C"/>
    <w:rsid w:val="001645BF"/>
    <w:rsid w:val="0016567C"/>
    <w:rsid w:val="00166ED4"/>
    <w:rsid w:val="00171087"/>
    <w:rsid w:val="0017147D"/>
    <w:rsid w:val="001742D0"/>
    <w:rsid w:val="00176CA2"/>
    <w:rsid w:val="0017706E"/>
    <w:rsid w:val="00181F19"/>
    <w:rsid w:val="00182D22"/>
    <w:rsid w:val="00186DB8"/>
    <w:rsid w:val="00187FC9"/>
    <w:rsid w:val="0019163F"/>
    <w:rsid w:val="00192E96"/>
    <w:rsid w:val="00194EB2"/>
    <w:rsid w:val="00196497"/>
    <w:rsid w:val="001A02DA"/>
    <w:rsid w:val="001A0910"/>
    <w:rsid w:val="001A1931"/>
    <w:rsid w:val="001A1A3D"/>
    <w:rsid w:val="001A287E"/>
    <w:rsid w:val="001A78A3"/>
    <w:rsid w:val="001B24C8"/>
    <w:rsid w:val="001B3592"/>
    <w:rsid w:val="001B5781"/>
    <w:rsid w:val="001C113E"/>
    <w:rsid w:val="001C35AF"/>
    <w:rsid w:val="001C4AB5"/>
    <w:rsid w:val="001C5722"/>
    <w:rsid w:val="001C5E29"/>
    <w:rsid w:val="001C6263"/>
    <w:rsid w:val="001D18F0"/>
    <w:rsid w:val="001D1A3E"/>
    <w:rsid w:val="001D200A"/>
    <w:rsid w:val="001D24F0"/>
    <w:rsid w:val="001D27F6"/>
    <w:rsid w:val="001D57BC"/>
    <w:rsid w:val="001D6080"/>
    <w:rsid w:val="001D783C"/>
    <w:rsid w:val="001D7A87"/>
    <w:rsid w:val="001E7268"/>
    <w:rsid w:val="001F4370"/>
    <w:rsid w:val="001F5F9B"/>
    <w:rsid w:val="001F65ED"/>
    <w:rsid w:val="001F6922"/>
    <w:rsid w:val="001F6B47"/>
    <w:rsid w:val="001F7DA6"/>
    <w:rsid w:val="0020225C"/>
    <w:rsid w:val="0021099A"/>
    <w:rsid w:val="002111C0"/>
    <w:rsid w:val="0021153B"/>
    <w:rsid w:val="002119ED"/>
    <w:rsid w:val="002123C9"/>
    <w:rsid w:val="0021264D"/>
    <w:rsid w:val="00216076"/>
    <w:rsid w:val="00217B7C"/>
    <w:rsid w:val="00217EB3"/>
    <w:rsid w:val="00220A49"/>
    <w:rsid w:val="0022213B"/>
    <w:rsid w:val="00222AF0"/>
    <w:rsid w:val="002246A5"/>
    <w:rsid w:val="00224A26"/>
    <w:rsid w:val="00224C4A"/>
    <w:rsid w:val="0022603F"/>
    <w:rsid w:val="002261C7"/>
    <w:rsid w:val="00226891"/>
    <w:rsid w:val="002344C3"/>
    <w:rsid w:val="002367F4"/>
    <w:rsid w:val="00237934"/>
    <w:rsid w:val="002408F8"/>
    <w:rsid w:val="00240D65"/>
    <w:rsid w:val="002414FB"/>
    <w:rsid w:val="00242023"/>
    <w:rsid w:val="00242752"/>
    <w:rsid w:val="00242AAA"/>
    <w:rsid w:val="00243777"/>
    <w:rsid w:val="00245A31"/>
    <w:rsid w:val="0024636D"/>
    <w:rsid w:val="002464C4"/>
    <w:rsid w:val="002474F1"/>
    <w:rsid w:val="00252865"/>
    <w:rsid w:val="00252CB5"/>
    <w:rsid w:val="00252D49"/>
    <w:rsid w:val="002569A0"/>
    <w:rsid w:val="00257050"/>
    <w:rsid w:val="002634A5"/>
    <w:rsid w:val="00263B9F"/>
    <w:rsid w:val="00264880"/>
    <w:rsid w:val="002658D8"/>
    <w:rsid w:val="00270709"/>
    <w:rsid w:val="00271256"/>
    <w:rsid w:val="00273376"/>
    <w:rsid w:val="00275581"/>
    <w:rsid w:val="00276D32"/>
    <w:rsid w:val="00277FC2"/>
    <w:rsid w:val="00283872"/>
    <w:rsid w:val="002841A5"/>
    <w:rsid w:val="002842F4"/>
    <w:rsid w:val="00291D93"/>
    <w:rsid w:val="0029258B"/>
    <w:rsid w:val="00292C1B"/>
    <w:rsid w:val="002935AF"/>
    <w:rsid w:val="00294B68"/>
    <w:rsid w:val="00295158"/>
    <w:rsid w:val="00295954"/>
    <w:rsid w:val="00296C10"/>
    <w:rsid w:val="00297A7C"/>
    <w:rsid w:val="002A5D1B"/>
    <w:rsid w:val="002A6909"/>
    <w:rsid w:val="002A7884"/>
    <w:rsid w:val="002B10D8"/>
    <w:rsid w:val="002B1184"/>
    <w:rsid w:val="002B1448"/>
    <w:rsid w:val="002B1476"/>
    <w:rsid w:val="002B1CDE"/>
    <w:rsid w:val="002B1E00"/>
    <w:rsid w:val="002B1EB8"/>
    <w:rsid w:val="002B39F3"/>
    <w:rsid w:val="002B6730"/>
    <w:rsid w:val="002B6D40"/>
    <w:rsid w:val="002B743A"/>
    <w:rsid w:val="002B7F73"/>
    <w:rsid w:val="002C2432"/>
    <w:rsid w:val="002C5386"/>
    <w:rsid w:val="002C6032"/>
    <w:rsid w:val="002D4DC6"/>
    <w:rsid w:val="002D542A"/>
    <w:rsid w:val="002D7674"/>
    <w:rsid w:val="002E0737"/>
    <w:rsid w:val="002E1500"/>
    <w:rsid w:val="002E1898"/>
    <w:rsid w:val="002E3EDB"/>
    <w:rsid w:val="002F1734"/>
    <w:rsid w:val="002F3670"/>
    <w:rsid w:val="003017C7"/>
    <w:rsid w:val="00302CA7"/>
    <w:rsid w:val="003058C5"/>
    <w:rsid w:val="00305AB4"/>
    <w:rsid w:val="003070AE"/>
    <w:rsid w:val="00311372"/>
    <w:rsid w:val="003152A4"/>
    <w:rsid w:val="0031608B"/>
    <w:rsid w:val="00321FE3"/>
    <w:rsid w:val="00326117"/>
    <w:rsid w:val="00331DA0"/>
    <w:rsid w:val="003320EC"/>
    <w:rsid w:val="003336E8"/>
    <w:rsid w:val="00333F1C"/>
    <w:rsid w:val="00336817"/>
    <w:rsid w:val="003371FA"/>
    <w:rsid w:val="00340092"/>
    <w:rsid w:val="003402ED"/>
    <w:rsid w:val="003406E3"/>
    <w:rsid w:val="003430B3"/>
    <w:rsid w:val="00352BC9"/>
    <w:rsid w:val="00356B4B"/>
    <w:rsid w:val="00360858"/>
    <w:rsid w:val="003639DC"/>
    <w:rsid w:val="00363C9B"/>
    <w:rsid w:val="00363FF5"/>
    <w:rsid w:val="00364128"/>
    <w:rsid w:val="00366C1C"/>
    <w:rsid w:val="00370FF7"/>
    <w:rsid w:val="00371AA3"/>
    <w:rsid w:val="00372782"/>
    <w:rsid w:val="00373131"/>
    <w:rsid w:val="00376DAF"/>
    <w:rsid w:val="00376F19"/>
    <w:rsid w:val="00383889"/>
    <w:rsid w:val="00385C99"/>
    <w:rsid w:val="00386103"/>
    <w:rsid w:val="00386212"/>
    <w:rsid w:val="003918BA"/>
    <w:rsid w:val="003922C1"/>
    <w:rsid w:val="00392AC9"/>
    <w:rsid w:val="0039367A"/>
    <w:rsid w:val="003939C9"/>
    <w:rsid w:val="00395B19"/>
    <w:rsid w:val="0039640D"/>
    <w:rsid w:val="003A1523"/>
    <w:rsid w:val="003A1FDB"/>
    <w:rsid w:val="003A4DF7"/>
    <w:rsid w:val="003A640C"/>
    <w:rsid w:val="003B2497"/>
    <w:rsid w:val="003B3203"/>
    <w:rsid w:val="003B4C78"/>
    <w:rsid w:val="003B65F5"/>
    <w:rsid w:val="003B789C"/>
    <w:rsid w:val="003B7E75"/>
    <w:rsid w:val="003B7F17"/>
    <w:rsid w:val="003C0CDA"/>
    <w:rsid w:val="003C1F6D"/>
    <w:rsid w:val="003C25C6"/>
    <w:rsid w:val="003C492E"/>
    <w:rsid w:val="003C5392"/>
    <w:rsid w:val="003C5F0B"/>
    <w:rsid w:val="003C7814"/>
    <w:rsid w:val="003D6BA4"/>
    <w:rsid w:val="003D79E6"/>
    <w:rsid w:val="003E0A25"/>
    <w:rsid w:val="003E1178"/>
    <w:rsid w:val="003E2665"/>
    <w:rsid w:val="003E47D4"/>
    <w:rsid w:val="003E7121"/>
    <w:rsid w:val="003F03FD"/>
    <w:rsid w:val="003F34E7"/>
    <w:rsid w:val="003F5178"/>
    <w:rsid w:val="003F67B0"/>
    <w:rsid w:val="0040007C"/>
    <w:rsid w:val="0040009E"/>
    <w:rsid w:val="00400ED1"/>
    <w:rsid w:val="00402FE6"/>
    <w:rsid w:val="00404E31"/>
    <w:rsid w:val="00405AFC"/>
    <w:rsid w:val="00411827"/>
    <w:rsid w:val="004154E5"/>
    <w:rsid w:val="00415749"/>
    <w:rsid w:val="004169D7"/>
    <w:rsid w:val="00424F60"/>
    <w:rsid w:val="004306FA"/>
    <w:rsid w:val="0043072C"/>
    <w:rsid w:val="00433247"/>
    <w:rsid w:val="00437F04"/>
    <w:rsid w:val="004425AD"/>
    <w:rsid w:val="0044631C"/>
    <w:rsid w:val="004468D7"/>
    <w:rsid w:val="0044747A"/>
    <w:rsid w:val="00451D1D"/>
    <w:rsid w:val="0045247E"/>
    <w:rsid w:val="00457F66"/>
    <w:rsid w:val="00462904"/>
    <w:rsid w:val="00465D91"/>
    <w:rsid w:val="00471A2D"/>
    <w:rsid w:val="004741DE"/>
    <w:rsid w:val="004804B2"/>
    <w:rsid w:val="00480F24"/>
    <w:rsid w:val="004814CC"/>
    <w:rsid w:val="00483671"/>
    <w:rsid w:val="004837ED"/>
    <w:rsid w:val="0048575A"/>
    <w:rsid w:val="00486081"/>
    <w:rsid w:val="00493E0A"/>
    <w:rsid w:val="0049424A"/>
    <w:rsid w:val="004961DA"/>
    <w:rsid w:val="004A28AA"/>
    <w:rsid w:val="004A2C5B"/>
    <w:rsid w:val="004A3A2A"/>
    <w:rsid w:val="004A513C"/>
    <w:rsid w:val="004B415A"/>
    <w:rsid w:val="004B41B0"/>
    <w:rsid w:val="004B5F05"/>
    <w:rsid w:val="004C0C60"/>
    <w:rsid w:val="004C144D"/>
    <w:rsid w:val="004C63B3"/>
    <w:rsid w:val="004C6DE0"/>
    <w:rsid w:val="004D1285"/>
    <w:rsid w:val="004D7BA0"/>
    <w:rsid w:val="004E282E"/>
    <w:rsid w:val="004E7AD9"/>
    <w:rsid w:val="004F0AC8"/>
    <w:rsid w:val="004F59CD"/>
    <w:rsid w:val="00503416"/>
    <w:rsid w:val="00503CC1"/>
    <w:rsid w:val="005041BD"/>
    <w:rsid w:val="00505AB2"/>
    <w:rsid w:val="0050616B"/>
    <w:rsid w:val="00510AE9"/>
    <w:rsid w:val="00511935"/>
    <w:rsid w:val="00512455"/>
    <w:rsid w:val="005139E1"/>
    <w:rsid w:val="00514BE8"/>
    <w:rsid w:val="00515853"/>
    <w:rsid w:val="0051585A"/>
    <w:rsid w:val="005164FF"/>
    <w:rsid w:val="00526898"/>
    <w:rsid w:val="005275AB"/>
    <w:rsid w:val="00534F8A"/>
    <w:rsid w:val="00535E44"/>
    <w:rsid w:val="00540267"/>
    <w:rsid w:val="005421E7"/>
    <w:rsid w:val="0054331E"/>
    <w:rsid w:val="005469A5"/>
    <w:rsid w:val="00546DF5"/>
    <w:rsid w:val="005475AF"/>
    <w:rsid w:val="00550CA0"/>
    <w:rsid w:val="00551151"/>
    <w:rsid w:val="0055122C"/>
    <w:rsid w:val="00554A02"/>
    <w:rsid w:val="00561BAB"/>
    <w:rsid w:val="0056535D"/>
    <w:rsid w:val="0056539D"/>
    <w:rsid w:val="005671B8"/>
    <w:rsid w:val="005675C7"/>
    <w:rsid w:val="00570BC3"/>
    <w:rsid w:val="005731B4"/>
    <w:rsid w:val="00573F64"/>
    <w:rsid w:val="005761B2"/>
    <w:rsid w:val="005812BF"/>
    <w:rsid w:val="0058298B"/>
    <w:rsid w:val="00584051"/>
    <w:rsid w:val="00584DCF"/>
    <w:rsid w:val="00587778"/>
    <w:rsid w:val="00587D84"/>
    <w:rsid w:val="0059018B"/>
    <w:rsid w:val="00590DF2"/>
    <w:rsid w:val="00591B99"/>
    <w:rsid w:val="00592A0B"/>
    <w:rsid w:val="0059441F"/>
    <w:rsid w:val="00595C2D"/>
    <w:rsid w:val="00596F20"/>
    <w:rsid w:val="005A028C"/>
    <w:rsid w:val="005A433E"/>
    <w:rsid w:val="005A6367"/>
    <w:rsid w:val="005A7FAD"/>
    <w:rsid w:val="005B07F8"/>
    <w:rsid w:val="005B16F8"/>
    <w:rsid w:val="005B2B1D"/>
    <w:rsid w:val="005B3B2F"/>
    <w:rsid w:val="005B42D0"/>
    <w:rsid w:val="005B4F50"/>
    <w:rsid w:val="005B602A"/>
    <w:rsid w:val="005B65D7"/>
    <w:rsid w:val="005C04B7"/>
    <w:rsid w:val="005C0D74"/>
    <w:rsid w:val="005C1E9B"/>
    <w:rsid w:val="005C2AE2"/>
    <w:rsid w:val="005C6623"/>
    <w:rsid w:val="005C6E0A"/>
    <w:rsid w:val="005C76D7"/>
    <w:rsid w:val="005D1372"/>
    <w:rsid w:val="005D255E"/>
    <w:rsid w:val="005D5B2C"/>
    <w:rsid w:val="005D72B0"/>
    <w:rsid w:val="005D7867"/>
    <w:rsid w:val="005E030E"/>
    <w:rsid w:val="005E2C35"/>
    <w:rsid w:val="005E48F0"/>
    <w:rsid w:val="005E578E"/>
    <w:rsid w:val="005E681A"/>
    <w:rsid w:val="005E6B51"/>
    <w:rsid w:val="005F1ACB"/>
    <w:rsid w:val="005F2EE3"/>
    <w:rsid w:val="005F7971"/>
    <w:rsid w:val="00600224"/>
    <w:rsid w:val="006006B8"/>
    <w:rsid w:val="00601EFB"/>
    <w:rsid w:val="00607C62"/>
    <w:rsid w:val="00607F6D"/>
    <w:rsid w:val="00610273"/>
    <w:rsid w:val="006102D3"/>
    <w:rsid w:val="00613007"/>
    <w:rsid w:val="00615CD1"/>
    <w:rsid w:val="006237B0"/>
    <w:rsid w:val="006264DE"/>
    <w:rsid w:val="0063380C"/>
    <w:rsid w:val="0063508A"/>
    <w:rsid w:val="00636BDB"/>
    <w:rsid w:val="00636F2E"/>
    <w:rsid w:val="006407FA"/>
    <w:rsid w:val="00642493"/>
    <w:rsid w:val="006437BE"/>
    <w:rsid w:val="00644B14"/>
    <w:rsid w:val="00645CDE"/>
    <w:rsid w:val="00646F53"/>
    <w:rsid w:val="0065133E"/>
    <w:rsid w:val="00653DEA"/>
    <w:rsid w:val="006555BA"/>
    <w:rsid w:val="00657FDB"/>
    <w:rsid w:val="006619E4"/>
    <w:rsid w:val="0066318E"/>
    <w:rsid w:val="00664E99"/>
    <w:rsid w:val="006664F9"/>
    <w:rsid w:val="00666745"/>
    <w:rsid w:val="00666AE1"/>
    <w:rsid w:val="006727AA"/>
    <w:rsid w:val="00673F33"/>
    <w:rsid w:val="006748C4"/>
    <w:rsid w:val="00674D40"/>
    <w:rsid w:val="00675AA1"/>
    <w:rsid w:val="006773F1"/>
    <w:rsid w:val="00677B56"/>
    <w:rsid w:val="006815E1"/>
    <w:rsid w:val="00681710"/>
    <w:rsid w:val="006846AC"/>
    <w:rsid w:val="00684C40"/>
    <w:rsid w:val="00685707"/>
    <w:rsid w:val="00686631"/>
    <w:rsid w:val="00686927"/>
    <w:rsid w:val="006877FE"/>
    <w:rsid w:val="006905BF"/>
    <w:rsid w:val="00696C74"/>
    <w:rsid w:val="006A070E"/>
    <w:rsid w:val="006A6B27"/>
    <w:rsid w:val="006A71CE"/>
    <w:rsid w:val="006B1820"/>
    <w:rsid w:val="006B2E03"/>
    <w:rsid w:val="006B3ECC"/>
    <w:rsid w:val="006B643B"/>
    <w:rsid w:val="006B69D8"/>
    <w:rsid w:val="006B7418"/>
    <w:rsid w:val="006C194E"/>
    <w:rsid w:val="006C26B4"/>
    <w:rsid w:val="006C2F95"/>
    <w:rsid w:val="006C3687"/>
    <w:rsid w:val="006C3F70"/>
    <w:rsid w:val="006C5FBA"/>
    <w:rsid w:val="006D0BE5"/>
    <w:rsid w:val="006D1A4B"/>
    <w:rsid w:val="006D251E"/>
    <w:rsid w:val="006D253F"/>
    <w:rsid w:val="006D34A7"/>
    <w:rsid w:val="006D42C7"/>
    <w:rsid w:val="006D4A00"/>
    <w:rsid w:val="006D6695"/>
    <w:rsid w:val="006D7755"/>
    <w:rsid w:val="006D7CDB"/>
    <w:rsid w:val="006E02B1"/>
    <w:rsid w:val="006E059D"/>
    <w:rsid w:val="006E1891"/>
    <w:rsid w:val="006E28B7"/>
    <w:rsid w:val="006E2ACE"/>
    <w:rsid w:val="006E4918"/>
    <w:rsid w:val="006E5A49"/>
    <w:rsid w:val="006E67A8"/>
    <w:rsid w:val="006E7ACD"/>
    <w:rsid w:val="006E7C18"/>
    <w:rsid w:val="006F17C9"/>
    <w:rsid w:val="006F27D4"/>
    <w:rsid w:val="006F526E"/>
    <w:rsid w:val="00700E3B"/>
    <w:rsid w:val="007011A5"/>
    <w:rsid w:val="00703674"/>
    <w:rsid w:val="00704897"/>
    <w:rsid w:val="00706C2B"/>
    <w:rsid w:val="007123C8"/>
    <w:rsid w:val="00712513"/>
    <w:rsid w:val="00713AC2"/>
    <w:rsid w:val="00716A87"/>
    <w:rsid w:val="0071761A"/>
    <w:rsid w:val="00717801"/>
    <w:rsid w:val="0072080A"/>
    <w:rsid w:val="0072235E"/>
    <w:rsid w:val="00723AF6"/>
    <w:rsid w:val="00723B32"/>
    <w:rsid w:val="00723CFC"/>
    <w:rsid w:val="007255D5"/>
    <w:rsid w:val="00726914"/>
    <w:rsid w:val="00726C2F"/>
    <w:rsid w:val="00727AB4"/>
    <w:rsid w:val="007415D6"/>
    <w:rsid w:val="007436BB"/>
    <w:rsid w:val="00745D4F"/>
    <w:rsid w:val="00746EF3"/>
    <w:rsid w:val="00747E57"/>
    <w:rsid w:val="00750CFC"/>
    <w:rsid w:val="00752374"/>
    <w:rsid w:val="00752ACC"/>
    <w:rsid w:val="00752FB4"/>
    <w:rsid w:val="00754E21"/>
    <w:rsid w:val="00755B27"/>
    <w:rsid w:val="007621D8"/>
    <w:rsid w:val="00764446"/>
    <w:rsid w:val="007661BF"/>
    <w:rsid w:val="00766258"/>
    <w:rsid w:val="00771198"/>
    <w:rsid w:val="00772C3A"/>
    <w:rsid w:val="0077459D"/>
    <w:rsid w:val="00781499"/>
    <w:rsid w:val="0078372D"/>
    <w:rsid w:val="00790EBF"/>
    <w:rsid w:val="007967ED"/>
    <w:rsid w:val="00796FFE"/>
    <w:rsid w:val="007A16E2"/>
    <w:rsid w:val="007A3FC1"/>
    <w:rsid w:val="007B1B7D"/>
    <w:rsid w:val="007B29F0"/>
    <w:rsid w:val="007B5DB0"/>
    <w:rsid w:val="007B688D"/>
    <w:rsid w:val="007B74F4"/>
    <w:rsid w:val="007B7D0F"/>
    <w:rsid w:val="007C2A43"/>
    <w:rsid w:val="007C35DE"/>
    <w:rsid w:val="007C44E1"/>
    <w:rsid w:val="007C5B98"/>
    <w:rsid w:val="007C5E4E"/>
    <w:rsid w:val="007C6734"/>
    <w:rsid w:val="007D27BC"/>
    <w:rsid w:val="007D3170"/>
    <w:rsid w:val="007D75D0"/>
    <w:rsid w:val="007E17FF"/>
    <w:rsid w:val="007E2137"/>
    <w:rsid w:val="007E50D0"/>
    <w:rsid w:val="007E5723"/>
    <w:rsid w:val="007E5B7A"/>
    <w:rsid w:val="007E70D2"/>
    <w:rsid w:val="007E7DF3"/>
    <w:rsid w:val="007E7E5F"/>
    <w:rsid w:val="007F047E"/>
    <w:rsid w:val="007F23D2"/>
    <w:rsid w:val="007F335B"/>
    <w:rsid w:val="007F3D28"/>
    <w:rsid w:val="007F4259"/>
    <w:rsid w:val="007F42A2"/>
    <w:rsid w:val="00801948"/>
    <w:rsid w:val="008029FF"/>
    <w:rsid w:val="008036B5"/>
    <w:rsid w:val="008039DF"/>
    <w:rsid w:val="008043CF"/>
    <w:rsid w:val="008130E4"/>
    <w:rsid w:val="008148E9"/>
    <w:rsid w:val="00815B0F"/>
    <w:rsid w:val="0082271E"/>
    <w:rsid w:val="00822777"/>
    <w:rsid w:val="008237DA"/>
    <w:rsid w:val="00825D21"/>
    <w:rsid w:val="008260E1"/>
    <w:rsid w:val="0082615F"/>
    <w:rsid w:val="00826C6B"/>
    <w:rsid w:val="0083190B"/>
    <w:rsid w:val="00832B3D"/>
    <w:rsid w:val="00835BDA"/>
    <w:rsid w:val="00842D20"/>
    <w:rsid w:val="008459EE"/>
    <w:rsid w:val="0084647D"/>
    <w:rsid w:val="00847FD9"/>
    <w:rsid w:val="00854C07"/>
    <w:rsid w:val="0086177D"/>
    <w:rsid w:val="00862280"/>
    <w:rsid w:val="008629F1"/>
    <w:rsid w:val="00872C9E"/>
    <w:rsid w:val="00873AC3"/>
    <w:rsid w:val="00880BF7"/>
    <w:rsid w:val="00880F82"/>
    <w:rsid w:val="00881B81"/>
    <w:rsid w:val="008840BA"/>
    <w:rsid w:val="008A3569"/>
    <w:rsid w:val="008A3C8F"/>
    <w:rsid w:val="008A3FF9"/>
    <w:rsid w:val="008A4E27"/>
    <w:rsid w:val="008B105E"/>
    <w:rsid w:val="008B6805"/>
    <w:rsid w:val="008C306D"/>
    <w:rsid w:val="008C5E1E"/>
    <w:rsid w:val="008C6A2D"/>
    <w:rsid w:val="008C73F2"/>
    <w:rsid w:val="008C754F"/>
    <w:rsid w:val="008D3F5C"/>
    <w:rsid w:val="008D4991"/>
    <w:rsid w:val="008E1C30"/>
    <w:rsid w:val="008E22B8"/>
    <w:rsid w:val="008E2B02"/>
    <w:rsid w:val="008E2C62"/>
    <w:rsid w:val="008E340B"/>
    <w:rsid w:val="008E3E70"/>
    <w:rsid w:val="008F2540"/>
    <w:rsid w:val="008F4D39"/>
    <w:rsid w:val="008F58FF"/>
    <w:rsid w:val="008F5C0C"/>
    <w:rsid w:val="00907A92"/>
    <w:rsid w:val="00911458"/>
    <w:rsid w:val="009118E6"/>
    <w:rsid w:val="0091772E"/>
    <w:rsid w:val="00920149"/>
    <w:rsid w:val="0092194B"/>
    <w:rsid w:val="009227CD"/>
    <w:rsid w:val="009254EF"/>
    <w:rsid w:val="009256A5"/>
    <w:rsid w:val="00927C5A"/>
    <w:rsid w:val="009322D7"/>
    <w:rsid w:val="009324A6"/>
    <w:rsid w:val="00932EAA"/>
    <w:rsid w:val="00937C2A"/>
    <w:rsid w:val="00945C50"/>
    <w:rsid w:val="009507EE"/>
    <w:rsid w:val="009514E6"/>
    <w:rsid w:val="00952E60"/>
    <w:rsid w:val="0095338D"/>
    <w:rsid w:val="00953D99"/>
    <w:rsid w:val="00954F1C"/>
    <w:rsid w:val="00955795"/>
    <w:rsid w:val="009579E5"/>
    <w:rsid w:val="00957CCE"/>
    <w:rsid w:val="0096152F"/>
    <w:rsid w:val="0096234C"/>
    <w:rsid w:val="00963674"/>
    <w:rsid w:val="00964A13"/>
    <w:rsid w:val="009660B1"/>
    <w:rsid w:val="00974F87"/>
    <w:rsid w:val="00977009"/>
    <w:rsid w:val="00977426"/>
    <w:rsid w:val="00977B7F"/>
    <w:rsid w:val="0098380E"/>
    <w:rsid w:val="00983DA9"/>
    <w:rsid w:val="00984BB9"/>
    <w:rsid w:val="009855CE"/>
    <w:rsid w:val="009855F9"/>
    <w:rsid w:val="00987010"/>
    <w:rsid w:val="00990368"/>
    <w:rsid w:val="00990B1D"/>
    <w:rsid w:val="00990D94"/>
    <w:rsid w:val="00991880"/>
    <w:rsid w:val="009938AE"/>
    <w:rsid w:val="00996ADD"/>
    <w:rsid w:val="00997FEF"/>
    <w:rsid w:val="009A06F2"/>
    <w:rsid w:val="009A2C15"/>
    <w:rsid w:val="009A48B0"/>
    <w:rsid w:val="009B2597"/>
    <w:rsid w:val="009B2744"/>
    <w:rsid w:val="009B79AC"/>
    <w:rsid w:val="009C2CC3"/>
    <w:rsid w:val="009C5117"/>
    <w:rsid w:val="009C76E1"/>
    <w:rsid w:val="009D2729"/>
    <w:rsid w:val="009E19E0"/>
    <w:rsid w:val="009E2786"/>
    <w:rsid w:val="009E3323"/>
    <w:rsid w:val="009E4222"/>
    <w:rsid w:val="009E437C"/>
    <w:rsid w:val="009E47AE"/>
    <w:rsid w:val="009E4EC4"/>
    <w:rsid w:val="009E532E"/>
    <w:rsid w:val="009E5672"/>
    <w:rsid w:val="009E7658"/>
    <w:rsid w:val="009F163E"/>
    <w:rsid w:val="009F1E47"/>
    <w:rsid w:val="009F479E"/>
    <w:rsid w:val="009F5C49"/>
    <w:rsid w:val="009F6382"/>
    <w:rsid w:val="009F7A68"/>
    <w:rsid w:val="00A01650"/>
    <w:rsid w:val="00A0169F"/>
    <w:rsid w:val="00A02009"/>
    <w:rsid w:val="00A0302A"/>
    <w:rsid w:val="00A03103"/>
    <w:rsid w:val="00A03DF7"/>
    <w:rsid w:val="00A042AD"/>
    <w:rsid w:val="00A07E9D"/>
    <w:rsid w:val="00A1283A"/>
    <w:rsid w:val="00A12D11"/>
    <w:rsid w:val="00A1601B"/>
    <w:rsid w:val="00A17980"/>
    <w:rsid w:val="00A248DD"/>
    <w:rsid w:val="00A25709"/>
    <w:rsid w:val="00A267A6"/>
    <w:rsid w:val="00A2745C"/>
    <w:rsid w:val="00A27A5C"/>
    <w:rsid w:val="00A31303"/>
    <w:rsid w:val="00A3343B"/>
    <w:rsid w:val="00A33A0E"/>
    <w:rsid w:val="00A34DF3"/>
    <w:rsid w:val="00A351D1"/>
    <w:rsid w:val="00A35580"/>
    <w:rsid w:val="00A365CD"/>
    <w:rsid w:val="00A406A6"/>
    <w:rsid w:val="00A40CF0"/>
    <w:rsid w:val="00A4164F"/>
    <w:rsid w:val="00A41987"/>
    <w:rsid w:val="00A41EFF"/>
    <w:rsid w:val="00A44F99"/>
    <w:rsid w:val="00A4553D"/>
    <w:rsid w:val="00A46447"/>
    <w:rsid w:val="00A46810"/>
    <w:rsid w:val="00A468C1"/>
    <w:rsid w:val="00A47E2B"/>
    <w:rsid w:val="00A5455A"/>
    <w:rsid w:val="00A551AC"/>
    <w:rsid w:val="00A552B7"/>
    <w:rsid w:val="00A56CCD"/>
    <w:rsid w:val="00A60FC6"/>
    <w:rsid w:val="00A61069"/>
    <w:rsid w:val="00A6172F"/>
    <w:rsid w:val="00A62258"/>
    <w:rsid w:val="00A62D3A"/>
    <w:rsid w:val="00A66175"/>
    <w:rsid w:val="00A72A11"/>
    <w:rsid w:val="00A73569"/>
    <w:rsid w:val="00A75122"/>
    <w:rsid w:val="00A76449"/>
    <w:rsid w:val="00A77438"/>
    <w:rsid w:val="00A7773A"/>
    <w:rsid w:val="00A77C1A"/>
    <w:rsid w:val="00A8120B"/>
    <w:rsid w:val="00A82995"/>
    <w:rsid w:val="00A82F63"/>
    <w:rsid w:val="00A834B6"/>
    <w:rsid w:val="00A847A8"/>
    <w:rsid w:val="00A84C6B"/>
    <w:rsid w:val="00A8711B"/>
    <w:rsid w:val="00A976FA"/>
    <w:rsid w:val="00A97C9F"/>
    <w:rsid w:val="00AA2645"/>
    <w:rsid w:val="00AA265A"/>
    <w:rsid w:val="00AA540B"/>
    <w:rsid w:val="00AB04D8"/>
    <w:rsid w:val="00AB10A7"/>
    <w:rsid w:val="00AB171A"/>
    <w:rsid w:val="00AB640E"/>
    <w:rsid w:val="00AC1627"/>
    <w:rsid w:val="00AC20AF"/>
    <w:rsid w:val="00AC355C"/>
    <w:rsid w:val="00AC475D"/>
    <w:rsid w:val="00AC5F01"/>
    <w:rsid w:val="00AD0DDB"/>
    <w:rsid w:val="00AD1D0A"/>
    <w:rsid w:val="00AD2E9B"/>
    <w:rsid w:val="00AD33C0"/>
    <w:rsid w:val="00AD7A38"/>
    <w:rsid w:val="00AD7DDD"/>
    <w:rsid w:val="00AE1106"/>
    <w:rsid w:val="00AE24F5"/>
    <w:rsid w:val="00AE3993"/>
    <w:rsid w:val="00AE7126"/>
    <w:rsid w:val="00AE723E"/>
    <w:rsid w:val="00AE728B"/>
    <w:rsid w:val="00AE752B"/>
    <w:rsid w:val="00AF4851"/>
    <w:rsid w:val="00AF573E"/>
    <w:rsid w:val="00B01873"/>
    <w:rsid w:val="00B01E95"/>
    <w:rsid w:val="00B02981"/>
    <w:rsid w:val="00B02AD7"/>
    <w:rsid w:val="00B072E8"/>
    <w:rsid w:val="00B12DFA"/>
    <w:rsid w:val="00B13F4A"/>
    <w:rsid w:val="00B1517C"/>
    <w:rsid w:val="00B154A8"/>
    <w:rsid w:val="00B220F1"/>
    <w:rsid w:val="00B22A98"/>
    <w:rsid w:val="00B251A5"/>
    <w:rsid w:val="00B25B50"/>
    <w:rsid w:val="00B2693C"/>
    <w:rsid w:val="00B269C0"/>
    <w:rsid w:val="00B2769A"/>
    <w:rsid w:val="00B27EB5"/>
    <w:rsid w:val="00B30135"/>
    <w:rsid w:val="00B33660"/>
    <w:rsid w:val="00B3625D"/>
    <w:rsid w:val="00B36291"/>
    <w:rsid w:val="00B4737D"/>
    <w:rsid w:val="00B508A5"/>
    <w:rsid w:val="00B510D2"/>
    <w:rsid w:val="00B52556"/>
    <w:rsid w:val="00B534BB"/>
    <w:rsid w:val="00B54154"/>
    <w:rsid w:val="00B54159"/>
    <w:rsid w:val="00B54D89"/>
    <w:rsid w:val="00B5610F"/>
    <w:rsid w:val="00B563D6"/>
    <w:rsid w:val="00B56E03"/>
    <w:rsid w:val="00B57954"/>
    <w:rsid w:val="00B60049"/>
    <w:rsid w:val="00B62071"/>
    <w:rsid w:val="00B623AB"/>
    <w:rsid w:val="00B6433D"/>
    <w:rsid w:val="00B66F49"/>
    <w:rsid w:val="00B6789F"/>
    <w:rsid w:val="00B71A8F"/>
    <w:rsid w:val="00B73279"/>
    <w:rsid w:val="00B774DF"/>
    <w:rsid w:val="00B77D4E"/>
    <w:rsid w:val="00B82F77"/>
    <w:rsid w:val="00B84471"/>
    <w:rsid w:val="00B853E0"/>
    <w:rsid w:val="00B860E9"/>
    <w:rsid w:val="00B86346"/>
    <w:rsid w:val="00B86C55"/>
    <w:rsid w:val="00B879D0"/>
    <w:rsid w:val="00B917FC"/>
    <w:rsid w:val="00B92BF9"/>
    <w:rsid w:val="00B92F78"/>
    <w:rsid w:val="00B974DF"/>
    <w:rsid w:val="00B97A1D"/>
    <w:rsid w:val="00B97BD9"/>
    <w:rsid w:val="00BA16C8"/>
    <w:rsid w:val="00BA1787"/>
    <w:rsid w:val="00BA17DA"/>
    <w:rsid w:val="00BA5146"/>
    <w:rsid w:val="00BA55FB"/>
    <w:rsid w:val="00BB261B"/>
    <w:rsid w:val="00BB29B0"/>
    <w:rsid w:val="00BB4A8F"/>
    <w:rsid w:val="00BB6830"/>
    <w:rsid w:val="00BB7322"/>
    <w:rsid w:val="00BC09A7"/>
    <w:rsid w:val="00BC1EBE"/>
    <w:rsid w:val="00BC677B"/>
    <w:rsid w:val="00BC7247"/>
    <w:rsid w:val="00BD1292"/>
    <w:rsid w:val="00BD3E12"/>
    <w:rsid w:val="00BD7B69"/>
    <w:rsid w:val="00BE07C9"/>
    <w:rsid w:val="00BE7122"/>
    <w:rsid w:val="00BF013A"/>
    <w:rsid w:val="00BF1244"/>
    <w:rsid w:val="00BF592D"/>
    <w:rsid w:val="00BF6444"/>
    <w:rsid w:val="00BF75A5"/>
    <w:rsid w:val="00C02390"/>
    <w:rsid w:val="00C027EA"/>
    <w:rsid w:val="00C1097A"/>
    <w:rsid w:val="00C1263B"/>
    <w:rsid w:val="00C15AC4"/>
    <w:rsid w:val="00C16FCF"/>
    <w:rsid w:val="00C17DCE"/>
    <w:rsid w:val="00C21113"/>
    <w:rsid w:val="00C22C6B"/>
    <w:rsid w:val="00C24CA2"/>
    <w:rsid w:val="00C27544"/>
    <w:rsid w:val="00C2763A"/>
    <w:rsid w:val="00C317D1"/>
    <w:rsid w:val="00C31A7D"/>
    <w:rsid w:val="00C32990"/>
    <w:rsid w:val="00C33B55"/>
    <w:rsid w:val="00C35A0F"/>
    <w:rsid w:val="00C35D4C"/>
    <w:rsid w:val="00C40DAE"/>
    <w:rsid w:val="00C417FC"/>
    <w:rsid w:val="00C5372F"/>
    <w:rsid w:val="00C563D2"/>
    <w:rsid w:val="00C57F39"/>
    <w:rsid w:val="00C62684"/>
    <w:rsid w:val="00C63201"/>
    <w:rsid w:val="00C659BF"/>
    <w:rsid w:val="00C65B29"/>
    <w:rsid w:val="00C66710"/>
    <w:rsid w:val="00C7010E"/>
    <w:rsid w:val="00C76442"/>
    <w:rsid w:val="00C76B98"/>
    <w:rsid w:val="00C831AB"/>
    <w:rsid w:val="00C84EC1"/>
    <w:rsid w:val="00C85A32"/>
    <w:rsid w:val="00C915A4"/>
    <w:rsid w:val="00C92209"/>
    <w:rsid w:val="00C94299"/>
    <w:rsid w:val="00C96A7D"/>
    <w:rsid w:val="00CA0C05"/>
    <w:rsid w:val="00CA283F"/>
    <w:rsid w:val="00CA383D"/>
    <w:rsid w:val="00CA3E13"/>
    <w:rsid w:val="00CA454A"/>
    <w:rsid w:val="00CB10E8"/>
    <w:rsid w:val="00CB1633"/>
    <w:rsid w:val="00CB39F2"/>
    <w:rsid w:val="00CB3E68"/>
    <w:rsid w:val="00CB7BE6"/>
    <w:rsid w:val="00CC4EA7"/>
    <w:rsid w:val="00CC57B8"/>
    <w:rsid w:val="00CC731D"/>
    <w:rsid w:val="00CC7D45"/>
    <w:rsid w:val="00CD25A3"/>
    <w:rsid w:val="00CD3304"/>
    <w:rsid w:val="00CD4D8F"/>
    <w:rsid w:val="00CD582F"/>
    <w:rsid w:val="00CD6CCF"/>
    <w:rsid w:val="00CD6F3F"/>
    <w:rsid w:val="00CE0C87"/>
    <w:rsid w:val="00CE2B46"/>
    <w:rsid w:val="00CE37BB"/>
    <w:rsid w:val="00CE4947"/>
    <w:rsid w:val="00CE4D8F"/>
    <w:rsid w:val="00CE51DF"/>
    <w:rsid w:val="00CE63C6"/>
    <w:rsid w:val="00CE6DB0"/>
    <w:rsid w:val="00CE7929"/>
    <w:rsid w:val="00CF14FE"/>
    <w:rsid w:val="00CF423F"/>
    <w:rsid w:val="00CF66E5"/>
    <w:rsid w:val="00D00049"/>
    <w:rsid w:val="00D0344B"/>
    <w:rsid w:val="00D052FF"/>
    <w:rsid w:val="00D053A8"/>
    <w:rsid w:val="00D05572"/>
    <w:rsid w:val="00D059BD"/>
    <w:rsid w:val="00D10123"/>
    <w:rsid w:val="00D11918"/>
    <w:rsid w:val="00D12858"/>
    <w:rsid w:val="00D14B3A"/>
    <w:rsid w:val="00D23C7C"/>
    <w:rsid w:val="00D2514B"/>
    <w:rsid w:val="00D3251C"/>
    <w:rsid w:val="00D3293E"/>
    <w:rsid w:val="00D358A0"/>
    <w:rsid w:val="00D364E8"/>
    <w:rsid w:val="00D376A4"/>
    <w:rsid w:val="00D37E79"/>
    <w:rsid w:val="00D40031"/>
    <w:rsid w:val="00D45373"/>
    <w:rsid w:val="00D46973"/>
    <w:rsid w:val="00D537C1"/>
    <w:rsid w:val="00D5684E"/>
    <w:rsid w:val="00D60CF1"/>
    <w:rsid w:val="00D61C50"/>
    <w:rsid w:val="00D61D4E"/>
    <w:rsid w:val="00D627A0"/>
    <w:rsid w:val="00D62BBB"/>
    <w:rsid w:val="00D63D6E"/>
    <w:rsid w:val="00D64543"/>
    <w:rsid w:val="00D65801"/>
    <w:rsid w:val="00D66FE0"/>
    <w:rsid w:val="00D67E36"/>
    <w:rsid w:val="00D71F9F"/>
    <w:rsid w:val="00D77C0E"/>
    <w:rsid w:val="00D812CF"/>
    <w:rsid w:val="00D81811"/>
    <w:rsid w:val="00D81A5C"/>
    <w:rsid w:val="00D90602"/>
    <w:rsid w:val="00D90C73"/>
    <w:rsid w:val="00D92B70"/>
    <w:rsid w:val="00D9464C"/>
    <w:rsid w:val="00D96002"/>
    <w:rsid w:val="00D979B0"/>
    <w:rsid w:val="00DA0918"/>
    <w:rsid w:val="00DA2967"/>
    <w:rsid w:val="00DA43A9"/>
    <w:rsid w:val="00DA4676"/>
    <w:rsid w:val="00DA582E"/>
    <w:rsid w:val="00DC60EE"/>
    <w:rsid w:val="00DD2E25"/>
    <w:rsid w:val="00DD33FA"/>
    <w:rsid w:val="00DD3BAF"/>
    <w:rsid w:val="00DD44C8"/>
    <w:rsid w:val="00DD6D4E"/>
    <w:rsid w:val="00DD70C1"/>
    <w:rsid w:val="00DE2AFA"/>
    <w:rsid w:val="00DE4206"/>
    <w:rsid w:val="00DE5B96"/>
    <w:rsid w:val="00DE68A7"/>
    <w:rsid w:val="00DE6BD9"/>
    <w:rsid w:val="00DF4E97"/>
    <w:rsid w:val="00E01E44"/>
    <w:rsid w:val="00E02A78"/>
    <w:rsid w:val="00E0461D"/>
    <w:rsid w:val="00E06F2D"/>
    <w:rsid w:val="00E0712A"/>
    <w:rsid w:val="00E16860"/>
    <w:rsid w:val="00E16B6F"/>
    <w:rsid w:val="00E172AB"/>
    <w:rsid w:val="00E17AC3"/>
    <w:rsid w:val="00E203A5"/>
    <w:rsid w:val="00E20C9D"/>
    <w:rsid w:val="00E22DE0"/>
    <w:rsid w:val="00E23BDD"/>
    <w:rsid w:val="00E23F95"/>
    <w:rsid w:val="00E24DCD"/>
    <w:rsid w:val="00E27E4C"/>
    <w:rsid w:val="00E3074A"/>
    <w:rsid w:val="00E338F5"/>
    <w:rsid w:val="00E340A6"/>
    <w:rsid w:val="00E344A8"/>
    <w:rsid w:val="00E345D5"/>
    <w:rsid w:val="00E36D73"/>
    <w:rsid w:val="00E45521"/>
    <w:rsid w:val="00E50610"/>
    <w:rsid w:val="00E50944"/>
    <w:rsid w:val="00E51658"/>
    <w:rsid w:val="00E51966"/>
    <w:rsid w:val="00E52C95"/>
    <w:rsid w:val="00E55128"/>
    <w:rsid w:val="00E5542E"/>
    <w:rsid w:val="00E60000"/>
    <w:rsid w:val="00E73FAC"/>
    <w:rsid w:val="00E75019"/>
    <w:rsid w:val="00E76EF5"/>
    <w:rsid w:val="00E861EA"/>
    <w:rsid w:val="00E966A3"/>
    <w:rsid w:val="00E97A93"/>
    <w:rsid w:val="00EA3F4A"/>
    <w:rsid w:val="00EA4584"/>
    <w:rsid w:val="00EA545B"/>
    <w:rsid w:val="00EA5E1E"/>
    <w:rsid w:val="00EA7123"/>
    <w:rsid w:val="00EB4EEB"/>
    <w:rsid w:val="00EB60D2"/>
    <w:rsid w:val="00EB6C07"/>
    <w:rsid w:val="00EC2BC3"/>
    <w:rsid w:val="00EC3811"/>
    <w:rsid w:val="00EC4880"/>
    <w:rsid w:val="00EC4AF8"/>
    <w:rsid w:val="00EC4C53"/>
    <w:rsid w:val="00EC6651"/>
    <w:rsid w:val="00EC6F1C"/>
    <w:rsid w:val="00ED0334"/>
    <w:rsid w:val="00ED4979"/>
    <w:rsid w:val="00ED51F7"/>
    <w:rsid w:val="00EE1A1C"/>
    <w:rsid w:val="00EE207A"/>
    <w:rsid w:val="00EE32C3"/>
    <w:rsid w:val="00EE37FC"/>
    <w:rsid w:val="00EE4D8B"/>
    <w:rsid w:val="00EE580F"/>
    <w:rsid w:val="00EE6AF4"/>
    <w:rsid w:val="00EE7CB8"/>
    <w:rsid w:val="00EF13E4"/>
    <w:rsid w:val="00EF1FFC"/>
    <w:rsid w:val="00EF24D7"/>
    <w:rsid w:val="00EF342B"/>
    <w:rsid w:val="00EF6149"/>
    <w:rsid w:val="00F04B73"/>
    <w:rsid w:val="00F06C09"/>
    <w:rsid w:val="00F10465"/>
    <w:rsid w:val="00F10BF7"/>
    <w:rsid w:val="00F115A4"/>
    <w:rsid w:val="00F1351E"/>
    <w:rsid w:val="00F1444E"/>
    <w:rsid w:val="00F147BD"/>
    <w:rsid w:val="00F16864"/>
    <w:rsid w:val="00F173C9"/>
    <w:rsid w:val="00F2079F"/>
    <w:rsid w:val="00F2098A"/>
    <w:rsid w:val="00F20A6F"/>
    <w:rsid w:val="00F20BBA"/>
    <w:rsid w:val="00F211DE"/>
    <w:rsid w:val="00F23970"/>
    <w:rsid w:val="00F25592"/>
    <w:rsid w:val="00F25D6D"/>
    <w:rsid w:val="00F26C05"/>
    <w:rsid w:val="00F34739"/>
    <w:rsid w:val="00F35194"/>
    <w:rsid w:val="00F355C3"/>
    <w:rsid w:val="00F35782"/>
    <w:rsid w:val="00F40404"/>
    <w:rsid w:val="00F41187"/>
    <w:rsid w:val="00F4503B"/>
    <w:rsid w:val="00F46975"/>
    <w:rsid w:val="00F46BF3"/>
    <w:rsid w:val="00F503DE"/>
    <w:rsid w:val="00F51D56"/>
    <w:rsid w:val="00F525E0"/>
    <w:rsid w:val="00F56A99"/>
    <w:rsid w:val="00F57F6E"/>
    <w:rsid w:val="00F63F99"/>
    <w:rsid w:val="00F64BF1"/>
    <w:rsid w:val="00F65E63"/>
    <w:rsid w:val="00F66868"/>
    <w:rsid w:val="00F672FB"/>
    <w:rsid w:val="00F73967"/>
    <w:rsid w:val="00F74579"/>
    <w:rsid w:val="00F80277"/>
    <w:rsid w:val="00F803B7"/>
    <w:rsid w:val="00F82451"/>
    <w:rsid w:val="00F83187"/>
    <w:rsid w:val="00F83590"/>
    <w:rsid w:val="00F85004"/>
    <w:rsid w:val="00F85869"/>
    <w:rsid w:val="00F85B7E"/>
    <w:rsid w:val="00F86BC9"/>
    <w:rsid w:val="00F87499"/>
    <w:rsid w:val="00F87729"/>
    <w:rsid w:val="00F92A5D"/>
    <w:rsid w:val="00F93070"/>
    <w:rsid w:val="00F95351"/>
    <w:rsid w:val="00FA1F8E"/>
    <w:rsid w:val="00FA2949"/>
    <w:rsid w:val="00FA2C47"/>
    <w:rsid w:val="00FA3AD1"/>
    <w:rsid w:val="00FB23B4"/>
    <w:rsid w:val="00FB5882"/>
    <w:rsid w:val="00FB7CDE"/>
    <w:rsid w:val="00FC1558"/>
    <w:rsid w:val="00FC4C72"/>
    <w:rsid w:val="00FC4E6F"/>
    <w:rsid w:val="00FD01B2"/>
    <w:rsid w:val="00FD1EA7"/>
    <w:rsid w:val="00FD27A1"/>
    <w:rsid w:val="00FD684E"/>
    <w:rsid w:val="00FE2243"/>
    <w:rsid w:val="00FE32DA"/>
    <w:rsid w:val="00FE33BB"/>
    <w:rsid w:val="00FE3922"/>
    <w:rsid w:val="00FE6B87"/>
    <w:rsid w:val="00FE7DF6"/>
    <w:rsid w:val="00FF2309"/>
    <w:rsid w:val="00FF3DFC"/>
    <w:rsid w:val="00FF595B"/>
    <w:rsid w:val="00FF5F56"/>
    <w:rsid w:val="00FF6D53"/>
    <w:rsid w:val="00FF7B8D"/>
    <w:rsid w:val="01D678F7"/>
    <w:rsid w:val="272C2997"/>
    <w:rsid w:val="27F4501D"/>
    <w:rsid w:val="34EB79D4"/>
    <w:rsid w:val="44F81687"/>
    <w:rsid w:val="493823F6"/>
    <w:rsid w:val="4C787046"/>
    <w:rsid w:val="4CA0721A"/>
    <w:rsid w:val="51785CC0"/>
    <w:rsid w:val="548F1092"/>
    <w:rsid w:val="55833198"/>
    <w:rsid w:val="5DF342F4"/>
    <w:rsid w:val="6E4B434F"/>
    <w:rsid w:val="707748C2"/>
    <w:rsid w:val="70C55956"/>
    <w:rsid w:val="7B5805EA"/>
    <w:rsid w:val="7F0A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78937"/>
  <w15:docId w15:val="{0ACE3F27-A937-4A1E-B2ED-E58B7970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
    <w:name w:val="heading 1"/>
    <w:basedOn w:val="a6"/>
    <w:next w:val="a6"/>
    <w:link w:val="10"/>
    <w:qFormat/>
    <w:pPr>
      <w:keepNext/>
      <w:keepLines/>
      <w:spacing w:before="340" w:after="330" w:line="578" w:lineRule="auto"/>
      <w:outlineLvl w:val="0"/>
    </w:pPr>
    <w:rPr>
      <w:b/>
      <w:bCs/>
      <w:kern w:val="44"/>
      <w:sz w:val="44"/>
      <w:szCs w:val="44"/>
    </w:rPr>
  </w:style>
  <w:style w:type="paragraph" w:styleId="2">
    <w:name w:val="heading 2"/>
    <w:basedOn w:val="a6"/>
    <w:next w:val="a6"/>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0"/>
    <w:qFormat/>
    <w:pPr>
      <w:keepNext/>
      <w:keepLines/>
      <w:spacing w:before="260" w:after="260" w:line="416" w:lineRule="auto"/>
      <w:outlineLvl w:val="2"/>
    </w:pPr>
    <w:rPr>
      <w:b/>
      <w:bCs/>
      <w:sz w:val="32"/>
      <w:szCs w:val="32"/>
    </w:rPr>
  </w:style>
  <w:style w:type="paragraph" w:styleId="4">
    <w:name w:val="heading 4"/>
    <w:basedOn w:val="a6"/>
    <w:next w:val="a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0"/>
    <w:qFormat/>
    <w:pPr>
      <w:keepNext/>
      <w:keepLines/>
      <w:spacing w:before="280" w:after="290" w:line="376" w:lineRule="auto"/>
      <w:outlineLvl w:val="4"/>
    </w:pPr>
    <w:rPr>
      <w:b/>
      <w:bCs/>
      <w:sz w:val="28"/>
      <w:szCs w:val="28"/>
    </w:rPr>
  </w:style>
  <w:style w:type="paragraph" w:styleId="6">
    <w:name w:val="heading 6"/>
    <w:basedOn w:val="a6"/>
    <w:next w:val="a6"/>
    <w:link w:val="60"/>
    <w:qFormat/>
    <w:pPr>
      <w:keepNext/>
      <w:keepLines/>
      <w:spacing w:before="240" w:after="64" w:line="320" w:lineRule="auto"/>
      <w:outlineLvl w:val="5"/>
    </w:pPr>
    <w:rPr>
      <w:rFonts w:ascii="Arial" w:eastAsia="黑体" w:hAnsi="Arial"/>
      <w:b/>
      <w:bCs/>
      <w:sz w:val="24"/>
    </w:rPr>
  </w:style>
  <w:style w:type="paragraph" w:styleId="7">
    <w:name w:val="heading 7"/>
    <w:basedOn w:val="a6"/>
    <w:next w:val="a6"/>
    <w:link w:val="70"/>
    <w:qFormat/>
    <w:pPr>
      <w:keepNext/>
      <w:keepLines/>
      <w:spacing w:before="240" w:after="64" w:line="320" w:lineRule="auto"/>
      <w:outlineLvl w:val="6"/>
    </w:pPr>
    <w:rPr>
      <w:b/>
      <w:bCs/>
      <w:sz w:val="24"/>
    </w:rPr>
  </w:style>
  <w:style w:type="paragraph" w:styleId="8">
    <w:name w:val="heading 8"/>
    <w:basedOn w:val="a6"/>
    <w:next w:val="a6"/>
    <w:link w:val="80"/>
    <w:qFormat/>
    <w:pPr>
      <w:keepNext/>
      <w:keepLines/>
      <w:spacing w:before="240" w:after="64" w:line="320" w:lineRule="auto"/>
      <w:outlineLvl w:val="7"/>
    </w:pPr>
    <w:rPr>
      <w:rFonts w:ascii="Arial" w:eastAsia="黑体" w:hAnsi="Arial"/>
      <w:sz w:val="24"/>
    </w:rPr>
  </w:style>
  <w:style w:type="paragraph" w:styleId="9">
    <w:name w:val="heading 9"/>
    <w:basedOn w:val="a6"/>
    <w:next w:val="a6"/>
    <w:link w:val="90"/>
    <w:qFormat/>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6"/>
    <w:qFormat/>
    <w:pPr>
      <w:ind w:leftChars="400" w:left="100" w:hangingChars="200" w:hanging="200"/>
    </w:pPr>
  </w:style>
  <w:style w:type="paragraph" w:styleId="TOC7">
    <w:name w:val="toc 7"/>
    <w:basedOn w:val="a6"/>
    <w:next w:val="a6"/>
    <w:qFormat/>
    <w:pPr>
      <w:ind w:leftChars="1200" w:left="2520"/>
    </w:pPr>
  </w:style>
  <w:style w:type="paragraph" w:styleId="21">
    <w:name w:val="List Number 2"/>
    <w:basedOn w:val="a6"/>
    <w:qFormat/>
    <w:pPr>
      <w:tabs>
        <w:tab w:val="left" w:pos="675"/>
        <w:tab w:val="left" w:pos="780"/>
      </w:tabs>
      <w:ind w:left="675" w:hanging="360"/>
    </w:pPr>
  </w:style>
  <w:style w:type="paragraph" w:styleId="ac">
    <w:name w:val="table of authorities"/>
    <w:basedOn w:val="a6"/>
    <w:next w:val="a6"/>
    <w:qFormat/>
    <w:pPr>
      <w:ind w:leftChars="200" w:left="420"/>
    </w:pPr>
  </w:style>
  <w:style w:type="paragraph" w:styleId="ad">
    <w:name w:val="Note Heading"/>
    <w:basedOn w:val="a6"/>
    <w:next w:val="a6"/>
    <w:link w:val="ae"/>
    <w:qFormat/>
    <w:pPr>
      <w:jc w:val="center"/>
    </w:pPr>
  </w:style>
  <w:style w:type="paragraph" w:styleId="41">
    <w:name w:val="List Bullet 4"/>
    <w:basedOn w:val="a6"/>
    <w:qFormat/>
    <w:pPr>
      <w:tabs>
        <w:tab w:val="left" w:pos="750"/>
        <w:tab w:val="left" w:pos="1620"/>
      </w:tabs>
      <w:ind w:left="750" w:hanging="750"/>
    </w:pPr>
  </w:style>
  <w:style w:type="paragraph" w:styleId="81">
    <w:name w:val="index 8"/>
    <w:basedOn w:val="a6"/>
    <w:next w:val="a6"/>
    <w:qFormat/>
    <w:pPr>
      <w:ind w:leftChars="1400" w:left="1400"/>
    </w:pPr>
  </w:style>
  <w:style w:type="paragraph" w:styleId="af">
    <w:name w:val="E-mail Signature"/>
    <w:basedOn w:val="a6"/>
    <w:link w:val="af0"/>
    <w:qFormat/>
  </w:style>
  <w:style w:type="paragraph" w:styleId="af1">
    <w:name w:val="List Number"/>
    <w:basedOn w:val="a6"/>
    <w:qFormat/>
    <w:pPr>
      <w:tabs>
        <w:tab w:val="left" w:pos="360"/>
        <w:tab w:val="left" w:pos="720"/>
      </w:tabs>
      <w:ind w:left="720" w:hanging="720"/>
    </w:pPr>
  </w:style>
  <w:style w:type="paragraph" w:styleId="af2">
    <w:name w:val="Normal Indent"/>
    <w:basedOn w:val="a6"/>
    <w:unhideWhenUsed/>
    <w:qFormat/>
    <w:pPr>
      <w:ind w:firstLineChars="200" w:firstLine="420"/>
    </w:pPr>
  </w:style>
  <w:style w:type="paragraph" w:styleId="af3">
    <w:name w:val="caption"/>
    <w:basedOn w:val="a6"/>
    <w:next w:val="a6"/>
    <w:qFormat/>
    <w:pPr>
      <w:jc w:val="center"/>
    </w:pPr>
    <w:rPr>
      <w:rFonts w:ascii="Arial" w:eastAsia="黑体" w:hAnsi="Arial" w:cs="Arial"/>
      <w:sz w:val="24"/>
      <w:szCs w:val="20"/>
    </w:rPr>
  </w:style>
  <w:style w:type="paragraph" w:styleId="51">
    <w:name w:val="index 5"/>
    <w:basedOn w:val="a6"/>
    <w:next w:val="a6"/>
    <w:qFormat/>
    <w:pPr>
      <w:ind w:leftChars="800" w:left="800"/>
    </w:pPr>
  </w:style>
  <w:style w:type="paragraph" w:styleId="af4">
    <w:name w:val="List Bullet"/>
    <w:basedOn w:val="a6"/>
    <w:qFormat/>
    <w:pPr>
      <w:tabs>
        <w:tab w:val="left" w:pos="360"/>
        <w:tab w:val="left" w:pos="720"/>
      </w:tabs>
      <w:ind w:left="720" w:hanging="720"/>
    </w:pPr>
  </w:style>
  <w:style w:type="paragraph" w:styleId="af5">
    <w:name w:val="envelope address"/>
    <w:basedOn w:val="a6"/>
    <w:qFormat/>
    <w:pPr>
      <w:snapToGrid w:val="0"/>
      <w:ind w:leftChars="1400" w:left="100"/>
    </w:pPr>
    <w:rPr>
      <w:rFonts w:ascii="Arial" w:hAnsi="Arial" w:cs="Arial"/>
      <w:sz w:val="24"/>
    </w:rPr>
  </w:style>
  <w:style w:type="paragraph" w:styleId="af6">
    <w:name w:val="Document Map"/>
    <w:basedOn w:val="a6"/>
    <w:link w:val="af7"/>
    <w:qFormat/>
    <w:pPr>
      <w:shd w:val="clear" w:color="auto" w:fill="000080"/>
    </w:pPr>
  </w:style>
  <w:style w:type="paragraph" w:styleId="af8">
    <w:name w:val="toa heading"/>
    <w:basedOn w:val="a6"/>
    <w:next w:val="a6"/>
    <w:qFormat/>
    <w:pPr>
      <w:spacing w:before="120"/>
    </w:pPr>
    <w:rPr>
      <w:rFonts w:ascii="Arial" w:hAnsi="Arial" w:cs="Arial"/>
      <w:sz w:val="24"/>
    </w:rPr>
  </w:style>
  <w:style w:type="paragraph" w:styleId="af9">
    <w:name w:val="annotation text"/>
    <w:basedOn w:val="a6"/>
    <w:link w:val="afa"/>
    <w:unhideWhenUsed/>
    <w:qFormat/>
    <w:pPr>
      <w:jc w:val="left"/>
    </w:pPr>
    <w:rPr>
      <w:szCs w:val="21"/>
    </w:rPr>
  </w:style>
  <w:style w:type="paragraph" w:styleId="61">
    <w:name w:val="index 6"/>
    <w:basedOn w:val="a6"/>
    <w:next w:val="a6"/>
    <w:qFormat/>
    <w:pPr>
      <w:ind w:leftChars="1000" w:left="1000"/>
    </w:pPr>
  </w:style>
  <w:style w:type="paragraph" w:styleId="afb">
    <w:name w:val="Salutation"/>
    <w:basedOn w:val="a6"/>
    <w:next w:val="a6"/>
    <w:link w:val="afc"/>
    <w:qFormat/>
  </w:style>
  <w:style w:type="paragraph" w:styleId="32">
    <w:name w:val="Body Text 3"/>
    <w:basedOn w:val="a6"/>
    <w:link w:val="33"/>
    <w:qFormat/>
    <w:pPr>
      <w:spacing w:after="120"/>
    </w:pPr>
    <w:rPr>
      <w:sz w:val="16"/>
      <w:szCs w:val="16"/>
    </w:rPr>
  </w:style>
  <w:style w:type="paragraph" w:styleId="afd">
    <w:name w:val="Closing"/>
    <w:basedOn w:val="a6"/>
    <w:link w:val="afe"/>
    <w:qFormat/>
    <w:pPr>
      <w:ind w:leftChars="2100" w:left="100"/>
    </w:pPr>
  </w:style>
  <w:style w:type="paragraph" w:styleId="34">
    <w:name w:val="List Bullet 3"/>
    <w:basedOn w:val="a6"/>
    <w:qFormat/>
    <w:pPr>
      <w:tabs>
        <w:tab w:val="left" w:pos="480"/>
        <w:tab w:val="left" w:pos="1200"/>
      </w:tabs>
      <w:ind w:left="480" w:hanging="480"/>
    </w:pPr>
  </w:style>
  <w:style w:type="paragraph" w:styleId="aff">
    <w:name w:val="Body Text"/>
    <w:basedOn w:val="a6"/>
    <w:link w:val="aff0"/>
    <w:qFormat/>
    <w:pPr>
      <w:spacing w:after="120"/>
    </w:pPr>
  </w:style>
  <w:style w:type="paragraph" w:styleId="aff1">
    <w:name w:val="Body Text Indent"/>
    <w:basedOn w:val="a6"/>
    <w:link w:val="aff2"/>
    <w:qFormat/>
    <w:pPr>
      <w:spacing w:after="120"/>
      <w:ind w:leftChars="200" w:left="420"/>
    </w:pPr>
  </w:style>
  <w:style w:type="paragraph" w:styleId="35">
    <w:name w:val="List Number 3"/>
    <w:basedOn w:val="a6"/>
    <w:qFormat/>
    <w:pPr>
      <w:tabs>
        <w:tab w:val="left" w:pos="360"/>
        <w:tab w:val="left" w:pos="1200"/>
      </w:tabs>
      <w:ind w:left="360" w:hanging="360"/>
    </w:pPr>
  </w:style>
  <w:style w:type="paragraph" w:styleId="22">
    <w:name w:val="List 2"/>
    <w:basedOn w:val="a6"/>
    <w:qFormat/>
    <w:pPr>
      <w:ind w:leftChars="200" w:left="100" w:hangingChars="200" w:hanging="200"/>
      <w:contextualSpacing/>
    </w:pPr>
  </w:style>
  <w:style w:type="paragraph" w:styleId="aff3">
    <w:name w:val="List Continue"/>
    <w:basedOn w:val="a6"/>
    <w:qFormat/>
    <w:pPr>
      <w:spacing w:after="120"/>
      <w:ind w:leftChars="200" w:left="420"/>
    </w:pPr>
  </w:style>
  <w:style w:type="paragraph" w:styleId="aff4">
    <w:name w:val="Block Text"/>
    <w:basedOn w:val="a6"/>
    <w:qFormat/>
    <w:pPr>
      <w:spacing w:after="120"/>
      <w:ind w:leftChars="700" w:left="1440" w:rightChars="700" w:right="1440"/>
    </w:pPr>
  </w:style>
  <w:style w:type="paragraph" w:styleId="23">
    <w:name w:val="List Bullet 2"/>
    <w:basedOn w:val="a6"/>
    <w:qFormat/>
    <w:pPr>
      <w:tabs>
        <w:tab w:val="left" w:pos="720"/>
        <w:tab w:val="left" w:pos="780"/>
      </w:tabs>
      <w:ind w:left="720" w:hanging="360"/>
    </w:pPr>
  </w:style>
  <w:style w:type="paragraph" w:styleId="HTML">
    <w:name w:val="HTML Address"/>
    <w:basedOn w:val="a6"/>
    <w:link w:val="HTML0"/>
    <w:qFormat/>
    <w:rPr>
      <w:i/>
      <w:iCs/>
    </w:rPr>
  </w:style>
  <w:style w:type="paragraph" w:styleId="42">
    <w:name w:val="index 4"/>
    <w:basedOn w:val="a6"/>
    <w:next w:val="a6"/>
    <w:qFormat/>
    <w:pPr>
      <w:ind w:leftChars="600" w:left="600"/>
    </w:pPr>
  </w:style>
  <w:style w:type="paragraph" w:styleId="TOC5">
    <w:name w:val="toc 5"/>
    <w:basedOn w:val="a6"/>
    <w:next w:val="a6"/>
    <w:qFormat/>
    <w:pPr>
      <w:ind w:leftChars="800" w:left="1680"/>
    </w:pPr>
  </w:style>
  <w:style w:type="paragraph" w:styleId="TOC3">
    <w:name w:val="toc 3"/>
    <w:basedOn w:val="a6"/>
    <w:next w:val="a6"/>
    <w:qFormat/>
    <w:pPr>
      <w:tabs>
        <w:tab w:val="right" w:leader="dot" w:pos="8296"/>
      </w:tabs>
      <w:spacing w:line="312" w:lineRule="auto"/>
      <w:ind w:leftChars="400" w:left="400"/>
    </w:pPr>
    <w:rPr>
      <w:sz w:val="24"/>
    </w:rPr>
  </w:style>
  <w:style w:type="paragraph" w:styleId="aff5">
    <w:name w:val="Plain Text"/>
    <w:basedOn w:val="a6"/>
    <w:link w:val="aff6"/>
    <w:qFormat/>
    <w:rPr>
      <w:rFonts w:ascii="宋体" w:hAnsi="Courier New" w:cs="Courier New"/>
      <w:szCs w:val="21"/>
    </w:rPr>
  </w:style>
  <w:style w:type="paragraph" w:styleId="52">
    <w:name w:val="List Bullet 5"/>
    <w:basedOn w:val="a6"/>
    <w:qFormat/>
    <w:pPr>
      <w:tabs>
        <w:tab w:val="left" w:pos="840"/>
        <w:tab w:val="left" w:pos="2040"/>
      </w:tabs>
      <w:ind w:left="840" w:hanging="420"/>
    </w:pPr>
  </w:style>
  <w:style w:type="paragraph" w:styleId="43">
    <w:name w:val="List Number 4"/>
    <w:basedOn w:val="a6"/>
    <w:qFormat/>
    <w:pPr>
      <w:tabs>
        <w:tab w:val="left" w:pos="960"/>
        <w:tab w:val="left" w:pos="1620"/>
      </w:tabs>
      <w:ind w:left="960" w:hanging="720"/>
    </w:pPr>
  </w:style>
  <w:style w:type="paragraph" w:styleId="TOC8">
    <w:name w:val="toc 8"/>
    <w:basedOn w:val="a6"/>
    <w:next w:val="a6"/>
    <w:qFormat/>
    <w:pPr>
      <w:ind w:leftChars="1400" w:left="2940"/>
    </w:pPr>
  </w:style>
  <w:style w:type="paragraph" w:styleId="36">
    <w:name w:val="index 3"/>
    <w:basedOn w:val="a6"/>
    <w:next w:val="a6"/>
    <w:qFormat/>
    <w:pPr>
      <w:ind w:leftChars="400" w:left="400"/>
    </w:pPr>
  </w:style>
  <w:style w:type="paragraph" w:styleId="aff7">
    <w:name w:val="Date"/>
    <w:basedOn w:val="a6"/>
    <w:next w:val="a6"/>
    <w:link w:val="aff8"/>
    <w:qFormat/>
    <w:pPr>
      <w:ind w:leftChars="2500" w:left="100"/>
    </w:pPr>
  </w:style>
  <w:style w:type="paragraph" w:styleId="24">
    <w:name w:val="Body Text Indent 2"/>
    <w:basedOn w:val="a6"/>
    <w:link w:val="25"/>
    <w:qFormat/>
    <w:pPr>
      <w:spacing w:after="120" w:line="480" w:lineRule="auto"/>
      <w:ind w:leftChars="200" w:left="420"/>
    </w:pPr>
  </w:style>
  <w:style w:type="paragraph" w:styleId="aff9">
    <w:name w:val="endnote text"/>
    <w:basedOn w:val="a6"/>
    <w:link w:val="affa"/>
    <w:qFormat/>
    <w:pPr>
      <w:snapToGrid w:val="0"/>
      <w:jc w:val="left"/>
    </w:pPr>
  </w:style>
  <w:style w:type="paragraph" w:styleId="53">
    <w:name w:val="List Continue 5"/>
    <w:basedOn w:val="a6"/>
    <w:qFormat/>
    <w:pPr>
      <w:spacing w:after="120"/>
      <w:ind w:leftChars="1000" w:left="2100"/>
    </w:pPr>
  </w:style>
  <w:style w:type="paragraph" w:styleId="affb">
    <w:name w:val="Balloon Text"/>
    <w:basedOn w:val="a6"/>
    <w:link w:val="affc"/>
    <w:qFormat/>
    <w:rPr>
      <w:sz w:val="18"/>
      <w:szCs w:val="18"/>
    </w:rPr>
  </w:style>
  <w:style w:type="paragraph" w:styleId="affd">
    <w:name w:val="footer"/>
    <w:basedOn w:val="a6"/>
    <w:link w:val="affe"/>
    <w:uiPriority w:val="99"/>
    <w:qFormat/>
    <w:pPr>
      <w:tabs>
        <w:tab w:val="center" w:pos="4153"/>
        <w:tab w:val="right" w:pos="8306"/>
      </w:tabs>
      <w:snapToGrid w:val="0"/>
      <w:jc w:val="left"/>
    </w:pPr>
    <w:rPr>
      <w:sz w:val="18"/>
    </w:rPr>
  </w:style>
  <w:style w:type="paragraph" w:styleId="afff">
    <w:name w:val="envelope return"/>
    <w:basedOn w:val="a6"/>
    <w:qFormat/>
    <w:pPr>
      <w:snapToGrid w:val="0"/>
    </w:pPr>
    <w:rPr>
      <w:rFonts w:ascii="Arial" w:hAnsi="Arial" w:cs="Arial"/>
    </w:rPr>
  </w:style>
  <w:style w:type="paragraph" w:styleId="afff0">
    <w:name w:val="header"/>
    <w:basedOn w:val="a6"/>
    <w:link w:val="afff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f2">
    <w:name w:val="Signature"/>
    <w:basedOn w:val="a6"/>
    <w:link w:val="afff3"/>
    <w:qFormat/>
    <w:pPr>
      <w:ind w:leftChars="2100" w:left="100"/>
    </w:pPr>
  </w:style>
  <w:style w:type="paragraph" w:styleId="TOC1">
    <w:name w:val="toc 1"/>
    <w:basedOn w:val="a6"/>
    <w:next w:val="a6"/>
    <w:qFormat/>
    <w:pPr>
      <w:tabs>
        <w:tab w:val="right" w:leader="dot" w:pos="8296"/>
      </w:tabs>
      <w:spacing w:line="312" w:lineRule="auto"/>
    </w:pPr>
    <w:rPr>
      <w:sz w:val="24"/>
    </w:rPr>
  </w:style>
  <w:style w:type="paragraph" w:styleId="44">
    <w:name w:val="List Continue 4"/>
    <w:basedOn w:val="a6"/>
    <w:qFormat/>
    <w:pPr>
      <w:spacing w:after="120"/>
      <w:ind w:leftChars="800" w:left="1680"/>
    </w:pPr>
  </w:style>
  <w:style w:type="paragraph" w:styleId="TOC4">
    <w:name w:val="toc 4"/>
    <w:basedOn w:val="a6"/>
    <w:next w:val="a6"/>
    <w:qFormat/>
    <w:pPr>
      <w:ind w:leftChars="600" w:left="1260"/>
    </w:pPr>
  </w:style>
  <w:style w:type="paragraph" w:styleId="afff4">
    <w:name w:val="index heading"/>
    <w:basedOn w:val="a6"/>
    <w:next w:val="11"/>
    <w:qFormat/>
    <w:rPr>
      <w:rFonts w:ascii="Arial" w:hAnsi="Arial" w:cs="Arial"/>
      <w:b/>
      <w:bCs/>
    </w:rPr>
  </w:style>
  <w:style w:type="paragraph" w:styleId="11">
    <w:name w:val="index 1"/>
    <w:basedOn w:val="a6"/>
    <w:next w:val="a6"/>
    <w:qFormat/>
  </w:style>
  <w:style w:type="paragraph" w:styleId="afff5">
    <w:name w:val="Subtitle"/>
    <w:basedOn w:val="a6"/>
    <w:link w:val="afff6"/>
    <w:qFormat/>
    <w:pPr>
      <w:spacing w:before="240" w:after="60" w:line="312" w:lineRule="auto"/>
      <w:jc w:val="center"/>
      <w:outlineLvl w:val="1"/>
    </w:pPr>
    <w:rPr>
      <w:rFonts w:ascii="Arial" w:hAnsi="Arial" w:cs="Arial"/>
      <w:b/>
      <w:bCs/>
      <w:kern w:val="28"/>
      <w:sz w:val="32"/>
      <w:szCs w:val="32"/>
    </w:rPr>
  </w:style>
  <w:style w:type="paragraph" w:styleId="54">
    <w:name w:val="List Number 5"/>
    <w:basedOn w:val="a6"/>
    <w:qFormat/>
    <w:pPr>
      <w:tabs>
        <w:tab w:val="left" w:pos="2040"/>
      </w:tabs>
    </w:pPr>
  </w:style>
  <w:style w:type="paragraph" w:styleId="afff7">
    <w:name w:val="List"/>
    <w:basedOn w:val="a6"/>
    <w:qFormat/>
    <w:pPr>
      <w:ind w:left="200" w:hangingChars="200" w:hanging="200"/>
    </w:pPr>
  </w:style>
  <w:style w:type="paragraph" w:styleId="afff8">
    <w:name w:val="footnote text"/>
    <w:basedOn w:val="a6"/>
    <w:link w:val="afff9"/>
    <w:qFormat/>
    <w:pPr>
      <w:snapToGrid w:val="0"/>
      <w:jc w:val="left"/>
    </w:pPr>
    <w:rPr>
      <w:sz w:val="18"/>
      <w:szCs w:val="18"/>
    </w:rPr>
  </w:style>
  <w:style w:type="paragraph" w:styleId="TOC6">
    <w:name w:val="toc 6"/>
    <w:basedOn w:val="a6"/>
    <w:next w:val="a6"/>
    <w:qFormat/>
    <w:pPr>
      <w:ind w:leftChars="1000" w:left="2100"/>
    </w:pPr>
  </w:style>
  <w:style w:type="paragraph" w:styleId="55">
    <w:name w:val="List 5"/>
    <w:basedOn w:val="a6"/>
    <w:qFormat/>
    <w:pPr>
      <w:ind w:leftChars="800" w:left="100" w:hangingChars="200" w:hanging="200"/>
    </w:pPr>
  </w:style>
  <w:style w:type="paragraph" w:styleId="37">
    <w:name w:val="Body Text Indent 3"/>
    <w:basedOn w:val="a6"/>
    <w:link w:val="38"/>
    <w:uiPriority w:val="99"/>
    <w:qFormat/>
    <w:pPr>
      <w:spacing w:after="120"/>
      <w:ind w:leftChars="200" w:left="420"/>
    </w:pPr>
    <w:rPr>
      <w:sz w:val="16"/>
      <w:szCs w:val="16"/>
    </w:rPr>
  </w:style>
  <w:style w:type="paragraph" w:styleId="71">
    <w:name w:val="index 7"/>
    <w:basedOn w:val="a6"/>
    <w:next w:val="a6"/>
    <w:qFormat/>
    <w:pPr>
      <w:ind w:leftChars="1200" w:left="1200"/>
    </w:pPr>
  </w:style>
  <w:style w:type="paragraph" w:styleId="91">
    <w:name w:val="index 9"/>
    <w:basedOn w:val="a6"/>
    <w:next w:val="a6"/>
    <w:qFormat/>
    <w:pPr>
      <w:ind w:leftChars="1600" w:left="1600"/>
    </w:pPr>
  </w:style>
  <w:style w:type="paragraph" w:styleId="afffa">
    <w:name w:val="table of figures"/>
    <w:basedOn w:val="a6"/>
    <w:next w:val="a6"/>
    <w:qFormat/>
    <w:pPr>
      <w:ind w:leftChars="200" w:left="200" w:hangingChars="200" w:hanging="200"/>
    </w:pPr>
  </w:style>
  <w:style w:type="paragraph" w:styleId="TOC2">
    <w:name w:val="toc 2"/>
    <w:basedOn w:val="a6"/>
    <w:next w:val="a6"/>
    <w:qFormat/>
    <w:pPr>
      <w:tabs>
        <w:tab w:val="right" w:leader="dot" w:pos="8296"/>
      </w:tabs>
      <w:spacing w:line="312" w:lineRule="auto"/>
      <w:ind w:leftChars="200" w:left="420"/>
    </w:pPr>
    <w:rPr>
      <w:sz w:val="24"/>
    </w:rPr>
  </w:style>
  <w:style w:type="paragraph" w:styleId="TOC9">
    <w:name w:val="toc 9"/>
    <w:basedOn w:val="a6"/>
    <w:next w:val="a6"/>
    <w:qFormat/>
    <w:pPr>
      <w:ind w:leftChars="1600" w:left="3360"/>
    </w:pPr>
  </w:style>
  <w:style w:type="paragraph" w:styleId="26">
    <w:name w:val="Body Text 2"/>
    <w:basedOn w:val="a6"/>
    <w:link w:val="27"/>
    <w:qFormat/>
    <w:pPr>
      <w:spacing w:after="120" w:line="480" w:lineRule="auto"/>
    </w:pPr>
  </w:style>
  <w:style w:type="paragraph" w:styleId="45">
    <w:name w:val="List 4"/>
    <w:basedOn w:val="a6"/>
    <w:qFormat/>
    <w:pPr>
      <w:ind w:leftChars="600" w:left="100" w:hangingChars="200" w:hanging="200"/>
    </w:pPr>
  </w:style>
  <w:style w:type="paragraph" w:styleId="28">
    <w:name w:val="List Continue 2"/>
    <w:basedOn w:val="a6"/>
    <w:qFormat/>
    <w:pPr>
      <w:spacing w:after="120"/>
      <w:ind w:leftChars="400" w:left="840"/>
    </w:pPr>
  </w:style>
  <w:style w:type="paragraph" w:styleId="afffb">
    <w:name w:val="Message Header"/>
    <w:basedOn w:val="a6"/>
    <w:link w:val="afffc"/>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1">
    <w:name w:val="HTML Preformatted"/>
    <w:basedOn w:val="a6"/>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fd">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39">
    <w:name w:val="List Continue 3"/>
    <w:basedOn w:val="a6"/>
    <w:qFormat/>
    <w:pPr>
      <w:spacing w:after="120"/>
      <w:ind w:leftChars="600" w:left="1260"/>
    </w:pPr>
  </w:style>
  <w:style w:type="paragraph" w:styleId="29">
    <w:name w:val="index 2"/>
    <w:basedOn w:val="a6"/>
    <w:next w:val="a6"/>
    <w:qFormat/>
    <w:pPr>
      <w:ind w:leftChars="200" w:left="200"/>
    </w:pPr>
  </w:style>
  <w:style w:type="paragraph" w:styleId="afffe">
    <w:name w:val="Title"/>
    <w:basedOn w:val="a6"/>
    <w:link w:val="affff"/>
    <w:qFormat/>
    <w:pPr>
      <w:spacing w:before="240" w:after="60"/>
      <w:jc w:val="center"/>
      <w:outlineLvl w:val="0"/>
    </w:pPr>
    <w:rPr>
      <w:rFonts w:ascii="Arial" w:hAnsi="Arial" w:cs="Arial"/>
      <w:b/>
      <w:bCs/>
      <w:sz w:val="32"/>
      <w:szCs w:val="32"/>
    </w:rPr>
  </w:style>
  <w:style w:type="paragraph" w:styleId="affff0">
    <w:name w:val="annotation subject"/>
    <w:basedOn w:val="af9"/>
    <w:next w:val="af9"/>
    <w:link w:val="affff1"/>
    <w:qFormat/>
    <w:rPr>
      <w:b/>
      <w:bCs/>
      <w:szCs w:val="24"/>
    </w:rPr>
  </w:style>
  <w:style w:type="paragraph" w:styleId="affff2">
    <w:name w:val="Body Text First Indent"/>
    <w:basedOn w:val="aff"/>
    <w:link w:val="affff3"/>
    <w:qFormat/>
    <w:pPr>
      <w:ind w:firstLineChars="100" w:firstLine="420"/>
    </w:pPr>
  </w:style>
  <w:style w:type="paragraph" w:styleId="2a">
    <w:name w:val="Body Text First Indent 2"/>
    <w:basedOn w:val="aff1"/>
    <w:link w:val="2b"/>
    <w:qFormat/>
    <w:pPr>
      <w:ind w:firstLineChars="200" w:firstLine="420"/>
    </w:pPr>
  </w:style>
  <w:style w:type="table" w:styleId="affff4">
    <w:name w:val="Table Grid"/>
    <w:basedOn w:val="a8"/>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basedOn w:val="a7"/>
    <w:uiPriority w:val="22"/>
    <w:qFormat/>
    <w:rPr>
      <w:b/>
      <w:bCs/>
    </w:rPr>
  </w:style>
  <w:style w:type="character" w:styleId="affff6">
    <w:name w:val="endnote reference"/>
    <w:qFormat/>
    <w:rPr>
      <w:vertAlign w:val="superscript"/>
    </w:rPr>
  </w:style>
  <w:style w:type="character" w:styleId="affff7">
    <w:name w:val="page number"/>
    <w:basedOn w:val="a7"/>
    <w:unhideWhenUsed/>
    <w:qFormat/>
    <w:rPr>
      <w:rFonts w:ascii="Times New Roman" w:eastAsia="宋体" w:hAnsi="Times New Roman"/>
      <w:sz w:val="18"/>
    </w:rPr>
  </w:style>
  <w:style w:type="character" w:styleId="affff8">
    <w:name w:val="FollowedHyperlink"/>
    <w:basedOn w:val="a7"/>
    <w:uiPriority w:val="99"/>
    <w:qFormat/>
    <w:rPr>
      <w:color w:val="800080" w:themeColor="followedHyperlink"/>
      <w:u w:val="single"/>
    </w:rPr>
  </w:style>
  <w:style w:type="character" w:styleId="affff9">
    <w:name w:val="Emphasis"/>
    <w:uiPriority w:val="20"/>
    <w:qFormat/>
    <w:rPr>
      <w:i/>
      <w:iCs/>
    </w:rPr>
  </w:style>
  <w:style w:type="character" w:styleId="affffa">
    <w:name w:val="line number"/>
    <w:basedOn w:val="a7"/>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7"/>
    <w:qFormat/>
  </w:style>
  <w:style w:type="character" w:styleId="HTML6">
    <w:name w:val="HTML Variable"/>
    <w:qFormat/>
    <w:rPr>
      <w:i/>
      <w:iCs/>
    </w:rPr>
  </w:style>
  <w:style w:type="character" w:styleId="affffb">
    <w:name w:val="Hyperlink"/>
    <w:basedOn w:val="a7"/>
    <w:uiPriority w:val="99"/>
    <w:qFormat/>
    <w:rPr>
      <w:color w:val="0000FF"/>
      <w:u w:val="single"/>
    </w:rPr>
  </w:style>
  <w:style w:type="character" w:styleId="HTML7">
    <w:name w:val="HTML Code"/>
    <w:qFormat/>
    <w:rPr>
      <w:rFonts w:ascii="Courier New" w:hAnsi="Courier New" w:cs="Courier New"/>
      <w:sz w:val="20"/>
      <w:szCs w:val="20"/>
    </w:rPr>
  </w:style>
  <w:style w:type="character" w:styleId="affffc">
    <w:name w:val="annotation reference"/>
    <w:basedOn w:val="a7"/>
    <w:qFormat/>
    <w:rPr>
      <w:sz w:val="21"/>
      <w:szCs w:val="21"/>
    </w:rPr>
  </w:style>
  <w:style w:type="character" w:styleId="HTML8">
    <w:name w:val="HTML Cite"/>
    <w:qFormat/>
    <w:rPr>
      <w:i/>
      <w:iCs/>
    </w:rPr>
  </w:style>
  <w:style w:type="character" w:styleId="affffd">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character" w:customStyle="1" w:styleId="10">
    <w:name w:val="标题 1 字符"/>
    <w:basedOn w:val="a7"/>
    <w:link w:val="1"/>
    <w:qFormat/>
    <w:rPr>
      <w:b/>
      <w:bCs/>
      <w:kern w:val="44"/>
      <w:sz w:val="44"/>
      <w:szCs w:val="44"/>
    </w:rPr>
  </w:style>
  <w:style w:type="character" w:customStyle="1" w:styleId="20">
    <w:name w:val="标题 2 字符"/>
    <w:basedOn w:val="a7"/>
    <w:link w:val="2"/>
    <w:qFormat/>
    <w:rPr>
      <w:rFonts w:ascii="Arial" w:eastAsia="黑体" w:hAnsi="Arial"/>
      <w:b/>
      <w:bCs/>
      <w:kern w:val="2"/>
      <w:sz w:val="32"/>
      <w:szCs w:val="32"/>
    </w:rPr>
  </w:style>
  <w:style w:type="character" w:customStyle="1" w:styleId="30">
    <w:name w:val="标题 3 字符"/>
    <w:basedOn w:val="a7"/>
    <w:link w:val="3"/>
    <w:qFormat/>
    <w:rPr>
      <w:b/>
      <w:bCs/>
      <w:kern w:val="2"/>
      <w:sz w:val="32"/>
      <w:szCs w:val="32"/>
    </w:rPr>
  </w:style>
  <w:style w:type="character" w:customStyle="1" w:styleId="40">
    <w:name w:val="标题 4 字符"/>
    <w:basedOn w:val="a7"/>
    <w:link w:val="4"/>
    <w:qFormat/>
    <w:rPr>
      <w:rFonts w:ascii="Arial" w:eastAsia="黑体" w:hAnsi="Arial"/>
      <w:b/>
      <w:bCs/>
      <w:kern w:val="2"/>
      <w:sz w:val="28"/>
      <w:szCs w:val="28"/>
    </w:rPr>
  </w:style>
  <w:style w:type="character" w:customStyle="1" w:styleId="50">
    <w:name w:val="标题 5 字符"/>
    <w:basedOn w:val="a7"/>
    <w:link w:val="5"/>
    <w:qFormat/>
    <w:rPr>
      <w:b/>
      <w:bCs/>
      <w:kern w:val="2"/>
      <w:sz w:val="28"/>
      <w:szCs w:val="28"/>
    </w:rPr>
  </w:style>
  <w:style w:type="character" w:customStyle="1" w:styleId="60">
    <w:name w:val="标题 6 字符"/>
    <w:basedOn w:val="a7"/>
    <w:link w:val="6"/>
    <w:qFormat/>
    <w:rPr>
      <w:rFonts w:ascii="Arial" w:eastAsia="黑体" w:hAnsi="Arial"/>
      <w:b/>
      <w:bCs/>
      <w:kern w:val="2"/>
      <w:sz w:val="24"/>
      <w:szCs w:val="24"/>
    </w:rPr>
  </w:style>
  <w:style w:type="character" w:customStyle="1" w:styleId="70">
    <w:name w:val="标题 7 字符"/>
    <w:basedOn w:val="a7"/>
    <w:link w:val="7"/>
    <w:qFormat/>
    <w:rPr>
      <w:b/>
      <w:bCs/>
      <w:kern w:val="2"/>
      <w:sz w:val="24"/>
      <w:szCs w:val="24"/>
    </w:rPr>
  </w:style>
  <w:style w:type="character" w:customStyle="1" w:styleId="80">
    <w:name w:val="标题 8 字符"/>
    <w:basedOn w:val="a7"/>
    <w:link w:val="8"/>
    <w:qFormat/>
    <w:rPr>
      <w:rFonts w:ascii="Arial" w:eastAsia="黑体" w:hAnsi="Arial"/>
      <w:kern w:val="2"/>
      <w:sz w:val="24"/>
      <w:szCs w:val="24"/>
    </w:rPr>
  </w:style>
  <w:style w:type="character" w:customStyle="1" w:styleId="90">
    <w:name w:val="标题 9 字符"/>
    <w:basedOn w:val="a7"/>
    <w:link w:val="9"/>
    <w:qFormat/>
    <w:rPr>
      <w:rFonts w:ascii="Arial" w:eastAsia="黑体" w:hAnsi="Arial"/>
      <w:kern w:val="2"/>
      <w:sz w:val="21"/>
      <w:szCs w:val="21"/>
    </w:rPr>
  </w:style>
  <w:style w:type="paragraph" w:customStyle="1" w:styleId="affffe">
    <w:name w:val="封面标准英文名称"/>
    <w:qFormat/>
    <w:pPr>
      <w:widowControl w:val="0"/>
      <w:spacing w:before="370" w:line="400" w:lineRule="exact"/>
      <w:ind w:firstLineChars="200" w:firstLine="200"/>
      <w:jc w:val="center"/>
    </w:pPr>
    <w:rPr>
      <w:sz w:val="28"/>
    </w:rPr>
  </w:style>
  <w:style w:type="paragraph" w:customStyle="1" w:styleId="afffff">
    <w:name w:val="标准"/>
    <w:basedOn w:val="a6"/>
    <w:qFormat/>
    <w:pPr>
      <w:adjustRightInd w:val="0"/>
      <w:spacing w:line="312" w:lineRule="atLeast"/>
      <w:jc w:val="center"/>
      <w:textAlignment w:val="baseline"/>
    </w:pPr>
    <w:rPr>
      <w:kern w:val="0"/>
      <w:szCs w:val="20"/>
    </w:rPr>
  </w:style>
  <w:style w:type="paragraph" w:customStyle="1" w:styleId="2c">
    <w:name w:val="封面标准号2"/>
    <w:basedOn w:val="a6"/>
    <w:qFormat/>
  </w:style>
  <w:style w:type="paragraph" w:customStyle="1" w:styleId="afffff0">
    <w:name w:val="章标题"/>
    <w:next w:val="a6"/>
    <w:qFormat/>
    <w:pPr>
      <w:tabs>
        <w:tab w:val="left" w:pos="675"/>
      </w:tabs>
      <w:spacing w:beforeLines="100" w:afterLines="100"/>
      <w:ind w:left="675" w:hanging="360"/>
      <w:jc w:val="both"/>
      <w:outlineLvl w:val="1"/>
    </w:pPr>
    <w:rPr>
      <w:rFonts w:ascii="黑体" w:eastAsia="黑体"/>
      <w:sz w:val="21"/>
    </w:rPr>
  </w:style>
  <w:style w:type="paragraph" w:customStyle="1" w:styleId="afffff1">
    <w:name w:val="段"/>
    <w:link w:val="CharChar"/>
    <w:qFormat/>
    <w:pPr>
      <w:autoSpaceDE w:val="0"/>
      <w:autoSpaceDN w:val="0"/>
      <w:ind w:firstLineChars="200" w:firstLine="200"/>
      <w:jc w:val="both"/>
    </w:pPr>
    <w:rPr>
      <w:rFonts w:ascii="宋体" w:hAnsi="宋体"/>
      <w:sz w:val="21"/>
    </w:rPr>
  </w:style>
  <w:style w:type="character" w:customStyle="1" w:styleId="afa">
    <w:name w:val="批注文字 字符"/>
    <w:basedOn w:val="a7"/>
    <w:link w:val="af9"/>
    <w:qFormat/>
    <w:rPr>
      <w:kern w:val="2"/>
      <w:sz w:val="21"/>
      <w:szCs w:val="21"/>
    </w:rPr>
  </w:style>
  <w:style w:type="character" w:customStyle="1" w:styleId="afff1">
    <w:name w:val="页眉 字符"/>
    <w:basedOn w:val="a7"/>
    <w:link w:val="afff0"/>
    <w:qFormat/>
    <w:rPr>
      <w:kern w:val="2"/>
      <w:sz w:val="18"/>
      <w:szCs w:val="24"/>
    </w:rPr>
  </w:style>
  <w:style w:type="character" w:customStyle="1" w:styleId="affe">
    <w:name w:val="页脚 字符"/>
    <w:basedOn w:val="a7"/>
    <w:link w:val="affd"/>
    <w:uiPriority w:val="99"/>
    <w:qFormat/>
    <w:rPr>
      <w:kern w:val="2"/>
      <w:sz w:val="18"/>
      <w:szCs w:val="24"/>
    </w:rPr>
  </w:style>
  <w:style w:type="paragraph" w:customStyle="1" w:styleId="12">
    <w:name w:val="列出段落1"/>
    <w:basedOn w:val="a6"/>
    <w:qFormat/>
    <w:pPr>
      <w:ind w:firstLineChars="200" w:firstLine="420"/>
    </w:pPr>
    <w:rPr>
      <w:rFonts w:ascii="Calibri" w:hAnsi="Calibri" w:cs="黑体"/>
      <w:szCs w:val="22"/>
    </w:rPr>
  </w:style>
  <w:style w:type="paragraph" w:customStyle="1" w:styleId="CharCharCharChar">
    <w:name w:val="Char Char Char Char"/>
    <w:basedOn w:val="a6"/>
    <w:qFormat/>
    <w:pPr>
      <w:widowControl/>
      <w:spacing w:after="160" w:line="240" w:lineRule="exact"/>
      <w:jc w:val="left"/>
    </w:pPr>
  </w:style>
  <w:style w:type="character" w:customStyle="1" w:styleId="affff">
    <w:name w:val="标题 字符"/>
    <w:basedOn w:val="a7"/>
    <w:link w:val="afffe"/>
    <w:qFormat/>
    <w:rPr>
      <w:rFonts w:ascii="Arial" w:hAnsi="Arial" w:cs="Arial"/>
      <w:b/>
      <w:bCs/>
      <w:kern w:val="2"/>
      <w:sz w:val="32"/>
      <w:szCs w:val="32"/>
    </w:rPr>
  </w:style>
  <w:style w:type="character" w:customStyle="1" w:styleId="ttag">
    <w:name w:val="t_tag"/>
    <w:basedOn w:val="a7"/>
    <w:qFormat/>
  </w:style>
  <w:style w:type="character" w:customStyle="1" w:styleId="apple-converted-space">
    <w:name w:val="apple-converted-space"/>
    <w:basedOn w:val="a7"/>
    <w:qFormat/>
  </w:style>
  <w:style w:type="character" w:customStyle="1" w:styleId="apple-style-span">
    <w:name w:val="apple-style-span"/>
    <w:basedOn w:val="a7"/>
    <w:qFormat/>
  </w:style>
  <w:style w:type="character" w:customStyle="1" w:styleId="aff8">
    <w:name w:val="日期 字符"/>
    <w:basedOn w:val="a7"/>
    <w:link w:val="aff7"/>
    <w:qFormat/>
    <w:rPr>
      <w:kern w:val="2"/>
      <w:sz w:val="21"/>
      <w:szCs w:val="24"/>
    </w:rPr>
  </w:style>
  <w:style w:type="character" w:customStyle="1" w:styleId="HTML2">
    <w:name w:val="HTML 预设格式 字符"/>
    <w:basedOn w:val="a7"/>
    <w:link w:val="HTML1"/>
    <w:uiPriority w:val="99"/>
    <w:qFormat/>
    <w:rPr>
      <w:rFonts w:ascii="宋体" w:hAnsi="宋体" w:cs="宋体"/>
      <w:sz w:val="24"/>
      <w:szCs w:val="24"/>
    </w:rPr>
  </w:style>
  <w:style w:type="character" w:customStyle="1" w:styleId="aff6">
    <w:name w:val="纯文本 字符"/>
    <w:basedOn w:val="a7"/>
    <w:link w:val="aff5"/>
    <w:qFormat/>
    <w:rPr>
      <w:rFonts w:ascii="宋体" w:hAnsi="Courier New" w:cs="Courier New"/>
      <w:kern w:val="2"/>
      <w:sz w:val="21"/>
      <w:szCs w:val="21"/>
    </w:rPr>
  </w:style>
  <w:style w:type="character" w:customStyle="1" w:styleId="affff1">
    <w:name w:val="批注主题 字符"/>
    <w:basedOn w:val="afa"/>
    <w:link w:val="affff0"/>
    <w:qFormat/>
    <w:rPr>
      <w:b/>
      <w:bCs/>
      <w:kern w:val="2"/>
      <w:sz w:val="21"/>
      <w:szCs w:val="24"/>
    </w:rPr>
  </w:style>
  <w:style w:type="character" w:customStyle="1" w:styleId="affc">
    <w:name w:val="批注框文本 字符"/>
    <w:basedOn w:val="a7"/>
    <w:link w:val="affb"/>
    <w:qFormat/>
    <w:rPr>
      <w:kern w:val="2"/>
      <w:sz w:val="18"/>
      <w:szCs w:val="18"/>
    </w:rPr>
  </w:style>
  <w:style w:type="paragraph" w:styleId="afffff2">
    <w:name w:val="List Paragraph"/>
    <w:basedOn w:val="a6"/>
    <w:uiPriority w:val="99"/>
    <w:qFormat/>
    <w:pPr>
      <w:ind w:firstLineChars="200" w:firstLine="420"/>
    </w:pPr>
  </w:style>
  <w:style w:type="character" w:customStyle="1" w:styleId="CharChar">
    <w:name w:val="段 Char Char"/>
    <w:basedOn w:val="a7"/>
    <w:link w:val="afffff1"/>
    <w:qFormat/>
    <w:rPr>
      <w:rFonts w:ascii="宋体" w:hAnsi="宋体"/>
      <w:sz w:val="21"/>
    </w:rPr>
  </w:style>
  <w:style w:type="character" w:customStyle="1" w:styleId="shorttext1">
    <w:name w:val="short_text1"/>
    <w:basedOn w:val="a7"/>
    <w:qFormat/>
    <w:rPr>
      <w:sz w:val="19"/>
      <w:szCs w:val="19"/>
    </w:rPr>
  </w:style>
  <w:style w:type="paragraph" w:customStyle="1" w:styleId="2d">
    <w:name w:val="2"/>
    <w:uiPriority w:val="99"/>
    <w:unhideWhenUsed/>
    <w:qFormat/>
    <w:pPr>
      <w:widowControl w:val="0"/>
      <w:jc w:val="both"/>
    </w:pPr>
    <w:rPr>
      <w:kern w:val="2"/>
      <w:sz w:val="21"/>
      <w:szCs w:val="24"/>
    </w:rPr>
  </w:style>
  <w:style w:type="character" w:customStyle="1" w:styleId="afffff3">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6"/>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character" w:customStyle="1" w:styleId="ab">
    <w:name w:val="宏文本 字符"/>
    <w:basedOn w:val="a7"/>
    <w:link w:val="aa"/>
    <w:qFormat/>
    <w:rPr>
      <w:rFonts w:ascii="Courier New" w:hAnsi="Courier New" w:cs="Courier New"/>
      <w:kern w:val="2"/>
      <w:sz w:val="24"/>
      <w:szCs w:val="24"/>
    </w:rPr>
  </w:style>
  <w:style w:type="character" w:customStyle="1" w:styleId="aff0">
    <w:name w:val="正文文本 字符"/>
    <w:basedOn w:val="a7"/>
    <w:link w:val="aff"/>
    <w:qFormat/>
    <w:rPr>
      <w:kern w:val="2"/>
      <w:sz w:val="21"/>
      <w:szCs w:val="24"/>
    </w:rPr>
  </w:style>
  <w:style w:type="character" w:customStyle="1" w:styleId="affff3">
    <w:name w:val="正文文本首行缩进 字符"/>
    <w:basedOn w:val="aff0"/>
    <w:link w:val="affff2"/>
    <w:qFormat/>
    <w:rPr>
      <w:kern w:val="2"/>
      <w:sz w:val="21"/>
      <w:szCs w:val="24"/>
    </w:rPr>
  </w:style>
  <w:style w:type="character" w:customStyle="1" w:styleId="aff2">
    <w:name w:val="正文文本缩进 字符"/>
    <w:basedOn w:val="a7"/>
    <w:link w:val="aff1"/>
    <w:qFormat/>
    <w:rPr>
      <w:kern w:val="2"/>
      <w:sz w:val="21"/>
      <w:szCs w:val="24"/>
    </w:rPr>
  </w:style>
  <w:style w:type="character" w:customStyle="1" w:styleId="2b">
    <w:name w:val="正文文本首行缩进 2 字符"/>
    <w:basedOn w:val="aff2"/>
    <w:link w:val="2a"/>
    <w:qFormat/>
    <w:rPr>
      <w:kern w:val="2"/>
      <w:sz w:val="21"/>
      <w:szCs w:val="24"/>
    </w:rPr>
  </w:style>
  <w:style w:type="character" w:customStyle="1" w:styleId="af7">
    <w:name w:val="文档结构图 字符"/>
    <w:basedOn w:val="a7"/>
    <w:link w:val="af6"/>
    <w:qFormat/>
    <w:rPr>
      <w:kern w:val="2"/>
      <w:sz w:val="21"/>
      <w:szCs w:val="24"/>
      <w:shd w:val="clear" w:color="auto" w:fill="000080"/>
    </w:rPr>
  </w:style>
  <w:style w:type="character" w:customStyle="1" w:styleId="33">
    <w:name w:val="正文文本 3 字符"/>
    <w:basedOn w:val="a7"/>
    <w:link w:val="32"/>
    <w:qFormat/>
    <w:rPr>
      <w:kern w:val="2"/>
      <w:sz w:val="16"/>
      <w:szCs w:val="16"/>
    </w:rPr>
  </w:style>
  <w:style w:type="character" w:customStyle="1" w:styleId="HTML0">
    <w:name w:val="HTML 地址 字符"/>
    <w:basedOn w:val="a7"/>
    <w:link w:val="HTML"/>
    <w:qFormat/>
    <w:rPr>
      <w:i/>
      <w:iCs/>
      <w:kern w:val="2"/>
      <w:sz w:val="21"/>
      <w:szCs w:val="24"/>
    </w:rPr>
  </w:style>
  <w:style w:type="character" w:customStyle="1" w:styleId="38">
    <w:name w:val="正文文本缩进 3 字符"/>
    <w:basedOn w:val="a7"/>
    <w:link w:val="37"/>
    <w:uiPriority w:val="99"/>
    <w:qFormat/>
    <w:rPr>
      <w:kern w:val="2"/>
      <w:sz w:val="16"/>
      <w:szCs w:val="16"/>
    </w:rPr>
  </w:style>
  <w:style w:type="character" w:customStyle="1" w:styleId="af0">
    <w:name w:val="电子邮件签名 字符"/>
    <w:basedOn w:val="a7"/>
    <w:link w:val="af"/>
    <w:qFormat/>
    <w:rPr>
      <w:kern w:val="2"/>
      <w:sz w:val="21"/>
      <w:szCs w:val="24"/>
    </w:rPr>
  </w:style>
  <w:style w:type="character" w:customStyle="1" w:styleId="afff3">
    <w:name w:val="签名 字符"/>
    <w:basedOn w:val="a7"/>
    <w:link w:val="afff2"/>
    <w:qFormat/>
    <w:rPr>
      <w:kern w:val="2"/>
      <w:sz w:val="21"/>
      <w:szCs w:val="24"/>
    </w:rPr>
  </w:style>
  <w:style w:type="character" w:customStyle="1" w:styleId="afff9">
    <w:name w:val="脚注文本 字符"/>
    <w:basedOn w:val="a7"/>
    <w:link w:val="afff8"/>
    <w:qFormat/>
    <w:rPr>
      <w:kern w:val="2"/>
      <w:sz w:val="18"/>
      <w:szCs w:val="18"/>
    </w:rPr>
  </w:style>
  <w:style w:type="character" w:customStyle="1" w:styleId="ae">
    <w:name w:val="注释标题 字符"/>
    <w:basedOn w:val="a7"/>
    <w:link w:val="ad"/>
    <w:qFormat/>
    <w:rPr>
      <w:kern w:val="2"/>
      <w:sz w:val="21"/>
      <w:szCs w:val="24"/>
    </w:rPr>
  </w:style>
  <w:style w:type="character" w:customStyle="1" w:styleId="27">
    <w:name w:val="正文文本 2 字符"/>
    <w:basedOn w:val="a7"/>
    <w:link w:val="26"/>
    <w:qFormat/>
    <w:rPr>
      <w:kern w:val="2"/>
      <w:sz w:val="21"/>
      <w:szCs w:val="24"/>
    </w:rPr>
  </w:style>
  <w:style w:type="character" w:customStyle="1" w:styleId="afc">
    <w:name w:val="称呼 字符"/>
    <w:basedOn w:val="a7"/>
    <w:link w:val="afb"/>
    <w:qFormat/>
    <w:rPr>
      <w:kern w:val="2"/>
      <w:sz w:val="21"/>
      <w:szCs w:val="24"/>
    </w:rPr>
  </w:style>
  <w:style w:type="character" w:customStyle="1" w:styleId="affa">
    <w:name w:val="尾注文本 字符"/>
    <w:basedOn w:val="a7"/>
    <w:link w:val="aff9"/>
    <w:qFormat/>
    <w:rPr>
      <w:kern w:val="2"/>
      <w:sz w:val="21"/>
      <w:szCs w:val="24"/>
    </w:rPr>
  </w:style>
  <w:style w:type="character" w:customStyle="1" w:styleId="afe">
    <w:name w:val="结束语 字符"/>
    <w:basedOn w:val="a7"/>
    <w:link w:val="afd"/>
    <w:qFormat/>
    <w:rPr>
      <w:kern w:val="2"/>
      <w:sz w:val="21"/>
      <w:szCs w:val="24"/>
    </w:rPr>
  </w:style>
  <w:style w:type="character" w:customStyle="1" w:styleId="25">
    <w:name w:val="正文文本缩进 2 字符"/>
    <w:basedOn w:val="a7"/>
    <w:link w:val="24"/>
    <w:qFormat/>
    <w:rPr>
      <w:kern w:val="2"/>
      <w:sz w:val="21"/>
      <w:szCs w:val="24"/>
    </w:rPr>
  </w:style>
  <w:style w:type="character" w:customStyle="1" w:styleId="afff6">
    <w:name w:val="副标题 字符"/>
    <w:basedOn w:val="a7"/>
    <w:link w:val="afff5"/>
    <w:qFormat/>
    <w:rPr>
      <w:rFonts w:ascii="Arial" w:hAnsi="Arial" w:cs="Arial"/>
      <w:b/>
      <w:bCs/>
      <w:kern w:val="28"/>
      <w:sz w:val="32"/>
      <w:szCs w:val="32"/>
    </w:rPr>
  </w:style>
  <w:style w:type="character" w:customStyle="1" w:styleId="afffc">
    <w:name w:val="信息标题 字符"/>
    <w:basedOn w:val="a7"/>
    <w:link w:val="afffb"/>
    <w:qFormat/>
    <w:rPr>
      <w:rFonts w:ascii="Arial" w:hAnsi="Arial" w:cs="Arial"/>
      <w:kern w:val="2"/>
      <w:sz w:val="24"/>
      <w:szCs w:val="24"/>
      <w:shd w:val="pct20" w:color="auto" w:fill="auto"/>
    </w:rPr>
  </w:style>
  <w:style w:type="paragraph" w:customStyle="1" w:styleId="u0">
    <w:name w:val="u页眉"/>
    <w:basedOn w:val="a6"/>
    <w:qFormat/>
    <w:pPr>
      <w:pBdr>
        <w:bottom w:val="single" w:sz="4" w:space="1" w:color="auto"/>
      </w:pBdr>
      <w:jc w:val="center"/>
    </w:pPr>
  </w:style>
  <w:style w:type="paragraph" w:customStyle="1" w:styleId="afffff4">
    <w:name w:val="连续正文文字"/>
    <w:basedOn w:val="aff"/>
    <w:qFormat/>
    <w:pPr>
      <w:keepNext/>
      <w:widowControl/>
      <w:spacing w:after="220" w:line="180" w:lineRule="atLeast"/>
      <w:ind w:firstLine="476"/>
      <w:jc w:val="center"/>
    </w:pPr>
    <w:rPr>
      <w:spacing w:val="-5"/>
      <w:kern w:val="0"/>
      <w:sz w:val="30"/>
      <w:szCs w:val="20"/>
    </w:rPr>
  </w:style>
  <w:style w:type="paragraph" w:customStyle="1" w:styleId="afffff5">
    <w:name w:val="正文（结尾部分）"/>
    <w:basedOn w:val="a6"/>
    <w:qFormat/>
    <w:pPr>
      <w:adjustRightInd w:val="0"/>
      <w:snapToGrid w:val="0"/>
      <w:spacing w:line="320" w:lineRule="exact"/>
      <w:ind w:firstLineChars="200" w:firstLine="200"/>
    </w:pPr>
  </w:style>
  <w:style w:type="paragraph" w:customStyle="1" w:styleId="afffff6">
    <w:name w:val="基准页眉样式"/>
    <w:basedOn w:val="aff"/>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7">
    <w:name w:val="图标题"/>
    <w:basedOn w:val="a6"/>
    <w:next w:val="a6"/>
    <w:qFormat/>
    <w:pPr>
      <w:widowControl/>
      <w:spacing w:before="200" w:after="400" w:line="312" w:lineRule="auto"/>
      <w:ind w:firstLine="476"/>
      <w:jc w:val="center"/>
    </w:pPr>
    <w:rPr>
      <w:b/>
      <w:spacing w:val="-5"/>
      <w:kern w:val="0"/>
      <w:sz w:val="24"/>
      <w:szCs w:val="20"/>
    </w:rPr>
  </w:style>
  <w:style w:type="paragraph" w:customStyle="1" w:styleId="afffff8">
    <w:name w:val="五级条标题"/>
    <w:basedOn w:val="afffff9"/>
    <w:next w:val="afffff1"/>
    <w:qFormat/>
    <w:pPr>
      <w:tabs>
        <w:tab w:val="left" w:pos="3360"/>
      </w:tabs>
      <w:ind w:left="3360"/>
      <w:outlineLvl w:val="6"/>
    </w:pPr>
  </w:style>
  <w:style w:type="paragraph" w:customStyle="1" w:styleId="afffff9">
    <w:name w:val="四级条标题"/>
    <w:basedOn w:val="afffffa"/>
    <w:next w:val="afffff1"/>
    <w:qFormat/>
    <w:pPr>
      <w:tabs>
        <w:tab w:val="left" w:pos="2940"/>
      </w:tabs>
      <w:ind w:left="2940"/>
      <w:outlineLvl w:val="5"/>
    </w:pPr>
  </w:style>
  <w:style w:type="paragraph" w:customStyle="1" w:styleId="afffffa">
    <w:name w:val="三级条标题"/>
    <w:basedOn w:val="afffffb"/>
    <w:next w:val="afffff1"/>
    <w:qFormat/>
    <w:pPr>
      <w:tabs>
        <w:tab w:val="left" w:pos="2520"/>
      </w:tabs>
      <w:ind w:left="2520"/>
      <w:outlineLvl w:val="4"/>
    </w:pPr>
  </w:style>
  <w:style w:type="paragraph" w:customStyle="1" w:styleId="afffffb">
    <w:name w:val="二级条标题"/>
    <w:basedOn w:val="afffffc"/>
    <w:next w:val="afffff1"/>
    <w:qFormat/>
    <w:pPr>
      <w:tabs>
        <w:tab w:val="left" w:pos="2100"/>
      </w:tabs>
      <w:ind w:left="2100"/>
      <w:outlineLvl w:val="3"/>
    </w:pPr>
  </w:style>
  <w:style w:type="paragraph" w:customStyle="1" w:styleId="afffffc">
    <w:name w:val="一级条标题"/>
    <w:basedOn w:val="afffff0"/>
    <w:next w:val="afffff1"/>
    <w:qFormat/>
    <w:pPr>
      <w:tabs>
        <w:tab w:val="clear" w:pos="675"/>
        <w:tab w:val="left" w:pos="1680"/>
      </w:tabs>
      <w:spacing w:beforeLines="0" w:afterLines="0"/>
      <w:ind w:left="1680" w:hanging="420"/>
      <w:outlineLvl w:val="2"/>
    </w:pPr>
  </w:style>
  <w:style w:type="paragraph" w:customStyle="1" w:styleId="afffffd">
    <w:name w:val="附录"/>
    <w:basedOn w:val="1"/>
    <w:next w:val="a6"/>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6"/>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fe">
    <w:name w:val="基准页脚样式"/>
    <w:basedOn w:val="aff"/>
    <w:qFormat/>
    <w:pPr>
      <w:keepLines/>
      <w:widowControl/>
      <w:spacing w:after="220" w:line="200" w:lineRule="atLeast"/>
      <w:ind w:firstLine="476"/>
      <w:jc w:val="center"/>
    </w:pPr>
    <w:rPr>
      <w:spacing w:val="-5"/>
      <w:kern w:val="0"/>
      <w:sz w:val="16"/>
      <w:szCs w:val="20"/>
    </w:rPr>
  </w:style>
  <w:style w:type="paragraph" w:customStyle="1" w:styleId="affffff">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ff0">
    <w:name w:val="前言、引言标题"/>
    <w:next w:val="a6"/>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6"/>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pPr>
      <w:spacing w:line="312" w:lineRule="auto"/>
      <w:ind w:left="200" w:hangingChars="200" w:hanging="200"/>
    </w:pPr>
    <w:rPr>
      <w:sz w:val="24"/>
    </w:rPr>
  </w:style>
  <w:style w:type="paragraph" w:customStyle="1" w:styleId="affffff1">
    <w:name w:val="基准标题"/>
    <w:basedOn w:val="aff"/>
    <w:next w:val="aff"/>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
    <w:name w:val="Char"/>
    <w:basedOn w:val="a6"/>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6"/>
    <w:qFormat/>
    <w:pPr>
      <w:spacing w:beforeLines="150" w:afterLines="50" w:line="360" w:lineRule="auto"/>
      <w:jc w:val="center"/>
    </w:pPr>
    <w:rPr>
      <w:rFonts w:eastAsia="黑体"/>
      <w:b/>
    </w:rPr>
  </w:style>
  <w:style w:type="paragraph" w:customStyle="1" w:styleId="affffff2">
    <w:name w:val="图表题"/>
    <w:basedOn w:val="a6"/>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6"/>
    <w:qFormat/>
    <w:pPr>
      <w:pageBreakBefore/>
      <w:spacing w:after="340" w:line="312" w:lineRule="auto"/>
    </w:pPr>
    <w:rPr>
      <w:rFonts w:eastAsia="黑体"/>
      <w:sz w:val="30"/>
    </w:rPr>
  </w:style>
  <w:style w:type="paragraph" w:customStyle="1" w:styleId="u7">
    <w:name w:val="u脚注"/>
    <w:basedOn w:val="a6"/>
    <w:qFormat/>
    <w:pPr>
      <w:spacing w:before="100" w:beforeAutospacing="1" w:after="100" w:afterAutospacing="1"/>
    </w:pPr>
  </w:style>
  <w:style w:type="paragraph" w:customStyle="1" w:styleId="affffff3">
    <w:name w:val="标准书眉_奇数页"/>
    <w:next w:val="a6"/>
    <w:qFormat/>
    <w:pPr>
      <w:tabs>
        <w:tab w:val="center" w:pos="4154"/>
        <w:tab w:val="right" w:pos="8306"/>
      </w:tabs>
      <w:spacing w:after="220"/>
      <w:jc w:val="right"/>
    </w:pPr>
    <w:rPr>
      <w:rFonts w:ascii="黑体" w:eastAsia="黑体"/>
      <w:sz w:val="21"/>
      <w:szCs w:val="21"/>
    </w:rPr>
  </w:style>
  <w:style w:type="paragraph" w:customStyle="1" w:styleId="affffff4">
    <w:name w:val="尾消息标题"/>
    <w:basedOn w:val="a6"/>
    <w:next w:val="aff"/>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pPr>
      <w:spacing w:line="312" w:lineRule="auto"/>
      <w:ind w:left="2160"/>
    </w:pPr>
    <w:rPr>
      <w:rFonts w:eastAsia="Times New Roman"/>
      <w:sz w:val="28"/>
    </w:rPr>
  </w:style>
  <w:style w:type="paragraph" w:customStyle="1" w:styleId="affffff5">
    <w:name w:val="表标题"/>
    <w:basedOn w:val="a6"/>
    <w:next w:val="a6"/>
    <w:qFormat/>
    <w:pPr>
      <w:widowControl/>
      <w:spacing w:before="400" w:after="200" w:line="312" w:lineRule="auto"/>
      <w:jc w:val="left"/>
    </w:pPr>
    <w:rPr>
      <w:b/>
      <w:spacing w:val="-5"/>
      <w:kern w:val="0"/>
      <w:sz w:val="24"/>
      <w:szCs w:val="20"/>
    </w:rPr>
  </w:style>
  <w:style w:type="paragraph" w:customStyle="1" w:styleId="affffff6">
    <w:name w:val="其他"/>
    <w:basedOn w:val="a6"/>
    <w:qFormat/>
  </w:style>
  <w:style w:type="paragraph" w:customStyle="1" w:styleId="u8">
    <w:name w:val="u参考文献条目顺序编码制"/>
    <w:basedOn w:val="a6"/>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6"/>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f7">
    <w:name w:val="图片"/>
    <w:basedOn w:val="a6"/>
    <w:next w:val="af3"/>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6"/>
    <w:qFormat/>
    <w:pPr>
      <w:spacing w:beforeLines="10" w:afterLines="10" w:line="312" w:lineRule="auto"/>
      <w:ind w:firstLineChars="200" w:firstLine="480"/>
    </w:pPr>
    <w:rPr>
      <w:rFonts w:hAnsi="宋体" w:cs="宋体"/>
      <w:sz w:val="24"/>
    </w:rPr>
  </w:style>
  <w:style w:type="paragraph" w:customStyle="1" w:styleId="ua">
    <w:name w:val="u标题 不入目录"/>
    <w:basedOn w:val="a6"/>
    <w:qFormat/>
    <w:pPr>
      <w:jc w:val="center"/>
    </w:pPr>
    <w:rPr>
      <w:rFonts w:eastAsia="黑体"/>
      <w:b/>
      <w:sz w:val="30"/>
      <w:szCs w:val="30"/>
    </w:rPr>
  </w:style>
  <w:style w:type="paragraph" w:customStyle="1" w:styleId="xl63">
    <w:name w:val="xl63"/>
    <w:basedOn w:val="a6"/>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pPr>
      <w:widowControl w:val="0"/>
      <w:jc w:val="both"/>
    </w:pPr>
    <w:rPr>
      <w:kern w:val="2"/>
      <w:sz w:val="21"/>
      <w:szCs w:val="24"/>
    </w:rPr>
  </w:style>
  <w:style w:type="character" w:styleId="affffff8">
    <w:name w:val="Placeholder Text"/>
    <w:basedOn w:val="a7"/>
    <w:uiPriority w:val="99"/>
    <w:semiHidden/>
    <w:qFormat/>
    <w:rPr>
      <w:color w:val="808080"/>
    </w:rPr>
  </w:style>
  <w:style w:type="character" w:customStyle="1" w:styleId="Char0">
    <w:name w:val="段 Char"/>
    <w:qFormat/>
    <w:rPr>
      <w:rFonts w:ascii="宋体"/>
      <w:sz w:val="21"/>
      <w:lang w:bidi="ar-SA"/>
    </w:rPr>
  </w:style>
  <w:style w:type="paragraph" w:customStyle="1" w:styleId="a">
    <w:name w:val="附录标识"/>
    <w:basedOn w:val="affffff0"/>
    <w:qFormat/>
    <w:pPr>
      <w:numPr>
        <w:numId w:val="1"/>
      </w:numPr>
      <w:tabs>
        <w:tab w:val="left" w:pos="6405"/>
      </w:tabs>
      <w:spacing w:after="200"/>
    </w:pPr>
    <w:rPr>
      <w:sz w:val="21"/>
    </w:rPr>
  </w:style>
  <w:style w:type="paragraph" w:customStyle="1" w:styleId="a0">
    <w:name w:val="附录章标题"/>
    <w:next w:val="afffff1"/>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ff1"/>
    <w:qFormat/>
    <w:pPr>
      <w:numPr>
        <w:ilvl w:val="6"/>
      </w:numPr>
      <w:outlineLvl w:val="6"/>
    </w:pPr>
  </w:style>
  <w:style w:type="paragraph" w:customStyle="1" w:styleId="a4">
    <w:name w:val="附录四级条标题"/>
    <w:basedOn w:val="a3"/>
    <w:next w:val="afffff1"/>
    <w:qFormat/>
    <w:pPr>
      <w:numPr>
        <w:ilvl w:val="5"/>
      </w:numPr>
      <w:outlineLvl w:val="5"/>
    </w:pPr>
  </w:style>
  <w:style w:type="paragraph" w:customStyle="1" w:styleId="a3">
    <w:name w:val="附录三级条标题"/>
    <w:basedOn w:val="a2"/>
    <w:next w:val="afffff1"/>
    <w:qFormat/>
    <w:pPr>
      <w:numPr>
        <w:ilvl w:val="4"/>
      </w:numPr>
      <w:outlineLvl w:val="4"/>
    </w:pPr>
  </w:style>
  <w:style w:type="paragraph" w:customStyle="1" w:styleId="a2">
    <w:name w:val="附录二级条标题"/>
    <w:basedOn w:val="a1"/>
    <w:next w:val="afffff1"/>
    <w:qFormat/>
    <w:pPr>
      <w:numPr>
        <w:ilvl w:val="3"/>
      </w:numPr>
      <w:outlineLvl w:val="3"/>
    </w:pPr>
  </w:style>
  <w:style w:type="paragraph" w:customStyle="1" w:styleId="a1">
    <w:name w:val="附录一级条标题"/>
    <w:basedOn w:val="a0"/>
    <w:next w:val="afffff1"/>
    <w:qFormat/>
    <w:pPr>
      <w:numPr>
        <w:ilvl w:val="2"/>
      </w:numPr>
      <w:autoSpaceDN w:val="0"/>
      <w:spacing w:beforeLines="0" w:afterLines="0"/>
      <w:outlineLvl w:val="2"/>
    </w:pPr>
  </w:style>
  <w:style w:type="paragraph" w:customStyle="1" w:styleId="p17">
    <w:name w:val="p17"/>
    <w:basedOn w:val="a6"/>
    <w:qFormat/>
    <w:pPr>
      <w:widowControl/>
      <w:ind w:firstLine="420"/>
    </w:pPr>
    <w:rPr>
      <w:rFonts w:ascii="宋体" w:hAnsi="宋体" w:cs="宋体"/>
      <w:kern w:val="0"/>
      <w:szCs w:val="21"/>
    </w:rPr>
  </w:style>
  <w:style w:type="paragraph" w:customStyle="1" w:styleId="p0">
    <w:name w:val="p0"/>
    <w:basedOn w:val="a6"/>
    <w:qFormat/>
    <w:pPr>
      <w:widowControl/>
    </w:pPr>
    <w:rPr>
      <w:kern w:val="0"/>
      <w:szCs w:val="21"/>
    </w:rPr>
  </w:style>
  <w:style w:type="paragraph" w:customStyle="1" w:styleId="15">
    <w:name w:val="修订1"/>
    <w:hidden/>
    <w:uiPriority w:val="99"/>
    <w:semiHidden/>
    <w:qFormat/>
    <w:rPr>
      <w:kern w:val="2"/>
      <w:sz w:val="21"/>
      <w:szCs w:val="24"/>
    </w:rPr>
  </w:style>
  <w:style w:type="paragraph" w:styleId="affffff9">
    <w:name w:val="Revision"/>
    <w:hidden/>
    <w:uiPriority w:val="99"/>
    <w:semiHidden/>
    <w:rsid w:val="00321FE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B6548-C860-42EF-9286-AF6EB0330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7</Pages>
  <Words>962</Words>
  <Characters>5484</Characters>
  <Application>Microsoft Office Word</Application>
  <DocSecurity>0</DocSecurity>
  <Lines>45</Lines>
  <Paragraphs>12</Paragraphs>
  <ScaleCrop>false</ScaleCrop>
  <Company>www.xunchi.com</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dg</cp:lastModifiedBy>
  <cp:revision>111</cp:revision>
  <cp:lastPrinted>2018-08-20T12:57:00Z</cp:lastPrinted>
  <dcterms:created xsi:type="dcterms:W3CDTF">2020-11-30T07:58:00Z</dcterms:created>
  <dcterms:modified xsi:type="dcterms:W3CDTF">2023-02-21T06:04:00Z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91FAA315E05A40A192F0831A3BA987E7</vt:lpwstr>
  </property>
</Properties>
</file>