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8"/>
      </w:pPr>
      <w:bookmarkStart w:id="0" w:name="SectionMark0"/>
      <w:r>
        <w:drawing>
          <wp:anchor distT="0" distB="0" distL="114300" distR="114300" simplePos="0" relativeHeight="251662336"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t>【】‘</w:t>
      </w:r>
    </w:p>
    <w:p>
      <w:pPr>
        <w:pStyle w:val="58"/>
        <w:tabs>
          <w:tab w:val="left" w:pos="8260"/>
        </w:tabs>
      </w:pPr>
      <w:r>
        <w:tab/>
      </w:r>
      <w:r>
        <w:br w:type="textWrapping"/>
      </w: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0288;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99nS9UAAAALAQAADwAAAAAAAAABACAAAAAiAAAAZHJzL2Rvd25yZXYu&#10;eG1sUEsBAhQAFAAAAAgAh07iQLx6NRbFAQAAhAMAAA4AAAAAAAAAAQAgAAAAJAEAAGRycy9lMm9E&#10;b2MueG1sUEsFBgAAAAAGAAYAWQEAAFs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59264;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1VZ07UAAAACAEAAA8AAAAAAAAAAQAgAAAAIgAAAGRycy9kb3ducmV2&#10;LnhtbFBLAQIUABQAAAAIAIdO4kDfOqRvxwEAAIQDAAAOAAAAAAAAAAEAIAAAACMBAABkcnMvZTJv&#10;RG9jLnhtbFBLBQYAAAAABgAGAFkBAABc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58240;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oAEsPZAAAADQEAAA8A&#10;AAAAAAAAAQAgAAAAIgAAAGRycy9kb3ducmV2LnhtbFBLAQIUABQAAAAIAIdO4kBqy3AwpAEAAEoD&#10;AAAOAAAAAAAAAAEAIAAAACgBAABkcnMvZTJvRG9jLnhtbFBLBQYAAAAABgAGAFkBAAA+BQ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57216;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Dnds9gAAAALAQAADwAA&#10;AAAAAAABACAAAAAiAAAAZHJzL2Rvd25yZXYueG1sUEsBAhQAFAAAAAgAh07iQAGf/GukAQAASgMA&#10;AA4AAAAAAAAAAQAgAAAAJwEAAGRycy9lMm9Eb2MueG1sUEsFBgAAAAAGAAYAWQEAAD0FA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eastAsia="黑体"/>
                                <w:szCs w:val="28"/>
                              </w:rPr>
                            </w:pPr>
                            <w:r>
                              <w:rPr>
                                <w:rFonts w:eastAsia="黑体"/>
                                <w:szCs w:val="28"/>
                              </w:rPr>
                              <w:t>N</w:t>
                            </w:r>
                            <w:r>
                              <w:rPr>
                                <w:rFonts w:hint="eastAsia" w:eastAsia="黑体"/>
                                <w:szCs w:val="28"/>
                              </w:rPr>
                              <w:t>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rPr>
                              <w:t>标准草案</w:t>
                            </w:r>
                            <w:r>
                              <w:rPr>
                                <w:rFonts w:ascii="黑体" w:hAnsi="黑体" w:eastAsia="黑体" w:cs="黑体"/>
                                <w:szCs w:val="28"/>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619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Xn3HYAAAACQEAAA8A&#10;AAAAAAAAAQAgAAAAIgAAAGRycy9kb3ducmV2LnhtbFBLAQIUABQAAAAIAIdO4kCFkWnGpQEAAEsD&#10;AAAOAAAAAAAAAAEAIAAAACcBAABkcnMvZTJvRG9jLnhtbFBLBQYAAAAABgAGAFkBAAA+BQAAAAA=&#10;">
                <v:fill on="t" focussize="0,0"/>
                <v:stroke on="f"/>
                <v:imagedata o:title=""/>
                <o:lock v:ext="edit" aspectratio="f"/>
                <v:textbox inset="0mm,0mm,0mm,0mm">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eastAsia="黑体"/>
                          <w:szCs w:val="28"/>
                        </w:rPr>
                      </w:pPr>
                      <w:r>
                        <w:rPr>
                          <w:rFonts w:eastAsia="黑体"/>
                          <w:szCs w:val="28"/>
                        </w:rPr>
                        <w:t>N</w:t>
                      </w:r>
                      <w:r>
                        <w:rPr>
                          <w:rFonts w:hint="eastAsia" w:eastAsia="黑体"/>
                          <w:szCs w:val="28"/>
                        </w:rPr>
                        <w:t>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rPr>
                        <w:t>标准草案</w:t>
                      </w:r>
                      <w:r>
                        <w:rPr>
                          <w:rFonts w:ascii="黑体" w:hAnsi="黑体" w:eastAsia="黑体" w:cs="黑体"/>
                          <w:szCs w:val="28"/>
                        </w:rPr>
                        <w:t>）</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7" w:name="OLE_LINK5"/>
                            <w:bookmarkStart w:id="8" w:name="OLE_LINK6"/>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55168;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39uRnYAAAACAEAAA8AAAAA&#10;AAAAAQAgAAAAIgAAAGRycy9kb3ducmV2LnhtbFBLAQIUABQAAAAIAIdO4kCrUbOxogEAAEoDAAAO&#10;AAAAAAAAAAEAIAAAACcBAABkcnMvZTJvRG9jLnhtbFBLBQYAAAAABgAGAFkBAAA7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7" w:name="OLE_LINK5"/>
                      <w:bookmarkStart w:id="8" w:name="OLE_LINK6"/>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54144;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i0NVdcAAAAIAQAADwAAAAAA&#10;AAABACAAAAAiAAAAZHJzL2Rvd25yZXYueG1sUEsBAhQAFAAAAAgAh07iQJwSDJ+iAQAASgMAAA4A&#10;AAAAAAAAAQAgAAAAJgEAAGRycy9lMm9Eb2MueG1sUEsFBgAAAAAGAAYAWQEAADoFA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77.120.40</w:t>
                            </w:r>
                          </w:p>
                          <w:p>
                            <w:pPr>
                              <w:rPr>
                                <w:rFonts w:eastAsia="黑体"/>
                              </w:rPr>
                            </w:pPr>
                            <w:r>
                              <w:rPr>
                                <w:rFonts w:eastAsia="黑体"/>
                              </w:rPr>
                              <w:t xml:space="preserve">H </w:t>
                            </w:r>
                            <w:r>
                              <w:rPr>
                                <w:rFonts w:hint="eastAsia" w:eastAsia="黑体"/>
                              </w:rPr>
                              <w:t>60/69</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3120;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tN1h1QAAAAUBAAAPAAAAAAAA&#10;AAEAIAAAACIAAABkcnMvZG93bnJldi54bWxQSwECFAAUAAAACACHTuJAj++WuqMBAABKAwAADgAA&#10;AAAAAAABACAAAAAkAQAAZHJzL2Uyb0RvYy54bWxQSwUGAAAAAAYABgBZAQAAOQUAAAAA&#10;">
                <v:fill on="t" focussize="0,0"/>
                <v:stroke on="f"/>
                <v:imagedata o:title=""/>
                <o:lock v:ext="edit" aspectratio="f"/>
                <v:textbox inset="0mm,0mm,0mm,0mm">
                  <w:txbxContent>
                    <w:p>
                      <w:pPr>
                        <w:rPr>
                          <w:rFonts w:eastAsia="黑体"/>
                        </w:rPr>
                      </w:pPr>
                      <w:r>
                        <w:rPr>
                          <w:rFonts w:eastAsia="黑体"/>
                        </w:rPr>
                        <w:t>ICS 77.120.40</w:t>
                      </w:r>
                    </w:p>
                    <w:p>
                      <w:pPr>
                        <w:rPr>
                          <w:rFonts w:eastAsia="黑体"/>
                        </w:rPr>
                      </w:pPr>
                      <w:r>
                        <w:rPr>
                          <w:rFonts w:eastAsia="黑体"/>
                        </w:rPr>
                        <w:t xml:space="preserve">H </w:t>
                      </w:r>
                      <w:r>
                        <w:rPr>
                          <w:rFonts w:hint="eastAsia" w:eastAsia="黑体"/>
                        </w:rPr>
                        <w:t>60/69</w:t>
                      </w:r>
                    </w:p>
                  </w:txbxContent>
                </v:textbox>
                <w10:anchorlock/>
              </v:shape>
            </w:pict>
          </mc:Fallback>
        </mc:AlternateContent>
      </w:r>
      <w:r>
        <w:t>T</w: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1312;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Hu82QAAAAwBAAAPAAAAAAAAAAEAIAAAACIAAABkcnMvZG93bnJl&#10;di54bWxQSwECFAAUAAAACACHTuJAGPFZr/wBAAAHBAAADgAAAAAAAAABACAAAAAoAQAAZHJzL2Uy&#10;b0RvYy54bWxQSwUGAAAAAAYABgBZAQAAlgUAAA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spacing w:before="640" w:after="560"/>
        <w:ind w:firstLine="0" w:firstLineChars="0"/>
        <w:jc w:val="center"/>
        <w:rPr>
          <w:rFonts w:ascii="Times New Roman"/>
          <w:szCs w:val="21"/>
        </w:rPr>
      </w:pPr>
      <w:bookmarkStart w:id="1" w:name="SectionMark2"/>
      <w:r>
        <w:rPr>
          <w:rFonts w:ascii="Times New Roman" w:eastAsia="黑体"/>
          <w:sz w:val="32"/>
          <w:szCs w:val="32"/>
        </w:rPr>
        <w:t>前  言</w:t>
      </w:r>
      <w:bookmarkStart w:id="9" w:name="_GoBack"/>
      <w:bookmarkEnd w:id="9"/>
    </w:p>
    <w:p>
      <w:pPr>
        <w:spacing w:line="240" w:lineRule="auto"/>
        <w:ind w:firstLine="420" w:firstLineChars="200"/>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2"/>
        <w:spacing w:line="240" w:lineRule="auto"/>
        <w:ind w:firstLine="420"/>
        <w:rPr>
          <w:rFonts w:ascii="Times New Roman"/>
          <w:kern w:val="2"/>
          <w:szCs w:val="24"/>
        </w:rPr>
      </w:pPr>
      <w:r>
        <w:rPr>
          <w:rFonts w:ascii="Times New Roman"/>
          <w:kern w:val="2"/>
          <w:szCs w:val="24"/>
        </w:rPr>
        <w:t>请注意本文件的某些内容可能涉及专利。本文件的发布机构不承担识别专利的责任。</w:t>
      </w:r>
    </w:p>
    <w:p>
      <w:pPr>
        <w:pStyle w:val="32"/>
        <w:spacing w:line="240" w:lineRule="auto"/>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spacing w:line="240" w:lineRule="auto"/>
        <w:ind w:firstLine="420"/>
        <w:rPr>
          <w:rFonts w:ascii="Times New Roman"/>
          <w:kern w:val="2"/>
          <w:szCs w:val="24"/>
        </w:rPr>
      </w:pPr>
      <w:r>
        <w:rPr>
          <w:rFonts w:ascii="Times New Roman"/>
          <w:kern w:val="2"/>
          <w:szCs w:val="24"/>
        </w:rPr>
        <w:t>本文件起草单位：</w:t>
      </w:r>
      <w:r>
        <w:rPr>
          <w:rFonts w:hint="eastAsia" w:ascii="Times New Roman"/>
          <w:kern w:val="2"/>
          <w:szCs w:val="24"/>
        </w:rPr>
        <w:t>衢州华友钴新材料有限公司、金川集团股份有限公司、浙江华友钴业股份有限公司、</w:t>
      </w:r>
      <w:r>
        <w:rPr>
          <w:rFonts w:hint="eastAsia" w:ascii="Times New Roman"/>
          <w:kern w:val="2"/>
          <w:szCs w:val="24"/>
          <w:lang w:eastAsia="zh-CN"/>
        </w:rPr>
        <w:t>衢州华友资源再生科技有限公司、</w:t>
      </w:r>
      <w:r>
        <w:rPr>
          <w:rFonts w:hint="eastAsia" w:ascii="Times New Roman"/>
          <w:kern w:val="2"/>
          <w:szCs w:val="24"/>
        </w:rPr>
        <w:t>北方矿业有限责任公司、中伟新材料股份有限公司</w:t>
      </w:r>
      <w:r>
        <w:rPr>
          <w:rFonts w:hint="eastAsia" w:ascii="Times New Roman"/>
          <w:kern w:val="2"/>
          <w:szCs w:val="24"/>
          <w:lang w:eastAsia="zh-CN"/>
        </w:rPr>
        <w:t>、</w:t>
      </w:r>
      <w:r>
        <w:rPr>
          <w:rFonts w:hint="eastAsia" w:ascii="Times New Roman"/>
          <w:kern w:val="2"/>
          <w:szCs w:val="24"/>
        </w:rPr>
        <w:t>广东邦普循环科技有限公司、格林美股份有限公司、甘肃高能中色环保科技有限公司、长沙矿冶研究院有限责任公司。</w:t>
      </w:r>
    </w:p>
    <w:p>
      <w:pPr>
        <w:spacing w:line="240" w:lineRule="auto"/>
        <w:ind w:firstLine="420" w:firstLineChars="200"/>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p>
    <w:p>
      <w:pPr>
        <w:pStyle w:val="45"/>
        <w:spacing w:line="400" w:lineRule="exact"/>
        <w:rPr>
          <w:rFonts w:ascii="Times New Roman"/>
        </w:rPr>
      </w:pPr>
      <w:bookmarkStart w:id="3" w:name="_Toc65050653"/>
      <w:bookmarkStart w:id="4" w:name="_Toc55210702"/>
      <w:r>
        <w:rPr>
          <w:rFonts w:hint="eastAsia" w:ascii="Times New Roman"/>
        </w:rPr>
        <w:t>镍  锍</w:t>
      </w:r>
    </w:p>
    <w:p>
      <w:pPr>
        <w:pStyle w:val="42"/>
        <w:spacing w:before="312" w:beforeLines="100" w:after="312" w:afterLines="100"/>
        <w:rPr>
          <w:rFonts w:hint="eastAsia" w:ascii="黑体" w:hAnsi="黑体" w:cs="黑体"/>
        </w:rPr>
      </w:pPr>
      <w:r>
        <w:rPr>
          <w:rFonts w:hint="eastAsia" w:ascii="黑体" w:hAnsi="黑体" w:cs="黑体"/>
          <w:bCs/>
        </w:rPr>
        <w:t xml:space="preserve">1  </w:t>
      </w:r>
      <w:r>
        <w:rPr>
          <w:rFonts w:hint="eastAsia" w:ascii="黑体" w:hAnsi="黑体" w:cs="黑体"/>
        </w:rPr>
        <w:t>范围</w:t>
      </w:r>
      <w:bookmarkEnd w:id="3"/>
      <w:bookmarkEnd w:id="4"/>
    </w:p>
    <w:p>
      <w:pPr>
        <w:ind w:firstLine="420"/>
      </w:pPr>
      <w:r>
        <w:t>本标准规定了</w:t>
      </w:r>
      <w:r>
        <w:rPr>
          <w:rFonts w:hint="eastAsia"/>
        </w:rPr>
        <w:t>镍锍</w:t>
      </w:r>
      <w:r>
        <w:t>的</w:t>
      </w:r>
      <w:r>
        <w:rPr>
          <w:rFonts w:hint="eastAsia"/>
          <w:lang w:eastAsia="zh-CN"/>
        </w:rPr>
        <w:t>分型、</w:t>
      </w:r>
      <w:r>
        <w:t>技术要求、试验方法、检验规则、标志、</w:t>
      </w:r>
      <w:r>
        <w:rPr>
          <w:rFonts w:hint="eastAsia"/>
        </w:rPr>
        <w:t>包装、</w:t>
      </w:r>
      <w:r>
        <w:t>运输、贮存、</w:t>
      </w:r>
      <w:r>
        <w:rPr>
          <w:rFonts w:hint="eastAsia"/>
        </w:rPr>
        <w:t>随行文件</w:t>
      </w:r>
      <w:r>
        <w:t>及订货单内容。</w:t>
      </w:r>
    </w:p>
    <w:p>
      <w:pPr>
        <w:ind w:firstLine="420"/>
      </w:pPr>
      <w:r>
        <w:rPr>
          <w:rFonts w:hint="eastAsia"/>
        </w:rPr>
        <w:t>本文件适用于含镍矿料、废锂离子电池料等含镍废料经火法冶炼工艺生产的镍锍产品，</w:t>
      </w:r>
      <w:r>
        <w:rPr>
          <w:rFonts w:hint="eastAsia"/>
          <w:lang w:eastAsia="zh-CN"/>
        </w:rPr>
        <w:t>包括低镍锍、中镍锍和高镍锍，作为</w:t>
      </w:r>
      <w:r>
        <w:rPr>
          <w:rFonts w:hint="eastAsia"/>
        </w:rPr>
        <w:t>镍湿法冶炼的原料</w:t>
      </w:r>
      <w:r>
        <w:t>。</w:t>
      </w:r>
    </w:p>
    <w:p>
      <w:pPr>
        <w:spacing w:before="312" w:beforeLines="100" w:after="312" w:afterLines="100"/>
        <w:rPr>
          <w:rFonts w:hint="eastAsia" w:ascii="黑体" w:hAnsi="黑体" w:eastAsia="黑体" w:cs="黑体"/>
          <w:bCs/>
        </w:rPr>
      </w:pPr>
      <w:r>
        <w:rPr>
          <w:rFonts w:hint="eastAsia" w:ascii="黑体" w:hAnsi="黑体" w:eastAsia="黑体" w:cs="黑体"/>
          <w:bCs/>
        </w:rPr>
        <w:t>2  规范性引用文件</w:t>
      </w:r>
    </w:p>
    <w:p>
      <w:pPr>
        <w:spacing w:line="240" w:lineRule="auto"/>
        <w:ind w:firstLine="420"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spacing w:line="240" w:lineRule="auto"/>
        <w:ind w:firstLine="420" w:firstLineChars="200"/>
        <w:rPr>
          <w:rFonts w:hint="default" w:ascii="Times New Roman" w:hAnsi="Times New Roman" w:cs="Times New Roman" w:eastAsiaTheme="minorEastAsia"/>
          <w:i w:val="0"/>
          <w:caps w:val="0"/>
          <w:spacing w:val="0"/>
          <w:sz w:val="21"/>
          <w:szCs w:val="20"/>
          <w:highlight w:val="none"/>
          <w:shd w:val="clear"/>
        </w:rPr>
      </w:pPr>
      <w:r>
        <w:rPr>
          <w:rFonts w:hint="default" w:ascii="Times New Roman" w:hAnsi="Times New Roman" w:eastAsiaTheme="minorEastAsia"/>
          <w:szCs w:val="20"/>
          <w:highlight w:val="none"/>
        </w:rPr>
        <w:t>GB/T 3884.18</w:t>
      </w:r>
      <w:r>
        <w:rPr>
          <w:rFonts w:hint="eastAsia" w:ascii="Times New Roman" w:hAnsi="Times New Roman" w:eastAsiaTheme="minorEastAsia"/>
          <w:szCs w:val="20"/>
          <w:highlight w:val="none"/>
          <w:lang w:eastAsia="zh-CN"/>
        </w:rPr>
        <w:t xml:space="preserve">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 xml:space="preserve">铜精矿化学分析方法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 xml:space="preserve">第18部分：砷、锑、铋、铅、锌、镍、镉、钴、氧化镁、氧化钙量的测定 </w:t>
      </w:r>
      <w:r>
        <w:rPr>
          <w:rFonts w:hint="eastAsia" w:ascii="Times New Roman" w:hAnsi="Times New Roman" w:eastAsiaTheme="minorEastAsia"/>
          <w:szCs w:val="20"/>
          <w:highlight w:val="none"/>
          <w:lang w:val="en-US" w:eastAsia="zh-CN"/>
        </w:rPr>
        <w:t xml:space="preserve"> </w:t>
      </w:r>
      <w:r>
        <w:rPr>
          <w:rFonts w:hint="default" w:ascii="Times New Roman" w:hAnsi="Times New Roman" w:eastAsiaTheme="minorEastAsia"/>
          <w:szCs w:val="20"/>
          <w:highlight w:val="none"/>
        </w:rPr>
        <w:t>电感耦合等离子体原子发射光谱法</w:t>
      </w:r>
    </w:p>
    <w:p>
      <w:pPr>
        <w:pStyle w:val="2"/>
        <w:spacing w:line="240" w:lineRule="auto"/>
        <w:ind w:firstLine="420" w:firstLineChars="200"/>
        <w:rPr>
          <w:rFonts w:hint="default" w:ascii="Times New Roman"/>
          <w:szCs w:val="22"/>
          <w:lang w:val="en-US" w:eastAsia="zh-CN"/>
        </w:rPr>
      </w:pPr>
      <w:r>
        <w:rPr>
          <w:rFonts w:hint="eastAsia" w:ascii="Times New Roman" w:eastAsia="宋体"/>
          <w:color w:val="000000"/>
          <w:szCs w:val="22"/>
          <w:lang w:bidi="zh-CN"/>
        </w:rPr>
        <w:t>GB/T 8170</w:t>
      </w:r>
      <w:r>
        <w:rPr>
          <w:rFonts w:hint="eastAsia" w:ascii="Times New Roman" w:eastAsia="宋体"/>
          <w:color w:val="000000"/>
          <w:szCs w:val="22"/>
          <w:lang w:val="en-US" w:bidi="zh-CN"/>
        </w:rPr>
        <w:t xml:space="preserve">  </w:t>
      </w:r>
      <w:r>
        <w:rPr>
          <w:rFonts w:hint="eastAsia" w:ascii="Times New Roman" w:hAnsi="Calibri"/>
          <w:szCs w:val="22"/>
          <w:highlight w:val="none"/>
        </w:rPr>
        <w:t>数值修约规则与极限数值的表示和判定</w:t>
      </w:r>
    </w:p>
    <w:p>
      <w:pPr>
        <w:pStyle w:val="2"/>
        <w:spacing w:line="240" w:lineRule="auto"/>
        <w:ind w:firstLine="420" w:firstLineChars="200"/>
        <w:rPr>
          <w:rFonts w:hint="eastAsia" w:ascii="Times New Roman"/>
          <w:szCs w:val="22"/>
          <w:lang w:val="en-US" w:eastAsia="zh-CN"/>
        </w:rPr>
      </w:pPr>
      <w:r>
        <w:rPr>
          <w:rFonts w:hint="eastAsia" w:ascii="Times New Roman"/>
          <w:szCs w:val="22"/>
          <w:lang w:val="en-US" w:eastAsia="zh-CN"/>
        </w:rPr>
        <w:t>GB T 14260  散装重有色金属浮选精矿取样、制样通则</w:t>
      </w:r>
    </w:p>
    <w:p>
      <w:pPr>
        <w:pStyle w:val="2"/>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ascii="Times New Roman" w:hAnsi="Times New Roman" w:cs="Times New Roman" w:eastAsiaTheme="minorEastAsia"/>
          <w:i w:val="0"/>
          <w:caps w:val="0"/>
          <w:spacing w:val="0"/>
          <w:sz w:val="21"/>
          <w:szCs w:val="20"/>
          <w:highlight w:val="none"/>
          <w:shd w:val="clear"/>
        </w:rPr>
        <w:t xml:space="preserve">YS/T 252.1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 xml:space="preserve">高镍锍化学分析方法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 xml:space="preserve">镍量的测定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丁二酮肟重量法</w:t>
      </w:r>
    </w:p>
    <w:p>
      <w:pPr>
        <w:pStyle w:val="2"/>
        <w:spacing w:line="240" w:lineRule="auto"/>
        <w:ind w:firstLine="420" w:firstLineChars="200"/>
        <w:rPr>
          <w:rFonts w:hint="eastAsia" w:ascii="Times New Roman" w:hAnsi="Times New Roman" w:cs="Times New Roman" w:eastAsiaTheme="minorEastAsia"/>
          <w:i w:val="0"/>
          <w:caps w:val="0"/>
          <w:spacing w:val="0"/>
          <w:sz w:val="21"/>
          <w:szCs w:val="20"/>
          <w:highlight w:val="none"/>
          <w:shd w:val="clear"/>
          <w:lang w:val="en-US" w:eastAsia="zh-CN"/>
        </w:rPr>
      </w:pPr>
      <w:r>
        <w:rPr>
          <w:rFonts w:hint="eastAsia" w:ascii="Times New Roman" w:hAnsi="Times New Roman" w:cs="Times New Roman" w:eastAsiaTheme="minorEastAsia"/>
          <w:i w:val="0"/>
          <w:caps w:val="0"/>
          <w:spacing w:val="0"/>
          <w:sz w:val="21"/>
          <w:szCs w:val="20"/>
          <w:highlight w:val="none"/>
          <w:shd w:val="clear"/>
          <w:lang w:val="en-US" w:eastAsia="zh-CN"/>
        </w:rPr>
        <w:t>YS/T 252.2  高镍锍化学分析方法  铁量的测定  磺基水杨酸光度法</w:t>
      </w:r>
    </w:p>
    <w:p>
      <w:pPr>
        <w:pStyle w:val="2"/>
        <w:spacing w:line="240" w:lineRule="auto"/>
        <w:ind w:firstLine="420" w:firstLineChars="200"/>
        <w:rPr>
          <w:rFonts w:hint="eastAsia" w:ascii="Times New Roman" w:hAnsi="Times New Roman" w:cs="Times New Roman" w:eastAsiaTheme="minorEastAsia"/>
          <w:i w:val="0"/>
          <w:caps w:val="0"/>
          <w:spacing w:val="0"/>
          <w:sz w:val="21"/>
          <w:szCs w:val="20"/>
          <w:highlight w:val="none"/>
          <w:shd w:val="clear"/>
          <w:lang w:val="en-US" w:eastAsia="zh-CN"/>
        </w:rPr>
      </w:pPr>
      <w:r>
        <w:rPr>
          <w:rFonts w:hint="eastAsia" w:ascii="Times New Roman" w:hAnsi="Times New Roman" w:cs="Times New Roman" w:eastAsiaTheme="minorEastAsia"/>
          <w:i w:val="0"/>
          <w:caps w:val="0"/>
          <w:spacing w:val="0"/>
          <w:sz w:val="21"/>
          <w:szCs w:val="20"/>
          <w:highlight w:val="none"/>
          <w:shd w:val="clear"/>
          <w:lang w:val="en-US" w:eastAsia="zh-CN"/>
        </w:rPr>
        <w:t>YS/T 252.3  高镍锍化学分析方法  钴量的测定  火焰原子吸收光谱法</w:t>
      </w:r>
    </w:p>
    <w:p>
      <w:pPr>
        <w:pStyle w:val="2"/>
        <w:spacing w:line="240" w:lineRule="auto"/>
        <w:ind w:firstLine="420" w:firstLineChars="200"/>
        <w:rPr>
          <w:rFonts w:hint="eastAsia" w:ascii="Times New Roman" w:hAnsi="Times New Roman" w:cs="Times New Roman" w:eastAsiaTheme="minorEastAsia"/>
          <w:i w:val="0"/>
          <w:caps w:val="0"/>
          <w:spacing w:val="0"/>
          <w:sz w:val="21"/>
          <w:szCs w:val="20"/>
          <w:highlight w:val="none"/>
          <w:shd w:val="clear"/>
          <w:lang w:val="en-US" w:eastAsia="zh-CN"/>
        </w:rPr>
      </w:pPr>
      <w:r>
        <w:rPr>
          <w:rFonts w:ascii="Times New Roman" w:hAnsi="Times New Roman" w:cs="Times New Roman" w:eastAsiaTheme="minorEastAsia"/>
          <w:i w:val="0"/>
          <w:caps w:val="0"/>
          <w:spacing w:val="0"/>
          <w:sz w:val="21"/>
          <w:szCs w:val="20"/>
          <w:highlight w:val="none"/>
          <w:shd w:val="clear"/>
        </w:rPr>
        <w:t>YS/T 252.4</w:t>
      </w:r>
      <w:r>
        <w:rPr>
          <w:rFonts w:hint="eastAsia" w:ascii="Times New Roman" w:hAnsi="Times New Roman" w:cs="Times New Roman" w:eastAsiaTheme="minorEastAsia"/>
          <w:i w:val="0"/>
          <w:caps w:val="0"/>
          <w:spacing w:val="0"/>
          <w:sz w:val="21"/>
          <w:szCs w:val="20"/>
          <w:highlight w:val="none"/>
          <w:shd w:val="clear"/>
          <w:lang w:val="en-US" w:eastAsia="zh-CN"/>
        </w:rPr>
        <w:t xml:space="preserve">  高镍锍化学分析方法  铜量的测定  硫代硫酸钠滴定法</w:t>
      </w:r>
    </w:p>
    <w:p>
      <w:pPr>
        <w:pStyle w:val="2"/>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hint="eastAsia" w:ascii="Times New Roman" w:hAnsi="Times New Roman" w:cs="Times New Roman" w:eastAsiaTheme="minorEastAsia"/>
          <w:i w:val="0"/>
          <w:caps w:val="0"/>
          <w:spacing w:val="0"/>
          <w:sz w:val="21"/>
          <w:szCs w:val="20"/>
          <w:highlight w:val="none"/>
          <w:shd w:val="clear"/>
        </w:rPr>
        <w:t>YS/T 252.5</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eastAsia" w:ascii="Times New Roman" w:hAnsi="Times New Roman" w:cs="Times New Roman" w:eastAsiaTheme="minorEastAsia"/>
          <w:i w:val="0"/>
          <w:caps w:val="0"/>
          <w:spacing w:val="0"/>
          <w:sz w:val="21"/>
          <w:szCs w:val="20"/>
          <w:highlight w:val="none"/>
          <w:shd w:val="clear"/>
        </w:rPr>
        <w:t>高镍锍化学分析方法</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eastAsia" w:ascii="Times New Roman" w:hAnsi="Times New Roman" w:cs="Times New Roman" w:eastAsiaTheme="minorEastAsia"/>
          <w:i w:val="0"/>
          <w:caps w:val="0"/>
          <w:spacing w:val="0"/>
          <w:sz w:val="21"/>
          <w:szCs w:val="20"/>
          <w:highlight w:val="none"/>
          <w:shd w:val="clear"/>
        </w:rPr>
        <w:t>硫量的测定</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eastAsia" w:ascii="Times New Roman" w:hAnsi="Times New Roman" w:cs="Times New Roman" w:eastAsiaTheme="minorEastAsia"/>
          <w:i w:val="0"/>
          <w:caps w:val="0"/>
          <w:spacing w:val="0"/>
          <w:sz w:val="21"/>
          <w:szCs w:val="20"/>
          <w:highlight w:val="none"/>
          <w:shd w:val="clear"/>
        </w:rPr>
        <w:t>燃烧-中和滴定法</w:t>
      </w:r>
    </w:p>
    <w:p>
      <w:pPr>
        <w:pStyle w:val="2"/>
        <w:spacing w:line="240" w:lineRule="auto"/>
        <w:ind w:firstLine="420" w:firstLineChars="200"/>
        <w:rPr>
          <w:rFonts w:hint="default" w:ascii="Times New Roman" w:hAnsi="Times New Roman" w:cs="Times New Roman" w:eastAsiaTheme="minorEastAsia"/>
          <w:i w:val="0"/>
          <w:caps w:val="0"/>
          <w:spacing w:val="0"/>
          <w:sz w:val="21"/>
          <w:szCs w:val="20"/>
          <w:highlight w:val="none"/>
          <w:shd w:val="clear"/>
        </w:rPr>
      </w:pPr>
      <w:r>
        <w:rPr>
          <w:rStyle w:val="19"/>
          <w:rFonts w:hint="eastAsia" w:ascii="Times New Roman" w:hAnsi="Times New Roman" w:cs="Times New Roman" w:eastAsiaTheme="minorEastAsia"/>
          <w:b w:val="0"/>
          <w:bCs/>
          <w:i w:val="0"/>
          <w:caps w:val="0"/>
          <w:color w:val="000000"/>
          <w:spacing w:val="0"/>
          <w:sz w:val="21"/>
          <w:szCs w:val="20"/>
          <w:highlight w:val="none"/>
          <w:shd w:val="clear" w:fill="auto"/>
        </w:rPr>
        <w:t>YS/T 252.6</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default" w:ascii="Times New Roman" w:hAnsi="Times New Roman" w:cs="Times New Roman" w:eastAsiaTheme="minorEastAsia"/>
          <w:i w:val="0"/>
          <w:caps w:val="0"/>
          <w:spacing w:val="0"/>
          <w:sz w:val="21"/>
          <w:szCs w:val="20"/>
          <w:highlight w:val="none"/>
          <w:shd w:val="clear"/>
        </w:rPr>
        <w:t xml:space="preserve">高镍锍化学分析方法 </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default" w:ascii="Times New Roman" w:hAnsi="Times New Roman" w:cs="Times New Roman" w:eastAsiaTheme="minorEastAsia"/>
          <w:i w:val="0"/>
          <w:caps w:val="0"/>
          <w:spacing w:val="0"/>
          <w:sz w:val="21"/>
          <w:szCs w:val="20"/>
          <w:highlight w:val="none"/>
          <w:shd w:val="clear"/>
        </w:rPr>
        <w:t xml:space="preserve">第6部分：铅、锌和砷含量的测定 </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hint="default" w:ascii="Times New Roman" w:hAnsi="Times New Roman" w:cs="Times New Roman" w:eastAsiaTheme="minorEastAsia"/>
          <w:i w:val="0"/>
          <w:caps w:val="0"/>
          <w:spacing w:val="0"/>
          <w:sz w:val="21"/>
          <w:szCs w:val="20"/>
          <w:highlight w:val="none"/>
          <w:shd w:val="clear"/>
        </w:rPr>
        <w:t>电感耦合等离子体原子发射光谱法</w:t>
      </w:r>
    </w:p>
    <w:p>
      <w:pPr>
        <w:pStyle w:val="2"/>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ascii="Times New Roman" w:hAnsi="Times New Roman" w:cs="Times New Roman" w:eastAsiaTheme="minorEastAsia"/>
          <w:i w:val="0"/>
          <w:caps w:val="0"/>
          <w:spacing w:val="0"/>
          <w:sz w:val="21"/>
          <w:szCs w:val="20"/>
          <w:highlight w:val="none"/>
          <w:shd w:val="clear"/>
        </w:rPr>
        <w:t>YS/T 1085</w:t>
      </w:r>
      <w:r>
        <w:rPr>
          <w:rFonts w:hint="eastAsia" w:ascii="Times New Roman" w:hAnsi="Times New Roman" w:cs="Times New Roman" w:eastAsiaTheme="minorEastAsia"/>
          <w:i w:val="0"/>
          <w:caps w:val="0"/>
          <w:spacing w:val="0"/>
          <w:sz w:val="21"/>
          <w:szCs w:val="20"/>
          <w:highlight w:val="none"/>
          <w:shd w:val="clear"/>
        </w:rPr>
        <w:t xml:space="preserve"> </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ascii="Times New Roman" w:hAnsi="Times New Roman" w:cs="Times New Roman" w:eastAsiaTheme="minorEastAsia"/>
          <w:i w:val="0"/>
          <w:caps w:val="0"/>
          <w:spacing w:val="0"/>
          <w:sz w:val="21"/>
          <w:szCs w:val="20"/>
          <w:highlight w:val="none"/>
          <w:shd w:val="clear"/>
        </w:rPr>
        <w:t xml:space="preserve">精炼镍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 xml:space="preserve">硅、锰、磷、铁、铜、钴、镁、铝、锌、铬含量的测定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电感耦合等离子体发射光谱法</w:t>
      </w:r>
    </w:p>
    <w:p>
      <w:pPr>
        <w:spacing w:before="312" w:beforeLines="100" w:after="312" w:afterLines="100"/>
      </w:pPr>
      <w:r>
        <w:rPr>
          <w:rFonts w:hint="eastAsia" w:ascii="黑体" w:hAnsi="黑体" w:eastAsia="黑体" w:cs="黑体"/>
          <w:bCs/>
        </w:rPr>
        <w:t>3  术语和定义</w:t>
      </w:r>
    </w:p>
    <w:p>
      <w:pPr>
        <w:pStyle w:val="2"/>
        <w:spacing w:before="157" w:beforeLines="50" w:after="157" w:afterLines="50"/>
        <w:rPr>
          <w:rFonts w:hint="eastAsia" w:ascii="黑体" w:hAnsi="黑体" w:eastAsia="黑体" w:cs="黑体"/>
        </w:rPr>
      </w:pPr>
      <w:r>
        <w:rPr>
          <w:rFonts w:hint="eastAsia" w:ascii="黑体" w:hAnsi="黑体" w:eastAsia="黑体" w:cs="黑体"/>
          <w:lang w:eastAsia="zh-CN"/>
        </w:rPr>
        <w:t>3</w:t>
      </w:r>
      <w:r>
        <w:rPr>
          <w:rFonts w:hint="eastAsia" w:ascii="黑体" w:hAnsi="黑体" w:eastAsia="黑体" w:cs="黑体"/>
        </w:rPr>
        <w:t>.1</w:t>
      </w:r>
    </w:p>
    <w:p>
      <w:pPr>
        <w:pStyle w:val="2"/>
        <w:ind w:firstLine="420" w:firstLineChars="200"/>
        <w:rPr>
          <w:rFonts w:hint="eastAsia" w:ascii="黑体" w:hAnsi="黑体" w:eastAsia="黑体" w:cs="黑体"/>
          <w:lang w:eastAsia="zh-CN"/>
        </w:rPr>
      </w:pPr>
      <w:r>
        <w:rPr>
          <w:rFonts w:hint="eastAsia" w:ascii="黑体" w:hAnsi="黑体" w:eastAsia="黑体" w:cs="黑体"/>
          <w:lang w:eastAsia="zh-CN"/>
        </w:rPr>
        <w:t>镍锍</w:t>
      </w:r>
      <w:r>
        <w:rPr>
          <w:rFonts w:hint="eastAsia" w:ascii="黑体" w:hAnsi="黑体" w:eastAsia="黑体" w:cs="黑体"/>
          <w:lang w:val="en-US" w:eastAsia="zh-CN"/>
        </w:rPr>
        <w:t xml:space="preserve">  </w:t>
      </w:r>
      <w:r>
        <w:rPr>
          <w:rFonts w:hint="eastAsia" w:ascii="黑体" w:hAnsi="黑体" w:eastAsia="黑体" w:cs="黑体"/>
          <w:lang w:eastAsia="zh-CN"/>
        </w:rPr>
        <w:t>nickel matte</w:t>
      </w:r>
    </w:p>
    <w:p>
      <w:pPr>
        <w:pStyle w:val="2"/>
        <w:ind w:firstLine="420" w:firstLineChars="200"/>
        <w:rPr>
          <w:rFonts w:hint="eastAsia" w:ascii="宋体" w:hAnsi="宋体" w:eastAsia="宋体" w:cs="宋体"/>
          <w:lang w:eastAsia="zh-CN"/>
        </w:rPr>
      </w:pPr>
      <w:r>
        <w:rPr>
          <w:rFonts w:hint="eastAsia" w:ascii="宋体" w:hAnsi="宋体" w:eastAsia="宋体" w:cs="宋体"/>
          <w:lang w:eastAsia="zh-CN"/>
        </w:rPr>
        <w:t>火法冶炼过程中产出的镍、铜、钴、铁的硫化共熔物。</w:t>
      </w:r>
    </w:p>
    <w:p>
      <w:pPr>
        <w:pStyle w:val="2"/>
        <w:spacing w:before="157" w:beforeLines="50" w:after="157" w:afterLines="50"/>
        <w:rPr>
          <w:rFonts w:hint="eastAsia" w:ascii="宋体" w:hAnsi="宋体" w:eastAsia="宋体" w:cs="宋体"/>
          <w:lang w:eastAsia="zh-CN"/>
        </w:rPr>
      </w:pPr>
      <w:r>
        <w:rPr>
          <w:rFonts w:hint="eastAsia" w:ascii="黑体" w:hAnsi="黑体" w:eastAsia="黑体" w:cs="黑体"/>
          <w:lang w:eastAsia="zh-CN"/>
        </w:rPr>
        <w:t>3</w:t>
      </w:r>
      <w:r>
        <w:rPr>
          <w:rFonts w:hint="eastAsia" w:ascii="黑体" w:hAnsi="黑体" w:eastAsia="黑体" w:cs="黑体"/>
        </w:rPr>
        <w:t>.</w:t>
      </w:r>
      <w:r>
        <w:rPr>
          <w:rFonts w:hint="eastAsia" w:ascii="黑体" w:hAnsi="黑体" w:eastAsia="黑体" w:cs="黑体"/>
          <w:lang w:val="en-US" w:eastAsia="zh-CN"/>
        </w:rPr>
        <w:t>2</w:t>
      </w:r>
    </w:p>
    <w:p>
      <w:pPr>
        <w:pStyle w:val="2"/>
        <w:ind w:firstLine="420" w:firstLineChars="200"/>
        <w:rPr>
          <w:rFonts w:hint="eastAsia" w:ascii="黑体" w:hAnsi="黑体" w:eastAsia="黑体" w:cs="黑体"/>
          <w:lang w:val="en-US" w:eastAsia="zh-CN"/>
        </w:rPr>
      </w:pPr>
      <w:r>
        <w:rPr>
          <w:rFonts w:hint="eastAsia" w:ascii="黑体" w:hAnsi="黑体" w:eastAsia="黑体" w:cs="黑体"/>
          <w:lang w:eastAsia="zh-CN"/>
        </w:rPr>
        <w:t>镍锍粒</w:t>
      </w:r>
      <w:r>
        <w:rPr>
          <w:rFonts w:hint="eastAsia" w:ascii="黑体" w:hAnsi="黑体" w:eastAsia="黑体" w:cs="黑体"/>
          <w:lang w:val="en-US" w:eastAsia="zh-CN"/>
        </w:rPr>
        <w:t xml:space="preserve">  Nickel matte particle</w:t>
      </w:r>
    </w:p>
    <w:p>
      <w:pPr>
        <w:pStyle w:val="6"/>
        <w:ind w:firstLine="420" w:firstLineChars="200"/>
        <w:rPr>
          <w:rFonts w:hint="default" w:ascii="宋体" w:hAnsi="宋体" w:cs="宋体"/>
          <w:lang w:eastAsia="zh-CN"/>
        </w:rPr>
      </w:pPr>
      <w:r>
        <w:rPr>
          <w:rFonts w:hint="eastAsia"/>
        </w:rPr>
        <w:t>镍锍经粒化或冷却破碎后</w:t>
      </w:r>
      <w:r>
        <w:rPr>
          <w:rFonts w:hint="eastAsia"/>
          <w:lang w:eastAsia="zh-CN"/>
        </w:rPr>
        <w:t>具备一定规格的</w:t>
      </w:r>
      <w:r>
        <w:rPr>
          <w:rFonts w:hint="eastAsia"/>
        </w:rPr>
        <w:t>固体</w:t>
      </w:r>
      <w:r>
        <w:rPr>
          <w:rFonts w:hint="eastAsia"/>
          <w:lang w:eastAsia="zh-CN"/>
        </w:rPr>
        <w:t>颗粒</w:t>
      </w:r>
      <w:r>
        <w:rPr>
          <w:rFonts w:hint="eastAsia"/>
        </w:rPr>
        <w:t>。</w:t>
      </w:r>
    </w:p>
    <w:p>
      <w:pPr>
        <w:pStyle w:val="42"/>
        <w:spacing w:before="312" w:beforeLines="100" w:after="312" w:afterLines="100"/>
        <w:rPr>
          <w:rFonts w:hint="eastAsia" w:hAnsi="黑体" w:cs="黑体"/>
          <w:szCs w:val="22"/>
          <w:highlight w:val="none"/>
          <w:lang w:val="en-US" w:eastAsia="zh-CN"/>
        </w:rPr>
      </w:pPr>
      <w:r>
        <w:rPr>
          <w:rFonts w:hint="eastAsia" w:hAnsi="黑体" w:cs="黑体"/>
          <w:szCs w:val="22"/>
          <w:highlight w:val="none"/>
          <w:lang w:val="en-US" w:eastAsia="zh-CN"/>
        </w:rPr>
        <w:t>4  分型</w:t>
      </w:r>
    </w:p>
    <w:p>
      <w:pPr>
        <w:spacing w:line="240" w:lineRule="auto"/>
        <w:ind w:firstLine="420" w:firstLineChars="200"/>
        <w:rPr>
          <w:rFonts w:hint="default"/>
          <w:lang w:val="en-US" w:eastAsia="zh-CN"/>
        </w:rPr>
      </w:pPr>
      <w:r>
        <w:rPr>
          <w:rFonts w:hint="eastAsia"/>
          <w:lang w:val="en-US" w:eastAsia="zh-CN"/>
        </w:rPr>
        <w:t>按镍锍的生产原料不同，将其分为3种型号：</w:t>
      </w:r>
      <w:r>
        <w:rPr>
          <w:rFonts w:hint="eastAsia" w:ascii="宋体" w:hAnsi="宋体" w:eastAsia="宋体" w:cs="宋体"/>
          <w:sz w:val="21"/>
          <w:szCs w:val="21"/>
          <w:lang w:val="en-US" w:eastAsia="zh-CN"/>
        </w:rPr>
        <w:t>Ⅰ</w:t>
      </w:r>
      <w:r>
        <w:rPr>
          <w:rFonts w:hint="eastAsia"/>
          <w:sz w:val="21"/>
          <w:szCs w:val="21"/>
          <w:lang w:val="en-US" w:eastAsia="zh-CN"/>
        </w:rPr>
        <w:t>型（</w:t>
      </w:r>
      <w:r>
        <w:rPr>
          <w:rFonts w:hint="eastAsia"/>
          <w:sz w:val="21"/>
          <w:szCs w:val="21"/>
          <w:lang w:eastAsia="zh-CN"/>
        </w:rPr>
        <w:t>硫化镍矿生产</w:t>
      </w:r>
      <w:r>
        <w:rPr>
          <w:rFonts w:hint="eastAsia"/>
          <w:sz w:val="21"/>
          <w:szCs w:val="21"/>
          <w:lang w:val="en-US" w:eastAsia="zh-CN"/>
        </w:rPr>
        <w:t>）、</w:t>
      </w:r>
      <w:r>
        <w:rPr>
          <w:rFonts w:hint="eastAsia" w:ascii="宋体" w:hAnsi="宋体" w:eastAsia="宋体" w:cs="宋体"/>
          <w:sz w:val="21"/>
          <w:szCs w:val="21"/>
          <w:lang w:val="en-US" w:eastAsia="zh-CN"/>
        </w:rPr>
        <w:t>Ⅱ</w:t>
      </w:r>
      <w:r>
        <w:rPr>
          <w:rFonts w:hint="eastAsia"/>
          <w:sz w:val="21"/>
          <w:szCs w:val="21"/>
          <w:lang w:val="en-US" w:eastAsia="zh-CN"/>
        </w:rPr>
        <w:t>型（</w:t>
      </w:r>
      <w:r>
        <w:rPr>
          <w:rFonts w:hint="eastAsia"/>
          <w:sz w:val="21"/>
          <w:szCs w:val="21"/>
          <w:lang w:eastAsia="zh-CN"/>
        </w:rPr>
        <w:t>红土镍矿生产</w:t>
      </w:r>
      <w:r>
        <w:rPr>
          <w:rFonts w:hint="eastAsia"/>
          <w:sz w:val="21"/>
          <w:szCs w:val="21"/>
          <w:lang w:val="en-US" w:eastAsia="zh-CN"/>
        </w:rPr>
        <w:t>）、</w:t>
      </w:r>
      <w:r>
        <w:rPr>
          <w:rFonts w:hint="eastAsia" w:ascii="宋体" w:hAnsi="宋体" w:eastAsia="宋体" w:cs="宋体"/>
          <w:sz w:val="21"/>
          <w:szCs w:val="21"/>
          <w:lang w:val="en-US" w:eastAsia="zh-CN"/>
        </w:rPr>
        <w:t>Ⅲ</w:t>
      </w:r>
      <w:r>
        <w:rPr>
          <w:rFonts w:hint="eastAsia"/>
          <w:sz w:val="21"/>
          <w:szCs w:val="21"/>
          <w:lang w:val="en-US" w:eastAsia="zh-CN"/>
        </w:rPr>
        <w:t>型</w:t>
      </w:r>
      <w:r>
        <w:rPr>
          <w:rFonts w:hint="eastAsia"/>
          <w:sz w:val="21"/>
          <w:szCs w:val="21"/>
          <w:lang w:eastAsia="zh-CN"/>
        </w:rPr>
        <w:t>（含镍废锂电池料等含镍废料生产）。产品根据化学成分，分为一级品、二级品、三级品。</w:t>
      </w:r>
    </w:p>
    <w:p>
      <w:pPr>
        <w:pStyle w:val="42"/>
        <w:spacing w:before="312" w:beforeLines="100" w:after="312" w:afterLines="100"/>
        <w:rPr>
          <w:rFonts w:hint="eastAsia" w:ascii="黑体" w:hAnsi="黑体" w:cs="黑体"/>
          <w:bCs/>
          <w:szCs w:val="21"/>
        </w:rPr>
      </w:pPr>
      <w:r>
        <w:rPr>
          <w:rFonts w:hint="eastAsia" w:hAnsi="黑体" w:cs="黑体"/>
          <w:szCs w:val="22"/>
          <w:lang w:eastAsia="zh-CN"/>
        </w:rPr>
        <w:t>5</w:t>
      </w:r>
      <w:r>
        <w:rPr>
          <w:rFonts w:hint="eastAsia" w:ascii="黑体" w:hAnsi="黑体" w:cs="黑体"/>
          <w:szCs w:val="22"/>
        </w:rPr>
        <w:t xml:space="preserve">  技术</w:t>
      </w:r>
      <w:r>
        <w:rPr>
          <w:rFonts w:hint="eastAsia" w:ascii="黑体" w:hAnsi="黑体" w:cs="黑体"/>
          <w:bCs/>
          <w:szCs w:val="21"/>
        </w:rPr>
        <w:t>要求</w:t>
      </w:r>
    </w:p>
    <w:p>
      <w:pPr>
        <w:pStyle w:val="32"/>
        <w:spacing w:before="156" w:beforeLines="50" w:after="156" w:afterLines="50"/>
        <w:ind w:firstLine="0" w:firstLineChars="0"/>
        <w:rPr>
          <w:rFonts w:hint="eastAsia" w:ascii="黑体" w:hAnsi="黑体" w:eastAsia="黑体" w:cs="黑体"/>
          <w:szCs w:val="21"/>
        </w:rPr>
      </w:pPr>
      <w:r>
        <w:rPr>
          <w:rFonts w:hint="eastAsia" w:ascii="黑体" w:hAnsi="黑体" w:eastAsia="黑体" w:cs="黑体"/>
          <w:szCs w:val="21"/>
          <w:lang w:eastAsia="zh-CN"/>
        </w:rPr>
        <w:t>5</w:t>
      </w:r>
      <w:r>
        <w:rPr>
          <w:rFonts w:hint="eastAsia" w:ascii="黑体" w:hAnsi="黑体" w:eastAsia="黑体" w:cs="黑体"/>
          <w:szCs w:val="21"/>
        </w:rPr>
        <w:t>.1  化学成分</w:t>
      </w:r>
    </w:p>
    <w:p>
      <w:pPr>
        <w:pStyle w:val="42"/>
        <w:spacing w:beforeLines="0" w:afterLines="0"/>
        <w:ind w:firstLine="420" w:firstLineChars="200"/>
        <w:outlineLvl w:val="9"/>
        <w:rPr>
          <w:rFonts w:hint="eastAsia" w:ascii="黑体" w:hAnsi="黑体" w:eastAsia="黑体" w:cs="黑体"/>
          <w:kern w:val="2"/>
          <w:sz w:val="21"/>
          <w:szCs w:val="21"/>
          <w:lang w:val="en-US" w:bidi="ar-SA"/>
        </w:rPr>
      </w:pPr>
      <w:r>
        <w:rPr>
          <w:rFonts w:ascii="Times New Roman" w:eastAsiaTheme="minorEastAsia"/>
          <w:szCs w:val="21"/>
        </w:rPr>
        <w:t>产品的化学成分应符合表1的规定。</w:t>
      </w:r>
    </w:p>
    <w:p>
      <w:pPr>
        <w:pStyle w:val="71"/>
        <w:autoSpaceDE/>
        <w:autoSpaceDN/>
        <w:spacing w:before="157" w:beforeLines="50" w:after="157" w:afterLines="50"/>
        <w:ind w:right="0" w:firstLine="0" w:firstLineChars="0"/>
        <w:jc w:val="center"/>
        <w:rPr>
          <w:rFonts w:hint="eastAsia" w:ascii="黑体" w:hAnsi="黑体" w:eastAsia="黑体" w:cs="黑体"/>
          <w:kern w:val="2"/>
          <w:sz w:val="21"/>
          <w:szCs w:val="21"/>
          <w:highlight w:val="yellow"/>
          <w:lang w:val="en-US" w:eastAsia="zh-CN" w:bidi="ar-SA"/>
        </w:rPr>
      </w:pPr>
      <w:r>
        <w:rPr>
          <w:rFonts w:hint="eastAsia" w:ascii="黑体" w:hAnsi="黑体" w:eastAsia="黑体" w:cs="黑体"/>
          <w:kern w:val="2"/>
          <w:sz w:val="21"/>
          <w:szCs w:val="21"/>
          <w:lang w:val="en-US" w:bidi="ar-SA"/>
        </w:rPr>
        <w:t>表</w:t>
      </w:r>
      <w:r>
        <w:rPr>
          <w:rFonts w:hint="eastAsia" w:ascii="黑体" w:hAnsi="黑体" w:eastAsia="黑体" w:cs="黑体"/>
          <w:kern w:val="2"/>
          <w:sz w:val="21"/>
          <w:szCs w:val="21"/>
          <w:lang w:val="en-US" w:eastAsia="zh-CN" w:bidi="ar-SA"/>
        </w:rPr>
        <w:t xml:space="preserve"> </w:t>
      </w:r>
      <w:r>
        <w:rPr>
          <w:rFonts w:hint="eastAsia" w:ascii="黑体" w:hAnsi="黑体" w:eastAsia="黑体" w:cs="黑体"/>
          <w:kern w:val="2"/>
          <w:sz w:val="21"/>
          <w:szCs w:val="21"/>
          <w:lang w:val="en-US" w:bidi="ar-SA"/>
        </w:rPr>
        <w:t>1  镍锍化学成分</w:t>
      </w:r>
    </w:p>
    <w:tbl>
      <w:tblPr>
        <w:tblStyle w:val="16"/>
        <w:tblW w:w="9385" w:type="dxa"/>
        <w:jc w:val="center"/>
        <w:tblInd w:w="0" w:type="dxa"/>
        <w:shd w:val="clear" w:color="auto" w:fill="auto"/>
        <w:tblLayout w:type="fixed"/>
        <w:tblCellMar>
          <w:top w:w="0" w:type="dxa"/>
          <w:left w:w="0" w:type="dxa"/>
          <w:bottom w:w="0" w:type="dxa"/>
          <w:right w:w="0" w:type="dxa"/>
        </w:tblCellMar>
      </w:tblPr>
      <w:tblGrid>
        <w:gridCol w:w="763"/>
        <w:gridCol w:w="450"/>
        <w:gridCol w:w="450"/>
        <w:gridCol w:w="466"/>
        <w:gridCol w:w="429"/>
        <w:gridCol w:w="437"/>
        <w:gridCol w:w="405"/>
        <w:gridCol w:w="456"/>
        <w:gridCol w:w="450"/>
        <w:gridCol w:w="414"/>
        <w:gridCol w:w="375"/>
        <w:gridCol w:w="375"/>
        <w:gridCol w:w="375"/>
        <w:gridCol w:w="375"/>
        <w:gridCol w:w="375"/>
        <w:gridCol w:w="450"/>
        <w:gridCol w:w="375"/>
        <w:gridCol w:w="386"/>
        <w:gridCol w:w="375"/>
        <w:gridCol w:w="401"/>
        <w:gridCol w:w="428"/>
        <w:gridCol w:w="375"/>
      </w:tblGrid>
      <w:tr>
        <w:tblPrEx>
          <w:shd w:val="clear" w:color="auto" w:fill="auto"/>
          <w:tblLayout w:type="fixed"/>
          <w:tblCellMar>
            <w:top w:w="0" w:type="dxa"/>
            <w:left w:w="0" w:type="dxa"/>
            <w:bottom w:w="0" w:type="dxa"/>
            <w:right w:w="0" w:type="dxa"/>
          </w:tblCellMar>
        </w:tblPrEx>
        <w:trPr>
          <w:trHeight w:val="260" w:hRule="atLeast"/>
          <w:jc w:val="center"/>
        </w:trPr>
        <w:tc>
          <w:tcPr>
            <w:tcW w:w="9385" w:type="dxa"/>
            <w:gridSpan w:val="22"/>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sz w:val="15"/>
                <w:szCs w:val="15"/>
                <w:lang w:val="en-US" w:eastAsia="zh-CN"/>
              </w:rPr>
            </w:pPr>
            <w:r>
              <w:rPr>
                <w:rFonts w:hint="default" w:ascii="Times New Roman" w:hAnsi="Times New Roman" w:cs="Times New Roman"/>
                <w:i/>
                <w:iCs/>
                <w:sz w:val="15"/>
                <w:szCs w:val="15"/>
                <w:lang w:val="en-US" w:eastAsia="zh-CN"/>
              </w:rPr>
              <w:t>w</w:t>
            </w:r>
            <w:r>
              <w:rPr>
                <w:rFonts w:hint="default" w:ascii="Times New Roman" w:hAnsi="Times New Roman" w:cs="Times New Roman"/>
                <w:sz w:val="15"/>
                <w:szCs w:val="15"/>
                <w:lang w:val="en-US" w:eastAsia="zh-CN"/>
              </w:rPr>
              <w:t>/%</w:t>
            </w:r>
          </w:p>
        </w:tc>
      </w:tr>
      <w:tr>
        <w:tblPrEx>
          <w:tblLayout w:type="fixed"/>
          <w:tblCellMar>
            <w:top w:w="0" w:type="dxa"/>
            <w:left w:w="0" w:type="dxa"/>
            <w:bottom w:w="0" w:type="dxa"/>
            <w:right w:w="0" w:type="dxa"/>
          </w:tblCellMar>
        </w:tblPrEx>
        <w:trPr>
          <w:trHeight w:val="260" w:hRule="atLeast"/>
          <w:jc w:val="center"/>
        </w:trPr>
        <w:tc>
          <w:tcPr>
            <w:tcW w:w="76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项目</w:t>
            </w:r>
          </w:p>
        </w:tc>
        <w:tc>
          <w:tcPr>
            <w:tcW w:w="3093"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i w:val="0"/>
                <w:color w:val="000000"/>
                <w:kern w:val="0"/>
                <w:sz w:val="15"/>
                <w:szCs w:val="15"/>
                <w:u w:val="none"/>
                <w:lang w:val="en-US" w:eastAsia="zh-CN" w:bidi="ar"/>
              </w:rPr>
              <w:t>Ⅰ型</w:t>
            </w:r>
          </w:p>
        </w:tc>
        <w:tc>
          <w:tcPr>
            <w:tcW w:w="273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sz w:val="15"/>
                <w:szCs w:val="15"/>
                <w:lang w:val="en-US" w:eastAsia="zh-CN"/>
              </w:rPr>
              <w:t>Ⅱ</w:t>
            </w:r>
            <w:r>
              <w:rPr>
                <w:rFonts w:hint="eastAsia"/>
                <w:sz w:val="15"/>
                <w:szCs w:val="15"/>
                <w:lang w:val="en-US" w:eastAsia="zh-CN"/>
              </w:rPr>
              <w:t>型</w:t>
            </w:r>
          </w:p>
        </w:tc>
        <w:tc>
          <w:tcPr>
            <w:tcW w:w="2790"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eastAsia" w:ascii="宋体" w:hAnsi="宋体" w:eastAsia="宋体" w:cs="宋体"/>
                <w:sz w:val="15"/>
                <w:szCs w:val="15"/>
                <w:lang w:val="en-US" w:eastAsia="zh-CN"/>
              </w:rPr>
              <w:t>Ⅲ</w:t>
            </w:r>
            <w:r>
              <w:rPr>
                <w:rFonts w:hint="eastAsia"/>
                <w:sz w:val="15"/>
                <w:szCs w:val="15"/>
                <w:lang w:val="en-US" w:eastAsia="zh-CN"/>
              </w:rPr>
              <w:t>型</w:t>
            </w:r>
          </w:p>
        </w:tc>
      </w:tr>
      <w:tr>
        <w:tblPrEx>
          <w:tblLayout w:type="fixed"/>
          <w:tblCellMar>
            <w:top w:w="0" w:type="dxa"/>
            <w:left w:w="0" w:type="dxa"/>
            <w:bottom w:w="0" w:type="dxa"/>
            <w:right w:w="0" w:type="dxa"/>
          </w:tblCellMar>
        </w:tblPrEx>
        <w:trPr>
          <w:trHeight w:val="26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136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高镍锍</w:t>
            </w:r>
          </w:p>
        </w:tc>
        <w:tc>
          <w:tcPr>
            <w:tcW w:w="86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中镍锍</w:t>
            </w:r>
          </w:p>
        </w:tc>
        <w:tc>
          <w:tcPr>
            <w:tcW w:w="86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低镍锍</w:t>
            </w:r>
          </w:p>
        </w:tc>
        <w:tc>
          <w:tcPr>
            <w:tcW w:w="12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高镍锍</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中镍锍</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低镍锍</w:t>
            </w:r>
          </w:p>
        </w:tc>
        <w:tc>
          <w:tcPr>
            <w:tcW w:w="1211"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高镍锍</w:t>
            </w:r>
          </w:p>
        </w:tc>
        <w:tc>
          <w:tcPr>
            <w:tcW w:w="77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中镍锍</w:t>
            </w:r>
          </w:p>
        </w:tc>
        <w:tc>
          <w:tcPr>
            <w:tcW w:w="8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低镍锍</w:t>
            </w:r>
          </w:p>
        </w:tc>
      </w:tr>
      <w:tr>
        <w:tblPrEx>
          <w:tblLayout w:type="fixed"/>
          <w:tblCellMar>
            <w:top w:w="0" w:type="dxa"/>
            <w:left w:w="0" w:type="dxa"/>
            <w:bottom w:w="0" w:type="dxa"/>
            <w:right w:w="0" w:type="dxa"/>
          </w:tblCellMar>
        </w:tblPrEx>
        <w:trPr>
          <w:trHeight w:val="240" w:hRule="atLeast"/>
          <w:jc w:val="center"/>
        </w:trPr>
        <w:tc>
          <w:tcPr>
            <w:tcW w:w="763"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5"/>
                <w:szCs w:val="15"/>
                <w:u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4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三级品</w:t>
            </w:r>
          </w:p>
        </w:tc>
        <w:tc>
          <w:tcPr>
            <w:tcW w:w="4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4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4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4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4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三级品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3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三级品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4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c>
          <w:tcPr>
            <w:tcW w:w="4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一级品</w:t>
            </w:r>
          </w:p>
        </w:tc>
        <w:tc>
          <w:tcPr>
            <w:tcW w:w="3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二级品</w:t>
            </w:r>
          </w:p>
        </w:tc>
      </w:tr>
      <w:tr>
        <w:tblPrEx>
          <w:tblLayout w:type="fixed"/>
          <w:tblCellMar>
            <w:top w:w="0" w:type="dxa"/>
            <w:left w:w="0" w:type="dxa"/>
            <w:bottom w:w="0" w:type="dxa"/>
            <w:right w:w="0" w:type="dxa"/>
          </w:tblCellMar>
        </w:tblPrEx>
        <w:trPr>
          <w:trHeight w:val="26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镍（</w:t>
            </w:r>
            <w:r>
              <w:rPr>
                <w:rStyle w:val="76"/>
                <w:rFonts w:hint="default" w:ascii="Times New Roman" w:hAnsi="Times New Roman" w:eastAsia="宋体" w:cs="Times New Roman"/>
                <w:sz w:val="15"/>
                <w:szCs w:val="15"/>
                <w:lang w:val="en-US" w:eastAsia="zh-CN" w:bidi="ar"/>
              </w:rPr>
              <w:t>Ni</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≥43</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≥38</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≥70</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r>
              <w:rPr>
                <w:rFonts w:hint="eastAsia" w:ascii="Times New Roman" w:hAnsi="Times New Roman" w:cs="Times New Roman"/>
                <w:i w:val="0"/>
                <w:color w:val="000000"/>
                <w:kern w:val="0"/>
                <w:sz w:val="15"/>
                <w:szCs w:val="15"/>
                <w:u w:val="none"/>
                <w:lang w:val="en-US" w:eastAsia="zh-CN" w:bidi="ar"/>
              </w:rPr>
              <w:t>45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r>
              <w:rPr>
                <w:rFonts w:hint="eastAsia" w:ascii="Times New Roman" w:hAnsi="Times New Roman" w:cs="Times New Roman"/>
                <w:i w:val="0"/>
                <w:color w:val="000000"/>
                <w:kern w:val="0"/>
                <w:sz w:val="15"/>
                <w:szCs w:val="15"/>
                <w:u w:val="none"/>
                <w:lang w:val="en-US" w:eastAsia="zh-CN" w:bidi="ar"/>
              </w:rPr>
              <w:t>40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≥45</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≥35</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r>
      <w:tr>
        <w:tblPrEx>
          <w:tblLayout w:type="fixed"/>
          <w:tblCellMar>
            <w:top w:w="0" w:type="dxa"/>
            <w:left w:w="0" w:type="dxa"/>
            <w:bottom w:w="0" w:type="dxa"/>
            <w:right w:w="0" w:type="dxa"/>
          </w:tblCellMar>
        </w:tblPrEx>
        <w:trPr>
          <w:trHeight w:val="26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铜（</w:t>
            </w:r>
            <w:r>
              <w:rPr>
                <w:rStyle w:val="78"/>
                <w:rFonts w:hint="default" w:ascii="Times New Roman" w:hAnsi="Times New Roman" w:eastAsia="宋体" w:cs="Times New Roman"/>
                <w:sz w:val="15"/>
                <w:szCs w:val="15"/>
                <w:lang w:val="en-US" w:eastAsia="zh-CN" w:bidi="ar"/>
              </w:rPr>
              <w:t>Cu</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≤28</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≤33</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12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r>
              <w:rPr>
                <w:rFonts w:hint="eastAsia" w:ascii="Times New Roman" w:hAnsi="Times New Roman" w:cs="Times New Roman"/>
                <w:i w:val="0"/>
                <w:color w:val="000000"/>
                <w:sz w:val="15"/>
                <w:szCs w:val="15"/>
                <w:u w:val="none"/>
                <w:lang w:val="en-US" w:eastAsia="zh-CN"/>
              </w:rPr>
              <w:t>0.7</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≤28</w:t>
            </w:r>
            <w:r>
              <w:rPr>
                <w:rFonts w:hint="eastAsia" w:ascii="Times New Roman" w:hAnsi="Times New Roman"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r>
              <w:rPr>
                <w:rFonts w:hint="eastAsia" w:ascii="Times New Roman" w:hAnsi="Times New Roman" w:cs="Times New Roman"/>
                <w:i w:val="0"/>
                <w:color w:val="000000"/>
                <w:kern w:val="0"/>
                <w:sz w:val="15"/>
                <w:szCs w:val="15"/>
                <w:u w:val="none"/>
                <w:lang w:val="en-US" w:eastAsia="zh-CN" w:bidi="ar"/>
              </w:rPr>
              <w:t>*</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≤32</w:t>
            </w:r>
            <w:r>
              <w:rPr>
                <w:rFonts w:hint="eastAsia" w:ascii="Times New Roman" w:hAnsi="Times New Roman"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r>
              <w:rPr>
                <w:rFonts w:hint="eastAsia" w:ascii="Times New Roman" w:hAnsi="Times New Roman" w:cs="Times New Roman"/>
                <w:i w:val="0"/>
                <w:color w:val="000000"/>
                <w:kern w:val="0"/>
                <w:sz w:val="15"/>
                <w:szCs w:val="15"/>
                <w:u w:val="none"/>
                <w:lang w:val="en-US" w:eastAsia="zh-CN" w:bidi="ar"/>
              </w:rPr>
              <w:t>*</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r>
              <w:rPr>
                <w:rFonts w:hint="eastAsia" w:ascii="Times New Roman" w:hAnsi="Times New Roman" w:cs="Times New Roman"/>
                <w:i w:val="0"/>
                <w:color w:val="000000"/>
                <w:kern w:val="0"/>
                <w:sz w:val="15"/>
                <w:szCs w:val="15"/>
                <w:u w:val="none"/>
                <w:lang w:val="en-US" w:eastAsia="zh-CN"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≤20</w:t>
            </w:r>
            <w:r>
              <w:rPr>
                <w:rFonts w:hint="eastAsia" w:ascii="Times New Roman" w:hAnsi="Times New Roman" w:cs="Times New Roman"/>
                <w:i w:val="0"/>
                <w:color w:val="000000"/>
                <w:kern w:val="0"/>
                <w:sz w:val="15"/>
                <w:szCs w:val="15"/>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r>
              <w:rPr>
                <w:rFonts w:hint="eastAsia" w:ascii="Times New Roman" w:hAnsi="Times New Roman" w:cs="Times New Roman"/>
                <w:i w:val="0"/>
                <w:color w:val="000000"/>
                <w:kern w:val="0"/>
                <w:sz w:val="15"/>
                <w:szCs w:val="15"/>
                <w:u w:val="none"/>
                <w:lang w:val="en-US" w:eastAsia="zh-CN" w:bidi="ar"/>
              </w:rPr>
              <w:t>*</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镁（</w:t>
            </w:r>
            <w:r>
              <w:rPr>
                <w:rStyle w:val="76"/>
                <w:rFonts w:hint="default" w:ascii="Times New Roman" w:hAnsi="Times New Roman" w:eastAsia="宋体" w:cs="Times New Roman"/>
                <w:sz w:val="15"/>
                <w:szCs w:val="15"/>
                <w:lang w:val="en-US" w:eastAsia="zh-CN" w:bidi="ar"/>
              </w:rPr>
              <w:t>Mg</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lang w:val="en-US"/>
              </w:rPr>
            </w:pPr>
            <w:r>
              <w:rPr>
                <w:rFonts w:hint="default" w:ascii="Times New Roman" w:hAnsi="Times New Roman" w:eastAsia="宋体" w:cs="Times New Roman"/>
                <w:i w:val="0"/>
                <w:color w:val="000000"/>
                <w:kern w:val="0"/>
                <w:sz w:val="15"/>
                <w:szCs w:val="15"/>
                <w:u w:val="none"/>
                <w:lang w:val="en-US" w:eastAsia="zh-CN" w:bidi="ar"/>
              </w:rPr>
              <w:t>≤0.1</w:t>
            </w:r>
            <w:r>
              <w:rPr>
                <w:rFonts w:hint="eastAsia" w:cs="Times New Roman"/>
                <w:i w:val="0"/>
                <w:color w:val="000000"/>
                <w:kern w:val="0"/>
                <w:sz w:val="15"/>
                <w:szCs w:val="15"/>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lang w:val="en-US"/>
              </w:rPr>
            </w:pPr>
            <w:r>
              <w:rPr>
                <w:rFonts w:hint="default" w:ascii="Times New Roman" w:hAnsi="Times New Roman" w:eastAsia="宋体" w:cs="Times New Roman"/>
                <w:i w:val="0"/>
                <w:color w:val="000000"/>
                <w:kern w:val="0"/>
                <w:sz w:val="15"/>
                <w:szCs w:val="15"/>
                <w:u w:val="none"/>
                <w:lang w:val="en-US" w:eastAsia="zh-CN" w:bidi="ar"/>
              </w:rPr>
              <w:t>≤0.1</w:t>
            </w:r>
            <w:r>
              <w:rPr>
                <w:rFonts w:hint="eastAsia" w:cs="Times New Roman"/>
                <w:i w:val="0"/>
                <w:color w:val="000000"/>
                <w:kern w:val="0"/>
                <w:sz w:val="15"/>
                <w:szCs w:val="15"/>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lang w:val="en-US"/>
              </w:rPr>
            </w:pPr>
            <w:r>
              <w:rPr>
                <w:rFonts w:hint="default" w:ascii="Times New Roman" w:hAnsi="Times New Roman" w:eastAsia="宋体" w:cs="Times New Roman"/>
                <w:i w:val="0"/>
                <w:color w:val="000000"/>
                <w:kern w:val="0"/>
                <w:sz w:val="15"/>
                <w:szCs w:val="15"/>
                <w:u w:val="none"/>
                <w:lang w:val="en-US" w:eastAsia="zh-CN" w:bidi="ar"/>
              </w:rPr>
              <w:t>≤0.1</w:t>
            </w:r>
            <w:r>
              <w:rPr>
                <w:rFonts w:hint="eastAsia" w:cs="Times New Roman"/>
                <w:i w:val="0"/>
                <w:color w:val="000000"/>
                <w:kern w:val="0"/>
                <w:sz w:val="15"/>
                <w:szCs w:val="15"/>
                <w:u w:val="none"/>
                <w:lang w:val="en-US" w:eastAsia="zh-CN" w:bidi="ar"/>
              </w:rPr>
              <w:t>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lang w:val="en-US"/>
              </w:rPr>
            </w:pPr>
            <w:r>
              <w:rPr>
                <w:rFonts w:hint="default" w:ascii="Times New Roman" w:hAnsi="Times New Roman" w:eastAsia="宋体" w:cs="Times New Roman"/>
                <w:i w:val="0"/>
                <w:color w:val="000000"/>
                <w:kern w:val="0"/>
                <w:sz w:val="15"/>
                <w:szCs w:val="15"/>
                <w:u w:val="none"/>
                <w:lang w:val="en-US" w:eastAsia="zh-CN" w:bidi="ar"/>
              </w:rPr>
              <w:t>≤0.1</w:t>
            </w:r>
            <w:r>
              <w:rPr>
                <w:rFonts w:hint="eastAsia" w:cs="Times New Roman"/>
                <w:i w:val="0"/>
                <w:color w:val="000000"/>
                <w:kern w:val="0"/>
                <w:sz w:val="15"/>
                <w:szCs w:val="15"/>
                <w:u w:val="none"/>
                <w:lang w:val="en-US" w:eastAsia="zh-CN" w:bidi="ar"/>
              </w:rPr>
              <w:t>0</w:t>
            </w:r>
          </w:p>
        </w:tc>
      </w:tr>
      <w:tr>
        <w:tblPrEx>
          <w:tblLayout w:type="fixed"/>
          <w:tblCellMar>
            <w:top w:w="0" w:type="dxa"/>
            <w:left w:w="0" w:type="dxa"/>
            <w:bottom w:w="0" w:type="dxa"/>
            <w:right w:w="0" w:type="dxa"/>
          </w:tblCellMar>
        </w:tblPrEx>
        <w:trPr>
          <w:trHeight w:val="32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铁（</w:t>
            </w:r>
            <w:r>
              <w:rPr>
                <w:rStyle w:val="76"/>
                <w:rFonts w:hint="default" w:ascii="Times New Roman" w:hAnsi="Times New Roman" w:eastAsia="宋体" w:cs="Times New Roman"/>
                <w:sz w:val="15"/>
                <w:szCs w:val="15"/>
                <w:lang w:val="en-US" w:eastAsia="zh-CN" w:bidi="ar"/>
              </w:rPr>
              <w:t>Fe</w:t>
            </w:r>
            <w:r>
              <w:rPr>
                <w:rStyle w:val="77"/>
                <w:rFonts w:hint="default" w:ascii="Times New Roman" w:hAnsi="Times New Roman" w:cs="Times New Roman"/>
                <w:sz w:val="15"/>
                <w:szCs w:val="15"/>
                <w:lang w:val="en-US" w:eastAsia="zh-CN" w:bidi="ar"/>
              </w:rPr>
              <w:t>）</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≤33</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≤30</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≤40</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≤68</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≤70</w:t>
            </w:r>
          </w:p>
        </w:tc>
      </w:tr>
      <w:tr>
        <w:tblPrEx>
          <w:tblLayout w:type="fixed"/>
          <w:tblCellMar>
            <w:top w:w="0" w:type="dxa"/>
            <w:left w:w="0" w:type="dxa"/>
            <w:bottom w:w="0" w:type="dxa"/>
            <w:right w:w="0" w:type="dxa"/>
          </w:tblCellMar>
        </w:tblPrEx>
        <w:trPr>
          <w:trHeight w:val="36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锌（</w:t>
            </w:r>
            <w:r>
              <w:rPr>
                <w:rStyle w:val="76"/>
                <w:rFonts w:hint="default" w:ascii="Times New Roman" w:hAnsi="Times New Roman" w:eastAsia="宋体" w:cs="Times New Roman"/>
                <w:sz w:val="15"/>
                <w:szCs w:val="15"/>
                <w:lang w:val="en-US" w:eastAsia="zh-CN" w:bidi="ar"/>
              </w:rPr>
              <w:t>Zn</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≤0.010</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≤1</w:t>
            </w:r>
          </w:p>
        </w:tc>
      </w:tr>
      <w:tr>
        <w:tblPrEx>
          <w:tblLayout w:type="fixed"/>
          <w:tblCellMar>
            <w:top w:w="0" w:type="dxa"/>
            <w:left w:w="0" w:type="dxa"/>
            <w:bottom w:w="0" w:type="dxa"/>
            <w:right w:w="0" w:type="dxa"/>
          </w:tblCellMar>
        </w:tblPrEx>
        <w:trPr>
          <w:trHeight w:val="32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硅（</w:t>
            </w:r>
            <w:r>
              <w:rPr>
                <w:rStyle w:val="76"/>
                <w:rFonts w:hint="default" w:ascii="Times New Roman" w:hAnsi="Times New Roman" w:eastAsia="宋体" w:cs="Times New Roman"/>
                <w:sz w:val="15"/>
                <w:szCs w:val="15"/>
                <w:lang w:val="en-US" w:eastAsia="zh-CN" w:bidi="ar"/>
              </w:rPr>
              <w:t>Si</w:t>
            </w:r>
            <w:r>
              <w:rPr>
                <w:rStyle w:val="77"/>
                <w:rFonts w:hint="default" w:ascii="Times New Roman" w:hAnsi="Times New Roman" w:cs="Times New Roman"/>
                <w:sz w:val="15"/>
                <w:szCs w:val="15"/>
                <w:lang w:val="en-US" w:eastAsia="zh-CN" w:bidi="ar"/>
              </w:rPr>
              <w:t>）</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12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12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硫（</w:t>
            </w:r>
            <w:r>
              <w:rPr>
                <w:rStyle w:val="76"/>
                <w:rFonts w:hint="default" w:ascii="Times New Roman" w:hAnsi="Times New Roman" w:eastAsia="宋体" w:cs="Times New Roman"/>
                <w:sz w:val="15"/>
                <w:szCs w:val="15"/>
                <w:lang w:val="en-US" w:eastAsia="zh-CN" w:bidi="ar"/>
              </w:rPr>
              <w:t>S</w:t>
            </w:r>
            <w:r>
              <w:rPr>
                <w:rStyle w:val="77"/>
                <w:rFonts w:hint="default" w:ascii="Times New Roman" w:hAnsi="Times New Roman" w:cs="Times New Roman"/>
                <w:sz w:val="15"/>
                <w:szCs w:val="15"/>
                <w:lang w:val="en-US" w:eastAsia="zh-CN" w:bidi="ar"/>
              </w:rPr>
              <w:t>）</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≤22</w:t>
            </w:r>
          </w:p>
        </w:tc>
        <w:tc>
          <w:tcPr>
            <w:tcW w:w="8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≤23</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w:t>
            </w:r>
          </w:p>
        </w:tc>
        <w:tc>
          <w:tcPr>
            <w:tcW w:w="19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c>
          <w:tcPr>
            <w:tcW w:w="198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≤26</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≥8</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铬（</w:t>
            </w:r>
            <w:r>
              <w:rPr>
                <w:rStyle w:val="76"/>
                <w:rFonts w:hint="default" w:ascii="Times New Roman" w:hAnsi="Times New Roman" w:eastAsia="宋体" w:cs="Times New Roman"/>
                <w:sz w:val="15"/>
                <w:szCs w:val="15"/>
                <w:lang w:val="en-US" w:eastAsia="zh-CN" w:bidi="ar"/>
              </w:rPr>
              <w:t>Cr</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≤0.5</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砷（</w:t>
            </w:r>
            <w:r>
              <w:rPr>
                <w:rStyle w:val="76"/>
                <w:rFonts w:hint="default" w:ascii="Times New Roman" w:hAnsi="Times New Roman" w:eastAsia="宋体" w:cs="Times New Roman"/>
                <w:sz w:val="15"/>
                <w:szCs w:val="15"/>
                <w:lang w:val="en-US" w:eastAsia="zh-CN" w:bidi="ar"/>
              </w:rPr>
              <w:t>As</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≤0.15</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≤0.3</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镉（</w:t>
            </w:r>
            <w:r>
              <w:rPr>
                <w:rStyle w:val="76"/>
                <w:rFonts w:hint="default" w:ascii="Times New Roman" w:hAnsi="Times New Roman" w:eastAsia="宋体" w:cs="Times New Roman"/>
                <w:sz w:val="15"/>
                <w:szCs w:val="15"/>
                <w:lang w:val="en-US" w:eastAsia="zh-CN" w:bidi="ar"/>
              </w:rPr>
              <w:t>Cd</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≤0.005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≤0.005</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≤0.02</w:t>
            </w:r>
          </w:p>
        </w:tc>
      </w:tr>
      <w:tr>
        <w:tblPrEx>
          <w:tblLayout w:type="fixed"/>
          <w:tblCellMar>
            <w:top w:w="0" w:type="dxa"/>
            <w:left w:w="0" w:type="dxa"/>
            <w:bottom w:w="0" w:type="dxa"/>
            <w:right w:w="0" w:type="dxa"/>
          </w:tblCellMar>
        </w:tblPrEx>
        <w:trPr>
          <w:trHeight w:val="315"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铅（</w:t>
            </w:r>
            <w:r>
              <w:rPr>
                <w:rStyle w:val="76"/>
                <w:rFonts w:hint="default" w:ascii="Times New Roman" w:hAnsi="Times New Roman" w:eastAsia="宋体" w:cs="Times New Roman"/>
                <w:sz w:val="15"/>
                <w:szCs w:val="15"/>
                <w:lang w:val="en-US" w:eastAsia="zh-CN" w:bidi="ar"/>
              </w:rPr>
              <w:t>Pb</w:t>
            </w:r>
            <w:r>
              <w:rPr>
                <w:rStyle w:val="77"/>
                <w:rFonts w:hint="default" w:ascii="Times New Roman" w:hAnsi="Times New Roman" w:cs="Times New Roman"/>
                <w:sz w:val="15"/>
                <w:szCs w:val="15"/>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≤0.05</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≤0.1</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lang w:val="en-US" w:eastAsia="zh-CN" w:bidi="ar"/>
              </w:rPr>
              <w:t>≤0.2</w:t>
            </w:r>
          </w:p>
        </w:tc>
      </w:tr>
      <w:tr>
        <w:tblPrEx>
          <w:tblLayout w:type="fixed"/>
          <w:tblCellMar>
            <w:top w:w="0" w:type="dxa"/>
            <w:left w:w="0" w:type="dxa"/>
            <w:bottom w:w="0" w:type="dxa"/>
            <w:right w:w="0" w:type="dxa"/>
          </w:tblCellMar>
        </w:tblPrEx>
        <w:trPr>
          <w:trHeight w:val="315" w:hRule="atLeast"/>
          <w:jc w:val="center"/>
        </w:trPr>
        <w:tc>
          <w:tcPr>
            <w:tcW w:w="9385" w:type="dxa"/>
            <w:gridSpan w:val="2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00" w:firstLineChars="20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黑体" w:hAnsi="黑体" w:eastAsia="黑体" w:cs="黑体"/>
                <w:i w:val="0"/>
                <w:color w:val="000000"/>
                <w:kern w:val="0"/>
                <w:sz w:val="15"/>
                <w:szCs w:val="15"/>
                <w:u w:val="none"/>
                <w:lang w:val="en-US" w:eastAsia="zh-CN" w:bidi="ar"/>
              </w:rPr>
              <w:t>注：</w:t>
            </w:r>
            <w:r>
              <w:rPr>
                <w:rFonts w:hint="eastAsia" w:ascii="Times New Roman" w:hAnsi="Times New Roman" w:cs="Times New Roman"/>
                <w:i w:val="0"/>
                <w:color w:val="000000"/>
                <w:kern w:val="0"/>
                <w:sz w:val="15"/>
                <w:szCs w:val="15"/>
                <w:u w:val="none"/>
                <w:lang w:val="en-US" w:eastAsia="zh-CN" w:bidi="ar"/>
              </w:rPr>
              <w:t>“*”为钴+铜合量指标限值要求。</w:t>
            </w:r>
          </w:p>
        </w:tc>
      </w:tr>
    </w:tbl>
    <w:p>
      <w:pPr>
        <w:pStyle w:val="32"/>
        <w:ind w:left="0" w:leftChars="0" w:firstLine="0" w:firstLineChars="0"/>
        <w:rPr>
          <w:rFonts w:hint="eastAsia"/>
          <w:lang w:eastAsia="zh-CN"/>
        </w:rPr>
      </w:pPr>
    </w:p>
    <w:p>
      <w:pPr>
        <w:pStyle w:val="42"/>
        <w:adjustRightInd w:val="0"/>
        <w:snapToGrid w:val="0"/>
        <w:spacing w:before="156" w:after="156" w:line="240" w:lineRule="auto"/>
        <w:rPr>
          <w:rFonts w:hint="eastAsia" w:ascii="黑体" w:hAnsi="黑体" w:cs="黑体"/>
          <w:bCs/>
          <w:szCs w:val="21"/>
        </w:rPr>
      </w:pPr>
      <w:r>
        <w:rPr>
          <w:rFonts w:hint="eastAsia" w:hAnsi="黑体" w:cs="黑体"/>
          <w:bCs/>
          <w:szCs w:val="21"/>
          <w:lang w:eastAsia="zh-CN"/>
        </w:rPr>
        <w:t>5</w:t>
      </w:r>
      <w:r>
        <w:rPr>
          <w:rFonts w:hint="eastAsia" w:ascii="黑体" w:hAnsi="黑体" w:cs="黑体"/>
          <w:bCs/>
          <w:szCs w:val="21"/>
        </w:rPr>
        <w:t>.2  水分</w:t>
      </w:r>
    </w:p>
    <w:p>
      <w:pPr>
        <w:pStyle w:val="32"/>
        <w:ind w:firstLine="420"/>
        <w:rPr>
          <w:rFonts w:ascii="Times New Roman" w:eastAsiaTheme="minorEastAsia"/>
        </w:rPr>
      </w:pPr>
      <w:r>
        <w:rPr>
          <w:rFonts w:hint="eastAsia" w:ascii="Times New Roman" w:eastAsiaTheme="minorEastAsia"/>
          <w:lang w:eastAsia="zh-CN"/>
        </w:rPr>
        <w:t>镍锍粒</w:t>
      </w:r>
      <w:r>
        <w:rPr>
          <w:rFonts w:hint="eastAsia" w:ascii="Times New Roman" w:eastAsiaTheme="minorEastAsia"/>
        </w:rPr>
        <w:t>的水分含量应不大于3%。</w:t>
      </w:r>
    </w:p>
    <w:p>
      <w:pPr>
        <w:pStyle w:val="42"/>
        <w:adjustRightInd w:val="0"/>
        <w:snapToGrid w:val="0"/>
        <w:spacing w:before="156" w:after="156" w:line="240" w:lineRule="auto"/>
        <w:rPr>
          <w:rFonts w:hint="eastAsia" w:ascii="黑体" w:hAnsi="黑体" w:cs="黑体"/>
          <w:bCs/>
          <w:szCs w:val="21"/>
        </w:rPr>
      </w:pPr>
      <w:r>
        <w:rPr>
          <w:rFonts w:hint="eastAsia" w:hAnsi="黑体" w:cs="黑体"/>
          <w:bCs/>
          <w:szCs w:val="21"/>
          <w:lang w:eastAsia="zh-CN"/>
        </w:rPr>
        <w:t>5</w:t>
      </w:r>
      <w:r>
        <w:rPr>
          <w:rFonts w:hint="eastAsia" w:ascii="黑体" w:hAnsi="黑体" w:cs="黑体"/>
          <w:bCs/>
          <w:szCs w:val="21"/>
        </w:rPr>
        <w:t>.</w:t>
      </w:r>
      <w:r>
        <w:rPr>
          <w:rFonts w:hint="eastAsia" w:hAnsi="黑体" w:cs="黑体"/>
          <w:bCs/>
          <w:szCs w:val="21"/>
          <w:lang w:val="en-US" w:eastAsia="zh-CN"/>
        </w:rPr>
        <w:t>3</w:t>
      </w:r>
      <w:r>
        <w:rPr>
          <w:rFonts w:hint="eastAsia" w:ascii="黑体" w:hAnsi="黑体" w:cs="黑体"/>
          <w:bCs/>
          <w:szCs w:val="21"/>
        </w:rPr>
        <w:t xml:space="preserve">  产品粒度</w:t>
      </w:r>
    </w:p>
    <w:p>
      <w:pPr>
        <w:pStyle w:val="32"/>
        <w:ind w:firstLine="420"/>
        <w:rPr>
          <w:rFonts w:hint="eastAsia" w:ascii="Times New Roman" w:eastAsiaTheme="minorEastAsia"/>
        </w:rPr>
      </w:pPr>
      <w:r>
        <w:rPr>
          <w:rFonts w:ascii="Times New Roman" w:eastAsiaTheme="minorEastAsia"/>
        </w:rPr>
        <w:t>镍锍</w:t>
      </w:r>
      <w:r>
        <w:rPr>
          <w:rFonts w:hint="eastAsia" w:ascii="Times New Roman" w:eastAsiaTheme="minorEastAsia"/>
          <w:lang w:eastAsia="zh-CN"/>
        </w:rPr>
        <w:t>粒的</w:t>
      </w:r>
      <w:r>
        <w:rPr>
          <w:rFonts w:hint="eastAsia" w:ascii="Times New Roman" w:eastAsiaTheme="minorEastAsia"/>
        </w:rPr>
        <w:t>粒度</w:t>
      </w:r>
      <w:r>
        <w:rPr>
          <w:rFonts w:hint="eastAsia" w:ascii="Times New Roman" w:eastAsiaTheme="minorEastAsia"/>
          <w:lang w:val="en-US" w:eastAsia="zh-CN"/>
        </w:rPr>
        <w:t>不大于20 mm</w:t>
      </w:r>
      <w:r>
        <w:rPr>
          <w:rFonts w:hint="eastAsia" w:ascii="Times New Roman" w:eastAsiaTheme="minorEastAsia"/>
          <w:lang w:eastAsia="zh-CN"/>
        </w:rPr>
        <w:t>部分</w:t>
      </w:r>
      <w:r>
        <w:rPr>
          <w:rFonts w:hint="eastAsia" w:ascii="Times New Roman" w:eastAsiaTheme="minorEastAsia"/>
        </w:rPr>
        <w:t>的</w:t>
      </w:r>
      <w:r>
        <w:rPr>
          <w:rFonts w:hint="eastAsia" w:ascii="Times New Roman" w:eastAsiaTheme="minorEastAsia"/>
          <w:lang w:eastAsia="zh-CN"/>
        </w:rPr>
        <w:t>占比</w:t>
      </w:r>
      <w:r>
        <w:rPr>
          <w:rFonts w:hint="eastAsia" w:ascii="Times New Roman" w:eastAsiaTheme="minorEastAsia"/>
        </w:rPr>
        <w:t>不低于80%。</w:t>
      </w:r>
    </w:p>
    <w:p>
      <w:pPr>
        <w:pStyle w:val="42"/>
        <w:adjustRightInd w:val="0"/>
        <w:snapToGrid w:val="0"/>
        <w:spacing w:before="156" w:after="156" w:line="240" w:lineRule="auto"/>
        <w:rPr>
          <w:rFonts w:hint="default" w:ascii="黑体" w:hAnsi="黑体" w:eastAsia="黑体" w:cs="黑体"/>
          <w:bCs/>
          <w:szCs w:val="21"/>
          <w:lang w:val="en-US" w:eastAsia="zh-CN"/>
        </w:rPr>
      </w:pPr>
      <w:r>
        <w:rPr>
          <w:rFonts w:hint="eastAsia" w:hAnsi="黑体" w:cs="黑体"/>
          <w:bCs/>
          <w:szCs w:val="21"/>
          <w:lang w:eastAsia="zh-CN"/>
        </w:rPr>
        <w:t>5</w:t>
      </w:r>
      <w:r>
        <w:rPr>
          <w:rFonts w:hint="eastAsia" w:ascii="黑体" w:hAnsi="黑体" w:cs="黑体"/>
          <w:bCs/>
          <w:szCs w:val="21"/>
        </w:rPr>
        <w:t>.</w:t>
      </w:r>
      <w:r>
        <w:rPr>
          <w:rFonts w:hint="eastAsia" w:hAnsi="黑体" w:cs="黑体"/>
          <w:bCs/>
          <w:szCs w:val="21"/>
          <w:lang w:eastAsia="zh-CN"/>
        </w:rPr>
        <w:t>4</w:t>
      </w:r>
      <w:r>
        <w:rPr>
          <w:rFonts w:hint="eastAsia" w:ascii="黑体" w:hAnsi="黑体" w:cs="黑体"/>
          <w:bCs/>
          <w:szCs w:val="21"/>
        </w:rPr>
        <w:t xml:space="preserve">  外观质量</w:t>
      </w:r>
    </w:p>
    <w:p>
      <w:pPr>
        <w:pStyle w:val="32"/>
        <w:ind w:firstLine="420"/>
        <w:rPr>
          <w:rFonts w:ascii="Times New Roman" w:eastAsiaTheme="minorEastAsia"/>
        </w:rPr>
      </w:pPr>
      <w:r>
        <w:rPr>
          <w:rFonts w:hint="eastAsia" w:ascii="Times New Roman" w:eastAsiaTheme="minorEastAsia"/>
        </w:rPr>
        <w:t>产品为灰褐色</w:t>
      </w:r>
      <w:r>
        <w:rPr>
          <w:rFonts w:hint="eastAsia" w:ascii="Times New Roman" w:eastAsiaTheme="minorEastAsia"/>
          <w:lang w:eastAsia="zh-CN"/>
        </w:rPr>
        <w:t>、灰色、</w:t>
      </w:r>
      <w:r>
        <w:rPr>
          <w:rFonts w:hint="eastAsia" w:ascii="Times New Roman" w:eastAsiaTheme="minorEastAsia"/>
        </w:rPr>
        <w:t>黑灰色</w:t>
      </w:r>
      <w:r>
        <w:rPr>
          <w:rFonts w:hint="eastAsia" w:ascii="Times New Roman" w:eastAsiaTheme="minorEastAsia"/>
          <w:lang w:eastAsia="zh-CN"/>
        </w:rPr>
        <w:t>、黑色</w:t>
      </w:r>
      <w:r>
        <w:rPr>
          <w:rFonts w:hint="eastAsia" w:ascii="Times New Roman" w:eastAsiaTheme="minorEastAsia"/>
        </w:rPr>
        <w:t>固体，产品不应混入其他外来夹杂物。</w:t>
      </w:r>
    </w:p>
    <w:p>
      <w:pPr>
        <w:pStyle w:val="42"/>
        <w:adjustRightInd w:val="0"/>
        <w:snapToGrid w:val="0"/>
        <w:spacing w:before="156" w:after="156" w:line="240" w:lineRule="auto"/>
        <w:rPr>
          <w:rFonts w:hint="eastAsia" w:ascii="黑体" w:hAnsi="黑体" w:cs="黑体"/>
          <w:bCs/>
          <w:szCs w:val="21"/>
        </w:rPr>
      </w:pPr>
      <w:r>
        <w:rPr>
          <w:rFonts w:hint="eastAsia" w:hAnsi="黑体" w:cs="黑体"/>
          <w:bCs/>
          <w:szCs w:val="21"/>
          <w:lang w:val="en-US" w:eastAsia="zh-CN"/>
        </w:rPr>
        <w:t>5</w:t>
      </w:r>
      <w:r>
        <w:rPr>
          <w:rFonts w:hint="eastAsia" w:ascii="黑体" w:hAnsi="黑体" w:cs="黑体"/>
          <w:bCs/>
          <w:szCs w:val="21"/>
        </w:rPr>
        <w:t>.5  其他</w:t>
      </w:r>
    </w:p>
    <w:p>
      <w:pPr>
        <w:pStyle w:val="32"/>
        <w:ind w:firstLine="420"/>
        <w:rPr>
          <w:rFonts w:ascii="Times New Roman" w:eastAsiaTheme="minorEastAsia"/>
        </w:rPr>
      </w:pPr>
      <w:r>
        <w:rPr>
          <w:rFonts w:hint="eastAsia" w:ascii="Times New Roman" w:eastAsiaTheme="minorEastAsia"/>
        </w:rPr>
        <w:t>若需方有特殊要求，可由供需双方协商确定。</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6</w:t>
      </w:r>
      <w:r>
        <w:rPr>
          <w:rFonts w:hint="eastAsia" w:ascii="黑体" w:hAnsi="黑体" w:eastAsia="黑体" w:cs="黑体"/>
          <w:bCs/>
        </w:rPr>
        <w:t xml:space="preserve">  试验方法</w:t>
      </w:r>
    </w:p>
    <w:p>
      <w:pPr>
        <w:pStyle w:val="32"/>
        <w:spacing w:before="156" w:beforeLines="50" w:after="156" w:afterLines="50"/>
        <w:ind w:firstLine="0" w:firstLineChars="0"/>
        <w:rPr>
          <w:rFonts w:hint="eastAsia" w:ascii="黑体" w:hAnsi="黑体" w:eastAsia="黑体" w:cs="黑体"/>
          <w:szCs w:val="21"/>
        </w:rPr>
      </w:pPr>
      <w:r>
        <w:rPr>
          <w:rFonts w:hint="eastAsia" w:ascii="黑体" w:hAnsi="黑体" w:eastAsia="黑体" w:cs="黑体"/>
          <w:szCs w:val="21"/>
          <w:lang w:eastAsia="zh-CN"/>
        </w:rPr>
        <w:t>6</w:t>
      </w:r>
      <w:r>
        <w:rPr>
          <w:rFonts w:hint="eastAsia" w:ascii="黑体" w:hAnsi="黑体" w:eastAsia="黑体" w:cs="黑体"/>
          <w:szCs w:val="21"/>
        </w:rPr>
        <w:t>.1  化学成分测定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 xml:space="preserve">.1.1  </w:t>
      </w:r>
      <w:r>
        <w:rPr>
          <w:rFonts w:hint="eastAsia" w:ascii="Times New Roman" w:eastAsiaTheme="minorEastAsia"/>
          <w:highlight w:val="none"/>
          <w:lang w:eastAsia="zh-CN"/>
        </w:rPr>
        <w:t>产品</w:t>
      </w:r>
      <w:r>
        <w:rPr>
          <w:rFonts w:ascii="Times New Roman" w:eastAsiaTheme="minorEastAsia"/>
          <w:highlight w:val="none"/>
        </w:rPr>
        <w:t>中的镍含量按照YS/T 252.1的规定进行测定。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 xml:space="preserve">.1.2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中的铜含量按照</w:t>
      </w:r>
      <w:r>
        <w:rPr>
          <w:rStyle w:val="18"/>
          <w:rFonts w:ascii="Times New Roman" w:hAnsi="Times New Roman" w:cs="Times New Roman" w:eastAsiaTheme="minorEastAsia"/>
          <w:i w:val="0"/>
          <w:caps w:val="0"/>
          <w:color w:val="000000"/>
          <w:spacing w:val="0"/>
          <w:sz w:val="21"/>
          <w:szCs w:val="20"/>
          <w:highlight w:val="none"/>
          <w:shd w:val="clear" w:fill="FFFFFF"/>
        </w:rPr>
        <w:t>YS/T 252.4</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 xml:space="preserve">.1.3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中的铁含量按照</w:t>
      </w:r>
      <w:r>
        <w:rPr>
          <w:rFonts w:hint="eastAsia" w:ascii="Times New Roman" w:hAnsi="Times New Roman" w:cs="Times New Roman" w:eastAsiaTheme="minorEastAsia"/>
          <w:i w:val="0"/>
          <w:caps w:val="0"/>
          <w:spacing w:val="0"/>
          <w:sz w:val="21"/>
          <w:szCs w:val="20"/>
          <w:highlight w:val="none"/>
          <w:shd w:val="clear"/>
        </w:rPr>
        <w:t>YS/T 252.2</w:t>
      </w:r>
      <w:r>
        <w:rPr>
          <w:rFonts w:ascii="Times New Roman" w:eastAsiaTheme="minorEastAsia"/>
          <w:highlight w:val="none"/>
        </w:rPr>
        <w:t>的规定进行测定。</w:t>
      </w:r>
    </w:p>
    <w:p>
      <w:pPr>
        <w:pStyle w:val="32"/>
        <w:spacing w:line="240" w:lineRule="auto"/>
        <w:ind w:firstLine="0" w:firstLineChars="0"/>
        <w:rPr>
          <w:rFonts w:hint="default" w:ascii="Times New Roman" w:eastAsiaTheme="minorEastAsia"/>
          <w:highlight w:val="none"/>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 xml:space="preserve">.1.4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eastAsia="zh-CN"/>
        </w:rPr>
        <w:t>镁、硅、铬</w:t>
      </w:r>
      <w:r>
        <w:rPr>
          <w:rFonts w:hint="eastAsia" w:ascii="Times New Roman" w:eastAsiaTheme="minorEastAsia"/>
          <w:highlight w:val="none"/>
          <w:lang w:val="en-US" w:eastAsia="zh-CN"/>
        </w:rPr>
        <w:t>含量按照</w:t>
      </w:r>
      <w:r>
        <w:rPr>
          <w:rFonts w:hint="eastAsia" w:ascii="Times New Roman" w:hAnsi="Times New Roman" w:cs="Times New Roman" w:eastAsiaTheme="minorEastAsia"/>
          <w:i w:val="0"/>
          <w:caps w:val="0"/>
          <w:spacing w:val="0"/>
          <w:sz w:val="21"/>
          <w:szCs w:val="20"/>
          <w:highlight w:val="none"/>
          <w:shd w:val="clear"/>
        </w:rPr>
        <w:t xml:space="preserve">YS/T </w:t>
      </w:r>
      <w:r>
        <w:rPr>
          <w:rFonts w:hint="eastAsia" w:ascii="Times New Roman" w:cs="Times New Roman" w:eastAsiaTheme="minorEastAsia"/>
          <w:i w:val="0"/>
          <w:caps w:val="0"/>
          <w:spacing w:val="0"/>
          <w:sz w:val="21"/>
          <w:szCs w:val="20"/>
          <w:highlight w:val="none"/>
          <w:shd w:val="clear"/>
          <w:lang w:val="en-US" w:eastAsia="zh-CN"/>
        </w:rPr>
        <w:t>1085</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rPr>
        <w:t xml:space="preserve">5.1.5  </w:t>
      </w:r>
      <w:r>
        <w:rPr>
          <w:rFonts w:hint="eastAsia" w:ascii="Times New Roman" w:eastAsiaTheme="minorEastAsia"/>
          <w:highlight w:val="none"/>
          <w:lang w:eastAsia="zh-CN"/>
        </w:rPr>
        <w:t>产品</w:t>
      </w:r>
      <w:r>
        <w:rPr>
          <w:rFonts w:ascii="Times New Roman" w:eastAsiaTheme="minorEastAsia"/>
          <w:highlight w:val="none"/>
        </w:rPr>
        <w:t>中的硫含量按照</w:t>
      </w:r>
      <w:r>
        <w:rPr>
          <w:rFonts w:hint="eastAsia" w:ascii="Times New Roman" w:eastAsiaTheme="minorEastAsia"/>
          <w:highlight w:val="none"/>
        </w:rPr>
        <w:t>YS/T 252.5</w:t>
      </w:r>
      <w:r>
        <w:rPr>
          <w:rFonts w:ascii="Times New Roman" w:eastAsiaTheme="minorEastAsia"/>
          <w:highlight w:val="none"/>
        </w:rPr>
        <w:t>的规定进行测定。</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6</w:t>
      </w:r>
      <w:r>
        <w:rPr>
          <w:rFonts w:hint="eastAsia" w:ascii="黑体" w:hAnsi="黑体" w:eastAsia="黑体" w:cs="黑体"/>
          <w:highlight w:val="none"/>
        </w:rPr>
        <w:t xml:space="preserve"> </w:t>
      </w:r>
      <w:r>
        <w:rPr>
          <w:rFonts w:hint="eastAsia" w:ascii="黑体" w:hAnsi="黑体" w:eastAsia="黑体" w:cs="黑体"/>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锌、铅、砷</w:t>
      </w:r>
      <w:r>
        <w:rPr>
          <w:rFonts w:ascii="Times New Roman" w:eastAsiaTheme="minorEastAsia"/>
          <w:highlight w:val="none"/>
        </w:rPr>
        <w:t>含量按照</w:t>
      </w:r>
      <w:r>
        <w:rPr>
          <w:rFonts w:hint="eastAsia" w:ascii="Times New Roman" w:eastAsiaTheme="minorEastAsia"/>
          <w:highlight w:val="none"/>
        </w:rPr>
        <w:t>YS/T 252.</w:t>
      </w:r>
      <w:r>
        <w:rPr>
          <w:rFonts w:hint="eastAsia" w:ascii="Times New Roman" w:eastAsiaTheme="minorEastAsia"/>
          <w:highlight w:val="none"/>
          <w:lang w:val="en-US" w:eastAsia="zh-CN"/>
        </w:rPr>
        <w:t>6</w:t>
      </w:r>
      <w:r>
        <w:rPr>
          <w:rFonts w:ascii="Times New Roman" w:eastAsiaTheme="minorEastAsia"/>
          <w:highlight w:val="none"/>
        </w:rPr>
        <w:t>的规定进行测定。</w:t>
      </w:r>
    </w:p>
    <w:p>
      <w:pPr>
        <w:pStyle w:val="32"/>
        <w:spacing w:line="240" w:lineRule="auto"/>
        <w:ind w:firstLine="0" w:firstLineChars="0"/>
        <w:rPr>
          <w:rFonts w:hint="default" w:ascii="Times New Roman" w:eastAsiaTheme="minorEastAsia"/>
          <w:highlight w:val="none"/>
        </w:rPr>
      </w:pPr>
      <w:r>
        <w:rPr>
          <w:rFonts w:hint="eastAsia" w:ascii="黑体" w:hAnsi="黑体" w:eastAsia="黑体" w:cs="黑体"/>
          <w:highlight w:val="none"/>
          <w:lang w:val="en-US" w:eastAsia="zh-CN"/>
        </w:rPr>
        <w:t>6.1.7</w:t>
      </w:r>
      <w:r>
        <w:rPr>
          <w:rFonts w:hint="eastAsia" w:ascii="Times New Roman" w:eastAsiaTheme="minorEastAsia"/>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镉</w:t>
      </w:r>
      <w:r>
        <w:rPr>
          <w:rFonts w:ascii="Times New Roman" w:eastAsiaTheme="minorEastAsia"/>
          <w:highlight w:val="none"/>
        </w:rPr>
        <w:t>含量按照</w:t>
      </w:r>
      <w:r>
        <w:rPr>
          <w:rFonts w:hint="eastAsia" w:ascii="Times New Roman" w:eastAsiaTheme="minorEastAsia"/>
          <w:highlight w:val="none"/>
        </w:rPr>
        <w:t>GB/T 3884.18</w:t>
      </w:r>
      <w:r>
        <w:rPr>
          <w:rFonts w:ascii="Times New Roman" w:eastAsiaTheme="minorEastAsia"/>
          <w:highlight w:val="none"/>
        </w:rPr>
        <w:t>的规定进行测定。</w:t>
      </w:r>
    </w:p>
    <w:p>
      <w:pPr>
        <w:pStyle w:val="42"/>
        <w:adjustRightInd/>
        <w:snapToGrid/>
        <w:spacing w:before="157" w:beforeLines="50" w:after="157" w:afterLines="50"/>
        <w:ind w:firstLine="0" w:firstLineChars="0"/>
        <w:rPr>
          <w:rFonts w:ascii="Times New Roman" w:eastAsia="黑体"/>
          <w:bCs/>
          <w:szCs w:val="21"/>
          <w:highlight w:val="none"/>
        </w:rPr>
      </w:pPr>
      <w:r>
        <w:rPr>
          <w:rFonts w:hint="eastAsia" w:hAnsi="黑体" w:cs="黑体"/>
          <w:bCs/>
          <w:szCs w:val="21"/>
          <w:highlight w:val="none"/>
          <w:lang w:eastAsia="zh-CN"/>
        </w:rPr>
        <w:t>6</w:t>
      </w:r>
      <w:r>
        <w:rPr>
          <w:rFonts w:hint="eastAsia" w:ascii="黑体" w:hAnsi="黑体" w:eastAsia="黑体" w:cs="黑体"/>
          <w:bCs/>
          <w:szCs w:val="21"/>
          <w:highlight w:val="none"/>
        </w:rPr>
        <w:t xml:space="preserve">.2  </w:t>
      </w:r>
      <w:r>
        <w:rPr>
          <w:rFonts w:hint="default" w:ascii="Times New Roman" w:eastAsia="黑体"/>
          <w:bCs/>
          <w:szCs w:val="21"/>
          <w:highlight w:val="none"/>
        </w:rPr>
        <w:t>水分测定</w:t>
      </w:r>
    </w:p>
    <w:p>
      <w:pPr>
        <w:pStyle w:val="32"/>
        <w:spacing w:before="156" w:beforeLines="50" w:after="156" w:afterLines="50"/>
        <w:ind w:firstLine="420"/>
        <w:rPr>
          <w:rFonts w:ascii="Times New Roman" w:eastAsia="黑体"/>
          <w:szCs w:val="21"/>
          <w:highlight w:val="none"/>
        </w:rPr>
      </w:pPr>
      <w:r>
        <w:rPr>
          <w:rFonts w:hint="eastAsia" w:ascii="Times New Roman" w:eastAsiaTheme="minorEastAsia"/>
          <w:highlight w:val="none"/>
          <w:lang w:eastAsia="zh-CN"/>
        </w:rPr>
        <w:t>产品</w:t>
      </w:r>
      <w:r>
        <w:rPr>
          <w:rFonts w:hint="eastAsia" w:ascii="Times New Roman" w:eastAsiaTheme="minorEastAsia"/>
          <w:highlight w:val="none"/>
        </w:rPr>
        <w:t>水分</w:t>
      </w:r>
      <w:r>
        <w:rPr>
          <w:rFonts w:ascii="Times New Roman" w:eastAsiaTheme="minorEastAsia"/>
          <w:highlight w:val="none"/>
        </w:rPr>
        <w:t>按照</w:t>
      </w:r>
      <w:r>
        <w:rPr>
          <w:rFonts w:hint="eastAsia" w:ascii="Times New Roman" w:eastAsiaTheme="minorEastAsia"/>
          <w:highlight w:val="none"/>
          <w:lang w:eastAsia="zh-CN"/>
        </w:rPr>
        <w:t>附录</w:t>
      </w:r>
      <w:r>
        <w:rPr>
          <w:rFonts w:hint="eastAsia" w:ascii="Times New Roman" w:eastAsiaTheme="minorEastAsia"/>
          <w:highlight w:val="none"/>
          <w:lang w:val="en-US" w:eastAsia="zh-CN"/>
        </w:rPr>
        <w:t>A</w:t>
      </w:r>
      <w:r>
        <w:rPr>
          <w:rFonts w:ascii="Times New Roman" w:eastAsiaTheme="minorEastAsia"/>
          <w:highlight w:val="none"/>
        </w:rPr>
        <w:t>的规定进行测定。</w:t>
      </w:r>
    </w:p>
    <w:p>
      <w:pPr>
        <w:pStyle w:val="42"/>
        <w:adjustRightInd/>
        <w:snapToGrid/>
        <w:spacing w:before="157" w:beforeLines="50" w:after="157" w:afterLines="50"/>
        <w:ind w:firstLine="0" w:firstLineChars="0"/>
        <w:rPr>
          <w:rFonts w:ascii="Times New Roman" w:eastAsia="黑体"/>
          <w:bCs/>
          <w:szCs w:val="21"/>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eastAsia="zh-CN"/>
        </w:rPr>
        <w:t>3</w:t>
      </w:r>
      <w:r>
        <w:rPr>
          <w:rFonts w:hint="eastAsia" w:ascii="黑体" w:hAnsi="黑体" w:eastAsia="黑体" w:cs="黑体"/>
          <w:bCs/>
          <w:szCs w:val="21"/>
        </w:rPr>
        <w:t xml:space="preserve">  </w:t>
      </w:r>
      <w:r>
        <w:rPr>
          <w:rFonts w:hint="default" w:ascii="Times New Roman" w:eastAsia="黑体"/>
          <w:bCs/>
          <w:szCs w:val="21"/>
        </w:rPr>
        <w:t>产品粒度</w:t>
      </w:r>
    </w:p>
    <w:p>
      <w:pPr>
        <w:pStyle w:val="32"/>
        <w:spacing w:before="0" w:beforeLines="0" w:after="0" w:afterLines="0"/>
        <w:ind w:firstLine="420" w:firstLineChars="0"/>
        <w:rPr>
          <w:rFonts w:hint="eastAsia" w:ascii="Times New Roman" w:eastAsiaTheme="minorEastAsia"/>
          <w:szCs w:val="22"/>
        </w:rPr>
      </w:pPr>
      <w:r>
        <w:rPr>
          <w:rFonts w:hint="eastAsia" w:ascii="Times New Roman" w:eastAsiaTheme="minorEastAsia"/>
          <w:szCs w:val="22"/>
          <w:lang w:eastAsia="zh-CN"/>
        </w:rPr>
        <w:t>产品</w:t>
      </w:r>
      <w:r>
        <w:rPr>
          <w:rFonts w:hint="eastAsia" w:ascii="Times New Roman" w:eastAsiaTheme="minorEastAsia"/>
          <w:szCs w:val="22"/>
        </w:rPr>
        <w:t>粒径的测定采用标准筛筛分。</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val="en-US" w:eastAsia="zh-CN"/>
        </w:rPr>
        <w:t>4</w:t>
      </w:r>
      <w:r>
        <w:rPr>
          <w:rFonts w:hint="eastAsia" w:ascii="黑体" w:hAnsi="黑体" w:eastAsia="黑体" w:cs="黑体"/>
          <w:bCs/>
          <w:szCs w:val="21"/>
        </w:rPr>
        <w:t xml:space="preserve">  </w:t>
      </w:r>
      <w:r>
        <w:rPr>
          <w:rFonts w:ascii="Times New Roman" w:eastAsia="黑体"/>
          <w:bCs/>
          <w:szCs w:val="21"/>
        </w:rPr>
        <w:t>外观质量</w:t>
      </w:r>
    </w:p>
    <w:p>
      <w:pPr>
        <w:pStyle w:val="32"/>
        <w:spacing w:before="0" w:beforeLines="-2147483648" w:after="0" w:afterLines="-2147483648"/>
        <w:ind w:firstLine="420" w:firstLineChars="0"/>
        <w:rPr>
          <w:rFonts w:hint="eastAsia" w:ascii="Times New Roman" w:eastAsiaTheme="minorEastAsia"/>
          <w:szCs w:val="22"/>
        </w:rPr>
      </w:pPr>
      <w:r>
        <w:rPr>
          <w:rFonts w:hint="eastAsia" w:ascii="Times New Roman"/>
          <w:lang w:eastAsia="zh-CN"/>
        </w:rPr>
        <w:t>产品</w:t>
      </w:r>
      <w:r>
        <w:rPr>
          <w:rFonts w:ascii="Times New Roman"/>
        </w:rPr>
        <w:t>的外观质量</w:t>
      </w:r>
      <w:r>
        <w:rPr>
          <w:rFonts w:hint="eastAsia" w:ascii="Times New Roman"/>
        </w:rPr>
        <w:t>由目视法</w:t>
      </w:r>
      <w:r>
        <w:rPr>
          <w:rFonts w:ascii="Times New Roman"/>
        </w:rPr>
        <w:t>检查。</w:t>
      </w:r>
    </w:p>
    <w:p>
      <w:pPr>
        <w:spacing w:before="312" w:beforeLines="100" w:after="312" w:afterLines="100"/>
        <w:rPr>
          <w:rFonts w:eastAsia="黑体"/>
          <w:bCs/>
        </w:rPr>
      </w:pPr>
      <w:r>
        <w:rPr>
          <w:rFonts w:hint="eastAsia" w:ascii="黑体" w:hAnsi="黑体" w:eastAsia="黑体" w:cs="黑体"/>
          <w:bCs/>
          <w:lang w:eastAsia="zh-CN"/>
        </w:rPr>
        <w:t>7</w:t>
      </w:r>
      <w:r>
        <w:rPr>
          <w:rFonts w:hint="eastAsia" w:ascii="黑体" w:hAnsi="黑体" w:eastAsia="黑体" w:cs="黑体"/>
          <w:bCs/>
        </w:rPr>
        <w:t xml:space="preserve"> </w:t>
      </w:r>
      <w:r>
        <w:rPr>
          <w:rFonts w:eastAsia="黑体"/>
          <w:bCs/>
        </w:rPr>
        <w:t xml:space="preserve"> 检验规则</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7</w:t>
      </w:r>
      <w:r>
        <w:rPr>
          <w:rFonts w:hint="eastAsia" w:ascii="黑体" w:hAnsi="黑体" w:eastAsia="黑体" w:cs="黑体"/>
          <w:bCs/>
          <w:szCs w:val="21"/>
        </w:rPr>
        <w:t xml:space="preserve">.1  </w:t>
      </w:r>
      <w:r>
        <w:rPr>
          <w:rFonts w:ascii="Times New Roman" w:eastAsia="黑体"/>
          <w:bCs/>
          <w:szCs w:val="21"/>
        </w:rPr>
        <w:t>检查</w:t>
      </w:r>
      <w:r>
        <w:rPr>
          <w:rFonts w:hint="default" w:ascii="Times New Roman" w:eastAsia="黑体"/>
          <w:bCs/>
          <w:szCs w:val="21"/>
        </w:rPr>
        <w:t>和</w:t>
      </w:r>
      <w:r>
        <w:rPr>
          <w:rFonts w:ascii="Times New Roman" w:eastAsia="黑体"/>
          <w:bCs/>
          <w:szCs w:val="21"/>
        </w:rPr>
        <w:t>验收</w:t>
      </w:r>
    </w:p>
    <w:p>
      <w:pPr>
        <w:pStyle w:val="32"/>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.1.1  </w:t>
      </w:r>
      <w:r>
        <w:rPr>
          <w:rFonts w:ascii="Times New Roman"/>
        </w:rPr>
        <w:t>产品由供方进行检验，保证产品质量符合本</w:t>
      </w:r>
      <w:r>
        <w:rPr>
          <w:rFonts w:hint="eastAsia" w:ascii="Times New Roman"/>
        </w:rPr>
        <w:t>文件及订货单</w:t>
      </w:r>
      <w:r>
        <w:rPr>
          <w:rFonts w:ascii="Times New Roman"/>
        </w:rPr>
        <w:t>的规定。</w:t>
      </w:r>
    </w:p>
    <w:p>
      <w:pPr>
        <w:pStyle w:val="32"/>
        <w:spacing w:line="240" w:lineRule="auto"/>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.1.2 </w:t>
      </w:r>
      <w:r>
        <w:rPr>
          <w:rFonts w:hint="eastAsia"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的规定不符时，应</w:t>
      </w:r>
      <w:r>
        <w:rPr>
          <w:rFonts w:hint="eastAsia" w:ascii="Times New Roman"/>
        </w:rPr>
        <w:t>以书面形式</w:t>
      </w:r>
      <w:r>
        <w:rPr>
          <w:rFonts w:ascii="Times New Roman"/>
        </w:rPr>
        <w:t>向供方提出，由供需双方协商解决。</w:t>
      </w:r>
      <w:r>
        <w:rPr>
          <w:rFonts w:hint="eastAsia" w:ascii="Times New Roman"/>
        </w:rPr>
        <w:t>属于外观质量的异议，应在收到产品之日起30 d内提出。</w:t>
      </w:r>
      <w:r>
        <w:rPr>
          <w:rFonts w:ascii="Times New Roman"/>
        </w:rPr>
        <w:t>如需仲裁，</w:t>
      </w:r>
      <w:r>
        <w:rPr>
          <w:rFonts w:hint="eastAsia" w:ascii="Times New Roman"/>
        </w:rPr>
        <w:t>应</w:t>
      </w:r>
      <w:r>
        <w:rPr>
          <w:rFonts w:ascii="Times New Roman"/>
        </w:rPr>
        <w:t>由供需双方</w:t>
      </w:r>
      <w:r>
        <w:rPr>
          <w:rFonts w:hint="eastAsia" w:ascii="Times New Roman"/>
        </w:rPr>
        <w:t>在需方共同取样或协商解决</w:t>
      </w:r>
      <w:r>
        <w:rPr>
          <w:rFonts w:ascii="Times New Roman"/>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.2  组批</w:t>
      </w:r>
    </w:p>
    <w:p>
      <w:pPr>
        <w:pStyle w:val="32"/>
        <w:spacing w:line="240" w:lineRule="auto"/>
        <w:ind w:firstLine="420"/>
        <w:rPr>
          <w:rFonts w:ascii="Times New Roman"/>
          <w:color w:val="auto"/>
        </w:rPr>
      </w:pPr>
      <w:r>
        <w:rPr>
          <w:rFonts w:ascii="Times New Roman"/>
          <w:color w:val="auto"/>
        </w:rPr>
        <w:t>产品应成批提交验收，</w:t>
      </w:r>
      <w:r>
        <w:rPr>
          <w:rFonts w:hint="eastAsia" w:ascii="Times New Roman"/>
          <w:color w:val="auto"/>
        </w:rPr>
        <w:t>每批应由同一生产周期、同一品级、同一规格的产品组成，每批重量不超过</w:t>
      </w:r>
      <w:r>
        <w:rPr>
          <w:rFonts w:hint="eastAsia" w:ascii="Times New Roman"/>
          <w:color w:val="auto"/>
          <w:lang w:val="en-US" w:eastAsia="zh-CN"/>
        </w:rPr>
        <w:t>200</w:t>
      </w:r>
      <w:r>
        <w:rPr>
          <w:rFonts w:hint="eastAsia" w:ascii="Times New Roman"/>
          <w:color w:val="FF0000"/>
          <w:lang w:val="en-US" w:eastAsia="zh-CN"/>
        </w:rPr>
        <w:t xml:space="preserve"> </w:t>
      </w:r>
      <w:r>
        <w:rPr>
          <w:rFonts w:hint="eastAsia" w:ascii="Times New Roman"/>
          <w:color w:val="auto"/>
        </w:rPr>
        <w:t>t。若需方有特殊要求时，由供需双方协商确定。</w:t>
      </w:r>
    </w:p>
    <w:p>
      <w:pPr>
        <w:pStyle w:val="42"/>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2"/>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32"/>
        <w:keepNext w:val="0"/>
        <w:keepLines w:val="0"/>
        <w:pageBreakBefore w:val="0"/>
        <w:widowControl/>
        <w:tabs>
          <w:tab w:val="left" w:pos="7440"/>
        </w:tabs>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 xml:space="preserve"> 2</w:t>
      </w:r>
      <w:r>
        <w:rPr>
          <w:rFonts w:hint="eastAsia" w:ascii="黑体" w:hAnsi="黑体" w:eastAsia="黑体" w:cs="黑体"/>
          <w:szCs w:val="21"/>
        </w:rPr>
        <w:t xml:space="preserve">  检</w:t>
      </w:r>
      <w:r>
        <w:rPr>
          <w:rFonts w:hint="eastAsia" w:ascii="黑体" w:hAnsi="黑体" w:eastAsia="黑体" w:cs="黑体"/>
          <w:szCs w:val="21"/>
          <w:lang w:val="en-US" w:eastAsia="zh-CN"/>
        </w:rPr>
        <w:t>验</w:t>
      </w:r>
      <w:r>
        <w:rPr>
          <w:rFonts w:hint="eastAsia" w:ascii="黑体" w:hAnsi="黑体" w:eastAsia="黑体" w:cs="黑体"/>
          <w:szCs w:val="21"/>
        </w:rPr>
        <w:t>项目</w:t>
      </w:r>
    </w:p>
    <w:tbl>
      <w:tblPr>
        <w:tblStyle w:val="1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55"/>
        <w:gridCol w:w="278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eastAsia="zh-CN"/>
              </w:rPr>
              <w:t>检验</w:t>
            </w:r>
            <w:r>
              <w:rPr>
                <w:rFonts w:hint="default" w:ascii="Times New Roman" w:hAnsi="Times New Roman" w:cs="Times New Roman"/>
                <w:sz w:val="18"/>
                <w:szCs w:val="18"/>
              </w:rPr>
              <w:t>项目</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要求章节号</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化学成分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5.1</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cs="Times New Roman"/>
                <w:sz w:val="18"/>
                <w:szCs w:val="18"/>
                <w:lang w:val="en-US" w:eastAsia="zh-CN"/>
              </w:rPr>
              <w:t>2</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水分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5.2</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3</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产品粒度</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5.3</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4</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cs="Times New Roman"/>
                <w:kern w:val="0"/>
                <w:sz w:val="18"/>
                <w:szCs w:val="18"/>
                <w:lang w:val="en-US" w:eastAsia="zh-CN"/>
              </w:rPr>
              <w:t>外观质量</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5.4</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6.4</w:t>
            </w:r>
          </w:p>
        </w:tc>
      </w:tr>
    </w:tbl>
    <w:p>
      <w:pPr>
        <w:pStyle w:val="42"/>
        <w:spacing w:beforeLines="0" w:afterLines="0"/>
        <w:ind w:firstLine="0" w:firstLineChars="0"/>
        <w:outlineLvl w:val="9"/>
        <w:rPr>
          <w:rFonts w:ascii="宋体" w:hAnsi="宋体" w:eastAsia="宋体"/>
          <w:szCs w:val="21"/>
        </w:rPr>
      </w:pPr>
    </w:p>
    <w:p>
      <w:pPr>
        <w:pStyle w:val="42"/>
        <w:adjustRightInd w:val="0"/>
        <w:snapToGrid w:val="0"/>
        <w:spacing w:before="156" w:beforeLines="50" w:after="156" w:afterLines="50"/>
        <w:ind w:firstLine="0" w:firstLineChars="0"/>
        <w:outlineLvl w:val="1"/>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4</w:t>
      </w:r>
      <w:r>
        <w:rPr>
          <w:rFonts w:hint="eastAsia" w:ascii="黑体" w:hAnsi="黑体" w:eastAsia="黑体" w:cs="黑体"/>
          <w:bCs/>
          <w:szCs w:val="21"/>
        </w:rPr>
        <w:t xml:space="preserve">  采样规则</w:t>
      </w:r>
    </w:p>
    <w:p>
      <w:pPr>
        <w:pStyle w:val="40"/>
        <w:spacing w:before="0" w:beforeLines="0" w:after="0" w:afterLines="0" w:line="240" w:lineRule="auto"/>
        <w:ind w:firstLine="0" w:firstLineChars="0"/>
        <w:outlineLvl w:val="1"/>
        <w:rPr>
          <w:rFonts w:hint="default" w:ascii="Times New Roman" w:hAnsi="Times New Roman" w:eastAsia="黑体" w:cs="Times New Roman"/>
          <w:color w:val="auto"/>
          <w:szCs w:val="20"/>
          <w:lang w:val="en-US" w:eastAsia="zh-CN"/>
        </w:rPr>
      </w:pPr>
      <w:r>
        <w:rPr>
          <w:rFonts w:hint="eastAsia" w:hAnsi="黑体" w:cs="黑体"/>
          <w:szCs w:val="20"/>
          <w:lang w:val="en-US" w:eastAsia="zh-CN"/>
        </w:rPr>
        <w:t>7</w:t>
      </w:r>
      <w:r>
        <w:rPr>
          <w:rFonts w:hint="eastAsia" w:ascii="黑体" w:hAnsi="黑体" w:eastAsia="黑体" w:cs="黑体"/>
          <w:szCs w:val="20"/>
          <w:lang w:val="en-US" w:eastAsia="zh-CN"/>
        </w:rPr>
        <w:t xml:space="preserve">.4.1 </w:t>
      </w:r>
      <w:r>
        <w:rPr>
          <w:rFonts w:hint="eastAsia" w:ascii="Times New Roman" w:cs="Times New Roman"/>
          <w:szCs w:val="20"/>
          <w:lang w:val="en-US" w:eastAsia="zh-CN"/>
        </w:rPr>
        <w:t xml:space="preserve"> </w:t>
      </w:r>
      <w:r>
        <w:rPr>
          <w:rFonts w:hint="default" w:ascii="Times New Roman" w:eastAsia="宋体" w:cs="Times New Roman"/>
          <w:szCs w:val="20"/>
          <w:lang w:val="en-US" w:eastAsia="zh-CN"/>
        </w:rPr>
        <w:t>每袋逐个称重，一般情况下</w:t>
      </w:r>
      <w:r>
        <w:rPr>
          <w:rFonts w:ascii="Times New Roman" w:eastAsiaTheme="minorEastAsia"/>
        </w:rPr>
        <w:t>每批次</w:t>
      </w:r>
      <w:r>
        <w:rPr>
          <w:rFonts w:hint="eastAsia" w:ascii="Times New Roman" w:eastAsiaTheme="minorEastAsia"/>
        </w:rPr>
        <w:t>产品</w:t>
      </w:r>
      <w:r>
        <w:rPr>
          <w:rFonts w:ascii="Times New Roman" w:eastAsiaTheme="minorEastAsia"/>
        </w:rPr>
        <w:t>按</w:t>
      </w:r>
      <w:r>
        <w:rPr>
          <w:rFonts w:hint="eastAsia" w:ascii="Times New Roman" w:eastAsiaTheme="minorEastAsia"/>
        </w:rPr>
        <w:t>不少于</w:t>
      </w:r>
      <w:r>
        <w:rPr>
          <w:rFonts w:ascii="Times New Roman" w:eastAsiaTheme="minorEastAsia"/>
          <w:b w:val="0"/>
          <w:bCs w:val="0"/>
          <w:color w:val="auto"/>
        </w:rPr>
        <w:t>60%</w:t>
      </w:r>
      <w:r>
        <w:rPr>
          <w:rFonts w:ascii="Times New Roman" w:eastAsiaTheme="minorEastAsia"/>
          <w:color w:val="auto"/>
        </w:rPr>
        <w:t>取样，每袋取样量不小于</w:t>
      </w:r>
      <w:r>
        <w:rPr>
          <w:rFonts w:hint="eastAsia" w:ascii="Times New Roman" w:eastAsiaTheme="minorEastAsia"/>
          <w:color w:val="auto"/>
          <w:lang w:val="en-US" w:eastAsia="zh-CN"/>
        </w:rPr>
        <w:t>0.2%</w:t>
      </w:r>
      <w:r>
        <w:rPr>
          <w:rFonts w:hint="eastAsia" w:ascii="Times New Roman" w:eastAsiaTheme="minorEastAsia"/>
          <w:color w:val="auto"/>
        </w:rPr>
        <w:t>；样包数量小于10袋时应</w:t>
      </w:r>
      <w:r>
        <w:rPr>
          <w:rFonts w:hint="eastAsia" w:ascii="Times New Roman" w:eastAsiaTheme="minorEastAsia"/>
          <w:color w:val="auto"/>
          <w:lang w:eastAsia="zh-CN"/>
        </w:rPr>
        <w:t>1</w:t>
      </w:r>
      <w:r>
        <w:rPr>
          <w:rFonts w:hint="eastAsia" w:ascii="Times New Roman" w:eastAsiaTheme="minorEastAsia"/>
          <w:color w:val="auto"/>
          <w:lang w:val="en-US" w:eastAsia="zh-CN"/>
        </w:rPr>
        <w:t>00%取样</w:t>
      </w:r>
      <w:r>
        <w:rPr>
          <w:rFonts w:hint="eastAsia" w:ascii="Times New Roman" w:eastAsiaTheme="minorEastAsia"/>
          <w:color w:val="auto"/>
        </w:rPr>
        <w:t>。</w:t>
      </w:r>
    </w:p>
    <w:p>
      <w:pPr>
        <w:pStyle w:val="32"/>
        <w:spacing w:before="0" w:beforeLines="0" w:after="0" w:afterLines="0" w:afterAutospacing="0" w:line="240" w:lineRule="auto"/>
        <w:ind w:firstLine="0" w:firstLineChars="0"/>
        <w:outlineLvl w:val="9"/>
        <w:rPr>
          <w:rFonts w:hint="eastAsia" w:ascii="Times New Roman" w:eastAsiaTheme="minorEastAsia"/>
          <w:bCs w:val="0"/>
          <w:szCs w:val="20"/>
          <w:lang w:eastAsia="zh-CN"/>
        </w:rPr>
      </w:pPr>
      <w:r>
        <w:rPr>
          <w:rFonts w:hint="eastAsia" w:ascii="黑体" w:hAnsi="黑体" w:eastAsia="黑体" w:cs="黑体"/>
          <w:szCs w:val="20"/>
          <w:lang w:val="en-US" w:eastAsia="zh-CN"/>
        </w:rPr>
        <w:t xml:space="preserve">7.4.2 </w:t>
      </w:r>
      <w:r>
        <w:rPr>
          <w:rFonts w:hint="eastAsia" w:ascii="Times New Roman" w:eastAsia="黑体" w:cs="Times New Roman"/>
          <w:szCs w:val="20"/>
          <w:lang w:val="en-US" w:eastAsia="zh-CN"/>
        </w:rPr>
        <w:t xml:space="preserve"> </w:t>
      </w:r>
      <w:r>
        <w:rPr>
          <w:rFonts w:ascii="Times New Roman" w:hAnsi="Times New Roman"/>
          <w:bCs w:val="0"/>
          <w:szCs w:val="20"/>
        </w:rPr>
        <w:t>用</w:t>
      </w:r>
      <w:r>
        <w:rPr>
          <w:rFonts w:hint="eastAsia" w:ascii="Times New Roman"/>
          <w:bCs w:val="0"/>
          <w:szCs w:val="20"/>
          <w:lang w:val="en-US" w:eastAsia="zh-CN"/>
        </w:rPr>
        <w:t>取</w:t>
      </w:r>
      <w:r>
        <w:rPr>
          <w:rFonts w:ascii="Times New Roman" w:hAnsi="Times New Roman"/>
          <w:bCs w:val="0"/>
          <w:szCs w:val="20"/>
        </w:rPr>
        <w:t>样钎在矿料吨袋</w:t>
      </w:r>
      <w:r>
        <w:rPr>
          <w:rFonts w:hint="eastAsia" w:ascii="Times New Roman"/>
          <w:bCs w:val="0"/>
          <w:szCs w:val="20"/>
          <w:lang w:val="en-US" w:eastAsia="zh-CN"/>
        </w:rPr>
        <w:t>侧面任一对角线上</w:t>
      </w:r>
      <w:r>
        <w:rPr>
          <w:rFonts w:ascii="Times New Roman" w:hAnsi="Times New Roman"/>
          <w:bCs w:val="0"/>
          <w:szCs w:val="20"/>
        </w:rPr>
        <w:t>等距离</w:t>
      </w:r>
      <w:r>
        <w:rPr>
          <w:rFonts w:hint="eastAsia" w:ascii="Times New Roman"/>
          <w:bCs w:val="0"/>
          <w:szCs w:val="20"/>
          <w:lang w:val="en-US" w:eastAsia="zh-CN"/>
        </w:rPr>
        <w:t>的</w:t>
      </w:r>
      <w:r>
        <w:rPr>
          <w:rFonts w:ascii="Times New Roman" w:eastAsiaTheme="minorEastAsia"/>
        </w:rPr>
        <w:t>顶部、中间、底部</w:t>
      </w:r>
      <w:r>
        <w:rPr>
          <w:rFonts w:ascii="Times New Roman" w:hAnsi="Times New Roman"/>
          <w:bCs w:val="0"/>
          <w:szCs w:val="20"/>
        </w:rPr>
        <w:t>斜插3个点，</w:t>
      </w:r>
      <w:r>
        <w:rPr>
          <w:rFonts w:hint="eastAsia" w:ascii="Times New Roman"/>
          <w:bCs w:val="0"/>
          <w:szCs w:val="20"/>
          <w:lang w:val="en-US" w:eastAsia="zh-CN"/>
        </w:rPr>
        <w:t>在相对面也相应取3个点</w:t>
      </w:r>
      <w:r>
        <w:rPr>
          <w:rFonts w:ascii="Times New Roman" w:hAnsi="Times New Roman"/>
          <w:bCs w:val="0"/>
          <w:szCs w:val="20"/>
        </w:rPr>
        <w:t>，共取6个点</w:t>
      </w:r>
      <w:r>
        <w:rPr>
          <w:rFonts w:hint="eastAsia" w:ascii="Times New Roman"/>
          <w:bCs w:val="0"/>
          <w:szCs w:val="20"/>
          <w:lang w:eastAsia="zh-CN"/>
        </w:rPr>
        <w:t>。</w:t>
      </w:r>
      <w:r>
        <w:rPr>
          <w:rFonts w:ascii="Times New Roman" w:hAnsi="Times New Roman"/>
          <w:bCs w:val="0"/>
          <w:szCs w:val="20"/>
        </w:rPr>
        <w:t>取样钎打透吨袋，打到包心，</w:t>
      </w:r>
      <w:r>
        <w:rPr>
          <w:rFonts w:hint="eastAsia" w:ascii="Times New Roman" w:eastAsiaTheme="minorEastAsia"/>
        </w:rPr>
        <w:t>将</w:t>
      </w:r>
      <w:r>
        <w:rPr>
          <w:rFonts w:ascii="Times New Roman" w:eastAsiaTheme="minorEastAsia"/>
        </w:rPr>
        <w:t>样钎</w:t>
      </w:r>
      <w:r>
        <w:rPr>
          <w:rFonts w:hint="eastAsia" w:ascii="Times New Roman" w:eastAsiaTheme="minorEastAsia"/>
        </w:rPr>
        <w:t>旋转180°</w:t>
      </w:r>
      <w:r>
        <w:rPr>
          <w:rFonts w:ascii="Times New Roman" w:eastAsiaTheme="minorEastAsia"/>
        </w:rPr>
        <w:t>抽出</w:t>
      </w:r>
      <w:r>
        <w:rPr>
          <w:rFonts w:hint="eastAsia" w:ascii="Times New Roman" w:eastAsiaTheme="minorEastAsia"/>
        </w:rPr>
        <w:t>，样钎</w:t>
      </w:r>
      <w:r>
        <w:rPr>
          <w:rFonts w:ascii="Times New Roman" w:eastAsiaTheme="minorEastAsia"/>
        </w:rPr>
        <w:t>装料应饱满</w:t>
      </w:r>
      <w:r>
        <w:rPr>
          <w:rFonts w:hint="eastAsia" w:ascii="Times New Roman" w:eastAsiaTheme="minorEastAsia"/>
          <w:lang w:eastAsia="zh-CN"/>
        </w:rPr>
        <w:t>。</w:t>
      </w:r>
    </w:p>
    <w:p>
      <w:pPr>
        <w:pStyle w:val="32"/>
        <w:spacing w:before="0" w:beforeLines="0" w:after="0" w:afterLines="0" w:afterAutospacing="0" w:line="240" w:lineRule="auto"/>
        <w:ind w:firstLine="0" w:firstLineChars="0"/>
        <w:outlineLvl w:val="9"/>
        <w:rPr>
          <w:rFonts w:hint="eastAsia" w:ascii="Times New Roman"/>
          <w:bCs/>
          <w:szCs w:val="21"/>
          <w:lang w:eastAsia="zh-CN"/>
        </w:rPr>
      </w:pPr>
      <w:r>
        <w:rPr>
          <w:rFonts w:hint="eastAsia" w:ascii="黑体" w:hAnsi="黑体" w:eastAsia="黑体" w:cs="黑体"/>
          <w:szCs w:val="20"/>
          <w:lang w:val="en-US" w:eastAsia="zh-CN"/>
        </w:rPr>
        <w:t xml:space="preserve">7.4.3  </w:t>
      </w:r>
      <w:r>
        <w:rPr>
          <w:rFonts w:ascii="Times New Roman" w:hAnsi="Times New Roman"/>
          <w:bCs/>
          <w:szCs w:val="21"/>
        </w:rPr>
        <w:t>将取出的样品在5</w:t>
      </w:r>
      <w:r>
        <w:rPr>
          <w:rFonts w:hint="eastAsia" w:ascii="Times New Roman"/>
          <w:bCs/>
          <w:szCs w:val="21"/>
          <w:lang w:val="en-US" w:eastAsia="zh-CN"/>
        </w:rPr>
        <w:t xml:space="preserve"> </w:t>
      </w:r>
      <w:r>
        <w:rPr>
          <w:rFonts w:ascii="Times New Roman" w:hAnsi="Times New Roman"/>
          <w:bCs/>
          <w:szCs w:val="21"/>
        </w:rPr>
        <w:t>mm的筛网进行过筛，筛上矿料进行破碎，直至全部过5</w:t>
      </w:r>
      <w:r>
        <w:rPr>
          <w:rFonts w:hint="eastAsia" w:ascii="Times New Roman"/>
          <w:bCs/>
          <w:szCs w:val="21"/>
          <w:lang w:val="en-US" w:eastAsia="zh-CN"/>
        </w:rPr>
        <w:t xml:space="preserve"> </w:t>
      </w:r>
      <w:r>
        <w:rPr>
          <w:rFonts w:ascii="Times New Roman" w:hAnsi="Times New Roman"/>
          <w:bCs/>
          <w:szCs w:val="21"/>
        </w:rPr>
        <w:t>mm筛网为止</w:t>
      </w:r>
      <w:r>
        <w:rPr>
          <w:rFonts w:hint="eastAsia" w:ascii="Times New Roman"/>
          <w:bCs/>
          <w:szCs w:val="21"/>
          <w:lang w:eastAsia="zh-CN"/>
        </w:rPr>
        <w:t>。</w:t>
      </w:r>
    </w:p>
    <w:p>
      <w:pPr>
        <w:pStyle w:val="32"/>
        <w:spacing w:before="0" w:beforeLines="0" w:after="0" w:afterLines="0" w:afterAutospacing="0" w:line="240" w:lineRule="auto"/>
        <w:ind w:firstLine="0" w:firstLineChars="0"/>
        <w:outlineLvl w:val="9"/>
        <w:rPr>
          <w:rFonts w:hint="eastAsia" w:ascii="Times New Roman"/>
          <w:bCs/>
          <w:szCs w:val="21"/>
          <w:lang w:val="en-US" w:eastAsia="zh-CN"/>
        </w:rPr>
      </w:pPr>
      <w:r>
        <w:rPr>
          <w:rFonts w:hint="eastAsia" w:ascii="黑体" w:hAnsi="黑体" w:eastAsia="黑体" w:cs="黑体"/>
          <w:bCs/>
          <w:szCs w:val="21"/>
          <w:lang w:val="en-US" w:eastAsia="zh-CN"/>
        </w:rPr>
        <w:t xml:space="preserve">7.4.4  </w:t>
      </w:r>
      <w:r>
        <w:rPr>
          <w:rFonts w:ascii="Times New Roman" w:hAnsi="Times New Roman"/>
          <w:bCs/>
          <w:szCs w:val="21"/>
        </w:rPr>
        <w:t>将样品搅拌3次，充分混匀后用圆锥—四分法缩分一半，再用24格网格法取出</w:t>
      </w:r>
      <w:r>
        <w:rPr>
          <w:rFonts w:hint="eastAsia" w:ascii="Times New Roman"/>
          <w:bCs/>
          <w:szCs w:val="21"/>
          <w:lang w:val="en-US" w:eastAsia="zh-CN"/>
        </w:rPr>
        <w:t>两</w:t>
      </w:r>
      <w:r>
        <w:rPr>
          <w:rFonts w:ascii="Times New Roman" w:hAnsi="Times New Roman"/>
          <w:bCs/>
          <w:szCs w:val="21"/>
        </w:rPr>
        <w:t>份</w:t>
      </w:r>
      <w:r>
        <w:rPr>
          <w:rFonts w:hint="eastAsia" w:ascii="Times New Roman"/>
          <w:bCs/>
          <w:szCs w:val="21"/>
          <w:lang w:val="en-US" w:eastAsia="zh-CN"/>
        </w:rPr>
        <w:t>样品（每份重量约3.5 kg）</w:t>
      </w:r>
      <w:r>
        <w:rPr>
          <w:rFonts w:ascii="Times New Roman" w:hAnsi="Times New Roman"/>
          <w:bCs/>
          <w:szCs w:val="21"/>
        </w:rPr>
        <w:t>，</w:t>
      </w:r>
      <w:r>
        <w:rPr>
          <w:rFonts w:hint="eastAsia" w:ascii="Times New Roman"/>
          <w:bCs/>
          <w:szCs w:val="21"/>
          <w:lang w:val="en-US" w:eastAsia="zh-CN"/>
        </w:rPr>
        <w:t>一</w:t>
      </w:r>
      <w:r>
        <w:rPr>
          <w:rFonts w:ascii="Times New Roman" w:hAnsi="Times New Roman"/>
          <w:bCs/>
          <w:szCs w:val="21"/>
        </w:rPr>
        <w:t>份作为送检样，</w:t>
      </w:r>
      <w:r>
        <w:rPr>
          <w:rFonts w:hint="eastAsia" w:ascii="Times New Roman"/>
          <w:bCs/>
          <w:szCs w:val="21"/>
          <w:lang w:val="en-US" w:eastAsia="zh-CN"/>
        </w:rPr>
        <w:t>一</w:t>
      </w:r>
      <w:r>
        <w:rPr>
          <w:rFonts w:ascii="Times New Roman" w:hAnsi="Times New Roman"/>
          <w:bCs/>
          <w:szCs w:val="21"/>
        </w:rPr>
        <w:t>份为留样备查。</w:t>
      </w:r>
      <w:r>
        <w:rPr>
          <w:rFonts w:hint="eastAsia" w:ascii="Times New Roman"/>
          <w:bCs/>
          <w:szCs w:val="21"/>
          <w:highlight w:val="none"/>
          <w:lang w:val="en-US" w:eastAsia="zh-CN"/>
        </w:rPr>
        <w:t>按照附录A，</w:t>
      </w:r>
      <w:r>
        <w:rPr>
          <w:rFonts w:hint="eastAsia" w:ascii="Times New Roman"/>
          <w:bCs/>
          <w:szCs w:val="21"/>
          <w:lang w:val="en-US" w:eastAsia="zh-CN"/>
        </w:rPr>
        <w:t>将送检样分为两份用于测定水分。</w:t>
      </w:r>
      <w:r>
        <w:rPr>
          <w:rFonts w:hint="eastAsia" w:ascii="Times New Roman" w:eastAsiaTheme="minorEastAsia"/>
        </w:rPr>
        <w:t>水分含量</w:t>
      </w:r>
      <w:r>
        <w:rPr>
          <w:rFonts w:hint="eastAsia" w:ascii="Times New Roman" w:eastAsiaTheme="minorEastAsia"/>
          <w:lang w:val="en-US" w:eastAsia="zh-CN"/>
        </w:rPr>
        <w:t>绝对值</w:t>
      </w:r>
      <w:r>
        <w:rPr>
          <w:rFonts w:hint="eastAsia" w:ascii="Times New Roman" w:eastAsiaTheme="minorEastAsia"/>
        </w:rPr>
        <w:t>差值</w:t>
      </w:r>
      <w:r>
        <w:rPr>
          <w:rFonts w:hint="eastAsia" w:ascii="Times New Roman" w:eastAsiaTheme="minorEastAsia"/>
          <w:color w:val="auto"/>
        </w:rPr>
        <w:t>在0</w:t>
      </w:r>
      <w:r>
        <w:rPr>
          <w:rFonts w:ascii="Times New Roman" w:eastAsiaTheme="minorEastAsia"/>
          <w:color w:val="auto"/>
        </w:rPr>
        <w:t>.</w:t>
      </w:r>
      <w:r>
        <w:rPr>
          <w:rFonts w:hint="eastAsia" w:ascii="Times New Roman" w:eastAsiaTheme="minorEastAsia"/>
          <w:color w:val="auto"/>
          <w:lang w:val="en-US" w:eastAsia="zh-CN"/>
        </w:rPr>
        <w:t>20</w:t>
      </w:r>
      <w:r>
        <w:rPr>
          <w:rFonts w:hint="eastAsia" w:ascii="Times New Roman" w:eastAsiaTheme="minorEastAsia"/>
          <w:color w:val="auto"/>
        </w:rPr>
        <w:t>%以内</w:t>
      </w:r>
      <w:r>
        <w:rPr>
          <w:rFonts w:hint="eastAsia" w:ascii="Times New Roman" w:eastAsiaTheme="minorEastAsia"/>
        </w:rPr>
        <w:t>的样品视为均匀物料</w:t>
      </w:r>
      <w:r>
        <w:rPr>
          <w:rFonts w:hint="eastAsia" w:ascii="Times New Roman" w:eastAsiaTheme="minorEastAsia"/>
          <w:lang w:eastAsia="zh-CN"/>
        </w:rPr>
        <w:t>，</w:t>
      </w:r>
      <w:r>
        <w:rPr>
          <w:rFonts w:hint="eastAsia" w:ascii="Times New Roman" w:eastAsiaTheme="minorEastAsia"/>
          <w:lang w:val="en-US" w:eastAsia="zh-CN"/>
        </w:rPr>
        <w:t>全部进行</w:t>
      </w:r>
      <w:r>
        <w:rPr>
          <w:rFonts w:ascii="Times New Roman" w:hAnsi="Times New Roman"/>
          <w:bCs/>
          <w:szCs w:val="21"/>
        </w:rPr>
        <w:t>研磨</w:t>
      </w:r>
      <w:r>
        <w:rPr>
          <w:rFonts w:hint="eastAsia" w:ascii="Times New Roman"/>
          <w:bCs/>
          <w:szCs w:val="21"/>
          <w:lang w:val="en-US" w:eastAsia="zh-CN"/>
        </w:rPr>
        <w:t>并</w:t>
      </w:r>
      <w:r>
        <w:rPr>
          <w:rFonts w:ascii="Times New Roman" w:hAnsi="Times New Roman"/>
          <w:bCs/>
          <w:szCs w:val="21"/>
        </w:rPr>
        <w:t>过100目筛网</w:t>
      </w:r>
      <w:r>
        <w:rPr>
          <w:rFonts w:hint="eastAsia" w:ascii="Times New Roman"/>
          <w:bCs/>
          <w:szCs w:val="21"/>
          <w:lang w:eastAsia="zh-CN"/>
        </w:rPr>
        <w:t>。</w:t>
      </w:r>
      <w:r>
        <w:rPr>
          <w:rFonts w:ascii="Times New Roman" w:hAnsi="Times New Roman"/>
          <w:bCs/>
          <w:szCs w:val="21"/>
        </w:rPr>
        <w:t>每次研磨时间不得超过1</w:t>
      </w:r>
      <w:r>
        <w:rPr>
          <w:rFonts w:hint="eastAsia" w:ascii="Times New Roman"/>
          <w:bCs/>
          <w:szCs w:val="21"/>
          <w:lang w:val="en-US" w:eastAsia="zh-CN"/>
        </w:rPr>
        <w:t xml:space="preserve"> </w:t>
      </w:r>
      <w:r>
        <w:rPr>
          <w:rFonts w:hint="eastAsia" w:ascii="Times New Roman" w:hAnsi="Times New Roman"/>
          <w:bCs/>
          <w:szCs w:val="21"/>
          <w:lang w:eastAsia="zh-CN"/>
        </w:rPr>
        <w:t>min</w:t>
      </w:r>
      <w:r>
        <w:rPr>
          <w:rFonts w:ascii="Times New Roman" w:hAnsi="Times New Roman"/>
          <w:bCs/>
          <w:szCs w:val="21"/>
        </w:rPr>
        <w:t>，把研磨好的样品堆锥搅拌3次，充分混匀后用24格网格法</w:t>
      </w:r>
      <w:r>
        <w:rPr>
          <w:rFonts w:hint="eastAsia" w:ascii="Times New Roman"/>
          <w:bCs/>
          <w:szCs w:val="21"/>
          <w:lang w:val="en-US" w:eastAsia="zh-CN"/>
        </w:rPr>
        <w:t>分取四份样品，每份重量</w:t>
      </w:r>
      <w:r>
        <w:rPr>
          <w:rFonts w:ascii="Times New Roman" w:hAnsi="Times New Roman"/>
          <w:bCs/>
          <w:szCs w:val="21"/>
        </w:rPr>
        <w:t>约150</w:t>
      </w:r>
      <w:r>
        <w:rPr>
          <w:rFonts w:hint="eastAsia" w:ascii="Times New Roman"/>
          <w:bCs/>
          <w:szCs w:val="21"/>
          <w:lang w:val="en-US" w:eastAsia="zh-CN"/>
        </w:rPr>
        <w:t xml:space="preserve"> </w:t>
      </w:r>
      <w:r>
        <w:rPr>
          <w:rFonts w:hint="eastAsia" w:ascii="Times New Roman" w:hAnsi="Times New Roman"/>
          <w:bCs/>
          <w:szCs w:val="21"/>
          <w:lang w:eastAsia="zh-CN"/>
        </w:rPr>
        <w:t>g</w:t>
      </w:r>
      <w:r>
        <w:rPr>
          <w:rFonts w:hint="eastAsia" w:ascii="Times New Roman"/>
          <w:bCs/>
          <w:szCs w:val="21"/>
          <w:lang w:eastAsia="zh-CN"/>
        </w:rPr>
        <w:t>。</w:t>
      </w:r>
      <w:r>
        <w:rPr>
          <w:rFonts w:hint="eastAsia" w:ascii="Times New Roman"/>
          <w:bCs/>
          <w:szCs w:val="21"/>
          <w:lang w:val="en-US" w:eastAsia="zh-CN"/>
        </w:rPr>
        <w:t>四份样品</w:t>
      </w:r>
      <w:r>
        <w:rPr>
          <w:rFonts w:ascii="Times New Roman" w:hAnsi="Times New Roman"/>
          <w:bCs/>
          <w:szCs w:val="21"/>
        </w:rPr>
        <w:t>先装入小塑料样品袋里，再用铝箔袋里进行装封</w:t>
      </w:r>
      <w:r>
        <w:rPr>
          <w:rFonts w:hint="eastAsia" w:ascii="Times New Roman"/>
          <w:bCs/>
          <w:szCs w:val="21"/>
          <w:lang w:eastAsia="zh-CN"/>
        </w:rPr>
        <w:t>，</w:t>
      </w:r>
      <w:r>
        <w:rPr>
          <w:rFonts w:hint="eastAsia" w:ascii="Times New Roman"/>
          <w:bCs/>
          <w:szCs w:val="21"/>
          <w:lang w:val="en-US" w:eastAsia="zh-CN"/>
        </w:rPr>
        <w:t>并附以标签（</w:t>
      </w:r>
      <w:r>
        <w:rPr>
          <w:rFonts w:hint="eastAsia" w:ascii="Times New Roman" w:eastAsiaTheme="minorEastAsia"/>
        </w:rPr>
        <w:t>注明</w:t>
      </w:r>
      <w:r>
        <w:rPr>
          <w:rFonts w:hint="eastAsia" w:ascii="Times New Roman" w:eastAsiaTheme="minorEastAsia"/>
          <w:lang w:val="en-US" w:eastAsia="zh-CN"/>
        </w:rPr>
        <w:t>批次号、</w:t>
      </w:r>
      <w:r>
        <w:rPr>
          <w:rFonts w:hint="eastAsia" w:ascii="Times New Roman" w:eastAsiaTheme="minorEastAsia"/>
        </w:rPr>
        <w:t>编号、类别、产地、取样和制样人员、取样日期、分析项目</w:t>
      </w:r>
      <w:r>
        <w:rPr>
          <w:rFonts w:hint="eastAsia" w:ascii="Times New Roman"/>
          <w:bCs/>
          <w:szCs w:val="21"/>
          <w:lang w:val="en-US" w:eastAsia="zh-CN"/>
        </w:rPr>
        <w:t>）。</w:t>
      </w:r>
    </w:p>
    <w:p>
      <w:pPr>
        <w:pStyle w:val="32"/>
        <w:spacing w:beforeLines="0" w:afterLines="0" w:line="240" w:lineRule="auto"/>
        <w:ind w:firstLine="0" w:firstLineChars="0"/>
        <w:outlineLvl w:val="9"/>
        <w:rPr>
          <w:rFonts w:hint="eastAsia" w:ascii="Times New Roman"/>
          <w:bCs/>
          <w:color w:val="auto"/>
          <w:szCs w:val="21"/>
        </w:rPr>
      </w:pPr>
      <w:r>
        <w:rPr>
          <w:rFonts w:hint="eastAsia" w:ascii="黑体" w:hAnsi="黑体" w:eastAsia="黑体" w:cs="黑体"/>
          <w:bCs/>
          <w:szCs w:val="21"/>
          <w:lang w:val="en-US" w:eastAsia="zh-CN"/>
        </w:rPr>
        <w:t xml:space="preserve">7.4.5  </w:t>
      </w:r>
      <w:r>
        <w:rPr>
          <w:rFonts w:hint="eastAsia" w:ascii="Times New Roman"/>
          <w:bCs/>
          <w:szCs w:val="21"/>
          <w:lang w:val="en-US" w:eastAsia="zh-CN"/>
        </w:rPr>
        <w:t>四份样品中，</w:t>
      </w:r>
      <w:r>
        <w:rPr>
          <w:rFonts w:hint="eastAsia" w:ascii="Times New Roman"/>
          <w:bCs/>
          <w:szCs w:val="21"/>
        </w:rPr>
        <w:t>一份交需方，一份交供方，一份双方现场签字确认留做仲裁，一份备用。仲裁及备用样品由需方保存，保存期限为三个月</w:t>
      </w:r>
      <w:r>
        <w:rPr>
          <w:rFonts w:hint="eastAsia" w:ascii="Times New Roman"/>
          <w:bCs/>
          <w:color w:val="auto"/>
          <w:szCs w:val="21"/>
        </w:rPr>
        <w:t>。</w:t>
      </w:r>
      <w:r>
        <w:rPr>
          <w:rFonts w:hint="eastAsia" w:ascii="Times New Roman"/>
          <w:color w:val="auto"/>
        </w:rPr>
        <w:t>若需方有特殊要求时，由供需双方协商确定。</w:t>
      </w:r>
    </w:p>
    <w:p>
      <w:pPr>
        <w:pStyle w:val="42"/>
        <w:adjustRightInd w:val="0"/>
        <w:snapToGrid w:val="0"/>
        <w:spacing w:before="156" w:beforeLines="50" w:after="156" w:afterLines="50" w:line="240" w:lineRule="auto"/>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5</w:t>
      </w:r>
      <w:r>
        <w:rPr>
          <w:rFonts w:hint="eastAsia" w:ascii="黑体" w:hAnsi="黑体" w:eastAsia="黑体" w:cs="黑体"/>
          <w:bCs/>
          <w:szCs w:val="21"/>
        </w:rPr>
        <w:t xml:space="preserve">  检验结果判定</w:t>
      </w:r>
    </w:p>
    <w:p>
      <w:pPr>
        <w:snapToGrid w:val="0"/>
        <w:spacing w:line="240" w:lineRule="auto"/>
        <w:jc w:val="left"/>
        <w:rPr>
          <w:rFonts w:eastAsiaTheme="minorEastAsia"/>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.1 </w:t>
      </w:r>
      <w:r>
        <w:rPr>
          <w:rFonts w:hint="eastAsia" w:eastAsiaTheme="minorEastAsia"/>
        </w:rPr>
        <w:t xml:space="preserve"> </w:t>
      </w:r>
      <w:r>
        <w:rPr>
          <w:rFonts w:eastAsiaTheme="minorEastAsia"/>
          <w:color w:val="000000"/>
          <w:szCs w:val="21"/>
          <w:lang w:bidi="zh-CN"/>
        </w:rPr>
        <w:t>检验结果的数值按GB/T</w:t>
      </w:r>
      <w:r>
        <w:rPr>
          <w:rFonts w:hint="eastAsia" w:eastAsiaTheme="minorEastAsia"/>
          <w:color w:val="000000"/>
          <w:szCs w:val="21"/>
          <w:lang w:bidi="zh-CN"/>
        </w:rPr>
        <w:t xml:space="preserve"> </w:t>
      </w:r>
      <w:r>
        <w:rPr>
          <w:rFonts w:eastAsiaTheme="minorEastAsia"/>
          <w:color w:val="000000"/>
          <w:szCs w:val="21"/>
          <w:lang w:bidi="zh-CN"/>
        </w:rPr>
        <w:t>8170的规定进行</w:t>
      </w:r>
      <w:r>
        <w:rPr>
          <w:rFonts w:hint="eastAsia" w:eastAsiaTheme="minorEastAsia"/>
          <w:color w:val="000000"/>
          <w:szCs w:val="21"/>
          <w:lang w:bidi="zh-CN"/>
        </w:rPr>
        <w:t>修约，并采用修约值比较法判定</w:t>
      </w:r>
      <w:r>
        <w:rPr>
          <w:rFonts w:eastAsiaTheme="minorEastAsia"/>
          <w:color w:val="000000"/>
          <w:szCs w:val="21"/>
          <w:lang w:bidi="zh-CN"/>
        </w:rPr>
        <w:t>。</w:t>
      </w:r>
    </w:p>
    <w:p>
      <w:pPr>
        <w:pStyle w:val="32"/>
        <w:spacing w:line="240" w:lineRule="auto"/>
        <w:ind w:firstLine="0" w:firstLineChars="0"/>
        <w:rPr>
          <w:rFonts w:ascii="Times New Roman" w:eastAsiaTheme="minorEastAsia"/>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.2  </w:t>
      </w:r>
      <w:r>
        <w:rPr>
          <w:rFonts w:ascii="Times New Roman" w:eastAsiaTheme="minorEastAsia"/>
        </w:rPr>
        <w:t>检验结果如有一项指标不符合本</w:t>
      </w:r>
      <w:r>
        <w:rPr>
          <w:rFonts w:hint="eastAsia" w:ascii="Times New Roman" w:eastAsiaTheme="minorEastAsia"/>
          <w:lang w:val="en-US" w:eastAsia="zh-CN"/>
        </w:rPr>
        <w:t>文件规定</w:t>
      </w:r>
      <w:r>
        <w:rPr>
          <w:rFonts w:ascii="Times New Roman" w:eastAsiaTheme="minorEastAsia"/>
        </w:rPr>
        <w:t>时</w:t>
      </w:r>
      <w:r>
        <w:rPr>
          <w:rFonts w:hint="eastAsia" w:ascii="Times New Roman" w:eastAsiaTheme="minorEastAsia"/>
        </w:rPr>
        <w:t>，</w:t>
      </w:r>
      <w:r>
        <w:rPr>
          <w:rFonts w:ascii="Times New Roman" w:eastAsiaTheme="minorEastAsia"/>
        </w:rPr>
        <w:t>应</w:t>
      </w:r>
      <w:r>
        <w:rPr>
          <w:rFonts w:hint="eastAsia" w:ascii="Times New Roman" w:eastAsiaTheme="minorEastAsia"/>
        </w:rPr>
        <w:t>从</w:t>
      </w:r>
      <w:r>
        <w:rPr>
          <w:rFonts w:ascii="Times New Roman" w:eastAsiaTheme="minorEastAsia"/>
        </w:rPr>
        <w:t>该批产品中</w:t>
      </w:r>
      <w:r>
        <w:rPr>
          <w:rFonts w:hint="eastAsia" w:ascii="Times New Roman" w:eastAsiaTheme="minorEastAsia"/>
        </w:rPr>
        <w:t>另</w:t>
      </w:r>
      <w:r>
        <w:rPr>
          <w:rFonts w:ascii="Times New Roman" w:eastAsiaTheme="minorEastAsia"/>
        </w:rPr>
        <w:t>取双倍数量的</w:t>
      </w:r>
      <w:r>
        <w:rPr>
          <w:rFonts w:hint="eastAsia" w:ascii="Times New Roman" w:eastAsiaTheme="minorEastAsia"/>
        </w:rPr>
        <w:t>试样进行重复试验，</w:t>
      </w:r>
      <w:r>
        <w:rPr>
          <w:rFonts w:ascii="Times New Roman" w:eastAsiaTheme="minorEastAsia"/>
        </w:rPr>
        <w:t>重复检验</w:t>
      </w:r>
      <w:r>
        <w:rPr>
          <w:rFonts w:hint="eastAsia" w:ascii="Times New Roman" w:eastAsiaTheme="minorEastAsia"/>
        </w:rPr>
        <w:t>全部合格，则判整批产品合格</w:t>
      </w:r>
      <w:r>
        <w:rPr>
          <w:rFonts w:ascii="Times New Roman" w:eastAsiaTheme="minorEastAsia"/>
        </w:rPr>
        <w:t>。</w:t>
      </w:r>
      <w:r>
        <w:rPr>
          <w:rFonts w:hint="eastAsia" w:ascii="Times New Roman" w:eastAsiaTheme="minorEastAsia"/>
        </w:rPr>
        <w:t>若重复试验结果</w:t>
      </w:r>
      <w:r>
        <w:rPr>
          <w:rFonts w:ascii="Times New Roman" w:eastAsiaTheme="minorEastAsia"/>
        </w:rPr>
        <w:t>仍有</w:t>
      </w:r>
      <w:r>
        <w:rPr>
          <w:rFonts w:hint="eastAsia" w:ascii="Times New Roman" w:eastAsiaTheme="minorEastAsia"/>
        </w:rPr>
        <w:t>不合格</w:t>
      </w:r>
      <w:r>
        <w:rPr>
          <w:rFonts w:ascii="Times New Roman" w:eastAsiaTheme="minorEastAsia"/>
        </w:rPr>
        <w:t>，则判该批产品不合格。</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8</w:t>
      </w:r>
      <w:r>
        <w:rPr>
          <w:rFonts w:hint="eastAsia" w:ascii="黑体" w:hAnsi="黑体" w:eastAsia="黑体" w:cs="黑体"/>
          <w:bCs/>
        </w:rPr>
        <w:t xml:space="preserve">  标志、包装、运输、贮存及随行文件</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.1  标志</w:t>
      </w:r>
    </w:p>
    <w:p>
      <w:pPr>
        <w:pStyle w:val="32"/>
        <w:keepNext w:val="0"/>
        <w:keepLines w:val="0"/>
        <w:pageBreakBefore w:val="0"/>
        <w:kinsoku/>
        <w:wordWrap/>
        <w:overflowPunct/>
        <w:topLinePunct w:val="0"/>
        <w:bidi w:val="0"/>
        <w:adjustRightInd/>
        <w:snapToGrid/>
        <w:spacing w:line="240" w:lineRule="auto"/>
        <w:ind w:firstLine="420" w:firstLineChars="0"/>
        <w:textAlignment w:val="auto"/>
        <w:outlineLvl w:val="9"/>
        <w:rPr>
          <w:rFonts w:hint="default" w:ascii="宋体" w:hAnsi="Times New Roman" w:eastAsia="宋体"/>
          <w:color w:val="auto"/>
          <w:szCs w:val="20"/>
          <w:highlight w:val="none"/>
          <w:lang w:eastAsia="zh-CN"/>
        </w:rPr>
      </w:pPr>
      <w:r>
        <w:rPr>
          <w:rFonts w:hint="default" w:ascii="宋体" w:hAnsi="Times New Roman"/>
          <w:color w:val="auto"/>
          <w:szCs w:val="20"/>
          <w:highlight w:val="none"/>
          <w:lang w:eastAsia="zh-CN"/>
        </w:rPr>
        <w:t>产品</w:t>
      </w:r>
      <w:r>
        <w:rPr>
          <w:rFonts w:hint="default" w:ascii="宋体" w:hAnsi="Times New Roman"/>
          <w:color w:val="auto"/>
          <w:szCs w:val="20"/>
          <w:highlight w:val="none"/>
        </w:rPr>
        <w:t>包装上应有牢固清晰的标志。内容包括：生产厂名、厂址、产品名称、</w:t>
      </w:r>
      <w:r>
        <w:rPr>
          <w:rFonts w:hint="default" w:ascii="宋体" w:hAnsi="Times New Roman"/>
          <w:color w:val="auto"/>
          <w:szCs w:val="20"/>
          <w:highlight w:val="none"/>
          <w:lang w:eastAsia="zh-CN"/>
        </w:rPr>
        <w:t>型号</w:t>
      </w:r>
      <w:r>
        <w:rPr>
          <w:rFonts w:hint="default" w:ascii="宋体" w:hAnsi="Times New Roman"/>
          <w:color w:val="auto"/>
          <w:szCs w:val="20"/>
          <w:highlight w:val="none"/>
        </w:rPr>
        <w:t>、</w:t>
      </w:r>
      <w:r>
        <w:rPr>
          <w:rFonts w:hint="default" w:ascii="宋体"/>
          <w:color w:val="auto"/>
          <w:szCs w:val="20"/>
          <w:highlight w:val="none"/>
          <w:lang w:eastAsia="zh-CN"/>
        </w:rPr>
        <w:t>品级、</w:t>
      </w:r>
      <w:r>
        <w:rPr>
          <w:rFonts w:hint="default" w:ascii="宋体" w:hAnsi="Times New Roman"/>
          <w:color w:val="auto"/>
          <w:szCs w:val="20"/>
          <w:highlight w:val="none"/>
        </w:rPr>
        <w:t>净</w:t>
      </w:r>
      <w:r>
        <w:rPr>
          <w:rFonts w:hint="default" w:ascii="宋体" w:hAnsi="Times New Roman"/>
          <w:color w:val="auto"/>
          <w:szCs w:val="20"/>
          <w:highlight w:val="none"/>
          <w:lang w:eastAsia="zh-CN"/>
        </w:rPr>
        <w:t>重</w:t>
      </w:r>
      <w:r>
        <w:rPr>
          <w:rFonts w:hint="default" w:ascii="宋体" w:hAnsi="Times New Roman"/>
          <w:color w:val="auto"/>
          <w:szCs w:val="20"/>
          <w:highlight w:val="none"/>
        </w:rPr>
        <w:t>、批号</w:t>
      </w:r>
      <w:r>
        <w:rPr>
          <w:rFonts w:hint="default" w:ascii="宋体" w:hAnsi="Times New Roman"/>
          <w:color w:val="auto"/>
          <w:szCs w:val="20"/>
          <w:highlight w:val="none"/>
          <w:lang w:eastAsia="zh-CN"/>
        </w:rPr>
        <w:t>、</w:t>
      </w:r>
      <w:r>
        <w:rPr>
          <w:rFonts w:hint="default" w:ascii="宋体" w:hAnsi="Times New Roman"/>
          <w:color w:val="auto"/>
          <w:szCs w:val="20"/>
          <w:highlight w:val="none"/>
        </w:rPr>
        <w:t>生产日期、本</w:t>
      </w:r>
      <w:r>
        <w:rPr>
          <w:rFonts w:hint="default" w:ascii="宋体" w:hAnsi="Times New Roman"/>
          <w:color w:val="auto"/>
          <w:szCs w:val="20"/>
          <w:highlight w:val="none"/>
          <w:lang w:eastAsia="zh-CN"/>
        </w:rPr>
        <w:t>文件</w:t>
      </w:r>
      <w:r>
        <w:rPr>
          <w:rFonts w:hint="default" w:ascii="宋体" w:hAnsi="Times New Roman"/>
          <w:color w:val="auto"/>
          <w:szCs w:val="20"/>
          <w:highlight w:val="none"/>
        </w:rPr>
        <w:t>编号。</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.2  包装</w:t>
      </w:r>
    </w:p>
    <w:p>
      <w:pPr>
        <w:pStyle w:val="32"/>
        <w:spacing w:line="240" w:lineRule="auto"/>
        <w:ind w:firstLine="420" w:firstLineChars="0"/>
        <w:rPr>
          <w:rFonts w:ascii="Times New Roman" w:eastAsiaTheme="minorEastAsia"/>
          <w:color w:val="auto"/>
        </w:rPr>
      </w:pPr>
      <w:r>
        <w:rPr>
          <w:rFonts w:hint="eastAsia"/>
          <w:color w:val="auto"/>
        </w:rPr>
        <w:t>产品应采用</w:t>
      </w:r>
      <w:r>
        <w:rPr>
          <w:rFonts w:hint="eastAsia"/>
          <w:color w:val="auto"/>
          <w:lang w:eastAsia="zh-CN"/>
        </w:rPr>
        <w:t>聚丙烯材质</w:t>
      </w:r>
      <w:r>
        <w:rPr>
          <w:rFonts w:hint="eastAsia"/>
          <w:color w:val="auto"/>
        </w:rPr>
        <w:t>集装袋（吨袋）包装</w:t>
      </w:r>
      <w:r>
        <w:rPr>
          <w:rFonts w:hint="eastAsia"/>
          <w:color w:val="auto"/>
          <w:highlight w:val="none"/>
        </w:rPr>
        <w:t>，</w:t>
      </w:r>
      <w:r>
        <w:rPr>
          <w:rFonts w:hint="eastAsia"/>
          <w:color w:val="auto"/>
          <w:highlight w:val="none"/>
          <w:lang w:eastAsia="zh-CN"/>
        </w:rPr>
        <w:t>并封口，</w:t>
      </w:r>
      <w:r>
        <w:rPr>
          <w:rFonts w:hint="eastAsia"/>
          <w:color w:val="auto"/>
          <w:highlight w:val="none"/>
        </w:rPr>
        <w:t>每</w:t>
      </w:r>
      <w:r>
        <w:rPr>
          <w:rFonts w:hint="eastAsia"/>
          <w:color w:val="auto"/>
        </w:rPr>
        <w:t>袋净含量1.5 t</w:t>
      </w:r>
      <w:r>
        <w:rPr>
          <w:rFonts w:hint="default" w:ascii="Times New Roman" w:hAnsi="Times New Roman" w:cs="Times New Roman"/>
          <w:color w:val="auto"/>
        </w:rPr>
        <w:t>~</w:t>
      </w:r>
      <w:r>
        <w:rPr>
          <w:rFonts w:hint="eastAsia"/>
          <w:color w:val="auto"/>
        </w:rPr>
        <w:t>2.5 t。若需方有特殊要求时，由供需双方协商确定</w:t>
      </w:r>
      <w:r>
        <w:rPr>
          <w:rFonts w:hint="eastAsia" w:ascii="Times New Roman"/>
          <w:color w:val="auto"/>
        </w:rPr>
        <w:t>。</w:t>
      </w:r>
    </w:p>
    <w:p>
      <w:pPr>
        <w:pStyle w:val="42"/>
        <w:adjustRightInd w:val="0"/>
        <w:snapToGrid w:val="0"/>
        <w:spacing w:after="100" w:afterAutospacing="1" w:line="360" w:lineRule="auto"/>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.3  运输</w:t>
      </w:r>
    </w:p>
    <w:p>
      <w:pPr>
        <w:pStyle w:val="32"/>
        <w:spacing w:line="240" w:lineRule="auto"/>
        <w:ind w:firstLine="420"/>
        <w:rPr>
          <w:rFonts w:ascii="Times New Roman" w:eastAsiaTheme="minorEastAsia"/>
        </w:rPr>
      </w:pPr>
      <w:r>
        <w:rPr>
          <w:rFonts w:hint="eastAsia" w:ascii="Times New Roman" w:eastAsiaTheme="minorEastAsia"/>
        </w:rPr>
        <w:t>产品</w:t>
      </w:r>
      <w:r>
        <w:rPr>
          <w:rFonts w:hint="eastAsia" w:ascii="Times New Roman" w:eastAsiaTheme="minorEastAsia"/>
          <w:lang w:eastAsia="zh-CN"/>
        </w:rPr>
        <w:t>应</w:t>
      </w:r>
      <w:r>
        <w:rPr>
          <w:rFonts w:hint="eastAsia" w:ascii="Times New Roman" w:eastAsiaTheme="minorEastAsia"/>
        </w:rPr>
        <w:t>用车（或船）运输，装车（或船）后应将表面平整，防止运输过程中雨淋、洒落或受潮</w:t>
      </w:r>
      <w:r>
        <w:rPr>
          <w:rFonts w:ascii="Times New Roman" w:eastAsiaTheme="minorEastAsia"/>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.4  贮存</w:t>
      </w:r>
    </w:p>
    <w:p>
      <w:pPr>
        <w:pStyle w:val="32"/>
        <w:ind w:firstLine="420"/>
        <w:rPr>
          <w:rFonts w:ascii="Times New Roman" w:eastAsiaTheme="minorEastAsia"/>
        </w:rPr>
      </w:pPr>
      <w:r>
        <w:rPr>
          <w:rFonts w:ascii="Times New Roman" w:eastAsiaTheme="minorEastAsia"/>
        </w:rPr>
        <w:t>产品应</w:t>
      </w:r>
      <w:r>
        <w:rPr>
          <w:rFonts w:hint="eastAsia" w:cs="Times New Roman"/>
          <w:szCs w:val="21"/>
          <w:highlight w:val="none"/>
          <w:lang w:eastAsia="zh-CN"/>
        </w:rPr>
        <w:t>贮存</w:t>
      </w:r>
      <w:r>
        <w:rPr>
          <w:rFonts w:ascii="Times New Roman" w:eastAsiaTheme="minorEastAsia"/>
        </w:rPr>
        <w:t>于干燥</w:t>
      </w:r>
      <w:r>
        <w:rPr>
          <w:rFonts w:hint="eastAsia" w:ascii="Times New Roman" w:eastAsiaTheme="minorEastAsia"/>
        </w:rPr>
        <w:t>环境中</w:t>
      </w:r>
      <w:r>
        <w:rPr>
          <w:rFonts w:ascii="Times New Roman" w:eastAsiaTheme="minorEastAsia"/>
        </w:rPr>
        <w:t>，</w:t>
      </w:r>
      <w:r>
        <w:rPr>
          <w:rFonts w:hint="eastAsia" w:ascii="Times New Roman" w:eastAsiaTheme="minorEastAsia"/>
        </w:rPr>
        <w:t>防止雨淋、流失或污染环境</w:t>
      </w:r>
      <w:r>
        <w:rPr>
          <w:rFonts w:hint="eastAsia" w:ascii="Times New Roman" w:eastAsiaTheme="minorEastAsia"/>
          <w:lang w:eastAsia="zh-CN"/>
        </w:rPr>
        <w:t>等</w:t>
      </w:r>
      <w:r>
        <w:rPr>
          <w:rFonts w:ascii="Times New Roman" w:eastAsiaTheme="minorEastAsia"/>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.5  随行文件</w:t>
      </w:r>
    </w:p>
    <w:p>
      <w:pPr>
        <w:pStyle w:val="32"/>
        <w:spacing w:line="240" w:lineRule="auto"/>
        <w:ind w:firstLine="420"/>
        <w:rPr>
          <w:rFonts w:ascii="Times New Roman" w:eastAsiaTheme="minorEastAsia"/>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，其上注明：</w:t>
      </w:r>
    </w:p>
    <w:p>
      <w:pPr>
        <w:pStyle w:val="32"/>
        <w:spacing w:line="240" w:lineRule="auto"/>
        <w:ind w:firstLine="420"/>
        <w:rPr>
          <w:rFonts w:ascii="Times New Roman" w:eastAsiaTheme="minorEastAsia"/>
        </w:rPr>
      </w:pPr>
      <w:r>
        <w:rPr>
          <w:rFonts w:ascii="Times New Roman" w:eastAsiaTheme="minorEastAsia"/>
        </w:rPr>
        <w:t>a</w:t>
      </w:r>
      <w:r>
        <w:rPr>
          <w:rFonts w:hint="eastAsia" w:ascii="Times New Roman" w:eastAsiaTheme="minorEastAsia"/>
          <w:lang w:eastAsia="zh-CN"/>
        </w:rPr>
        <w:t>）</w:t>
      </w:r>
      <w:r>
        <w:rPr>
          <w:rFonts w:ascii="Times New Roman" w:eastAsiaTheme="minorEastAsia"/>
        </w:rPr>
        <w:t>供方名称、地址、电话；</w:t>
      </w:r>
    </w:p>
    <w:p>
      <w:pPr>
        <w:pStyle w:val="32"/>
        <w:spacing w:line="240" w:lineRule="auto"/>
        <w:ind w:firstLine="420"/>
        <w:rPr>
          <w:rFonts w:ascii="Times New Roman" w:eastAsiaTheme="minorEastAsia"/>
        </w:rPr>
      </w:pPr>
      <w:r>
        <w:rPr>
          <w:rFonts w:ascii="Times New Roman" w:eastAsiaTheme="minorEastAsia"/>
        </w:rPr>
        <w:t>b</w:t>
      </w:r>
      <w:r>
        <w:rPr>
          <w:rFonts w:hint="eastAsia" w:ascii="Times New Roman" w:eastAsiaTheme="minorEastAsia"/>
          <w:lang w:eastAsia="zh-CN"/>
        </w:rPr>
        <w:t>）</w:t>
      </w:r>
      <w:r>
        <w:rPr>
          <w:rFonts w:ascii="Times New Roman" w:eastAsiaTheme="minorEastAsia"/>
        </w:rPr>
        <w:t>产品名称、</w:t>
      </w:r>
      <w:r>
        <w:rPr>
          <w:rFonts w:hint="eastAsia" w:ascii="Times New Roman" w:eastAsiaTheme="minorEastAsia"/>
          <w:lang w:eastAsia="zh-CN"/>
        </w:rPr>
        <w:t>型号、</w:t>
      </w:r>
      <w:r>
        <w:rPr>
          <w:rFonts w:hint="eastAsia" w:ascii="Times New Roman" w:eastAsiaTheme="minorEastAsia"/>
        </w:rPr>
        <w:t>品级</w:t>
      </w:r>
      <w:r>
        <w:rPr>
          <w:rFonts w:ascii="Times New Roman" w:eastAsiaTheme="minorEastAsia"/>
        </w:rPr>
        <w:t>；</w:t>
      </w:r>
    </w:p>
    <w:p>
      <w:pPr>
        <w:pStyle w:val="32"/>
        <w:spacing w:line="240" w:lineRule="auto"/>
        <w:ind w:firstLine="420"/>
        <w:rPr>
          <w:rFonts w:ascii="Times New Roman" w:eastAsiaTheme="minorEastAsia"/>
        </w:rPr>
      </w:pPr>
      <w:r>
        <w:rPr>
          <w:rFonts w:ascii="Times New Roman" w:eastAsiaTheme="minorEastAsia"/>
        </w:rPr>
        <w:t>c</w:t>
      </w:r>
      <w:r>
        <w:rPr>
          <w:rFonts w:hint="eastAsia" w:ascii="Times New Roman" w:eastAsiaTheme="minorEastAsia"/>
          <w:lang w:eastAsia="zh-CN"/>
        </w:rPr>
        <w:t>）</w:t>
      </w:r>
      <w:r>
        <w:rPr>
          <w:rFonts w:ascii="Times New Roman" w:eastAsiaTheme="minorEastAsia"/>
        </w:rPr>
        <w:t>产品批号；</w:t>
      </w:r>
    </w:p>
    <w:p>
      <w:pPr>
        <w:pStyle w:val="32"/>
        <w:spacing w:line="240" w:lineRule="auto"/>
        <w:ind w:firstLine="420"/>
        <w:rPr>
          <w:rFonts w:ascii="Times New Roman" w:eastAsiaTheme="minorEastAsia"/>
        </w:rPr>
      </w:pPr>
      <w:r>
        <w:rPr>
          <w:rFonts w:ascii="Times New Roman" w:eastAsiaTheme="minorEastAsia"/>
        </w:rPr>
        <w:t>d</w:t>
      </w:r>
      <w:r>
        <w:rPr>
          <w:rFonts w:hint="eastAsia" w:ascii="Times New Roman" w:eastAsiaTheme="minorEastAsia"/>
          <w:lang w:eastAsia="zh-CN"/>
        </w:rPr>
        <w:t>）</w:t>
      </w:r>
      <w:r>
        <w:rPr>
          <w:rFonts w:ascii="Times New Roman" w:eastAsiaTheme="minorEastAsia"/>
        </w:rPr>
        <w:t>净重；</w:t>
      </w:r>
    </w:p>
    <w:p>
      <w:pPr>
        <w:pStyle w:val="32"/>
        <w:spacing w:line="240" w:lineRule="auto"/>
        <w:ind w:firstLine="420"/>
        <w:rPr>
          <w:rFonts w:ascii="Times New Roman" w:eastAsiaTheme="minorEastAsia"/>
        </w:rPr>
      </w:pPr>
      <w:r>
        <w:rPr>
          <w:rFonts w:ascii="Times New Roman" w:eastAsiaTheme="minorEastAsia"/>
        </w:rPr>
        <w:t>e</w:t>
      </w:r>
      <w:r>
        <w:rPr>
          <w:rFonts w:hint="eastAsia" w:ascii="Times New Roman" w:eastAsiaTheme="minorEastAsia"/>
          <w:lang w:eastAsia="zh-CN"/>
        </w:rPr>
        <w:t>）</w:t>
      </w:r>
      <w:r>
        <w:rPr>
          <w:rFonts w:ascii="Times New Roman" w:eastAsiaTheme="minorEastAsia"/>
        </w:rPr>
        <w:t>各项分析检验结果和技术监督部门的印记；</w:t>
      </w:r>
    </w:p>
    <w:p>
      <w:pPr>
        <w:pStyle w:val="32"/>
        <w:spacing w:line="240" w:lineRule="auto"/>
        <w:ind w:firstLine="420"/>
        <w:rPr>
          <w:rFonts w:ascii="Times New Roman" w:eastAsiaTheme="minorEastAsia"/>
        </w:rPr>
      </w:pPr>
      <w:r>
        <w:rPr>
          <w:rFonts w:ascii="Times New Roman" w:eastAsiaTheme="minorEastAsia"/>
        </w:rPr>
        <w:t>f</w:t>
      </w:r>
      <w:r>
        <w:rPr>
          <w:rFonts w:hint="eastAsia" w:ascii="Times New Roman" w:eastAsiaTheme="minorEastAsia"/>
          <w:lang w:eastAsia="zh-CN"/>
        </w:rPr>
        <w:t>）</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ascii="Times New Roman" w:eastAsiaTheme="minorEastAsia"/>
          <w:highlight w:val="none"/>
        </w:rPr>
      </w:pPr>
      <w:r>
        <w:rPr>
          <w:rFonts w:ascii="Times New Roman" w:eastAsiaTheme="minorEastAsia"/>
          <w:highlight w:val="none"/>
        </w:rPr>
        <w:t>g</w:t>
      </w:r>
      <w:r>
        <w:rPr>
          <w:rFonts w:hint="eastAsia" w:ascii="Times New Roman" w:eastAsiaTheme="minorEastAsia"/>
          <w:lang w:eastAsia="zh-CN"/>
        </w:rPr>
        <w:t>）</w:t>
      </w:r>
      <w:r>
        <w:rPr>
          <w:rFonts w:ascii="Times New Roman" w:eastAsiaTheme="minorEastAsia"/>
          <w:highlight w:val="none"/>
        </w:rPr>
        <w:t>生产日期</w:t>
      </w:r>
      <w:r>
        <w:rPr>
          <w:rFonts w:hint="eastAsia" w:ascii="Times New Roman" w:eastAsiaTheme="minorEastAsia"/>
          <w:highlight w:val="none"/>
        </w:rPr>
        <w:t>；</w:t>
      </w:r>
    </w:p>
    <w:p>
      <w:pPr>
        <w:pStyle w:val="32"/>
        <w:spacing w:line="240" w:lineRule="auto"/>
        <w:ind w:firstLine="420"/>
        <w:rPr>
          <w:rFonts w:ascii="Times New Roman" w:eastAsiaTheme="minorEastAsia"/>
          <w:highlight w:val="none"/>
        </w:rPr>
      </w:pPr>
      <w:r>
        <w:rPr>
          <w:rFonts w:hint="eastAsia" w:ascii="Times New Roman" w:eastAsiaTheme="minorEastAsia"/>
          <w:highlight w:val="none"/>
        </w:rPr>
        <w:t>h）</w:t>
      </w:r>
      <w:r>
        <w:rPr>
          <w:rFonts w:hint="eastAsia" w:ascii="Times New Roman" w:eastAsiaTheme="minorEastAsia"/>
          <w:highlight w:val="none"/>
          <w:lang w:val="en-US" w:eastAsia="zh-CN"/>
        </w:rPr>
        <w:t>其他</w:t>
      </w:r>
      <w:r>
        <w:rPr>
          <w:rFonts w:hint="eastAsia" w:ascii="Times New Roman" w:eastAsiaTheme="minorEastAsia"/>
          <w:highlight w:val="none"/>
        </w:rPr>
        <w:t>。</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9</w:t>
      </w:r>
      <w:r>
        <w:rPr>
          <w:rFonts w:hint="eastAsia" w:ascii="黑体" w:hAnsi="黑体" w:eastAsia="黑体" w:cs="黑体"/>
          <w:bCs/>
        </w:rPr>
        <w:t xml:space="preserve">  订货单内容</w:t>
      </w:r>
    </w:p>
    <w:p>
      <w:pPr>
        <w:pStyle w:val="32"/>
        <w:spacing w:line="240" w:lineRule="auto"/>
        <w:ind w:firstLine="420"/>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a</w:t>
      </w:r>
      <w:r>
        <w:rPr>
          <w:rFonts w:hint="eastAsia" w:ascii="Times New Roman" w:eastAsiaTheme="minorEastAsia"/>
          <w:lang w:eastAsia="zh-CN"/>
        </w:rPr>
        <w:t>）</w:t>
      </w:r>
      <w:r>
        <w:rPr>
          <w:rFonts w:ascii="Times New Roman" w:eastAsiaTheme="minorEastAsia"/>
        </w:rPr>
        <w:t>产品名称；</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b</w:t>
      </w:r>
      <w:r>
        <w:rPr>
          <w:rFonts w:hint="eastAsia" w:ascii="Times New Roman" w:eastAsiaTheme="minorEastAsia"/>
          <w:lang w:eastAsia="zh-CN"/>
        </w:rPr>
        <w:t>）产品型号；</w:t>
      </w:r>
    </w:p>
    <w:p>
      <w:pPr>
        <w:pStyle w:val="32"/>
        <w:spacing w:line="240" w:lineRule="auto"/>
        <w:ind w:firstLine="420"/>
        <w:rPr>
          <w:rFonts w:ascii="Times New Roman" w:eastAsiaTheme="minorEastAsia"/>
        </w:rPr>
      </w:pPr>
      <w:r>
        <w:rPr>
          <w:rFonts w:hint="eastAsia" w:ascii="Times New Roman" w:eastAsiaTheme="minorEastAsia"/>
          <w:lang w:val="en-US" w:eastAsia="zh-CN"/>
        </w:rPr>
        <w:t>c</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d）</w:t>
      </w:r>
      <w:r>
        <w:rPr>
          <w:rFonts w:hint="eastAsia" w:ascii="Times New Roman" w:eastAsiaTheme="minorEastAsia"/>
        </w:rPr>
        <w:t>化学成分等的特殊要求</w:t>
      </w:r>
      <w:r>
        <w:rPr>
          <w:rFonts w:hint="eastAsia" w:ascii="Times New Roman" w:eastAsiaTheme="minorEastAsia"/>
          <w:lang w:eastAsia="zh-CN"/>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e）</w:t>
      </w:r>
      <w:r>
        <w:rPr>
          <w:rFonts w:ascii="Times New Roman" w:eastAsiaTheme="minorEastAsia"/>
        </w:rPr>
        <w:t>数量；</w:t>
      </w:r>
    </w:p>
    <w:p>
      <w:pPr>
        <w:pStyle w:val="32"/>
        <w:spacing w:line="240" w:lineRule="auto"/>
        <w:ind w:firstLine="420"/>
        <w:rPr>
          <w:rFonts w:ascii="Times New Roman" w:eastAsiaTheme="minorEastAsia"/>
        </w:rPr>
      </w:pPr>
      <w:r>
        <w:rPr>
          <w:rFonts w:hint="eastAsia" w:ascii="Times New Roman" w:eastAsiaTheme="minorEastAsia"/>
          <w:lang w:val="en-US" w:eastAsia="zh-CN"/>
        </w:rPr>
        <w:t>f）</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ascii="Times New Roman" w:eastAsiaTheme="minorEastAsia"/>
        </w:rPr>
      </w:pPr>
      <w:r>
        <w:rPr>
          <w:rFonts w:hint="eastAsia" w:ascii="Times New Roman" w:eastAsiaTheme="minorEastAsia"/>
          <w:lang w:val="en-US" w:eastAsia="zh-CN"/>
        </w:rPr>
        <w:t>g）</w:t>
      </w:r>
      <w:r>
        <w:rPr>
          <w:rFonts w:ascii="Times New Roman" w:eastAsiaTheme="minorEastAsia"/>
        </w:rPr>
        <w:t>其他。</w:t>
      </w:r>
      <w:bookmarkEnd w:id="2"/>
    </w:p>
    <w:p>
      <w:pPr>
        <w:pStyle w:val="32"/>
        <w:tabs>
          <w:tab w:val="left" w:pos="5907"/>
        </w:tabs>
        <w:spacing w:line="360" w:lineRule="auto"/>
        <w:ind w:firstLine="400"/>
        <w:rPr>
          <w:rFonts w:hint="eastAsia" w:ascii="Times New Roman" w:eastAsiaTheme="minorEastAsia"/>
          <w:lang w:eastAsia="zh-CN"/>
        </w:rPr>
      </w:pPr>
      <w:r>
        <w:rPr>
          <w:rFonts w:ascii="Times New Roman"/>
          <w:sz w:val="20"/>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58240;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ZUl81wAAAAkBAAAPAAAAAAAAAAEAIAAAACIAAABkcnMvZG93bnJl&#10;di54bWxQSwECFAAUAAAACACHTuJAGz+zHcUBAACGAwAADgAAAAAAAAABACAAAAAmAQAAZHJzL2Uy&#10;b0RvYy54bWxQSwUGAAAAAAYABgBZAQAAXQUAAAAA&#10;">
                <v:fill on="f" focussize="0,0"/>
                <v:stroke weight="1pt" color="#000000" joinstyle="round"/>
                <v:imagedata o:title=""/>
                <o:lock v:ext="edit" aspectratio="f"/>
              </v:line>
            </w:pict>
          </mc:Fallback>
        </mc:AlternateContent>
      </w:r>
      <w:r>
        <w:rPr>
          <w:rFonts w:hint="eastAsia" w:ascii="Times New Roman" w:eastAsiaTheme="minorEastAsia"/>
          <w:lang w:eastAsia="zh-CN"/>
        </w:rPr>
        <w:tab/>
      </w:r>
    </w:p>
    <w:p>
      <w:pPr>
        <w:spacing w:line="360" w:lineRule="auto"/>
        <w:ind w:firstLine="400"/>
        <w:rPr>
          <w:rFonts w:hint="eastAsia" w:ascii="Times New Roman" w:eastAsiaTheme="minorEastAsia"/>
          <w:lang w:eastAsia="zh-CN"/>
        </w:rPr>
      </w:pPr>
      <w:r>
        <w:rPr>
          <w:rFonts w:hint="eastAsia" w:ascii="Times New Roman" w:eastAsiaTheme="minorEastAsia"/>
          <w:lang w:eastAsia="zh-CN"/>
        </w:rPr>
        <w:br w:type="page"/>
      </w:r>
    </w:p>
    <w:p>
      <w:pPr>
        <w:pStyle w:val="60"/>
        <w:tabs>
          <w:tab w:val="left" w:pos="360"/>
        </w:tabs>
        <w:spacing w:after="280"/>
        <w:jc w:val="both"/>
        <w:rPr>
          <w:rFonts w:hint="eastAsia"/>
          <w:lang w:val="en-US" w:eastAsia="zh-CN"/>
        </w:rPr>
      </w:pPr>
    </w:p>
    <w:p>
      <w:pPr>
        <w:pStyle w:val="60"/>
        <w:tabs>
          <w:tab w:val="left" w:pos="360"/>
        </w:tabs>
        <w:spacing w:after="280"/>
      </w:pPr>
      <w:r>
        <w:rPr>
          <w:rFonts w:hint="eastAsia"/>
          <w:lang w:val="en-US" w:eastAsia="zh-CN"/>
        </w:rPr>
        <w:t>附 录 A</w:t>
      </w:r>
      <w:r>
        <w:br w:type="textWrapping"/>
      </w:r>
      <w:r>
        <w:rPr>
          <w:rFonts w:hint="eastAsia"/>
        </w:rPr>
        <w:t>（规范性附录）</w:t>
      </w:r>
      <w:r>
        <w:br w:type="textWrapping"/>
      </w:r>
      <w:r>
        <w:rPr>
          <w:rFonts w:hint="eastAsia"/>
        </w:rPr>
        <w:t>烘箱干燥法测定</w:t>
      </w:r>
      <w:r>
        <w:rPr>
          <w:rFonts w:hint="eastAsia"/>
          <w:lang w:val="en-US" w:eastAsia="zh-CN"/>
        </w:rPr>
        <w:t>镍锍</w:t>
      </w:r>
      <w:r>
        <w:rPr>
          <w:rFonts w:hint="eastAsia"/>
        </w:rPr>
        <w:t>中水的含量</w:t>
      </w:r>
    </w:p>
    <w:p>
      <w:pPr>
        <w:pStyle w:val="32"/>
        <w:spacing w:before="313" w:beforeLines="100" w:after="313" w:afterLines="100"/>
        <w:ind w:firstLine="0" w:firstLineChars="0"/>
        <w:rPr>
          <w:rFonts w:hint="eastAsia" w:ascii="黑体" w:hAnsi="黑体" w:eastAsia="黑体" w:cs="黑体"/>
          <w:szCs w:val="21"/>
        </w:rPr>
      </w:pPr>
      <w:r>
        <w:rPr>
          <w:rFonts w:hint="eastAsia" w:ascii="黑体" w:hAnsi="黑体" w:eastAsia="黑体" w:cs="黑体"/>
          <w:szCs w:val="21"/>
          <w:lang w:val="en-US" w:eastAsia="zh-CN"/>
        </w:rPr>
        <w:t xml:space="preserve">A.1  </w:t>
      </w:r>
      <w:r>
        <w:rPr>
          <w:rFonts w:hint="eastAsia" w:ascii="黑体" w:hAnsi="黑体" w:eastAsia="黑体" w:cs="黑体"/>
          <w:szCs w:val="21"/>
        </w:rPr>
        <w:t>范围</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本附录规定了</w:t>
      </w:r>
      <w:r>
        <w:rPr>
          <w:rFonts w:hint="eastAsia" w:ascii="宋体"/>
          <w:kern w:val="0"/>
          <w:szCs w:val="20"/>
          <w:lang w:val="en-US" w:eastAsia="zh-CN"/>
        </w:rPr>
        <w:t>镍锍</w:t>
      </w:r>
      <w:r>
        <w:rPr>
          <w:rFonts w:hint="eastAsia" w:ascii="宋体"/>
          <w:kern w:val="0"/>
          <w:szCs w:val="20"/>
        </w:rPr>
        <w:t>中水含量的测定方法。</w:t>
      </w:r>
    </w:p>
    <w:p>
      <w:pPr>
        <w:pStyle w:val="32"/>
        <w:tabs>
          <w:tab w:val="left" w:pos="5907"/>
        </w:tabs>
        <w:spacing w:line="240" w:lineRule="auto"/>
        <w:ind w:firstLine="420"/>
        <w:rPr>
          <w:rFonts w:hint="eastAsia" w:eastAsia="宋体"/>
          <w:color w:val="auto"/>
          <w:kern w:val="0"/>
          <w:szCs w:val="20"/>
          <w:lang w:eastAsia="zh-CN"/>
        </w:rPr>
      </w:pPr>
      <w:r>
        <w:rPr>
          <w:kern w:val="0"/>
          <w:szCs w:val="20"/>
        </w:rPr>
        <w:t>本附录适用于</w:t>
      </w:r>
      <w:r>
        <w:rPr>
          <w:rFonts w:hint="eastAsia"/>
          <w:kern w:val="0"/>
          <w:szCs w:val="20"/>
          <w:lang w:val="en-US" w:eastAsia="zh-CN"/>
        </w:rPr>
        <w:t>镍锍</w:t>
      </w:r>
      <w:r>
        <w:rPr>
          <w:kern w:val="0"/>
          <w:szCs w:val="20"/>
        </w:rPr>
        <w:t>中</w:t>
      </w:r>
      <w:r>
        <w:rPr>
          <w:rFonts w:hint="eastAsia"/>
          <w:kern w:val="0"/>
          <w:szCs w:val="20"/>
        </w:rPr>
        <w:t>水</w:t>
      </w:r>
      <w:r>
        <w:rPr>
          <w:kern w:val="0"/>
          <w:szCs w:val="20"/>
        </w:rPr>
        <w:t>含量的测定</w:t>
      </w:r>
      <w:r>
        <w:rPr>
          <w:rFonts w:hint="eastAsia"/>
          <w:kern w:val="0"/>
          <w:szCs w:val="20"/>
        </w:rPr>
        <w:t>。</w:t>
      </w:r>
      <w:r>
        <w:rPr>
          <w:kern w:val="0"/>
          <w:szCs w:val="20"/>
        </w:rPr>
        <w:t>测定范围</w:t>
      </w:r>
      <w:r>
        <w:rPr>
          <w:rFonts w:hint="eastAsia"/>
          <w:kern w:val="0"/>
          <w:szCs w:val="20"/>
        </w:rPr>
        <w:t>为</w:t>
      </w:r>
      <w:r>
        <w:rPr>
          <w:rFonts w:hint="eastAsia"/>
          <w:color w:val="auto"/>
          <w:kern w:val="0"/>
          <w:szCs w:val="20"/>
        </w:rPr>
        <w:t>：</w:t>
      </w:r>
      <w:r>
        <w:rPr>
          <w:rFonts w:hint="eastAsia"/>
          <w:color w:val="auto"/>
        </w:rPr>
        <w:t xml:space="preserve">≤ </w:t>
      </w:r>
      <w:r>
        <w:rPr>
          <w:rFonts w:hint="eastAsia"/>
          <w:color w:val="auto"/>
          <w:kern w:val="0"/>
          <w:szCs w:val="20"/>
          <w:lang w:eastAsia="zh-CN"/>
        </w:rPr>
        <w:t>5</w:t>
      </w:r>
      <w:r>
        <w:rPr>
          <w:rFonts w:ascii="Times New Roman"/>
          <w:color w:val="auto"/>
          <w:kern w:val="0"/>
          <w:szCs w:val="20"/>
        </w:rPr>
        <w:t>%</w:t>
      </w:r>
      <w:r>
        <w:rPr>
          <w:rFonts w:hint="default" w:ascii="Times New Roman"/>
          <w:color w:val="auto"/>
          <w:kern w:val="0"/>
          <w:szCs w:val="20"/>
        </w:rPr>
        <w:t>。</w:t>
      </w:r>
    </w:p>
    <w:p>
      <w:pPr>
        <w:pStyle w:val="32"/>
        <w:spacing w:before="313" w:beforeLines="100" w:after="313" w:afterLines="100"/>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A.2  方法提要</w:t>
      </w:r>
    </w:p>
    <w:p>
      <w:pPr>
        <w:tabs>
          <w:tab w:val="center" w:pos="4201"/>
          <w:tab w:val="right" w:leader="dot" w:pos="9298"/>
        </w:tabs>
        <w:spacing w:before="156" w:after="156"/>
        <w:ind w:firstLine="420" w:firstLineChars="200"/>
        <w:rPr>
          <w:rFonts w:hint="eastAsia" w:ascii="宋体"/>
          <w:color w:val="000000"/>
          <w:kern w:val="0"/>
        </w:rPr>
      </w:pPr>
      <w:r>
        <w:rPr>
          <w:rFonts w:hint="eastAsia" w:ascii="宋体"/>
          <w:bCs w:val="0"/>
          <w:kern w:val="0"/>
          <w:szCs w:val="20"/>
          <w:highlight w:val="none"/>
          <w:lang w:val="en-US" w:eastAsia="zh-CN"/>
        </w:rPr>
        <w:t>把试样放入</w:t>
      </w:r>
      <w:r>
        <w:rPr>
          <w:rFonts w:hint="eastAsia" w:ascii="宋体" w:hAnsi="Times New Roman"/>
          <w:bCs w:val="0"/>
          <w:kern w:val="0"/>
          <w:szCs w:val="20"/>
        </w:rPr>
        <w:t>105</w:t>
      </w:r>
      <w:r>
        <w:rPr>
          <w:rFonts w:hint="eastAsia" w:ascii="宋体"/>
          <w:bCs w:val="0"/>
          <w:kern w:val="0"/>
          <w:szCs w:val="20"/>
          <w:lang w:val="en-US" w:eastAsia="zh-CN"/>
        </w:rPr>
        <w:t xml:space="preserve"> </w:t>
      </w:r>
      <w:r>
        <w:rPr>
          <w:rFonts w:hint="eastAsia" w:ascii="宋体" w:hAnsi="Times New Roman"/>
          <w:bCs w:val="0"/>
          <w:kern w:val="0"/>
          <w:szCs w:val="20"/>
          <w:lang w:eastAsia="zh-CN"/>
        </w:rPr>
        <w:t>℃</w:t>
      </w:r>
      <w:r>
        <w:rPr>
          <w:rFonts w:hint="eastAsia" w:ascii="宋体" w:hAnsi="Times New Roman"/>
          <w:bCs w:val="0"/>
          <w:kern w:val="0"/>
          <w:szCs w:val="20"/>
        </w:rPr>
        <w:t>±5</w:t>
      </w:r>
      <w:r>
        <w:rPr>
          <w:rFonts w:hint="eastAsia" w:ascii="宋体"/>
          <w:bCs w:val="0"/>
          <w:kern w:val="0"/>
          <w:szCs w:val="20"/>
          <w:lang w:val="en-US" w:eastAsia="zh-CN"/>
        </w:rPr>
        <w:t xml:space="preserve"> </w:t>
      </w:r>
      <w:r>
        <w:rPr>
          <w:rFonts w:hint="eastAsia" w:ascii="宋体" w:hAnsi="Times New Roman"/>
          <w:bCs w:val="0"/>
          <w:kern w:val="0"/>
          <w:szCs w:val="20"/>
          <w:lang w:eastAsia="zh-CN"/>
        </w:rPr>
        <w:t>℃</w:t>
      </w:r>
      <w:r>
        <w:rPr>
          <w:rFonts w:hint="eastAsia" w:ascii="宋体" w:hAnsi="Times New Roman"/>
          <w:bCs w:val="0"/>
          <w:kern w:val="0"/>
          <w:szCs w:val="20"/>
        </w:rPr>
        <w:t>的</w:t>
      </w:r>
      <w:r>
        <w:rPr>
          <w:rFonts w:hint="eastAsia" w:ascii="宋体"/>
          <w:bCs w:val="0"/>
          <w:kern w:val="0"/>
          <w:szCs w:val="20"/>
          <w:lang w:val="en-US" w:eastAsia="zh-CN"/>
        </w:rPr>
        <w:t>电热恒温干燥箱中，</w:t>
      </w:r>
      <w:r>
        <w:rPr>
          <w:rFonts w:hint="eastAsia" w:ascii="宋体"/>
          <w:color w:val="000000"/>
          <w:kern w:val="0"/>
        </w:rPr>
        <w:t>烘干至恒重，测定质量损失，计算水分含量。</w:t>
      </w:r>
    </w:p>
    <w:p>
      <w:pPr>
        <w:pStyle w:val="32"/>
        <w:spacing w:before="313" w:beforeLines="100" w:after="313" w:afterLines="100"/>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A.3  仪器设备</w:t>
      </w:r>
    </w:p>
    <w:p>
      <w:pPr>
        <w:pStyle w:val="38"/>
        <w:spacing w:beforeLines="0" w:afterLines="0"/>
        <w:ind w:left="0" w:firstLine="0" w:firstLineChars="0"/>
        <w:rPr>
          <w:rFonts w:ascii="Times New Roman" w:eastAsiaTheme="minorEastAsia"/>
        </w:rPr>
      </w:pPr>
      <w:r>
        <w:rPr>
          <w:rFonts w:hint="eastAsia" w:hAnsi="黑体" w:eastAsia="黑体" w:cs="黑体"/>
          <w:lang w:val="en-US" w:eastAsia="zh-CN"/>
        </w:rPr>
        <w:t>A</w:t>
      </w:r>
      <w:r>
        <w:rPr>
          <w:rFonts w:hint="eastAsia" w:hAnsi="黑体" w:eastAsia="黑体" w:cs="黑体"/>
        </w:rPr>
        <w:t>.</w:t>
      </w:r>
      <w:r>
        <w:rPr>
          <w:rFonts w:hint="eastAsia" w:hAnsi="黑体" w:eastAsia="黑体" w:cs="黑体"/>
          <w:lang w:val="en-US" w:eastAsia="zh-CN"/>
        </w:rPr>
        <w:t>3</w:t>
      </w:r>
      <w:r>
        <w:rPr>
          <w:rFonts w:hint="eastAsia" w:hAnsi="黑体" w:eastAsia="黑体" w:cs="黑体"/>
        </w:rPr>
        <w:t>.1</w:t>
      </w:r>
      <w:r>
        <w:rPr>
          <w:rFonts w:hint="eastAsia" w:ascii="Times New Roman"/>
          <w:lang w:val="en-US" w:eastAsia="zh-CN"/>
        </w:rPr>
        <w:t xml:space="preserve">  </w:t>
      </w:r>
      <w:r>
        <w:rPr>
          <w:rFonts w:ascii="Times New Roman" w:eastAsiaTheme="minorEastAsia"/>
        </w:rPr>
        <w:t xml:space="preserve">电热恒温干燥箱：温度能控制在105 </w:t>
      </w:r>
      <w:r>
        <w:rPr>
          <w:rFonts w:hint="eastAsia" w:ascii="Times New Roman" w:eastAsiaTheme="minorEastAsia"/>
        </w:rPr>
        <w:t>℃</w:t>
      </w:r>
      <w:r>
        <w:rPr>
          <w:rFonts w:hint="eastAsia" w:ascii="Times New Roman" w:eastAsiaTheme="minorEastAsia"/>
          <w:lang w:val="en-US" w:eastAsia="zh-CN"/>
        </w:rPr>
        <w:t xml:space="preserve"> </w:t>
      </w:r>
      <w:r>
        <w:rPr>
          <w:rFonts w:ascii="Times New Roman" w:eastAsiaTheme="minorEastAsia"/>
        </w:rPr>
        <w:t>±</w:t>
      </w:r>
      <w:r>
        <w:rPr>
          <w:rFonts w:hint="eastAsia" w:ascii="Times New Roman" w:eastAsiaTheme="minorEastAsia"/>
        </w:rPr>
        <w:t xml:space="preserve"> </w:t>
      </w:r>
      <w:r>
        <w:rPr>
          <w:rFonts w:hint="eastAsia" w:ascii="Times New Roman" w:eastAsiaTheme="minorEastAsia"/>
          <w:lang w:val="en-US" w:eastAsia="zh-CN"/>
        </w:rPr>
        <w:t>5</w:t>
      </w:r>
      <w:r>
        <w:rPr>
          <w:rFonts w:ascii="Times New Roman" w:eastAsiaTheme="minorEastAsia"/>
        </w:rPr>
        <w:t xml:space="preserve"> </w:t>
      </w:r>
      <w:r>
        <w:rPr>
          <w:rFonts w:hint="eastAsia" w:ascii="Times New Roman" w:eastAsiaTheme="minorEastAsia"/>
        </w:rPr>
        <w:t>℃</w:t>
      </w:r>
      <w:r>
        <w:rPr>
          <w:rFonts w:ascii="Times New Roman" w:eastAsiaTheme="minorEastAsia"/>
        </w:rPr>
        <w:t>。</w:t>
      </w:r>
    </w:p>
    <w:p>
      <w:pPr>
        <w:pStyle w:val="38"/>
        <w:spacing w:beforeLines="0" w:afterLines="0"/>
        <w:ind w:left="0" w:firstLine="0" w:firstLineChars="0"/>
        <w:rPr>
          <w:rFonts w:ascii="Times New Roman" w:eastAsiaTheme="minorEastAsia"/>
        </w:rPr>
      </w:pPr>
      <w:r>
        <w:rPr>
          <w:rFonts w:hint="eastAsia" w:ascii="黑体" w:hAnsi="黑体" w:eastAsia="黑体" w:cs="黑体"/>
          <w:lang w:val="en-US" w:eastAsia="zh-CN"/>
        </w:rPr>
        <w:t>A</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w:t>
      </w:r>
      <w:r>
        <w:rPr>
          <w:rFonts w:hint="eastAsia" w:ascii="黑体" w:hAnsi="黑体" w:cs="黑体"/>
          <w:lang w:val="en-US" w:eastAsia="zh-CN"/>
        </w:rPr>
        <w:t xml:space="preserve">2 </w:t>
      </w:r>
      <w:r>
        <w:rPr>
          <w:rFonts w:hint="eastAsia" w:ascii="Times New Roman"/>
          <w:lang w:val="en-US" w:eastAsia="zh-CN"/>
        </w:rPr>
        <w:t xml:space="preserve"> </w:t>
      </w:r>
      <w:r>
        <w:rPr>
          <w:rFonts w:hint="eastAsia" w:ascii="Times New Roman" w:eastAsiaTheme="minorEastAsia"/>
        </w:rPr>
        <w:t>电子天平</w:t>
      </w:r>
      <w:r>
        <w:rPr>
          <w:rFonts w:ascii="Times New Roman" w:eastAsiaTheme="minorEastAsia"/>
        </w:rPr>
        <w:t>：</w:t>
      </w:r>
      <w:r>
        <w:rPr>
          <w:rFonts w:hint="eastAsia" w:ascii="Times New Roman" w:eastAsiaTheme="minorEastAsia"/>
          <w:lang w:val="en-US" w:eastAsia="zh-CN"/>
        </w:rPr>
        <w:t>称量2000 g，</w:t>
      </w:r>
      <w:r>
        <w:rPr>
          <w:rFonts w:hint="eastAsia" w:ascii="Times New Roman" w:eastAsiaTheme="minorEastAsia"/>
        </w:rPr>
        <w:t>精度为0.1 g</w:t>
      </w:r>
      <w:r>
        <w:rPr>
          <w:rFonts w:ascii="Times New Roman" w:eastAsiaTheme="minorEastAsia"/>
        </w:rPr>
        <w:t>。</w:t>
      </w:r>
    </w:p>
    <w:p>
      <w:pPr>
        <w:pStyle w:val="38"/>
        <w:spacing w:beforeLines="0" w:afterLines="0"/>
        <w:ind w:left="0" w:firstLine="0" w:firstLineChars="0"/>
        <w:rPr>
          <w:rFonts w:hint="eastAsia" w:ascii="Times New Roman" w:eastAsiaTheme="minorEastAsia"/>
        </w:rPr>
      </w:pPr>
      <w:r>
        <w:rPr>
          <w:rFonts w:hint="eastAsia" w:ascii="黑体" w:hAnsi="黑体" w:eastAsia="黑体" w:cs="黑体"/>
          <w:lang w:val="en-US" w:eastAsia="zh-CN"/>
        </w:rPr>
        <w:t>A</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w:t>
      </w:r>
      <w:r>
        <w:rPr>
          <w:rFonts w:hint="eastAsia" w:ascii="黑体" w:hAnsi="黑体" w:cs="黑体"/>
          <w:lang w:val="en-US" w:eastAsia="zh-CN"/>
        </w:rPr>
        <w:t>3</w:t>
      </w:r>
      <w:r>
        <w:rPr>
          <w:rFonts w:hint="eastAsia" w:ascii="Times New Roman"/>
          <w:lang w:val="en-US" w:eastAsia="zh-CN"/>
        </w:rPr>
        <w:t xml:space="preserve">  </w:t>
      </w:r>
      <w:r>
        <w:rPr>
          <w:rFonts w:hint="eastAsia" w:ascii="Times New Roman" w:eastAsiaTheme="minorEastAsia"/>
        </w:rPr>
        <w:t>盛样盘：表面光滑、清洁，不锈钢金属盘或搪瓷盘。</w:t>
      </w:r>
    </w:p>
    <w:p>
      <w:pPr>
        <w:pStyle w:val="32"/>
        <w:spacing w:before="313" w:beforeLines="100" w:after="313" w:afterLines="100"/>
        <w:ind w:left="0" w:firstLine="0" w:firstLineChars="0"/>
        <w:rPr>
          <w:rFonts w:hint="default" w:ascii="黑体" w:hAnsi="黑体" w:eastAsia="黑体" w:cs="黑体"/>
          <w:szCs w:val="21"/>
          <w:lang w:val="en-US" w:eastAsia="zh-CN"/>
        </w:rPr>
      </w:pPr>
      <w:r>
        <w:rPr>
          <w:rFonts w:hint="default" w:ascii="黑体" w:hAnsi="黑体" w:eastAsia="黑体" w:cs="黑体"/>
          <w:szCs w:val="21"/>
          <w:lang w:val="en-US" w:eastAsia="zh-CN"/>
        </w:rPr>
        <w:t>A.4  试样</w:t>
      </w:r>
    </w:p>
    <w:p>
      <w:pPr>
        <w:pStyle w:val="32"/>
        <w:tabs>
          <w:tab w:val="center" w:pos="4201"/>
          <w:tab w:val="right" w:leader="dot" w:pos="9298"/>
        </w:tabs>
        <w:ind w:firstLine="420"/>
        <w:rPr>
          <w:rFonts w:hint="default" w:ascii="Times New Roman"/>
        </w:rPr>
      </w:pPr>
      <w:r>
        <w:rPr>
          <w:rFonts w:hint="default" w:ascii="Times New Roman"/>
        </w:rPr>
        <w:t>按照</w:t>
      </w:r>
      <w:r>
        <w:rPr>
          <w:rFonts w:hint="eastAsia" w:ascii="Times New Roman"/>
          <w:lang w:val="en-US" w:eastAsia="zh-CN"/>
        </w:rPr>
        <w:t>7</w:t>
      </w:r>
      <w:r>
        <w:rPr>
          <w:rFonts w:hint="default" w:ascii="Times New Roman"/>
        </w:rPr>
        <w:t>.4取样和制样。</w:t>
      </w:r>
    </w:p>
    <w:p>
      <w:pPr>
        <w:pStyle w:val="32"/>
        <w:spacing w:before="313" w:beforeLines="100" w:after="313" w:afterLines="100"/>
        <w:ind w:left="0" w:firstLine="0" w:firstLineChars="0"/>
        <w:rPr>
          <w:rFonts w:hint="default" w:ascii="黑体" w:hAnsi="黑体" w:eastAsia="黑体" w:cs="黑体"/>
          <w:szCs w:val="21"/>
          <w:lang w:val="en-US" w:eastAsia="zh-CN"/>
        </w:rPr>
      </w:pPr>
      <w:r>
        <w:rPr>
          <w:rFonts w:hint="default" w:ascii="黑体" w:hAnsi="黑体" w:eastAsia="黑体" w:cs="黑体"/>
          <w:szCs w:val="21"/>
          <w:lang w:val="en-US" w:eastAsia="zh-CN"/>
        </w:rPr>
        <w:t>A.5  试验步骤</w:t>
      </w:r>
    </w:p>
    <w:p>
      <w:pPr>
        <w:pStyle w:val="32"/>
        <w:spacing w:before="313" w:beforeLines="100" w:after="313" w:afterLines="100"/>
        <w:ind w:firstLine="0" w:firstLineChars="0"/>
        <w:rPr>
          <w:rFonts w:hint="default" w:ascii="黑体" w:hAnsi="黑体" w:eastAsia="黑体" w:cs="黑体"/>
          <w:szCs w:val="21"/>
          <w:lang w:val="en-US" w:eastAsia="zh-CN"/>
        </w:rPr>
      </w:pPr>
      <w:r>
        <w:rPr>
          <w:rFonts w:hint="default" w:ascii="黑体" w:hAnsi="黑体" w:eastAsia="黑体" w:cs="黑体"/>
          <w:szCs w:val="21"/>
          <w:lang w:val="en-US" w:eastAsia="zh-CN"/>
        </w:rPr>
        <w:t>A</w:t>
      </w:r>
      <w:r>
        <w:rPr>
          <w:rFonts w:ascii="黑体" w:hAnsi="黑体" w:eastAsia="黑体" w:cs="黑体"/>
          <w:szCs w:val="21"/>
        </w:rPr>
        <w:t>.</w:t>
      </w:r>
      <w:r>
        <w:rPr>
          <w:rFonts w:hint="default" w:ascii="黑体" w:hAnsi="黑体" w:eastAsia="黑体" w:cs="黑体"/>
          <w:szCs w:val="21"/>
          <w:lang w:val="en-US" w:eastAsia="zh-CN"/>
        </w:rPr>
        <w:t>5</w:t>
      </w:r>
      <w:r>
        <w:rPr>
          <w:rFonts w:ascii="黑体" w:hAnsi="黑体" w:eastAsia="黑体" w:cs="黑体"/>
          <w:szCs w:val="21"/>
        </w:rPr>
        <w:t>.1</w:t>
      </w:r>
      <w:r>
        <w:rPr>
          <w:rFonts w:hint="default" w:ascii="黑体" w:hAnsi="黑体" w:eastAsia="黑体" w:cs="黑体"/>
          <w:szCs w:val="21"/>
          <w:lang w:val="en-US" w:eastAsia="zh-CN"/>
        </w:rPr>
        <w:t xml:space="preserve">  平行试验</w:t>
      </w:r>
    </w:p>
    <w:p>
      <w:pPr>
        <w:widowControl/>
        <w:tabs>
          <w:tab w:val="center" w:pos="4201"/>
          <w:tab w:val="right" w:leader="dot" w:pos="9298"/>
        </w:tabs>
        <w:autoSpaceDE w:val="0"/>
        <w:autoSpaceDN w:val="0"/>
        <w:spacing w:line="240" w:lineRule="auto"/>
        <w:ind w:firstLine="420" w:firstLineChars="200"/>
        <w:rPr>
          <w:rFonts w:ascii="Times New Roman" w:hAnsi="Times New Roman" w:eastAsiaTheme="minorEastAsia"/>
          <w:kern w:val="21"/>
        </w:rPr>
      </w:pPr>
      <w:r>
        <w:rPr>
          <w:rFonts w:hint="default" w:ascii="Times New Roman" w:hAnsi="Times New Roman" w:eastAsiaTheme="minorEastAsia"/>
          <w:kern w:val="21"/>
        </w:rPr>
        <w:t>平行做</w:t>
      </w:r>
      <w:r>
        <w:rPr>
          <w:rFonts w:hint="default" w:ascii="Times New Roman" w:hAnsi="Times New Roman" w:eastAsiaTheme="minorEastAsia"/>
          <w:kern w:val="21"/>
          <w:lang w:val="en-US" w:eastAsia="zh-CN"/>
        </w:rPr>
        <w:t>两</w:t>
      </w:r>
      <w:r>
        <w:rPr>
          <w:rFonts w:hint="default" w:ascii="Times New Roman" w:hAnsi="Times New Roman" w:eastAsiaTheme="minorEastAsia"/>
          <w:kern w:val="21"/>
        </w:rPr>
        <w:t>份试验，取其</w:t>
      </w:r>
      <w:r>
        <w:rPr>
          <w:rFonts w:hint="eastAsia" w:eastAsiaTheme="minorEastAsia"/>
          <w:kern w:val="21"/>
          <w:lang w:val="en-US" w:eastAsia="zh-CN"/>
        </w:rPr>
        <w:t>算术</w:t>
      </w:r>
      <w:r>
        <w:rPr>
          <w:rFonts w:hint="default" w:ascii="Times New Roman" w:hAnsi="Times New Roman" w:eastAsiaTheme="minorEastAsia"/>
          <w:kern w:val="21"/>
        </w:rPr>
        <w:t>平均值。</w:t>
      </w:r>
    </w:p>
    <w:p>
      <w:pPr>
        <w:pStyle w:val="32"/>
        <w:tabs>
          <w:tab w:val="center" w:pos="4201"/>
          <w:tab w:val="right" w:leader="dot" w:pos="9298"/>
        </w:tabs>
        <w:spacing w:before="157" w:beforeLines="50" w:after="157" w:afterLines="50"/>
        <w:ind w:firstLine="0" w:firstLineChars="0"/>
        <w:rPr>
          <w:rFonts w:hint="eastAsia" w:ascii="黑体" w:hAnsi="黑体" w:eastAsia="黑体" w:cs="黑体"/>
          <w:lang w:val="en-US" w:eastAsia="zh-CN"/>
        </w:rPr>
      </w:pPr>
      <w:r>
        <w:rPr>
          <w:rFonts w:hint="eastAsia" w:ascii="黑体" w:hAnsi="黑体" w:eastAsia="黑体" w:cs="黑体"/>
          <w:kern w:val="21"/>
          <w:lang w:val="en-US" w:eastAsia="zh-CN"/>
        </w:rPr>
        <w:t>A</w:t>
      </w:r>
      <w:r>
        <w:rPr>
          <w:rFonts w:hint="eastAsia" w:ascii="黑体" w:hAnsi="黑体" w:eastAsia="黑体" w:cs="黑体"/>
          <w:kern w:val="21"/>
        </w:rPr>
        <w:t>.</w:t>
      </w:r>
      <w:r>
        <w:rPr>
          <w:rFonts w:hint="eastAsia" w:ascii="黑体" w:hAnsi="黑体" w:eastAsia="黑体" w:cs="黑体"/>
          <w:kern w:val="21"/>
          <w:lang w:val="en-US" w:eastAsia="zh-CN"/>
        </w:rPr>
        <w:t>5</w:t>
      </w:r>
      <w:r>
        <w:rPr>
          <w:rFonts w:hint="eastAsia" w:ascii="黑体" w:hAnsi="黑体" w:eastAsia="黑体" w:cs="黑体"/>
          <w:kern w:val="21"/>
        </w:rPr>
        <w:t>.</w:t>
      </w:r>
      <w:r>
        <w:rPr>
          <w:rFonts w:hint="eastAsia" w:ascii="黑体" w:hAnsi="黑体" w:eastAsia="黑体" w:cs="黑体"/>
          <w:kern w:val="21"/>
          <w:lang w:val="en-US" w:eastAsia="zh-CN"/>
        </w:rPr>
        <w:t>2  平行试验</w:t>
      </w:r>
    </w:p>
    <w:p>
      <w:pPr>
        <w:pStyle w:val="38"/>
        <w:spacing w:beforeLines="0" w:afterLines="0"/>
        <w:ind w:firstLine="420" w:firstLineChars="200"/>
        <w:rPr>
          <w:rFonts w:hint="default" w:ascii="Times New Roman" w:hAnsi="Times New Roman" w:eastAsia="宋体" w:cs="Times New Roman"/>
          <w:bCs w:val="0"/>
          <w:color w:val="auto"/>
          <w:szCs w:val="20"/>
          <w:lang w:val="en-US" w:eastAsia="zh-CN"/>
        </w:rPr>
      </w:pPr>
      <w:r>
        <w:rPr>
          <w:rFonts w:hint="default" w:ascii="Times New Roman" w:hAnsi="Times New Roman" w:eastAsia="宋体" w:cs="Times New Roman"/>
          <w:color w:val="auto"/>
          <w:lang w:val="en-US" w:eastAsia="zh-CN"/>
        </w:rPr>
        <w:t>用已于</w:t>
      </w:r>
      <w:r>
        <w:rPr>
          <w:rFonts w:hint="default" w:ascii="Times New Roman" w:hAnsi="Times New Roman" w:eastAsia="宋体" w:cs="Times New Roman"/>
          <w:color w:val="auto"/>
        </w:rPr>
        <w:t xml:space="preserve">105 </w:t>
      </w:r>
      <w:r>
        <w:rPr>
          <w:rFonts w:hint="default" w:ascii="Times New Roman" w:hAnsi="Times New Roman" w:eastAsia="宋体" w:cs="Times New Roman"/>
          <w:color w:val="auto"/>
          <w:szCs w:val="20"/>
        </w:rPr>
        <w:t xml:space="preserve">℃ </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szCs w:val="20"/>
        </w:rPr>
        <w:t>℃条件下干燥至</w:t>
      </w:r>
      <w:r>
        <w:rPr>
          <w:rFonts w:hint="default" w:ascii="Times New Roman" w:hAnsi="Times New Roman" w:eastAsia="宋体" w:cs="Times New Roman"/>
          <w:color w:val="auto"/>
        </w:rPr>
        <w:t>恒重的盛样盘</w:t>
      </w:r>
      <w:r>
        <w:rPr>
          <w:rFonts w:hint="default" w:ascii="Times New Roman" w:hAnsi="Times New Roman" w:eastAsia="宋体" w:cs="Times New Roman"/>
          <w:color w:val="auto"/>
          <w:lang w:eastAsia="zh-CN"/>
        </w:rPr>
        <w:t>（</w:t>
      </w:r>
      <w:r>
        <w:rPr>
          <w:rFonts w:hint="default" w:ascii="Times New Roman" w:hAnsi="Times New Roman" w:eastAsia="宋体" w:cs="Times New Roman"/>
          <w:i/>
          <w:iCs/>
          <w:color w:val="auto"/>
        </w:rPr>
        <w:t>m</w:t>
      </w:r>
      <w:r>
        <w:rPr>
          <w:rFonts w:hint="default" w:ascii="Times New Roman" w:hAnsi="Times New Roman" w:eastAsia="宋体" w:cs="Times New Roman"/>
          <w:i w:val="0"/>
          <w:iCs w:val="0"/>
          <w:color w:val="auto"/>
          <w:vertAlign w:val="subscript"/>
          <w:lang w:val="en-US" w:eastAsia="zh-CN"/>
        </w:rPr>
        <w:t>0</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 xml:space="preserve">称取约1500 </w:t>
      </w:r>
      <w:r>
        <w:rPr>
          <w:rFonts w:hint="default" w:ascii="Times New Roman" w:hAnsi="Times New Roman" w:eastAsia="宋体" w:cs="Times New Roman"/>
          <w:color w:val="auto"/>
        </w:rPr>
        <w:t>g湿基试样</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将试样平铺于盘底，厚度</w:t>
      </w:r>
      <w:r>
        <w:rPr>
          <w:rFonts w:hint="default" w:ascii="Times New Roman" w:hAnsi="Times New Roman" w:eastAsia="宋体" w:cs="Times New Roman"/>
          <w:color w:val="auto"/>
          <w:lang w:val="en-US" w:eastAsia="zh-CN"/>
        </w:rPr>
        <w:t>应不大于3</w:t>
      </w:r>
      <w:r>
        <w:rPr>
          <w:rFonts w:hint="default" w:ascii="Times New Roman" w:hAnsi="Times New Roman" w:eastAsia="宋体" w:cs="Times New Roman"/>
          <w:color w:val="auto"/>
        </w:rPr>
        <w:t>0 mm，进行称量（</w:t>
      </w:r>
      <w:r>
        <w:rPr>
          <w:rFonts w:hint="default" w:ascii="Times New Roman" w:hAnsi="Times New Roman" w:eastAsia="宋体" w:cs="Times New Roman"/>
          <w:i/>
          <w:iCs/>
          <w:color w:val="auto"/>
        </w:rPr>
        <w:t>m</w:t>
      </w:r>
      <w:r>
        <w:rPr>
          <w:rFonts w:hint="default" w:ascii="Times New Roman" w:hAnsi="Times New Roman" w:eastAsia="宋体" w:cs="Times New Roman"/>
          <w:color w:val="auto"/>
          <w:vertAlign w:val="subscript"/>
        </w:rPr>
        <w:t>1</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置于温度控制在</w:t>
      </w:r>
      <w:r>
        <w:rPr>
          <w:rFonts w:hint="default" w:ascii="Times New Roman" w:hAnsi="Times New Roman" w:eastAsia="宋体" w:cs="Times New Roman"/>
          <w:color w:val="auto"/>
        </w:rPr>
        <w:t xml:space="preserve">105 </w:t>
      </w:r>
      <w:r>
        <w:rPr>
          <w:rFonts w:hint="default" w:ascii="Times New Roman" w:hAnsi="Times New Roman" w:eastAsia="宋体" w:cs="Times New Roman"/>
          <w:color w:val="auto"/>
          <w:szCs w:val="20"/>
        </w:rPr>
        <w:t xml:space="preserve">℃ </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szCs w:val="20"/>
        </w:rPr>
        <w:t>℃</w:t>
      </w:r>
      <w:r>
        <w:rPr>
          <w:rFonts w:hint="default" w:ascii="Times New Roman" w:hAnsi="Times New Roman" w:eastAsia="宋体" w:cs="Times New Roman"/>
          <w:color w:val="auto"/>
          <w:szCs w:val="20"/>
          <w:lang w:val="en-US" w:eastAsia="zh-CN"/>
        </w:rPr>
        <w:t>的电热恒温干燥箱中干燥，干燥</w:t>
      </w:r>
      <w:r>
        <w:rPr>
          <w:rFonts w:hint="default" w:ascii="Times New Roman" w:hAnsi="Times New Roman" w:eastAsia="宋体" w:cs="Times New Roman"/>
          <w:bCs w:val="0"/>
          <w:color w:val="auto"/>
          <w:szCs w:val="20"/>
          <w:highlight w:val="none"/>
          <w:lang w:val="en-US" w:eastAsia="zh-CN"/>
        </w:rPr>
        <w:t>24 h后进行第1</w:t>
      </w:r>
      <w:r>
        <w:rPr>
          <w:rFonts w:hint="eastAsia" w:ascii="Times New Roman" w:eastAsia="宋体" w:cs="Times New Roman"/>
          <w:bCs w:val="0"/>
          <w:color w:val="auto"/>
          <w:szCs w:val="20"/>
          <w:highlight w:val="none"/>
          <w:lang w:val="en-US" w:eastAsia="zh-CN"/>
        </w:rPr>
        <w:t xml:space="preserve"> </w:t>
      </w:r>
      <w:r>
        <w:rPr>
          <w:rFonts w:hint="default" w:ascii="Times New Roman" w:hAnsi="Times New Roman" w:eastAsia="宋体" w:cs="Times New Roman"/>
          <w:bCs w:val="0"/>
          <w:color w:val="auto"/>
          <w:szCs w:val="20"/>
          <w:highlight w:val="none"/>
          <w:lang w:val="en-US" w:eastAsia="zh-CN"/>
        </w:rPr>
        <w:t>次称重</w:t>
      </w:r>
      <w:r>
        <w:rPr>
          <w:rFonts w:hint="default" w:ascii="Times New Roman" w:hAnsi="Times New Roman" w:eastAsia="宋体" w:cs="Times New Roman"/>
          <w:bCs w:val="0"/>
          <w:color w:val="auto"/>
          <w:szCs w:val="20"/>
          <w:lang w:val="en-US" w:eastAsia="zh-CN"/>
        </w:rPr>
        <w:t>，趁热称重。然后放入</w:t>
      </w:r>
      <w:r>
        <w:rPr>
          <w:rFonts w:hint="default" w:ascii="Times New Roman" w:hAnsi="Times New Roman" w:eastAsia="宋体" w:cs="Times New Roman"/>
          <w:color w:val="auto"/>
          <w:szCs w:val="20"/>
          <w:lang w:val="en-US" w:eastAsia="zh-CN"/>
        </w:rPr>
        <w:t>电热恒温</w:t>
      </w:r>
      <w:r>
        <w:rPr>
          <w:rFonts w:hint="default" w:ascii="Times New Roman" w:hAnsi="Times New Roman" w:eastAsia="宋体" w:cs="Times New Roman"/>
          <w:bCs w:val="0"/>
          <w:color w:val="auto"/>
          <w:szCs w:val="20"/>
          <w:lang w:val="en-US" w:eastAsia="zh-CN"/>
        </w:rPr>
        <w:t>干燥箱中继续干燥，</w:t>
      </w:r>
      <w:r>
        <w:rPr>
          <w:rFonts w:hint="default" w:ascii="Times New Roman" w:hAnsi="Times New Roman" w:eastAsia="宋体" w:cs="Times New Roman"/>
          <w:bCs w:val="0"/>
          <w:color w:val="auto"/>
          <w:szCs w:val="20"/>
          <w:highlight w:val="none"/>
          <w:lang w:val="en-US" w:eastAsia="zh-CN"/>
        </w:rPr>
        <w:t>每</w:t>
      </w:r>
      <w:r>
        <w:rPr>
          <w:rFonts w:hint="default" w:ascii="Times New Roman" w:hAnsi="Times New Roman" w:eastAsia="宋体" w:cs="Times New Roman"/>
          <w:color w:val="auto"/>
          <w:lang w:eastAsia="zh-CN"/>
        </w:rPr>
        <w:t>间隔</w:t>
      </w:r>
      <w:r>
        <w:rPr>
          <w:rFonts w:hint="default" w:ascii="Times New Roman" w:hAnsi="Times New Roman" w:eastAsia="宋体" w:cs="Times New Roman"/>
          <w:color w:val="auto"/>
          <w:lang w:val="en-US" w:eastAsia="zh-CN"/>
        </w:rPr>
        <w:t>2 h进行称重和干燥，反复操作，直</w:t>
      </w:r>
      <w:r>
        <w:rPr>
          <w:rFonts w:hint="default" w:ascii="Times New Roman" w:hAnsi="Times New Roman" w:eastAsia="宋体" w:cs="Times New Roman"/>
          <w:bCs w:val="0"/>
          <w:color w:val="auto"/>
          <w:szCs w:val="20"/>
        </w:rPr>
        <w:t>至恒重</w:t>
      </w:r>
      <w:r>
        <w:rPr>
          <w:rFonts w:hint="default" w:ascii="Times New Roman" w:hAnsi="Times New Roman" w:eastAsia="宋体" w:cs="Times New Roman"/>
          <w:bCs w:val="0"/>
          <w:color w:val="auto"/>
          <w:szCs w:val="20"/>
          <w:lang w:eastAsia="zh-CN"/>
        </w:rPr>
        <w:t>（</w:t>
      </w:r>
      <w:r>
        <w:rPr>
          <w:rFonts w:hint="default" w:ascii="Times New Roman" w:hAnsi="Times New Roman" w:eastAsia="宋体" w:cs="Times New Roman"/>
          <w:bCs w:val="0"/>
          <w:color w:val="auto"/>
          <w:szCs w:val="20"/>
          <w:lang w:val="en-US" w:eastAsia="zh-CN"/>
        </w:rPr>
        <w:t>前后两次称量之差不大于0.5g</w:t>
      </w:r>
      <w:r>
        <w:rPr>
          <w:rFonts w:hint="default" w:ascii="Times New Roman" w:hAnsi="Times New Roman" w:eastAsia="宋体" w:cs="Times New Roman"/>
          <w:bCs w:val="0"/>
          <w:color w:val="auto"/>
          <w:szCs w:val="20"/>
          <w:lang w:eastAsia="zh-CN"/>
        </w:rPr>
        <w:t>），</w:t>
      </w:r>
      <w:r>
        <w:rPr>
          <w:rFonts w:hint="default" w:ascii="Times New Roman" w:hAnsi="Times New Roman" w:eastAsia="宋体" w:cs="Times New Roman"/>
          <w:bCs w:val="0"/>
          <w:color w:val="auto"/>
          <w:szCs w:val="20"/>
          <w:lang w:val="en-US" w:eastAsia="zh-CN"/>
        </w:rPr>
        <w:t>记录最后一次称重质量（</w:t>
      </w:r>
      <w:r>
        <w:rPr>
          <w:rFonts w:hint="default" w:ascii="Times New Roman" w:hAnsi="Times New Roman" w:eastAsia="宋体" w:cs="Times New Roman"/>
          <w:i/>
          <w:iCs/>
          <w:color w:val="auto"/>
        </w:rPr>
        <w:t>m</w:t>
      </w:r>
      <w:r>
        <w:rPr>
          <w:rFonts w:hint="default" w:ascii="Times New Roman" w:hAnsi="Times New Roman" w:eastAsia="宋体" w:cs="Times New Roman"/>
          <w:i/>
          <w:iCs/>
          <w:color w:val="auto"/>
          <w:vertAlign w:val="subscript"/>
          <w:lang w:val="en-US" w:eastAsia="zh-CN"/>
        </w:rPr>
        <w:t>2</w:t>
      </w:r>
      <w:r>
        <w:rPr>
          <w:rFonts w:hint="default" w:ascii="Times New Roman" w:hAnsi="Times New Roman" w:eastAsia="宋体" w:cs="Times New Roman"/>
          <w:bCs w:val="0"/>
          <w:color w:val="auto"/>
          <w:szCs w:val="20"/>
          <w:lang w:val="en-US" w:eastAsia="zh-CN"/>
        </w:rPr>
        <w:t>）。</w:t>
      </w:r>
    </w:p>
    <w:p>
      <w:pPr>
        <w:pStyle w:val="32"/>
        <w:spacing w:before="156" w:beforeLines="0" w:after="156" w:afterLines="0"/>
        <w:ind w:left="0"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A.6  试验结果计算</w:t>
      </w:r>
    </w:p>
    <w:p>
      <w:pPr>
        <w:widowControl/>
        <w:tabs>
          <w:tab w:val="center" w:pos="4201"/>
          <w:tab w:val="right" w:leader="dot" w:pos="9298"/>
        </w:tabs>
        <w:autoSpaceDE w:val="0"/>
        <w:autoSpaceDN w:val="0"/>
        <w:spacing w:line="240" w:lineRule="auto"/>
        <w:ind w:firstLine="420" w:firstLineChars="200"/>
        <w:rPr>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以</w:t>
      </w:r>
      <w:r>
        <w:rPr>
          <w:color w:val="000000" w:themeColor="text1"/>
          <w:kern w:val="0"/>
          <w:szCs w:val="20"/>
          <w14:textFill>
            <w14:solidFill>
              <w14:schemeClr w14:val="tx1"/>
            </w14:solidFill>
          </w14:textFill>
        </w:rPr>
        <w:t>质量</w:t>
      </w:r>
      <w:r>
        <w:rPr>
          <w:rFonts w:hint="eastAsia"/>
          <w:color w:val="000000" w:themeColor="text1"/>
          <w:kern w:val="0"/>
          <w:szCs w:val="20"/>
          <w:lang w:val="en-US" w:eastAsia="zh-CN"/>
          <w14:textFill>
            <w14:solidFill>
              <w14:schemeClr w14:val="tx1"/>
            </w14:solidFill>
          </w14:textFill>
        </w:rPr>
        <w:t>百分数表示的水分（</w:t>
      </w:r>
      <w:r>
        <w:rPr>
          <w:rFonts w:hint="eastAsia"/>
          <w:i/>
          <w:iCs/>
          <w:color w:val="000000" w:themeColor="text1"/>
          <w:kern w:val="0"/>
          <w:szCs w:val="20"/>
          <w:lang w:val="en-US" w:eastAsia="zh-CN"/>
          <w14:textFill>
            <w14:solidFill>
              <w14:schemeClr w14:val="tx1"/>
            </w14:solidFill>
          </w14:textFill>
        </w:rPr>
        <w:t>X</w:t>
      </w:r>
      <w:r>
        <w:rPr>
          <w:rFonts w:hint="eastAsia"/>
          <w:color w:val="000000" w:themeColor="text1"/>
          <w:kern w:val="0"/>
          <w:szCs w:val="20"/>
          <w:lang w:val="en-US" w:eastAsia="zh-CN"/>
          <w14:textFill>
            <w14:solidFill>
              <w14:schemeClr w14:val="tx1"/>
            </w14:solidFill>
          </w14:textFill>
        </w:rPr>
        <w:t>）</w:t>
      </w:r>
      <w:r>
        <w:rPr>
          <w:color w:val="000000" w:themeColor="text1"/>
          <w:kern w:val="0"/>
          <w:szCs w:val="20"/>
          <w14:textFill>
            <w14:solidFill>
              <w14:schemeClr w14:val="tx1"/>
            </w14:solidFill>
          </w14:textFill>
        </w:rPr>
        <w:t>按公式（</w:t>
      </w:r>
      <w:r>
        <w:rPr>
          <w:rFonts w:hint="eastAsia"/>
          <w:color w:val="000000" w:themeColor="text1"/>
          <w:kern w:val="0"/>
          <w:szCs w:val="20"/>
          <w:lang w:val="en-US" w:eastAsia="zh-CN"/>
          <w14:textFill>
            <w14:solidFill>
              <w14:schemeClr w14:val="tx1"/>
            </w14:solidFill>
          </w14:textFill>
        </w:rPr>
        <w:t>1</w:t>
      </w:r>
      <w:r>
        <w:rPr>
          <w:color w:val="000000" w:themeColor="text1"/>
          <w:kern w:val="0"/>
          <w:szCs w:val="20"/>
          <w14:textFill>
            <w14:solidFill>
              <w14:schemeClr w14:val="tx1"/>
            </w14:solidFill>
          </w14:textFill>
        </w:rPr>
        <w:t>）计算：</w:t>
      </w:r>
    </w:p>
    <w:p>
      <w:pPr>
        <w:widowControl/>
        <w:tabs>
          <w:tab w:val="center" w:pos="4201"/>
          <w:tab w:val="right" w:leader="dot" w:pos="9298"/>
        </w:tabs>
        <w:autoSpaceDE w:val="0"/>
        <w:autoSpaceDN w:val="0"/>
        <w:rPr>
          <w:rFonts w:hint="default" w:eastAsia="宋体"/>
          <w:kern w:val="0"/>
          <w:szCs w:val="20"/>
          <w:lang w:val="en-US" w:eastAsia="zh-CN"/>
        </w:rPr>
      </w:pPr>
      <w:r>
        <w:rPr>
          <w:i/>
          <w:kern w:val="0"/>
          <w:szCs w:val="20"/>
        </w:rPr>
        <w:tab/>
      </w:r>
      <w:r>
        <w:rPr>
          <w:rFonts w:hint="eastAsia"/>
          <w:i/>
          <w:color w:val="333333"/>
          <w:szCs w:val="21"/>
          <w:shd w:val="clear" w:color="auto" w:fill="FFFFFF"/>
          <w:lang w:val="en-US" w:eastAsia="zh-CN"/>
        </w:rPr>
        <w:t>X</w:t>
      </w:r>
      <w:r>
        <w:rPr>
          <w:kern w:val="0"/>
          <w:position w:val="-30"/>
          <w:szCs w:val="20"/>
        </w:rPr>
        <w:object>
          <v:shape id="_x0000_i1025" o:spt="75" type="#_x0000_t75" style="height:37.2pt;width:100.2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kern w:val="0"/>
          <w:szCs w:val="20"/>
        </w:rPr>
        <w:tab/>
      </w:r>
      <w:r>
        <w:rPr>
          <w:rFonts w:hint="eastAsia"/>
          <w:kern w:val="0"/>
          <w:szCs w:val="20"/>
          <w:lang w:val="en-US" w:eastAsia="zh-CN"/>
        </w:rPr>
        <w:t>A.1</w:t>
      </w:r>
    </w:p>
    <w:p>
      <w:pPr>
        <w:pStyle w:val="32"/>
        <w:tabs>
          <w:tab w:val="center" w:pos="4201"/>
          <w:tab w:val="right" w:leader="dot" w:pos="9298"/>
        </w:tabs>
        <w:spacing w:line="240"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式中：</w:t>
      </w:r>
    </w:p>
    <w:p>
      <w:pPr>
        <w:widowControl/>
        <w:tabs>
          <w:tab w:val="center" w:pos="4201"/>
          <w:tab w:val="right" w:leader="dot" w:pos="9298"/>
        </w:tabs>
        <w:autoSpaceDE w:val="0"/>
        <w:autoSpaceDN w:val="0"/>
        <w:spacing w:line="240" w:lineRule="auto"/>
        <w:ind w:firstLine="420" w:firstLineChars="200"/>
        <w:rPr>
          <w:color w:val="000000" w:themeColor="text1"/>
          <w:kern w:val="0"/>
          <w:szCs w:val="20"/>
          <w14:textFill>
            <w14:solidFill>
              <w14:schemeClr w14:val="tx1"/>
            </w14:solidFill>
          </w14:textFill>
        </w:rPr>
      </w:pPr>
      <w:r>
        <w:rPr>
          <w:i/>
          <w:color w:val="000000" w:themeColor="text1"/>
          <w:kern w:val="0"/>
          <w:szCs w:val="20"/>
          <w14:textFill>
            <w14:solidFill>
              <w14:schemeClr w14:val="tx1"/>
            </w14:solidFill>
          </w14:textFill>
        </w:rPr>
        <w:t>m</w:t>
      </w:r>
      <w:r>
        <w:rPr>
          <w:color w:val="000000" w:themeColor="text1"/>
          <w:kern w:val="0"/>
          <w:szCs w:val="20"/>
          <w:vertAlign w:val="subscript"/>
          <w14:textFill>
            <w14:solidFill>
              <w14:schemeClr w14:val="tx1"/>
            </w14:solidFill>
          </w14:textFill>
        </w:rPr>
        <w:t>1</w:t>
      </w:r>
      <w:r>
        <w:rPr>
          <w:color w:val="000000" w:themeColor="text1"/>
          <w:kern w:val="0"/>
          <w:szCs w:val="20"/>
          <w14:textFill>
            <w14:solidFill>
              <w14:schemeClr w14:val="tx1"/>
            </w14:solidFill>
          </w14:textFill>
        </w:rPr>
        <w:t>——干燥前试</w:t>
      </w:r>
      <w:r>
        <w:rPr>
          <w:rFonts w:hint="eastAsia"/>
          <w:color w:val="000000" w:themeColor="text1"/>
          <w:kern w:val="0"/>
          <w:szCs w:val="20"/>
          <w:lang w:val="en-US" w:eastAsia="zh-CN"/>
          <w14:textFill>
            <w14:solidFill>
              <w14:schemeClr w14:val="tx1"/>
            </w14:solidFill>
          </w14:textFill>
        </w:rPr>
        <w:t>样</w:t>
      </w:r>
      <w:r>
        <w:rPr>
          <w:color w:val="000000" w:themeColor="text1"/>
          <w:kern w:val="0"/>
          <w:szCs w:val="20"/>
          <w14:textFill>
            <w14:solidFill>
              <w14:schemeClr w14:val="tx1"/>
            </w14:solidFill>
          </w14:textFill>
        </w:rPr>
        <w:t>和</w:t>
      </w:r>
      <w:r>
        <w:rPr>
          <w:rFonts w:hint="eastAsia"/>
          <w:color w:val="000000" w:themeColor="text1"/>
          <w:kern w:val="0"/>
          <w:szCs w:val="20"/>
          <w14:textFill>
            <w14:solidFill>
              <w14:schemeClr w14:val="tx1"/>
            </w14:solidFill>
          </w14:textFill>
        </w:rPr>
        <w:t>盛样盘</w:t>
      </w:r>
      <w:r>
        <w:rPr>
          <w:color w:val="000000" w:themeColor="text1"/>
          <w:kern w:val="0"/>
          <w:szCs w:val="20"/>
          <w14:textFill>
            <w14:solidFill>
              <w14:schemeClr w14:val="tx1"/>
            </w14:solidFill>
          </w14:textFill>
        </w:rPr>
        <w:t>的质量，单位为克（g）；</w:t>
      </w:r>
    </w:p>
    <w:p>
      <w:pPr>
        <w:widowControl/>
        <w:tabs>
          <w:tab w:val="center" w:pos="4201"/>
          <w:tab w:val="right" w:leader="dot" w:pos="9298"/>
        </w:tabs>
        <w:autoSpaceDE w:val="0"/>
        <w:autoSpaceDN w:val="0"/>
        <w:spacing w:line="240" w:lineRule="auto"/>
        <w:ind w:firstLine="420" w:firstLineChars="200"/>
        <w:rPr>
          <w:color w:val="000000" w:themeColor="text1"/>
          <w:kern w:val="0"/>
          <w:szCs w:val="20"/>
          <w14:textFill>
            <w14:solidFill>
              <w14:schemeClr w14:val="tx1"/>
            </w14:solidFill>
          </w14:textFill>
        </w:rPr>
      </w:pPr>
      <w:r>
        <w:rPr>
          <w:i/>
          <w:color w:val="000000" w:themeColor="text1"/>
          <w:kern w:val="0"/>
          <w:szCs w:val="20"/>
          <w14:textFill>
            <w14:solidFill>
              <w14:schemeClr w14:val="tx1"/>
            </w14:solidFill>
          </w14:textFill>
        </w:rPr>
        <w:t>m</w:t>
      </w:r>
      <w:r>
        <w:rPr>
          <w:color w:val="000000" w:themeColor="text1"/>
          <w:kern w:val="0"/>
          <w:szCs w:val="20"/>
          <w:vertAlign w:val="subscript"/>
          <w14:textFill>
            <w14:solidFill>
              <w14:schemeClr w14:val="tx1"/>
            </w14:solidFill>
          </w14:textFill>
        </w:rPr>
        <w:t>2</w:t>
      </w:r>
      <w:r>
        <w:rPr>
          <w:color w:val="000000" w:themeColor="text1"/>
          <w:kern w:val="0"/>
          <w:szCs w:val="20"/>
          <w14:textFill>
            <w14:solidFill>
              <w14:schemeClr w14:val="tx1"/>
            </w14:solidFill>
          </w14:textFill>
        </w:rPr>
        <w:t>——干燥后试</w:t>
      </w:r>
      <w:r>
        <w:rPr>
          <w:rFonts w:hint="eastAsia"/>
          <w:color w:val="000000" w:themeColor="text1"/>
          <w:kern w:val="0"/>
          <w:szCs w:val="20"/>
          <w:lang w:val="en-US" w:eastAsia="zh-CN"/>
          <w14:textFill>
            <w14:solidFill>
              <w14:schemeClr w14:val="tx1"/>
            </w14:solidFill>
          </w14:textFill>
        </w:rPr>
        <w:t>样</w:t>
      </w:r>
      <w:r>
        <w:rPr>
          <w:color w:val="000000" w:themeColor="text1"/>
          <w:kern w:val="0"/>
          <w:szCs w:val="20"/>
          <w14:textFill>
            <w14:solidFill>
              <w14:schemeClr w14:val="tx1"/>
            </w14:solidFill>
          </w14:textFill>
        </w:rPr>
        <w:t>和</w:t>
      </w:r>
      <w:r>
        <w:rPr>
          <w:rFonts w:hint="eastAsia"/>
          <w:color w:val="000000" w:themeColor="text1"/>
          <w:kern w:val="0"/>
          <w:szCs w:val="20"/>
          <w14:textFill>
            <w14:solidFill>
              <w14:schemeClr w14:val="tx1"/>
            </w14:solidFill>
          </w14:textFill>
        </w:rPr>
        <w:t>盛样盘</w:t>
      </w:r>
      <w:r>
        <w:rPr>
          <w:color w:val="000000" w:themeColor="text1"/>
          <w:kern w:val="0"/>
          <w:szCs w:val="20"/>
          <w14:textFill>
            <w14:solidFill>
              <w14:schemeClr w14:val="tx1"/>
            </w14:solidFill>
          </w14:textFill>
        </w:rPr>
        <w:t>的质量，单位为克（g）；</w:t>
      </w:r>
    </w:p>
    <w:p>
      <w:pPr>
        <w:widowControl/>
        <w:tabs>
          <w:tab w:val="center" w:pos="4201"/>
          <w:tab w:val="right" w:leader="dot" w:pos="9298"/>
        </w:tabs>
        <w:autoSpaceDE w:val="0"/>
        <w:autoSpaceDN w:val="0"/>
        <w:spacing w:line="240" w:lineRule="auto"/>
        <w:ind w:firstLine="420" w:firstLineChars="200"/>
        <w:rPr>
          <w:color w:val="000000" w:themeColor="text1"/>
          <w:kern w:val="0"/>
          <w:szCs w:val="20"/>
          <w14:textFill>
            <w14:solidFill>
              <w14:schemeClr w14:val="tx1"/>
            </w14:solidFill>
          </w14:textFill>
        </w:rPr>
      </w:pPr>
      <w:r>
        <w:rPr>
          <w:i/>
          <w:color w:val="000000" w:themeColor="text1"/>
          <w:kern w:val="0"/>
          <w:szCs w:val="20"/>
          <w14:textFill>
            <w14:solidFill>
              <w14:schemeClr w14:val="tx1"/>
            </w14:solidFill>
          </w14:textFill>
        </w:rPr>
        <w:t>m</w:t>
      </w:r>
      <w:r>
        <w:rPr>
          <w:color w:val="000000" w:themeColor="text1"/>
          <w:kern w:val="0"/>
          <w:szCs w:val="20"/>
          <w:vertAlign w:val="subscript"/>
          <w14:textFill>
            <w14:solidFill>
              <w14:schemeClr w14:val="tx1"/>
            </w14:solidFill>
          </w14:textFill>
        </w:rPr>
        <w:t>0</w:t>
      </w:r>
      <w:r>
        <w:rPr>
          <w:color w:val="000000" w:themeColor="text1"/>
          <w:kern w:val="0"/>
          <w:szCs w:val="20"/>
          <w14:textFill>
            <w14:solidFill>
              <w14:schemeClr w14:val="tx1"/>
            </w14:solidFill>
          </w14:textFill>
        </w:rPr>
        <w:t>——</w:t>
      </w:r>
      <w:r>
        <w:rPr>
          <w:rFonts w:hint="eastAsia"/>
          <w:color w:val="000000" w:themeColor="text1"/>
          <w:kern w:val="0"/>
          <w:szCs w:val="20"/>
          <w14:textFill>
            <w14:solidFill>
              <w14:schemeClr w14:val="tx1"/>
            </w14:solidFill>
          </w14:textFill>
        </w:rPr>
        <w:t>盛样盘</w:t>
      </w:r>
      <w:r>
        <w:rPr>
          <w:color w:val="000000" w:themeColor="text1"/>
          <w:kern w:val="0"/>
          <w:szCs w:val="20"/>
          <w14:textFill>
            <w14:solidFill>
              <w14:schemeClr w14:val="tx1"/>
            </w14:solidFill>
          </w14:textFill>
        </w:rPr>
        <w:t>的质量，单位为克（g）。</w:t>
      </w:r>
    </w:p>
    <w:p>
      <w:pPr>
        <w:pStyle w:val="32"/>
        <w:tabs>
          <w:tab w:val="center" w:pos="4201"/>
          <w:tab w:val="right" w:leader="dot" w:pos="9298"/>
        </w:tabs>
        <w:spacing w:line="240" w:lineRule="auto"/>
      </w:pPr>
      <w:r>
        <w:rPr>
          <w:rFonts w:ascii="Times New Roman"/>
          <w:color w:val="000000" w:themeColor="text1"/>
          <w14:textFill>
            <w14:solidFill>
              <w14:schemeClr w14:val="tx1"/>
            </w14:solidFill>
          </w14:textFill>
        </w:rPr>
        <w:t>所得结果保留</w:t>
      </w:r>
      <w:r>
        <w:rPr>
          <w:rFonts w:hint="eastAsia" w:ascii="Times New Roman"/>
          <w:color w:val="000000" w:themeColor="text1"/>
          <w14:textFill>
            <w14:solidFill>
              <w14:schemeClr w14:val="tx1"/>
            </w14:solidFill>
          </w14:textFill>
        </w:rPr>
        <w:t>小数点后</w:t>
      </w:r>
      <w:r>
        <w:rPr>
          <w:rFonts w:ascii="Times New Roman"/>
          <w:color w:val="000000" w:themeColor="text1"/>
          <w14:textFill>
            <w14:solidFill>
              <w14:schemeClr w14:val="tx1"/>
            </w14:solidFill>
          </w14:textFill>
        </w:rPr>
        <w:t>两位有效数字。</w:t>
      </w:r>
    </w:p>
    <w:p>
      <w:pPr>
        <w:pStyle w:val="32"/>
        <w:spacing w:before="156" w:beforeLines="0" w:after="156" w:afterLines="0"/>
        <w:ind w:left="0"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A.7  允许差</w:t>
      </w:r>
    </w:p>
    <w:p>
      <w:pPr>
        <w:pStyle w:val="32"/>
        <w:tabs>
          <w:tab w:val="center" w:pos="4201"/>
          <w:tab w:val="right" w:leader="dot" w:pos="9298"/>
        </w:tabs>
        <w:ind w:firstLine="420"/>
        <w:rPr>
          <w:rFonts w:hint="default" w:ascii="Times New Roman" w:eastAsiaTheme="minorEastAsia"/>
          <w:color w:val="auto"/>
          <w:kern w:val="21"/>
          <w:lang w:val="en-US" w:eastAsia="zh-CN"/>
        </w:rPr>
      </w:pPr>
      <w:r>
        <w:rPr>
          <w:rFonts w:hint="eastAsia" w:ascii="Times New Roman" w:eastAsiaTheme="minorEastAsia"/>
          <w:color w:val="auto"/>
          <w:kern w:val="21"/>
          <w:lang w:val="en-US" w:eastAsia="zh-CN"/>
        </w:rPr>
        <w:t>取两次平行试验分析结果的算术平均值为最终分析结果，两次平行试验分析结果的绝对差值应不大</w:t>
      </w:r>
      <w:r>
        <w:rPr>
          <w:rFonts w:hint="eastAsia" w:ascii="Times New Roman" w:eastAsiaTheme="minorEastAsia"/>
          <w:color w:val="auto"/>
          <w:kern w:val="21"/>
          <w:lang w:val="en-US" w:eastAsia="zh-CN"/>
        </w:rPr>
        <w:t>于0.20 %。</w:t>
      </w:r>
    </w:p>
    <w:p>
      <w:pPr>
        <w:pStyle w:val="32"/>
        <w:spacing w:before="156" w:after="156"/>
        <w:ind w:firstLine="0" w:firstLineChars="0"/>
        <w:rPr>
          <w:rFonts w:hint="eastAsia" w:ascii="Times New Roman" w:hAnsi="Times New Roman" w:eastAsia="宋体"/>
          <w:bCs w:val="0"/>
          <w:color w:val="000000"/>
          <w:szCs w:val="20"/>
          <w:highlight w:val="none"/>
          <w:lang w:val="en-US" w:eastAsia="zh-CN"/>
        </w:rPr>
      </w:pPr>
    </w:p>
    <w:p>
      <w:pPr>
        <w:pStyle w:val="32"/>
        <w:tabs>
          <w:tab w:val="left" w:pos="5907"/>
        </w:tabs>
        <w:spacing w:line="360" w:lineRule="auto"/>
        <w:ind w:firstLine="0" w:firstLineChars="0"/>
        <w:rPr>
          <w:rFonts w:hint="eastAsia" w:eastAsia="宋体"/>
          <w:kern w:val="0"/>
          <w:szCs w:val="20"/>
          <w:lang w:val="en-US" w:eastAsia="zh-CN"/>
        </w:rPr>
      </w:pPr>
    </w:p>
    <w:sectPr>
      <w:footerReference r:id="rId10" w:type="default"/>
      <w:pgSz w:w="11907" w:h="16839"/>
      <w:pgMar w:top="567"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1"/>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rFonts w:hint="eastAsia" w:ascii="黑体" w:hAnsi="黑体" w:eastAsia="黑体" w:cs="黑体"/>
      </w:rPr>
      <w:t>YS/T ×××—20×</w:t>
    </w:r>
    <w:bookmarkStart w:id="5" w:name="OLE_LINK19"/>
    <w:bookmarkStart w:id="6" w:name="OLE_LINK20"/>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166"/>
    <w:rsid w:val="000975C5"/>
    <w:rsid w:val="000A0360"/>
    <w:rsid w:val="000A1BAC"/>
    <w:rsid w:val="000A297D"/>
    <w:rsid w:val="000A2B58"/>
    <w:rsid w:val="000A444F"/>
    <w:rsid w:val="000A659E"/>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06A65"/>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5C8F"/>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5DC"/>
    <w:rsid w:val="001B3700"/>
    <w:rsid w:val="001C1308"/>
    <w:rsid w:val="001C40DF"/>
    <w:rsid w:val="001C4333"/>
    <w:rsid w:val="001C591F"/>
    <w:rsid w:val="001C5FA3"/>
    <w:rsid w:val="001C7710"/>
    <w:rsid w:val="001D138E"/>
    <w:rsid w:val="001D2F1D"/>
    <w:rsid w:val="001D4E82"/>
    <w:rsid w:val="001D4EBD"/>
    <w:rsid w:val="001E5604"/>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415D"/>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9618E"/>
    <w:rsid w:val="002A1259"/>
    <w:rsid w:val="002A1408"/>
    <w:rsid w:val="002A2527"/>
    <w:rsid w:val="002A2A8F"/>
    <w:rsid w:val="002A2AB5"/>
    <w:rsid w:val="002A5083"/>
    <w:rsid w:val="002B1FE4"/>
    <w:rsid w:val="002B545C"/>
    <w:rsid w:val="002B6AEA"/>
    <w:rsid w:val="002C0A1E"/>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9257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3F6967"/>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2DA4"/>
    <w:rsid w:val="004734AA"/>
    <w:rsid w:val="00475546"/>
    <w:rsid w:val="00476E21"/>
    <w:rsid w:val="00476F21"/>
    <w:rsid w:val="00477BBD"/>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6F33"/>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66F7E"/>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6AE2"/>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7A6"/>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31E67"/>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05C8"/>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132C"/>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2796"/>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3A76"/>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44B8"/>
    <w:rsid w:val="00A068DE"/>
    <w:rsid w:val="00A1117E"/>
    <w:rsid w:val="00A11B4F"/>
    <w:rsid w:val="00A13944"/>
    <w:rsid w:val="00A13B1E"/>
    <w:rsid w:val="00A15432"/>
    <w:rsid w:val="00A16BAB"/>
    <w:rsid w:val="00A207B6"/>
    <w:rsid w:val="00A2181A"/>
    <w:rsid w:val="00A2452A"/>
    <w:rsid w:val="00A251EE"/>
    <w:rsid w:val="00A253E2"/>
    <w:rsid w:val="00A25764"/>
    <w:rsid w:val="00A25D19"/>
    <w:rsid w:val="00A304E0"/>
    <w:rsid w:val="00A31002"/>
    <w:rsid w:val="00A317E7"/>
    <w:rsid w:val="00A31972"/>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44470"/>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3204"/>
    <w:rsid w:val="00AF4A7E"/>
    <w:rsid w:val="00AF561A"/>
    <w:rsid w:val="00B00831"/>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36BA"/>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3CCF"/>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4C93"/>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57F1"/>
    <w:rsid w:val="00D16EEB"/>
    <w:rsid w:val="00D21070"/>
    <w:rsid w:val="00D214EA"/>
    <w:rsid w:val="00D22CAF"/>
    <w:rsid w:val="00D26FBF"/>
    <w:rsid w:val="00D26FE8"/>
    <w:rsid w:val="00D3043B"/>
    <w:rsid w:val="00D30931"/>
    <w:rsid w:val="00D3270C"/>
    <w:rsid w:val="00D33092"/>
    <w:rsid w:val="00D33675"/>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D64"/>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0D5C"/>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EF7364"/>
    <w:rsid w:val="00F00844"/>
    <w:rsid w:val="00F00E7E"/>
    <w:rsid w:val="00F010D1"/>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4D8"/>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3472"/>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F558DB"/>
    <w:rsid w:val="02046404"/>
    <w:rsid w:val="02352B68"/>
    <w:rsid w:val="02426778"/>
    <w:rsid w:val="024B68F3"/>
    <w:rsid w:val="02615D9D"/>
    <w:rsid w:val="028B7635"/>
    <w:rsid w:val="0332606E"/>
    <w:rsid w:val="03524488"/>
    <w:rsid w:val="035B5CEB"/>
    <w:rsid w:val="038E4BF5"/>
    <w:rsid w:val="03CE4BB2"/>
    <w:rsid w:val="03D315DB"/>
    <w:rsid w:val="03D549D7"/>
    <w:rsid w:val="03E162F2"/>
    <w:rsid w:val="03ED19DE"/>
    <w:rsid w:val="03F51771"/>
    <w:rsid w:val="03FA18B4"/>
    <w:rsid w:val="041D6232"/>
    <w:rsid w:val="043030FA"/>
    <w:rsid w:val="043B05CC"/>
    <w:rsid w:val="04447D95"/>
    <w:rsid w:val="049A309E"/>
    <w:rsid w:val="04DB22B6"/>
    <w:rsid w:val="04F27B85"/>
    <w:rsid w:val="04F52013"/>
    <w:rsid w:val="05480343"/>
    <w:rsid w:val="05A76B78"/>
    <w:rsid w:val="05AD54B2"/>
    <w:rsid w:val="05B03CC2"/>
    <w:rsid w:val="05D439AB"/>
    <w:rsid w:val="05E62EDB"/>
    <w:rsid w:val="06014433"/>
    <w:rsid w:val="0608218B"/>
    <w:rsid w:val="06096038"/>
    <w:rsid w:val="061F1453"/>
    <w:rsid w:val="06294D4F"/>
    <w:rsid w:val="064B28C9"/>
    <w:rsid w:val="066F26EE"/>
    <w:rsid w:val="068B5469"/>
    <w:rsid w:val="06916841"/>
    <w:rsid w:val="06CB07C9"/>
    <w:rsid w:val="06E660D7"/>
    <w:rsid w:val="071D25F6"/>
    <w:rsid w:val="073C2543"/>
    <w:rsid w:val="074566D5"/>
    <w:rsid w:val="074F0531"/>
    <w:rsid w:val="076E6A6C"/>
    <w:rsid w:val="07835DE1"/>
    <w:rsid w:val="081223C3"/>
    <w:rsid w:val="081D21E9"/>
    <w:rsid w:val="083E3076"/>
    <w:rsid w:val="08AA2216"/>
    <w:rsid w:val="08AD4EAD"/>
    <w:rsid w:val="08C46317"/>
    <w:rsid w:val="08C603A5"/>
    <w:rsid w:val="08DC6AB2"/>
    <w:rsid w:val="08DF4068"/>
    <w:rsid w:val="08E037A8"/>
    <w:rsid w:val="08E325AD"/>
    <w:rsid w:val="09313EB0"/>
    <w:rsid w:val="0997348A"/>
    <w:rsid w:val="09D26822"/>
    <w:rsid w:val="0A191E44"/>
    <w:rsid w:val="0A261D19"/>
    <w:rsid w:val="0A2B6C96"/>
    <w:rsid w:val="0A42773B"/>
    <w:rsid w:val="0A544AAC"/>
    <w:rsid w:val="0A6B0BBC"/>
    <w:rsid w:val="0AAF446A"/>
    <w:rsid w:val="0AD070A2"/>
    <w:rsid w:val="0B2013C1"/>
    <w:rsid w:val="0B255009"/>
    <w:rsid w:val="0B2D08C4"/>
    <w:rsid w:val="0B380122"/>
    <w:rsid w:val="0B7676CB"/>
    <w:rsid w:val="0BE77C94"/>
    <w:rsid w:val="0C2A22E4"/>
    <w:rsid w:val="0C5D53DD"/>
    <w:rsid w:val="0C9A2105"/>
    <w:rsid w:val="0CB4749A"/>
    <w:rsid w:val="0D074BCE"/>
    <w:rsid w:val="0D232D79"/>
    <w:rsid w:val="0D7E77A2"/>
    <w:rsid w:val="0D8A6AB3"/>
    <w:rsid w:val="0D9055C1"/>
    <w:rsid w:val="0DDB4033"/>
    <w:rsid w:val="0DE2095B"/>
    <w:rsid w:val="0DF37EAE"/>
    <w:rsid w:val="0E155D13"/>
    <w:rsid w:val="0E1E47D2"/>
    <w:rsid w:val="0E3F1309"/>
    <w:rsid w:val="0E7A6730"/>
    <w:rsid w:val="0E9C13C6"/>
    <w:rsid w:val="0ECD3C15"/>
    <w:rsid w:val="0F113628"/>
    <w:rsid w:val="0F334DC8"/>
    <w:rsid w:val="0F74604D"/>
    <w:rsid w:val="0FAB6A3D"/>
    <w:rsid w:val="0FAE0C1B"/>
    <w:rsid w:val="10497453"/>
    <w:rsid w:val="10805DF5"/>
    <w:rsid w:val="10F2271C"/>
    <w:rsid w:val="10F25566"/>
    <w:rsid w:val="110C61B8"/>
    <w:rsid w:val="11217792"/>
    <w:rsid w:val="11516A1E"/>
    <w:rsid w:val="11762AD5"/>
    <w:rsid w:val="117C0C28"/>
    <w:rsid w:val="118B2BF4"/>
    <w:rsid w:val="11AA02A9"/>
    <w:rsid w:val="11CD5617"/>
    <w:rsid w:val="11F31858"/>
    <w:rsid w:val="11F4153D"/>
    <w:rsid w:val="120656E1"/>
    <w:rsid w:val="125048B6"/>
    <w:rsid w:val="12584A52"/>
    <w:rsid w:val="128C4A10"/>
    <w:rsid w:val="12C444B8"/>
    <w:rsid w:val="12D5036A"/>
    <w:rsid w:val="1301270B"/>
    <w:rsid w:val="138976DC"/>
    <w:rsid w:val="13A7632A"/>
    <w:rsid w:val="13CB1029"/>
    <w:rsid w:val="13D534F9"/>
    <w:rsid w:val="140C75CB"/>
    <w:rsid w:val="14197FD6"/>
    <w:rsid w:val="144A02F1"/>
    <w:rsid w:val="145450C2"/>
    <w:rsid w:val="14AD7CDA"/>
    <w:rsid w:val="14F5179D"/>
    <w:rsid w:val="15130A0A"/>
    <w:rsid w:val="15D47ABF"/>
    <w:rsid w:val="15DE1DF9"/>
    <w:rsid w:val="15E13EF0"/>
    <w:rsid w:val="15EA3D7D"/>
    <w:rsid w:val="160E65CF"/>
    <w:rsid w:val="16790BA4"/>
    <w:rsid w:val="168408D1"/>
    <w:rsid w:val="16CA686A"/>
    <w:rsid w:val="16F0235E"/>
    <w:rsid w:val="17570500"/>
    <w:rsid w:val="178033CD"/>
    <w:rsid w:val="17A4585E"/>
    <w:rsid w:val="17AC372C"/>
    <w:rsid w:val="17D4708E"/>
    <w:rsid w:val="17F22B81"/>
    <w:rsid w:val="17FE3D7E"/>
    <w:rsid w:val="185552F1"/>
    <w:rsid w:val="189153B8"/>
    <w:rsid w:val="18E16172"/>
    <w:rsid w:val="18E919C5"/>
    <w:rsid w:val="192B7E45"/>
    <w:rsid w:val="192D50D6"/>
    <w:rsid w:val="19504AA2"/>
    <w:rsid w:val="19AE4815"/>
    <w:rsid w:val="19B75834"/>
    <w:rsid w:val="19CD62A2"/>
    <w:rsid w:val="1A270841"/>
    <w:rsid w:val="1A2B0264"/>
    <w:rsid w:val="1A584947"/>
    <w:rsid w:val="1A980C6F"/>
    <w:rsid w:val="1AA12B23"/>
    <w:rsid w:val="1AEE0C77"/>
    <w:rsid w:val="1AF513E6"/>
    <w:rsid w:val="1B0C60FC"/>
    <w:rsid w:val="1B3C3DDA"/>
    <w:rsid w:val="1B4510C3"/>
    <w:rsid w:val="1B51710E"/>
    <w:rsid w:val="1B56582D"/>
    <w:rsid w:val="1B5D52B6"/>
    <w:rsid w:val="1B7C621D"/>
    <w:rsid w:val="1BE444F3"/>
    <w:rsid w:val="1C7B47C6"/>
    <w:rsid w:val="1C96141B"/>
    <w:rsid w:val="1CA45C4A"/>
    <w:rsid w:val="1CAF7BC0"/>
    <w:rsid w:val="1CC215A8"/>
    <w:rsid w:val="1CFB33A5"/>
    <w:rsid w:val="1D1D2071"/>
    <w:rsid w:val="1D1D2739"/>
    <w:rsid w:val="1D2248BE"/>
    <w:rsid w:val="1D762000"/>
    <w:rsid w:val="1D971104"/>
    <w:rsid w:val="1E412B77"/>
    <w:rsid w:val="1E503DF9"/>
    <w:rsid w:val="1E550484"/>
    <w:rsid w:val="1E6465F1"/>
    <w:rsid w:val="1EE26FE1"/>
    <w:rsid w:val="1F547033"/>
    <w:rsid w:val="1F732DD8"/>
    <w:rsid w:val="1FB247B8"/>
    <w:rsid w:val="1FFC672B"/>
    <w:rsid w:val="202E4DF7"/>
    <w:rsid w:val="207309DC"/>
    <w:rsid w:val="20755B5E"/>
    <w:rsid w:val="2088496A"/>
    <w:rsid w:val="209916B7"/>
    <w:rsid w:val="20E2119E"/>
    <w:rsid w:val="21304037"/>
    <w:rsid w:val="214E4652"/>
    <w:rsid w:val="2173580A"/>
    <w:rsid w:val="217D23C6"/>
    <w:rsid w:val="218061AE"/>
    <w:rsid w:val="21866203"/>
    <w:rsid w:val="218F497A"/>
    <w:rsid w:val="21D131CA"/>
    <w:rsid w:val="224A50E8"/>
    <w:rsid w:val="22850580"/>
    <w:rsid w:val="22AD79B7"/>
    <w:rsid w:val="22D6182B"/>
    <w:rsid w:val="22EB0C14"/>
    <w:rsid w:val="22F16D16"/>
    <w:rsid w:val="22F53974"/>
    <w:rsid w:val="231F06DC"/>
    <w:rsid w:val="23273154"/>
    <w:rsid w:val="23D61272"/>
    <w:rsid w:val="23DD2ABB"/>
    <w:rsid w:val="23E87122"/>
    <w:rsid w:val="241915BC"/>
    <w:rsid w:val="245300A6"/>
    <w:rsid w:val="252D525D"/>
    <w:rsid w:val="258B7558"/>
    <w:rsid w:val="25B317DC"/>
    <w:rsid w:val="263E601B"/>
    <w:rsid w:val="2676194C"/>
    <w:rsid w:val="2694215A"/>
    <w:rsid w:val="26BA3D31"/>
    <w:rsid w:val="26E61785"/>
    <w:rsid w:val="26E63A7F"/>
    <w:rsid w:val="27102B34"/>
    <w:rsid w:val="271A56A2"/>
    <w:rsid w:val="272C40F1"/>
    <w:rsid w:val="27370964"/>
    <w:rsid w:val="277B1384"/>
    <w:rsid w:val="27BB77EA"/>
    <w:rsid w:val="27DB1524"/>
    <w:rsid w:val="281C60EE"/>
    <w:rsid w:val="284F3B6E"/>
    <w:rsid w:val="290723B2"/>
    <w:rsid w:val="290A0231"/>
    <w:rsid w:val="290C624C"/>
    <w:rsid w:val="29375AC5"/>
    <w:rsid w:val="29522712"/>
    <w:rsid w:val="295858BA"/>
    <w:rsid w:val="29946F3E"/>
    <w:rsid w:val="29B91E53"/>
    <w:rsid w:val="29CF406A"/>
    <w:rsid w:val="2A2473E7"/>
    <w:rsid w:val="2A5026FE"/>
    <w:rsid w:val="2A875F93"/>
    <w:rsid w:val="2AAC4C7D"/>
    <w:rsid w:val="2AC4296D"/>
    <w:rsid w:val="2AED1F22"/>
    <w:rsid w:val="2B383128"/>
    <w:rsid w:val="2B577548"/>
    <w:rsid w:val="2B750196"/>
    <w:rsid w:val="2B841B40"/>
    <w:rsid w:val="2B8B3EEB"/>
    <w:rsid w:val="2BFF617C"/>
    <w:rsid w:val="2C0B720A"/>
    <w:rsid w:val="2D5D645B"/>
    <w:rsid w:val="2DC16E8F"/>
    <w:rsid w:val="2DE27339"/>
    <w:rsid w:val="2DEB587F"/>
    <w:rsid w:val="2E293AD3"/>
    <w:rsid w:val="2F9751C4"/>
    <w:rsid w:val="2FD632A2"/>
    <w:rsid w:val="2FE96A98"/>
    <w:rsid w:val="30150682"/>
    <w:rsid w:val="304D207C"/>
    <w:rsid w:val="305E1C50"/>
    <w:rsid w:val="309036C7"/>
    <w:rsid w:val="309E7F8C"/>
    <w:rsid w:val="30A209BB"/>
    <w:rsid w:val="30F675F6"/>
    <w:rsid w:val="3116311A"/>
    <w:rsid w:val="31920EFC"/>
    <w:rsid w:val="31C527F2"/>
    <w:rsid w:val="31DA4799"/>
    <w:rsid w:val="31DF2419"/>
    <w:rsid w:val="32521B44"/>
    <w:rsid w:val="32CA0966"/>
    <w:rsid w:val="32D862B1"/>
    <w:rsid w:val="32DE56F0"/>
    <w:rsid w:val="32E85B28"/>
    <w:rsid w:val="3340031D"/>
    <w:rsid w:val="338374FF"/>
    <w:rsid w:val="338F0F49"/>
    <w:rsid w:val="339C240D"/>
    <w:rsid w:val="33BC7F5E"/>
    <w:rsid w:val="348669D4"/>
    <w:rsid w:val="34DC7C2C"/>
    <w:rsid w:val="351E5DDC"/>
    <w:rsid w:val="357324B6"/>
    <w:rsid w:val="35A02B55"/>
    <w:rsid w:val="35C82DE7"/>
    <w:rsid w:val="35E45BD9"/>
    <w:rsid w:val="35F60B79"/>
    <w:rsid w:val="35FC6659"/>
    <w:rsid w:val="36032B41"/>
    <w:rsid w:val="36171143"/>
    <w:rsid w:val="364D77F0"/>
    <w:rsid w:val="364E7070"/>
    <w:rsid w:val="36B37DAC"/>
    <w:rsid w:val="36D91CE1"/>
    <w:rsid w:val="36EA6F12"/>
    <w:rsid w:val="36FF2BC7"/>
    <w:rsid w:val="3702550A"/>
    <w:rsid w:val="372F571B"/>
    <w:rsid w:val="37645038"/>
    <w:rsid w:val="37C2035E"/>
    <w:rsid w:val="38251926"/>
    <w:rsid w:val="387770BF"/>
    <w:rsid w:val="39B72C5B"/>
    <w:rsid w:val="39E22C74"/>
    <w:rsid w:val="3A2D2A99"/>
    <w:rsid w:val="3A4E7624"/>
    <w:rsid w:val="3A6607FB"/>
    <w:rsid w:val="3B0F6334"/>
    <w:rsid w:val="3B147759"/>
    <w:rsid w:val="3B4E43C2"/>
    <w:rsid w:val="3B5122CA"/>
    <w:rsid w:val="3B815AF6"/>
    <w:rsid w:val="3BA02E15"/>
    <w:rsid w:val="3BAC0C70"/>
    <w:rsid w:val="3BBF52F1"/>
    <w:rsid w:val="3BC4015D"/>
    <w:rsid w:val="3BC5720F"/>
    <w:rsid w:val="3BC840A1"/>
    <w:rsid w:val="3C2377F5"/>
    <w:rsid w:val="3C260D2F"/>
    <w:rsid w:val="3C8E0A1B"/>
    <w:rsid w:val="3CF76B1A"/>
    <w:rsid w:val="3D066F82"/>
    <w:rsid w:val="3D0F39CA"/>
    <w:rsid w:val="3D165B71"/>
    <w:rsid w:val="3D522D0F"/>
    <w:rsid w:val="3D5D01B1"/>
    <w:rsid w:val="3D703698"/>
    <w:rsid w:val="3D9E695D"/>
    <w:rsid w:val="3E1E7DDD"/>
    <w:rsid w:val="3E5C5D09"/>
    <w:rsid w:val="3EB31164"/>
    <w:rsid w:val="3EBD12EF"/>
    <w:rsid w:val="3EF35DA8"/>
    <w:rsid w:val="3F142CC2"/>
    <w:rsid w:val="3F211E56"/>
    <w:rsid w:val="3F261AEF"/>
    <w:rsid w:val="3F340E7B"/>
    <w:rsid w:val="3F5B2410"/>
    <w:rsid w:val="3F886B35"/>
    <w:rsid w:val="3FDE27D9"/>
    <w:rsid w:val="3FEF1587"/>
    <w:rsid w:val="400A5C39"/>
    <w:rsid w:val="400D09F7"/>
    <w:rsid w:val="405D6EC0"/>
    <w:rsid w:val="4068425F"/>
    <w:rsid w:val="406B2AC3"/>
    <w:rsid w:val="408917C7"/>
    <w:rsid w:val="40A65439"/>
    <w:rsid w:val="40D01298"/>
    <w:rsid w:val="40E9165A"/>
    <w:rsid w:val="41246B7F"/>
    <w:rsid w:val="41294362"/>
    <w:rsid w:val="41463206"/>
    <w:rsid w:val="415C2E48"/>
    <w:rsid w:val="415E2800"/>
    <w:rsid w:val="41C077EE"/>
    <w:rsid w:val="41DE622C"/>
    <w:rsid w:val="42172FE0"/>
    <w:rsid w:val="421C3D96"/>
    <w:rsid w:val="42242138"/>
    <w:rsid w:val="42351A7E"/>
    <w:rsid w:val="423D5A0C"/>
    <w:rsid w:val="42606B35"/>
    <w:rsid w:val="42731714"/>
    <w:rsid w:val="42BB615D"/>
    <w:rsid w:val="42D03A33"/>
    <w:rsid w:val="43382E6B"/>
    <w:rsid w:val="43647EF7"/>
    <w:rsid w:val="43931D16"/>
    <w:rsid w:val="43D870C2"/>
    <w:rsid w:val="43F37D9F"/>
    <w:rsid w:val="43FC5885"/>
    <w:rsid w:val="44277B4B"/>
    <w:rsid w:val="445D7BBD"/>
    <w:rsid w:val="44667C41"/>
    <w:rsid w:val="44C078DE"/>
    <w:rsid w:val="44D75166"/>
    <w:rsid w:val="44DC186F"/>
    <w:rsid w:val="459D79C1"/>
    <w:rsid w:val="46434321"/>
    <w:rsid w:val="465760C2"/>
    <w:rsid w:val="466203B3"/>
    <w:rsid w:val="468C5919"/>
    <w:rsid w:val="46DC2655"/>
    <w:rsid w:val="46FC60FC"/>
    <w:rsid w:val="471348C3"/>
    <w:rsid w:val="472C2AAD"/>
    <w:rsid w:val="478E4B4A"/>
    <w:rsid w:val="47C55CC7"/>
    <w:rsid w:val="47D36958"/>
    <w:rsid w:val="48016910"/>
    <w:rsid w:val="485135B2"/>
    <w:rsid w:val="485644C8"/>
    <w:rsid w:val="48CD2448"/>
    <w:rsid w:val="48D13D47"/>
    <w:rsid w:val="48E85E28"/>
    <w:rsid w:val="48F9382E"/>
    <w:rsid w:val="49142D27"/>
    <w:rsid w:val="49215537"/>
    <w:rsid w:val="4934266D"/>
    <w:rsid w:val="494265BD"/>
    <w:rsid w:val="499123D4"/>
    <w:rsid w:val="49AC1D1D"/>
    <w:rsid w:val="49D76B1B"/>
    <w:rsid w:val="49E8502C"/>
    <w:rsid w:val="4A8A4576"/>
    <w:rsid w:val="4AFD5E56"/>
    <w:rsid w:val="4B0D4644"/>
    <w:rsid w:val="4B995FBF"/>
    <w:rsid w:val="4BA86892"/>
    <w:rsid w:val="4C5004AD"/>
    <w:rsid w:val="4C7725DA"/>
    <w:rsid w:val="4C801578"/>
    <w:rsid w:val="4C8A6E37"/>
    <w:rsid w:val="4CBA4F88"/>
    <w:rsid w:val="4D0E049F"/>
    <w:rsid w:val="4D1A3528"/>
    <w:rsid w:val="4E062C10"/>
    <w:rsid w:val="4E522649"/>
    <w:rsid w:val="4E575021"/>
    <w:rsid w:val="4E71794A"/>
    <w:rsid w:val="4E7D1170"/>
    <w:rsid w:val="4E9173F1"/>
    <w:rsid w:val="4FBD33CF"/>
    <w:rsid w:val="4FFB4EC4"/>
    <w:rsid w:val="50050B1E"/>
    <w:rsid w:val="50162565"/>
    <w:rsid w:val="5089087F"/>
    <w:rsid w:val="50AE68B4"/>
    <w:rsid w:val="50DE3D48"/>
    <w:rsid w:val="50E95B26"/>
    <w:rsid w:val="50F40C26"/>
    <w:rsid w:val="50F93F68"/>
    <w:rsid w:val="51624549"/>
    <w:rsid w:val="518703B4"/>
    <w:rsid w:val="518A6F9C"/>
    <w:rsid w:val="51FF706F"/>
    <w:rsid w:val="52040B53"/>
    <w:rsid w:val="52712579"/>
    <w:rsid w:val="52826CB3"/>
    <w:rsid w:val="52A57AEB"/>
    <w:rsid w:val="52C25A76"/>
    <w:rsid w:val="52DD4EA9"/>
    <w:rsid w:val="530157AD"/>
    <w:rsid w:val="535D6031"/>
    <w:rsid w:val="537A20E2"/>
    <w:rsid w:val="53B10E0E"/>
    <w:rsid w:val="53F161B6"/>
    <w:rsid w:val="54264B76"/>
    <w:rsid w:val="543162D6"/>
    <w:rsid w:val="548E1EB1"/>
    <w:rsid w:val="549A66E3"/>
    <w:rsid w:val="549E2463"/>
    <w:rsid w:val="54AF1A2A"/>
    <w:rsid w:val="550F0A41"/>
    <w:rsid w:val="5522684C"/>
    <w:rsid w:val="554C26D2"/>
    <w:rsid w:val="557B2B57"/>
    <w:rsid w:val="55AC2A1D"/>
    <w:rsid w:val="55CA6D0C"/>
    <w:rsid w:val="55CB6B21"/>
    <w:rsid w:val="56005834"/>
    <w:rsid w:val="56140F87"/>
    <w:rsid w:val="56621CC0"/>
    <w:rsid w:val="56804BA8"/>
    <w:rsid w:val="56956BD1"/>
    <w:rsid w:val="56CC4DA9"/>
    <w:rsid w:val="5701542A"/>
    <w:rsid w:val="572F6F62"/>
    <w:rsid w:val="579B534E"/>
    <w:rsid w:val="582C7CDF"/>
    <w:rsid w:val="58482DC6"/>
    <w:rsid w:val="585E52A9"/>
    <w:rsid w:val="588561B5"/>
    <w:rsid w:val="588D20CB"/>
    <w:rsid w:val="58B57A0E"/>
    <w:rsid w:val="58DB7A0A"/>
    <w:rsid w:val="58F51FFA"/>
    <w:rsid w:val="591B4991"/>
    <w:rsid w:val="592F625D"/>
    <w:rsid w:val="59570292"/>
    <w:rsid w:val="596000F2"/>
    <w:rsid w:val="59FF4D38"/>
    <w:rsid w:val="5A0C4B75"/>
    <w:rsid w:val="5A28064A"/>
    <w:rsid w:val="5A3C36D8"/>
    <w:rsid w:val="5A731FB2"/>
    <w:rsid w:val="5A7923BF"/>
    <w:rsid w:val="5A9605BD"/>
    <w:rsid w:val="5AE10FFC"/>
    <w:rsid w:val="5AE47F70"/>
    <w:rsid w:val="5AE67E10"/>
    <w:rsid w:val="5AE911BF"/>
    <w:rsid w:val="5B4F1918"/>
    <w:rsid w:val="5B540719"/>
    <w:rsid w:val="5BAC60D4"/>
    <w:rsid w:val="5BDA1DC4"/>
    <w:rsid w:val="5C1D46FC"/>
    <w:rsid w:val="5C3D5425"/>
    <w:rsid w:val="5C5A2DA2"/>
    <w:rsid w:val="5C741A7E"/>
    <w:rsid w:val="5C8C3CA8"/>
    <w:rsid w:val="5C8E0606"/>
    <w:rsid w:val="5C9824E3"/>
    <w:rsid w:val="5CAD7201"/>
    <w:rsid w:val="5CD42029"/>
    <w:rsid w:val="5CE864FF"/>
    <w:rsid w:val="5D117FDD"/>
    <w:rsid w:val="5D18719D"/>
    <w:rsid w:val="5D295DC9"/>
    <w:rsid w:val="5D2B11A9"/>
    <w:rsid w:val="5D335BD3"/>
    <w:rsid w:val="5D3436B2"/>
    <w:rsid w:val="5D355651"/>
    <w:rsid w:val="5D674CB0"/>
    <w:rsid w:val="5D785662"/>
    <w:rsid w:val="5DC63B4E"/>
    <w:rsid w:val="5E3F14C7"/>
    <w:rsid w:val="5E580E47"/>
    <w:rsid w:val="5E965310"/>
    <w:rsid w:val="5EAE695A"/>
    <w:rsid w:val="5F065231"/>
    <w:rsid w:val="5F3F68E4"/>
    <w:rsid w:val="5F8949F9"/>
    <w:rsid w:val="5FA4535D"/>
    <w:rsid w:val="5FB24314"/>
    <w:rsid w:val="5FD41900"/>
    <w:rsid w:val="60175E9A"/>
    <w:rsid w:val="60286D1C"/>
    <w:rsid w:val="603871C4"/>
    <w:rsid w:val="60C71945"/>
    <w:rsid w:val="60EA622B"/>
    <w:rsid w:val="613106B6"/>
    <w:rsid w:val="6143275F"/>
    <w:rsid w:val="615014E4"/>
    <w:rsid w:val="61685A62"/>
    <w:rsid w:val="61816777"/>
    <w:rsid w:val="619E0F3A"/>
    <w:rsid w:val="61AD6C47"/>
    <w:rsid w:val="61E9479D"/>
    <w:rsid w:val="621B2390"/>
    <w:rsid w:val="627739F9"/>
    <w:rsid w:val="62D9704A"/>
    <w:rsid w:val="62F41621"/>
    <w:rsid w:val="631F5140"/>
    <w:rsid w:val="63206CA6"/>
    <w:rsid w:val="632C1133"/>
    <w:rsid w:val="633B597B"/>
    <w:rsid w:val="636D4FE6"/>
    <w:rsid w:val="63A469CE"/>
    <w:rsid w:val="63F0608C"/>
    <w:rsid w:val="63FE790F"/>
    <w:rsid w:val="64382189"/>
    <w:rsid w:val="64455F5E"/>
    <w:rsid w:val="64834A99"/>
    <w:rsid w:val="64845FD3"/>
    <w:rsid w:val="649A1366"/>
    <w:rsid w:val="64A4394A"/>
    <w:rsid w:val="64BB7417"/>
    <w:rsid w:val="64BC06ED"/>
    <w:rsid w:val="64E24D7D"/>
    <w:rsid w:val="64FD655F"/>
    <w:rsid w:val="652105C6"/>
    <w:rsid w:val="652D090B"/>
    <w:rsid w:val="654423FD"/>
    <w:rsid w:val="65580111"/>
    <w:rsid w:val="65847151"/>
    <w:rsid w:val="658D4F5B"/>
    <w:rsid w:val="65F34C4A"/>
    <w:rsid w:val="65F37DD4"/>
    <w:rsid w:val="66003E23"/>
    <w:rsid w:val="660663C1"/>
    <w:rsid w:val="663973F8"/>
    <w:rsid w:val="66413961"/>
    <w:rsid w:val="6641458A"/>
    <w:rsid w:val="667C6203"/>
    <w:rsid w:val="66835CCD"/>
    <w:rsid w:val="66B06E9D"/>
    <w:rsid w:val="66C96879"/>
    <w:rsid w:val="66EB187F"/>
    <w:rsid w:val="67730275"/>
    <w:rsid w:val="67AE355A"/>
    <w:rsid w:val="67E06F23"/>
    <w:rsid w:val="68054E84"/>
    <w:rsid w:val="682D04BD"/>
    <w:rsid w:val="683A1C46"/>
    <w:rsid w:val="68487F40"/>
    <w:rsid w:val="684C3518"/>
    <w:rsid w:val="68A066BA"/>
    <w:rsid w:val="69526C2A"/>
    <w:rsid w:val="69535F9B"/>
    <w:rsid w:val="69561626"/>
    <w:rsid w:val="69654292"/>
    <w:rsid w:val="697F44DA"/>
    <w:rsid w:val="69AD2905"/>
    <w:rsid w:val="69AE5167"/>
    <w:rsid w:val="69B47C6D"/>
    <w:rsid w:val="69D87D95"/>
    <w:rsid w:val="69FE60DF"/>
    <w:rsid w:val="6A093C19"/>
    <w:rsid w:val="6A3476F5"/>
    <w:rsid w:val="6A8638CB"/>
    <w:rsid w:val="6A9341CF"/>
    <w:rsid w:val="6A9853D4"/>
    <w:rsid w:val="6A9B43AC"/>
    <w:rsid w:val="6AE362F9"/>
    <w:rsid w:val="6B0C6921"/>
    <w:rsid w:val="6B78270D"/>
    <w:rsid w:val="6B901BE4"/>
    <w:rsid w:val="6BF8667B"/>
    <w:rsid w:val="6C3F2DEB"/>
    <w:rsid w:val="6C591948"/>
    <w:rsid w:val="6C61522B"/>
    <w:rsid w:val="6C73669B"/>
    <w:rsid w:val="6CA90003"/>
    <w:rsid w:val="6CD93B7A"/>
    <w:rsid w:val="6CE56B7E"/>
    <w:rsid w:val="6CE6378C"/>
    <w:rsid w:val="6D0E1A49"/>
    <w:rsid w:val="6D472CF8"/>
    <w:rsid w:val="6D757D14"/>
    <w:rsid w:val="6DF112F5"/>
    <w:rsid w:val="6E001C26"/>
    <w:rsid w:val="6E0814C1"/>
    <w:rsid w:val="6EA45BE3"/>
    <w:rsid w:val="6EEC7092"/>
    <w:rsid w:val="6F06407D"/>
    <w:rsid w:val="6F1917CD"/>
    <w:rsid w:val="6F1B3C75"/>
    <w:rsid w:val="6F5E5ADE"/>
    <w:rsid w:val="6F6659E6"/>
    <w:rsid w:val="6F7E1EA5"/>
    <w:rsid w:val="6FB71CAB"/>
    <w:rsid w:val="70131B5D"/>
    <w:rsid w:val="701D11D5"/>
    <w:rsid w:val="70495515"/>
    <w:rsid w:val="705E3864"/>
    <w:rsid w:val="70881BA0"/>
    <w:rsid w:val="708A29AB"/>
    <w:rsid w:val="70BC3F8A"/>
    <w:rsid w:val="71097DF4"/>
    <w:rsid w:val="71842F90"/>
    <w:rsid w:val="71D16FA9"/>
    <w:rsid w:val="71E9403D"/>
    <w:rsid w:val="728104F0"/>
    <w:rsid w:val="72A04B65"/>
    <w:rsid w:val="72C452D2"/>
    <w:rsid w:val="735E5E3A"/>
    <w:rsid w:val="73B26F97"/>
    <w:rsid w:val="73BF458F"/>
    <w:rsid w:val="7417588C"/>
    <w:rsid w:val="743B6B13"/>
    <w:rsid w:val="747E117B"/>
    <w:rsid w:val="74855EB4"/>
    <w:rsid w:val="74AD588E"/>
    <w:rsid w:val="751670D0"/>
    <w:rsid w:val="75414655"/>
    <w:rsid w:val="757522EF"/>
    <w:rsid w:val="75EC6F1F"/>
    <w:rsid w:val="75FC1C6A"/>
    <w:rsid w:val="76010416"/>
    <w:rsid w:val="76183E28"/>
    <w:rsid w:val="7645269C"/>
    <w:rsid w:val="767F56D5"/>
    <w:rsid w:val="769E1959"/>
    <w:rsid w:val="76D111AF"/>
    <w:rsid w:val="76DB126A"/>
    <w:rsid w:val="76E76878"/>
    <w:rsid w:val="76F43FBC"/>
    <w:rsid w:val="77182D1C"/>
    <w:rsid w:val="77515D33"/>
    <w:rsid w:val="77E2793C"/>
    <w:rsid w:val="77FF49A6"/>
    <w:rsid w:val="782F21C2"/>
    <w:rsid w:val="78913D4D"/>
    <w:rsid w:val="78C7535C"/>
    <w:rsid w:val="78DA7894"/>
    <w:rsid w:val="78FE020D"/>
    <w:rsid w:val="790F539F"/>
    <w:rsid w:val="79516C6D"/>
    <w:rsid w:val="79776158"/>
    <w:rsid w:val="79B60BF0"/>
    <w:rsid w:val="79B641BD"/>
    <w:rsid w:val="79C3723C"/>
    <w:rsid w:val="79C579F9"/>
    <w:rsid w:val="7A0F6CE2"/>
    <w:rsid w:val="7A634F5D"/>
    <w:rsid w:val="7A7321FA"/>
    <w:rsid w:val="7A841BA8"/>
    <w:rsid w:val="7AA12A52"/>
    <w:rsid w:val="7ABF3BA7"/>
    <w:rsid w:val="7AF2025B"/>
    <w:rsid w:val="7B76228F"/>
    <w:rsid w:val="7B9103EF"/>
    <w:rsid w:val="7B9649B6"/>
    <w:rsid w:val="7BA504EC"/>
    <w:rsid w:val="7BB04F0E"/>
    <w:rsid w:val="7BBC677E"/>
    <w:rsid w:val="7BD873E8"/>
    <w:rsid w:val="7BF135EE"/>
    <w:rsid w:val="7BFD37C8"/>
    <w:rsid w:val="7C0A237C"/>
    <w:rsid w:val="7C513B96"/>
    <w:rsid w:val="7C6C76BE"/>
    <w:rsid w:val="7C856238"/>
    <w:rsid w:val="7C8A3CC5"/>
    <w:rsid w:val="7C9B22B0"/>
    <w:rsid w:val="7CC27F9D"/>
    <w:rsid w:val="7CDE147C"/>
    <w:rsid w:val="7CFD7EB9"/>
    <w:rsid w:val="7D392EEF"/>
    <w:rsid w:val="7E030DD8"/>
    <w:rsid w:val="7E09456B"/>
    <w:rsid w:val="7E1518FF"/>
    <w:rsid w:val="7E166EA7"/>
    <w:rsid w:val="7E41445B"/>
    <w:rsid w:val="7E926046"/>
    <w:rsid w:val="7E9A209A"/>
    <w:rsid w:val="7EA6197D"/>
    <w:rsid w:val="7EAC3A17"/>
    <w:rsid w:val="7EE6433C"/>
    <w:rsid w:val="7F156511"/>
    <w:rsid w:val="7F3C4DB8"/>
    <w:rsid w:val="7F9054B1"/>
    <w:rsid w:val="7F91687D"/>
    <w:rsid w:val="7FC1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Date"/>
    <w:basedOn w:val="1"/>
    <w:next w:val="1"/>
    <w:link w:val="26"/>
    <w:qFormat/>
    <w:uiPriority w:val="0"/>
    <w:pPr>
      <w:ind w:left="100" w:leftChars="2500"/>
    </w:pPr>
  </w:style>
  <w:style w:type="paragraph" w:styleId="9">
    <w:name w:val="Balloon Text"/>
    <w:basedOn w:val="1"/>
    <w:qFormat/>
    <w:uiPriority w:val="0"/>
    <w:rPr>
      <w:sz w:val="18"/>
    </w:rPr>
  </w:style>
  <w:style w:type="paragraph" w:styleId="10">
    <w:name w:val="footer"/>
    <w:basedOn w:val="1"/>
    <w:link w:val="23"/>
    <w:qFormat/>
    <w:uiPriority w:val="99"/>
    <w:pPr>
      <w:tabs>
        <w:tab w:val="center" w:pos="4153"/>
        <w:tab w:val="right" w:pos="8306"/>
      </w:tabs>
      <w:snapToGrid w:val="0"/>
      <w:ind w:right="100" w:rightChars="100"/>
      <w:jc w:val="righ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rPr>
  </w:style>
  <w:style w:type="character" w:styleId="20">
    <w:name w:val="page number"/>
    <w:qFormat/>
    <w:uiPriority w:val="0"/>
    <w:rPr>
      <w:rFonts w:ascii="Times New Roman" w:hAnsi="Times New Roman" w:eastAsia="宋体"/>
      <w:sz w:val="18"/>
    </w:rPr>
  </w:style>
  <w:style w:type="character" w:styleId="21">
    <w:name w:val="annotation reference"/>
    <w:qFormat/>
    <w:uiPriority w:val="0"/>
    <w:rPr>
      <w:sz w:val="21"/>
    </w:rPr>
  </w:style>
  <w:style w:type="character" w:styleId="22">
    <w:name w:val="footnote reference"/>
    <w:qFormat/>
    <w:uiPriority w:val="0"/>
    <w:rPr>
      <w:vertAlign w:val="superscript"/>
    </w:rPr>
  </w:style>
  <w:style w:type="character" w:customStyle="1" w:styleId="23">
    <w:name w:val="页脚 字符"/>
    <w:link w:val="10"/>
    <w:qFormat/>
    <w:uiPriority w:val="99"/>
    <w:rPr>
      <w:kern w:val="2"/>
      <w:sz w:val="18"/>
    </w:rPr>
  </w:style>
  <w:style w:type="character" w:customStyle="1" w:styleId="24">
    <w:name w:val="页眉 字符"/>
    <w:link w:val="11"/>
    <w:qFormat/>
    <w:uiPriority w:val="99"/>
    <w:rPr>
      <w:kern w:val="2"/>
      <w:sz w:val="18"/>
    </w:rPr>
  </w:style>
  <w:style w:type="character" w:customStyle="1" w:styleId="25">
    <w:name w:val="发布"/>
    <w:qFormat/>
    <w:uiPriority w:val="0"/>
    <w:rPr>
      <w:rFonts w:ascii="黑体" w:eastAsia="黑体"/>
      <w:spacing w:val="22"/>
      <w:w w:val="100"/>
      <w:position w:val="3"/>
      <w:sz w:val="28"/>
    </w:rPr>
  </w:style>
  <w:style w:type="character" w:customStyle="1" w:styleId="26">
    <w:name w:val="日期 字符"/>
    <w:link w:val="8"/>
    <w:qFormat/>
    <w:uiPriority w:val="0"/>
    <w:rPr>
      <w:kern w:val="2"/>
      <w:sz w:val="21"/>
    </w:rPr>
  </w:style>
  <w:style w:type="character" w:customStyle="1" w:styleId="27">
    <w:name w:val="标题 3 字符"/>
    <w:link w:val="4"/>
    <w:semiHidden/>
    <w:qFormat/>
    <w:uiPriority w:val="0"/>
    <w:rPr>
      <w:b/>
      <w:bCs/>
      <w:kern w:val="2"/>
      <w:sz w:val="32"/>
      <w:szCs w:val="32"/>
    </w:rPr>
  </w:style>
  <w:style w:type="paragraph" w:customStyle="1" w:styleId="28">
    <w:name w:val="实施日期"/>
    <w:basedOn w:val="29"/>
    <w:qFormat/>
    <w:uiPriority w:val="0"/>
    <w:pPr>
      <w:jc w:val="right"/>
    </w:pPr>
  </w:style>
  <w:style w:type="paragraph" w:customStyle="1" w:styleId="29">
    <w:name w:val="发布日期"/>
    <w:qFormat/>
    <w:uiPriority w:val="0"/>
    <w:rPr>
      <w:rFonts w:ascii="Times New Roman" w:hAnsi="Times New Roman" w:eastAsia="黑体" w:cs="Times New Roman"/>
      <w:sz w:val="28"/>
      <w:lang w:val="en-US" w:eastAsia="zh-CN" w:bidi="ar-SA"/>
    </w:rPr>
  </w:style>
  <w:style w:type="paragraph" w:customStyle="1" w:styleId="30">
    <w:name w:val="_Style 37"/>
    <w:basedOn w:val="1"/>
    <w:next w:val="7"/>
    <w:qFormat/>
    <w:uiPriority w:val="0"/>
    <w:pPr>
      <w:spacing w:after="120"/>
    </w:pPr>
  </w:style>
  <w:style w:type="paragraph" w:customStyle="1" w:styleId="31">
    <w:name w:val="正文表标题"/>
    <w:next w:val="32"/>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qFormat/>
    <w:uiPriority w:val="0"/>
    <w:pPr>
      <w:outlineLvl w:val="6"/>
    </w:pPr>
  </w:style>
  <w:style w:type="paragraph" w:customStyle="1" w:styleId="35">
    <w:name w:val="附录四级条标题"/>
    <w:basedOn w:val="36"/>
    <w:next w:val="32"/>
    <w:qFormat/>
    <w:uiPriority w:val="0"/>
    <w:pPr>
      <w:outlineLvl w:val="5"/>
    </w:pPr>
  </w:style>
  <w:style w:type="paragraph" w:customStyle="1" w:styleId="36">
    <w:name w:val="附录三级条标题"/>
    <w:basedOn w:val="37"/>
    <w:next w:val="32"/>
    <w:qFormat/>
    <w:uiPriority w:val="0"/>
    <w:pPr>
      <w:outlineLvl w:val="4"/>
    </w:pPr>
  </w:style>
  <w:style w:type="paragraph" w:customStyle="1" w:styleId="37">
    <w:name w:val="附录二级条标题"/>
    <w:basedOn w:val="38"/>
    <w:next w:val="32"/>
    <w:qFormat/>
    <w:uiPriority w:val="0"/>
    <w:pPr>
      <w:outlineLvl w:val="3"/>
    </w:pPr>
  </w:style>
  <w:style w:type="paragraph" w:customStyle="1" w:styleId="38">
    <w:name w:val="附录一级条标题"/>
    <w:basedOn w:val="39"/>
    <w:next w:val="32"/>
    <w:qFormat/>
    <w:uiPriority w:val="0"/>
    <w:pPr>
      <w:autoSpaceDN w:val="0"/>
      <w:spacing w:beforeLines="0" w:afterLines="0"/>
      <w:outlineLvl w:val="2"/>
    </w:pPr>
  </w:style>
  <w:style w:type="paragraph" w:customStyle="1" w:styleId="39">
    <w:name w:val="附录章标题"/>
    <w:next w:val="3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qFormat/>
    <w:uiPriority w:val="0"/>
    <w:pPr>
      <w:outlineLvl w:val="3"/>
    </w:pPr>
  </w:style>
  <w:style w:type="paragraph" w:customStyle="1" w:styleId="41">
    <w:name w:val="一级条标题"/>
    <w:basedOn w:val="42"/>
    <w:next w:val="32"/>
    <w:qFormat/>
    <w:uiPriority w:val="0"/>
    <w:pPr>
      <w:spacing w:beforeLines="0" w:afterLines="0"/>
      <w:outlineLvl w:val="2"/>
    </w:pPr>
  </w:style>
  <w:style w:type="paragraph" w:customStyle="1" w:styleId="42">
    <w:name w:val="章标题"/>
    <w:next w:val="3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目次、标准名称标题"/>
    <w:basedOn w:val="46"/>
    <w:next w:val="32"/>
    <w:qFormat/>
    <w:uiPriority w:val="99"/>
    <w:pPr>
      <w:spacing w:line="460" w:lineRule="exact"/>
    </w:p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三级条标题"/>
    <w:basedOn w:val="40"/>
    <w:next w:val="32"/>
    <w:qFormat/>
    <w:uiPriority w:val="0"/>
    <w:pPr>
      <w:outlineLvl w:val="4"/>
    </w:pPr>
  </w:style>
  <w:style w:type="paragraph" w:customStyle="1" w:styleId="48">
    <w:name w:val="四级条标题"/>
    <w:basedOn w:val="47"/>
    <w:next w:val="32"/>
    <w:qFormat/>
    <w:uiPriority w:val="0"/>
    <w:pPr>
      <w:outlineLvl w:val="5"/>
    </w:pPr>
  </w:style>
  <w:style w:type="paragraph" w:customStyle="1" w:styleId="4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32"/>
    <w:qFormat/>
    <w:uiPriority w:val="0"/>
    <w:pPr>
      <w:outlineLvl w:val="6"/>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偶数页"/>
    <w:basedOn w:val="53"/>
    <w:next w:val="1"/>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6">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6"/>
    <w:next w:val="32"/>
    <w:qFormat/>
    <w:uiPriority w:val="0"/>
    <w:pPr>
      <w:tabs>
        <w:tab w:val="left" w:pos="6405"/>
      </w:tabs>
      <w:spacing w:after="200"/>
    </w:pPr>
    <w:rPr>
      <w:sz w:val="21"/>
    </w:rPr>
  </w:style>
  <w:style w:type="paragraph" w:customStyle="1" w:styleId="61">
    <w:name w:val="发布部门"/>
    <w:next w:val="32"/>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character" w:styleId="65">
    <w:name w:val="Placeholder Text"/>
    <w:basedOn w:val="18"/>
    <w:unhideWhenUsed/>
    <w:qFormat/>
    <w:uiPriority w:val="99"/>
    <w:rPr>
      <w:color w:val="808080"/>
    </w:rPr>
  </w:style>
  <w:style w:type="character" w:customStyle="1" w:styleId="66">
    <w:name w:val="apple-converted-space"/>
    <w:basedOn w:val="18"/>
    <w:qFormat/>
    <w:uiPriority w:val="0"/>
  </w:style>
  <w:style w:type="character" w:customStyle="1" w:styleId="67">
    <w:name w:val="段 Char"/>
    <w:link w:val="32"/>
    <w:qFormat/>
    <w:uiPriority w:val="0"/>
    <w:rPr>
      <w:rFonts w:ascii="宋体"/>
      <w:sz w:val="21"/>
    </w:rPr>
  </w:style>
  <w:style w:type="paragraph" w:customStyle="1" w:styleId="68">
    <w:name w:val="Body text|2"/>
    <w:basedOn w:val="1"/>
    <w:link w:val="70"/>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qFormat/>
    <w:uiPriority w:val="0"/>
    <w:rPr>
      <w:rFonts w:ascii="PMingLiU" w:hAnsi="PMingLiU" w:eastAsia="PMingLiU" w:cs="PMingLiU"/>
      <w:spacing w:val="20"/>
      <w:sz w:val="18"/>
      <w:szCs w:val="18"/>
      <w:u w:val="none"/>
    </w:rPr>
  </w:style>
  <w:style w:type="paragraph" w:customStyle="1" w:styleId="71">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72">
    <w:name w:val="List Paragraph"/>
    <w:basedOn w:val="1"/>
    <w:qFormat/>
    <w:uiPriority w:val="99"/>
    <w:pPr>
      <w:ind w:firstLine="420" w:firstLineChars="200"/>
    </w:pPr>
  </w:style>
  <w:style w:type="character" w:customStyle="1" w:styleId="73">
    <w:name w:val="15"/>
    <w:basedOn w:val="18"/>
    <w:qFormat/>
    <w:uiPriority w:val="0"/>
    <w:rPr>
      <w:rFonts w:hint="default" w:ascii="Times New Roman" w:hAnsi="Times New Roman" w:cs="Times New Roman"/>
      <w:color w:val="000000"/>
      <w:sz w:val="18"/>
      <w:szCs w:val="18"/>
    </w:rPr>
  </w:style>
  <w:style w:type="character" w:customStyle="1" w:styleId="74">
    <w:name w:val="16"/>
    <w:basedOn w:val="18"/>
    <w:qFormat/>
    <w:uiPriority w:val="0"/>
    <w:rPr>
      <w:rFonts w:hint="eastAsia" w:ascii="宋体" w:hAnsi="宋体" w:eastAsia="宋体"/>
      <w:color w:val="000000"/>
      <w:sz w:val="18"/>
      <w:szCs w:val="18"/>
    </w:rPr>
  </w:style>
  <w:style w:type="character" w:customStyle="1" w:styleId="75">
    <w:name w:val="17"/>
    <w:basedOn w:val="18"/>
    <w:qFormat/>
    <w:uiPriority w:val="0"/>
    <w:rPr>
      <w:rFonts w:hint="eastAsia" w:ascii="宋体" w:hAnsi="宋体" w:eastAsia="宋体"/>
      <w:color w:val="000000"/>
      <w:sz w:val="18"/>
      <w:szCs w:val="18"/>
    </w:rPr>
  </w:style>
  <w:style w:type="character" w:customStyle="1" w:styleId="76">
    <w:name w:val="font51"/>
    <w:basedOn w:val="18"/>
    <w:qFormat/>
    <w:uiPriority w:val="0"/>
    <w:rPr>
      <w:rFonts w:hint="default" w:ascii="Times New Roman" w:hAnsi="Times New Roman" w:cs="Times New Roman"/>
      <w:color w:val="000000"/>
      <w:sz w:val="18"/>
      <w:szCs w:val="18"/>
      <w:u w:val="none"/>
    </w:rPr>
  </w:style>
  <w:style w:type="character" w:customStyle="1" w:styleId="77">
    <w:name w:val="font61"/>
    <w:basedOn w:val="18"/>
    <w:qFormat/>
    <w:uiPriority w:val="0"/>
    <w:rPr>
      <w:rFonts w:hint="eastAsia" w:ascii="宋体" w:hAnsi="宋体" w:eastAsia="宋体" w:cs="宋体"/>
      <w:color w:val="000000"/>
      <w:sz w:val="18"/>
      <w:szCs w:val="18"/>
      <w:u w:val="none"/>
    </w:rPr>
  </w:style>
  <w:style w:type="character" w:customStyle="1" w:styleId="78">
    <w:name w:val="font71"/>
    <w:basedOn w:val="18"/>
    <w:qFormat/>
    <w:uiPriority w:val="0"/>
    <w:rPr>
      <w:rFonts w:hint="default" w:ascii="Times New Roman" w:hAnsi="Times New Roman" w:cs="Times New Roman"/>
      <w:color w:val="000000"/>
      <w:sz w:val="18"/>
      <w:szCs w:val="18"/>
      <w:u w:val="none"/>
    </w:rPr>
  </w:style>
  <w:style w:type="character" w:customStyle="1" w:styleId="79">
    <w:name w:val="font21"/>
    <w:basedOn w:val="18"/>
    <w:qFormat/>
    <w:uiPriority w:val="0"/>
    <w:rPr>
      <w:rFonts w:hint="default" w:ascii="Times New Roman" w:hAnsi="Times New Roman" w:cs="Times New Roman"/>
      <w:color w:val="000000"/>
      <w:sz w:val="18"/>
      <w:szCs w:val="18"/>
      <w:u w:val="none"/>
    </w:rPr>
  </w:style>
  <w:style w:type="character" w:customStyle="1" w:styleId="80">
    <w:name w:val="font41"/>
    <w:basedOn w:val="1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F8FDC-7F97-44B3-ADC4-310BBFE53590}">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7</Pages>
  <Words>475</Words>
  <Characters>2712</Characters>
  <Lines>22</Lines>
  <Paragraphs>6</Paragraphs>
  <TotalTime>8</TotalTime>
  <ScaleCrop>false</ScaleCrop>
  <LinksUpToDate>false</LinksUpToDate>
  <CharactersWithSpaces>3181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陈婷</cp:lastModifiedBy>
  <cp:lastPrinted>2020-08-24T02:31:00Z</cp:lastPrinted>
  <dcterms:modified xsi:type="dcterms:W3CDTF">2023-02-20T01:43:12Z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